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B22AA" w:rsidTr="00EB4E9C">
        <w:tc>
          <w:tcPr>
            <w:tcW w:w="6522" w:type="dxa"/>
          </w:tcPr>
          <w:p w:rsidR="00DC3802" w:rsidRPr="003B22AA" w:rsidRDefault="00DC3802" w:rsidP="00AC2883">
            <w:pPr>
              <w:rPr>
                <w:dstrike/>
              </w:rPr>
            </w:pPr>
            <w:r w:rsidRPr="00885B6A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85B6A" w:rsidRDefault="002E5944" w:rsidP="00AC2883">
            <w:pPr>
              <w:pStyle w:val="Lettrine"/>
            </w:pPr>
            <w:r w:rsidRPr="00885B6A">
              <w:t>S</w:t>
            </w:r>
          </w:p>
        </w:tc>
      </w:tr>
      <w:tr w:rsidR="00DC3802" w:rsidRPr="003B22AA" w:rsidTr="00645CA8">
        <w:trPr>
          <w:trHeight w:val="219"/>
        </w:trPr>
        <w:tc>
          <w:tcPr>
            <w:tcW w:w="6522" w:type="dxa"/>
          </w:tcPr>
          <w:p w:rsidR="00DC3802" w:rsidRPr="003B22AA" w:rsidRDefault="002E5944" w:rsidP="00BC0BD4">
            <w:pPr>
              <w:pStyle w:val="upove"/>
              <w:rPr>
                <w:dstrike/>
              </w:rPr>
            </w:pPr>
            <w:r w:rsidRPr="00885B6A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885B6A" w:rsidRDefault="00DC3802" w:rsidP="00DA4973"/>
        </w:tc>
      </w:tr>
    </w:tbl>
    <w:p w:rsidR="00DC3802" w:rsidRPr="00885B6A" w:rsidRDefault="00DC3802" w:rsidP="00DC3802"/>
    <w:p w:rsidR="00DA4973" w:rsidRPr="00885B6A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B22AA" w:rsidTr="00EB4E9C">
        <w:tc>
          <w:tcPr>
            <w:tcW w:w="6512" w:type="dxa"/>
          </w:tcPr>
          <w:p w:rsidR="00EB4E9C" w:rsidRPr="00885B6A" w:rsidRDefault="002E5944" w:rsidP="00AC2883">
            <w:pPr>
              <w:pStyle w:val="Sessiontc"/>
              <w:spacing w:line="240" w:lineRule="auto"/>
            </w:pPr>
            <w:r w:rsidRPr="00885B6A">
              <w:t>Comité Técnico</w:t>
            </w:r>
          </w:p>
          <w:p w:rsidR="00EB4E9C" w:rsidRPr="003B22AA" w:rsidRDefault="002E5944" w:rsidP="005A1EC1">
            <w:pPr>
              <w:pStyle w:val="Sessiontcplacedate"/>
              <w:rPr>
                <w:dstrike/>
                <w:sz w:val="22"/>
              </w:rPr>
            </w:pPr>
            <w:r w:rsidRPr="00885B6A">
              <w:t xml:space="preserve">Quincuagésima </w:t>
            </w:r>
            <w:r w:rsidR="005A1EC1" w:rsidRPr="00885B6A">
              <w:t>cuarta</w:t>
            </w:r>
            <w:r w:rsidRPr="00885B6A">
              <w:t xml:space="preserve"> sesión</w:t>
            </w:r>
            <w:r w:rsidR="00EB4E9C" w:rsidRPr="00885B6A">
              <w:br/>
            </w:r>
            <w:r w:rsidRPr="00885B6A">
              <w:t>Ginebra</w:t>
            </w:r>
            <w:r w:rsidR="00EA5006" w:rsidRPr="00885B6A">
              <w:t>, 2</w:t>
            </w:r>
            <w:r w:rsidR="005A1EC1" w:rsidRPr="00885B6A">
              <w:t>9 y</w:t>
            </w:r>
            <w:r w:rsidR="00EA5006" w:rsidRPr="00885B6A">
              <w:t> 3</w:t>
            </w:r>
            <w:r w:rsidR="005A1EC1" w:rsidRPr="00885B6A">
              <w:t xml:space="preserve">0 de octubre </w:t>
            </w:r>
            <w:r w:rsidRPr="00885B6A">
              <w:t>de</w:t>
            </w:r>
            <w:r w:rsidR="00EA5006" w:rsidRPr="00885B6A">
              <w:t> 2</w:t>
            </w:r>
            <w:r w:rsidR="005A1EC1" w:rsidRPr="00885B6A">
              <w:t>018</w:t>
            </w:r>
          </w:p>
        </w:tc>
        <w:tc>
          <w:tcPr>
            <w:tcW w:w="3127" w:type="dxa"/>
          </w:tcPr>
          <w:p w:rsidR="00EB4E9C" w:rsidRPr="00885B6A" w:rsidRDefault="005A1EC1" w:rsidP="003C7FBE">
            <w:pPr>
              <w:pStyle w:val="Doccode"/>
              <w:rPr>
                <w:lang w:val="es-ES"/>
              </w:rPr>
            </w:pPr>
            <w:r w:rsidRPr="00885B6A">
              <w:rPr>
                <w:lang w:val="es-ES"/>
              </w:rPr>
              <w:t>TC/54</w:t>
            </w:r>
            <w:r w:rsidR="00EB4E9C" w:rsidRPr="00885B6A">
              <w:rPr>
                <w:lang w:val="es-ES"/>
              </w:rPr>
              <w:t>/</w:t>
            </w:r>
            <w:r w:rsidR="00712D01" w:rsidRPr="00885B6A">
              <w:rPr>
                <w:lang w:val="es-ES"/>
              </w:rPr>
              <w:t>19</w:t>
            </w:r>
          </w:p>
          <w:p w:rsidR="00EB4E9C" w:rsidRPr="00885B6A" w:rsidRDefault="00EB4E9C" w:rsidP="003C7FBE">
            <w:pPr>
              <w:pStyle w:val="Docoriginal"/>
            </w:pPr>
            <w:r w:rsidRPr="00885B6A">
              <w:t>Original:</w:t>
            </w:r>
            <w:r w:rsidR="00712D01" w:rsidRPr="00885B6A">
              <w:rPr>
                <w:b w:val="0"/>
                <w:spacing w:val="0"/>
              </w:rPr>
              <w:t xml:space="preserve"> </w:t>
            </w:r>
            <w:r w:rsidR="002E5944" w:rsidRPr="00885B6A">
              <w:rPr>
                <w:b w:val="0"/>
                <w:spacing w:val="0"/>
              </w:rPr>
              <w:t>Inglés</w:t>
            </w:r>
          </w:p>
          <w:p w:rsidR="00EB4E9C" w:rsidRPr="00885B6A" w:rsidRDefault="002E5944" w:rsidP="00EA5006">
            <w:pPr>
              <w:pStyle w:val="Docoriginal"/>
            </w:pPr>
            <w:r w:rsidRPr="00885B6A">
              <w:t>Fecha</w:t>
            </w:r>
            <w:r w:rsidR="00EB4E9C" w:rsidRPr="00885B6A">
              <w:t>:</w:t>
            </w:r>
            <w:r w:rsidR="00EA5006" w:rsidRPr="00885B6A">
              <w:rPr>
                <w:b w:val="0"/>
                <w:spacing w:val="0"/>
              </w:rPr>
              <w:t xml:space="preserve"> 2</w:t>
            </w:r>
            <w:r w:rsidR="00712D01" w:rsidRPr="00885B6A">
              <w:rPr>
                <w:b w:val="0"/>
                <w:spacing w:val="0"/>
              </w:rPr>
              <w:t>5 de septiembre</w:t>
            </w:r>
            <w:r w:rsidR="00EB4E9C" w:rsidRPr="00885B6A">
              <w:rPr>
                <w:b w:val="0"/>
                <w:spacing w:val="0"/>
              </w:rPr>
              <w:t xml:space="preserve"> </w:t>
            </w:r>
            <w:r w:rsidRPr="00885B6A">
              <w:rPr>
                <w:b w:val="0"/>
                <w:spacing w:val="0"/>
              </w:rPr>
              <w:t>de</w:t>
            </w:r>
            <w:r w:rsidR="00EA5006" w:rsidRPr="00885B6A">
              <w:rPr>
                <w:b w:val="0"/>
                <w:spacing w:val="0"/>
              </w:rPr>
              <w:t> 2</w:t>
            </w:r>
            <w:r w:rsidR="005A1EC1" w:rsidRPr="00885B6A">
              <w:rPr>
                <w:b w:val="0"/>
                <w:spacing w:val="0"/>
              </w:rPr>
              <w:t>018</w:t>
            </w:r>
          </w:p>
        </w:tc>
      </w:tr>
    </w:tbl>
    <w:p w:rsidR="00712D01" w:rsidRPr="00063113" w:rsidRDefault="008E0311" w:rsidP="00932DD3">
      <w:pPr>
        <w:pStyle w:val="Titleofdoc0"/>
        <w:rPr>
          <w:lang w:val="es-ES"/>
        </w:rPr>
      </w:pPr>
      <w:bookmarkStart w:id="0" w:name="TitleOfDoc"/>
      <w:bookmarkStart w:id="1" w:name="Prepared"/>
      <w:bookmarkEnd w:id="0"/>
      <w:bookmarkEnd w:id="1"/>
      <w:r w:rsidRPr="00EF0364">
        <w:t>EVALUACIÓN DE LA HOMOGENEIDAD SOBRE LA BASE DE LAS PLANTAS FUERA DE TIPO:</w:t>
      </w:r>
      <w:r w:rsidR="003B22AA" w:rsidRPr="00063113">
        <w:rPr>
          <w:lang w:val="es-ES"/>
        </w:rPr>
        <w:t xml:space="preserve"> </w:t>
      </w:r>
      <w:r w:rsidRPr="00EF0364">
        <w:t>MÉTODO APLICADO A MÁS DE UN EXAMEN ÚNICO (ANUAL)</w:t>
      </w:r>
      <w:r w:rsidR="00712D01" w:rsidRPr="00063113">
        <w:rPr>
          <w:lang w:val="es-ES"/>
        </w:rPr>
        <w:t xml:space="preserve"> </w:t>
      </w:r>
    </w:p>
    <w:p w:rsidR="006A644A" w:rsidRPr="00885B6A" w:rsidRDefault="000638A9" w:rsidP="006A644A">
      <w:pPr>
        <w:pStyle w:val="preparedby1"/>
        <w:jc w:val="left"/>
      </w:pPr>
      <w:r w:rsidRPr="00885B6A">
        <w:t>Documento preparado por la Oficina de la Unión</w:t>
      </w:r>
    </w:p>
    <w:p w:rsidR="00050E16" w:rsidRPr="00885B6A" w:rsidRDefault="000638A9" w:rsidP="006A644A">
      <w:pPr>
        <w:pStyle w:val="Disclaimer"/>
      </w:pPr>
      <w:r w:rsidRPr="00885B6A">
        <w:t>Descargo de responsabilidad: el presente documento no constituye un documento de política u orientación de la UPOV</w:t>
      </w:r>
    </w:p>
    <w:p w:rsidR="00712D01" w:rsidRPr="00063113" w:rsidRDefault="008E0311" w:rsidP="00712D01">
      <w:pPr>
        <w:pStyle w:val="Heading1"/>
        <w:rPr>
          <w:lang w:val="es-ES"/>
        </w:rPr>
      </w:pPr>
      <w:bookmarkStart w:id="2" w:name="_Toc526338548"/>
      <w:r w:rsidRPr="000C285C">
        <w:rPr>
          <w:lang w:val="es-ES_tradnl"/>
        </w:rPr>
        <w:t>RESUMEN</w:t>
      </w:r>
      <w:bookmarkEnd w:id="2"/>
    </w:p>
    <w:p w:rsidR="00712D01" w:rsidRPr="00063113" w:rsidRDefault="00712D01" w:rsidP="00712D01">
      <w:pPr>
        <w:autoSpaceDE w:val="0"/>
        <w:autoSpaceDN w:val="0"/>
        <w:adjustRightInd w:val="0"/>
        <w:rPr>
          <w:szCs w:val="24"/>
          <w:lang w:val="es-ES"/>
        </w:rPr>
      </w:pPr>
    </w:p>
    <w:p w:rsidR="00712D01" w:rsidRPr="00063113" w:rsidRDefault="00B5498A" w:rsidP="00712D01">
      <w:pPr>
        <w:autoSpaceDE w:val="0"/>
        <w:autoSpaceDN w:val="0"/>
        <w:adjustRightInd w:val="0"/>
        <w:rPr>
          <w:rFonts w:eastAsia="MS Mincho"/>
          <w:color w:val="000000"/>
          <w:szCs w:val="24"/>
          <w:lang w:val="es-ES" w:eastAsia="ja-JP"/>
        </w:rPr>
      </w:pPr>
      <w:r w:rsidRPr="00245109">
        <w:rPr>
          <w:szCs w:val="24"/>
        </w:rPr>
        <w:fldChar w:fldCharType="begin"/>
      </w:r>
      <w:r w:rsidR="00712D01" w:rsidRPr="00063113">
        <w:rPr>
          <w:szCs w:val="24"/>
          <w:lang w:val="es-ES"/>
        </w:rPr>
        <w:instrText xml:space="preserve"> AUTONUM  </w:instrText>
      </w:r>
      <w:r w:rsidRPr="00245109">
        <w:rPr>
          <w:szCs w:val="24"/>
        </w:rPr>
        <w:fldChar w:fldCharType="end"/>
      </w:r>
      <w:r w:rsidR="00712D01" w:rsidRPr="00063113">
        <w:rPr>
          <w:szCs w:val="24"/>
          <w:lang w:val="es-ES"/>
        </w:rPr>
        <w:tab/>
      </w:r>
      <w:r w:rsidR="009124CB" w:rsidRPr="000C285C">
        <w:rPr>
          <w:rFonts w:eastAsia="MS Mincho"/>
          <w:color w:val="000000"/>
          <w:szCs w:val="24"/>
          <w:lang w:eastAsia="ja-JP"/>
        </w:rPr>
        <w:t xml:space="preserve">El presente documento tiene por objeto informar de las novedades </w:t>
      </w:r>
      <w:r w:rsidR="00587C79" w:rsidRPr="000C285C">
        <w:rPr>
          <w:rFonts w:eastAsia="MS Mincho"/>
          <w:color w:val="000000"/>
          <w:szCs w:val="24"/>
          <w:lang w:eastAsia="ja-JP"/>
        </w:rPr>
        <w:t>relativas a la</w:t>
      </w:r>
      <w:r w:rsidR="009124CB" w:rsidRPr="000C285C">
        <w:rPr>
          <w:rFonts w:eastAsia="MS Mincho"/>
          <w:color w:val="000000"/>
          <w:szCs w:val="24"/>
          <w:lang w:eastAsia="ja-JP"/>
        </w:rPr>
        <w:t xml:space="preserve"> revisión de </w:t>
      </w:r>
      <w:r w:rsidR="00587C79" w:rsidRPr="000C285C">
        <w:rPr>
          <w:rFonts w:eastAsia="MS Mincho"/>
          <w:color w:val="000000"/>
          <w:szCs w:val="24"/>
          <w:lang w:eastAsia="ja-JP"/>
        </w:rPr>
        <w:t xml:space="preserve">la </w:t>
      </w:r>
      <w:r w:rsidR="005301A1" w:rsidRPr="000C285C">
        <w:rPr>
          <w:rFonts w:eastAsia="MS Mincho"/>
          <w:color w:val="000000"/>
          <w:szCs w:val="24"/>
          <w:lang w:eastAsia="ja-JP"/>
        </w:rPr>
        <w:t>orientación ofrecida</w:t>
      </w:r>
      <w:r w:rsidR="00587C79" w:rsidRPr="000C285C">
        <w:rPr>
          <w:rFonts w:eastAsia="MS Mincho"/>
          <w:color w:val="000000"/>
          <w:szCs w:val="24"/>
          <w:lang w:eastAsia="ja-JP"/>
        </w:rPr>
        <w:t xml:space="preserve"> </w:t>
      </w:r>
      <w:r w:rsidR="009124CB" w:rsidRPr="000C285C">
        <w:rPr>
          <w:rFonts w:eastAsia="MS Mincho"/>
          <w:color w:val="000000"/>
          <w:szCs w:val="24"/>
          <w:lang w:eastAsia="ja-JP"/>
        </w:rPr>
        <w:t xml:space="preserve">en </w:t>
      </w:r>
      <w:r w:rsidR="00587C79" w:rsidRPr="000C285C">
        <w:rPr>
          <w:rFonts w:eastAsia="MS Mincho"/>
          <w:color w:val="000000"/>
          <w:szCs w:val="24"/>
          <w:lang w:eastAsia="ja-JP"/>
        </w:rPr>
        <w:t xml:space="preserve">el </w:t>
      </w:r>
      <w:r w:rsidR="009124CB" w:rsidRPr="000C285C">
        <w:rPr>
          <w:rFonts w:eastAsia="MS Mincho"/>
          <w:color w:val="000000"/>
          <w:szCs w:val="24"/>
          <w:lang w:eastAsia="ja-JP"/>
        </w:rPr>
        <w:t xml:space="preserve">documento TGP/8/2: </w:t>
      </w:r>
      <w:r w:rsidR="00790E44" w:rsidRPr="000C285C">
        <w:rPr>
          <w:rFonts w:eastAsia="MS Mincho"/>
          <w:color w:val="000000"/>
          <w:szCs w:val="24"/>
          <w:lang w:eastAsia="ja-JP"/>
        </w:rPr>
        <w:t>parte </w:t>
      </w:r>
      <w:r w:rsidR="009124CB" w:rsidRPr="000C285C">
        <w:rPr>
          <w:rFonts w:eastAsia="MS Mincho"/>
          <w:color w:val="000000"/>
          <w:szCs w:val="24"/>
          <w:lang w:eastAsia="ja-JP"/>
        </w:rPr>
        <w:t xml:space="preserve">II: </w:t>
      </w:r>
      <w:r w:rsidR="00790E44" w:rsidRPr="000C285C">
        <w:rPr>
          <w:rFonts w:eastAsia="MS Mincho"/>
          <w:color w:val="000000"/>
          <w:szCs w:val="24"/>
          <w:lang w:eastAsia="ja-JP"/>
        </w:rPr>
        <w:t>sección</w:t>
      </w:r>
      <w:r w:rsidR="00EA5006" w:rsidRPr="000C285C">
        <w:rPr>
          <w:rFonts w:eastAsia="MS Mincho"/>
          <w:color w:val="000000"/>
          <w:szCs w:val="24"/>
          <w:lang w:eastAsia="ja-JP"/>
        </w:rPr>
        <w:t> 8</w:t>
      </w:r>
      <w:r w:rsidR="009124CB" w:rsidRPr="000C285C">
        <w:rPr>
          <w:rFonts w:eastAsia="MS Mincho"/>
          <w:color w:val="000000"/>
          <w:szCs w:val="24"/>
          <w:lang w:eastAsia="ja-JP"/>
        </w:rPr>
        <w:t xml:space="preserve"> “</w:t>
      </w:r>
      <w:r w:rsidR="00587C79" w:rsidRPr="000C285C">
        <w:rPr>
          <w:rFonts w:eastAsia="MS Mincho"/>
          <w:color w:val="000000"/>
          <w:szCs w:val="24"/>
          <w:lang w:eastAsia="ja-JP"/>
        </w:rPr>
        <w:t>Método de evaluación de la homogeneidad sobre la base de las plantas fuera de tipo</w:t>
      </w:r>
      <w:r w:rsidR="009124CB" w:rsidRPr="000C285C">
        <w:rPr>
          <w:rFonts w:eastAsia="MS Mincho"/>
          <w:color w:val="000000"/>
          <w:szCs w:val="24"/>
          <w:lang w:eastAsia="ja-JP"/>
        </w:rPr>
        <w:t>” a fin de que incluya los métodos que normalmente se aplican en los miembros de la Unión cuando se efectúa más de un examen único (anual)</w:t>
      </w:r>
      <w:r w:rsidR="00EA5006" w:rsidRPr="000C285C">
        <w:rPr>
          <w:rFonts w:eastAsia="MS Mincho"/>
          <w:color w:val="000000"/>
          <w:szCs w:val="24"/>
          <w:lang w:eastAsia="ja-JP"/>
        </w:rPr>
        <w:t xml:space="preserve">, </w:t>
      </w:r>
      <w:r w:rsidR="009124CB" w:rsidRPr="000C285C">
        <w:rPr>
          <w:snapToGrid w:val="0"/>
          <w:color w:val="000000" w:themeColor="text1"/>
        </w:rPr>
        <w:t xml:space="preserve">junto con la revisión del </w:t>
      </w:r>
      <w:r w:rsidR="009124CB" w:rsidRPr="000C285C">
        <w:rPr>
          <w:rFonts w:eastAsia="MS Mincho"/>
          <w:color w:val="000000"/>
          <w:szCs w:val="24"/>
          <w:lang w:eastAsia="ja-JP"/>
        </w:rPr>
        <w:t xml:space="preserve">documento TGP/10 </w:t>
      </w:r>
      <w:r w:rsidR="001521BE" w:rsidRPr="000C285C">
        <w:rPr>
          <w:rFonts w:eastAsia="MS Mincho"/>
          <w:color w:val="000000"/>
          <w:szCs w:val="24"/>
          <w:lang w:eastAsia="ja-JP"/>
        </w:rPr>
        <w:t xml:space="preserve">en lo que </w:t>
      </w:r>
      <w:r w:rsidR="00F17E0D" w:rsidRPr="000C285C">
        <w:rPr>
          <w:rFonts w:eastAsia="MS Mincho"/>
          <w:color w:val="000000"/>
          <w:szCs w:val="24"/>
          <w:lang w:eastAsia="ja-JP"/>
        </w:rPr>
        <w:t>se refiere</w:t>
      </w:r>
      <w:r w:rsidR="001521BE" w:rsidRPr="000C285C">
        <w:rPr>
          <w:rFonts w:eastAsia="MS Mincho"/>
          <w:color w:val="000000"/>
          <w:szCs w:val="24"/>
          <w:lang w:eastAsia="ja-JP"/>
        </w:rPr>
        <w:t xml:space="preserve"> a la </w:t>
      </w:r>
      <w:r w:rsidR="009124CB" w:rsidRPr="000C285C">
        <w:rPr>
          <w:rFonts w:eastAsia="MS Mincho"/>
          <w:color w:val="000000"/>
          <w:szCs w:val="24"/>
          <w:lang w:eastAsia="ja-JP"/>
        </w:rPr>
        <w:t>“</w:t>
      </w:r>
      <w:r w:rsidR="009124CB" w:rsidRPr="000C285C">
        <w:rPr>
          <w:snapToGrid w:val="0"/>
          <w:color w:val="000000" w:themeColor="text1"/>
        </w:rPr>
        <w:t>Evaluación de la homogeneidad de las plantas fuera de tipo mediante la observación de más de un ciclo de cultivo o mediante la observación de submuestras</w:t>
      </w:r>
      <w:r w:rsidR="009124CB" w:rsidRPr="000C285C">
        <w:rPr>
          <w:rFonts w:eastAsia="MS Mincho"/>
          <w:color w:val="000000"/>
          <w:szCs w:val="24"/>
          <w:lang w:eastAsia="ja-JP"/>
        </w:rPr>
        <w:t>”.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B5498A" w:rsidP="00712D01">
      <w:pPr>
        <w:rPr>
          <w:lang w:val="es-ES"/>
        </w:rPr>
      </w:pPr>
      <w:r>
        <w:fldChar w:fldCharType="begin"/>
      </w:r>
      <w:r w:rsidR="00712D01" w:rsidRPr="00063113">
        <w:rPr>
          <w:lang w:val="es-ES"/>
        </w:rPr>
        <w:instrText xml:space="preserve"> AUTONUM  </w:instrText>
      </w:r>
      <w:r>
        <w:fldChar w:fldCharType="end"/>
      </w:r>
      <w:r w:rsidR="00712D01" w:rsidRPr="00063113">
        <w:rPr>
          <w:lang w:val="es-ES"/>
        </w:rPr>
        <w:tab/>
      </w:r>
      <w:r w:rsidR="00790E44" w:rsidRPr="00C25D04">
        <w:t xml:space="preserve">Se invita al TC a examinar la propuesta de revisión de la </w:t>
      </w:r>
      <w:r w:rsidR="005301A1" w:rsidRPr="00C25D04">
        <w:t>orientación ofrecida</w:t>
      </w:r>
      <w:r w:rsidR="00790E44" w:rsidRPr="00C25D04">
        <w:t xml:space="preserve"> en el documento TGP/8/2: parte II: sección</w:t>
      </w:r>
      <w:r w:rsidR="00EA5006" w:rsidRPr="00C25D04">
        <w:t> 8</w:t>
      </w:r>
      <w:r w:rsidR="00790E44" w:rsidRPr="00C25D04">
        <w:t>: subsección</w:t>
      </w:r>
      <w:r w:rsidR="00EA5006" w:rsidRPr="00C25D04">
        <w:t> 8</w:t>
      </w:r>
      <w:r w:rsidR="00790E44" w:rsidRPr="00C25D04">
        <w:t>.1.7 “Método aplicado a más de un examen único (anual)” sobre la base del borrador que figura en el Anexo II del presente documento</w:t>
      </w:r>
      <w:r w:rsidR="00EA5006" w:rsidRPr="00C25D04">
        <w:t xml:space="preserve">, </w:t>
      </w:r>
      <w:r w:rsidR="00790E44" w:rsidRPr="00C25D04">
        <w:t>conjuntamente con los comentarios formulados por los TWP en sus sesiones de</w:t>
      </w:r>
      <w:r w:rsidR="00EA5006" w:rsidRPr="00C25D04">
        <w:t> 2</w:t>
      </w:r>
      <w:r w:rsidR="00790E44" w:rsidRPr="00C25D04">
        <w:t>018.</w:t>
      </w:r>
    </w:p>
    <w:p w:rsidR="00712D01" w:rsidRPr="00063113" w:rsidRDefault="00712D01" w:rsidP="00712D01">
      <w:pPr>
        <w:rPr>
          <w:sz w:val="16"/>
          <w:lang w:val="es-ES"/>
        </w:rPr>
      </w:pPr>
    </w:p>
    <w:p w:rsidR="00712D01" w:rsidRPr="00063113" w:rsidRDefault="00B5498A" w:rsidP="00712D01">
      <w:pPr>
        <w:rPr>
          <w:snapToGrid w:val="0"/>
          <w:lang w:val="es-ES"/>
        </w:rPr>
      </w:pPr>
      <w:r w:rsidRPr="00577EC0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577EC0">
        <w:fldChar w:fldCharType="end"/>
      </w:r>
      <w:r w:rsidR="00712D01" w:rsidRPr="00063113">
        <w:rPr>
          <w:lang w:val="es-ES"/>
        </w:rPr>
        <w:tab/>
      </w:r>
      <w:r w:rsidR="00790E44" w:rsidRPr="00C25D04">
        <w:rPr>
          <w:snapToGrid w:val="0"/>
        </w:rPr>
        <w:t>El presente documento se estructura del modo siguiente:</w:t>
      </w:r>
    </w:p>
    <w:p w:rsidR="00712D01" w:rsidRPr="00063113" w:rsidRDefault="00712D01" w:rsidP="00712D01">
      <w:pPr>
        <w:rPr>
          <w:rFonts w:cs="Arial"/>
          <w:snapToGrid w:val="0"/>
          <w:lang w:val="es-ES"/>
        </w:rPr>
      </w:pPr>
    </w:p>
    <w:p w:rsidR="00C4357B" w:rsidRDefault="00B5498A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_tradnl"/>
        </w:rPr>
      </w:pPr>
      <w:r>
        <w:rPr>
          <w:rFonts w:cs="Arial"/>
          <w:snapToGrid w:val="0"/>
        </w:rPr>
        <w:fldChar w:fldCharType="begin"/>
      </w:r>
      <w:r w:rsidR="00712D01" w:rsidRPr="00943094">
        <w:rPr>
          <w:rFonts w:cs="Arial"/>
          <w:snapToGrid w:val="0"/>
          <w:lang w:val="es-ES"/>
        </w:rPr>
        <w:instrText xml:space="preserve"> TOC \o "1-2" \u </w:instrText>
      </w:r>
      <w:r>
        <w:rPr>
          <w:rFonts w:cs="Arial"/>
          <w:snapToGrid w:val="0"/>
        </w:rPr>
        <w:fldChar w:fldCharType="separate"/>
      </w:r>
      <w:r w:rsidR="00C4357B" w:rsidRPr="007C55D1">
        <w:rPr>
          <w:noProof/>
          <w:lang w:val="es-ES_tradnl"/>
        </w:rPr>
        <w:t>RESUMEN</w:t>
      </w:r>
      <w:r w:rsidR="00C4357B" w:rsidRPr="00943094">
        <w:rPr>
          <w:noProof/>
          <w:lang w:val="es-ES"/>
        </w:rPr>
        <w:tab/>
      </w:r>
      <w:r w:rsidR="00C4357B">
        <w:rPr>
          <w:noProof/>
        </w:rPr>
        <w:fldChar w:fldCharType="begin"/>
      </w:r>
      <w:r w:rsidR="00C4357B" w:rsidRPr="00943094">
        <w:rPr>
          <w:noProof/>
          <w:lang w:val="es-ES"/>
        </w:rPr>
        <w:instrText xml:space="preserve"> PAGEREF _Toc526338548 \h </w:instrText>
      </w:r>
      <w:r w:rsidR="00C4357B">
        <w:rPr>
          <w:noProof/>
        </w:rPr>
      </w:r>
      <w:r w:rsidR="00C4357B">
        <w:rPr>
          <w:noProof/>
        </w:rPr>
        <w:fldChar w:fldCharType="separate"/>
      </w:r>
      <w:r w:rsidR="00C4357B" w:rsidRPr="00943094">
        <w:rPr>
          <w:noProof/>
          <w:lang w:val="es-ES"/>
        </w:rPr>
        <w:t>1</w:t>
      </w:r>
      <w:r w:rsidR="00C4357B">
        <w:rPr>
          <w:noProof/>
        </w:rPr>
        <w:fldChar w:fldCharType="end"/>
      </w:r>
    </w:p>
    <w:p w:rsidR="00C4357B" w:rsidRDefault="00C4357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_tradnl"/>
        </w:rPr>
      </w:pPr>
      <w:r w:rsidRPr="007C55D1">
        <w:rPr>
          <w:rFonts w:eastAsia="MS Mincho"/>
          <w:noProof/>
          <w:lang w:val="es-ES_tradnl" w:eastAsia="ja-JP"/>
        </w:rPr>
        <w:t>ANTECEDENTES</w:t>
      </w:r>
      <w:r w:rsidRPr="00943094">
        <w:rPr>
          <w:noProof/>
          <w:lang w:val="es-ES"/>
        </w:rPr>
        <w:tab/>
      </w:r>
      <w:r>
        <w:rPr>
          <w:noProof/>
        </w:rPr>
        <w:fldChar w:fldCharType="begin"/>
      </w:r>
      <w:r w:rsidRPr="00943094">
        <w:rPr>
          <w:noProof/>
          <w:lang w:val="es-ES"/>
        </w:rPr>
        <w:instrText xml:space="preserve"> PAGEREF _Toc526338549 \h </w:instrText>
      </w:r>
      <w:r>
        <w:rPr>
          <w:noProof/>
        </w:rPr>
      </w:r>
      <w:r>
        <w:rPr>
          <w:noProof/>
        </w:rPr>
        <w:fldChar w:fldCharType="separate"/>
      </w:r>
      <w:r w:rsidRPr="00943094">
        <w:rPr>
          <w:noProof/>
          <w:lang w:val="es-ES"/>
        </w:rPr>
        <w:t>2</w:t>
      </w:r>
      <w:r>
        <w:rPr>
          <w:noProof/>
        </w:rPr>
        <w:fldChar w:fldCharType="end"/>
      </w:r>
    </w:p>
    <w:p w:rsidR="00C4357B" w:rsidRDefault="00C4357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ES_tradnl" w:eastAsia="es-ES_tradnl"/>
        </w:rPr>
      </w:pPr>
      <w:r w:rsidRPr="007C55D1">
        <w:rPr>
          <w:rFonts w:eastAsia="PMingLiU"/>
          <w:noProof/>
          <w:lang w:val="es-ES_tradnl"/>
        </w:rPr>
        <w:t xml:space="preserve">Orientación </w:t>
      </w:r>
      <w:r w:rsidRPr="007C55D1">
        <w:rPr>
          <w:noProof/>
          <w:snapToGrid w:val="0"/>
          <w:lang w:val="es-ES_tradnl"/>
        </w:rPr>
        <w:t>que figura</w:t>
      </w:r>
      <w:r w:rsidRPr="007C55D1">
        <w:rPr>
          <w:rFonts w:eastAsia="PMingLiU"/>
          <w:noProof/>
          <w:lang w:val="es-ES_tradnl"/>
        </w:rPr>
        <w:t xml:space="preserve"> actualmente en el documento TGP/8</w:t>
      </w:r>
      <w:r w:rsidRPr="00943094">
        <w:rPr>
          <w:noProof/>
          <w:lang w:val="es-ES"/>
        </w:rPr>
        <w:tab/>
      </w:r>
      <w:r>
        <w:rPr>
          <w:noProof/>
        </w:rPr>
        <w:fldChar w:fldCharType="begin"/>
      </w:r>
      <w:r w:rsidRPr="00943094">
        <w:rPr>
          <w:noProof/>
          <w:lang w:val="es-ES"/>
        </w:rPr>
        <w:instrText xml:space="preserve"> PAGEREF _Toc526338550 \h </w:instrText>
      </w:r>
      <w:r>
        <w:rPr>
          <w:noProof/>
        </w:rPr>
      </w:r>
      <w:r>
        <w:rPr>
          <w:noProof/>
        </w:rPr>
        <w:fldChar w:fldCharType="separate"/>
      </w:r>
      <w:r w:rsidRPr="00943094">
        <w:rPr>
          <w:noProof/>
          <w:lang w:val="es-ES"/>
        </w:rPr>
        <w:t>2</w:t>
      </w:r>
      <w:r>
        <w:rPr>
          <w:noProof/>
        </w:rPr>
        <w:fldChar w:fldCharType="end"/>
      </w:r>
    </w:p>
    <w:p w:rsidR="00C4357B" w:rsidRDefault="00C4357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_tradnl"/>
        </w:rPr>
      </w:pPr>
      <w:r w:rsidRPr="007C55D1">
        <w:rPr>
          <w:noProof/>
          <w:lang w:val="es-ES_tradnl"/>
        </w:rPr>
        <w:t>EXAMEN POR EL COMITÉ DE REDACCIÓN AMPLIADO</w:t>
      </w:r>
      <w:r w:rsidRPr="00943094">
        <w:rPr>
          <w:noProof/>
          <w:lang w:val="es-ES"/>
        </w:rPr>
        <w:tab/>
      </w:r>
      <w:r>
        <w:rPr>
          <w:noProof/>
        </w:rPr>
        <w:fldChar w:fldCharType="begin"/>
      </w:r>
      <w:r w:rsidRPr="00943094">
        <w:rPr>
          <w:noProof/>
          <w:lang w:val="es-ES"/>
        </w:rPr>
        <w:instrText xml:space="preserve"> PAGEREF _Toc526338551 \h </w:instrText>
      </w:r>
      <w:r>
        <w:rPr>
          <w:noProof/>
        </w:rPr>
      </w:r>
      <w:r>
        <w:rPr>
          <w:noProof/>
        </w:rPr>
        <w:fldChar w:fldCharType="separate"/>
      </w:r>
      <w:r w:rsidRPr="00943094">
        <w:rPr>
          <w:noProof/>
          <w:lang w:val="es-ES"/>
        </w:rPr>
        <w:t>2</w:t>
      </w:r>
      <w:r>
        <w:rPr>
          <w:noProof/>
        </w:rPr>
        <w:fldChar w:fldCharType="end"/>
      </w:r>
    </w:p>
    <w:p w:rsidR="00C4357B" w:rsidRDefault="00C4357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_tradnl"/>
        </w:rPr>
      </w:pPr>
      <w:r w:rsidRPr="007C55D1">
        <w:rPr>
          <w:noProof/>
          <w:lang w:val="es-ES_tradnl"/>
        </w:rPr>
        <w:t>EXAMEN EFECTUADO POR LOS GRUPOS DE TRABAJO TÉCNICO</w:t>
      </w:r>
      <w:r w:rsidRPr="00943094">
        <w:rPr>
          <w:noProof/>
          <w:lang w:val="es-ES"/>
        </w:rPr>
        <w:tab/>
      </w:r>
      <w:r>
        <w:rPr>
          <w:noProof/>
        </w:rPr>
        <w:fldChar w:fldCharType="begin"/>
      </w:r>
      <w:r w:rsidRPr="00943094">
        <w:rPr>
          <w:noProof/>
          <w:lang w:val="es-ES"/>
        </w:rPr>
        <w:instrText xml:space="preserve"> PAGEREF _Toc526338552 \h </w:instrText>
      </w:r>
      <w:r>
        <w:rPr>
          <w:noProof/>
        </w:rPr>
      </w:r>
      <w:r>
        <w:rPr>
          <w:noProof/>
        </w:rPr>
        <w:fldChar w:fldCharType="separate"/>
      </w:r>
      <w:r w:rsidRPr="00943094">
        <w:rPr>
          <w:noProof/>
          <w:lang w:val="es-ES"/>
        </w:rPr>
        <w:t>2</w:t>
      </w:r>
      <w:r>
        <w:rPr>
          <w:noProof/>
        </w:rPr>
        <w:fldChar w:fldCharType="end"/>
      </w:r>
    </w:p>
    <w:p w:rsidR="00C4357B" w:rsidRDefault="00B5498A" w:rsidP="00712D01">
      <w:pPr>
        <w:ind w:left="1134" w:hanging="1134"/>
        <w:rPr>
          <w:rFonts w:cs="Arial"/>
          <w:snapToGrid w:val="0"/>
        </w:rPr>
      </w:pPr>
      <w:r>
        <w:rPr>
          <w:rFonts w:cs="Arial"/>
          <w:snapToGrid w:val="0"/>
        </w:rPr>
        <w:fldChar w:fldCharType="end"/>
      </w:r>
    </w:p>
    <w:p w:rsidR="00712D01" w:rsidRPr="00063113" w:rsidRDefault="00790E44" w:rsidP="00712D01">
      <w:pPr>
        <w:ind w:left="1134" w:hanging="1134"/>
        <w:rPr>
          <w:lang w:val="es-ES"/>
        </w:rPr>
      </w:pPr>
      <w:r w:rsidRPr="00C25D04">
        <w:rPr>
          <w:rFonts w:cs="Arial"/>
          <w:snapToGrid w:val="0"/>
        </w:rPr>
        <w:t>ANEXO I</w:t>
      </w:r>
      <w:r w:rsidR="00712D01" w:rsidRPr="00063113">
        <w:rPr>
          <w:rFonts w:cs="Arial"/>
          <w:snapToGrid w:val="0"/>
          <w:lang w:val="es-ES"/>
        </w:rPr>
        <w:tab/>
      </w:r>
      <w:r w:rsidRPr="00C25D04">
        <w:rPr>
          <w:rFonts w:cs="Arial"/>
          <w:snapToGrid w:val="0"/>
        </w:rPr>
        <w:t>Extracto del documento TGP/8: parte II: sección</w:t>
      </w:r>
      <w:r w:rsidR="00EA5006" w:rsidRPr="00C25D04">
        <w:rPr>
          <w:rFonts w:cs="Arial"/>
          <w:snapToGrid w:val="0"/>
        </w:rPr>
        <w:t> 8</w:t>
      </w:r>
      <w:r w:rsidRPr="00C25D04">
        <w:rPr>
          <w:rFonts w:cs="Arial"/>
          <w:snapToGrid w:val="0"/>
        </w:rPr>
        <w:t xml:space="preserve"> “Método de evaluación de la homogeneidad sobre la base de las plantas fuera de tipo”</w:t>
      </w:r>
    </w:p>
    <w:p w:rsidR="00712D01" w:rsidRPr="00063113" w:rsidRDefault="00790E44" w:rsidP="00C25D04">
      <w:pPr>
        <w:keepNext/>
        <w:tabs>
          <w:tab w:val="left" w:pos="1418"/>
        </w:tabs>
        <w:spacing w:before="120"/>
        <w:ind w:left="1134" w:right="283" w:hanging="1134"/>
        <w:rPr>
          <w:lang w:val="es-ES"/>
        </w:rPr>
      </w:pPr>
      <w:r w:rsidRPr="00C25D04">
        <w:rPr>
          <w:rFonts w:cs="Arial"/>
          <w:snapToGrid w:val="0"/>
        </w:rPr>
        <w:t>ANEXO II</w:t>
      </w:r>
      <w:r w:rsidR="00712D01" w:rsidRPr="00063113">
        <w:rPr>
          <w:rFonts w:cs="Arial"/>
          <w:snapToGrid w:val="0"/>
          <w:lang w:val="es-ES"/>
        </w:rPr>
        <w:tab/>
      </w:r>
      <w:r w:rsidRPr="00C25D04">
        <w:rPr>
          <w:rFonts w:cs="Arial"/>
          <w:snapToGrid w:val="0"/>
        </w:rPr>
        <w:t>Proyecto de propuesta de revisión del documento TGP/8: parte II: sección</w:t>
      </w:r>
      <w:r w:rsidR="00EA5006" w:rsidRPr="00C25D04">
        <w:rPr>
          <w:rFonts w:cs="Arial"/>
          <w:snapToGrid w:val="0"/>
        </w:rPr>
        <w:t> 8</w:t>
      </w:r>
      <w:r w:rsidRPr="00C25D04">
        <w:rPr>
          <w:rFonts w:cs="Arial"/>
          <w:snapToGrid w:val="0"/>
        </w:rPr>
        <w:t xml:space="preserve"> “Método de evaluación de la homogeneidad sobre la base de las plantas fuera de tipo”</w:t>
      </w:r>
    </w:p>
    <w:p w:rsidR="00712D01" w:rsidRPr="00063113" w:rsidRDefault="00712D01" w:rsidP="00712D01">
      <w:pPr>
        <w:rPr>
          <w:lang w:val="es-ES" w:eastAsia="ja-JP"/>
        </w:rPr>
      </w:pPr>
    </w:p>
    <w:p w:rsidR="00712D01" w:rsidRPr="00063113" w:rsidRDefault="00B5498A" w:rsidP="00712D01">
      <w:pPr>
        <w:rPr>
          <w:lang w:val="es-ES"/>
        </w:rPr>
      </w:pPr>
      <w:r w:rsidRPr="00577EC0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577EC0">
        <w:fldChar w:fldCharType="end"/>
      </w:r>
      <w:r w:rsidR="00712D01" w:rsidRPr="00063113">
        <w:rPr>
          <w:lang w:val="es-ES"/>
        </w:rPr>
        <w:tab/>
      </w:r>
      <w:r w:rsidR="00B66A76" w:rsidRPr="00C25D04">
        <w:t>En el presente documento se utilizan las abreviaturas siguientes:</w:t>
      </w:r>
    </w:p>
    <w:p w:rsidR="00712D01" w:rsidRPr="00063113" w:rsidRDefault="00712D01" w:rsidP="00712D01">
      <w:pPr>
        <w:rPr>
          <w:color w:val="000000"/>
          <w:sz w:val="16"/>
          <w:lang w:val="es-ES"/>
        </w:rPr>
      </w:pPr>
    </w:p>
    <w:p w:rsidR="00712D01" w:rsidRPr="00063113" w:rsidRDefault="00B66A76" w:rsidP="00712D01">
      <w:pPr>
        <w:ind w:left="1701" w:hanging="1134"/>
        <w:rPr>
          <w:lang w:val="es-ES"/>
        </w:rPr>
      </w:pPr>
      <w:r w:rsidRPr="00C25D04">
        <w:t>CAJ:</w:t>
      </w:r>
      <w:r w:rsidR="003B22AA" w:rsidRPr="00063113">
        <w:rPr>
          <w:lang w:val="es-ES"/>
        </w:rPr>
        <w:t xml:space="preserve"> </w:t>
      </w:r>
      <w:r w:rsidR="00712D01" w:rsidRPr="00063113">
        <w:rPr>
          <w:lang w:val="es-ES"/>
        </w:rPr>
        <w:tab/>
      </w:r>
      <w:r w:rsidRPr="00C25D04">
        <w:t>Comité Administrativo y Jurídico</w:t>
      </w:r>
      <w:r w:rsidR="00712D01" w:rsidRPr="00063113">
        <w:rPr>
          <w:lang w:val="es-ES"/>
        </w:rPr>
        <w:t xml:space="preserve"> </w:t>
      </w:r>
    </w:p>
    <w:p w:rsidR="00712D01" w:rsidRPr="00063113" w:rsidRDefault="00B66A76" w:rsidP="00712D01">
      <w:pPr>
        <w:ind w:left="1701" w:hanging="1134"/>
        <w:rPr>
          <w:lang w:val="es-ES"/>
        </w:rPr>
      </w:pPr>
      <w:r w:rsidRPr="00C25D04">
        <w:t>TC:</w:t>
      </w:r>
      <w:r w:rsidR="003B22AA" w:rsidRPr="00063113">
        <w:rPr>
          <w:lang w:val="es-ES"/>
        </w:rPr>
        <w:t xml:space="preserve"> </w:t>
      </w:r>
      <w:r w:rsidR="00712D01" w:rsidRPr="00063113">
        <w:rPr>
          <w:lang w:val="es-ES"/>
        </w:rPr>
        <w:tab/>
      </w:r>
      <w:r w:rsidRPr="00C25D04">
        <w:t>Comité Técnico</w:t>
      </w:r>
    </w:p>
    <w:p w:rsidR="00712D01" w:rsidRPr="00063113" w:rsidRDefault="00B66A76" w:rsidP="00712D01">
      <w:pPr>
        <w:ind w:left="1701" w:hanging="1134"/>
        <w:rPr>
          <w:lang w:val="es-ES"/>
        </w:rPr>
      </w:pPr>
      <w:r w:rsidRPr="00C25D04">
        <w:t>TC-EDC:</w:t>
      </w:r>
      <w:r w:rsidR="003B22AA" w:rsidRPr="00063113">
        <w:rPr>
          <w:lang w:val="es-ES"/>
        </w:rPr>
        <w:t xml:space="preserve"> </w:t>
      </w:r>
      <w:r w:rsidR="00712D01" w:rsidRPr="00063113">
        <w:rPr>
          <w:lang w:val="es-ES"/>
        </w:rPr>
        <w:tab/>
      </w:r>
      <w:r w:rsidRPr="00C25D04">
        <w:t>Comité de Redacción Ampliado</w:t>
      </w:r>
    </w:p>
    <w:p w:rsidR="00712D01" w:rsidRPr="00063113" w:rsidRDefault="00B66A76" w:rsidP="00712D01">
      <w:pPr>
        <w:ind w:left="1701" w:hanging="1134"/>
        <w:rPr>
          <w:lang w:val="es-ES"/>
        </w:rPr>
      </w:pPr>
      <w:r w:rsidRPr="00C25D04">
        <w:t>TWA:</w:t>
      </w:r>
      <w:r w:rsidR="003B22AA" w:rsidRPr="00063113">
        <w:rPr>
          <w:lang w:val="es-ES"/>
        </w:rPr>
        <w:t xml:space="preserve"> </w:t>
      </w:r>
      <w:r w:rsidR="00712D01" w:rsidRPr="00063113">
        <w:rPr>
          <w:lang w:val="es-ES"/>
        </w:rPr>
        <w:tab/>
      </w:r>
      <w:r w:rsidRPr="00C25D04">
        <w:t>Grupo de Trabajo Técnico sobre Plantas Agrícolas</w:t>
      </w:r>
    </w:p>
    <w:p w:rsidR="00712D01" w:rsidRPr="00063113" w:rsidRDefault="00B66A76" w:rsidP="00712D01">
      <w:pPr>
        <w:ind w:left="1701" w:hanging="1134"/>
        <w:rPr>
          <w:lang w:val="es-ES"/>
        </w:rPr>
      </w:pPr>
      <w:r w:rsidRPr="00C25D04">
        <w:t>TWC:</w:t>
      </w:r>
      <w:r w:rsidR="003B22AA" w:rsidRPr="00063113">
        <w:rPr>
          <w:lang w:val="es-ES"/>
        </w:rPr>
        <w:t xml:space="preserve"> </w:t>
      </w:r>
      <w:r w:rsidR="00712D01" w:rsidRPr="00063113">
        <w:rPr>
          <w:lang w:val="es-ES"/>
        </w:rPr>
        <w:tab/>
      </w:r>
      <w:r w:rsidRPr="00C25D04">
        <w:t>Grupo de Trabajo Técnico sobre Automatización y Programas Informáticos</w:t>
      </w:r>
    </w:p>
    <w:p w:rsidR="00712D01" w:rsidRPr="00063113" w:rsidRDefault="00B66A76" w:rsidP="00712D01">
      <w:pPr>
        <w:ind w:left="1701" w:hanging="1134"/>
        <w:rPr>
          <w:lang w:val="es-ES"/>
        </w:rPr>
      </w:pPr>
      <w:r w:rsidRPr="00C25D04">
        <w:t>TWF:</w:t>
      </w:r>
      <w:r w:rsidR="003B22AA" w:rsidRPr="00063113">
        <w:rPr>
          <w:lang w:val="es-ES"/>
        </w:rPr>
        <w:t xml:space="preserve"> </w:t>
      </w:r>
      <w:r w:rsidR="00712D01" w:rsidRPr="00063113">
        <w:rPr>
          <w:lang w:val="es-ES"/>
        </w:rPr>
        <w:tab/>
      </w:r>
      <w:r w:rsidRPr="00C25D04">
        <w:t>Grupo de Trabajo Técnico sobre Plantas Frutales</w:t>
      </w:r>
      <w:r w:rsidR="00712D01" w:rsidRPr="00063113">
        <w:rPr>
          <w:lang w:val="es-ES"/>
        </w:rPr>
        <w:t xml:space="preserve"> </w:t>
      </w:r>
    </w:p>
    <w:p w:rsidR="00712D01" w:rsidRPr="00063113" w:rsidRDefault="00B66A76" w:rsidP="00712D01">
      <w:pPr>
        <w:ind w:left="1701" w:hanging="1134"/>
        <w:rPr>
          <w:lang w:val="es-ES"/>
        </w:rPr>
      </w:pPr>
      <w:r w:rsidRPr="00C25D04">
        <w:t>TWO:</w:t>
      </w:r>
      <w:r w:rsidR="003B22AA" w:rsidRPr="00063113">
        <w:rPr>
          <w:lang w:val="es-ES"/>
        </w:rPr>
        <w:t xml:space="preserve"> </w:t>
      </w:r>
      <w:r w:rsidR="00712D01" w:rsidRPr="00063113">
        <w:rPr>
          <w:lang w:val="es-ES"/>
        </w:rPr>
        <w:tab/>
      </w:r>
      <w:r w:rsidRPr="00C25D04">
        <w:t>Grupo de Trabajo Técnico sobre Plantas Ornamentales y Árboles Forestales</w:t>
      </w:r>
      <w:r w:rsidR="00712D01" w:rsidRPr="00063113">
        <w:rPr>
          <w:lang w:val="es-ES"/>
        </w:rPr>
        <w:t xml:space="preserve"> </w:t>
      </w:r>
    </w:p>
    <w:p w:rsidR="00712D01" w:rsidRPr="00063113" w:rsidRDefault="00B66A76" w:rsidP="00712D01">
      <w:pPr>
        <w:ind w:left="1701" w:hanging="1134"/>
        <w:rPr>
          <w:color w:val="000000"/>
          <w:lang w:val="es-ES"/>
        </w:rPr>
      </w:pPr>
      <w:r w:rsidRPr="00C25D04">
        <w:rPr>
          <w:color w:val="000000"/>
        </w:rPr>
        <w:t>TWP:</w:t>
      </w:r>
      <w:r w:rsidR="00712D01" w:rsidRPr="00063113">
        <w:rPr>
          <w:color w:val="000000"/>
          <w:lang w:val="es-ES"/>
        </w:rPr>
        <w:tab/>
      </w:r>
      <w:r w:rsidRPr="00C25D04">
        <w:rPr>
          <w:color w:val="000000"/>
        </w:rPr>
        <w:t>Grupos de Trabajo Técnico</w:t>
      </w:r>
    </w:p>
    <w:p w:rsidR="00712D01" w:rsidRPr="00063113" w:rsidRDefault="00B66A76" w:rsidP="00712D01">
      <w:pPr>
        <w:ind w:left="1701" w:hanging="1134"/>
        <w:rPr>
          <w:lang w:val="es-ES"/>
        </w:rPr>
      </w:pPr>
      <w:r w:rsidRPr="00C25D04">
        <w:t>TWV:</w:t>
      </w:r>
      <w:r w:rsidR="003B22AA" w:rsidRPr="00063113">
        <w:rPr>
          <w:lang w:val="es-ES"/>
        </w:rPr>
        <w:t xml:space="preserve"> </w:t>
      </w:r>
      <w:r w:rsidR="00712D01" w:rsidRPr="00063113">
        <w:rPr>
          <w:lang w:val="es-ES"/>
        </w:rPr>
        <w:tab/>
      </w:r>
      <w:r w:rsidRPr="00C25D04">
        <w:t>Grupo de Trabajo Técnico sobre Hortalizas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712D01" w:rsidP="00712D01">
      <w:pPr>
        <w:jc w:val="left"/>
        <w:rPr>
          <w:rFonts w:eastAsia="MS Mincho"/>
          <w:caps/>
          <w:lang w:val="es-ES" w:eastAsia="ja-JP"/>
        </w:rPr>
      </w:pPr>
      <w:bookmarkStart w:id="3" w:name="_Toc484625147"/>
      <w:bookmarkStart w:id="4" w:name="_Toc503881394"/>
      <w:bookmarkStart w:id="5" w:name="_Toc504464834"/>
      <w:bookmarkStart w:id="6" w:name="_Toc525661373"/>
      <w:bookmarkStart w:id="7" w:name="_Toc525721993"/>
    </w:p>
    <w:p w:rsidR="00712D01" w:rsidRPr="00063113" w:rsidRDefault="00B66A76" w:rsidP="00712D01">
      <w:pPr>
        <w:pStyle w:val="Heading1"/>
        <w:rPr>
          <w:rFonts w:eastAsia="MS Mincho"/>
          <w:lang w:val="es-ES" w:eastAsia="ja-JP"/>
        </w:rPr>
      </w:pPr>
      <w:bookmarkStart w:id="8" w:name="_Toc526338549"/>
      <w:bookmarkEnd w:id="3"/>
      <w:bookmarkEnd w:id="4"/>
      <w:bookmarkEnd w:id="5"/>
      <w:bookmarkEnd w:id="6"/>
      <w:bookmarkEnd w:id="7"/>
      <w:r w:rsidRPr="00C25D04">
        <w:rPr>
          <w:rFonts w:eastAsia="MS Mincho"/>
          <w:lang w:val="es-ES_tradnl" w:eastAsia="ja-JP"/>
        </w:rPr>
        <w:lastRenderedPageBreak/>
        <w:t>ANTECEDENTES</w:t>
      </w:r>
      <w:bookmarkEnd w:id="8"/>
    </w:p>
    <w:p w:rsidR="00712D01" w:rsidRPr="00063113" w:rsidRDefault="00712D01" w:rsidP="00712D01">
      <w:pPr>
        <w:keepNext/>
        <w:rPr>
          <w:rFonts w:eastAsia="PMingLiU"/>
          <w:lang w:val="es-ES"/>
        </w:rPr>
      </w:pPr>
    </w:p>
    <w:p w:rsidR="00712D01" w:rsidRPr="00063113" w:rsidRDefault="00B5498A" w:rsidP="00712D01">
      <w:pPr>
        <w:rPr>
          <w:rFonts w:eastAsia="PMingLiU"/>
          <w:lang w:val="es-ES"/>
        </w:rPr>
      </w:pPr>
      <w:r w:rsidRPr="00245109">
        <w:rPr>
          <w:rFonts w:eastAsia="PMingLiU"/>
          <w:lang w:val="en-GB"/>
        </w:rPr>
        <w:fldChar w:fldCharType="begin"/>
      </w:r>
      <w:r w:rsidR="00712D01" w:rsidRPr="00063113">
        <w:rPr>
          <w:rFonts w:eastAsia="PMingLiU"/>
          <w:lang w:val="es-ES"/>
        </w:rPr>
        <w:instrText xml:space="preserve"> AUTONUM  </w:instrText>
      </w:r>
      <w:r w:rsidRPr="00245109">
        <w:rPr>
          <w:rFonts w:eastAsia="PMingLiU"/>
          <w:lang w:val="en-GB"/>
        </w:rPr>
        <w:fldChar w:fldCharType="end"/>
      </w:r>
      <w:r w:rsidR="00712D01" w:rsidRPr="00063113">
        <w:rPr>
          <w:rFonts w:eastAsia="PMingLiU"/>
          <w:lang w:val="es-ES"/>
        </w:rPr>
        <w:tab/>
      </w:r>
      <w:r w:rsidR="00654C6F" w:rsidRPr="000E0765">
        <w:rPr>
          <w:rFonts w:eastAsia="PMingLiU"/>
        </w:rPr>
        <w:t>En su quincuagésima tercera sesión</w:t>
      </w:r>
      <w:r w:rsidR="00EA5006" w:rsidRPr="000E0765">
        <w:rPr>
          <w:rFonts w:eastAsia="PMingLiU"/>
        </w:rPr>
        <w:t xml:space="preserve">, </w:t>
      </w:r>
      <w:r w:rsidR="00654C6F" w:rsidRPr="000E0765">
        <w:rPr>
          <w:rFonts w:eastAsia="PMingLiU"/>
        </w:rPr>
        <w:t>celebrada en Ginebra del</w:t>
      </w:r>
      <w:r w:rsidR="00EA5006" w:rsidRPr="000E0765">
        <w:rPr>
          <w:rFonts w:eastAsia="PMingLiU"/>
        </w:rPr>
        <w:t> 3</w:t>
      </w:r>
      <w:r w:rsidR="00654C6F" w:rsidRPr="000E0765">
        <w:rPr>
          <w:rFonts w:eastAsia="PMingLiU"/>
        </w:rPr>
        <w:t xml:space="preserve"> al</w:t>
      </w:r>
      <w:r w:rsidR="00EA5006" w:rsidRPr="000E0765">
        <w:rPr>
          <w:rFonts w:eastAsia="PMingLiU"/>
        </w:rPr>
        <w:t> 5</w:t>
      </w:r>
      <w:r w:rsidR="00654C6F" w:rsidRPr="000E0765">
        <w:rPr>
          <w:rFonts w:eastAsia="PMingLiU"/>
        </w:rPr>
        <w:t xml:space="preserve"> de abril de</w:t>
      </w:r>
      <w:r w:rsidR="00EA5006" w:rsidRPr="000E0765">
        <w:rPr>
          <w:rFonts w:eastAsia="PMingLiU"/>
        </w:rPr>
        <w:t> 2</w:t>
      </w:r>
      <w:r w:rsidR="00654C6F" w:rsidRPr="000E0765">
        <w:rPr>
          <w:rFonts w:eastAsia="PMingLiU"/>
        </w:rPr>
        <w:t>017</w:t>
      </w:r>
      <w:r w:rsidR="00EA5006" w:rsidRPr="000E0765">
        <w:rPr>
          <w:rFonts w:eastAsia="PMingLiU"/>
        </w:rPr>
        <w:t xml:space="preserve">, </w:t>
      </w:r>
      <w:r w:rsidR="00654C6F" w:rsidRPr="000E0765">
        <w:rPr>
          <w:rFonts w:eastAsia="PMingLiU"/>
        </w:rPr>
        <w:t xml:space="preserve">el TC examinó el </w:t>
      </w:r>
      <w:r w:rsidR="00B66A76" w:rsidRPr="000E0765">
        <w:rPr>
          <w:rFonts w:eastAsia="PMingLiU"/>
        </w:rPr>
        <w:t xml:space="preserve">documento TC/53/19 </w:t>
      </w:r>
      <w:r w:rsidR="00B66A76" w:rsidRPr="000E0765">
        <w:t>“</w:t>
      </w:r>
      <w:r w:rsidR="0026260B" w:rsidRPr="000E0765">
        <w:t>Revisión del documento TGP/10: nueva sección: Evaluación de la homogeneidad de las plantas fuera de tipo mediante la observación de más de un ciclo de cultivo o mediante la observación de submuestras</w:t>
      </w:r>
      <w:r w:rsidR="00B66A76" w:rsidRPr="000E0765">
        <w:t xml:space="preserve">” y </w:t>
      </w:r>
      <w:r w:rsidR="00F17E0D" w:rsidRPr="000E0765">
        <w:rPr>
          <w:rFonts w:eastAsia="PMingLiU"/>
        </w:rPr>
        <w:t>convino en que</w:t>
      </w:r>
      <w:r w:rsidR="00EA5006" w:rsidRPr="000E0765">
        <w:rPr>
          <w:rFonts w:eastAsia="PMingLiU"/>
        </w:rPr>
        <w:t xml:space="preserve">, </w:t>
      </w:r>
      <w:r w:rsidR="00F17E0D" w:rsidRPr="000E0765">
        <w:rPr>
          <w:rFonts w:eastAsia="PMingLiU"/>
        </w:rPr>
        <w:t>junto con la revisión del documento TGP/10</w:t>
      </w:r>
      <w:r w:rsidR="00EA5006" w:rsidRPr="000E0765">
        <w:rPr>
          <w:rFonts w:eastAsia="PMingLiU"/>
        </w:rPr>
        <w:t xml:space="preserve">, </w:t>
      </w:r>
      <w:r w:rsidR="00F17E0D" w:rsidRPr="000E0765">
        <w:rPr>
          <w:rFonts w:eastAsia="PMingLiU"/>
        </w:rPr>
        <w:t xml:space="preserve">se debe revisar la orientación que figura en el </w:t>
      </w:r>
      <w:r w:rsidR="00B66A76" w:rsidRPr="000E0765">
        <w:rPr>
          <w:rFonts w:eastAsia="PMingLiU"/>
        </w:rPr>
        <w:t xml:space="preserve">documento TGP/8/2: </w:t>
      </w:r>
      <w:r w:rsidR="00D92100" w:rsidRPr="000E0765">
        <w:rPr>
          <w:rFonts w:eastAsia="PMingLiU"/>
        </w:rPr>
        <w:t>parte </w:t>
      </w:r>
      <w:r w:rsidR="00B66A76" w:rsidRPr="000E0765">
        <w:rPr>
          <w:rFonts w:eastAsia="PMingLiU"/>
        </w:rPr>
        <w:t xml:space="preserve">II: </w:t>
      </w:r>
      <w:r w:rsidR="00D92100" w:rsidRPr="000E0765">
        <w:rPr>
          <w:rFonts w:eastAsia="PMingLiU"/>
        </w:rPr>
        <w:t>sección</w:t>
      </w:r>
      <w:r w:rsidR="00EA5006" w:rsidRPr="000E0765">
        <w:rPr>
          <w:rFonts w:eastAsia="PMingLiU"/>
        </w:rPr>
        <w:t> 8</w:t>
      </w:r>
      <w:r w:rsidR="00B66A76" w:rsidRPr="000E0765">
        <w:rPr>
          <w:rFonts w:eastAsia="PMingLiU"/>
        </w:rPr>
        <w:t xml:space="preserve"> “</w:t>
      </w:r>
      <w:r w:rsidR="00D92100" w:rsidRPr="000E0765">
        <w:rPr>
          <w:rFonts w:eastAsia="PMingLiU"/>
        </w:rPr>
        <w:t>Método de evaluación de la homogeneidad sobre la base de las plantas fuera de tipo</w:t>
      </w:r>
      <w:r w:rsidR="00B66A76" w:rsidRPr="000E0765">
        <w:rPr>
          <w:rFonts w:eastAsia="PMingLiU"/>
        </w:rPr>
        <w:t xml:space="preserve">” </w:t>
      </w:r>
      <w:r w:rsidR="00D92100" w:rsidRPr="000E0765">
        <w:rPr>
          <w:rFonts w:eastAsia="PMingLiU"/>
        </w:rPr>
        <w:t xml:space="preserve">a fin de que incluya los métodos que normalmente se aplican en los miembros de la Unión cuando se efectúa más de un examen único (anual) </w:t>
      </w:r>
      <w:r w:rsidR="00B66A76" w:rsidRPr="000E0765">
        <w:rPr>
          <w:rFonts w:eastAsia="PMingLiU"/>
        </w:rPr>
        <w:t>(véase el párrafo</w:t>
      </w:r>
      <w:r w:rsidR="00EA5006" w:rsidRPr="000E0765">
        <w:rPr>
          <w:rFonts w:eastAsia="PMingLiU"/>
        </w:rPr>
        <w:t> 1</w:t>
      </w:r>
      <w:r w:rsidR="00B66A76" w:rsidRPr="000E0765">
        <w:rPr>
          <w:rFonts w:eastAsia="PMingLiU"/>
        </w:rPr>
        <w:t xml:space="preserve">25 del documento TC/53/31 </w:t>
      </w:r>
      <w:r w:rsidR="00B66A76" w:rsidRPr="000E0765">
        <w:rPr>
          <w:rFonts w:eastAsia="MS Mincho" w:cs="Arial"/>
          <w:lang w:eastAsia="ja-JP"/>
        </w:rPr>
        <w:t>“</w:t>
      </w:r>
      <w:r w:rsidR="005E4ED5" w:rsidRPr="000E0765">
        <w:rPr>
          <w:rFonts w:eastAsia="MS Mincho" w:cs="Arial"/>
          <w:lang w:eastAsia="ja-JP"/>
        </w:rPr>
        <w:t>Informe</w:t>
      </w:r>
      <w:r w:rsidR="00B66A76" w:rsidRPr="000E0765">
        <w:rPr>
          <w:rFonts w:eastAsia="MS Mincho" w:cs="Arial"/>
          <w:lang w:eastAsia="ja-JP"/>
        </w:rPr>
        <w:t>”</w:t>
      </w:r>
      <w:r w:rsidR="00B66A76" w:rsidRPr="000E0765">
        <w:rPr>
          <w:rFonts w:eastAsia="PMingLiU"/>
        </w:rPr>
        <w:t>).</w:t>
      </w:r>
    </w:p>
    <w:p w:rsidR="00712D01" w:rsidRPr="00063113" w:rsidRDefault="00712D01" w:rsidP="00712D01">
      <w:pPr>
        <w:rPr>
          <w:rFonts w:eastAsia="PMingLiU"/>
          <w:lang w:val="es-ES"/>
        </w:rPr>
      </w:pPr>
    </w:p>
    <w:p w:rsidR="00712D01" w:rsidRPr="00063113" w:rsidRDefault="005301A1" w:rsidP="00712D01">
      <w:pPr>
        <w:pStyle w:val="Heading2"/>
        <w:rPr>
          <w:rFonts w:eastAsia="PMingLiU"/>
          <w:lang w:val="es-ES"/>
        </w:rPr>
      </w:pPr>
      <w:bookmarkStart w:id="9" w:name="_Toc526338550"/>
      <w:r w:rsidRPr="000E0765">
        <w:rPr>
          <w:rFonts w:eastAsia="PMingLiU"/>
          <w:lang w:val="es-ES_tradnl"/>
        </w:rPr>
        <w:t xml:space="preserve">Orientación </w:t>
      </w:r>
      <w:r w:rsidR="000E0765" w:rsidRPr="000E0765">
        <w:rPr>
          <w:snapToGrid w:val="0"/>
          <w:lang w:val="es-ES_tradnl"/>
        </w:rPr>
        <w:t>que figura</w:t>
      </w:r>
      <w:r w:rsidR="000E0765" w:rsidRPr="000E0765">
        <w:rPr>
          <w:rFonts w:eastAsia="PMingLiU"/>
          <w:lang w:val="es-ES_tradnl"/>
        </w:rPr>
        <w:t xml:space="preserve"> </w:t>
      </w:r>
      <w:r w:rsidR="00640903" w:rsidRPr="000E0765">
        <w:rPr>
          <w:rFonts w:eastAsia="PMingLiU"/>
          <w:lang w:val="es-ES_tradnl"/>
        </w:rPr>
        <w:t>actualmente en el documento TGP/8</w:t>
      </w:r>
      <w:bookmarkEnd w:id="9"/>
    </w:p>
    <w:p w:rsidR="00712D01" w:rsidRPr="00063113" w:rsidRDefault="00712D01" w:rsidP="00712D01">
      <w:pPr>
        <w:keepNext/>
        <w:keepLines/>
        <w:rPr>
          <w:rFonts w:eastAsia="PMingLiU"/>
          <w:lang w:val="es-ES"/>
        </w:rPr>
      </w:pPr>
    </w:p>
    <w:p w:rsidR="00712D01" w:rsidRPr="00063113" w:rsidRDefault="00B5498A" w:rsidP="00712D01">
      <w:pPr>
        <w:keepNext/>
        <w:keepLines/>
        <w:rPr>
          <w:snapToGrid w:val="0"/>
          <w:lang w:val="es-ES"/>
        </w:rPr>
      </w:pPr>
      <w:r w:rsidRPr="00245109">
        <w:rPr>
          <w:snapToGrid w:val="0"/>
          <w:lang w:val="en-GB"/>
        </w:rPr>
        <w:fldChar w:fldCharType="begin"/>
      </w:r>
      <w:r w:rsidR="00712D01" w:rsidRPr="00063113">
        <w:rPr>
          <w:snapToGrid w:val="0"/>
          <w:lang w:val="es-ES"/>
        </w:rPr>
        <w:instrText xml:space="preserve"> AUTONUM  </w:instrText>
      </w:r>
      <w:r w:rsidRPr="00245109">
        <w:rPr>
          <w:snapToGrid w:val="0"/>
          <w:lang w:val="en-GB"/>
        </w:rPr>
        <w:fldChar w:fldCharType="end"/>
      </w:r>
      <w:r w:rsidR="00712D01" w:rsidRPr="00063113">
        <w:rPr>
          <w:snapToGrid w:val="0"/>
          <w:lang w:val="es-ES"/>
        </w:rPr>
        <w:tab/>
      </w:r>
      <w:r w:rsidR="00640903" w:rsidRPr="000E0765">
        <w:rPr>
          <w:snapToGrid w:val="0"/>
        </w:rPr>
        <w:t xml:space="preserve">El Anexo I del presente documento contiene la orientación </w:t>
      </w:r>
      <w:r w:rsidR="000E0765" w:rsidRPr="000E0765">
        <w:rPr>
          <w:snapToGrid w:val="0"/>
        </w:rPr>
        <w:t xml:space="preserve">que figura </w:t>
      </w:r>
      <w:r w:rsidR="00640903" w:rsidRPr="000E0765">
        <w:rPr>
          <w:snapToGrid w:val="0"/>
        </w:rPr>
        <w:t>actualmente en el documento TGP/8: parte II: sección</w:t>
      </w:r>
      <w:r w:rsidR="00EA5006" w:rsidRPr="000E0765">
        <w:rPr>
          <w:snapToGrid w:val="0"/>
        </w:rPr>
        <w:t> 8</w:t>
      </w:r>
      <w:r w:rsidR="00640903" w:rsidRPr="000E0765">
        <w:rPr>
          <w:snapToGrid w:val="0"/>
        </w:rPr>
        <w:t xml:space="preserve"> “Método de evaluación de la homogeneidad sobre la base de las plantas fuera de tipo”: subsección</w:t>
      </w:r>
      <w:r w:rsidR="00EA5006" w:rsidRPr="000E0765">
        <w:rPr>
          <w:snapToGrid w:val="0"/>
        </w:rPr>
        <w:t> 8</w:t>
      </w:r>
      <w:r w:rsidR="00640903" w:rsidRPr="000E0765">
        <w:rPr>
          <w:snapToGrid w:val="0"/>
        </w:rPr>
        <w:t>.1.7 “Método aplicado a más de un examen único (anual)”.</w:t>
      </w:r>
      <w:r w:rsidR="00712D01" w:rsidRPr="00063113">
        <w:rPr>
          <w:snapToGrid w:val="0"/>
          <w:lang w:val="es-ES"/>
        </w:rPr>
        <w:t xml:space="preserve"> 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640903" w:rsidP="00712D01">
      <w:pPr>
        <w:pStyle w:val="Heading1"/>
        <w:rPr>
          <w:lang w:val="es-ES"/>
        </w:rPr>
      </w:pPr>
      <w:bookmarkStart w:id="10" w:name="_Toc526338551"/>
      <w:r w:rsidRPr="000E0765">
        <w:rPr>
          <w:lang w:val="es-ES_tradnl"/>
        </w:rPr>
        <w:t>EXAMEN POR EL COMITÉ DE REDACCIÓN AMPLIADO</w:t>
      </w:r>
      <w:bookmarkEnd w:id="10"/>
    </w:p>
    <w:p w:rsidR="00712D01" w:rsidRPr="00063113" w:rsidRDefault="00712D01" w:rsidP="00712D01">
      <w:pPr>
        <w:rPr>
          <w:rFonts w:cs="Arial"/>
          <w:iCs/>
          <w:lang w:val="es-ES"/>
        </w:rPr>
      </w:pPr>
    </w:p>
    <w:p w:rsidR="00712D01" w:rsidRPr="00063113" w:rsidRDefault="00B5498A" w:rsidP="00712D01">
      <w:pPr>
        <w:keepNext/>
        <w:rPr>
          <w:lang w:val="es-ES"/>
        </w:rPr>
      </w:pPr>
      <w:r w:rsidRPr="000279A4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0279A4">
        <w:fldChar w:fldCharType="end"/>
      </w:r>
      <w:r w:rsidR="00712D01" w:rsidRPr="00063113">
        <w:rPr>
          <w:lang w:val="es-ES"/>
        </w:rPr>
        <w:tab/>
      </w:r>
      <w:r w:rsidR="005F0D68" w:rsidRPr="00194B0B">
        <w:t>En su trigésima cuarta sesión extraordinaria</w:t>
      </w:r>
      <w:r w:rsidR="00EA5006" w:rsidRPr="00194B0B">
        <w:t xml:space="preserve">, </w:t>
      </w:r>
      <w:r w:rsidR="005F0D68" w:rsidRPr="00194B0B">
        <w:t>celebrada en Ginebra el</w:t>
      </w:r>
      <w:r w:rsidR="00EA5006" w:rsidRPr="00194B0B">
        <w:t> 6</w:t>
      </w:r>
      <w:r w:rsidR="005F0D68" w:rsidRPr="00194B0B">
        <w:t xml:space="preserve"> de abril de</w:t>
      </w:r>
      <w:r w:rsidR="00EA5006" w:rsidRPr="00194B0B">
        <w:t> 2</w:t>
      </w:r>
      <w:r w:rsidR="005F0D68" w:rsidRPr="00194B0B">
        <w:t>017</w:t>
      </w:r>
      <w:r w:rsidR="00EA5006" w:rsidRPr="00194B0B">
        <w:t xml:space="preserve">, </w:t>
      </w:r>
      <w:r w:rsidR="005F0D68" w:rsidRPr="00194B0B">
        <w:t>el Consejo decidió que</w:t>
      </w:r>
      <w:r w:rsidR="00EA5006" w:rsidRPr="00194B0B">
        <w:t xml:space="preserve">, </w:t>
      </w:r>
      <w:r w:rsidR="005F0D68" w:rsidRPr="00194B0B">
        <w:t>a partir de</w:t>
      </w:r>
      <w:r w:rsidR="00EA5006" w:rsidRPr="00194B0B">
        <w:t> 2</w:t>
      </w:r>
      <w:r w:rsidR="005F0D68" w:rsidRPr="00194B0B">
        <w:t>018</w:t>
      </w:r>
      <w:r w:rsidR="00EA5006" w:rsidRPr="00194B0B">
        <w:t xml:space="preserve">, </w:t>
      </w:r>
      <w:r w:rsidR="005F0D68" w:rsidRPr="00194B0B">
        <w:t>se organice una única serie de sesiones entre octubre y noviembre (véanse los párrafos</w:t>
      </w:r>
      <w:r w:rsidR="00EA5006" w:rsidRPr="00194B0B">
        <w:t> 1</w:t>
      </w:r>
      <w:r w:rsidR="005F0D68" w:rsidRPr="00194B0B">
        <w:t>2 a</w:t>
      </w:r>
      <w:r w:rsidR="00EA5006" w:rsidRPr="00194B0B">
        <w:t> 1</w:t>
      </w:r>
      <w:r w:rsidR="005F0D68" w:rsidRPr="00194B0B">
        <w:t>4 del documento C(Extr.)/34/6 “Informe sobre las decisiones”).</w:t>
      </w:r>
      <w:r w:rsidR="003B22AA" w:rsidRPr="00063113">
        <w:rPr>
          <w:lang w:val="es-ES"/>
        </w:rPr>
        <w:t xml:space="preserve"> </w:t>
      </w:r>
      <w:r w:rsidR="005F0D68" w:rsidRPr="00194B0B">
        <w:t>A partir de</w:t>
      </w:r>
      <w:r w:rsidR="00EA5006" w:rsidRPr="00194B0B">
        <w:t> 2</w:t>
      </w:r>
      <w:r w:rsidR="005F0D68" w:rsidRPr="00194B0B">
        <w:t>018</w:t>
      </w:r>
      <w:r w:rsidR="00EA5006" w:rsidRPr="00194B0B">
        <w:t xml:space="preserve">, </w:t>
      </w:r>
      <w:r w:rsidR="005F0D68" w:rsidRPr="00194B0B">
        <w:t>las reuniones del TC tendrán lugar entre octubre y noviembre en lugar de entre marzo y abril.</w:t>
      </w:r>
      <w:r w:rsidR="00712D01" w:rsidRPr="00063113">
        <w:rPr>
          <w:lang w:val="es-ES"/>
        </w:rPr>
        <w:t xml:space="preserve"> </w:t>
      </w:r>
      <w:r w:rsidR="005F0D68" w:rsidRPr="00194B0B">
        <w:t xml:space="preserve">El </w:t>
      </w:r>
      <w:r w:rsidR="005F0D68" w:rsidRPr="00194B0B">
        <w:rPr>
          <w:rFonts w:cs="Arial"/>
          <w:iCs/>
          <w:snapToGrid w:val="0"/>
        </w:rPr>
        <w:t>TC</w:t>
      </w:r>
      <w:r w:rsidR="005F0D68" w:rsidRPr="00194B0B">
        <w:rPr>
          <w:rFonts w:cs="Arial"/>
          <w:iCs/>
          <w:snapToGrid w:val="0"/>
        </w:rPr>
        <w:noBreakHyphen/>
        <w:t>EDC</w:t>
      </w:r>
      <w:r w:rsidR="005F0D68" w:rsidRPr="00194B0B">
        <w:t xml:space="preserve"> celebrará dos reuniones al año: una en marzo/abril y otra en paralelo a las sesiones del TC que tienen lugar en un período posterior del mismo año.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B5498A" w:rsidP="00712D01">
      <w:pPr>
        <w:rPr>
          <w:rFonts w:cs="Arial"/>
          <w:iCs/>
          <w:snapToGrid w:val="0"/>
          <w:lang w:val="es-ES"/>
        </w:rPr>
      </w:pPr>
      <w:r w:rsidRPr="000279A4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0279A4">
        <w:fldChar w:fldCharType="end"/>
      </w:r>
      <w:r w:rsidR="00712D01" w:rsidRPr="00063113">
        <w:rPr>
          <w:lang w:val="es-ES"/>
        </w:rPr>
        <w:tab/>
      </w:r>
      <w:r w:rsidR="00583D05" w:rsidRPr="00194B0B">
        <w:t xml:space="preserve">Basándose en </w:t>
      </w:r>
      <w:r w:rsidR="005F0D68" w:rsidRPr="00194B0B">
        <w:t>la recomendación del Comité Consultivo</w:t>
      </w:r>
      <w:r w:rsidR="00EA5006" w:rsidRPr="00194B0B">
        <w:t xml:space="preserve">, </w:t>
      </w:r>
      <w:r w:rsidR="005F0D68" w:rsidRPr="00194B0B">
        <w:t>el Consejo decidió aprobar las propuestas</w:t>
      </w:r>
      <w:r w:rsidR="00EA5006" w:rsidRPr="00194B0B">
        <w:t xml:space="preserve">, </w:t>
      </w:r>
      <w:r w:rsidR="005F0D68" w:rsidRPr="00194B0B">
        <w:t>formuladas por el TC en su quincuagésima tercera sesión</w:t>
      </w:r>
      <w:r w:rsidR="00EA5006" w:rsidRPr="00194B0B">
        <w:t xml:space="preserve">, </w:t>
      </w:r>
      <w:r w:rsidR="005F0D68" w:rsidRPr="00194B0B">
        <w:t>de adoptar medidas coyunturales para el período de transición hasta que se celebre la quincuagésima cuarta sesión del TC en octubre de 2018;</w:t>
      </w:r>
      <w:r w:rsidR="00712D01" w:rsidRPr="00063113">
        <w:rPr>
          <w:lang w:val="es-ES"/>
        </w:rPr>
        <w:t xml:space="preserve"> </w:t>
      </w:r>
      <w:r w:rsidR="00583D05" w:rsidRPr="00194B0B">
        <w:rPr>
          <w:rFonts w:cs="Arial"/>
          <w:iCs/>
          <w:snapToGrid w:val="0"/>
        </w:rPr>
        <w:t>en el caso de los documentos TGP</w:t>
      </w:r>
      <w:r w:rsidR="00EA5006" w:rsidRPr="00194B0B">
        <w:rPr>
          <w:rFonts w:cs="Arial"/>
          <w:iCs/>
          <w:snapToGrid w:val="0"/>
        </w:rPr>
        <w:t xml:space="preserve">, </w:t>
      </w:r>
      <w:r w:rsidR="00583D05" w:rsidRPr="00194B0B">
        <w:rPr>
          <w:rFonts w:cs="Arial"/>
          <w:iCs/>
          <w:snapToGrid w:val="0"/>
        </w:rPr>
        <w:t>el TC</w:t>
      </w:r>
      <w:r w:rsidR="00583D05" w:rsidRPr="00194B0B">
        <w:rPr>
          <w:rFonts w:cs="Arial"/>
          <w:iCs/>
          <w:snapToGrid w:val="0"/>
        </w:rPr>
        <w:noBreakHyphen/>
        <w:t>EDC agrupará los comentarios formulados por los TWP en sus reuniones de</w:t>
      </w:r>
      <w:r w:rsidR="00EA5006" w:rsidRPr="00194B0B">
        <w:rPr>
          <w:rFonts w:cs="Arial"/>
          <w:iCs/>
          <w:snapToGrid w:val="0"/>
        </w:rPr>
        <w:t> 2</w:t>
      </w:r>
      <w:r w:rsidR="00583D05" w:rsidRPr="00194B0B">
        <w:rPr>
          <w:rFonts w:cs="Arial"/>
          <w:iCs/>
          <w:snapToGrid w:val="0"/>
        </w:rPr>
        <w:t>017 y</w:t>
      </w:r>
      <w:r w:rsidR="00EA5006" w:rsidRPr="00194B0B">
        <w:rPr>
          <w:rFonts w:cs="Arial"/>
          <w:iCs/>
          <w:snapToGrid w:val="0"/>
        </w:rPr>
        <w:t xml:space="preserve">, </w:t>
      </w:r>
      <w:r w:rsidR="00583D05" w:rsidRPr="00194B0B">
        <w:rPr>
          <w:rFonts w:cs="Arial"/>
          <w:iCs/>
          <w:snapToGrid w:val="0"/>
        </w:rPr>
        <w:t>si no existe consenso entre los TWP</w:t>
      </w:r>
      <w:r w:rsidR="00EA5006" w:rsidRPr="00194B0B">
        <w:rPr>
          <w:rFonts w:cs="Arial"/>
          <w:iCs/>
          <w:snapToGrid w:val="0"/>
        </w:rPr>
        <w:t xml:space="preserve">, </w:t>
      </w:r>
      <w:r w:rsidR="00583D05" w:rsidRPr="00194B0B">
        <w:rPr>
          <w:rFonts w:cs="Arial"/>
          <w:iCs/>
          <w:snapToGrid w:val="0"/>
        </w:rPr>
        <w:t>formulará propuestas para su ulterior examen por estos grupos en sus reuniones de</w:t>
      </w:r>
      <w:r w:rsidR="00EA5006" w:rsidRPr="00194B0B">
        <w:rPr>
          <w:rFonts w:cs="Arial"/>
          <w:iCs/>
          <w:snapToGrid w:val="0"/>
        </w:rPr>
        <w:t> 2</w:t>
      </w:r>
      <w:r w:rsidR="00583D05" w:rsidRPr="00194B0B">
        <w:rPr>
          <w:rFonts w:cs="Arial"/>
          <w:iCs/>
          <w:snapToGrid w:val="0"/>
        </w:rPr>
        <w:t>018 (véanse los párrafos 12 a 14 del documento C(Extr.)/34/6 “Informe sobre las decisiones”).</w:t>
      </w:r>
      <w:r w:rsidR="003B22AA" w:rsidRPr="00063113">
        <w:rPr>
          <w:rFonts w:cs="Arial"/>
          <w:iCs/>
          <w:snapToGrid w:val="0"/>
          <w:lang w:val="es-ES"/>
        </w:rPr>
        <w:t xml:space="preserve"> 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B5498A" w:rsidP="00712D01">
      <w:pPr>
        <w:rPr>
          <w:bCs/>
          <w:lang w:val="es-ES"/>
        </w:rPr>
      </w:pPr>
      <w:r w:rsidRPr="00245109">
        <w:rPr>
          <w:bCs/>
        </w:rPr>
        <w:fldChar w:fldCharType="begin"/>
      </w:r>
      <w:r w:rsidR="00712D01" w:rsidRPr="00063113">
        <w:rPr>
          <w:bCs/>
          <w:lang w:val="es-ES"/>
        </w:rPr>
        <w:instrText xml:space="preserve"> AUTONUM  </w:instrText>
      </w:r>
      <w:r w:rsidRPr="00245109">
        <w:fldChar w:fldCharType="end"/>
      </w:r>
      <w:r w:rsidR="00712D01" w:rsidRPr="00063113">
        <w:rPr>
          <w:bCs/>
          <w:lang w:val="es-ES"/>
        </w:rPr>
        <w:tab/>
      </w:r>
      <w:r w:rsidR="008953DD" w:rsidRPr="00194B0B">
        <w:rPr>
          <w:bCs/>
        </w:rPr>
        <w:t>En su reunión celebrada en Ginebra los días</w:t>
      </w:r>
      <w:r w:rsidR="00EA5006" w:rsidRPr="00194B0B">
        <w:rPr>
          <w:bCs/>
        </w:rPr>
        <w:t> 2</w:t>
      </w:r>
      <w:r w:rsidR="008953DD" w:rsidRPr="00194B0B">
        <w:rPr>
          <w:bCs/>
        </w:rPr>
        <w:t>6 y</w:t>
      </w:r>
      <w:r w:rsidR="00EA5006" w:rsidRPr="00194B0B">
        <w:rPr>
          <w:bCs/>
        </w:rPr>
        <w:t> 2</w:t>
      </w:r>
      <w:r w:rsidR="008953DD" w:rsidRPr="00194B0B">
        <w:rPr>
          <w:bCs/>
        </w:rPr>
        <w:t>7 de marzo de</w:t>
      </w:r>
      <w:r w:rsidR="00EA5006" w:rsidRPr="00194B0B">
        <w:rPr>
          <w:bCs/>
        </w:rPr>
        <w:t> 2</w:t>
      </w:r>
      <w:r w:rsidR="008953DD" w:rsidRPr="00194B0B">
        <w:rPr>
          <w:bCs/>
        </w:rPr>
        <w:t>018</w:t>
      </w:r>
      <w:r w:rsidR="00EA5006" w:rsidRPr="00194B0B">
        <w:rPr>
          <w:bCs/>
        </w:rPr>
        <w:t xml:space="preserve">, </w:t>
      </w:r>
      <w:r w:rsidR="008953DD" w:rsidRPr="00194B0B">
        <w:rPr>
          <w:bCs/>
        </w:rPr>
        <w:t>el TC</w:t>
      </w:r>
      <w:r w:rsidR="008953DD" w:rsidRPr="00194B0B">
        <w:rPr>
          <w:bCs/>
        </w:rPr>
        <w:noBreakHyphen/>
        <w:t xml:space="preserve">EDC examinó el documento </w:t>
      </w:r>
      <w:r w:rsidR="008953DD" w:rsidRPr="00194B0B">
        <w:rPr>
          <w:rFonts w:cs="Arial"/>
          <w:bCs/>
          <w:iCs/>
          <w:snapToGrid w:val="0"/>
        </w:rPr>
        <w:t>TC</w:t>
      </w:r>
      <w:r w:rsidR="008953DD" w:rsidRPr="00194B0B">
        <w:rPr>
          <w:rFonts w:cs="Arial"/>
          <w:bCs/>
          <w:iCs/>
          <w:snapToGrid w:val="0"/>
        </w:rPr>
        <w:noBreakHyphen/>
        <w:t>EDC</w:t>
      </w:r>
      <w:r w:rsidR="008953DD" w:rsidRPr="00194B0B">
        <w:rPr>
          <w:bCs/>
        </w:rPr>
        <w:t>/Mar18/16 “</w:t>
      </w:r>
      <w:r w:rsidR="008953DD" w:rsidRPr="00063113">
        <w:rPr>
          <w:bCs/>
          <w:i/>
          <w:lang w:val="es-ES"/>
        </w:rPr>
        <w:t>Uniformity assessment on the basis of off types: method for more than one single test (year)</w:t>
      </w:r>
      <w:r w:rsidR="008953DD" w:rsidRPr="00194B0B">
        <w:rPr>
          <w:bCs/>
        </w:rPr>
        <w:t>” (Evaluación de la homogeneidad sobre la base de las plantas fuera de tipo: método aplicado a más de un examen único (anual)).</w:t>
      </w:r>
      <w:r w:rsidR="00712D01" w:rsidRPr="00063113">
        <w:rPr>
          <w:bCs/>
          <w:lang w:val="es-ES"/>
        </w:rPr>
        <w:t xml:space="preserve"> </w:t>
      </w:r>
    </w:p>
    <w:p w:rsidR="00712D01" w:rsidRPr="00063113" w:rsidRDefault="00712D01" w:rsidP="00712D01">
      <w:pPr>
        <w:rPr>
          <w:bCs/>
          <w:lang w:val="es-ES"/>
        </w:rPr>
      </w:pPr>
    </w:p>
    <w:p w:rsidR="00712D01" w:rsidRPr="00063113" w:rsidRDefault="00B5498A" w:rsidP="00712D01">
      <w:pPr>
        <w:rPr>
          <w:bCs/>
          <w:lang w:val="es-ES"/>
        </w:rPr>
      </w:pPr>
      <w:r w:rsidRPr="00245109">
        <w:rPr>
          <w:bCs/>
        </w:rPr>
        <w:fldChar w:fldCharType="begin"/>
      </w:r>
      <w:r w:rsidR="00712D01" w:rsidRPr="00063113">
        <w:rPr>
          <w:bCs/>
          <w:lang w:val="es-ES"/>
        </w:rPr>
        <w:instrText xml:space="preserve"> AUTONUM  </w:instrText>
      </w:r>
      <w:r w:rsidRPr="00245109">
        <w:fldChar w:fldCharType="end"/>
      </w:r>
      <w:r w:rsidR="00712D01" w:rsidRPr="00063113">
        <w:rPr>
          <w:bCs/>
          <w:lang w:val="es-ES"/>
        </w:rPr>
        <w:tab/>
      </w:r>
      <w:r w:rsidR="00AC6E2D" w:rsidRPr="00194B0B">
        <w:rPr>
          <w:bCs/>
        </w:rPr>
        <w:t>El TC-EDC acordó invitar al experto del Reino Unido a que redacte una propuesta de revisión de la orientación que figura en el documento TGP/8/2: parte II: sección</w:t>
      </w:r>
      <w:r w:rsidR="00EA5006" w:rsidRPr="00194B0B">
        <w:rPr>
          <w:bCs/>
        </w:rPr>
        <w:t> 8</w:t>
      </w:r>
      <w:r w:rsidR="00AC6E2D" w:rsidRPr="00194B0B">
        <w:rPr>
          <w:bCs/>
        </w:rPr>
        <w:t>: subsección</w:t>
      </w:r>
      <w:r w:rsidR="00EA5006" w:rsidRPr="00194B0B">
        <w:rPr>
          <w:bCs/>
        </w:rPr>
        <w:t> 8</w:t>
      </w:r>
      <w:r w:rsidR="00AC6E2D" w:rsidRPr="00194B0B">
        <w:rPr>
          <w:bCs/>
        </w:rPr>
        <w:t xml:space="preserve">.1.7 “Método aplicado a más de un examen único (anual)” </w:t>
      </w:r>
      <w:r w:rsidR="005C4BB0" w:rsidRPr="00194B0B">
        <w:rPr>
          <w:bCs/>
        </w:rPr>
        <w:t>a fin de que</w:t>
      </w:r>
      <w:r w:rsidR="00AC6E2D" w:rsidRPr="00194B0B">
        <w:rPr>
          <w:bCs/>
        </w:rPr>
        <w:t xml:space="preserve"> los TWP</w:t>
      </w:r>
      <w:r w:rsidR="005C4BB0" w:rsidRPr="00194B0B">
        <w:rPr>
          <w:bCs/>
        </w:rPr>
        <w:t xml:space="preserve"> la examinen</w:t>
      </w:r>
      <w:r w:rsidR="00AC6E2D" w:rsidRPr="00194B0B">
        <w:rPr>
          <w:bCs/>
        </w:rPr>
        <w:t xml:space="preserve"> en sus sesiones de</w:t>
      </w:r>
      <w:r w:rsidR="00EA5006" w:rsidRPr="00194B0B">
        <w:rPr>
          <w:bCs/>
        </w:rPr>
        <w:t> 2</w:t>
      </w:r>
      <w:r w:rsidR="00AC6E2D" w:rsidRPr="00194B0B">
        <w:rPr>
          <w:bCs/>
        </w:rPr>
        <w:t>018.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4B1185" w:rsidP="00712D01">
      <w:pPr>
        <w:pStyle w:val="Heading1"/>
        <w:rPr>
          <w:lang w:val="es-ES"/>
        </w:rPr>
      </w:pPr>
      <w:bookmarkStart w:id="11" w:name="_Toc526338552"/>
      <w:r w:rsidRPr="00194B0B">
        <w:rPr>
          <w:lang w:val="es-ES_tradnl"/>
        </w:rPr>
        <w:t>EXAMEN EFECTUADO POR LOS GRUPOS DE TRABAJO TÉCNICO</w:t>
      </w:r>
      <w:bookmarkEnd w:id="11"/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B5498A" w:rsidP="00712D01">
      <w:pPr>
        <w:rPr>
          <w:lang w:val="es-ES"/>
        </w:rPr>
      </w:pPr>
      <w:r w:rsidRPr="002E42C1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2E42C1">
        <w:fldChar w:fldCharType="end"/>
      </w:r>
      <w:r w:rsidR="00712D01" w:rsidRPr="00063113">
        <w:rPr>
          <w:lang w:val="es-ES"/>
        </w:rPr>
        <w:tab/>
      </w:r>
      <w:r w:rsidR="00735ADD" w:rsidRPr="00D7322C">
        <w:t>El TWA</w:t>
      </w:r>
      <w:r w:rsidR="00EA5006" w:rsidRPr="00D7322C">
        <w:t xml:space="preserve">, </w:t>
      </w:r>
      <w:r w:rsidR="00735ADD" w:rsidRPr="00D7322C">
        <w:t xml:space="preserve">el TWC y el TWV examinaron </w:t>
      </w:r>
      <w:r w:rsidR="00FB7D64" w:rsidRPr="00D7322C">
        <w:t xml:space="preserve">el documento </w:t>
      </w:r>
      <w:hyperlink r:id="rId8" w:history="1">
        <w:r w:rsidR="00FB7D64" w:rsidRPr="00D7322C">
          <w:rPr>
            <w:rStyle w:val="Hyperlink"/>
            <w:rFonts w:cs="Arial"/>
          </w:rPr>
          <w:t>TWP/2/10</w:t>
        </w:r>
      </w:hyperlink>
      <w:r w:rsidR="00FB7D64" w:rsidRPr="00D7322C">
        <w:t xml:space="preserve"> </w:t>
      </w:r>
      <w:r w:rsidR="00F60C7B" w:rsidRPr="00D7322C">
        <w:t>y el</w:t>
      </w:r>
      <w:r w:rsidR="00FB7D64" w:rsidRPr="00D7322C">
        <w:t xml:space="preserve"> proyecto de propuesta </w:t>
      </w:r>
      <w:r w:rsidR="00F60C7B" w:rsidRPr="00D7322C">
        <w:t xml:space="preserve">de </w:t>
      </w:r>
      <w:r w:rsidR="00FB7D64" w:rsidRPr="00D7322C">
        <w:t xml:space="preserve">revisión de </w:t>
      </w:r>
      <w:r w:rsidR="00F60C7B" w:rsidRPr="00D7322C">
        <w:t xml:space="preserve">la </w:t>
      </w:r>
      <w:r w:rsidR="005301A1" w:rsidRPr="00D7322C">
        <w:t>orientación ofrecida</w:t>
      </w:r>
      <w:r w:rsidR="00F60C7B" w:rsidRPr="00D7322C">
        <w:t xml:space="preserve"> en el </w:t>
      </w:r>
      <w:r w:rsidR="00FB7D64" w:rsidRPr="00D7322C">
        <w:t xml:space="preserve">documento TGP/8/2: </w:t>
      </w:r>
      <w:r w:rsidR="00F60C7B" w:rsidRPr="00D7322C">
        <w:rPr>
          <w:bCs/>
        </w:rPr>
        <w:t>parte II: sección</w:t>
      </w:r>
      <w:r w:rsidR="00EA5006" w:rsidRPr="00D7322C">
        <w:rPr>
          <w:bCs/>
        </w:rPr>
        <w:t> 8</w:t>
      </w:r>
      <w:r w:rsidR="00F60C7B" w:rsidRPr="00D7322C">
        <w:rPr>
          <w:bCs/>
        </w:rPr>
        <w:t>: subsección</w:t>
      </w:r>
      <w:r w:rsidR="00EA5006" w:rsidRPr="00D7322C">
        <w:rPr>
          <w:bCs/>
        </w:rPr>
        <w:t> 8</w:t>
      </w:r>
      <w:r w:rsidR="00F60C7B" w:rsidRPr="00D7322C">
        <w:rPr>
          <w:bCs/>
        </w:rPr>
        <w:t xml:space="preserve">.1.7 “Método aplicado a más de un examen único (anual)” </w:t>
      </w:r>
      <w:r w:rsidR="005301A1" w:rsidRPr="00D7322C">
        <w:t>elaborado</w:t>
      </w:r>
      <w:r w:rsidR="00FB7D64" w:rsidRPr="00D7322C">
        <w:t xml:space="preserve"> por el experto </w:t>
      </w:r>
      <w:r w:rsidR="005301A1" w:rsidRPr="00D7322C">
        <w:t>d</w:t>
      </w:r>
      <w:r w:rsidR="00FB7D64" w:rsidRPr="00D7322C">
        <w:t>el Reino</w:t>
      </w:r>
      <w:r w:rsidR="00D7322C" w:rsidRPr="00D7322C">
        <w:t> </w:t>
      </w:r>
      <w:r w:rsidR="00FB7D64" w:rsidRPr="00D7322C">
        <w:t>Unido</w:t>
      </w:r>
      <w:r w:rsidR="00EA5006" w:rsidRPr="00D7322C">
        <w:t xml:space="preserve">, </w:t>
      </w:r>
      <w:r w:rsidR="005301A1" w:rsidRPr="00D7322C">
        <w:t>que figura</w:t>
      </w:r>
      <w:r w:rsidR="00FB7D64" w:rsidRPr="00D7322C">
        <w:t xml:space="preserve"> en </w:t>
      </w:r>
      <w:r w:rsidR="005301A1" w:rsidRPr="00D7322C">
        <w:t xml:space="preserve">el </w:t>
      </w:r>
      <w:r w:rsidR="00FB7D64" w:rsidRPr="00D7322C">
        <w:t>Anexo</w:t>
      </w:r>
      <w:r w:rsidR="005301A1" w:rsidRPr="00D7322C">
        <w:t> II</w:t>
      </w:r>
      <w:r w:rsidR="00FB7D64" w:rsidRPr="00D7322C">
        <w:t xml:space="preserve"> </w:t>
      </w:r>
      <w:r w:rsidR="005301A1" w:rsidRPr="00D7322C">
        <w:t xml:space="preserve">del </w:t>
      </w:r>
      <w:r w:rsidR="00FB7D64" w:rsidRPr="00D7322C">
        <w:t>document</w:t>
      </w:r>
      <w:r w:rsidR="005301A1" w:rsidRPr="00D7322C">
        <w:t>o</w:t>
      </w:r>
      <w:r w:rsidR="00FB7D64" w:rsidRPr="00D7322C">
        <w:t xml:space="preserve"> TWP/2/10 (véa</w:t>
      </w:r>
      <w:r w:rsidR="005301A1" w:rsidRPr="00D7322C">
        <w:t>n</w:t>
      </w:r>
      <w:r w:rsidR="00FB7D64" w:rsidRPr="00D7322C">
        <w:t xml:space="preserve">se </w:t>
      </w:r>
      <w:r w:rsidR="005301A1" w:rsidRPr="00D7322C">
        <w:t>los párrafos</w:t>
      </w:r>
      <w:r w:rsidR="00EA5006" w:rsidRPr="00D7322C">
        <w:t> 3</w:t>
      </w:r>
      <w:r w:rsidR="005301A1" w:rsidRPr="00D7322C">
        <w:t>0 a</w:t>
      </w:r>
      <w:r w:rsidR="00EA5006" w:rsidRPr="00D7322C">
        <w:t> 3</w:t>
      </w:r>
      <w:r w:rsidR="005301A1" w:rsidRPr="00D7322C">
        <w:t xml:space="preserve">2 del documento </w:t>
      </w:r>
      <w:r w:rsidR="00FB7D64" w:rsidRPr="00D7322C">
        <w:t xml:space="preserve">TWA/47/7 </w:t>
      </w:r>
      <w:r w:rsidR="005301A1" w:rsidRPr="00D7322C">
        <w:rPr>
          <w:rFonts w:eastAsia="MS Mincho" w:cs="Arial"/>
          <w:lang w:eastAsia="ja-JP"/>
        </w:rPr>
        <w:t>“</w:t>
      </w:r>
      <w:r w:rsidR="005301A1" w:rsidRPr="00063113">
        <w:rPr>
          <w:rFonts w:eastAsia="MS Mincho" w:cs="Arial"/>
          <w:i/>
          <w:lang w:val="es-ES" w:eastAsia="ja-JP"/>
        </w:rPr>
        <w:t>Report</w:t>
      </w:r>
      <w:r w:rsidR="005301A1" w:rsidRPr="00D7322C">
        <w:rPr>
          <w:rFonts w:eastAsia="MS Mincho" w:cs="Arial"/>
          <w:lang w:eastAsia="ja-JP"/>
        </w:rPr>
        <w:t>” (Informe)</w:t>
      </w:r>
      <w:r w:rsidR="00FB7D64" w:rsidRPr="00D7322C">
        <w:t xml:space="preserve">; </w:t>
      </w:r>
      <w:r w:rsidR="005301A1" w:rsidRPr="00D7322C">
        <w:t>los párrafos</w:t>
      </w:r>
      <w:r w:rsidR="00EA5006" w:rsidRPr="00D7322C">
        <w:t> 5</w:t>
      </w:r>
      <w:r w:rsidR="005301A1" w:rsidRPr="00D7322C">
        <w:t>0 a</w:t>
      </w:r>
      <w:r w:rsidR="00EA5006" w:rsidRPr="00D7322C">
        <w:t> 5</w:t>
      </w:r>
      <w:r w:rsidR="005301A1" w:rsidRPr="00D7322C">
        <w:t xml:space="preserve">6 del documento </w:t>
      </w:r>
      <w:r w:rsidR="00FB7D64" w:rsidRPr="00D7322C">
        <w:t>TWC/36/15 “</w:t>
      </w:r>
      <w:r w:rsidR="00FB7D64" w:rsidRPr="00063113">
        <w:rPr>
          <w:i/>
          <w:lang w:val="es-ES"/>
        </w:rPr>
        <w:t>Report</w:t>
      </w:r>
      <w:r w:rsidR="00FB7D64" w:rsidRPr="00D7322C">
        <w:t xml:space="preserve">”; y </w:t>
      </w:r>
      <w:r w:rsidR="005301A1" w:rsidRPr="00D7322C">
        <w:t>los párrafos</w:t>
      </w:r>
      <w:r w:rsidR="00EA5006" w:rsidRPr="00D7322C">
        <w:t> 3</w:t>
      </w:r>
      <w:r w:rsidR="005301A1" w:rsidRPr="00D7322C">
        <w:t>1 a</w:t>
      </w:r>
      <w:r w:rsidR="00EA5006" w:rsidRPr="00D7322C">
        <w:t> 3</w:t>
      </w:r>
      <w:r w:rsidR="005301A1" w:rsidRPr="00D7322C">
        <w:t xml:space="preserve">4 del documento </w:t>
      </w:r>
      <w:r w:rsidR="00FB7D64" w:rsidRPr="00D7322C">
        <w:t>TWV/52/20 “</w:t>
      </w:r>
      <w:r w:rsidR="00FB7D64" w:rsidRPr="00063113">
        <w:rPr>
          <w:i/>
          <w:lang w:val="es-ES"/>
        </w:rPr>
        <w:t>Report</w:t>
      </w:r>
      <w:r w:rsidR="00FB7D64" w:rsidRPr="00D7322C">
        <w:t>”).</w:t>
      </w:r>
      <w:r w:rsidR="003B22AA" w:rsidRPr="00063113">
        <w:rPr>
          <w:lang w:val="es-ES"/>
        </w:rPr>
        <w:t xml:space="preserve"> 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B5498A" w:rsidP="00712D01">
      <w:pPr>
        <w:rPr>
          <w:lang w:val="es-ES"/>
        </w:rPr>
      </w:pPr>
      <w:r w:rsidRPr="004C636E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4C636E">
        <w:fldChar w:fldCharType="end"/>
      </w:r>
      <w:r w:rsidR="00712D01" w:rsidRPr="00063113">
        <w:rPr>
          <w:lang w:val="es-ES"/>
        </w:rPr>
        <w:tab/>
      </w:r>
      <w:r w:rsidR="00933FDD" w:rsidRPr="00D7322C">
        <w:t>El TWC suscribió el proyecto de propuesta de revisión de la orientación ofrecida en el documento TGP/8/2: parte II: sección</w:t>
      </w:r>
      <w:r w:rsidR="00EA5006" w:rsidRPr="00D7322C">
        <w:t> 8</w:t>
      </w:r>
      <w:r w:rsidR="00933FDD" w:rsidRPr="00D7322C">
        <w:t>: subsección</w:t>
      </w:r>
      <w:r w:rsidR="00EA5006" w:rsidRPr="00D7322C">
        <w:t> 8</w:t>
      </w:r>
      <w:r w:rsidR="00933FDD" w:rsidRPr="00D7322C">
        <w:t>.1.7 “Método aplicado a más de un examen único (anual)” elaborado por el experto del Reino Unido.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B5498A" w:rsidP="00712D01">
      <w:pPr>
        <w:rPr>
          <w:lang w:val="es-ES"/>
        </w:rPr>
      </w:pPr>
      <w:r w:rsidRPr="002E42C1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2E42C1">
        <w:fldChar w:fldCharType="end"/>
      </w:r>
      <w:r w:rsidR="00712D01" w:rsidRPr="00063113">
        <w:rPr>
          <w:lang w:val="es-ES"/>
        </w:rPr>
        <w:tab/>
      </w:r>
      <w:r w:rsidR="00933FDD" w:rsidRPr="00BA1CB9">
        <w:t xml:space="preserve">El TWA convino en que debe añadirse una aclaración a </w:t>
      </w:r>
      <w:r w:rsidR="00CC7107" w:rsidRPr="00BA1CB9">
        <w:t>los métodos </w:t>
      </w:r>
      <w:r w:rsidR="00CC7107" w:rsidRPr="00BA1CB9">
        <w:rPr>
          <w:rFonts w:cs="Arial"/>
        </w:rPr>
        <w:t>b) y c) d</w:t>
      </w:r>
      <w:r w:rsidR="00933FDD" w:rsidRPr="00BA1CB9">
        <w:t xml:space="preserve">el </w:t>
      </w:r>
      <w:r w:rsidR="00933FDD" w:rsidRPr="00BA1CB9">
        <w:rPr>
          <w:rFonts w:cs="Arial"/>
        </w:rPr>
        <w:t>párrafo</w:t>
      </w:r>
      <w:r w:rsidR="00EA5006" w:rsidRPr="00BA1CB9">
        <w:rPr>
          <w:rFonts w:cs="Arial"/>
        </w:rPr>
        <w:t> 8</w:t>
      </w:r>
      <w:r w:rsidR="00933FDD" w:rsidRPr="00BA1CB9">
        <w:rPr>
          <w:rFonts w:cs="Arial"/>
        </w:rPr>
        <w:t xml:space="preserve">.1.7.1 </w:t>
      </w:r>
      <w:r w:rsidR="00DE7772" w:rsidRPr="00BA1CB9">
        <w:rPr>
          <w:rFonts w:cs="Arial"/>
        </w:rPr>
        <w:t xml:space="preserve">en la que se </w:t>
      </w:r>
      <w:r w:rsidR="00CC7107" w:rsidRPr="00BA1CB9">
        <w:rPr>
          <w:rFonts w:cs="Arial"/>
        </w:rPr>
        <w:t>indi</w:t>
      </w:r>
      <w:r w:rsidR="00DE7772" w:rsidRPr="00BA1CB9">
        <w:rPr>
          <w:rFonts w:cs="Arial"/>
        </w:rPr>
        <w:t>que</w:t>
      </w:r>
      <w:r w:rsidR="00CC7107" w:rsidRPr="00BA1CB9">
        <w:rPr>
          <w:rFonts w:cs="Arial"/>
        </w:rPr>
        <w:t xml:space="preserve"> que </w:t>
      </w:r>
      <w:r w:rsidR="00CC7107" w:rsidRPr="00BA1CB9">
        <w:t xml:space="preserve">no </w:t>
      </w:r>
      <w:r w:rsidR="00266E3B" w:rsidRPr="00BA1CB9">
        <w:t>de</w:t>
      </w:r>
      <w:r w:rsidR="00E868F2" w:rsidRPr="00BA1CB9">
        <w:t>ben</w:t>
      </w:r>
      <w:r w:rsidR="00CC7107" w:rsidRPr="00BA1CB9">
        <w:t xml:space="preserve"> combinarse </w:t>
      </w:r>
      <w:r w:rsidR="00CC7107" w:rsidRPr="00BA1CB9">
        <w:rPr>
          <w:rFonts w:cs="Arial"/>
        </w:rPr>
        <w:t>los</w:t>
      </w:r>
      <w:r w:rsidR="00933FDD" w:rsidRPr="00BA1CB9">
        <w:rPr>
          <w:rFonts w:cs="Arial"/>
        </w:rPr>
        <w:t xml:space="preserve"> </w:t>
      </w:r>
      <w:r w:rsidR="00933FDD" w:rsidRPr="00BA1CB9">
        <w:t xml:space="preserve">resultados </w:t>
      </w:r>
      <w:r w:rsidR="00CC7107" w:rsidRPr="00BA1CB9">
        <w:t xml:space="preserve">de </w:t>
      </w:r>
      <w:r w:rsidR="00933FDD" w:rsidRPr="00BA1CB9">
        <w:t xml:space="preserve">ciclos de cultivo </w:t>
      </w:r>
      <w:r w:rsidR="00CC7107" w:rsidRPr="00BA1CB9">
        <w:t>en los que se hayan empleado</w:t>
      </w:r>
      <w:r w:rsidR="00933FDD" w:rsidRPr="00BA1CB9">
        <w:t xml:space="preserve"> </w:t>
      </w:r>
      <w:r w:rsidR="00EE48B2" w:rsidRPr="00BA1CB9">
        <w:t xml:space="preserve">diferentes </w:t>
      </w:r>
      <w:r w:rsidR="00CC7107" w:rsidRPr="00BA1CB9">
        <w:t xml:space="preserve">muestras </w:t>
      </w:r>
      <w:r w:rsidR="00933FDD" w:rsidRPr="00BA1CB9">
        <w:t>de material vegetal</w:t>
      </w:r>
      <w:r w:rsidR="00EA5006" w:rsidRPr="00BA1CB9">
        <w:t xml:space="preserve">, </w:t>
      </w:r>
      <w:r w:rsidR="00C32BE2" w:rsidRPr="00BA1CB9">
        <w:t xml:space="preserve">como se establece en </w:t>
      </w:r>
      <w:r w:rsidR="00FF106D" w:rsidRPr="00BA1CB9">
        <w:t>la</w:t>
      </w:r>
      <w:r w:rsidR="00933FDD" w:rsidRPr="00BA1CB9">
        <w:t xml:space="preserve"> </w:t>
      </w:r>
      <w:r w:rsidR="00C32BE2" w:rsidRPr="00BA1CB9">
        <w:t xml:space="preserve">orientación </w:t>
      </w:r>
      <w:r w:rsidR="00E868F2" w:rsidRPr="00BA1CB9">
        <w:t xml:space="preserve">relativa a la “Evaluación de la homogeneidad de las plantas fuera de tipo mediante la observación de más de un ciclo de cultivo o mediante la observación de submuestras” </w:t>
      </w:r>
      <w:r w:rsidR="00933FDD" w:rsidRPr="00BA1CB9">
        <w:t>prop</w:t>
      </w:r>
      <w:r w:rsidR="00FF106D" w:rsidRPr="00BA1CB9">
        <w:t xml:space="preserve">uesta </w:t>
      </w:r>
      <w:r w:rsidR="00C32BE2" w:rsidRPr="00BA1CB9">
        <w:t>para</w:t>
      </w:r>
      <w:r w:rsidR="00FF106D" w:rsidRPr="00BA1CB9">
        <w:t xml:space="preserve"> el </w:t>
      </w:r>
      <w:r w:rsidR="00933FDD" w:rsidRPr="00BA1CB9">
        <w:t>documento TGP/10.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B5498A" w:rsidP="00712D01">
      <w:pPr>
        <w:rPr>
          <w:lang w:val="es-ES"/>
        </w:rPr>
      </w:pPr>
      <w:r w:rsidRPr="004C636E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4C636E">
        <w:fldChar w:fldCharType="end"/>
      </w:r>
      <w:r w:rsidR="00712D01" w:rsidRPr="00063113">
        <w:rPr>
          <w:lang w:val="es-ES"/>
        </w:rPr>
        <w:tab/>
      </w:r>
      <w:r w:rsidR="00C95286" w:rsidRPr="00BA1CB9">
        <w:t xml:space="preserve">El TWC y TWV coincidieron con el TWA en que los resultados de distintos ciclos de cultivo pueden combinarse únicamente si los ensayos se llevan a cabo con </w:t>
      </w:r>
      <w:r w:rsidR="00B90EBF" w:rsidRPr="00BA1CB9">
        <w:t>la</w:t>
      </w:r>
      <w:r w:rsidR="00C95286" w:rsidRPr="00BA1CB9">
        <w:t xml:space="preserve"> </w:t>
      </w:r>
      <w:r w:rsidR="00B90EBF" w:rsidRPr="00BA1CB9">
        <w:t>misma</w:t>
      </w:r>
      <w:r w:rsidR="00C95286" w:rsidRPr="00BA1CB9">
        <w:t xml:space="preserve"> </w:t>
      </w:r>
      <w:r w:rsidR="00B90EBF" w:rsidRPr="00BA1CB9">
        <w:t xml:space="preserve">muestra de </w:t>
      </w:r>
      <w:r w:rsidR="00C95286" w:rsidRPr="00BA1CB9">
        <w:t>material vegetal.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B5498A" w:rsidP="00712D01">
      <w:pPr>
        <w:rPr>
          <w:rFonts w:eastAsia="Calibri" w:cs="Arial"/>
          <w:lang w:val="es-ES"/>
        </w:rPr>
      </w:pPr>
      <w:r w:rsidRPr="002E42C1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2E42C1">
        <w:fldChar w:fldCharType="end"/>
      </w:r>
      <w:r w:rsidR="00712D01" w:rsidRPr="00063113">
        <w:rPr>
          <w:lang w:val="es-ES"/>
        </w:rPr>
        <w:tab/>
      </w:r>
      <w:r w:rsidR="00C32090" w:rsidRPr="005A1802">
        <w:t xml:space="preserve">El TWA convino en que </w:t>
      </w:r>
      <w:r w:rsidR="00C32090" w:rsidRPr="005A1802">
        <w:rPr>
          <w:rFonts w:eastAsia="Calibri" w:cs="Arial"/>
        </w:rPr>
        <w:t>el examen en dos etapas que se describe en el párrafo</w:t>
      </w:r>
      <w:r w:rsidR="00EA5006" w:rsidRPr="005A1802">
        <w:rPr>
          <w:rFonts w:eastAsia="Calibri" w:cs="Arial"/>
        </w:rPr>
        <w:t> 8</w:t>
      </w:r>
      <w:r w:rsidR="00C32090" w:rsidRPr="005A1802">
        <w:rPr>
          <w:rFonts w:eastAsia="Calibri" w:cs="Arial"/>
        </w:rPr>
        <w:t xml:space="preserve">.1.8 solo sería posible cuando la homogeneidad de una variedad se </w:t>
      </w:r>
      <w:r w:rsidR="00BA1CB9" w:rsidRPr="005A1802">
        <w:rPr>
          <w:rFonts w:eastAsia="Calibri" w:cs="Arial"/>
        </w:rPr>
        <w:t>deter</w:t>
      </w:r>
      <w:r w:rsidR="00C32090" w:rsidRPr="005A1802">
        <w:rPr>
          <w:rFonts w:eastAsia="Calibri" w:cs="Arial"/>
        </w:rPr>
        <w:t>mine por separado en cada ciclo y</w:t>
      </w:r>
      <w:r w:rsidR="006F15EC" w:rsidRPr="005A1802">
        <w:rPr>
          <w:rFonts w:eastAsia="Calibri" w:cs="Arial"/>
        </w:rPr>
        <w:t>,</w:t>
      </w:r>
      <w:r w:rsidR="00C32090" w:rsidRPr="005A1802">
        <w:rPr>
          <w:rFonts w:eastAsia="Calibri" w:cs="Arial"/>
        </w:rPr>
        <w:t xml:space="preserve"> </w:t>
      </w:r>
      <w:r w:rsidR="006F15EC" w:rsidRPr="005A1802">
        <w:rPr>
          <w:rFonts w:eastAsia="Calibri" w:cs="Arial"/>
        </w:rPr>
        <w:t xml:space="preserve">en caso de resultados divergentes, </w:t>
      </w:r>
      <w:r w:rsidR="00C32090" w:rsidRPr="005A1802">
        <w:rPr>
          <w:rFonts w:eastAsia="Calibri" w:cs="Arial"/>
        </w:rPr>
        <w:t>se evalúe en un tercer ciclo de cultivo (método a) del párrafo</w:t>
      </w:r>
      <w:r w:rsidR="00EA5006" w:rsidRPr="005A1802">
        <w:rPr>
          <w:rFonts w:eastAsia="Calibri" w:cs="Arial"/>
        </w:rPr>
        <w:t> 8</w:t>
      </w:r>
      <w:r w:rsidR="00C32090" w:rsidRPr="005A1802">
        <w:rPr>
          <w:rFonts w:eastAsia="Calibri" w:cs="Arial"/>
        </w:rPr>
        <w:t>.1.7).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B5498A" w:rsidP="00712D01">
      <w:pPr>
        <w:rPr>
          <w:rFonts w:eastAsia="Calibri" w:cs="Arial"/>
          <w:lang w:val="es-ES"/>
        </w:rPr>
      </w:pPr>
      <w:r w:rsidRPr="004C636E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4C636E">
        <w:fldChar w:fldCharType="end"/>
      </w:r>
      <w:r w:rsidR="00712D01" w:rsidRPr="00063113">
        <w:rPr>
          <w:lang w:val="es-ES"/>
        </w:rPr>
        <w:tab/>
      </w:r>
      <w:r w:rsidR="005A0F6C" w:rsidRPr="005A1802">
        <w:t xml:space="preserve">El TWV coincidió con el TWC en que </w:t>
      </w:r>
      <w:r w:rsidR="002E397E" w:rsidRPr="005A1802">
        <w:rPr>
          <w:rFonts w:eastAsia="Calibri" w:cs="Arial"/>
        </w:rPr>
        <w:t xml:space="preserve">debe aclararse que </w:t>
      </w:r>
      <w:r w:rsidR="005A0F6C" w:rsidRPr="005A1802">
        <w:rPr>
          <w:rFonts w:eastAsia="Calibri" w:cs="Arial"/>
        </w:rPr>
        <w:t>el examen en dos etapas que se describe en el párrafo</w:t>
      </w:r>
      <w:r w:rsidR="00EA5006" w:rsidRPr="005A1802">
        <w:rPr>
          <w:rFonts w:eastAsia="Calibri" w:cs="Arial"/>
        </w:rPr>
        <w:t> 8</w:t>
      </w:r>
      <w:r w:rsidR="005A0F6C" w:rsidRPr="005A1802">
        <w:rPr>
          <w:rFonts w:eastAsia="Calibri" w:cs="Arial"/>
        </w:rPr>
        <w:t xml:space="preserve">.1.8 </w:t>
      </w:r>
      <w:r w:rsidR="008274FA" w:rsidRPr="005A1802">
        <w:rPr>
          <w:rFonts w:eastAsia="Calibri" w:cs="Arial"/>
        </w:rPr>
        <w:t>se aplica a</w:t>
      </w:r>
      <w:r w:rsidR="005A0F6C" w:rsidRPr="005A1802">
        <w:rPr>
          <w:rFonts w:eastAsia="Calibri" w:cs="Arial"/>
        </w:rPr>
        <w:t xml:space="preserve"> </w:t>
      </w:r>
      <w:r w:rsidR="008274FA" w:rsidRPr="005A1802">
        <w:rPr>
          <w:rFonts w:eastAsia="Calibri" w:cs="Arial"/>
        </w:rPr>
        <w:t xml:space="preserve">los ensayos que se llevan a cabo en </w:t>
      </w:r>
      <w:r w:rsidR="002E397E" w:rsidRPr="005A1802">
        <w:rPr>
          <w:rFonts w:eastAsia="Calibri" w:cs="Arial"/>
        </w:rPr>
        <w:t xml:space="preserve">un único </w:t>
      </w:r>
      <w:r w:rsidR="005A0F6C" w:rsidRPr="005A1802">
        <w:rPr>
          <w:rFonts w:eastAsia="Calibri" w:cs="Arial"/>
        </w:rPr>
        <w:t>ciclo de cultivo.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B5498A" w:rsidP="00712D01">
      <w:pPr>
        <w:rPr>
          <w:lang w:val="es-ES"/>
        </w:rPr>
      </w:pPr>
      <w:r w:rsidRPr="004C636E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4C636E">
        <w:fldChar w:fldCharType="end"/>
      </w:r>
      <w:r w:rsidR="00712D01" w:rsidRPr="00063113">
        <w:rPr>
          <w:lang w:val="es-ES"/>
        </w:rPr>
        <w:tab/>
      </w:r>
      <w:r w:rsidR="002E397E" w:rsidRPr="005A1802">
        <w:t xml:space="preserve">El TWC examinó el documento </w:t>
      </w:r>
      <w:hyperlink r:id="rId9" w:history="1">
        <w:r w:rsidR="002E397E" w:rsidRPr="005A1802">
          <w:rPr>
            <w:color w:val="0000FF"/>
            <w:u w:val="single"/>
          </w:rPr>
          <w:t>TWC/36/7</w:t>
        </w:r>
      </w:hyperlink>
      <w:r w:rsidR="002E397E" w:rsidRPr="005A1802">
        <w:t xml:space="preserve"> “</w:t>
      </w:r>
      <w:r w:rsidR="00F672D3" w:rsidRPr="00063113">
        <w:rPr>
          <w:i/>
          <w:lang w:val="es-ES"/>
        </w:rPr>
        <w:t>Risks associated with assessment of uniformity by off-types on the basis of more than one growing cycle</w:t>
      </w:r>
      <w:r w:rsidR="002E397E" w:rsidRPr="005A1802">
        <w:t xml:space="preserve">” </w:t>
      </w:r>
      <w:r w:rsidR="00F71CE6" w:rsidRPr="005A1802">
        <w:t xml:space="preserve">(Riesgos asociados a la evaluación de la homogeneidad sobre la base de las plantas fuera de tipo mediante la observación de más de un ciclo de cultivo) y </w:t>
      </w:r>
      <w:r w:rsidR="002E397E" w:rsidRPr="005A1802">
        <w:t>asistió a una ponencia</w:t>
      </w:r>
      <w:r w:rsidR="00F71CE6" w:rsidRPr="005A1802">
        <w:t xml:space="preserve"> a cargo de </w:t>
      </w:r>
      <w:r w:rsidR="002E397E" w:rsidRPr="005A1802">
        <w:t xml:space="preserve">expertos </w:t>
      </w:r>
      <w:r w:rsidR="00F71CE6" w:rsidRPr="005A1802">
        <w:t xml:space="preserve">de </w:t>
      </w:r>
      <w:r w:rsidR="002E397E" w:rsidRPr="005A1802">
        <w:t>Alemania y el Reino</w:t>
      </w:r>
      <w:r w:rsidR="005A1802" w:rsidRPr="005A1802">
        <w:t> </w:t>
      </w:r>
      <w:r w:rsidR="002E397E" w:rsidRPr="005A1802">
        <w:t>Unido</w:t>
      </w:r>
      <w:r w:rsidR="00EA5006" w:rsidRPr="005A1802">
        <w:t xml:space="preserve">, </w:t>
      </w:r>
      <w:r w:rsidR="001B7AFD" w:rsidRPr="005A1802">
        <w:t xml:space="preserve">que se reproduce en el documento </w:t>
      </w:r>
      <w:r w:rsidR="002E397E" w:rsidRPr="005A1802">
        <w:t>TWC/36/7</w:t>
      </w:r>
      <w:r w:rsidR="00FC7A4A" w:rsidRPr="005A1802">
        <w:t> </w:t>
      </w:r>
      <w:r w:rsidR="002E397E" w:rsidRPr="005A1802">
        <w:t>Add.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B5498A" w:rsidP="00712D01">
      <w:pPr>
        <w:rPr>
          <w:lang w:val="es-ES"/>
        </w:rPr>
      </w:pPr>
      <w:r w:rsidRPr="004C636E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4C636E">
        <w:fldChar w:fldCharType="end"/>
      </w:r>
      <w:r w:rsidR="00712D01" w:rsidRPr="00063113">
        <w:rPr>
          <w:lang w:val="es-ES"/>
        </w:rPr>
        <w:tab/>
      </w:r>
      <w:r w:rsidR="001B7AFD" w:rsidRPr="005A1802">
        <w:t xml:space="preserve">El TWC convino en solicitar a los </w:t>
      </w:r>
      <w:r w:rsidR="005A1802" w:rsidRPr="005A1802">
        <w:t>expertos de Alemania y el Reino </w:t>
      </w:r>
      <w:r w:rsidR="001B7AFD" w:rsidRPr="005A1802">
        <w:t>Unido que elaboren ejemplos ilustrativos de los riesgos y consecuencias de las decisiones sobre la homogeneidad</w:t>
      </w:r>
      <w:r w:rsidR="00EA5006" w:rsidRPr="005A1802">
        <w:t xml:space="preserve">, </w:t>
      </w:r>
      <w:r w:rsidR="001B7AFD" w:rsidRPr="005A1802">
        <w:t>para que se presenten en su próxima sesión.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B5498A" w:rsidP="00712D01">
      <w:pPr>
        <w:rPr>
          <w:lang w:val="es-ES"/>
        </w:rPr>
      </w:pPr>
      <w:r w:rsidRPr="004C636E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4C636E">
        <w:fldChar w:fldCharType="end"/>
      </w:r>
      <w:r w:rsidR="00712D01" w:rsidRPr="00063113">
        <w:rPr>
          <w:lang w:val="es-ES"/>
        </w:rPr>
        <w:tab/>
      </w:r>
      <w:r w:rsidR="009F432F" w:rsidRPr="005A1802">
        <w:t>El TWC tomó nota de la importancia de examinar los riesgos asociados a la evaluación de la homogeneidad sobre la base de las plantas fuera de tipo mediante la observación de más de un ciclo de cultivo y convino en que no sería práctico elaborar cuadros con el número permitido de plantas fuera de tipo para esos casos.</w:t>
      </w:r>
      <w:r w:rsidR="003B22AA" w:rsidRPr="00063113">
        <w:rPr>
          <w:lang w:val="es-ES"/>
        </w:rPr>
        <w:t xml:space="preserve"> </w:t>
      </w:r>
      <w:r w:rsidR="00477EB2" w:rsidRPr="005A1802">
        <w:t>El TWC tomó nota de que</w:t>
      </w:r>
      <w:r w:rsidR="00EA5006" w:rsidRPr="005A1802">
        <w:t xml:space="preserve">, </w:t>
      </w:r>
      <w:r w:rsidR="00477EB2" w:rsidRPr="005A1802">
        <w:t>en el futuro</w:t>
      </w:r>
      <w:r w:rsidR="00EA5006" w:rsidRPr="005A1802">
        <w:t xml:space="preserve">, </w:t>
      </w:r>
      <w:r w:rsidR="00477EB2" w:rsidRPr="005A1802">
        <w:t>es posible que se necesiten programas informáticos para calcular esos riesgos.</w:t>
      </w:r>
    </w:p>
    <w:p w:rsidR="00712D01" w:rsidRPr="00063113" w:rsidRDefault="00712D01" w:rsidP="00712D01">
      <w:pPr>
        <w:rPr>
          <w:rFonts w:eastAsia="MS Mincho"/>
          <w:lang w:val="es-ES"/>
        </w:rPr>
      </w:pPr>
    </w:p>
    <w:p w:rsidR="00712D01" w:rsidRPr="00063113" w:rsidRDefault="00B5498A" w:rsidP="00712D01">
      <w:pPr>
        <w:rPr>
          <w:lang w:val="es-ES"/>
        </w:rPr>
      </w:pPr>
      <w:r w:rsidRPr="008C5528">
        <w:fldChar w:fldCharType="begin"/>
      </w:r>
      <w:r w:rsidR="00712D01" w:rsidRPr="00063113">
        <w:rPr>
          <w:lang w:val="es-ES"/>
        </w:rPr>
        <w:instrText xml:space="preserve"> AUTONUM  </w:instrText>
      </w:r>
      <w:r w:rsidRPr="008C5528">
        <w:fldChar w:fldCharType="end"/>
      </w:r>
      <w:r w:rsidR="00712D01" w:rsidRPr="00063113">
        <w:rPr>
          <w:lang w:val="es-ES"/>
        </w:rPr>
        <w:tab/>
      </w:r>
      <w:r w:rsidR="00357DFB" w:rsidRPr="005A1802">
        <w:t xml:space="preserve">El TWV coincidió con el TWC en la importancia de examinar los riesgos asociados a la evaluación de la homogeneidad </w:t>
      </w:r>
      <w:r w:rsidR="00542346" w:rsidRPr="005A1802">
        <w:t xml:space="preserve">sobre la base </w:t>
      </w:r>
      <w:r w:rsidR="00357DFB" w:rsidRPr="005A1802">
        <w:t xml:space="preserve">de las plantas fuera de tipo mediante la observación de más de un ciclo de cultivo y convino en que debe aclararse el modo de calcular </w:t>
      </w:r>
      <w:r w:rsidR="00531237" w:rsidRPr="005A1802">
        <w:t>el</w:t>
      </w:r>
      <w:r w:rsidR="00357DFB" w:rsidRPr="005A1802">
        <w:t xml:space="preserve"> límite superior predefinido de homogeneidad.</w:t>
      </w:r>
      <w:r w:rsidR="00712D01" w:rsidRPr="00063113">
        <w:rPr>
          <w:lang w:val="es-ES"/>
        </w:rPr>
        <w:t xml:space="preserve"> </w:t>
      </w:r>
      <w:r w:rsidR="00531237" w:rsidRPr="005A1802">
        <w:t>A ese respecto</w:t>
      </w:r>
      <w:r w:rsidR="00EA5006" w:rsidRPr="005A1802">
        <w:t xml:space="preserve">, </w:t>
      </w:r>
      <w:r w:rsidR="00531237" w:rsidRPr="005A1802">
        <w:t xml:space="preserve">el TWV tomó nota del método elaborado por Francia </w:t>
      </w:r>
      <w:r w:rsidR="00360C42" w:rsidRPr="005A1802">
        <w:t>para el</w:t>
      </w:r>
      <w:r w:rsidR="00531237" w:rsidRPr="005A1802">
        <w:t xml:space="preserve"> cálculo </w:t>
      </w:r>
      <w:r w:rsidR="00360C42" w:rsidRPr="005A1802">
        <w:t xml:space="preserve">teórico </w:t>
      </w:r>
      <w:r w:rsidR="00531237" w:rsidRPr="005A1802">
        <w:t xml:space="preserve">de </w:t>
      </w:r>
      <w:r w:rsidR="00360C42" w:rsidRPr="005A1802">
        <w:t xml:space="preserve">un límite superior predefinido </w:t>
      </w:r>
      <w:r w:rsidR="000177C1" w:rsidRPr="005A1802">
        <w:t>como el</w:t>
      </w:r>
      <w:r w:rsidR="00531237" w:rsidRPr="005A1802">
        <w:t xml:space="preserve"> </w:t>
      </w:r>
      <w:r w:rsidR="000177C1" w:rsidRPr="005A1802">
        <w:t xml:space="preserve">número </w:t>
      </w:r>
      <w:r w:rsidR="00531237" w:rsidRPr="005A1802">
        <w:t xml:space="preserve">máximo </w:t>
      </w:r>
      <w:r w:rsidR="00E85DB1" w:rsidRPr="005A1802">
        <w:t>permitido</w:t>
      </w:r>
      <w:r w:rsidR="00380758" w:rsidRPr="005A1802">
        <w:t xml:space="preserve"> </w:t>
      </w:r>
      <w:r w:rsidR="000177C1" w:rsidRPr="005A1802">
        <w:t xml:space="preserve">de </w:t>
      </w:r>
      <w:r w:rsidR="00531237" w:rsidRPr="005A1802">
        <w:t xml:space="preserve">plantas fuera de tipo </w:t>
      </w:r>
      <w:r w:rsidR="000177C1" w:rsidRPr="005A1802">
        <w:t xml:space="preserve">más </w:t>
      </w:r>
      <w:r w:rsidR="00531237" w:rsidRPr="005A1802">
        <w:t>un</w:t>
      </w:r>
      <w:r w:rsidR="000177C1" w:rsidRPr="005A1802">
        <w:t>o</w:t>
      </w:r>
      <w:r w:rsidR="00531237" w:rsidRPr="005A1802">
        <w:t xml:space="preserve"> </w:t>
      </w:r>
      <w:r w:rsidR="00731CF6" w:rsidRPr="005A1802">
        <w:t>respecto a</w:t>
      </w:r>
      <w:r w:rsidR="000177C1" w:rsidRPr="005A1802">
        <w:t xml:space="preserve"> la</w:t>
      </w:r>
      <w:r w:rsidR="00531237" w:rsidRPr="005A1802">
        <w:t xml:space="preserve"> </w:t>
      </w:r>
      <w:r w:rsidR="000177C1" w:rsidRPr="005A1802">
        <w:t xml:space="preserve">suma </w:t>
      </w:r>
      <w:r w:rsidR="00531237" w:rsidRPr="005A1802">
        <w:t>total de plantas</w:t>
      </w:r>
      <w:r w:rsidR="000177C1" w:rsidRPr="005A1802">
        <w:t xml:space="preserve"> para dos </w:t>
      </w:r>
      <w:r w:rsidR="00531237" w:rsidRPr="005A1802">
        <w:t xml:space="preserve">ciclos </w:t>
      </w:r>
      <w:r w:rsidR="000177C1" w:rsidRPr="005A1802">
        <w:t xml:space="preserve">de examen </w:t>
      </w:r>
      <w:r w:rsidR="00531237" w:rsidRPr="005A1802">
        <w:t>(por ejemplo</w:t>
      </w:r>
      <w:r w:rsidR="00EA5006" w:rsidRPr="005A1802">
        <w:t xml:space="preserve">, </w:t>
      </w:r>
      <w:r w:rsidR="000177C1" w:rsidRPr="005A1802">
        <w:t xml:space="preserve">si en </w:t>
      </w:r>
      <w:r w:rsidR="00531237" w:rsidRPr="005A1802">
        <w:t xml:space="preserve">cada ciclo de cultivo </w:t>
      </w:r>
      <w:r w:rsidR="000177C1" w:rsidRPr="005A1802">
        <w:t>se precisan</w:t>
      </w:r>
      <w:r w:rsidR="00EA5006" w:rsidRPr="005A1802">
        <w:t> 2</w:t>
      </w:r>
      <w:r w:rsidR="00531237" w:rsidRPr="005A1802">
        <w:t>0 plantas</w:t>
      </w:r>
      <w:r w:rsidR="00EA5006" w:rsidRPr="005A1802">
        <w:t xml:space="preserve">, </w:t>
      </w:r>
      <w:r w:rsidR="000177C1" w:rsidRPr="005A1802">
        <w:t>el</w:t>
      </w:r>
      <w:r w:rsidR="00531237" w:rsidRPr="005A1802">
        <w:t xml:space="preserve"> </w:t>
      </w:r>
      <w:r w:rsidR="000177C1" w:rsidRPr="005A1802">
        <w:t xml:space="preserve">límite superior predefinido para la </w:t>
      </w:r>
      <w:r w:rsidR="00531237" w:rsidRPr="005A1802">
        <w:t xml:space="preserve">evaluación de </w:t>
      </w:r>
      <w:r w:rsidR="000177C1" w:rsidRPr="005A1802">
        <w:t xml:space="preserve">la </w:t>
      </w:r>
      <w:r w:rsidR="00531237" w:rsidRPr="005A1802">
        <w:t xml:space="preserve">homogeneidad </w:t>
      </w:r>
      <w:r w:rsidR="000177C1" w:rsidRPr="005A1802">
        <w:t xml:space="preserve">en el </w:t>
      </w:r>
      <w:r w:rsidR="00531237" w:rsidRPr="005A1802">
        <w:t xml:space="preserve">primer ciclo </w:t>
      </w:r>
      <w:r w:rsidR="000177C1" w:rsidRPr="005A1802">
        <w:t xml:space="preserve">se </w:t>
      </w:r>
      <w:r w:rsidR="00531237" w:rsidRPr="005A1802">
        <w:t>bas</w:t>
      </w:r>
      <w:r w:rsidR="000177C1" w:rsidRPr="005A1802">
        <w:t>ar</w:t>
      </w:r>
      <w:r w:rsidR="00731CF6" w:rsidRPr="005A1802">
        <w:t>á</w:t>
      </w:r>
      <w:r w:rsidR="000177C1" w:rsidRPr="005A1802">
        <w:t xml:space="preserve"> en el </w:t>
      </w:r>
      <w:r w:rsidR="00531237" w:rsidRPr="005A1802">
        <w:t xml:space="preserve">número </w:t>
      </w:r>
      <w:r w:rsidR="00E85DB1" w:rsidRPr="005A1802">
        <w:t>permitido</w:t>
      </w:r>
      <w:r w:rsidR="00380758" w:rsidRPr="005A1802">
        <w:t xml:space="preserve"> </w:t>
      </w:r>
      <w:r w:rsidR="00531237" w:rsidRPr="005A1802">
        <w:t xml:space="preserve">de plantas fuera de tipo </w:t>
      </w:r>
      <w:r w:rsidR="000177C1" w:rsidRPr="005A1802">
        <w:t xml:space="preserve">más </w:t>
      </w:r>
      <w:r w:rsidR="00531237" w:rsidRPr="005A1802">
        <w:t xml:space="preserve">uno </w:t>
      </w:r>
      <w:r w:rsidR="00731CF6" w:rsidRPr="005A1802">
        <w:t>respecto a</w:t>
      </w:r>
      <w:r w:rsidR="000177C1" w:rsidRPr="005A1802">
        <w:t>l</w:t>
      </w:r>
      <w:r w:rsidR="00531237" w:rsidRPr="005A1802">
        <w:t xml:space="preserve"> </w:t>
      </w:r>
      <w:r w:rsidR="000177C1" w:rsidRPr="005A1802">
        <w:t xml:space="preserve">número </w:t>
      </w:r>
      <w:r w:rsidR="00531237" w:rsidRPr="005A1802">
        <w:t>total de plantas que ha</w:t>
      </w:r>
      <w:r w:rsidR="00355DED" w:rsidRPr="005A1802">
        <w:t>n</w:t>
      </w:r>
      <w:r w:rsidR="00531237" w:rsidRPr="005A1802">
        <w:t xml:space="preserve"> de observarse</w:t>
      </w:r>
      <w:r w:rsidR="000177C1" w:rsidRPr="005A1802">
        <w:t xml:space="preserve"> en dos </w:t>
      </w:r>
      <w:r w:rsidR="00531237" w:rsidRPr="005A1802">
        <w:t>ciclos</w:t>
      </w:r>
      <w:r w:rsidR="00EA5006" w:rsidRPr="005A1802">
        <w:t xml:space="preserve">, </w:t>
      </w:r>
      <w:r w:rsidR="00531237" w:rsidRPr="005A1802">
        <w:t xml:space="preserve">en </w:t>
      </w:r>
      <w:r w:rsidR="000177C1" w:rsidRPr="005A1802">
        <w:t>es</w:t>
      </w:r>
      <w:r w:rsidR="007B0028" w:rsidRPr="005A1802">
        <w:t>t</w:t>
      </w:r>
      <w:r w:rsidR="000177C1" w:rsidRPr="005A1802">
        <w:t xml:space="preserve">e </w:t>
      </w:r>
      <w:r w:rsidR="00531237" w:rsidRPr="005A1802">
        <w:t>caso</w:t>
      </w:r>
      <w:r w:rsidR="00EA5006" w:rsidRPr="005A1802">
        <w:t> 4</w:t>
      </w:r>
      <w:r w:rsidR="00531237" w:rsidRPr="005A1802">
        <w:t>0 plantas).</w:t>
      </w:r>
    </w:p>
    <w:p w:rsidR="00712D01" w:rsidRPr="00063113" w:rsidRDefault="00712D01" w:rsidP="00712D01">
      <w:pPr>
        <w:rPr>
          <w:bCs/>
          <w:lang w:val="es-ES"/>
        </w:rPr>
      </w:pPr>
    </w:p>
    <w:p w:rsidR="00712D01" w:rsidRPr="00063113" w:rsidRDefault="00B5498A" w:rsidP="00712D01">
      <w:pPr>
        <w:keepNext/>
        <w:keepLines/>
        <w:tabs>
          <w:tab w:val="left" w:pos="5387"/>
        </w:tabs>
        <w:ind w:left="4820"/>
        <w:rPr>
          <w:i/>
          <w:lang w:val="es-ES"/>
        </w:rPr>
      </w:pPr>
      <w:r w:rsidRPr="00BE66C5">
        <w:rPr>
          <w:i/>
        </w:rPr>
        <w:fldChar w:fldCharType="begin"/>
      </w:r>
      <w:r w:rsidR="00712D01" w:rsidRPr="00063113">
        <w:rPr>
          <w:i/>
          <w:lang w:val="es-ES"/>
        </w:rPr>
        <w:instrText xml:space="preserve"> AUTONUM  </w:instrText>
      </w:r>
      <w:r w:rsidRPr="00BE66C5">
        <w:rPr>
          <w:i/>
        </w:rPr>
        <w:fldChar w:fldCharType="end"/>
      </w:r>
      <w:r w:rsidR="00712D01" w:rsidRPr="00063113">
        <w:rPr>
          <w:i/>
          <w:lang w:val="es-ES"/>
        </w:rPr>
        <w:tab/>
      </w:r>
      <w:r w:rsidR="00C12C70" w:rsidRPr="005A1802">
        <w:rPr>
          <w:i/>
        </w:rPr>
        <w:t>Se invita al TC a examinar la propuesta de revisión de la orientación ofrecida en el documento TGP/8/2: parte II: sección</w:t>
      </w:r>
      <w:r w:rsidR="00EA5006" w:rsidRPr="005A1802">
        <w:rPr>
          <w:i/>
        </w:rPr>
        <w:t> 8</w:t>
      </w:r>
      <w:r w:rsidR="00C12C70" w:rsidRPr="005A1802">
        <w:rPr>
          <w:i/>
        </w:rPr>
        <w:t>: subsección</w:t>
      </w:r>
      <w:r w:rsidR="00EA5006" w:rsidRPr="005A1802">
        <w:rPr>
          <w:i/>
        </w:rPr>
        <w:t> 8</w:t>
      </w:r>
      <w:r w:rsidR="00C12C70" w:rsidRPr="005A1802">
        <w:rPr>
          <w:i/>
        </w:rPr>
        <w:t>.1.7 “Método aplicado a más de un examen único (anual)” sobre la base del borrador que figura en el Anexo II del presente documento</w:t>
      </w:r>
      <w:r w:rsidR="00EA5006" w:rsidRPr="005A1802">
        <w:rPr>
          <w:i/>
        </w:rPr>
        <w:t xml:space="preserve">, </w:t>
      </w:r>
      <w:r w:rsidR="00C12C70" w:rsidRPr="005A1802">
        <w:rPr>
          <w:i/>
        </w:rPr>
        <w:t>conjuntamente con los comentarios formulados por los TWP en sus sesiones de</w:t>
      </w:r>
      <w:r w:rsidR="00EA5006" w:rsidRPr="005A1802">
        <w:rPr>
          <w:i/>
        </w:rPr>
        <w:t> 2</w:t>
      </w:r>
      <w:r w:rsidR="00C12C70" w:rsidRPr="005A1802">
        <w:rPr>
          <w:i/>
        </w:rPr>
        <w:t>018</w:t>
      </w:r>
      <w:r w:rsidR="004E0CDD" w:rsidRPr="005A1802">
        <w:rPr>
          <w:i/>
        </w:rPr>
        <w:t>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4E0CDD" w:rsidP="00712D01">
      <w:pPr>
        <w:jc w:val="right"/>
        <w:rPr>
          <w:lang w:val="es-ES"/>
        </w:rPr>
      </w:pPr>
      <w:r w:rsidRPr="005A1802">
        <w:t>[Siguen los Anexos]</w:t>
      </w:r>
    </w:p>
    <w:p w:rsidR="00712D01" w:rsidRPr="00063113" w:rsidRDefault="00712D01" w:rsidP="00712D01">
      <w:pPr>
        <w:rPr>
          <w:lang w:val="es-ES"/>
        </w:rPr>
        <w:sectPr w:rsidR="00712D01" w:rsidRPr="00063113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4E0CDD" w:rsidP="00712D01">
      <w:pPr>
        <w:jc w:val="center"/>
        <w:rPr>
          <w:caps/>
          <w:lang w:val="es-ES"/>
        </w:rPr>
      </w:pPr>
      <w:r w:rsidRPr="004E0CDD">
        <w:rPr>
          <w:rFonts w:cs="Arial"/>
          <w:caps/>
          <w:snapToGrid w:val="0"/>
        </w:rPr>
        <w:t>Extracto del documento TGP/8: parte II: sección</w:t>
      </w:r>
      <w:r w:rsidR="00EA5006">
        <w:rPr>
          <w:rFonts w:cs="Arial"/>
          <w:caps/>
          <w:snapToGrid w:val="0"/>
        </w:rPr>
        <w:t> </w:t>
      </w:r>
      <w:r w:rsidR="00EA5006" w:rsidRPr="004E0CDD">
        <w:rPr>
          <w:rFonts w:cs="Arial"/>
          <w:caps/>
          <w:snapToGrid w:val="0"/>
        </w:rPr>
        <w:t>8</w:t>
      </w:r>
      <w:r w:rsidR="00712D01" w:rsidRPr="00063113">
        <w:rPr>
          <w:rFonts w:eastAsia="PMingLiU"/>
          <w:caps/>
          <w:lang w:val="es-ES"/>
        </w:rPr>
        <w:t xml:space="preserve"> </w:t>
      </w:r>
      <w:r w:rsidR="00712D01" w:rsidRPr="00063113">
        <w:rPr>
          <w:rFonts w:eastAsia="PMingLiU"/>
          <w:caps/>
          <w:lang w:val="es-ES"/>
        </w:rPr>
        <w:br/>
      </w:r>
      <w:r w:rsidRPr="004E0CDD">
        <w:rPr>
          <w:rFonts w:eastAsia="PMingLiU"/>
          <w:caps/>
        </w:rPr>
        <w:t>“Método de evaluación de la homogeneidad sobre la base de las plantas fuera de tipo”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712D01" w:rsidP="008A269C">
      <w:pPr>
        <w:keepNext/>
        <w:spacing w:after="240"/>
        <w:ind w:left="851" w:hanging="851"/>
        <w:outlineLvl w:val="3"/>
        <w:rPr>
          <w:i/>
          <w:lang w:val="es-ES"/>
        </w:rPr>
      </w:pPr>
      <w:bookmarkStart w:id="12" w:name="_Toc463359621"/>
      <w:r w:rsidRPr="00063113">
        <w:rPr>
          <w:i/>
          <w:szCs w:val="24"/>
          <w:lang w:val="es-ES"/>
        </w:rPr>
        <w:t>8.</w:t>
      </w:r>
      <w:r w:rsidRPr="00063113">
        <w:rPr>
          <w:i/>
          <w:lang w:val="es-ES"/>
        </w:rPr>
        <w:t>1.7</w:t>
      </w:r>
      <w:r w:rsidRPr="00063113">
        <w:rPr>
          <w:i/>
          <w:lang w:val="es-ES"/>
        </w:rPr>
        <w:tab/>
      </w:r>
      <w:bookmarkEnd w:id="12"/>
      <w:r w:rsidR="008A269C" w:rsidRPr="008A269C">
        <w:rPr>
          <w:i/>
          <w:szCs w:val="24"/>
        </w:rPr>
        <w:t>Método aplicado a más de un examen único (anual)</w:t>
      </w:r>
    </w:p>
    <w:p w:rsidR="00712D01" w:rsidRPr="00063113" w:rsidRDefault="00712D01" w:rsidP="008A269C">
      <w:pPr>
        <w:keepNext/>
        <w:spacing w:after="240"/>
        <w:ind w:left="1701" w:hanging="1134"/>
        <w:jc w:val="left"/>
        <w:outlineLvl w:val="4"/>
        <w:rPr>
          <w:i/>
          <w:szCs w:val="18"/>
          <w:lang w:val="es-ES"/>
        </w:rPr>
      </w:pPr>
      <w:bookmarkStart w:id="13" w:name="_Toc463359622"/>
      <w:r w:rsidRPr="00063113">
        <w:rPr>
          <w:i/>
          <w:szCs w:val="24"/>
          <w:lang w:val="es-ES"/>
        </w:rPr>
        <w:t>8.</w:t>
      </w:r>
      <w:r w:rsidRPr="00063113">
        <w:rPr>
          <w:i/>
          <w:szCs w:val="18"/>
          <w:lang w:val="es-ES"/>
        </w:rPr>
        <w:t>1.7.1</w:t>
      </w:r>
      <w:r w:rsidRPr="00063113">
        <w:rPr>
          <w:i/>
          <w:szCs w:val="18"/>
          <w:lang w:val="es-ES"/>
        </w:rPr>
        <w:tab/>
      </w:r>
      <w:bookmarkEnd w:id="13"/>
      <w:r w:rsidR="008A269C" w:rsidRPr="008A269C">
        <w:rPr>
          <w:i/>
          <w:szCs w:val="18"/>
        </w:rPr>
        <w:t>Introducción</w:t>
      </w:r>
    </w:p>
    <w:p w:rsidR="00712D01" w:rsidRPr="00063113" w:rsidRDefault="00712D01" w:rsidP="00712D01">
      <w:pPr>
        <w:rPr>
          <w:lang w:val="es-ES"/>
        </w:rPr>
      </w:pPr>
      <w:r w:rsidRPr="00063113">
        <w:rPr>
          <w:lang w:val="es-ES"/>
        </w:rPr>
        <w:t>8.1.7.1.1</w:t>
      </w:r>
      <w:r w:rsidRPr="00063113">
        <w:rPr>
          <w:lang w:val="es-ES"/>
        </w:rPr>
        <w:tab/>
      </w:r>
      <w:r w:rsidR="008A269C" w:rsidRPr="008A269C">
        <w:t>Con frecuencia</w:t>
      </w:r>
      <w:r w:rsidR="00EA5006">
        <w:t xml:space="preserve">, </w:t>
      </w:r>
      <w:r w:rsidR="008A269C" w:rsidRPr="008A269C">
        <w:t>una variedad candidata se cultiva en dos (o tres años).</w:t>
      </w:r>
      <w:r w:rsidR="003B22AA" w:rsidRPr="00063113">
        <w:rPr>
          <w:lang w:val="es-ES"/>
        </w:rPr>
        <w:t xml:space="preserve"> </w:t>
      </w:r>
      <w:r w:rsidR="008A269C" w:rsidRPr="008A269C">
        <w:t>En esos casos</w:t>
      </w:r>
      <w:r w:rsidR="00EA5006">
        <w:t xml:space="preserve">, </w:t>
      </w:r>
      <w:r w:rsidR="008A269C" w:rsidRPr="008A269C">
        <w:t>se plantea la cuestión de cómo combinar la información sobre la homogeneidad de cada uno de los años.</w:t>
      </w:r>
      <w:r w:rsidR="003B22AA" w:rsidRPr="00063113">
        <w:rPr>
          <w:lang w:val="es-ES"/>
        </w:rPr>
        <w:t xml:space="preserve"> </w:t>
      </w:r>
      <w:r w:rsidR="008A269C" w:rsidRPr="008A269C">
        <w:t>Se describen dos métodos: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712D01" w:rsidP="00712D01">
      <w:pPr>
        <w:tabs>
          <w:tab w:val="left" w:pos="851"/>
        </w:tabs>
        <w:ind w:left="1701" w:hanging="1701"/>
        <w:rPr>
          <w:lang w:val="es-ES"/>
        </w:rPr>
      </w:pPr>
      <w:r w:rsidRPr="00063113">
        <w:rPr>
          <w:lang w:val="es-ES"/>
        </w:rPr>
        <w:tab/>
      </w:r>
      <w:r w:rsidR="008A269C" w:rsidRPr="008A269C">
        <w:t>a)</w:t>
      </w:r>
      <w:r w:rsidRPr="00063113">
        <w:rPr>
          <w:lang w:val="es-ES"/>
        </w:rPr>
        <w:tab/>
      </w:r>
      <w:r w:rsidR="008A269C" w:rsidRPr="003D51BE">
        <w:t>Adoptar la decisión después de dos (o tres) años sobre la base del número de plantas examinadas y del número de plantas fuera de tipo registradas (examen combinado).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712D01" w:rsidP="00712D01">
      <w:pPr>
        <w:tabs>
          <w:tab w:val="left" w:pos="851"/>
        </w:tabs>
        <w:ind w:left="1701" w:hanging="1701"/>
        <w:rPr>
          <w:lang w:val="es-ES"/>
        </w:rPr>
      </w:pPr>
      <w:r w:rsidRPr="00063113">
        <w:rPr>
          <w:lang w:val="es-ES"/>
        </w:rPr>
        <w:tab/>
      </w:r>
      <w:r w:rsidR="003D51BE" w:rsidRPr="003D51BE">
        <w:t>b)</w:t>
      </w:r>
      <w:r w:rsidRPr="00063113">
        <w:rPr>
          <w:lang w:val="es-ES"/>
        </w:rPr>
        <w:tab/>
      </w:r>
      <w:r w:rsidR="003D51BE" w:rsidRPr="003D51BE">
        <w:t>Examinar el resultado del primer año para comprobar si los datos sustentan una decisión clara (rechazo o aceptación).</w:t>
      </w:r>
      <w:r w:rsidR="003B22AA" w:rsidRPr="00063113">
        <w:rPr>
          <w:lang w:val="es-ES"/>
        </w:rPr>
        <w:t xml:space="preserve"> </w:t>
      </w:r>
      <w:r w:rsidR="003D51BE" w:rsidRPr="00D113A6">
        <w:t>Si la decisión no es clara</w:t>
      </w:r>
      <w:r w:rsidR="00EA5006">
        <w:t xml:space="preserve">, </w:t>
      </w:r>
      <w:r w:rsidR="003D51BE" w:rsidRPr="00D113A6">
        <w:t>se procederá a realizar el segundo año del examen y se decidirá tras el segundo año (examen en dos etapas).</w:t>
      </w:r>
      <w:r w:rsidRPr="00063113">
        <w:rPr>
          <w:lang w:val="es-ES"/>
        </w:rPr>
        <w:t xml:space="preserve"> 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712D01" w:rsidP="00712D01">
      <w:pPr>
        <w:rPr>
          <w:lang w:val="es-ES"/>
        </w:rPr>
      </w:pPr>
      <w:r w:rsidRPr="00063113">
        <w:rPr>
          <w:lang w:val="es-ES"/>
        </w:rPr>
        <w:t>8.1.7.1.2</w:t>
      </w:r>
      <w:r w:rsidRPr="00063113">
        <w:rPr>
          <w:lang w:val="es-ES"/>
        </w:rPr>
        <w:tab/>
      </w:r>
      <w:r w:rsidR="00D113A6" w:rsidRPr="00755E49">
        <w:t>Sin embargo</w:t>
      </w:r>
      <w:r w:rsidR="00EA5006">
        <w:t xml:space="preserve">, </w:t>
      </w:r>
      <w:r w:rsidR="00D113A6" w:rsidRPr="00755E49">
        <w:t>existen otras posibilidades (por ejemplo</w:t>
      </w:r>
      <w:r w:rsidR="00EA5006">
        <w:t xml:space="preserve">, </w:t>
      </w:r>
      <w:r w:rsidR="00D113A6" w:rsidRPr="00755E49">
        <w:t>adoptar una decisión cada año y tomar la decisión final de rechazar la variedad candidata si ésta presenta demasiadas plantas fuera de tipo en los dos años</w:t>
      </w:r>
      <w:r w:rsidR="00EA5006">
        <w:t xml:space="preserve">, </w:t>
      </w:r>
      <w:r w:rsidR="00D113A6" w:rsidRPr="00755E49">
        <w:t>o en dos de los tres años).</w:t>
      </w:r>
      <w:r w:rsidR="003B22AA" w:rsidRPr="00063113">
        <w:rPr>
          <w:lang w:val="es-ES"/>
        </w:rPr>
        <w:t xml:space="preserve"> </w:t>
      </w:r>
      <w:r w:rsidR="00755E49" w:rsidRPr="00755E49">
        <w:t>Además</w:t>
      </w:r>
      <w:r w:rsidR="00EA5006">
        <w:t xml:space="preserve">, </w:t>
      </w:r>
      <w:r w:rsidR="00755E49" w:rsidRPr="00755E49">
        <w:t>surgen ciertas complicaciones cuando se efectúa un examen de más de un año.</w:t>
      </w:r>
      <w:r w:rsidR="003B22AA" w:rsidRPr="00063113">
        <w:rPr>
          <w:lang w:val="es-ES"/>
        </w:rPr>
        <w:t xml:space="preserve"> </w:t>
      </w:r>
      <w:r w:rsidR="00755E49" w:rsidRPr="00755E49">
        <w:t>Por ello</w:t>
      </w:r>
      <w:r w:rsidR="00EA5006">
        <w:t xml:space="preserve">, </w:t>
      </w:r>
      <w:r w:rsidR="00755E49" w:rsidRPr="00755E49">
        <w:t>se recomienda consultar a un experto en estadística cuando se han de efectuar exámenes de dos (o más) años.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712D01" w:rsidP="001D5071">
      <w:pPr>
        <w:keepNext/>
        <w:spacing w:after="240"/>
        <w:ind w:left="1701" w:hanging="1134"/>
        <w:jc w:val="left"/>
        <w:outlineLvl w:val="4"/>
        <w:rPr>
          <w:i/>
          <w:szCs w:val="18"/>
          <w:lang w:val="es-ES"/>
        </w:rPr>
      </w:pPr>
      <w:bookmarkStart w:id="14" w:name="_Toc154368852"/>
      <w:bookmarkStart w:id="15" w:name="_Toc219640839"/>
      <w:bookmarkStart w:id="16" w:name="_Toc463359623"/>
      <w:r w:rsidRPr="00063113">
        <w:rPr>
          <w:i/>
          <w:szCs w:val="24"/>
          <w:lang w:val="es-ES"/>
        </w:rPr>
        <w:t>8.</w:t>
      </w:r>
      <w:r w:rsidRPr="00063113">
        <w:rPr>
          <w:i/>
          <w:szCs w:val="18"/>
          <w:lang w:val="es-ES"/>
        </w:rPr>
        <w:t>1.7.2</w:t>
      </w:r>
      <w:r w:rsidRPr="00063113">
        <w:rPr>
          <w:i/>
          <w:szCs w:val="18"/>
          <w:lang w:val="es-ES"/>
        </w:rPr>
        <w:tab/>
      </w:r>
      <w:bookmarkEnd w:id="14"/>
      <w:bookmarkEnd w:id="15"/>
      <w:bookmarkEnd w:id="16"/>
      <w:r w:rsidR="007E2D9E" w:rsidRPr="001D5071">
        <w:rPr>
          <w:i/>
          <w:szCs w:val="18"/>
        </w:rPr>
        <w:t>Prueba combinada</w:t>
      </w:r>
    </w:p>
    <w:p w:rsidR="00712D01" w:rsidRPr="00063113" w:rsidRDefault="001D5071" w:rsidP="00712D01">
      <w:pPr>
        <w:rPr>
          <w:lang w:val="es-ES"/>
        </w:rPr>
      </w:pPr>
      <w:r w:rsidRPr="00CD67B9">
        <w:t>El tamaño de muestra en el examen i es n</w:t>
      </w:r>
      <w:r w:rsidRPr="00CD67B9">
        <w:rPr>
          <w:vertAlign w:val="subscript"/>
        </w:rPr>
        <w:t>i</w:t>
      </w:r>
      <w:r w:rsidRPr="00CD67B9">
        <w:t>,</w:t>
      </w:r>
      <w:r w:rsidR="003B22AA" w:rsidRPr="00063113">
        <w:rPr>
          <w:lang w:val="es-ES"/>
        </w:rPr>
        <w:t xml:space="preserve"> </w:t>
      </w:r>
      <w:r w:rsidR="00CD67B9" w:rsidRPr="0004687A">
        <w:t>de manera que después de efectuado el último examen</w:t>
      </w:r>
      <w:r w:rsidR="00EA5006">
        <w:t xml:space="preserve">, </w:t>
      </w:r>
      <w:r w:rsidR="00CD67B9" w:rsidRPr="0004687A">
        <w:t>el tamaño de muestra total es n = </w:t>
      </w:r>
      <w:r w:rsidR="00CD67B9" w:rsidRPr="0004687A">
        <w:rPr>
          <w:rFonts w:ascii="Symbol" w:hAnsi="Symbol"/>
        </w:rPr>
        <w:t></w:t>
      </w:r>
      <w:r w:rsidR="00CD67B9" w:rsidRPr="0004687A">
        <w:t>n</w:t>
      </w:r>
      <w:r w:rsidR="00CD67B9" w:rsidRPr="0004687A">
        <w:rPr>
          <w:vertAlign w:val="subscript"/>
        </w:rPr>
        <w:t>i</w:t>
      </w:r>
      <w:r w:rsidR="00CD67B9" w:rsidRPr="0004687A">
        <w:t>.</w:t>
      </w:r>
      <w:r w:rsidR="003B22AA" w:rsidRPr="00063113">
        <w:rPr>
          <w:lang w:val="es-ES"/>
        </w:rPr>
        <w:t xml:space="preserve"> </w:t>
      </w:r>
      <w:r w:rsidR="004A5838" w:rsidRPr="004A5838">
        <w:t>Se establece un programa de decisión procediendo exactamente como si ese tamaño de muestra total se hubiese obtenido en un examen único</w:t>
      </w:r>
      <w:r w:rsidR="0004687A" w:rsidRPr="004A5838">
        <w:t>.</w:t>
      </w:r>
      <w:r w:rsidR="003B22AA" w:rsidRPr="00063113">
        <w:rPr>
          <w:lang w:val="es-ES"/>
        </w:rPr>
        <w:t xml:space="preserve"> </w:t>
      </w:r>
      <w:r w:rsidR="004A5838" w:rsidRPr="004A5838">
        <w:t>Así</w:t>
      </w:r>
      <w:r w:rsidR="00EA5006">
        <w:t xml:space="preserve">, </w:t>
      </w:r>
      <w:r w:rsidR="004A5838" w:rsidRPr="004A5838">
        <w:t>se compara el número total de plantas fuera de tipo registradas durante los exámenes con el número máximo de plantas fuera de tipo permitido por el programa de decisión elegido.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712D01" w:rsidP="0078464B">
      <w:pPr>
        <w:keepNext/>
        <w:spacing w:after="240"/>
        <w:ind w:left="1701" w:hanging="1134"/>
        <w:jc w:val="left"/>
        <w:outlineLvl w:val="4"/>
        <w:rPr>
          <w:i/>
          <w:szCs w:val="18"/>
          <w:lang w:val="es-ES"/>
        </w:rPr>
      </w:pPr>
      <w:bookmarkStart w:id="17" w:name="_Toc154368853"/>
      <w:bookmarkStart w:id="18" w:name="_Toc219640840"/>
      <w:bookmarkStart w:id="19" w:name="_Toc463359624"/>
      <w:r w:rsidRPr="00063113">
        <w:rPr>
          <w:i/>
          <w:szCs w:val="24"/>
          <w:lang w:val="es-ES"/>
        </w:rPr>
        <w:t>8.</w:t>
      </w:r>
      <w:r w:rsidRPr="00063113">
        <w:rPr>
          <w:i/>
          <w:szCs w:val="18"/>
          <w:lang w:val="es-ES"/>
        </w:rPr>
        <w:t>1.7.3</w:t>
      </w:r>
      <w:r w:rsidRPr="00063113">
        <w:rPr>
          <w:i/>
          <w:szCs w:val="18"/>
          <w:lang w:val="es-ES"/>
        </w:rPr>
        <w:tab/>
      </w:r>
      <w:bookmarkEnd w:id="17"/>
      <w:bookmarkEnd w:id="18"/>
      <w:bookmarkEnd w:id="19"/>
      <w:r w:rsidR="007237BD" w:rsidRPr="0078464B">
        <w:rPr>
          <w:i/>
          <w:szCs w:val="18"/>
        </w:rPr>
        <w:t>Examen en dos etapas</w:t>
      </w:r>
    </w:p>
    <w:p w:rsidR="00712D01" w:rsidRPr="00063113" w:rsidRDefault="00712D01" w:rsidP="00712D01">
      <w:pPr>
        <w:rPr>
          <w:lang w:val="es-ES"/>
        </w:rPr>
      </w:pPr>
      <w:r w:rsidRPr="00063113">
        <w:rPr>
          <w:lang w:val="es-ES"/>
        </w:rPr>
        <w:t>8.1.7.3.1</w:t>
      </w:r>
      <w:r w:rsidRPr="00063113">
        <w:rPr>
          <w:lang w:val="es-ES"/>
        </w:rPr>
        <w:tab/>
      </w:r>
      <w:r w:rsidR="00F96F4E" w:rsidRPr="00F96F4E">
        <w:t>El método aplicado en el examen en dos etapas es el siguiente</w:t>
      </w:r>
      <w:r w:rsidR="0078464B" w:rsidRPr="00F96F4E">
        <w:t>:</w:t>
      </w:r>
      <w:r w:rsidRPr="00063113">
        <w:rPr>
          <w:lang w:val="es-ES"/>
        </w:rPr>
        <w:t xml:space="preserve"> </w:t>
      </w:r>
      <w:r w:rsidR="00F96F4E" w:rsidRPr="00F96F4E">
        <w:t>En el primer año</w:t>
      </w:r>
      <w:r w:rsidR="00EA5006">
        <w:t xml:space="preserve">, </w:t>
      </w:r>
      <w:r w:rsidR="00F96F4E" w:rsidRPr="00F96F4E">
        <w:t>se toma una muestra de tamaño n.</w:t>
      </w:r>
      <w:r w:rsidR="003B22AA" w:rsidRPr="00063113">
        <w:rPr>
          <w:lang w:val="es-ES"/>
        </w:rPr>
        <w:t xml:space="preserve"> </w:t>
      </w:r>
      <w:r w:rsidR="00F96F4E" w:rsidRPr="002250AB">
        <w:t xml:space="preserve">La variedad candidata se rechaza si se registra un número de plantas fuera de tipo mayor que </w:t>
      </w:r>
      <w:r w:rsidR="00BE0239" w:rsidRPr="002250AB">
        <w:t xml:space="preserve">a </w:t>
      </w:r>
      <w:r w:rsidR="00F96F4E" w:rsidRPr="002250AB">
        <w:t>r</w:t>
      </w:r>
      <w:r w:rsidR="00F96F4E" w:rsidRPr="002250AB">
        <w:rPr>
          <w:vertAlign w:val="subscript"/>
        </w:rPr>
        <w:t>1</w:t>
      </w:r>
      <w:r w:rsidR="00F96F4E" w:rsidRPr="002250AB">
        <w:t xml:space="preserve"> y se acepta si se registra un número de plantas fuera de tipo menor que a</w:t>
      </w:r>
      <w:r w:rsidR="00F96F4E" w:rsidRPr="002250AB">
        <w:rPr>
          <w:vertAlign w:val="subscript"/>
        </w:rPr>
        <w:t>1</w:t>
      </w:r>
      <w:r w:rsidR="00F96F4E" w:rsidRPr="002250AB">
        <w:t>.</w:t>
      </w:r>
      <w:r w:rsidR="003B22AA" w:rsidRPr="00063113">
        <w:rPr>
          <w:lang w:val="es-ES"/>
        </w:rPr>
        <w:t xml:space="preserve"> </w:t>
      </w:r>
      <w:r w:rsidR="00F96F4E" w:rsidRPr="00F96F4E">
        <w:t>En caso contrario</w:t>
      </w:r>
      <w:r w:rsidR="00EA5006">
        <w:t xml:space="preserve">, </w:t>
      </w:r>
      <w:r w:rsidR="00F96F4E" w:rsidRPr="00F96F4E">
        <w:t>se pasa al segundo año y se toma una muestra de tamaño n (como en el primer año) y se rechaza la variedad candidata si el número total de plantas fuera de tipo registradas en los dos años del examen es mayor que r.</w:t>
      </w:r>
      <w:r w:rsidR="003B22AA" w:rsidRPr="00063113">
        <w:rPr>
          <w:lang w:val="es-ES"/>
        </w:rPr>
        <w:t xml:space="preserve"> </w:t>
      </w:r>
      <w:r w:rsidR="00F96F4E" w:rsidRPr="00E6520F">
        <w:t>En caso contrario</w:t>
      </w:r>
      <w:r w:rsidR="00EA5006">
        <w:t xml:space="preserve">, </w:t>
      </w:r>
      <w:r w:rsidR="00F96F4E" w:rsidRPr="00E6520F">
        <w:t>se acepta la variedad candidata.</w:t>
      </w:r>
      <w:r w:rsidR="003B22AA" w:rsidRPr="00063113">
        <w:rPr>
          <w:lang w:val="es-ES"/>
        </w:rPr>
        <w:t xml:space="preserve"> </w:t>
      </w:r>
      <w:r w:rsidR="00E6520F" w:rsidRPr="00CA302A">
        <w:t>Los riesgos finales y el tamaño esperado de la muestra en este procedimiento pueden calcularse de la siguiente manera:</w:t>
      </w:r>
    </w:p>
    <w:p w:rsidR="00712D01" w:rsidRPr="00063113" w:rsidRDefault="00712D01" w:rsidP="00712D01">
      <w:pPr>
        <w:rPr>
          <w:lang w:val="es-ES"/>
        </w:rPr>
      </w:pPr>
    </w:p>
    <w:p w:rsidR="00FF0FBE" w:rsidRPr="00245109" w:rsidRDefault="00FF0FBE" w:rsidP="00FF0FBE">
      <w:r w:rsidRPr="00245109">
        <w:br w:type="page"/>
      </w:r>
    </w:p>
    <w:p w:rsidR="00FF0FBE" w:rsidRPr="00885B6A" w:rsidRDefault="00FF0FBE" w:rsidP="00FF0FBE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rPr>
          <w:lang w:val="pt-BR"/>
        </w:rPr>
      </w:pPr>
      <w:r w:rsidRPr="00885B6A">
        <w:rPr>
          <w:rFonts w:ascii="Greek Symbols" w:hAnsi="Greek Symbols"/>
          <w:lang w:val="pt-BR"/>
        </w:rPr>
        <w:lastRenderedPageBreak/>
        <w:br w:type="page"/>
      </w:r>
      <w:r w:rsidRPr="00885B6A">
        <w:t>α</w:t>
      </w:r>
      <w:r w:rsidRPr="00885B6A">
        <w:rPr>
          <w:lang w:val="pt-BR"/>
        </w:rPr>
        <w:tab/>
        <w:t>= P(K</w:t>
      </w:r>
      <w:r w:rsidRPr="00885B6A">
        <w:rPr>
          <w:vertAlign w:val="subscript"/>
          <w:lang w:val="pt-BR"/>
        </w:rPr>
        <w:t>1</w:t>
      </w:r>
      <w:r w:rsidRPr="00885B6A">
        <w:rPr>
          <w:lang w:val="pt-BR"/>
        </w:rPr>
        <w:t xml:space="preserve"> &gt; r</w:t>
      </w:r>
      <w:r w:rsidRPr="00885B6A">
        <w:rPr>
          <w:vertAlign w:val="subscript"/>
          <w:lang w:val="pt-BR"/>
        </w:rPr>
        <w:t>1</w:t>
      </w:r>
      <w:r w:rsidRPr="00885B6A">
        <w:rPr>
          <w:lang w:val="pt-BR"/>
        </w:rPr>
        <w:t>) + P(K</w:t>
      </w:r>
      <w:r w:rsidRPr="00885B6A">
        <w:rPr>
          <w:vertAlign w:val="subscript"/>
          <w:lang w:val="pt-BR"/>
        </w:rPr>
        <w:t>1</w:t>
      </w:r>
      <w:r w:rsidRPr="00885B6A">
        <w:rPr>
          <w:lang w:val="pt-BR"/>
        </w:rPr>
        <w:t xml:space="preserve"> + K</w:t>
      </w:r>
      <w:r w:rsidRPr="00885B6A">
        <w:rPr>
          <w:vertAlign w:val="subscript"/>
          <w:lang w:val="pt-BR"/>
        </w:rPr>
        <w:t>2</w:t>
      </w:r>
      <w:r w:rsidRPr="00885B6A">
        <w:rPr>
          <w:lang w:val="pt-BR"/>
        </w:rPr>
        <w:t xml:space="preserve"> &gt; r</w:t>
      </w:r>
      <w:r w:rsidRPr="00885B6A">
        <w:rPr>
          <w:rFonts w:ascii="Symbol" w:hAnsi="Symbol"/>
        </w:rPr>
        <w:t></w:t>
      </w:r>
      <w:r w:rsidRPr="00885B6A">
        <w:rPr>
          <w:lang w:val="pt-BR"/>
        </w:rPr>
        <w:t>K</w:t>
      </w:r>
      <w:r w:rsidRPr="00885B6A">
        <w:rPr>
          <w:vertAlign w:val="subscript"/>
          <w:lang w:val="pt-BR"/>
        </w:rPr>
        <w:t>1</w:t>
      </w:r>
      <w:r w:rsidRPr="00885B6A">
        <w:rPr>
          <w:lang w:val="pt-BR"/>
        </w:rPr>
        <w:t>)</w:t>
      </w:r>
    </w:p>
    <w:p w:rsidR="00FF0FBE" w:rsidRPr="00885B6A" w:rsidRDefault="00FF0FBE" w:rsidP="00FF0FBE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rPr>
          <w:lang w:val="pt-BR"/>
        </w:rPr>
      </w:pPr>
      <w:r w:rsidRPr="00885B6A">
        <w:rPr>
          <w:lang w:val="pt-BR"/>
        </w:rPr>
        <w:tab/>
        <w:t>= P(K</w:t>
      </w:r>
      <w:r w:rsidRPr="00885B6A">
        <w:rPr>
          <w:vertAlign w:val="subscript"/>
          <w:lang w:val="pt-BR"/>
        </w:rPr>
        <w:t>1</w:t>
      </w:r>
      <w:r w:rsidRPr="00885B6A">
        <w:rPr>
          <w:lang w:val="pt-BR"/>
        </w:rPr>
        <w:t xml:space="preserve"> &gt; r</w:t>
      </w:r>
      <w:r w:rsidRPr="00885B6A">
        <w:rPr>
          <w:vertAlign w:val="subscript"/>
          <w:lang w:val="pt-BR"/>
        </w:rPr>
        <w:t>1</w:t>
      </w:r>
      <w:r w:rsidRPr="00885B6A">
        <w:rPr>
          <w:lang w:val="pt-BR"/>
        </w:rPr>
        <w:t>) + P(K</w:t>
      </w:r>
      <w:r w:rsidRPr="00885B6A">
        <w:rPr>
          <w:vertAlign w:val="subscript"/>
          <w:lang w:val="pt-BR"/>
        </w:rPr>
        <w:t>2</w:t>
      </w:r>
      <w:r w:rsidRPr="00885B6A">
        <w:rPr>
          <w:lang w:val="pt-BR"/>
        </w:rPr>
        <w:t xml:space="preserve"> &gt; r-K</w:t>
      </w:r>
      <w:r w:rsidRPr="00885B6A">
        <w:rPr>
          <w:vertAlign w:val="subscript"/>
          <w:lang w:val="pt-BR"/>
        </w:rPr>
        <w:t>1</w:t>
      </w:r>
      <w:r w:rsidRPr="00885B6A">
        <w:rPr>
          <w:rFonts w:ascii="Symbol" w:hAnsi="Symbol"/>
        </w:rPr>
        <w:t></w:t>
      </w:r>
      <w:r w:rsidRPr="00885B6A">
        <w:rPr>
          <w:lang w:val="pt-BR"/>
        </w:rPr>
        <w:t>K</w:t>
      </w:r>
      <w:r w:rsidRPr="00885B6A">
        <w:rPr>
          <w:vertAlign w:val="subscript"/>
          <w:lang w:val="pt-BR"/>
        </w:rPr>
        <w:t>1</w:t>
      </w:r>
      <w:r w:rsidRPr="00885B6A">
        <w:rPr>
          <w:lang w:val="pt-BR"/>
        </w:rPr>
        <w:t>)</w:t>
      </w:r>
    </w:p>
    <w:p w:rsidR="00FF0FBE" w:rsidRPr="00885B6A" w:rsidRDefault="00FF0FBE" w:rsidP="00FF0FBE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jc w:val="center"/>
        <w:rPr>
          <w:lang w:val="pt-BR"/>
        </w:rPr>
      </w:pPr>
    </w:p>
    <w:p w:rsidR="00FF0FBE" w:rsidRPr="00885B6A" w:rsidRDefault="00FF0FBE" w:rsidP="00FF0FBE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</w:pPr>
      <w:r w:rsidRPr="00885B6A">
        <w:rPr>
          <w:position w:val="-32"/>
        </w:rPr>
        <w:object w:dxaOrig="6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55pt;height:36.3pt" o:ole="" fillcolor="window">
            <v:imagedata r:id="rId11" o:title=""/>
          </v:shape>
          <o:OLEObject Type="Embed" ProgID="Equation.3" ShapeID="_x0000_i1025" DrawAspect="Content" ObjectID="_1600760848" r:id="rId12"/>
        </w:object>
      </w:r>
    </w:p>
    <w:p w:rsidR="00FF0FBE" w:rsidRPr="00885B6A" w:rsidRDefault="00FF0FBE" w:rsidP="00FF0FBE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jc w:val="center"/>
      </w:pPr>
    </w:p>
    <w:p w:rsidR="00FF0FBE" w:rsidRPr="00885B6A" w:rsidRDefault="00FF0FBE" w:rsidP="00FF0FBE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</w:pPr>
      <w:r w:rsidRPr="00885B6A">
        <w:t>β</w:t>
      </w:r>
      <w:r w:rsidRPr="00885B6A">
        <w:rPr>
          <w:vertAlign w:val="subscript"/>
        </w:rPr>
        <w:t xml:space="preserve"> q</w:t>
      </w:r>
      <w:r w:rsidRPr="00885B6A">
        <w:rPr>
          <w:vertAlign w:val="subscript"/>
        </w:rPr>
        <w:tab/>
      </w:r>
      <w:r w:rsidRPr="00885B6A">
        <w:t>= P(K</w:t>
      </w:r>
      <w:r w:rsidRPr="00885B6A">
        <w:rPr>
          <w:vertAlign w:val="subscript"/>
        </w:rPr>
        <w:t>1</w:t>
      </w:r>
      <w:r w:rsidRPr="00885B6A">
        <w:t xml:space="preserve"> &lt; α</w:t>
      </w:r>
      <w:r w:rsidR="00EA5006" w:rsidRPr="00885B6A">
        <w:rPr>
          <w:vertAlign w:val="subscript"/>
        </w:rPr>
        <w:t> 1</w:t>
      </w:r>
      <w:r w:rsidRPr="00885B6A">
        <w:t>) + P(K</w:t>
      </w:r>
      <w:r w:rsidRPr="00885B6A">
        <w:rPr>
          <w:vertAlign w:val="subscript"/>
        </w:rPr>
        <w:t>1</w:t>
      </w:r>
      <w:r w:rsidRPr="00885B6A">
        <w:t xml:space="preserve"> + K</w:t>
      </w:r>
      <w:r w:rsidRPr="00885B6A">
        <w:rPr>
          <w:vertAlign w:val="subscript"/>
        </w:rPr>
        <w:t>2</w:t>
      </w:r>
      <w:r w:rsidRPr="00885B6A">
        <w:t xml:space="preserve"> </w:t>
      </w:r>
      <w:r w:rsidRPr="00885B6A">
        <w:rPr>
          <w:rFonts w:ascii="Symbol" w:hAnsi="Symbol"/>
        </w:rPr>
        <w:t></w:t>
      </w:r>
      <w:r w:rsidRPr="00885B6A">
        <w:t xml:space="preserve"> r</w:t>
      </w:r>
      <w:r w:rsidRPr="00885B6A">
        <w:rPr>
          <w:rFonts w:ascii="Symbol" w:hAnsi="Symbol"/>
        </w:rPr>
        <w:t></w:t>
      </w:r>
      <w:r w:rsidRPr="00885B6A">
        <w:t>K</w:t>
      </w:r>
      <w:r w:rsidRPr="00885B6A">
        <w:rPr>
          <w:vertAlign w:val="subscript"/>
        </w:rPr>
        <w:t>1</w:t>
      </w:r>
      <w:r w:rsidRPr="00885B6A">
        <w:t>)</w:t>
      </w:r>
      <w:r w:rsidR="003B22AA" w:rsidRPr="00885B6A">
        <w:t xml:space="preserve"> </w:t>
      </w:r>
    </w:p>
    <w:p w:rsidR="00FF0FBE" w:rsidRPr="00885B6A" w:rsidRDefault="00FF0FBE" w:rsidP="00FF0FBE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ind w:firstLine="339"/>
      </w:pPr>
      <w:r w:rsidRPr="00885B6A">
        <w:t>= P(K</w:t>
      </w:r>
      <w:r w:rsidRPr="00885B6A">
        <w:rPr>
          <w:vertAlign w:val="subscript"/>
        </w:rPr>
        <w:t>1</w:t>
      </w:r>
      <w:r w:rsidRPr="00885B6A">
        <w:t xml:space="preserve"> &lt; α</w:t>
      </w:r>
      <w:r w:rsidR="00EA5006" w:rsidRPr="00885B6A">
        <w:rPr>
          <w:vertAlign w:val="subscript"/>
        </w:rPr>
        <w:t> 1</w:t>
      </w:r>
      <w:r w:rsidRPr="00885B6A">
        <w:t>) + P(K</w:t>
      </w:r>
      <w:r w:rsidRPr="00885B6A">
        <w:rPr>
          <w:vertAlign w:val="subscript"/>
        </w:rPr>
        <w:t>2</w:t>
      </w:r>
      <w:r w:rsidRPr="00885B6A">
        <w:t xml:space="preserve"> </w:t>
      </w:r>
      <w:r w:rsidRPr="00885B6A">
        <w:rPr>
          <w:rFonts w:ascii="Symbol" w:hAnsi="Symbol"/>
        </w:rPr>
        <w:t></w:t>
      </w:r>
      <w:r w:rsidRPr="00885B6A">
        <w:t xml:space="preserve"> r-K</w:t>
      </w:r>
      <w:r w:rsidRPr="00885B6A">
        <w:rPr>
          <w:vertAlign w:val="subscript"/>
        </w:rPr>
        <w:t>1</w:t>
      </w:r>
      <w:r w:rsidRPr="00885B6A">
        <w:rPr>
          <w:rFonts w:ascii="Symbol" w:hAnsi="Symbol"/>
        </w:rPr>
        <w:t></w:t>
      </w:r>
      <w:r w:rsidRPr="00885B6A">
        <w:t>K</w:t>
      </w:r>
      <w:r w:rsidRPr="00885B6A">
        <w:rPr>
          <w:vertAlign w:val="subscript"/>
        </w:rPr>
        <w:t>1</w:t>
      </w:r>
      <w:r w:rsidRPr="00885B6A">
        <w:t>)</w:t>
      </w:r>
    </w:p>
    <w:p w:rsidR="00FF0FBE" w:rsidRPr="00885B6A" w:rsidRDefault="00FF0FBE" w:rsidP="00FF0FBE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jc w:val="center"/>
      </w:pPr>
    </w:p>
    <w:p w:rsidR="00FF0FBE" w:rsidRPr="00885B6A" w:rsidRDefault="00FF0FBE" w:rsidP="00FF0FBE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</w:pPr>
      <w:r w:rsidRPr="00885B6A">
        <w:rPr>
          <w:position w:val="-32"/>
        </w:rPr>
        <w:object w:dxaOrig="6540" w:dyaOrig="740">
          <v:shape id="_x0000_i1026" type="#_x0000_t75" style="width:326.2pt;height:36.3pt" o:ole="" fillcolor="window">
            <v:imagedata r:id="rId13" o:title=""/>
          </v:shape>
          <o:OLEObject Type="Embed" ProgID="Equation.3" ShapeID="_x0000_i1026" DrawAspect="Content" ObjectID="_1600760849" r:id="rId14"/>
        </w:object>
      </w:r>
    </w:p>
    <w:p w:rsidR="00FF0FBE" w:rsidRPr="00885B6A" w:rsidRDefault="00FF0FBE" w:rsidP="00FF0FBE">
      <w:pPr>
        <w:rPr>
          <w:sz w:val="16"/>
        </w:rPr>
      </w:pPr>
    </w:p>
    <w:p w:rsidR="00FF0FBE" w:rsidRPr="00885B6A" w:rsidRDefault="00FF0FBE" w:rsidP="00FF0FBE">
      <w:pPr>
        <w:framePr w:w="8835" w:hSpace="240" w:vSpace="240" w:wrap="auto" w:vAnchor="text" w:hAnchor="margin" w:x="-2" w:y="37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ind w:left="851"/>
      </w:pPr>
      <w:r w:rsidRPr="00885B6A">
        <w:rPr>
          <w:position w:val="-34"/>
        </w:rPr>
        <w:object w:dxaOrig="6540" w:dyaOrig="800">
          <v:shape id="_x0000_i1027" type="#_x0000_t75" style="width:326.2pt;height:40.05pt" o:ole="" fillcolor="window">
            <v:imagedata r:id="rId15" o:title=""/>
          </v:shape>
          <o:OLEObject Type="Embed" ProgID="Equation.3" ShapeID="_x0000_i1027" DrawAspect="Content" ObjectID="_1600760850" r:id="rId16"/>
        </w:object>
      </w:r>
    </w:p>
    <w:p w:rsidR="00FF0FBE" w:rsidRDefault="00FF0FBE">
      <w:pPr>
        <w:jc w:val="left"/>
      </w:pPr>
    </w:p>
    <w:p w:rsidR="00712D01" w:rsidRPr="00063113" w:rsidRDefault="00CA302A" w:rsidP="00712D01">
      <w:pPr>
        <w:rPr>
          <w:lang w:val="es-ES"/>
        </w:rPr>
      </w:pPr>
      <w:r w:rsidRPr="00E450EC">
        <w:t>donde:</w:t>
      </w:r>
      <w:r w:rsidR="00712D01" w:rsidRPr="00063113">
        <w:rPr>
          <w:lang w:val="es-ES"/>
        </w:rPr>
        <w:t xml:space="preserve"> </w:t>
      </w:r>
    </w:p>
    <w:p w:rsidR="00712D01" w:rsidRPr="00063113" w:rsidRDefault="00712D01" w:rsidP="00712D01">
      <w:pPr>
        <w:rPr>
          <w:i/>
          <w:szCs w:val="24"/>
          <w:lang w:val="es-ES"/>
        </w:rPr>
      </w:pPr>
    </w:p>
    <w:p w:rsidR="00712D01" w:rsidRPr="00063113" w:rsidRDefault="00712D01" w:rsidP="00712D01">
      <w:pPr>
        <w:rPr>
          <w:lang w:val="es-ES"/>
        </w:rPr>
      </w:pPr>
      <w:r w:rsidRPr="00063113">
        <w:rPr>
          <w:lang w:val="es-ES"/>
        </w:rPr>
        <w:t>P</w:t>
      </w:r>
      <w:r w:rsidRPr="00063113">
        <w:rPr>
          <w:lang w:val="es-ES"/>
        </w:rPr>
        <w:tab/>
        <w:t>=</w:t>
      </w:r>
      <w:r w:rsidRPr="00063113">
        <w:rPr>
          <w:lang w:val="es-ES"/>
        </w:rPr>
        <w:tab/>
      </w:r>
      <w:r w:rsidR="00E450EC" w:rsidRPr="00E450EC">
        <w:t>población estándar</w:t>
      </w:r>
    </w:p>
    <w:p w:rsidR="00712D01" w:rsidRPr="00063113" w:rsidRDefault="00712D01" w:rsidP="00712D01">
      <w:pPr>
        <w:rPr>
          <w:lang w:val="es-ES"/>
        </w:rPr>
      </w:pPr>
      <w:r w:rsidRPr="00885B6A">
        <w:t>α</w:t>
      </w:r>
      <w:r w:rsidRPr="00063113">
        <w:rPr>
          <w:lang w:val="es-ES"/>
        </w:rPr>
        <w:tab/>
        <w:t>=</w:t>
      </w:r>
      <w:r w:rsidRPr="00063113">
        <w:rPr>
          <w:lang w:val="es-ES"/>
        </w:rPr>
        <w:tab/>
      </w:r>
      <w:r w:rsidR="00E450EC" w:rsidRPr="00E450EC">
        <w:t>probabilidad efectiva de error de tipo I para P</w:t>
      </w:r>
    </w:p>
    <w:p w:rsidR="00712D01" w:rsidRPr="00063113" w:rsidRDefault="00712D01" w:rsidP="00712D01">
      <w:pPr>
        <w:rPr>
          <w:lang w:val="es-ES"/>
        </w:rPr>
      </w:pPr>
      <w:r w:rsidRPr="00885B6A">
        <w:t>β</w:t>
      </w:r>
      <w:r w:rsidRPr="00063113">
        <w:rPr>
          <w:vertAlign w:val="subscript"/>
          <w:lang w:val="es-ES"/>
        </w:rPr>
        <w:t>q</w:t>
      </w:r>
      <w:r w:rsidRPr="00063113">
        <w:rPr>
          <w:lang w:val="es-ES"/>
        </w:rPr>
        <w:tab/>
        <w:t>=</w:t>
      </w:r>
      <w:r w:rsidRPr="00063113">
        <w:rPr>
          <w:lang w:val="es-ES"/>
        </w:rPr>
        <w:tab/>
      </w:r>
      <w:r w:rsidR="00E450EC" w:rsidRPr="00E450EC">
        <w:t xml:space="preserve">probabilidad efectiva de error de tipo II para </w:t>
      </w:r>
      <w:r w:rsidR="00583497">
        <w:t>q·P</w:t>
      </w:r>
    </w:p>
    <w:p w:rsidR="00712D01" w:rsidRPr="00063113" w:rsidRDefault="00712D01" w:rsidP="00712D01">
      <w:pPr>
        <w:rPr>
          <w:lang w:val="es-ES"/>
        </w:rPr>
      </w:pPr>
      <w:r w:rsidRPr="00063113">
        <w:rPr>
          <w:lang w:val="es-ES"/>
        </w:rPr>
        <w:t>n</w:t>
      </w:r>
      <w:r w:rsidR="00401C7A" w:rsidRPr="00063113">
        <w:rPr>
          <w:vertAlign w:val="subscript"/>
          <w:lang w:val="es-ES"/>
        </w:rPr>
        <w:t>p</w:t>
      </w:r>
      <w:r w:rsidRPr="00063113">
        <w:rPr>
          <w:lang w:val="es-ES"/>
        </w:rPr>
        <w:tab/>
        <w:t>=</w:t>
      </w:r>
      <w:r w:rsidRPr="00063113">
        <w:rPr>
          <w:lang w:val="es-ES"/>
        </w:rPr>
        <w:tab/>
      </w:r>
      <w:r w:rsidR="00761378" w:rsidRPr="00761378">
        <w:t>tamaño de muestra previsto</w:t>
      </w:r>
    </w:p>
    <w:p w:rsidR="00712D01" w:rsidRPr="00063113" w:rsidRDefault="00761378" w:rsidP="00712D01">
      <w:pPr>
        <w:rPr>
          <w:lang w:val="es-ES"/>
        </w:rPr>
      </w:pPr>
      <w:r w:rsidRPr="00761378">
        <w:t>r</w:t>
      </w:r>
      <w:r w:rsidRPr="00761378">
        <w:rPr>
          <w:vertAlign w:val="subscript"/>
        </w:rPr>
        <w:t>1</w:t>
      </w:r>
      <w:r w:rsidR="00EA5006">
        <w:t xml:space="preserve">, </w:t>
      </w:r>
      <w:r w:rsidRPr="00761378">
        <w:t>a</w:t>
      </w:r>
      <w:r w:rsidRPr="00761378">
        <w:rPr>
          <w:vertAlign w:val="subscript"/>
        </w:rPr>
        <w:t>1</w:t>
      </w:r>
      <w:r w:rsidRPr="00761378">
        <w:t xml:space="preserve"> y r son parámetros de decisión</w:t>
      </w:r>
    </w:p>
    <w:p w:rsidR="00712D01" w:rsidRPr="00063113" w:rsidRDefault="00712D01" w:rsidP="00712D01">
      <w:pPr>
        <w:rPr>
          <w:lang w:val="es-ES"/>
        </w:rPr>
      </w:pPr>
      <w:r w:rsidRPr="00063113">
        <w:rPr>
          <w:lang w:val="es-ES"/>
        </w:rPr>
        <w:t>P</w:t>
      </w:r>
      <w:r w:rsidRPr="00063113">
        <w:rPr>
          <w:vertAlign w:val="subscript"/>
          <w:lang w:val="es-ES"/>
        </w:rPr>
        <w:t>q</w:t>
      </w:r>
      <w:r w:rsidRPr="00063113">
        <w:rPr>
          <w:lang w:val="es-ES"/>
        </w:rPr>
        <w:tab/>
        <w:t>=</w:t>
      </w:r>
      <w:r w:rsidRPr="00063113">
        <w:rPr>
          <w:lang w:val="es-ES"/>
        </w:rPr>
        <w:tab/>
      </w:r>
      <w:r w:rsidR="00761378" w:rsidRPr="00761378">
        <w:t xml:space="preserve">q veces la población estándar = </w:t>
      </w:r>
      <w:r w:rsidR="00583497">
        <w:t>q·P</w:t>
      </w:r>
    </w:p>
    <w:p w:rsidR="00712D01" w:rsidRPr="00063113" w:rsidRDefault="00EB5BFE" w:rsidP="00712D01">
      <w:pPr>
        <w:rPr>
          <w:lang w:val="es-ES"/>
        </w:rPr>
      </w:pPr>
      <w:r w:rsidRPr="00EB5BFE">
        <w:t>K</w:t>
      </w:r>
      <w:r w:rsidRPr="00EB5BFE">
        <w:rPr>
          <w:vertAlign w:val="subscript"/>
        </w:rPr>
        <w:t>1</w:t>
      </w:r>
      <w:r w:rsidRPr="00EB5BFE">
        <w:t xml:space="preserve"> y K</w:t>
      </w:r>
      <w:r w:rsidRPr="00EB5BFE">
        <w:rPr>
          <w:vertAlign w:val="subscript"/>
        </w:rPr>
        <w:t>2</w:t>
      </w:r>
      <w:r w:rsidRPr="00EB5BFE">
        <w:t xml:space="preserve"> son los números de plantas fuera de tipo encontradas en los años</w:t>
      </w:r>
      <w:r w:rsidR="00EA5006">
        <w:t> </w:t>
      </w:r>
      <w:r w:rsidR="00EA5006" w:rsidRPr="00EB5BFE">
        <w:t>1</w:t>
      </w:r>
      <w:r w:rsidRPr="00EB5BFE">
        <w:t xml:space="preserve"> y</w:t>
      </w:r>
      <w:r w:rsidR="00EA5006">
        <w:t> </w:t>
      </w:r>
      <w:r w:rsidR="00EA5006" w:rsidRPr="00EB5BFE">
        <w:t>2</w:t>
      </w:r>
      <w:r w:rsidR="00EA5006">
        <w:t xml:space="preserve">, </w:t>
      </w:r>
      <w:r w:rsidRPr="00EB5BFE">
        <w:t>respectivamente.</w:t>
      </w:r>
    </w:p>
    <w:p w:rsidR="00712D01" w:rsidRPr="00063113" w:rsidRDefault="00712D01" w:rsidP="00712D01">
      <w:pPr>
        <w:rPr>
          <w:lang w:val="es-ES"/>
        </w:rPr>
      </w:pPr>
    </w:p>
    <w:p w:rsidR="00712D01" w:rsidRPr="00063113" w:rsidRDefault="00401C7A" w:rsidP="00712D01">
      <w:pPr>
        <w:rPr>
          <w:lang w:val="es-ES"/>
        </w:rPr>
      </w:pPr>
      <w:r w:rsidRPr="00401C7A">
        <w:t>Los parámetros de decisión a</w:t>
      </w:r>
      <w:r w:rsidRPr="00401C7A">
        <w:rPr>
          <w:vertAlign w:val="subscript"/>
        </w:rPr>
        <w:t>1</w:t>
      </w:r>
      <w:r w:rsidR="00EA5006">
        <w:t xml:space="preserve">, </w:t>
      </w:r>
      <w:r w:rsidRPr="00401C7A">
        <w:t>r</w:t>
      </w:r>
      <w:r w:rsidRPr="00401C7A">
        <w:rPr>
          <w:vertAlign w:val="subscript"/>
        </w:rPr>
        <w:t>1</w:t>
      </w:r>
      <w:r w:rsidRPr="00401C7A">
        <w:t xml:space="preserve"> y r pueden elegirse según los siguientes criterios:</w:t>
      </w:r>
    </w:p>
    <w:p w:rsidR="00712D01" w:rsidRPr="00063113" w:rsidRDefault="00712D01" w:rsidP="00712D01">
      <w:pPr>
        <w:ind w:left="339" w:hanging="339"/>
        <w:rPr>
          <w:sz w:val="16"/>
          <w:lang w:val="es-ES"/>
        </w:rPr>
      </w:pPr>
    </w:p>
    <w:p w:rsidR="00712D01" w:rsidRPr="00063113" w:rsidRDefault="00401C7A" w:rsidP="00EC0CE7">
      <w:pPr>
        <w:numPr>
          <w:ilvl w:val="0"/>
          <w:numId w:val="1"/>
        </w:numPr>
        <w:tabs>
          <w:tab w:val="left" w:pos="567"/>
        </w:tabs>
        <w:ind w:left="567" w:hanging="567"/>
        <w:rPr>
          <w:lang w:val="es-ES"/>
        </w:rPr>
      </w:pPr>
      <w:r w:rsidRPr="00401C7A">
        <w:t>α debe ser inferior a α</w:t>
      </w:r>
      <w:r w:rsidRPr="00401C7A">
        <w:rPr>
          <w:vertAlign w:val="subscript"/>
        </w:rPr>
        <w:t>0</w:t>
      </w:r>
      <w:r w:rsidR="00EA5006">
        <w:t xml:space="preserve">, </w:t>
      </w:r>
      <w:r w:rsidRPr="00401C7A">
        <w:t>donde α</w:t>
      </w:r>
      <w:r w:rsidRPr="00401C7A">
        <w:rPr>
          <w:vertAlign w:val="subscript"/>
        </w:rPr>
        <w:t>0</w:t>
      </w:r>
      <w:r w:rsidRPr="00401C7A">
        <w:t xml:space="preserve"> es el error de tipo I máximo</w:t>
      </w:r>
      <w:r w:rsidR="00EA5006">
        <w:t xml:space="preserve">, </w:t>
      </w:r>
      <w:r w:rsidRPr="00401C7A">
        <w:t>es decir</w:t>
      </w:r>
      <w:r w:rsidR="00EA5006">
        <w:t xml:space="preserve">, </w:t>
      </w:r>
      <w:r w:rsidRPr="00401C7A">
        <w:t>α</w:t>
      </w:r>
      <w:r w:rsidRPr="00401C7A">
        <w:rPr>
          <w:vertAlign w:val="subscript"/>
        </w:rPr>
        <w:t>0</w:t>
      </w:r>
      <w:r w:rsidRPr="00401C7A">
        <w:t xml:space="preserve"> es</w:t>
      </w:r>
      <w:r w:rsidR="00EA5006">
        <w:t> </w:t>
      </w:r>
      <w:r w:rsidR="00EA5006" w:rsidRPr="00401C7A">
        <w:t>1</w:t>
      </w:r>
      <w:r w:rsidRPr="00401C7A">
        <w:t>00 menos la probabilidad de aceptación requerida</w:t>
      </w:r>
    </w:p>
    <w:p w:rsidR="00712D01" w:rsidRPr="00063113" w:rsidRDefault="00401C7A" w:rsidP="00EC0CE7">
      <w:pPr>
        <w:numPr>
          <w:ilvl w:val="0"/>
          <w:numId w:val="1"/>
        </w:numPr>
        <w:tabs>
          <w:tab w:val="left" w:pos="567"/>
        </w:tabs>
        <w:ind w:left="567" w:hanging="567"/>
        <w:rPr>
          <w:lang w:val="es-ES"/>
        </w:rPr>
      </w:pPr>
      <w:r w:rsidRPr="00401C7A">
        <w:t>β</w:t>
      </w:r>
      <w:r w:rsidRPr="00401C7A">
        <w:rPr>
          <w:vertAlign w:val="subscript"/>
        </w:rPr>
        <w:t>q</w:t>
      </w:r>
      <w:r w:rsidRPr="00401C7A">
        <w:t xml:space="preserve"> (para q=5) debería ser lo más pequeña posible pero no inferior a α</w:t>
      </w:r>
      <w:r w:rsidRPr="00401C7A">
        <w:rPr>
          <w:vertAlign w:val="subscript"/>
        </w:rPr>
        <w:t>0</w:t>
      </w:r>
    </w:p>
    <w:p w:rsidR="00712D01" w:rsidRPr="00063113" w:rsidRDefault="00401C7A" w:rsidP="00EC0CE7">
      <w:pPr>
        <w:numPr>
          <w:ilvl w:val="0"/>
          <w:numId w:val="1"/>
        </w:numPr>
        <w:tabs>
          <w:tab w:val="left" w:pos="567"/>
        </w:tabs>
        <w:ind w:left="567" w:hanging="567"/>
        <w:rPr>
          <w:lang w:val="es-ES"/>
        </w:rPr>
      </w:pPr>
      <w:r w:rsidRPr="008F41F8">
        <w:t>si β</w:t>
      </w:r>
      <w:r w:rsidRPr="008F41F8">
        <w:rPr>
          <w:vertAlign w:val="subscript"/>
        </w:rPr>
        <w:t>q</w:t>
      </w:r>
      <w:r w:rsidRPr="008F41F8">
        <w:t xml:space="preserve"> (para q=5) &lt; α</w:t>
      </w:r>
      <w:r w:rsidRPr="008F41F8">
        <w:rPr>
          <w:vertAlign w:val="subscript"/>
        </w:rPr>
        <w:t>0</w:t>
      </w:r>
      <w:r w:rsidR="009F16B8" w:rsidRPr="008F41F8">
        <w:t xml:space="preserve">, </w:t>
      </w:r>
      <w:r w:rsidRPr="008F41F8">
        <w:t>n</w:t>
      </w:r>
      <w:r w:rsidRPr="008F41F8">
        <w:rPr>
          <w:vertAlign w:val="subscript"/>
        </w:rPr>
        <w:t>p</w:t>
      </w:r>
      <w:r w:rsidRPr="008F41F8">
        <w:t xml:space="preserve"> debería ser lo más pequeño posible</w:t>
      </w:r>
      <w:r w:rsidRPr="008F41F8">
        <w:rPr>
          <w:rFonts w:ascii="Greek Symbols" w:hAnsi="Greek Symbols"/>
        </w:rPr>
        <w:t></w:t>
      </w:r>
    </w:p>
    <w:p w:rsidR="00712D01" w:rsidRPr="00063113" w:rsidRDefault="00712D01" w:rsidP="00712D01">
      <w:pPr>
        <w:rPr>
          <w:lang w:val="es-ES"/>
        </w:rPr>
      </w:pPr>
    </w:p>
    <w:p w:rsidR="00712D01" w:rsidRPr="001951AD" w:rsidRDefault="00712D01" w:rsidP="00712D01">
      <w:pPr>
        <w:rPr>
          <w:lang w:val="es-ES"/>
        </w:rPr>
      </w:pPr>
      <w:r w:rsidRPr="00063113">
        <w:rPr>
          <w:lang w:val="es-ES"/>
        </w:rPr>
        <w:t>8.1.7.3.2</w:t>
      </w:r>
      <w:r w:rsidRPr="00063113">
        <w:rPr>
          <w:lang w:val="es-ES"/>
        </w:rPr>
        <w:tab/>
      </w:r>
      <w:r w:rsidR="007D0555" w:rsidRPr="007D0555">
        <w:t>Sin embargo</w:t>
      </w:r>
      <w:r w:rsidR="00EA5006">
        <w:t xml:space="preserve">, </w:t>
      </w:r>
      <w:r w:rsidR="007D0555" w:rsidRPr="007D0555">
        <w:t>hay otras estrategias posibles.</w:t>
      </w:r>
      <w:r w:rsidR="003B22AA" w:rsidRPr="00063113">
        <w:rPr>
          <w:lang w:val="es-ES"/>
        </w:rPr>
        <w:t xml:space="preserve"> </w:t>
      </w:r>
      <w:r w:rsidR="009802D8" w:rsidRPr="009802D8">
        <w:t>No se reproducen aquí cuadros y figuras porque puede haber varios programas de decisión diferentes que satisfagan un determinado conjunto de riesgos</w:t>
      </w:r>
      <w:r w:rsidR="007D0555" w:rsidRPr="009802D8">
        <w:t>.</w:t>
      </w:r>
      <w:r w:rsidR="003B22AA" w:rsidRPr="001951AD">
        <w:rPr>
          <w:lang w:val="es-ES"/>
        </w:rPr>
        <w:t xml:space="preserve"> </w:t>
      </w:r>
      <w:r w:rsidR="009802D8" w:rsidRPr="009802D8">
        <w:t>Se recomienda consultar a un experto en estadística cuando sea necesario efectuar un ensayo en dos etapas u otros ensayos secuenciales.</w:t>
      </w:r>
    </w:p>
    <w:p w:rsidR="00712D01" w:rsidRPr="001951AD" w:rsidRDefault="00712D01" w:rsidP="00712D01">
      <w:pPr>
        <w:rPr>
          <w:lang w:val="es-ES"/>
        </w:rPr>
      </w:pPr>
    </w:p>
    <w:p w:rsidR="00712D01" w:rsidRPr="001951AD" w:rsidRDefault="00712D01" w:rsidP="009802D8">
      <w:pPr>
        <w:keepNext/>
        <w:spacing w:after="240"/>
        <w:ind w:left="1701" w:hanging="1134"/>
        <w:jc w:val="left"/>
        <w:outlineLvl w:val="4"/>
        <w:rPr>
          <w:i/>
          <w:szCs w:val="18"/>
          <w:lang w:val="es-ES"/>
        </w:rPr>
      </w:pPr>
      <w:bookmarkStart w:id="20" w:name="_Toc154368854"/>
      <w:bookmarkStart w:id="21" w:name="_Toc219640841"/>
      <w:bookmarkStart w:id="22" w:name="_Toc463359625"/>
      <w:r w:rsidRPr="001951AD">
        <w:rPr>
          <w:i/>
          <w:szCs w:val="18"/>
          <w:lang w:val="es-ES"/>
        </w:rPr>
        <w:t>8.1.7.4</w:t>
      </w:r>
      <w:r w:rsidRPr="001951AD">
        <w:rPr>
          <w:i/>
          <w:szCs w:val="18"/>
          <w:lang w:val="es-ES"/>
        </w:rPr>
        <w:tab/>
      </w:r>
      <w:bookmarkEnd w:id="20"/>
      <w:bookmarkEnd w:id="21"/>
      <w:bookmarkEnd w:id="22"/>
      <w:r w:rsidR="009802D8" w:rsidRPr="009802D8">
        <w:rPr>
          <w:i/>
          <w:szCs w:val="18"/>
        </w:rPr>
        <w:t>Ensayos secuenciales</w:t>
      </w:r>
    </w:p>
    <w:p w:rsidR="00712D01" w:rsidRPr="001951AD" w:rsidRDefault="00AE4F49" w:rsidP="00712D01">
      <w:pPr>
        <w:rPr>
          <w:lang w:val="es-ES"/>
        </w:rPr>
      </w:pPr>
      <w:r w:rsidRPr="00AE4F49">
        <w:t>El ensayo en dos etapas antes mencionado es un tipo de ensayo secuencial en el que el resultado de la primera etapa determina si es necesario continuar el ensayo y pasar a una segunda etapa</w:t>
      </w:r>
      <w:r w:rsidR="009802D8" w:rsidRPr="00AE4F49">
        <w:t>.</w:t>
      </w:r>
      <w:r w:rsidR="003B22AA" w:rsidRPr="001951AD">
        <w:rPr>
          <w:lang w:val="es-ES"/>
        </w:rPr>
        <w:t xml:space="preserve"> </w:t>
      </w:r>
      <w:r w:rsidRPr="00AE4F49">
        <w:t>Pueden ser aplicables otros tipos de ensayos secuenciales y</w:t>
      </w:r>
      <w:r w:rsidR="003B22AA" w:rsidRPr="001951AD">
        <w:rPr>
          <w:lang w:val="es-ES"/>
        </w:rPr>
        <w:t xml:space="preserve"> </w:t>
      </w:r>
      <w:r w:rsidRPr="007D13CA">
        <w:t>puede ser pertinente considerarlos si el trabajo práctico permite la evaluación de las plantas fuera de tipo en ciertas etapas del examen.</w:t>
      </w:r>
      <w:r w:rsidR="003B22AA" w:rsidRPr="001951AD">
        <w:rPr>
          <w:lang w:val="es-ES"/>
        </w:rPr>
        <w:t xml:space="preserve"> </w:t>
      </w:r>
      <w:r w:rsidR="007D13CA" w:rsidRPr="007D13CA">
        <w:t>Los programas de decisión para esos métodos pueden establecerse de muchas maneras diferentes y se recomienda consultar a un experto en estadística cuando vayan a aplicarse métodos secuenciales.</w:t>
      </w:r>
    </w:p>
    <w:p w:rsidR="00712D01" w:rsidRPr="001951AD" w:rsidRDefault="00712D01" w:rsidP="00712D01">
      <w:pPr>
        <w:rPr>
          <w:lang w:val="es-ES"/>
        </w:rPr>
      </w:pPr>
    </w:p>
    <w:p w:rsidR="00712D01" w:rsidRPr="001951AD" w:rsidRDefault="00712D01" w:rsidP="00712D01">
      <w:pPr>
        <w:rPr>
          <w:lang w:val="es-ES"/>
        </w:rPr>
      </w:pPr>
    </w:p>
    <w:p w:rsidR="00712D01" w:rsidRPr="001951AD" w:rsidRDefault="00712D01" w:rsidP="00712D01">
      <w:pPr>
        <w:rPr>
          <w:lang w:val="es-ES"/>
        </w:rPr>
      </w:pPr>
    </w:p>
    <w:p w:rsidR="00712D01" w:rsidRPr="001951AD" w:rsidRDefault="007D13CA" w:rsidP="00712D01">
      <w:pPr>
        <w:jc w:val="right"/>
        <w:rPr>
          <w:lang w:val="es-ES"/>
        </w:rPr>
      </w:pPr>
      <w:r w:rsidRPr="007D13CA">
        <w:t>[Sigue el Anexo II]</w:t>
      </w:r>
    </w:p>
    <w:p w:rsidR="00712D01" w:rsidRPr="001951AD" w:rsidRDefault="00712D01" w:rsidP="00712D01">
      <w:pPr>
        <w:jc w:val="right"/>
        <w:rPr>
          <w:lang w:val="es-ES"/>
        </w:rPr>
        <w:sectPr w:rsidR="00712D01" w:rsidRPr="001951AD" w:rsidSect="00C12C7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712D01" w:rsidRPr="001951AD" w:rsidRDefault="00712D01" w:rsidP="00712D01">
      <w:pPr>
        <w:ind w:left="-567" w:right="-567"/>
        <w:rPr>
          <w:rFonts w:cs="Arial"/>
          <w:caps/>
          <w:snapToGrid w:val="0"/>
          <w:lang w:val="es-ES"/>
        </w:rPr>
      </w:pPr>
    </w:p>
    <w:p w:rsidR="00712D01" w:rsidRPr="001951AD" w:rsidRDefault="007D13CA" w:rsidP="00712D01">
      <w:pPr>
        <w:jc w:val="center"/>
        <w:rPr>
          <w:caps/>
          <w:lang w:val="es-ES"/>
        </w:rPr>
      </w:pPr>
      <w:r w:rsidRPr="00373E0E">
        <w:rPr>
          <w:rFonts w:cs="Arial"/>
          <w:snapToGrid w:val="0"/>
        </w:rPr>
        <w:t xml:space="preserve">PROYECTO DE PROPUESTA </w:t>
      </w:r>
      <w:r w:rsidRPr="00373E0E">
        <w:rPr>
          <w:rFonts w:cs="Arial"/>
          <w:caps/>
          <w:snapToGrid w:val="0"/>
        </w:rPr>
        <w:t>DE REVISIÓN DEL DOCUMENTO TGP/8: PARTE II: SECCIÓN</w:t>
      </w:r>
      <w:r w:rsidR="00EA5006" w:rsidRPr="00373E0E">
        <w:rPr>
          <w:rFonts w:cs="Arial"/>
          <w:caps/>
          <w:snapToGrid w:val="0"/>
        </w:rPr>
        <w:t> 8</w:t>
      </w:r>
      <w:r w:rsidR="00712D01" w:rsidRPr="001951AD">
        <w:rPr>
          <w:rFonts w:eastAsia="PMingLiU"/>
          <w:caps/>
          <w:lang w:val="es-ES"/>
        </w:rPr>
        <w:t xml:space="preserve"> </w:t>
      </w:r>
      <w:r w:rsidR="00712D01" w:rsidRPr="001951AD">
        <w:rPr>
          <w:rFonts w:eastAsia="PMingLiU"/>
          <w:caps/>
          <w:lang w:val="es-ES"/>
        </w:rPr>
        <w:br/>
      </w:r>
      <w:r w:rsidRPr="00373E0E">
        <w:rPr>
          <w:rFonts w:eastAsia="PMingLiU"/>
          <w:caps/>
        </w:rPr>
        <w:t>“MÉTODO DE EVALUACIÓN DE LA HOMOGENEIDAD SOBRE LA BASE DE LAS PLANTAS FUERA DE TIPO”</w:t>
      </w:r>
    </w:p>
    <w:p w:rsidR="00712D01" w:rsidRPr="001951AD" w:rsidRDefault="00712D01" w:rsidP="00712D01">
      <w:pPr>
        <w:rPr>
          <w:rFonts w:eastAsia="Calibri"/>
          <w:lang w:val="es-ES"/>
        </w:rPr>
      </w:pPr>
    </w:p>
    <w:p w:rsidR="00712D01" w:rsidRPr="001951AD" w:rsidRDefault="00712D01" w:rsidP="00712D01">
      <w:pPr>
        <w:tabs>
          <w:tab w:val="left" w:pos="1134"/>
        </w:tabs>
        <w:rPr>
          <w:rFonts w:cs="Arial"/>
          <w:i/>
          <w:lang w:val="es-ES"/>
        </w:rPr>
      </w:pPr>
      <w:r w:rsidRPr="001951AD">
        <w:rPr>
          <w:rFonts w:cs="Arial"/>
          <w:lang w:val="es-ES"/>
        </w:rPr>
        <w:t>8.1.7</w:t>
      </w:r>
      <w:r w:rsidRPr="001951AD">
        <w:rPr>
          <w:rFonts w:cs="Arial"/>
          <w:lang w:val="es-ES"/>
        </w:rPr>
        <w:tab/>
      </w:r>
      <w:r w:rsidR="007D13CA" w:rsidRPr="00373E0E">
        <w:rPr>
          <w:rFonts w:cs="Arial"/>
          <w:i/>
        </w:rPr>
        <w:t>Método aplicado a más de un ciclo de cultivo único</w:t>
      </w:r>
    </w:p>
    <w:p w:rsidR="00712D01" w:rsidRPr="001951AD" w:rsidRDefault="00712D01" w:rsidP="00712D01">
      <w:pPr>
        <w:rPr>
          <w:rFonts w:cs="Arial"/>
          <w:lang w:val="es-ES"/>
        </w:rPr>
      </w:pPr>
    </w:p>
    <w:p w:rsidR="00712D01" w:rsidRPr="001951AD" w:rsidRDefault="00712D01" w:rsidP="00712D01">
      <w:pPr>
        <w:rPr>
          <w:rFonts w:eastAsia="Calibri" w:cs="Arial"/>
          <w:lang w:val="es-ES"/>
        </w:rPr>
      </w:pPr>
      <w:r w:rsidRPr="00943094">
        <w:rPr>
          <w:rFonts w:eastAsia="Calibri" w:cs="Arial"/>
          <w:lang w:val="es-ES"/>
        </w:rPr>
        <w:t>8.1.7.1.</w:t>
      </w:r>
      <w:r w:rsidRPr="00943094">
        <w:rPr>
          <w:rFonts w:eastAsia="Calibri" w:cs="Arial"/>
          <w:lang w:val="es-ES"/>
        </w:rPr>
        <w:tab/>
      </w:r>
      <w:r w:rsidR="00BE0239" w:rsidRPr="00373E0E">
        <w:rPr>
          <w:rFonts w:eastAsia="Calibri" w:cs="Arial"/>
        </w:rPr>
        <w:t>Con frecuencia</w:t>
      </w:r>
      <w:r w:rsidR="00EA5006" w:rsidRPr="00373E0E">
        <w:rPr>
          <w:rFonts w:eastAsia="Calibri" w:cs="Arial"/>
        </w:rPr>
        <w:t xml:space="preserve">, </w:t>
      </w:r>
      <w:r w:rsidR="00BE0239" w:rsidRPr="00373E0E">
        <w:rPr>
          <w:rFonts w:eastAsia="Calibri" w:cs="Arial"/>
        </w:rPr>
        <w:t xml:space="preserve">una variedad candidata se cultiva en dos </w:t>
      </w:r>
      <w:r w:rsidR="002250AB" w:rsidRPr="00373E0E">
        <w:rPr>
          <w:rFonts w:eastAsia="Calibri" w:cs="Arial"/>
        </w:rPr>
        <w:t>ciclos de cultivo</w:t>
      </w:r>
      <w:r w:rsidR="00BE0239" w:rsidRPr="00373E0E">
        <w:rPr>
          <w:rFonts w:eastAsia="Calibri" w:cs="Arial"/>
        </w:rPr>
        <w:t>.</w:t>
      </w:r>
      <w:r w:rsidR="003B22AA" w:rsidRPr="00943094">
        <w:rPr>
          <w:rFonts w:eastAsia="Calibri" w:cs="Arial"/>
          <w:lang w:val="es-ES"/>
        </w:rPr>
        <w:t xml:space="preserve"> </w:t>
      </w:r>
      <w:r w:rsidR="00894D83" w:rsidRPr="00373E0E">
        <w:rPr>
          <w:rFonts w:eastAsia="Calibri" w:cs="Arial"/>
        </w:rPr>
        <w:t>En esos casos</w:t>
      </w:r>
      <w:r w:rsidR="00EA5006" w:rsidRPr="00373E0E">
        <w:rPr>
          <w:rFonts w:eastAsia="Calibri" w:cs="Arial"/>
        </w:rPr>
        <w:t xml:space="preserve">, </w:t>
      </w:r>
      <w:r w:rsidR="00894D83" w:rsidRPr="00373E0E">
        <w:rPr>
          <w:rFonts w:eastAsia="Calibri" w:cs="Arial"/>
        </w:rPr>
        <w:t xml:space="preserve">se plantea la cuestión de cómo combinar la información de cada uno de los ciclos </w:t>
      </w:r>
      <w:r w:rsidR="00957113" w:rsidRPr="00373E0E">
        <w:rPr>
          <w:rFonts w:eastAsia="Calibri" w:cs="Arial"/>
        </w:rPr>
        <w:t xml:space="preserve">para tomar una </w:t>
      </w:r>
      <w:r w:rsidR="00894D83" w:rsidRPr="00373E0E">
        <w:rPr>
          <w:rFonts w:eastAsia="Calibri" w:cs="Arial"/>
        </w:rPr>
        <w:t xml:space="preserve">decisión </w:t>
      </w:r>
      <w:r w:rsidR="00957113" w:rsidRPr="00373E0E">
        <w:rPr>
          <w:rFonts w:eastAsia="Calibri" w:cs="Arial"/>
        </w:rPr>
        <w:t>sobre la homogeneidad.</w:t>
      </w:r>
      <w:r w:rsidR="003B22AA" w:rsidRPr="001951AD">
        <w:rPr>
          <w:rFonts w:eastAsia="Calibri" w:cs="Arial"/>
          <w:lang w:val="es-ES"/>
        </w:rPr>
        <w:t xml:space="preserve"> </w:t>
      </w:r>
      <w:r w:rsidR="00957113" w:rsidRPr="00373E0E">
        <w:rPr>
          <w:rFonts w:eastAsia="Calibri" w:cs="Arial"/>
        </w:rPr>
        <w:t>Se describen tres métodos:</w:t>
      </w:r>
    </w:p>
    <w:p w:rsidR="00712D01" w:rsidRPr="001951AD" w:rsidRDefault="00712D01" w:rsidP="00712D01">
      <w:pPr>
        <w:rPr>
          <w:rFonts w:cs="Arial"/>
          <w:lang w:val="es-ES"/>
        </w:rPr>
      </w:pPr>
    </w:p>
    <w:p w:rsidR="00712D01" w:rsidRPr="001951AD" w:rsidRDefault="00712D01" w:rsidP="00712D01">
      <w:pPr>
        <w:ind w:left="567"/>
        <w:rPr>
          <w:rFonts w:eastAsia="Calibri" w:cs="Arial"/>
          <w:lang w:val="es-ES"/>
        </w:rPr>
      </w:pPr>
      <w:r w:rsidRPr="001951AD">
        <w:rPr>
          <w:rFonts w:eastAsia="Calibri" w:cs="Arial"/>
          <w:lang w:val="es-ES"/>
        </w:rPr>
        <w:tab/>
      </w:r>
      <w:r w:rsidR="00957113" w:rsidRPr="00373E0E">
        <w:rPr>
          <w:rFonts w:eastAsia="Calibri" w:cs="Arial"/>
        </w:rPr>
        <w:t>a)</w:t>
      </w:r>
      <w:r w:rsidRPr="001951AD">
        <w:rPr>
          <w:rFonts w:eastAsia="Calibri" w:cs="Arial"/>
          <w:lang w:val="es-ES"/>
        </w:rPr>
        <w:tab/>
      </w:r>
      <w:r w:rsidR="00957113" w:rsidRPr="00373E0E">
        <w:rPr>
          <w:rFonts w:eastAsia="Calibri" w:cs="Arial"/>
        </w:rPr>
        <w:t xml:space="preserve">La homogeneidad de una variedad se </w:t>
      </w:r>
      <w:r w:rsidR="00D66032" w:rsidRPr="00373E0E">
        <w:rPr>
          <w:rFonts w:eastAsia="Calibri" w:cs="Arial"/>
        </w:rPr>
        <w:t xml:space="preserve">determina </w:t>
      </w:r>
      <w:r w:rsidR="00957113" w:rsidRPr="00373E0E">
        <w:rPr>
          <w:rFonts w:eastAsia="Calibri" w:cs="Arial"/>
        </w:rPr>
        <w:t>por separado en cada ciclo.</w:t>
      </w:r>
      <w:r w:rsidRPr="001951AD">
        <w:rPr>
          <w:rFonts w:eastAsia="Calibri" w:cs="Arial"/>
          <w:lang w:val="es-ES"/>
        </w:rPr>
        <w:t xml:space="preserve"> </w:t>
      </w:r>
      <w:r w:rsidR="00957113" w:rsidRPr="00373E0E">
        <w:rPr>
          <w:rFonts w:eastAsia="Calibri" w:cs="Arial"/>
        </w:rPr>
        <w:t>Si los veredictos coinciden</w:t>
      </w:r>
      <w:r w:rsidR="00EA5006" w:rsidRPr="00373E0E">
        <w:rPr>
          <w:rFonts w:eastAsia="Calibri" w:cs="Arial"/>
        </w:rPr>
        <w:t xml:space="preserve">, </w:t>
      </w:r>
      <w:r w:rsidR="00957113" w:rsidRPr="00373E0E">
        <w:rPr>
          <w:rFonts w:eastAsia="Calibri" w:cs="Arial"/>
        </w:rPr>
        <w:t>la decisión global se basa en este resultado común.</w:t>
      </w:r>
      <w:r w:rsidRPr="001951AD">
        <w:rPr>
          <w:rFonts w:eastAsia="Calibri" w:cs="Arial"/>
          <w:lang w:val="es-ES"/>
        </w:rPr>
        <w:t xml:space="preserve"> </w:t>
      </w:r>
      <w:r w:rsidR="005C019D" w:rsidRPr="00373E0E">
        <w:rPr>
          <w:rFonts w:eastAsia="Calibri" w:cs="Arial"/>
        </w:rPr>
        <w:t>Sin embargo</w:t>
      </w:r>
      <w:r w:rsidR="00EA5006" w:rsidRPr="00373E0E">
        <w:rPr>
          <w:rFonts w:eastAsia="Calibri" w:cs="Arial"/>
        </w:rPr>
        <w:t xml:space="preserve">, </w:t>
      </w:r>
      <w:r w:rsidR="005C019D" w:rsidRPr="00373E0E">
        <w:rPr>
          <w:rFonts w:eastAsia="Calibri" w:cs="Arial"/>
        </w:rPr>
        <w:t>si la variedad cumple el estándar de homogeneidad en un ciclo de cultivo pero no cumple el estándar de homogeneidad en el otro ciclo de cultivo</w:t>
      </w:r>
      <w:r w:rsidR="00EA5006" w:rsidRPr="00373E0E">
        <w:rPr>
          <w:rFonts w:eastAsia="Calibri" w:cs="Arial"/>
        </w:rPr>
        <w:t xml:space="preserve">, </w:t>
      </w:r>
      <w:r w:rsidR="005C019D" w:rsidRPr="00373E0E">
        <w:rPr>
          <w:rFonts w:eastAsia="Calibri" w:cs="Arial"/>
        </w:rPr>
        <w:t>se evalúa la homogeneidad en un tercer ciclo de cultivo.</w:t>
      </w:r>
      <w:r w:rsidRPr="001951AD">
        <w:rPr>
          <w:rFonts w:eastAsia="Calibri" w:cs="Arial"/>
          <w:lang w:val="es-ES"/>
        </w:rPr>
        <w:t xml:space="preserve"> </w:t>
      </w:r>
      <w:r w:rsidR="005C019D" w:rsidRPr="00373E0E">
        <w:rPr>
          <w:rFonts w:eastAsia="Calibri" w:cs="Arial"/>
        </w:rPr>
        <w:t>En ese caso</w:t>
      </w:r>
      <w:r w:rsidR="00EA5006" w:rsidRPr="00373E0E">
        <w:rPr>
          <w:rFonts w:eastAsia="Calibri" w:cs="Arial"/>
        </w:rPr>
        <w:t xml:space="preserve">, </w:t>
      </w:r>
      <w:r w:rsidR="005C019D" w:rsidRPr="00373E0E">
        <w:rPr>
          <w:rFonts w:eastAsia="Calibri" w:cs="Arial"/>
        </w:rPr>
        <w:t xml:space="preserve">la decisión </w:t>
      </w:r>
      <w:r w:rsidR="00373E0E" w:rsidRPr="00373E0E">
        <w:rPr>
          <w:rFonts w:eastAsia="Calibri" w:cs="Arial"/>
        </w:rPr>
        <w:t>definitiva</w:t>
      </w:r>
      <w:r w:rsidR="005C019D" w:rsidRPr="00373E0E">
        <w:rPr>
          <w:rFonts w:eastAsia="Calibri" w:cs="Arial"/>
        </w:rPr>
        <w:t xml:space="preserve"> se basa en</w:t>
      </w:r>
      <w:r w:rsidR="0015441A" w:rsidRPr="00373E0E">
        <w:rPr>
          <w:rFonts w:eastAsia="Calibri" w:cs="Arial"/>
        </w:rPr>
        <w:t xml:space="preserve"> el resultado de</w:t>
      </w:r>
      <w:r w:rsidR="005C019D" w:rsidRPr="00373E0E">
        <w:rPr>
          <w:rFonts w:eastAsia="Calibri" w:cs="Arial"/>
        </w:rPr>
        <w:t xml:space="preserve"> la evaluación de la homogeneidad en el tercer ciclo.</w:t>
      </w:r>
    </w:p>
    <w:p w:rsidR="00712D01" w:rsidRPr="001951AD" w:rsidRDefault="00712D01" w:rsidP="00712D01">
      <w:pPr>
        <w:ind w:left="567"/>
        <w:rPr>
          <w:rFonts w:eastAsia="Calibri" w:cs="Arial"/>
          <w:lang w:val="es-ES"/>
        </w:rPr>
      </w:pPr>
    </w:p>
    <w:p w:rsidR="00712D01" w:rsidRPr="001951AD" w:rsidRDefault="00712D01" w:rsidP="00712D01">
      <w:pPr>
        <w:ind w:left="567"/>
        <w:rPr>
          <w:rFonts w:eastAsia="Calibri" w:cs="Arial"/>
          <w:lang w:val="es-ES"/>
        </w:rPr>
      </w:pPr>
      <w:r w:rsidRPr="001951AD">
        <w:rPr>
          <w:rFonts w:eastAsia="Calibri" w:cs="Arial"/>
          <w:lang w:val="es-ES"/>
        </w:rPr>
        <w:tab/>
      </w:r>
      <w:r w:rsidR="0015441A" w:rsidRPr="00373E0E">
        <w:rPr>
          <w:rFonts w:eastAsia="Calibri" w:cs="Arial"/>
        </w:rPr>
        <w:t>b)</w:t>
      </w:r>
      <w:r w:rsidRPr="001951AD">
        <w:rPr>
          <w:rFonts w:eastAsia="Calibri" w:cs="Arial"/>
          <w:lang w:val="es-ES"/>
        </w:rPr>
        <w:tab/>
      </w:r>
      <w:r w:rsidR="0015441A" w:rsidRPr="00373E0E">
        <w:rPr>
          <w:rFonts w:eastAsia="Calibri" w:cs="Arial"/>
        </w:rPr>
        <w:t xml:space="preserve">La homogeneidad de una variedad se </w:t>
      </w:r>
      <w:r w:rsidR="00D66032" w:rsidRPr="00373E0E">
        <w:rPr>
          <w:rFonts w:eastAsia="Calibri" w:cs="Arial"/>
        </w:rPr>
        <w:t xml:space="preserve">determina </w:t>
      </w:r>
      <w:r w:rsidR="0015441A" w:rsidRPr="00373E0E">
        <w:rPr>
          <w:rFonts w:eastAsia="Calibri" w:cs="Arial"/>
        </w:rPr>
        <w:t>por separado en cada ciclo.</w:t>
      </w:r>
      <w:r w:rsidRPr="001951AD">
        <w:rPr>
          <w:rFonts w:eastAsia="Calibri" w:cs="Arial"/>
          <w:lang w:val="es-ES"/>
        </w:rPr>
        <w:t xml:space="preserve"> </w:t>
      </w:r>
      <w:r w:rsidR="0015441A" w:rsidRPr="00373E0E">
        <w:rPr>
          <w:rFonts w:eastAsia="Calibri" w:cs="Arial"/>
        </w:rPr>
        <w:t>Si los veredictos coinciden</w:t>
      </w:r>
      <w:r w:rsidR="00EA5006" w:rsidRPr="00373E0E">
        <w:rPr>
          <w:rFonts w:eastAsia="Calibri" w:cs="Arial"/>
        </w:rPr>
        <w:t xml:space="preserve">, </w:t>
      </w:r>
      <w:r w:rsidR="0015441A" w:rsidRPr="00373E0E">
        <w:rPr>
          <w:rFonts w:eastAsia="Calibri" w:cs="Arial"/>
        </w:rPr>
        <w:t xml:space="preserve">la decisión </w:t>
      </w:r>
      <w:r w:rsidR="00373E0E" w:rsidRPr="00373E0E">
        <w:rPr>
          <w:rFonts w:eastAsia="Calibri" w:cs="Arial"/>
        </w:rPr>
        <w:t xml:space="preserve">definitiva </w:t>
      </w:r>
      <w:r w:rsidR="0015441A" w:rsidRPr="00373E0E">
        <w:rPr>
          <w:rFonts w:eastAsia="Calibri" w:cs="Arial"/>
        </w:rPr>
        <w:t>se basa en este resultado común.</w:t>
      </w:r>
      <w:r w:rsidRPr="001951AD">
        <w:rPr>
          <w:rFonts w:eastAsia="Calibri" w:cs="Arial"/>
          <w:lang w:val="es-ES"/>
        </w:rPr>
        <w:t xml:space="preserve"> </w:t>
      </w:r>
      <w:r w:rsidR="0015441A" w:rsidRPr="00373E0E">
        <w:rPr>
          <w:rFonts w:eastAsia="Calibri" w:cs="Arial"/>
        </w:rPr>
        <w:t>Sin embargo</w:t>
      </w:r>
      <w:r w:rsidR="00EA5006" w:rsidRPr="00373E0E">
        <w:rPr>
          <w:rFonts w:eastAsia="Calibri" w:cs="Arial"/>
        </w:rPr>
        <w:t xml:space="preserve">, </w:t>
      </w:r>
      <w:r w:rsidR="0015441A" w:rsidRPr="00373E0E">
        <w:rPr>
          <w:rFonts w:eastAsia="Calibri" w:cs="Arial"/>
        </w:rPr>
        <w:t>si la variedad cumple el estándar de homogeneidad en un ciclo de cultivo pero no cumple el estándar de homogeneidad en el otro ciclo de cultivo</w:t>
      </w:r>
      <w:r w:rsidR="00EA5006" w:rsidRPr="00373E0E">
        <w:rPr>
          <w:rFonts w:eastAsia="Calibri" w:cs="Arial"/>
        </w:rPr>
        <w:t xml:space="preserve">, </w:t>
      </w:r>
      <w:r w:rsidR="0015441A" w:rsidRPr="00373E0E">
        <w:rPr>
          <w:rFonts w:eastAsia="Calibri" w:cs="Arial"/>
        </w:rPr>
        <w:t>se combina la información de los dos ciclos.</w:t>
      </w:r>
      <w:r w:rsidRPr="001951AD">
        <w:rPr>
          <w:rFonts w:eastAsia="Calibri" w:cs="Arial"/>
          <w:lang w:val="es-ES"/>
        </w:rPr>
        <w:t xml:space="preserve"> </w:t>
      </w:r>
      <w:r w:rsidR="0015441A" w:rsidRPr="00373E0E">
        <w:rPr>
          <w:rFonts w:eastAsia="Calibri" w:cs="Arial"/>
        </w:rPr>
        <w:t>En ese caso</w:t>
      </w:r>
      <w:r w:rsidR="00EA5006" w:rsidRPr="00373E0E">
        <w:rPr>
          <w:rFonts w:eastAsia="Calibri" w:cs="Arial"/>
        </w:rPr>
        <w:t xml:space="preserve">, </w:t>
      </w:r>
      <w:r w:rsidR="00C15A05" w:rsidRPr="00373E0E">
        <w:rPr>
          <w:rFonts w:eastAsia="Calibri" w:cs="Arial"/>
        </w:rPr>
        <w:t xml:space="preserve">se considera que la variedad es homogénea si </w:t>
      </w:r>
      <w:r w:rsidR="00C47BC1" w:rsidRPr="00373E0E">
        <w:rPr>
          <w:rFonts w:eastAsia="Calibri" w:cs="Arial"/>
        </w:rPr>
        <w:t xml:space="preserve">el número total de plantas fuera de tipo al término de los dos ciclos de cultivo no supera el </w:t>
      </w:r>
      <w:r w:rsidR="00373E0E">
        <w:rPr>
          <w:rFonts w:eastAsia="Calibri" w:cs="Arial"/>
        </w:rPr>
        <w:t>número de plantas fuera de tipo permitido para el tamaño de la muestra combinada</w:t>
      </w:r>
      <w:r w:rsidR="0015441A" w:rsidRPr="00373E0E">
        <w:rPr>
          <w:rFonts w:eastAsia="Calibri" w:cs="Arial"/>
        </w:rPr>
        <w:t>.</w:t>
      </w:r>
    </w:p>
    <w:p w:rsidR="00712D01" w:rsidRPr="001951AD" w:rsidRDefault="00712D01" w:rsidP="00712D01">
      <w:pPr>
        <w:ind w:left="567"/>
        <w:rPr>
          <w:rFonts w:eastAsia="Calibri" w:cs="Arial"/>
          <w:lang w:val="es-ES"/>
        </w:rPr>
      </w:pPr>
    </w:p>
    <w:p w:rsidR="00712D01" w:rsidRPr="001951AD" w:rsidRDefault="00712D01" w:rsidP="00712D01">
      <w:pPr>
        <w:ind w:left="567"/>
        <w:rPr>
          <w:rFonts w:eastAsia="Calibri" w:cs="Arial"/>
          <w:lang w:val="es-ES"/>
        </w:rPr>
      </w:pPr>
      <w:r w:rsidRPr="001951AD">
        <w:rPr>
          <w:rFonts w:eastAsia="Calibri" w:cs="Arial"/>
          <w:lang w:val="es-ES"/>
        </w:rPr>
        <w:tab/>
      </w:r>
      <w:r w:rsidR="00FF483E" w:rsidRPr="00373E0E">
        <w:rPr>
          <w:rFonts w:eastAsia="Calibri" w:cs="Arial"/>
        </w:rPr>
        <w:t>c)</w:t>
      </w:r>
      <w:r w:rsidRPr="001951AD">
        <w:rPr>
          <w:rFonts w:eastAsia="Calibri" w:cs="Arial"/>
          <w:lang w:val="es-ES"/>
        </w:rPr>
        <w:tab/>
      </w:r>
      <w:r w:rsidR="00E85DB1" w:rsidRPr="00373E0E">
        <w:rPr>
          <w:rFonts w:eastAsia="Calibri" w:cs="Arial"/>
        </w:rPr>
        <w:t xml:space="preserve">Se combina la </w:t>
      </w:r>
      <w:r w:rsidR="00F44719" w:rsidRPr="00373E0E">
        <w:rPr>
          <w:rFonts w:eastAsia="Calibri" w:cs="Arial"/>
        </w:rPr>
        <w:t xml:space="preserve">información </w:t>
      </w:r>
      <w:r w:rsidR="00373E0E" w:rsidRPr="00373E0E">
        <w:rPr>
          <w:rFonts w:eastAsia="Calibri" w:cs="Arial"/>
        </w:rPr>
        <w:t>de</w:t>
      </w:r>
      <w:r w:rsidR="00E85DB1" w:rsidRPr="00373E0E">
        <w:rPr>
          <w:rFonts w:eastAsia="Calibri" w:cs="Arial"/>
        </w:rPr>
        <w:t xml:space="preserve"> los dos ciclos sobre la homogeneidad de una variedad</w:t>
      </w:r>
      <w:r w:rsidR="00F44719" w:rsidRPr="00373E0E">
        <w:rPr>
          <w:rFonts w:eastAsia="Calibri" w:cs="Arial"/>
        </w:rPr>
        <w:t>.</w:t>
      </w:r>
      <w:r w:rsidR="003B22AA" w:rsidRPr="001951AD">
        <w:rPr>
          <w:rFonts w:eastAsia="Calibri" w:cs="Arial"/>
          <w:lang w:val="es-ES"/>
        </w:rPr>
        <w:t xml:space="preserve"> </w:t>
      </w:r>
      <w:r w:rsidR="006F4938" w:rsidRPr="00373E0E">
        <w:rPr>
          <w:rFonts w:eastAsia="Calibri" w:cs="Arial"/>
        </w:rPr>
        <w:t xml:space="preserve">Se considera que la variedad es homogénea si el número total de plantas fuera de tipo al término de los dos ciclos de cultivo no supera el </w:t>
      </w:r>
      <w:r w:rsidR="00373E0E" w:rsidRPr="00373E0E">
        <w:rPr>
          <w:rFonts w:eastAsia="Calibri" w:cs="Arial"/>
        </w:rPr>
        <w:t>número de plantas fuera de tipo permitido para el tamaño de la muestra combinada</w:t>
      </w:r>
      <w:r w:rsidR="006F4938" w:rsidRPr="00373E0E">
        <w:rPr>
          <w:rFonts w:eastAsia="Calibri" w:cs="Arial"/>
        </w:rPr>
        <w:t>.</w:t>
      </w:r>
    </w:p>
    <w:p w:rsidR="00712D01" w:rsidRPr="001951AD" w:rsidRDefault="00712D01" w:rsidP="00712D01">
      <w:pPr>
        <w:rPr>
          <w:rFonts w:eastAsia="Calibri" w:cs="Arial"/>
          <w:lang w:val="es-ES"/>
        </w:rPr>
      </w:pPr>
    </w:p>
    <w:p w:rsidR="00712D01" w:rsidRPr="001951AD" w:rsidRDefault="00C176DC" w:rsidP="00712D01">
      <w:pPr>
        <w:rPr>
          <w:rFonts w:eastAsia="Calibri" w:cs="Arial"/>
          <w:lang w:val="es-ES"/>
        </w:rPr>
      </w:pPr>
      <w:r w:rsidRPr="00373E0E">
        <w:rPr>
          <w:rFonts w:eastAsia="Calibri" w:cs="Arial"/>
        </w:rPr>
        <w:t>Con cualquiera de</w:t>
      </w:r>
      <w:r w:rsidR="007E2934" w:rsidRPr="00373E0E">
        <w:rPr>
          <w:rFonts w:eastAsia="Calibri" w:cs="Arial"/>
        </w:rPr>
        <w:t xml:space="preserve"> </w:t>
      </w:r>
      <w:r w:rsidR="006F4938" w:rsidRPr="00373E0E">
        <w:rPr>
          <w:rFonts w:eastAsia="Calibri" w:cs="Arial"/>
        </w:rPr>
        <w:t>los tres métodos</w:t>
      </w:r>
      <w:r w:rsidR="00EA5006" w:rsidRPr="00373E0E">
        <w:rPr>
          <w:rFonts w:eastAsia="Calibri" w:cs="Arial"/>
        </w:rPr>
        <w:t xml:space="preserve">, </w:t>
      </w:r>
      <w:r w:rsidR="006F4938" w:rsidRPr="00373E0E">
        <w:rPr>
          <w:rFonts w:eastAsia="Calibri" w:cs="Arial"/>
        </w:rPr>
        <w:t xml:space="preserve">si una variedad supera en el primer ciclo de cultivo </w:t>
      </w:r>
      <w:r w:rsidR="003502DD" w:rsidRPr="00373E0E">
        <w:rPr>
          <w:rFonts w:eastAsia="Calibri" w:cs="Arial"/>
        </w:rPr>
        <w:t>el</w:t>
      </w:r>
      <w:r w:rsidR="006F4938" w:rsidRPr="00373E0E">
        <w:rPr>
          <w:rFonts w:eastAsia="Calibri" w:cs="Arial"/>
        </w:rPr>
        <w:t xml:space="preserve"> límite superior predefinido de plantas fuera de tipo</w:t>
      </w:r>
      <w:r w:rsidR="00EA5006" w:rsidRPr="00373E0E">
        <w:rPr>
          <w:rFonts w:eastAsia="Calibri" w:cs="Arial"/>
        </w:rPr>
        <w:t xml:space="preserve">, </w:t>
      </w:r>
      <w:r w:rsidR="006F4938" w:rsidRPr="00373E0E">
        <w:rPr>
          <w:rFonts w:eastAsia="Calibri" w:cs="Arial"/>
        </w:rPr>
        <w:t>podrá rechazarse la variedad tras un único ciclo de cultivo.</w:t>
      </w:r>
    </w:p>
    <w:p w:rsidR="00712D01" w:rsidRPr="001951AD" w:rsidRDefault="00712D01" w:rsidP="00712D01">
      <w:pPr>
        <w:rPr>
          <w:rFonts w:eastAsia="Calibri" w:cs="Arial"/>
          <w:lang w:val="es-ES"/>
        </w:rPr>
      </w:pPr>
    </w:p>
    <w:p w:rsidR="00712D01" w:rsidRPr="001951AD" w:rsidRDefault="00712D01" w:rsidP="00712D01">
      <w:pPr>
        <w:rPr>
          <w:rFonts w:eastAsia="Calibri" w:cs="Arial"/>
          <w:lang w:val="es-ES"/>
        </w:rPr>
      </w:pPr>
      <w:r w:rsidRPr="001951AD">
        <w:rPr>
          <w:rFonts w:eastAsia="Calibri" w:cs="Arial"/>
          <w:lang w:val="es-ES"/>
        </w:rPr>
        <w:t>8.1.7.2</w:t>
      </w:r>
      <w:r w:rsidRPr="001951AD">
        <w:rPr>
          <w:rFonts w:eastAsia="Calibri" w:cs="Arial"/>
          <w:lang w:val="es-ES"/>
        </w:rPr>
        <w:tab/>
      </w:r>
      <w:r w:rsidR="00B908FA" w:rsidRPr="00373E0E">
        <w:rPr>
          <w:rFonts w:eastAsia="Calibri" w:cs="Arial"/>
        </w:rPr>
        <w:t>Los tres métodos se describen con mayor detalle en el documento TGP/10 “Examen de la homogeneidad”.</w:t>
      </w:r>
      <w:r w:rsidR="003B22AA" w:rsidRPr="001951AD">
        <w:rPr>
          <w:rFonts w:eastAsia="Calibri" w:cs="Arial"/>
          <w:lang w:val="es-ES"/>
        </w:rPr>
        <w:t xml:space="preserve"> </w:t>
      </w:r>
      <w:r w:rsidR="00EC6912" w:rsidRPr="00373E0E">
        <w:rPr>
          <w:rFonts w:eastAsia="Calibri" w:cs="Arial"/>
        </w:rPr>
        <w:t xml:space="preserve">Los riesgos asociados a los diferentes métodos pueden calcularse </w:t>
      </w:r>
      <w:r w:rsidR="006704EB" w:rsidRPr="00373E0E">
        <w:rPr>
          <w:rFonts w:eastAsia="Calibri" w:cs="Arial"/>
        </w:rPr>
        <w:t xml:space="preserve">con arreglo a </w:t>
      </w:r>
      <w:r w:rsidR="00943094" w:rsidRPr="00373E0E">
        <w:rPr>
          <w:rFonts w:eastAsia="Calibri" w:cs="Arial"/>
        </w:rPr>
        <w:t>los</w:t>
      </w:r>
      <w:r w:rsidR="00EC6912" w:rsidRPr="00373E0E">
        <w:rPr>
          <w:rFonts w:eastAsia="Calibri" w:cs="Arial"/>
        </w:rPr>
        <w:t xml:space="preserve"> principios </w:t>
      </w:r>
      <w:r w:rsidR="006704EB" w:rsidRPr="00373E0E">
        <w:rPr>
          <w:rFonts w:eastAsia="Calibri" w:cs="Arial"/>
        </w:rPr>
        <w:t xml:space="preserve">que se </w:t>
      </w:r>
      <w:r w:rsidR="00EC6912" w:rsidRPr="00373E0E">
        <w:rPr>
          <w:rFonts w:eastAsia="Calibri" w:cs="Arial"/>
        </w:rPr>
        <w:t>describe</w:t>
      </w:r>
      <w:r w:rsidR="006704EB" w:rsidRPr="00373E0E">
        <w:rPr>
          <w:rFonts w:eastAsia="Calibri" w:cs="Arial"/>
        </w:rPr>
        <w:t xml:space="preserve">n </w:t>
      </w:r>
      <w:r w:rsidR="00EC6912" w:rsidRPr="00373E0E">
        <w:rPr>
          <w:rFonts w:eastAsia="Calibri" w:cs="Arial"/>
        </w:rPr>
        <w:t xml:space="preserve">en </w:t>
      </w:r>
      <w:r w:rsidR="006704EB" w:rsidRPr="00373E0E">
        <w:rPr>
          <w:rFonts w:eastAsia="Calibri" w:cs="Arial"/>
        </w:rPr>
        <w:t>esta</w:t>
      </w:r>
      <w:r w:rsidR="00EC6912" w:rsidRPr="00373E0E">
        <w:rPr>
          <w:rFonts w:eastAsia="Calibri" w:cs="Arial"/>
        </w:rPr>
        <w:t xml:space="preserve"> </w:t>
      </w:r>
      <w:r w:rsidR="006704EB" w:rsidRPr="00373E0E">
        <w:rPr>
          <w:rFonts w:eastAsia="Calibri" w:cs="Arial"/>
        </w:rPr>
        <w:t>sección</w:t>
      </w:r>
      <w:r w:rsidR="00EC6912" w:rsidRPr="00373E0E">
        <w:rPr>
          <w:rFonts w:eastAsia="Calibri" w:cs="Arial"/>
        </w:rPr>
        <w:t>.</w:t>
      </w:r>
      <w:r w:rsidRPr="001951AD">
        <w:rPr>
          <w:rFonts w:eastAsia="Calibri" w:cs="Arial"/>
          <w:lang w:val="es-ES"/>
        </w:rPr>
        <w:t xml:space="preserve"> </w:t>
      </w:r>
      <w:r w:rsidR="009F629C" w:rsidRPr="00373E0E">
        <w:rPr>
          <w:rFonts w:eastAsia="Calibri" w:cs="Arial"/>
        </w:rPr>
        <w:t>Los cálculos de los riesgos pueden resultar complejos</w:t>
      </w:r>
      <w:r w:rsidR="00EA5006" w:rsidRPr="00373E0E">
        <w:rPr>
          <w:rFonts w:eastAsia="Calibri" w:cs="Arial"/>
        </w:rPr>
        <w:t xml:space="preserve">, </w:t>
      </w:r>
      <w:r w:rsidR="009F629C" w:rsidRPr="00373E0E">
        <w:rPr>
          <w:rFonts w:eastAsia="Calibri" w:cs="Arial"/>
        </w:rPr>
        <w:t>por lo que se recomienda consultar a un experto en estadística.</w:t>
      </w:r>
      <w:r w:rsidRPr="001951AD">
        <w:rPr>
          <w:rFonts w:eastAsia="Calibri" w:cs="Arial"/>
          <w:lang w:val="es-ES"/>
        </w:rPr>
        <w:t xml:space="preserve"> </w:t>
      </w:r>
    </w:p>
    <w:p w:rsidR="00712D01" w:rsidRPr="001951AD" w:rsidRDefault="00712D01" w:rsidP="00712D01">
      <w:pPr>
        <w:rPr>
          <w:rFonts w:cs="Arial"/>
          <w:lang w:val="es-ES" w:eastAsia="ja-JP" w:bidi="th-TH"/>
        </w:rPr>
      </w:pPr>
    </w:p>
    <w:p w:rsidR="00712D01" w:rsidRPr="001951AD" w:rsidRDefault="00712D01" w:rsidP="00712D01">
      <w:pPr>
        <w:tabs>
          <w:tab w:val="left" w:pos="1134"/>
        </w:tabs>
        <w:rPr>
          <w:rFonts w:eastAsia="Calibri" w:cs="Arial"/>
          <w:lang w:val="es-ES"/>
        </w:rPr>
      </w:pPr>
      <w:r w:rsidRPr="001951AD">
        <w:rPr>
          <w:rFonts w:eastAsia="Calibri" w:cs="Arial"/>
          <w:lang w:val="es-ES"/>
        </w:rPr>
        <w:t>8.1.8</w:t>
      </w:r>
      <w:r w:rsidRPr="001951AD">
        <w:rPr>
          <w:rFonts w:eastAsia="Calibri" w:cs="Arial"/>
          <w:lang w:val="es-ES"/>
        </w:rPr>
        <w:tab/>
      </w:r>
      <w:r w:rsidR="009F629C" w:rsidRPr="00373E0E">
        <w:rPr>
          <w:rFonts w:eastAsia="Calibri" w:cs="Arial"/>
          <w:i/>
        </w:rPr>
        <w:t>Eval</w:t>
      </w:r>
      <w:bookmarkStart w:id="23" w:name="_GoBack"/>
      <w:bookmarkEnd w:id="23"/>
      <w:r w:rsidR="009F629C" w:rsidRPr="00373E0E">
        <w:rPr>
          <w:rFonts w:eastAsia="Calibri" w:cs="Arial"/>
          <w:i/>
        </w:rPr>
        <w:t>uación de la homogeneidad mediante la observación de submuestras en un único examen o ensayo</w:t>
      </w:r>
    </w:p>
    <w:p w:rsidR="00712D01" w:rsidRPr="001951AD" w:rsidRDefault="00712D01" w:rsidP="00712D01">
      <w:pPr>
        <w:tabs>
          <w:tab w:val="left" w:pos="1134"/>
        </w:tabs>
        <w:rPr>
          <w:rFonts w:eastAsia="Calibri" w:cs="Arial"/>
          <w:lang w:val="es-ES"/>
        </w:rPr>
      </w:pPr>
    </w:p>
    <w:p w:rsidR="00712D01" w:rsidRPr="001951AD" w:rsidRDefault="00712D01" w:rsidP="00712D01">
      <w:pPr>
        <w:rPr>
          <w:rFonts w:eastAsia="Calibri" w:cs="Arial"/>
          <w:lang w:val="es-ES"/>
        </w:rPr>
      </w:pPr>
      <w:r w:rsidRPr="001951AD">
        <w:rPr>
          <w:rFonts w:eastAsia="Calibri" w:cs="Arial"/>
          <w:lang w:val="es-ES"/>
        </w:rPr>
        <w:t>8.1.8.1</w:t>
      </w:r>
      <w:r w:rsidRPr="001951AD">
        <w:rPr>
          <w:rFonts w:eastAsia="Calibri" w:cs="Arial"/>
          <w:lang w:val="es-ES"/>
        </w:rPr>
        <w:tab/>
      </w:r>
      <w:r w:rsidR="009F629C" w:rsidRPr="00373E0E">
        <w:rPr>
          <w:rFonts w:eastAsia="Calibri" w:cs="Arial"/>
        </w:rPr>
        <w:t>En ocasiones</w:t>
      </w:r>
      <w:r w:rsidR="00EA5006" w:rsidRPr="00373E0E">
        <w:rPr>
          <w:rFonts w:eastAsia="Calibri" w:cs="Arial"/>
        </w:rPr>
        <w:t xml:space="preserve">, </w:t>
      </w:r>
      <w:r w:rsidR="009F629C" w:rsidRPr="00373E0E">
        <w:rPr>
          <w:rFonts w:eastAsia="Calibri" w:cs="Arial"/>
        </w:rPr>
        <w:t>se pueden reducir los costos de la evaluación de las plantas fuera de tipo realizándola en dos etapas.</w:t>
      </w:r>
      <w:r w:rsidRPr="001951AD">
        <w:rPr>
          <w:rFonts w:eastAsia="Calibri" w:cs="Arial"/>
          <w:lang w:val="es-ES"/>
        </w:rPr>
        <w:t xml:space="preserve"> </w:t>
      </w:r>
      <w:r w:rsidR="009F629C" w:rsidRPr="00373E0E">
        <w:rPr>
          <w:rFonts w:eastAsia="Calibri" w:cs="Arial"/>
        </w:rPr>
        <w:t>En una primera etapa</w:t>
      </w:r>
      <w:r w:rsidR="00EA5006" w:rsidRPr="00373E0E">
        <w:rPr>
          <w:rFonts w:eastAsia="Calibri" w:cs="Arial"/>
        </w:rPr>
        <w:t xml:space="preserve">, </w:t>
      </w:r>
      <w:r w:rsidR="009F629C" w:rsidRPr="00373E0E">
        <w:rPr>
          <w:rFonts w:eastAsia="Calibri" w:cs="Arial"/>
        </w:rPr>
        <w:t>se examina una submuestra de plantas.</w:t>
      </w:r>
      <w:r w:rsidRPr="001951AD">
        <w:rPr>
          <w:rFonts w:eastAsia="Calibri" w:cs="Arial"/>
          <w:lang w:val="es-ES"/>
        </w:rPr>
        <w:t xml:space="preserve"> </w:t>
      </w:r>
      <w:r w:rsidR="009F629C" w:rsidRPr="00373E0E">
        <w:rPr>
          <w:rFonts w:eastAsia="Calibri" w:cs="Arial"/>
        </w:rPr>
        <w:t xml:space="preserve">En función del número de plantas fuera de tipo </w:t>
      </w:r>
      <w:r w:rsidR="00B17EFD" w:rsidRPr="00373E0E">
        <w:rPr>
          <w:rFonts w:eastAsia="Calibri" w:cs="Arial"/>
        </w:rPr>
        <w:t>que haya en</w:t>
      </w:r>
      <w:r w:rsidR="009F629C" w:rsidRPr="00373E0E">
        <w:rPr>
          <w:rFonts w:eastAsia="Calibri" w:cs="Arial"/>
        </w:rPr>
        <w:t xml:space="preserve"> la submuestra</w:t>
      </w:r>
      <w:r w:rsidR="00EA5006" w:rsidRPr="00373E0E">
        <w:rPr>
          <w:rFonts w:eastAsia="Calibri" w:cs="Arial"/>
        </w:rPr>
        <w:t xml:space="preserve">, </w:t>
      </w:r>
      <w:r w:rsidR="006C5818" w:rsidRPr="00373E0E">
        <w:rPr>
          <w:rFonts w:eastAsia="Calibri" w:cs="Arial"/>
        </w:rPr>
        <w:t xml:space="preserve">se </w:t>
      </w:r>
      <w:r w:rsidR="00B17EFD" w:rsidRPr="00373E0E">
        <w:rPr>
          <w:rFonts w:eastAsia="Calibri" w:cs="Arial"/>
        </w:rPr>
        <w:t xml:space="preserve">formula </w:t>
      </w:r>
      <w:r w:rsidR="006C5818" w:rsidRPr="00373E0E">
        <w:rPr>
          <w:rFonts w:eastAsia="Calibri" w:cs="Arial"/>
        </w:rPr>
        <w:t>un</w:t>
      </w:r>
      <w:r w:rsidR="009F629C" w:rsidRPr="00373E0E">
        <w:rPr>
          <w:rFonts w:eastAsia="Calibri" w:cs="Arial"/>
        </w:rPr>
        <w:t xml:space="preserve"> ver</w:t>
      </w:r>
      <w:r w:rsidR="006C5818" w:rsidRPr="00373E0E">
        <w:rPr>
          <w:rFonts w:eastAsia="Calibri" w:cs="Arial"/>
        </w:rPr>
        <w:t>e</w:t>
      </w:r>
      <w:r w:rsidR="009F629C" w:rsidRPr="00373E0E">
        <w:rPr>
          <w:rFonts w:eastAsia="Calibri" w:cs="Arial"/>
        </w:rPr>
        <w:t>dict</w:t>
      </w:r>
      <w:r w:rsidR="006C5818" w:rsidRPr="00373E0E">
        <w:rPr>
          <w:rFonts w:eastAsia="Calibri" w:cs="Arial"/>
        </w:rPr>
        <w:t>o</w:t>
      </w:r>
      <w:r w:rsidR="009F629C" w:rsidRPr="00373E0E">
        <w:rPr>
          <w:rFonts w:eastAsia="Calibri" w:cs="Arial"/>
        </w:rPr>
        <w:t xml:space="preserve"> </w:t>
      </w:r>
      <w:r w:rsidR="006C5818" w:rsidRPr="00373E0E">
        <w:rPr>
          <w:rFonts w:eastAsia="Calibri" w:cs="Arial"/>
        </w:rPr>
        <w:t xml:space="preserve">sobre la </w:t>
      </w:r>
      <w:r w:rsidR="009F629C" w:rsidRPr="00373E0E">
        <w:rPr>
          <w:rFonts w:eastAsia="Calibri" w:cs="Arial"/>
        </w:rPr>
        <w:t xml:space="preserve">homogeneidad o </w:t>
      </w:r>
      <w:r w:rsidR="00783A89" w:rsidRPr="00373E0E">
        <w:rPr>
          <w:rFonts w:eastAsia="Calibri" w:cs="Arial"/>
        </w:rPr>
        <w:t>bien</w:t>
      </w:r>
      <w:r w:rsidR="00B17EFD" w:rsidRPr="00373E0E">
        <w:rPr>
          <w:rFonts w:eastAsia="Calibri" w:cs="Arial"/>
        </w:rPr>
        <w:t>,</w:t>
      </w:r>
      <w:r w:rsidR="00783A89" w:rsidRPr="00373E0E">
        <w:rPr>
          <w:rFonts w:eastAsia="Calibri" w:cs="Arial"/>
        </w:rPr>
        <w:t xml:space="preserve"> </w:t>
      </w:r>
      <w:r w:rsidR="009F629C" w:rsidRPr="00373E0E">
        <w:rPr>
          <w:rFonts w:eastAsia="Calibri" w:cs="Arial"/>
        </w:rPr>
        <w:t xml:space="preserve">en </w:t>
      </w:r>
      <w:r w:rsidR="006C5818" w:rsidRPr="00373E0E">
        <w:rPr>
          <w:rFonts w:eastAsia="Calibri" w:cs="Arial"/>
        </w:rPr>
        <w:t>una segunda</w:t>
      </w:r>
      <w:r w:rsidR="009F629C" w:rsidRPr="00373E0E">
        <w:rPr>
          <w:rFonts w:eastAsia="Calibri" w:cs="Arial"/>
        </w:rPr>
        <w:t xml:space="preserve"> </w:t>
      </w:r>
      <w:r w:rsidR="006C5818" w:rsidRPr="00373E0E">
        <w:rPr>
          <w:rFonts w:eastAsia="Calibri" w:cs="Arial"/>
        </w:rPr>
        <w:t>etapa</w:t>
      </w:r>
      <w:r w:rsidR="00B17EFD" w:rsidRPr="00373E0E">
        <w:rPr>
          <w:rFonts w:eastAsia="Calibri" w:cs="Arial"/>
        </w:rPr>
        <w:t>,</w:t>
      </w:r>
      <w:r w:rsidR="009F629C" w:rsidRPr="00373E0E">
        <w:rPr>
          <w:rFonts w:eastAsia="Calibri" w:cs="Arial"/>
        </w:rPr>
        <w:t xml:space="preserve"> </w:t>
      </w:r>
      <w:r w:rsidR="006C5818" w:rsidRPr="00373E0E">
        <w:rPr>
          <w:rFonts w:eastAsia="Calibri" w:cs="Arial"/>
        </w:rPr>
        <w:t>se</w:t>
      </w:r>
      <w:r w:rsidR="009F629C" w:rsidRPr="00373E0E">
        <w:rPr>
          <w:rFonts w:eastAsia="Calibri" w:cs="Arial"/>
        </w:rPr>
        <w:t xml:space="preserve"> </w:t>
      </w:r>
      <w:r w:rsidR="006C5818" w:rsidRPr="00373E0E">
        <w:rPr>
          <w:rFonts w:eastAsia="Calibri" w:cs="Arial"/>
        </w:rPr>
        <w:t>examina toda la muestra de plantas.</w:t>
      </w:r>
    </w:p>
    <w:p w:rsidR="00712D01" w:rsidRPr="001951AD" w:rsidRDefault="00712D01" w:rsidP="00712D01">
      <w:pPr>
        <w:rPr>
          <w:rFonts w:eastAsia="Calibri" w:cs="Arial"/>
          <w:lang w:val="es-ES"/>
        </w:rPr>
      </w:pPr>
    </w:p>
    <w:p w:rsidR="00712D01" w:rsidRPr="001951AD" w:rsidRDefault="00712D01" w:rsidP="00712D01">
      <w:pPr>
        <w:rPr>
          <w:rFonts w:eastAsia="Calibri" w:cs="Arial"/>
          <w:lang w:val="es-ES"/>
        </w:rPr>
      </w:pPr>
      <w:r w:rsidRPr="001951AD">
        <w:rPr>
          <w:rFonts w:eastAsia="Calibri" w:cs="Arial"/>
          <w:lang w:val="es-ES"/>
        </w:rPr>
        <w:t xml:space="preserve">8.1.8.2 </w:t>
      </w:r>
      <w:r w:rsidRPr="001951AD">
        <w:rPr>
          <w:rFonts w:eastAsia="Calibri" w:cs="Arial"/>
          <w:lang w:val="es-ES"/>
        </w:rPr>
        <w:tab/>
      </w:r>
      <w:r w:rsidR="00783A89" w:rsidRPr="00373E0E">
        <w:rPr>
          <w:rFonts w:eastAsia="Calibri" w:cs="Arial"/>
        </w:rPr>
        <w:t>Una variedad se considera homogénea si el número de plantas fuera de tipo en la submuestra no supera un límite inferior predefinido.</w:t>
      </w:r>
    </w:p>
    <w:p w:rsidR="00712D01" w:rsidRPr="001951AD" w:rsidRDefault="00712D01" w:rsidP="00712D01">
      <w:pPr>
        <w:rPr>
          <w:rFonts w:eastAsia="Calibri" w:cs="Arial"/>
          <w:lang w:val="es-ES"/>
        </w:rPr>
      </w:pPr>
    </w:p>
    <w:p w:rsidR="00712D01" w:rsidRPr="001951AD" w:rsidRDefault="00712D01" w:rsidP="00712D01">
      <w:pPr>
        <w:rPr>
          <w:rFonts w:eastAsia="Calibri" w:cs="Arial"/>
          <w:lang w:val="es-ES"/>
        </w:rPr>
      </w:pPr>
      <w:r w:rsidRPr="001951AD">
        <w:rPr>
          <w:rFonts w:eastAsia="Calibri" w:cs="Arial"/>
          <w:lang w:val="es-ES"/>
        </w:rPr>
        <w:t>8.1.8.3</w:t>
      </w:r>
      <w:r w:rsidRPr="001951AD">
        <w:rPr>
          <w:rFonts w:eastAsia="Calibri" w:cs="Arial"/>
          <w:lang w:val="es-ES"/>
        </w:rPr>
        <w:tab/>
      </w:r>
      <w:r w:rsidR="00783A89" w:rsidRPr="00373E0E">
        <w:rPr>
          <w:rFonts w:eastAsia="Calibri" w:cs="Arial"/>
        </w:rPr>
        <w:t>Una variedad se considera no homogénea si el número de plantas fuera de tipo en la submuestra supera un límite superior predefinido.</w:t>
      </w:r>
    </w:p>
    <w:p w:rsidR="00712D01" w:rsidRPr="001951AD" w:rsidRDefault="00712D01" w:rsidP="00712D01">
      <w:pPr>
        <w:rPr>
          <w:rFonts w:eastAsia="Calibri" w:cs="Arial"/>
          <w:lang w:val="es-ES"/>
        </w:rPr>
      </w:pPr>
    </w:p>
    <w:p w:rsidR="00712D01" w:rsidRPr="001951AD" w:rsidRDefault="00712D01" w:rsidP="00712D01">
      <w:pPr>
        <w:rPr>
          <w:rFonts w:eastAsia="Calibri" w:cs="Arial"/>
          <w:lang w:val="es-ES"/>
        </w:rPr>
      </w:pPr>
      <w:r w:rsidRPr="001951AD">
        <w:rPr>
          <w:rFonts w:eastAsia="Calibri" w:cs="Arial"/>
          <w:lang w:val="es-ES"/>
        </w:rPr>
        <w:t>8.1.8.4</w:t>
      </w:r>
      <w:r w:rsidRPr="001951AD">
        <w:rPr>
          <w:rFonts w:eastAsia="Calibri" w:cs="Arial"/>
          <w:lang w:val="es-ES"/>
        </w:rPr>
        <w:tab/>
      </w:r>
      <w:r w:rsidR="00783A89" w:rsidRPr="00373E0E">
        <w:rPr>
          <w:rFonts w:eastAsia="Calibri" w:cs="Arial"/>
        </w:rPr>
        <w:t>Si el número de plantas fuera de tipo está entre el límite inferior y el límite superior predefinidos</w:t>
      </w:r>
      <w:r w:rsidR="00EA5006" w:rsidRPr="00373E0E">
        <w:rPr>
          <w:rFonts w:eastAsia="Calibri" w:cs="Arial"/>
        </w:rPr>
        <w:t xml:space="preserve">, </w:t>
      </w:r>
      <w:r w:rsidR="00783A89" w:rsidRPr="00373E0E">
        <w:rPr>
          <w:rFonts w:eastAsia="Calibri" w:cs="Arial"/>
        </w:rPr>
        <w:t>se evalúa toda la muestra.</w:t>
      </w:r>
      <w:r w:rsidRPr="001951AD">
        <w:rPr>
          <w:rFonts w:eastAsia="Calibri" w:cs="Arial"/>
          <w:lang w:val="es-ES"/>
        </w:rPr>
        <w:t xml:space="preserve"> </w:t>
      </w:r>
    </w:p>
    <w:p w:rsidR="00712D01" w:rsidRPr="001951AD" w:rsidRDefault="00712D01" w:rsidP="00712D01">
      <w:pPr>
        <w:rPr>
          <w:rFonts w:eastAsia="Calibri" w:cs="Arial"/>
          <w:lang w:val="es-ES"/>
        </w:rPr>
      </w:pPr>
    </w:p>
    <w:p w:rsidR="00712D01" w:rsidRPr="001951AD" w:rsidRDefault="00712D01" w:rsidP="00712D01">
      <w:pPr>
        <w:rPr>
          <w:rFonts w:eastAsia="Calibri" w:cs="Arial"/>
          <w:lang w:val="es-ES"/>
        </w:rPr>
      </w:pPr>
      <w:r w:rsidRPr="001951AD">
        <w:rPr>
          <w:rFonts w:eastAsia="Calibri" w:cs="Arial"/>
          <w:lang w:val="es-ES"/>
        </w:rPr>
        <w:t>8.1.8.5</w:t>
      </w:r>
      <w:r w:rsidRPr="001951AD">
        <w:rPr>
          <w:rFonts w:eastAsia="Calibri" w:cs="Arial"/>
          <w:lang w:val="es-ES"/>
        </w:rPr>
        <w:tab/>
      </w:r>
      <w:r w:rsidR="00783A89" w:rsidRPr="009738CC">
        <w:rPr>
          <w:rFonts w:eastAsia="Calibri" w:cs="Arial"/>
        </w:rPr>
        <w:t>Los límites inferior y superior predefinidos deben fijarse teniendo en cuenta errores de tipo I y de tipo II similares en la submuestra y en toda la muestra.</w:t>
      </w:r>
      <w:r w:rsidRPr="001951AD">
        <w:rPr>
          <w:rFonts w:eastAsia="Calibri" w:cs="Arial"/>
          <w:lang w:val="es-ES"/>
        </w:rPr>
        <w:t xml:space="preserve"> </w:t>
      </w:r>
      <w:r w:rsidR="0031619D" w:rsidRPr="009738CC">
        <w:rPr>
          <w:rFonts w:eastAsia="Calibri" w:cs="Arial"/>
        </w:rPr>
        <w:t xml:space="preserve">Diseñar </w:t>
      </w:r>
      <w:r w:rsidR="00783A89" w:rsidRPr="009738CC">
        <w:rPr>
          <w:rFonts w:eastAsia="Calibri" w:cs="Arial"/>
        </w:rPr>
        <w:t>estos exámene</w:t>
      </w:r>
      <w:r w:rsidR="0031619D" w:rsidRPr="009738CC">
        <w:rPr>
          <w:rFonts w:eastAsia="Calibri" w:cs="Arial"/>
        </w:rPr>
        <w:t>s en dos etapas resulta complejo</w:t>
      </w:r>
      <w:r w:rsidR="00EA5006" w:rsidRPr="009738CC">
        <w:rPr>
          <w:rFonts w:eastAsia="Calibri" w:cs="Arial"/>
        </w:rPr>
        <w:t xml:space="preserve">, </w:t>
      </w:r>
      <w:r w:rsidR="00783A89" w:rsidRPr="009738CC">
        <w:rPr>
          <w:rFonts w:eastAsia="Calibri" w:cs="Arial"/>
        </w:rPr>
        <w:t>por lo que se recomienda consultar a un experto en estadística.</w:t>
      </w:r>
      <w:r w:rsidRPr="001951AD">
        <w:rPr>
          <w:rFonts w:eastAsia="Calibri" w:cs="Arial"/>
          <w:lang w:val="es-ES"/>
        </w:rPr>
        <w:t xml:space="preserve"> </w:t>
      </w:r>
    </w:p>
    <w:p w:rsidR="00712D01" w:rsidRPr="001951AD" w:rsidRDefault="00712D01" w:rsidP="00712D01">
      <w:pPr>
        <w:rPr>
          <w:rFonts w:eastAsia="Calibri" w:cs="Arial"/>
          <w:lang w:val="es-ES"/>
        </w:rPr>
      </w:pPr>
    </w:p>
    <w:p w:rsidR="00712D01" w:rsidRPr="001951AD" w:rsidRDefault="00712D01" w:rsidP="00712D01">
      <w:pPr>
        <w:rPr>
          <w:rFonts w:eastAsia="Calibri" w:cs="Arial"/>
          <w:lang w:val="es-ES"/>
        </w:rPr>
      </w:pPr>
    </w:p>
    <w:p w:rsidR="00FF68B4" w:rsidRPr="001951AD" w:rsidRDefault="00FF68B4" w:rsidP="00712D01">
      <w:pPr>
        <w:rPr>
          <w:rFonts w:eastAsia="Calibri" w:cs="Arial"/>
          <w:lang w:val="es-ES"/>
        </w:rPr>
      </w:pPr>
    </w:p>
    <w:p w:rsidR="00050E16" w:rsidRPr="001951AD" w:rsidRDefault="00712D01" w:rsidP="001063CB">
      <w:pPr>
        <w:jc w:val="right"/>
        <w:rPr>
          <w:lang w:val="es-ES"/>
        </w:rPr>
      </w:pPr>
      <w:r w:rsidRPr="00885B6A">
        <w:rPr>
          <w:rFonts w:eastAsia="Calibri" w:cs="Arial"/>
        </w:rPr>
        <w:t>[</w:t>
      </w:r>
      <w:r w:rsidR="00FF0FBE" w:rsidRPr="00885B6A">
        <w:rPr>
          <w:rFonts w:eastAsia="Calibri" w:cs="Arial"/>
        </w:rPr>
        <w:t>Fin del Anexo II y del documento</w:t>
      </w:r>
      <w:r w:rsidRPr="00885B6A">
        <w:rPr>
          <w:rFonts w:eastAsia="Calibri" w:cs="Arial"/>
        </w:rPr>
        <w:t>]</w:t>
      </w:r>
    </w:p>
    <w:sectPr w:rsidR="00050E16" w:rsidRPr="001951AD" w:rsidSect="00906DDC">
      <w:headerReference w:type="default" r:id="rId23"/>
      <w:headerReference w:type="first" r:id="rId2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0E" w:rsidRDefault="00373E0E" w:rsidP="006655D3">
      <w:r>
        <w:separator/>
      </w:r>
    </w:p>
    <w:p w:rsidR="00373E0E" w:rsidRDefault="00373E0E" w:rsidP="006655D3"/>
    <w:p w:rsidR="00373E0E" w:rsidRDefault="00373E0E" w:rsidP="006655D3"/>
  </w:endnote>
  <w:endnote w:type="continuationSeparator" w:id="0">
    <w:p w:rsidR="00373E0E" w:rsidRDefault="00373E0E" w:rsidP="006655D3">
      <w:r>
        <w:separator/>
      </w:r>
    </w:p>
    <w:p w:rsidR="00373E0E" w:rsidRPr="00294751" w:rsidRDefault="00373E0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73E0E" w:rsidRPr="00294751" w:rsidRDefault="00373E0E" w:rsidP="006655D3">
      <w:pPr>
        <w:rPr>
          <w:lang w:val="fr-FR"/>
        </w:rPr>
      </w:pPr>
    </w:p>
    <w:p w:rsidR="00373E0E" w:rsidRPr="00294751" w:rsidRDefault="00373E0E" w:rsidP="006655D3">
      <w:pPr>
        <w:rPr>
          <w:lang w:val="fr-FR"/>
        </w:rPr>
      </w:pPr>
    </w:p>
  </w:endnote>
  <w:endnote w:type="continuationNotice" w:id="1">
    <w:p w:rsidR="00373E0E" w:rsidRPr="00294751" w:rsidRDefault="00373E0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73E0E" w:rsidRPr="00294751" w:rsidRDefault="00373E0E" w:rsidP="006655D3">
      <w:pPr>
        <w:rPr>
          <w:lang w:val="fr-FR"/>
        </w:rPr>
      </w:pPr>
    </w:p>
    <w:p w:rsidR="00373E0E" w:rsidRPr="00294751" w:rsidRDefault="00373E0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eek Symbols">
    <w:panose1 w:val="00000000000000000000"/>
    <w:charset w:val="02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0E" w:rsidRDefault="00373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0E" w:rsidRDefault="00373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0E" w:rsidRDefault="00373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0E" w:rsidRDefault="00373E0E" w:rsidP="006655D3">
      <w:r>
        <w:separator/>
      </w:r>
    </w:p>
  </w:footnote>
  <w:footnote w:type="continuationSeparator" w:id="0">
    <w:p w:rsidR="00373E0E" w:rsidRDefault="00373E0E" w:rsidP="006655D3">
      <w:r>
        <w:separator/>
      </w:r>
    </w:p>
  </w:footnote>
  <w:footnote w:type="continuationNotice" w:id="1">
    <w:p w:rsidR="00373E0E" w:rsidRPr="00AB530F" w:rsidRDefault="00373E0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0E" w:rsidRPr="00C43D6B" w:rsidRDefault="00373E0E" w:rsidP="00EB048E">
    <w:pPr>
      <w:pStyle w:val="Header"/>
      <w:rPr>
        <w:rStyle w:val="PageNumber"/>
      </w:rPr>
    </w:pPr>
    <w:r w:rsidRPr="00C43D6B">
      <w:rPr>
        <w:rStyle w:val="PageNumber"/>
      </w:rPr>
      <w:t>TC/54/19</w:t>
    </w:r>
  </w:p>
  <w:p w:rsidR="00373E0E" w:rsidRPr="00C43D6B" w:rsidRDefault="00373E0E" w:rsidP="00EB048E">
    <w:pPr>
      <w:pStyle w:val="Header"/>
    </w:pPr>
    <w:r w:rsidRPr="00C43D6B">
      <w:t xml:space="preserve">página </w:t>
    </w:r>
    <w:r w:rsidRPr="00C43D6B">
      <w:rPr>
        <w:rStyle w:val="PageNumber"/>
      </w:rPr>
      <w:fldChar w:fldCharType="begin"/>
    </w:r>
    <w:r w:rsidRPr="00C43D6B">
      <w:rPr>
        <w:rStyle w:val="PageNumber"/>
      </w:rPr>
      <w:instrText xml:space="preserve"> PAGE </w:instrText>
    </w:r>
    <w:r w:rsidRPr="00C43D6B">
      <w:rPr>
        <w:rStyle w:val="PageNumber"/>
      </w:rPr>
      <w:fldChar w:fldCharType="separate"/>
    </w:r>
    <w:r w:rsidR="00932DD3">
      <w:rPr>
        <w:rStyle w:val="PageNumber"/>
        <w:noProof/>
      </w:rPr>
      <w:t>3</w:t>
    </w:r>
    <w:r w:rsidRPr="00C43D6B">
      <w:rPr>
        <w:rStyle w:val="PageNumber"/>
      </w:rPr>
      <w:fldChar w:fldCharType="end"/>
    </w:r>
  </w:p>
  <w:p w:rsidR="00373E0E" w:rsidRPr="00C5280D" w:rsidRDefault="00373E0E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0E" w:rsidRDefault="00373E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0E" w:rsidRPr="00E14B67" w:rsidRDefault="00373E0E" w:rsidP="00C12C70">
    <w:pPr>
      <w:pStyle w:val="Header"/>
      <w:rPr>
        <w:rStyle w:val="PageNumber"/>
      </w:rPr>
    </w:pPr>
    <w:r w:rsidRPr="00E14B67">
      <w:rPr>
        <w:rStyle w:val="PageNumber"/>
      </w:rPr>
      <w:t>TC/54/19</w:t>
    </w:r>
  </w:p>
  <w:p w:rsidR="00373E0E" w:rsidRPr="00E14B67" w:rsidRDefault="00373E0E" w:rsidP="00EB048E">
    <w:pPr>
      <w:pStyle w:val="Header"/>
    </w:pPr>
    <w:r w:rsidRPr="00E14B67">
      <w:t xml:space="preserve">Anexo I, página </w:t>
    </w:r>
    <w:r w:rsidRPr="00E14B67">
      <w:rPr>
        <w:rStyle w:val="PageNumber"/>
      </w:rPr>
      <w:fldChar w:fldCharType="begin"/>
    </w:r>
    <w:r w:rsidRPr="00E14B67">
      <w:rPr>
        <w:rStyle w:val="PageNumber"/>
      </w:rPr>
      <w:instrText xml:space="preserve"> PAGE </w:instrText>
    </w:r>
    <w:r w:rsidRPr="00E14B67">
      <w:rPr>
        <w:rStyle w:val="PageNumber"/>
      </w:rPr>
      <w:fldChar w:fldCharType="separate"/>
    </w:r>
    <w:r w:rsidR="00932DD3">
      <w:rPr>
        <w:rStyle w:val="PageNumber"/>
        <w:noProof/>
      </w:rPr>
      <w:t>2</w:t>
    </w:r>
    <w:r w:rsidRPr="00E14B67">
      <w:rPr>
        <w:rStyle w:val="PageNumber"/>
      </w:rPr>
      <w:fldChar w:fldCharType="end"/>
    </w:r>
  </w:p>
  <w:p w:rsidR="00373E0E" w:rsidRPr="00C5280D" w:rsidRDefault="00373E0E" w:rsidP="006655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0E" w:rsidRPr="00EA5DFC" w:rsidRDefault="00373E0E" w:rsidP="00C12C70">
    <w:pPr>
      <w:pStyle w:val="Header"/>
      <w:rPr>
        <w:rStyle w:val="PageNumber"/>
      </w:rPr>
    </w:pPr>
    <w:r w:rsidRPr="00EA5DFC">
      <w:rPr>
        <w:rStyle w:val="PageNumber"/>
      </w:rPr>
      <w:t>TC/54/19</w:t>
    </w:r>
  </w:p>
  <w:p w:rsidR="00373E0E" w:rsidRPr="00EA5DFC" w:rsidRDefault="00373E0E">
    <w:pPr>
      <w:pStyle w:val="Header"/>
    </w:pPr>
  </w:p>
  <w:p w:rsidR="00373E0E" w:rsidRPr="00EA5DFC" w:rsidRDefault="00373E0E">
    <w:pPr>
      <w:pStyle w:val="Header"/>
    </w:pPr>
    <w:r w:rsidRPr="00EA5DFC">
      <w:t>ANEXO 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0E" w:rsidRPr="001B247B" w:rsidRDefault="00373E0E" w:rsidP="000A23DC">
    <w:pPr>
      <w:pStyle w:val="Header"/>
      <w:rPr>
        <w:rStyle w:val="PageNumber"/>
      </w:rPr>
    </w:pPr>
    <w:r w:rsidRPr="001B247B">
      <w:rPr>
        <w:rStyle w:val="PageNumber"/>
      </w:rPr>
      <w:t>TC/54/</w:t>
    </w:r>
  </w:p>
  <w:p w:rsidR="00373E0E" w:rsidRPr="001B247B" w:rsidRDefault="00373E0E" w:rsidP="008B3D8D">
    <w:pPr>
      <w:pStyle w:val="Header"/>
    </w:pPr>
    <w:r w:rsidRPr="001B247B">
      <w:t xml:space="preserve">página </w:t>
    </w:r>
    <w:r w:rsidRPr="001B247B">
      <w:rPr>
        <w:rStyle w:val="PageNumber"/>
      </w:rPr>
      <w:fldChar w:fldCharType="begin"/>
    </w:r>
    <w:r w:rsidRPr="001B247B">
      <w:rPr>
        <w:rStyle w:val="PageNumber"/>
      </w:rPr>
      <w:instrText xml:space="preserve"> PAGE </w:instrText>
    </w:r>
    <w:r w:rsidRPr="001B247B">
      <w:rPr>
        <w:rStyle w:val="PageNumber"/>
      </w:rPr>
      <w:fldChar w:fldCharType="separate"/>
    </w:r>
    <w:r w:rsidR="001063CB">
      <w:rPr>
        <w:rStyle w:val="PageNumber"/>
        <w:noProof/>
      </w:rPr>
      <w:t>4</w:t>
    </w:r>
    <w:r w:rsidRPr="001B247B">
      <w:rPr>
        <w:rStyle w:val="PageNumber"/>
      </w:rPr>
      <w:fldChar w:fldCharType="end"/>
    </w:r>
  </w:p>
  <w:p w:rsidR="00373E0E" w:rsidRPr="001B247B" w:rsidRDefault="00373E0E" w:rsidP="006655D3"/>
  <w:p w:rsidR="00373E0E" w:rsidRPr="001B247B" w:rsidRDefault="00373E0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0E" w:rsidRPr="001B247B" w:rsidRDefault="00373E0E" w:rsidP="00C12C70">
    <w:pPr>
      <w:pStyle w:val="Header"/>
      <w:rPr>
        <w:rStyle w:val="PageNumber"/>
      </w:rPr>
    </w:pPr>
    <w:r w:rsidRPr="001B247B">
      <w:rPr>
        <w:rStyle w:val="PageNumber"/>
      </w:rPr>
      <w:t>TC/54/19</w:t>
    </w:r>
  </w:p>
  <w:p w:rsidR="00373E0E" w:rsidRPr="001B247B" w:rsidRDefault="00373E0E">
    <w:pPr>
      <w:pStyle w:val="Header"/>
    </w:pPr>
  </w:p>
  <w:p w:rsidR="00373E0E" w:rsidRPr="001B247B" w:rsidRDefault="00373E0E">
    <w:pPr>
      <w:pStyle w:val="Header"/>
    </w:pPr>
    <w:r w:rsidRPr="001B247B">
      <w:t>ANEXO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567A"/>
    <w:multiLevelType w:val="singleLevel"/>
    <w:tmpl w:val="18F015D2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11"/>
  </w:docVars>
  <w:rsids>
    <w:rsidRoot w:val="00316A1D"/>
    <w:rsid w:val="00010CF3"/>
    <w:rsid w:val="00011E27"/>
    <w:rsid w:val="000148BC"/>
    <w:rsid w:val="000177C1"/>
    <w:rsid w:val="00024AB8"/>
    <w:rsid w:val="00030854"/>
    <w:rsid w:val="00036028"/>
    <w:rsid w:val="00036D6C"/>
    <w:rsid w:val="00044642"/>
    <w:rsid w:val="000446B9"/>
    <w:rsid w:val="0004687A"/>
    <w:rsid w:val="00047E21"/>
    <w:rsid w:val="00050E16"/>
    <w:rsid w:val="00063113"/>
    <w:rsid w:val="000638A9"/>
    <w:rsid w:val="00072AF5"/>
    <w:rsid w:val="00085505"/>
    <w:rsid w:val="000A23DC"/>
    <w:rsid w:val="000C285C"/>
    <w:rsid w:val="000C4E25"/>
    <w:rsid w:val="000C7021"/>
    <w:rsid w:val="000D63BC"/>
    <w:rsid w:val="000D6BBC"/>
    <w:rsid w:val="000D7780"/>
    <w:rsid w:val="000E0765"/>
    <w:rsid w:val="000E636A"/>
    <w:rsid w:val="000F2F11"/>
    <w:rsid w:val="00105929"/>
    <w:rsid w:val="001063CB"/>
    <w:rsid w:val="00107CB5"/>
    <w:rsid w:val="00110C36"/>
    <w:rsid w:val="001131D5"/>
    <w:rsid w:val="00137B8E"/>
    <w:rsid w:val="00141DB8"/>
    <w:rsid w:val="001521BE"/>
    <w:rsid w:val="0015441A"/>
    <w:rsid w:val="00172084"/>
    <w:rsid w:val="0017474A"/>
    <w:rsid w:val="001758C6"/>
    <w:rsid w:val="00182B99"/>
    <w:rsid w:val="00194B0B"/>
    <w:rsid w:val="001951AD"/>
    <w:rsid w:val="001B247B"/>
    <w:rsid w:val="001B7AFD"/>
    <w:rsid w:val="001D5071"/>
    <w:rsid w:val="001E149C"/>
    <w:rsid w:val="001F64BF"/>
    <w:rsid w:val="001F6734"/>
    <w:rsid w:val="00202E38"/>
    <w:rsid w:val="0021332C"/>
    <w:rsid w:val="00213982"/>
    <w:rsid w:val="0022387D"/>
    <w:rsid w:val="002250AB"/>
    <w:rsid w:val="0024416D"/>
    <w:rsid w:val="002464A3"/>
    <w:rsid w:val="0026260B"/>
    <w:rsid w:val="00266E3B"/>
    <w:rsid w:val="00271911"/>
    <w:rsid w:val="002800A0"/>
    <w:rsid w:val="002801B3"/>
    <w:rsid w:val="00281060"/>
    <w:rsid w:val="002940E8"/>
    <w:rsid w:val="00294751"/>
    <w:rsid w:val="002A6E50"/>
    <w:rsid w:val="002B4298"/>
    <w:rsid w:val="002B4C3C"/>
    <w:rsid w:val="002C256A"/>
    <w:rsid w:val="002E397E"/>
    <w:rsid w:val="002E5944"/>
    <w:rsid w:val="00305A7F"/>
    <w:rsid w:val="00314F08"/>
    <w:rsid w:val="003152FE"/>
    <w:rsid w:val="0031619D"/>
    <w:rsid w:val="00316A1D"/>
    <w:rsid w:val="00327436"/>
    <w:rsid w:val="0033080C"/>
    <w:rsid w:val="00344BD6"/>
    <w:rsid w:val="003502DD"/>
    <w:rsid w:val="0035528D"/>
    <w:rsid w:val="00355DED"/>
    <w:rsid w:val="00357DFB"/>
    <w:rsid w:val="00360C42"/>
    <w:rsid w:val="00361821"/>
    <w:rsid w:val="00361E9E"/>
    <w:rsid w:val="00373E0E"/>
    <w:rsid w:val="00380758"/>
    <w:rsid w:val="00394E0A"/>
    <w:rsid w:val="003B031A"/>
    <w:rsid w:val="003B22AA"/>
    <w:rsid w:val="003C7FBE"/>
    <w:rsid w:val="003D227C"/>
    <w:rsid w:val="003D2B4D"/>
    <w:rsid w:val="003D51BE"/>
    <w:rsid w:val="003E006C"/>
    <w:rsid w:val="00401C7A"/>
    <w:rsid w:val="0040557F"/>
    <w:rsid w:val="004273E4"/>
    <w:rsid w:val="0044074F"/>
    <w:rsid w:val="00444A88"/>
    <w:rsid w:val="00474DA4"/>
    <w:rsid w:val="00476B4D"/>
    <w:rsid w:val="00477EB2"/>
    <w:rsid w:val="004805FA"/>
    <w:rsid w:val="004935D2"/>
    <w:rsid w:val="004A5838"/>
    <w:rsid w:val="004B1185"/>
    <w:rsid w:val="004B1215"/>
    <w:rsid w:val="004D047D"/>
    <w:rsid w:val="004E0CDD"/>
    <w:rsid w:val="004E48A7"/>
    <w:rsid w:val="004F1E9E"/>
    <w:rsid w:val="004F305A"/>
    <w:rsid w:val="004F7184"/>
    <w:rsid w:val="00512164"/>
    <w:rsid w:val="00520297"/>
    <w:rsid w:val="005301A1"/>
    <w:rsid w:val="00531237"/>
    <w:rsid w:val="005338F9"/>
    <w:rsid w:val="005414FA"/>
    <w:rsid w:val="00542346"/>
    <w:rsid w:val="0054281C"/>
    <w:rsid w:val="00544581"/>
    <w:rsid w:val="00545E42"/>
    <w:rsid w:val="0055268D"/>
    <w:rsid w:val="00576BE4"/>
    <w:rsid w:val="00583497"/>
    <w:rsid w:val="00583D05"/>
    <w:rsid w:val="00587C79"/>
    <w:rsid w:val="005A0F6C"/>
    <w:rsid w:val="005A1802"/>
    <w:rsid w:val="005A1EC1"/>
    <w:rsid w:val="005A400A"/>
    <w:rsid w:val="005C019D"/>
    <w:rsid w:val="005C4BB0"/>
    <w:rsid w:val="005E4ED5"/>
    <w:rsid w:val="005E7D32"/>
    <w:rsid w:val="005F0D68"/>
    <w:rsid w:val="005F7B92"/>
    <w:rsid w:val="00612379"/>
    <w:rsid w:val="006153B6"/>
    <w:rsid w:val="0061555F"/>
    <w:rsid w:val="00623EC1"/>
    <w:rsid w:val="00636CA6"/>
    <w:rsid w:val="00637EDD"/>
    <w:rsid w:val="00640903"/>
    <w:rsid w:val="00641200"/>
    <w:rsid w:val="00645CA8"/>
    <w:rsid w:val="00654C6F"/>
    <w:rsid w:val="00661B21"/>
    <w:rsid w:val="006655D3"/>
    <w:rsid w:val="00667404"/>
    <w:rsid w:val="006704EB"/>
    <w:rsid w:val="00687EB4"/>
    <w:rsid w:val="00695C56"/>
    <w:rsid w:val="006A5CDE"/>
    <w:rsid w:val="006A644A"/>
    <w:rsid w:val="006B17D2"/>
    <w:rsid w:val="006C224E"/>
    <w:rsid w:val="006C5818"/>
    <w:rsid w:val="006D780A"/>
    <w:rsid w:val="006F15EC"/>
    <w:rsid w:val="006F4938"/>
    <w:rsid w:val="0071271E"/>
    <w:rsid w:val="00712D01"/>
    <w:rsid w:val="007237BD"/>
    <w:rsid w:val="00731CF6"/>
    <w:rsid w:val="00732DEC"/>
    <w:rsid w:val="00734CD1"/>
    <w:rsid w:val="00735ADD"/>
    <w:rsid w:val="00735BD5"/>
    <w:rsid w:val="00751613"/>
    <w:rsid w:val="007556F6"/>
    <w:rsid w:val="00755E49"/>
    <w:rsid w:val="00760EEF"/>
    <w:rsid w:val="00761378"/>
    <w:rsid w:val="00777EE5"/>
    <w:rsid w:val="00783722"/>
    <w:rsid w:val="00783A89"/>
    <w:rsid w:val="0078464B"/>
    <w:rsid w:val="00784836"/>
    <w:rsid w:val="0079023E"/>
    <w:rsid w:val="00790E44"/>
    <w:rsid w:val="00795C87"/>
    <w:rsid w:val="007A2854"/>
    <w:rsid w:val="007B0028"/>
    <w:rsid w:val="007C1D92"/>
    <w:rsid w:val="007C4CB9"/>
    <w:rsid w:val="007C6DFD"/>
    <w:rsid w:val="007D0555"/>
    <w:rsid w:val="007D0B9D"/>
    <w:rsid w:val="007D13CA"/>
    <w:rsid w:val="007D19B0"/>
    <w:rsid w:val="007E2934"/>
    <w:rsid w:val="007E2D9E"/>
    <w:rsid w:val="007F498F"/>
    <w:rsid w:val="007F7D21"/>
    <w:rsid w:val="0080679D"/>
    <w:rsid w:val="008108B0"/>
    <w:rsid w:val="00811B20"/>
    <w:rsid w:val="008211B5"/>
    <w:rsid w:val="0082296E"/>
    <w:rsid w:val="00824099"/>
    <w:rsid w:val="008274FA"/>
    <w:rsid w:val="00837457"/>
    <w:rsid w:val="00846D7C"/>
    <w:rsid w:val="008475DA"/>
    <w:rsid w:val="00864C55"/>
    <w:rsid w:val="00867AC1"/>
    <w:rsid w:val="00885B6A"/>
    <w:rsid w:val="00890DF8"/>
    <w:rsid w:val="00894D83"/>
    <w:rsid w:val="008953DD"/>
    <w:rsid w:val="008A269C"/>
    <w:rsid w:val="008A743F"/>
    <w:rsid w:val="008B3D8D"/>
    <w:rsid w:val="008B4A04"/>
    <w:rsid w:val="008C0970"/>
    <w:rsid w:val="008C5653"/>
    <w:rsid w:val="008D0BC5"/>
    <w:rsid w:val="008D2CF7"/>
    <w:rsid w:val="008E0311"/>
    <w:rsid w:val="008F1CAB"/>
    <w:rsid w:val="008F41F8"/>
    <w:rsid w:val="00900C26"/>
    <w:rsid w:val="0090197F"/>
    <w:rsid w:val="00905805"/>
    <w:rsid w:val="00906DDC"/>
    <w:rsid w:val="009124CB"/>
    <w:rsid w:val="0091469E"/>
    <w:rsid w:val="00932DD3"/>
    <w:rsid w:val="00933FDD"/>
    <w:rsid w:val="00934E09"/>
    <w:rsid w:val="00936253"/>
    <w:rsid w:val="00940D46"/>
    <w:rsid w:val="00943094"/>
    <w:rsid w:val="00944B46"/>
    <w:rsid w:val="00952DD4"/>
    <w:rsid w:val="00957113"/>
    <w:rsid w:val="0096175D"/>
    <w:rsid w:val="00965AE7"/>
    <w:rsid w:val="00970FED"/>
    <w:rsid w:val="009738CC"/>
    <w:rsid w:val="009802D8"/>
    <w:rsid w:val="00992D82"/>
    <w:rsid w:val="00997029"/>
    <w:rsid w:val="009A7339"/>
    <w:rsid w:val="009B440E"/>
    <w:rsid w:val="009D690D"/>
    <w:rsid w:val="009E65B6"/>
    <w:rsid w:val="009F16B8"/>
    <w:rsid w:val="009F432F"/>
    <w:rsid w:val="009F629C"/>
    <w:rsid w:val="00A24C10"/>
    <w:rsid w:val="00A42AC3"/>
    <w:rsid w:val="00A430CF"/>
    <w:rsid w:val="00A50778"/>
    <w:rsid w:val="00A52D8C"/>
    <w:rsid w:val="00A54309"/>
    <w:rsid w:val="00A706D3"/>
    <w:rsid w:val="00AB2B93"/>
    <w:rsid w:val="00AB530F"/>
    <w:rsid w:val="00AB7E5B"/>
    <w:rsid w:val="00AC2883"/>
    <w:rsid w:val="00AC6E2D"/>
    <w:rsid w:val="00AD3551"/>
    <w:rsid w:val="00AE0EF1"/>
    <w:rsid w:val="00AE2937"/>
    <w:rsid w:val="00AE4F49"/>
    <w:rsid w:val="00B07301"/>
    <w:rsid w:val="00B11F3E"/>
    <w:rsid w:val="00B17EFD"/>
    <w:rsid w:val="00B224DE"/>
    <w:rsid w:val="00B324D4"/>
    <w:rsid w:val="00B46575"/>
    <w:rsid w:val="00B5498A"/>
    <w:rsid w:val="00B61777"/>
    <w:rsid w:val="00B66A76"/>
    <w:rsid w:val="00B84BBD"/>
    <w:rsid w:val="00B908FA"/>
    <w:rsid w:val="00B90EBF"/>
    <w:rsid w:val="00BA1CB9"/>
    <w:rsid w:val="00BA43FB"/>
    <w:rsid w:val="00BC0BD4"/>
    <w:rsid w:val="00BC127D"/>
    <w:rsid w:val="00BC1FE6"/>
    <w:rsid w:val="00BE0239"/>
    <w:rsid w:val="00BE6D1C"/>
    <w:rsid w:val="00C061B6"/>
    <w:rsid w:val="00C12C70"/>
    <w:rsid w:val="00C15A05"/>
    <w:rsid w:val="00C176DC"/>
    <w:rsid w:val="00C2446C"/>
    <w:rsid w:val="00C25D04"/>
    <w:rsid w:val="00C32090"/>
    <w:rsid w:val="00C32BE2"/>
    <w:rsid w:val="00C36AE5"/>
    <w:rsid w:val="00C41F17"/>
    <w:rsid w:val="00C4357B"/>
    <w:rsid w:val="00C43D6B"/>
    <w:rsid w:val="00C43FBC"/>
    <w:rsid w:val="00C47BC1"/>
    <w:rsid w:val="00C527FA"/>
    <w:rsid w:val="00C5280D"/>
    <w:rsid w:val="00C53EB3"/>
    <w:rsid w:val="00C5791C"/>
    <w:rsid w:val="00C66290"/>
    <w:rsid w:val="00C72B7A"/>
    <w:rsid w:val="00C95286"/>
    <w:rsid w:val="00C973F2"/>
    <w:rsid w:val="00CA1A9E"/>
    <w:rsid w:val="00CA302A"/>
    <w:rsid w:val="00CA304C"/>
    <w:rsid w:val="00CA774A"/>
    <w:rsid w:val="00CB4ABF"/>
    <w:rsid w:val="00CB4EFE"/>
    <w:rsid w:val="00CC11B0"/>
    <w:rsid w:val="00CC2841"/>
    <w:rsid w:val="00CC7107"/>
    <w:rsid w:val="00CD67B9"/>
    <w:rsid w:val="00CE49AB"/>
    <w:rsid w:val="00CF1330"/>
    <w:rsid w:val="00CF7E36"/>
    <w:rsid w:val="00D113A6"/>
    <w:rsid w:val="00D3708D"/>
    <w:rsid w:val="00D40426"/>
    <w:rsid w:val="00D57C96"/>
    <w:rsid w:val="00D57D18"/>
    <w:rsid w:val="00D66032"/>
    <w:rsid w:val="00D7322C"/>
    <w:rsid w:val="00D91203"/>
    <w:rsid w:val="00D92100"/>
    <w:rsid w:val="00D95174"/>
    <w:rsid w:val="00DA4973"/>
    <w:rsid w:val="00DA6F36"/>
    <w:rsid w:val="00DB30D3"/>
    <w:rsid w:val="00DB596E"/>
    <w:rsid w:val="00DB7773"/>
    <w:rsid w:val="00DC00EA"/>
    <w:rsid w:val="00DC3802"/>
    <w:rsid w:val="00DE7772"/>
    <w:rsid w:val="00DF1033"/>
    <w:rsid w:val="00E07D87"/>
    <w:rsid w:val="00E14B67"/>
    <w:rsid w:val="00E26809"/>
    <w:rsid w:val="00E32F7E"/>
    <w:rsid w:val="00E43549"/>
    <w:rsid w:val="00E450EC"/>
    <w:rsid w:val="00E5267B"/>
    <w:rsid w:val="00E54766"/>
    <w:rsid w:val="00E63C0E"/>
    <w:rsid w:val="00E6520F"/>
    <w:rsid w:val="00E72D49"/>
    <w:rsid w:val="00E7593C"/>
    <w:rsid w:val="00E7678A"/>
    <w:rsid w:val="00E85DB1"/>
    <w:rsid w:val="00E868F2"/>
    <w:rsid w:val="00E935F1"/>
    <w:rsid w:val="00E94A81"/>
    <w:rsid w:val="00EA1FFB"/>
    <w:rsid w:val="00EA5006"/>
    <w:rsid w:val="00EA5DFC"/>
    <w:rsid w:val="00EB048E"/>
    <w:rsid w:val="00EB4E9C"/>
    <w:rsid w:val="00EB5BFE"/>
    <w:rsid w:val="00EC0CE7"/>
    <w:rsid w:val="00EC0D95"/>
    <w:rsid w:val="00EC2265"/>
    <w:rsid w:val="00EC6912"/>
    <w:rsid w:val="00EE34DF"/>
    <w:rsid w:val="00EE48B2"/>
    <w:rsid w:val="00EF0364"/>
    <w:rsid w:val="00EF2F89"/>
    <w:rsid w:val="00F03E98"/>
    <w:rsid w:val="00F1237A"/>
    <w:rsid w:val="00F17E0D"/>
    <w:rsid w:val="00F22CBD"/>
    <w:rsid w:val="00F272F1"/>
    <w:rsid w:val="00F44719"/>
    <w:rsid w:val="00F45372"/>
    <w:rsid w:val="00F54026"/>
    <w:rsid w:val="00F560F7"/>
    <w:rsid w:val="00F60C7B"/>
    <w:rsid w:val="00F6334D"/>
    <w:rsid w:val="00F672D3"/>
    <w:rsid w:val="00F71CE6"/>
    <w:rsid w:val="00F96F4E"/>
    <w:rsid w:val="00FA49AB"/>
    <w:rsid w:val="00FB7D64"/>
    <w:rsid w:val="00FC7A4A"/>
    <w:rsid w:val="00FD3F87"/>
    <w:rsid w:val="00FE39C7"/>
    <w:rsid w:val="00FF0FBE"/>
    <w:rsid w:val="00FF106D"/>
    <w:rsid w:val="00FF483E"/>
    <w:rsid w:val="00FF4D07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CEAFD68-4B6F-4AFA-9F34-E54FA02A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styleId="FollowedHyperlink">
    <w:name w:val="FollowedHyperlink"/>
    <w:basedOn w:val="DefaultParagraphFont"/>
    <w:rsid w:val="00F60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meetings/es/doc_details.jsp?meeting_id=47206&amp;doc_id=405877" TargetMode="External"/><Relationship Id="rId13" Type="http://schemas.openxmlformats.org/officeDocument/2006/relationships/image" Target="media/image3.wmf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pov.int/meetings/es/doc_details.jsp?meeting_id=47210&amp;doc_id=409249" TargetMode="External"/><Relationship Id="rId14" Type="http://schemas.openxmlformats.org/officeDocument/2006/relationships/oleObject" Target="embeddings/oleObject2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3084</Words>
  <Characters>15472</Characters>
  <Application>Microsoft Office Word</Application>
  <DocSecurity>0</DocSecurity>
  <Lines>377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CEVALLOS DUQUE Nilo</dc:creator>
  <cp:lastModifiedBy>MAY Jessica</cp:lastModifiedBy>
  <cp:revision>3</cp:revision>
  <cp:lastPrinted>2016-11-22T15:41:00Z</cp:lastPrinted>
  <dcterms:created xsi:type="dcterms:W3CDTF">2018-10-11T08:51:00Z</dcterms:created>
  <dcterms:modified xsi:type="dcterms:W3CDTF">2018-10-11T09:01:00Z</dcterms:modified>
</cp:coreProperties>
</file>