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70426" w:rsidTr="00EB4E9C">
        <w:tc>
          <w:tcPr>
            <w:tcW w:w="6522" w:type="dxa"/>
          </w:tcPr>
          <w:p w:rsidR="00DC3802" w:rsidRPr="00A70426" w:rsidRDefault="00DC3802" w:rsidP="00AC2883">
            <w:r>
              <w:rPr>
                <w:noProof/>
                <w:lang w:val="es-ES_tradnl" w:eastAsia="es-ES_tradnl"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70426" w:rsidRDefault="002E5944" w:rsidP="00AC2883">
            <w:pPr>
              <w:pStyle w:val="Lettrine"/>
            </w:pPr>
            <w:r>
              <w:t>S</w:t>
            </w:r>
          </w:p>
        </w:tc>
      </w:tr>
      <w:tr w:rsidR="00DC3802" w:rsidRPr="00A70426" w:rsidTr="00645CA8">
        <w:trPr>
          <w:trHeight w:val="219"/>
        </w:trPr>
        <w:tc>
          <w:tcPr>
            <w:tcW w:w="6522" w:type="dxa"/>
          </w:tcPr>
          <w:p w:rsidR="00DC3802" w:rsidRPr="00A70426" w:rsidRDefault="002E5944" w:rsidP="00BC0BD4">
            <w:pPr>
              <w:pStyle w:val="upove"/>
            </w:pPr>
            <w:r>
              <w:t>Unión Internacional para la Protección de las Obtenciones Vegetales</w:t>
            </w:r>
          </w:p>
        </w:tc>
        <w:tc>
          <w:tcPr>
            <w:tcW w:w="3117" w:type="dxa"/>
          </w:tcPr>
          <w:p w:rsidR="00DC3802" w:rsidRPr="00A70426" w:rsidRDefault="00DC3802" w:rsidP="00DA4973"/>
        </w:tc>
      </w:tr>
    </w:tbl>
    <w:p w:rsidR="00DC3802" w:rsidRPr="00A70426" w:rsidRDefault="00DC3802" w:rsidP="00DC3802"/>
    <w:p w:rsidR="00DA4973" w:rsidRPr="00A70426"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70426" w:rsidTr="00EB4E9C">
        <w:tc>
          <w:tcPr>
            <w:tcW w:w="6512" w:type="dxa"/>
          </w:tcPr>
          <w:p w:rsidR="00EB4E9C" w:rsidRPr="00A70426" w:rsidRDefault="002E5944" w:rsidP="00AC2883">
            <w:pPr>
              <w:pStyle w:val="Sessiontc"/>
              <w:spacing w:line="240" w:lineRule="auto"/>
            </w:pPr>
            <w:r>
              <w:t>Comité Técnico</w:t>
            </w:r>
          </w:p>
          <w:p w:rsidR="00EB4E9C" w:rsidRPr="00A70426" w:rsidRDefault="002E5944" w:rsidP="005A1EC1">
            <w:pPr>
              <w:pStyle w:val="Sessiontcplacedate"/>
              <w:rPr>
                <w:sz w:val="22"/>
              </w:rPr>
            </w:pPr>
            <w:r>
              <w:t>Quincuagésima cuarta sesión</w:t>
            </w:r>
            <w:r>
              <w:br/>
              <w:t>Ginebra, 29 y 30 de octubre de 2018</w:t>
            </w:r>
          </w:p>
        </w:tc>
        <w:tc>
          <w:tcPr>
            <w:tcW w:w="3127" w:type="dxa"/>
          </w:tcPr>
          <w:p w:rsidR="00EB4E9C" w:rsidRPr="00A70426" w:rsidRDefault="005A1EC1" w:rsidP="003C7FBE">
            <w:pPr>
              <w:pStyle w:val="Doccode"/>
            </w:pPr>
            <w:r>
              <w:t>TC/54/16</w:t>
            </w:r>
          </w:p>
          <w:p w:rsidR="00EB4E9C" w:rsidRPr="00A70426" w:rsidRDefault="00EB4E9C" w:rsidP="003C7FBE">
            <w:pPr>
              <w:pStyle w:val="Docoriginal"/>
            </w:pPr>
            <w:r>
              <w:t>Original:</w:t>
            </w:r>
            <w:r w:rsidR="00533A68">
              <w:rPr>
                <w:b w:val="0"/>
                <w:spacing w:val="0"/>
              </w:rPr>
              <w:t xml:space="preserve"> </w:t>
            </w:r>
            <w:r>
              <w:rPr>
                <w:b w:val="0"/>
                <w:spacing w:val="0"/>
              </w:rPr>
              <w:t>Inglés</w:t>
            </w:r>
          </w:p>
          <w:p w:rsidR="00EB4E9C" w:rsidRPr="00A70426" w:rsidRDefault="002E5944" w:rsidP="00A70426">
            <w:pPr>
              <w:pStyle w:val="Docoriginal"/>
            </w:pPr>
            <w:r>
              <w:t>Fecha:</w:t>
            </w:r>
            <w:r w:rsidR="00533A68">
              <w:rPr>
                <w:b w:val="0"/>
                <w:spacing w:val="0"/>
              </w:rPr>
              <w:t xml:space="preserve"> </w:t>
            </w:r>
            <w:r w:rsidR="009F24F4" w:rsidRPr="009F24F4">
              <w:rPr>
                <w:b w:val="0"/>
                <w:spacing w:val="0"/>
              </w:rPr>
              <w:t>24</w:t>
            </w:r>
            <w:r w:rsidRPr="009F24F4">
              <w:rPr>
                <w:b w:val="0"/>
                <w:spacing w:val="0"/>
              </w:rPr>
              <w:t xml:space="preserve"> de julio</w:t>
            </w:r>
            <w:r>
              <w:rPr>
                <w:b w:val="0"/>
                <w:spacing w:val="0"/>
              </w:rPr>
              <w:t xml:space="preserve"> de 2018</w:t>
            </w:r>
          </w:p>
        </w:tc>
      </w:tr>
    </w:tbl>
    <w:p w:rsidR="000D7780" w:rsidRPr="00A70426" w:rsidRDefault="00A70426" w:rsidP="006A644A">
      <w:pPr>
        <w:pStyle w:val="Titleofdoc0"/>
      </w:pPr>
      <w:bookmarkStart w:id="0" w:name="TitleOfDoc"/>
      <w:bookmarkEnd w:id="0"/>
      <w:r>
        <w:t>Procedimiento para aprobar proyectos de directrices de examen</w:t>
      </w:r>
    </w:p>
    <w:p w:rsidR="006A644A" w:rsidRPr="00A70426" w:rsidRDefault="000638A9" w:rsidP="006A644A">
      <w:pPr>
        <w:pStyle w:val="preparedby1"/>
        <w:jc w:val="left"/>
      </w:pPr>
      <w:bookmarkStart w:id="1" w:name="Prepared"/>
      <w:bookmarkEnd w:id="1"/>
      <w:r>
        <w:t>Documento preparado por la Oficina de la Unión</w:t>
      </w:r>
    </w:p>
    <w:p w:rsidR="00050E16" w:rsidRPr="00A70426" w:rsidRDefault="000638A9" w:rsidP="006A644A">
      <w:pPr>
        <w:pStyle w:val="Disclaimer"/>
      </w:pPr>
      <w:r>
        <w:t>Descargo de responsabilidad: el presente documento no constituye un documento de política u orientación de la UPOV</w:t>
      </w:r>
    </w:p>
    <w:p w:rsidR="00A70426" w:rsidRPr="00A70426" w:rsidRDefault="00A70426" w:rsidP="00A70426">
      <w:pPr>
        <w:pStyle w:val="Heading1"/>
      </w:pPr>
      <w:bookmarkStart w:id="2" w:name="_Toc516497112"/>
      <w:bookmarkStart w:id="3" w:name="_Toc520356861"/>
      <w:r>
        <w:t>Resumen</w:t>
      </w:r>
      <w:bookmarkEnd w:id="2"/>
      <w:bookmarkEnd w:id="3"/>
    </w:p>
    <w:p w:rsidR="00A70426" w:rsidRPr="00A70426" w:rsidRDefault="00A70426" w:rsidP="00A70426">
      <w:pPr>
        <w:tabs>
          <w:tab w:val="left" w:pos="567"/>
          <w:tab w:val="left" w:pos="1134"/>
          <w:tab w:val="left" w:pos="5387"/>
        </w:tabs>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El presente documento tiene por objeto exponer una propuesta de revisión del documento TGP/7 “Elaboración de las directrices de examen” a fin de que incluya la introducción de un procedimiento para aprobar directrices de examen por correspondencia, de conformidad con la decisión del Consejo en su trigésima cuarta sesión extraordinaria.</w:t>
      </w:r>
    </w:p>
    <w:p w:rsidR="00A70426" w:rsidRPr="00A70426" w:rsidRDefault="00A70426" w:rsidP="00A70426">
      <w:pPr>
        <w:tabs>
          <w:tab w:val="left" w:pos="567"/>
          <w:tab w:val="left" w:pos="1134"/>
          <w:tab w:val="left" w:pos="5387"/>
        </w:tabs>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 xml:space="preserve">Se invita al TC a examinar la propuesta de revisión del documento TGP/7 “Elaboración de las directrices de examen” a fin de que incluya la introducción de un procedimiento para aprobar directrices de examen por correspondencia, según se expone en </w:t>
      </w:r>
      <w:r w:rsidR="00A70426" w:rsidRPr="003F6CDE">
        <w:t>el párrafo 14 de</w:t>
      </w:r>
      <w:r w:rsidR="00A70426">
        <w:t xml:space="preserve"> </w:t>
      </w:r>
      <w:r w:rsidR="00EF0A88">
        <w:t>es</w:t>
      </w:r>
      <w:r w:rsidR="00A70426">
        <w:t>te documento.</w:t>
      </w:r>
    </w:p>
    <w:p w:rsidR="00A70426" w:rsidRPr="00A70426" w:rsidRDefault="00A70426" w:rsidP="00A70426">
      <w:pPr>
        <w:tabs>
          <w:tab w:val="left" w:pos="567"/>
          <w:tab w:val="left" w:pos="1134"/>
        </w:tabs>
        <w:rPr>
          <w:snapToGrid w:val="0"/>
          <w:highlight w:val="cyan"/>
        </w:rPr>
      </w:pPr>
    </w:p>
    <w:p w:rsidR="00A70426" w:rsidRPr="00A70426" w:rsidRDefault="0097753B" w:rsidP="00A70426">
      <w:r w:rsidRPr="00A70426">
        <w:fldChar w:fldCharType="begin"/>
      </w:r>
      <w:r w:rsidR="00A70426" w:rsidRPr="00A70426">
        <w:instrText xml:space="preserve"> AUTONUM  </w:instrText>
      </w:r>
      <w:r w:rsidRPr="00A70426">
        <w:fldChar w:fldCharType="end"/>
      </w:r>
      <w:r w:rsidR="00A70426">
        <w:tab/>
        <w:t>El presente documento se estructura del modo siguiente:</w:t>
      </w:r>
    </w:p>
    <w:p w:rsidR="00A70426" w:rsidRPr="00A70426" w:rsidRDefault="00A70426" w:rsidP="00A70426"/>
    <w:p w:rsidR="00EF0A88" w:rsidRDefault="0097753B" w:rsidP="00EF0A88">
      <w:pPr>
        <w:pStyle w:val="TOC1"/>
        <w:rPr>
          <w:rFonts w:asciiTheme="minorHAnsi" w:eastAsiaTheme="minorEastAsia" w:hAnsiTheme="minorHAnsi" w:cstheme="minorBidi"/>
          <w:noProof/>
          <w:sz w:val="22"/>
          <w:szCs w:val="22"/>
          <w:lang w:bidi="ar-SA"/>
        </w:rPr>
      </w:pPr>
      <w:r w:rsidRPr="00A70426">
        <w:rPr>
          <w:b/>
          <w:bCs/>
          <w:noProof/>
          <w:highlight w:val="yellow"/>
        </w:rPr>
        <w:fldChar w:fldCharType="begin"/>
      </w:r>
      <w:r w:rsidR="00A70426" w:rsidRPr="00A70426">
        <w:rPr>
          <w:b/>
          <w:highlight w:val="yellow"/>
        </w:rPr>
        <w:instrText xml:space="preserve"> TOC \o "1-3" \h \z \u </w:instrText>
      </w:r>
      <w:r w:rsidRPr="00A70426">
        <w:rPr>
          <w:b/>
          <w:bCs/>
          <w:noProof/>
          <w:highlight w:val="yellow"/>
        </w:rPr>
        <w:fldChar w:fldCharType="separate"/>
      </w:r>
      <w:hyperlink w:anchor="_Toc520356861" w:history="1">
        <w:r w:rsidR="00EF0A88" w:rsidRPr="00D41075">
          <w:rPr>
            <w:rStyle w:val="Hyperlink"/>
            <w:noProof/>
          </w:rPr>
          <w:t>Resumen</w:t>
        </w:r>
        <w:r w:rsidR="00EF0A88">
          <w:rPr>
            <w:noProof/>
            <w:webHidden/>
          </w:rPr>
          <w:tab/>
        </w:r>
        <w:r>
          <w:rPr>
            <w:noProof/>
            <w:webHidden/>
          </w:rPr>
          <w:fldChar w:fldCharType="begin"/>
        </w:r>
        <w:r w:rsidR="00EF0A88">
          <w:rPr>
            <w:noProof/>
            <w:webHidden/>
          </w:rPr>
          <w:instrText xml:space="preserve"> PAGEREF _Toc520356861 \h </w:instrText>
        </w:r>
        <w:r>
          <w:rPr>
            <w:noProof/>
            <w:webHidden/>
          </w:rPr>
        </w:r>
        <w:r>
          <w:rPr>
            <w:noProof/>
            <w:webHidden/>
          </w:rPr>
          <w:fldChar w:fldCharType="separate"/>
        </w:r>
        <w:r w:rsidR="00EF0A88">
          <w:rPr>
            <w:noProof/>
            <w:webHidden/>
          </w:rPr>
          <w:t>1</w:t>
        </w:r>
        <w:r>
          <w:rPr>
            <w:noProof/>
            <w:webHidden/>
          </w:rPr>
          <w:fldChar w:fldCharType="end"/>
        </w:r>
      </w:hyperlink>
    </w:p>
    <w:p w:rsidR="00EF0A88" w:rsidRDefault="003F6CDE" w:rsidP="00EF0A88">
      <w:pPr>
        <w:pStyle w:val="TOC1"/>
        <w:rPr>
          <w:rFonts w:asciiTheme="minorHAnsi" w:eastAsiaTheme="minorEastAsia" w:hAnsiTheme="minorHAnsi" w:cstheme="minorBidi"/>
          <w:noProof/>
          <w:sz w:val="22"/>
          <w:szCs w:val="22"/>
          <w:lang w:bidi="ar-SA"/>
        </w:rPr>
      </w:pPr>
      <w:hyperlink w:anchor="_Toc520356862" w:history="1">
        <w:r w:rsidR="00EF0A88" w:rsidRPr="00D41075">
          <w:rPr>
            <w:rStyle w:val="Hyperlink"/>
            <w:noProof/>
          </w:rPr>
          <w:t>antecedentes</w:t>
        </w:r>
        <w:r w:rsidR="00EF0A88">
          <w:rPr>
            <w:noProof/>
            <w:webHidden/>
          </w:rPr>
          <w:tab/>
        </w:r>
        <w:r w:rsidR="0097753B">
          <w:rPr>
            <w:noProof/>
            <w:webHidden/>
          </w:rPr>
          <w:fldChar w:fldCharType="begin"/>
        </w:r>
        <w:r w:rsidR="00EF0A88">
          <w:rPr>
            <w:noProof/>
            <w:webHidden/>
          </w:rPr>
          <w:instrText xml:space="preserve"> PAGEREF _Toc520356862 \h </w:instrText>
        </w:r>
        <w:r w:rsidR="0097753B">
          <w:rPr>
            <w:noProof/>
            <w:webHidden/>
          </w:rPr>
        </w:r>
        <w:r w:rsidR="0097753B">
          <w:rPr>
            <w:noProof/>
            <w:webHidden/>
          </w:rPr>
          <w:fldChar w:fldCharType="separate"/>
        </w:r>
        <w:r w:rsidR="00EF0A88">
          <w:rPr>
            <w:noProof/>
            <w:webHidden/>
          </w:rPr>
          <w:t>1</w:t>
        </w:r>
        <w:r w:rsidR="0097753B">
          <w:rPr>
            <w:noProof/>
            <w:webHidden/>
          </w:rPr>
          <w:fldChar w:fldCharType="end"/>
        </w:r>
      </w:hyperlink>
    </w:p>
    <w:p w:rsidR="00EF0A88" w:rsidRDefault="003F6CDE" w:rsidP="00EF0A88">
      <w:pPr>
        <w:pStyle w:val="TOC1"/>
        <w:rPr>
          <w:rFonts w:asciiTheme="minorHAnsi" w:eastAsiaTheme="minorEastAsia" w:hAnsiTheme="minorHAnsi" w:cstheme="minorBidi"/>
          <w:noProof/>
          <w:sz w:val="22"/>
          <w:szCs w:val="22"/>
          <w:lang w:bidi="ar-SA"/>
        </w:rPr>
      </w:pPr>
      <w:hyperlink w:anchor="_Toc520356863" w:history="1">
        <w:r w:rsidR="00EF0A88" w:rsidRPr="00D41075">
          <w:rPr>
            <w:rStyle w:val="Hyperlink"/>
            <w:noProof/>
          </w:rPr>
          <w:t>Examen por el Comité de Redacción Ampliado</w:t>
        </w:r>
        <w:r w:rsidR="00EF0A88">
          <w:rPr>
            <w:noProof/>
            <w:webHidden/>
          </w:rPr>
          <w:tab/>
        </w:r>
        <w:r w:rsidR="0097753B">
          <w:rPr>
            <w:noProof/>
            <w:webHidden/>
          </w:rPr>
          <w:fldChar w:fldCharType="begin"/>
        </w:r>
        <w:r w:rsidR="00EF0A88">
          <w:rPr>
            <w:noProof/>
            <w:webHidden/>
          </w:rPr>
          <w:instrText xml:space="preserve"> PAGEREF _Toc520356863 \h </w:instrText>
        </w:r>
        <w:r w:rsidR="0097753B">
          <w:rPr>
            <w:noProof/>
            <w:webHidden/>
          </w:rPr>
        </w:r>
        <w:r w:rsidR="0097753B">
          <w:rPr>
            <w:noProof/>
            <w:webHidden/>
          </w:rPr>
          <w:fldChar w:fldCharType="separate"/>
        </w:r>
        <w:r w:rsidR="00EF0A88">
          <w:rPr>
            <w:noProof/>
            <w:webHidden/>
          </w:rPr>
          <w:t>2</w:t>
        </w:r>
        <w:r w:rsidR="0097753B">
          <w:rPr>
            <w:noProof/>
            <w:webHidden/>
          </w:rPr>
          <w:fldChar w:fldCharType="end"/>
        </w:r>
      </w:hyperlink>
    </w:p>
    <w:p w:rsidR="00EF0A88" w:rsidRDefault="003F6CDE" w:rsidP="00EF0A88">
      <w:pPr>
        <w:pStyle w:val="TOC1"/>
        <w:rPr>
          <w:rFonts w:asciiTheme="minorHAnsi" w:eastAsiaTheme="minorEastAsia" w:hAnsiTheme="minorHAnsi" w:cstheme="minorBidi"/>
          <w:noProof/>
          <w:sz w:val="22"/>
          <w:szCs w:val="22"/>
          <w:lang w:bidi="ar-SA"/>
        </w:rPr>
      </w:pPr>
      <w:hyperlink w:anchor="_Toc520356864" w:history="1">
        <w:r w:rsidR="00EF0A88" w:rsidRPr="00D41075">
          <w:rPr>
            <w:rStyle w:val="Hyperlink"/>
            <w:noProof/>
          </w:rPr>
          <w:t>Siguientes pasos</w:t>
        </w:r>
        <w:r w:rsidR="00EF0A88">
          <w:rPr>
            <w:noProof/>
            <w:webHidden/>
          </w:rPr>
          <w:tab/>
        </w:r>
        <w:r w:rsidR="0097753B">
          <w:rPr>
            <w:noProof/>
            <w:webHidden/>
          </w:rPr>
          <w:fldChar w:fldCharType="begin"/>
        </w:r>
        <w:r w:rsidR="00EF0A88">
          <w:rPr>
            <w:noProof/>
            <w:webHidden/>
          </w:rPr>
          <w:instrText xml:space="preserve"> PAGEREF _Toc520356864 \h </w:instrText>
        </w:r>
        <w:r w:rsidR="0097753B">
          <w:rPr>
            <w:noProof/>
            <w:webHidden/>
          </w:rPr>
        </w:r>
        <w:r w:rsidR="0097753B">
          <w:rPr>
            <w:noProof/>
            <w:webHidden/>
          </w:rPr>
          <w:fldChar w:fldCharType="separate"/>
        </w:r>
        <w:r w:rsidR="00EF0A88">
          <w:rPr>
            <w:noProof/>
            <w:webHidden/>
          </w:rPr>
          <w:t>3</w:t>
        </w:r>
        <w:r w:rsidR="0097753B">
          <w:rPr>
            <w:noProof/>
            <w:webHidden/>
          </w:rPr>
          <w:fldChar w:fldCharType="end"/>
        </w:r>
      </w:hyperlink>
    </w:p>
    <w:p w:rsidR="00A70426" w:rsidRPr="00A70426" w:rsidRDefault="0097753B" w:rsidP="00EF0A88">
      <w:pPr>
        <w:spacing w:before="120"/>
        <w:ind w:left="1134" w:hanging="1134"/>
        <w:rPr>
          <w:rFonts w:asciiTheme="minorHAnsi" w:eastAsiaTheme="minorEastAsia" w:hAnsiTheme="minorHAnsi" w:cstheme="minorBidi"/>
          <w:caps/>
          <w:noProof/>
          <w:sz w:val="22"/>
          <w:szCs w:val="22"/>
        </w:rPr>
      </w:pPr>
      <w:r w:rsidRPr="00A70426">
        <w:rPr>
          <w:highlight w:val="yellow"/>
        </w:rPr>
        <w:fldChar w:fldCharType="end"/>
      </w:r>
      <w:r w:rsidR="00A70426" w:rsidRPr="00EF0A88">
        <w:rPr>
          <w:caps/>
          <w:lang w:eastAsia="en-US" w:bidi="ar-SA"/>
        </w:rPr>
        <w:t>AN</w:t>
      </w:r>
      <w:r w:rsidR="00EF0A88" w:rsidRPr="00EF0A88">
        <w:rPr>
          <w:caps/>
          <w:lang w:eastAsia="en-US" w:bidi="ar-SA"/>
        </w:rPr>
        <w:t>EXO</w:t>
      </w:r>
      <w:r w:rsidR="00A70426" w:rsidRPr="00EF0A88">
        <w:rPr>
          <w:caps/>
          <w:lang w:eastAsia="en-US" w:bidi="ar-SA"/>
        </w:rPr>
        <w:tab/>
        <w:t>EXTRACTO DE LA SECCIÓN 2.2 “PROCEDIMIENTO PARA INTRODUCIR DIRECTRICES DE</w:t>
      </w:r>
      <w:r w:rsidR="00EF0A88">
        <w:rPr>
          <w:lang w:eastAsia="en-US" w:bidi="ar-SA"/>
        </w:rPr>
        <w:t xml:space="preserve"> </w:t>
      </w:r>
      <w:r w:rsidR="00A70426" w:rsidRPr="00EF0A88">
        <w:rPr>
          <w:caps/>
          <w:lang w:eastAsia="en-US" w:bidi="ar-SA"/>
        </w:rPr>
        <w:t>EXAMEN” DEL DOC</w:t>
      </w:r>
      <w:r w:rsidR="00A70426">
        <w:t>UMENTO TGP/7 “ELABORACIÓN DE LAS DIRECTRICES DE EXAMEN”</w:t>
      </w:r>
    </w:p>
    <w:p w:rsidR="00A70426" w:rsidRPr="00A70426" w:rsidRDefault="00A70426" w:rsidP="00A70426">
      <w:pPr>
        <w:spacing w:before="120"/>
        <w:ind w:left="1134" w:hanging="1134"/>
        <w:rPr>
          <w:rFonts w:cs="Arial"/>
          <w:color w:val="000000"/>
        </w:rPr>
      </w:pPr>
    </w:p>
    <w:p w:rsidR="00A70426" w:rsidRPr="00A70426" w:rsidRDefault="0097753B" w:rsidP="00A70426">
      <w:pPr>
        <w:jc w:val="left"/>
        <w:rPr>
          <w:rFonts w:cs="Arial"/>
          <w:color w:val="000000"/>
        </w:rPr>
      </w:pPr>
      <w:r w:rsidRPr="00A70426">
        <w:rPr>
          <w:rFonts w:cs="Arial"/>
          <w:color w:val="000000"/>
        </w:rPr>
        <w:fldChar w:fldCharType="begin"/>
      </w:r>
      <w:r w:rsidR="00A70426" w:rsidRPr="00A70426">
        <w:rPr>
          <w:rFonts w:cs="Arial"/>
          <w:color w:val="000000"/>
        </w:rPr>
        <w:instrText xml:space="preserve"> AUTONUM  </w:instrText>
      </w:r>
      <w:r w:rsidRPr="00A70426">
        <w:rPr>
          <w:rFonts w:cs="Arial"/>
          <w:color w:val="000000"/>
        </w:rPr>
        <w:fldChar w:fldCharType="end"/>
      </w:r>
      <w:r w:rsidR="00A70426">
        <w:tab/>
        <w:t>En el presente documento se utilizan las abreviaturas siguientes:</w:t>
      </w:r>
    </w:p>
    <w:p w:rsidR="00A70426" w:rsidRPr="00A70426" w:rsidRDefault="00A70426" w:rsidP="00A70426">
      <w:pPr>
        <w:jc w:val="left"/>
        <w:rPr>
          <w:rFonts w:cs="Arial"/>
          <w:color w:val="000000"/>
        </w:rPr>
      </w:pPr>
    </w:p>
    <w:p w:rsidR="00A70426" w:rsidRPr="00A70426" w:rsidRDefault="00A70426" w:rsidP="00C53985">
      <w:pPr>
        <w:tabs>
          <w:tab w:val="left" w:pos="993"/>
        </w:tabs>
        <w:jc w:val="left"/>
        <w:rPr>
          <w:rFonts w:cs="Arial"/>
          <w:color w:val="000000"/>
        </w:rPr>
      </w:pPr>
      <w:r>
        <w:rPr>
          <w:color w:val="000000"/>
        </w:rPr>
        <w:t>TC:</w:t>
      </w:r>
      <w:r>
        <w:tab/>
      </w:r>
      <w:r>
        <w:rPr>
          <w:color w:val="000000"/>
        </w:rPr>
        <w:t>Comité Técnico</w:t>
      </w:r>
    </w:p>
    <w:p w:rsidR="00A70426" w:rsidRPr="00A70426" w:rsidRDefault="00A70426" w:rsidP="00C53985">
      <w:pPr>
        <w:tabs>
          <w:tab w:val="left" w:pos="993"/>
        </w:tabs>
        <w:jc w:val="left"/>
        <w:rPr>
          <w:rFonts w:cs="Arial"/>
          <w:color w:val="000000"/>
        </w:rPr>
      </w:pPr>
      <w:r>
        <w:rPr>
          <w:color w:val="000000"/>
        </w:rPr>
        <w:t>TC-EDC:</w:t>
      </w:r>
      <w:r>
        <w:tab/>
      </w:r>
      <w:r>
        <w:rPr>
          <w:color w:val="000000"/>
        </w:rPr>
        <w:t>Comité de Redacción Ampliado</w:t>
      </w:r>
    </w:p>
    <w:p w:rsidR="00A70426" w:rsidRPr="00A70426" w:rsidRDefault="00A70426" w:rsidP="00C53985">
      <w:pPr>
        <w:tabs>
          <w:tab w:val="left" w:pos="993"/>
        </w:tabs>
        <w:jc w:val="left"/>
        <w:rPr>
          <w:rFonts w:cs="Arial"/>
          <w:color w:val="000000"/>
        </w:rPr>
      </w:pPr>
      <w:r>
        <w:rPr>
          <w:color w:val="000000"/>
        </w:rPr>
        <w:t>TWA</w:t>
      </w:r>
      <w:r>
        <w:tab/>
      </w:r>
      <w:r>
        <w:rPr>
          <w:color w:val="000000"/>
        </w:rPr>
        <w:t>Grupo de Trabajo Técnico sobre Plantas Agrícolas</w:t>
      </w:r>
    </w:p>
    <w:p w:rsidR="00A70426" w:rsidRPr="00A70426" w:rsidRDefault="00A70426" w:rsidP="00C53985">
      <w:pPr>
        <w:tabs>
          <w:tab w:val="left" w:pos="993"/>
        </w:tabs>
        <w:jc w:val="left"/>
        <w:rPr>
          <w:rFonts w:cs="Arial"/>
          <w:color w:val="000000"/>
        </w:rPr>
      </w:pPr>
      <w:r>
        <w:rPr>
          <w:color w:val="000000"/>
        </w:rPr>
        <w:t>TWC:</w:t>
      </w:r>
      <w:r>
        <w:tab/>
      </w:r>
      <w:r>
        <w:rPr>
          <w:color w:val="000000"/>
        </w:rPr>
        <w:t>Grupo de Trabajo Técnico sobre Automatización y Programas Informáticos</w:t>
      </w:r>
    </w:p>
    <w:p w:rsidR="00A70426" w:rsidRPr="00A70426" w:rsidRDefault="00A70426" w:rsidP="00C53985">
      <w:pPr>
        <w:tabs>
          <w:tab w:val="left" w:pos="993"/>
        </w:tabs>
        <w:jc w:val="left"/>
        <w:rPr>
          <w:rFonts w:cs="Arial"/>
          <w:color w:val="000000"/>
        </w:rPr>
      </w:pPr>
      <w:r>
        <w:rPr>
          <w:color w:val="000000"/>
        </w:rPr>
        <w:t>TWF:</w:t>
      </w:r>
      <w:r>
        <w:tab/>
      </w:r>
      <w:r>
        <w:rPr>
          <w:color w:val="000000"/>
        </w:rPr>
        <w:t xml:space="preserve">Grupo de Trabajo Técnico sobre Plantas Frutales </w:t>
      </w:r>
    </w:p>
    <w:p w:rsidR="00A70426" w:rsidRPr="00A70426" w:rsidRDefault="00A70426" w:rsidP="00C53985">
      <w:pPr>
        <w:tabs>
          <w:tab w:val="left" w:pos="993"/>
        </w:tabs>
        <w:jc w:val="left"/>
        <w:rPr>
          <w:rFonts w:cs="Arial"/>
          <w:color w:val="000000"/>
        </w:rPr>
      </w:pPr>
      <w:r>
        <w:rPr>
          <w:color w:val="000000"/>
        </w:rPr>
        <w:t>TWO:</w:t>
      </w:r>
      <w:r>
        <w:tab/>
      </w:r>
      <w:r>
        <w:rPr>
          <w:color w:val="000000"/>
        </w:rPr>
        <w:t xml:space="preserve">Grupo de Trabajo Técnico sobre Plantas Ornamentales y Árboles Forestales </w:t>
      </w:r>
    </w:p>
    <w:p w:rsidR="00A70426" w:rsidRPr="00A70426" w:rsidRDefault="00A70426" w:rsidP="00C53985">
      <w:pPr>
        <w:tabs>
          <w:tab w:val="left" w:pos="993"/>
        </w:tabs>
        <w:jc w:val="left"/>
        <w:rPr>
          <w:rFonts w:cs="Arial"/>
          <w:color w:val="000000"/>
        </w:rPr>
      </w:pPr>
      <w:r>
        <w:rPr>
          <w:color w:val="000000"/>
        </w:rPr>
        <w:t>TWV:</w:t>
      </w:r>
      <w:r>
        <w:tab/>
      </w:r>
      <w:r>
        <w:rPr>
          <w:color w:val="000000"/>
        </w:rPr>
        <w:t>Grupo de Trabajo Técnico sobre Hortalizas</w:t>
      </w:r>
    </w:p>
    <w:p w:rsidR="00A70426" w:rsidRPr="00A70426" w:rsidRDefault="00A70426" w:rsidP="00C53985">
      <w:pPr>
        <w:tabs>
          <w:tab w:val="left" w:pos="993"/>
        </w:tabs>
        <w:jc w:val="left"/>
        <w:rPr>
          <w:rFonts w:cs="Arial"/>
          <w:color w:val="000000"/>
        </w:rPr>
      </w:pPr>
      <w:r>
        <w:rPr>
          <w:color w:val="000000"/>
        </w:rPr>
        <w:t>TWP:</w:t>
      </w:r>
      <w:r>
        <w:tab/>
      </w:r>
      <w:r>
        <w:rPr>
          <w:color w:val="000000"/>
        </w:rPr>
        <w:t>Grupos de Trabajo Técnico</w:t>
      </w:r>
    </w:p>
    <w:p w:rsidR="00A70426" w:rsidRPr="00A70426" w:rsidRDefault="00A70426" w:rsidP="00A70426">
      <w:pPr>
        <w:tabs>
          <w:tab w:val="left" w:pos="567"/>
          <w:tab w:val="left" w:pos="1134"/>
          <w:tab w:val="left" w:pos="5387"/>
        </w:tabs>
      </w:pPr>
    </w:p>
    <w:p w:rsidR="00A70426" w:rsidRPr="00A70426" w:rsidRDefault="00A70426" w:rsidP="00A70426">
      <w:pPr>
        <w:tabs>
          <w:tab w:val="left" w:pos="567"/>
          <w:tab w:val="left" w:pos="1134"/>
          <w:tab w:val="left" w:pos="5387"/>
        </w:tabs>
      </w:pPr>
    </w:p>
    <w:p w:rsidR="00A70426" w:rsidRPr="00A70426" w:rsidRDefault="00A70426" w:rsidP="00A70426">
      <w:pPr>
        <w:pStyle w:val="Heading1"/>
      </w:pPr>
      <w:bookmarkStart w:id="4" w:name="_Toc516497113"/>
      <w:bookmarkStart w:id="5" w:name="_Toc520356862"/>
      <w:r>
        <w:t>antecedentes</w:t>
      </w:r>
      <w:bookmarkEnd w:id="4"/>
      <w:bookmarkEnd w:id="5"/>
    </w:p>
    <w:p w:rsidR="00A70426" w:rsidRPr="00A70426" w:rsidRDefault="00A70426" w:rsidP="00A70426">
      <w:pPr>
        <w:tabs>
          <w:tab w:val="left" w:pos="567"/>
          <w:tab w:val="left" w:pos="1134"/>
          <w:tab w:val="left" w:pos="5387"/>
        </w:tabs>
        <w:rPr>
          <w:iCs/>
        </w:rPr>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En su trigésima cuarta sesión extraordinaria, celebrada en Ginebra el 6 de abril de 2017, el Consejo decidió que, a partir de 2018, se organice una única serie de sesiones, entre octubre y noviembre.</w:t>
      </w:r>
      <w:r w:rsidR="00533A68">
        <w:t xml:space="preserve"> </w:t>
      </w:r>
      <w:r w:rsidR="00A70426">
        <w:t xml:space="preserve">A partir de 2018, las </w:t>
      </w:r>
      <w:r w:rsidR="00BD1940">
        <w:t>sesiones</w:t>
      </w:r>
      <w:r w:rsidR="00A70426">
        <w:t xml:space="preserve"> del TC tendrán lugar entre octubre y noviembre en lugar de entre marzo y abril (véanse los párrafos 12 a 14 del documento </w:t>
      </w:r>
      <w:proofErr w:type="gramStart"/>
      <w:r w:rsidR="00A70426">
        <w:t>C(</w:t>
      </w:r>
      <w:proofErr w:type="spellStart"/>
      <w:proofErr w:type="gramEnd"/>
      <w:r w:rsidR="00A70426">
        <w:t>Extr</w:t>
      </w:r>
      <w:proofErr w:type="spellEnd"/>
      <w:r w:rsidR="00A70426">
        <w:t>.)/34/6 “Informe sobre las decisiones”).</w:t>
      </w:r>
    </w:p>
    <w:p w:rsidR="00A70426" w:rsidRPr="00A70426" w:rsidRDefault="00A70426" w:rsidP="00A70426">
      <w:pPr>
        <w:tabs>
          <w:tab w:val="left" w:pos="567"/>
          <w:tab w:val="left" w:pos="1134"/>
          <w:tab w:val="left" w:pos="5387"/>
        </w:tabs>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 xml:space="preserve">En su trigésima cuarta sesión extraordinaria, el Consejo decidió aprobar las propuestas, formuladas por el TC en su quincuagésima tercera sesión, de que aquellas directrices de examen que no sea posible </w:t>
      </w:r>
      <w:r w:rsidR="0096390F">
        <w:t>elabo</w:t>
      </w:r>
      <w:r w:rsidR="00A70426">
        <w:t xml:space="preserve">rar a tiempo para que el Comité Técnico las suscriba en su reunión se puedan aprobar por correspondencia teniendo en cuenta las recomendaciones formuladas por el Comité de Redacción </w:t>
      </w:r>
      <w:r w:rsidR="00A70426">
        <w:lastRenderedPageBreak/>
        <w:t>Ampliado (TC-EDC).</w:t>
      </w:r>
      <w:r w:rsidR="00533A68">
        <w:t xml:space="preserve"> </w:t>
      </w:r>
      <w:r w:rsidR="00A70426">
        <w:t>El TC convino en que el TC-EDC debe reunirse dos veces al año: una vez entre marzo y abril y otra en paralelo a la sesión del TC que tiene lugar en un período posterior del mismo año.</w:t>
      </w:r>
    </w:p>
    <w:p w:rsidR="00A70426" w:rsidRDefault="00A70426" w:rsidP="00A70426">
      <w:pPr>
        <w:tabs>
          <w:tab w:val="left" w:pos="567"/>
          <w:tab w:val="left" w:pos="1134"/>
          <w:tab w:val="left" w:pos="5387"/>
        </w:tabs>
      </w:pPr>
    </w:p>
    <w:p w:rsidR="0015432A" w:rsidRPr="00A70426" w:rsidRDefault="0015432A" w:rsidP="00A70426">
      <w:pPr>
        <w:tabs>
          <w:tab w:val="left" w:pos="567"/>
          <w:tab w:val="left" w:pos="1134"/>
          <w:tab w:val="left" w:pos="5387"/>
        </w:tabs>
      </w:pPr>
    </w:p>
    <w:p w:rsidR="00A70426" w:rsidRPr="00A70426" w:rsidRDefault="00A70426" w:rsidP="00A70426">
      <w:pPr>
        <w:pStyle w:val="Heading1"/>
      </w:pPr>
      <w:bookmarkStart w:id="6" w:name="_Toc516497114"/>
      <w:bookmarkStart w:id="7" w:name="_Toc520356863"/>
      <w:r>
        <w:t>Examen por el Comité de Redacción Ampliado</w:t>
      </w:r>
      <w:bookmarkEnd w:id="6"/>
      <w:bookmarkEnd w:id="7"/>
    </w:p>
    <w:p w:rsidR="00A70426" w:rsidRPr="00A70426" w:rsidRDefault="00A70426" w:rsidP="00A70426">
      <w:pPr>
        <w:tabs>
          <w:tab w:val="left" w:pos="567"/>
          <w:tab w:val="left" w:pos="1134"/>
          <w:tab w:val="left" w:pos="5387"/>
        </w:tabs>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En su reunión del 26 y el 27 de marzo de 2018, el TC-EDC tomó nota del procedimiento para aprobar directrices de examen por correspondencia, de conformidad con la decisión del Consejo en su trigésima cuarta sesión extraordinaria.</w:t>
      </w:r>
      <w:r w:rsidR="00533A68">
        <w:t xml:space="preserve"> </w:t>
      </w:r>
      <w:r w:rsidR="00A70426">
        <w:t>A ese respecto, el TC-EDC tomó nota de que</w:t>
      </w:r>
      <w:r w:rsidR="00BC49DD">
        <w:t xml:space="preserve"> será necesario introducir más modificaciones para dicho procedimiento en la sección 2.2.8 “Aprobación del proyecto de directrices de examen por parte del Comité Técnico” del documento TGP/7</w:t>
      </w:r>
      <w:r w:rsidR="0076079E">
        <w:t xml:space="preserve"> </w:t>
      </w:r>
      <w:r w:rsidR="00A70426">
        <w:t>(véanse los párrafos</w:t>
      </w:r>
      <w:r w:rsidR="004862D4">
        <w:t xml:space="preserve"> </w:t>
      </w:r>
      <w:r w:rsidR="00A70426">
        <w:t>6 a 13 del documento</w:t>
      </w:r>
      <w:r w:rsidR="0076079E">
        <w:t> </w:t>
      </w:r>
      <w:r w:rsidR="00A70426">
        <w:t>TC</w:t>
      </w:r>
      <w:r w:rsidR="0076079E">
        <w:noBreakHyphen/>
      </w:r>
      <w:r w:rsidR="00A70426">
        <w:t>EDC/Mar18/11 “</w:t>
      </w:r>
      <w:proofErr w:type="spellStart"/>
      <w:r w:rsidR="00A70426">
        <w:rPr>
          <w:i/>
        </w:rPr>
        <w:t>Report</w:t>
      </w:r>
      <w:proofErr w:type="spellEnd"/>
      <w:r w:rsidR="00A70426">
        <w:t>”).</w:t>
      </w:r>
    </w:p>
    <w:p w:rsidR="00A70426" w:rsidRPr="00A70426" w:rsidRDefault="00A70426" w:rsidP="00A70426">
      <w:pPr>
        <w:tabs>
          <w:tab w:val="left" w:pos="567"/>
          <w:tab w:val="left" w:pos="1134"/>
          <w:tab w:val="left" w:pos="5387"/>
        </w:tabs>
      </w:pPr>
    </w:p>
    <w:p w:rsidR="00A70426" w:rsidRPr="00A70426" w:rsidRDefault="0097753B" w:rsidP="00A70426">
      <w:pPr>
        <w:tabs>
          <w:tab w:val="left" w:pos="567"/>
          <w:tab w:val="left" w:pos="1134"/>
          <w:tab w:val="left" w:pos="5387"/>
        </w:tabs>
        <w:rPr>
          <w:rFonts w:cs="Arial"/>
        </w:rPr>
      </w:pPr>
      <w:r w:rsidRPr="00A70426">
        <w:fldChar w:fldCharType="begin"/>
      </w:r>
      <w:r w:rsidR="00A70426" w:rsidRPr="00A70426">
        <w:instrText xml:space="preserve"> AUTONUM  </w:instrText>
      </w:r>
      <w:r w:rsidRPr="00A70426">
        <w:fldChar w:fldCharType="end"/>
      </w:r>
      <w:r w:rsidR="00A70426">
        <w:tab/>
        <w:t>El TC-EDC convino en recomendar que el procedimiento para aprobar directrices de examen por correspondencia se aplique de la siguiente manera:</w:t>
      </w:r>
    </w:p>
    <w:p w:rsidR="00A70426" w:rsidRPr="00A70426" w:rsidRDefault="00A70426" w:rsidP="00A70426">
      <w:pPr>
        <w:tabs>
          <w:tab w:val="left" w:pos="567"/>
          <w:tab w:val="left" w:pos="1134"/>
          <w:tab w:val="left" w:pos="5387"/>
        </w:tabs>
        <w:rPr>
          <w:rFonts w:cs="Arial"/>
        </w:rPr>
      </w:pPr>
    </w:p>
    <w:p w:rsidR="00A70426" w:rsidRPr="00A70426" w:rsidRDefault="00A70426" w:rsidP="00A70426">
      <w:pPr>
        <w:numPr>
          <w:ilvl w:val="0"/>
          <w:numId w:val="1"/>
        </w:numPr>
        <w:tabs>
          <w:tab w:val="left" w:pos="567"/>
          <w:tab w:val="left" w:pos="1134"/>
          <w:tab w:val="left" w:pos="5387"/>
        </w:tabs>
        <w:ind w:left="1134" w:hanging="567"/>
        <w:contextualSpacing/>
        <w:rPr>
          <w:rFonts w:cs="Arial"/>
        </w:rPr>
      </w:pPr>
      <w:r>
        <w:t>El proyecto de directrices de examen se distribuirá a los miembros del TC para que lo aprueben por correspondencia</w:t>
      </w:r>
      <w:r w:rsidR="00524FE9">
        <w:t>, junto con las recomendaciones del TC-EDC</w:t>
      </w:r>
      <w:r>
        <w:t>;</w:t>
      </w:r>
    </w:p>
    <w:p w:rsidR="00A70426" w:rsidRPr="00A70426" w:rsidRDefault="00A70426" w:rsidP="00A70426">
      <w:pPr>
        <w:numPr>
          <w:ilvl w:val="0"/>
          <w:numId w:val="1"/>
        </w:numPr>
        <w:tabs>
          <w:tab w:val="left" w:pos="567"/>
          <w:tab w:val="left" w:pos="1134"/>
          <w:tab w:val="left" w:pos="5387"/>
        </w:tabs>
        <w:ind w:left="1134" w:hanging="567"/>
        <w:contextualSpacing/>
        <w:rPr>
          <w:rFonts w:cs="Arial"/>
        </w:rPr>
      </w:pPr>
      <w:r>
        <w:t xml:space="preserve">Si en un plazo de seis semanas no se han recibido observaciones, </w:t>
      </w:r>
      <w:r w:rsidR="00813A17">
        <w:t>el proyecto de directrices de examen se considerará aprobado</w:t>
      </w:r>
      <w:r>
        <w:t>;</w:t>
      </w:r>
    </w:p>
    <w:p w:rsidR="00A70426" w:rsidRPr="00A70426" w:rsidRDefault="00A70426" w:rsidP="00A70426">
      <w:pPr>
        <w:numPr>
          <w:ilvl w:val="0"/>
          <w:numId w:val="1"/>
        </w:numPr>
        <w:tabs>
          <w:tab w:val="left" w:pos="567"/>
          <w:tab w:val="left" w:pos="1134"/>
          <w:tab w:val="left" w:pos="5387"/>
        </w:tabs>
        <w:ind w:left="1134" w:hanging="567"/>
        <w:contextualSpacing/>
        <w:rPr>
          <w:rFonts w:cs="Arial"/>
        </w:rPr>
      </w:pPr>
      <w:r>
        <w:t xml:space="preserve">En caso de </w:t>
      </w:r>
      <w:r w:rsidR="00576AA5">
        <w:t>recibirse</w:t>
      </w:r>
      <w:r>
        <w:t xml:space="preserve"> observaciones, </w:t>
      </w:r>
      <w:r w:rsidR="00813A17">
        <w:t>el proyecto de directrices de examen se remit</w:t>
      </w:r>
      <w:r w:rsidR="00ED50F9">
        <w:t>e</w:t>
      </w:r>
      <w:r>
        <w:t xml:space="preserve"> a los TWP pertinentes a fin de que analicen dichas observaciones.</w:t>
      </w:r>
    </w:p>
    <w:p w:rsidR="00A70426" w:rsidRPr="00A70426" w:rsidRDefault="00A70426" w:rsidP="00A70426">
      <w:pPr>
        <w:tabs>
          <w:tab w:val="left" w:pos="567"/>
          <w:tab w:val="left" w:pos="1134"/>
          <w:tab w:val="left" w:pos="5387"/>
        </w:tabs>
        <w:rPr>
          <w:rFonts w:cs="Arial"/>
        </w:rPr>
      </w:pPr>
    </w:p>
    <w:p w:rsidR="00A70426" w:rsidRPr="00A70426" w:rsidRDefault="0097753B" w:rsidP="00A70426">
      <w:pPr>
        <w:tabs>
          <w:tab w:val="left" w:pos="567"/>
          <w:tab w:val="left" w:pos="1134"/>
          <w:tab w:val="left" w:pos="5387"/>
        </w:tabs>
      </w:pPr>
      <w:r w:rsidRPr="00A70426">
        <w:fldChar w:fldCharType="begin"/>
      </w:r>
      <w:r w:rsidR="00A70426" w:rsidRPr="00A70426">
        <w:instrText xml:space="preserve"> AUTONUM  </w:instrText>
      </w:r>
      <w:r w:rsidRPr="00A70426">
        <w:fldChar w:fldCharType="end"/>
      </w:r>
      <w:r w:rsidR="00A70426">
        <w:tab/>
        <w:t xml:space="preserve">El TC-EDC convino en plantear que, para que las directrices de examen se </w:t>
      </w:r>
      <w:r w:rsidR="004F41B3">
        <w:t>examinen</w:t>
      </w:r>
      <w:r w:rsidR="00A70426">
        <w:t xml:space="preserve"> en la reunión de marzo o abril, será preciso que los Grupos de Trabajo Técnico las remitan al menos 14 semanas antes de la reunión del TC</w:t>
      </w:r>
      <w:r w:rsidR="00A70426">
        <w:noBreakHyphen/>
        <w:t>EDC.</w:t>
      </w:r>
      <w:r w:rsidR="00533A68">
        <w:t xml:space="preserve"> </w:t>
      </w:r>
    </w:p>
    <w:p w:rsidR="00A70426" w:rsidRPr="00A70426" w:rsidRDefault="00A70426" w:rsidP="00A70426">
      <w:pPr>
        <w:tabs>
          <w:tab w:val="left" w:pos="567"/>
          <w:tab w:val="left" w:pos="1134"/>
          <w:tab w:val="left" w:pos="5387"/>
        </w:tabs>
      </w:pPr>
    </w:p>
    <w:p w:rsidR="00A70426" w:rsidRPr="00A70426" w:rsidRDefault="0097753B" w:rsidP="00A70426">
      <w:r w:rsidRPr="00A70426">
        <w:fldChar w:fldCharType="begin"/>
      </w:r>
      <w:r w:rsidR="00A70426" w:rsidRPr="00A70426">
        <w:instrText xml:space="preserve"> AUTONUM  </w:instrText>
      </w:r>
      <w:r w:rsidRPr="00A70426">
        <w:fldChar w:fldCharType="end"/>
      </w:r>
      <w:r w:rsidR="00A70426">
        <w:tab/>
        <w:t xml:space="preserve">El TC-EDC convino en que se prevén tres posibles </w:t>
      </w:r>
      <w:r w:rsidR="004F41B3">
        <w:t>resultados</w:t>
      </w:r>
      <w:r w:rsidR="00A70426">
        <w:t xml:space="preserve"> del </w:t>
      </w:r>
      <w:r w:rsidR="004F41B3">
        <w:t>examen</w:t>
      </w:r>
      <w:r w:rsidR="00A70426">
        <w:t xml:space="preserve"> de las directrices de examen en la reunión de marzo o abril:</w:t>
      </w:r>
    </w:p>
    <w:p w:rsidR="00A70426" w:rsidRPr="00A70426" w:rsidRDefault="00A70426" w:rsidP="00A70426"/>
    <w:p w:rsidR="00A70426" w:rsidRPr="00A70426" w:rsidRDefault="0076079E" w:rsidP="0076079E">
      <w:pPr>
        <w:ind w:left="567"/>
        <w:contextualSpacing/>
        <w:rPr>
          <w:rFonts w:cs="Arial"/>
          <w:szCs w:val="22"/>
        </w:rPr>
      </w:pPr>
      <w:r>
        <w:t>a)</w:t>
      </w:r>
      <w:r>
        <w:tab/>
      </w:r>
      <w:r w:rsidR="00A70426">
        <w:t xml:space="preserve">que </w:t>
      </w:r>
      <w:r w:rsidR="00E713AC">
        <w:t>no sea necesario modificar las</w:t>
      </w:r>
      <w:r w:rsidR="00A70426">
        <w:t xml:space="preserve"> directrices de examen o </w:t>
      </w:r>
      <w:r w:rsidR="004C27BA">
        <w:t>que las modificaciones necesarias sean estrictamente de redacción</w:t>
      </w:r>
      <w:r w:rsidR="00E713AC">
        <w:t xml:space="preserve"> y </w:t>
      </w:r>
      <w:r w:rsidR="00B335AC">
        <w:t>que el TC-EDC acuerde recomendaciones al respecto</w:t>
      </w:r>
      <w:r w:rsidR="00A70426">
        <w:t>;</w:t>
      </w:r>
    </w:p>
    <w:p w:rsidR="00A70426" w:rsidRPr="00A70426" w:rsidRDefault="0076079E" w:rsidP="0076079E">
      <w:pPr>
        <w:ind w:left="567"/>
        <w:contextualSpacing/>
        <w:rPr>
          <w:rFonts w:cs="Arial"/>
          <w:szCs w:val="22"/>
        </w:rPr>
      </w:pPr>
      <w:r>
        <w:t>b)</w:t>
      </w:r>
      <w:r>
        <w:tab/>
      </w:r>
      <w:r w:rsidR="00A70426">
        <w:t>que se</w:t>
      </w:r>
      <w:r w:rsidR="004C27BA">
        <w:t>a preciso aclarar la redacción;</w:t>
      </w:r>
    </w:p>
    <w:p w:rsidR="00A70426" w:rsidRPr="00A70426" w:rsidRDefault="0076079E" w:rsidP="0076079E">
      <w:pPr>
        <w:ind w:left="567"/>
        <w:contextualSpacing/>
        <w:rPr>
          <w:rFonts w:cs="Arial"/>
          <w:szCs w:val="22"/>
        </w:rPr>
      </w:pPr>
      <w:r>
        <w:t>c)</w:t>
      </w:r>
      <w:r>
        <w:tab/>
      </w:r>
      <w:r w:rsidR="00A70426">
        <w:t xml:space="preserve">que </w:t>
      </w:r>
      <w:r w:rsidR="003F217C">
        <w:t xml:space="preserve">deban resolverse </w:t>
      </w:r>
      <w:r w:rsidR="00A70426">
        <w:t>cuestiones técnicas.</w:t>
      </w:r>
    </w:p>
    <w:p w:rsidR="00A70426" w:rsidRPr="00A70426" w:rsidRDefault="00A70426" w:rsidP="00A70426"/>
    <w:p w:rsidR="00A70426" w:rsidRPr="00A70426" w:rsidRDefault="0097753B" w:rsidP="00A70426">
      <w:r w:rsidRPr="00A70426">
        <w:fldChar w:fldCharType="begin"/>
      </w:r>
      <w:r w:rsidR="00A70426" w:rsidRPr="00A70426">
        <w:instrText xml:space="preserve"> AUTONUM  </w:instrText>
      </w:r>
      <w:r w:rsidRPr="00A70426">
        <w:fldChar w:fldCharType="end"/>
      </w:r>
      <w:r w:rsidR="00A70426">
        <w:tab/>
        <w:t xml:space="preserve">El TC-EDC convino en que, en los casos en que </w:t>
      </w:r>
      <w:r w:rsidR="00E713AC">
        <w:t>no sea necesario modificar las</w:t>
      </w:r>
      <w:r w:rsidR="00A70426">
        <w:t xml:space="preserve"> directrices de examen o </w:t>
      </w:r>
      <w:r w:rsidR="004C27BA">
        <w:t xml:space="preserve">que las modificaciones necesarias sean </w:t>
      </w:r>
      <w:bookmarkStart w:id="8" w:name="_GoBack"/>
      <w:bookmarkEnd w:id="8"/>
      <w:r w:rsidR="004C27BA">
        <w:t>estrictamente de redacción</w:t>
      </w:r>
      <w:r w:rsidR="002140B5">
        <w:t xml:space="preserve"> y que el TC-EDC acuerde recomendaciones al respecto</w:t>
      </w:r>
      <w:r w:rsidR="00A70426">
        <w:t>, las directrices de examen pued</w:t>
      </w:r>
      <w:r w:rsidR="00EA46E7">
        <w:t>a</w:t>
      </w:r>
      <w:r w:rsidR="00A70426">
        <w:t xml:space="preserve">n distribuirse para su aprobación por correspondencia. </w:t>
      </w:r>
    </w:p>
    <w:p w:rsidR="00A70426" w:rsidRPr="00A70426" w:rsidRDefault="00A70426" w:rsidP="00A70426"/>
    <w:p w:rsidR="00A70426" w:rsidRPr="00A70426" w:rsidRDefault="0097753B" w:rsidP="00A70426">
      <w:pPr>
        <w:rPr>
          <w:u w:val="single"/>
        </w:rPr>
      </w:pPr>
      <w:r w:rsidRPr="00A70426">
        <w:fldChar w:fldCharType="begin"/>
      </w:r>
      <w:r w:rsidR="00A70426" w:rsidRPr="00A70426">
        <w:instrText xml:space="preserve"> AUTONUM  </w:instrText>
      </w:r>
      <w:r w:rsidRPr="00A70426">
        <w:fldChar w:fldCharType="end"/>
      </w:r>
      <w:r w:rsidR="00A70426">
        <w:tab/>
        <w:t xml:space="preserve">El TC-EDC convino en proponer el siguiente procedimiento para las directrices de examen </w:t>
      </w:r>
      <w:r w:rsidR="00743B3C">
        <w:t>en las que sea preciso</w:t>
      </w:r>
      <w:r w:rsidR="00A70426">
        <w:t xml:space="preserve"> aclarar la redacción:</w:t>
      </w:r>
      <w:r w:rsidR="00A70426">
        <w:rPr>
          <w:u w:val="single"/>
        </w:rPr>
        <w:t xml:space="preserve"> </w:t>
      </w:r>
    </w:p>
    <w:p w:rsidR="00A70426" w:rsidRPr="00A70426" w:rsidRDefault="00A70426" w:rsidP="00A70426">
      <w:pPr>
        <w:rPr>
          <w:rFonts w:cs="Arial"/>
          <w:sz w:val="18"/>
        </w:rPr>
      </w:pPr>
    </w:p>
    <w:p w:rsidR="00A70426" w:rsidRPr="00A70426" w:rsidRDefault="00B92893" w:rsidP="00A70426">
      <w:pPr>
        <w:numPr>
          <w:ilvl w:val="0"/>
          <w:numId w:val="3"/>
        </w:numPr>
        <w:ind w:left="1134" w:hanging="567"/>
        <w:contextualSpacing/>
        <w:rPr>
          <w:rFonts w:cs="Arial"/>
          <w:szCs w:val="22"/>
        </w:rPr>
      </w:pPr>
      <w:r>
        <w:t>d</w:t>
      </w:r>
      <w:r w:rsidR="002C3186">
        <w:t>ebe transmit</w:t>
      </w:r>
      <w:r>
        <w:t>ir</w:t>
      </w:r>
      <w:r w:rsidR="002C3186">
        <w:t xml:space="preserve">se </w:t>
      </w:r>
      <w:r w:rsidR="000D5209">
        <w:t>una solicitud</w:t>
      </w:r>
      <w:r w:rsidR="008341E9">
        <w:t xml:space="preserve"> de aclaraci</w:t>
      </w:r>
      <w:r w:rsidR="000D5209">
        <w:t>ones</w:t>
      </w:r>
      <w:r w:rsidR="008341E9">
        <w:t xml:space="preserve"> </w:t>
      </w:r>
      <w:r w:rsidR="00211D04">
        <w:t>al experto principal;</w:t>
      </w:r>
    </w:p>
    <w:p w:rsidR="00A70426" w:rsidRPr="00A70426" w:rsidRDefault="00211D04" w:rsidP="00A70426">
      <w:pPr>
        <w:numPr>
          <w:ilvl w:val="0"/>
          <w:numId w:val="3"/>
        </w:numPr>
        <w:ind w:left="1134" w:hanging="567"/>
        <w:contextualSpacing/>
        <w:rPr>
          <w:rFonts w:cs="Arial"/>
          <w:szCs w:val="22"/>
        </w:rPr>
      </w:pPr>
      <w:r>
        <w:t>l</w:t>
      </w:r>
      <w:r w:rsidR="00A70426">
        <w:t xml:space="preserve">as aclaraciones </w:t>
      </w:r>
      <w:r w:rsidR="008341E9">
        <w:t>han de</w:t>
      </w:r>
      <w:r w:rsidR="00A70426">
        <w:t xml:space="preserve"> facilit</w:t>
      </w:r>
      <w:r>
        <w:t>arse en menos de cuatro semanas;</w:t>
      </w:r>
    </w:p>
    <w:p w:rsidR="00A70426" w:rsidRPr="00A70426" w:rsidRDefault="00211D04" w:rsidP="00A70426">
      <w:pPr>
        <w:numPr>
          <w:ilvl w:val="0"/>
          <w:numId w:val="3"/>
        </w:numPr>
        <w:ind w:left="1134" w:hanging="567"/>
        <w:contextualSpacing/>
        <w:rPr>
          <w:rFonts w:cs="Arial"/>
          <w:szCs w:val="22"/>
        </w:rPr>
      </w:pPr>
      <w:r>
        <w:t>s</w:t>
      </w:r>
      <w:r w:rsidR="00A70426">
        <w:t xml:space="preserve">i el TC-EDC suscribe las aclaraciones, </w:t>
      </w:r>
      <w:r w:rsidR="00C6380F">
        <w:t xml:space="preserve">se </w:t>
      </w:r>
      <w:r w:rsidR="007F2CCE">
        <w:t>recomienda</w:t>
      </w:r>
      <w:r w:rsidR="00743B3C">
        <w:t xml:space="preserve"> la aprobación de las directrices de examen en </w:t>
      </w:r>
      <w:r w:rsidR="00C6380F">
        <w:t>la</w:t>
      </w:r>
      <w:r w:rsidR="00743B3C">
        <w:t xml:space="preserve"> reunión </w:t>
      </w:r>
      <w:r w:rsidR="00C6380F">
        <w:t xml:space="preserve">del TC-EDC </w:t>
      </w:r>
      <w:r w:rsidR="00743B3C">
        <w:t xml:space="preserve">que tiene lugar en paralelo a la sesión del TC </w:t>
      </w:r>
      <w:r w:rsidR="00A70426">
        <w:t>de octubre o noviembre</w:t>
      </w:r>
      <w:r>
        <w:t>;</w:t>
      </w:r>
    </w:p>
    <w:p w:rsidR="00A70426" w:rsidRPr="00A70426" w:rsidRDefault="00211D04" w:rsidP="00A70426">
      <w:pPr>
        <w:numPr>
          <w:ilvl w:val="0"/>
          <w:numId w:val="3"/>
        </w:numPr>
        <w:ind w:left="1134" w:hanging="567"/>
        <w:contextualSpacing/>
        <w:rPr>
          <w:rFonts w:cs="Arial"/>
          <w:szCs w:val="22"/>
        </w:rPr>
      </w:pPr>
      <w:r>
        <w:t>l</w:t>
      </w:r>
      <w:r w:rsidR="00A70426">
        <w:t>as directrices de examen s</w:t>
      </w:r>
      <w:r>
        <w:t>e apr</w:t>
      </w:r>
      <w:r w:rsidR="002140B5">
        <w:t>ueban</w:t>
      </w:r>
      <w:r>
        <w:t xml:space="preserve"> en la sesión del TC.</w:t>
      </w:r>
    </w:p>
    <w:p w:rsidR="00A70426" w:rsidRPr="00A70426" w:rsidRDefault="00A70426" w:rsidP="00A70426"/>
    <w:p w:rsidR="00A70426" w:rsidRPr="00A70426" w:rsidRDefault="0097753B" w:rsidP="00A70426">
      <w:r w:rsidRPr="00A70426">
        <w:fldChar w:fldCharType="begin"/>
      </w:r>
      <w:r w:rsidR="00A70426" w:rsidRPr="00A70426">
        <w:instrText xml:space="preserve"> AUTONUM  </w:instrText>
      </w:r>
      <w:r w:rsidRPr="00A70426">
        <w:fldChar w:fldCharType="end"/>
      </w:r>
      <w:r w:rsidR="00A70426">
        <w:tab/>
        <w:t xml:space="preserve">El TC-EDC convino en proponer el siguiente procedimiento para las directrices de examen en las que </w:t>
      </w:r>
      <w:r w:rsidR="003F217C">
        <w:t xml:space="preserve">deban resolverse </w:t>
      </w:r>
      <w:r w:rsidR="00A70426">
        <w:t>cuestiones técnicas:</w:t>
      </w:r>
    </w:p>
    <w:p w:rsidR="00A70426" w:rsidRPr="00A70426" w:rsidRDefault="00A70426" w:rsidP="00A70426">
      <w:pPr>
        <w:rPr>
          <w:rFonts w:cs="Arial"/>
          <w:sz w:val="18"/>
        </w:rPr>
      </w:pPr>
    </w:p>
    <w:p w:rsidR="00A70426" w:rsidRPr="00A70426" w:rsidRDefault="00B92893" w:rsidP="00A70426">
      <w:pPr>
        <w:numPr>
          <w:ilvl w:val="0"/>
          <w:numId w:val="4"/>
        </w:numPr>
        <w:ind w:left="1134" w:hanging="567"/>
        <w:contextualSpacing/>
        <w:rPr>
          <w:rFonts w:cs="Arial"/>
          <w:szCs w:val="22"/>
        </w:rPr>
      </w:pPr>
      <w:r>
        <w:t>d</w:t>
      </w:r>
      <w:r w:rsidR="00FC4E41">
        <w:t xml:space="preserve">eben transmitirse </w:t>
      </w:r>
      <w:r w:rsidR="008341E9">
        <w:t xml:space="preserve">las cuestiones técnicas </w:t>
      </w:r>
      <w:r w:rsidR="00211D04">
        <w:t>al experto principal;</w:t>
      </w:r>
    </w:p>
    <w:p w:rsidR="00A70426" w:rsidRPr="00A70426" w:rsidRDefault="00211D04" w:rsidP="00A70426">
      <w:pPr>
        <w:numPr>
          <w:ilvl w:val="0"/>
          <w:numId w:val="4"/>
        </w:numPr>
        <w:ind w:left="1134" w:hanging="567"/>
        <w:contextualSpacing/>
        <w:rPr>
          <w:rFonts w:cs="Arial"/>
          <w:szCs w:val="22"/>
        </w:rPr>
      </w:pPr>
      <w:r>
        <w:t>l</w:t>
      </w:r>
      <w:r w:rsidR="00A70426">
        <w:t xml:space="preserve">as cuestiones técnicas </w:t>
      </w:r>
      <w:r w:rsidR="008341E9">
        <w:t>han de tratarse</w:t>
      </w:r>
      <w:r w:rsidR="00A70426">
        <w:t xml:space="preserve"> en los respectivos Grupos de Trabajo Técnico por medio de un documento TWP elaborado por el experto principal al menos cuatro semanas antes de la reunión del TWP (no se elaborará un nuevo proyecto de directrices de exame</w:t>
      </w:r>
      <w:r>
        <w:t>n);</w:t>
      </w:r>
    </w:p>
    <w:p w:rsidR="00A70426" w:rsidRPr="00A70426" w:rsidRDefault="00211D04" w:rsidP="00A70426">
      <w:pPr>
        <w:numPr>
          <w:ilvl w:val="0"/>
          <w:numId w:val="4"/>
        </w:numPr>
        <w:ind w:left="1134" w:hanging="567"/>
        <w:contextualSpacing/>
        <w:rPr>
          <w:rFonts w:cs="Arial"/>
          <w:szCs w:val="22"/>
        </w:rPr>
      </w:pPr>
      <w:r>
        <w:t>e</w:t>
      </w:r>
      <w:r w:rsidR="00A70426">
        <w:t>l TC-EDC debe proporcionar una solución de las cuestiones técnicas como mínimo siete semanas antes de la sesión del TC</w:t>
      </w:r>
      <w:r>
        <w:t>;</w:t>
      </w:r>
    </w:p>
    <w:p w:rsidR="00A70426" w:rsidRPr="00A70426" w:rsidRDefault="00211D04" w:rsidP="00A70426">
      <w:pPr>
        <w:numPr>
          <w:ilvl w:val="0"/>
          <w:numId w:val="3"/>
        </w:numPr>
        <w:ind w:left="1134" w:hanging="567"/>
        <w:contextualSpacing/>
        <w:rPr>
          <w:rFonts w:cs="Arial"/>
          <w:szCs w:val="22"/>
        </w:rPr>
      </w:pPr>
      <w:r>
        <w:t>s</w:t>
      </w:r>
      <w:r w:rsidR="00A70426">
        <w:t xml:space="preserve">i el TC-EDC </w:t>
      </w:r>
      <w:r w:rsidR="007F2CCE">
        <w:t>llega a un acuerdo</w:t>
      </w:r>
      <w:r w:rsidR="00A70426">
        <w:t xml:space="preserve">, se </w:t>
      </w:r>
      <w:r w:rsidR="007F2CCE">
        <w:t>recomienda</w:t>
      </w:r>
      <w:r w:rsidR="00A70426">
        <w:t xml:space="preserve"> la aprobación de las directrices de examen en la reunión del TC-EDC que tiene lugar en paralelo a la sesión la sesión del TC de octubre o noviembre</w:t>
      </w:r>
      <w:r>
        <w:t>;</w:t>
      </w:r>
    </w:p>
    <w:p w:rsidR="00A70426" w:rsidRPr="00A70426" w:rsidRDefault="00211D04" w:rsidP="00A70426">
      <w:pPr>
        <w:numPr>
          <w:ilvl w:val="0"/>
          <w:numId w:val="3"/>
        </w:numPr>
        <w:ind w:left="1134" w:hanging="567"/>
        <w:contextualSpacing/>
        <w:rPr>
          <w:rFonts w:cs="Arial"/>
          <w:szCs w:val="22"/>
        </w:rPr>
      </w:pPr>
      <w:r>
        <w:lastRenderedPageBreak/>
        <w:t>l</w:t>
      </w:r>
      <w:r w:rsidR="00A70426">
        <w:t xml:space="preserve">as directrices de examen </w:t>
      </w:r>
      <w:r>
        <w:t>se ap</w:t>
      </w:r>
      <w:r w:rsidR="002140B5">
        <w:t>rueban</w:t>
      </w:r>
      <w:r>
        <w:t xml:space="preserve"> en la sesión del TC.</w:t>
      </w:r>
    </w:p>
    <w:p w:rsidR="00A70426" w:rsidRPr="00A70426" w:rsidRDefault="00A70426" w:rsidP="00A70426"/>
    <w:p w:rsidR="00A70426" w:rsidRPr="00A70426" w:rsidRDefault="00A70426" w:rsidP="00A70426"/>
    <w:p w:rsidR="00A70426" w:rsidRPr="00A70426" w:rsidRDefault="00A70426" w:rsidP="00A70426">
      <w:pPr>
        <w:pStyle w:val="Heading1"/>
      </w:pPr>
      <w:bookmarkStart w:id="9" w:name="_Toc516497115"/>
      <w:bookmarkStart w:id="10" w:name="_Toc520356864"/>
      <w:r>
        <w:t>Siguientes pasos</w:t>
      </w:r>
      <w:bookmarkEnd w:id="9"/>
      <w:bookmarkEnd w:id="10"/>
    </w:p>
    <w:p w:rsidR="00A70426" w:rsidRPr="00A70426" w:rsidRDefault="00A70426" w:rsidP="00A70426"/>
    <w:p w:rsidR="00A70426" w:rsidRPr="00A70426" w:rsidRDefault="0097753B" w:rsidP="00A70426">
      <w:r w:rsidRPr="00A70426">
        <w:fldChar w:fldCharType="begin"/>
      </w:r>
      <w:r w:rsidR="00A70426" w:rsidRPr="00A70426">
        <w:instrText xml:space="preserve"> AUTONUM  </w:instrText>
      </w:r>
      <w:r w:rsidRPr="00A70426">
        <w:fldChar w:fldCharType="end"/>
      </w:r>
      <w:r w:rsidR="00A70426">
        <w:tab/>
        <w:t>Se propone que el TC contemple la posibilidad de revisar la sección 2.2 “Procedimiento para introducir directrices de examen” del documento TGP/7 “Elaboración de las directrices de examen” a fin de que incluya la introducción de</w:t>
      </w:r>
      <w:r w:rsidR="00242942">
        <w:t>l</w:t>
      </w:r>
      <w:r w:rsidR="00A70426">
        <w:t xml:space="preserve"> procedimiento para aprobar directrices de examen por correspondencia, según se expone a continuación:</w:t>
      </w:r>
    </w:p>
    <w:p w:rsidR="00A70426" w:rsidRPr="00A70426" w:rsidRDefault="00A70426" w:rsidP="00A70426"/>
    <w:p w:rsidR="00A70426" w:rsidRPr="00A70426" w:rsidRDefault="00A70426" w:rsidP="00A70426">
      <w:pPr>
        <w:rPr>
          <w:u w:val="single"/>
        </w:rPr>
      </w:pPr>
      <w:r>
        <w:rPr>
          <w:u w:val="single"/>
        </w:rPr>
        <w:t>2.2.7</w:t>
      </w:r>
      <w:r w:rsidRPr="00AE07D4">
        <w:rPr>
          <w:u w:val="single"/>
        </w:rPr>
        <w:tab/>
      </w:r>
      <w:r>
        <w:rPr>
          <w:u w:val="single"/>
          <w:bdr w:val="single" w:sz="4" w:space="0" w:color="auto"/>
        </w:rPr>
        <w:t>ETAPA</w:t>
      </w:r>
      <w:r w:rsidR="00AE07D4">
        <w:rPr>
          <w:u w:val="single"/>
          <w:bdr w:val="single" w:sz="4" w:space="0" w:color="auto"/>
        </w:rPr>
        <w:t xml:space="preserve"> 7</w:t>
      </w:r>
      <w:r w:rsidRPr="00AE07D4">
        <w:rPr>
          <w:u w:val="single"/>
        </w:rPr>
        <w:tab/>
      </w:r>
      <w:r>
        <w:rPr>
          <w:u w:val="single"/>
        </w:rPr>
        <w:t>Examen del proyecto de directrices de</w:t>
      </w:r>
      <w:r w:rsidR="00533A68">
        <w:rPr>
          <w:u w:val="single"/>
        </w:rPr>
        <w:t xml:space="preserve"> </w:t>
      </w:r>
      <w:r>
        <w:rPr>
          <w:u w:val="single"/>
        </w:rPr>
        <w:t>examen por parte del Comité de Redacción</w:t>
      </w:r>
    </w:p>
    <w:p w:rsidR="00A70426" w:rsidRPr="00A70426" w:rsidRDefault="00A70426" w:rsidP="00A70426"/>
    <w:p w:rsidR="00A70426" w:rsidRPr="00A70426" w:rsidRDefault="00A70426" w:rsidP="00A70426">
      <w:r>
        <w:t>2.2.7.1</w:t>
      </w:r>
      <w:r>
        <w:tab/>
        <w:t>El TC-EDC fue creado por el Comité Técnico con el propósito de examinar los proyectos de todas las directrices de examen elaborados por los TWP antes de someterlos a la aprobación del Comité Técnico.</w:t>
      </w:r>
      <w:r w:rsidR="00533A68">
        <w:t xml:space="preserve"> </w:t>
      </w:r>
      <w:r>
        <w:t>La función del TC-EDC es garantizar que las directrices de examen sean coherentes con los requisitos del documento TGP/7 y comprobar la sintonía de los textos en to</w:t>
      </w:r>
      <w:r w:rsidR="003F217C">
        <w:t>dos los idiomas oficiales de la </w:t>
      </w:r>
      <w:r>
        <w:t>UPOV.</w:t>
      </w:r>
      <w:r w:rsidR="00533A68">
        <w:t xml:space="preserve"> </w:t>
      </w:r>
      <w:r>
        <w:t>El TC-EDC no lleva a cabo un examen profundo de las cuestiones técnicas de las directrices de examen.</w:t>
      </w:r>
      <w:r w:rsidR="00533A68">
        <w:t xml:space="preserve"> </w:t>
      </w:r>
      <w:r>
        <w:t>Los miembros del TC-EDC son seleccionados por el TC, tanto para ofrecer una vasta experiencia del sistema de la UPOV como para representar los idiomas de la UPOV, es decir, español, alemán, francés e inglés.</w:t>
      </w:r>
      <w:r w:rsidR="00533A68">
        <w:t xml:space="preserve"> </w:t>
      </w:r>
      <w:r>
        <w:t>La presidencia del TC-EDC es ejercida por la Secretaría de la UPOV.</w:t>
      </w:r>
    </w:p>
    <w:p w:rsidR="00A70426" w:rsidRPr="00A70426" w:rsidRDefault="00A70426" w:rsidP="00A70426"/>
    <w:p w:rsidR="00A70426" w:rsidRPr="00A70426" w:rsidRDefault="00A70426" w:rsidP="00A70426">
      <w:r>
        <w:t>2.2.7.2</w:t>
      </w:r>
      <w:r>
        <w:tab/>
        <w:t xml:space="preserve">El Comité de Redacción revisa el proyecto de directrices de examen tomando en consideración las instrucciones específicas que recibe del Comité Técnico y formula asimismo recomendaciones sobre la conveniencia de aprobarlas (Etapa 8). Asimismo, puede proponer al Comité Técnico que apruebe las directrices de examen tras realizar las enmiendas de redacción que considere necesarias. </w:t>
      </w:r>
    </w:p>
    <w:p w:rsidR="00A70426" w:rsidRPr="00A70426" w:rsidRDefault="00A70426" w:rsidP="00A70426"/>
    <w:p w:rsidR="00A70426" w:rsidRPr="00A70426" w:rsidRDefault="00A70426" w:rsidP="00A70426">
      <w:pPr>
        <w:rPr>
          <w:strike/>
          <w:highlight w:val="lightGray"/>
        </w:rPr>
      </w:pPr>
      <w:r>
        <w:rPr>
          <w:strike/>
          <w:highlight w:val="lightGray"/>
        </w:rPr>
        <w:t>2.2.7.</w:t>
      </w:r>
      <w:r w:rsidRPr="00AE07D4">
        <w:rPr>
          <w:highlight w:val="lightGray"/>
        </w:rPr>
        <w:t>3</w:t>
      </w:r>
      <w:r w:rsidRPr="00AE07D4">
        <w:rPr>
          <w:strike/>
          <w:highlight w:val="lightGray"/>
        </w:rPr>
        <w:tab/>
      </w:r>
      <w:r w:rsidRPr="00AE07D4">
        <w:rPr>
          <w:highlight w:val="lightGray"/>
        </w:rPr>
        <w:t>S</w:t>
      </w:r>
      <w:r>
        <w:rPr>
          <w:strike/>
          <w:highlight w:val="lightGray"/>
        </w:rPr>
        <w:t>i el Comité de Redacción considera que deben resolverse cuestiones técnicas, podrá buscar resolver esas cuestiones con el experto principal antes del examen de las directrices de examen por parte del Comité Técnico.</w:t>
      </w:r>
      <w:r w:rsidR="00533A68">
        <w:rPr>
          <w:strike/>
          <w:highlight w:val="lightGray"/>
        </w:rPr>
        <w:t xml:space="preserve"> </w:t>
      </w:r>
      <w:r>
        <w:rPr>
          <w:strike/>
          <w:highlight w:val="lightGray"/>
        </w:rPr>
        <w:t>En los casos en que esto no sea posible, el Comité de Redacción podrá recomendar que el Comité Técnico:</w:t>
      </w:r>
    </w:p>
    <w:p w:rsidR="00A70426" w:rsidRPr="00A70426" w:rsidRDefault="00A70426" w:rsidP="00A70426">
      <w:pPr>
        <w:rPr>
          <w:strike/>
          <w:highlight w:val="lightGray"/>
        </w:rPr>
      </w:pPr>
    </w:p>
    <w:p w:rsidR="00A70426" w:rsidRPr="00A70426" w:rsidRDefault="00A70426" w:rsidP="00A70426">
      <w:pPr>
        <w:rPr>
          <w:strike/>
          <w:highlight w:val="lightGray"/>
        </w:rPr>
      </w:pPr>
      <w:r>
        <w:tab/>
      </w:r>
      <w:r>
        <w:rPr>
          <w:strike/>
          <w:highlight w:val="lightGray"/>
        </w:rPr>
        <w:t>a)</w:t>
      </w:r>
      <w:r w:rsidRPr="00AE07D4">
        <w:rPr>
          <w:highlight w:val="lightGray"/>
        </w:rPr>
        <w:tab/>
      </w:r>
      <w:r>
        <w:rPr>
          <w:strike/>
          <w:highlight w:val="lightGray"/>
        </w:rPr>
        <w:t xml:space="preserve">remita las directrices de examen al TWP (etapa 4) o </w:t>
      </w:r>
    </w:p>
    <w:p w:rsidR="00A70426" w:rsidRPr="00A70426" w:rsidRDefault="00A70426" w:rsidP="00A70426">
      <w:pPr>
        <w:rPr>
          <w:strike/>
        </w:rPr>
      </w:pPr>
      <w:r>
        <w:tab/>
      </w:r>
      <w:r>
        <w:rPr>
          <w:strike/>
          <w:highlight w:val="lightGray"/>
        </w:rPr>
        <w:t>b)</w:t>
      </w:r>
      <w:r w:rsidRPr="00AE07D4">
        <w:rPr>
          <w:highlight w:val="lightGray"/>
        </w:rPr>
        <w:tab/>
      </w:r>
      <w:r>
        <w:rPr>
          <w:strike/>
          <w:highlight w:val="lightGray"/>
        </w:rPr>
        <w:t>apruebe las directrices de examen a condición de que el experto principal presente información adicional aprobada por todos los expertos interesados y el Presidente del TWP pertinente</w:t>
      </w:r>
      <w:r>
        <w:t>.</w:t>
      </w:r>
    </w:p>
    <w:p w:rsidR="00A70426" w:rsidRPr="00A70426" w:rsidRDefault="00A70426" w:rsidP="00A70426"/>
    <w:p w:rsidR="00A70426" w:rsidRPr="00A70426" w:rsidRDefault="00A70426" w:rsidP="00A70426">
      <w:pPr>
        <w:rPr>
          <w:highlight w:val="lightGray"/>
          <w:u w:val="single"/>
        </w:rPr>
      </w:pPr>
      <w:r>
        <w:rPr>
          <w:highlight w:val="lightGray"/>
          <w:u w:val="single"/>
        </w:rPr>
        <w:t>NUEVO</w:t>
      </w:r>
      <w:r w:rsidRPr="00AE07D4">
        <w:rPr>
          <w:highlight w:val="lightGray"/>
          <w:u w:val="single"/>
        </w:rPr>
        <w:tab/>
      </w:r>
      <w:r w:rsidRPr="00AE07D4">
        <w:rPr>
          <w:highlight w:val="lightGray"/>
          <w:u w:val="single"/>
        </w:rPr>
        <w:tab/>
      </w:r>
      <w:r>
        <w:rPr>
          <w:highlight w:val="lightGray"/>
          <w:u w:val="single"/>
        </w:rPr>
        <w:t>A no ser que el TC convenga lo contrario, el TC-EDC se reunirá dos veces al año, una vez entre marzo y abril y otra en paralelo a la sesión del TC (entre octubre y noviembre).</w:t>
      </w:r>
      <w:r w:rsidR="00533A68">
        <w:rPr>
          <w:highlight w:val="lightGray"/>
          <w:u w:val="single"/>
        </w:rPr>
        <w:t xml:space="preserve"> </w:t>
      </w:r>
      <w:r>
        <w:rPr>
          <w:highlight w:val="lightGray"/>
          <w:u w:val="single"/>
        </w:rPr>
        <w:t>El TC-EDC examinará las directrices de examen que los Grupos de Trabajo Técnico remitan como mínimo 14 semanas antes de la reunión del TC</w:t>
      </w:r>
      <w:r w:rsidRPr="008052DB">
        <w:rPr>
          <w:highlight w:val="lightGray"/>
          <w:u w:val="single"/>
        </w:rPr>
        <w:noBreakHyphen/>
      </w:r>
      <w:r>
        <w:rPr>
          <w:highlight w:val="lightGray"/>
          <w:u w:val="single"/>
        </w:rPr>
        <w:t>EDC.</w:t>
      </w:r>
      <w:r w:rsidR="00533A68">
        <w:rPr>
          <w:highlight w:val="lightGray"/>
          <w:u w:val="single"/>
        </w:rPr>
        <w:t xml:space="preserve"> </w:t>
      </w:r>
      <w:r>
        <w:rPr>
          <w:highlight w:val="lightGray"/>
          <w:u w:val="single"/>
        </w:rPr>
        <w:t>Las directrices de examen remitidas menos de 14 semanas antes de la reunión del TC</w:t>
      </w:r>
      <w:r w:rsidRPr="008052DB">
        <w:rPr>
          <w:highlight w:val="lightGray"/>
          <w:u w:val="single"/>
        </w:rPr>
        <w:noBreakHyphen/>
      </w:r>
      <w:r>
        <w:rPr>
          <w:highlight w:val="lightGray"/>
          <w:u w:val="single"/>
        </w:rPr>
        <w:t>EDC se examinarán en la siguiente reunión.</w:t>
      </w:r>
    </w:p>
    <w:p w:rsidR="00A70426" w:rsidRPr="00A70426" w:rsidRDefault="00A70426" w:rsidP="00A70426">
      <w:pPr>
        <w:tabs>
          <w:tab w:val="left" w:pos="567"/>
          <w:tab w:val="left" w:pos="1134"/>
          <w:tab w:val="left" w:pos="5387"/>
        </w:tabs>
        <w:rPr>
          <w:highlight w:val="lightGray"/>
          <w:u w:val="single"/>
        </w:rPr>
      </w:pPr>
    </w:p>
    <w:p w:rsidR="00A70426" w:rsidRPr="00A70426" w:rsidRDefault="00A70426" w:rsidP="00A70426">
      <w:pPr>
        <w:rPr>
          <w:highlight w:val="lightGray"/>
          <w:u w:val="single"/>
        </w:rPr>
      </w:pPr>
      <w:r>
        <w:rPr>
          <w:highlight w:val="lightGray"/>
          <w:u w:val="single"/>
        </w:rPr>
        <w:t>NUEVO</w:t>
      </w:r>
      <w:r w:rsidRPr="00AE07D4">
        <w:rPr>
          <w:highlight w:val="lightGray"/>
          <w:u w:val="single"/>
        </w:rPr>
        <w:tab/>
      </w:r>
      <w:r w:rsidRPr="00AE07D4">
        <w:rPr>
          <w:highlight w:val="lightGray"/>
          <w:u w:val="single"/>
        </w:rPr>
        <w:tab/>
      </w:r>
      <w:r>
        <w:rPr>
          <w:highlight w:val="lightGray"/>
          <w:u w:val="single"/>
        </w:rPr>
        <w:t>El examen que el TC-EDC realice de las directrices de examen puede tener l</w:t>
      </w:r>
      <w:r w:rsidR="004F41B3">
        <w:rPr>
          <w:highlight w:val="lightGray"/>
          <w:u w:val="single"/>
        </w:rPr>
        <w:t>o</w:t>
      </w:r>
      <w:r>
        <w:rPr>
          <w:highlight w:val="lightGray"/>
          <w:u w:val="single"/>
        </w:rPr>
        <w:t xml:space="preserve">s siguientes </w:t>
      </w:r>
      <w:r w:rsidR="004F41B3">
        <w:rPr>
          <w:highlight w:val="lightGray"/>
          <w:u w:val="single"/>
        </w:rPr>
        <w:t>resultado</w:t>
      </w:r>
      <w:r>
        <w:rPr>
          <w:highlight w:val="lightGray"/>
          <w:u w:val="single"/>
        </w:rPr>
        <w:t>s:</w:t>
      </w:r>
    </w:p>
    <w:p w:rsidR="00A70426" w:rsidRPr="00A70426" w:rsidRDefault="00A70426" w:rsidP="00A70426">
      <w:pPr>
        <w:rPr>
          <w:highlight w:val="lightGray"/>
          <w:u w:val="single"/>
        </w:rPr>
      </w:pPr>
    </w:p>
    <w:p w:rsidR="00A70426" w:rsidRPr="00A70426" w:rsidRDefault="00275E8D" w:rsidP="00275E8D">
      <w:pPr>
        <w:ind w:left="567"/>
        <w:contextualSpacing/>
        <w:rPr>
          <w:rFonts w:cs="Arial"/>
          <w:szCs w:val="22"/>
          <w:highlight w:val="lightGray"/>
          <w:u w:val="single"/>
        </w:rPr>
      </w:pPr>
      <w:r>
        <w:rPr>
          <w:highlight w:val="lightGray"/>
          <w:u w:val="single"/>
        </w:rPr>
        <w:t>a)</w:t>
      </w:r>
      <w:r>
        <w:rPr>
          <w:highlight w:val="lightGray"/>
          <w:u w:val="single"/>
        </w:rPr>
        <w:tab/>
      </w:r>
      <w:r w:rsidR="00A70426">
        <w:rPr>
          <w:highlight w:val="lightGray"/>
          <w:u w:val="single"/>
        </w:rPr>
        <w:t xml:space="preserve">que </w:t>
      </w:r>
      <w:r w:rsidR="00E713AC">
        <w:rPr>
          <w:highlight w:val="lightGray"/>
          <w:u w:val="single"/>
        </w:rPr>
        <w:t>no sea necesario modificar las</w:t>
      </w:r>
      <w:r w:rsidR="00A70426">
        <w:rPr>
          <w:highlight w:val="lightGray"/>
          <w:u w:val="single"/>
        </w:rPr>
        <w:t xml:space="preserve"> directrices de examen o </w:t>
      </w:r>
      <w:r w:rsidR="004C27BA">
        <w:rPr>
          <w:highlight w:val="lightGray"/>
          <w:u w:val="single"/>
        </w:rPr>
        <w:t>que las modificaciones necesarias sean estrictamente de redacción</w:t>
      </w:r>
      <w:r w:rsidR="00E713AC">
        <w:rPr>
          <w:highlight w:val="lightGray"/>
          <w:u w:val="single"/>
        </w:rPr>
        <w:t xml:space="preserve"> y </w:t>
      </w:r>
      <w:r w:rsidR="00B335AC">
        <w:rPr>
          <w:highlight w:val="lightGray"/>
          <w:u w:val="single"/>
        </w:rPr>
        <w:t>que el TC-EDC acuerde recomendaciones al respecto</w:t>
      </w:r>
      <w:r w:rsidR="00A70426">
        <w:rPr>
          <w:highlight w:val="lightGray"/>
          <w:u w:val="single"/>
        </w:rPr>
        <w:t>; o</w:t>
      </w:r>
    </w:p>
    <w:p w:rsidR="00A70426" w:rsidRPr="00A70426" w:rsidRDefault="00275E8D" w:rsidP="00275E8D">
      <w:pPr>
        <w:ind w:left="567"/>
        <w:contextualSpacing/>
        <w:rPr>
          <w:rFonts w:cs="Arial"/>
          <w:szCs w:val="22"/>
          <w:highlight w:val="lightGray"/>
          <w:u w:val="single"/>
        </w:rPr>
      </w:pPr>
      <w:r>
        <w:rPr>
          <w:highlight w:val="lightGray"/>
          <w:u w:val="single"/>
        </w:rPr>
        <w:t>b)</w:t>
      </w:r>
      <w:r>
        <w:rPr>
          <w:highlight w:val="lightGray"/>
          <w:u w:val="single"/>
        </w:rPr>
        <w:tab/>
      </w:r>
      <w:r w:rsidR="00A70426">
        <w:rPr>
          <w:highlight w:val="lightGray"/>
          <w:u w:val="single"/>
        </w:rPr>
        <w:t>que sea preciso aclarar la redacción; o</w:t>
      </w:r>
    </w:p>
    <w:p w:rsidR="00A70426" w:rsidRPr="00A70426" w:rsidRDefault="00275E8D" w:rsidP="00275E8D">
      <w:pPr>
        <w:ind w:left="567"/>
        <w:contextualSpacing/>
        <w:rPr>
          <w:rFonts w:cs="Arial"/>
          <w:szCs w:val="22"/>
          <w:highlight w:val="lightGray"/>
          <w:u w:val="single"/>
        </w:rPr>
      </w:pPr>
      <w:r>
        <w:rPr>
          <w:highlight w:val="lightGray"/>
          <w:u w:val="single"/>
        </w:rPr>
        <w:t>c)</w:t>
      </w:r>
      <w:r>
        <w:rPr>
          <w:highlight w:val="lightGray"/>
          <w:u w:val="single"/>
        </w:rPr>
        <w:tab/>
      </w:r>
      <w:r w:rsidR="00A70426">
        <w:rPr>
          <w:highlight w:val="lightGray"/>
          <w:u w:val="single"/>
        </w:rPr>
        <w:t>que deban resolver</w:t>
      </w:r>
      <w:r w:rsidR="00E40089">
        <w:rPr>
          <w:highlight w:val="lightGray"/>
          <w:u w:val="single"/>
        </w:rPr>
        <w:t xml:space="preserve">se </w:t>
      </w:r>
      <w:r w:rsidR="00A70426">
        <w:rPr>
          <w:highlight w:val="lightGray"/>
          <w:u w:val="single"/>
        </w:rPr>
        <w:t>cuestiones técnicas.</w:t>
      </w:r>
    </w:p>
    <w:p w:rsidR="00A70426" w:rsidRPr="00A70426" w:rsidRDefault="00A70426" w:rsidP="00A70426">
      <w:pPr>
        <w:rPr>
          <w:highlight w:val="lightGray"/>
          <w:u w:val="single"/>
        </w:rPr>
      </w:pPr>
    </w:p>
    <w:p w:rsidR="00A70426" w:rsidRPr="00A70426" w:rsidRDefault="00A70426" w:rsidP="00A70426">
      <w:pPr>
        <w:rPr>
          <w:highlight w:val="lightGray"/>
          <w:u w:val="single"/>
        </w:rPr>
      </w:pPr>
      <w:r>
        <w:rPr>
          <w:highlight w:val="lightGray"/>
          <w:u w:val="single"/>
        </w:rPr>
        <w:t>NUEVO</w:t>
      </w:r>
      <w:r w:rsidRPr="00AE07D4">
        <w:rPr>
          <w:highlight w:val="lightGray"/>
          <w:u w:val="single"/>
        </w:rPr>
        <w:tab/>
      </w:r>
      <w:r w:rsidRPr="00AE07D4">
        <w:rPr>
          <w:highlight w:val="lightGray"/>
          <w:u w:val="single"/>
        </w:rPr>
        <w:tab/>
      </w:r>
      <w:r>
        <w:rPr>
          <w:highlight w:val="lightGray"/>
          <w:u w:val="single"/>
        </w:rPr>
        <w:t xml:space="preserve">En los casos en que </w:t>
      </w:r>
      <w:r w:rsidR="00E713AC">
        <w:rPr>
          <w:highlight w:val="lightGray"/>
          <w:u w:val="single"/>
        </w:rPr>
        <w:t>no sea necesario modificar las</w:t>
      </w:r>
      <w:r>
        <w:rPr>
          <w:highlight w:val="lightGray"/>
          <w:u w:val="single"/>
        </w:rPr>
        <w:t xml:space="preserve"> directrices de examen o </w:t>
      </w:r>
      <w:r w:rsidR="004C27BA">
        <w:rPr>
          <w:highlight w:val="lightGray"/>
          <w:u w:val="single"/>
        </w:rPr>
        <w:t>que las modificaciones necesarias sean estrictamente de redacción</w:t>
      </w:r>
      <w:r w:rsidR="00E713AC">
        <w:rPr>
          <w:highlight w:val="lightGray"/>
          <w:u w:val="single"/>
        </w:rPr>
        <w:t xml:space="preserve"> y </w:t>
      </w:r>
      <w:r w:rsidR="00B335AC">
        <w:rPr>
          <w:highlight w:val="lightGray"/>
          <w:u w:val="single"/>
        </w:rPr>
        <w:t>que el TC-EDC acuerde recomendaciones al respecto</w:t>
      </w:r>
      <w:r>
        <w:rPr>
          <w:highlight w:val="lightGray"/>
          <w:u w:val="single"/>
        </w:rPr>
        <w:t xml:space="preserve">, las directrices de examen se </w:t>
      </w:r>
      <w:r w:rsidR="007F2CCE">
        <w:rPr>
          <w:highlight w:val="lightGray"/>
          <w:u w:val="single"/>
        </w:rPr>
        <w:t>someten</w:t>
      </w:r>
      <w:r>
        <w:rPr>
          <w:highlight w:val="lightGray"/>
          <w:u w:val="single"/>
        </w:rPr>
        <w:t xml:space="preserve"> a la aprobación del Comité Técnico</w:t>
      </w:r>
      <w:r>
        <w:t>.</w:t>
      </w:r>
      <w:r>
        <w:rPr>
          <w:highlight w:val="lightGray"/>
          <w:u w:val="single"/>
        </w:rPr>
        <w:t xml:space="preserve"> </w:t>
      </w:r>
    </w:p>
    <w:p w:rsidR="00A70426" w:rsidRPr="00A70426" w:rsidRDefault="00A70426" w:rsidP="00A70426">
      <w:pPr>
        <w:rPr>
          <w:highlight w:val="lightGray"/>
          <w:u w:val="single"/>
        </w:rPr>
      </w:pPr>
    </w:p>
    <w:p w:rsidR="00A70426" w:rsidRPr="00A70426" w:rsidRDefault="00A70426" w:rsidP="00A70426">
      <w:pPr>
        <w:rPr>
          <w:highlight w:val="lightGray"/>
          <w:u w:val="single"/>
        </w:rPr>
      </w:pPr>
      <w:r>
        <w:rPr>
          <w:highlight w:val="lightGray"/>
          <w:u w:val="single"/>
        </w:rPr>
        <w:t>N</w:t>
      </w:r>
      <w:r w:rsidR="00B50A31">
        <w:rPr>
          <w:highlight w:val="lightGray"/>
          <w:u w:val="single"/>
        </w:rPr>
        <w:t>UEVO</w:t>
      </w:r>
      <w:r w:rsidRPr="00AE07D4">
        <w:rPr>
          <w:highlight w:val="lightGray"/>
          <w:u w:val="single"/>
        </w:rPr>
        <w:tab/>
      </w:r>
      <w:r w:rsidRPr="00AE07D4">
        <w:rPr>
          <w:highlight w:val="lightGray"/>
          <w:u w:val="single"/>
        </w:rPr>
        <w:tab/>
      </w:r>
      <w:r>
        <w:rPr>
          <w:highlight w:val="lightGray"/>
          <w:u w:val="single"/>
        </w:rPr>
        <w:t xml:space="preserve">Cuando en las directrices de examen sea preciso aclarar la redacción, se aplicará el siguiente procedimiento: </w:t>
      </w:r>
    </w:p>
    <w:p w:rsidR="00A70426" w:rsidRPr="00A70426" w:rsidRDefault="00A70426" w:rsidP="00A70426">
      <w:pPr>
        <w:rPr>
          <w:rFonts w:cs="Arial"/>
          <w:sz w:val="18"/>
          <w:highlight w:val="lightGray"/>
          <w:u w:val="single"/>
        </w:rPr>
      </w:pPr>
    </w:p>
    <w:p w:rsidR="00A70426" w:rsidRPr="00A70426" w:rsidRDefault="000D5209" w:rsidP="00A70426">
      <w:pPr>
        <w:numPr>
          <w:ilvl w:val="0"/>
          <w:numId w:val="3"/>
        </w:numPr>
        <w:ind w:left="1134" w:hanging="567"/>
        <w:contextualSpacing/>
        <w:rPr>
          <w:rFonts w:cs="Arial"/>
          <w:szCs w:val="22"/>
          <w:highlight w:val="lightGray"/>
          <w:u w:val="single"/>
        </w:rPr>
      </w:pPr>
      <w:r>
        <w:rPr>
          <w:highlight w:val="lightGray"/>
          <w:u w:val="single"/>
        </w:rPr>
        <w:t>se</w:t>
      </w:r>
      <w:r w:rsidR="002C153C" w:rsidRPr="002C153C">
        <w:rPr>
          <w:highlight w:val="lightGray"/>
          <w:u w:val="single"/>
        </w:rPr>
        <w:t xml:space="preserve"> </w:t>
      </w:r>
      <w:r w:rsidRPr="002C153C">
        <w:rPr>
          <w:highlight w:val="lightGray"/>
          <w:u w:val="single"/>
        </w:rPr>
        <w:t>transmit</w:t>
      </w:r>
      <w:r>
        <w:rPr>
          <w:highlight w:val="lightGray"/>
          <w:u w:val="single"/>
        </w:rPr>
        <w:t>e una</w:t>
      </w:r>
      <w:r w:rsidRPr="000D5209">
        <w:rPr>
          <w:highlight w:val="lightGray"/>
          <w:u w:val="single"/>
        </w:rPr>
        <w:t xml:space="preserve"> </w:t>
      </w:r>
      <w:r w:rsidR="002C153C" w:rsidRPr="002C153C">
        <w:rPr>
          <w:highlight w:val="lightGray"/>
          <w:u w:val="single"/>
        </w:rPr>
        <w:t>solicitud de aclaraci</w:t>
      </w:r>
      <w:r>
        <w:rPr>
          <w:highlight w:val="lightGray"/>
          <w:u w:val="single"/>
        </w:rPr>
        <w:t>ones</w:t>
      </w:r>
      <w:r w:rsidR="002C153C" w:rsidRPr="002C153C">
        <w:rPr>
          <w:highlight w:val="lightGray"/>
          <w:u w:val="single"/>
        </w:rPr>
        <w:t xml:space="preserve"> </w:t>
      </w:r>
      <w:r w:rsidR="00A70426">
        <w:rPr>
          <w:highlight w:val="lightGray"/>
          <w:u w:val="single"/>
        </w:rPr>
        <w:t>al experto principal;</w:t>
      </w:r>
    </w:p>
    <w:p w:rsidR="00A70426" w:rsidRPr="00A70426" w:rsidRDefault="00A70426" w:rsidP="00A70426">
      <w:pPr>
        <w:numPr>
          <w:ilvl w:val="0"/>
          <w:numId w:val="3"/>
        </w:numPr>
        <w:ind w:left="1134" w:hanging="567"/>
        <w:contextualSpacing/>
        <w:rPr>
          <w:rFonts w:cs="Arial"/>
          <w:szCs w:val="22"/>
          <w:highlight w:val="lightGray"/>
          <w:u w:val="single"/>
        </w:rPr>
      </w:pPr>
      <w:r>
        <w:rPr>
          <w:highlight w:val="lightGray"/>
          <w:u w:val="single"/>
        </w:rPr>
        <w:t xml:space="preserve">las aclaraciones </w:t>
      </w:r>
      <w:r w:rsidR="002C153C">
        <w:rPr>
          <w:highlight w:val="lightGray"/>
          <w:u w:val="single"/>
        </w:rPr>
        <w:t>han de</w:t>
      </w:r>
      <w:r>
        <w:rPr>
          <w:highlight w:val="lightGray"/>
          <w:u w:val="single"/>
        </w:rPr>
        <w:t xml:space="preserve"> facilitar</w:t>
      </w:r>
      <w:r w:rsidR="002C153C">
        <w:rPr>
          <w:highlight w:val="lightGray"/>
          <w:u w:val="single"/>
        </w:rPr>
        <w:t>se</w:t>
      </w:r>
      <w:r>
        <w:rPr>
          <w:highlight w:val="lightGray"/>
          <w:u w:val="single"/>
        </w:rPr>
        <w:t xml:space="preserve"> en menos de cuatro semanas;</w:t>
      </w:r>
    </w:p>
    <w:p w:rsidR="00A70426" w:rsidRPr="00A70426" w:rsidRDefault="00211D04" w:rsidP="00A70426">
      <w:pPr>
        <w:numPr>
          <w:ilvl w:val="0"/>
          <w:numId w:val="3"/>
        </w:numPr>
        <w:ind w:left="1134" w:hanging="567"/>
        <w:contextualSpacing/>
        <w:rPr>
          <w:rFonts w:cs="Arial"/>
          <w:szCs w:val="22"/>
          <w:highlight w:val="lightGray"/>
          <w:u w:val="single"/>
        </w:rPr>
      </w:pPr>
      <w:r>
        <w:rPr>
          <w:highlight w:val="lightGray"/>
          <w:u w:val="single"/>
        </w:rPr>
        <w:t>s</w:t>
      </w:r>
      <w:r w:rsidR="00A70426">
        <w:rPr>
          <w:highlight w:val="lightGray"/>
          <w:u w:val="single"/>
        </w:rPr>
        <w:t xml:space="preserve">i el TC-EDC suscribe las aclaraciones, se </w:t>
      </w:r>
      <w:r w:rsidR="007F2CCE">
        <w:rPr>
          <w:highlight w:val="lightGray"/>
          <w:u w:val="single"/>
        </w:rPr>
        <w:t>recomienda</w:t>
      </w:r>
      <w:r w:rsidR="00A70426">
        <w:rPr>
          <w:highlight w:val="lightGray"/>
          <w:u w:val="single"/>
        </w:rPr>
        <w:t xml:space="preserve"> la aprobación de las directrices de examen en </w:t>
      </w:r>
      <w:r w:rsidR="00C6380F">
        <w:rPr>
          <w:highlight w:val="lightGray"/>
          <w:u w:val="single"/>
        </w:rPr>
        <w:t>su</w:t>
      </w:r>
      <w:r w:rsidR="00A70426">
        <w:rPr>
          <w:highlight w:val="lightGray"/>
          <w:u w:val="single"/>
        </w:rPr>
        <w:t xml:space="preserve"> reunión;</w:t>
      </w:r>
    </w:p>
    <w:p w:rsidR="00A70426" w:rsidRPr="00A70426" w:rsidRDefault="00081EC7" w:rsidP="00A70426">
      <w:pPr>
        <w:numPr>
          <w:ilvl w:val="0"/>
          <w:numId w:val="3"/>
        </w:numPr>
        <w:ind w:left="1134" w:hanging="567"/>
        <w:contextualSpacing/>
        <w:rPr>
          <w:rFonts w:cs="Arial"/>
          <w:szCs w:val="22"/>
          <w:highlight w:val="lightGray"/>
          <w:u w:val="single"/>
        </w:rPr>
      </w:pPr>
      <w:r w:rsidRPr="00081EC7">
        <w:rPr>
          <w:highlight w:val="lightGray"/>
          <w:u w:val="single"/>
        </w:rPr>
        <w:t>las directrices de examen se somete</w:t>
      </w:r>
      <w:r w:rsidR="00BA5506">
        <w:rPr>
          <w:highlight w:val="lightGray"/>
          <w:u w:val="single"/>
        </w:rPr>
        <w:t>n</w:t>
      </w:r>
      <w:r w:rsidRPr="00081EC7">
        <w:rPr>
          <w:highlight w:val="lightGray"/>
          <w:u w:val="single"/>
        </w:rPr>
        <w:t xml:space="preserve"> al examen del TC</w:t>
      </w:r>
      <w:r>
        <w:rPr>
          <w:highlight w:val="lightGray"/>
          <w:u w:val="single"/>
        </w:rPr>
        <w:t xml:space="preserve"> con miras a su aprobación</w:t>
      </w:r>
      <w:r w:rsidR="00A70426">
        <w:rPr>
          <w:highlight w:val="lightGray"/>
          <w:u w:val="single"/>
        </w:rPr>
        <w:t>.</w:t>
      </w:r>
    </w:p>
    <w:p w:rsidR="00A70426" w:rsidRPr="00A70426" w:rsidRDefault="00A70426" w:rsidP="00A70426">
      <w:pPr>
        <w:rPr>
          <w:highlight w:val="lightGray"/>
          <w:u w:val="single"/>
        </w:rPr>
      </w:pPr>
    </w:p>
    <w:p w:rsidR="00A70426" w:rsidRPr="00A70426" w:rsidRDefault="00A70426" w:rsidP="00A70426">
      <w:pPr>
        <w:rPr>
          <w:highlight w:val="lightGray"/>
          <w:u w:val="single"/>
        </w:rPr>
      </w:pPr>
      <w:r>
        <w:rPr>
          <w:highlight w:val="lightGray"/>
          <w:u w:val="single"/>
        </w:rPr>
        <w:lastRenderedPageBreak/>
        <w:t>NUEVO</w:t>
      </w:r>
      <w:r w:rsidRPr="00AE07D4">
        <w:rPr>
          <w:highlight w:val="lightGray"/>
          <w:u w:val="single"/>
        </w:rPr>
        <w:tab/>
      </w:r>
      <w:r w:rsidRPr="00AE07D4">
        <w:rPr>
          <w:highlight w:val="lightGray"/>
          <w:u w:val="single"/>
        </w:rPr>
        <w:tab/>
      </w:r>
      <w:r>
        <w:rPr>
          <w:highlight w:val="lightGray"/>
          <w:u w:val="single"/>
        </w:rPr>
        <w:t>Para las directrices de examen en las que deban resolver</w:t>
      </w:r>
      <w:r w:rsidR="00E40089">
        <w:rPr>
          <w:highlight w:val="lightGray"/>
          <w:u w:val="single"/>
        </w:rPr>
        <w:t>se</w:t>
      </w:r>
      <w:r>
        <w:rPr>
          <w:highlight w:val="lightGray"/>
          <w:u w:val="single"/>
        </w:rPr>
        <w:t xml:space="preserve"> cuestiones técnicas, se aplicará el siguiente procedimiento:</w:t>
      </w:r>
    </w:p>
    <w:p w:rsidR="00A70426" w:rsidRPr="00A70426" w:rsidRDefault="00A70426" w:rsidP="00A70426">
      <w:pPr>
        <w:rPr>
          <w:rFonts w:cs="Arial"/>
          <w:sz w:val="18"/>
          <w:highlight w:val="lightGray"/>
          <w:u w:val="single"/>
        </w:rPr>
      </w:pPr>
    </w:p>
    <w:p w:rsidR="00A70426" w:rsidRPr="00A70426" w:rsidRDefault="0059056E" w:rsidP="00A70426">
      <w:pPr>
        <w:numPr>
          <w:ilvl w:val="0"/>
          <w:numId w:val="4"/>
        </w:numPr>
        <w:ind w:left="1134" w:hanging="567"/>
        <w:contextualSpacing/>
        <w:rPr>
          <w:rFonts w:cs="Arial"/>
          <w:szCs w:val="22"/>
          <w:highlight w:val="lightGray"/>
          <w:u w:val="single"/>
        </w:rPr>
      </w:pPr>
      <w:r>
        <w:rPr>
          <w:highlight w:val="lightGray"/>
          <w:u w:val="single"/>
        </w:rPr>
        <w:t>d</w:t>
      </w:r>
      <w:r w:rsidR="00FC4E41">
        <w:rPr>
          <w:highlight w:val="lightGray"/>
          <w:u w:val="single"/>
        </w:rPr>
        <w:t>eben</w:t>
      </w:r>
      <w:r w:rsidR="00ED50F9">
        <w:rPr>
          <w:highlight w:val="lightGray"/>
          <w:u w:val="single"/>
        </w:rPr>
        <w:t xml:space="preserve"> </w:t>
      </w:r>
      <w:r w:rsidR="00FC4E41">
        <w:rPr>
          <w:highlight w:val="lightGray"/>
          <w:u w:val="single"/>
        </w:rPr>
        <w:t xml:space="preserve">transmitirse </w:t>
      </w:r>
      <w:r w:rsidR="00A70426">
        <w:rPr>
          <w:highlight w:val="lightGray"/>
          <w:u w:val="single"/>
        </w:rPr>
        <w:t>las cuestiones técnicas</w:t>
      </w:r>
      <w:r w:rsidR="00D77603">
        <w:rPr>
          <w:highlight w:val="lightGray"/>
          <w:u w:val="single"/>
        </w:rPr>
        <w:t xml:space="preserve"> al experto principal;</w:t>
      </w:r>
    </w:p>
    <w:p w:rsidR="00A70426" w:rsidRPr="00A70426" w:rsidRDefault="00A70426" w:rsidP="00A70426">
      <w:pPr>
        <w:numPr>
          <w:ilvl w:val="0"/>
          <w:numId w:val="4"/>
        </w:numPr>
        <w:ind w:left="1134" w:hanging="567"/>
        <w:contextualSpacing/>
        <w:rPr>
          <w:rFonts w:cs="Arial"/>
          <w:szCs w:val="22"/>
          <w:highlight w:val="lightGray"/>
          <w:u w:val="single"/>
        </w:rPr>
      </w:pPr>
      <w:r>
        <w:rPr>
          <w:highlight w:val="lightGray"/>
          <w:u w:val="single"/>
        </w:rPr>
        <w:t xml:space="preserve">las cuestiones técnicas </w:t>
      </w:r>
      <w:r w:rsidR="00D77603">
        <w:rPr>
          <w:highlight w:val="lightGray"/>
          <w:u w:val="single"/>
        </w:rPr>
        <w:t>han de tratarse</w:t>
      </w:r>
      <w:r>
        <w:rPr>
          <w:highlight w:val="lightGray"/>
          <w:u w:val="single"/>
        </w:rPr>
        <w:t xml:space="preserve"> en los respectivos Grupos de Trabajo Técnico por medio de un documento TWP elaborado por el experto principal al menos cuatro semanas antes de la reunión del TWP (no se elaborará un nuevo proyecto de directrices de examen)</w:t>
      </w:r>
      <w:r w:rsidR="00D97D44">
        <w:rPr>
          <w:highlight w:val="lightGray"/>
          <w:u w:val="single"/>
        </w:rPr>
        <w:t>;</w:t>
      </w:r>
    </w:p>
    <w:p w:rsidR="00A70426" w:rsidRPr="00A70426" w:rsidRDefault="00A70426" w:rsidP="00A70426">
      <w:pPr>
        <w:numPr>
          <w:ilvl w:val="0"/>
          <w:numId w:val="4"/>
        </w:numPr>
        <w:ind w:left="1134" w:hanging="567"/>
        <w:contextualSpacing/>
        <w:rPr>
          <w:rFonts w:cs="Arial"/>
          <w:szCs w:val="22"/>
          <w:highlight w:val="lightGray"/>
          <w:u w:val="single"/>
        </w:rPr>
      </w:pPr>
      <w:r>
        <w:rPr>
          <w:highlight w:val="lightGray"/>
          <w:u w:val="single"/>
        </w:rPr>
        <w:t>el TC-EDC debe proporcionar una solución de las cuestiones técnicas como mínimo siete semanas antes de la reunión del TC</w:t>
      </w:r>
      <w:r w:rsidRPr="007F2CCE">
        <w:rPr>
          <w:highlight w:val="lightGray"/>
          <w:u w:val="single"/>
        </w:rPr>
        <w:noBreakHyphen/>
      </w:r>
      <w:r>
        <w:rPr>
          <w:highlight w:val="lightGray"/>
          <w:u w:val="single"/>
        </w:rPr>
        <w:t>EDC;</w:t>
      </w:r>
    </w:p>
    <w:p w:rsidR="00A70426" w:rsidRPr="00A70426" w:rsidRDefault="00081EC7" w:rsidP="00A70426">
      <w:pPr>
        <w:numPr>
          <w:ilvl w:val="0"/>
          <w:numId w:val="3"/>
        </w:numPr>
        <w:ind w:left="1134" w:hanging="567"/>
        <w:contextualSpacing/>
        <w:rPr>
          <w:rFonts w:cs="Arial"/>
          <w:szCs w:val="22"/>
          <w:highlight w:val="lightGray"/>
          <w:u w:val="single"/>
        </w:rPr>
      </w:pPr>
      <w:r>
        <w:rPr>
          <w:highlight w:val="lightGray"/>
          <w:u w:val="single"/>
        </w:rPr>
        <w:t>s</w:t>
      </w:r>
      <w:r w:rsidR="007F2CCE">
        <w:rPr>
          <w:highlight w:val="lightGray"/>
          <w:u w:val="single"/>
        </w:rPr>
        <w:t>i el TC-EDC llega a un acuerdo</w:t>
      </w:r>
      <w:r w:rsidR="00A70426">
        <w:rPr>
          <w:highlight w:val="lightGray"/>
          <w:u w:val="single"/>
        </w:rPr>
        <w:t xml:space="preserve">, se </w:t>
      </w:r>
      <w:r w:rsidR="007F2CCE">
        <w:rPr>
          <w:highlight w:val="lightGray"/>
          <w:u w:val="single"/>
        </w:rPr>
        <w:t>recomienda</w:t>
      </w:r>
      <w:r w:rsidR="00A70426">
        <w:rPr>
          <w:highlight w:val="lightGray"/>
          <w:u w:val="single"/>
        </w:rPr>
        <w:t xml:space="preserve"> la aprobación de las directrices de examen en </w:t>
      </w:r>
      <w:r w:rsidR="00C6380F">
        <w:rPr>
          <w:highlight w:val="lightGray"/>
          <w:u w:val="single"/>
        </w:rPr>
        <w:t>su</w:t>
      </w:r>
      <w:r w:rsidR="00A70426">
        <w:rPr>
          <w:highlight w:val="lightGray"/>
          <w:u w:val="single"/>
        </w:rPr>
        <w:t xml:space="preserve"> reunión;</w:t>
      </w:r>
    </w:p>
    <w:p w:rsidR="00A70426" w:rsidRPr="00A70426" w:rsidRDefault="00081EC7" w:rsidP="00A70426">
      <w:pPr>
        <w:numPr>
          <w:ilvl w:val="0"/>
          <w:numId w:val="3"/>
        </w:numPr>
        <w:ind w:left="1134" w:hanging="567"/>
        <w:contextualSpacing/>
        <w:rPr>
          <w:rFonts w:cs="Arial"/>
          <w:szCs w:val="22"/>
          <w:highlight w:val="lightGray"/>
          <w:u w:val="single"/>
        </w:rPr>
      </w:pPr>
      <w:r w:rsidRPr="00081EC7">
        <w:rPr>
          <w:highlight w:val="lightGray"/>
          <w:u w:val="single"/>
        </w:rPr>
        <w:t>las directrices de examen se somete</w:t>
      </w:r>
      <w:r>
        <w:rPr>
          <w:highlight w:val="lightGray"/>
          <w:u w:val="single"/>
        </w:rPr>
        <w:t>n</w:t>
      </w:r>
      <w:r w:rsidRPr="00081EC7">
        <w:rPr>
          <w:highlight w:val="lightGray"/>
          <w:u w:val="single"/>
        </w:rPr>
        <w:t xml:space="preserve"> al examen del TC </w:t>
      </w:r>
      <w:r>
        <w:rPr>
          <w:highlight w:val="lightGray"/>
          <w:u w:val="single"/>
        </w:rPr>
        <w:t>con miras a su</w:t>
      </w:r>
      <w:r w:rsidRPr="00081EC7">
        <w:rPr>
          <w:highlight w:val="lightGray"/>
          <w:u w:val="single"/>
        </w:rPr>
        <w:t xml:space="preserve"> aprobación</w:t>
      </w:r>
      <w:r w:rsidR="00A70426">
        <w:rPr>
          <w:highlight w:val="lightGray"/>
          <w:u w:val="single"/>
        </w:rPr>
        <w:t>.</w:t>
      </w:r>
    </w:p>
    <w:p w:rsidR="00A70426" w:rsidRPr="00A70426" w:rsidRDefault="00A70426" w:rsidP="00A70426"/>
    <w:p w:rsidR="00A70426" w:rsidRPr="00A70426" w:rsidRDefault="00A70426" w:rsidP="00A70426"/>
    <w:p w:rsidR="00A70426" w:rsidRPr="00A70426" w:rsidRDefault="00A70426" w:rsidP="00A70426">
      <w:pPr>
        <w:rPr>
          <w:u w:val="single"/>
        </w:rPr>
      </w:pPr>
      <w:r>
        <w:rPr>
          <w:u w:val="single"/>
        </w:rPr>
        <w:t>2.2.8</w:t>
      </w:r>
      <w:r w:rsidRPr="00AE07D4">
        <w:rPr>
          <w:u w:val="single"/>
        </w:rPr>
        <w:tab/>
      </w:r>
      <w:r w:rsidRPr="00AE07D4">
        <w:rPr>
          <w:u w:val="single"/>
          <w:bdr w:val="single" w:sz="4" w:space="0" w:color="auto"/>
        </w:rPr>
        <w:t>ETAPA 8</w:t>
      </w:r>
      <w:r w:rsidRPr="00AE07D4">
        <w:rPr>
          <w:u w:val="single"/>
        </w:rPr>
        <w:tab/>
        <w:t>Aprobación del proyecto de directrices de examen por parte del Comité Técnico</w:t>
      </w:r>
      <w:r w:rsidR="00533A68" w:rsidRPr="00AE07D4">
        <w:rPr>
          <w:u w:val="single"/>
        </w:rPr>
        <w:t xml:space="preserve"> </w:t>
      </w:r>
    </w:p>
    <w:p w:rsidR="00A70426" w:rsidRPr="00A70426" w:rsidRDefault="00A70426" w:rsidP="00A70426"/>
    <w:p w:rsidR="00A70426" w:rsidRPr="00A70426" w:rsidRDefault="00A70426" w:rsidP="00A70426">
      <w:r>
        <w:t>2.2.8.1</w:t>
      </w:r>
      <w:r>
        <w:tab/>
        <w:t>Basándose en las recomendaciones del Comité de Redacción, el Comité Técnico decidirá si aprueba las directrices de examen o las remite de vuelta al TWP que corresponda.</w:t>
      </w:r>
    </w:p>
    <w:p w:rsidR="00A70426" w:rsidRPr="00A70426" w:rsidRDefault="00A70426" w:rsidP="00A70426"/>
    <w:p w:rsidR="00A70426" w:rsidRPr="00A70426" w:rsidRDefault="00A70426" w:rsidP="00A70426">
      <w:pPr>
        <w:rPr>
          <w:highlight w:val="lightGray"/>
          <w:u w:val="single"/>
        </w:rPr>
      </w:pPr>
      <w:r>
        <w:rPr>
          <w:highlight w:val="lightGray"/>
          <w:u w:val="single"/>
        </w:rPr>
        <w:t>NUEVO</w:t>
      </w:r>
      <w:r w:rsidRPr="00AE07D4">
        <w:rPr>
          <w:highlight w:val="lightGray"/>
          <w:u w:val="single"/>
        </w:rPr>
        <w:tab/>
      </w:r>
      <w:r w:rsidRPr="00AE07D4">
        <w:rPr>
          <w:highlight w:val="lightGray"/>
          <w:u w:val="single"/>
        </w:rPr>
        <w:tab/>
      </w:r>
      <w:r>
        <w:rPr>
          <w:highlight w:val="lightGray"/>
          <w:u w:val="single"/>
        </w:rPr>
        <w:t>El Comité Técnico podrá aprobar las directrices de examen en su sesión o por correspondencia.</w:t>
      </w:r>
      <w:r w:rsidR="00533A68">
        <w:rPr>
          <w:highlight w:val="lightGray"/>
          <w:u w:val="single"/>
        </w:rPr>
        <w:t xml:space="preserve"> </w:t>
      </w:r>
      <w:r>
        <w:rPr>
          <w:highlight w:val="lightGray"/>
          <w:u w:val="single"/>
        </w:rPr>
        <w:t>Las directrices de examen podrán aprobarse por correspondencia conforme al siguiente procedimiento:</w:t>
      </w:r>
    </w:p>
    <w:p w:rsidR="00A70426" w:rsidRPr="00A70426" w:rsidRDefault="00A70426" w:rsidP="00A70426">
      <w:pPr>
        <w:rPr>
          <w:highlight w:val="lightGray"/>
          <w:u w:val="single"/>
        </w:rPr>
      </w:pPr>
    </w:p>
    <w:p w:rsidR="00A70426" w:rsidRPr="00A70426" w:rsidRDefault="00D95927" w:rsidP="00A70426">
      <w:pPr>
        <w:numPr>
          <w:ilvl w:val="0"/>
          <w:numId w:val="1"/>
        </w:numPr>
        <w:tabs>
          <w:tab w:val="left" w:pos="567"/>
          <w:tab w:val="left" w:pos="1134"/>
          <w:tab w:val="left" w:pos="5387"/>
        </w:tabs>
        <w:ind w:left="1134" w:hanging="567"/>
        <w:contextualSpacing/>
        <w:rPr>
          <w:rFonts w:cs="Arial"/>
          <w:highlight w:val="lightGray"/>
          <w:u w:val="single"/>
        </w:rPr>
      </w:pPr>
      <w:r>
        <w:rPr>
          <w:highlight w:val="lightGray"/>
          <w:u w:val="single"/>
        </w:rPr>
        <w:t>e</w:t>
      </w:r>
      <w:r w:rsidR="00A70426">
        <w:rPr>
          <w:highlight w:val="lightGray"/>
          <w:u w:val="single"/>
        </w:rPr>
        <w:t>l proyecto de directrices de examen se distribuye a los miembros del TC para que lo aprueben por correspondencia</w:t>
      </w:r>
      <w:r w:rsidR="00524FE9">
        <w:rPr>
          <w:highlight w:val="lightGray"/>
          <w:u w:val="single"/>
        </w:rPr>
        <w:t>, junto con las recomendaciones del TC-EDC</w:t>
      </w:r>
      <w:r w:rsidR="00A70426">
        <w:rPr>
          <w:highlight w:val="lightGray"/>
          <w:u w:val="single"/>
        </w:rPr>
        <w:t>;</w:t>
      </w:r>
    </w:p>
    <w:p w:rsidR="00A70426" w:rsidRPr="00A70426" w:rsidRDefault="00D95927" w:rsidP="00A70426">
      <w:pPr>
        <w:numPr>
          <w:ilvl w:val="0"/>
          <w:numId w:val="1"/>
        </w:numPr>
        <w:tabs>
          <w:tab w:val="left" w:pos="567"/>
          <w:tab w:val="left" w:pos="1134"/>
          <w:tab w:val="left" w:pos="5387"/>
        </w:tabs>
        <w:ind w:left="1134" w:hanging="567"/>
        <w:contextualSpacing/>
        <w:rPr>
          <w:rFonts w:cs="Arial"/>
          <w:highlight w:val="lightGray"/>
          <w:u w:val="single"/>
        </w:rPr>
      </w:pPr>
      <w:r>
        <w:rPr>
          <w:highlight w:val="lightGray"/>
          <w:u w:val="single"/>
        </w:rPr>
        <w:t>s</w:t>
      </w:r>
      <w:r w:rsidR="00A70426">
        <w:rPr>
          <w:highlight w:val="lightGray"/>
          <w:u w:val="single"/>
        </w:rPr>
        <w:t xml:space="preserve">i en un plazo de seis semanas no se han recibido observaciones, </w:t>
      </w:r>
      <w:r w:rsidR="00813A17">
        <w:rPr>
          <w:highlight w:val="lightGray"/>
          <w:u w:val="single"/>
        </w:rPr>
        <w:t>el proyecto de directrices de examen se considerará aprobado</w:t>
      </w:r>
      <w:r w:rsidR="00A70426">
        <w:rPr>
          <w:highlight w:val="lightGray"/>
          <w:u w:val="single"/>
        </w:rPr>
        <w:t>;</w:t>
      </w:r>
    </w:p>
    <w:p w:rsidR="00A70426" w:rsidRPr="00A70426" w:rsidRDefault="00D95927" w:rsidP="00A70426">
      <w:pPr>
        <w:numPr>
          <w:ilvl w:val="0"/>
          <w:numId w:val="1"/>
        </w:numPr>
        <w:tabs>
          <w:tab w:val="left" w:pos="567"/>
          <w:tab w:val="left" w:pos="1134"/>
          <w:tab w:val="left" w:pos="5387"/>
        </w:tabs>
        <w:ind w:left="1134" w:hanging="567"/>
        <w:contextualSpacing/>
        <w:rPr>
          <w:rFonts w:cs="Arial"/>
          <w:highlight w:val="lightGray"/>
          <w:u w:val="single"/>
        </w:rPr>
      </w:pPr>
      <w:r>
        <w:rPr>
          <w:highlight w:val="lightGray"/>
          <w:u w:val="single"/>
        </w:rPr>
        <w:t>e</w:t>
      </w:r>
      <w:r w:rsidR="00A70426">
        <w:rPr>
          <w:highlight w:val="lightGray"/>
          <w:u w:val="single"/>
        </w:rPr>
        <w:t>n caso de recibi</w:t>
      </w:r>
      <w:r w:rsidR="00576AA5">
        <w:rPr>
          <w:highlight w:val="lightGray"/>
          <w:u w:val="single"/>
        </w:rPr>
        <w:t>rse</w:t>
      </w:r>
      <w:r w:rsidR="00A70426">
        <w:rPr>
          <w:highlight w:val="lightGray"/>
          <w:u w:val="single"/>
        </w:rPr>
        <w:t xml:space="preserve"> observaciones, </w:t>
      </w:r>
      <w:r w:rsidR="00813A17">
        <w:rPr>
          <w:highlight w:val="lightGray"/>
          <w:u w:val="single"/>
        </w:rPr>
        <w:t>el proyecto de directrices de examen se remit</w:t>
      </w:r>
      <w:r w:rsidR="00ED50F9">
        <w:rPr>
          <w:highlight w:val="lightGray"/>
          <w:u w:val="single"/>
        </w:rPr>
        <w:t>e</w:t>
      </w:r>
      <w:r w:rsidR="00A70426">
        <w:rPr>
          <w:highlight w:val="lightGray"/>
          <w:u w:val="single"/>
        </w:rPr>
        <w:t xml:space="preserve"> a los TWP pertinentes a fin de que analicen dichas observaciones.</w:t>
      </w:r>
    </w:p>
    <w:p w:rsidR="00A70426" w:rsidRPr="00A70426" w:rsidRDefault="00A70426" w:rsidP="00A70426"/>
    <w:p w:rsidR="00A70426" w:rsidRPr="00A70426" w:rsidRDefault="00A70426" w:rsidP="00A70426">
      <w:r>
        <w:t>2.2.8.2</w:t>
      </w:r>
      <w:r>
        <w:tab/>
        <w:t>Si el Comité Técnico aprueba las directrices de examen, la Oficina hará todas las enmiendas acordadas por el Comité Técnico, que se registrarán en un informe de la sesión del Comité Técnico pertinente.</w:t>
      </w:r>
      <w:r w:rsidR="00533A68">
        <w:t xml:space="preserve"> </w:t>
      </w:r>
      <w:r>
        <w:t xml:space="preserve">A continuación, la Oficina publicará las directrices de examen aprobadas. </w:t>
      </w:r>
    </w:p>
    <w:p w:rsidR="00A70426" w:rsidRPr="00A70426" w:rsidRDefault="00A70426" w:rsidP="00A70426">
      <w:pPr>
        <w:rPr>
          <w:strike/>
        </w:rPr>
      </w:pPr>
    </w:p>
    <w:p w:rsidR="00A70426" w:rsidRPr="00A70426" w:rsidRDefault="00A70426" w:rsidP="00A70426">
      <w:pPr>
        <w:rPr>
          <w:strike/>
        </w:rPr>
      </w:pPr>
      <w:r>
        <w:rPr>
          <w:strike/>
          <w:highlight w:val="lightGray"/>
        </w:rPr>
        <w:t>2.2.8.3</w:t>
      </w:r>
      <w:r w:rsidRPr="00AE07D4">
        <w:rPr>
          <w:strike/>
          <w:highlight w:val="lightGray"/>
        </w:rPr>
        <w:tab/>
      </w:r>
      <w:r>
        <w:rPr>
          <w:strike/>
          <w:highlight w:val="lightGray"/>
        </w:rPr>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w:t>
      </w:r>
      <w:r w:rsidRPr="00ED50F9">
        <w:rPr>
          <w:strike/>
          <w:highlight w:val="lightGray"/>
        </w:rPr>
        <w:t>.</w:t>
      </w:r>
      <w:r w:rsidR="00533A68">
        <w:rPr>
          <w:strike/>
          <w:highlight w:val="lightGray"/>
        </w:rPr>
        <w:t xml:space="preserve"> </w:t>
      </w:r>
      <w:r>
        <w:rPr>
          <w:strike/>
          <w:highlight w:val="lightGray"/>
        </w:rPr>
        <w:t>En los casos en que la información necesaria no se presente en dicho plazo, las directrices de examen correspondientes no serán aprobadas y volverán a presentarse al TWP pertinente (Etapa 4).</w:t>
      </w:r>
      <w:r>
        <w:rPr>
          <w:strike/>
        </w:rPr>
        <w:t xml:space="preserve"> </w:t>
      </w:r>
    </w:p>
    <w:p w:rsidR="00A70426" w:rsidRPr="00A70426" w:rsidRDefault="00A70426" w:rsidP="00A70426"/>
    <w:p w:rsidR="00A70426" w:rsidRPr="00A70426" w:rsidRDefault="00A70426" w:rsidP="00A70426"/>
    <w:p w:rsidR="00A70426" w:rsidRPr="00A70426" w:rsidRDefault="0097753B" w:rsidP="00A70426">
      <w:pPr>
        <w:keepLines/>
        <w:tabs>
          <w:tab w:val="left" w:pos="5387"/>
        </w:tabs>
        <w:ind w:left="4820"/>
        <w:rPr>
          <w:i/>
        </w:rPr>
      </w:pPr>
      <w:r w:rsidRPr="00A70426">
        <w:rPr>
          <w:i/>
        </w:rPr>
        <w:fldChar w:fldCharType="begin"/>
      </w:r>
      <w:r w:rsidR="00A70426" w:rsidRPr="00A70426">
        <w:rPr>
          <w:i/>
        </w:rPr>
        <w:instrText xml:space="preserve"> AUTONUM  </w:instrText>
      </w:r>
      <w:r w:rsidRPr="00A70426">
        <w:rPr>
          <w:i/>
        </w:rPr>
        <w:fldChar w:fldCharType="end"/>
      </w:r>
      <w:r w:rsidR="00A70426">
        <w:tab/>
      </w:r>
      <w:r w:rsidR="00A70426">
        <w:rPr>
          <w:i/>
        </w:rPr>
        <w:t>Se invita al TC a examinar la propuesta de revisión del documento TGP/7 “Elaboración de las directrices de examen” a fin de que incluya la introducción de un procedimiento para aprobar directrices de examen por correspondencia, según se expone en e</w:t>
      </w:r>
      <w:r w:rsidR="00A70426" w:rsidRPr="003F6CDE">
        <w:rPr>
          <w:i/>
        </w:rPr>
        <w:t>l párrafo 14 del</w:t>
      </w:r>
      <w:r w:rsidR="00A70426">
        <w:rPr>
          <w:i/>
        </w:rPr>
        <w:t xml:space="preserve"> presente documento.</w:t>
      </w:r>
    </w:p>
    <w:p w:rsidR="00A70426" w:rsidRPr="00A70426" w:rsidRDefault="00A70426" w:rsidP="00A70426"/>
    <w:p w:rsidR="00A70426" w:rsidRPr="00A70426" w:rsidRDefault="00A70426" w:rsidP="00A70426">
      <w:pPr>
        <w:jc w:val="left"/>
      </w:pPr>
    </w:p>
    <w:p w:rsidR="00A70426" w:rsidRPr="00A70426" w:rsidRDefault="00A70426" w:rsidP="00A70426"/>
    <w:p w:rsidR="00A70426" w:rsidRPr="00A70426" w:rsidRDefault="00A70426" w:rsidP="00A70426">
      <w:pPr>
        <w:jc w:val="right"/>
      </w:pPr>
      <w:r>
        <w:t>[Sigue el Anexo]</w:t>
      </w:r>
    </w:p>
    <w:p w:rsidR="00A70426" w:rsidRPr="00A70426" w:rsidRDefault="00A70426" w:rsidP="00A70426">
      <w:pPr>
        <w:jc w:val="left"/>
        <w:sectPr w:rsidR="00A70426" w:rsidRPr="00A70426" w:rsidSect="00906DDC">
          <w:headerReference w:type="default" r:id="rId9"/>
          <w:pgSz w:w="11907" w:h="16840" w:code="9"/>
          <w:pgMar w:top="510" w:right="1134" w:bottom="1134" w:left="1134" w:header="510" w:footer="680" w:gutter="0"/>
          <w:cols w:space="720"/>
          <w:titlePg/>
        </w:sectPr>
      </w:pPr>
    </w:p>
    <w:p w:rsidR="00A70426" w:rsidRPr="00A70426" w:rsidRDefault="00A70426" w:rsidP="00A70426">
      <w:pPr>
        <w:jc w:val="left"/>
      </w:pPr>
    </w:p>
    <w:p w:rsidR="00A70426" w:rsidRPr="00A70426" w:rsidRDefault="00A70426" w:rsidP="00A70426">
      <w:pPr>
        <w:jc w:val="left"/>
      </w:pPr>
      <w:r>
        <w:t>EXTRACTO DE LA SECCIÓN 2.2 “PROCEDIMIENTO PARA INTRODUCIR DIRECTRICES DE EXAMEN” DEL DOCUMENTO TGP/7 “ELABORACIÓN DE LAS DIRECTRICES DE EXAMEN”</w:t>
      </w:r>
    </w:p>
    <w:p w:rsidR="00A70426" w:rsidRPr="00A70426" w:rsidRDefault="00A70426" w:rsidP="00A70426">
      <w:pPr>
        <w:jc w:val="left"/>
      </w:pPr>
    </w:p>
    <w:p w:rsidR="00A70426" w:rsidRPr="00A70426" w:rsidRDefault="00A70426" w:rsidP="00A70426">
      <w:pPr>
        <w:ind w:left="1134" w:hanging="1134"/>
        <w:rPr>
          <w:u w:val="single"/>
        </w:rPr>
      </w:pPr>
    </w:p>
    <w:p w:rsidR="00A70426" w:rsidRPr="00A70426" w:rsidRDefault="00A70426" w:rsidP="00A70426">
      <w:pPr>
        <w:rPr>
          <w:u w:val="single"/>
        </w:rPr>
      </w:pPr>
      <w:bookmarkStart w:id="11" w:name="_Toc505352365"/>
      <w:bookmarkStart w:id="12" w:name="_Toc27819292"/>
      <w:bookmarkStart w:id="13" w:name="_Toc27819473"/>
      <w:bookmarkStart w:id="14" w:name="_Toc27819654"/>
      <w:r>
        <w:rPr>
          <w:u w:val="single"/>
        </w:rPr>
        <w:t>2.2.7</w:t>
      </w:r>
      <w:r w:rsidRPr="00AE07D4">
        <w:rPr>
          <w:u w:val="single"/>
        </w:rPr>
        <w:tab/>
      </w:r>
      <w:r w:rsidRPr="00AE07D4">
        <w:rPr>
          <w:u w:val="single"/>
          <w:bdr w:val="single" w:sz="4" w:space="0" w:color="auto"/>
        </w:rPr>
        <w:t>ETAPA 7</w:t>
      </w:r>
      <w:r w:rsidRPr="00AE07D4">
        <w:rPr>
          <w:u w:val="single"/>
        </w:rPr>
        <w:tab/>
      </w:r>
      <w:r>
        <w:rPr>
          <w:u w:val="single"/>
        </w:rPr>
        <w:t>Examen del proyecto de directrices de examen por parte del Comité de Redacción</w:t>
      </w:r>
      <w:bookmarkEnd w:id="11"/>
      <w:bookmarkEnd w:id="12"/>
      <w:bookmarkEnd w:id="13"/>
      <w:bookmarkEnd w:id="14"/>
      <w:r w:rsidR="00533A68">
        <w:rPr>
          <w:u w:val="single"/>
        </w:rPr>
        <w:t xml:space="preserve"> </w:t>
      </w:r>
    </w:p>
    <w:p w:rsidR="00A70426" w:rsidRPr="00A70426" w:rsidRDefault="00A70426" w:rsidP="00A70426">
      <w:pPr>
        <w:rPr>
          <w:u w:val="single"/>
        </w:rPr>
      </w:pPr>
    </w:p>
    <w:p w:rsidR="00A70426" w:rsidRPr="00A70426" w:rsidRDefault="00A70426" w:rsidP="00A70426">
      <w:r>
        <w:t>2.2.7.1</w:t>
      </w:r>
      <w:r>
        <w:tab/>
        <w:t>El TC-EDC fue creado por el Comité Técnico con el propósito de examinar los proyectos de todas las directrices de examen elaborados por los TWP antes de somete</w:t>
      </w:r>
      <w:r w:rsidR="00D167FD">
        <w:t>rlos a la aprobación del Comité </w:t>
      </w:r>
      <w:r>
        <w:t>Técnico.</w:t>
      </w:r>
      <w:r w:rsidR="00533A68">
        <w:t xml:space="preserve"> </w:t>
      </w:r>
      <w:r>
        <w:t>La función del TC-EDC es garantizar que las directrices de examen sean coherentes con los requisitos del documento TGP/7 y comprobar la sintonía de los textos en to</w:t>
      </w:r>
      <w:r w:rsidR="00D167FD">
        <w:t>dos los idiomas oficiales de la </w:t>
      </w:r>
      <w:r>
        <w:t>UPOV.</w:t>
      </w:r>
      <w:r w:rsidR="00533A68">
        <w:t xml:space="preserve"> </w:t>
      </w:r>
      <w:r>
        <w:t>El TC-EDC no lleva a cabo un examen profundo de las cuestiones técnicas de las directrices de examen.</w:t>
      </w:r>
      <w:r w:rsidR="00533A68">
        <w:t xml:space="preserve"> </w:t>
      </w:r>
      <w:r>
        <w:t>Los miembros del TC-EDC son seleccionados por el TC, tanto para ofrecer una vasta experiencia del sistema de la UPOV como para representar los idiomas de la UPOV, es decir, español, alemán, francés e inglés.</w:t>
      </w:r>
      <w:r w:rsidR="00533A68">
        <w:t xml:space="preserve"> </w:t>
      </w:r>
      <w:r>
        <w:t>La presidencia del TC-EDC es ejercida por la Secretaría de la UPOV.</w:t>
      </w:r>
    </w:p>
    <w:p w:rsidR="00A70426" w:rsidRPr="00A70426" w:rsidRDefault="00A70426" w:rsidP="00A70426"/>
    <w:p w:rsidR="00A70426" w:rsidRPr="00A70426" w:rsidRDefault="00A70426" w:rsidP="00A70426">
      <w:r>
        <w:t>2.2.7.2</w:t>
      </w:r>
      <w:r>
        <w:tab/>
        <w:t xml:space="preserve">Si Comité de Redacción revisa el proyecto de directrices de examen tomando en consideración las instrucciones específicas que recibe del Comité Técnico y formula asimismo recomendaciones sobre la conveniencia de aprobarlas (Etapa 8). Asimismo, puede proponer al Comité Técnico que apruebe las directrices de examen tras realizar las enmiendas de redacción que considere necesarias. </w:t>
      </w:r>
    </w:p>
    <w:p w:rsidR="00A70426" w:rsidRPr="00A70426" w:rsidRDefault="00A70426" w:rsidP="00A70426"/>
    <w:p w:rsidR="00A70426" w:rsidRPr="00A70426" w:rsidRDefault="00A70426" w:rsidP="00A70426">
      <w:r>
        <w:t>2.2.7.3</w:t>
      </w:r>
      <w:r>
        <w:tab/>
        <w:t>Si el Comité de Redacción considera que deben resolverse cuestiones técnicas, podrá buscar resolver esas cuestiones con el experto principal antes del examen de las directrices de examen por parte del Comité Técnico.</w:t>
      </w:r>
      <w:r w:rsidR="00533A68">
        <w:t xml:space="preserve"> </w:t>
      </w:r>
      <w:r>
        <w:t>En los casos en que esto no sea posible, el Comité de Redacción podrá recomendar que el Comité Técnico:</w:t>
      </w:r>
    </w:p>
    <w:p w:rsidR="00A70426" w:rsidRPr="00A70426" w:rsidRDefault="00A70426" w:rsidP="00A70426"/>
    <w:p w:rsidR="00A70426" w:rsidRPr="00A70426" w:rsidRDefault="00A70426" w:rsidP="00A70426">
      <w:r>
        <w:tab/>
        <w:t>a)</w:t>
      </w:r>
      <w:r>
        <w:tab/>
        <w:t xml:space="preserve">remita las directrices de examen al TWP (etapa 4) o </w:t>
      </w:r>
    </w:p>
    <w:p w:rsidR="00A70426" w:rsidRPr="00A70426" w:rsidRDefault="00A70426" w:rsidP="00A70426">
      <w:r>
        <w:tab/>
        <w:t>b)</w:t>
      </w:r>
      <w:r>
        <w:tab/>
        <w:t>apruebe las directrices de examen a condición de que el experto principal presente información adicional aprobada por todos los expertos interesados y el Presidente del TWP pertinente.</w:t>
      </w:r>
    </w:p>
    <w:p w:rsidR="00A70426" w:rsidRPr="00A70426" w:rsidRDefault="00A70426" w:rsidP="00A70426"/>
    <w:p w:rsidR="00A70426" w:rsidRPr="00A70426" w:rsidRDefault="00A70426" w:rsidP="00A70426">
      <w:pPr>
        <w:rPr>
          <w:u w:val="single"/>
        </w:rPr>
      </w:pPr>
      <w:bookmarkStart w:id="15" w:name="_Toc27819293"/>
      <w:bookmarkStart w:id="16" w:name="_Toc27819474"/>
      <w:bookmarkStart w:id="17" w:name="_Toc27819655"/>
      <w:bookmarkStart w:id="18" w:name="_Toc505352366"/>
      <w:r>
        <w:rPr>
          <w:u w:val="single"/>
        </w:rPr>
        <w:t>2.2.8</w:t>
      </w:r>
      <w:r w:rsidRPr="00AE07D4">
        <w:rPr>
          <w:u w:val="single"/>
        </w:rPr>
        <w:tab/>
      </w:r>
      <w:r w:rsidRPr="00AE07D4">
        <w:rPr>
          <w:u w:val="single"/>
          <w:bdr w:val="single" w:sz="4" w:space="0" w:color="auto"/>
        </w:rPr>
        <w:t>ETAPA 8</w:t>
      </w:r>
      <w:r w:rsidRPr="00AE07D4">
        <w:rPr>
          <w:u w:val="single"/>
        </w:rPr>
        <w:tab/>
        <w:t>Aprobación del proyecto de directrices de examen por parte del Comité Técnico</w:t>
      </w:r>
      <w:bookmarkEnd w:id="15"/>
      <w:bookmarkEnd w:id="16"/>
      <w:bookmarkEnd w:id="17"/>
      <w:bookmarkEnd w:id="18"/>
      <w:r w:rsidR="00533A68" w:rsidRPr="00AE07D4">
        <w:rPr>
          <w:u w:val="single"/>
        </w:rPr>
        <w:t xml:space="preserve"> </w:t>
      </w:r>
    </w:p>
    <w:p w:rsidR="00A70426" w:rsidRPr="00A70426" w:rsidRDefault="00A70426" w:rsidP="00A70426"/>
    <w:p w:rsidR="00A70426" w:rsidRPr="00A70426" w:rsidRDefault="00A70426" w:rsidP="00A70426">
      <w:r>
        <w:t>2.2.8.1</w:t>
      </w:r>
      <w:r>
        <w:tab/>
        <w:t>Basándose en las recomendaciones del Comité de Redacción, el Comité Técnico decidirá si aprueba las directrices de examen o las remite de vuelta al TWP que corresponda.</w:t>
      </w:r>
    </w:p>
    <w:p w:rsidR="00A70426" w:rsidRPr="00A70426" w:rsidRDefault="00A70426" w:rsidP="00A70426"/>
    <w:p w:rsidR="00A70426" w:rsidRPr="00A70426" w:rsidRDefault="00A70426" w:rsidP="00A70426">
      <w:r>
        <w:t>2.2.8.2</w:t>
      </w:r>
      <w:r>
        <w:tab/>
        <w:t>Si el Comité Técnico aprueba las directrices de examen, la Oficina hará todas las enmiendas acordadas por el Comité Técnico, que se registrarán en un informe de la sesión del Comité Técnico pertinente.</w:t>
      </w:r>
      <w:r w:rsidR="00533A68">
        <w:t xml:space="preserve"> </w:t>
      </w:r>
      <w:r>
        <w:t xml:space="preserve">A continuación, la Oficina publicará las directrices de examen aprobadas. </w:t>
      </w:r>
    </w:p>
    <w:p w:rsidR="00A70426" w:rsidRPr="00A70426" w:rsidRDefault="00A70426" w:rsidP="00A70426">
      <w:pPr>
        <w:rPr>
          <w:strike/>
        </w:rPr>
      </w:pPr>
    </w:p>
    <w:p w:rsidR="00050E16" w:rsidRDefault="00A70426" w:rsidP="00A70426">
      <w:r>
        <w:t>2.2.8.3</w:t>
      </w:r>
      <w:r>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w:t>
      </w:r>
      <w:r w:rsidR="00533A68">
        <w:t xml:space="preserve"> </w:t>
      </w:r>
      <w:r>
        <w:t>En los casos en que la información necesaria no se presente en dicho plazo, las directrices de examen correspondientes no serán aprobadas y volverán a presentarse al TWP pertinente (Etapa 4).</w:t>
      </w:r>
    </w:p>
    <w:p w:rsidR="00AE07D4" w:rsidRDefault="00AE07D4" w:rsidP="00A70426"/>
    <w:p w:rsidR="00AE07D4" w:rsidRDefault="00AE07D4" w:rsidP="00A70426"/>
    <w:p w:rsidR="00AE07D4" w:rsidRDefault="00AE07D4" w:rsidP="00A70426"/>
    <w:p w:rsidR="00A70426" w:rsidRPr="00A70426" w:rsidRDefault="00A70426" w:rsidP="00AE07D4">
      <w:pPr>
        <w:jc w:val="right"/>
      </w:pPr>
      <w:r>
        <w:t>[Fin del Anexo y del documento]</w:t>
      </w:r>
    </w:p>
    <w:sectPr w:rsidR="00A70426" w:rsidRPr="00A70426"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3E6" w:rsidRDefault="005B73E6" w:rsidP="006655D3">
      <w:r>
        <w:separator/>
      </w:r>
    </w:p>
    <w:p w:rsidR="005B73E6" w:rsidRDefault="005B73E6" w:rsidP="006655D3"/>
    <w:p w:rsidR="005B73E6" w:rsidRDefault="005B73E6" w:rsidP="006655D3"/>
  </w:endnote>
  <w:endnote w:type="continuationSeparator" w:id="0">
    <w:p w:rsidR="005B73E6" w:rsidRDefault="005B73E6" w:rsidP="006655D3">
      <w:r>
        <w:separator/>
      </w:r>
    </w:p>
    <w:p w:rsidR="005B73E6" w:rsidRPr="00294751" w:rsidRDefault="005B73E6">
      <w:pPr>
        <w:pStyle w:val="Footer"/>
        <w:spacing w:after="60"/>
        <w:rPr>
          <w:sz w:val="18"/>
          <w:lang w:val="fr-FR"/>
        </w:rPr>
      </w:pPr>
      <w:r w:rsidRPr="00294751">
        <w:rPr>
          <w:sz w:val="18"/>
          <w:lang w:val="fr-FR"/>
        </w:rPr>
        <w:t>[Suite de la note de la page précédente]</w:t>
      </w:r>
    </w:p>
    <w:p w:rsidR="005B73E6" w:rsidRPr="00294751" w:rsidRDefault="005B73E6" w:rsidP="006655D3">
      <w:pPr>
        <w:rPr>
          <w:lang w:val="fr-FR"/>
        </w:rPr>
      </w:pPr>
    </w:p>
    <w:p w:rsidR="005B73E6" w:rsidRPr="00294751" w:rsidRDefault="005B73E6" w:rsidP="006655D3">
      <w:pPr>
        <w:rPr>
          <w:lang w:val="fr-FR"/>
        </w:rPr>
      </w:pPr>
    </w:p>
  </w:endnote>
  <w:endnote w:type="continuationNotice" w:id="1">
    <w:p w:rsidR="005B73E6" w:rsidRPr="00294751" w:rsidRDefault="005B73E6" w:rsidP="006655D3">
      <w:pPr>
        <w:rPr>
          <w:lang w:val="fr-FR"/>
        </w:rPr>
      </w:pPr>
      <w:r w:rsidRPr="00294751">
        <w:rPr>
          <w:lang w:val="fr-FR"/>
        </w:rPr>
        <w:t>[Suite de la note page suivante]</w:t>
      </w:r>
    </w:p>
    <w:p w:rsidR="005B73E6" w:rsidRPr="00294751" w:rsidRDefault="005B73E6" w:rsidP="006655D3">
      <w:pPr>
        <w:rPr>
          <w:lang w:val="fr-FR"/>
        </w:rPr>
      </w:pPr>
    </w:p>
    <w:p w:rsidR="005B73E6" w:rsidRPr="00294751" w:rsidRDefault="005B73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3E6" w:rsidRDefault="005B73E6" w:rsidP="006655D3">
      <w:r>
        <w:separator/>
      </w:r>
    </w:p>
  </w:footnote>
  <w:footnote w:type="continuationSeparator" w:id="0">
    <w:p w:rsidR="005B73E6" w:rsidRDefault="005B73E6" w:rsidP="006655D3">
      <w:r>
        <w:separator/>
      </w:r>
    </w:p>
  </w:footnote>
  <w:footnote w:type="continuationNotice" w:id="1">
    <w:p w:rsidR="005B73E6" w:rsidRPr="00AB530F" w:rsidRDefault="005B73E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26" w:rsidRPr="000C13E4" w:rsidRDefault="00A70426" w:rsidP="000C13E4">
    <w:pPr>
      <w:pStyle w:val="Header"/>
      <w:rPr>
        <w:rStyle w:val="PageNumber"/>
      </w:rPr>
    </w:pPr>
    <w:r>
      <w:rPr>
        <w:rStyle w:val="PageNumber"/>
      </w:rPr>
      <w:t>TC/54/16</w:t>
    </w:r>
  </w:p>
  <w:p w:rsidR="00A70426" w:rsidRPr="000C13E4" w:rsidRDefault="00A70426" w:rsidP="000C13E4">
    <w:pPr>
      <w:pStyle w:val="Header"/>
    </w:pPr>
    <w:proofErr w:type="gramStart"/>
    <w:r>
      <w:t>página</w:t>
    </w:r>
    <w:proofErr w:type="gramEnd"/>
    <w:r>
      <w:t xml:space="preserve"> </w:t>
    </w:r>
    <w:r w:rsidR="0097753B" w:rsidRPr="000C13E4">
      <w:rPr>
        <w:rStyle w:val="PageNumber"/>
      </w:rPr>
      <w:fldChar w:fldCharType="begin"/>
    </w:r>
    <w:r w:rsidRPr="000C13E4">
      <w:rPr>
        <w:rStyle w:val="PageNumber"/>
      </w:rPr>
      <w:instrText xml:space="preserve"> PAGE </w:instrText>
    </w:r>
    <w:r w:rsidR="0097753B" w:rsidRPr="000C13E4">
      <w:rPr>
        <w:rStyle w:val="PageNumber"/>
      </w:rPr>
      <w:fldChar w:fldCharType="separate"/>
    </w:r>
    <w:r w:rsidR="003F6CDE">
      <w:rPr>
        <w:rStyle w:val="PageNumber"/>
        <w:noProof/>
      </w:rPr>
      <w:t>4</w:t>
    </w:r>
    <w:r w:rsidR="0097753B" w:rsidRPr="000C13E4">
      <w:rPr>
        <w:rStyle w:val="PageNumber"/>
      </w:rPr>
      <w:fldChar w:fldCharType="end"/>
    </w:r>
  </w:p>
  <w:p w:rsidR="00A70426" w:rsidRPr="000C13E4" w:rsidRDefault="00A70426" w:rsidP="000C13E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5A1EC1" w:rsidP="000A23DC">
    <w:pPr>
      <w:pStyle w:val="Header"/>
      <w:rPr>
        <w:rStyle w:val="PageNumber"/>
      </w:rPr>
    </w:pPr>
    <w:r>
      <w:rPr>
        <w:rStyle w:val="PageNumber"/>
      </w:rPr>
      <w:t>TC/54/</w:t>
    </w:r>
  </w:p>
  <w:p w:rsidR="00182B99" w:rsidRPr="00202E38" w:rsidRDefault="008B3D8D" w:rsidP="008B3D8D">
    <w:pPr>
      <w:pStyle w:val="Header"/>
    </w:pPr>
    <w:proofErr w:type="gramStart"/>
    <w:r>
      <w:t>página</w:t>
    </w:r>
    <w:proofErr w:type="gramEnd"/>
    <w:r>
      <w:t xml:space="preserve"> </w:t>
    </w:r>
    <w:r w:rsidR="0097753B" w:rsidRPr="00202E38">
      <w:rPr>
        <w:rStyle w:val="PageNumber"/>
      </w:rPr>
      <w:fldChar w:fldCharType="begin"/>
    </w:r>
    <w:r w:rsidR="00182B99" w:rsidRPr="00202E38">
      <w:rPr>
        <w:rStyle w:val="PageNumber"/>
      </w:rPr>
      <w:instrText xml:space="preserve"> PAGE </w:instrText>
    </w:r>
    <w:r w:rsidR="0097753B" w:rsidRPr="00202E38">
      <w:rPr>
        <w:rStyle w:val="PageNumber"/>
      </w:rPr>
      <w:fldChar w:fldCharType="separate"/>
    </w:r>
    <w:r w:rsidR="000A23DC">
      <w:rPr>
        <w:rStyle w:val="PageNumber"/>
        <w:noProof/>
      </w:rPr>
      <w:t>2</w:t>
    </w:r>
    <w:r w:rsidR="0097753B" w:rsidRPr="00202E38">
      <w:rPr>
        <w:rStyle w:val="PageNumber"/>
      </w:rPr>
      <w:fldChar w:fldCharType="end"/>
    </w:r>
  </w:p>
  <w:p w:rsidR="00182B99" w:rsidRPr="00202E38"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26" w:rsidRPr="00A70426" w:rsidRDefault="00A70426" w:rsidP="00A70426">
    <w:pPr>
      <w:pStyle w:val="Header"/>
    </w:pPr>
    <w:r>
      <w:t>TC/54/16</w:t>
    </w:r>
  </w:p>
  <w:p w:rsidR="00A70426" w:rsidRPr="00A70426" w:rsidRDefault="00A70426" w:rsidP="00A70426">
    <w:pPr>
      <w:pStyle w:val="Header"/>
    </w:pPr>
  </w:p>
  <w:p w:rsidR="00A70426" w:rsidRPr="00A70426" w:rsidRDefault="00A70426" w:rsidP="00A70426">
    <w:pPr>
      <w:pStyle w:val="Header"/>
    </w:pPr>
    <w:r>
      <w:t>ANEXO</w:t>
    </w:r>
  </w:p>
  <w:p w:rsidR="00A70426" w:rsidRPr="00A70426" w:rsidRDefault="00A704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284998"/>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26"/>
    <w:rsid w:val="00010CF3"/>
    <w:rsid w:val="00011E27"/>
    <w:rsid w:val="000148BC"/>
    <w:rsid w:val="00024AB8"/>
    <w:rsid w:val="00030854"/>
    <w:rsid w:val="00036028"/>
    <w:rsid w:val="00044642"/>
    <w:rsid w:val="000446B9"/>
    <w:rsid w:val="00047E21"/>
    <w:rsid w:val="00050E16"/>
    <w:rsid w:val="00055276"/>
    <w:rsid w:val="000638A9"/>
    <w:rsid w:val="00081EC7"/>
    <w:rsid w:val="00085505"/>
    <w:rsid w:val="000A23DC"/>
    <w:rsid w:val="000C13E4"/>
    <w:rsid w:val="000C4E25"/>
    <w:rsid w:val="000C7021"/>
    <w:rsid w:val="000D5209"/>
    <w:rsid w:val="000D6BBC"/>
    <w:rsid w:val="000D7780"/>
    <w:rsid w:val="000E636A"/>
    <w:rsid w:val="000F2F11"/>
    <w:rsid w:val="00105929"/>
    <w:rsid w:val="00110C36"/>
    <w:rsid w:val="001131D5"/>
    <w:rsid w:val="00141DB8"/>
    <w:rsid w:val="0015432A"/>
    <w:rsid w:val="00172084"/>
    <w:rsid w:val="0017474A"/>
    <w:rsid w:val="001758C6"/>
    <w:rsid w:val="00182B99"/>
    <w:rsid w:val="001C5ACD"/>
    <w:rsid w:val="001F2DF6"/>
    <w:rsid w:val="001F64BF"/>
    <w:rsid w:val="00202E38"/>
    <w:rsid w:val="00211D04"/>
    <w:rsid w:val="0021332C"/>
    <w:rsid w:val="00213982"/>
    <w:rsid w:val="002140B5"/>
    <w:rsid w:val="00242942"/>
    <w:rsid w:val="0024416D"/>
    <w:rsid w:val="002464A3"/>
    <w:rsid w:val="00271911"/>
    <w:rsid w:val="00275E8D"/>
    <w:rsid w:val="002800A0"/>
    <w:rsid w:val="002801B3"/>
    <w:rsid w:val="00281060"/>
    <w:rsid w:val="002940E8"/>
    <w:rsid w:val="00294751"/>
    <w:rsid w:val="002A6E50"/>
    <w:rsid w:val="002B4298"/>
    <w:rsid w:val="002C153C"/>
    <w:rsid w:val="002C256A"/>
    <w:rsid w:val="002C3186"/>
    <w:rsid w:val="002E5944"/>
    <w:rsid w:val="00305A7F"/>
    <w:rsid w:val="003152FE"/>
    <w:rsid w:val="00327436"/>
    <w:rsid w:val="00344BD6"/>
    <w:rsid w:val="00345C14"/>
    <w:rsid w:val="0035528D"/>
    <w:rsid w:val="00361821"/>
    <w:rsid w:val="00361E9E"/>
    <w:rsid w:val="00374B4B"/>
    <w:rsid w:val="003B031A"/>
    <w:rsid w:val="003C7FBE"/>
    <w:rsid w:val="003D227C"/>
    <w:rsid w:val="003D2B4D"/>
    <w:rsid w:val="003F217C"/>
    <w:rsid w:val="003F6CDE"/>
    <w:rsid w:val="0040557F"/>
    <w:rsid w:val="00444A88"/>
    <w:rsid w:val="00474DA4"/>
    <w:rsid w:val="00476B4D"/>
    <w:rsid w:val="004805FA"/>
    <w:rsid w:val="004862D4"/>
    <w:rsid w:val="004935D2"/>
    <w:rsid w:val="004B1215"/>
    <w:rsid w:val="004C27BA"/>
    <w:rsid w:val="004D047D"/>
    <w:rsid w:val="004F1E9E"/>
    <w:rsid w:val="004F305A"/>
    <w:rsid w:val="004F41B3"/>
    <w:rsid w:val="00512164"/>
    <w:rsid w:val="00514134"/>
    <w:rsid w:val="00520297"/>
    <w:rsid w:val="00524FE9"/>
    <w:rsid w:val="005338F9"/>
    <w:rsid w:val="00533A68"/>
    <w:rsid w:val="0054281C"/>
    <w:rsid w:val="00544581"/>
    <w:rsid w:val="00545E42"/>
    <w:rsid w:val="0055268D"/>
    <w:rsid w:val="00576AA5"/>
    <w:rsid w:val="00576BE4"/>
    <w:rsid w:val="0059056E"/>
    <w:rsid w:val="005A1EC1"/>
    <w:rsid w:val="005A400A"/>
    <w:rsid w:val="005B73E6"/>
    <w:rsid w:val="005F7B92"/>
    <w:rsid w:val="00612379"/>
    <w:rsid w:val="006153B6"/>
    <w:rsid w:val="0061555F"/>
    <w:rsid w:val="00636CA6"/>
    <w:rsid w:val="00637EDD"/>
    <w:rsid w:val="00641200"/>
    <w:rsid w:val="00645CA8"/>
    <w:rsid w:val="006655D3"/>
    <w:rsid w:val="00667404"/>
    <w:rsid w:val="00687EB4"/>
    <w:rsid w:val="00695C56"/>
    <w:rsid w:val="006A5CDE"/>
    <w:rsid w:val="006A644A"/>
    <w:rsid w:val="006B17D2"/>
    <w:rsid w:val="006C224E"/>
    <w:rsid w:val="006D780A"/>
    <w:rsid w:val="006E4FF9"/>
    <w:rsid w:val="0071271E"/>
    <w:rsid w:val="00732DEC"/>
    <w:rsid w:val="00735BD5"/>
    <w:rsid w:val="00743B3C"/>
    <w:rsid w:val="00751613"/>
    <w:rsid w:val="007556F6"/>
    <w:rsid w:val="0076079E"/>
    <w:rsid w:val="00760EEF"/>
    <w:rsid w:val="00777EE5"/>
    <w:rsid w:val="00783722"/>
    <w:rsid w:val="00784836"/>
    <w:rsid w:val="0079023E"/>
    <w:rsid w:val="007A2854"/>
    <w:rsid w:val="007C10E1"/>
    <w:rsid w:val="007C1D92"/>
    <w:rsid w:val="007C3BF4"/>
    <w:rsid w:val="007C4CB9"/>
    <w:rsid w:val="007D0B9D"/>
    <w:rsid w:val="007D19B0"/>
    <w:rsid w:val="007F2CCE"/>
    <w:rsid w:val="007F498F"/>
    <w:rsid w:val="008052DB"/>
    <w:rsid w:val="0080679D"/>
    <w:rsid w:val="008108B0"/>
    <w:rsid w:val="00811B20"/>
    <w:rsid w:val="00813A17"/>
    <w:rsid w:val="008211B5"/>
    <w:rsid w:val="0082296E"/>
    <w:rsid w:val="00824099"/>
    <w:rsid w:val="008341E9"/>
    <w:rsid w:val="00834B2B"/>
    <w:rsid w:val="00846D7C"/>
    <w:rsid w:val="00864C55"/>
    <w:rsid w:val="00867AC1"/>
    <w:rsid w:val="00890DF8"/>
    <w:rsid w:val="008A743F"/>
    <w:rsid w:val="008B3D8D"/>
    <w:rsid w:val="008C0970"/>
    <w:rsid w:val="008D0BC5"/>
    <w:rsid w:val="008D2CF7"/>
    <w:rsid w:val="00900C26"/>
    <w:rsid w:val="0090197F"/>
    <w:rsid w:val="00901D67"/>
    <w:rsid w:val="00906DDC"/>
    <w:rsid w:val="00934E09"/>
    <w:rsid w:val="00936253"/>
    <w:rsid w:val="00940D46"/>
    <w:rsid w:val="00952DD4"/>
    <w:rsid w:val="0096175D"/>
    <w:rsid w:val="0096390F"/>
    <w:rsid w:val="00965AE7"/>
    <w:rsid w:val="00970FED"/>
    <w:rsid w:val="0097753B"/>
    <w:rsid w:val="00992D82"/>
    <w:rsid w:val="00997029"/>
    <w:rsid w:val="009A7339"/>
    <w:rsid w:val="009B440E"/>
    <w:rsid w:val="009D4C92"/>
    <w:rsid w:val="009D690D"/>
    <w:rsid w:val="009E65B6"/>
    <w:rsid w:val="009F24F4"/>
    <w:rsid w:val="00A24C10"/>
    <w:rsid w:val="00A33B7D"/>
    <w:rsid w:val="00A42AC3"/>
    <w:rsid w:val="00A430CF"/>
    <w:rsid w:val="00A54309"/>
    <w:rsid w:val="00A70426"/>
    <w:rsid w:val="00A706D3"/>
    <w:rsid w:val="00AA65AA"/>
    <w:rsid w:val="00AA732A"/>
    <w:rsid w:val="00AB2B93"/>
    <w:rsid w:val="00AB530F"/>
    <w:rsid w:val="00AB7E5B"/>
    <w:rsid w:val="00AC2883"/>
    <w:rsid w:val="00AD6B2A"/>
    <w:rsid w:val="00AE07D4"/>
    <w:rsid w:val="00AE0EF1"/>
    <w:rsid w:val="00AE2937"/>
    <w:rsid w:val="00B07301"/>
    <w:rsid w:val="00B11F3E"/>
    <w:rsid w:val="00B224DE"/>
    <w:rsid w:val="00B324D4"/>
    <w:rsid w:val="00B335AC"/>
    <w:rsid w:val="00B34FF2"/>
    <w:rsid w:val="00B37566"/>
    <w:rsid w:val="00B46575"/>
    <w:rsid w:val="00B50A31"/>
    <w:rsid w:val="00B61777"/>
    <w:rsid w:val="00B76D76"/>
    <w:rsid w:val="00B84BBD"/>
    <w:rsid w:val="00B92893"/>
    <w:rsid w:val="00BA43FB"/>
    <w:rsid w:val="00BA5506"/>
    <w:rsid w:val="00BC0BD4"/>
    <w:rsid w:val="00BC127D"/>
    <w:rsid w:val="00BC1FE6"/>
    <w:rsid w:val="00BC49DD"/>
    <w:rsid w:val="00BD1940"/>
    <w:rsid w:val="00C061B6"/>
    <w:rsid w:val="00C2446C"/>
    <w:rsid w:val="00C36AE5"/>
    <w:rsid w:val="00C41F17"/>
    <w:rsid w:val="00C527FA"/>
    <w:rsid w:val="00C5280D"/>
    <w:rsid w:val="00C53985"/>
    <w:rsid w:val="00C53EB3"/>
    <w:rsid w:val="00C54467"/>
    <w:rsid w:val="00C5791C"/>
    <w:rsid w:val="00C57B4A"/>
    <w:rsid w:val="00C6380F"/>
    <w:rsid w:val="00C66290"/>
    <w:rsid w:val="00C72B7A"/>
    <w:rsid w:val="00C973F2"/>
    <w:rsid w:val="00CA304C"/>
    <w:rsid w:val="00CA774A"/>
    <w:rsid w:val="00CC11B0"/>
    <w:rsid w:val="00CC2841"/>
    <w:rsid w:val="00CE49AB"/>
    <w:rsid w:val="00CF1330"/>
    <w:rsid w:val="00CF7E36"/>
    <w:rsid w:val="00D167FD"/>
    <w:rsid w:val="00D3708D"/>
    <w:rsid w:val="00D40426"/>
    <w:rsid w:val="00D551AE"/>
    <w:rsid w:val="00D57C96"/>
    <w:rsid w:val="00D57D18"/>
    <w:rsid w:val="00D77603"/>
    <w:rsid w:val="00D91203"/>
    <w:rsid w:val="00D95174"/>
    <w:rsid w:val="00D95927"/>
    <w:rsid w:val="00D97D44"/>
    <w:rsid w:val="00DA4973"/>
    <w:rsid w:val="00DA6F36"/>
    <w:rsid w:val="00DB596E"/>
    <w:rsid w:val="00DB7773"/>
    <w:rsid w:val="00DC00EA"/>
    <w:rsid w:val="00DC3802"/>
    <w:rsid w:val="00DD27B0"/>
    <w:rsid w:val="00E07D87"/>
    <w:rsid w:val="00E32F7E"/>
    <w:rsid w:val="00E40089"/>
    <w:rsid w:val="00E5267B"/>
    <w:rsid w:val="00E63C0E"/>
    <w:rsid w:val="00E713AC"/>
    <w:rsid w:val="00E72D49"/>
    <w:rsid w:val="00E7593C"/>
    <w:rsid w:val="00E7678A"/>
    <w:rsid w:val="00E935F1"/>
    <w:rsid w:val="00E94A81"/>
    <w:rsid w:val="00EA1FFB"/>
    <w:rsid w:val="00EA46E7"/>
    <w:rsid w:val="00EB048E"/>
    <w:rsid w:val="00EB4E9C"/>
    <w:rsid w:val="00EC2265"/>
    <w:rsid w:val="00ED50F9"/>
    <w:rsid w:val="00EE34DF"/>
    <w:rsid w:val="00EF0A88"/>
    <w:rsid w:val="00EF2F89"/>
    <w:rsid w:val="00F03E98"/>
    <w:rsid w:val="00F1237A"/>
    <w:rsid w:val="00F22CBD"/>
    <w:rsid w:val="00F272F1"/>
    <w:rsid w:val="00F45372"/>
    <w:rsid w:val="00F560F7"/>
    <w:rsid w:val="00F60930"/>
    <w:rsid w:val="00F6334D"/>
    <w:rsid w:val="00FA49AB"/>
    <w:rsid w:val="00FC4E41"/>
    <w:rsid w:val="00FD3F87"/>
    <w:rsid w:val="00FE2C0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A70426"/>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EF0A88"/>
    <w:pPr>
      <w:tabs>
        <w:tab w:val="right" w:leader="dot" w:pos="9639"/>
      </w:tabs>
      <w:ind w:left="993" w:hanging="993"/>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A70426"/>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EF0A88"/>
    <w:pPr>
      <w:tabs>
        <w:tab w:val="right" w:leader="dot" w:pos="9639"/>
      </w:tabs>
      <w:ind w:left="993" w:hanging="993"/>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2599</Words>
  <Characters>14141</Characters>
  <Application>Microsoft Office Word</Application>
  <DocSecurity>0</DocSecurity>
  <Lines>321</Lines>
  <Paragraphs>138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16602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TC/54/16</dc:title>
  <dc:creator>BOU LLORET Amparo</dc:creator>
  <cp:lastModifiedBy>MAY Jessica</cp:lastModifiedBy>
  <cp:revision>3</cp:revision>
  <cp:lastPrinted>2016-11-22T15:41:00Z</cp:lastPrinted>
  <dcterms:created xsi:type="dcterms:W3CDTF">2018-08-01T12:31:00Z</dcterms:created>
  <dcterms:modified xsi:type="dcterms:W3CDTF">2018-08-02T09:25:00Z</dcterms:modified>
</cp:coreProperties>
</file>