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C40C7" w:rsidTr="00EB4E9C">
        <w:tc>
          <w:tcPr>
            <w:tcW w:w="6522" w:type="dxa"/>
          </w:tcPr>
          <w:p w:rsidR="00DC3802" w:rsidRPr="009C40C7" w:rsidRDefault="00DC3802" w:rsidP="00AC2883">
            <w:pPr>
              <w:rPr>
                <w:dstrike/>
              </w:rPr>
            </w:pPr>
            <w:bookmarkStart w:id="0" w:name="_GoBack"/>
            <w:bookmarkEnd w:id="0"/>
            <w:r w:rsidRPr="00CF4D9B">
              <w:rPr>
                <w:noProof/>
                <w:lang w:val="en-US"/>
              </w:rPr>
              <w:drawing>
                <wp:inline distT="0" distB="0" distL="0" distR="0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CF4D9B" w:rsidRDefault="002E5944" w:rsidP="00AC2883">
            <w:pPr>
              <w:pStyle w:val="Lettrine"/>
            </w:pPr>
            <w:r w:rsidRPr="00CF4D9B">
              <w:t>S</w:t>
            </w:r>
          </w:p>
        </w:tc>
      </w:tr>
      <w:tr w:rsidR="00DC3802" w:rsidRPr="009C40C7" w:rsidTr="00645CA8">
        <w:trPr>
          <w:trHeight w:val="219"/>
        </w:trPr>
        <w:tc>
          <w:tcPr>
            <w:tcW w:w="6522" w:type="dxa"/>
          </w:tcPr>
          <w:p w:rsidR="00DC3802" w:rsidRPr="009C40C7" w:rsidRDefault="002E5944" w:rsidP="00BC0BD4">
            <w:pPr>
              <w:pStyle w:val="upove"/>
              <w:rPr>
                <w:dstrike/>
              </w:rPr>
            </w:pPr>
            <w:r w:rsidRPr="00CF4D9B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CF4D9B" w:rsidRDefault="00DC3802" w:rsidP="00DA4973"/>
        </w:tc>
      </w:tr>
    </w:tbl>
    <w:p w:rsidR="00DC3802" w:rsidRPr="00CF4D9B" w:rsidRDefault="00DC3802" w:rsidP="00DC3802"/>
    <w:p w:rsidR="00DA4973" w:rsidRPr="00CF4D9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C40C7" w:rsidTr="00EB4E9C">
        <w:tc>
          <w:tcPr>
            <w:tcW w:w="6512" w:type="dxa"/>
          </w:tcPr>
          <w:p w:rsidR="00EB4E9C" w:rsidRPr="00CF4D9B" w:rsidRDefault="002E5944" w:rsidP="00AC2883">
            <w:pPr>
              <w:pStyle w:val="Sessiontc"/>
              <w:spacing w:line="240" w:lineRule="auto"/>
            </w:pPr>
            <w:r w:rsidRPr="00CF4D9B">
              <w:t>Comité Técnico</w:t>
            </w:r>
          </w:p>
          <w:p w:rsidR="00EB4E9C" w:rsidRPr="009C40C7" w:rsidRDefault="002E5944" w:rsidP="005A1EC1">
            <w:pPr>
              <w:pStyle w:val="Sessiontcplacedate"/>
              <w:rPr>
                <w:dstrike/>
                <w:sz w:val="22"/>
              </w:rPr>
            </w:pPr>
            <w:r w:rsidRPr="00CF4D9B">
              <w:t xml:space="preserve">Quincuagésima </w:t>
            </w:r>
            <w:r w:rsidR="005A1EC1" w:rsidRPr="00CF4D9B">
              <w:t>cuarta</w:t>
            </w:r>
            <w:r w:rsidRPr="00CF4D9B">
              <w:t xml:space="preserve"> sesión</w:t>
            </w:r>
            <w:r w:rsidR="00EB4E9C" w:rsidRPr="00CF4D9B">
              <w:br/>
            </w:r>
            <w:r w:rsidRPr="00CF4D9B">
              <w:t>Ginebra</w:t>
            </w:r>
            <w:r w:rsidR="00582C7B" w:rsidRPr="00CF4D9B">
              <w:t>, 2</w:t>
            </w:r>
            <w:r w:rsidR="005A1EC1" w:rsidRPr="00CF4D9B">
              <w:t>9 y</w:t>
            </w:r>
            <w:r w:rsidR="00582C7B" w:rsidRPr="00CF4D9B">
              <w:t> 3</w:t>
            </w:r>
            <w:r w:rsidR="005A1EC1" w:rsidRPr="00CF4D9B">
              <w:t xml:space="preserve">0 de octubre </w:t>
            </w:r>
            <w:r w:rsidRPr="00CF4D9B">
              <w:t>de</w:t>
            </w:r>
            <w:r w:rsidR="00582C7B" w:rsidRPr="00CF4D9B">
              <w:t> 2</w:t>
            </w:r>
            <w:r w:rsidR="005A1EC1" w:rsidRPr="00CF4D9B">
              <w:t>018</w:t>
            </w:r>
          </w:p>
        </w:tc>
        <w:tc>
          <w:tcPr>
            <w:tcW w:w="3127" w:type="dxa"/>
          </w:tcPr>
          <w:p w:rsidR="00EB4E9C" w:rsidRPr="00CF4D9B" w:rsidRDefault="005A1EC1" w:rsidP="003C7FBE">
            <w:pPr>
              <w:pStyle w:val="Doccode"/>
              <w:rPr>
                <w:lang w:val="es-ES_tradnl"/>
              </w:rPr>
            </w:pPr>
            <w:r w:rsidRPr="00CF4D9B">
              <w:rPr>
                <w:lang w:val="es-ES_tradnl"/>
              </w:rPr>
              <w:t>TC/54</w:t>
            </w:r>
            <w:r w:rsidR="00EB4E9C" w:rsidRPr="00CF4D9B">
              <w:rPr>
                <w:lang w:val="es-ES_tradnl"/>
              </w:rPr>
              <w:t>/</w:t>
            </w:r>
            <w:r w:rsidR="00DD4A0D" w:rsidRPr="00CF4D9B">
              <w:rPr>
                <w:lang w:val="es-ES_tradnl"/>
              </w:rPr>
              <w:t>14</w:t>
            </w:r>
          </w:p>
          <w:p w:rsidR="00EB4E9C" w:rsidRPr="00CF4D9B" w:rsidRDefault="00EB4E9C" w:rsidP="003C7FBE">
            <w:pPr>
              <w:pStyle w:val="Docoriginal"/>
            </w:pPr>
            <w:r w:rsidRPr="00CF4D9B">
              <w:t>Original:</w:t>
            </w:r>
            <w:r w:rsidR="00225F80" w:rsidRPr="00CF4D9B">
              <w:rPr>
                <w:b w:val="0"/>
                <w:spacing w:val="0"/>
              </w:rPr>
              <w:t xml:space="preserve"> </w:t>
            </w:r>
            <w:proofErr w:type="gramStart"/>
            <w:r w:rsidR="002E5944" w:rsidRPr="00CF4D9B">
              <w:rPr>
                <w:b w:val="0"/>
                <w:spacing w:val="0"/>
              </w:rPr>
              <w:t>Inglés</w:t>
            </w:r>
            <w:proofErr w:type="gramEnd"/>
          </w:p>
          <w:p w:rsidR="00EB4E9C" w:rsidRPr="00CF4D9B" w:rsidRDefault="002E5944" w:rsidP="00135FD8">
            <w:pPr>
              <w:pStyle w:val="Docoriginal"/>
            </w:pPr>
            <w:r w:rsidRPr="00CF4D9B">
              <w:t>Fecha</w:t>
            </w:r>
            <w:r w:rsidR="00EB4E9C" w:rsidRPr="00CF4D9B">
              <w:t>:</w:t>
            </w:r>
            <w:r w:rsidR="00582C7B" w:rsidRPr="00CF4D9B">
              <w:rPr>
                <w:b w:val="0"/>
                <w:spacing w:val="0"/>
              </w:rPr>
              <w:t xml:space="preserve"> </w:t>
            </w:r>
            <w:r w:rsidR="00135FD8">
              <w:rPr>
                <w:b w:val="0"/>
                <w:spacing w:val="0"/>
              </w:rPr>
              <w:t>24 de septiembre</w:t>
            </w:r>
            <w:r w:rsidR="00EB4E9C" w:rsidRPr="00CF4D9B">
              <w:rPr>
                <w:b w:val="0"/>
                <w:spacing w:val="0"/>
              </w:rPr>
              <w:t xml:space="preserve"> </w:t>
            </w:r>
            <w:r w:rsidRPr="00CF4D9B">
              <w:rPr>
                <w:b w:val="0"/>
                <w:spacing w:val="0"/>
              </w:rPr>
              <w:t>de</w:t>
            </w:r>
            <w:r w:rsidR="00582C7B" w:rsidRPr="00CF4D9B">
              <w:rPr>
                <w:b w:val="0"/>
                <w:spacing w:val="0"/>
              </w:rPr>
              <w:t> 2</w:t>
            </w:r>
            <w:r w:rsidR="005A1EC1" w:rsidRPr="00CF4D9B">
              <w:rPr>
                <w:b w:val="0"/>
                <w:spacing w:val="0"/>
              </w:rPr>
              <w:t>018</w:t>
            </w:r>
          </w:p>
        </w:tc>
      </w:tr>
    </w:tbl>
    <w:p w:rsidR="000D7780" w:rsidRPr="006A644A" w:rsidRDefault="006351B0" w:rsidP="007F4D19">
      <w:pPr>
        <w:pStyle w:val="Titleofdoc0"/>
      </w:pPr>
      <w:bookmarkStart w:id="1" w:name="TitleOfDoc"/>
      <w:bookmarkEnd w:id="1"/>
      <w:r w:rsidRPr="007F4D19">
        <w:t>Duración de los exámenes DHE</w:t>
      </w:r>
    </w:p>
    <w:p w:rsidR="006A644A" w:rsidRPr="00CF4D9B" w:rsidRDefault="000638A9" w:rsidP="006A644A">
      <w:pPr>
        <w:pStyle w:val="preparedby1"/>
        <w:jc w:val="left"/>
      </w:pPr>
      <w:bookmarkStart w:id="2" w:name="Prepared"/>
      <w:bookmarkEnd w:id="2"/>
      <w:r w:rsidRPr="00CF4D9B">
        <w:t>Documento preparado por la Oficina de la Unión</w:t>
      </w:r>
    </w:p>
    <w:p w:rsidR="00050E16" w:rsidRPr="00CF4D9B" w:rsidRDefault="000638A9" w:rsidP="006A644A">
      <w:pPr>
        <w:pStyle w:val="Disclaimer"/>
      </w:pPr>
      <w:r w:rsidRPr="00CF4D9B">
        <w:t>Descargo de responsabilidad: el presente documento no constituye un documento de política u orientación de la UPOV</w:t>
      </w:r>
    </w:p>
    <w:p w:rsidR="00DD4A0D" w:rsidRPr="0098366C" w:rsidRDefault="006351B0" w:rsidP="00854F9B">
      <w:pPr>
        <w:pStyle w:val="Heading1"/>
        <w:rPr>
          <w:lang w:val="es-ES"/>
        </w:rPr>
      </w:pPr>
      <w:bookmarkStart w:id="3" w:name="_Toc526270400"/>
      <w:r w:rsidRPr="0098366C">
        <w:rPr>
          <w:lang w:val="es-ES"/>
        </w:rPr>
        <w:t>RESUMEN</w:t>
      </w:r>
      <w:bookmarkEnd w:id="3"/>
    </w:p>
    <w:p w:rsidR="00DD4A0D" w:rsidRPr="00BA7873" w:rsidRDefault="00DD4A0D" w:rsidP="00DD4A0D">
      <w:pPr>
        <w:autoSpaceDE w:val="0"/>
        <w:autoSpaceDN w:val="0"/>
        <w:adjustRightInd w:val="0"/>
        <w:rPr>
          <w:szCs w:val="24"/>
        </w:rPr>
      </w:pPr>
    </w:p>
    <w:p w:rsidR="00DD4A0D" w:rsidRPr="00BA7873" w:rsidRDefault="00F60E7F" w:rsidP="00DD4A0D">
      <w:pPr>
        <w:autoSpaceDE w:val="0"/>
        <w:autoSpaceDN w:val="0"/>
        <w:adjustRightInd w:val="0"/>
        <w:rPr>
          <w:rFonts w:eastAsia="MS Mincho"/>
          <w:color w:val="000000"/>
          <w:szCs w:val="24"/>
          <w:lang w:eastAsia="ja-JP"/>
        </w:rPr>
      </w:pPr>
      <w:r w:rsidRPr="00857EC8">
        <w:rPr>
          <w:szCs w:val="24"/>
        </w:rPr>
        <w:fldChar w:fldCharType="begin"/>
      </w:r>
      <w:r w:rsidR="00DD4A0D" w:rsidRPr="00BA7873">
        <w:rPr>
          <w:szCs w:val="24"/>
        </w:rPr>
        <w:instrText xml:space="preserve"> AUTONUM  </w:instrText>
      </w:r>
      <w:r w:rsidRPr="00857EC8">
        <w:rPr>
          <w:szCs w:val="24"/>
        </w:rPr>
        <w:fldChar w:fldCharType="end"/>
      </w:r>
      <w:r w:rsidR="00DD4A0D" w:rsidRPr="00BA7873">
        <w:rPr>
          <w:szCs w:val="24"/>
        </w:rPr>
        <w:tab/>
      </w:r>
      <w:r w:rsidR="006351B0" w:rsidRPr="007F4D19">
        <w:rPr>
          <w:rFonts w:cs="Arial"/>
          <w:color w:val="212121"/>
          <w:shd w:val="clear" w:color="auto" w:fill="FFFFFF"/>
        </w:rPr>
        <w:t>El presente documento tiene por objeto informar de las novedades relativas a la propuesta de modificar la orientación que figura en el documento TGP/7 sobre la duración del examen DHE.</w:t>
      </w:r>
    </w:p>
    <w:p w:rsidR="00DD4A0D" w:rsidRPr="00BA7873" w:rsidRDefault="00DD4A0D" w:rsidP="00DD4A0D">
      <w:pPr>
        <w:tabs>
          <w:tab w:val="left" w:pos="567"/>
          <w:tab w:val="left" w:pos="1134"/>
        </w:tabs>
      </w:pPr>
    </w:p>
    <w:p w:rsidR="00DD4A0D" w:rsidRPr="00BA7873" w:rsidRDefault="00F60E7F" w:rsidP="00DD4A0D">
      <w:pPr>
        <w:tabs>
          <w:tab w:val="left" w:pos="567"/>
          <w:tab w:val="left" w:pos="1134"/>
          <w:tab w:val="left" w:pos="5387"/>
        </w:tabs>
      </w:pPr>
      <w:r w:rsidRPr="00857EC8">
        <w:fldChar w:fldCharType="begin"/>
      </w:r>
      <w:r w:rsidR="00DD4A0D" w:rsidRPr="00BA7873">
        <w:instrText xml:space="preserve"> AUTONUM  </w:instrText>
      </w:r>
      <w:r w:rsidRPr="00857EC8">
        <w:fldChar w:fldCharType="end"/>
      </w:r>
      <w:r w:rsidR="00DD4A0D" w:rsidRPr="00BA7873">
        <w:tab/>
      </w:r>
      <w:r w:rsidR="006351B0" w:rsidRPr="007F4D19">
        <w:t>Se invita al TC a considerar:</w:t>
      </w:r>
    </w:p>
    <w:p w:rsidR="00DD4A0D" w:rsidRPr="00BA7873" w:rsidRDefault="00DD4A0D" w:rsidP="00DD4A0D">
      <w:pPr>
        <w:tabs>
          <w:tab w:val="left" w:pos="567"/>
          <w:tab w:val="left" w:pos="1134"/>
          <w:tab w:val="left" w:pos="5387"/>
        </w:tabs>
      </w:pPr>
    </w:p>
    <w:p w:rsidR="00DD4A0D" w:rsidRPr="00BA7873" w:rsidRDefault="00DD4A0D" w:rsidP="00DD4A0D">
      <w:pPr>
        <w:tabs>
          <w:tab w:val="left" w:pos="567"/>
          <w:tab w:val="left" w:pos="1134"/>
          <w:tab w:val="left" w:pos="5387"/>
        </w:tabs>
      </w:pPr>
      <w:r w:rsidRPr="00BA7873">
        <w:tab/>
      </w:r>
      <w:r w:rsidR="006351B0" w:rsidRPr="007F4D19">
        <w:t>a)</w:t>
      </w:r>
      <w:r w:rsidRPr="00BA7873">
        <w:tab/>
      </w:r>
      <w:r w:rsidR="006351B0" w:rsidRPr="007F4D19">
        <w:t xml:space="preserve">la propuesta de modificar la orientación que figura en la </w:t>
      </w:r>
      <w:r w:rsidR="00436861" w:rsidRPr="007F4D19">
        <w:t xml:space="preserve">nota </w:t>
      </w:r>
      <w:r w:rsidR="006351B0" w:rsidRPr="007F4D19">
        <w:t>orientativa (GN)</w:t>
      </w:r>
      <w:r w:rsidR="00582C7B" w:rsidRPr="007F4D19">
        <w:t> 8</w:t>
      </w:r>
      <w:r w:rsidR="006351B0" w:rsidRPr="007F4D19">
        <w:t xml:space="preserve"> del documento TGP/7 </w:t>
      </w:r>
      <w:r w:rsidR="00436861" w:rsidRPr="007F4D19">
        <w:t>a fin de</w:t>
      </w:r>
      <w:r w:rsidR="006351B0" w:rsidRPr="007F4D19">
        <w:t xml:space="preserve"> aclarar que “</w:t>
      </w:r>
      <w:r w:rsidR="00A46C43" w:rsidRPr="007F4D19">
        <w:t>se podrá poner fin</w:t>
      </w:r>
      <w:r w:rsidR="00D033EF" w:rsidRPr="007F4D19">
        <w:t xml:space="preserve"> al </w:t>
      </w:r>
      <w:r w:rsidR="001E42C8" w:rsidRPr="007F4D19">
        <w:t>examen</w:t>
      </w:r>
      <w:r w:rsidR="006351B0" w:rsidRPr="007F4D19">
        <w:t xml:space="preserve"> de </w:t>
      </w:r>
      <w:r w:rsidR="001E42C8" w:rsidRPr="007F4D19">
        <w:t>un</w:t>
      </w:r>
      <w:r w:rsidR="006351B0" w:rsidRPr="007F4D19">
        <w:t xml:space="preserve">a variedad cuando </w:t>
      </w:r>
      <w:r w:rsidR="001E42C8" w:rsidRPr="007F4D19">
        <w:t xml:space="preserve">la autoridad </w:t>
      </w:r>
      <w:r w:rsidR="006351B0" w:rsidRPr="007F4D19">
        <w:t>competent</w:t>
      </w:r>
      <w:r w:rsidR="004E62D6" w:rsidRPr="007F4D19">
        <w:t>e</w:t>
      </w:r>
      <w:r w:rsidR="006351B0" w:rsidRPr="007F4D19">
        <w:t xml:space="preserve"> </w:t>
      </w:r>
      <w:r w:rsidR="001E42C8" w:rsidRPr="007F4D19">
        <w:t>pueda determinar</w:t>
      </w:r>
      <w:r w:rsidR="006351B0" w:rsidRPr="007F4D19">
        <w:t xml:space="preserve"> con </w:t>
      </w:r>
      <w:r w:rsidR="00A46C43" w:rsidRPr="007F4D19">
        <w:t>certeza su resultado</w:t>
      </w:r>
      <w:r w:rsidR="006351B0" w:rsidRPr="007F4D19">
        <w:t>”; y</w:t>
      </w:r>
    </w:p>
    <w:p w:rsidR="00DD4A0D" w:rsidRPr="00BA7873" w:rsidRDefault="00DD4A0D" w:rsidP="00DD4A0D">
      <w:pPr>
        <w:tabs>
          <w:tab w:val="left" w:pos="567"/>
          <w:tab w:val="left" w:pos="1134"/>
          <w:tab w:val="left" w:pos="5387"/>
        </w:tabs>
      </w:pPr>
    </w:p>
    <w:p w:rsidR="00DD4A0D" w:rsidRPr="00BA7873" w:rsidRDefault="00DD4A0D" w:rsidP="00DD4A0D">
      <w:pPr>
        <w:tabs>
          <w:tab w:val="left" w:pos="567"/>
          <w:tab w:val="left" w:pos="1134"/>
          <w:tab w:val="left" w:pos="5387"/>
        </w:tabs>
      </w:pPr>
      <w:r w:rsidRPr="00BA7873">
        <w:tab/>
      </w:r>
      <w:r w:rsidR="004E62D6" w:rsidRPr="007F4D19">
        <w:t>b)</w:t>
      </w:r>
      <w:r w:rsidRPr="00BA7873">
        <w:tab/>
      </w:r>
      <w:r w:rsidR="004E62D6" w:rsidRPr="007F4D19">
        <w:t xml:space="preserve">si el texto propuesto </w:t>
      </w:r>
      <w:r w:rsidR="003D2E5F" w:rsidRPr="007F4D19">
        <w:t>debería figurar</w:t>
      </w:r>
      <w:r w:rsidR="004E62D6" w:rsidRPr="007F4D19">
        <w:t xml:space="preserve"> en las directrices de examen como texto estándar o texto adicional </w:t>
      </w:r>
      <w:r w:rsidR="003D2E5F" w:rsidRPr="007F4D19">
        <w:t xml:space="preserve">para que destaque </w:t>
      </w:r>
      <w:r w:rsidR="005E08FB" w:rsidRPr="007F4D19">
        <w:t>a los ojos de los lectores</w:t>
      </w:r>
      <w:r w:rsidR="004E62D6" w:rsidRPr="007F4D19">
        <w:t>.</w:t>
      </w:r>
    </w:p>
    <w:p w:rsidR="00DD4A0D" w:rsidRPr="00BA7873" w:rsidRDefault="00DD4A0D" w:rsidP="00DD4A0D">
      <w:pPr>
        <w:tabs>
          <w:tab w:val="left" w:pos="567"/>
          <w:tab w:val="left" w:pos="1134"/>
          <w:tab w:val="left" w:pos="5387"/>
        </w:tabs>
      </w:pPr>
    </w:p>
    <w:p w:rsidR="00DD4A0D" w:rsidRPr="00BA7873" w:rsidRDefault="00F60E7F" w:rsidP="00DD4A0D">
      <w:r w:rsidRPr="00857EC8">
        <w:fldChar w:fldCharType="begin"/>
      </w:r>
      <w:r w:rsidR="00DD4A0D" w:rsidRPr="00BA7873">
        <w:instrText xml:space="preserve"> AUTONUM  </w:instrText>
      </w:r>
      <w:r w:rsidRPr="00857EC8">
        <w:fldChar w:fldCharType="end"/>
      </w:r>
      <w:r w:rsidR="00DD4A0D" w:rsidRPr="00BA7873">
        <w:tab/>
      </w:r>
      <w:r w:rsidR="004E62D6" w:rsidRPr="007F4D19">
        <w:t>El presente documento se estructura del modo siguiente:</w:t>
      </w:r>
    </w:p>
    <w:p w:rsidR="00DD4A0D" w:rsidRPr="00BA7873" w:rsidRDefault="00DD4A0D" w:rsidP="00DD4A0D"/>
    <w:p w:rsidR="008A0547" w:rsidRDefault="00F60E7F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r w:rsidRPr="00E01423">
        <w:rPr>
          <w:rFonts w:cs="Arial"/>
          <w:bCs/>
          <w:noProof/>
          <w:szCs w:val="18"/>
          <w:lang w:val="en-US"/>
        </w:rPr>
        <w:fldChar w:fldCharType="begin"/>
      </w:r>
      <w:r w:rsidR="00DD4A0D" w:rsidRPr="00E01423">
        <w:rPr>
          <w:rFonts w:cs="Arial"/>
          <w:bCs/>
          <w:noProof/>
          <w:szCs w:val="18"/>
        </w:rPr>
        <w:instrText xml:space="preserve"> TOC \o "1-3" \h \z \u </w:instrText>
      </w:r>
      <w:r w:rsidRPr="00E01423">
        <w:rPr>
          <w:rFonts w:cs="Arial"/>
          <w:bCs/>
          <w:noProof/>
          <w:szCs w:val="18"/>
          <w:lang w:val="en-US"/>
        </w:rPr>
        <w:fldChar w:fldCharType="separate"/>
      </w:r>
      <w:hyperlink w:anchor="_Toc526270400" w:history="1">
        <w:r w:rsidR="008A0547" w:rsidRPr="00BD38D3">
          <w:rPr>
            <w:rStyle w:val="Hyperlink"/>
            <w:noProof/>
          </w:rPr>
          <w:t>RESUMEN</w:t>
        </w:r>
        <w:r w:rsidR="008A0547">
          <w:rPr>
            <w:noProof/>
            <w:webHidden/>
          </w:rPr>
          <w:tab/>
        </w:r>
        <w:r w:rsidR="008A0547">
          <w:rPr>
            <w:noProof/>
            <w:webHidden/>
          </w:rPr>
          <w:fldChar w:fldCharType="begin"/>
        </w:r>
        <w:r w:rsidR="008A0547">
          <w:rPr>
            <w:noProof/>
            <w:webHidden/>
          </w:rPr>
          <w:instrText xml:space="preserve"> PAGEREF _Toc526270400 \h </w:instrText>
        </w:r>
        <w:r w:rsidR="008A0547">
          <w:rPr>
            <w:noProof/>
            <w:webHidden/>
          </w:rPr>
        </w:r>
        <w:r w:rsidR="008A0547">
          <w:rPr>
            <w:noProof/>
            <w:webHidden/>
          </w:rPr>
          <w:fldChar w:fldCharType="separate"/>
        </w:r>
        <w:r w:rsidR="00A80AE2">
          <w:rPr>
            <w:noProof/>
            <w:webHidden/>
          </w:rPr>
          <w:t>1</w:t>
        </w:r>
        <w:r w:rsidR="008A0547">
          <w:rPr>
            <w:noProof/>
            <w:webHidden/>
          </w:rPr>
          <w:fldChar w:fldCharType="end"/>
        </w:r>
      </w:hyperlink>
    </w:p>
    <w:p w:rsidR="008A0547" w:rsidRDefault="0098366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6270401" w:history="1">
        <w:r w:rsidR="008A0547" w:rsidRPr="00BD38D3">
          <w:rPr>
            <w:rStyle w:val="Hyperlink"/>
            <w:rFonts w:eastAsia="MS Mincho"/>
            <w:noProof/>
            <w:lang w:eastAsia="ja-JP"/>
          </w:rPr>
          <w:t>ANTECEDENTES</w:t>
        </w:r>
        <w:r w:rsidR="008A0547">
          <w:rPr>
            <w:noProof/>
            <w:webHidden/>
          </w:rPr>
          <w:tab/>
        </w:r>
        <w:r w:rsidR="008A0547">
          <w:rPr>
            <w:noProof/>
            <w:webHidden/>
          </w:rPr>
          <w:fldChar w:fldCharType="begin"/>
        </w:r>
        <w:r w:rsidR="008A0547">
          <w:rPr>
            <w:noProof/>
            <w:webHidden/>
          </w:rPr>
          <w:instrText xml:space="preserve"> PAGEREF _Toc526270401 \h </w:instrText>
        </w:r>
        <w:r w:rsidR="008A0547">
          <w:rPr>
            <w:noProof/>
            <w:webHidden/>
          </w:rPr>
        </w:r>
        <w:r w:rsidR="008A0547">
          <w:rPr>
            <w:noProof/>
            <w:webHidden/>
          </w:rPr>
          <w:fldChar w:fldCharType="separate"/>
        </w:r>
        <w:r w:rsidR="00A80AE2">
          <w:rPr>
            <w:noProof/>
            <w:webHidden/>
          </w:rPr>
          <w:t>2</w:t>
        </w:r>
        <w:r w:rsidR="008A0547">
          <w:rPr>
            <w:noProof/>
            <w:webHidden/>
          </w:rPr>
          <w:fldChar w:fldCharType="end"/>
        </w:r>
      </w:hyperlink>
    </w:p>
    <w:p w:rsidR="008A0547" w:rsidRDefault="0098366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6270402" w:history="1">
        <w:r w:rsidR="008A0547" w:rsidRPr="00BD38D3">
          <w:rPr>
            <w:rStyle w:val="Hyperlink"/>
            <w:noProof/>
          </w:rPr>
          <w:t>NOVEDADES ACAECIDAS EN 2017</w:t>
        </w:r>
        <w:r w:rsidR="008A0547">
          <w:rPr>
            <w:noProof/>
            <w:webHidden/>
          </w:rPr>
          <w:tab/>
        </w:r>
        <w:r w:rsidR="008A0547">
          <w:rPr>
            <w:noProof/>
            <w:webHidden/>
          </w:rPr>
          <w:fldChar w:fldCharType="begin"/>
        </w:r>
        <w:r w:rsidR="008A0547">
          <w:rPr>
            <w:noProof/>
            <w:webHidden/>
          </w:rPr>
          <w:instrText xml:space="preserve"> PAGEREF _Toc526270402 \h </w:instrText>
        </w:r>
        <w:r w:rsidR="008A0547">
          <w:rPr>
            <w:noProof/>
            <w:webHidden/>
          </w:rPr>
        </w:r>
        <w:r w:rsidR="008A0547">
          <w:rPr>
            <w:noProof/>
            <w:webHidden/>
          </w:rPr>
          <w:fldChar w:fldCharType="separate"/>
        </w:r>
        <w:r w:rsidR="00A80AE2">
          <w:rPr>
            <w:noProof/>
            <w:webHidden/>
          </w:rPr>
          <w:t>2</w:t>
        </w:r>
        <w:r w:rsidR="008A0547">
          <w:rPr>
            <w:noProof/>
            <w:webHidden/>
          </w:rPr>
          <w:fldChar w:fldCharType="end"/>
        </w:r>
      </w:hyperlink>
    </w:p>
    <w:p w:rsidR="008A0547" w:rsidRDefault="0098366C" w:rsidP="00854F9B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6270403" w:history="1">
        <w:r w:rsidR="008A0547" w:rsidRPr="00BD38D3">
          <w:rPr>
            <w:rStyle w:val="Hyperlink"/>
            <w:rFonts w:eastAsia="MS Mincho"/>
            <w:noProof/>
            <w:lang w:eastAsia="ja-JP"/>
          </w:rPr>
          <w:t>Comité Técnico</w:t>
        </w:r>
        <w:r w:rsidR="008A0547">
          <w:rPr>
            <w:noProof/>
            <w:webHidden/>
          </w:rPr>
          <w:tab/>
        </w:r>
        <w:r w:rsidR="008A0547">
          <w:rPr>
            <w:noProof/>
            <w:webHidden/>
          </w:rPr>
          <w:fldChar w:fldCharType="begin"/>
        </w:r>
        <w:r w:rsidR="008A0547">
          <w:rPr>
            <w:noProof/>
            <w:webHidden/>
          </w:rPr>
          <w:instrText xml:space="preserve"> PAGEREF _Toc526270403 \h </w:instrText>
        </w:r>
        <w:r w:rsidR="008A0547">
          <w:rPr>
            <w:noProof/>
            <w:webHidden/>
          </w:rPr>
        </w:r>
        <w:r w:rsidR="008A0547">
          <w:rPr>
            <w:noProof/>
            <w:webHidden/>
          </w:rPr>
          <w:fldChar w:fldCharType="separate"/>
        </w:r>
        <w:r w:rsidR="00A80AE2">
          <w:rPr>
            <w:noProof/>
            <w:webHidden/>
          </w:rPr>
          <w:t>2</w:t>
        </w:r>
        <w:r w:rsidR="008A0547">
          <w:rPr>
            <w:noProof/>
            <w:webHidden/>
          </w:rPr>
          <w:fldChar w:fldCharType="end"/>
        </w:r>
      </w:hyperlink>
    </w:p>
    <w:p w:rsidR="008A0547" w:rsidRDefault="0098366C" w:rsidP="00854F9B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6270404" w:history="1">
        <w:r w:rsidR="008A0547" w:rsidRPr="00BD38D3">
          <w:rPr>
            <w:rStyle w:val="Hyperlink"/>
            <w:noProof/>
          </w:rPr>
          <w:t>Comentarios formulados por los Grupos de Trabajo Técnico</w:t>
        </w:r>
        <w:r w:rsidR="008A0547">
          <w:rPr>
            <w:noProof/>
            <w:webHidden/>
          </w:rPr>
          <w:tab/>
        </w:r>
        <w:r w:rsidR="008A0547">
          <w:rPr>
            <w:noProof/>
            <w:webHidden/>
          </w:rPr>
          <w:fldChar w:fldCharType="begin"/>
        </w:r>
        <w:r w:rsidR="008A0547">
          <w:rPr>
            <w:noProof/>
            <w:webHidden/>
          </w:rPr>
          <w:instrText xml:space="preserve"> PAGEREF _Toc526270404 \h </w:instrText>
        </w:r>
        <w:r w:rsidR="008A0547">
          <w:rPr>
            <w:noProof/>
            <w:webHidden/>
          </w:rPr>
        </w:r>
        <w:r w:rsidR="008A0547">
          <w:rPr>
            <w:noProof/>
            <w:webHidden/>
          </w:rPr>
          <w:fldChar w:fldCharType="separate"/>
        </w:r>
        <w:r w:rsidR="00A80AE2">
          <w:rPr>
            <w:noProof/>
            <w:webHidden/>
          </w:rPr>
          <w:t>3</w:t>
        </w:r>
        <w:r w:rsidR="008A0547">
          <w:rPr>
            <w:noProof/>
            <w:webHidden/>
          </w:rPr>
          <w:fldChar w:fldCharType="end"/>
        </w:r>
      </w:hyperlink>
    </w:p>
    <w:p w:rsidR="008A0547" w:rsidRDefault="0098366C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es-ES_tradnl"/>
        </w:rPr>
      </w:pPr>
      <w:hyperlink w:anchor="_Toc526270405" w:history="1">
        <w:r w:rsidR="008A0547" w:rsidRPr="00BD38D3">
          <w:rPr>
            <w:rStyle w:val="Hyperlink"/>
            <w:noProof/>
          </w:rPr>
          <w:t>NOVEDADES ACAECIDAS EN 2018</w:t>
        </w:r>
        <w:r w:rsidR="008A0547">
          <w:rPr>
            <w:noProof/>
            <w:webHidden/>
          </w:rPr>
          <w:tab/>
        </w:r>
        <w:r w:rsidR="008A0547">
          <w:rPr>
            <w:noProof/>
            <w:webHidden/>
          </w:rPr>
          <w:fldChar w:fldCharType="begin"/>
        </w:r>
        <w:r w:rsidR="008A0547">
          <w:rPr>
            <w:noProof/>
            <w:webHidden/>
          </w:rPr>
          <w:instrText xml:space="preserve"> PAGEREF _Toc526270405 \h </w:instrText>
        </w:r>
        <w:r w:rsidR="008A0547">
          <w:rPr>
            <w:noProof/>
            <w:webHidden/>
          </w:rPr>
        </w:r>
        <w:r w:rsidR="008A0547">
          <w:rPr>
            <w:noProof/>
            <w:webHidden/>
          </w:rPr>
          <w:fldChar w:fldCharType="separate"/>
        </w:r>
        <w:r w:rsidR="00A80AE2">
          <w:rPr>
            <w:noProof/>
            <w:webHidden/>
          </w:rPr>
          <w:t>4</w:t>
        </w:r>
        <w:r w:rsidR="008A0547">
          <w:rPr>
            <w:noProof/>
            <w:webHidden/>
          </w:rPr>
          <w:fldChar w:fldCharType="end"/>
        </w:r>
      </w:hyperlink>
    </w:p>
    <w:p w:rsidR="008A0547" w:rsidRDefault="0098366C" w:rsidP="00854F9B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6270406" w:history="1">
        <w:r w:rsidR="008A0547" w:rsidRPr="00BD38D3">
          <w:rPr>
            <w:rStyle w:val="Hyperlink"/>
            <w:noProof/>
          </w:rPr>
          <w:t>Comité de Redacción Ampliado</w:t>
        </w:r>
        <w:r w:rsidR="008A0547">
          <w:rPr>
            <w:noProof/>
            <w:webHidden/>
          </w:rPr>
          <w:tab/>
        </w:r>
        <w:r w:rsidR="008A0547">
          <w:rPr>
            <w:noProof/>
            <w:webHidden/>
          </w:rPr>
          <w:fldChar w:fldCharType="begin"/>
        </w:r>
        <w:r w:rsidR="008A0547">
          <w:rPr>
            <w:noProof/>
            <w:webHidden/>
          </w:rPr>
          <w:instrText xml:space="preserve"> PAGEREF _Toc526270406 \h </w:instrText>
        </w:r>
        <w:r w:rsidR="008A0547">
          <w:rPr>
            <w:noProof/>
            <w:webHidden/>
          </w:rPr>
        </w:r>
        <w:r w:rsidR="008A0547">
          <w:rPr>
            <w:noProof/>
            <w:webHidden/>
          </w:rPr>
          <w:fldChar w:fldCharType="separate"/>
        </w:r>
        <w:r w:rsidR="00A80AE2">
          <w:rPr>
            <w:noProof/>
            <w:webHidden/>
          </w:rPr>
          <w:t>4</w:t>
        </w:r>
        <w:r w:rsidR="008A0547">
          <w:rPr>
            <w:noProof/>
            <w:webHidden/>
          </w:rPr>
          <w:fldChar w:fldCharType="end"/>
        </w:r>
      </w:hyperlink>
    </w:p>
    <w:p w:rsidR="008A0547" w:rsidRDefault="0098366C" w:rsidP="00854F9B">
      <w:pPr>
        <w:pStyle w:val="TOC2"/>
        <w:rPr>
          <w:rFonts w:asciiTheme="minorHAnsi" w:eastAsiaTheme="minorEastAsia" w:hAnsiTheme="minorHAnsi" w:cstheme="minorBidi"/>
          <w:smallCaps/>
          <w:noProof/>
          <w:sz w:val="22"/>
          <w:szCs w:val="22"/>
          <w:lang w:eastAsia="es-ES_tradnl"/>
        </w:rPr>
      </w:pPr>
      <w:hyperlink w:anchor="_Toc526270407" w:history="1">
        <w:r w:rsidR="008A0547" w:rsidRPr="00BD38D3">
          <w:rPr>
            <w:rStyle w:val="Hyperlink"/>
            <w:noProof/>
          </w:rPr>
          <w:t>Comentarios formulados por los Grupos de Trabajo Técnico</w:t>
        </w:r>
        <w:r w:rsidR="008A0547">
          <w:rPr>
            <w:noProof/>
            <w:webHidden/>
          </w:rPr>
          <w:tab/>
        </w:r>
        <w:r w:rsidR="008A0547">
          <w:rPr>
            <w:noProof/>
            <w:webHidden/>
          </w:rPr>
          <w:fldChar w:fldCharType="begin"/>
        </w:r>
        <w:r w:rsidR="008A0547">
          <w:rPr>
            <w:noProof/>
            <w:webHidden/>
          </w:rPr>
          <w:instrText xml:space="preserve"> PAGEREF _Toc526270407 \h </w:instrText>
        </w:r>
        <w:r w:rsidR="008A0547">
          <w:rPr>
            <w:noProof/>
            <w:webHidden/>
          </w:rPr>
        </w:r>
        <w:r w:rsidR="008A0547">
          <w:rPr>
            <w:noProof/>
            <w:webHidden/>
          </w:rPr>
          <w:fldChar w:fldCharType="separate"/>
        </w:r>
        <w:r w:rsidR="00A80AE2">
          <w:rPr>
            <w:noProof/>
            <w:webHidden/>
          </w:rPr>
          <w:t>5</w:t>
        </w:r>
        <w:r w:rsidR="008A0547">
          <w:rPr>
            <w:noProof/>
            <w:webHidden/>
          </w:rPr>
          <w:fldChar w:fldCharType="end"/>
        </w:r>
      </w:hyperlink>
    </w:p>
    <w:p w:rsidR="008A0547" w:rsidRDefault="00F60E7F" w:rsidP="00DD4A0D">
      <w:pPr>
        <w:ind w:left="1134" w:hanging="1134"/>
        <w:jc w:val="left"/>
        <w:rPr>
          <w:sz w:val="18"/>
          <w:szCs w:val="18"/>
        </w:rPr>
      </w:pPr>
      <w:r w:rsidRPr="00E01423">
        <w:rPr>
          <w:sz w:val="18"/>
          <w:szCs w:val="18"/>
        </w:rPr>
        <w:fldChar w:fldCharType="end"/>
      </w:r>
    </w:p>
    <w:p w:rsidR="00DD4A0D" w:rsidRPr="00BA7873" w:rsidRDefault="004E62D6" w:rsidP="00DD4A0D">
      <w:pPr>
        <w:ind w:left="1134" w:hanging="1134"/>
        <w:jc w:val="left"/>
        <w:rPr>
          <w:sz w:val="18"/>
        </w:rPr>
      </w:pPr>
      <w:r w:rsidRPr="007F4D19">
        <w:rPr>
          <w:sz w:val="18"/>
        </w:rPr>
        <w:t>ANEXO</w:t>
      </w:r>
      <w:r w:rsidR="00DD4A0D" w:rsidRPr="00BA7873">
        <w:rPr>
          <w:sz w:val="18"/>
        </w:rPr>
        <w:tab/>
      </w:r>
      <w:r w:rsidRPr="007F4D19">
        <w:rPr>
          <w:sz w:val="18"/>
        </w:rPr>
        <w:t>EXTRACTO DEL DOCUMENTO TGP/7 “ELABORACIÓN DE LAS DIRECTRICES DE EXAMEN”</w:t>
      </w:r>
      <w:r w:rsidR="003D37AF">
        <w:rPr>
          <w:sz w:val="18"/>
        </w:rPr>
        <w:br/>
      </w:r>
      <w:r w:rsidRPr="007F4D19">
        <w:rPr>
          <w:sz w:val="18"/>
        </w:rPr>
        <w:t>(ASW</w:t>
      </w:r>
      <w:r w:rsidR="00582C7B" w:rsidRPr="007F4D19">
        <w:rPr>
          <w:sz w:val="18"/>
        </w:rPr>
        <w:t xml:space="preserve"> 2, </w:t>
      </w:r>
      <w:r w:rsidRPr="007F4D19">
        <w:rPr>
          <w:sz w:val="18"/>
        </w:rPr>
        <w:t>ASW</w:t>
      </w:r>
      <w:r w:rsidR="00582C7B" w:rsidRPr="007F4D19">
        <w:rPr>
          <w:sz w:val="18"/>
        </w:rPr>
        <w:t xml:space="preserve"> 3, </w:t>
      </w:r>
      <w:r w:rsidRPr="007F4D19">
        <w:rPr>
          <w:sz w:val="18"/>
        </w:rPr>
        <w:t>GN</w:t>
      </w:r>
      <w:r w:rsidR="00582C7B" w:rsidRPr="007F4D19">
        <w:rPr>
          <w:sz w:val="18"/>
        </w:rPr>
        <w:t> 8</w:t>
      </w:r>
      <w:r w:rsidRPr="007F4D19">
        <w:rPr>
          <w:sz w:val="18"/>
        </w:rPr>
        <w:t>)</w:t>
      </w:r>
    </w:p>
    <w:p w:rsidR="00DD4A0D" w:rsidRPr="00BA7873" w:rsidRDefault="00DD4A0D" w:rsidP="00DD4A0D">
      <w:bookmarkStart w:id="4" w:name="_Toc484625147"/>
    </w:p>
    <w:p w:rsidR="00DD4A0D" w:rsidRPr="00BA7873" w:rsidRDefault="00F60E7F" w:rsidP="00DD4A0D">
      <w:r w:rsidRPr="00857EC8">
        <w:fldChar w:fldCharType="begin"/>
      </w:r>
      <w:r w:rsidR="00DD4A0D" w:rsidRPr="00BA7873">
        <w:instrText xml:space="preserve"> AUTONUM  </w:instrText>
      </w:r>
      <w:r w:rsidRPr="00857EC8">
        <w:fldChar w:fldCharType="end"/>
      </w:r>
      <w:r w:rsidR="00DD4A0D" w:rsidRPr="00BA7873">
        <w:tab/>
      </w:r>
      <w:r w:rsidR="004E62D6" w:rsidRPr="007F4D19">
        <w:t>En el presente documento se utilizan las abreviaturas siguientes:</w:t>
      </w:r>
    </w:p>
    <w:p w:rsidR="00DD4A0D" w:rsidRPr="00BA7873" w:rsidRDefault="00DD4A0D" w:rsidP="00DD4A0D"/>
    <w:p w:rsidR="00DD4A0D" w:rsidRPr="00BA7873" w:rsidRDefault="004E62D6" w:rsidP="002B0374">
      <w:pPr>
        <w:tabs>
          <w:tab w:val="left" w:pos="1418"/>
        </w:tabs>
      </w:pPr>
      <w:r w:rsidRPr="007F4D19">
        <w:t>TC:</w:t>
      </w:r>
      <w:r w:rsidR="00225F80" w:rsidRPr="00BA7873">
        <w:t xml:space="preserve"> </w:t>
      </w:r>
      <w:r w:rsidR="00DD4A0D" w:rsidRPr="00BA7873">
        <w:tab/>
      </w:r>
      <w:r w:rsidRPr="007F4D19">
        <w:t>Comité Técnico</w:t>
      </w:r>
    </w:p>
    <w:p w:rsidR="00DD4A0D" w:rsidRPr="00BA7873" w:rsidRDefault="004E62D6" w:rsidP="002B0374">
      <w:pPr>
        <w:tabs>
          <w:tab w:val="left" w:pos="1418"/>
        </w:tabs>
      </w:pPr>
      <w:r w:rsidRPr="007F4D19">
        <w:t>TC-EDC:</w:t>
      </w:r>
      <w:r w:rsidR="00225F80" w:rsidRPr="00BA7873">
        <w:t xml:space="preserve"> </w:t>
      </w:r>
      <w:r w:rsidR="00DD4A0D" w:rsidRPr="00BA7873">
        <w:tab/>
      </w:r>
      <w:r w:rsidRPr="007F4D19">
        <w:t>Comité de Redacción Ampliado</w:t>
      </w:r>
    </w:p>
    <w:p w:rsidR="00DD4A0D" w:rsidRPr="00BA7873" w:rsidRDefault="004E62D6" w:rsidP="002B0374">
      <w:pPr>
        <w:tabs>
          <w:tab w:val="left" w:pos="1418"/>
        </w:tabs>
      </w:pPr>
      <w:r w:rsidRPr="007F4D19">
        <w:t>TWA:</w:t>
      </w:r>
      <w:r w:rsidR="00225F80" w:rsidRPr="00BA7873">
        <w:t xml:space="preserve"> </w:t>
      </w:r>
      <w:r w:rsidR="00DD4A0D" w:rsidRPr="00BA7873">
        <w:tab/>
      </w:r>
      <w:r w:rsidRPr="007F4D19">
        <w:t>Grupo de Trabajo Técnico sobre Plantas Agrícolas</w:t>
      </w:r>
    </w:p>
    <w:p w:rsidR="00DD4A0D" w:rsidRPr="00BA7873" w:rsidRDefault="004E62D6" w:rsidP="002B0374">
      <w:pPr>
        <w:tabs>
          <w:tab w:val="left" w:pos="1418"/>
        </w:tabs>
      </w:pPr>
      <w:r w:rsidRPr="007F4D19">
        <w:t>TWC:</w:t>
      </w:r>
      <w:r w:rsidR="00225F80" w:rsidRPr="00BA7873">
        <w:t xml:space="preserve"> </w:t>
      </w:r>
      <w:r w:rsidR="00DD4A0D" w:rsidRPr="00BA7873">
        <w:tab/>
      </w:r>
      <w:r w:rsidRPr="007F4D19">
        <w:t>Grupo de Trabajo Técnico sobre Automatización y Programas Informáticos</w:t>
      </w:r>
    </w:p>
    <w:p w:rsidR="00DD4A0D" w:rsidRPr="00BA7873" w:rsidRDefault="004E62D6" w:rsidP="002B0374">
      <w:pPr>
        <w:tabs>
          <w:tab w:val="left" w:pos="1418"/>
        </w:tabs>
      </w:pPr>
      <w:r w:rsidRPr="007F4D19">
        <w:t>TWF:</w:t>
      </w:r>
      <w:r w:rsidR="00225F80" w:rsidRPr="00BA7873">
        <w:t xml:space="preserve"> </w:t>
      </w:r>
      <w:r w:rsidR="00DD4A0D" w:rsidRPr="00BA7873">
        <w:tab/>
      </w:r>
      <w:r w:rsidRPr="007F4D19">
        <w:t>Grupo de Trabajo Técnico sobre Plantas Frutales</w:t>
      </w:r>
      <w:r w:rsidR="00DD4A0D" w:rsidRPr="00BA7873">
        <w:t xml:space="preserve"> </w:t>
      </w:r>
    </w:p>
    <w:p w:rsidR="00DD4A0D" w:rsidRPr="00BA7873" w:rsidRDefault="004E62D6" w:rsidP="002B0374">
      <w:pPr>
        <w:tabs>
          <w:tab w:val="left" w:pos="1418"/>
        </w:tabs>
      </w:pPr>
      <w:r w:rsidRPr="007F4D19">
        <w:t>TWO:</w:t>
      </w:r>
      <w:r w:rsidR="00225F80" w:rsidRPr="00BA7873">
        <w:t xml:space="preserve"> </w:t>
      </w:r>
      <w:r w:rsidR="00DD4A0D" w:rsidRPr="00BA7873">
        <w:tab/>
      </w:r>
      <w:r w:rsidRPr="007F4D19">
        <w:t>Grupo de Trabajo Técnico sobre Plantas Ornamentales y Árboles Forestales</w:t>
      </w:r>
      <w:r w:rsidR="00DD4A0D" w:rsidRPr="00BA7873">
        <w:t xml:space="preserve"> </w:t>
      </w:r>
    </w:p>
    <w:p w:rsidR="00DD4A0D" w:rsidRPr="00BA7873" w:rsidRDefault="004E62D6" w:rsidP="002B0374">
      <w:pPr>
        <w:tabs>
          <w:tab w:val="left" w:pos="1418"/>
        </w:tabs>
      </w:pPr>
      <w:r w:rsidRPr="007F4D19">
        <w:t>TWV:</w:t>
      </w:r>
      <w:r w:rsidR="00225F80" w:rsidRPr="00BA7873">
        <w:t xml:space="preserve"> </w:t>
      </w:r>
      <w:r w:rsidR="00DD4A0D" w:rsidRPr="00BA7873">
        <w:tab/>
      </w:r>
      <w:r w:rsidRPr="007F4D19">
        <w:t>Grupo de Trabajo Técnico sobre Hortalizas</w:t>
      </w:r>
    </w:p>
    <w:p w:rsidR="00DD4A0D" w:rsidRPr="00BA7873" w:rsidRDefault="004E62D6" w:rsidP="002B0374">
      <w:pPr>
        <w:tabs>
          <w:tab w:val="left" w:pos="1418"/>
        </w:tabs>
      </w:pPr>
      <w:r w:rsidRPr="007F4D19">
        <w:t>TWP:</w:t>
      </w:r>
      <w:r w:rsidR="00DD4A0D" w:rsidRPr="00BA7873">
        <w:tab/>
      </w:r>
      <w:r w:rsidRPr="007F4D19">
        <w:t>Grupos de Trabajo Técnico</w:t>
      </w:r>
    </w:p>
    <w:p w:rsidR="00DD4A0D" w:rsidRPr="00BA7873" w:rsidRDefault="00DD4A0D" w:rsidP="00DD4A0D">
      <w:pPr>
        <w:keepNext/>
        <w:outlineLvl w:val="0"/>
        <w:rPr>
          <w:rFonts w:eastAsia="MS Mincho"/>
          <w:caps/>
          <w:lang w:eastAsia="ja-JP"/>
        </w:rPr>
      </w:pPr>
    </w:p>
    <w:p w:rsidR="00DD4A0D" w:rsidRPr="00BA7873" w:rsidRDefault="00DD4A0D" w:rsidP="00DD4A0D">
      <w:pPr>
        <w:rPr>
          <w:rFonts w:eastAsia="MS Mincho"/>
          <w:lang w:eastAsia="ja-JP"/>
        </w:rPr>
      </w:pPr>
    </w:p>
    <w:p w:rsidR="00552A53" w:rsidRPr="0098366C" w:rsidRDefault="00552A53">
      <w:pPr>
        <w:jc w:val="left"/>
        <w:rPr>
          <w:rFonts w:eastAsia="MS Mincho"/>
          <w:caps/>
          <w:lang w:val="es-ES" w:eastAsia="ja-JP"/>
        </w:rPr>
      </w:pPr>
      <w:bookmarkStart w:id="5" w:name="_Toc526270401"/>
      <w:bookmarkEnd w:id="4"/>
      <w:r>
        <w:rPr>
          <w:rFonts w:eastAsia="MS Mincho"/>
          <w:lang w:eastAsia="ja-JP"/>
        </w:rPr>
        <w:br w:type="page"/>
      </w:r>
    </w:p>
    <w:p w:rsidR="00DD4A0D" w:rsidRPr="0098366C" w:rsidRDefault="004E62D6" w:rsidP="00854F9B">
      <w:pPr>
        <w:pStyle w:val="Heading1"/>
        <w:rPr>
          <w:rFonts w:eastAsia="MS Mincho"/>
          <w:lang w:val="es-ES" w:eastAsia="ja-JP"/>
        </w:rPr>
      </w:pPr>
      <w:r w:rsidRPr="0098366C">
        <w:rPr>
          <w:rFonts w:eastAsia="MS Mincho"/>
          <w:lang w:val="es-ES" w:eastAsia="ja-JP"/>
        </w:rPr>
        <w:lastRenderedPageBreak/>
        <w:t>ANTECEDENTES</w:t>
      </w:r>
      <w:bookmarkEnd w:id="5"/>
    </w:p>
    <w:p w:rsidR="00DD4A0D" w:rsidRPr="00BA7873" w:rsidRDefault="00DD4A0D" w:rsidP="00CF4D9B">
      <w:pPr>
        <w:keepNext/>
      </w:pPr>
    </w:p>
    <w:p w:rsidR="00DD4A0D" w:rsidRPr="00BA7873" w:rsidRDefault="004E62D6" w:rsidP="00CF4D9B">
      <w:pPr>
        <w:keepNext/>
        <w:rPr>
          <w:u w:val="single"/>
        </w:rPr>
      </w:pPr>
      <w:r w:rsidRPr="007F4D19">
        <w:rPr>
          <w:u w:val="single"/>
        </w:rPr>
        <w:t>Programa para la elaboración de los documentos TGP</w:t>
      </w:r>
    </w:p>
    <w:p w:rsidR="00DD4A0D" w:rsidRPr="00BA7873" w:rsidRDefault="00DD4A0D" w:rsidP="00DD4A0D">
      <w:pPr>
        <w:rPr>
          <w:iCs/>
        </w:rPr>
      </w:pPr>
    </w:p>
    <w:p w:rsidR="00DD4A0D" w:rsidRPr="00BA7873" w:rsidRDefault="00F60E7F" w:rsidP="00DD4A0D">
      <w:r w:rsidRPr="00857EC8">
        <w:fldChar w:fldCharType="begin"/>
      </w:r>
      <w:r w:rsidR="00DD4A0D" w:rsidRPr="00BA7873">
        <w:instrText xml:space="preserve"> AUTONUM  </w:instrText>
      </w:r>
      <w:r w:rsidRPr="00857EC8">
        <w:fldChar w:fldCharType="end"/>
      </w:r>
      <w:r w:rsidR="00DD4A0D" w:rsidRPr="00BA7873">
        <w:tab/>
      </w:r>
      <w:r w:rsidR="00836ABB" w:rsidRPr="007F4D19">
        <w:t>En su trigésima cuarta sesión extraordinaria</w:t>
      </w:r>
      <w:r w:rsidR="00582C7B" w:rsidRPr="007F4D19">
        <w:t xml:space="preserve">, </w:t>
      </w:r>
      <w:r w:rsidR="00836ABB" w:rsidRPr="007F4D19">
        <w:t>celebrada en Ginebra el</w:t>
      </w:r>
      <w:r w:rsidR="00582C7B" w:rsidRPr="007F4D19">
        <w:t> 6</w:t>
      </w:r>
      <w:r w:rsidR="00836ABB" w:rsidRPr="007F4D19">
        <w:t xml:space="preserve"> de abril de</w:t>
      </w:r>
      <w:r w:rsidR="00582C7B" w:rsidRPr="007F4D19">
        <w:t> 2</w:t>
      </w:r>
      <w:r w:rsidR="00836ABB" w:rsidRPr="007F4D19">
        <w:t>017</w:t>
      </w:r>
      <w:r w:rsidR="00582C7B" w:rsidRPr="007F4D19">
        <w:t xml:space="preserve">, </w:t>
      </w:r>
      <w:r w:rsidR="00836ABB" w:rsidRPr="007F4D19">
        <w:t>el Consejo decidió que</w:t>
      </w:r>
      <w:r w:rsidR="00582C7B" w:rsidRPr="007F4D19">
        <w:t xml:space="preserve">, </w:t>
      </w:r>
      <w:r w:rsidR="00836ABB" w:rsidRPr="007F4D19">
        <w:t>a partir de</w:t>
      </w:r>
      <w:r w:rsidR="00582C7B" w:rsidRPr="007F4D19">
        <w:t> 2</w:t>
      </w:r>
      <w:r w:rsidR="00836ABB" w:rsidRPr="007F4D19">
        <w:t>018</w:t>
      </w:r>
      <w:r w:rsidR="00582C7B" w:rsidRPr="007F4D19">
        <w:t xml:space="preserve">, </w:t>
      </w:r>
      <w:r w:rsidR="00836ABB" w:rsidRPr="007F4D19">
        <w:t>se organice una única serie de sesiones entre octubre y noviembre (véanse los párrafos</w:t>
      </w:r>
      <w:r w:rsidR="00582C7B" w:rsidRPr="007F4D19">
        <w:t> 1</w:t>
      </w:r>
      <w:r w:rsidR="00836ABB" w:rsidRPr="007F4D19">
        <w:t>2 a</w:t>
      </w:r>
      <w:r w:rsidR="00582C7B" w:rsidRPr="007F4D19">
        <w:t> 1</w:t>
      </w:r>
      <w:r w:rsidR="00836ABB" w:rsidRPr="007F4D19">
        <w:t>4 del documento C(</w:t>
      </w:r>
      <w:proofErr w:type="spellStart"/>
      <w:r w:rsidR="00836ABB" w:rsidRPr="007F4D19">
        <w:t>Extr</w:t>
      </w:r>
      <w:proofErr w:type="spellEnd"/>
      <w:proofErr w:type="gramStart"/>
      <w:r w:rsidR="00836ABB" w:rsidRPr="007F4D19">
        <w:t>.)/</w:t>
      </w:r>
      <w:proofErr w:type="gramEnd"/>
      <w:r w:rsidR="00836ABB" w:rsidRPr="007F4D19">
        <w:t>34/6 “Informe sobre las decisiones”).</w:t>
      </w:r>
      <w:r w:rsidR="00225F80" w:rsidRPr="00BA7873">
        <w:t xml:space="preserve"> </w:t>
      </w:r>
      <w:r w:rsidR="00836ABB" w:rsidRPr="007F4D19">
        <w:t>A partir de</w:t>
      </w:r>
      <w:r w:rsidR="00582C7B" w:rsidRPr="007F4D19">
        <w:t> 2</w:t>
      </w:r>
      <w:r w:rsidR="00836ABB" w:rsidRPr="007F4D19">
        <w:t>018</w:t>
      </w:r>
      <w:r w:rsidR="00582C7B" w:rsidRPr="007F4D19">
        <w:t xml:space="preserve">, </w:t>
      </w:r>
      <w:r w:rsidR="00836ABB" w:rsidRPr="007F4D19">
        <w:t>las reuniones del TC tendrán lugar entre octubre y noviembre en lugar de entre marzo y abril.</w:t>
      </w:r>
      <w:r w:rsidR="00DD4A0D" w:rsidRPr="00BA7873">
        <w:t xml:space="preserve"> </w:t>
      </w:r>
      <w:r w:rsidR="00836ABB" w:rsidRPr="007F4D19">
        <w:t>El TC-EDC celebrará dos reuniones al año: una en marzo/abril y otra en paralelo a las sesiones del TC que tienen lugar en un período posterior del mismo año.</w:t>
      </w:r>
    </w:p>
    <w:p w:rsidR="00DD4A0D" w:rsidRPr="00BA7873" w:rsidRDefault="00DD4A0D" w:rsidP="00DD4A0D"/>
    <w:p w:rsidR="00DD4A0D" w:rsidRPr="00BA7873" w:rsidRDefault="00F60E7F" w:rsidP="00DD4A0D">
      <w:pPr>
        <w:rPr>
          <w:iCs/>
        </w:rPr>
      </w:pPr>
      <w:r w:rsidRPr="00857EC8">
        <w:fldChar w:fldCharType="begin"/>
      </w:r>
      <w:r w:rsidR="00DD4A0D" w:rsidRPr="00BA7873">
        <w:instrText xml:space="preserve"> AUTONUM  </w:instrText>
      </w:r>
      <w:r w:rsidRPr="00857EC8">
        <w:fldChar w:fldCharType="end"/>
      </w:r>
      <w:r w:rsidR="00DD4A0D" w:rsidRPr="00BA7873">
        <w:tab/>
      </w:r>
      <w:r w:rsidR="00836ABB" w:rsidRPr="007F4D19">
        <w:t>El Consejo decidió aprobar las propuestas</w:t>
      </w:r>
      <w:r w:rsidR="00582C7B" w:rsidRPr="007F4D19">
        <w:t xml:space="preserve">, </w:t>
      </w:r>
      <w:r w:rsidR="00836ABB" w:rsidRPr="007F4D19">
        <w:t>formuladas por el TC en su quincuagésima tercera sesión</w:t>
      </w:r>
      <w:r w:rsidR="00582C7B" w:rsidRPr="007F4D19">
        <w:t xml:space="preserve">, </w:t>
      </w:r>
      <w:r w:rsidR="00836ABB" w:rsidRPr="007F4D19">
        <w:t>de adoptar medidas coyunturales para el período de transición hasta que se celebre la quincuagésima cuarta sesión del TC en octubre de 2018;</w:t>
      </w:r>
      <w:r w:rsidR="00DD4A0D" w:rsidRPr="00BA7873">
        <w:t xml:space="preserve"> </w:t>
      </w:r>
      <w:r w:rsidR="00836ABB" w:rsidRPr="007F4D19">
        <w:rPr>
          <w:iCs/>
        </w:rPr>
        <w:t>en el caso de los documentos TGP</w:t>
      </w:r>
      <w:r w:rsidR="00582C7B" w:rsidRPr="007F4D19">
        <w:rPr>
          <w:iCs/>
        </w:rPr>
        <w:t xml:space="preserve">, </w:t>
      </w:r>
      <w:r w:rsidR="00836ABB" w:rsidRPr="007F4D19">
        <w:rPr>
          <w:iCs/>
        </w:rPr>
        <w:t xml:space="preserve">el </w:t>
      </w:r>
      <w:r w:rsidR="00836ABB" w:rsidRPr="007F4D19">
        <w:rPr>
          <w:rFonts w:cs="Arial"/>
          <w:iCs/>
          <w:snapToGrid w:val="0"/>
        </w:rPr>
        <w:t>TC</w:t>
      </w:r>
      <w:r w:rsidR="00836ABB" w:rsidRPr="007F4D19">
        <w:rPr>
          <w:rFonts w:cs="Arial"/>
          <w:iCs/>
          <w:snapToGrid w:val="0"/>
        </w:rPr>
        <w:noBreakHyphen/>
        <w:t>EDC</w:t>
      </w:r>
      <w:r w:rsidR="00836ABB" w:rsidRPr="007F4D19">
        <w:rPr>
          <w:iCs/>
        </w:rPr>
        <w:t xml:space="preserve"> agrupará los comentarios formulados por los </w:t>
      </w:r>
      <w:r w:rsidR="00EF49B6" w:rsidRPr="007F4D19">
        <w:rPr>
          <w:iCs/>
        </w:rPr>
        <w:t>TWP</w:t>
      </w:r>
      <w:r w:rsidR="00836ABB" w:rsidRPr="007F4D19">
        <w:rPr>
          <w:iCs/>
        </w:rPr>
        <w:t xml:space="preserve"> en sus </w:t>
      </w:r>
      <w:r w:rsidR="00EF49B6" w:rsidRPr="007F4D19">
        <w:rPr>
          <w:iCs/>
        </w:rPr>
        <w:t xml:space="preserve">sesiones </w:t>
      </w:r>
      <w:r w:rsidR="00836ABB" w:rsidRPr="007F4D19">
        <w:rPr>
          <w:iCs/>
        </w:rPr>
        <w:t>de</w:t>
      </w:r>
      <w:r w:rsidR="00582C7B" w:rsidRPr="007F4D19">
        <w:rPr>
          <w:iCs/>
        </w:rPr>
        <w:t> 2</w:t>
      </w:r>
      <w:r w:rsidR="00836ABB" w:rsidRPr="007F4D19">
        <w:rPr>
          <w:iCs/>
        </w:rPr>
        <w:t>017 y</w:t>
      </w:r>
      <w:r w:rsidR="00582C7B" w:rsidRPr="007F4D19">
        <w:rPr>
          <w:iCs/>
        </w:rPr>
        <w:t xml:space="preserve">, </w:t>
      </w:r>
      <w:r w:rsidR="00836ABB" w:rsidRPr="007F4D19">
        <w:rPr>
          <w:iCs/>
        </w:rPr>
        <w:t xml:space="preserve">si no existe consenso entre </w:t>
      </w:r>
      <w:r w:rsidR="00EF49B6" w:rsidRPr="007F4D19">
        <w:rPr>
          <w:iCs/>
        </w:rPr>
        <w:t>el</w:t>
      </w:r>
      <w:r w:rsidR="00836ABB" w:rsidRPr="007F4D19">
        <w:rPr>
          <w:iCs/>
        </w:rPr>
        <w:t>los</w:t>
      </w:r>
      <w:r w:rsidR="00582C7B" w:rsidRPr="007F4D19">
        <w:rPr>
          <w:iCs/>
        </w:rPr>
        <w:t xml:space="preserve">, </w:t>
      </w:r>
      <w:r w:rsidR="00836ABB" w:rsidRPr="007F4D19">
        <w:rPr>
          <w:iCs/>
        </w:rPr>
        <w:t>formular</w:t>
      </w:r>
      <w:r w:rsidR="00EF49B6" w:rsidRPr="007F4D19">
        <w:rPr>
          <w:iCs/>
        </w:rPr>
        <w:t>á</w:t>
      </w:r>
      <w:r w:rsidR="00836ABB" w:rsidRPr="007F4D19">
        <w:rPr>
          <w:iCs/>
        </w:rPr>
        <w:t xml:space="preserve"> propuestas para su ulterior examen por estos grupos en sus </w:t>
      </w:r>
      <w:r w:rsidR="00EF49B6" w:rsidRPr="007F4D19">
        <w:rPr>
          <w:iCs/>
        </w:rPr>
        <w:t xml:space="preserve">sesiones </w:t>
      </w:r>
      <w:r w:rsidR="00836ABB" w:rsidRPr="007F4D19">
        <w:rPr>
          <w:iCs/>
        </w:rPr>
        <w:t>d</w:t>
      </w:r>
      <w:r w:rsidR="00EF49B6" w:rsidRPr="007F4D19">
        <w:rPr>
          <w:iCs/>
        </w:rPr>
        <w:t>e</w:t>
      </w:r>
      <w:r w:rsidR="00582C7B" w:rsidRPr="007F4D19">
        <w:rPr>
          <w:iCs/>
        </w:rPr>
        <w:t> 2</w:t>
      </w:r>
      <w:r w:rsidR="00EF49B6" w:rsidRPr="007F4D19">
        <w:rPr>
          <w:iCs/>
        </w:rPr>
        <w:t>018.</w:t>
      </w:r>
      <w:r w:rsidR="00225F80" w:rsidRPr="00BA7873">
        <w:rPr>
          <w:iCs/>
        </w:rPr>
        <w:t xml:space="preserve"> </w:t>
      </w:r>
    </w:p>
    <w:p w:rsidR="00DD4A0D" w:rsidRPr="00BA7873" w:rsidRDefault="00DD4A0D" w:rsidP="00DD4A0D"/>
    <w:p w:rsidR="00DD4A0D" w:rsidRPr="00BA7873" w:rsidRDefault="00DD4A0D" w:rsidP="00DD4A0D"/>
    <w:p w:rsidR="00DD4A0D" w:rsidRPr="0098366C" w:rsidRDefault="00EF49B6" w:rsidP="00854F9B">
      <w:pPr>
        <w:pStyle w:val="Heading1"/>
        <w:rPr>
          <w:lang w:val="es-ES"/>
        </w:rPr>
      </w:pPr>
      <w:bookmarkStart w:id="6" w:name="_Toc526270402"/>
      <w:r w:rsidRPr="0098366C">
        <w:rPr>
          <w:lang w:val="es-ES"/>
        </w:rPr>
        <w:t>NOVEDADES ACAECIDAS EN</w:t>
      </w:r>
      <w:r w:rsidR="00582C7B" w:rsidRPr="0098366C">
        <w:rPr>
          <w:lang w:val="es-ES"/>
        </w:rPr>
        <w:t> 2</w:t>
      </w:r>
      <w:r w:rsidRPr="0098366C">
        <w:rPr>
          <w:lang w:val="es-ES"/>
        </w:rPr>
        <w:t>017</w:t>
      </w:r>
      <w:bookmarkEnd w:id="6"/>
    </w:p>
    <w:p w:rsidR="00DD4A0D" w:rsidRPr="00BA7873" w:rsidRDefault="00DD4A0D" w:rsidP="00DD4A0D">
      <w:pPr>
        <w:jc w:val="left"/>
      </w:pPr>
    </w:p>
    <w:p w:rsidR="00DD4A0D" w:rsidRPr="00BA7873" w:rsidRDefault="00EF49B6" w:rsidP="00854F9B">
      <w:pPr>
        <w:pStyle w:val="Heading2"/>
        <w:rPr>
          <w:iCs/>
        </w:rPr>
      </w:pPr>
      <w:bookmarkStart w:id="7" w:name="_Toc526270403"/>
      <w:r w:rsidRPr="007F4D19">
        <w:rPr>
          <w:rFonts w:eastAsia="MS Mincho"/>
          <w:lang w:eastAsia="ja-JP"/>
        </w:rPr>
        <w:t>Comité Técnico</w:t>
      </w:r>
      <w:bookmarkEnd w:id="7"/>
    </w:p>
    <w:p w:rsidR="00DD4A0D" w:rsidRPr="00BA7873" w:rsidRDefault="00DD4A0D" w:rsidP="00DD4A0D"/>
    <w:p w:rsidR="00DD4A0D" w:rsidRPr="00BA7873" w:rsidRDefault="00F60E7F" w:rsidP="00DD4A0D">
      <w:r w:rsidRPr="00D51062">
        <w:fldChar w:fldCharType="begin"/>
      </w:r>
      <w:r w:rsidR="00DD4A0D" w:rsidRPr="00BA7873">
        <w:instrText xml:space="preserve"> AUTONUM  </w:instrText>
      </w:r>
      <w:r w:rsidRPr="00D51062">
        <w:fldChar w:fldCharType="end"/>
      </w:r>
      <w:r w:rsidR="00DD4A0D" w:rsidRPr="00BA7873">
        <w:tab/>
      </w:r>
      <w:r w:rsidR="00EF49B6" w:rsidRPr="007F4D19">
        <w:t>En su quincuagésima tercera sesión</w:t>
      </w:r>
      <w:r w:rsidR="00582C7B" w:rsidRPr="007F4D19">
        <w:t xml:space="preserve">, </w:t>
      </w:r>
      <w:r w:rsidR="00EF49B6" w:rsidRPr="007F4D19">
        <w:t>celebrada en Ginebra del</w:t>
      </w:r>
      <w:r w:rsidR="00582C7B" w:rsidRPr="007F4D19">
        <w:t> 3</w:t>
      </w:r>
      <w:r w:rsidR="00EF49B6" w:rsidRPr="007F4D19">
        <w:t xml:space="preserve"> al</w:t>
      </w:r>
      <w:r w:rsidR="00582C7B" w:rsidRPr="007F4D19">
        <w:t> 6</w:t>
      </w:r>
      <w:r w:rsidR="00EF49B6" w:rsidRPr="007F4D19">
        <w:t xml:space="preserve"> de abril de</w:t>
      </w:r>
      <w:r w:rsidR="00582C7B" w:rsidRPr="007F4D19">
        <w:t> 2</w:t>
      </w:r>
      <w:r w:rsidR="00EF49B6" w:rsidRPr="007F4D19">
        <w:t>017</w:t>
      </w:r>
      <w:r w:rsidR="00582C7B" w:rsidRPr="007F4D19">
        <w:t xml:space="preserve">, </w:t>
      </w:r>
      <w:r w:rsidR="00EF49B6" w:rsidRPr="007F4D19">
        <w:t>el TC examinó el documento TC/53/5 “Documentos TGP” (véanse los párrafos</w:t>
      </w:r>
      <w:r w:rsidR="00582C7B" w:rsidRPr="007F4D19">
        <w:t> 1</w:t>
      </w:r>
      <w:r w:rsidR="00EF49B6" w:rsidRPr="007F4D19">
        <w:t>26 a</w:t>
      </w:r>
      <w:r w:rsidR="00582C7B" w:rsidRPr="007F4D19">
        <w:t> 1</w:t>
      </w:r>
      <w:r w:rsidR="00EF49B6" w:rsidRPr="007F4D19">
        <w:t>28 del documento TC/53/31).</w:t>
      </w:r>
    </w:p>
    <w:p w:rsidR="00DD4A0D" w:rsidRPr="00BA7873" w:rsidRDefault="00DD4A0D" w:rsidP="00DD4A0D"/>
    <w:p w:rsidR="00DD4A0D" w:rsidRPr="00BA7873" w:rsidRDefault="00F60E7F" w:rsidP="00DD4A0D">
      <w:r w:rsidRPr="00D51062">
        <w:fldChar w:fldCharType="begin"/>
      </w:r>
      <w:r w:rsidR="00DD4A0D" w:rsidRPr="00BA7873">
        <w:instrText xml:space="preserve"> AUTONUM  </w:instrText>
      </w:r>
      <w:r w:rsidRPr="00D51062">
        <w:fldChar w:fldCharType="end"/>
      </w:r>
      <w:r w:rsidR="00DD4A0D" w:rsidRPr="00BA7873">
        <w:tab/>
      </w:r>
      <w:r w:rsidR="00EF49B6" w:rsidRPr="007F4D19">
        <w:t>El TC examinó la propuesta del TWF de corregir el documento TGP/7 “Elaboración de las directrices de examen” para introducir nuevo texto estándar en la plantilla de directrices de examen y modificar el texto estándar adicional</w:t>
      </w:r>
      <w:r w:rsidR="00582C7B" w:rsidRPr="007F4D19">
        <w:t> 2</w:t>
      </w:r>
      <w:r w:rsidR="00EF49B6" w:rsidRPr="007F4D19">
        <w:t xml:space="preserve"> a fin de aclarar la duración del examen DHE</w:t>
      </w:r>
      <w:r w:rsidR="00582C7B" w:rsidRPr="007F4D19">
        <w:t xml:space="preserve">, </w:t>
      </w:r>
      <w:r w:rsidR="00EF49B6" w:rsidRPr="007F4D19">
        <w:t>según se expone a continuación:</w:t>
      </w:r>
    </w:p>
    <w:p w:rsidR="00DD4A0D" w:rsidRPr="00BA7873" w:rsidRDefault="00DD4A0D" w:rsidP="00DD4A0D"/>
    <w:p w:rsidR="00DD4A0D" w:rsidRPr="00BA7873" w:rsidRDefault="00EF49B6" w:rsidP="007F4D19">
      <w:pPr>
        <w:numPr>
          <w:ilvl w:val="0"/>
          <w:numId w:val="1"/>
        </w:numPr>
        <w:autoSpaceDE w:val="0"/>
        <w:autoSpaceDN w:val="0"/>
        <w:adjustRightInd w:val="0"/>
        <w:spacing w:after="120"/>
        <w:jc w:val="left"/>
        <w:rPr>
          <w:rFonts w:eastAsia="Cambria" w:cs="Arial"/>
          <w:b/>
          <w:i/>
          <w:sz w:val="18"/>
          <w:szCs w:val="18"/>
        </w:rPr>
      </w:pPr>
      <w:r w:rsidRPr="007F4D19">
        <w:rPr>
          <w:rFonts w:eastAsia="Cambria" w:cs="Arial"/>
          <w:b/>
          <w:i/>
          <w:sz w:val="18"/>
          <w:szCs w:val="18"/>
        </w:rPr>
        <w:t>Añadir una frase estándar en el capítulo</w:t>
      </w:r>
      <w:r w:rsidR="00582C7B" w:rsidRPr="007F4D19">
        <w:rPr>
          <w:rFonts w:eastAsia="Cambria" w:cs="Arial"/>
          <w:b/>
          <w:i/>
          <w:sz w:val="18"/>
          <w:szCs w:val="18"/>
        </w:rPr>
        <w:t> 3</w:t>
      </w:r>
      <w:r w:rsidRPr="007F4D19">
        <w:rPr>
          <w:rFonts w:eastAsia="Cambria" w:cs="Arial"/>
          <w:b/>
          <w:i/>
          <w:sz w:val="18"/>
          <w:szCs w:val="18"/>
        </w:rPr>
        <w:t xml:space="preserve"> de la plantilla de los documentos TG de la UPOV de modo que el texto quede como sigue:</w:t>
      </w:r>
    </w:p>
    <w:p w:rsidR="00DD4A0D" w:rsidRPr="00BA7873" w:rsidRDefault="00DD4A0D" w:rsidP="00DD4A0D">
      <w:pPr>
        <w:autoSpaceDE w:val="0"/>
        <w:autoSpaceDN w:val="0"/>
        <w:adjustRightInd w:val="0"/>
        <w:ind w:right="567" w:firstLine="360"/>
        <w:jc w:val="left"/>
        <w:rPr>
          <w:rFonts w:eastAsia="Cambria" w:cs="Arial"/>
          <w:sz w:val="18"/>
          <w:szCs w:val="18"/>
        </w:rPr>
      </w:pPr>
      <w:r w:rsidRPr="00BA7873">
        <w:rPr>
          <w:rFonts w:eastAsia="Cambria" w:cs="Arial"/>
          <w:sz w:val="18"/>
          <w:szCs w:val="18"/>
        </w:rPr>
        <w:t xml:space="preserve">“3. </w:t>
      </w:r>
      <w:r w:rsidR="00EF49B6" w:rsidRPr="007F4D19">
        <w:rPr>
          <w:rFonts w:eastAsia="Cambria" w:cs="Arial"/>
          <w:sz w:val="18"/>
          <w:szCs w:val="18"/>
        </w:rPr>
        <w:t>Método de examen</w:t>
      </w:r>
    </w:p>
    <w:p w:rsidR="00DD4A0D" w:rsidRPr="00BA7873" w:rsidRDefault="00DD4A0D" w:rsidP="00DD4A0D">
      <w:pPr>
        <w:autoSpaceDE w:val="0"/>
        <w:autoSpaceDN w:val="0"/>
        <w:adjustRightInd w:val="0"/>
        <w:ind w:right="567" w:firstLine="360"/>
        <w:jc w:val="left"/>
        <w:rPr>
          <w:rFonts w:eastAsia="Cambria" w:cs="Arial"/>
          <w:sz w:val="18"/>
          <w:szCs w:val="18"/>
        </w:rPr>
      </w:pPr>
    </w:p>
    <w:p w:rsidR="00DD4A0D" w:rsidRPr="00BA7873" w:rsidRDefault="00DD4A0D" w:rsidP="00DD4A0D">
      <w:pPr>
        <w:autoSpaceDE w:val="0"/>
        <w:autoSpaceDN w:val="0"/>
        <w:adjustRightInd w:val="0"/>
        <w:ind w:left="567" w:right="567"/>
        <w:jc w:val="left"/>
        <w:rPr>
          <w:rFonts w:eastAsia="Cambria" w:cs="Arial"/>
          <w:i/>
          <w:iCs/>
          <w:sz w:val="18"/>
          <w:szCs w:val="18"/>
        </w:rPr>
      </w:pPr>
      <w:r w:rsidRPr="00BA7873">
        <w:rPr>
          <w:rFonts w:eastAsia="Cambria" w:cs="Arial"/>
          <w:i/>
          <w:iCs/>
          <w:sz w:val="18"/>
          <w:szCs w:val="18"/>
        </w:rPr>
        <w:t xml:space="preserve">3.1 </w:t>
      </w:r>
      <w:r w:rsidR="00EF49B6" w:rsidRPr="007F4D19">
        <w:rPr>
          <w:rFonts w:eastAsia="Cambria" w:cs="Arial"/>
          <w:i/>
          <w:iCs/>
          <w:sz w:val="18"/>
          <w:szCs w:val="18"/>
        </w:rPr>
        <w:t>Número de ciclos de cultivo</w:t>
      </w:r>
    </w:p>
    <w:p w:rsidR="00DD4A0D" w:rsidRPr="00BA7873" w:rsidRDefault="00DD4A0D" w:rsidP="00DD4A0D">
      <w:pPr>
        <w:autoSpaceDE w:val="0"/>
        <w:autoSpaceDN w:val="0"/>
        <w:adjustRightInd w:val="0"/>
        <w:ind w:left="567" w:right="567"/>
        <w:jc w:val="left"/>
        <w:rPr>
          <w:rFonts w:eastAsia="Cambria" w:cs="Arial"/>
          <w:i/>
          <w:iCs/>
          <w:sz w:val="18"/>
          <w:szCs w:val="18"/>
        </w:rPr>
      </w:pPr>
    </w:p>
    <w:p w:rsidR="00DD4A0D" w:rsidRPr="00BA7873" w:rsidRDefault="00EF49B6" w:rsidP="00DD4A0D">
      <w:pPr>
        <w:autoSpaceDE w:val="0"/>
        <w:autoSpaceDN w:val="0"/>
        <w:adjustRightInd w:val="0"/>
        <w:ind w:left="567" w:right="567" w:firstLine="567"/>
        <w:jc w:val="left"/>
        <w:rPr>
          <w:rFonts w:eastAsia="Cambria" w:cs="Arial"/>
          <w:sz w:val="18"/>
          <w:szCs w:val="18"/>
        </w:rPr>
      </w:pPr>
      <w:r w:rsidRPr="007F4D19">
        <w:rPr>
          <w:rFonts w:eastAsia="Cambria" w:cs="Arial"/>
          <w:sz w:val="18"/>
          <w:szCs w:val="18"/>
        </w:rPr>
        <w:t>La duración mínima de los ensayos deberá ser normalmente de:</w:t>
      </w:r>
    </w:p>
    <w:p w:rsidR="00DD4A0D" w:rsidRPr="00BA7873" w:rsidRDefault="00DD4A0D" w:rsidP="00DD4A0D">
      <w:pPr>
        <w:autoSpaceDE w:val="0"/>
        <w:autoSpaceDN w:val="0"/>
        <w:adjustRightInd w:val="0"/>
        <w:ind w:left="567" w:right="567" w:firstLine="567"/>
        <w:jc w:val="left"/>
        <w:rPr>
          <w:rFonts w:eastAsia="Cambria" w:cs="Arial"/>
          <w:sz w:val="18"/>
          <w:szCs w:val="18"/>
        </w:rPr>
      </w:pPr>
    </w:p>
    <w:p w:rsidR="00DD4A0D" w:rsidRPr="00BA7873" w:rsidRDefault="00EF49B6" w:rsidP="00DD4A0D">
      <w:pPr>
        <w:autoSpaceDE w:val="0"/>
        <w:autoSpaceDN w:val="0"/>
        <w:adjustRightInd w:val="0"/>
        <w:ind w:left="567" w:right="567" w:firstLine="567"/>
        <w:jc w:val="left"/>
        <w:rPr>
          <w:rFonts w:eastAsia="Cambria" w:cs="Arial"/>
          <w:sz w:val="18"/>
          <w:szCs w:val="18"/>
        </w:rPr>
      </w:pPr>
      <w:proofErr w:type="gramStart"/>
      <w:r w:rsidRPr="007F4D19">
        <w:rPr>
          <w:rFonts w:eastAsia="Cambria" w:cs="Arial"/>
          <w:sz w:val="18"/>
          <w:szCs w:val="18"/>
        </w:rPr>
        <w:t xml:space="preserve">{ </w:t>
      </w:r>
      <w:r w:rsidRPr="007F4D19">
        <w:rPr>
          <w:rFonts w:eastAsia="Cambria" w:cs="Arial"/>
          <w:b/>
          <w:sz w:val="18"/>
          <w:szCs w:val="18"/>
        </w:rPr>
        <w:t>ASW</w:t>
      </w:r>
      <w:proofErr w:type="gramEnd"/>
      <w:r w:rsidR="00582C7B" w:rsidRPr="007F4D19">
        <w:rPr>
          <w:rFonts w:eastAsia="Cambria" w:cs="Arial"/>
          <w:b/>
          <w:sz w:val="18"/>
          <w:szCs w:val="18"/>
        </w:rPr>
        <w:t> 2</w:t>
      </w:r>
      <w:r w:rsidRPr="007F4D19">
        <w:rPr>
          <w:rFonts w:eastAsia="Cambria" w:cs="Arial"/>
          <w:b/>
          <w:sz w:val="18"/>
          <w:szCs w:val="18"/>
        </w:rPr>
        <w:t xml:space="preserve"> </w:t>
      </w:r>
      <w:r w:rsidRPr="007F4D19">
        <w:rPr>
          <w:rFonts w:eastAsia="Cambria" w:cs="Arial"/>
          <w:sz w:val="18"/>
          <w:szCs w:val="18"/>
        </w:rPr>
        <w:t>(</w:t>
      </w:r>
      <w:r w:rsidR="007F4D19" w:rsidRPr="007F4D19">
        <w:rPr>
          <w:rFonts w:eastAsia="Cambria" w:cs="Arial"/>
          <w:sz w:val="18"/>
          <w:szCs w:val="18"/>
        </w:rPr>
        <w:t>Capítulo</w:t>
      </w:r>
      <w:r w:rsidR="00582C7B" w:rsidRPr="007F4D19">
        <w:rPr>
          <w:rFonts w:eastAsia="Cambria" w:cs="Arial"/>
          <w:sz w:val="18"/>
          <w:szCs w:val="18"/>
        </w:rPr>
        <w:t> 3</w:t>
      </w:r>
      <w:r w:rsidRPr="007F4D19">
        <w:rPr>
          <w:rFonts w:eastAsia="Cambria" w:cs="Arial"/>
          <w:sz w:val="18"/>
          <w:szCs w:val="18"/>
        </w:rPr>
        <w:t>.1(.1)) – Número de ciclos de cultivo }</w:t>
      </w:r>
    </w:p>
    <w:p w:rsidR="00DD4A0D" w:rsidRPr="00BA7873" w:rsidRDefault="00EF49B6" w:rsidP="00DD4A0D">
      <w:pPr>
        <w:autoSpaceDE w:val="0"/>
        <w:autoSpaceDN w:val="0"/>
        <w:adjustRightInd w:val="0"/>
        <w:ind w:left="567" w:right="567" w:firstLine="567"/>
        <w:jc w:val="left"/>
        <w:rPr>
          <w:rFonts w:eastAsia="Cambria" w:cs="Arial"/>
          <w:sz w:val="18"/>
          <w:szCs w:val="18"/>
        </w:rPr>
      </w:pPr>
      <w:proofErr w:type="gramStart"/>
      <w:r w:rsidRPr="007F4D19">
        <w:rPr>
          <w:rFonts w:eastAsia="Cambria" w:cs="Arial"/>
          <w:sz w:val="18"/>
          <w:szCs w:val="18"/>
        </w:rPr>
        <w:t>{ GN</w:t>
      </w:r>
      <w:proofErr w:type="gramEnd"/>
      <w:r w:rsidR="00582C7B" w:rsidRPr="007F4D19">
        <w:rPr>
          <w:rFonts w:eastAsia="Cambria" w:cs="Arial"/>
          <w:sz w:val="18"/>
          <w:szCs w:val="18"/>
        </w:rPr>
        <w:t> 8</w:t>
      </w:r>
      <w:r w:rsidRPr="007F4D19">
        <w:rPr>
          <w:rFonts w:eastAsia="Cambria" w:cs="Arial"/>
          <w:sz w:val="18"/>
          <w:szCs w:val="18"/>
        </w:rPr>
        <w:t xml:space="preserve"> (</w:t>
      </w:r>
      <w:r w:rsidR="007F4D19" w:rsidRPr="007F4D19">
        <w:rPr>
          <w:rFonts w:eastAsia="Cambria" w:cs="Arial"/>
          <w:sz w:val="18"/>
          <w:szCs w:val="18"/>
        </w:rPr>
        <w:t>Capítulo</w:t>
      </w:r>
      <w:r w:rsidR="00582C7B" w:rsidRPr="007F4D19">
        <w:rPr>
          <w:rFonts w:eastAsia="Cambria" w:cs="Arial"/>
          <w:sz w:val="18"/>
          <w:szCs w:val="18"/>
        </w:rPr>
        <w:t> 3</w:t>
      </w:r>
      <w:r w:rsidRPr="007F4D19">
        <w:rPr>
          <w:rFonts w:eastAsia="Cambria" w:cs="Arial"/>
          <w:sz w:val="18"/>
          <w:szCs w:val="18"/>
        </w:rPr>
        <w:t>.1.2) – Explicación del ciclo de cultivo }</w:t>
      </w:r>
    </w:p>
    <w:p w:rsidR="00DD4A0D" w:rsidRPr="00BA7873" w:rsidRDefault="00EF49B6" w:rsidP="00DD4A0D">
      <w:pPr>
        <w:autoSpaceDE w:val="0"/>
        <w:autoSpaceDN w:val="0"/>
        <w:adjustRightInd w:val="0"/>
        <w:ind w:left="567" w:right="567" w:firstLine="567"/>
        <w:rPr>
          <w:rFonts w:eastAsia="Cambria" w:cs="Arial"/>
          <w:sz w:val="18"/>
          <w:szCs w:val="18"/>
        </w:rPr>
      </w:pPr>
      <w:proofErr w:type="gramStart"/>
      <w:r w:rsidRPr="007F4D19">
        <w:rPr>
          <w:rFonts w:eastAsia="Cambria" w:cs="Arial"/>
          <w:sz w:val="18"/>
          <w:szCs w:val="18"/>
        </w:rPr>
        <w:t xml:space="preserve">{ </w:t>
      </w:r>
      <w:r w:rsidRPr="007F4D19">
        <w:rPr>
          <w:rFonts w:eastAsia="Cambria" w:cs="Arial"/>
          <w:b/>
          <w:sz w:val="18"/>
          <w:szCs w:val="18"/>
        </w:rPr>
        <w:t>ASW</w:t>
      </w:r>
      <w:proofErr w:type="gramEnd"/>
      <w:r w:rsidR="00582C7B" w:rsidRPr="007F4D19">
        <w:rPr>
          <w:rFonts w:eastAsia="Cambria" w:cs="Arial"/>
          <w:b/>
          <w:sz w:val="18"/>
          <w:szCs w:val="18"/>
        </w:rPr>
        <w:t> 3</w:t>
      </w:r>
      <w:r w:rsidRPr="007F4D19">
        <w:rPr>
          <w:rFonts w:eastAsia="Cambria" w:cs="Arial"/>
          <w:b/>
          <w:sz w:val="18"/>
          <w:szCs w:val="18"/>
        </w:rPr>
        <w:t xml:space="preserve"> </w:t>
      </w:r>
      <w:r w:rsidRPr="007F4D19">
        <w:rPr>
          <w:rFonts w:eastAsia="Cambria" w:cs="Arial"/>
          <w:sz w:val="18"/>
          <w:szCs w:val="18"/>
        </w:rPr>
        <w:t>(</w:t>
      </w:r>
      <w:r w:rsidR="007F4D19" w:rsidRPr="007F4D19">
        <w:rPr>
          <w:rFonts w:eastAsia="Cambria" w:cs="Arial"/>
          <w:sz w:val="18"/>
          <w:szCs w:val="18"/>
        </w:rPr>
        <w:t>Capítulo</w:t>
      </w:r>
      <w:r w:rsidR="00582C7B" w:rsidRPr="007F4D19">
        <w:rPr>
          <w:rFonts w:eastAsia="Cambria" w:cs="Arial"/>
          <w:sz w:val="18"/>
          <w:szCs w:val="18"/>
        </w:rPr>
        <w:t> 3</w:t>
      </w:r>
      <w:r w:rsidRPr="007F4D19">
        <w:rPr>
          <w:rFonts w:eastAsia="Cambria" w:cs="Arial"/>
          <w:sz w:val="18"/>
          <w:szCs w:val="18"/>
        </w:rPr>
        <w:t>.1.2) – Explicación del ciclo de cultivo }</w:t>
      </w:r>
    </w:p>
    <w:p w:rsidR="00DD4A0D" w:rsidRPr="00BA7873" w:rsidRDefault="00DD4A0D" w:rsidP="00DD4A0D">
      <w:pPr>
        <w:autoSpaceDE w:val="0"/>
        <w:autoSpaceDN w:val="0"/>
        <w:adjustRightInd w:val="0"/>
        <w:ind w:left="567" w:right="567" w:firstLine="567"/>
        <w:rPr>
          <w:rFonts w:eastAsia="Cambria" w:cs="Arial"/>
          <w:color w:val="000000"/>
          <w:sz w:val="18"/>
          <w:szCs w:val="18"/>
        </w:rPr>
      </w:pPr>
    </w:p>
    <w:p w:rsidR="00DD4A0D" w:rsidRPr="00BA7873" w:rsidRDefault="00937D59" w:rsidP="00DD4A0D">
      <w:pPr>
        <w:shd w:val="clear" w:color="auto" w:fill="FFFFFF" w:themeFill="background1"/>
        <w:autoSpaceDE w:val="0"/>
        <w:autoSpaceDN w:val="0"/>
        <w:adjustRightInd w:val="0"/>
        <w:ind w:left="567" w:right="567" w:firstLine="567"/>
        <w:rPr>
          <w:rFonts w:eastAsia="Cambria" w:cs="Arial"/>
          <w:sz w:val="18"/>
          <w:szCs w:val="18"/>
          <w:u w:val="single"/>
          <w:lang w:eastAsia="fr-FR"/>
        </w:rPr>
      </w:pPr>
      <w:r w:rsidRPr="007F4D19">
        <w:rPr>
          <w:rFonts w:eastAsia="Cambria" w:cs="Arial"/>
          <w:sz w:val="18"/>
          <w:szCs w:val="18"/>
          <w:highlight w:val="lightGray"/>
          <w:u w:val="single"/>
          <w:lang w:eastAsia="fr-FR"/>
        </w:rPr>
        <w:t>En cuanto se pueda establecer con certeza que el resultado del examen DHE será negativo</w:t>
      </w:r>
      <w:r w:rsidR="00582C7B" w:rsidRPr="007F4D19">
        <w:rPr>
          <w:rFonts w:eastAsia="Cambria" w:cs="Arial"/>
          <w:sz w:val="18"/>
          <w:szCs w:val="18"/>
          <w:highlight w:val="lightGray"/>
          <w:u w:val="single"/>
          <w:lang w:eastAsia="fr-FR"/>
        </w:rPr>
        <w:t xml:space="preserve">, </w:t>
      </w:r>
      <w:r w:rsidRPr="007F4D19">
        <w:rPr>
          <w:rFonts w:eastAsia="Cambria" w:cs="Arial"/>
          <w:sz w:val="18"/>
          <w:szCs w:val="18"/>
          <w:highlight w:val="lightGray"/>
          <w:u w:val="single"/>
          <w:lang w:eastAsia="fr-FR"/>
        </w:rPr>
        <w:t>se lo puede detener independientemente del número de ciclos de cultivo llevados a cabo hasta el momento.</w:t>
      </w:r>
      <w:r w:rsidR="00EF49B6" w:rsidRPr="00BA7873">
        <w:rPr>
          <w:rFonts w:eastAsia="Cambria" w:cs="Arial"/>
          <w:sz w:val="18"/>
          <w:szCs w:val="18"/>
          <w:lang w:eastAsia="fr-FR"/>
        </w:rPr>
        <w:t>”</w:t>
      </w:r>
    </w:p>
    <w:p w:rsidR="00DD4A0D" w:rsidRPr="00BA7873" w:rsidRDefault="00DD4A0D" w:rsidP="00DD4A0D">
      <w:pPr>
        <w:autoSpaceDE w:val="0"/>
        <w:autoSpaceDN w:val="0"/>
        <w:adjustRightInd w:val="0"/>
        <w:ind w:right="567"/>
        <w:rPr>
          <w:rFonts w:eastAsia="Cambria" w:cs="Arial"/>
          <w:sz w:val="18"/>
          <w:szCs w:val="18"/>
        </w:rPr>
      </w:pPr>
    </w:p>
    <w:p w:rsidR="00DD4A0D" w:rsidRPr="00BA7873" w:rsidRDefault="00937D59" w:rsidP="007F4D19">
      <w:pPr>
        <w:keepNext/>
        <w:numPr>
          <w:ilvl w:val="0"/>
          <w:numId w:val="1"/>
        </w:numPr>
        <w:autoSpaceDE w:val="0"/>
        <w:autoSpaceDN w:val="0"/>
        <w:adjustRightInd w:val="0"/>
        <w:spacing w:after="120"/>
        <w:ind w:right="567"/>
        <w:jc w:val="left"/>
        <w:rPr>
          <w:rFonts w:eastAsia="Cambria" w:cs="Arial"/>
          <w:sz w:val="18"/>
          <w:szCs w:val="18"/>
        </w:rPr>
      </w:pPr>
      <w:r w:rsidRPr="007F4D19">
        <w:rPr>
          <w:rFonts w:eastAsia="Cambria" w:cs="Arial"/>
          <w:b/>
          <w:i/>
          <w:sz w:val="18"/>
          <w:szCs w:val="18"/>
        </w:rPr>
        <w:t>Opción(es) adicional(es) que ha(n) de incluirse en el ASW</w:t>
      </w:r>
      <w:r w:rsidR="00582C7B" w:rsidRPr="007F4D19">
        <w:rPr>
          <w:rFonts w:eastAsia="Cambria" w:cs="Arial"/>
          <w:b/>
          <w:i/>
          <w:sz w:val="18"/>
          <w:szCs w:val="18"/>
        </w:rPr>
        <w:t> 2</w:t>
      </w:r>
    </w:p>
    <w:p w:rsidR="00DD4A0D" w:rsidRPr="00BA7873" w:rsidRDefault="00937D59" w:rsidP="00DD4A0D">
      <w:pPr>
        <w:autoSpaceDE w:val="0"/>
        <w:autoSpaceDN w:val="0"/>
        <w:adjustRightInd w:val="0"/>
        <w:ind w:left="567" w:right="567"/>
        <w:jc w:val="left"/>
        <w:rPr>
          <w:rFonts w:eastAsia="Cambria" w:cs="Arial"/>
          <w:sz w:val="18"/>
          <w:szCs w:val="18"/>
        </w:rPr>
      </w:pPr>
      <w:r w:rsidRPr="007F4D19">
        <w:rPr>
          <w:rFonts w:eastAsia="Cambria" w:cs="Arial"/>
          <w:sz w:val="18"/>
          <w:szCs w:val="18"/>
        </w:rPr>
        <w:t>ASW</w:t>
      </w:r>
      <w:r w:rsidR="00582C7B" w:rsidRPr="007F4D19">
        <w:rPr>
          <w:rFonts w:eastAsia="Cambria" w:cs="Arial"/>
          <w:sz w:val="18"/>
          <w:szCs w:val="18"/>
        </w:rPr>
        <w:t> 2</w:t>
      </w:r>
      <w:r w:rsidRPr="007F4D19">
        <w:rPr>
          <w:rFonts w:eastAsia="Cambria" w:cs="Arial"/>
          <w:sz w:val="18"/>
          <w:szCs w:val="18"/>
        </w:rPr>
        <w:t xml:space="preserve"> (Plantilla de los documentos TG:</w:t>
      </w:r>
      <w:r w:rsidR="00DD4A0D" w:rsidRPr="00BA7873">
        <w:rPr>
          <w:rFonts w:eastAsia="Cambria" w:cs="Arial"/>
          <w:sz w:val="18"/>
          <w:szCs w:val="18"/>
        </w:rPr>
        <w:t xml:space="preserve"> </w:t>
      </w:r>
      <w:r w:rsidR="00D86065" w:rsidRPr="00E41525">
        <w:rPr>
          <w:rFonts w:eastAsia="Cambria" w:cs="Arial"/>
          <w:sz w:val="18"/>
          <w:szCs w:val="18"/>
        </w:rPr>
        <w:t>Capítulo</w:t>
      </w:r>
      <w:r w:rsidR="00582C7B" w:rsidRPr="00E41525">
        <w:rPr>
          <w:rFonts w:eastAsia="Cambria" w:cs="Arial"/>
          <w:sz w:val="18"/>
          <w:szCs w:val="18"/>
        </w:rPr>
        <w:t> 3</w:t>
      </w:r>
      <w:r w:rsidRPr="00E41525">
        <w:rPr>
          <w:rFonts w:eastAsia="Cambria" w:cs="Arial"/>
          <w:sz w:val="18"/>
          <w:szCs w:val="18"/>
        </w:rPr>
        <w:t>.1) – Número de ciclos de cultivo</w:t>
      </w:r>
    </w:p>
    <w:p w:rsidR="00DD4A0D" w:rsidRPr="00BA7873" w:rsidRDefault="00DD4A0D" w:rsidP="00DD4A0D">
      <w:pPr>
        <w:autoSpaceDE w:val="0"/>
        <w:autoSpaceDN w:val="0"/>
        <w:adjustRightInd w:val="0"/>
        <w:ind w:left="567" w:right="567"/>
        <w:jc w:val="left"/>
        <w:rPr>
          <w:rFonts w:eastAsia="Cambria" w:cs="Arial"/>
          <w:sz w:val="18"/>
          <w:szCs w:val="18"/>
        </w:rPr>
      </w:pPr>
    </w:p>
    <w:p w:rsidR="00DD4A0D" w:rsidRPr="00A46122" w:rsidRDefault="005807FA" w:rsidP="00DD4A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7"/>
        <w:rPr>
          <w:rFonts w:ascii="Arial" w:eastAsia="Cambria" w:hAnsi="Arial" w:cs="Arial"/>
          <w:i/>
          <w:iCs/>
          <w:sz w:val="18"/>
          <w:szCs w:val="18"/>
        </w:rPr>
      </w:pPr>
      <w:r w:rsidRPr="00E41525">
        <w:rPr>
          <w:rFonts w:ascii="Arial" w:eastAsia="Cambria" w:hAnsi="Arial" w:cs="Arial"/>
          <w:i/>
          <w:iCs/>
          <w:sz w:val="18"/>
          <w:szCs w:val="18"/>
          <w:lang w:val="es-ES_tradnl"/>
        </w:rPr>
        <w:t xml:space="preserve">Ciclo </w:t>
      </w:r>
      <w:r w:rsidR="00E41525" w:rsidRPr="00E41525">
        <w:rPr>
          <w:rFonts w:ascii="Arial" w:eastAsia="Cambria" w:hAnsi="Arial" w:cs="Arial"/>
          <w:i/>
          <w:iCs/>
          <w:sz w:val="18"/>
          <w:szCs w:val="18"/>
          <w:lang w:val="es-ES_tradnl"/>
        </w:rPr>
        <w:t xml:space="preserve">único </w:t>
      </w:r>
      <w:r w:rsidRPr="00E41525">
        <w:rPr>
          <w:rFonts w:ascii="Arial" w:eastAsia="Cambria" w:hAnsi="Arial" w:cs="Arial"/>
          <w:i/>
          <w:iCs/>
          <w:sz w:val="18"/>
          <w:szCs w:val="18"/>
          <w:lang w:val="es-ES_tradnl"/>
        </w:rPr>
        <w:t>de cultivo</w:t>
      </w:r>
    </w:p>
    <w:p w:rsidR="00DD4A0D" w:rsidRPr="00A46122" w:rsidRDefault="00DD4A0D" w:rsidP="00DD4A0D">
      <w:pPr>
        <w:pStyle w:val="ListParagraph"/>
        <w:ind w:left="927"/>
        <w:rPr>
          <w:rFonts w:ascii="Arial" w:hAnsi="Arial" w:cs="Arial"/>
          <w:sz w:val="18"/>
          <w:szCs w:val="18"/>
        </w:rPr>
      </w:pPr>
    </w:p>
    <w:p w:rsidR="00DD4A0D" w:rsidRPr="00BA7873" w:rsidRDefault="00DD4A0D" w:rsidP="00E41525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80" w:lineRule="auto"/>
        <w:ind w:left="924" w:right="567" w:hanging="357"/>
        <w:rPr>
          <w:rFonts w:ascii="Arial" w:eastAsia="Cambria" w:hAnsi="Arial" w:cs="Arial"/>
          <w:sz w:val="18"/>
          <w:szCs w:val="18"/>
          <w:lang w:val="es-ES_tradnl"/>
        </w:rPr>
      </w:pPr>
      <w:r w:rsidRPr="00BA7873">
        <w:rPr>
          <w:rFonts w:ascii="Arial" w:eastAsia="Cambria" w:hAnsi="Arial" w:cs="Arial"/>
          <w:sz w:val="18"/>
          <w:szCs w:val="18"/>
          <w:lang w:val="es-ES_tradnl"/>
        </w:rPr>
        <w:t xml:space="preserve"> “</w:t>
      </w:r>
      <w:r w:rsidR="005807FA" w:rsidRPr="00E41525">
        <w:rPr>
          <w:rFonts w:ascii="Arial" w:eastAsia="Cambria" w:hAnsi="Arial" w:cs="Arial"/>
          <w:sz w:val="18"/>
          <w:szCs w:val="18"/>
          <w:lang w:val="es-ES_tradnl"/>
        </w:rPr>
        <w:t xml:space="preserve">La duración </w:t>
      </w:r>
      <w:r w:rsidR="005807FA" w:rsidRPr="00E41525">
        <w:rPr>
          <w:rFonts w:ascii="Arial" w:eastAsia="Cambria" w:hAnsi="Arial" w:cs="Arial"/>
          <w:strike/>
          <w:sz w:val="18"/>
          <w:szCs w:val="18"/>
          <w:highlight w:val="lightGray"/>
          <w:lang w:val="es-ES_tradnl"/>
        </w:rPr>
        <w:t>mínima</w:t>
      </w:r>
      <w:r w:rsidR="005807FA" w:rsidRPr="00E41525">
        <w:rPr>
          <w:rFonts w:ascii="Arial" w:eastAsia="Cambria" w:hAnsi="Arial" w:cs="Arial"/>
          <w:sz w:val="18"/>
          <w:szCs w:val="18"/>
          <w:lang w:val="es-ES_tradnl"/>
        </w:rPr>
        <w:t xml:space="preserve"> de los ensayos deberá ser </w:t>
      </w:r>
      <w:r w:rsidR="005807FA" w:rsidRPr="00E41525">
        <w:rPr>
          <w:rFonts w:ascii="Arial" w:eastAsia="Cambria" w:hAnsi="Arial" w:cs="Arial"/>
          <w:strike/>
          <w:sz w:val="18"/>
          <w:szCs w:val="18"/>
          <w:highlight w:val="lightGray"/>
          <w:lang w:val="es-ES_tradnl"/>
        </w:rPr>
        <w:t>normalmente</w:t>
      </w:r>
      <w:r w:rsidR="00582C7B" w:rsidRPr="00E41525">
        <w:rPr>
          <w:rFonts w:ascii="Arial" w:eastAsia="Cambria" w:hAnsi="Arial" w:cs="Arial"/>
          <w:sz w:val="18"/>
          <w:szCs w:val="18"/>
          <w:highlight w:val="lightGray"/>
          <w:u w:val="single"/>
          <w:lang w:val="es-ES_tradnl"/>
        </w:rPr>
        <w:t xml:space="preserve">, </w:t>
      </w:r>
      <w:r w:rsidR="004C1F7A" w:rsidRPr="00E41525">
        <w:rPr>
          <w:rFonts w:ascii="Arial" w:eastAsia="Cambria" w:hAnsi="Arial" w:cs="Arial"/>
          <w:sz w:val="18"/>
          <w:szCs w:val="18"/>
          <w:highlight w:val="lightGray"/>
          <w:u w:val="single"/>
          <w:lang w:val="es-ES_tradnl"/>
        </w:rPr>
        <w:t>por lo general</w:t>
      </w:r>
      <w:r w:rsidR="00582C7B" w:rsidRPr="00E41525">
        <w:rPr>
          <w:rFonts w:ascii="Arial" w:eastAsia="Cambria" w:hAnsi="Arial" w:cs="Arial"/>
          <w:sz w:val="18"/>
          <w:szCs w:val="18"/>
          <w:highlight w:val="lightGray"/>
          <w:u w:val="single"/>
          <w:lang w:val="es-ES_tradnl"/>
        </w:rPr>
        <w:t xml:space="preserve">, </w:t>
      </w:r>
      <w:r w:rsidR="005807FA" w:rsidRPr="00E41525">
        <w:rPr>
          <w:rFonts w:ascii="Arial" w:eastAsia="Cambria" w:hAnsi="Arial" w:cs="Arial"/>
          <w:sz w:val="18"/>
          <w:szCs w:val="18"/>
          <w:lang w:val="es-ES_tradnl"/>
        </w:rPr>
        <w:t>de un único ciclo de cultivo.</w:t>
      </w:r>
      <w:r w:rsidRPr="00BA7873">
        <w:rPr>
          <w:rFonts w:ascii="Arial" w:eastAsia="Cambria" w:hAnsi="Arial" w:cs="Arial"/>
          <w:sz w:val="18"/>
          <w:szCs w:val="18"/>
          <w:lang w:val="es-ES_tradnl" w:eastAsia="fr-FR"/>
        </w:rPr>
        <w:t xml:space="preserve"> </w:t>
      </w:r>
      <w:r w:rsidR="005807FA" w:rsidRPr="00E41525">
        <w:rPr>
          <w:rFonts w:ascii="Arial" w:eastAsia="Cambria" w:hAnsi="Arial" w:cs="Arial"/>
          <w:sz w:val="18"/>
          <w:szCs w:val="18"/>
          <w:highlight w:val="lightGray"/>
          <w:u w:val="single"/>
          <w:lang w:val="es-ES_tradnl" w:eastAsia="fr-FR"/>
        </w:rPr>
        <w:t>Al final del ciclo de cultivo</w:t>
      </w:r>
      <w:r w:rsidR="00582C7B" w:rsidRPr="00E41525">
        <w:rPr>
          <w:rFonts w:ascii="Arial" w:eastAsia="Cambria" w:hAnsi="Arial" w:cs="Arial"/>
          <w:sz w:val="18"/>
          <w:szCs w:val="18"/>
          <w:highlight w:val="lightGray"/>
          <w:u w:val="single"/>
          <w:lang w:val="es-ES_tradnl" w:eastAsia="fr-FR"/>
        </w:rPr>
        <w:t xml:space="preserve">, </w:t>
      </w:r>
      <w:r w:rsidR="005807FA" w:rsidRPr="00E41525">
        <w:rPr>
          <w:rFonts w:ascii="Arial" w:eastAsia="Cambria" w:hAnsi="Arial" w:cs="Arial"/>
          <w:sz w:val="18"/>
          <w:szCs w:val="18"/>
          <w:highlight w:val="lightGray"/>
          <w:u w:val="single"/>
          <w:lang w:val="es-ES_tradnl" w:eastAsia="fr-FR"/>
        </w:rPr>
        <w:t>la autoridad competente determinará si es necesario o no llevar a cabo un ciclo de cultivo adicional.</w:t>
      </w:r>
      <w:r w:rsidRPr="00BA7873">
        <w:rPr>
          <w:rFonts w:ascii="Arial" w:eastAsia="Cambria" w:hAnsi="Arial" w:cs="Arial"/>
          <w:sz w:val="18"/>
          <w:szCs w:val="18"/>
          <w:lang w:val="es-ES_tradnl" w:eastAsia="fr-FR"/>
        </w:rPr>
        <w:t>”</w:t>
      </w:r>
    </w:p>
    <w:p w:rsidR="00DD4A0D" w:rsidRPr="00BA7873" w:rsidRDefault="00DD4A0D" w:rsidP="00DD4A0D">
      <w:pPr>
        <w:autoSpaceDE w:val="0"/>
        <w:autoSpaceDN w:val="0"/>
        <w:adjustRightInd w:val="0"/>
        <w:ind w:left="567" w:right="567"/>
        <w:jc w:val="left"/>
        <w:rPr>
          <w:rFonts w:eastAsia="Cambria" w:cs="Arial"/>
          <w:sz w:val="18"/>
          <w:szCs w:val="18"/>
        </w:rPr>
      </w:pPr>
    </w:p>
    <w:p w:rsidR="00DD4A0D" w:rsidRPr="00A46122" w:rsidRDefault="004C1F7A" w:rsidP="00DD4A0D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567"/>
        <w:rPr>
          <w:rFonts w:ascii="Arial" w:eastAsia="Cambria" w:hAnsi="Arial" w:cs="Arial"/>
          <w:i/>
          <w:iCs/>
          <w:sz w:val="18"/>
          <w:szCs w:val="18"/>
        </w:rPr>
      </w:pPr>
      <w:r w:rsidRPr="00E41525">
        <w:rPr>
          <w:rFonts w:ascii="Arial" w:eastAsia="Cambria" w:hAnsi="Arial" w:cs="Arial"/>
          <w:i/>
          <w:iCs/>
          <w:sz w:val="18"/>
          <w:szCs w:val="18"/>
          <w:lang w:val="es-ES_tradnl"/>
        </w:rPr>
        <w:t>Dos ciclos de cultivo independientes</w:t>
      </w:r>
    </w:p>
    <w:p w:rsidR="00DD4A0D" w:rsidRPr="00A46122" w:rsidRDefault="00DD4A0D" w:rsidP="00DD4A0D">
      <w:pPr>
        <w:pStyle w:val="ListParagraph"/>
        <w:autoSpaceDE w:val="0"/>
        <w:autoSpaceDN w:val="0"/>
        <w:adjustRightInd w:val="0"/>
        <w:spacing w:after="0"/>
        <w:ind w:left="924" w:right="567"/>
        <w:rPr>
          <w:rFonts w:ascii="Arial" w:eastAsia="Cambria" w:hAnsi="Arial" w:cs="Arial"/>
          <w:i/>
          <w:iCs/>
          <w:sz w:val="18"/>
          <w:szCs w:val="18"/>
        </w:rPr>
      </w:pPr>
    </w:p>
    <w:p w:rsidR="00DD4A0D" w:rsidRPr="00BA7873" w:rsidRDefault="00DD4A0D" w:rsidP="00DD4A0D">
      <w:pPr>
        <w:autoSpaceDE w:val="0"/>
        <w:autoSpaceDN w:val="0"/>
        <w:adjustRightInd w:val="0"/>
        <w:ind w:left="567" w:right="567"/>
        <w:rPr>
          <w:rFonts w:eastAsia="Cambria" w:cs="Arial"/>
          <w:sz w:val="18"/>
          <w:szCs w:val="18"/>
        </w:rPr>
      </w:pPr>
      <w:r w:rsidRPr="00BA7873">
        <w:rPr>
          <w:rFonts w:eastAsia="Cambria" w:cs="Arial"/>
          <w:sz w:val="18"/>
          <w:szCs w:val="18"/>
        </w:rPr>
        <w:t>“</w:t>
      </w:r>
      <w:r w:rsidR="004C1F7A" w:rsidRPr="00E41525">
        <w:rPr>
          <w:rFonts w:eastAsia="Cambria" w:cs="Arial"/>
          <w:sz w:val="18"/>
          <w:szCs w:val="18"/>
        </w:rPr>
        <w:t xml:space="preserve">La duración </w:t>
      </w:r>
      <w:r w:rsidR="00027A64" w:rsidRPr="00E41525">
        <w:rPr>
          <w:rFonts w:eastAsia="Cambria" w:cs="Arial"/>
          <w:strike/>
          <w:sz w:val="18"/>
          <w:szCs w:val="18"/>
          <w:highlight w:val="lightGray"/>
        </w:rPr>
        <w:t>mínima</w:t>
      </w:r>
      <w:r w:rsidR="00027A64" w:rsidRPr="00E41525">
        <w:rPr>
          <w:rFonts w:eastAsia="Cambria" w:cs="Arial"/>
          <w:sz w:val="18"/>
          <w:szCs w:val="18"/>
        </w:rPr>
        <w:t xml:space="preserve"> de </w:t>
      </w:r>
      <w:r w:rsidR="004C1F7A" w:rsidRPr="00E41525">
        <w:rPr>
          <w:rFonts w:eastAsia="Cambria" w:cs="Arial"/>
          <w:sz w:val="18"/>
          <w:szCs w:val="18"/>
        </w:rPr>
        <w:t xml:space="preserve">los ensayos deberá ser </w:t>
      </w:r>
      <w:r w:rsidR="004C1F7A" w:rsidRPr="00E41525">
        <w:rPr>
          <w:rFonts w:eastAsia="Cambria" w:cs="Arial"/>
          <w:strike/>
          <w:sz w:val="18"/>
          <w:szCs w:val="18"/>
          <w:highlight w:val="lightGray"/>
        </w:rPr>
        <w:t>normalmente</w:t>
      </w:r>
      <w:r w:rsidR="00582C7B" w:rsidRPr="00E41525">
        <w:rPr>
          <w:rFonts w:eastAsia="Cambria" w:cs="Arial"/>
          <w:sz w:val="18"/>
          <w:szCs w:val="18"/>
          <w:highlight w:val="lightGray"/>
          <w:u w:val="single"/>
        </w:rPr>
        <w:t xml:space="preserve">, </w:t>
      </w:r>
      <w:r w:rsidR="004C1F7A" w:rsidRPr="00E41525">
        <w:rPr>
          <w:rFonts w:eastAsia="Cambria" w:cs="Arial"/>
          <w:sz w:val="18"/>
          <w:szCs w:val="18"/>
          <w:highlight w:val="lightGray"/>
          <w:u w:val="single"/>
        </w:rPr>
        <w:t>por lo general</w:t>
      </w:r>
      <w:r w:rsidR="00582C7B" w:rsidRPr="00E41525">
        <w:rPr>
          <w:rFonts w:eastAsia="Cambria" w:cs="Arial"/>
          <w:sz w:val="18"/>
          <w:szCs w:val="18"/>
          <w:highlight w:val="lightGray"/>
          <w:u w:val="single"/>
        </w:rPr>
        <w:t xml:space="preserve">, </w:t>
      </w:r>
      <w:r w:rsidR="004C1F7A" w:rsidRPr="00E41525">
        <w:rPr>
          <w:rFonts w:eastAsia="Cambria" w:cs="Arial"/>
          <w:sz w:val="18"/>
          <w:szCs w:val="18"/>
        </w:rPr>
        <w:t>de dos ciclos de cultivo independientes.</w:t>
      </w:r>
      <w:r w:rsidRPr="00BA7873">
        <w:rPr>
          <w:rFonts w:eastAsia="Cambria" w:cs="Arial"/>
          <w:sz w:val="18"/>
          <w:szCs w:val="18"/>
        </w:rPr>
        <w:t xml:space="preserve"> </w:t>
      </w:r>
      <w:r w:rsidR="001E07F9" w:rsidRPr="00E41525">
        <w:rPr>
          <w:rFonts w:eastAsia="Cambria" w:cs="Arial"/>
          <w:sz w:val="18"/>
          <w:szCs w:val="18"/>
          <w:highlight w:val="lightGray"/>
          <w:u w:val="single"/>
        </w:rPr>
        <w:t>No obstante</w:t>
      </w:r>
      <w:r w:rsidR="00582C7B" w:rsidRPr="00E41525">
        <w:rPr>
          <w:rFonts w:eastAsia="Cambria" w:cs="Arial"/>
          <w:sz w:val="18"/>
          <w:szCs w:val="18"/>
          <w:highlight w:val="lightGray"/>
          <w:u w:val="single"/>
        </w:rPr>
        <w:t xml:space="preserve">, </w:t>
      </w:r>
      <w:r w:rsidR="001E07F9" w:rsidRPr="00E41525">
        <w:rPr>
          <w:rFonts w:eastAsia="Cambria" w:cs="Arial"/>
          <w:sz w:val="18"/>
          <w:szCs w:val="18"/>
          <w:highlight w:val="lightGray"/>
          <w:u w:val="single"/>
        </w:rPr>
        <w:t>al final del ciclo de cultivo</w:t>
      </w:r>
      <w:r w:rsidR="00582C7B" w:rsidRPr="00E41525">
        <w:rPr>
          <w:rFonts w:eastAsia="Cambria" w:cs="Arial"/>
          <w:sz w:val="18"/>
          <w:szCs w:val="18"/>
          <w:highlight w:val="lightGray"/>
          <w:u w:val="single"/>
        </w:rPr>
        <w:t xml:space="preserve">, </w:t>
      </w:r>
      <w:r w:rsidR="001E07F9" w:rsidRPr="00E41525">
        <w:rPr>
          <w:rFonts w:eastAsia="Cambria" w:cs="Arial"/>
          <w:sz w:val="18"/>
          <w:szCs w:val="18"/>
          <w:highlight w:val="lightGray"/>
          <w:u w:val="single"/>
        </w:rPr>
        <w:t>la autoridad competente determinará si es necesario o no llevar a cabo un ciclo de cultivo adicional.</w:t>
      </w:r>
      <w:r w:rsidR="004C1F7A" w:rsidRPr="00BA7873">
        <w:rPr>
          <w:rFonts w:eastAsia="Cambria" w:cs="Arial"/>
          <w:sz w:val="18"/>
          <w:szCs w:val="18"/>
          <w:lang w:eastAsia="fr-FR"/>
        </w:rPr>
        <w:t>”</w:t>
      </w:r>
    </w:p>
    <w:p w:rsidR="00DD4A0D" w:rsidRPr="00BA7873" w:rsidRDefault="00DD4A0D" w:rsidP="00DD4A0D"/>
    <w:p w:rsidR="00DD4A0D" w:rsidRPr="00BA7873" w:rsidRDefault="00F60E7F" w:rsidP="00DD4A0D">
      <w:r>
        <w:fldChar w:fldCharType="begin"/>
      </w:r>
      <w:r w:rsidR="00DD4A0D" w:rsidRPr="00BA7873">
        <w:instrText xml:space="preserve"> AUTONUM  </w:instrText>
      </w:r>
      <w:r>
        <w:fldChar w:fldCharType="end"/>
      </w:r>
      <w:r w:rsidR="00DD4A0D" w:rsidRPr="00BA7873">
        <w:tab/>
      </w:r>
      <w:r w:rsidR="001E07F9" w:rsidRPr="00E41525">
        <w:t>El TC convino en que era importante aclarar que es posible poner fin a un examen DHE en cuanto el rechazo es inevitable</w:t>
      </w:r>
      <w:r w:rsidR="00582C7B" w:rsidRPr="00E41525">
        <w:t xml:space="preserve">, </w:t>
      </w:r>
      <w:r w:rsidR="001E07F9" w:rsidRPr="00E41525">
        <w:t>en lugar de continuarlo hasta el final del período normal.</w:t>
      </w:r>
      <w:r w:rsidR="00225F80" w:rsidRPr="00BA7873">
        <w:t xml:space="preserve"> </w:t>
      </w:r>
      <w:r w:rsidR="001E07F9" w:rsidRPr="00E41525">
        <w:t>Convino en que el texto estándar de las directrices de examen no era totalmente claro al respecto y que se debía mejorar.</w:t>
      </w:r>
      <w:r w:rsidR="00225F80" w:rsidRPr="00BA7873">
        <w:t xml:space="preserve"> </w:t>
      </w:r>
      <w:r w:rsidR="00C06D33" w:rsidRPr="00E41525">
        <w:t>Sin embargo</w:t>
      </w:r>
      <w:r w:rsidR="00582C7B" w:rsidRPr="00E41525">
        <w:t xml:space="preserve">, </w:t>
      </w:r>
      <w:r w:rsidR="00C06D33" w:rsidRPr="00E41525">
        <w:t xml:space="preserve">convino en que se podía interpretar que el texto propuesto fomenta que se realicen ciclos de cultivo </w:t>
      </w:r>
      <w:r w:rsidR="00C06D33" w:rsidRPr="00E41525">
        <w:lastRenderedPageBreak/>
        <w:t>adicionales después del período normal y solicitó a los TWP que elaboren una versión mejorada del texto en sus reuniones de</w:t>
      </w:r>
      <w:r w:rsidR="00582C7B" w:rsidRPr="00E41525">
        <w:t> 2</w:t>
      </w:r>
      <w:r w:rsidR="00C06D33" w:rsidRPr="00E41525">
        <w:t>017.</w:t>
      </w:r>
    </w:p>
    <w:p w:rsidR="00DD4A0D" w:rsidRPr="00BA7873" w:rsidRDefault="00DD4A0D" w:rsidP="00DD4A0D"/>
    <w:p w:rsidR="00DD4A0D" w:rsidRPr="00BA7873" w:rsidRDefault="00C06D33" w:rsidP="00854F9B">
      <w:pPr>
        <w:pStyle w:val="Heading2"/>
      </w:pPr>
      <w:bookmarkStart w:id="8" w:name="_Toc526270404"/>
      <w:r w:rsidRPr="00E41525">
        <w:t>Comentarios formulados por los Grupos de Trabajo Técnico</w:t>
      </w:r>
      <w:bookmarkEnd w:id="8"/>
    </w:p>
    <w:p w:rsidR="00DD4A0D" w:rsidRPr="00BA7873" w:rsidRDefault="00DD4A0D" w:rsidP="00DD4A0D">
      <w:pPr>
        <w:jc w:val="left"/>
      </w:pPr>
    </w:p>
    <w:p w:rsidR="00DD4A0D" w:rsidRPr="00BA7873" w:rsidRDefault="00F60E7F" w:rsidP="00DD4A0D">
      <w:pPr>
        <w:keepNext/>
        <w:rPr>
          <w:rFonts w:cs="Arial"/>
          <w:snapToGrid w:val="0"/>
        </w:rPr>
      </w:pPr>
      <w:r w:rsidRPr="00857EC8">
        <w:rPr>
          <w:snapToGrid w:val="0"/>
        </w:rPr>
        <w:fldChar w:fldCharType="begin"/>
      </w:r>
      <w:r w:rsidR="00DD4A0D" w:rsidRPr="00BA7873">
        <w:rPr>
          <w:snapToGrid w:val="0"/>
        </w:rPr>
        <w:instrText xml:space="preserve"> AUTONUM  </w:instrText>
      </w:r>
      <w:r w:rsidRPr="00857EC8">
        <w:rPr>
          <w:snapToGrid w:val="0"/>
        </w:rPr>
        <w:fldChar w:fldCharType="end"/>
      </w:r>
      <w:r w:rsidR="00DD4A0D" w:rsidRPr="00BA7873">
        <w:rPr>
          <w:snapToGrid w:val="0"/>
        </w:rPr>
        <w:tab/>
      </w:r>
      <w:r w:rsidR="00C06D33" w:rsidRPr="00E41525">
        <w:rPr>
          <w:snapToGrid w:val="0"/>
        </w:rPr>
        <w:t xml:space="preserve">En sus </w:t>
      </w:r>
      <w:r w:rsidR="00C06D33" w:rsidRPr="00E41525">
        <w:rPr>
          <w:snapToGrid w:val="0"/>
          <w:lang w:eastAsia="zh-CN"/>
        </w:rPr>
        <w:t xml:space="preserve">sesiones </w:t>
      </w:r>
      <w:r w:rsidR="00C06D33" w:rsidRPr="00E41525">
        <w:rPr>
          <w:snapToGrid w:val="0"/>
        </w:rPr>
        <w:t>de 2017</w:t>
      </w:r>
      <w:r w:rsidR="00582C7B" w:rsidRPr="00E41525">
        <w:rPr>
          <w:snapToGrid w:val="0"/>
        </w:rPr>
        <w:t xml:space="preserve">, </w:t>
      </w:r>
      <w:r w:rsidR="00C06D33" w:rsidRPr="00E41525">
        <w:rPr>
          <w:snapToGrid w:val="0"/>
        </w:rPr>
        <w:t>el TWA</w:t>
      </w:r>
      <w:r w:rsidR="00582C7B" w:rsidRPr="00E41525">
        <w:rPr>
          <w:snapToGrid w:val="0"/>
        </w:rPr>
        <w:t xml:space="preserve">, </w:t>
      </w:r>
      <w:r w:rsidR="00C06D33" w:rsidRPr="00E41525">
        <w:rPr>
          <w:snapToGrid w:val="0"/>
        </w:rPr>
        <w:t>el TWV</w:t>
      </w:r>
      <w:r w:rsidR="00582C7B" w:rsidRPr="00E41525">
        <w:rPr>
          <w:snapToGrid w:val="0"/>
        </w:rPr>
        <w:t xml:space="preserve">, </w:t>
      </w:r>
      <w:r w:rsidR="00C06D33" w:rsidRPr="00E41525">
        <w:rPr>
          <w:snapToGrid w:val="0"/>
        </w:rPr>
        <w:t>el TWO</w:t>
      </w:r>
      <w:r w:rsidR="00582C7B" w:rsidRPr="00E41525">
        <w:rPr>
          <w:snapToGrid w:val="0"/>
        </w:rPr>
        <w:t xml:space="preserve">, </w:t>
      </w:r>
      <w:r w:rsidR="00C06D33" w:rsidRPr="00E41525">
        <w:rPr>
          <w:snapToGrid w:val="0"/>
        </w:rPr>
        <w:t xml:space="preserve">el TWF y el TWC examinaron el documento </w:t>
      </w:r>
      <w:r w:rsidR="00C06D33" w:rsidRPr="00E41525">
        <w:t>TWP/1/</w:t>
      </w:r>
      <w:r w:rsidR="00C06D33" w:rsidRPr="00E41525">
        <w:rPr>
          <w:rFonts w:cs="Arial"/>
        </w:rPr>
        <w:t>11 “</w:t>
      </w:r>
      <w:proofErr w:type="spellStart"/>
      <w:r w:rsidR="00C06D33" w:rsidRPr="00BA7873">
        <w:rPr>
          <w:i/>
          <w:snapToGrid w:val="0"/>
        </w:rPr>
        <w:t>Duration</w:t>
      </w:r>
      <w:proofErr w:type="spellEnd"/>
      <w:r w:rsidR="00C06D33" w:rsidRPr="00BA7873">
        <w:rPr>
          <w:i/>
          <w:snapToGrid w:val="0"/>
        </w:rPr>
        <w:t xml:space="preserve"> of DUS </w:t>
      </w:r>
      <w:proofErr w:type="spellStart"/>
      <w:r w:rsidR="00C06D33" w:rsidRPr="00BA7873">
        <w:rPr>
          <w:i/>
          <w:snapToGrid w:val="0"/>
        </w:rPr>
        <w:t>tests</w:t>
      </w:r>
      <w:proofErr w:type="spellEnd"/>
      <w:r w:rsidR="00C06D33" w:rsidRPr="00E41525">
        <w:rPr>
          <w:rFonts w:cs="Arial"/>
        </w:rPr>
        <w:t>” (</w:t>
      </w:r>
      <w:r w:rsidR="00C06D33" w:rsidRPr="00E41525">
        <w:rPr>
          <w:snapToGrid w:val="0"/>
        </w:rPr>
        <w:t>Duración de los exámenes DHE</w:t>
      </w:r>
      <w:r w:rsidR="00C06D33" w:rsidRPr="00E41525">
        <w:rPr>
          <w:rFonts w:cs="Arial"/>
        </w:rPr>
        <w:t xml:space="preserve">) y </w:t>
      </w:r>
      <w:r w:rsidR="00FC48A6" w:rsidRPr="00E41525">
        <w:rPr>
          <w:rFonts w:cs="Arial"/>
          <w:iCs/>
          <w:snapToGrid w:val="0"/>
        </w:rPr>
        <w:t>la propuesta de revisión del documento</w:t>
      </w:r>
      <w:r w:rsidR="00552A53">
        <w:rPr>
          <w:rFonts w:cs="Arial"/>
          <w:snapToGrid w:val="0"/>
        </w:rPr>
        <w:t> </w:t>
      </w:r>
      <w:r w:rsidR="00C06D33" w:rsidRPr="00E41525">
        <w:rPr>
          <w:rFonts w:cs="Arial"/>
          <w:snapToGrid w:val="0"/>
        </w:rPr>
        <w:t xml:space="preserve">TGP/7 </w:t>
      </w:r>
      <w:r w:rsidR="00FC48A6" w:rsidRPr="00E41525">
        <w:rPr>
          <w:rFonts w:cs="Arial"/>
          <w:snapToGrid w:val="0"/>
        </w:rPr>
        <w:t xml:space="preserve">que se indica a continuación </w:t>
      </w:r>
      <w:r w:rsidR="0088671B" w:rsidRPr="00E41525">
        <w:rPr>
          <w:snapToGrid w:val="0"/>
        </w:rPr>
        <w:t>(véanse los párrafos </w:t>
      </w:r>
      <w:r w:rsidR="0088671B" w:rsidRPr="00E41525">
        <w:rPr>
          <w:rFonts w:cs="Arial"/>
        </w:rPr>
        <w:t>20 y</w:t>
      </w:r>
      <w:r w:rsidR="00582C7B" w:rsidRPr="00E41525">
        <w:rPr>
          <w:rFonts w:cs="Arial"/>
        </w:rPr>
        <w:t> 2</w:t>
      </w:r>
      <w:r w:rsidR="0088671B" w:rsidRPr="00E41525">
        <w:rPr>
          <w:rFonts w:cs="Arial"/>
        </w:rPr>
        <w:t>3 del</w:t>
      </w:r>
      <w:r w:rsidR="00C06D33" w:rsidRPr="00E41525">
        <w:rPr>
          <w:rFonts w:cs="Arial"/>
        </w:rPr>
        <w:t xml:space="preserve"> </w:t>
      </w:r>
      <w:r w:rsidR="0088671B" w:rsidRPr="00E41525">
        <w:rPr>
          <w:rFonts w:cs="Arial"/>
        </w:rPr>
        <w:t>documento</w:t>
      </w:r>
      <w:r w:rsidR="00C06D33" w:rsidRPr="00E41525">
        <w:rPr>
          <w:rFonts w:cs="Arial"/>
        </w:rPr>
        <w:t xml:space="preserve"> TWA/46/10 </w:t>
      </w:r>
      <w:r w:rsidR="0088671B" w:rsidRPr="00E41525">
        <w:rPr>
          <w:snapToGrid w:val="0"/>
        </w:rPr>
        <w:t>“</w:t>
      </w:r>
      <w:proofErr w:type="spellStart"/>
      <w:r w:rsidR="0088671B" w:rsidRPr="00BA7873">
        <w:rPr>
          <w:i/>
          <w:snapToGrid w:val="0"/>
        </w:rPr>
        <w:t>Report</w:t>
      </w:r>
      <w:proofErr w:type="spellEnd"/>
      <w:r w:rsidR="0088671B" w:rsidRPr="00E41525">
        <w:rPr>
          <w:snapToGrid w:val="0"/>
        </w:rPr>
        <w:t xml:space="preserve">” (Informe); los </w:t>
      </w:r>
      <w:r w:rsidR="0088671B" w:rsidRPr="00E41525">
        <w:rPr>
          <w:rFonts w:cs="Arial"/>
        </w:rPr>
        <w:t>párrafos 26 a</w:t>
      </w:r>
      <w:r w:rsidR="00582C7B" w:rsidRPr="00E41525">
        <w:rPr>
          <w:rFonts w:cs="Arial"/>
        </w:rPr>
        <w:t> 3</w:t>
      </w:r>
      <w:r w:rsidR="0088671B" w:rsidRPr="00E41525">
        <w:rPr>
          <w:rFonts w:cs="Arial"/>
        </w:rPr>
        <w:t>0 del documento TWV/51/16</w:t>
      </w:r>
      <w:r w:rsidR="008F65B4" w:rsidRPr="00E41525">
        <w:rPr>
          <w:rFonts w:cs="Arial"/>
        </w:rPr>
        <w:t xml:space="preserve"> “</w:t>
      </w:r>
      <w:proofErr w:type="spellStart"/>
      <w:r w:rsidR="008F65B4" w:rsidRPr="00BA7873">
        <w:rPr>
          <w:rFonts w:cs="Arial"/>
          <w:i/>
        </w:rPr>
        <w:t>Report</w:t>
      </w:r>
      <w:proofErr w:type="spellEnd"/>
      <w:r w:rsidR="008F65B4" w:rsidRPr="00E41525">
        <w:rPr>
          <w:rFonts w:cs="Arial"/>
        </w:rPr>
        <w:t>”;</w:t>
      </w:r>
      <w:r w:rsidR="00C06D33" w:rsidRPr="00E41525">
        <w:rPr>
          <w:rFonts w:cs="Arial"/>
        </w:rPr>
        <w:t xml:space="preserve"> </w:t>
      </w:r>
      <w:r w:rsidR="0088671B" w:rsidRPr="00E41525">
        <w:rPr>
          <w:rFonts w:cs="Arial"/>
        </w:rPr>
        <w:t>los párrafos</w:t>
      </w:r>
      <w:r w:rsidR="00582C7B" w:rsidRPr="00E41525">
        <w:rPr>
          <w:rFonts w:cs="Arial"/>
        </w:rPr>
        <w:t> 2</w:t>
      </w:r>
      <w:r w:rsidR="0088671B" w:rsidRPr="00E41525">
        <w:rPr>
          <w:rFonts w:cs="Arial"/>
        </w:rPr>
        <w:t>2 a</w:t>
      </w:r>
      <w:r w:rsidR="00582C7B" w:rsidRPr="00E41525">
        <w:rPr>
          <w:rFonts w:cs="Arial"/>
        </w:rPr>
        <w:t> 2</w:t>
      </w:r>
      <w:r w:rsidR="0088671B" w:rsidRPr="00E41525">
        <w:rPr>
          <w:rFonts w:cs="Arial"/>
        </w:rPr>
        <w:t xml:space="preserve">8 </w:t>
      </w:r>
      <w:r w:rsidR="0088671B" w:rsidRPr="00E41525">
        <w:rPr>
          <w:snapToGrid w:val="0"/>
        </w:rPr>
        <w:t xml:space="preserve">del documento </w:t>
      </w:r>
      <w:r w:rsidR="00C06D33" w:rsidRPr="00E41525">
        <w:rPr>
          <w:rFonts w:cs="Arial"/>
        </w:rPr>
        <w:t>TWO/50/14 “</w:t>
      </w:r>
      <w:proofErr w:type="spellStart"/>
      <w:r w:rsidR="00C06D33" w:rsidRPr="00BA7873">
        <w:rPr>
          <w:rFonts w:cs="Arial"/>
          <w:i/>
        </w:rPr>
        <w:t>Report</w:t>
      </w:r>
      <w:proofErr w:type="spellEnd"/>
      <w:r w:rsidR="00C06D33" w:rsidRPr="00E41525">
        <w:rPr>
          <w:rFonts w:cs="Arial"/>
        </w:rPr>
        <w:t xml:space="preserve">”; </w:t>
      </w:r>
      <w:r w:rsidR="0088671B" w:rsidRPr="00E41525">
        <w:rPr>
          <w:rFonts w:cs="Arial"/>
        </w:rPr>
        <w:t>los párrafos</w:t>
      </w:r>
      <w:r w:rsidR="00582C7B" w:rsidRPr="00E41525">
        <w:rPr>
          <w:rFonts w:cs="Arial"/>
        </w:rPr>
        <w:t> 2</w:t>
      </w:r>
      <w:r w:rsidR="0088671B" w:rsidRPr="00E41525">
        <w:rPr>
          <w:rFonts w:cs="Arial"/>
        </w:rPr>
        <w:t>6 a</w:t>
      </w:r>
      <w:r w:rsidR="00582C7B" w:rsidRPr="00E41525">
        <w:rPr>
          <w:rFonts w:cs="Arial"/>
        </w:rPr>
        <w:t> 3</w:t>
      </w:r>
      <w:r w:rsidR="0088671B" w:rsidRPr="00E41525">
        <w:rPr>
          <w:rFonts w:cs="Arial"/>
        </w:rPr>
        <w:t xml:space="preserve">6 </w:t>
      </w:r>
      <w:r w:rsidR="0088671B" w:rsidRPr="00E41525">
        <w:rPr>
          <w:snapToGrid w:val="0"/>
        </w:rPr>
        <w:t xml:space="preserve">del documento </w:t>
      </w:r>
      <w:r w:rsidR="00C06D33" w:rsidRPr="00E41525">
        <w:rPr>
          <w:rFonts w:cs="Arial"/>
        </w:rPr>
        <w:t>TWF/48/13 “</w:t>
      </w:r>
      <w:proofErr w:type="spellStart"/>
      <w:r w:rsidR="00C06D33" w:rsidRPr="00BA7873">
        <w:rPr>
          <w:rFonts w:cs="Arial"/>
          <w:i/>
        </w:rPr>
        <w:t>Report</w:t>
      </w:r>
      <w:proofErr w:type="spellEnd"/>
      <w:r w:rsidR="00C06D33" w:rsidRPr="00E41525">
        <w:rPr>
          <w:rFonts w:cs="Arial"/>
        </w:rPr>
        <w:t xml:space="preserve">”; y </w:t>
      </w:r>
      <w:r w:rsidR="0088671B" w:rsidRPr="00E41525">
        <w:rPr>
          <w:rFonts w:cs="Arial"/>
        </w:rPr>
        <w:t>los párrafos</w:t>
      </w:r>
      <w:r w:rsidR="00582C7B" w:rsidRPr="00E41525">
        <w:rPr>
          <w:rFonts w:cs="Arial"/>
        </w:rPr>
        <w:t> 3</w:t>
      </w:r>
      <w:r w:rsidR="0088671B" w:rsidRPr="00E41525">
        <w:rPr>
          <w:rFonts w:cs="Arial"/>
        </w:rPr>
        <w:t>6</w:t>
      </w:r>
      <w:r w:rsidR="00552A53">
        <w:rPr>
          <w:rFonts w:cs="Arial"/>
        </w:rPr>
        <w:t> </w:t>
      </w:r>
      <w:r w:rsidR="0088671B" w:rsidRPr="00E41525">
        <w:rPr>
          <w:rFonts w:cs="Arial"/>
        </w:rPr>
        <w:t>a</w:t>
      </w:r>
      <w:r w:rsidR="00582C7B" w:rsidRPr="00E41525">
        <w:rPr>
          <w:rFonts w:cs="Arial"/>
        </w:rPr>
        <w:t> 3</w:t>
      </w:r>
      <w:r w:rsidR="0088671B" w:rsidRPr="00E41525">
        <w:rPr>
          <w:rFonts w:cs="Arial"/>
        </w:rPr>
        <w:t xml:space="preserve">9 </w:t>
      </w:r>
      <w:r w:rsidR="0088671B" w:rsidRPr="00E41525">
        <w:rPr>
          <w:snapToGrid w:val="0"/>
        </w:rPr>
        <w:t xml:space="preserve">del documento </w:t>
      </w:r>
      <w:r w:rsidR="00C06D33" w:rsidRPr="00E41525">
        <w:rPr>
          <w:rFonts w:cs="Arial"/>
        </w:rPr>
        <w:t>TWC/35/21 “</w:t>
      </w:r>
      <w:proofErr w:type="spellStart"/>
      <w:r w:rsidR="00C06D33" w:rsidRPr="00BA7873">
        <w:rPr>
          <w:rFonts w:cs="Arial"/>
          <w:i/>
        </w:rPr>
        <w:t>Report</w:t>
      </w:r>
      <w:proofErr w:type="spellEnd"/>
      <w:r w:rsidR="00C06D33" w:rsidRPr="00E41525">
        <w:rPr>
          <w:rFonts w:cs="Arial"/>
        </w:rPr>
        <w:t>”):</w:t>
      </w:r>
    </w:p>
    <w:p w:rsidR="00DD4A0D" w:rsidRPr="00BA7873" w:rsidRDefault="00DD4A0D" w:rsidP="00DD4A0D">
      <w:pPr>
        <w:rPr>
          <w:rFonts w:cs="Arial"/>
          <w:snapToGrid w:val="0"/>
        </w:rPr>
      </w:pPr>
    </w:p>
    <w:p w:rsidR="00DD4A0D" w:rsidRPr="00BA7873" w:rsidRDefault="00027A64" w:rsidP="00DD4A0D">
      <w:pPr>
        <w:keepNext/>
      </w:pPr>
      <w:r w:rsidRPr="00E41525">
        <w:t>ASW</w:t>
      </w:r>
      <w:r w:rsidR="00582C7B" w:rsidRPr="00E41525">
        <w:t> 2</w:t>
      </w:r>
      <w:r w:rsidRPr="00E41525">
        <w:t> a):</w:t>
      </w:r>
    </w:p>
    <w:p w:rsidR="00DD4A0D" w:rsidRPr="00BA7873" w:rsidRDefault="00DD4A0D" w:rsidP="00DD4A0D">
      <w:pPr>
        <w:keepNext/>
        <w:jc w:val="left"/>
      </w:pPr>
    </w:p>
    <w:p w:rsidR="00DD4A0D" w:rsidRPr="00BA7873" w:rsidRDefault="00DD4A0D" w:rsidP="00DD4A0D">
      <w:pPr>
        <w:ind w:left="567"/>
        <w:jc w:val="left"/>
      </w:pPr>
      <w:r w:rsidRPr="00BA7873">
        <w:t>“3.</w:t>
      </w:r>
      <w:r w:rsidRPr="00BA7873">
        <w:tab/>
      </w:r>
      <w:r w:rsidR="00027A64" w:rsidRPr="00E41525">
        <w:t>Método de examen</w:t>
      </w:r>
    </w:p>
    <w:p w:rsidR="00DD4A0D" w:rsidRPr="00BA7873" w:rsidRDefault="00DD4A0D" w:rsidP="00DD4A0D">
      <w:pPr>
        <w:ind w:left="567"/>
        <w:jc w:val="left"/>
      </w:pPr>
    </w:p>
    <w:p w:rsidR="00DD4A0D" w:rsidRPr="00BA7873" w:rsidRDefault="00DD4A0D" w:rsidP="00DD4A0D">
      <w:pPr>
        <w:ind w:left="567"/>
        <w:jc w:val="left"/>
      </w:pPr>
      <w:r w:rsidRPr="00BA7873">
        <w:t>3.1</w:t>
      </w:r>
      <w:r w:rsidRPr="00BA7873">
        <w:tab/>
      </w:r>
      <w:r w:rsidR="00027A64" w:rsidRPr="00E41525">
        <w:t>Número de ciclos de cultivo</w:t>
      </w:r>
    </w:p>
    <w:p w:rsidR="00DD4A0D" w:rsidRPr="00BA7873" w:rsidRDefault="00DD4A0D" w:rsidP="00DD4A0D">
      <w:pPr>
        <w:ind w:left="567"/>
      </w:pPr>
    </w:p>
    <w:p w:rsidR="00DD4A0D" w:rsidRPr="00BA7873" w:rsidRDefault="00027A64" w:rsidP="00DD4A0D">
      <w:pPr>
        <w:autoSpaceDE w:val="0"/>
        <w:autoSpaceDN w:val="0"/>
        <w:adjustRightInd w:val="0"/>
        <w:ind w:left="567" w:right="567"/>
        <w:rPr>
          <w:rFonts w:eastAsia="Cambria" w:cs="Arial"/>
          <w:lang w:eastAsia="fr-FR"/>
        </w:rPr>
      </w:pPr>
      <w:r w:rsidRPr="00E41525">
        <w:rPr>
          <w:rFonts w:eastAsia="Cambria" w:cs="Arial"/>
        </w:rPr>
        <w:t xml:space="preserve">La duración </w:t>
      </w:r>
      <w:r w:rsidRPr="00E41525">
        <w:rPr>
          <w:rFonts w:eastAsia="Cambria" w:cs="Arial"/>
          <w:strike/>
          <w:highlight w:val="lightGray"/>
        </w:rPr>
        <w:t>mínima</w:t>
      </w:r>
      <w:r w:rsidRPr="00E41525">
        <w:rPr>
          <w:rFonts w:eastAsia="Cambria" w:cs="Arial"/>
        </w:rPr>
        <w:t xml:space="preserve"> de los ensayos deberá ser [</w:t>
      </w:r>
      <w:r w:rsidRPr="00E41525">
        <w:rPr>
          <w:rFonts w:eastAsia="Cambria" w:cs="Arial"/>
          <w:highlight w:val="lightGray"/>
        </w:rPr>
        <w:t>normalmente</w:t>
      </w:r>
      <w:r w:rsidRPr="00E41525">
        <w:rPr>
          <w:rFonts w:eastAsia="Cambria" w:cs="Arial"/>
        </w:rPr>
        <w:t>]</w:t>
      </w:r>
      <w:proofErr w:type="gramStart"/>
      <w:r w:rsidRPr="00E41525">
        <w:rPr>
          <w:rFonts w:eastAsia="Cambria" w:cs="Arial"/>
        </w:rPr>
        <w:t>/[</w:t>
      </w:r>
      <w:proofErr w:type="gramEnd"/>
      <w:r w:rsidRPr="00E41525">
        <w:rPr>
          <w:rFonts w:eastAsia="Cambria" w:cs="Arial"/>
          <w:highlight w:val="lightGray"/>
          <w:u w:val="single"/>
        </w:rPr>
        <w:t>por lo general</w:t>
      </w:r>
      <w:r w:rsidRPr="00E41525">
        <w:rPr>
          <w:rFonts w:eastAsia="Cambria" w:cs="Arial"/>
        </w:rPr>
        <w:t>] de un único ciclo de cultivo.</w:t>
      </w:r>
      <w:r w:rsidR="00DD4A0D" w:rsidRPr="00BA7873">
        <w:rPr>
          <w:rFonts w:eastAsia="Cambria" w:cs="Arial"/>
          <w:lang w:eastAsia="fr-FR"/>
        </w:rPr>
        <w:t xml:space="preserve"> </w:t>
      </w:r>
    </w:p>
    <w:p w:rsidR="00DD4A0D" w:rsidRPr="00BA7873" w:rsidRDefault="00DD4A0D" w:rsidP="00DD4A0D">
      <w:pPr>
        <w:rPr>
          <w:rFonts w:eastAsia="Cambria"/>
        </w:rPr>
      </w:pPr>
    </w:p>
    <w:p w:rsidR="00DD4A0D" w:rsidRPr="00BA7873" w:rsidRDefault="009A58D5" w:rsidP="00DD4A0D">
      <w:pPr>
        <w:autoSpaceDE w:val="0"/>
        <w:autoSpaceDN w:val="0"/>
        <w:adjustRightInd w:val="0"/>
        <w:ind w:left="567" w:right="567"/>
        <w:rPr>
          <w:u w:val="single"/>
        </w:rPr>
      </w:pPr>
      <w:r w:rsidRPr="00E41525">
        <w:rPr>
          <w:highlight w:val="lightGray"/>
          <w:u w:val="single"/>
        </w:rPr>
        <w:t>No obstante</w:t>
      </w:r>
      <w:r w:rsidR="00582C7B" w:rsidRPr="00E41525">
        <w:rPr>
          <w:highlight w:val="lightGray"/>
          <w:u w:val="single"/>
        </w:rPr>
        <w:t xml:space="preserve">, </w:t>
      </w:r>
      <w:r w:rsidR="006C7C58" w:rsidRPr="00E41525">
        <w:rPr>
          <w:highlight w:val="lightGray"/>
          <w:u w:val="single"/>
        </w:rPr>
        <w:t xml:space="preserve">se podrá poner fin </w:t>
      </w:r>
      <w:r w:rsidR="009451E0" w:rsidRPr="00E41525">
        <w:rPr>
          <w:highlight w:val="lightGray"/>
          <w:u w:val="single"/>
        </w:rPr>
        <w:t>anticipadamente</w:t>
      </w:r>
      <w:r w:rsidR="006C7C58" w:rsidRPr="00E41525">
        <w:rPr>
          <w:highlight w:val="lightGray"/>
          <w:u w:val="single"/>
        </w:rPr>
        <w:t xml:space="preserve"> al</w:t>
      </w:r>
      <w:r w:rsidRPr="00E41525">
        <w:rPr>
          <w:highlight w:val="lightGray"/>
          <w:u w:val="single"/>
        </w:rPr>
        <w:t xml:space="preserve"> </w:t>
      </w:r>
      <w:r w:rsidR="006C7C58" w:rsidRPr="00E41525">
        <w:rPr>
          <w:highlight w:val="lightGray"/>
          <w:u w:val="single"/>
        </w:rPr>
        <w:t xml:space="preserve">examen </w:t>
      </w:r>
      <w:r w:rsidRPr="00E41525">
        <w:rPr>
          <w:highlight w:val="lightGray"/>
          <w:u w:val="single"/>
        </w:rPr>
        <w:t xml:space="preserve">de </w:t>
      </w:r>
      <w:r w:rsidR="006C7C58" w:rsidRPr="00E41525">
        <w:rPr>
          <w:highlight w:val="lightGray"/>
          <w:u w:val="single"/>
        </w:rPr>
        <w:t>un</w:t>
      </w:r>
      <w:r w:rsidRPr="00E41525">
        <w:rPr>
          <w:highlight w:val="lightGray"/>
          <w:u w:val="single"/>
        </w:rPr>
        <w:t xml:space="preserve">a variedad si </w:t>
      </w:r>
      <w:r w:rsidR="006C7C58" w:rsidRPr="00E41525">
        <w:rPr>
          <w:highlight w:val="lightGray"/>
          <w:u w:val="single"/>
        </w:rPr>
        <w:t xml:space="preserve">ya se </w:t>
      </w:r>
      <w:r w:rsidR="007D2217" w:rsidRPr="00E41525">
        <w:rPr>
          <w:highlight w:val="lightGray"/>
          <w:u w:val="single"/>
        </w:rPr>
        <w:t xml:space="preserve">hubiera </w:t>
      </w:r>
      <w:r w:rsidR="006C7C58" w:rsidRPr="00E41525">
        <w:rPr>
          <w:highlight w:val="lightGray"/>
          <w:u w:val="single"/>
        </w:rPr>
        <w:t>alcanzado un</w:t>
      </w:r>
      <w:r w:rsidRPr="00E41525">
        <w:rPr>
          <w:highlight w:val="lightGray"/>
          <w:u w:val="single"/>
        </w:rPr>
        <w:t xml:space="preserve">a </w:t>
      </w:r>
      <w:r w:rsidR="006C7C58" w:rsidRPr="00E41525">
        <w:rPr>
          <w:highlight w:val="lightGray"/>
          <w:u w:val="single"/>
        </w:rPr>
        <w:t xml:space="preserve">conclusión </w:t>
      </w:r>
      <w:r w:rsidRPr="00E41525">
        <w:rPr>
          <w:highlight w:val="lightGray"/>
          <w:u w:val="single"/>
        </w:rPr>
        <w:t>negativ</w:t>
      </w:r>
      <w:r w:rsidR="006C7C58" w:rsidRPr="00E41525">
        <w:rPr>
          <w:highlight w:val="lightGray"/>
          <w:u w:val="single"/>
        </w:rPr>
        <w:t>a</w:t>
      </w:r>
      <w:r w:rsidRPr="00E41525">
        <w:rPr>
          <w:highlight w:val="lightGray"/>
          <w:u w:val="single"/>
        </w:rPr>
        <w:t xml:space="preserve"> </w:t>
      </w:r>
      <w:r w:rsidR="006C7C58" w:rsidRPr="00E41525">
        <w:rPr>
          <w:highlight w:val="lightGray"/>
          <w:u w:val="single"/>
        </w:rPr>
        <w:t xml:space="preserve">respecto de la </w:t>
      </w:r>
      <w:r w:rsidRPr="00E41525">
        <w:rPr>
          <w:highlight w:val="lightGray"/>
          <w:u w:val="single"/>
        </w:rPr>
        <w:t>distinción</w:t>
      </w:r>
      <w:r w:rsidR="00582C7B" w:rsidRPr="00E41525">
        <w:rPr>
          <w:highlight w:val="lightGray"/>
          <w:u w:val="single"/>
        </w:rPr>
        <w:t xml:space="preserve">, </w:t>
      </w:r>
      <w:r w:rsidR="006C7C58" w:rsidRPr="00E41525">
        <w:rPr>
          <w:highlight w:val="lightGray"/>
          <w:u w:val="single"/>
        </w:rPr>
        <w:t xml:space="preserve">la </w:t>
      </w:r>
      <w:r w:rsidRPr="00E41525">
        <w:rPr>
          <w:highlight w:val="lightGray"/>
          <w:u w:val="single"/>
        </w:rPr>
        <w:t xml:space="preserve">homogeneidad o </w:t>
      </w:r>
      <w:r w:rsidR="006C7C58" w:rsidRPr="00E41525">
        <w:rPr>
          <w:highlight w:val="lightGray"/>
          <w:u w:val="single"/>
        </w:rPr>
        <w:t xml:space="preserve">la </w:t>
      </w:r>
      <w:r w:rsidRPr="00E41525">
        <w:rPr>
          <w:highlight w:val="lightGray"/>
          <w:u w:val="single"/>
        </w:rPr>
        <w:t>estabilidad.</w:t>
      </w:r>
    </w:p>
    <w:p w:rsidR="00DD4A0D" w:rsidRPr="00BA7873" w:rsidRDefault="00DD4A0D" w:rsidP="00DD4A0D">
      <w:pPr>
        <w:shd w:val="clear" w:color="auto" w:fill="FFFFFF" w:themeFill="background1"/>
        <w:autoSpaceDE w:val="0"/>
        <w:autoSpaceDN w:val="0"/>
        <w:adjustRightInd w:val="0"/>
        <w:ind w:left="567" w:right="567"/>
        <w:rPr>
          <w:rFonts w:eastAsia="Cambria" w:cs="Arial"/>
          <w:szCs w:val="18"/>
          <w:u w:val="single"/>
          <w:lang w:eastAsia="fr-FR"/>
        </w:rPr>
      </w:pPr>
    </w:p>
    <w:p w:rsidR="00DD4A0D" w:rsidRPr="00BA7873" w:rsidRDefault="00B275A1" w:rsidP="00DD4A0D">
      <w:pPr>
        <w:shd w:val="clear" w:color="auto" w:fill="FFFFFF" w:themeFill="background1"/>
        <w:autoSpaceDE w:val="0"/>
        <w:autoSpaceDN w:val="0"/>
        <w:adjustRightInd w:val="0"/>
        <w:ind w:left="567" w:right="567"/>
        <w:rPr>
          <w:rFonts w:eastAsia="Cambria" w:cs="Arial"/>
          <w:szCs w:val="18"/>
          <w:u w:val="single"/>
          <w:lang w:eastAsia="fr-FR"/>
        </w:rPr>
      </w:pP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Asimismo</w:t>
      </w:r>
      <w:r w:rsidR="00582C7B"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, </w:t>
      </w: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se p</w:t>
      </w:r>
      <w:r w:rsidR="007D2217" w:rsidRPr="00E41525">
        <w:rPr>
          <w:rFonts w:eastAsia="Cambria" w:cs="Arial"/>
          <w:szCs w:val="18"/>
          <w:highlight w:val="lightGray"/>
          <w:u w:val="single"/>
          <w:lang w:eastAsia="fr-FR"/>
        </w:rPr>
        <w:t>odrá</w:t>
      </w: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 continuar </w:t>
      </w:r>
      <w:r w:rsidR="00E30474" w:rsidRPr="00E41525">
        <w:rPr>
          <w:rFonts w:eastAsia="Cambria" w:cs="Arial"/>
          <w:szCs w:val="18"/>
          <w:highlight w:val="lightGray"/>
          <w:u w:val="single"/>
          <w:lang w:eastAsia="fr-FR"/>
        </w:rPr>
        <w:t>el examen de una variedad si</w:t>
      </w:r>
      <w:r w:rsidR="00582C7B"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, </w:t>
      </w:r>
      <w:r w:rsidR="007D2217" w:rsidRPr="00E41525">
        <w:rPr>
          <w:rFonts w:eastAsia="Cambria" w:cs="Arial"/>
          <w:szCs w:val="18"/>
          <w:highlight w:val="lightGray"/>
          <w:u w:val="single"/>
          <w:lang w:eastAsia="fr-FR"/>
        </w:rPr>
        <w:t>una vez finalizado el</w:t>
      </w:r>
      <w:r w:rsidR="00E30474"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 </w:t>
      </w:r>
      <w:r w:rsidR="007D2217"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período </w:t>
      </w:r>
      <w:r w:rsidR="007D2217" w:rsidRPr="00E41525">
        <w:rPr>
          <w:rFonts w:eastAsia="Cambria" w:cs="Arial"/>
          <w:highlight w:val="lightGray"/>
          <w:u w:val="single"/>
        </w:rPr>
        <w:t>[normal]/[habitual] de examen</w:t>
      </w:r>
      <w:r w:rsidR="00582C7B" w:rsidRPr="00E41525">
        <w:rPr>
          <w:rFonts w:eastAsia="Cambria" w:cs="Arial"/>
          <w:highlight w:val="lightGray"/>
          <w:u w:val="single"/>
        </w:rPr>
        <w:t xml:space="preserve">, </w:t>
      </w: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no se h</w:t>
      </w:r>
      <w:r w:rsidR="007D2217" w:rsidRPr="00E41525">
        <w:rPr>
          <w:rFonts w:eastAsia="Cambria" w:cs="Arial"/>
          <w:szCs w:val="18"/>
          <w:highlight w:val="lightGray"/>
          <w:u w:val="single"/>
          <w:lang w:eastAsia="fr-FR"/>
        </w:rPr>
        <w:t>ubier</w:t>
      </w: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a alcanzado una conclusión respecto de la distinción</w:t>
      </w:r>
      <w:r w:rsidR="00582C7B"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, </w:t>
      </w: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la homogeneidad o la estabilidad</w:t>
      </w:r>
      <w:r w:rsidR="00E30474" w:rsidRPr="00E41525">
        <w:rPr>
          <w:rFonts w:eastAsia="Cambria" w:cs="Arial"/>
          <w:szCs w:val="18"/>
          <w:highlight w:val="lightGray"/>
          <w:u w:val="single"/>
          <w:lang w:eastAsia="fr-FR"/>
        </w:rPr>
        <w:t>.</w:t>
      </w:r>
      <w:r w:rsidR="00C75C72" w:rsidRPr="00BA7873">
        <w:rPr>
          <w:rFonts w:eastAsia="Cambria" w:cs="Arial"/>
        </w:rPr>
        <w:t>”</w:t>
      </w:r>
    </w:p>
    <w:p w:rsidR="00DD4A0D" w:rsidRPr="00BA7873" w:rsidRDefault="00DD4A0D" w:rsidP="00DD4A0D">
      <w:pPr>
        <w:keepNext/>
        <w:outlineLvl w:val="1"/>
        <w:rPr>
          <w:u w:val="single"/>
        </w:rPr>
      </w:pPr>
    </w:p>
    <w:p w:rsidR="00DD4A0D" w:rsidRPr="00BA7873" w:rsidRDefault="00E30474" w:rsidP="00DD4A0D">
      <w:r w:rsidRPr="00E41525">
        <w:t>ASW</w:t>
      </w:r>
      <w:r w:rsidR="00582C7B" w:rsidRPr="00E41525">
        <w:t> 2</w:t>
      </w:r>
      <w:r w:rsidRPr="00E41525">
        <w:t> b):</w:t>
      </w:r>
    </w:p>
    <w:p w:rsidR="00DD4A0D" w:rsidRPr="00BA7873" w:rsidRDefault="00DD4A0D" w:rsidP="00DD4A0D">
      <w:pPr>
        <w:jc w:val="left"/>
      </w:pPr>
    </w:p>
    <w:p w:rsidR="00DD4A0D" w:rsidRPr="00BA7873" w:rsidRDefault="00DD4A0D" w:rsidP="00DD4A0D">
      <w:pPr>
        <w:ind w:left="567"/>
        <w:jc w:val="left"/>
      </w:pPr>
      <w:r w:rsidRPr="00BA7873">
        <w:t>“3.</w:t>
      </w:r>
      <w:r w:rsidRPr="00BA7873">
        <w:tab/>
      </w:r>
      <w:r w:rsidR="007D2217" w:rsidRPr="00E41525">
        <w:t>Método de examen</w:t>
      </w:r>
    </w:p>
    <w:p w:rsidR="00DD4A0D" w:rsidRPr="00BA7873" w:rsidRDefault="00DD4A0D" w:rsidP="00DD4A0D">
      <w:pPr>
        <w:ind w:left="567"/>
        <w:jc w:val="left"/>
      </w:pPr>
    </w:p>
    <w:p w:rsidR="00DD4A0D" w:rsidRPr="00BA7873" w:rsidRDefault="00DD4A0D" w:rsidP="00DD4A0D">
      <w:pPr>
        <w:ind w:left="567"/>
        <w:jc w:val="left"/>
      </w:pPr>
      <w:r w:rsidRPr="00BA7873">
        <w:t>3.1</w:t>
      </w:r>
      <w:r w:rsidRPr="00BA7873">
        <w:tab/>
      </w:r>
      <w:r w:rsidR="007D2217" w:rsidRPr="00E41525">
        <w:t>Número de ciclos de cultivo</w:t>
      </w:r>
    </w:p>
    <w:p w:rsidR="00DD4A0D" w:rsidRPr="00BA7873" w:rsidRDefault="00DD4A0D" w:rsidP="00DD4A0D">
      <w:pPr>
        <w:ind w:left="567"/>
        <w:jc w:val="left"/>
      </w:pPr>
    </w:p>
    <w:p w:rsidR="00DD4A0D" w:rsidRPr="00BA7873" w:rsidRDefault="007D2217" w:rsidP="00DD4A0D">
      <w:pPr>
        <w:autoSpaceDE w:val="0"/>
        <w:autoSpaceDN w:val="0"/>
        <w:adjustRightInd w:val="0"/>
        <w:ind w:left="567" w:right="567"/>
        <w:rPr>
          <w:rFonts w:eastAsia="Cambria" w:cs="Arial"/>
        </w:rPr>
      </w:pPr>
      <w:r w:rsidRPr="00E41525">
        <w:rPr>
          <w:rFonts w:eastAsia="Cambria" w:cs="Arial"/>
        </w:rPr>
        <w:t xml:space="preserve">La duración </w:t>
      </w:r>
      <w:r w:rsidRPr="00E41525">
        <w:rPr>
          <w:rFonts w:eastAsia="Cambria" w:cs="Arial"/>
          <w:strike/>
          <w:highlight w:val="lightGray"/>
        </w:rPr>
        <w:t>mínima</w:t>
      </w:r>
      <w:r w:rsidRPr="00E41525">
        <w:rPr>
          <w:rFonts w:eastAsia="Cambria" w:cs="Arial"/>
        </w:rPr>
        <w:t xml:space="preserve"> de los ensayos deberá ser [</w:t>
      </w:r>
      <w:r w:rsidRPr="00E41525">
        <w:rPr>
          <w:rFonts w:eastAsia="Cambria" w:cs="Arial"/>
          <w:highlight w:val="lightGray"/>
        </w:rPr>
        <w:t>normalmente</w:t>
      </w:r>
      <w:r w:rsidRPr="00E41525">
        <w:rPr>
          <w:rFonts w:eastAsia="Cambria" w:cs="Arial"/>
        </w:rPr>
        <w:t>]</w:t>
      </w:r>
      <w:proofErr w:type="gramStart"/>
      <w:r w:rsidRPr="00E41525">
        <w:rPr>
          <w:rFonts w:eastAsia="Cambria" w:cs="Arial"/>
        </w:rPr>
        <w:t>/[</w:t>
      </w:r>
      <w:proofErr w:type="gramEnd"/>
      <w:r w:rsidRPr="00E41525">
        <w:rPr>
          <w:rFonts w:eastAsia="Cambria" w:cs="Arial"/>
          <w:highlight w:val="lightGray"/>
          <w:u w:val="single"/>
        </w:rPr>
        <w:t>por lo general</w:t>
      </w:r>
      <w:r w:rsidRPr="00E41525">
        <w:rPr>
          <w:rFonts w:eastAsia="Cambria" w:cs="Arial"/>
        </w:rPr>
        <w:t>] de dos ciclos de cultivo independientes.</w:t>
      </w:r>
      <w:r w:rsidR="00DD4A0D" w:rsidRPr="00BA7873">
        <w:rPr>
          <w:rFonts w:eastAsia="Cambria" w:cs="Arial"/>
        </w:rPr>
        <w:t xml:space="preserve"> </w:t>
      </w:r>
    </w:p>
    <w:p w:rsidR="00DD4A0D" w:rsidRPr="00BA7873" w:rsidRDefault="00DD4A0D" w:rsidP="00DD4A0D">
      <w:pPr>
        <w:rPr>
          <w:rFonts w:eastAsia="Cambria"/>
        </w:rPr>
      </w:pPr>
    </w:p>
    <w:p w:rsidR="00DD4A0D" w:rsidRPr="00BA7873" w:rsidRDefault="007D2217" w:rsidP="00DD4A0D">
      <w:pPr>
        <w:autoSpaceDE w:val="0"/>
        <w:autoSpaceDN w:val="0"/>
        <w:adjustRightInd w:val="0"/>
        <w:ind w:left="567" w:right="567"/>
        <w:rPr>
          <w:u w:val="single"/>
        </w:rPr>
      </w:pPr>
      <w:r w:rsidRPr="00E41525">
        <w:rPr>
          <w:highlight w:val="lightGray"/>
          <w:u w:val="single"/>
        </w:rPr>
        <w:t>No obstante</w:t>
      </w:r>
      <w:r w:rsidR="00582C7B" w:rsidRPr="00E41525">
        <w:rPr>
          <w:highlight w:val="lightGray"/>
          <w:u w:val="single"/>
        </w:rPr>
        <w:t xml:space="preserve">, </w:t>
      </w:r>
      <w:r w:rsidRPr="00E41525">
        <w:rPr>
          <w:highlight w:val="lightGray"/>
          <w:u w:val="single"/>
        </w:rPr>
        <w:t xml:space="preserve">se podrá poner fin </w:t>
      </w:r>
      <w:r w:rsidR="009451E0" w:rsidRPr="00E41525">
        <w:rPr>
          <w:highlight w:val="lightGray"/>
          <w:u w:val="single"/>
        </w:rPr>
        <w:t>anticipadamente</w:t>
      </w:r>
      <w:r w:rsidRPr="00E41525">
        <w:rPr>
          <w:highlight w:val="lightGray"/>
          <w:u w:val="single"/>
        </w:rPr>
        <w:t xml:space="preserve"> al examen de una variedad si ya se hubiera alcanzado una conclusión negativa respecto de la distinción</w:t>
      </w:r>
      <w:r w:rsidR="00582C7B" w:rsidRPr="00E41525">
        <w:rPr>
          <w:highlight w:val="lightGray"/>
          <w:u w:val="single"/>
        </w:rPr>
        <w:t xml:space="preserve">, </w:t>
      </w:r>
      <w:r w:rsidRPr="00E41525">
        <w:rPr>
          <w:highlight w:val="lightGray"/>
          <w:u w:val="single"/>
        </w:rPr>
        <w:t>la homogeneidad o la estabilidad.</w:t>
      </w:r>
    </w:p>
    <w:p w:rsidR="00DD4A0D" w:rsidRPr="00BA7873" w:rsidRDefault="00DD4A0D" w:rsidP="00DD4A0D">
      <w:pPr>
        <w:shd w:val="clear" w:color="auto" w:fill="FFFFFF" w:themeFill="background1"/>
        <w:autoSpaceDE w:val="0"/>
        <w:autoSpaceDN w:val="0"/>
        <w:adjustRightInd w:val="0"/>
        <w:ind w:left="567" w:right="567"/>
        <w:rPr>
          <w:rFonts w:eastAsia="Cambria" w:cs="Arial"/>
          <w:szCs w:val="18"/>
          <w:u w:val="single"/>
          <w:lang w:eastAsia="fr-FR"/>
        </w:rPr>
      </w:pPr>
    </w:p>
    <w:p w:rsidR="00DD4A0D" w:rsidRPr="00BA7873" w:rsidRDefault="007D2217" w:rsidP="00DD4A0D">
      <w:pPr>
        <w:shd w:val="clear" w:color="auto" w:fill="FFFFFF" w:themeFill="background1"/>
        <w:autoSpaceDE w:val="0"/>
        <w:autoSpaceDN w:val="0"/>
        <w:adjustRightInd w:val="0"/>
        <w:ind w:left="567" w:right="567"/>
        <w:rPr>
          <w:rFonts w:eastAsia="Cambria" w:cs="Arial"/>
          <w:szCs w:val="18"/>
          <w:u w:val="single"/>
          <w:lang w:eastAsia="fr-FR"/>
        </w:rPr>
      </w:pP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Asimismo</w:t>
      </w:r>
      <w:r w:rsidR="00582C7B"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, </w:t>
      </w: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se podrá continuar el examen de una variedad si</w:t>
      </w:r>
      <w:r w:rsidR="00582C7B"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, </w:t>
      </w: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una vez finalizado el período [normal]/[habitual] de examen</w:t>
      </w:r>
      <w:r w:rsidR="00582C7B"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, </w:t>
      </w: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no se hubiera alcanzado una conclusión respecto de la distinción</w:t>
      </w:r>
      <w:r w:rsidR="00582C7B" w:rsidRPr="00E41525">
        <w:rPr>
          <w:rFonts w:eastAsia="Cambria" w:cs="Arial"/>
          <w:szCs w:val="18"/>
          <w:highlight w:val="lightGray"/>
          <w:u w:val="single"/>
          <w:lang w:eastAsia="fr-FR"/>
        </w:rPr>
        <w:t xml:space="preserve">, </w:t>
      </w:r>
      <w:r w:rsidRPr="00E41525">
        <w:rPr>
          <w:rFonts w:eastAsia="Cambria" w:cs="Arial"/>
          <w:szCs w:val="18"/>
          <w:highlight w:val="lightGray"/>
          <w:u w:val="single"/>
          <w:lang w:eastAsia="fr-FR"/>
        </w:rPr>
        <w:t>la homogeneidad o la estabilidad.</w:t>
      </w:r>
      <w:r w:rsidR="00C12490" w:rsidRPr="00BA7873">
        <w:rPr>
          <w:rFonts w:eastAsia="Cambria" w:cs="Arial"/>
        </w:rPr>
        <w:t>”</w:t>
      </w:r>
    </w:p>
    <w:p w:rsidR="00DD4A0D" w:rsidRPr="00BA7873" w:rsidRDefault="00DD4A0D" w:rsidP="00DD4A0D">
      <w:pPr>
        <w:rPr>
          <w:rFonts w:eastAsia="Cambria"/>
          <w:lang w:eastAsia="fr-FR"/>
        </w:rPr>
      </w:pPr>
    </w:p>
    <w:p w:rsidR="00DD4A0D" w:rsidRPr="00BA7873" w:rsidRDefault="00F60E7F" w:rsidP="00DD4A0D">
      <w:pPr>
        <w:rPr>
          <w:rFonts w:eastAsia="Cambria" w:cs="Arial"/>
        </w:rPr>
      </w:pPr>
      <w:r w:rsidRPr="00857EC8">
        <w:rPr>
          <w:rFonts w:cs="Arial"/>
          <w:snapToGrid w:val="0"/>
        </w:rPr>
        <w:fldChar w:fldCharType="begin"/>
      </w:r>
      <w:r w:rsidR="00DD4A0D" w:rsidRPr="00BA7873">
        <w:rPr>
          <w:rFonts w:cs="Arial"/>
          <w:snapToGrid w:val="0"/>
        </w:rPr>
        <w:instrText xml:space="preserve"> AUTONUM  </w:instrText>
      </w:r>
      <w:r w:rsidRPr="00857EC8">
        <w:rPr>
          <w:rFonts w:cs="Arial"/>
          <w:snapToGrid w:val="0"/>
        </w:rPr>
        <w:fldChar w:fldCharType="end"/>
      </w:r>
      <w:r w:rsidR="00DD4A0D" w:rsidRPr="00BA7873">
        <w:rPr>
          <w:rFonts w:cs="Arial"/>
          <w:snapToGrid w:val="0"/>
        </w:rPr>
        <w:tab/>
      </w:r>
      <w:r w:rsidR="00356EF0" w:rsidRPr="00E41525">
        <w:rPr>
          <w:rFonts w:cs="Arial"/>
          <w:snapToGrid w:val="0"/>
        </w:rPr>
        <w:t>En sus sesiones de</w:t>
      </w:r>
      <w:r w:rsidR="00582C7B" w:rsidRPr="00E41525">
        <w:rPr>
          <w:rFonts w:cs="Arial"/>
          <w:snapToGrid w:val="0"/>
        </w:rPr>
        <w:t> 2</w:t>
      </w:r>
      <w:r w:rsidR="00356EF0" w:rsidRPr="00E41525">
        <w:rPr>
          <w:rFonts w:cs="Arial"/>
          <w:snapToGrid w:val="0"/>
        </w:rPr>
        <w:t>017</w:t>
      </w:r>
      <w:r w:rsidR="00582C7B" w:rsidRPr="00E41525">
        <w:rPr>
          <w:rFonts w:cs="Arial"/>
          <w:snapToGrid w:val="0"/>
        </w:rPr>
        <w:t xml:space="preserve">, </w:t>
      </w:r>
      <w:r w:rsidR="00356EF0" w:rsidRPr="00E41525">
        <w:rPr>
          <w:rFonts w:cs="Arial"/>
          <w:snapToGrid w:val="0"/>
        </w:rPr>
        <w:t xml:space="preserve">los TWP convinieron en que es preferible el término “normalmente” y debe ser el que se emplee en toda la orientación que se </w:t>
      </w:r>
      <w:r w:rsidR="004D0E7B" w:rsidRPr="00E41525">
        <w:rPr>
          <w:rFonts w:cs="Arial"/>
          <w:snapToGrid w:val="0"/>
        </w:rPr>
        <w:t xml:space="preserve">ofrece </w:t>
      </w:r>
      <w:r w:rsidR="00356EF0" w:rsidRPr="00E41525">
        <w:rPr>
          <w:rFonts w:cs="Arial"/>
          <w:snapToGrid w:val="0"/>
        </w:rPr>
        <w:t>en el ASW</w:t>
      </w:r>
      <w:r w:rsidR="00582C7B" w:rsidRPr="00E41525">
        <w:rPr>
          <w:rFonts w:cs="Arial"/>
          <w:snapToGrid w:val="0"/>
        </w:rPr>
        <w:t> 2</w:t>
      </w:r>
      <w:r w:rsidR="00356EF0" w:rsidRPr="00E41525">
        <w:rPr>
          <w:rFonts w:cs="Arial"/>
          <w:snapToGrid w:val="0"/>
        </w:rPr>
        <w:t>.</w:t>
      </w:r>
      <w:r w:rsidR="00DD4A0D" w:rsidRPr="00BA7873">
        <w:rPr>
          <w:rFonts w:cs="Arial"/>
          <w:snapToGrid w:val="0"/>
        </w:rPr>
        <w:t xml:space="preserve"> </w:t>
      </w:r>
    </w:p>
    <w:p w:rsidR="00DD4A0D" w:rsidRPr="00BA7873" w:rsidRDefault="00DD4A0D" w:rsidP="00DD4A0D">
      <w:pPr>
        <w:rPr>
          <w:rFonts w:cs="Arial"/>
          <w:snapToGrid w:val="0"/>
        </w:rPr>
      </w:pPr>
    </w:p>
    <w:p w:rsidR="00DD4A0D" w:rsidRPr="00BA7873" w:rsidRDefault="00F60E7F" w:rsidP="00DD4A0D">
      <w:pPr>
        <w:rPr>
          <w:spacing w:val="-2"/>
        </w:rPr>
      </w:pPr>
      <w:r w:rsidRPr="00857EC8">
        <w:rPr>
          <w:rFonts w:cs="Arial"/>
          <w:snapToGrid w:val="0"/>
          <w:spacing w:val="-2"/>
        </w:rPr>
        <w:fldChar w:fldCharType="begin"/>
      </w:r>
      <w:r w:rsidR="00DD4A0D" w:rsidRPr="00BA7873">
        <w:rPr>
          <w:rFonts w:cs="Arial"/>
          <w:snapToGrid w:val="0"/>
          <w:spacing w:val="-2"/>
        </w:rPr>
        <w:instrText xml:space="preserve"> AUTONUM  </w:instrText>
      </w:r>
      <w:r w:rsidRPr="00857EC8">
        <w:rPr>
          <w:rFonts w:cs="Arial"/>
          <w:snapToGrid w:val="0"/>
          <w:spacing w:val="-2"/>
        </w:rPr>
        <w:fldChar w:fldCharType="end"/>
      </w:r>
      <w:r w:rsidR="00DD4A0D" w:rsidRPr="00BA7873">
        <w:rPr>
          <w:rFonts w:cs="Arial"/>
          <w:snapToGrid w:val="0"/>
          <w:spacing w:val="-2"/>
        </w:rPr>
        <w:tab/>
      </w:r>
      <w:r w:rsidR="007475EE" w:rsidRPr="00E41525">
        <w:rPr>
          <w:rFonts w:cs="Arial"/>
          <w:snapToGrid w:val="0"/>
          <w:spacing w:val="-2"/>
        </w:rPr>
        <w:t>El TWA</w:t>
      </w:r>
      <w:r w:rsidR="00582C7B" w:rsidRPr="00E41525">
        <w:rPr>
          <w:rFonts w:cs="Arial"/>
          <w:snapToGrid w:val="0"/>
          <w:spacing w:val="-2"/>
          <w:lang w:eastAsia="zh-CN"/>
        </w:rPr>
        <w:t xml:space="preserve">, </w:t>
      </w:r>
      <w:r w:rsidR="007475EE" w:rsidRPr="00E41525">
        <w:rPr>
          <w:rFonts w:cs="Arial"/>
          <w:snapToGrid w:val="0"/>
          <w:spacing w:val="-2"/>
        </w:rPr>
        <w:t>el TWV</w:t>
      </w:r>
      <w:r w:rsidR="007475EE" w:rsidRPr="00E41525">
        <w:rPr>
          <w:spacing w:val="-2"/>
        </w:rPr>
        <w:t xml:space="preserve"> </w:t>
      </w:r>
      <w:r w:rsidR="007475EE" w:rsidRPr="00E41525">
        <w:rPr>
          <w:spacing w:val="-2"/>
          <w:lang w:eastAsia="zh-CN"/>
        </w:rPr>
        <w:t xml:space="preserve">y el TWO </w:t>
      </w:r>
      <w:r w:rsidR="007475EE" w:rsidRPr="00E41525">
        <w:rPr>
          <w:spacing w:val="-2"/>
        </w:rPr>
        <w:t xml:space="preserve">convinieron en que </w:t>
      </w:r>
      <w:r w:rsidR="007475EE" w:rsidRPr="00E41525">
        <w:rPr>
          <w:spacing w:val="-2"/>
          <w:lang w:eastAsia="zh-CN"/>
        </w:rPr>
        <w:t>el</w:t>
      </w:r>
      <w:r w:rsidR="007475EE" w:rsidRPr="00E41525">
        <w:rPr>
          <w:spacing w:val="-2"/>
        </w:rPr>
        <w:t xml:space="preserve"> </w:t>
      </w:r>
      <w:r w:rsidR="009F3AE4" w:rsidRPr="00E41525">
        <w:rPr>
          <w:spacing w:val="-2"/>
        </w:rPr>
        <w:t xml:space="preserve">actual </w:t>
      </w:r>
      <w:r w:rsidR="007475EE" w:rsidRPr="00E41525">
        <w:rPr>
          <w:spacing w:val="-2"/>
        </w:rPr>
        <w:t xml:space="preserve">texto estándar </w:t>
      </w:r>
      <w:r w:rsidR="009F3AE4" w:rsidRPr="00E41525">
        <w:rPr>
          <w:spacing w:val="-2"/>
        </w:rPr>
        <w:t>de</w:t>
      </w:r>
      <w:r w:rsidR="009451E0" w:rsidRPr="00E41525">
        <w:rPr>
          <w:spacing w:val="-2"/>
        </w:rPr>
        <w:t xml:space="preserve"> </w:t>
      </w:r>
      <w:r w:rsidR="007475EE" w:rsidRPr="00E41525">
        <w:rPr>
          <w:spacing w:val="-2"/>
        </w:rPr>
        <w:t xml:space="preserve">las directrices de examen </w:t>
      </w:r>
      <w:r w:rsidR="009451E0" w:rsidRPr="00E41525">
        <w:rPr>
          <w:spacing w:val="-2"/>
        </w:rPr>
        <w:t>permite poner fin</w:t>
      </w:r>
      <w:r w:rsidR="007475EE" w:rsidRPr="00E41525">
        <w:rPr>
          <w:spacing w:val="-2"/>
        </w:rPr>
        <w:t xml:space="preserve"> </w:t>
      </w:r>
      <w:r w:rsidR="009451E0" w:rsidRPr="00E41525">
        <w:rPr>
          <w:spacing w:val="-2"/>
        </w:rPr>
        <w:t xml:space="preserve">al </w:t>
      </w:r>
      <w:r w:rsidR="007475EE" w:rsidRPr="00E41525">
        <w:rPr>
          <w:spacing w:val="-2"/>
        </w:rPr>
        <w:t xml:space="preserve">examen de </w:t>
      </w:r>
      <w:r w:rsidR="009451E0" w:rsidRPr="00E41525">
        <w:rPr>
          <w:spacing w:val="-2"/>
        </w:rPr>
        <w:t>un</w:t>
      </w:r>
      <w:r w:rsidR="007475EE" w:rsidRPr="00E41525">
        <w:rPr>
          <w:spacing w:val="-2"/>
        </w:rPr>
        <w:t xml:space="preserve">a variedad candidata </w:t>
      </w:r>
      <w:r w:rsidR="0095794C" w:rsidRPr="00E41525">
        <w:rPr>
          <w:spacing w:val="-2"/>
        </w:rPr>
        <w:t xml:space="preserve">anticipadamente </w:t>
      </w:r>
      <w:r w:rsidR="007475EE" w:rsidRPr="00E41525">
        <w:rPr>
          <w:spacing w:val="-2"/>
        </w:rPr>
        <w:t xml:space="preserve">en </w:t>
      </w:r>
      <w:r w:rsidR="009451E0" w:rsidRPr="00E41525">
        <w:rPr>
          <w:spacing w:val="-2"/>
        </w:rPr>
        <w:t xml:space="preserve">el </w:t>
      </w:r>
      <w:r w:rsidR="007475EE" w:rsidRPr="00E41525">
        <w:rPr>
          <w:spacing w:val="-2"/>
        </w:rPr>
        <w:t xml:space="preserve">caso </w:t>
      </w:r>
      <w:r w:rsidR="009451E0" w:rsidRPr="00E41525">
        <w:rPr>
          <w:spacing w:val="-2"/>
        </w:rPr>
        <w:t xml:space="preserve">de que las </w:t>
      </w:r>
      <w:r w:rsidR="007475EE" w:rsidRPr="00E41525">
        <w:rPr>
          <w:spacing w:val="-2"/>
        </w:rPr>
        <w:t xml:space="preserve">diferencias observadas entre </w:t>
      </w:r>
      <w:r w:rsidR="009451E0" w:rsidRPr="00E41525">
        <w:rPr>
          <w:spacing w:val="-2"/>
        </w:rPr>
        <w:t xml:space="preserve">las </w:t>
      </w:r>
      <w:r w:rsidR="007475EE" w:rsidRPr="00E41525">
        <w:rPr>
          <w:spacing w:val="-2"/>
        </w:rPr>
        <w:t xml:space="preserve">variedades </w:t>
      </w:r>
      <w:r w:rsidR="009451E0" w:rsidRPr="00E41525">
        <w:rPr>
          <w:spacing w:val="-2"/>
        </w:rPr>
        <w:t xml:space="preserve">resulten </w:t>
      </w:r>
      <w:r w:rsidR="007475EE" w:rsidRPr="00E41525">
        <w:rPr>
          <w:spacing w:val="-2"/>
        </w:rPr>
        <w:t>tan evidentes que no sea necesario más de un ciclo de cultivo.</w:t>
      </w:r>
      <w:r w:rsidR="00225F80" w:rsidRPr="00BA7873">
        <w:rPr>
          <w:spacing w:val="-2"/>
        </w:rPr>
        <w:t xml:space="preserve"> </w:t>
      </w:r>
    </w:p>
    <w:p w:rsidR="00DD4A0D" w:rsidRPr="00BA7873" w:rsidRDefault="00DD4A0D" w:rsidP="00DD4A0D">
      <w:pPr>
        <w:rPr>
          <w:rFonts w:eastAsia="Cambria"/>
          <w:lang w:eastAsia="fr-FR"/>
        </w:rPr>
      </w:pPr>
    </w:p>
    <w:p w:rsidR="00DD4A0D" w:rsidRPr="00BA7873" w:rsidRDefault="00F60E7F" w:rsidP="00DD4A0D">
      <w:pPr>
        <w:rPr>
          <w:rFonts w:cs="Arial"/>
          <w:snapToGrid w:val="0"/>
          <w:spacing w:val="-2"/>
        </w:rPr>
      </w:pPr>
      <w:r w:rsidRPr="00857EC8">
        <w:rPr>
          <w:rFonts w:cs="Arial"/>
          <w:snapToGrid w:val="0"/>
          <w:spacing w:val="-2"/>
        </w:rPr>
        <w:fldChar w:fldCharType="begin"/>
      </w:r>
      <w:r w:rsidR="00DD4A0D" w:rsidRPr="00BA7873">
        <w:rPr>
          <w:rFonts w:cs="Arial"/>
          <w:snapToGrid w:val="0"/>
          <w:spacing w:val="-2"/>
        </w:rPr>
        <w:instrText xml:space="preserve"> AUTONUM  </w:instrText>
      </w:r>
      <w:r w:rsidRPr="00857EC8">
        <w:rPr>
          <w:rFonts w:cs="Arial"/>
          <w:snapToGrid w:val="0"/>
          <w:spacing w:val="-2"/>
        </w:rPr>
        <w:fldChar w:fldCharType="end"/>
      </w:r>
      <w:r w:rsidR="00DD4A0D" w:rsidRPr="00BA7873">
        <w:rPr>
          <w:rFonts w:cs="Arial"/>
          <w:snapToGrid w:val="0"/>
          <w:spacing w:val="-2"/>
        </w:rPr>
        <w:tab/>
      </w:r>
      <w:r w:rsidR="0069434F" w:rsidRPr="00E41525">
        <w:rPr>
          <w:rFonts w:cs="Arial"/>
          <w:snapToGrid w:val="0"/>
          <w:spacing w:val="-2"/>
        </w:rPr>
        <w:t>El TWV</w:t>
      </w:r>
      <w:r w:rsidR="0069434F" w:rsidRPr="00E41525">
        <w:rPr>
          <w:rFonts w:cs="Arial"/>
          <w:snapToGrid w:val="0"/>
          <w:spacing w:val="-2"/>
          <w:lang w:eastAsia="zh-CN"/>
        </w:rPr>
        <w:t xml:space="preserve"> y el TWF</w:t>
      </w:r>
      <w:r w:rsidR="0069434F" w:rsidRPr="00E41525">
        <w:rPr>
          <w:rFonts w:cs="Arial"/>
          <w:snapToGrid w:val="0"/>
          <w:spacing w:val="-2"/>
        </w:rPr>
        <w:t xml:space="preserve"> convinieron en que debe suprimirse la referencia a una conclusión negativa</w:t>
      </w:r>
      <w:r w:rsidR="0024342B" w:rsidRPr="00E41525">
        <w:rPr>
          <w:rFonts w:cs="Arial"/>
          <w:snapToGrid w:val="0"/>
          <w:spacing w:val="-2"/>
        </w:rPr>
        <w:t>,</w:t>
      </w:r>
      <w:r w:rsidR="0069434F" w:rsidRPr="00E41525">
        <w:rPr>
          <w:rFonts w:cs="Arial"/>
          <w:snapToGrid w:val="0"/>
          <w:spacing w:val="-2"/>
        </w:rPr>
        <w:t xml:space="preserve"> ya que </w:t>
      </w:r>
      <w:r w:rsidR="0024342B" w:rsidRPr="00E41525">
        <w:rPr>
          <w:rFonts w:cs="Arial"/>
          <w:snapToGrid w:val="0"/>
          <w:spacing w:val="-2"/>
        </w:rPr>
        <w:t xml:space="preserve">esta </w:t>
      </w:r>
      <w:r w:rsidR="0069434F" w:rsidRPr="00E41525">
        <w:rPr>
          <w:rFonts w:cs="Arial"/>
          <w:snapToGrid w:val="0"/>
          <w:spacing w:val="-2"/>
        </w:rPr>
        <w:t xml:space="preserve">se </w:t>
      </w:r>
      <w:r w:rsidR="0024342B" w:rsidRPr="00E41525">
        <w:rPr>
          <w:rFonts w:cs="Arial"/>
          <w:snapToGrid w:val="0"/>
          <w:spacing w:val="-2"/>
        </w:rPr>
        <w:t xml:space="preserve">limita a </w:t>
      </w:r>
      <w:r w:rsidR="0069434F" w:rsidRPr="00E41525">
        <w:rPr>
          <w:rFonts w:cs="Arial"/>
          <w:snapToGrid w:val="0"/>
          <w:spacing w:val="-2"/>
        </w:rPr>
        <w:t>casos excepcionales y</w:t>
      </w:r>
      <w:r w:rsidR="00582C7B" w:rsidRPr="00E41525">
        <w:rPr>
          <w:rFonts w:cs="Arial"/>
          <w:snapToGrid w:val="0"/>
          <w:spacing w:val="-2"/>
        </w:rPr>
        <w:t xml:space="preserve">, </w:t>
      </w:r>
      <w:r w:rsidR="0069434F" w:rsidRPr="00E41525">
        <w:rPr>
          <w:rFonts w:cs="Arial"/>
          <w:snapToGrid w:val="0"/>
          <w:spacing w:val="-2"/>
        </w:rPr>
        <w:t>en la mayor parte de los casos</w:t>
      </w:r>
      <w:r w:rsidR="00582C7B" w:rsidRPr="00E41525">
        <w:rPr>
          <w:rFonts w:cs="Arial"/>
          <w:snapToGrid w:val="0"/>
          <w:spacing w:val="-2"/>
        </w:rPr>
        <w:t xml:space="preserve">, </w:t>
      </w:r>
      <w:r w:rsidR="0073352C" w:rsidRPr="00E41525">
        <w:rPr>
          <w:rFonts w:cs="Arial"/>
          <w:snapToGrid w:val="0"/>
          <w:spacing w:val="-2"/>
        </w:rPr>
        <w:t>se puede poner fin a</w:t>
      </w:r>
      <w:r w:rsidR="0024342B" w:rsidRPr="00E41525">
        <w:rPr>
          <w:rFonts w:cs="Arial"/>
          <w:snapToGrid w:val="0"/>
          <w:spacing w:val="-2"/>
        </w:rPr>
        <w:t xml:space="preserve">l examen DHE de una variedad con </w:t>
      </w:r>
      <w:r w:rsidR="00944B3C" w:rsidRPr="00E41525">
        <w:rPr>
          <w:rFonts w:cs="Arial"/>
          <w:snapToGrid w:val="0"/>
          <w:spacing w:val="-2"/>
        </w:rPr>
        <w:t>una conclusión positiva</w:t>
      </w:r>
      <w:r w:rsidR="0069434F" w:rsidRPr="00E41525">
        <w:rPr>
          <w:rFonts w:cs="Arial"/>
          <w:snapToGrid w:val="0"/>
          <w:spacing w:val="-2"/>
        </w:rPr>
        <w:t>.</w:t>
      </w:r>
      <w:r w:rsidR="00225F80" w:rsidRPr="00BA7873">
        <w:rPr>
          <w:rFonts w:cs="Arial"/>
          <w:snapToGrid w:val="0"/>
          <w:spacing w:val="-2"/>
        </w:rPr>
        <w:t xml:space="preserve"> </w:t>
      </w:r>
    </w:p>
    <w:p w:rsidR="00DD4A0D" w:rsidRPr="00BA7873" w:rsidRDefault="00DD4A0D" w:rsidP="00DD4A0D"/>
    <w:p w:rsidR="00DD4A0D" w:rsidRPr="00BA7873" w:rsidRDefault="00F60E7F" w:rsidP="00DD4A0D">
      <w:r w:rsidRPr="00857EC8">
        <w:rPr>
          <w:rFonts w:cs="Arial"/>
          <w:snapToGrid w:val="0"/>
        </w:rPr>
        <w:fldChar w:fldCharType="begin"/>
      </w:r>
      <w:r w:rsidR="00DD4A0D" w:rsidRPr="00BA7873">
        <w:rPr>
          <w:rFonts w:cs="Arial"/>
          <w:snapToGrid w:val="0"/>
        </w:rPr>
        <w:instrText xml:space="preserve"> AUTONUM  </w:instrText>
      </w:r>
      <w:r w:rsidRPr="00857EC8">
        <w:rPr>
          <w:rFonts w:cs="Arial"/>
          <w:snapToGrid w:val="0"/>
        </w:rPr>
        <w:fldChar w:fldCharType="end"/>
      </w:r>
      <w:r w:rsidR="00DD4A0D" w:rsidRPr="00BA7873">
        <w:rPr>
          <w:rFonts w:cs="Arial"/>
          <w:snapToGrid w:val="0"/>
        </w:rPr>
        <w:tab/>
      </w:r>
      <w:r w:rsidR="0069434F" w:rsidRPr="00E41525">
        <w:t xml:space="preserve">El TWA y el TWV convinieron en que debe existir la posibilidad de poner fin al examen de una variedad candidata </w:t>
      </w:r>
      <w:r w:rsidR="0095794C" w:rsidRPr="00E41525">
        <w:t xml:space="preserve">anticipadamente </w:t>
      </w:r>
      <w:r w:rsidR="0069434F" w:rsidRPr="00E41525">
        <w:t>(</w:t>
      </w:r>
      <w:r w:rsidR="0095794C" w:rsidRPr="00E41525">
        <w:t>por ejemplo</w:t>
      </w:r>
      <w:r w:rsidR="00582C7B" w:rsidRPr="00E41525">
        <w:t xml:space="preserve">, </w:t>
      </w:r>
      <w:r w:rsidR="0069434F" w:rsidRPr="00E41525">
        <w:t xml:space="preserve">durante </w:t>
      </w:r>
      <w:r w:rsidR="0095794C" w:rsidRPr="00E41525">
        <w:t xml:space="preserve">el período de establecimiento </w:t>
      </w:r>
      <w:r w:rsidR="0069434F" w:rsidRPr="00E41525">
        <w:t>de</w:t>
      </w:r>
      <w:r w:rsidR="0095794C" w:rsidRPr="00E41525">
        <w:t>l</w:t>
      </w:r>
      <w:r w:rsidR="0069434F" w:rsidRPr="00E41525">
        <w:t xml:space="preserve"> ensayo).</w:t>
      </w:r>
    </w:p>
    <w:p w:rsidR="00DD4A0D" w:rsidRPr="00BA7873" w:rsidRDefault="00DD4A0D" w:rsidP="00DD4A0D"/>
    <w:p w:rsidR="00DD4A0D" w:rsidRPr="00BA7873" w:rsidRDefault="00F60E7F" w:rsidP="00DD4A0D">
      <w:r w:rsidRPr="00857EC8">
        <w:fldChar w:fldCharType="begin"/>
      </w:r>
      <w:r w:rsidR="00DD4A0D" w:rsidRPr="00BA7873">
        <w:instrText xml:space="preserve"> AUTONUM  </w:instrText>
      </w:r>
      <w:r w:rsidRPr="00857EC8">
        <w:fldChar w:fldCharType="end"/>
      </w:r>
      <w:r w:rsidR="00DD4A0D" w:rsidRPr="00BA7873">
        <w:tab/>
      </w:r>
      <w:r w:rsidR="0095794C" w:rsidRPr="00E41525">
        <w:t xml:space="preserve">El TWO </w:t>
      </w:r>
      <w:r w:rsidR="0095794C" w:rsidRPr="00E41525">
        <w:rPr>
          <w:lang w:eastAsia="zh-CN"/>
        </w:rPr>
        <w:t xml:space="preserve">y el TWF </w:t>
      </w:r>
      <w:r w:rsidR="0095794C" w:rsidRPr="00E41525">
        <w:t>convinieron en que</w:t>
      </w:r>
      <w:r w:rsidR="0022102B" w:rsidRPr="00E41525">
        <w:t xml:space="preserve"> </w:t>
      </w:r>
      <w:r w:rsidR="00480A4A" w:rsidRPr="00E41525">
        <w:t xml:space="preserve">debe existir la posibilidad de poner fin al examen de una variedad candidata anticipadamente </w:t>
      </w:r>
      <w:r w:rsidR="00B73A02" w:rsidRPr="00E41525">
        <w:t>no solo por</w:t>
      </w:r>
      <w:r w:rsidR="00480A4A" w:rsidRPr="00E41525">
        <w:t>que</w:t>
      </w:r>
      <w:r w:rsidR="00B73A02" w:rsidRPr="00E41525">
        <w:t xml:space="preserve"> </w:t>
      </w:r>
      <w:r w:rsidR="00480A4A" w:rsidRPr="00E41525">
        <w:t xml:space="preserve">se </w:t>
      </w:r>
      <w:r w:rsidR="00B73A02" w:rsidRPr="00E41525">
        <w:t>ha</w:t>
      </w:r>
      <w:r w:rsidR="00480A4A" w:rsidRPr="00E41525">
        <w:t xml:space="preserve">ya </w:t>
      </w:r>
      <w:r w:rsidR="00B73A02" w:rsidRPr="00E41525">
        <w:t>alcanzado una conclusión respecto del examen DHE</w:t>
      </w:r>
      <w:r w:rsidR="00582C7B" w:rsidRPr="00E41525">
        <w:t xml:space="preserve"> </w:t>
      </w:r>
      <w:r w:rsidR="00B73A02" w:rsidRPr="00E41525">
        <w:t xml:space="preserve">sino </w:t>
      </w:r>
      <w:r w:rsidR="0022102B" w:rsidRPr="00E41525">
        <w:t xml:space="preserve">también </w:t>
      </w:r>
      <w:r w:rsidR="00B73A02" w:rsidRPr="00E41525">
        <w:t>p</w:t>
      </w:r>
      <w:r w:rsidR="0095794C" w:rsidRPr="00E41525">
        <w:t xml:space="preserve">or </w:t>
      </w:r>
      <w:r w:rsidR="00B73A02" w:rsidRPr="00E41525">
        <w:t>otros motivos</w:t>
      </w:r>
      <w:r w:rsidR="00D168CA" w:rsidRPr="00E41525">
        <w:t>, como</w:t>
      </w:r>
      <w:r w:rsidR="00582C7B" w:rsidRPr="00E41525">
        <w:t xml:space="preserve">, </w:t>
      </w:r>
      <w:r w:rsidR="00D168CA" w:rsidRPr="00E41525">
        <w:t xml:space="preserve">por ejemplo, </w:t>
      </w:r>
      <w:r w:rsidR="005E49B4" w:rsidRPr="00E41525">
        <w:t xml:space="preserve">que el </w:t>
      </w:r>
      <w:r w:rsidR="009E2AB3" w:rsidRPr="00E41525">
        <w:t>material vegetal presentado plante</w:t>
      </w:r>
      <w:r w:rsidR="005E49B4" w:rsidRPr="00E41525">
        <w:t>e</w:t>
      </w:r>
      <w:r w:rsidR="00B73A02" w:rsidRPr="00E41525">
        <w:t xml:space="preserve"> </w:t>
      </w:r>
      <w:r w:rsidR="0095794C" w:rsidRPr="00E41525">
        <w:t>problem</w:t>
      </w:r>
      <w:r w:rsidR="00B73A02" w:rsidRPr="00E41525">
        <w:t>a</w:t>
      </w:r>
      <w:r w:rsidR="0095794C" w:rsidRPr="00E41525">
        <w:t>s.</w:t>
      </w:r>
    </w:p>
    <w:p w:rsidR="00DD4A0D" w:rsidRPr="00BA7873" w:rsidRDefault="00DD4A0D" w:rsidP="00DD4A0D">
      <w:pPr>
        <w:jc w:val="left"/>
      </w:pPr>
    </w:p>
    <w:p w:rsidR="00DD4A0D" w:rsidRPr="00BA7873" w:rsidRDefault="00F60E7F" w:rsidP="00DD4A0D">
      <w:pPr>
        <w:jc w:val="left"/>
      </w:pPr>
      <w:r w:rsidRPr="00857EC8">
        <w:lastRenderedPageBreak/>
        <w:fldChar w:fldCharType="begin"/>
      </w:r>
      <w:r w:rsidR="00DD4A0D" w:rsidRPr="00BA7873">
        <w:instrText xml:space="preserve"> AUTONUM  </w:instrText>
      </w:r>
      <w:r w:rsidRPr="00857EC8">
        <w:fldChar w:fldCharType="end"/>
      </w:r>
      <w:r w:rsidR="00DD4A0D" w:rsidRPr="00BA7873">
        <w:tab/>
      </w:r>
      <w:r w:rsidR="00347DB3" w:rsidRPr="00E41525">
        <w:t xml:space="preserve">El TWC tomó nota de los diferentes puntos de vista </w:t>
      </w:r>
      <w:r w:rsidR="004D03B8" w:rsidRPr="00E41525">
        <w:t>manifest</w:t>
      </w:r>
      <w:r w:rsidR="00347DB3" w:rsidRPr="00E41525">
        <w:t>ados por el TWA</w:t>
      </w:r>
      <w:r w:rsidR="00582C7B" w:rsidRPr="00E41525">
        <w:t xml:space="preserve">, </w:t>
      </w:r>
      <w:r w:rsidR="00347DB3" w:rsidRPr="00E41525">
        <w:t>el TWV</w:t>
      </w:r>
      <w:r w:rsidR="00582C7B" w:rsidRPr="00E41525">
        <w:t xml:space="preserve">, </w:t>
      </w:r>
      <w:r w:rsidR="00347DB3" w:rsidRPr="00E41525">
        <w:t>el TWO y el TWF en relación con el texto que figura en el texto estándar adicional (ASW)</w:t>
      </w:r>
      <w:r w:rsidR="00582C7B" w:rsidRPr="00E41525">
        <w:t> 2</w:t>
      </w:r>
      <w:r w:rsidR="00347DB3" w:rsidRPr="00E41525">
        <w:t xml:space="preserve"> y </w:t>
      </w:r>
      <w:r w:rsidR="004D03B8" w:rsidRPr="00E41525">
        <w:t xml:space="preserve">en </w:t>
      </w:r>
      <w:r w:rsidR="00347DB3" w:rsidRPr="00E41525">
        <w:t>la nota orientativa (GN)</w:t>
      </w:r>
      <w:r w:rsidR="00582C7B" w:rsidRPr="00E41525">
        <w:t> 8</w:t>
      </w:r>
      <w:r w:rsidR="00347DB3" w:rsidRPr="00E41525">
        <w:t xml:space="preserve"> y </w:t>
      </w:r>
      <w:r w:rsidR="004D03B8" w:rsidRPr="00E41525">
        <w:t>convino en que debe existir la posibilidad de que la</w:t>
      </w:r>
      <w:r w:rsidR="00347DB3" w:rsidRPr="00E41525">
        <w:t xml:space="preserve"> autoridad </w:t>
      </w:r>
      <w:r w:rsidR="004D03B8" w:rsidRPr="00E41525">
        <w:t xml:space="preserve">ponga fin al </w:t>
      </w:r>
      <w:r w:rsidR="00347DB3" w:rsidRPr="00E41525">
        <w:t xml:space="preserve">examen cuando </w:t>
      </w:r>
      <w:r w:rsidR="004D03B8" w:rsidRPr="00E41525">
        <w:t>se determine su resultado</w:t>
      </w:r>
      <w:r w:rsidR="00347DB3" w:rsidRPr="00E41525">
        <w:t>.</w:t>
      </w:r>
    </w:p>
    <w:p w:rsidR="00DD4A0D" w:rsidRPr="00BA7873" w:rsidRDefault="00DD4A0D" w:rsidP="00DD4A0D"/>
    <w:p w:rsidR="00DD4A0D" w:rsidRPr="00BA7873" w:rsidRDefault="00F60E7F" w:rsidP="009A0DF0">
      <w:pPr>
        <w:autoSpaceDE w:val="0"/>
        <w:autoSpaceDN w:val="0"/>
        <w:adjustRightInd w:val="0"/>
        <w:spacing w:after="240"/>
        <w:rPr>
          <w:rFonts w:cs="Arial"/>
          <w:snapToGrid w:val="0"/>
        </w:rPr>
      </w:pPr>
      <w:r w:rsidRPr="00857EC8">
        <w:rPr>
          <w:rFonts w:cs="Arial"/>
          <w:snapToGrid w:val="0"/>
        </w:rPr>
        <w:fldChar w:fldCharType="begin"/>
      </w:r>
      <w:r w:rsidR="00DD4A0D" w:rsidRPr="00BA7873">
        <w:rPr>
          <w:rFonts w:cs="Arial"/>
          <w:snapToGrid w:val="0"/>
        </w:rPr>
        <w:instrText xml:space="preserve"> AUTONUM  </w:instrText>
      </w:r>
      <w:r w:rsidRPr="00857EC8">
        <w:rPr>
          <w:rFonts w:cs="Arial"/>
          <w:snapToGrid w:val="0"/>
        </w:rPr>
        <w:fldChar w:fldCharType="end"/>
      </w:r>
      <w:r w:rsidR="00DD4A0D" w:rsidRPr="00BA7873">
        <w:rPr>
          <w:rFonts w:cs="Arial"/>
          <w:snapToGrid w:val="0"/>
        </w:rPr>
        <w:tab/>
      </w:r>
      <w:r w:rsidR="004D03B8" w:rsidRPr="00E41525">
        <w:rPr>
          <w:rFonts w:cs="Arial"/>
          <w:snapToGrid w:val="0"/>
        </w:rPr>
        <w:t xml:space="preserve">El TWO convino en que la expresión “ciclo de cultivo” no </w:t>
      </w:r>
      <w:r w:rsidR="008B0F85" w:rsidRPr="00E41525">
        <w:rPr>
          <w:rFonts w:cs="Arial"/>
          <w:snapToGrid w:val="0"/>
        </w:rPr>
        <w:t>es</w:t>
      </w:r>
      <w:r w:rsidR="004D03B8" w:rsidRPr="00E41525">
        <w:rPr>
          <w:rFonts w:cs="Arial"/>
          <w:snapToGrid w:val="0"/>
        </w:rPr>
        <w:t xml:space="preserve"> </w:t>
      </w:r>
      <w:r w:rsidR="00F86C6E" w:rsidRPr="00E41525">
        <w:rPr>
          <w:rFonts w:cs="Arial"/>
          <w:snapToGrid w:val="0"/>
        </w:rPr>
        <w:t>exacta</w:t>
      </w:r>
      <w:r w:rsidR="004D03B8" w:rsidRPr="00E41525">
        <w:rPr>
          <w:rFonts w:cs="Arial"/>
          <w:snapToGrid w:val="0"/>
        </w:rPr>
        <w:t xml:space="preserve"> pa</w:t>
      </w:r>
      <w:r w:rsidR="008B0F85" w:rsidRPr="00E41525">
        <w:rPr>
          <w:rFonts w:cs="Arial"/>
          <w:snapToGrid w:val="0"/>
        </w:rPr>
        <w:t>r</w:t>
      </w:r>
      <w:r w:rsidR="004D03B8" w:rsidRPr="00E41525">
        <w:rPr>
          <w:rFonts w:cs="Arial"/>
          <w:snapToGrid w:val="0"/>
        </w:rPr>
        <w:t>a explicar la duración del examen DHE</w:t>
      </w:r>
      <w:r w:rsidR="00582C7B" w:rsidRPr="00E41525">
        <w:rPr>
          <w:rFonts w:cs="Arial"/>
          <w:snapToGrid w:val="0"/>
        </w:rPr>
        <w:t xml:space="preserve">, </w:t>
      </w:r>
      <w:r w:rsidR="004D03B8" w:rsidRPr="00E41525">
        <w:rPr>
          <w:rFonts w:cs="Arial"/>
          <w:snapToGrid w:val="0"/>
        </w:rPr>
        <w:t>ya que hace referencia principalmente al ciclo biológico de</w:t>
      </w:r>
      <w:r w:rsidR="00960408" w:rsidRPr="00E41525">
        <w:rPr>
          <w:rFonts w:cs="Arial"/>
          <w:snapToGrid w:val="0"/>
        </w:rPr>
        <w:t xml:space="preserve"> </w:t>
      </w:r>
      <w:r w:rsidR="00F86C6E" w:rsidRPr="00E41525">
        <w:rPr>
          <w:rFonts w:cs="Arial"/>
          <w:snapToGrid w:val="0"/>
        </w:rPr>
        <w:t>l</w:t>
      </w:r>
      <w:r w:rsidR="00960408" w:rsidRPr="00E41525">
        <w:rPr>
          <w:rFonts w:cs="Arial"/>
          <w:snapToGrid w:val="0"/>
        </w:rPr>
        <w:t>a</w:t>
      </w:r>
      <w:r w:rsidR="004D03B8" w:rsidRPr="00E41525">
        <w:rPr>
          <w:rFonts w:cs="Arial"/>
          <w:snapToGrid w:val="0"/>
        </w:rPr>
        <w:t xml:space="preserve"> </w:t>
      </w:r>
      <w:r w:rsidR="00960408" w:rsidRPr="00E41525">
        <w:rPr>
          <w:rFonts w:cs="Arial"/>
          <w:snapToGrid w:val="0"/>
        </w:rPr>
        <w:t>planta</w:t>
      </w:r>
      <w:r w:rsidR="004D03B8" w:rsidRPr="00E41525">
        <w:rPr>
          <w:rFonts w:cs="Arial"/>
          <w:snapToGrid w:val="0"/>
        </w:rPr>
        <w:t>.</w:t>
      </w:r>
      <w:r w:rsidR="00225F80" w:rsidRPr="00BA7873">
        <w:rPr>
          <w:rFonts w:cs="Arial"/>
          <w:snapToGrid w:val="0"/>
        </w:rPr>
        <w:t xml:space="preserve"> </w:t>
      </w:r>
      <w:r w:rsidR="00F86C6E" w:rsidRPr="009A0DF0">
        <w:rPr>
          <w:rFonts w:cs="Arial"/>
          <w:snapToGrid w:val="0"/>
        </w:rPr>
        <w:t xml:space="preserve">El TWO acordó considerar la posibilidad de sustituir la expresión “ciclo de cultivo” por “ciclo de examen” en </w:t>
      </w:r>
      <w:r w:rsidR="00E41525" w:rsidRPr="009A0DF0">
        <w:rPr>
          <w:rFonts w:cs="Arial"/>
          <w:snapToGrid w:val="0"/>
        </w:rPr>
        <w:t xml:space="preserve">los apartados a) y b) del </w:t>
      </w:r>
      <w:r w:rsidR="00F86C6E" w:rsidRPr="009A0DF0">
        <w:rPr>
          <w:rFonts w:cs="Arial"/>
          <w:snapToGrid w:val="0"/>
        </w:rPr>
        <w:t xml:space="preserve">ASW 2 a fin de aclarar que la duración del examen DHE está </w:t>
      </w:r>
      <w:r w:rsidR="001F6BD8" w:rsidRPr="009A0DF0">
        <w:rPr>
          <w:rFonts w:cs="Arial"/>
          <w:snapToGrid w:val="0"/>
        </w:rPr>
        <w:t>vincul</w:t>
      </w:r>
      <w:r w:rsidR="00F86C6E" w:rsidRPr="009A0DF0">
        <w:rPr>
          <w:rFonts w:cs="Arial"/>
          <w:snapToGrid w:val="0"/>
        </w:rPr>
        <w:t>ada al período de examen de una variedad</w:t>
      </w:r>
      <w:r w:rsidR="00582C7B" w:rsidRPr="009A0DF0">
        <w:rPr>
          <w:rFonts w:cs="Arial"/>
          <w:snapToGrid w:val="0"/>
        </w:rPr>
        <w:t xml:space="preserve">, </w:t>
      </w:r>
      <w:r w:rsidR="00F86C6E" w:rsidRPr="009A0DF0">
        <w:rPr>
          <w:rFonts w:cs="Arial"/>
          <w:snapToGrid w:val="0"/>
        </w:rPr>
        <w:t xml:space="preserve">con independencia del número de ciclos </w:t>
      </w:r>
      <w:r w:rsidR="00F341F6" w:rsidRPr="009A0DF0">
        <w:rPr>
          <w:rFonts w:cs="Arial"/>
          <w:snapToGrid w:val="0"/>
        </w:rPr>
        <w:t xml:space="preserve">biológicos que </w:t>
      </w:r>
      <w:r w:rsidR="00960408" w:rsidRPr="009A0DF0">
        <w:rPr>
          <w:rFonts w:cs="Arial"/>
          <w:snapToGrid w:val="0"/>
        </w:rPr>
        <w:t xml:space="preserve">la planta </w:t>
      </w:r>
      <w:r w:rsidR="00F86C6E" w:rsidRPr="009A0DF0">
        <w:rPr>
          <w:rFonts w:cs="Arial"/>
          <w:snapToGrid w:val="0"/>
        </w:rPr>
        <w:t>ha</w:t>
      </w:r>
      <w:r w:rsidR="00F341F6" w:rsidRPr="009A0DF0">
        <w:rPr>
          <w:rFonts w:cs="Arial"/>
          <w:snapToGrid w:val="0"/>
        </w:rPr>
        <w:t xml:space="preserve">ya </w:t>
      </w:r>
      <w:r w:rsidR="00F86C6E" w:rsidRPr="009A0DF0">
        <w:rPr>
          <w:rFonts w:cs="Arial"/>
          <w:snapToGrid w:val="0"/>
        </w:rPr>
        <w:t>complet</w:t>
      </w:r>
      <w:r w:rsidR="00F341F6" w:rsidRPr="009A0DF0">
        <w:rPr>
          <w:rFonts w:cs="Arial"/>
          <w:snapToGrid w:val="0"/>
        </w:rPr>
        <w:t xml:space="preserve">ado </w:t>
      </w:r>
      <w:r w:rsidR="00F86C6E" w:rsidRPr="009A0DF0">
        <w:rPr>
          <w:rFonts w:cs="Arial"/>
          <w:snapToGrid w:val="0"/>
        </w:rPr>
        <w:t xml:space="preserve">durante </w:t>
      </w:r>
      <w:r w:rsidR="00F341F6" w:rsidRPr="009A0DF0">
        <w:rPr>
          <w:rFonts w:cs="Arial"/>
          <w:snapToGrid w:val="0"/>
        </w:rPr>
        <w:t>el examen </w:t>
      </w:r>
      <w:r w:rsidR="00F86C6E" w:rsidRPr="009A0DF0">
        <w:rPr>
          <w:rFonts w:cs="Arial"/>
          <w:snapToGrid w:val="0"/>
        </w:rPr>
        <w:t>DHE.</w:t>
      </w:r>
      <w:r w:rsidR="00DD4A0D" w:rsidRPr="00BA7873">
        <w:rPr>
          <w:rFonts w:cs="Arial"/>
          <w:snapToGrid w:val="0"/>
        </w:rPr>
        <w:t xml:space="preserve"> </w:t>
      </w:r>
    </w:p>
    <w:p w:rsidR="00DD4A0D" w:rsidRPr="00BA7873" w:rsidRDefault="00F60E7F" w:rsidP="009A0DF0">
      <w:pPr>
        <w:autoSpaceDE w:val="0"/>
        <w:autoSpaceDN w:val="0"/>
        <w:adjustRightInd w:val="0"/>
        <w:spacing w:after="240"/>
        <w:rPr>
          <w:rFonts w:cs="Arial"/>
          <w:snapToGrid w:val="0"/>
        </w:rPr>
      </w:pPr>
      <w:r w:rsidRPr="00857EC8">
        <w:rPr>
          <w:rFonts w:cs="Arial"/>
          <w:snapToGrid w:val="0"/>
        </w:rPr>
        <w:fldChar w:fldCharType="begin"/>
      </w:r>
      <w:r w:rsidR="00DD4A0D" w:rsidRPr="00BA7873">
        <w:rPr>
          <w:rFonts w:cs="Arial"/>
          <w:snapToGrid w:val="0"/>
        </w:rPr>
        <w:instrText xml:space="preserve"> AUTONUM  </w:instrText>
      </w:r>
      <w:r w:rsidRPr="00857EC8">
        <w:rPr>
          <w:rFonts w:cs="Arial"/>
          <w:snapToGrid w:val="0"/>
        </w:rPr>
        <w:fldChar w:fldCharType="end"/>
      </w:r>
      <w:r w:rsidR="00DD4A0D" w:rsidRPr="00BA7873">
        <w:rPr>
          <w:rFonts w:cs="Arial"/>
          <w:snapToGrid w:val="0"/>
        </w:rPr>
        <w:tab/>
      </w:r>
      <w:r w:rsidR="001F6BD8" w:rsidRPr="009A0DF0">
        <w:rPr>
          <w:rFonts w:cs="Arial"/>
          <w:snapToGrid w:val="0"/>
        </w:rPr>
        <w:t>El TWF convino en que</w:t>
      </w:r>
      <w:r w:rsidR="00582C7B" w:rsidRPr="009A0DF0">
        <w:rPr>
          <w:rFonts w:cs="Arial"/>
          <w:snapToGrid w:val="0"/>
        </w:rPr>
        <w:t xml:space="preserve">, </w:t>
      </w:r>
      <w:r w:rsidR="001F6BD8" w:rsidRPr="009A0DF0">
        <w:rPr>
          <w:rFonts w:cs="Arial"/>
          <w:snapToGrid w:val="0"/>
        </w:rPr>
        <w:t>en el caso de las plantas frutales</w:t>
      </w:r>
      <w:r w:rsidR="00582C7B" w:rsidRPr="009A0DF0">
        <w:rPr>
          <w:rFonts w:cs="Arial"/>
          <w:snapToGrid w:val="0"/>
        </w:rPr>
        <w:t xml:space="preserve">, </w:t>
      </w:r>
      <w:r w:rsidR="001F6BD8" w:rsidRPr="009A0DF0">
        <w:rPr>
          <w:rFonts w:cs="Arial"/>
          <w:snapToGrid w:val="0"/>
        </w:rPr>
        <w:t>el ciclo de cultivo no siempre se corresponde con el ciclo biológico de</w:t>
      </w:r>
      <w:r w:rsidR="00960408" w:rsidRPr="009A0DF0">
        <w:rPr>
          <w:rFonts w:cs="Arial"/>
          <w:snapToGrid w:val="0"/>
        </w:rPr>
        <w:t xml:space="preserve"> la planta </w:t>
      </w:r>
      <w:r w:rsidR="001F6BD8" w:rsidRPr="009A0DF0">
        <w:rPr>
          <w:rFonts w:cs="Arial"/>
          <w:snapToGrid w:val="0"/>
        </w:rPr>
        <w:t xml:space="preserve">y </w:t>
      </w:r>
      <w:r w:rsidR="00960408" w:rsidRPr="009A0DF0">
        <w:rPr>
          <w:rFonts w:cs="Arial"/>
          <w:snapToGrid w:val="0"/>
        </w:rPr>
        <w:t>reconoció que</w:t>
      </w:r>
      <w:r w:rsidR="001F6BD8" w:rsidRPr="009A0DF0">
        <w:rPr>
          <w:rFonts w:cs="Arial"/>
          <w:snapToGrid w:val="0"/>
        </w:rPr>
        <w:t xml:space="preserve"> </w:t>
      </w:r>
      <w:r w:rsidR="00960408" w:rsidRPr="009A0DF0">
        <w:rPr>
          <w:rFonts w:cs="Arial"/>
          <w:snapToGrid w:val="0"/>
        </w:rPr>
        <w:t xml:space="preserve">existen </w:t>
      </w:r>
      <w:r w:rsidR="001F6BD8" w:rsidRPr="009A0DF0">
        <w:rPr>
          <w:rFonts w:cs="Arial"/>
          <w:snapToGrid w:val="0"/>
        </w:rPr>
        <w:t>diferencia</w:t>
      </w:r>
      <w:r w:rsidR="00960408" w:rsidRPr="009A0DF0">
        <w:rPr>
          <w:rFonts w:cs="Arial"/>
          <w:snapToGrid w:val="0"/>
        </w:rPr>
        <w:t>s</w:t>
      </w:r>
      <w:r w:rsidR="001F6BD8" w:rsidRPr="009A0DF0">
        <w:rPr>
          <w:rFonts w:cs="Arial"/>
          <w:snapToGrid w:val="0"/>
        </w:rPr>
        <w:t xml:space="preserve"> entre </w:t>
      </w:r>
      <w:r w:rsidR="00960408" w:rsidRPr="009A0DF0">
        <w:rPr>
          <w:rFonts w:cs="Arial"/>
          <w:snapToGrid w:val="0"/>
        </w:rPr>
        <w:t xml:space="preserve">el período de </w:t>
      </w:r>
      <w:r w:rsidR="001F6BD8" w:rsidRPr="009A0DF0">
        <w:rPr>
          <w:rFonts w:cs="Arial"/>
          <w:snapToGrid w:val="0"/>
        </w:rPr>
        <w:t>establ</w:t>
      </w:r>
      <w:r w:rsidR="00960408" w:rsidRPr="009A0DF0">
        <w:rPr>
          <w:rFonts w:cs="Arial"/>
          <w:snapToGrid w:val="0"/>
        </w:rPr>
        <w:t xml:space="preserve">ecimiento </w:t>
      </w:r>
      <w:r w:rsidR="001F6BD8" w:rsidRPr="009A0DF0">
        <w:rPr>
          <w:rFonts w:cs="Arial"/>
          <w:snapToGrid w:val="0"/>
        </w:rPr>
        <w:t xml:space="preserve">y </w:t>
      </w:r>
      <w:r w:rsidR="00960408" w:rsidRPr="009A0DF0">
        <w:rPr>
          <w:rFonts w:cs="Arial"/>
          <w:snapToGrid w:val="0"/>
        </w:rPr>
        <w:t xml:space="preserve">el período de </w:t>
      </w:r>
      <w:r w:rsidR="001F6BD8" w:rsidRPr="009A0DF0">
        <w:rPr>
          <w:rFonts w:cs="Arial"/>
          <w:snapToGrid w:val="0"/>
        </w:rPr>
        <w:t>evaluación.</w:t>
      </w:r>
    </w:p>
    <w:p w:rsidR="00DD4A0D" w:rsidRPr="00BA7873" w:rsidRDefault="00F60E7F" w:rsidP="00DD4A0D">
      <w:r w:rsidRPr="00857EC8">
        <w:rPr>
          <w:rFonts w:cs="Arial"/>
          <w:snapToGrid w:val="0"/>
        </w:rPr>
        <w:fldChar w:fldCharType="begin"/>
      </w:r>
      <w:r w:rsidR="00DD4A0D" w:rsidRPr="00BA7873">
        <w:rPr>
          <w:rFonts w:cs="Arial"/>
          <w:snapToGrid w:val="0"/>
        </w:rPr>
        <w:instrText xml:space="preserve"> AUTONUM  </w:instrText>
      </w:r>
      <w:r w:rsidRPr="00857EC8">
        <w:rPr>
          <w:rFonts w:cs="Arial"/>
          <w:snapToGrid w:val="0"/>
        </w:rPr>
        <w:fldChar w:fldCharType="end"/>
      </w:r>
      <w:r w:rsidR="00DD4A0D" w:rsidRPr="00BA7873">
        <w:rPr>
          <w:rFonts w:cs="Arial"/>
          <w:snapToGrid w:val="0"/>
        </w:rPr>
        <w:tab/>
      </w:r>
      <w:r w:rsidR="00960408" w:rsidRPr="009A0DF0">
        <w:rPr>
          <w:rFonts w:cs="Arial"/>
          <w:snapToGrid w:val="0"/>
        </w:rPr>
        <w:t xml:space="preserve">El TWO </w:t>
      </w:r>
      <w:r w:rsidR="00477924" w:rsidRPr="009A0DF0">
        <w:rPr>
          <w:rFonts w:cs="Arial"/>
          <w:iCs/>
          <w:snapToGrid w:val="0"/>
        </w:rPr>
        <w:t xml:space="preserve">agradeció </w:t>
      </w:r>
      <w:r w:rsidR="00960408" w:rsidRPr="009A0DF0">
        <w:rPr>
          <w:rFonts w:cs="Arial"/>
          <w:snapToGrid w:val="0"/>
        </w:rPr>
        <w:t>el ofrecimiento de un experto de la Unión</w:t>
      </w:r>
      <w:r w:rsidR="0051131F" w:rsidRPr="009A0DF0">
        <w:rPr>
          <w:rFonts w:cs="Arial"/>
          <w:snapToGrid w:val="0"/>
        </w:rPr>
        <w:t> </w:t>
      </w:r>
      <w:r w:rsidR="00960408" w:rsidRPr="009A0DF0">
        <w:rPr>
          <w:rFonts w:cs="Arial"/>
          <w:snapToGrid w:val="0"/>
        </w:rPr>
        <w:t xml:space="preserve">Europea de </w:t>
      </w:r>
      <w:r w:rsidR="00960408" w:rsidRPr="009A0DF0">
        <w:t xml:space="preserve">proponer definiciones de </w:t>
      </w:r>
      <w:r w:rsidR="00D86065" w:rsidRPr="009A0DF0">
        <w:t>“</w:t>
      </w:r>
      <w:r w:rsidR="00960408" w:rsidRPr="009A0DF0">
        <w:t>ciclo de cultivo</w:t>
      </w:r>
      <w:r w:rsidR="00D86065" w:rsidRPr="009A0DF0">
        <w:t>”</w:t>
      </w:r>
      <w:r w:rsidR="00960408" w:rsidRPr="009A0DF0">
        <w:t xml:space="preserve"> y </w:t>
      </w:r>
      <w:r w:rsidR="00D86065" w:rsidRPr="009A0DF0">
        <w:t>“</w:t>
      </w:r>
      <w:r w:rsidR="00960408" w:rsidRPr="009A0DF0">
        <w:t>ciclo de examen</w:t>
      </w:r>
      <w:r w:rsidR="00D86065" w:rsidRPr="009A0DF0">
        <w:t>”</w:t>
      </w:r>
      <w:r w:rsidR="00960408" w:rsidRPr="009A0DF0">
        <w:t xml:space="preserve"> </w:t>
      </w:r>
      <w:r w:rsidR="002C0F23" w:rsidRPr="009A0DF0">
        <w:t xml:space="preserve">en </w:t>
      </w:r>
      <w:r w:rsidR="0072456A" w:rsidRPr="009A0DF0">
        <w:t>el caso de</w:t>
      </w:r>
      <w:r w:rsidR="00960408" w:rsidRPr="009A0DF0">
        <w:t xml:space="preserve"> </w:t>
      </w:r>
      <w:r w:rsidR="002C0F23" w:rsidRPr="009A0DF0">
        <w:t xml:space="preserve">las </w:t>
      </w:r>
      <w:r w:rsidR="00960408" w:rsidRPr="009A0DF0">
        <w:t xml:space="preserve">plantas ornamentales </w:t>
      </w:r>
      <w:r w:rsidR="00477924" w:rsidRPr="009A0DF0">
        <w:t xml:space="preserve">para que se presenten </w:t>
      </w:r>
      <w:r w:rsidR="00960408" w:rsidRPr="009A0DF0">
        <w:t xml:space="preserve">en su </w:t>
      </w:r>
      <w:r w:rsidR="002C0F23" w:rsidRPr="009A0DF0">
        <w:t>próxima</w:t>
      </w:r>
      <w:r w:rsidR="00960408" w:rsidRPr="009A0DF0">
        <w:t xml:space="preserve"> sesión.</w:t>
      </w:r>
    </w:p>
    <w:p w:rsidR="0051131F" w:rsidRPr="00BA7873" w:rsidRDefault="0051131F" w:rsidP="0051131F"/>
    <w:p w:rsidR="00DD4A0D" w:rsidRPr="00BA7873" w:rsidRDefault="00F60E7F" w:rsidP="00DD4A0D">
      <w:r w:rsidRPr="00857EC8">
        <w:fldChar w:fldCharType="begin"/>
      </w:r>
      <w:r w:rsidR="00DD4A0D" w:rsidRPr="00BA7873">
        <w:instrText xml:space="preserve"> AUTONUM  </w:instrText>
      </w:r>
      <w:r w:rsidRPr="00857EC8">
        <w:fldChar w:fldCharType="end"/>
      </w:r>
      <w:r w:rsidR="00DD4A0D" w:rsidRPr="00BA7873">
        <w:tab/>
      </w:r>
      <w:r w:rsidR="002C0F23" w:rsidRPr="007C17FD">
        <w:t>El TWA</w:t>
      </w:r>
      <w:r w:rsidR="00582C7B" w:rsidRPr="007C17FD">
        <w:rPr>
          <w:lang w:eastAsia="zh-CN"/>
        </w:rPr>
        <w:t xml:space="preserve">, </w:t>
      </w:r>
      <w:r w:rsidR="002C0F23" w:rsidRPr="007C17FD">
        <w:rPr>
          <w:lang w:eastAsia="zh-CN"/>
        </w:rPr>
        <w:t xml:space="preserve">el TWV y el TWF </w:t>
      </w:r>
      <w:r w:rsidR="000D598B" w:rsidRPr="007C17FD">
        <w:t>acordaron</w:t>
      </w:r>
      <w:r w:rsidR="002C0F23" w:rsidRPr="007C17FD">
        <w:t xml:space="preserve"> proponer que</w:t>
      </w:r>
      <w:r w:rsidR="00582C7B" w:rsidRPr="007C17FD">
        <w:t xml:space="preserve"> </w:t>
      </w:r>
      <w:r w:rsidR="002C0F23" w:rsidRPr="007C17FD">
        <w:t>en el documento TGP/7</w:t>
      </w:r>
      <w:r w:rsidR="00582C7B" w:rsidRPr="007C17FD">
        <w:t xml:space="preserve"> </w:t>
      </w:r>
      <w:r w:rsidR="002C0F23" w:rsidRPr="007C17FD">
        <w:t>se aborden situaciones específicas en forma de nota orientativa en lugar de modificar el texto estándar</w:t>
      </w:r>
      <w:r w:rsidR="00582C7B" w:rsidRPr="007C17FD">
        <w:t xml:space="preserve">, </w:t>
      </w:r>
      <w:r w:rsidR="000D598B" w:rsidRPr="007C17FD">
        <w:t>aclarando que incumbe a las</w:t>
      </w:r>
      <w:r w:rsidR="002C0F23" w:rsidRPr="007C17FD">
        <w:t xml:space="preserve"> </w:t>
      </w:r>
      <w:r w:rsidR="000D598B" w:rsidRPr="007C17FD">
        <w:t xml:space="preserve">autoridades </w:t>
      </w:r>
      <w:r w:rsidR="002C0F23" w:rsidRPr="007C17FD">
        <w:t>decid</w:t>
      </w:r>
      <w:r w:rsidR="000D598B" w:rsidRPr="007C17FD">
        <w:t>ir</w:t>
      </w:r>
      <w:r w:rsidR="002C0F23" w:rsidRPr="007C17FD">
        <w:t xml:space="preserve"> si </w:t>
      </w:r>
      <w:r w:rsidR="000D598B" w:rsidRPr="007C17FD">
        <w:t xml:space="preserve">se pone fin anticipadamente al examen </w:t>
      </w:r>
      <w:r w:rsidR="002C0F23" w:rsidRPr="007C17FD">
        <w:t>o no.</w:t>
      </w:r>
    </w:p>
    <w:p w:rsidR="00DD4A0D" w:rsidRPr="00BA7873" w:rsidRDefault="00DD4A0D" w:rsidP="00DD4A0D"/>
    <w:p w:rsidR="00DD4A0D" w:rsidRPr="00BA7873" w:rsidRDefault="00F60E7F" w:rsidP="00DD4A0D">
      <w:pPr>
        <w:rPr>
          <w:rFonts w:cs="Arial"/>
          <w:snapToGrid w:val="0"/>
        </w:rPr>
      </w:pPr>
      <w:r w:rsidRPr="00857EC8">
        <w:rPr>
          <w:rFonts w:cs="Arial"/>
          <w:snapToGrid w:val="0"/>
        </w:rPr>
        <w:fldChar w:fldCharType="begin"/>
      </w:r>
      <w:r w:rsidR="00DD4A0D" w:rsidRPr="00BA7873">
        <w:rPr>
          <w:rFonts w:cs="Arial"/>
          <w:snapToGrid w:val="0"/>
        </w:rPr>
        <w:instrText xml:space="preserve"> AUTONUM  </w:instrText>
      </w:r>
      <w:r w:rsidRPr="00857EC8">
        <w:rPr>
          <w:rFonts w:cs="Arial"/>
          <w:snapToGrid w:val="0"/>
        </w:rPr>
        <w:fldChar w:fldCharType="end"/>
      </w:r>
      <w:r w:rsidR="00DD4A0D" w:rsidRPr="00BA7873">
        <w:rPr>
          <w:rFonts w:cs="Arial"/>
          <w:snapToGrid w:val="0"/>
        </w:rPr>
        <w:tab/>
      </w:r>
      <w:r w:rsidR="00247227" w:rsidRPr="007C17FD">
        <w:rPr>
          <w:rFonts w:cs="Arial"/>
          <w:snapToGrid w:val="0"/>
        </w:rPr>
        <w:t>El TWF acordó sugerir al TC que se mantenga el ASW</w:t>
      </w:r>
      <w:r w:rsidR="00582C7B" w:rsidRPr="007C17FD">
        <w:rPr>
          <w:rFonts w:cs="Arial"/>
          <w:snapToGrid w:val="0"/>
        </w:rPr>
        <w:t> 2</w:t>
      </w:r>
      <w:r w:rsidR="00247227" w:rsidRPr="007C17FD">
        <w:rPr>
          <w:rFonts w:cs="Arial"/>
          <w:snapToGrid w:val="0"/>
        </w:rPr>
        <w:t xml:space="preserve"> </w:t>
      </w:r>
      <w:r w:rsidR="007C17FD" w:rsidRPr="007C17FD">
        <w:rPr>
          <w:rFonts w:cs="Arial"/>
          <w:snapToGrid w:val="0"/>
        </w:rPr>
        <w:t xml:space="preserve">tal </w:t>
      </w:r>
      <w:r w:rsidR="00247227" w:rsidRPr="007C17FD">
        <w:rPr>
          <w:rFonts w:cs="Arial"/>
          <w:snapToGrid w:val="0"/>
        </w:rPr>
        <w:t>como está</w:t>
      </w:r>
      <w:r w:rsidR="00582C7B" w:rsidRPr="007C17FD">
        <w:rPr>
          <w:rFonts w:cs="Arial"/>
          <w:snapToGrid w:val="0"/>
        </w:rPr>
        <w:t xml:space="preserve">, </w:t>
      </w:r>
      <w:r w:rsidR="00247227" w:rsidRPr="007C17FD">
        <w:rPr>
          <w:rFonts w:cs="Arial"/>
          <w:snapToGrid w:val="0"/>
        </w:rPr>
        <w:t>pero que se modifique la GN</w:t>
      </w:r>
      <w:r w:rsidR="00582C7B" w:rsidRPr="007C17FD">
        <w:rPr>
          <w:rFonts w:cs="Arial"/>
          <w:snapToGrid w:val="0"/>
        </w:rPr>
        <w:t> 8</w:t>
      </w:r>
      <w:r w:rsidR="00247227" w:rsidRPr="007C17FD">
        <w:rPr>
          <w:rFonts w:cs="Arial"/>
          <w:snapToGrid w:val="0"/>
        </w:rPr>
        <w:t xml:space="preserve"> como </w:t>
      </w:r>
      <w:r w:rsidR="007C17FD" w:rsidRPr="007C17FD">
        <w:rPr>
          <w:rFonts w:cs="Arial"/>
          <w:snapToGrid w:val="0"/>
        </w:rPr>
        <w:t>se expone a continuación</w:t>
      </w:r>
      <w:r w:rsidR="00DB1FCC" w:rsidRPr="007C17FD">
        <w:rPr>
          <w:rFonts w:cs="Arial"/>
          <w:snapToGrid w:val="0"/>
        </w:rPr>
        <w:t xml:space="preserve"> </w:t>
      </w:r>
      <w:r w:rsidR="00247227" w:rsidRPr="007C17FD">
        <w:rPr>
          <w:rFonts w:cs="Arial"/>
          <w:snapToGrid w:val="0"/>
        </w:rPr>
        <w:t>(</w:t>
      </w:r>
      <w:r w:rsidR="00DB1FCC" w:rsidRPr="007C17FD">
        <w:rPr>
          <w:rFonts w:cs="Arial"/>
          <w:snapToGrid w:val="0"/>
        </w:rPr>
        <w:t xml:space="preserve">el texto que se propone insertar </w:t>
      </w:r>
      <w:r w:rsidR="00247227" w:rsidRPr="007C17FD">
        <w:rPr>
          <w:rFonts w:cs="Arial"/>
          <w:snapToGrid w:val="0"/>
        </w:rPr>
        <w:t xml:space="preserve">se indica mediante </w:t>
      </w:r>
      <w:r w:rsidR="00247227" w:rsidRPr="007C17FD">
        <w:rPr>
          <w:rFonts w:cs="Arial"/>
          <w:snapToGrid w:val="0"/>
          <w:highlight w:val="lightGray"/>
          <w:u w:val="single"/>
        </w:rPr>
        <w:t>resaltado y subrayado</w:t>
      </w:r>
      <w:r w:rsidR="00247227" w:rsidRPr="007C17FD">
        <w:rPr>
          <w:rFonts w:cs="Arial"/>
          <w:snapToGrid w:val="0"/>
        </w:rPr>
        <w:t>):</w:t>
      </w:r>
    </w:p>
    <w:p w:rsidR="00DD4A0D" w:rsidRPr="00BA7873" w:rsidRDefault="00DD4A0D" w:rsidP="00DD4A0D">
      <w:pPr>
        <w:rPr>
          <w:rFonts w:cs="Arial"/>
          <w:snapToGrid w:val="0"/>
        </w:rPr>
      </w:pPr>
    </w:p>
    <w:p w:rsidR="00DD4A0D" w:rsidRPr="00BA7873" w:rsidRDefault="00D86065" w:rsidP="00DD4A0D">
      <w:pPr>
        <w:ind w:left="567" w:right="567"/>
        <w:rPr>
          <w:u w:val="single"/>
        </w:rPr>
      </w:pPr>
      <w:r w:rsidRPr="007C17FD">
        <w:rPr>
          <w:u w:val="single"/>
        </w:rPr>
        <w:t>GN</w:t>
      </w:r>
      <w:r w:rsidR="00582C7B" w:rsidRPr="007C17FD">
        <w:rPr>
          <w:u w:val="single"/>
        </w:rPr>
        <w:t> 8</w:t>
      </w:r>
      <w:r w:rsidRPr="007C17FD">
        <w:rPr>
          <w:u w:val="single"/>
        </w:rPr>
        <w:t xml:space="preserve"> (Plantilla de los documentos TG:</w:t>
      </w:r>
      <w:r w:rsidR="00DD4A0D" w:rsidRPr="00BA7873">
        <w:rPr>
          <w:u w:val="single"/>
        </w:rPr>
        <w:t xml:space="preserve"> </w:t>
      </w:r>
      <w:r w:rsidRPr="007C17FD">
        <w:rPr>
          <w:u w:val="single"/>
        </w:rPr>
        <w:t>Capítulo</w:t>
      </w:r>
      <w:r w:rsidR="00582C7B" w:rsidRPr="007C17FD">
        <w:rPr>
          <w:u w:val="single"/>
        </w:rPr>
        <w:t> 3</w:t>
      </w:r>
      <w:r w:rsidRPr="007C17FD">
        <w:rPr>
          <w:u w:val="single"/>
        </w:rPr>
        <w:t>.1.2) – Explicación del ciclo de cultivo</w:t>
      </w:r>
    </w:p>
    <w:p w:rsidR="00DD4A0D" w:rsidRPr="00BA7873" w:rsidRDefault="00DD4A0D" w:rsidP="00DD4A0D">
      <w:pPr>
        <w:ind w:left="567" w:right="567"/>
        <w:rPr>
          <w:u w:val="single"/>
        </w:rPr>
      </w:pPr>
    </w:p>
    <w:p w:rsidR="00DD4A0D" w:rsidRPr="00BA7873" w:rsidRDefault="00D86065" w:rsidP="00DD4A0D">
      <w:pPr>
        <w:ind w:left="567" w:right="567"/>
      </w:pPr>
      <w:r w:rsidRPr="007C17FD">
        <w:t>En el Capítulo</w:t>
      </w:r>
      <w:r w:rsidR="00582C7B" w:rsidRPr="007C17FD">
        <w:t> 3</w:t>
      </w:r>
      <w:r w:rsidRPr="007C17FD">
        <w:t>.1 se hace referencia al número de ciclos de cultivo.</w:t>
      </w:r>
      <w:r w:rsidR="00DD4A0D" w:rsidRPr="00BA7873">
        <w:t xml:space="preserve"> </w:t>
      </w:r>
      <w:r w:rsidRPr="007C17FD">
        <w:t>En algunos casos puede que sea necesario aclarar lo que se entiende por “ciclo de cultivo”.</w:t>
      </w:r>
      <w:r w:rsidR="00DD4A0D" w:rsidRPr="00BA7873">
        <w:t xml:space="preserve"> </w:t>
      </w:r>
      <w:r w:rsidRPr="007C17FD">
        <w:t>Se ha elaborado un texto estándar adicional para tener en cuenta determinadas situaciones (véase el ASW</w:t>
      </w:r>
      <w:r w:rsidR="00582C7B" w:rsidRPr="007C17FD">
        <w:t> 3</w:t>
      </w:r>
      <w:r w:rsidRPr="007C17FD">
        <w:t>).</w:t>
      </w:r>
    </w:p>
    <w:p w:rsidR="00DD4A0D" w:rsidRPr="00BA7873" w:rsidRDefault="00DD4A0D" w:rsidP="00DD4A0D">
      <w:pPr>
        <w:ind w:left="567" w:right="567"/>
        <w:rPr>
          <w:highlight w:val="yellow"/>
        </w:rPr>
      </w:pPr>
    </w:p>
    <w:p w:rsidR="00DD4A0D" w:rsidRPr="00BA7873" w:rsidRDefault="00360229" w:rsidP="00DD4A0D">
      <w:pPr>
        <w:ind w:left="567" w:right="567"/>
        <w:rPr>
          <w:u w:val="single"/>
        </w:rPr>
      </w:pPr>
      <w:r w:rsidRPr="007C17FD">
        <w:rPr>
          <w:highlight w:val="lightGray"/>
          <w:u w:val="single"/>
        </w:rPr>
        <w:t>“</w:t>
      </w:r>
      <w:r w:rsidR="008643F7" w:rsidRPr="007C17FD">
        <w:rPr>
          <w:highlight w:val="lightGray"/>
          <w:u w:val="single"/>
        </w:rPr>
        <w:t>Se podrá concluir el examen de una variedad</w:t>
      </w:r>
      <w:r w:rsidR="00941E52" w:rsidRPr="007C17FD">
        <w:rPr>
          <w:highlight w:val="lightGray"/>
          <w:u w:val="single"/>
        </w:rPr>
        <w:t xml:space="preserve"> </w:t>
      </w:r>
      <w:r w:rsidR="007F0547" w:rsidRPr="007C17FD">
        <w:rPr>
          <w:highlight w:val="lightGray"/>
          <w:u w:val="single"/>
        </w:rPr>
        <w:t xml:space="preserve">en el momento en que la autoridad competente pueda determinar con certeza su resultado, ya sea </w:t>
      </w:r>
      <w:r w:rsidR="00AC584D" w:rsidRPr="007C17FD">
        <w:rPr>
          <w:highlight w:val="lightGray"/>
          <w:u w:val="single"/>
        </w:rPr>
        <w:t>anticipadamente o después de lo previsto</w:t>
      </w:r>
      <w:r w:rsidRPr="007C17FD">
        <w:rPr>
          <w:highlight w:val="lightGray"/>
          <w:u w:val="single"/>
        </w:rPr>
        <w:t>.”</w:t>
      </w:r>
    </w:p>
    <w:p w:rsidR="00DD4A0D" w:rsidRPr="00BA7873" w:rsidRDefault="00DD4A0D" w:rsidP="00DD4A0D">
      <w:pPr>
        <w:jc w:val="left"/>
      </w:pPr>
    </w:p>
    <w:p w:rsidR="00DD4A0D" w:rsidRPr="00BA7873" w:rsidRDefault="00DD4A0D" w:rsidP="00DD4A0D">
      <w:pPr>
        <w:jc w:val="left"/>
      </w:pPr>
    </w:p>
    <w:p w:rsidR="00DD4A0D" w:rsidRPr="0098366C" w:rsidRDefault="00941E52" w:rsidP="00854F9B">
      <w:pPr>
        <w:pStyle w:val="Heading1"/>
        <w:rPr>
          <w:lang w:val="es-ES"/>
        </w:rPr>
      </w:pPr>
      <w:bookmarkStart w:id="9" w:name="_Toc526270405"/>
      <w:r w:rsidRPr="0098366C">
        <w:rPr>
          <w:lang w:val="es-ES"/>
        </w:rPr>
        <w:t>NOVEDADES ACAECIDAS EN</w:t>
      </w:r>
      <w:r w:rsidR="00582C7B" w:rsidRPr="0098366C">
        <w:rPr>
          <w:lang w:val="es-ES"/>
        </w:rPr>
        <w:t> 2</w:t>
      </w:r>
      <w:r w:rsidRPr="0098366C">
        <w:rPr>
          <w:lang w:val="es-ES"/>
        </w:rPr>
        <w:t>018</w:t>
      </w:r>
      <w:bookmarkEnd w:id="9"/>
    </w:p>
    <w:p w:rsidR="00DD4A0D" w:rsidRPr="00BA7873" w:rsidRDefault="00DD4A0D" w:rsidP="00DD4A0D">
      <w:pPr>
        <w:jc w:val="left"/>
      </w:pPr>
    </w:p>
    <w:p w:rsidR="00DD4A0D" w:rsidRPr="00BA7873" w:rsidRDefault="00941E52" w:rsidP="00854F9B">
      <w:pPr>
        <w:pStyle w:val="Heading2"/>
      </w:pPr>
      <w:bookmarkStart w:id="10" w:name="_Toc526270406"/>
      <w:r w:rsidRPr="007C17FD">
        <w:t>Comité de Redacción Ampliado</w:t>
      </w:r>
      <w:bookmarkEnd w:id="10"/>
    </w:p>
    <w:p w:rsidR="00DD4A0D" w:rsidRPr="00BA7873" w:rsidRDefault="00DD4A0D" w:rsidP="00DD4A0D">
      <w:pPr>
        <w:jc w:val="left"/>
        <w:rPr>
          <w:bCs/>
        </w:rPr>
      </w:pPr>
    </w:p>
    <w:p w:rsidR="00DD4A0D" w:rsidRPr="00BA7873" w:rsidRDefault="00F60E7F" w:rsidP="00DD4A0D">
      <w:pPr>
        <w:rPr>
          <w:bCs/>
        </w:rPr>
      </w:pPr>
      <w:r w:rsidRPr="00857EC8">
        <w:rPr>
          <w:bCs/>
        </w:rPr>
        <w:fldChar w:fldCharType="begin"/>
      </w:r>
      <w:r w:rsidR="00DD4A0D" w:rsidRPr="00BA7873">
        <w:rPr>
          <w:bCs/>
        </w:rPr>
        <w:instrText xml:space="preserve"> AUTONUM  </w:instrText>
      </w:r>
      <w:r w:rsidRPr="00857EC8">
        <w:fldChar w:fldCharType="end"/>
      </w:r>
      <w:r w:rsidR="00DD4A0D" w:rsidRPr="00BA7873">
        <w:rPr>
          <w:bCs/>
        </w:rPr>
        <w:tab/>
      </w:r>
      <w:r w:rsidR="00941E52" w:rsidRPr="007C17FD">
        <w:rPr>
          <w:bCs/>
        </w:rPr>
        <w:t>En su reunión celebrada en Ginebra los días</w:t>
      </w:r>
      <w:r w:rsidR="00582C7B" w:rsidRPr="007C17FD">
        <w:rPr>
          <w:bCs/>
        </w:rPr>
        <w:t> 2</w:t>
      </w:r>
      <w:r w:rsidR="00941E52" w:rsidRPr="007C17FD">
        <w:rPr>
          <w:bCs/>
        </w:rPr>
        <w:t>6 y 27 de marzo de 2018</w:t>
      </w:r>
      <w:r w:rsidR="00582C7B" w:rsidRPr="007C17FD">
        <w:rPr>
          <w:bCs/>
        </w:rPr>
        <w:t xml:space="preserve">, </w:t>
      </w:r>
      <w:r w:rsidR="00941E52" w:rsidRPr="007C17FD">
        <w:rPr>
          <w:bCs/>
        </w:rPr>
        <w:t>el TC</w:t>
      </w:r>
      <w:r w:rsidR="00941E52" w:rsidRPr="007C17FD">
        <w:rPr>
          <w:bCs/>
        </w:rPr>
        <w:noBreakHyphen/>
        <w:t>EDC examinó el documento TC</w:t>
      </w:r>
      <w:r w:rsidR="00941E52" w:rsidRPr="007C17FD">
        <w:rPr>
          <w:bCs/>
        </w:rPr>
        <w:noBreakHyphen/>
        <w:t>EDC/Mar18/12 “</w:t>
      </w:r>
      <w:proofErr w:type="spellStart"/>
      <w:r w:rsidR="001259DD" w:rsidRPr="00BA7873">
        <w:rPr>
          <w:bCs/>
          <w:i/>
        </w:rPr>
        <w:t>Duration</w:t>
      </w:r>
      <w:proofErr w:type="spellEnd"/>
      <w:r w:rsidR="001259DD" w:rsidRPr="00BA7873">
        <w:rPr>
          <w:bCs/>
          <w:i/>
        </w:rPr>
        <w:t xml:space="preserve"> of DUS </w:t>
      </w:r>
      <w:proofErr w:type="spellStart"/>
      <w:r w:rsidR="001259DD" w:rsidRPr="00BA7873">
        <w:rPr>
          <w:bCs/>
          <w:i/>
        </w:rPr>
        <w:t>tests</w:t>
      </w:r>
      <w:proofErr w:type="spellEnd"/>
      <w:r w:rsidR="00941E52" w:rsidRPr="007C17FD">
        <w:rPr>
          <w:bCs/>
        </w:rPr>
        <w:t>” (</w:t>
      </w:r>
      <w:r w:rsidR="001259DD" w:rsidRPr="007C17FD">
        <w:rPr>
          <w:bCs/>
        </w:rPr>
        <w:t>Duración de los exámenes DHE</w:t>
      </w:r>
      <w:r w:rsidR="00941E52" w:rsidRPr="007C17FD">
        <w:rPr>
          <w:bCs/>
        </w:rPr>
        <w:t>) (véanse los párrafos 14 a 16 del documento TC</w:t>
      </w:r>
      <w:r w:rsidR="00941E52" w:rsidRPr="007C17FD">
        <w:rPr>
          <w:bCs/>
        </w:rPr>
        <w:noBreakHyphen/>
        <w:t>EDC/Mar18/11 “</w:t>
      </w:r>
      <w:proofErr w:type="spellStart"/>
      <w:r w:rsidR="00941E52" w:rsidRPr="00BA7873">
        <w:rPr>
          <w:bCs/>
          <w:i/>
        </w:rPr>
        <w:t>Report</w:t>
      </w:r>
      <w:proofErr w:type="spellEnd"/>
      <w:r w:rsidR="00941E52" w:rsidRPr="007C17FD">
        <w:rPr>
          <w:bCs/>
        </w:rPr>
        <w:t>” (Informe)).</w:t>
      </w:r>
      <w:r w:rsidR="00DD4A0D" w:rsidRPr="00BA7873">
        <w:rPr>
          <w:bCs/>
        </w:rPr>
        <w:t xml:space="preserve"> </w:t>
      </w:r>
    </w:p>
    <w:p w:rsidR="00DD4A0D" w:rsidRPr="00BA7873" w:rsidRDefault="00DD4A0D" w:rsidP="00DD4A0D">
      <w:pPr>
        <w:rPr>
          <w:bCs/>
        </w:rPr>
      </w:pPr>
    </w:p>
    <w:p w:rsidR="00DD4A0D" w:rsidRPr="00BA7873" w:rsidRDefault="00F60E7F" w:rsidP="00DD4A0D">
      <w:pPr>
        <w:rPr>
          <w:bCs/>
        </w:rPr>
      </w:pPr>
      <w:r w:rsidRPr="00857EC8">
        <w:rPr>
          <w:bCs/>
        </w:rPr>
        <w:fldChar w:fldCharType="begin"/>
      </w:r>
      <w:r w:rsidR="00DD4A0D" w:rsidRPr="00BA7873">
        <w:rPr>
          <w:bCs/>
        </w:rPr>
        <w:instrText xml:space="preserve"> AUTONUM  </w:instrText>
      </w:r>
      <w:r w:rsidRPr="00857EC8">
        <w:fldChar w:fldCharType="end"/>
      </w:r>
      <w:r w:rsidR="00DD4A0D" w:rsidRPr="00BA7873">
        <w:rPr>
          <w:bCs/>
        </w:rPr>
        <w:tab/>
      </w:r>
      <w:r w:rsidR="001259DD" w:rsidRPr="007C17FD">
        <w:rPr>
          <w:bCs/>
        </w:rPr>
        <w:t>El TC-EDC consideró la propuesta de modificar el documento TGP/7 a fin de aclarar que incumbe a las autoridades decidir si se pone fin o no al examen DHE antes de que se cumpla el período normal.</w:t>
      </w:r>
      <w:r w:rsidR="00225F80" w:rsidRPr="00BA7873">
        <w:rPr>
          <w:bCs/>
        </w:rPr>
        <w:t xml:space="preserve"> </w:t>
      </w:r>
      <w:r w:rsidR="00440640" w:rsidRPr="0057441A">
        <w:rPr>
          <w:bCs/>
        </w:rPr>
        <w:t xml:space="preserve">El </w:t>
      </w:r>
      <w:r w:rsidR="004B6498" w:rsidRPr="0057441A">
        <w:rPr>
          <w:rFonts w:cs="Arial"/>
          <w:bCs/>
          <w:iCs/>
          <w:snapToGrid w:val="0"/>
        </w:rPr>
        <w:t>TC</w:t>
      </w:r>
      <w:r w:rsidR="004B6498" w:rsidRPr="0057441A">
        <w:rPr>
          <w:rFonts w:cs="Arial"/>
          <w:bCs/>
          <w:iCs/>
          <w:snapToGrid w:val="0"/>
        </w:rPr>
        <w:noBreakHyphen/>
        <w:t>EDC</w:t>
      </w:r>
      <w:r w:rsidR="004B6498" w:rsidRPr="0057441A">
        <w:rPr>
          <w:bCs/>
        </w:rPr>
        <w:t xml:space="preserve"> </w:t>
      </w:r>
      <w:r w:rsidR="006849AB" w:rsidRPr="0057441A">
        <w:rPr>
          <w:bCs/>
        </w:rPr>
        <w:t>observ</w:t>
      </w:r>
      <w:r w:rsidR="00011A9B" w:rsidRPr="0057441A">
        <w:rPr>
          <w:bCs/>
        </w:rPr>
        <w:t>ó</w:t>
      </w:r>
      <w:r w:rsidR="00440640" w:rsidRPr="0057441A">
        <w:rPr>
          <w:bCs/>
        </w:rPr>
        <w:t xml:space="preserve"> que el texto propuesto para la GN</w:t>
      </w:r>
      <w:r w:rsidR="00582C7B" w:rsidRPr="0057441A">
        <w:rPr>
          <w:bCs/>
        </w:rPr>
        <w:t> 8</w:t>
      </w:r>
      <w:r w:rsidR="00440640" w:rsidRPr="0057441A">
        <w:rPr>
          <w:bCs/>
        </w:rPr>
        <w:t xml:space="preserve"> </w:t>
      </w:r>
      <w:r w:rsidR="003D2E5F" w:rsidRPr="0057441A">
        <w:rPr>
          <w:bCs/>
        </w:rPr>
        <w:t>debería figurar</w:t>
      </w:r>
      <w:r w:rsidR="00440640" w:rsidRPr="0057441A">
        <w:rPr>
          <w:bCs/>
        </w:rPr>
        <w:t xml:space="preserve"> en las directrices de examen como texto estándar o texto adicional </w:t>
      </w:r>
      <w:r w:rsidR="003D2E5F" w:rsidRPr="0057441A">
        <w:rPr>
          <w:bCs/>
        </w:rPr>
        <w:t xml:space="preserve">para que destaque </w:t>
      </w:r>
      <w:r w:rsidR="005E08FB" w:rsidRPr="0057441A">
        <w:rPr>
          <w:bCs/>
        </w:rPr>
        <w:t>a los ojos de los lectores</w:t>
      </w:r>
      <w:r w:rsidR="00440640" w:rsidRPr="0057441A">
        <w:rPr>
          <w:bCs/>
        </w:rPr>
        <w:t>.</w:t>
      </w:r>
      <w:r w:rsidR="00225F80" w:rsidRPr="00BA7873">
        <w:rPr>
          <w:bCs/>
        </w:rPr>
        <w:t xml:space="preserve"> </w:t>
      </w:r>
    </w:p>
    <w:p w:rsidR="00DD4A0D" w:rsidRPr="00BA7873" w:rsidRDefault="00DD4A0D" w:rsidP="00DD4A0D">
      <w:pPr>
        <w:rPr>
          <w:bCs/>
        </w:rPr>
      </w:pPr>
    </w:p>
    <w:p w:rsidR="00DD4A0D" w:rsidRPr="00BA7873" w:rsidRDefault="00F60E7F" w:rsidP="00DD4A0D">
      <w:pPr>
        <w:rPr>
          <w:bCs/>
        </w:rPr>
      </w:pPr>
      <w:r w:rsidRPr="00857EC8">
        <w:rPr>
          <w:bCs/>
        </w:rPr>
        <w:fldChar w:fldCharType="begin"/>
      </w:r>
      <w:r w:rsidR="00DD4A0D" w:rsidRPr="00BA7873">
        <w:rPr>
          <w:bCs/>
        </w:rPr>
        <w:instrText xml:space="preserve"> AUTONUM  </w:instrText>
      </w:r>
      <w:r w:rsidRPr="00857EC8">
        <w:fldChar w:fldCharType="end"/>
      </w:r>
      <w:r w:rsidR="00DD4A0D" w:rsidRPr="00BA7873">
        <w:rPr>
          <w:bCs/>
        </w:rPr>
        <w:tab/>
      </w:r>
      <w:r w:rsidR="00011A9B" w:rsidRPr="0057441A">
        <w:rPr>
          <w:bCs/>
        </w:rPr>
        <w:t xml:space="preserve">El TC-EDC </w:t>
      </w:r>
      <w:r w:rsidR="0057441A" w:rsidRPr="0057441A">
        <w:rPr>
          <w:bCs/>
        </w:rPr>
        <w:t xml:space="preserve">señaló </w:t>
      </w:r>
      <w:r w:rsidR="002070B6" w:rsidRPr="0057441A">
        <w:rPr>
          <w:bCs/>
        </w:rPr>
        <w:t>l</w:t>
      </w:r>
      <w:r w:rsidR="007C17FD" w:rsidRPr="0057441A">
        <w:rPr>
          <w:bCs/>
        </w:rPr>
        <w:t>a</w:t>
      </w:r>
      <w:r w:rsidR="00011A9B" w:rsidRPr="0057441A">
        <w:rPr>
          <w:bCs/>
        </w:rPr>
        <w:t xml:space="preserve"> posible </w:t>
      </w:r>
      <w:r w:rsidR="002F0761" w:rsidRPr="0057441A">
        <w:rPr>
          <w:bCs/>
        </w:rPr>
        <w:t>repercusión</w:t>
      </w:r>
      <w:r w:rsidR="007C17FD" w:rsidRPr="0057441A">
        <w:rPr>
          <w:bCs/>
        </w:rPr>
        <w:t xml:space="preserve"> </w:t>
      </w:r>
      <w:r w:rsidR="00011A9B" w:rsidRPr="0057441A">
        <w:rPr>
          <w:bCs/>
        </w:rPr>
        <w:t>de</w:t>
      </w:r>
      <w:r w:rsidR="002070B6" w:rsidRPr="0057441A">
        <w:rPr>
          <w:bCs/>
        </w:rPr>
        <w:t>l</w:t>
      </w:r>
      <w:r w:rsidR="00011A9B" w:rsidRPr="0057441A">
        <w:rPr>
          <w:bCs/>
        </w:rPr>
        <w:t xml:space="preserve"> número de ciclos de cultivo </w:t>
      </w:r>
      <w:r w:rsidR="007C17FD" w:rsidRPr="0057441A">
        <w:rPr>
          <w:bCs/>
        </w:rPr>
        <w:t xml:space="preserve">en </w:t>
      </w:r>
      <w:r w:rsidR="002070B6" w:rsidRPr="0057441A">
        <w:rPr>
          <w:bCs/>
        </w:rPr>
        <w:t>la</w:t>
      </w:r>
      <w:r w:rsidR="00011A9B" w:rsidRPr="0057441A">
        <w:rPr>
          <w:bCs/>
        </w:rPr>
        <w:t xml:space="preserve"> calidad de </w:t>
      </w:r>
      <w:r w:rsidR="002070B6" w:rsidRPr="0057441A">
        <w:rPr>
          <w:bCs/>
        </w:rPr>
        <w:t xml:space="preserve">las </w:t>
      </w:r>
      <w:r w:rsidR="00011A9B" w:rsidRPr="0057441A">
        <w:rPr>
          <w:bCs/>
        </w:rPr>
        <w:t>descripciones de variedades y acordó invitar a</w:t>
      </w:r>
      <w:r w:rsidR="002070B6" w:rsidRPr="0057441A">
        <w:rPr>
          <w:bCs/>
        </w:rPr>
        <w:t xml:space="preserve"> </w:t>
      </w:r>
      <w:r w:rsidR="00011A9B" w:rsidRPr="0057441A">
        <w:rPr>
          <w:bCs/>
        </w:rPr>
        <w:t>l</w:t>
      </w:r>
      <w:r w:rsidR="002070B6" w:rsidRPr="0057441A">
        <w:rPr>
          <w:bCs/>
        </w:rPr>
        <w:t>os</w:t>
      </w:r>
      <w:r w:rsidR="00011A9B" w:rsidRPr="0057441A">
        <w:rPr>
          <w:bCs/>
        </w:rPr>
        <w:t xml:space="preserve"> TWP</w:t>
      </w:r>
      <w:r w:rsidR="002070B6" w:rsidRPr="0057441A">
        <w:rPr>
          <w:bCs/>
        </w:rPr>
        <w:t xml:space="preserve"> a que</w:t>
      </w:r>
      <w:r w:rsidR="00582C7B" w:rsidRPr="0057441A">
        <w:rPr>
          <w:bCs/>
        </w:rPr>
        <w:t xml:space="preserve">, </w:t>
      </w:r>
      <w:r w:rsidR="00011A9B" w:rsidRPr="0057441A">
        <w:rPr>
          <w:bCs/>
        </w:rPr>
        <w:t>en sus sesiones de</w:t>
      </w:r>
      <w:r w:rsidR="00582C7B" w:rsidRPr="0057441A">
        <w:rPr>
          <w:bCs/>
        </w:rPr>
        <w:t> 2</w:t>
      </w:r>
      <w:r w:rsidR="00011A9B" w:rsidRPr="0057441A">
        <w:rPr>
          <w:bCs/>
        </w:rPr>
        <w:t>018</w:t>
      </w:r>
      <w:r w:rsidR="00582C7B" w:rsidRPr="0057441A">
        <w:rPr>
          <w:bCs/>
        </w:rPr>
        <w:t xml:space="preserve">, </w:t>
      </w:r>
      <w:r w:rsidR="002070B6" w:rsidRPr="0057441A">
        <w:rPr>
          <w:bCs/>
        </w:rPr>
        <w:t>examinen la</w:t>
      </w:r>
      <w:r w:rsidR="00011A9B" w:rsidRPr="0057441A">
        <w:rPr>
          <w:bCs/>
        </w:rPr>
        <w:t xml:space="preserve"> siguiente propuesta </w:t>
      </w:r>
      <w:r w:rsidR="002070B6" w:rsidRPr="0057441A">
        <w:rPr>
          <w:bCs/>
        </w:rPr>
        <w:t>d</w:t>
      </w:r>
      <w:r w:rsidR="00011A9B" w:rsidRPr="0057441A">
        <w:rPr>
          <w:bCs/>
        </w:rPr>
        <w:t>el TWF</w:t>
      </w:r>
      <w:r w:rsidR="00011A9B" w:rsidRPr="0057441A">
        <w:rPr>
          <w:rFonts w:cs="Arial"/>
          <w:snapToGrid w:val="0"/>
        </w:rPr>
        <w:t xml:space="preserve"> </w:t>
      </w:r>
      <w:r w:rsidR="002070B6" w:rsidRPr="0057441A">
        <w:rPr>
          <w:rFonts w:cs="Arial"/>
          <w:snapToGrid w:val="0"/>
        </w:rPr>
        <w:t xml:space="preserve">(el texto que se propone insertar se indica mediante </w:t>
      </w:r>
      <w:r w:rsidR="002070B6" w:rsidRPr="0057441A">
        <w:rPr>
          <w:rFonts w:cs="Arial"/>
          <w:snapToGrid w:val="0"/>
          <w:highlight w:val="lightGray"/>
          <w:u w:val="single"/>
        </w:rPr>
        <w:t>resaltado y subrayado</w:t>
      </w:r>
      <w:r w:rsidR="002070B6" w:rsidRPr="0057441A">
        <w:rPr>
          <w:rFonts w:cs="Arial"/>
          <w:snapToGrid w:val="0"/>
        </w:rPr>
        <w:t>):</w:t>
      </w:r>
    </w:p>
    <w:p w:rsidR="00DD4A0D" w:rsidRPr="00BA7873" w:rsidRDefault="00DD4A0D" w:rsidP="00DD4A0D">
      <w:pPr>
        <w:rPr>
          <w:rFonts w:cs="Arial"/>
          <w:snapToGrid w:val="0"/>
        </w:rPr>
      </w:pPr>
    </w:p>
    <w:p w:rsidR="00DD4A0D" w:rsidRPr="00BA7873" w:rsidRDefault="00DD4A0D" w:rsidP="00DD4A0D">
      <w:pPr>
        <w:ind w:left="567" w:right="567"/>
        <w:rPr>
          <w:sz w:val="18"/>
          <w:u w:val="single"/>
        </w:rPr>
      </w:pPr>
      <w:r w:rsidRPr="00BA7873">
        <w:rPr>
          <w:sz w:val="18"/>
          <w:u w:val="single"/>
        </w:rPr>
        <w:t>“</w:t>
      </w:r>
      <w:r w:rsidR="002070B6" w:rsidRPr="0057441A">
        <w:rPr>
          <w:sz w:val="18"/>
          <w:u w:val="single"/>
        </w:rPr>
        <w:t>GN</w:t>
      </w:r>
      <w:r w:rsidR="00582C7B" w:rsidRPr="0057441A">
        <w:rPr>
          <w:sz w:val="18"/>
          <w:u w:val="single"/>
        </w:rPr>
        <w:t> 8</w:t>
      </w:r>
      <w:r w:rsidR="002070B6" w:rsidRPr="0057441A">
        <w:rPr>
          <w:sz w:val="18"/>
          <w:u w:val="single"/>
        </w:rPr>
        <w:t xml:space="preserve"> (Plantilla de los documentos TG:</w:t>
      </w:r>
      <w:r w:rsidRPr="00BA7873">
        <w:rPr>
          <w:sz w:val="18"/>
          <w:u w:val="single"/>
        </w:rPr>
        <w:t xml:space="preserve"> </w:t>
      </w:r>
      <w:r w:rsidR="002070B6" w:rsidRPr="0057441A">
        <w:rPr>
          <w:sz w:val="18"/>
          <w:u w:val="single"/>
        </w:rPr>
        <w:t>Capítulo</w:t>
      </w:r>
      <w:r w:rsidR="00582C7B" w:rsidRPr="0057441A">
        <w:rPr>
          <w:sz w:val="18"/>
          <w:u w:val="single"/>
        </w:rPr>
        <w:t> 3</w:t>
      </w:r>
      <w:r w:rsidR="002070B6" w:rsidRPr="0057441A">
        <w:rPr>
          <w:sz w:val="18"/>
          <w:u w:val="single"/>
        </w:rPr>
        <w:t>.1.2) – Explicación del ciclo de cultivo</w:t>
      </w:r>
    </w:p>
    <w:p w:rsidR="00DD4A0D" w:rsidRPr="00BA7873" w:rsidRDefault="00DD4A0D" w:rsidP="00DD4A0D">
      <w:pPr>
        <w:ind w:left="567" w:right="567"/>
        <w:rPr>
          <w:sz w:val="18"/>
          <w:u w:val="single"/>
        </w:rPr>
      </w:pPr>
    </w:p>
    <w:p w:rsidR="00DD4A0D" w:rsidRPr="00BA7873" w:rsidRDefault="002070B6" w:rsidP="00DD4A0D">
      <w:pPr>
        <w:ind w:left="567" w:right="567"/>
        <w:rPr>
          <w:sz w:val="18"/>
        </w:rPr>
      </w:pPr>
      <w:r w:rsidRPr="0057441A">
        <w:rPr>
          <w:sz w:val="18"/>
        </w:rPr>
        <w:t>En el Capítulo</w:t>
      </w:r>
      <w:r w:rsidR="00582C7B" w:rsidRPr="0057441A">
        <w:rPr>
          <w:sz w:val="18"/>
        </w:rPr>
        <w:t> 3</w:t>
      </w:r>
      <w:r w:rsidRPr="0057441A">
        <w:rPr>
          <w:sz w:val="18"/>
        </w:rPr>
        <w:t>.1 se hace referencia al número de ciclos de cultivo.</w:t>
      </w:r>
      <w:r w:rsidR="00DD4A0D" w:rsidRPr="00BA7873">
        <w:rPr>
          <w:sz w:val="18"/>
        </w:rPr>
        <w:t xml:space="preserve"> </w:t>
      </w:r>
      <w:r w:rsidRPr="0057441A">
        <w:rPr>
          <w:sz w:val="18"/>
        </w:rPr>
        <w:t>En algunos casos puede que sea necesario aclarar lo que se entiende por “ciclo de cultivo”.</w:t>
      </w:r>
      <w:r w:rsidR="00DD4A0D" w:rsidRPr="00BA7873">
        <w:rPr>
          <w:sz w:val="18"/>
        </w:rPr>
        <w:t xml:space="preserve"> </w:t>
      </w:r>
      <w:r w:rsidRPr="0057441A">
        <w:rPr>
          <w:sz w:val="18"/>
        </w:rPr>
        <w:t>Se ha elaborado un texto estándar adicional para tener en cuenta determinadas situaciones (véase el ASW</w:t>
      </w:r>
      <w:r w:rsidR="00582C7B" w:rsidRPr="0057441A">
        <w:rPr>
          <w:sz w:val="18"/>
        </w:rPr>
        <w:t> 3</w:t>
      </w:r>
      <w:r w:rsidRPr="0057441A">
        <w:rPr>
          <w:sz w:val="18"/>
        </w:rPr>
        <w:t>).</w:t>
      </w:r>
    </w:p>
    <w:p w:rsidR="00DD4A0D" w:rsidRPr="00BA7873" w:rsidRDefault="00DD4A0D" w:rsidP="00DD4A0D">
      <w:pPr>
        <w:ind w:left="567" w:right="567"/>
        <w:rPr>
          <w:sz w:val="18"/>
          <w:highlight w:val="yellow"/>
        </w:rPr>
      </w:pPr>
    </w:p>
    <w:p w:rsidR="00DD4A0D" w:rsidRPr="00BA7873" w:rsidRDefault="008643F7" w:rsidP="00DD4A0D">
      <w:pPr>
        <w:ind w:left="567" w:right="567"/>
        <w:rPr>
          <w:sz w:val="18"/>
          <w:u w:val="single"/>
        </w:rPr>
      </w:pPr>
      <w:r w:rsidRPr="0057441A">
        <w:rPr>
          <w:sz w:val="18"/>
          <w:highlight w:val="lightGray"/>
          <w:u w:val="single"/>
        </w:rPr>
        <w:t>Se podrá concluir el examen de una variedad</w:t>
      </w:r>
      <w:r w:rsidR="002070B6" w:rsidRPr="0057441A">
        <w:rPr>
          <w:sz w:val="18"/>
          <w:highlight w:val="lightGray"/>
          <w:u w:val="single"/>
        </w:rPr>
        <w:t xml:space="preserve"> </w:t>
      </w:r>
      <w:r w:rsidR="00CA5A54" w:rsidRPr="0057441A">
        <w:rPr>
          <w:sz w:val="18"/>
          <w:highlight w:val="lightGray"/>
          <w:u w:val="single"/>
        </w:rPr>
        <w:t xml:space="preserve">en el momento en que la autoridad competente pueda determinar con certeza su resultado, ya sea </w:t>
      </w:r>
      <w:r w:rsidR="00AC584D" w:rsidRPr="0057441A">
        <w:rPr>
          <w:sz w:val="18"/>
          <w:highlight w:val="lightGray"/>
          <w:u w:val="single"/>
        </w:rPr>
        <w:t>anticipadamente o después de lo previsto</w:t>
      </w:r>
      <w:r w:rsidR="002070B6" w:rsidRPr="0057441A">
        <w:rPr>
          <w:sz w:val="18"/>
          <w:highlight w:val="lightGray"/>
          <w:u w:val="single"/>
        </w:rPr>
        <w:t>.</w:t>
      </w:r>
      <w:r w:rsidR="00DD4A0D" w:rsidRPr="00BA7873">
        <w:rPr>
          <w:sz w:val="18"/>
          <w:highlight w:val="lightGray"/>
          <w:u w:val="single"/>
        </w:rPr>
        <w:t>”</w:t>
      </w:r>
    </w:p>
    <w:p w:rsidR="00DD4A0D" w:rsidRPr="00BA7873" w:rsidRDefault="00DD4A0D" w:rsidP="00DD4A0D">
      <w:pPr>
        <w:autoSpaceDE w:val="0"/>
        <w:autoSpaceDN w:val="0"/>
        <w:adjustRightInd w:val="0"/>
      </w:pPr>
    </w:p>
    <w:p w:rsidR="00DD4A0D" w:rsidRPr="00854F9B" w:rsidRDefault="002070B6" w:rsidP="00854F9B">
      <w:pPr>
        <w:pStyle w:val="Heading2"/>
      </w:pPr>
      <w:bookmarkStart w:id="11" w:name="_Toc526270407"/>
      <w:r w:rsidRPr="00854F9B">
        <w:lastRenderedPageBreak/>
        <w:t>Comentarios formulados por los Grupos de Trabajo Técnico</w:t>
      </w:r>
      <w:bookmarkEnd w:id="11"/>
    </w:p>
    <w:p w:rsidR="00DD4A0D" w:rsidRPr="00BA7873" w:rsidRDefault="00DD4A0D" w:rsidP="00DD4A0D">
      <w:pPr>
        <w:autoSpaceDE w:val="0"/>
        <w:autoSpaceDN w:val="0"/>
        <w:adjustRightInd w:val="0"/>
      </w:pPr>
    </w:p>
    <w:p w:rsidR="00DD4A0D" w:rsidRPr="00BA7873" w:rsidRDefault="00F60E7F" w:rsidP="00DD4A0D">
      <w:pPr>
        <w:keepNext/>
      </w:pPr>
      <w:r w:rsidRPr="002E42C1">
        <w:fldChar w:fldCharType="begin"/>
      </w:r>
      <w:r w:rsidR="00DD4A0D" w:rsidRPr="00BA7873">
        <w:instrText xml:space="preserve"> AUTONUM  </w:instrText>
      </w:r>
      <w:r w:rsidRPr="002E42C1">
        <w:fldChar w:fldCharType="end"/>
      </w:r>
      <w:r w:rsidR="00DD4A0D" w:rsidRPr="00BA7873">
        <w:tab/>
      </w:r>
      <w:r w:rsidR="002070B6" w:rsidRPr="0057441A">
        <w:t>El TWA</w:t>
      </w:r>
      <w:r w:rsidR="00582C7B" w:rsidRPr="0057441A">
        <w:t xml:space="preserve">, </w:t>
      </w:r>
      <w:r w:rsidR="002070B6" w:rsidRPr="0057441A">
        <w:t xml:space="preserve">el TWC y el TWV examinaron el documento </w:t>
      </w:r>
      <w:hyperlink r:id="rId8" w:history="1">
        <w:r w:rsidR="002070B6" w:rsidRPr="0057441A">
          <w:rPr>
            <w:rStyle w:val="Hyperlink"/>
          </w:rPr>
          <w:t>TWP/2/9</w:t>
        </w:r>
      </w:hyperlink>
      <w:r w:rsidR="002070B6" w:rsidRPr="0057441A">
        <w:t xml:space="preserve"> “</w:t>
      </w:r>
      <w:proofErr w:type="spellStart"/>
      <w:r w:rsidR="002070B6" w:rsidRPr="00BA7873">
        <w:rPr>
          <w:i/>
        </w:rPr>
        <w:t>Duration</w:t>
      </w:r>
      <w:proofErr w:type="spellEnd"/>
      <w:r w:rsidR="002070B6" w:rsidRPr="00BA7873">
        <w:rPr>
          <w:i/>
        </w:rPr>
        <w:t xml:space="preserve"> of DUS </w:t>
      </w:r>
      <w:proofErr w:type="spellStart"/>
      <w:r w:rsidR="002070B6" w:rsidRPr="00BA7873">
        <w:rPr>
          <w:i/>
        </w:rPr>
        <w:t>tests</w:t>
      </w:r>
      <w:proofErr w:type="spellEnd"/>
      <w:r w:rsidR="002070B6" w:rsidRPr="0057441A">
        <w:t>” (Duración de los exámenes DHE) (véa</w:t>
      </w:r>
      <w:r w:rsidR="00E30E49" w:rsidRPr="0057441A">
        <w:t>n</w:t>
      </w:r>
      <w:r w:rsidR="002070B6" w:rsidRPr="0057441A">
        <w:t xml:space="preserve">se </w:t>
      </w:r>
      <w:r w:rsidR="00E30E49" w:rsidRPr="0057441A">
        <w:t>los párrafos</w:t>
      </w:r>
      <w:r w:rsidR="00582C7B" w:rsidRPr="0057441A">
        <w:t> 2</w:t>
      </w:r>
      <w:r w:rsidR="00E30E49" w:rsidRPr="0057441A">
        <w:t>6 a</w:t>
      </w:r>
      <w:r w:rsidR="00582C7B" w:rsidRPr="0057441A">
        <w:t> 2</w:t>
      </w:r>
      <w:r w:rsidR="00E30E49" w:rsidRPr="0057441A">
        <w:t xml:space="preserve">9 del </w:t>
      </w:r>
      <w:r w:rsidR="002070B6" w:rsidRPr="0057441A">
        <w:t>documento</w:t>
      </w:r>
      <w:r w:rsidR="00E30E49" w:rsidRPr="0057441A">
        <w:t> </w:t>
      </w:r>
      <w:r w:rsidR="002070B6" w:rsidRPr="0057441A">
        <w:t>TWA/47/7 “</w:t>
      </w:r>
      <w:proofErr w:type="spellStart"/>
      <w:r w:rsidR="00E30E49" w:rsidRPr="00BA7873">
        <w:rPr>
          <w:i/>
        </w:rPr>
        <w:t>Report</w:t>
      </w:r>
      <w:proofErr w:type="spellEnd"/>
      <w:r w:rsidR="00E30E49" w:rsidRPr="0057441A">
        <w:t xml:space="preserve">” (Informe); </w:t>
      </w:r>
      <w:r w:rsidR="00A90B68" w:rsidRPr="0057441A">
        <w:t>los párrafos</w:t>
      </w:r>
      <w:r w:rsidR="00582C7B" w:rsidRPr="0057441A">
        <w:t> 4</w:t>
      </w:r>
      <w:r w:rsidR="00A90B68" w:rsidRPr="0057441A">
        <w:t>6 a</w:t>
      </w:r>
      <w:r w:rsidR="00582C7B" w:rsidRPr="0057441A">
        <w:t> 4</w:t>
      </w:r>
      <w:r w:rsidR="00A90B68" w:rsidRPr="0057441A">
        <w:t xml:space="preserve">9 del </w:t>
      </w:r>
      <w:r w:rsidR="002070B6" w:rsidRPr="0057441A">
        <w:t xml:space="preserve">TWC/36/15 </w:t>
      </w:r>
      <w:r w:rsidR="00A90B68" w:rsidRPr="0057441A">
        <w:t>“</w:t>
      </w:r>
      <w:proofErr w:type="spellStart"/>
      <w:r w:rsidR="00A90B68" w:rsidRPr="00BA7873">
        <w:rPr>
          <w:i/>
        </w:rPr>
        <w:t>Report</w:t>
      </w:r>
      <w:proofErr w:type="spellEnd"/>
      <w:r w:rsidR="00A90B68" w:rsidRPr="0057441A">
        <w:t xml:space="preserve">”; </w:t>
      </w:r>
      <w:r w:rsidR="002070B6" w:rsidRPr="0057441A">
        <w:t xml:space="preserve">y </w:t>
      </w:r>
      <w:r w:rsidR="00A90B68" w:rsidRPr="0057441A">
        <w:t>los párrafos</w:t>
      </w:r>
      <w:r w:rsidR="00582C7B" w:rsidRPr="0057441A">
        <w:t> 2</w:t>
      </w:r>
      <w:r w:rsidR="00A90B68" w:rsidRPr="0057441A">
        <w:t>7 a</w:t>
      </w:r>
      <w:r w:rsidR="00582C7B" w:rsidRPr="0057441A">
        <w:t> 3</w:t>
      </w:r>
      <w:r w:rsidR="00A90B68" w:rsidRPr="0057441A">
        <w:t xml:space="preserve">0 del documento </w:t>
      </w:r>
      <w:r w:rsidR="002070B6" w:rsidRPr="0057441A">
        <w:t xml:space="preserve">TWV/52/20 </w:t>
      </w:r>
      <w:r w:rsidR="00A90B68" w:rsidRPr="0057441A">
        <w:t>“</w:t>
      </w:r>
      <w:proofErr w:type="spellStart"/>
      <w:r w:rsidR="00A90B68" w:rsidRPr="00BA7873">
        <w:rPr>
          <w:i/>
        </w:rPr>
        <w:t>Report</w:t>
      </w:r>
      <w:proofErr w:type="spellEnd"/>
      <w:r w:rsidR="00A90B68" w:rsidRPr="0057441A">
        <w:t>”</w:t>
      </w:r>
      <w:r w:rsidR="002070B6" w:rsidRPr="0057441A">
        <w:t>).</w:t>
      </w:r>
    </w:p>
    <w:p w:rsidR="00DD4A0D" w:rsidRPr="00BA7873" w:rsidRDefault="00DD4A0D" w:rsidP="00DD4A0D"/>
    <w:p w:rsidR="00DD4A0D" w:rsidRPr="00BA7873" w:rsidRDefault="00F60E7F" w:rsidP="00DD4A0D">
      <w:r w:rsidRPr="002E42C1">
        <w:fldChar w:fldCharType="begin"/>
      </w:r>
      <w:r w:rsidR="00DD4A0D" w:rsidRPr="00BA7873">
        <w:instrText xml:space="preserve"> AUTONUM  </w:instrText>
      </w:r>
      <w:r w:rsidRPr="002E42C1">
        <w:fldChar w:fldCharType="end"/>
      </w:r>
      <w:r w:rsidR="00DD4A0D" w:rsidRPr="00BA7873">
        <w:tab/>
      </w:r>
      <w:r w:rsidR="00A90B68" w:rsidRPr="0057441A">
        <w:t>El TWA</w:t>
      </w:r>
      <w:r w:rsidR="00582C7B" w:rsidRPr="0057441A">
        <w:t xml:space="preserve">, </w:t>
      </w:r>
      <w:r w:rsidR="00A90B68" w:rsidRPr="0057441A">
        <w:t>el TWC y el TWV consideraron la propuesta de modificar la orientación que figura en la GN</w:t>
      </w:r>
      <w:r w:rsidR="00582C7B" w:rsidRPr="0057441A">
        <w:t> 8</w:t>
      </w:r>
      <w:r w:rsidR="00A90B68" w:rsidRPr="0057441A">
        <w:t xml:space="preserve"> del documento TGP/7 </w:t>
      </w:r>
      <w:r w:rsidR="003C2F9D" w:rsidRPr="0057441A">
        <w:t xml:space="preserve">a fin de </w:t>
      </w:r>
      <w:r w:rsidR="00A90B68" w:rsidRPr="0057441A">
        <w:t xml:space="preserve">aclarar </w:t>
      </w:r>
      <w:r w:rsidR="003C2F9D" w:rsidRPr="0057441A">
        <w:t>que</w:t>
      </w:r>
      <w:r w:rsidR="00A90B68" w:rsidRPr="0057441A">
        <w:t xml:space="preserve"> “</w:t>
      </w:r>
      <w:r w:rsidR="008643F7" w:rsidRPr="0057441A">
        <w:t>se podrá concluir el examen de una variedad</w:t>
      </w:r>
      <w:r w:rsidR="003C2F9D" w:rsidRPr="0057441A">
        <w:t xml:space="preserve"> </w:t>
      </w:r>
      <w:r w:rsidR="00F31A18" w:rsidRPr="0057441A">
        <w:t>en el momento en que la autoridad competente pueda determinar con certeza su resultado, ya sea anticipadamente o después de lo previsto</w:t>
      </w:r>
      <w:r w:rsidR="00A90B68" w:rsidRPr="0057441A">
        <w:t>”.</w:t>
      </w:r>
    </w:p>
    <w:p w:rsidR="00DD4A0D" w:rsidRPr="00BA7873" w:rsidRDefault="00DD4A0D" w:rsidP="00DD4A0D"/>
    <w:p w:rsidR="00DD4A0D" w:rsidRPr="00BA7873" w:rsidRDefault="00F60E7F" w:rsidP="00DD4A0D">
      <w:r w:rsidRPr="002E42C1">
        <w:fldChar w:fldCharType="begin"/>
      </w:r>
      <w:r w:rsidR="00DD4A0D" w:rsidRPr="00BA7873">
        <w:instrText xml:space="preserve"> AUTONUM  </w:instrText>
      </w:r>
      <w:r w:rsidRPr="002E42C1">
        <w:fldChar w:fldCharType="end"/>
      </w:r>
      <w:r w:rsidR="00DD4A0D" w:rsidRPr="00BA7873">
        <w:tab/>
      </w:r>
      <w:r w:rsidR="003C2F9D" w:rsidRPr="0057441A">
        <w:t>El TWA</w:t>
      </w:r>
      <w:r w:rsidR="00582C7B" w:rsidRPr="0057441A">
        <w:t xml:space="preserve">, </w:t>
      </w:r>
      <w:r w:rsidR="003C2F9D" w:rsidRPr="0057441A">
        <w:t>el TWC y el TWV tomaron nota de que el texto propuesto para la GN</w:t>
      </w:r>
      <w:r w:rsidR="00582C7B" w:rsidRPr="0057441A">
        <w:t> 8</w:t>
      </w:r>
      <w:r w:rsidR="003C2F9D" w:rsidRPr="0057441A">
        <w:t xml:space="preserve"> </w:t>
      </w:r>
      <w:r w:rsidR="003D2E5F" w:rsidRPr="0057441A">
        <w:t>debería figurar</w:t>
      </w:r>
      <w:r w:rsidR="003C2F9D" w:rsidRPr="0057441A">
        <w:t xml:space="preserve"> en las directrices de examen como texto estándar o texto adicional </w:t>
      </w:r>
      <w:r w:rsidR="003D2E5F" w:rsidRPr="0057441A">
        <w:t xml:space="preserve">para que destaque </w:t>
      </w:r>
      <w:r w:rsidR="005E08FB" w:rsidRPr="0057441A">
        <w:t>a los ojos de los lectores</w:t>
      </w:r>
      <w:r w:rsidR="003C2F9D" w:rsidRPr="0057441A">
        <w:t>.</w:t>
      </w:r>
    </w:p>
    <w:p w:rsidR="00DD4A0D" w:rsidRPr="00BA7873" w:rsidRDefault="00DD4A0D" w:rsidP="00DD4A0D"/>
    <w:p w:rsidR="00DD4A0D" w:rsidRPr="00BA7873" w:rsidRDefault="00F60E7F" w:rsidP="00DD4A0D">
      <w:r w:rsidRPr="002E42C1">
        <w:fldChar w:fldCharType="begin"/>
      </w:r>
      <w:r w:rsidR="00DD4A0D" w:rsidRPr="00BA7873">
        <w:instrText xml:space="preserve"> AUTONUM  </w:instrText>
      </w:r>
      <w:r w:rsidRPr="002E42C1">
        <w:fldChar w:fldCharType="end"/>
      </w:r>
      <w:r w:rsidR="00DD4A0D" w:rsidRPr="00BA7873">
        <w:tab/>
      </w:r>
      <w:r w:rsidR="003C2F9D" w:rsidRPr="0057441A">
        <w:t>El TWC y el TWV coincidieron con el TWA en que el texto propuesto para la GN</w:t>
      </w:r>
      <w:r w:rsidR="00582C7B" w:rsidRPr="0057441A">
        <w:t> 8</w:t>
      </w:r>
      <w:r w:rsidR="003C2F9D" w:rsidRPr="0057441A">
        <w:t xml:space="preserve"> debe formularse del siguiente modo:</w:t>
      </w:r>
    </w:p>
    <w:p w:rsidR="00DD4A0D" w:rsidRPr="00BA7873" w:rsidRDefault="00DD4A0D" w:rsidP="00DD4A0D">
      <w:pPr>
        <w:ind w:left="567" w:right="567"/>
        <w:rPr>
          <w:highlight w:val="yellow"/>
        </w:rPr>
      </w:pPr>
    </w:p>
    <w:p w:rsidR="00DD4A0D" w:rsidRPr="00BA7873" w:rsidRDefault="00507273" w:rsidP="00DD4A0D">
      <w:pPr>
        <w:ind w:left="567" w:right="567"/>
      </w:pPr>
      <w:r w:rsidRPr="0057441A">
        <w:rPr>
          <w:color w:val="000000" w:themeColor="text1"/>
        </w:rPr>
        <w:t>“Se podrá concluir el examen de una variedad en el momento en que la autoridad competente pueda determinar con certeza su resultado</w:t>
      </w:r>
      <w:r w:rsidRPr="0057441A">
        <w:rPr>
          <w:strike/>
          <w:color w:val="000000" w:themeColor="text1"/>
          <w:highlight w:val="lightGray"/>
        </w:rPr>
        <w:t>, ya sea anticipadamente o después de lo previsto</w:t>
      </w:r>
      <w:r w:rsidRPr="0057441A">
        <w:rPr>
          <w:color w:val="000000" w:themeColor="text1"/>
        </w:rPr>
        <w:t>.”</w:t>
      </w:r>
    </w:p>
    <w:p w:rsidR="00DD4A0D" w:rsidRPr="00BA7873" w:rsidRDefault="00DD4A0D" w:rsidP="00DD4A0D">
      <w:pPr>
        <w:autoSpaceDE w:val="0"/>
        <w:autoSpaceDN w:val="0"/>
        <w:adjustRightInd w:val="0"/>
      </w:pPr>
    </w:p>
    <w:p w:rsidR="00DD4A0D" w:rsidRPr="00BA7873" w:rsidRDefault="00F60E7F" w:rsidP="00DD4A0D">
      <w:pPr>
        <w:keepNext/>
        <w:keepLines/>
        <w:tabs>
          <w:tab w:val="left" w:pos="5387"/>
        </w:tabs>
        <w:ind w:left="4820"/>
        <w:rPr>
          <w:i/>
        </w:rPr>
      </w:pPr>
      <w:r w:rsidRPr="00857EC8">
        <w:rPr>
          <w:i/>
        </w:rPr>
        <w:fldChar w:fldCharType="begin"/>
      </w:r>
      <w:r w:rsidR="00DD4A0D" w:rsidRPr="00BA7873">
        <w:rPr>
          <w:i/>
        </w:rPr>
        <w:instrText xml:space="preserve"> AUTONUM  </w:instrText>
      </w:r>
      <w:r w:rsidRPr="00857EC8">
        <w:rPr>
          <w:i/>
        </w:rPr>
        <w:fldChar w:fldCharType="end"/>
      </w:r>
      <w:r w:rsidR="00DD4A0D" w:rsidRPr="00BA7873">
        <w:rPr>
          <w:i/>
        </w:rPr>
        <w:tab/>
      </w:r>
      <w:r w:rsidR="003C2F9D" w:rsidRPr="0057441A">
        <w:rPr>
          <w:i/>
        </w:rPr>
        <w:t>Se invita al TC a considerar:</w:t>
      </w:r>
      <w:r w:rsidR="00DD4A0D" w:rsidRPr="00BA7873">
        <w:rPr>
          <w:i/>
        </w:rPr>
        <w:t xml:space="preserve"> </w:t>
      </w:r>
    </w:p>
    <w:p w:rsidR="00DD4A0D" w:rsidRPr="00BA7873" w:rsidRDefault="00DD4A0D" w:rsidP="00DD4A0D">
      <w:pPr>
        <w:keepNext/>
        <w:keepLines/>
        <w:tabs>
          <w:tab w:val="left" w:pos="5387"/>
        </w:tabs>
        <w:ind w:left="4820"/>
        <w:rPr>
          <w:i/>
        </w:rPr>
      </w:pPr>
    </w:p>
    <w:p w:rsidR="00DD4A0D" w:rsidRPr="00BA7873" w:rsidRDefault="00DD4A0D" w:rsidP="00552A53">
      <w:pPr>
        <w:pStyle w:val="DecisionParagraphs"/>
        <w:tabs>
          <w:tab w:val="left" w:pos="5954"/>
        </w:tabs>
      </w:pPr>
      <w:r w:rsidRPr="00BA7873">
        <w:tab/>
      </w:r>
      <w:r w:rsidR="003C2F9D" w:rsidRPr="0057441A">
        <w:t>a)</w:t>
      </w:r>
      <w:r w:rsidRPr="00BA7873">
        <w:tab/>
      </w:r>
      <w:r w:rsidR="009F2734" w:rsidRPr="0057441A">
        <w:t xml:space="preserve">la propuesta de modificar la orientación que figura en la nota orientativa (GN) 8 del documento TGP/7 a fin de aclarar que “se podrá poner fin al examen de una variedad cuando la autoridad competente pueda determinar con certeza su resultado”; </w:t>
      </w:r>
      <w:r w:rsidR="003C2F9D" w:rsidRPr="0057441A">
        <w:t>y</w:t>
      </w:r>
    </w:p>
    <w:p w:rsidR="00DD4A0D" w:rsidRPr="00BA7873" w:rsidRDefault="00DD4A0D" w:rsidP="00DD4A0D">
      <w:pPr>
        <w:tabs>
          <w:tab w:val="left" w:pos="5387"/>
          <w:tab w:val="left" w:pos="5954"/>
        </w:tabs>
        <w:ind w:left="4820"/>
        <w:rPr>
          <w:i/>
        </w:rPr>
      </w:pPr>
    </w:p>
    <w:p w:rsidR="00DD4A0D" w:rsidRPr="00BA7873" w:rsidRDefault="00DD4A0D" w:rsidP="00552A53">
      <w:pPr>
        <w:pStyle w:val="DecisionParagraphs"/>
        <w:tabs>
          <w:tab w:val="left" w:pos="5954"/>
        </w:tabs>
      </w:pPr>
      <w:r w:rsidRPr="00BA7873">
        <w:tab/>
      </w:r>
      <w:r w:rsidR="003C2F9D" w:rsidRPr="0057441A">
        <w:t>b)</w:t>
      </w:r>
      <w:r w:rsidRPr="00BA7873">
        <w:tab/>
      </w:r>
      <w:r w:rsidR="00C65A4E" w:rsidRPr="0057441A">
        <w:t>si el texto propuesto debería figurar en las directrices de examen como texto estándar o texto adicional para que destaque a los ojos de los lectores.</w:t>
      </w:r>
    </w:p>
    <w:p w:rsidR="00DD4A0D" w:rsidRPr="00BA7873" w:rsidRDefault="00DD4A0D" w:rsidP="00DD4A0D"/>
    <w:p w:rsidR="00DD4A0D" w:rsidRPr="00BA7873" w:rsidRDefault="00DD4A0D" w:rsidP="00DD4A0D"/>
    <w:p w:rsidR="00DD4A0D" w:rsidRPr="00BA7873" w:rsidRDefault="00DD4A0D" w:rsidP="00DD4A0D"/>
    <w:p w:rsidR="00DD4A0D" w:rsidRPr="00BA7873" w:rsidRDefault="003C2F9D" w:rsidP="00DD4A0D">
      <w:pPr>
        <w:jc w:val="right"/>
      </w:pPr>
      <w:r w:rsidRPr="0057441A">
        <w:t>[Sigue el Anexo]</w:t>
      </w:r>
    </w:p>
    <w:p w:rsidR="00DD4A0D" w:rsidRPr="00BA7873" w:rsidRDefault="00DD4A0D" w:rsidP="00DD4A0D">
      <w:pPr>
        <w:sectPr w:rsidR="00DD4A0D" w:rsidRPr="00BA787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DD4A0D" w:rsidRPr="00BA7873" w:rsidRDefault="003C2F9D" w:rsidP="00DD4A0D">
      <w:pPr>
        <w:jc w:val="center"/>
      </w:pPr>
      <w:r w:rsidRPr="0057441A">
        <w:lastRenderedPageBreak/>
        <w:t>EXTRACTO DEL DOCUMENTO TGP/7 “ELABORACIÓN DE LAS DIRECTRICES DE EXAMEN”</w:t>
      </w:r>
    </w:p>
    <w:p w:rsidR="00DD4A0D" w:rsidRPr="00BA7873" w:rsidRDefault="00DD4A0D" w:rsidP="00DD4A0D"/>
    <w:p w:rsidR="00DD4A0D" w:rsidRPr="00BA7873" w:rsidRDefault="003C2F9D" w:rsidP="00DD4A0D">
      <w:pPr>
        <w:rPr>
          <w:u w:val="single"/>
        </w:rPr>
      </w:pPr>
      <w:bookmarkStart w:id="12" w:name="_Toc27819131"/>
      <w:bookmarkStart w:id="13" w:name="_Toc27819312"/>
      <w:bookmarkStart w:id="14" w:name="_Toc27819493"/>
      <w:bookmarkStart w:id="15" w:name="_Toc463342919"/>
      <w:r w:rsidRPr="003C2F9D">
        <w:rPr>
          <w:u w:val="single"/>
        </w:rPr>
        <w:t>ASW</w:t>
      </w:r>
      <w:r w:rsidR="00582C7B">
        <w:rPr>
          <w:u w:val="single"/>
        </w:rPr>
        <w:t> </w:t>
      </w:r>
      <w:r w:rsidR="00582C7B" w:rsidRPr="003C2F9D">
        <w:rPr>
          <w:u w:val="single"/>
        </w:rPr>
        <w:t>2</w:t>
      </w:r>
      <w:r w:rsidRPr="003C2F9D">
        <w:rPr>
          <w:u w:val="single"/>
        </w:rPr>
        <w:t xml:space="preserve"> (Plantilla de los documentos TG:</w:t>
      </w:r>
      <w:r w:rsidR="00225F80" w:rsidRPr="00BA7873">
        <w:rPr>
          <w:u w:val="single"/>
        </w:rPr>
        <w:t xml:space="preserve"> </w:t>
      </w:r>
      <w:bookmarkEnd w:id="12"/>
      <w:bookmarkEnd w:id="13"/>
      <w:bookmarkEnd w:id="14"/>
      <w:bookmarkEnd w:id="15"/>
      <w:r w:rsidRPr="003C2F9D">
        <w:rPr>
          <w:u w:val="single"/>
        </w:rPr>
        <w:t>Capítulo</w:t>
      </w:r>
      <w:r w:rsidR="00582C7B">
        <w:rPr>
          <w:u w:val="single"/>
        </w:rPr>
        <w:t> </w:t>
      </w:r>
      <w:r w:rsidR="00582C7B" w:rsidRPr="003C2F9D">
        <w:rPr>
          <w:u w:val="single"/>
        </w:rPr>
        <w:t>3</w:t>
      </w:r>
      <w:r w:rsidRPr="003C2F9D">
        <w:rPr>
          <w:u w:val="single"/>
        </w:rPr>
        <w:t>.1) – Número de ciclos de cultivo</w:t>
      </w:r>
    </w:p>
    <w:p w:rsidR="00DD4A0D" w:rsidRPr="00BA7873" w:rsidRDefault="00DD4A0D" w:rsidP="00DD4A0D"/>
    <w:p w:rsidR="00DD4A0D" w:rsidRPr="00BA7873" w:rsidRDefault="003C2F9D" w:rsidP="00DD4A0D">
      <w:bookmarkStart w:id="16" w:name="_Toc27819132"/>
      <w:bookmarkStart w:id="17" w:name="_Toc27819313"/>
      <w:bookmarkStart w:id="18" w:name="_Toc27819494"/>
      <w:bookmarkStart w:id="19" w:name="_Toc463342920"/>
      <w:r w:rsidRPr="003C2F9D">
        <w:t>a)</w:t>
      </w:r>
      <w:r w:rsidR="00DD4A0D" w:rsidRPr="00BA7873">
        <w:tab/>
      </w:r>
      <w:bookmarkEnd w:id="16"/>
      <w:bookmarkEnd w:id="17"/>
      <w:bookmarkEnd w:id="18"/>
      <w:bookmarkEnd w:id="19"/>
      <w:r w:rsidRPr="003C2F9D">
        <w:t>Ciclo de cultivo único</w:t>
      </w:r>
    </w:p>
    <w:p w:rsidR="00DD4A0D" w:rsidRPr="00BA7873" w:rsidRDefault="00DD4A0D" w:rsidP="00DD4A0D"/>
    <w:p w:rsidR="00DD4A0D" w:rsidRPr="00BA7873" w:rsidRDefault="00781C6A" w:rsidP="00DD4A0D">
      <w:r w:rsidRPr="00781C6A">
        <w:t>“</w:t>
      </w:r>
      <w:r w:rsidR="003C2F9D" w:rsidRPr="00781C6A">
        <w:t>La duración mínima de los ensayos deberá ser normalmente de un único ciclo de cultivo.</w:t>
      </w:r>
      <w:r w:rsidRPr="00781C6A">
        <w:t>”</w:t>
      </w:r>
    </w:p>
    <w:p w:rsidR="00DD4A0D" w:rsidRPr="00BA7873" w:rsidRDefault="00DD4A0D" w:rsidP="00DD4A0D">
      <w:pPr>
        <w:rPr>
          <w:i/>
        </w:rPr>
      </w:pPr>
    </w:p>
    <w:p w:rsidR="00DD4A0D" w:rsidRPr="00BA7873" w:rsidRDefault="00781C6A" w:rsidP="00DD4A0D">
      <w:bookmarkStart w:id="20" w:name="_Toc27819133"/>
      <w:bookmarkStart w:id="21" w:name="_Toc27819314"/>
      <w:bookmarkStart w:id="22" w:name="_Toc27819495"/>
      <w:bookmarkStart w:id="23" w:name="_Toc463342921"/>
      <w:r w:rsidRPr="00781C6A">
        <w:t>b)</w:t>
      </w:r>
      <w:r w:rsidR="00DD4A0D" w:rsidRPr="00BA7873">
        <w:tab/>
      </w:r>
      <w:bookmarkEnd w:id="20"/>
      <w:bookmarkEnd w:id="21"/>
      <w:bookmarkEnd w:id="22"/>
      <w:bookmarkEnd w:id="23"/>
      <w:r w:rsidRPr="00781C6A">
        <w:t>Dos ciclos de cultivo independientes</w:t>
      </w:r>
    </w:p>
    <w:p w:rsidR="00DD4A0D" w:rsidRPr="00BA7873" w:rsidRDefault="00DD4A0D" w:rsidP="00DD4A0D"/>
    <w:p w:rsidR="00DD4A0D" w:rsidRPr="00BA7873" w:rsidRDefault="00781C6A" w:rsidP="00DD4A0D">
      <w:r w:rsidRPr="00781C6A">
        <w:t>“La duración mínima de los ensayos deberá ser normalmente de dos ciclos de cultivo independientes.”</w:t>
      </w:r>
    </w:p>
    <w:p w:rsidR="00DD4A0D" w:rsidRPr="00BA7873" w:rsidRDefault="00DD4A0D" w:rsidP="00130B14">
      <w:pPr>
        <w:spacing w:after="120"/>
      </w:pPr>
    </w:p>
    <w:p w:rsidR="00DD4A0D" w:rsidRPr="00BA7873" w:rsidRDefault="00781C6A" w:rsidP="00DD4A0D">
      <w:pPr>
        <w:rPr>
          <w:u w:val="single"/>
        </w:rPr>
      </w:pPr>
      <w:bookmarkStart w:id="24" w:name="_Toc463342922"/>
      <w:r w:rsidRPr="00781C6A">
        <w:rPr>
          <w:u w:val="single"/>
        </w:rPr>
        <w:t>ASW</w:t>
      </w:r>
      <w:r w:rsidR="00582C7B">
        <w:rPr>
          <w:u w:val="single"/>
        </w:rPr>
        <w:t> </w:t>
      </w:r>
      <w:r w:rsidR="00582C7B" w:rsidRPr="00781C6A">
        <w:rPr>
          <w:u w:val="single"/>
        </w:rPr>
        <w:t>3</w:t>
      </w:r>
      <w:r w:rsidRPr="00781C6A">
        <w:rPr>
          <w:u w:val="single"/>
        </w:rPr>
        <w:t xml:space="preserve"> (Plantilla de los documentos TG:</w:t>
      </w:r>
      <w:r w:rsidR="00225F80" w:rsidRPr="00BA7873">
        <w:rPr>
          <w:u w:val="single"/>
        </w:rPr>
        <w:t xml:space="preserve"> </w:t>
      </w:r>
      <w:bookmarkEnd w:id="24"/>
      <w:r w:rsidRPr="00781C6A">
        <w:rPr>
          <w:u w:val="single"/>
        </w:rPr>
        <w:t>Capítulo</w:t>
      </w:r>
      <w:r w:rsidR="00582C7B">
        <w:rPr>
          <w:u w:val="single"/>
        </w:rPr>
        <w:t> </w:t>
      </w:r>
      <w:r w:rsidR="00582C7B" w:rsidRPr="00781C6A">
        <w:rPr>
          <w:u w:val="single"/>
        </w:rPr>
        <w:t>3</w:t>
      </w:r>
      <w:r w:rsidRPr="00781C6A">
        <w:rPr>
          <w:u w:val="single"/>
        </w:rPr>
        <w:t>.1.2) – Explicación del ciclo de cultivo</w:t>
      </w:r>
      <w:r w:rsidR="00DD4A0D" w:rsidRPr="00BA7873">
        <w:rPr>
          <w:u w:val="single"/>
        </w:rPr>
        <w:t xml:space="preserve"> </w:t>
      </w:r>
    </w:p>
    <w:p w:rsidR="00DD4A0D" w:rsidRPr="00BA7873" w:rsidRDefault="00DD4A0D" w:rsidP="00DD4A0D"/>
    <w:p w:rsidR="00DD4A0D" w:rsidRPr="00BA7873" w:rsidRDefault="00781C6A" w:rsidP="00DD4A0D">
      <w:bookmarkStart w:id="25" w:name="_Toc463342923"/>
      <w:r w:rsidRPr="00781C6A">
        <w:t>a)</w:t>
      </w:r>
      <w:r w:rsidR="00DD4A0D" w:rsidRPr="00BA7873">
        <w:tab/>
      </w:r>
      <w:bookmarkEnd w:id="25"/>
      <w:r w:rsidRPr="00781C6A">
        <w:t>Especies frutales con un período de letargo claramente definido</w:t>
      </w:r>
    </w:p>
    <w:p w:rsidR="00DD4A0D" w:rsidRPr="00BA7873" w:rsidRDefault="00DD4A0D" w:rsidP="00DD4A0D"/>
    <w:p w:rsidR="00DD4A0D" w:rsidRPr="00BA7873" w:rsidRDefault="00DD4A0D" w:rsidP="00DD4A0D">
      <w:r w:rsidRPr="00BA7873">
        <w:t>“3.1.2</w:t>
      </w:r>
      <w:r w:rsidRPr="00BA7873">
        <w:tab/>
      </w:r>
      <w:r w:rsidR="00781C6A" w:rsidRPr="00781C6A">
        <w:t>Se considera que la duración del ciclo de cultivo es equivalente a un único período de cultivo que empieza con la apertura de las yemas (floral y/o vegetativa)</w:t>
      </w:r>
      <w:r w:rsidR="00582C7B">
        <w:t xml:space="preserve">, </w:t>
      </w:r>
      <w:r w:rsidR="00781C6A" w:rsidRPr="00781C6A">
        <w:t>la floración y la cosecha de los frutos</w:t>
      </w:r>
      <w:r w:rsidR="00582C7B">
        <w:t xml:space="preserve">, </w:t>
      </w:r>
      <w:r w:rsidR="00781C6A" w:rsidRPr="00781C6A">
        <w:t>y que concluye cuando finaliza el período de letargo siguiente con la hinchazón de las yemas en la nueva temporada.”</w:t>
      </w:r>
    </w:p>
    <w:p w:rsidR="00DD4A0D" w:rsidRPr="00BA7873" w:rsidRDefault="00DD4A0D" w:rsidP="00DD4A0D"/>
    <w:p w:rsidR="00DD4A0D" w:rsidRPr="00BA7873" w:rsidRDefault="00781C6A" w:rsidP="00DD4A0D">
      <w:bookmarkStart w:id="26" w:name="_Toc463342924"/>
      <w:r w:rsidRPr="00781C6A">
        <w:t>b)</w:t>
      </w:r>
      <w:r w:rsidR="00DD4A0D" w:rsidRPr="00BA7873">
        <w:tab/>
      </w:r>
      <w:bookmarkEnd w:id="26"/>
      <w:r w:rsidRPr="00781C6A">
        <w:t>Especies frutales sin un período de letargo claramente definido</w:t>
      </w:r>
      <w:r w:rsidR="00DD4A0D" w:rsidRPr="00BA7873">
        <w:t xml:space="preserve"> </w:t>
      </w:r>
    </w:p>
    <w:p w:rsidR="00DD4A0D" w:rsidRPr="00BA7873" w:rsidRDefault="00DD4A0D" w:rsidP="00DD4A0D"/>
    <w:p w:rsidR="00DD4A0D" w:rsidRPr="00BA7873" w:rsidRDefault="00DD4A0D" w:rsidP="00DD4A0D">
      <w:pPr>
        <w:rPr>
          <w:i/>
        </w:rPr>
      </w:pPr>
      <w:r w:rsidRPr="00BA7873">
        <w:t>“3.1.2</w:t>
      </w:r>
      <w:r w:rsidRPr="00BA7873">
        <w:tab/>
      </w:r>
      <w:r w:rsidR="00781C6A" w:rsidRPr="00781C6A">
        <w:t>Se considera que el ciclo de cultivo se inicia con el período de desarrollo vegetativo activo o floración</w:t>
      </w:r>
      <w:r w:rsidR="00582C7B">
        <w:t xml:space="preserve">, </w:t>
      </w:r>
      <w:r w:rsidR="00781C6A" w:rsidRPr="00781C6A">
        <w:t>continúa con el período de desarrollo vegetativo activo o floración y el crecimiento de los frutos</w:t>
      </w:r>
      <w:r w:rsidR="00582C7B">
        <w:t xml:space="preserve">, </w:t>
      </w:r>
      <w:r w:rsidR="00781C6A" w:rsidRPr="00781C6A">
        <w:t>y concluye con la cosecha de los frutos.”</w:t>
      </w:r>
    </w:p>
    <w:p w:rsidR="00DD4A0D" w:rsidRPr="00BA7873" w:rsidRDefault="00DD4A0D" w:rsidP="00DD4A0D">
      <w:pPr>
        <w:rPr>
          <w:i/>
        </w:rPr>
      </w:pPr>
    </w:p>
    <w:p w:rsidR="00DD4A0D" w:rsidRPr="00BA7873" w:rsidRDefault="00781C6A" w:rsidP="00DD4A0D">
      <w:bookmarkStart w:id="27" w:name="_Toc463342925"/>
      <w:r w:rsidRPr="00781C6A">
        <w:rPr>
          <w:iCs/>
        </w:rPr>
        <w:t>c)</w:t>
      </w:r>
      <w:r w:rsidR="00DD4A0D" w:rsidRPr="00BA7873">
        <w:rPr>
          <w:iCs/>
        </w:rPr>
        <w:tab/>
      </w:r>
      <w:bookmarkEnd w:id="27"/>
      <w:r w:rsidRPr="00781C6A">
        <w:t>Especies perennes de crecimiento indeterminado</w:t>
      </w:r>
    </w:p>
    <w:p w:rsidR="00DD4A0D" w:rsidRPr="00BA7873" w:rsidRDefault="00DD4A0D" w:rsidP="00DD4A0D"/>
    <w:p w:rsidR="00DD4A0D" w:rsidRPr="00BA7873" w:rsidRDefault="00781C6A" w:rsidP="00DD4A0D">
      <w:r w:rsidRPr="00781C6A">
        <w:t>Se considera que el ciclo de cultivo se inicia con el comienzo del desarrollo de una flor individual o una inflorescencia</w:t>
      </w:r>
      <w:r w:rsidR="00582C7B">
        <w:t xml:space="preserve">, </w:t>
      </w:r>
      <w:r w:rsidRPr="00781C6A">
        <w:t>continúa con el desarrollo de los frutos</w:t>
      </w:r>
      <w:r w:rsidR="00582C7B">
        <w:t xml:space="preserve">, </w:t>
      </w:r>
      <w:r w:rsidRPr="00781C6A">
        <w:t>y concluye con la cosecha de los frutos de la correspondiente flor individual o inflorescencia.</w:t>
      </w:r>
    </w:p>
    <w:p w:rsidR="00DD4A0D" w:rsidRPr="00BA7873" w:rsidRDefault="00DD4A0D" w:rsidP="00DD4A0D">
      <w:pPr>
        <w:rPr>
          <w:i/>
        </w:rPr>
      </w:pPr>
    </w:p>
    <w:p w:rsidR="00DD4A0D" w:rsidRPr="00BA7873" w:rsidRDefault="00781C6A" w:rsidP="00DD4A0D">
      <w:bookmarkStart w:id="28" w:name="_Toc463342926"/>
      <w:r w:rsidRPr="00781C6A">
        <w:t>d)</w:t>
      </w:r>
      <w:r w:rsidR="00DD4A0D" w:rsidRPr="00BA7873">
        <w:tab/>
      </w:r>
      <w:bookmarkEnd w:id="28"/>
      <w:r w:rsidRPr="00781C6A">
        <w:t>Especies frutales</w:t>
      </w:r>
    </w:p>
    <w:p w:rsidR="00DD4A0D" w:rsidRPr="00BA7873" w:rsidRDefault="00DD4A0D" w:rsidP="00DD4A0D"/>
    <w:p w:rsidR="00DD4A0D" w:rsidRPr="00BA7873" w:rsidRDefault="00781C6A" w:rsidP="00DD4A0D">
      <w:r w:rsidRPr="00781C6A">
        <w:t>En el caso de directrices de examen aplicables a especies frutales</w:t>
      </w:r>
      <w:r w:rsidR="00582C7B">
        <w:t xml:space="preserve">, </w:t>
      </w:r>
      <w:r w:rsidRPr="00781C6A">
        <w:t>se añadirá la siguiente frase en el Capítulo</w:t>
      </w:r>
      <w:r w:rsidR="00582C7B">
        <w:t> </w:t>
      </w:r>
      <w:r w:rsidR="00582C7B" w:rsidRPr="00781C6A">
        <w:t>3</w:t>
      </w:r>
      <w:r w:rsidRPr="00781C6A">
        <w:t>.1:</w:t>
      </w:r>
    </w:p>
    <w:p w:rsidR="00DD4A0D" w:rsidRPr="00BA7873" w:rsidRDefault="00DD4A0D" w:rsidP="00DD4A0D"/>
    <w:p w:rsidR="00DD4A0D" w:rsidRPr="00BA7873" w:rsidRDefault="00781C6A" w:rsidP="00DD4A0D">
      <w:r w:rsidRPr="00781C6A">
        <w:t>“En particular</w:t>
      </w:r>
      <w:r w:rsidR="00582C7B">
        <w:t xml:space="preserve">, </w:t>
      </w:r>
      <w:r w:rsidRPr="00781C6A">
        <w:t>es esencial que los [árboles]</w:t>
      </w:r>
      <w:proofErr w:type="gramStart"/>
      <w:r w:rsidRPr="00781C6A">
        <w:t>/[</w:t>
      </w:r>
      <w:proofErr w:type="gramEnd"/>
      <w:r w:rsidRPr="00781C6A">
        <w:t>las plantas] produzcan una cosecha satisfactoria de frutos en cada uno de los dos ciclos de cultivo.”</w:t>
      </w:r>
    </w:p>
    <w:p w:rsidR="00DD4A0D" w:rsidRPr="00BA7873" w:rsidRDefault="00DD4A0D" w:rsidP="00DD4A0D"/>
    <w:p w:rsidR="00DD4A0D" w:rsidRPr="00BA7873" w:rsidRDefault="00781C6A" w:rsidP="00DD4A0D">
      <w:bookmarkStart w:id="29" w:name="_Toc463342927"/>
      <w:r w:rsidRPr="00781C6A">
        <w:t>e)</w:t>
      </w:r>
      <w:r w:rsidR="00DD4A0D" w:rsidRPr="00BA7873">
        <w:tab/>
      </w:r>
      <w:bookmarkEnd w:id="29"/>
      <w:r w:rsidRPr="00781C6A">
        <w:t>Dos ciclos independientes en forma de dos plantaciones separadas</w:t>
      </w:r>
    </w:p>
    <w:p w:rsidR="00DD4A0D" w:rsidRPr="00BA7873" w:rsidRDefault="00DD4A0D" w:rsidP="00DD4A0D"/>
    <w:p w:rsidR="00DD4A0D" w:rsidRPr="00BA7873" w:rsidRDefault="00781C6A" w:rsidP="00DD4A0D">
      <w:r w:rsidRPr="00781C6A">
        <w:t>Cuando proceda</w:t>
      </w:r>
      <w:r w:rsidR="00582C7B">
        <w:t xml:space="preserve">, </w:t>
      </w:r>
      <w:r w:rsidRPr="00781C6A">
        <w:t>se añadirá la frase siguiente en el capítulo</w:t>
      </w:r>
      <w:r w:rsidR="00582C7B">
        <w:t> </w:t>
      </w:r>
      <w:r w:rsidR="00582C7B" w:rsidRPr="00781C6A">
        <w:t>3</w:t>
      </w:r>
      <w:r w:rsidRPr="00781C6A">
        <w:t>.1:</w:t>
      </w:r>
    </w:p>
    <w:p w:rsidR="00DD4A0D" w:rsidRPr="00BA7873" w:rsidRDefault="00DD4A0D" w:rsidP="00DD4A0D"/>
    <w:p w:rsidR="00DD4A0D" w:rsidRPr="00BA7873" w:rsidRDefault="00781C6A" w:rsidP="00DD4A0D">
      <w:r w:rsidRPr="00781C6A">
        <w:t>“Los dos ciclos de cultivo independientes deberán tener lugar en forma de dos plantaciones separadas.”</w:t>
      </w:r>
    </w:p>
    <w:p w:rsidR="00DD4A0D" w:rsidRPr="00BA7873" w:rsidRDefault="00DD4A0D" w:rsidP="00DD4A0D"/>
    <w:p w:rsidR="00DD4A0D" w:rsidRPr="00BA7873" w:rsidRDefault="00781C6A" w:rsidP="00DD4A0D">
      <w:bookmarkStart w:id="30" w:name="_Toc463342928"/>
      <w:r w:rsidRPr="00781C6A">
        <w:t>f)</w:t>
      </w:r>
      <w:r w:rsidR="00DD4A0D" w:rsidRPr="00BA7873">
        <w:tab/>
      </w:r>
      <w:bookmarkEnd w:id="30"/>
      <w:r w:rsidRPr="00781C6A">
        <w:t>Dos ciclos independientes en forma de una única plantación</w:t>
      </w:r>
    </w:p>
    <w:p w:rsidR="00DD4A0D" w:rsidRPr="00BA7873" w:rsidRDefault="00DD4A0D" w:rsidP="00DD4A0D"/>
    <w:p w:rsidR="00DD4A0D" w:rsidRPr="00BA7873" w:rsidRDefault="00781C6A" w:rsidP="00DD4A0D">
      <w:r w:rsidRPr="00781C6A">
        <w:t>Cuando proceda</w:t>
      </w:r>
      <w:r w:rsidR="00582C7B">
        <w:t xml:space="preserve">, </w:t>
      </w:r>
      <w:r w:rsidRPr="00781C6A">
        <w:t>se añadirá la frase siguiente en el capítulo</w:t>
      </w:r>
      <w:r w:rsidR="00582C7B">
        <w:t> </w:t>
      </w:r>
      <w:r w:rsidR="00582C7B" w:rsidRPr="00781C6A">
        <w:t>3</w:t>
      </w:r>
      <w:r w:rsidRPr="00781C6A">
        <w:t>.1:</w:t>
      </w:r>
    </w:p>
    <w:p w:rsidR="00DD4A0D" w:rsidRPr="00BA7873" w:rsidRDefault="00DD4A0D" w:rsidP="00DD4A0D"/>
    <w:p w:rsidR="00DD4A0D" w:rsidRPr="00BA7873" w:rsidRDefault="00781C6A" w:rsidP="00DD4A0D">
      <w:r w:rsidRPr="00781C6A">
        <w:t>“Los dos ciclos de cultivo independientes pueden observarse en una única plantación examinada en dos ciclos de cultivo separados.”</w:t>
      </w:r>
    </w:p>
    <w:p w:rsidR="00130B14" w:rsidRPr="00BA7873" w:rsidRDefault="00130B14" w:rsidP="00130B14">
      <w:pPr>
        <w:spacing w:after="120"/>
      </w:pPr>
      <w:bookmarkStart w:id="31" w:name="_Toc463342976"/>
    </w:p>
    <w:p w:rsidR="00DD4A0D" w:rsidRPr="00BA7873" w:rsidRDefault="00781C6A" w:rsidP="00DD4A0D">
      <w:pPr>
        <w:rPr>
          <w:u w:val="single"/>
        </w:rPr>
      </w:pPr>
      <w:r w:rsidRPr="00781C6A">
        <w:rPr>
          <w:u w:val="single"/>
        </w:rPr>
        <w:t>GN</w:t>
      </w:r>
      <w:r w:rsidR="00582C7B">
        <w:rPr>
          <w:u w:val="single"/>
        </w:rPr>
        <w:t> </w:t>
      </w:r>
      <w:r w:rsidR="00582C7B" w:rsidRPr="00781C6A">
        <w:rPr>
          <w:u w:val="single"/>
        </w:rPr>
        <w:t>8</w:t>
      </w:r>
      <w:r w:rsidR="00DD4A0D" w:rsidRPr="00BA7873">
        <w:rPr>
          <w:u w:val="single"/>
        </w:rPr>
        <w:tab/>
      </w:r>
      <w:r w:rsidRPr="00781C6A">
        <w:rPr>
          <w:u w:val="single"/>
        </w:rPr>
        <w:t>(Plantilla de los documentos TG:</w:t>
      </w:r>
      <w:r w:rsidR="00225F80" w:rsidRPr="00BA7873">
        <w:rPr>
          <w:u w:val="single"/>
        </w:rPr>
        <w:t xml:space="preserve"> </w:t>
      </w:r>
      <w:bookmarkEnd w:id="31"/>
      <w:r w:rsidRPr="00781C6A">
        <w:rPr>
          <w:u w:val="single"/>
        </w:rPr>
        <w:t>Capítulo</w:t>
      </w:r>
      <w:r w:rsidR="00582C7B">
        <w:rPr>
          <w:u w:val="single"/>
        </w:rPr>
        <w:t> </w:t>
      </w:r>
      <w:r w:rsidR="00582C7B" w:rsidRPr="00781C6A">
        <w:rPr>
          <w:u w:val="single"/>
        </w:rPr>
        <w:t>3</w:t>
      </w:r>
      <w:r w:rsidRPr="00781C6A">
        <w:rPr>
          <w:u w:val="single"/>
        </w:rPr>
        <w:t>.1.2) – Explicación del ciclo de cultivo</w:t>
      </w:r>
    </w:p>
    <w:p w:rsidR="00DD4A0D" w:rsidRPr="00BA7873" w:rsidRDefault="00DD4A0D" w:rsidP="00DD4A0D">
      <w:pPr>
        <w:rPr>
          <w:u w:val="single"/>
        </w:rPr>
      </w:pPr>
    </w:p>
    <w:p w:rsidR="00DD4A0D" w:rsidRPr="00BA7873" w:rsidRDefault="00781C6A" w:rsidP="00DD4A0D">
      <w:r w:rsidRPr="00781C6A">
        <w:t>“En el Capítulo</w:t>
      </w:r>
      <w:r w:rsidR="00582C7B">
        <w:t> </w:t>
      </w:r>
      <w:r w:rsidR="00582C7B" w:rsidRPr="00781C6A">
        <w:t>3</w:t>
      </w:r>
      <w:r w:rsidRPr="00781C6A">
        <w:t>.1 se hace referencia al número de ciclos de cultivo.</w:t>
      </w:r>
      <w:r w:rsidR="00225F80" w:rsidRPr="00BA7873">
        <w:t xml:space="preserve"> </w:t>
      </w:r>
      <w:r w:rsidRPr="00781C6A">
        <w:t>En algunos casos puede que sea necesario aclarar lo que se entiende por “ciclo de cultivo”.</w:t>
      </w:r>
      <w:r w:rsidR="00225F80" w:rsidRPr="00BA7873">
        <w:t xml:space="preserve"> </w:t>
      </w:r>
      <w:r w:rsidRPr="00781C6A">
        <w:t>Se ha elaborado un texto estándar adicional para tener en cuenta determinadas situaciones (véase el ASW</w:t>
      </w:r>
      <w:r w:rsidR="00582C7B">
        <w:t> </w:t>
      </w:r>
      <w:r w:rsidR="00582C7B" w:rsidRPr="00781C6A">
        <w:t>3</w:t>
      </w:r>
      <w:r w:rsidRPr="00781C6A">
        <w:t>).”</w:t>
      </w:r>
    </w:p>
    <w:p w:rsidR="00A63CB4" w:rsidRPr="00BA7873" w:rsidRDefault="00A63CB4" w:rsidP="00A63CB4"/>
    <w:p w:rsidR="00050E16" w:rsidRPr="00BA7873" w:rsidRDefault="00781C6A" w:rsidP="00A63CB4">
      <w:pPr>
        <w:jc w:val="right"/>
      </w:pPr>
      <w:r w:rsidRPr="00781C6A">
        <w:t>[Fin del Anexo y del documento]</w:t>
      </w:r>
    </w:p>
    <w:sectPr w:rsidR="00050E16" w:rsidRPr="00BA7873" w:rsidSect="00906DDC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9AB" w:rsidRDefault="006849AB" w:rsidP="006655D3">
      <w:r>
        <w:separator/>
      </w:r>
    </w:p>
    <w:p w:rsidR="006849AB" w:rsidRDefault="006849AB" w:rsidP="006655D3"/>
    <w:p w:rsidR="006849AB" w:rsidRDefault="006849AB" w:rsidP="006655D3"/>
  </w:endnote>
  <w:endnote w:type="continuationSeparator" w:id="0">
    <w:p w:rsidR="006849AB" w:rsidRDefault="006849AB" w:rsidP="006655D3">
      <w:r>
        <w:separator/>
      </w:r>
    </w:p>
    <w:p w:rsidR="006849AB" w:rsidRPr="00294751" w:rsidRDefault="006849AB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6849AB" w:rsidRPr="00294751" w:rsidRDefault="006849AB" w:rsidP="006655D3">
      <w:pPr>
        <w:rPr>
          <w:lang w:val="fr-FR"/>
        </w:rPr>
      </w:pPr>
    </w:p>
    <w:p w:rsidR="006849AB" w:rsidRPr="00294751" w:rsidRDefault="006849AB" w:rsidP="006655D3">
      <w:pPr>
        <w:rPr>
          <w:lang w:val="fr-FR"/>
        </w:rPr>
      </w:pPr>
    </w:p>
  </w:endnote>
  <w:endnote w:type="continuationNotice" w:id="1">
    <w:p w:rsidR="006849AB" w:rsidRPr="00294751" w:rsidRDefault="006849AB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6849AB" w:rsidRPr="00294751" w:rsidRDefault="006849AB" w:rsidP="006655D3">
      <w:pPr>
        <w:rPr>
          <w:lang w:val="fr-FR"/>
        </w:rPr>
      </w:pPr>
    </w:p>
    <w:p w:rsidR="006849AB" w:rsidRPr="00294751" w:rsidRDefault="006849AB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9AB" w:rsidRDefault="006849AB" w:rsidP="006655D3">
      <w:r>
        <w:separator/>
      </w:r>
    </w:p>
  </w:footnote>
  <w:footnote w:type="continuationSeparator" w:id="0">
    <w:p w:rsidR="006849AB" w:rsidRDefault="006849AB" w:rsidP="006655D3">
      <w:r>
        <w:separator/>
      </w:r>
    </w:p>
  </w:footnote>
  <w:footnote w:type="continuationNotice" w:id="1">
    <w:p w:rsidR="006849AB" w:rsidRPr="00AB530F" w:rsidRDefault="006849AB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AB" w:rsidRDefault="006849AB" w:rsidP="00763BE1">
    <w:pPr>
      <w:jc w:val="center"/>
    </w:pPr>
    <w:r>
      <w:t>TC/54/14</w:t>
    </w:r>
  </w:p>
  <w:p w:rsidR="006849AB" w:rsidRPr="00C5280D" w:rsidRDefault="006849AB" w:rsidP="00763BE1">
    <w:pPr>
      <w:jc w:val="center"/>
    </w:pPr>
    <w:r>
      <w:t xml:space="preserve">página </w:t>
    </w:r>
    <w:r w:rsidR="002F64C4">
      <w:fldChar w:fldCharType="begin"/>
    </w:r>
    <w:r w:rsidR="002F64C4">
      <w:instrText xml:space="preserve"> PAGE </w:instrText>
    </w:r>
    <w:r w:rsidR="002F64C4">
      <w:fldChar w:fldCharType="separate"/>
    </w:r>
    <w:r w:rsidR="0098366C">
      <w:rPr>
        <w:noProof/>
      </w:rPr>
      <w:t>5</w:t>
    </w:r>
    <w:r w:rsidR="002F64C4">
      <w:rPr>
        <w:noProof/>
      </w:rPr>
      <w:fldChar w:fldCharType="end"/>
    </w:r>
  </w:p>
  <w:p w:rsidR="006849AB" w:rsidRPr="00C5280D" w:rsidRDefault="006849A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AB" w:rsidRPr="000A23DC" w:rsidRDefault="006849AB" w:rsidP="000A23DC">
    <w:pPr>
      <w:pStyle w:val="Header"/>
      <w:rPr>
        <w:rStyle w:val="PageNumber"/>
      </w:rPr>
    </w:pPr>
    <w:r>
      <w:rPr>
        <w:rStyle w:val="PageNumber"/>
      </w:rPr>
      <w:t>TC/54</w:t>
    </w:r>
    <w:r w:rsidRPr="000A23DC">
      <w:rPr>
        <w:rStyle w:val="PageNumber"/>
      </w:rPr>
      <w:t>/</w:t>
    </w:r>
  </w:p>
  <w:p w:rsidR="006849AB" w:rsidRPr="00202E38" w:rsidRDefault="006849AB" w:rsidP="008B3D8D">
    <w:pPr>
      <w:pStyle w:val="Header"/>
      <w:rPr>
        <w:lang w:val="de-DE"/>
      </w:rPr>
    </w:pPr>
    <w:r w:rsidRPr="008B3D8D">
      <w:t>página</w:t>
    </w:r>
    <w:r w:rsidRPr="00202E38">
      <w:rPr>
        <w:lang w:val="de-DE"/>
      </w:rPr>
      <w:t xml:space="preserve"> </w:t>
    </w:r>
    <w:r w:rsidRPr="00202E38">
      <w:rPr>
        <w:rStyle w:val="PageNumber"/>
        <w:lang w:val="de-DE"/>
      </w:rPr>
      <w:fldChar w:fldCharType="begin"/>
    </w:r>
    <w:r w:rsidRPr="00202E38">
      <w:rPr>
        <w:rStyle w:val="PageNumber"/>
        <w:lang w:val="de-DE"/>
      </w:rPr>
      <w:instrText xml:space="preserve"> PAGE </w:instrText>
    </w:r>
    <w:r w:rsidRPr="00202E38">
      <w:rPr>
        <w:rStyle w:val="PageNumber"/>
        <w:lang w:val="de-DE"/>
      </w:rPr>
      <w:fldChar w:fldCharType="separate"/>
    </w:r>
    <w:r w:rsidR="00A63CB4">
      <w:rPr>
        <w:rStyle w:val="PageNumber"/>
        <w:noProof/>
        <w:lang w:val="de-DE"/>
      </w:rPr>
      <w:t>7</w:t>
    </w:r>
    <w:r w:rsidRPr="00202E38">
      <w:rPr>
        <w:rStyle w:val="PageNumber"/>
        <w:lang w:val="de-DE"/>
      </w:rPr>
      <w:fldChar w:fldCharType="end"/>
    </w:r>
  </w:p>
  <w:p w:rsidR="006849AB" w:rsidRPr="00202E38" w:rsidRDefault="006849AB" w:rsidP="006655D3">
    <w:pPr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9AB" w:rsidRDefault="006849AB" w:rsidP="00BD5F6E">
    <w:pPr>
      <w:jc w:val="center"/>
    </w:pPr>
    <w:r>
      <w:t>TC/54/14</w:t>
    </w:r>
  </w:p>
  <w:p w:rsidR="006849AB" w:rsidRDefault="006849AB" w:rsidP="00BD5F6E">
    <w:pPr>
      <w:pStyle w:val="Header"/>
    </w:pPr>
  </w:p>
  <w:p w:rsidR="006849AB" w:rsidRDefault="006849AB" w:rsidP="00BD5F6E">
    <w:pPr>
      <w:pStyle w:val="Header"/>
    </w:pPr>
    <w:r>
      <w:t>ANEXO</w:t>
    </w:r>
  </w:p>
  <w:p w:rsidR="006849AB" w:rsidRDefault="006849AB" w:rsidP="00BD5F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E47C9"/>
    <w:multiLevelType w:val="hybridMultilevel"/>
    <w:tmpl w:val="233402B6"/>
    <w:lvl w:ilvl="0" w:tplc="371EFC48">
      <w:start w:val="3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5F35BB"/>
    <w:multiLevelType w:val="hybridMultilevel"/>
    <w:tmpl w:val="DDE40516"/>
    <w:lvl w:ilvl="0" w:tplc="55A296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tBookmark" w:val="00015"/>
  </w:docVars>
  <w:rsids>
    <w:rsidRoot w:val="00DD4A0D"/>
    <w:rsid w:val="00010CF3"/>
    <w:rsid w:val="00011A9B"/>
    <w:rsid w:val="00011E27"/>
    <w:rsid w:val="000148BC"/>
    <w:rsid w:val="00020362"/>
    <w:rsid w:val="00024AB8"/>
    <w:rsid w:val="00027A64"/>
    <w:rsid w:val="00030854"/>
    <w:rsid w:val="00036028"/>
    <w:rsid w:val="00044642"/>
    <w:rsid w:val="000446B9"/>
    <w:rsid w:val="00047E21"/>
    <w:rsid w:val="00050E16"/>
    <w:rsid w:val="00057280"/>
    <w:rsid w:val="000638A9"/>
    <w:rsid w:val="00085077"/>
    <w:rsid w:val="00085505"/>
    <w:rsid w:val="000A23DC"/>
    <w:rsid w:val="000A7BB7"/>
    <w:rsid w:val="000C254E"/>
    <w:rsid w:val="000C4E25"/>
    <w:rsid w:val="000C7021"/>
    <w:rsid w:val="000D598B"/>
    <w:rsid w:val="000D6BBC"/>
    <w:rsid w:val="000D7780"/>
    <w:rsid w:val="000E4062"/>
    <w:rsid w:val="000E5D86"/>
    <w:rsid w:val="000E636A"/>
    <w:rsid w:val="000E71C9"/>
    <w:rsid w:val="000F2F11"/>
    <w:rsid w:val="00101394"/>
    <w:rsid w:val="00105929"/>
    <w:rsid w:val="00110C36"/>
    <w:rsid w:val="001131D5"/>
    <w:rsid w:val="001259DD"/>
    <w:rsid w:val="00130B14"/>
    <w:rsid w:val="00135FD8"/>
    <w:rsid w:val="00141DB8"/>
    <w:rsid w:val="00172084"/>
    <w:rsid w:val="0017474A"/>
    <w:rsid w:val="001758C6"/>
    <w:rsid w:val="00182B99"/>
    <w:rsid w:val="001D69FF"/>
    <w:rsid w:val="001E07F9"/>
    <w:rsid w:val="001E42C8"/>
    <w:rsid w:val="001F64BF"/>
    <w:rsid w:val="001F6BD8"/>
    <w:rsid w:val="00202E38"/>
    <w:rsid w:val="002070B6"/>
    <w:rsid w:val="0021332C"/>
    <w:rsid w:val="00213982"/>
    <w:rsid w:val="0022102B"/>
    <w:rsid w:val="00225F80"/>
    <w:rsid w:val="00240105"/>
    <w:rsid w:val="0024342B"/>
    <w:rsid w:val="0024416D"/>
    <w:rsid w:val="002464A3"/>
    <w:rsid w:val="00247227"/>
    <w:rsid w:val="00271911"/>
    <w:rsid w:val="00272720"/>
    <w:rsid w:val="002800A0"/>
    <w:rsid w:val="002801B3"/>
    <w:rsid w:val="00281060"/>
    <w:rsid w:val="002940E8"/>
    <w:rsid w:val="00294751"/>
    <w:rsid w:val="002A6E50"/>
    <w:rsid w:val="002B0374"/>
    <w:rsid w:val="002B4298"/>
    <w:rsid w:val="002C0F23"/>
    <w:rsid w:val="002C256A"/>
    <w:rsid w:val="002E5944"/>
    <w:rsid w:val="002F0761"/>
    <w:rsid w:val="002F64C4"/>
    <w:rsid w:val="00305A7F"/>
    <w:rsid w:val="003152FE"/>
    <w:rsid w:val="00327436"/>
    <w:rsid w:val="00330434"/>
    <w:rsid w:val="00344BD6"/>
    <w:rsid w:val="00347DB3"/>
    <w:rsid w:val="0035528D"/>
    <w:rsid w:val="00356EF0"/>
    <w:rsid w:val="00360229"/>
    <w:rsid w:val="00361821"/>
    <w:rsid w:val="00361E9E"/>
    <w:rsid w:val="003A1163"/>
    <w:rsid w:val="003B031A"/>
    <w:rsid w:val="003C2F9D"/>
    <w:rsid w:val="003C7FBE"/>
    <w:rsid w:val="003D227C"/>
    <w:rsid w:val="003D2B4D"/>
    <w:rsid w:val="003D2E5F"/>
    <w:rsid w:val="003D37AF"/>
    <w:rsid w:val="0040557F"/>
    <w:rsid w:val="0042083A"/>
    <w:rsid w:val="00422750"/>
    <w:rsid w:val="00436861"/>
    <w:rsid w:val="00440640"/>
    <w:rsid w:val="00444A88"/>
    <w:rsid w:val="00466186"/>
    <w:rsid w:val="00474DA4"/>
    <w:rsid w:val="00476B4D"/>
    <w:rsid w:val="00477924"/>
    <w:rsid w:val="004805FA"/>
    <w:rsid w:val="00480A4A"/>
    <w:rsid w:val="004935D2"/>
    <w:rsid w:val="004B1215"/>
    <w:rsid w:val="004B6498"/>
    <w:rsid w:val="004C1F7A"/>
    <w:rsid w:val="004D03B8"/>
    <w:rsid w:val="004D047D"/>
    <w:rsid w:val="004D0E7B"/>
    <w:rsid w:val="004E62D6"/>
    <w:rsid w:val="004F1E9E"/>
    <w:rsid w:val="004F305A"/>
    <w:rsid w:val="00507273"/>
    <w:rsid w:val="0051131F"/>
    <w:rsid w:val="00512164"/>
    <w:rsid w:val="00520297"/>
    <w:rsid w:val="005338F9"/>
    <w:rsid w:val="0054281C"/>
    <w:rsid w:val="00544581"/>
    <w:rsid w:val="00545E42"/>
    <w:rsid w:val="0055268D"/>
    <w:rsid w:val="00552A53"/>
    <w:rsid w:val="00561323"/>
    <w:rsid w:val="0057441A"/>
    <w:rsid w:val="00576BE4"/>
    <w:rsid w:val="0057720A"/>
    <w:rsid w:val="005807FA"/>
    <w:rsid w:val="00582C7B"/>
    <w:rsid w:val="005A1EC1"/>
    <w:rsid w:val="005A400A"/>
    <w:rsid w:val="005E08FB"/>
    <w:rsid w:val="005E49B4"/>
    <w:rsid w:val="005F7B92"/>
    <w:rsid w:val="00612379"/>
    <w:rsid w:val="006153B6"/>
    <w:rsid w:val="0061555F"/>
    <w:rsid w:val="006351B0"/>
    <w:rsid w:val="00636CA6"/>
    <w:rsid w:val="00637EDD"/>
    <w:rsid w:val="00641200"/>
    <w:rsid w:val="00645CA8"/>
    <w:rsid w:val="006655D3"/>
    <w:rsid w:val="00667404"/>
    <w:rsid w:val="006849AB"/>
    <w:rsid w:val="00687EB4"/>
    <w:rsid w:val="0069434F"/>
    <w:rsid w:val="00695C56"/>
    <w:rsid w:val="006A5CDE"/>
    <w:rsid w:val="006A644A"/>
    <w:rsid w:val="006B17D2"/>
    <w:rsid w:val="006C224E"/>
    <w:rsid w:val="006C7C58"/>
    <w:rsid w:val="006D1DE7"/>
    <w:rsid w:val="006D780A"/>
    <w:rsid w:val="006F5DD6"/>
    <w:rsid w:val="007000BE"/>
    <w:rsid w:val="0071271E"/>
    <w:rsid w:val="0072456A"/>
    <w:rsid w:val="0072610D"/>
    <w:rsid w:val="00732DEC"/>
    <w:rsid w:val="0073352C"/>
    <w:rsid w:val="0073554D"/>
    <w:rsid w:val="00735BD5"/>
    <w:rsid w:val="007475EE"/>
    <w:rsid w:val="00751613"/>
    <w:rsid w:val="007556F6"/>
    <w:rsid w:val="00760EEF"/>
    <w:rsid w:val="00763BE1"/>
    <w:rsid w:val="00777EE5"/>
    <w:rsid w:val="00781C6A"/>
    <w:rsid w:val="00783722"/>
    <w:rsid w:val="00784836"/>
    <w:rsid w:val="0079023E"/>
    <w:rsid w:val="00797A98"/>
    <w:rsid w:val="007A2854"/>
    <w:rsid w:val="007C17FD"/>
    <w:rsid w:val="007C1D92"/>
    <w:rsid w:val="007C4CB9"/>
    <w:rsid w:val="007D0B9D"/>
    <w:rsid w:val="007D19B0"/>
    <w:rsid w:val="007D2217"/>
    <w:rsid w:val="007F0547"/>
    <w:rsid w:val="007F498F"/>
    <w:rsid w:val="007F4D19"/>
    <w:rsid w:val="0080679D"/>
    <w:rsid w:val="008108B0"/>
    <w:rsid w:val="00811B20"/>
    <w:rsid w:val="008211B5"/>
    <w:rsid w:val="0082296E"/>
    <w:rsid w:val="00824099"/>
    <w:rsid w:val="00836ABB"/>
    <w:rsid w:val="00846D7C"/>
    <w:rsid w:val="00854F9B"/>
    <w:rsid w:val="008643F7"/>
    <w:rsid w:val="00864C55"/>
    <w:rsid w:val="00867AC1"/>
    <w:rsid w:val="0088671B"/>
    <w:rsid w:val="00890DF8"/>
    <w:rsid w:val="008A0547"/>
    <w:rsid w:val="008A743F"/>
    <w:rsid w:val="008B0F85"/>
    <w:rsid w:val="008B3D8D"/>
    <w:rsid w:val="008C0970"/>
    <w:rsid w:val="008D0BC5"/>
    <w:rsid w:val="008D2CF7"/>
    <w:rsid w:val="008F65B4"/>
    <w:rsid w:val="00900C26"/>
    <w:rsid w:val="0090197F"/>
    <w:rsid w:val="00906DDC"/>
    <w:rsid w:val="00934E09"/>
    <w:rsid w:val="00936253"/>
    <w:rsid w:val="00937D59"/>
    <w:rsid w:val="00940D46"/>
    <w:rsid w:val="00941E52"/>
    <w:rsid w:val="00944B3C"/>
    <w:rsid w:val="009451E0"/>
    <w:rsid w:val="00951A92"/>
    <w:rsid w:val="00952DD4"/>
    <w:rsid w:val="0095794C"/>
    <w:rsid w:val="00960408"/>
    <w:rsid w:val="0096175D"/>
    <w:rsid w:val="00965AE7"/>
    <w:rsid w:val="00970FED"/>
    <w:rsid w:val="0098366C"/>
    <w:rsid w:val="00992D82"/>
    <w:rsid w:val="00997029"/>
    <w:rsid w:val="009A0DF0"/>
    <w:rsid w:val="009A58D5"/>
    <w:rsid w:val="009A7339"/>
    <w:rsid w:val="009B440E"/>
    <w:rsid w:val="009B7F1D"/>
    <w:rsid w:val="009C40C7"/>
    <w:rsid w:val="009D690D"/>
    <w:rsid w:val="009E2AB3"/>
    <w:rsid w:val="009E65B6"/>
    <w:rsid w:val="009F2734"/>
    <w:rsid w:val="009F3AE4"/>
    <w:rsid w:val="00A24C10"/>
    <w:rsid w:val="00A35CF4"/>
    <w:rsid w:val="00A42AC3"/>
    <w:rsid w:val="00A430CF"/>
    <w:rsid w:val="00A46C43"/>
    <w:rsid w:val="00A54309"/>
    <w:rsid w:val="00A630E8"/>
    <w:rsid w:val="00A63CB4"/>
    <w:rsid w:val="00A706D3"/>
    <w:rsid w:val="00A80AE2"/>
    <w:rsid w:val="00A90B68"/>
    <w:rsid w:val="00AB2B93"/>
    <w:rsid w:val="00AB530F"/>
    <w:rsid w:val="00AB7E5B"/>
    <w:rsid w:val="00AC2883"/>
    <w:rsid w:val="00AC584D"/>
    <w:rsid w:val="00AE0EF1"/>
    <w:rsid w:val="00AE2937"/>
    <w:rsid w:val="00AE5C99"/>
    <w:rsid w:val="00B03C1D"/>
    <w:rsid w:val="00B07301"/>
    <w:rsid w:val="00B11F3E"/>
    <w:rsid w:val="00B224DE"/>
    <w:rsid w:val="00B23CF0"/>
    <w:rsid w:val="00B275A1"/>
    <w:rsid w:val="00B324D4"/>
    <w:rsid w:val="00B34F79"/>
    <w:rsid w:val="00B46575"/>
    <w:rsid w:val="00B61777"/>
    <w:rsid w:val="00B73A02"/>
    <w:rsid w:val="00B84BBD"/>
    <w:rsid w:val="00BA43FB"/>
    <w:rsid w:val="00BA7873"/>
    <w:rsid w:val="00BC0BD4"/>
    <w:rsid w:val="00BC127D"/>
    <w:rsid w:val="00BC1FE6"/>
    <w:rsid w:val="00BD5F6E"/>
    <w:rsid w:val="00C061B6"/>
    <w:rsid w:val="00C06D33"/>
    <w:rsid w:val="00C12490"/>
    <w:rsid w:val="00C2446C"/>
    <w:rsid w:val="00C36AE5"/>
    <w:rsid w:val="00C41F17"/>
    <w:rsid w:val="00C439B9"/>
    <w:rsid w:val="00C527FA"/>
    <w:rsid w:val="00C5280D"/>
    <w:rsid w:val="00C5335A"/>
    <w:rsid w:val="00C53EB3"/>
    <w:rsid w:val="00C5791C"/>
    <w:rsid w:val="00C65A4E"/>
    <w:rsid w:val="00C66290"/>
    <w:rsid w:val="00C72B7A"/>
    <w:rsid w:val="00C74F0B"/>
    <w:rsid w:val="00C75C72"/>
    <w:rsid w:val="00C84838"/>
    <w:rsid w:val="00C95635"/>
    <w:rsid w:val="00C973F2"/>
    <w:rsid w:val="00CA304C"/>
    <w:rsid w:val="00CA5A54"/>
    <w:rsid w:val="00CA774A"/>
    <w:rsid w:val="00CC11B0"/>
    <w:rsid w:val="00CC2841"/>
    <w:rsid w:val="00CE49AB"/>
    <w:rsid w:val="00CF1330"/>
    <w:rsid w:val="00CF4D9B"/>
    <w:rsid w:val="00CF7E36"/>
    <w:rsid w:val="00D00B02"/>
    <w:rsid w:val="00D033EF"/>
    <w:rsid w:val="00D10451"/>
    <w:rsid w:val="00D168CA"/>
    <w:rsid w:val="00D3708D"/>
    <w:rsid w:val="00D40426"/>
    <w:rsid w:val="00D51241"/>
    <w:rsid w:val="00D57C96"/>
    <w:rsid w:val="00D57D18"/>
    <w:rsid w:val="00D7506C"/>
    <w:rsid w:val="00D77A4E"/>
    <w:rsid w:val="00D86065"/>
    <w:rsid w:val="00D91203"/>
    <w:rsid w:val="00D95174"/>
    <w:rsid w:val="00DA4973"/>
    <w:rsid w:val="00DA6DD9"/>
    <w:rsid w:val="00DA6F36"/>
    <w:rsid w:val="00DB1FCC"/>
    <w:rsid w:val="00DB596E"/>
    <w:rsid w:val="00DB7773"/>
    <w:rsid w:val="00DC00EA"/>
    <w:rsid w:val="00DC3802"/>
    <w:rsid w:val="00DD4A0D"/>
    <w:rsid w:val="00DD7DAF"/>
    <w:rsid w:val="00E0731E"/>
    <w:rsid w:val="00E07D87"/>
    <w:rsid w:val="00E30474"/>
    <w:rsid w:val="00E30E49"/>
    <w:rsid w:val="00E32F7E"/>
    <w:rsid w:val="00E41525"/>
    <w:rsid w:val="00E52448"/>
    <w:rsid w:val="00E5267B"/>
    <w:rsid w:val="00E63C0E"/>
    <w:rsid w:val="00E72D49"/>
    <w:rsid w:val="00E7593C"/>
    <w:rsid w:val="00E7678A"/>
    <w:rsid w:val="00E935F1"/>
    <w:rsid w:val="00E94A81"/>
    <w:rsid w:val="00EA1FFB"/>
    <w:rsid w:val="00EA65AC"/>
    <w:rsid w:val="00EB048E"/>
    <w:rsid w:val="00EB4E9C"/>
    <w:rsid w:val="00EC2265"/>
    <w:rsid w:val="00ED4559"/>
    <w:rsid w:val="00EE34DF"/>
    <w:rsid w:val="00EF2F89"/>
    <w:rsid w:val="00EF49B6"/>
    <w:rsid w:val="00F03E98"/>
    <w:rsid w:val="00F1237A"/>
    <w:rsid w:val="00F22CBD"/>
    <w:rsid w:val="00F272F1"/>
    <w:rsid w:val="00F31A18"/>
    <w:rsid w:val="00F341F6"/>
    <w:rsid w:val="00F45372"/>
    <w:rsid w:val="00F560F7"/>
    <w:rsid w:val="00F60E7F"/>
    <w:rsid w:val="00F62E89"/>
    <w:rsid w:val="00F6334D"/>
    <w:rsid w:val="00F86C6E"/>
    <w:rsid w:val="00FA49AB"/>
    <w:rsid w:val="00FC48A6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08E4DFD5-C2E7-480C-890B-DFF8C216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54F9B"/>
    <w:pPr>
      <w:keepNext/>
      <w:jc w:val="both"/>
      <w:outlineLvl w:val="1"/>
    </w:pPr>
    <w:rPr>
      <w:rFonts w:ascii="Arial" w:hAnsi="Arial"/>
      <w:u w:val="single"/>
      <w:lang w:val="es-ES_tradnl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autoRedefine/>
    <w:uiPriority w:val="39"/>
    <w:rsid w:val="00854F9B"/>
    <w:pPr>
      <w:tabs>
        <w:tab w:val="right" w:leader="dot" w:pos="9639"/>
      </w:tabs>
      <w:ind w:left="568" w:right="851" w:hanging="284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rsid w:val="00854F9B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D4A0D"/>
    <w:pPr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rsid w:val="00BD5F6E"/>
    <w:rPr>
      <w:rFonts w:ascii="Arial" w:hAnsi="Arial"/>
      <w:lang w:val="es-ES_tradnl"/>
    </w:rPr>
  </w:style>
  <w:style w:type="character" w:styleId="FollowedHyperlink">
    <w:name w:val="FollowedHyperlink"/>
    <w:basedOn w:val="DefaultParagraphFont"/>
    <w:rsid w:val="001013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pov.int/meetings/es/doc_details.jsp?meeting_id=47206&amp;doc_id=40539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2821</Words>
  <Characters>14868</Characters>
  <Application>Microsoft Office Word</Application>
  <DocSecurity>0</DocSecurity>
  <Lines>371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17529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</dc:title>
  <dc:creator>BOU LLORET Amparo</dc:creator>
  <cp:lastModifiedBy>MAY Jessica</cp:lastModifiedBy>
  <cp:revision>6</cp:revision>
  <cp:lastPrinted>2016-11-22T15:41:00Z</cp:lastPrinted>
  <dcterms:created xsi:type="dcterms:W3CDTF">2018-10-09T12:13:00Z</dcterms:created>
  <dcterms:modified xsi:type="dcterms:W3CDTF">2018-10-11T07:42:00Z</dcterms:modified>
</cp:coreProperties>
</file>