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F2ACE" w:rsidTr="00EB4E9C">
        <w:tc>
          <w:tcPr>
            <w:tcW w:w="6522" w:type="dxa"/>
          </w:tcPr>
          <w:p w:rsidR="00DC3802" w:rsidRPr="007F2ACE" w:rsidRDefault="00DC3802" w:rsidP="00AC2883">
            <w:pPr>
              <w:rPr>
                <w:dstrike/>
              </w:rPr>
            </w:pPr>
            <w:r w:rsidRPr="006812EB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6812EB" w:rsidRDefault="002E5944" w:rsidP="00AC2883">
            <w:pPr>
              <w:pStyle w:val="Lettrine"/>
            </w:pPr>
            <w:r w:rsidRPr="006812EB">
              <w:t>S</w:t>
            </w:r>
          </w:p>
        </w:tc>
      </w:tr>
      <w:tr w:rsidR="00DC3802" w:rsidRPr="007F2ACE" w:rsidTr="00645CA8">
        <w:trPr>
          <w:trHeight w:val="219"/>
        </w:trPr>
        <w:tc>
          <w:tcPr>
            <w:tcW w:w="6522" w:type="dxa"/>
          </w:tcPr>
          <w:p w:rsidR="00DC3802" w:rsidRPr="007F2ACE" w:rsidRDefault="002E5944" w:rsidP="00BC0BD4">
            <w:pPr>
              <w:pStyle w:val="upove"/>
              <w:rPr>
                <w:dstrike/>
              </w:rPr>
            </w:pPr>
            <w:r w:rsidRPr="006812EB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6812EB" w:rsidRDefault="00DC3802" w:rsidP="00DA4973"/>
        </w:tc>
      </w:tr>
    </w:tbl>
    <w:p w:rsidR="00DC3802" w:rsidRPr="006812EB" w:rsidRDefault="00DC3802" w:rsidP="00DC3802"/>
    <w:p w:rsidR="00DA4973" w:rsidRPr="006812EB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F2ACE" w:rsidTr="00EB4E9C">
        <w:tc>
          <w:tcPr>
            <w:tcW w:w="6512" w:type="dxa"/>
          </w:tcPr>
          <w:p w:rsidR="00EB4E9C" w:rsidRPr="006812EB" w:rsidRDefault="002E5944" w:rsidP="00AC2883">
            <w:pPr>
              <w:pStyle w:val="Sessiontc"/>
              <w:spacing w:line="240" w:lineRule="auto"/>
            </w:pPr>
            <w:r w:rsidRPr="006812EB">
              <w:t>Comité Técnico</w:t>
            </w:r>
          </w:p>
          <w:p w:rsidR="00EB4E9C" w:rsidRPr="007F2ACE" w:rsidRDefault="002E5944" w:rsidP="005A1EC1">
            <w:pPr>
              <w:pStyle w:val="Sessiontcplacedate"/>
              <w:rPr>
                <w:dstrike/>
                <w:sz w:val="22"/>
              </w:rPr>
            </w:pPr>
            <w:r w:rsidRPr="006812EB">
              <w:t xml:space="preserve">Quincuagésima </w:t>
            </w:r>
            <w:r w:rsidR="005A1EC1" w:rsidRPr="006812EB">
              <w:t>cuarta</w:t>
            </w:r>
            <w:r w:rsidRPr="006812EB">
              <w:t xml:space="preserve"> sesión</w:t>
            </w:r>
            <w:r w:rsidR="00EB4E9C" w:rsidRPr="006812EB">
              <w:br/>
            </w:r>
            <w:r w:rsidRPr="006812EB">
              <w:t>Ginebra</w:t>
            </w:r>
            <w:r w:rsidR="00FC7ADA" w:rsidRPr="006812EB">
              <w:t>, 2</w:t>
            </w:r>
            <w:r w:rsidR="005A1EC1" w:rsidRPr="006812EB">
              <w:t>9 y</w:t>
            </w:r>
            <w:r w:rsidR="00FC7ADA" w:rsidRPr="006812EB">
              <w:t> 3</w:t>
            </w:r>
            <w:r w:rsidR="005A1EC1" w:rsidRPr="006812EB">
              <w:t xml:space="preserve">0 de octubre </w:t>
            </w:r>
            <w:r w:rsidRPr="006812EB">
              <w:t>de</w:t>
            </w:r>
            <w:r w:rsidR="00FC7ADA" w:rsidRPr="006812EB">
              <w:t> 2</w:t>
            </w:r>
            <w:r w:rsidR="005A1EC1" w:rsidRPr="006812EB">
              <w:t>018</w:t>
            </w:r>
          </w:p>
        </w:tc>
        <w:tc>
          <w:tcPr>
            <w:tcW w:w="3127" w:type="dxa"/>
          </w:tcPr>
          <w:p w:rsidR="00EB4E9C" w:rsidRPr="006812EB" w:rsidRDefault="005A1EC1" w:rsidP="003C7FBE">
            <w:pPr>
              <w:pStyle w:val="Doccode"/>
              <w:rPr>
                <w:lang w:val="es-ES"/>
              </w:rPr>
            </w:pPr>
            <w:r w:rsidRPr="006812EB">
              <w:rPr>
                <w:lang w:val="es-ES"/>
              </w:rPr>
              <w:t>TC/54</w:t>
            </w:r>
            <w:r w:rsidR="00EB4E9C" w:rsidRPr="006812EB">
              <w:rPr>
                <w:lang w:val="es-ES"/>
              </w:rPr>
              <w:t>/</w:t>
            </w:r>
            <w:r w:rsidR="00A93D11" w:rsidRPr="006812EB">
              <w:rPr>
                <w:lang w:val="es-ES"/>
              </w:rPr>
              <w:t>12</w:t>
            </w:r>
          </w:p>
          <w:p w:rsidR="00EB4E9C" w:rsidRPr="006812EB" w:rsidRDefault="00EB4E9C" w:rsidP="003C7FBE">
            <w:pPr>
              <w:pStyle w:val="Docoriginal"/>
            </w:pPr>
            <w:r w:rsidRPr="006812EB">
              <w:t>Original:</w:t>
            </w:r>
            <w:r w:rsidR="002753E9" w:rsidRPr="006812EB">
              <w:rPr>
                <w:b w:val="0"/>
                <w:spacing w:val="0"/>
              </w:rPr>
              <w:t xml:space="preserve"> </w:t>
            </w:r>
            <w:proofErr w:type="gramStart"/>
            <w:r w:rsidR="002E5944" w:rsidRPr="006812EB">
              <w:rPr>
                <w:b w:val="0"/>
                <w:spacing w:val="0"/>
              </w:rPr>
              <w:t>Inglés</w:t>
            </w:r>
            <w:proofErr w:type="gramEnd"/>
          </w:p>
          <w:p w:rsidR="00EB4E9C" w:rsidRPr="006812EB" w:rsidRDefault="002E5944" w:rsidP="007E03EB">
            <w:pPr>
              <w:pStyle w:val="Docoriginal"/>
            </w:pPr>
            <w:r w:rsidRPr="006812EB">
              <w:t>Fecha</w:t>
            </w:r>
            <w:r w:rsidR="00EB4E9C" w:rsidRPr="006812EB">
              <w:t>:</w:t>
            </w:r>
            <w:r w:rsidR="00FC7ADA" w:rsidRPr="006812EB">
              <w:rPr>
                <w:b w:val="0"/>
                <w:spacing w:val="0"/>
              </w:rPr>
              <w:t xml:space="preserve"> </w:t>
            </w:r>
            <w:r w:rsidR="007E03EB" w:rsidRPr="007E03EB">
              <w:rPr>
                <w:b w:val="0"/>
                <w:spacing w:val="0"/>
              </w:rPr>
              <w:t>23</w:t>
            </w:r>
            <w:r w:rsidR="00A93D11" w:rsidRPr="007E03EB">
              <w:rPr>
                <w:b w:val="0"/>
                <w:spacing w:val="0"/>
              </w:rPr>
              <w:t xml:space="preserve"> de agosto</w:t>
            </w:r>
            <w:r w:rsidR="00EB4E9C" w:rsidRPr="007E03EB">
              <w:rPr>
                <w:b w:val="0"/>
                <w:spacing w:val="0"/>
              </w:rPr>
              <w:t xml:space="preserve"> </w:t>
            </w:r>
            <w:r w:rsidRPr="007E03EB">
              <w:rPr>
                <w:b w:val="0"/>
                <w:spacing w:val="0"/>
              </w:rPr>
              <w:t>de</w:t>
            </w:r>
            <w:r w:rsidR="00FC7ADA" w:rsidRPr="007E03EB">
              <w:rPr>
                <w:b w:val="0"/>
                <w:spacing w:val="0"/>
              </w:rPr>
              <w:t> 2</w:t>
            </w:r>
            <w:r w:rsidR="005A1EC1" w:rsidRPr="007E03EB">
              <w:rPr>
                <w:b w:val="0"/>
                <w:spacing w:val="0"/>
              </w:rPr>
              <w:t>018</w:t>
            </w:r>
          </w:p>
        </w:tc>
      </w:tr>
    </w:tbl>
    <w:p w:rsidR="00A93D11" w:rsidRPr="006A644A" w:rsidRDefault="00807EEC" w:rsidP="00171307">
      <w:pPr>
        <w:pStyle w:val="Titleofdoc0"/>
      </w:pPr>
      <w:bookmarkStart w:id="0" w:name="TitleOfDoc"/>
      <w:bookmarkStart w:id="1" w:name="Prepared"/>
      <w:bookmarkEnd w:id="0"/>
      <w:bookmarkEnd w:id="1"/>
      <w:r w:rsidRPr="00171307">
        <w:t>DENOMINACIONES DE VARIEDADES</w:t>
      </w:r>
    </w:p>
    <w:p w:rsidR="006A644A" w:rsidRPr="006812EB" w:rsidRDefault="000638A9" w:rsidP="006A644A">
      <w:pPr>
        <w:pStyle w:val="preparedby1"/>
        <w:jc w:val="left"/>
      </w:pPr>
      <w:r w:rsidRPr="006812EB">
        <w:t>Documento preparado por la Oficina de la Unión</w:t>
      </w:r>
    </w:p>
    <w:p w:rsidR="00050E16" w:rsidRPr="006812EB" w:rsidRDefault="000638A9" w:rsidP="006A644A">
      <w:pPr>
        <w:pStyle w:val="Disclaimer"/>
      </w:pPr>
      <w:r w:rsidRPr="006812EB">
        <w:t>Descargo de responsabilidad: el presente documento no constituye un documento de política u orientación de la UPOV</w:t>
      </w:r>
    </w:p>
    <w:p w:rsidR="00A93D11" w:rsidRPr="00BB6FEA" w:rsidRDefault="00807EEC" w:rsidP="00083B28">
      <w:pPr>
        <w:pStyle w:val="Heading1"/>
        <w:rPr>
          <w:lang w:val="es-ES"/>
        </w:rPr>
      </w:pPr>
      <w:bookmarkStart w:id="2" w:name="_Toc524686620"/>
      <w:r w:rsidRPr="00A93F6C">
        <w:rPr>
          <w:lang w:val="fr-CH"/>
        </w:rPr>
        <w:t>RESUMEN</w:t>
      </w:r>
      <w:bookmarkEnd w:id="2"/>
    </w:p>
    <w:p w:rsidR="00A93D11" w:rsidRPr="005C1895" w:rsidRDefault="00A93D11" w:rsidP="00A93D11">
      <w:pPr>
        <w:rPr>
          <w:rFonts w:eastAsia="MS Mincho"/>
          <w:sz w:val="18"/>
          <w:szCs w:val="18"/>
          <w:lang w:val="es-ES" w:eastAsia="ja-JP"/>
        </w:rPr>
      </w:pPr>
    </w:p>
    <w:p w:rsidR="00A93D11" w:rsidRPr="00BB6FEA" w:rsidRDefault="00EA5061" w:rsidP="00A93D11">
      <w:pPr>
        <w:rPr>
          <w:rFonts w:eastAsiaTheme="minorEastAsia" w:cs="Arial"/>
          <w:snapToGrid w:val="0"/>
          <w:lang w:val="es-ES"/>
        </w:rPr>
      </w:pPr>
      <w:r w:rsidRPr="007678AB">
        <w:rPr>
          <w:rFonts w:eastAsiaTheme="minorEastAsia" w:cs="Arial"/>
          <w:snapToGrid w:val="0"/>
        </w:rPr>
        <w:fldChar w:fldCharType="begin"/>
      </w:r>
      <w:r w:rsidR="00A93D11" w:rsidRPr="00BB6FEA">
        <w:rPr>
          <w:rFonts w:eastAsiaTheme="minorEastAsia" w:cs="Arial"/>
          <w:snapToGrid w:val="0"/>
          <w:lang w:val="es-ES"/>
        </w:rPr>
        <w:instrText xml:space="preserve"> AUTONUM  </w:instrText>
      </w:r>
      <w:r w:rsidRPr="007678AB">
        <w:rPr>
          <w:rFonts w:eastAsiaTheme="minorEastAsia" w:cs="Arial"/>
          <w:snapToGrid w:val="0"/>
        </w:rPr>
        <w:fldChar w:fldCharType="end"/>
      </w:r>
      <w:r w:rsidR="00A93D11" w:rsidRPr="00BB6FEA">
        <w:rPr>
          <w:rFonts w:eastAsiaTheme="minorEastAsia" w:cs="Arial"/>
          <w:snapToGrid w:val="0"/>
          <w:lang w:val="es-ES"/>
        </w:rPr>
        <w:tab/>
      </w:r>
      <w:r w:rsidR="00807EEC" w:rsidRPr="00171307">
        <w:rPr>
          <w:rFonts w:eastAsiaTheme="minorEastAsia" w:cs="Arial"/>
          <w:snapToGrid w:val="0"/>
        </w:rPr>
        <w:t>El presente documento tiene por finalidad informar acerca de las novedades relativas a la posible elaboración de un instrumento de la</w:t>
      </w:r>
      <w:r w:rsidR="00B92F7C" w:rsidRPr="00171307">
        <w:rPr>
          <w:rFonts w:eastAsiaTheme="minorEastAsia"/>
        </w:rPr>
        <w:t> </w:t>
      </w:r>
      <w:r w:rsidR="00807EEC" w:rsidRPr="00171307">
        <w:rPr>
          <w:rFonts w:eastAsiaTheme="minorEastAsia" w:cs="Arial"/>
          <w:snapToGrid w:val="0"/>
        </w:rPr>
        <w:t>UPOV de búsqueda de similitud a los fines de la denominación de variedades y a la eventual revisión del documento UPOV/INF/12 “Notas explicativas sobre las denominaciones de variedades con arreglo al Convenio de la</w:t>
      </w:r>
      <w:r w:rsidR="00B92F7C" w:rsidRPr="00171307">
        <w:rPr>
          <w:rFonts w:eastAsiaTheme="minorEastAsia" w:cs="Arial"/>
          <w:snapToGrid w:val="0"/>
        </w:rPr>
        <w:t> </w:t>
      </w:r>
      <w:r w:rsidR="00807EEC" w:rsidRPr="00171307">
        <w:rPr>
          <w:rFonts w:eastAsiaTheme="minorEastAsia" w:cs="Arial"/>
          <w:snapToGrid w:val="0"/>
        </w:rPr>
        <w:t>UPOV”.</w:t>
      </w:r>
    </w:p>
    <w:p w:rsidR="00A93D11" w:rsidRPr="005C1895" w:rsidRDefault="00A93D11" w:rsidP="00A93D11">
      <w:pPr>
        <w:rPr>
          <w:rFonts w:cs="Arial"/>
          <w:snapToGrid w:val="0"/>
          <w:sz w:val="18"/>
          <w:szCs w:val="18"/>
          <w:lang w:val="es-ES" w:eastAsia="ja-JP"/>
        </w:rPr>
      </w:pPr>
    </w:p>
    <w:p w:rsidR="00A93D11" w:rsidRPr="00BB6FEA" w:rsidRDefault="00EA5061" w:rsidP="00A93D11">
      <w:pPr>
        <w:rPr>
          <w:rFonts w:cs="Arial"/>
          <w:snapToGrid w:val="0"/>
          <w:lang w:val="es-ES" w:eastAsia="ja-JP"/>
        </w:rPr>
      </w:pPr>
      <w:r w:rsidRPr="00292CE5">
        <w:rPr>
          <w:rFonts w:cs="Arial"/>
          <w:snapToGrid w:val="0"/>
        </w:rPr>
        <w:fldChar w:fldCharType="begin"/>
      </w:r>
      <w:r w:rsidR="00A93D11" w:rsidRPr="00BB6FEA">
        <w:rPr>
          <w:rFonts w:cs="Arial"/>
          <w:snapToGrid w:val="0"/>
          <w:lang w:val="es-ES"/>
        </w:rPr>
        <w:instrText xml:space="preserve"> AUTONUM  </w:instrText>
      </w:r>
      <w:r w:rsidRPr="00292CE5">
        <w:rPr>
          <w:rFonts w:cs="Arial"/>
          <w:snapToGrid w:val="0"/>
        </w:rPr>
        <w:fldChar w:fldCharType="end"/>
      </w:r>
      <w:r w:rsidR="00A93D11" w:rsidRPr="00BB6FEA">
        <w:rPr>
          <w:rFonts w:cs="Arial"/>
          <w:snapToGrid w:val="0"/>
          <w:lang w:val="es-ES"/>
        </w:rPr>
        <w:tab/>
      </w:r>
      <w:r w:rsidR="00807EEC" w:rsidRPr="00171307">
        <w:rPr>
          <w:rFonts w:cs="Arial"/>
          <w:snapToGrid w:val="0"/>
          <w:lang w:eastAsia="ja-JP"/>
        </w:rPr>
        <w:t>Se invita al TC a tomar nota:</w:t>
      </w:r>
    </w:p>
    <w:p w:rsidR="00A93D11" w:rsidRPr="005C1895" w:rsidRDefault="00A93D11" w:rsidP="00A93D11">
      <w:pPr>
        <w:rPr>
          <w:rFonts w:cs="Arial"/>
          <w:snapToGrid w:val="0"/>
          <w:sz w:val="18"/>
          <w:szCs w:val="18"/>
          <w:lang w:val="es-ES" w:eastAsia="ja-JP"/>
        </w:rPr>
      </w:pPr>
    </w:p>
    <w:p w:rsidR="00A93D11" w:rsidRPr="00BB6FEA" w:rsidRDefault="00807EEC" w:rsidP="00CE1D1B">
      <w:pPr>
        <w:ind w:firstLine="709"/>
        <w:rPr>
          <w:rFonts w:eastAsiaTheme="minorEastAsia" w:cs="Arial"/>
          <w:snapToGrid w:val="0"/>
          <w:lang w:val="es-ES" w:eastAsia="ja-JP"/>
        </w:rPr>
      </w:pPr>
      <w:r w:rsidRPr="00171307">
        <w:rPr>
          <w:rFonts w:eastAsiaTheme="minorEastAsia" w:cs="Arial"/>
          <w:snapToGrid w:val="0"/>
          <w:lang w:eastAsia="ja-JP"/>
        </w:rPr>
        <w:t>a)</w:t>
      </w:r>
      <w:r w:rsidR="00A93D11" w:rsidRPr="00BB6FEA">
        <w:rPr>
          <w:rFonts w:eastAsiaTheme="minorEastAsia" w:cs="Arial"/>
          <w:snapToGrid w:val="0"/>
          <w:lang w:val="es-ES" w:eastAsia="ja-JP"/>
        </w:rPr>
        <w:tab/>
      </w:r>
      <w:r w:rsidRPr="00171307">
        <w:rPr>
          <w:rFonts w:eastAsiaTheme="minorEastAsia" w:cs="Arial"/>
          <w:snapToGrid w:val="0"/>
          <w:lang w:eastAsia="ja-JP"/>
        </w:rPr>
        <w:t xml:space="preserve">de las novedades relativas a la eventual revisión del documento UPOV/INF/12 “Notas explicativas sobre las denominaciones de variedades con </w:t>
      </w:r>
      <w:r w:rsidR="00B92F7C" w:rsidRPr="00171307">
        <w:rPr>
          <w:rFonts w:eastAsiaTheme="minorEastAsia" w:cs="Arial"/>
          <w:snapToGrid w:val="0"/>
          <w:lang w:eastAsia="ja-JP"/>
        </w:rPr>
        <w:t xml:space="preserve">arreglo al Convenio de la UPOV” que se exponen </w:t>
      </w:r>
      <w:r w:rsidRPr="00171307">
        <w:rPr>
          <w:rFonts w:eastAsiaTheme="minorEastAsia" w:cs="Arial"/>
          <w:snapToGrid w:val="0"/>
          <w:lang w:eastAsia="ja-JP"/>
        </w:rPr>
        <w:t>en los párrafos</w:t>
      </w:r>
      <w:r w:rsidR="00FC7ADA" w:rsidRPr="00171307">
        <w:rPr>
          <w:rFonts w:eastAsiaTheme="minorEastAsia" w:cs="Arial"/>
          <w:snapToGrid w:val="0"/>
          <w:lang w:eastAsia="ja-JP"/>
        </w:rPr>
        <w:t> 6</w:t>
      </w:r>
      <w:r w:rsidRPr="00171307">
        <w:rPr>
          <w:rFonts w:eastAsiaTheme="minorEastAsia" w:cs="Arial"/>
          <w:snapToGrid w:val="0"/>
          <w:lang w:eastAsia="ja-JP"/>
        </w:rPr>
        <w:t xml:space="preserve"> a</w:t>
      </w:r>
      <w:r w:rsidR="00FC7ADA" w:rsidRPr="00171307">
        <w:rPr>
          <w:rFonts w:eastAsiaTheme="minorEastAsia" w:cs="Arial"/>
          <w:snapToGrid w:val="0"/>
          <w:lang w:eastAsia="ja-JP"/>
        </w:rPr>
        <w:t> 1</w:t>
      </w:r>
      <w:r w:rsidRPr="00171307">
        <w:rPr>
          <w:rFonts w:eastAsiaTheme="minorEastAsia" w:cs="Arial"/>
          <w:snapToGrid w:val="0"/>
          <w:lang w:eastAsia="ja-JP"/>
        </w:rPr>
        <w:t>0 del presente documento;</w:t>
      </w:r>
    </w:p>
    <w:p w:rsidR="00A93D11" w:rsidRPr="005C1895" w:rsidRDefault="00A93D11" w:rsidP="00A93D11">
      <w:pPr>
        <w:rPr>
          <w:rFonts w:eastAsiaTheme="minorEastAsia" w:cs="Arial"/>
          <w:snapToGrid w:val="0"/>
          <w:sz w:val="18"/>
          <w:szCs w:val="18"/>
          <w:lang w:val="es-ES" w:eastAsia="ja-JP"/>
        </w:rPr>
      </w:pPr>
    </w:p>
    <w:p w:rsidR="00A93D11" w:rsidRPr="00BB6FEA" w:rsidRDefault="00A93D11" w:rsidP="00A93D11">
      <w:pPr>
        <w:rPr>
          <w:rFonts w:eastAsiaTheme="minorEastAsia" w:cs="Arial"/>
          <w:snapToGrid w:val="0"/>
          <w:lang w:val="es-ES" w:eastAsia="ja-JP"/>
        </w:rPr>
      </w:pPr>
      <w:r w:rsidRPr="00BB6FEA">
        <w:rPr>
          <w:rFonts w:eastAsiaTheme="minorEastAsia" w:cs="Arial"/>
          <w:snapToGrid w:val="0"/>
          <w:lang w:val="es-ES" w:eastAsia="ja-JP"/>
        </w:rPr>
        <w:tab/>
      </w:r>
      <w:r w:rsidR="00807EEC" w:rsidRPr="00171307">
        <w:rPr>
          <w:rFonts w:eastAsiaTheme="minorEastAsia" w:cs="Arial"/>
          <w:snapToGrid w:val="0"/>
          <w:lang w:eastAsia="ja-JP"/>
        </w:rPr>
        <w:t>b)</w:t>
      </w:r>
      <w:r w:rsidRPr="00BB6FEA">
        <w:rPr>
          <w:rFonts w:eastAsiaTheme="minorEastAsia" w:cs="Arial"/>
          <w:snapToGrid w:val="0"/>
          <w:lang w:val="es-ES" w:eastAsia="ja-JP"/>
        </w:rPr>
        <w:tab/>
      </w:r>
      <w:r w:rsidR="00807EEC" w:rsidRPr="00171307">
        <w:rPr>
          <w:rFonts w:eastAsiaTheme="minorEastAsia" w:cs="Arial"/>
          <w:snapToGrid w:val="0"/>
          <w:lang w:eastAsia="ja-JP"/>
        </w:rPr>
        <w:t xml:space="preserve">de las novedades relativas al instrumento de la UPOV de búsqueda de similitud a los </w:t>
      </w:r>
      <w:r w:rsidR="006C2721" w:rsidRPr="00171307">
        <w:rPr>
          <w:rFonts w:eastAsiaTheme="minorEastAsia" w:cs="Arial"/>
          <w:snapToGrid w:val="0"/>
          <w:lang w:eastAsia="ja-JP"/>
        </w:rPr>
        <w:t xml:space="preserve">fines de la denominación de variedades que se exponen </w:t>
      </w:r>
      <w:r w:rsidR="00807EEC" w:rsidRPr="00171307">
        <w:rPr>
          <w:rFonts w:eastAsiaTheme="minorEastAsia" w:cs="Arial"/>
          <w:snapToGrid w:val="0"/>
          <w:lang w:eastAsia="ja-JP"/>
        </w:rPr>
        <w:t>en el párrafo</w:t>
      </w:r>
      <w:r w:rsidR="00FC7ADA" w:rsidRPr="00171307">
        <w:rPr>
          <w:rFonts w:eastAsiaTheme="minorEastAsia" w:cs="Arial"/>
          <w:snapToGrid w:val="0"/>
          <w:lang w:eastAsia="ja-JP"/>
        </w:rPr>
        <w:t> 1</w:t>
      </w:r>
      <w:r w:rsidR="00807EEC" w:rsidRPr="00171307">
        <w:rPr>
          <w:rFonts w:eastAsiaTheme="minorEastAsia" w:cs="Arial"/>
          <w:snapToGrid w:val="0"/>
          <w:lang w:eastAsia="ja-JP"/>
        </w:rPr>
        <w:t>2 del presente documento;</w:t>
      </w:r>
    </w:p>
    <w:p w:rsidR="00A93D11" w:rsidRPr="005C1895" w:rsidRDefault="00A93D11" w:rsidP="00A93D11">
      <w:pPr>
        <w:rPr>
          <w:rFonts w:eastAsiaTheme="minorEastAsia" w:cs="Arial"/>
          <w:snapToGrid w:val="0"/>
          <w:sz w:val="18"/>
          <w:szCs w:val="18"/>
          <w:lang w:val="es-ES" w:eastAsia="ja-JP"/>
        </w:rPr>
      </w:pPr>
    </w:p>
    <w:p w:rsidR="00A93D11" w:rsidRPr="00BB6FEA" w:rsidRDefault="00A93D11" w:rsidP="00A93D11">
      <w:pPr>
        <w:rPr>
          <w:rFonts w:eastAsiaTheme="minorEastAsia" w:cs="Arial"/>
          <w:snapToGrid w:val="0"/>
          <w:lang w:val="es-ES" w:eastAsia="ja-JP"/>
        </w:rPr>
      </w:pPr>
      <w:r w:rsidRPr="00BB6FEA">
        <w:rPr>
          <w:rFonts w:eastAsiaTheme="minorEastAsia" w:cs="Arial"/>
          <w:snapToGrid w:val="0"/>
          <w:lang w:val="es-ES" w:eastAsia="ja-JP"/>
        </w:rPr>
        <w:tab/>
      </w:r>
      <w:r w:rsidR="00807EEC" w:rsidRPr="00171307">
        <w:rPr>
          <w:rFonts w:eastAsiaTheme="minorEastAsia" w:cs="Arial"/>
          <w:snapToGrid w:val="0"/>
          <w:lang w:eastAsia="ja-JP"/>
        </w:rPr>
        <w:t>c)</w:t>
      </w:r>
      <w:r w:rsidRPr="00BB6FEA">
        <w:rPr>
          <w:rFonts w:eastAsiaTheme="minorEastAsia" w:cs="Arial"/>
          <w:snapToGrid w:val="0"/>
          <w:lang w:val="es-ES" w:eastAsia="ja-JP"/>
        </w:rPr>
        <w:tab/>
      </w:r>
      <w:r w:rsidR="00807EEC" w:rsidRPr="00171307">
        <w:rPr>
          <w:rFonts w:eastAsiaTheme="minorEastAsia" w:cs="Arial"/>
          <w:snapToGrid w:val="0"/>
          <w:lang w:eastAsia="ja-JP"/>
        </w:rPr>
        <w:t xml:space="preserve">de las novedades relativas a la posible ampliación del contenido </w:t>
      </w:r>
      <w:r w:rsidR="006C2721" w:rsidRPr="00171307">
        <w:rPr>
          <w:rFonts w:eastAsiaTheme="minorEastAsia" w:cs="Arial"/>
          <w:snapToGrid w:val="0"/>
          <w:lang w:eastAsia="ja-JP"/>
        </w:rPr>
        <w:t xml:space="preserve">de la base de datos PLUTO que se exponen </w:t>
      </w:r>
      <w:r w:rsidR="00807EEC" w:rsidRPr="00171307">
        <w:rPr>
          <w:rFonts w:eastAsiaTheme="minorEastAsia" w:cs="Arial"/>
          <w:snapToGrid w:val="0"/>
          <w:lang w:eastAsia="ja-JP"/>
        </w:rPr>
        <w:t>en el párrafo</w:t>
      </w:r>
      <w:r w:rsidR="00FC7ADA" w:rsidRPr="00171307">
        <w:rPr>
          <w:rFonts w:eastAsiaTheme="minorEastAsia" w:cs="Arial"/>
          <w:snapToGrid w:val="0"/>
          <w:lang w:eastAsia="ja-JP"/>
        </w:rPr>
        <w:t> 1</w:t>
      </w:r>
      <w:r w:rsidR="00807EEC" w:rsidRPr="00171307">
        <w:rPr>
          <w:rFonts w:eastAsiaTheme="minorEastAsia" w:cs="Arial"/>
          <w:snapToGrid w:val="0"/>
          <w:lang w:eastAsia="ja-JP"/>
        </w:rPr>
        <w:t>4 del presente documento;</w:t>
      </w:r>
    </w:p>
    <w:p w:rsidR="00A93D11" w:rsidRPr="005C1895" w:rsidRDefault="00A93D11" w:rsidP="00A93D11">
      <w:pPr>
        <w:rPr>
          <w:rFonts w:eastAsiaTheme="minorEastAsia" w:cs="Arial"/>
          <w:snapToGrid w:val="0"/>
          <w:sz w:val="18"/>
          <w:szCs w:val="18"/>
          <w:lang w:val="es-ES" w:eastAsia="ja-JP"/>
        </w:rPr>
      </w:pPr>
    </w:p>
    <w:p w:rsidR="00A93D11" w:rsidRPr="00BB6FEA" w:rsidRDefault="00A93D11" w:rsidP="00A93D11">
      <w:pPr>
        <w:rPr>
          <w:rFonts w:eastAsiaTheme="minorEastAsia" w:cs="Arial"/>
          <w:snapToGrid w:val="0"/>
          <w:lang w:val="es-ES" w:eastAsia="ja-JP"/>
        </w:rPr>
      </w:pPr>
      <w:r w:rsidRPr="00BB6FEA">
        <w:rPr>
          <w:rFonts w:eastAsiaTheme="minorEastAsia" w:cs="Arial"/>
          <w:snapToGrid w:val="0"/>
          <w:lang w:val="es-ES" w:eastAsia="ja-JP"/>
        </w:rPr>
        <w:tab/>
      </w:r>
      <w:r w:rsidR="00807EEC" w:rsidRPr="00171307">
        <w:rPr>
          <w:rFonts w:eastAsiaTheme="minorEastAsia" w:cs="Arial"/>
          <w:snapToGrid w:val="0"/>
          <w:lang w:eastAsia="ja-JP"/>
        </w:rPr>
        <w:t>d)</w:t>
      </w:r>
      <w:r w:rsidRPr="00BB6FEA">
        <w:rPr>
          <w:rFonts w:eastAsiaTheme="minorEastAsia" w:cs="Arial"/>
          <w:snapToGrid w:val="0"/>
          <w:lang w:val="es-ES" w:eastAsia="ja-JP"/>
        </w:rPr>
        <w:tab/>
      </w:r>
      <w:r w:rsidR="00807EEC" w:rsidRPr="00171307">
        <w:rPr>
          <w:rFonts w:eastAsiaTheme="minorEastAsia" w:cs="Arial"/>
          <w:snapToGrid w:val="0"/>
          <w:lang w:eastAsia="ja-JP"/>
        </w:rPr>
        <w:t xml:space="preserve">de las novedades relativas a </w:t>
      </w:r>
      <w:r w:rsidR="006C2721" w:rsidRPr="00171307">
        <w:rPr>
          <w:rFonts w:eastAsiaTheme="minorEastAsia" w:cs="Arial"/>
          <w:snapToGrid w:val="0"/>
          <w:lang w:eastAsia="ja-JP"/>
        </w:rPr>
        <w:t xml:space="preserve">los términos inadmisibles que se exponen </w:t>
      </w:r>
      <w:r w:rsidR="00807EEC" w:rsidRPr="00171307">
        <w:rPr>
          <w:rFonts w:eastAsiaTheme="minorEastAsia" w:cs="Arial"/>
          <w:snapToGrid w:val="0"/>
          <w:lang w:eastAsia="ja-JP"/>
        </w:rPr>
        <w:t>en el párrafo 16 del presente documento;</w:t>
      </w:r>
      <w:r w:rsidRPr="00BB6FEA">
        <w:rPr>
          <w:rFonts w:eastAsiaTheme="minorEastAsia" w:cs="Arial"/>
          <w:snapToGrid w:val="0"/>
          <w:lang w:val="es-ES" w:eastAsia="ja-JP"/>
        </w:rPr>
        <w:t xml:space="preserve"> </w:t>
      </w:r>
    </w:p>
    <w:p w:rsidR="00A93D11" w:rsidRPr="005C1895" w:rsidRDefault="00A93D11" w:rsidP="00A93D11">
      <w:pPr>
        <w:rPr>
          <w:rFonts w:eastAsiaTheme="minorEastAsia" w:cs="Arial"/>
          <w:snapToGrid w:val="0"/>
          <w:sz w:val="18"/>
          <w:szCs w:val="18"/>
          <w:lang w:val="es-ES" w:eastAsia="ja-JP"/>
        </w:rPr>
      </w:pPr>
    </w:p>
    <w:p w:rsidR="00A93D11" w:rsidRPr="00BB6FEA" w:rsidRDefault="00A93D11" w:rsidP="00A93D11">
      <w:pPr>
        <w:rPr>
          <w:rFonts w:eastAsiaTheme="minorEastAsia" w:cs="Arial"/>
          <w:snapToGrid w:val="0"/>
          <w:lang w:val="es-ES" w:eastAsia="ja-JP"/>
        </w:rPr>
      </w:pPr>
      <w:r w:rsidRPr="00BB6FEA">
        <w:rPr>
          <w:rFonts w:eastAsiaTheme="minorEastAsia" w:cs="Arial"/>
          <w:snapToGrid w:val="0"/>
          <w:lang w:val="es-ES" w:eastAsia="ja-JP"/>
        </w:rPr>
        <w:tab/>
      </w:r>
      <w:r w:rsidR="00AD1AB7" w:rsidRPr="00171307">
        <w:rPr>
          <w:rFonts w:eastAsiaTheme="minorEastAsia" w:cs="Arial"/>
          <w:snapToGrid w:val="0"/>
          <w:lang w:eastAsia="ja-JP"/>
        </w:rPr>
        <w:t>e)</w:t>
      </w:r>
      <w:r w:rsidRPr="00BB6FEA">
        <w:rPr>
          <w:rFonts w:eastAsiaTheme="minorEastAsia" w:cs="Arial"/>
          <w:snapToGrid w:val="0"/>
          <w:lang w:val="es-ES" w:eastAsia="ja-JP"/>
        </w:rPr>
        <w:tab/>
      </w:r>
      <w:r w:rsidR="00AD1AB7" w:rsidRPr="00171307">
        <w:rPr>
          <w:rFonts w:eastAsiaTheme="minorEastAsia" w:cs="Arial"/>
          <w:snapToGrid w:val="0"/>
          <w:lang w:eastAsia="ja-JP"/>
        </w:rPr>
        <w:t>de que la quinta reunión del WG-DEN se celebrará en Ginebra el 30 de octubre de 2018;</w:t>
      </w:r>
      <w:r w:rsidR="002753E9" w:rsidRPr="00BB6FEA">
        <w:rPr>
          <w:rFonts w:eastAsiaTheme="minorEastAsia" w:cs="Arial"/>
          <w:snapToGrid w:val="0"/>
          <w:lang w:val="es-ES" w:eastAsia="ja-JP"/>
        </w:rPr>
        <w:t xml:space="preserve"> </w:t>
      </w:r>
      <w:r w:rsidR="00AD1AB7" w:rsidRPr="00171307">
        <w:rPr>
          <w:rFonts w:eastAsiaTheme="minorEastAsia" w:cs="Arial"/>
          <w:snapToGrid w:val="0"/>
          <w:lang w:eastAsia="ja-JP"/>
        </w:rPr>
        <w:t>y</w:t>
      </w:r>
      <w:r w:rsidRPr="00BB6FEA">
        <w:rPr>
          <w:rFonts w:eastAsiaTheme="minorEastAsia" w:cs="Arial"/>
          <w:snapToGrid w:val="0"/>
          <w:lang w:val="es-ES" w:eastAsia="ja-JP"/>
        </w:rPr>
        <w:t xml:space="preserve"> </w:t>
      </w:r>
    </w:p>
    <w:p w:rsidR="00A93D11" w:rsidRPr="005C1895" w:rsidRDefault="00A93D11" w:rsidP="00A93D11">
      <w:pPr>
        <w:rPr>
          <w:rFonts w:eastAsiaTheme="minorEastAsia" w:cs="Arial"/>
          <w:snapToGrid w:val="0"/>
          <w:sz w:val="18"/>
          <w:szCs w:val="18"/>
          <w:lang w:val="es-ES" w:eastAsia="ja-JP"/>
        </w:rPr>
      </w:pPr>
    </w:p>
    <w:p w:rsidR="00A93D11" w:rsidRPr="00BB6FEA" w:rsidRDefault="00A93D11" w:rsidP="00A93D11">
      <w:pPr>
        <w:rPr>
          <w:rFonts w:eastAsiaTheme="minorEastAsia" w:cs="Arial"/>
          <w:snapToGrid w:val="0"/>
          <w:lang w:val="es-ES" w:eastAsia="ja-JP"/>
        </w:rPr>
      </w:pPr>
      <w:r w:rsidRPr="00BB6FEA">
        <w:rPr>
          <w:rFonts w:eastAsiaTheme="minorEastAsia" w:cs="Arial"/>
          <w:snapToGrid w:val="0"/>
          <w:lang w:val="es-ES" w:eastAsia="ja-JP"/>
        </w:rPr>
        <w:tab/>
      </w:r>
      <w:r w:rsidR="00AD1AB7" w:rsidRPr="00171307">
        <w:rPr>
          <w:rFonts w:eastAsiaTheme="minorEastAsia" w:cs="Arial"/>
          <w:snapToGrid w:val="0"/>
          <w:lang w:eastAsia="ja-JP"/>
        </w:rPr>
        <w:t>f)</w:t>
      </w:r>
      <w:r w:rsidRPr="00BB6FEA">
        <w:rPr>
          <w:rFonts w:eastAsiaTheme="minorEastAsia" w:cs="Arial"/>
          <w:snapToGrid w:val="0"/>
          <w:lang w:val="es-ES" w:eastAsia="ja-JP"/>
        </w:rPr>
        <w:tab/>
      </w:r>
      <w:r w:rsidR="00AD1AB7" w:rsidRPr="00171307">
        <w:rPr>
          <w:rFonts w:eastAsiaTheme="minorEastAsia" w:cs="Arial"/>
          <w:snapToGrid w:val="0"/>
          <w:spacing w:val="-2"/>
          <w:lang w:eastAsia="ja-JP"/>
        </w:rPr>
        <w:t xml:space="preserve">del proyecto de orden del día de la </w:t>
      </w:r>
      <w:r w:rsidR="00AD1AB7" w:rsidRPr="00171307">
        <w:rPr>
          <w:rFonts w:eastAsiaTheme="minorEastAsia" w:cs="Arial"/>
          <w:snapToGrid w:val="0"/>
          <w:lang w:eastAsia="ja-JP"/>
        </w:rPr>
        <w:t xml:space="preserve">quinta </w:t>
      </w:r>
      <w:r w:rsidR="00AD1AB7" w:rsidRPr="00171307">
        <w:rPr>
          <w:rFonts w:eastAsiaTheme="minorEastAsia" w:cs="Arial"/>
          <w:snapToGrid w:val="0"/>
          <w:spacing w:val="-2"/>
          <w:lang w:eastAsia="ja-JP"/>
        </w:rPr>
        <w:t xml:space="preserve">reunión del </w:t>
      </w:r>
      <w:r w:rsidR="006C2721" w:rsidRPr="00171307">
        <w:rPr>
          <w:rFonts w:eastAsiaTheme="minorEastAsia" w:cs="Arial"/>
          <w:snapToGrid w:val="0"/>
          <w:spacing w:val="-2"/>
          <w:lang w:eastAsia="ja-JP"/>
        </w:rPr>
        <w:t>WG</w:t>
      </w:r>
      <w:r w:rsidR="006C2721" w:rsidRPr="00171307">
        <w:rPr>
          <w:rFonts w:eastAsiaTheme="minorEastAsia" w:cs="Arial"/>
          <w:snapToGrid w:val="0"/>
          <w:spacing w:val="-2"/>
          <w:lang w:eastAsia="ja-JP"/>
        </w:rPr>
        <w:noBreakHyphen/>
        <w:t>DEN</w:t>
      </w:r>
      <w:r w:rsidR="00FC7ADA" w:rsidRPr="00171307">
        <w:rPr>
          <w:rFonts w:eastAsiaTheme="minorEastAsia" w:cs="Arial"/>
          <w:snapToGrid w:val="0"/>
          <w:spacing w:val="-2"/>
          <w:lang w:eastAsia="ja-JP"/>
        </w:rPr>
        <w:t xml:space="preserve">, </w:t>
      </w:r>
      <w:r w:rsidR="00AD1AB7" w:rsidRPr="00171307">
        <w:rPr>
          <w:rFonts w:eastAsiaTheme="minorEastAsia" w:cs="Arial"/>
          <w:snapToGrid w:val="0"/>
          <w:spacing w:val="-2"/>
          <w:lang w:eastAsia="ja-JP"/>
        </w:rPr>
        <w:t>que se expone en el párrafo</w:t>
      </w:r>
      <w:r w:rsidR="00FC7ADA" w:rsidRPr="00171307">
        <w:rPr>
          <w:rFonts w:eastAsiaTheme="minorEastAsia" w:cs="Arial"/>
          <w:snapToGrid w:val="0"/>
          <w:spacing w:val="-2"/>
          <w:lang w:eastAsia="ja-JP"/>
        </w:rPr>
        <w:t> 1</w:t>
      </w:r>
      <w:r w:rsidR="00AD1AB7" w:rsidRPr="00171307">
        <w:rPr>
          <w:rFonts w:eastAsiaTheme="minorEastAsia" w:cs="Arial"/>
          <w:snapToGrid w:val="0"/>
          <w:spacing w:val="-2"/>
          <w:lang w:eastAsia="ja-JP"/>
        </w:rPr>
        <w:t>8 del presente documento.</w:t>
      </w:r>
    </w:p>
    <w:p w:rsidR="00A93D11" w:rsidRPr="005C1895" w:rsidRDefault="00A93D11" w:rsidP="00A93D11">
      <w:pPr>
        <w:rPr>
          <w:rFonts w:eastAsiaTheme="minorEastAsia" w:cs="Arial"/>
          <w:snapToGrid w:val="0"/>
          <w:sz w:val="18"/>
          <w:szCs w:val="18"/>
          <w:lang w:val="es-ES" w:eastAsia="ja-JP"/>
        </w:rPr>
      </w:pPr>
    </w:p>
    <w:p w:rsidR="00A93D11" w:rsidRPr="00BB6FEA" w:rsidRDefault="00EA5061" w:rsidP="00A93D11">
      <w:pPr>
        <w:keepNext/>
        <w:rPr>
          <w:rFonts w:eastAsiaTheme="minorEastAsia" w:cs="Arial"/>
          <w:snapToGrid w:val="0"/>
          <w:lang w:val="es-ES"/>
        </w:rPr>
      </w:pPr>
      <w:r w:rsidRPr="007678AB">
        <w:rPr>
          <w:rFonts w:eastAsiaTheme="minorEastAsia" w:cs="Arial"/>
          <w:snapToGrid w:val="0"/>
        </w:rPr>
        <w:fldChar w:fldCharType="begin"/>
      </w:r>
      <w:r w:rsidR="00A93D11" w:rsidRPr="00BB6FEA">
        <w:rPr>
          <w:rFonts w:eastAsiaTheme="minorEastAsia" w:cs="Arial"/>
          <w:snapToGrid w:val="0"/>
          <w:lang w:val="es-ES"/>
        </w:rPr>
        <w:instrText xml:space="preserve"> AUTONUM  </w:instrText>
      </w:r>
      <w:r w:rsidRPr="007678AB">
        <w:rPr>
          <w:rFonts w:eastAsiaTheme="minorEastAsia" w:cs="Arial"/>
          <w:snapToGrid w:val="0"/>
        </w:rPr>
        <w:fldChar w:fldCharType="end"/>
      </w:r>
      <w:r w:rsidR="00A93D11" w:rsidRPr="00BB6FEA">
        <w:rPr>
          <w:rFonts w:eastAsiaTheme="minorEastAsia" w:cs="Arial"/>
          <w:snapToGrid w:val="0"/>
          <w:lang w:val="es-ES"/>
        </w:rPr>
        <w:tab/>
      </w:r>
      <w:r w:rsidR="00AD1AB7" w:rsidRPr="00171307">
        <w:rPr>
          <w:rFonts w:eastAsiaTheme="minorEastAsia" w:cs="Arial"/>
          <w:snapToGrid w:val="0"/>
        </w:rPr>
        <w:t>En el presente documento se utilizan las abreviaturas siguientes:</w:t>
      </w:r>
    </w:p>
    <w:p w:rsidR="00A93D11" w:rsidRPr="005C1895" w:rsidRDefault="00A93D11" w:rsidP="00A93D11">
      <w:pPr>
        <w:keepNext/>
        <w:rPr>
          <w:rFonts w:eastAsiaTheme="minorEastAsia" w:cs="Arial"/>
          <w:snapToGrid w:val="0"/>
          <w:sz w:val="18"/>
          <w:szCs w:val="18"/>
          <w:lang w:val="es-ES"/>
        </w:rPr>
      </w:pPr>
    </w:p>
    <w:p w:rsidR="00A93D11" w:rsidRPr="00BB6FEA" w:rsidRDefault="00A93D11" w:rsidP="00A93D11">
      <w:pPr>
        <w:ind w:left="567"/>
        <w:rPr>
          <w:rFonts w:cs="Arial"/>
          <w:snapToGrid w:val="0"/>
          <w:lang w:val="es-ES"/>
        </w:rPr>
      </w:pPr>
      <w:r w:rsidRPr="00BB6FEA">
        <w:rPr>
          <w:rFonts w:cs="Arial"/>
          <w:snapToGrid w:val="0"/>
          <w:lang w:val="es-ES"/>
        </w:rPr>
        <w:t>TC:</w:t>
      </w:r>
      <w:r w:rsidR="002753E9" w:rsidRPr="00BB6FEA">
        <w:rPr>
          <w:rFonts w:cs="Arial"/>
          <w:snapToGrid w:val="0"/>
          <w:lang w:val="es-ES"/>
        </w:rPr>
        <w:t xml:space="preserve"> </w:t>
      </w:r>
      <w:r w:rsidRPr="00BB6FEA">
        <w:rPr>
          <w:rFonts w:cs="Arial" w:hint="eastAsia"/>
          <w:snapToGrid w:val="0"/>
          <w:lang w:val="es-ES" w:eastAsia="ja-JP"/>
        </w:rPr>
        <w:tab/>
      </w:r>
      <w:r w:rsidRPr="00BB6FEA">
        <w:rPr>
          <w:rFonts w:cs="Arial" w:hint="eastAsia"/>
          <w:snapToGrid w:val="0"/>
          <w:lang w:val="es-ES" w:eastAsia="ja-JP"/>
        </w:rPr>
        <w:tab/>
      </w:r>
      <w:r w:rsidR="00AD1AB7" w:rsidRPr="00171307">
        <w:rPr>
          <w:rFonts w:cs="Arial"/>
          <w:snapToGrid w:val="0"/>
        </w:rPr>
        <w:t>Comité Técnico</w:t>
      </w:r>
    </w:p>
    <w:p w:rsidR="00A93D11" w:rsidRPr="00BB6FEA" w:rsidRDefault="00A93D11" w:rsidP="00A93D11">
      <w:pPr>
        <w:keepNext/>
        <w:ind w:left="567"/>
        <w:rPr>
          <w:rFonts w:eastAsiaTheme="minorEastAsia"/>
          <w:snapToGrid w:val="0"/>
          <w:lang w:val="es-ES" w:eastAsia="ja-JP"/>
        </w:rPr>
      </w:pPr>
      <w:r w:rsidRPr="00BB6FEA">
        <w:rPr>
          <w:rFonts w:eastAsiaTheme="minorEastAsia"/>
          <w:snapToGrid w:val="0"/>
          <w:lang w:val="es-ES" w:eastAsia="ja-JP"/>
        </w:rPr>
        <w:t>WG-DEN:</w:t>
      </w:r>
      <w:r w:rsidRPr="00BB6FEA">
        <w:rPr>
          <w:rFonts w:eastAsiaTheme="minorEastAsia"/>
          <w:snapToGrid w:val="0"/>
          <w:lang w:val="es-ES" w:eastAsia="ja-JP"/>
        </w:rPr>
        <w:tab/>
      </w:r>
      <w:r w:rsidR="00AD1AB7" w:rsidRPr="00171307">
        <w:rPr>
          <w:rFonts w:eastAsiaTheme="minorEastAsia"/>
          <w:lang w:eastAsia="ja-JP"/>
        </w:rPr>
        <w:t>Grupo de trabajo sobre denominaciones de variedades</w:t>
      </w:r>
    </w:p>
    <w:p w:rsidR="00A93D11" w:rsidRPr="005C1895" w:rsidRDefault="00A93D11" w:rsidP="00A93D11">
      <w:pPr>
        <w:jc w:val="left"/>
        <w:rPr>
          <w:rFonts w:eastAsiaTheme="minorEastAsia" w:cs="Arial"/>
          <w:snapToGrid w:val="0"/>
          <w:sz w:val="18"/>
          <w:szCs w:val="18"/>
          <w:lang w:val="es-ES"/>
        </w:rPr>
      </w:pPr>
    </w:p>
    <w:p w:rsidR="00A93D11" w:rsidRDefault="00EA5061" w:rsidP="00A93D11">
      <w:pPr>
        <w:keepNext/>
      </w:pPr>
      <w:r w:rsidRPr="007678AB">
        <w:fldChar w:fldCharType="begin"/>
      </w:r>
      <w:r w:rsidR="00A93D11" w:rsidRPr="00BB6FEA">
        <w:rPr>
          <w:lang w:val="es-ES"/>
        </w:rPr>
        <w:instrText xml:space="preserve"> AUTONUM  </w:instrText>
      </w:r>
      <w:r w:rsidRPr="007678AB">
        <w:fldChar w:fldCharType="end"/>
      </w:r>
      <w:r w:rsidR="00A93D11" w:rsidRPr="00BB6FEA">
        <w:rPr>
          <w:lang w:val="es-ES"/>
        </w:rPr>
        <w:tab/>
      </w:r>
      <w:r w:rsidR="00AD1AB7" w:rsidRPr="00171307">
        <w:t>El presente documento se estructura del modo siguiente:</w:t>
      </w:r>
    </w:p>
    <w:p w:rsidR="00083B28" w:rsidRPr="005C1895" w:rsidRDefault="009F3311" w:rsidP="00A93D11">
      <w:pPr>
        <w:keepNext/>
        <w:rPr>
          <w:sz w:val="18"/>
          <w:szCs w:val="18"/>
          <w:lang w:val="es-ES"/>
        </w:rPr>
      </w:pPr>
      <w:r w:rsidRPr="009F3311">
        <w:rPr>
          <w:sz w:val="16"/>
          <w:szCs w:val="16"/>
          <w:lang w:val="es-ES"/>
        </w:rPr>
        <w:t>,</w:t>
      </w:r>
    </w:p>
    <w:sdt>
      <w:sdtPr>
        <w:rPr>
          <w:rFonts w:ascii="Courier New" w:hAnsi="Courier New" w:cs="Courier New"/>
          <w:smallCaps/>
          <w:vanish/>
          <w:color w:val="800080"/>
          <w:vertAlign w:val="subscript"/>
          <w:lang w:eastAsia="es-ES_tradnl"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szCs w:val="18"/>
        </w:rPr>
      </w:sdtEndPr>
      <w:sdtContent>
        <w:p w:rsidR="00083B28" w:rsidRDefault="00EA5061">
          <w:pPr>
            <w:pStyle w:val="TOC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5255C8">
            <w:rPr>
              <w:rFonts w:eastAsiaTheme="minorEastAsia" w:cs="Arial"/>
              <w:noProof w:val="0"/>
              <w:szCs w:val="18"/>
              <w:lang w:val="en-US" w:eastAsia="ja-JP"/>
            </w:rPr>
            <w:fldChar w:fldCharType="begin"/>
          </w:r>
          <w:r w:rsidR="00A93D11" w:rsidRPr="005255C8">
            <w:rPr>
              <w:szCs w:val="18"/>
            </w:rPr>
            <w:instrText xml:space="preserve"> TOC \o "1-3" \h \z \u </w:instrText>
          </w:r>
          <w:r w:rsidRPr="005255C8">
            <w:rPr>
              <w:rFonts w:eastAsiaTheme="minorEastAsia" w:cs="Arial"/>
              <w:noProof w:val="0"/>
              <w:szCs w:val="18"/>
              <w:lang w:val="en-US" w:eastAsia="ja-JP"/>
            </w:rPr>
            <w:fldChar w:fldCharType="separate"/>
          </w:r>
          <w:hyperlink w:anchor="_Toc524686620" w:history="1">
            <w:r w:rsidR="00083B28" w:rsidRPr="00AC435A">
              <w:rPr>
                <w:rStyle w:val="Hyperlink"/>
              </w:rPr>
              <w:t>RESUMEN</w:t>
            </w:r>
            <w:r w:rsidR="00083B28">
              <w:rPr>
                <w:webHidden/>
              </w:rPr>
              <w:tab/>
            </w:r>
            <w:r w:rsidR="00083B28">
              <w:rPr>
                <w:webHidden/>
              </w:rPr>
              <w:fldChar w:fldCharType="begin"/>
            </w:r>
            <w:r w:rsidR="00083B28">
              <w:rPr>
                <w:webHidden/>
              </w:rPr>
              <w:instrText xml:space="preserve"> PAGEREF _Toc524686620 \h </w:instrText>
            </w:r>
            <w:r w:rsidR="00083B28">
              <w:rPr>
                <w:webHidden/>
              </w:rPr>
            </w:r>
            <w:r w:rsidR="00083B28">
              <w:rPr>
                <w:webHidden/>
              </w:rPr>
              <w:fldChar w:fldCharType="separate"/>
            </w:r>
            <w:r w:rsidR="00FF2F03">
              <w:rPr>
                <w:webHidden/>
              </w:rPr>
              <w:t>1</w:t>
            </w:r>
            <w:r w:rsidR="00083B28">
              <w:rPr>
                <w:webHidden/>
              </w:rPr>
              <w:fldChar w:fldCharType="end"/>
            </w:r>
          </w:hyperlink>
        </w:p>
        <w:p w:rsidR="00083B28" w:rsidRDefault="00FF2F03">
          <w:pPr>
            <w:pStyle w:val="TOC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524686621" w:history="1">
            <w:r w:rsidR="00083B28" w:rsidRPr="00AC435A">
              <w:rPr>
                <w:rStyle w:val="Hyperlink"/>
              </w:rPr>
              <w:t>EVENTUAL REVISIÓN DEL DOCUMENTO UPOV/INF/12 “NOTAS EXPLICATIVAS SOBRE LAS DENOMINACIONES DE VARIEDADES CON ARREGLO AL CONVENIO DE  UPOV”</w:t>
            </w:r>
            <w:r w:rsidR="00083B28">
              <w:rPr>
                <w:webHidden/>
              </w:rPr>
              <w:tab/>
            </w:r>
            <w:r w:rsidR="00083B28">
              <w:rPr>
                <w:webHidden/>
              </w:rPr>
              <w:fldChar w:fldCharType="begin"/>
            </w:r>
            <w:r w:rsidR="00083B28">
              <w:rPr>
                <w:webHidden/>
              </w:rPr>
              <w:instrText xml:space="preserve"> PAGEREF _Toc524686621 \h </w:instrText>
            </w:r>
            <w:r w:rsidR="00083B28">
              <w:rPr>
                <w:webHidden/>
              </w:rPr>
            </w:r>
            <w:r w:rsidR="00083B28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083B28">
              <w:rPr>
                <w:webHidden/>
              </w:rPr>
              <w:fldChar w:fldCharType="end"/>
            </w:r>
          </w:hyperlink>
        </w:p>
        <w:p w:rsidR="00083B28" w:rsidRDefault="00FF2F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524686622" w:history="1">
            <w:r w:rsidR="00083B28" w:rsidRPr="00AC435A">
              <w:rPr>
                <w:rStyle w:val="Hyperlink"/>
                <w:noProof/>
                <w:lang w:eastAsia="ja-JP"/>
              </w:rPr>
              <w:t>Antecedentes</w:t>
            </w:r>
            <w:r w:rsidR="00083B28">
              <w:rPr>
                <w:noProof/>
                <w:webHidden/>
              </w:rPr>
              <w:tab/>
            </w:r>
            <w:r w:rsidR="00083B28">
              <w:rPr>
                <w:noProof/>
                <w:webHidden/>
              </w:rPr>
              <w:fldChar w:fldCharType="begin"/>
            </w:r>
            <w:r w:rsidR="00083B28">
              <w:rPr>
                <w:noProof/>
                <w:webHidden/>
              </w:rPr>
              <w:instrText xml:space="preserve"> PAGEREF _Toc524686622 \h </w:instrText>
            </w:r>
            <w:r w:rsidR="00083B28">
              <w:rPr>
                <w:noProof/>
                <w:webHidden/>
              </w:rPr>
            </w:r>
            <w:r w:rsidR="00083B2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083B28">
              <w:rPr>
                <w:noProof/>
                <w:webHidden/>
              </w:rPr>
              <w:fldChar w:fldCharType="end"/>
            </w:r>
          </w:hyperlink>
        </w:p>
        <w:p w:rsidR="00083B28" w:rsidRDefault="00FF2F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524686623" w:history="1">
            <w:r w:rsidR="00083B28" w:rsidRPr="00AC435A">
              <w:rPr>
                <w:rStyle w:val="Hyperlink"/>
                <w:noProof/>
                <w:snapToGrid w:val="0"/>
                <w:lang w:eastAsia="ja-JP"/>
              </w:rPr>
              <w:t>Novedades acontecidas en la tercera reunión del WG-DEN</w:t>
            </w:r>
            <w:r w:rsidR="00083B28">
              <w:rPr>
                <w:noProof/>
                <w:webHidden/>
              </w:rPr>
              <w:tab/>
            </w:r>
            <w:r w:rsidR="00083B28">
              <w:rPr>
                <w:noProof/>
                <w:webHidden/>
              </w:rPr>
              <w:fldChar w:fldCharType="begin"/>
            </w:r>
            <w:r w:rsidR="00083B28">
              <w:rPr>
                <w:noProof/>
                <w:webHidden/>
              </w:rPr>
              <w:instrText xml:space="preserve"> PAGEREF _Toc524686623 \h </w:instrText>
            </w:r>
            <w:r w:rsidR="00083B28">
              <w:rPr>
                <w:noProof/>
                <w:webHidden/>
              </w:rPr>
            </w:r>
            <w:r w:rsidR="00083B2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083B28">
              <w:rPr>
                <w:noProof/>
                <w:webHidden/>
              </w:rPr>
              <w:fldChar w:fldCharType="end"/>
            </w:r>
          </w:hyperlink>
        </w:p>
        <w:p w:rsidR="00083B28" w:rsidRDefault="00FF2F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/>
            </w:rPr>
          </w:pPr>
          <w:hyperlink w:anchor="_Toc524686624" w:history="1">
            <w:r w:rsidR="00083B28" w:rsidRPr="00AC435A">
              <w:rPr>
                <w:rStyle w:val="Hyperlink"/>
                <w:noProof/>
                <w:snapToGrid w:val="0"/>
                <w:lang w:eastAsia="ja-JP"/>
              </w:rPr>
              <w:t>Novedades acontecidas en la cuarta reunión del WG-DEN</w:t>
            </w:r>
            <w:r w:rsidR="00083B28">
              <w:rPr>
                <w:noProof/>
                <w:webHidden/>
              </w:rPr>
              <w:tab/>
            </w:r>
            <w:r w:rsidR="00083B28">
              <w:rPr>
                <w:noProof/>
                <w:webHidden/>
              </w:rPr>
              <w:fldChar w:fldCharType="begin"/>
            </w:r>
            <w:r w:rsidR="00083B28">
              <w:rPr>
                <w:noProof/>
                <w:webHidden/>
              </w:rPr>
              <w:instrText xml:space="preserve"> PAGEREF _Toc524686624 \h </w:instrText>
            </w:r>
            <w:r w:rsidR="00083B28">
              <w:rPr>
                <w:noProof/>
                <w:webHidden/>
              </w:rPr>
            </w:r>
            <w:r w:rsidR="00083B2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83B28">
              <w:rPr>
                <w:noProof/>
                <w:webHidden/>
              </w:rPr>
              <w:fldChar w:fldCharType="end"/>
            </w:r>
          </w:hyperlink>
        </w:p>
        <w:p w:rsidR="00083B28" w:rsidRDefault="00FF2F03">
          <w:pPr>
            <w:pStyle w:val="TOC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524686625" w:history="1">
            <w:r w:rsidR="00083B28" w:rsidRPr="00AC435A">
              <w:rPr>
                <w:rStyle w:val="Hyperlink"/>
              </w:rPr>
              <w:t>POSIBLE ELABORACIÓN DE UN INSTRUMENTO DE LA UPOV DE BÚSQUEDA DE SIMILITUD A LOS FINES DE LA DENOMINACIÓN DE VARIEDADES</w:t>
            </w:r>
            <w:r w:rsidR="00083B28">
              <w:rPr>
                <w:webHidden/>
              </w:rPr>
              <w:tab/>
            </w:r>
            <w:r w:rsidR="00083B28">
              <w:rPr>
                <w:webHidden/>
              </w:rPr>
              <w:fldChar w:fldCharType="begin"/>
            </w:r>
            <w:r w:rsidR="00083B28">
              <w:rPr>
                <w:webHidden/>
              </w:rPr>
              <w:instrText xml:space="preserve"> PAGEREF _Toc524686625 \h </w:instrText>
            </w:r>
            <w:r w:rsidR="00083B28">
              <w:rPr>
                <w:webHidden/>
              </w:rPr>
            </w:r>
            <w:r w:rsidR="00083B28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083B28">
              <w:rPr>
                <w:webHidden/>
              </w:rPr>
              <w:fldChar w:fldCharType="end"/>
            </w:r>
          </w:hyperlink>
        </w:p>
        <w:p w:rsidR="00083B28" w:rsidRDefault="00FF2F03">
          <w:pPr>
            <w:pStyle w:val="TOC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524686626" w:history="1">
            <w:r w:rsidR="00083B28" w:rsidRPr="00AC435A">
              <w:rPr>
                <w:rStyle w:val="Hyperlink"/>
              </w:rPr>
              <w:t>AMPLIACIÓN DEL CONTENIDO DE LA BASE DE DATOS PLUTO</w:t>
            </w:r>
            <w:r w:rsidR="00083B28">
              <w:rPr>
                <w:webHidden/>
              </w:rPr>
              <w:tab/>
            </w:r>
            <w:r w:rsidR="00083B28">
              <w:rPr>
                <w:webHidden/>
              </w:rPr>
              <w:fldChar w:fldCharType="begin"/>
            </w:r>
            <w:r w:rsidR="00083B28">
              <w:rPr>
                <w:webHidden/>
              </w:rPr>
              <w:instrText xml:space="preserve"> PAGEREF _Toc524686626 \h </w:instrText>
            </w:r>
            <w:r w:rsidR="00083B28">
              <w:rPr>
                <w:webHidden/>
              </w:rPr>
            </w:r>
            <w:r w:rsidR="00083B28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083B28">
              <w:rPr>
                <w:webHidden/>
              </w:rPr>
              <w:fldChar w:fldCharType="end"/>
            </w:r>
          </w:hyperlink>
        </w:p>
        <w:p w:rsidR="00083B28" w:rsidRDefault="00FF2F03">
          <w:pPr>
            <w:pStyle w:val="TOC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524686627" w:history="1">
            <w:r w:rsidR="00083B28" w:rsidRPr="00AC435A">
              <w:rPr>
                <w:rStyle w:val="Hyperlink"/>
              </w:rPr>
              <w:t>TÉRMINOS INADMISIBLES</w:t>
            </w:r>
            <w:r w:rsidR="00083B28">
              <w:rPr>
                <w:webHidden/>
              </w:rPr>
              <w:tab/>
            </w:r>
            <w:r w:rsidR="00083B28">
              <w:rPr>
                <w:webHidden/>
              </w:rPr>
              <w:fldChar w:fldCharType="begin"/>
            </w:r>
            <w:r w:rsidR="00083B28">
              <w:rPr>
                <w:webHidden/>
              </w:rPr>
              <w:instrText xml:space="preserve"> PAGEREF _Toc524686627 \h </w:instrText>
            </w:r>
            <w:r w:rsidR="00083B28">
              <w:rPr>
                <w:webHidden/>
              </w:rPr>
            </w:r>
            <w:r w:rsidR="00083B28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083B28">
              <w:rPr>
                <w:webHidden/>
              </w:rPr>
              <w:fldChar w:fldCharType="end"/>
            </w:r>
          </w:hyperlink>
        </w:p>
        <w:p w:rsidR="00083B28" w:rsidRPr="00083B28" w:rsidRDefault="00FF2F03" w:rsidP="00083B28">
          <w:pPr>
            <w:pStyle w:val="TOC1"/>
            <w:tabs>
              <w:tab w:val="right" w:leader="dot" w:pos="9629"/>
            </w:tabs>
            <w:rPr>
              <w:b/>
              <w:bCs/>
              <w:smallCaps/>
              <w:szCs w:val="18"/>
            </w:rPr>
          </w:pPr>
          <w:hyperlink w:anchor="_Toc524686628" w:history="1">
            <w:r w:rsidR="00083B28" w:rsidRPr="00AC435A">
              <w:rPr>
                <w:rStyle w:val="Hyperlink"/>
              </w:rPr>
              <w:t>FECHA Y PROGRAMA DE LA PRÓXIMA REUNIÓN DEL WG-DEN</w:t>
            </w:r>
            <w:r w:rsidR="00083B28">
              <w:rPr>
                <w:webHidden/>
              </w:rPr>
              <w:tab/>
            </w:r>
            <w:r w:rsidR="00083B28">
              <w:rPr>
                <w:webHidden/>
              </w:rPr>
              <w:fldChar w:fldCharType="begin"/>
            </w:r>
            <w:r w:rsidR="00083B28">
              <w:rPr>
                <w:webHidden/>
              </w:rPr>
              <w:instrText xml:space="preserve"> PAGEREF _Toc524686628 \h </w:instrText>
            </w:r>
            <w:r w:rsidR="00083B28">
              <w:rPr>
                <w:webHidden/>
              </w:rPr>
            </w:r>
            <w:r w:rsidR="00083B28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083B28">
              <w:rPr>
                <w:webHidden/>
              </w:rPr>
              <w:fldChar w:fldCharType="end"/>
            </w:r>
          </w:hyperlink>
          <w:r w:rsidR="00EA5061" w:rsidRPr="005255C8">
            <w:rPr>
              <w:b/>
              <w:bCs/>
              <w:smallCaps/>
              <w:szCs w:val="18"/>
            </w:rPr>
            <w:fldChar w:fldCharType="end"/>
          </w:r>
        </w:p>
      </w:sdtContent>
    </w:sdt>
    <w:p w:rsidR="00083B28" w:rsidRPr="005C1895" w:rsidRDefault="00083B28" w:rsidP="005C1895">
      <w:pPr>
        <w:rPr>
          <w:sz w:val="2"/>
        </w:rPr>
      </w:pPr>
      <w:bookmarkStart w:id="3" w:name="_Toc524686621"/>
    </w:p>
    <w:p w:rsidR="00A93D11" w:rsidRPr="00BB6FEA" w:rsidRDefault="00AD1AB7" w:rsidP="00083B28">
      <w:pPr>
        <w:pStyle w:val="Heading1"/>
        <w:spacing w:before="360"/>
        <w:rPr>
          <w:lang w:val="es-ES"/>
        </w:rPr>
      </w:pPr>
      <w:r w:rsidRPr="00A93F6C">
        <w:rPr>
          <w:lang w:val="fr-CH"/>
        </w:rPr>
        <w:lastRenderedPageBreak/>
        <w:t xml:space="preserve">EVENTUAL REVISIÓN DEL DOCUMENTO UPOV/INF/12 “NOTAS EXPLICATIVAS SOBRE LAS DENOMINACIONES DE VARIEDADES CON ARREGLO AL CONVENIO </w:t>
      </w:r>
      <w:proofErr w:type="gramStart"/>
      <w:r w:rsidRPr="00A93F6C">
        <w:rPr>
          <w:lang w:val="fr-CH"/>
        </w:rPr>
        <w:t xml:space="preserve">DE </w:t>
      </w:r>
      <w:r w:rsidR="006C2721" w:rsidRPr="00A93F6C">
        <w:rPr>
          <w:lang w:val="fr-CH"/>
        </w:rPr>
        <w:t> </w:t>
      </w:r>
      <w:r w:rsidRPr="00A93F6C">
        <w:rPr>
          <w:lang w:val="fr-CH"/>
        </w:rPr>
        <w:t>UPOV</w:t>
      </w:r>
      <w:proofErr w:type="gramEnd"/>
      <w:r w:rsidRPr="00A93F6C">
        <w:rPr>
          <w:lang w:val="fr-CH"/>
        </w:rPr>
        <w:t>”</w:t>
      </w:r>
      <w:bookmarkEnd w:id="3"/>
      <w:r w:rsidR="0046173B" w:rsidRPr="00A93F6C">
        <w:rPr>
          <w:lang w:val="fr-CH"/>
        </w:rPr>
        <w:t xml:space="preserve">  </w:t>
      </w:r>
    </w:p>
    <w:p w:rsidR="00A93D11" w:rsidRPr="00BB6FEA" w:rsidRDefault="00A93D11" w:rsidP="00A93D11">
      <w:pPr>
        <w:keepNext/>
        <w:rPr>
          <w:rFonts w:eastAsiaTheme="minorEastAsia"/>
          <w:snapToGrid w:val="0"/>
          <w:lang w:val="es-ES" w:eastAsia="ja-JP"/>
        </w:rPr>
      </w:pPr>
    </w:p>
    <w:p w:rsidR="00A93D11" w:rsidRPr="00BB6FEA" w:rsidRDefault="00997FD5" w:rsidP="00A93D11">
      <w:pPr>
        <w:pStyle w:val="Heading2"/>
        <w:rPr>
          <w:lang w:val="es-ES" w:eastAsia="ja-JP"/>
        </w:rPr>
      </w:pPr>
      <w:bookmarkStart w:id="4" w:name="_Toc524686622"/>
      <w:bookmarkStart w:id="5" w:name="_Toc494448022"/>
      <w:r w:rsidRPr="00171307">
        <w:rPr>
          <w:lang w:val="es-ES_tradnl" w:eastAsia="ja-JP"/>
        </w:rPr>
        <w:t>Antecedentes</w:t>
      </w:r>
      <w:bookmarkEnd w:id="4"/>
    </w:p>
    <w:p w:rsidR="00A93D11" w:rsidRPr="00BB6FEA" w:rsidRDefault="00A93D11" w:rsidP="00A93D11">
      <w:pPr>
        <w:keepNext/>
        <w:rPr>
          <w:rFonts w:eastAsiaTheme="minorEastAsia"/>
          <w:snapToGrid w:val="0"/>
          <w:lang w:val="es-ES" w:eastAsia="ja-JP"/>
        </w:rPr>
      </w:pPr>
    </w:p>
    <w:p w:rsidR="00A93D11" w:rsidRPr="00BB6FEA" w:rsidRDefault="00EA5061" w:rsidP="00A93D11">
      <w:pPr>
        <w:rPr>
          <w:rFonts w:eastAsiaTheme="minorEastAsia"/>
          <w:lang w:val="es-ES" w:eastAsia="ja-JP"/>
        </w:rPr>
      </w:pPr>
      <w:r w:rsidRPr="007678AB">
        <w:rPr>
          <w:rFonts w:eastAsiaTheme="minorEastAsia"/>
        </w:rPr>
        <w:fldChar w:fldCharType="begin"/>
      </w:r>
      <w:r w:rsidR="00A93D11" w:rsidRPr="00BB6FEA">
        <w:rPr>
          <w:rFonts w:eastAsiaTheme="minorEastAsia"/>
          <w:lang w:val="es-ES"/>
        </w:rPr>
        <w:instrText xml:space="preserve"> AUTONUM  </w:instrText>
      </w:r>
      <w:r w:rsidRPr="007678AB">
        <w:rPr>
          <w:rFonts w:eastAsiaTheme="minorEastAsia"/>
        </w:rPr>
        <w:fldChar w:fldCharType="end"/>
      </w:r>
      <w:r w:rsidR="00A93D11" w:rsidRPr="00BB6FEA">
        <w:rPr>
          <w:rFonts w:eastAsiaTheme="minorEastAsia"/>
          <w:lang w:val="es-ES"/>
        </w:rPr>
        <w:tab/>
      </w:r>
      <w:r w:rsidR="00997FD5" w:rsidRPr="00171307">
        <w:rPr>
          <w:rFonts w:eastAsiaTheme="minorEastAsia"/>
          <w:lang w:eastAsia="ja-JP"/>
        </w:rPr>
        <w:t>Los antecedentes de esta cuestión figuran en los párrafos 6 a</w:t>
      </w:r>
      <w:r w:rsidR="00FC7ADA" w:rsidRPr="00171307">
        <w:rPr>
          <w:rFonts w:eastAsiaTheme="minorEastAsia"/>
          <w:lang w:eastAsia="ja-JP"/>
        </w:rPr>
        <w:t> 1</w:t>
      </w:r>
      <w:r w:rsidR="00997FD5" w:rsidRPr="00171307">
        <w:rPr>
          <w:rFonts w:eastAsiaTheme="minorEastAsia"/>
          <w:lang w:eastAsia="ja-JP"/>
        </w:rPr>
        <w:t>1 del documento TC/53/12 “Denominaciones de variedades”.</w:t>
      </w:r>
    </w:p>
    <w:p w:rsidR="00A93D11" w:rsidRDefault="00A93D11" w:rsidP="00A93D11">
      <w:pPr>
        <w:keepNext/>
        <w:rPr>
          <w:lang w:val="es-ES" w:eastAsia="ja-JP"/>
        </w:rPr>
      </w:pPr>
    </w:p>
    <w:p w:rsidR="00E608DA" w:rsidRPr="00BB6FEA" w:rsidRDefault="00E608DA" w:rsidP="00A93D11">
      <w:pPr>
        <w:keepNext/>
        <w:rPr>
          <w:lang w:val="es-ES" w:eastAsia="ja-JP"/>
        </w:rPr>
      </w:pPr>
    </w:p>
    <w:p w:rsidR="00A93D11" w:rsidRPr="00BB6FEA" w:rsidRDefault="00997FD5" w:rsidP="00A93D11">
      <w:pPr>
        <w:pStyle w:val="Heading2"/>
        <w:rPr>
          <w:lang w:val="es-ES" w:eastAsia="ja-JP"/>
        </w:rPr>
      </w:pPr>
      <w:bookmarkStart w:id="6" w:name="_Toc524686623"/>
      <w:bookmarkEnd w:id="5"/>
      <w:r w:rsidRPr="00171307">
        <w:rPr>
          <w:snapToGrid w:val="0"/>
          <w:lang w:val="es-ES_tradnl" w:eastAsia="ja-JP"/>
        </w:rPr>
        <w:t>Novedades acontecidas en la tercera reunión del WG-DEN</w:t>
      </w:r>
      <w:bookmarkEnd w:id="6"/>
    </w:p>
    <w:p w:rsidR="00A93D11" w:rsidRPr="00BB6FEA" w:rsidRDefault="00A93D11" w:rsidP="00A93D11">
      <w:pPr>
        <w:keepNext/>
        <w:rPr>
          <w:lang w:val="es-ES" w:eastAsia="ja-JP"/>
        </w:rPr>
      </w:pPr>
    </w:p>
    <w:p w:rsidR="00A93D11" w:rsidRPr="00BB6FEA" w:rsidRDefault="00EA5061" w:rsidP="00A93D11">
      <w:pPr>
        <w:rPr>
          <w:rFonts w:cs="Arial"/>
          <w:snapToGrid w:val="0"/>
          <w:lang w:val="es-ES" w:eastAsia="ja-JP"/>
        </w:rPr>
      </w:pPr>
      <w:r w:rsidRPr="003E6A0B">
        <w:rPr>
          <w:rFonts w:cs="Arial"/>
          <w:snapToGrid w:val="0"/>
        </w:rPr>
        <w:fldChar w:fldCharType="begin"/>
      </w:r>
      <w:r w:rsidR="00A93D11" w:rsidRPr="00BB6FEA">
        <w:rPr>
          <w:rFonts w:cs="Arial"/>
          <w:snapToGrid w:val="0"/>
          <w:lang w:val="es-ES"/>
        </w:rPr>
        <w:instrText xml:space="preserve"> AUTONUM  </w:instrText>
      </w:r>
      <w:r w:rsidRPr="003E6A0B">
        <w:rPr>
          <w:rFonts w:cs="Arial"/>
          <w:snapToGrid w:val="0"/>
        </w:rPr>
        <w:fldChar w:fldCharType="end"/>
      </w:r>
      <w:r w:rsidR="00A93D11" w:rsidRPr="00BB6FEA">
        <w:rPr>
          <w:rFonts w:cs="Arial"/>
          <w:snapToGrid w:val="0"/>
          <w:lang w:val="es-ES"/>
        </w:rPr>
        <w:tab/>
      </w:r>
      <w:r w:rsidR="00997FD5" w:rsidRPr="00171307">
        <w:rPr>
          <w:rFonts w:cs="Arial"/>
          <w:snapToGrid w:val="0"/>
          <w:lang w:eastAsia="ja-JP"/>
        </w:rPr>
        <w:t>En su tercera reunión</w:t>
      </w:r>
      <w:r w:rsidR="00FC7ADA" w:rsidRPr="00171307">
        <w:rPr>
          <w:rFonts w:cs="Arial"/>
          <w:snapToGrid w:val="0"/>
          <w:lang w:eastAsia="ja-JP"/>
        </w:rPr>
        <w:t xml:space="preserve">, </w:t>
      </w:r>
      <w:r w:rsidR="00997FD5" w:rsidRPr="00171307">
        <w:rPr>
          <w:rFonts w:cs="Arial"/>
          <w:snapToGrid w:val="0"/>
          <w:lang w:eastAsia="ja-JP"/>
        </w:rPr>
        <w:t>celebrada en Ginebra el 21 de marzo de 2017</w:t>
      </w:r>
      <w:r w:rsidR="00FC7ADA" w:rsidRPr="00171307">
        <w:rPr>
          <w:rFonts w:cs="Arial"/>
          <w:snapToGrid w:val="0"/>
          <w:lang w:eastAsia="ja-JP"/>
        </w:rPr>
        <w:t xml:space="preserve">, </w:t>
      </w:r>
      <w:r w:rsidR="00997FD5" w:rsidRPr="00171307">
        <w:rPr>
          <w:rFonts w:cs="Arial"/>
          <w:snapToGrid w:val="0"/>
          <w:lang w:eastAsia="ja-JP"/>
        </w:rPr>
        <w:t xml:space="preserve">el WG-DEN examinó el documento </w:t>
      </w:r>
      <w:r w:rsidR="00E37465" w:rsidRPr="00171307">
        <w:rPr>
          <w:rFonts w:cs="Arial"/>
          <w:snapToGrid w:val="0"/>
          <w:lang w:eastAsia="ja-JP"/>
        </w:rPr>
        <w:t>UPOV/INF/12/6 </w:t>
      </w:r>
      <w:proofErr w:type="spellStart"/>
      <w:r w:rsidR="00997FD5" w:rsidRPr="00171307">
        <w:rPr>
          <w:rFonts w:cs="Arial"/>
          <w:snapToGrid w:val="0"/>
          <w:lang w:eastAsia="ja-JP"/>
        </w:rPr>
        <w:t>Draft</w:t>
      </w:r>
      <w:proofErr w:type="spellEnd"/>
      <w:r w:rsidR="00E37465" w:rsidRPr="00171307">
        <w:rPr>
          <w:rFonts w:cs="Arial"/>
          <w:snapToGrid w:val="0"/>
          <w:lang w:eastAsia="ja-JP"/>
        </w:rPr>
        <w:t> </w:t>
      </w:r>
      <w:r w:rsidR="00997FD5" w:rsidRPr="00171307">
        <w:rPr>
          <w:rFonts w:cs="Arial"/>
          <w:snapToGrid w:val="0"/>
          <w:lang w:eastAsia="ja-JP"/>
        </w:rPr>
        <w:t xml:space="preserve">3 y </w:t>
      </w:r>
      <w:r w:rsidR="00171307" w:rsidRPr="00171307">
        <w:rPr>
          <w:rFonts w:cs="Arial"/>
          <w:snapToGrid w:val="0"/>
          <w:lang w:eastAsia="ja-JP"/>
        </w:rPr>
        <w:t xml:space="preserve">convino en </w:t>
      </w:r>
      <w:r w:rsidR="00E37465" w:rsidRPr="00171307">
        <w:rPr>
          <w:rFonts w:cs="Arial"/>
          <w:snapToGrid w:val="0"/>
          <w:lang w:eastAsia="ja-JP"/>
        </w:rPr>
        <w:t xml:space="preserve">lo siguiente con respecto a la </w:t>
      </w:r>
      <w:r w:rsidR="00997FD5" w:rsidRPr="00171307">
        <w:rPr>
          <w:rFonts w:cs="Arial"/>
          <w:snapToGrid w:val="0"/>
          <w:lang w:eastAsia="ja-JP"/>
        </w:rPr>
        <w:t>posible revisión de</w:t>
      </w:r>
      <w:r w:rsidR="00E37465" w:rsidRPr="00171307">
        <w:rPr>
          <w:rFonts w:cs="Arial"/>
          <w:snapToGrid w:val="0"/>
          <w:lang w:eastAsia="ja-JP"/>
        </w:rPr>
        <w:t>l</w:t>
      </w:r>
      <w:r w:rsidR="00997FD5" w:rsidRPr="00171307">
        <w:rPr>
          <w:rFonts w:cs="Arial"/>
          <w:snapToGrid w:val="0"/>
          <w:lang w:eastAsia="ja-JP"/>
        </w:rPr>
        <w:t xml:space="preserve"> documento</w:t>
      </w:r>
      <w:r w:rsidR="00E37465" w:rsidRPr="00171307">
        <w:rPr>
          <w:rFonts w:cs="Arial"/>
          <w:snapToGrid w:val="0"/>
          <w:lang w:eastAsia="ja-JP"/>
        </w:rPr>
        <w:t xml:space="preserve"> </w:t>
      </w:r>
      <w:r w:rsidR="00997FD5" w:rsidRPr="00171307">
        <w:rPr>
          <w:rFonts w:cs="Arial"/>
          <w:snapToGrid w:val="0"/>
          <w:lang w:eastAsia="ja-JP"/>
        </w:rPr>
        <w:t>UPOV/INF/12/5:</w:t>
      </w:r>
    </w:p>
    <w:p w:rsidR="00A93D11" w:rsidRPr="00BB6FEA" w:rsidRDefault="00A93D11" w:rsidP="00A93D11">
      <w:pPr>
        <w:keepNext/>
        <w:ind w:firstLine="540"/>
        <w:rPr>
          <w:rFonts w:cs="Arial"/>
          <w:snapToGrid w:val="0"/>
          <w:highlight w:val="yellow"/>
          <w:lang w:val="es-ES" w:eastAsia="ja-JP"/>
        </w:rPr>
      </w:pPr>
    </w:p>
    <w:p w:rsidR="00A93D11" w:rsidRPr="00BB6FEA" w:rsidRDefault="00884E58" w:rsidP="00A93D11">
      <w:pPr>
        <w:keepNext/>
        <w:ind w:firstLine="540"/>
        <w:rPr>
          <w:szCs w:val="24"/>
          <w:highlight w:val="yellow"/>
          <w:lang w:val="es-ES" w:eastAsia="ja-JP"/>
        </w:rPr>
      </w:pPr>
      <w:r w:rsidRPr="00171307">
        <w:rPr>
          <w:rFonts w:cs="Arial"/>
          <w:snapToGrid w:val="0"/>
          <w:lang w:eastAsia="ja-JP"/>
        </w:rPr>
        <w:t>a)</w:t>
      </w:r>
      <w:r w:rsidR="00A93D11" w:rsidRPr="00BB6FEA">
        <w:rPr>
          <w:rFonts w:cs="Arial"/>
          <w:snapToGrid w:val="0"/>
          <w:lang w:val="es-ES" w:eastAsia="ja-JP"/>
        </w:rPr>
        <w:tab/>
      </w:r>
      <w:r w:rsidRPr="00171307">
        <w:rPr>
          <w:rFonts w:cs="Arial"/>
          <w:snapToGrid w:val="0"/>
          <w:lang w:eastAsia="ja-JP"/>
        </w:rPr>
        <w:t>Sección</w:t>
      </w:r>
      <w:r w:rsidR="00FC7ADA" w:rsidRPr="00171307">
        <w:rPr>
          <w:rFonts w:cs="Arial"/>
          <w:snapToGrid w:val="0"/>
          <w:lang w:eastAsia="ja-JP"/>
        </w:rPr>
        <w:t> 2</w:t>
      </w:r>
      <w:r w:rsidRPr="00171307">
        <w:rPr>
          <w:rFonts w:cs="Arial"/>
          <w:snapToGrid w:val="0"/>
          <w:lang w:eastAsia="ja-JP"/>
        </w:rPr>
        <w:t xml:space="preserve">.3: los </w:t>
      </w:r>
      <w:r w:rsidRPr="00171307">
        <w:t xml:space="preserve">criterios conceptuales </w:t>
      </w:r>
      <w:r w:rsidR="006C2721" w:rsidRPr="00171307">
        <w:t>de</w:t>
      </w:r>
      <w:r w:rsidRPr="00171307">
        <w:t xml:space="preserve"> la orientación de la UPOV pueden no ser adecuados debido a las dificultades </w:t>
      </w:r>
      <w:r w:rsidR="00DA5AD1" w:rsidRPr="00171307">
        <w:t xml:space="preserve">que entraña </w:t>
      </w:r>
      <w:r w:rsidRPr="00171307">
        <w:t>la aplicación armonizada del aspecto conceptual a escala internacional</w:t>
      </w:r>
      <w:r w:rsidRPr="00171307">
        <w:rPr>
          <w:szCs w:val="24"/>
          <w:lang w:eastAsia="ja-JP"/>
        </w:rPr>
        <w:t>; y</w:t>
      </w:r>
    </w:p>
    <w:p w:rsidR="00A93D11" w:rsidRPr="00BB6FEA" w:rsidRDefault="00A93D11" w:rsidP="00A93D11">
      <w:pPr>
        <w:rPr>
          <w:snapToGrid w:val="0"/>
          <w:lang w:val="es-ES" w:eastAsia="ja-JP"/>
        </w:rPr>
      </w:pPr>
    </w:p>
    <w:p w:rsidR="00A93D11" w:rsidRPr="00BB6FEA" w:rsidRDefault="00884E58" w:rsidP="00A93D11">
      <w:pPr>
        <w:autoSpaceDE w:val="0"/>
        <w:autoSpaceDN w:val="0"/>
        <w:adjustRightInd w:val="0"/>
        <w:ind w:firstLine="567"/>
        <w:rPr>
          <w:rFonts w:eastAsiaTheme="minorEastAsia"/>
          <w:highlight w:val="yellow"/>
          <w:lang w:val="es-ES" w:eastAsia="ja-JP"/>
        </w:rPr>
      </w:pPr>
      <w:r w:rsidRPr="00171307">
        <w:rPr>
          <w:rFonts w:eastAsiaTheme="minorEastAsia" w:cs="Arial"/>
          <w:snapToGrid w:val="0"/>
          <w:lang w:eastAsia="ja-JP"/>
        </w:rPr>
        <w:t>b)</w:t>
      </w:r>
      <w:r w:rsidR="00A93D11" w:rsidRPr="00BB6FEA">
        <w:rPr>
          <w:rFonts w:eastAsiaTheme="minorEastAsia" w:cs="Arial"/>
          <w:snapToGrid w:val="0"/>
          <w:lang w:val="es-ES" w:eastAsia="ja-JP"/>
        </w:rPr>
        <w:tab/>
      </w:r>
      <w:r w:rsidRPr="00171307">
        <w:rPr>
          <w:rFonts w:eastAsiaTheme="minorEastAsia" w:cs="Arial"/>
          <w:snapToGrid w:val="0"/>
          <w:lang w:eastAsia="ja-JP"/>
        </w:rPr>
        <w:t>Sección</w:t>
      </w:r>
      <w:r w:rsidR="00FC7ADA" w:rsidRPr="00171307">
        <w:rPr>
          <w:rFonts w:eastAsiaTheme="minorEastAsia" w:cs="Arial"/>
          <w:snapToGrid w:val="0"/>
          <w:lang w:eastAsia="ja-JP"/>
        </w:rPr>
        <w:t> 2</w:t>
      </w:r>
      <w:r w:rsidRPr="00171307">
        <w:rPr>
          <w:rFonts w:eastAsiaTheme="minorEastAsia" w:cs="Arial"/>
          <w:snapToGrid w:val="0"/>
          <w:lang w:eastAsia="ja-JP"/>
        </w:rPr>
        <w:t xml:space="preserve">.4: </w:t>
      </w:r>
      <w:r w:rsidRPr="00171307">
        <w:rPr>
          <w:rFonts w:eastAsiaTheme="minorEastAsia"/>
        </w:rPr>
        <w:t>el término “variedad” se refiere a la definición de variedad que se recoge en el artículo</w:t>
      </w:r>
      <w:r w:rsidR="00FC7ADA" w:rsidRPr="00171307">
        <w:rPr>
          <w:rFonts w:eastAsiaTheme="minorEastAsia"/>
        </w:rPr>
        <w:t> 1</w:t>
      </w:r>
      <w:r w:rsidRPr="00171307">
        <w:rPr>
          <w:rFonts w:eastAsiaTheme="minorEastAsia"/>
        </w:rPr>
        <w:t>.vi) del Acta de</w:t>
      </w:r>
      <w:r w:rsidR="00FC7ADA" w:rsidRPr="00171307">
        <w:rPr>
          <w:rFonts w:eastAsiaTheme="minorEastAsia"/>
        </w:rPr>
        <w:t> 1</w:t>
      </w:r>
      <w:r w:rsidRPr="00171307">
        <w:rPr>
          <w:rFonts w:eastAsiaTheme="minorEastAsia"/>
        </w:rPr>
        <w:t xml:space="preserve">991 del Convenio de la </w:t>
      </w:r>
      <w:r w:rsidR="003F45CE" w:rsidRPr="00171307">
        <w:rPr>
          <w:rFonts w:eastAsiaTheme="minorEastAsia"/>
        </w:rPr>
        <w:t>UPOV,</w:t>
      </w:r>
      <w:r w:rsidRPr="00171307">
        <w:rPr>
          <w:rFonts w:eastAsiaTheme="minorEastAsia"/>
        </w:rPr>
        <w:t xml:space="preserve"> y</w:t>
      </w:r>
      <w:r w:rsidR="003F45CE" w:rsidRPr="00171307">
        <w:rPr>
          <w:rFonts w:eastAsiaTheme="minorEastAsia"/>
        </w:rPr>
        <w:t xml:space="preserve"> cabe señalar que </w:t>
      </w:r>
      <w:r w:rsidRPr="00171307">
        <w:rPr>
          <w:rFonts w:eastAsiaTheme="minorEastAsia"/>
        </w:rPr>
        <w:t>es</w:t>
      </w:r>
      <w:r w:rsidR="003F45CE" w:rsidRPr="00171307">
        <w:rPr>
          <w:rFonts w:eastAsiaTheme="minorEastAsia"/>
        </w:rPr>
        <w:t xml:space="preserve"> un término </w:t>
      </w:r>
      <w:r w:rsidRPr="00171307">
        <w:rPr>
          <w:rFonts w:eastAsiaTheme="minorEastAsia"/>
        </w:rPr>
        <w:t>más amplio que el concepto de “variedad susceptible de ser protegida”</w:t>
      </w:r>
      <w:r w:rsidRPr="00171307">
        <w:rPr>
          <w:rFonts w:eastAsiaTheme="minorEastAsia"/>
          <w:szCs w:val="24"/>
          <w:lang w:eastAsia="ja-JP"/>
        </w:rPr>
        <w:t>.</w:t>
      </w:r>
      <w:r w:rsidR="00A93D11" w:rsidRPr="00BB6FEA">
        <w:rPr>
          <w:rFonts w:eastAsiaTheme="minorEastAsia"/>
          <w:szCs w:val="24"/>
          <w:lang w:val="es-ES" w:eastAsia="ja-JP"/>
        </w:rPr>
        <w:t xml:space="preserve"> </w:t>
      </w:r>
    </w:p>
    <w:p w:rsidR="00A93D11" w:rsidRPr="00BB6FEA" w:rsidRDefault="00A93D11" w:rsidP="00A93D11">
      <w:pPr>
        <w:rPr>
          <w:snapToGrid w:val="0"/>
          <w:lang w:val="es-ES" w:eastAsia="ja-JP"/>
        </w:rPr>
      </w:pPr>
    </w:p>
    <w:p w:rsidR="00A93D11" w:rsidRPr="00BB6FEA" w:rsidRDefault="00EA5061" w:rsidP="00A93D11">
      <w:pPr>
        <w:keepNext/>
        <w:rPr>
          <w:rFonts w:cs="Arial"/>
          <w:snapToGrid w:val="0"/>
          <w:lang w:val="es-ES" w:eastAsia="ja-JP"/>
        </w:rPr>
      </w:pPr>
      <w:r w:rsidRPr="003E6A0B">
        <w:rPr>
          <w:rFonts w:cs="Arial"/>
          <w:snapToGrid w:val="0"/>
        </w:rPr>
        <w:fldChar w:fldCharType="begin"/>
      </w:r>
      <w:r w:rsidR="00A93D11" w:rsidRPr="00BB6FEA">
        <w:rPr>
          <w:rFonts w:cs="Arial"/>
          <w:snapToGrid w:val="0"/>
          <w:lang w:val="es-ES"/>
        </w:rPr>
        <w:instrText xml:space="preserve"> AUTONUM  </w:instrText>
      </w:r>
      <w:r w:rsidRPr="003E6A0B">
        <w:rPr>
          <w:rFonts w:cs="Arial"/>
          <w:snapToGrid w:val="0"/>
        </w:rPr>
        <w:fldChar w:fldCharType="end"/>
      </w:r>
      <w:r w:rsidR="00A93D11" w:rsidRPr="00BB6FEA">
        <w:rPr>
          <w:rFonts w:cs="Arial"/>
          <w:snapToGrid w:val="0"/>
          <w:lang w:val="es-ES"/>
        </w:rPr>
        <w:tab/>
      </w:r>
      <w:r w:rsidR="00884E58" w:rsidRPr="00171307">
        <w:rPr>
          <w:rFonts w:cs="Arial"/>
          <w:snapToGrid w:val="0"/>
          <w:lang w:eastAsia="ja-JP"/>
        </w:rPr>
        <w:t xml:space="preserve">El WG-DEN </w:t>
      </w:r>
      <w:r w:rsidR="00171307" w:rsidRPr="00171307">
        <w:rPr>
          <w:rFonts w:cs="Arial"/>
          <w:snapToGrid w:val="0"/>
          <w:lang w:eastAsia="ja-JP"/>
        </w:rPr>
        <w:t xml:space="preserve">acordó </w:t>
      </w:r>
      <w:r w:rsidR="00884E58" w:rsidRPr="00171307">
        <w:rPr>
          <w:rFonts w:cs="Arial"/>
          <w:snapToGrid w:val="0"/>
          <w:lang w:eastAsia="ja-JP"/>
        </w:rPr>
        <w:t xml:space="preserve">examinar los siguientes puntos en su cuarta </w:t>
      </w:r>
      <w:r w:rsidR="003F45CE" w:rsidRPr="00171307">
        <w:rPr>
          <w:rFonts w:cs="Arial"/>
          <w:snapToGrid w:val="0"/>
          <w:lang w:eastAsia="ja-JP"/>
        </w:rPr>
        <w:t>reunión</w:t>
      </w:r>
      <w:r w:rsidR="00884E58" w:rsidRPr="00171307">
        <w:rPr>
          <w:rFonts w:cs="Arial"/>
          <w:snapToGrid w:val="0"/>
          <w:lang w:eastAsia="ja-JP"/>
        </w:rPr>
        <w:t>:</w:t>
      </w:r>
    </w:p>
    <w:p w:rsidR="00A93D11" w:rsidRPr="00BB6FEA" w:rsidRDefault="00A93D11" w:rsidP="00A93D11">
      <w:pPr>
        <w:keepNext/>
        <w:rPr>
          <w:rFonts w:cs="Arial"/>
          <w:snapToGrid w:val="0"/>
          <w:lang w:val="es-ES" w:eastAsia="ja-JP"/>
        </w:rPr>
      </w:pPr>
    </w:p>
    <w:p w:rsidR="00A93D11" w:rsidRPr="00BB6FEA" w:rsidRDefault="00884E58" w:rsidP="00A93D11">
      <w:pPr>
        <w:keepNext/>
        <w:ind w:firstLine="540"/>
        <w:rPr>
          <w:lang w:val="es-ES"/>
        </w:rPr>
      </w:pPr>
      <w:r w:rsidRPr="00171307">
        <w:rPr>
          <w:rFonts w:cs="Arial"/>
          <w:snapToGrid w:val="0"/>
          <w:lang w:eastAsia="ja-JP"/>
        </w:rPr>
        <w:t>a)</w:t>
      </w:r>
      <w:r w:rsidR="00A93D11" w:rsidRPr="00BB6FEA">
        <w:rPr>
          <w:rFonts w:cs="Arial"/>
          <w:snapToGrid w:val="0"/>
          <w:lang w:val="es-ES" w:eastAsia="ja-JP"/>
        </w:rPr>
        <w:tab/>
      </w:r>
      <w:r w:rsidR="00E81A2B" w:rsidRPr="00B4260E">
        <w:t>El</w:t>
      </w:r>
      <w:r w:rsidRPr="00B4260E">
        <w:t xml:space="preserve"> WG-DEN </w:t>
      </w:r>
      <w:r w:rsidR="00171307" w:rsidRPr="00B4260E">
        <w:t>decidi</w:t>
      </w:r>
      <w:r w:rsidR="00E81A2B" w:rsidRPr="00B4260E">
        <w:t>ó e</w:t>
      </w:r>
      <w:r w:rsidR="00B4260E" w:rsidRPr="00B4260E">
        <w:t>nvia</w:t>
      </w:r>
      <w:r w:rsidR="00E81A2B" w:rsidRPr="00B4260E">
        <w:t>r un</w:t>
      </w:r>
      <w:r w:rsidRPr="00B4260E">
        <w:t xml:space="preserve">a circular </w:t>
      </w:r>
      <w:r w:rsidR="00A2498A" w:rsidRPr="00B4260E">
        <w:t>para</w:t>
      </w:r>
      <w:r w:rsidRPr="00B4260E">
        <w:t xml:space="preserve"> </w:t>
      </w:r>
      <w:r w:rsidR="00674251" w:rsidRPr="00B4260E">
        <w:t xml:space="preserve">determinar la </w:t>
      </w:r>
      <w:r w:rsidRPr="00B4260E">
        <w:t xml:space="preserve">frecuencia </w:t>
      </w:r>
      <w:r w:rsidR="00674251" w:rsidRPr="00B4260E">
        <w:t xml:space="preserve">con que los </w:t>
      </w:r>
      <w:r w:rsidRPr="00B4260E">
        <w:t>miembros de la</w:t>
      </w:r>
      <w:r w:rsidR="00A2498A" w:rsidRPr="00B4260E">
        <w:t> </w:t>
      </w:r>
      <w:r w:rsidRPr="00B4260E">
        <w:t xml:space="preserve">UPOV </w:t>
      </w:r>
      <w:r w:rsidR="00A2498A" w:rsidRPr="00B4260E">
        <w:t xml:space="preserve">se </w:t>
      </w:r>
      <w:r w:rsidR="00171307" w:rsidRPr="00B4260E">
        <w:t xml:space="preserve">enfrentan a </w:t>
      </w:r>
      <w:r w:rsidR="001E637F" w:rsidRPr="00B4260E">
        <w:t xml:space="preserve">denominaciones </w:t>
      </w:r>
      <w:r w:rsidRPr="00B4260E">
        <w:t>existente</w:t>
      </w:r>
      <w:r w:rsidR="001E637F" w:rsidRPr="00B4260E">
        <w:t>s</w:t>
      </w:r>
      <w:r w:rsidRPr="00B4260E">
        <w:t xml:space="preserve"> </w:t>
      </w:r>
      <w:r w:rsidR="00865DFC" w:rsidRPr="00B4260E">
        <w:t>que</w:t>
      </w:r>
      <w:r w:rsidRPr="00B4260E">
        <w:t xml:space="preserve"> no </w:t>
      </w:r>
      <w:r w:rsidR="00865DFC" w:rsidRPr="00B4260E">
        <w:t xml:space="preserve">se ajustan a sus </w:t>
      </w:r>
      <w:r w:rsidRPr="00B4260E">
        <w:t>propio</w:t>
      </w:r>
      <w:r w:rsidR="00865DFC" w:rsidRPr="00B4260E">
        <w:t>s</w:t>
      </w:r>
      <w:r w:rsidRPr="00B4260E">
        <w:t xml:space="preserve"> criterios y </w:t>
      </w:r>
      <w:r w:rsidR="007C6F54" w:rsidRPr="00B4260E">
        <w:t>la</w:t>
      </w:r>
      <w:r w:rsidRPr="00B4260E">
        <w:t xml:space="preserve"> frecuencia </w:t>
      </w:r>
      <w:r w:rsidR="007C6F54" w:rsidRPr="00B4260E">
        <w:t xml:space="preserve">con que se crean </w:t>
      </w:r>
      <w:r w:rsidRPr="00B4260E">
        <w:t xml:space="preserve">sinónimos </w:t>
      </w:r>
      <w:r w:rsidR="007C6F54" w:rsidRPr="00B4260E">
        <w:t>por esa causa</w:t>
      </w:r>
      <w:r w:rsidRPr="00B4260E">
        <w:t>.</w:t>
      </w:r>
      <w:r w:rsidR="00A93D11" w:rsidRPr="00BB6FEA">
        <w:rPr>
          <w:lang w:val="es-ES"/>
        </w:rPr>
        <w:t xml:space="preserve"> </w:t>
      </w:r>
      <w:r w:rsidR="00B4260E" w:rsidRPr="00336B2B">
        <w:t>El WG</w:t>
      </w:r>
      <w:r w:rsidR="00B4260E" w:rsidRPr="00336B2B">
        <w:noBreakHyphen/>
        <w:t xml:space="preserve">DEN decidió enviar </w:t>
      </w:r>
      <w:r w:rsidR="00FF0B32" w:rsidRPr="00336B2B">
        <w:t>asimismo</w:t>
      </w:r>
      <w:r w:rsidR="00B4260E" w:rsidRPr="00336B2B">
        <w:t xml:space="preserve"> </w:t>
      </w:r>
      <w:r w:rsidR="007C6F54" w:rsidRPr="00336B2B">
        <w:t>una circular a los usuarios para averiguar si las prácticas actuales plantean problemas;</w:t>
      </w:r>
    </w:p>
    <w:p w:rsidR="00A93D11" w:rsidRPr="00BB6FEA" w:rsidRDefault="00A93D11" w:rsidP="00A93D11">
      <w:pPr>
        <w:keepNext/>
        <w:ind w:firstLine="540"/>
        <w:rPr>
          <w:rFonts w:cs="Arial"/>
          <w:snapToGrid w:val="0"/>
          <w:lang w:val="es-ES" w:eastAsia="ja-JP"/>
        </w:rPr>
      </w:pPr>
    </w:p>
    <w:p w:rsidR="00A93D11" w:rsidRPr="00BB6FEA" w:rsidRDefault="007C6F54" w:rsidP="00A93D11">
      <w:pPr>
        <w:autoSpaceDE w:val="0"/>
        <w:autoSpaceDN w:val="0"/>
        <w:adjustRightInd w:val="0"/>
        <w:ind w:firstLine="567"/>
        <w:rPr>
          <w:rFonts w:eastAsiaTheme="minorEastAsia"/>
          <w:highlight w:val="yellow"/>
          <w:lang w:val="es-ES" w:eastAsia="ja-JP"/>
        </w:rPr>
      </w:pPr>
      <w:r w:rsidRPr="00E136CC">
        <w:rPr>
          <w:rFonts w:eastAsiaTheme="minorEastAsia"/>
          <w:lang w:eastAsia="ja-JP"/>
        </w:rPr>
        <w:t>b)</w:t>
      </w:r>
      <w:r w:rsidR="00A93D11" w:rsidRPr="00BB6FEA">
        <w:rPr>
          <w:rFonts w:eastAsiaTheme="minorEastAsia"/>
          <w:lang w:val="es-ES" w:eastAsia="ja-JP"/>
        </w:rPr>
        <w:tab/>
      </w:r>
      <w:r w:rsidR="00427694" w:rsidRPr="00E136CC">
        <w:rPr>
          <w:rFonts w:eastAsiaTheme="minorEastAsia"/>
          <w:lang w:eastAsia="ja-JP"/>
        </w:rPr>
        <w:t>Sección</w:t>
      </w:r>
      <w:r w:rsidR="00FC7ADA" w:rsidRPr="00E136CC">
        <w:rPr>
          <w:rFonts w:eastAsiaTheme="minorEastAsia"/>
          <w:lang w:eastAsia="ja-JP"/>
        </w:rPr>
        <w:t> 2</w:t>
      </w:r>
      <w:r w:rsidR="00427694" w:rsidRPr="00E136CC">
        <w:rPr>
          <w:rFonts w:eastAsiaTheme="minorEastAsia"/>
          <w:lang w:eastAsia="ja-JP"/>
        </w:rPr>
        <w:t xml:space="preserve">.3.3.c): el </w:t>
      </w:r>
      <w:r w:rsidR="00427694" w:rsidRPr="00E136CC">
        <w:rPr>
          <w:rFonts w:eastAsiaTheme="minorEastAsia"/>
        </w:rPr>
        <w:t xml:space="preserve">WG-DEN </w:t>
      </w:r>
      <w:r w:rsidR="0075450B" w:rsidRPr="00E136CC">
        <w:rPr>
          <w:rFonts w:eastAsiaTheme="minorEastAsia"/>
          <w:lang w:eastAsia="ja-JP"/>
        </w:rPr>
        <w:t>llegó a la conclusión de que</w:t>
      </w:r>
      <w:r w:rsidR="00FC7ADA" w:rsidRPr="00E136CC">
        <w:rPr>
          <w:rFonts w:eastAsiaTheme="minorEastAsia"/>
        </w:rPr>
        <w:t xml:space="preserve">, </w:t>
      </w:r>
      <w:r w:rsidR="0075450B" w:rsidRPr="00E136CC">
        <w:rPr>
          <w:rFonts w:eastAsiaTheme="minorEastAsia"/>
        </w:rPr>
        <w:t>en ese momento</w:t>
      </w:r>
      <w:r w:rsidR="00FC7ADA" w:rsidRPr="00E136CC">
        <w:rPr>
          <w:rFonts w:eastAsiaTheme="minorEastAsia"/>
        </w:rPr>
        <w:t xml:space="preserve">, </w:t>
      </w:r>
      <w:r w:rsidR="00427694" w:rsidRPr="00E136CC">
        <w:rPr>
          <w:rFonts w:eastAsiaTheme="minorEastAsia"/>
        </w:rPr>
        <w:t xml:space="preserve">no </w:t>
      </w:r>
      <w:r w:rsidR="0075450B" w:rsidRPr="00E136CC">
        <w:rPr>
          <w:rFonts w:eastAsiaTheme="minorEastAsia"/>
        </w:rPr>
        <w:t xml:space="preserve">había </w:t>
      </w:r>
      <w:r w:rsidR="00427694" w:rsidRPr="00E136CC">
        <w:rPr>
          <w:rFonts w:eastAsiaTheme="minorEastAsia"/>
        </w:rPr>
        <w:t>acuerdo</w:t>
      </w:r>
      <w:r w:rsidR="0075450B" w:rsidRPr="00E136CC">
        <w:rPr>
          <w:rFonts w:eastAsiaTheme="minorEastAsia"/>
        </w:rPr>
        <w:t xml:space="preserve"> para modificar </w:t>
      </w:r>
      <w:r w:rsidR="00776400" w:rsidRPr="00E136CC">
        <w:rPr>
          <w:rFonts w:eastAsiaTheme="minorEastAsia"/>
        </w:rPr>
        <w:t xml:space="preserve">la redacción actual </w:t>
      </w:r>
      <w:r w:rsidR="0075450B" w:rsidRPr="00E136CC">
        <w:rPr>
          <w:rFonts w:eastAsiaTheme="minorEastAsia"/>
        </w:rPr>
        <w:t xml:space="preserve">de la </w:t>
      </w:r>
      <w:r w:rsidR="00427694" w:rsidRPr="00E136CC">
        <w:rPr>
          <w:rFonts w:eastAsiaTheme="minorEastAsia"/>
        </w:rPr>
        <w:t>sección</w:t>
      </w:r>
      <w:r w:rsidR="00FC7ADA" w:rsidRPr="00E136CC">
        <w:rPr>
          <w:rFonts w:eastAsiaTheme="minorEastAsia"/>
        </w:rPr>
        <w:t> 2</w:t>
      </w:r>
      <w:r w:rsidR="00427694" w:rsidRPr="00E136CC">
        <w:rPr>
          <w:rFonts w:eastAsiaTheme="minorEastAsia"/>
        </w:rPr>
        <w:t>.3.3</w:t>
      </w:r>
      <w:r w:rsidR="0075450B" w:rsidRPr="00E136CC">
        <w:rPr>
          <w:rFonts w:eastAsiaTheme="minorEastAsia"/>
        </w:rPr>
        <w:t>.</w:t>
      </w:r>
      <w:r w:rsidR="00427694" w:rsidRPr="00E136CC">
        <w:rPr>
          <w:rFonts w:eastAsiaTheme="minorEastAsia"/>
        </w:rPr>
        <w:t>c)</w:t>
      </w:r>
      <w:r w:rsidR="00FC7ADA" w:rsidRPr="00E136CC">
        <w:rPr>
          <w:rFonts w:eastAsiaTheme="minorEastAsia"/>
        </w:rPr>
        <w:t xml:space="preserve"> </w:t>
      </w:r>
      <w:r w:rsidR="00427694" w:rsidRPr="00E136CC">
        <w:rPr>
          <w:rFonts w:eastAsiaTheme="minorEastAsia"/>
        </w:rPr>
        <w:t>pero</w:t>
      </w:r>
      <w:r w:rsidR="00D7766C" w:rsidRPr="00E136CC">
        <w:rPr>
          <w:rFonts w:eastAsiaTheme="minorEastAsia"/>
        </w:rPr>
        <w:t>,</w:t>
      </w:r>
      <w:r w:rsidR="00427694" w:rsidRPr="00E136CC">
        <w:rPr>
          <w:rFonts w:eastAsiaTheme="minorEastAsia"/>
        </w:rPr>
        <w:t xml:space="preserve"> antes </w:t>
      </w:r>
      <w:r w:rsidR="00170EED" w:rsidRPr="00E136CC">
        <w:rPr>
          <w:rFonts w:eastAsiaTheme="minorEastAsia"/>
        </w:rPr>
        <w:t>de zanjar esa cuestión</w:t>
      </w:r>
      <w:r w:rsidR="00FC7ADA" w:rsidRPr="00E136CC">
        <w:rPr>
          <w:rFonts w:eastAsiaTheme="minorEastAsia"/>
        </w:rPr>
        <w:t xml:space="preserve">, </w:t>
      </w:r>
      <w:r w:rsidR="00170EED" w:rsidRPr="00E136CC">
        <w:rPr>
          <w:rFonts w:eastAsiaTheme="minorEastAsia"/>
        </w:rPr>
        <w:t xml:space="preserve">el </w:t>
      </w:r>
      <w:r w:rsidR="00C217C9" w:rsidRPr="00E136CC">
        <w:rPr>
          <w:rFonts w:eastAsiaTheme="minorEastAsia"/>
        </w:rPr>
        <w:t>WG</w:t>
      </w:r>
      <w:r w:rsidR="00C217C9" w:rsidRPr="00E136CC">
        <w:rPr>
          <w:rFonts w:eastAsiaTheme="minorEastAsia"/>
        </w:rPr>
        <w:noBreakHyphen/>
        <w:t xml:space="preserve">DEN </w:t>
      </w:r>
      <w:r w:rsidR="00170EED" w:rsidRPr="00E136CC">
        <w:rPr>
          <w:rFonts w:eastAsiaTheme="minorEastAsia"/>
        </w:rPr>
        <w:t xml:space="preserve">pidió a sus </w:t>
      </w:r>
      <w:r w:rsidR="00427694" w:rsidRPr="00E136CC">
        <w:rPr>
          <w:rFonts w:eastAsiaTheme="minorEastAsia"/>
        </w:rPr>
        <w:t xml:space="preserve">miembros </w:t>
      </w:r>
      <w:r w:rsidR="00170EED" w:rsidRPr="00E136CC">
        <w:rPr>
          <w:rFonts w:eastAsiaTheme="minorEastAsia"/>
        </w:rPr>
        <w:t xml:space="preserve">que aporten </w:t>
      </w:r>
      <w:r w:rsidR="00427694" w:rsidRPr="00E136CC">
        <w:rPr>
          <w:rFonts w:eastAsiaTheme="minorEastAsia"/>
        </w:rPr>
        <w:t>ejemplos</w:t>
      </w:r>
      <w:r w:rsidR="00170EED" w:rsidRPr="00E136CC">
        <w:rPr>
          <w:rFonts w:eastAsiaTheme="minorEastAsia"/>
        </w:rPr>
        <w:t xml:space="preserve"> u orientaciones acerca de la </w:t>
      </w:r>
      <w:r w:rsidR="00427694" w:rsidRPr="00E136CC">
        <w:rPr>
          <w:rFonts w:eastAsiaTheme="minorEastAsia"/>
        </w:rPr>
        <w:t>aplicación de</w:t>
      </w:r>
      <w:r w:rsidR="00170EED" w:rsidRPr="00E136CC">
        <w:rPr>
          <w:rFonts w:eastAsiaTheme="minorEastAsia"/>
        </w:rPr>
        <w:t>l</w:t>
      </w:r>
      <w:r w:rsidR="00427694" w:rsidRPr="00E136CC">
        <w:rPr>
          <w:rFonts w:eastAsiaTheme="minorEastAsia"/>
        </w:rPr>
        <w:t xml:space="preserve"> siguiente element</w:t>
      </w:r>
      <w:r w:rsidR="00170EED" w:rsidRPr="00E136CC">
        <w:rPr>
          <w:rFonts w:eastAsiaTheme="minorEastAsia"/>
        </w:rPr>
        <w:t>o de la</w:t>
      </w:r>
      <w:r w:rsidR="00427694" w:rsidRPr="00E136CC">
        <w:rPr>
          <w:rFonts w:eastAsiaTheme="minorEastAsia"/>
        </w:rPr>
        <w:t xml:space="preserve"> </w:t>
      </w:r>
      <w:r w:rsidR="00170EED" w:rsidRPr="00E136CC">
        <w:rPr>
          <w:rFonts w:eastAsiaTheme="minorEastAsia"/>
        </w:rPr>
        <w:t>sección</w:t>
      </w:r>
      <w:r w:rsidR="00FC7ADA" w:rsidRPr="00E136CC">
        <w:rPr>
          <w:rFonts w:eastAsiaTheme="minorEastAsia"/>
        </w:rPr>
        <w:t> 2</w:t>
      </w:r>
      <w:r w:rsidR="00427694" w:rsidRPr="00E136CC">
        <w:rPr>
          <w:rFonts w:eastAsiaTheme="minorEastAsia"/>
        </w:rPr>
        <w:t>.3.3</w:t>
      </w:r>
      <w:r w:rsidR="00170EED" w:rsidRPr="00E136CC">
        <w:rPr>
          <w:rFonts w:eastAsiaTheme="minorEastAsia"/>
        </w:rPr>
        <w:t>.</w:t>
      </w:r>
      <w:r w:rsidR="00427694" w:rsidRPr="00E136CC">
        <w:rPr>
          <w:rFonts w:eastAsiaTheme="minorEastAsia"/>
        </w:rPr>
        <w:t>c)</w:t>
      </w:r>
      <w:r w:rsidR="00170EED" w:rsidRPr="00E136CC">
        <w:rPr>
          <w:rFonts w:eastAsiaTheme="minorEastAsia"/>
        </w:rPr>
        <w:t>:</w:t>
      </w:r>
      <w:r w:rsidR="00427694" w:rsidRPr="00E136CC">
        <w:rPr>
          <w:rFonts w:eastAsiaTheme="minorEastAsia"/>
        </w:rPr>
        <w:t xml:space="preserve"> “</w:t>
      </w:r>
      <w:r w:rsidR="00816A93" w:rsidRPr="00E136CC">
        <w:t>En ciertos casos limitados</w:t>
      </w:r>
      <w:r w:rsidR="00FC7ADA" w:rsidRPr="00E136CC">
        <w:t xml:space="preserve">, </w:t>
      </w:r>
      <w:r w:rsidR="00816A93" w:rsidRPr="00E136CC">
        <w:t>se puede aceptar una excepción</w:t>
      </w:r>
      <w:r w:rsidR="00FC7ADA" w:rsidRPr="00E136CC">
        <w:t xml:space="preserve">, </w:t>
      </w:r>
      <w:r w:rsidR="00816A93" w:rsidRPr="00E136CC">
        <w:t>por ejemplo</w:t>
      </w:r>
      <w:r w:rsidR="00FC7ADA" w:rsidRPr="00E136CC">
        <w:t xml:space="preserve">, </w:t>
      </w:r>
      <w:r w:rsidR="00816A93" w:rsidRPr="00E136CC">
        <w:t>una variedad que nunca haya sido comercializada o que sólo haya sido comercializada en forma limitada y durante un corto período de tiempo</w:t>
      </w:r>
      <w:r w:rsidR="00427694" w:rsidRPr="00E136CC">
        <w:rPr>
          <w:rFonts w:eastAsiaTheme="minorEastAsia"/>
        </w:rPr>
        <w:t>”</w:t>
      </w:r>
      <w:r w:rsidR="006A6533" w:rsidRPr="00E136CC">
        <w:rPr>
          <w:rFonts w:eastAsiaTheme="minorEastAsia"/>
        </w:rPr>
        <w:t>,</w:t>
      </w:r>
      <w:r w:rsidR="00427694" w:rsidRPr="00E136CC">
        <w:rPr>
          <w:rFonts w:eastAsiaTheme="minorEastAsia"/>
        </w:rPr>
        <w:t xml:space="preserve"> y a</w:t>
      </w:r>
      <w:r w:rsidR="00816A93" w:rsidRPr="00E136CC">
        <w:rPr>
          <w:rFonts w:eastAsiaTheme="minorEastAsia"/>
        </w:rPr>
        <w:t>cordó</w:t>
      </w:r>
      <w:r w:rsidR="00427694" w:rsidRPr="00E136CC">
        <w:rPr>
          <w:rFonts w:eastAsiaTheme="minorEastAsia"/>
        </w:rPr>
        <w:t xml:space="preserve"> </w:t>
      </w:r>
      <w:r w:rsidR="00816A93" w:rsidRPr="00E136CC">
        <w:rPr>
          <w:rFonts w:eastAsiaTheme="minorEastAsia"/>
        </w:rPr>
        <w:t>enviar un</w:t>
      </w:r>
      <w:r w:rsidR="00427694" w:rsidRPr="00E136CC">
        <w:rPr>
          <w:rFonts w:eastAsiaTheme="minorEastAsia"/>
        </w:rPr>
        <w:t xml:space="preserve">a circular </w:t>
      </w:r>
      <w:r w:rsidR="00816A93" w:rsidRPr="00E136CC">
        <w:rPr>
          <w:rFonts w:eastAsiaTheme="minorEastAsia"/>
        </w:rPr>
        <w:t>a tal efecto</w:t>
      </w:r>
      <w:r w:rsidR="00427694" w:rsidRPr="00E136CC">
        <w:rPr>
          <w:rFonts w:eastAsiaTheme="minorEastAsia"/>
          <w:lang w:eastAsia="ja-JP"/>
        </w:rPr>
        <w:t>;</w:t>
      </w:r>
    </w:p>
    <w:p w:rsidR="00A93D11" w:rsidRPr="00BB6FEA" w:rsidRDefault="00A93D11" w:rsidP="00A93D11">
      <w:pPr>
        <w:autoSpaceDE w:val="0"/>
        <w:autoSpaceDN w:val="0"/>
        <w:adjustRightInd w:val="0"/>
        <w:ind w:firstLine="567"/>
        <w:rPr>
          <w:rFonts w:eastAsiaTheme="minorEastAsia"/>
          <w:highlight w:val="yellow"/>
          <w:lang w:val="es-ES" w:eastAsia="ja-JP"/>
        </w:rPr>
      </w:pPr>
    </w:p>
    <w:p w:rsidR="00A93D11" w:rsidRPr="00BB6FEA" w:rsidRDefault="006D5F80" w:rsidP="00A93D11">
      <w:pPr>
        <w:autoSpaceDE w:val="0"/>
        <w:autoSpaceDN w:val="0"/>
        <w:adjustRightInd w:val="0"/>
        <w:ind w:firstLine="567"/>
        <w:rPr>
          <w:rFonts w:eastAsiaTheme="minorEastAsia"/>
          <w:szCs w:val="24"/>
          <w:highlight w:val="yellow"/>
          <w:lang w:val="es-ES" w:eastAsia="ja-JP"/>
        </w:rPr>
      </w:pPr>
      <w:r w:rsidRPr="00E136CC">
        <w:rPr>
          <w:rFonts w:eastAsiaTheme="minorEastAsia"/>
          <w:lang w:eastAsia="ja-JP"/>
        </w:rPr>
        <w:t>c)</w:t>
      </w:r>
      <w:r w:rsidR="00A93D11" w:rsidRPr="00BB6FEA">
        <w:rPr>
          <w:rFonts w:eastAsiaTheme="minorEastAsia"/>
          <w:lang w:val="es-ES" w:eastAsia="ja-JP"/>
        </w:rPr>
        <w:tab/>
      </w:r>
      <w:r w:rsidRPr="00E136CC">
        <w:rPr>
          <w:rFonts w:eastAsiaTheme="minorEastAsia"/>
          <w:lang w:eastAsia="ja-JP"/>
        </w:rPr>
        <w:t>Sección</w:t>
      </w:r>
      <w:r w:rsidR="00FC7ADA" w:rsidRPr="00E136CC">
        <w:rPr>
          <w:rFonts w:eastAsiaTheme="minorEastAsia"/>
          <w:lang w:eastAsia="ja-JP"/>
        </w:rPr>
        <w:t> 2</w:t>
      </w:r>
      <w:r w:rsidRPr="00E136CC">
        <w:rPr>
          <w:rFonts w:eastAsiaTheme="minorEastAsia"/>
          <w:lang w:eastAsia="ja-JP"/>
        </w:rPr>
        <w:t>.3.4 “</w:t>
      </w:r>
      <w:r w:rsidRPr="00E136CC">
        <w:t>Identidad del obtentor</w:t>
      </w:r>
      <w:r w:rsidRPr="00E136CC">
        <w:rPr>
          <w:rFonts w:eastAsiaTheme="minorEastAsia"/>
          <w:lang w:eastAsia="ja-JP"/>
        </w:rPr>
        <w:t xml:space="preserve">”: el </w:t>
      </w:r>
      <w:r w:rsidRPr="00E136CC">
        <w:rPr>
          <w:rFonts w:eastAsiaTheme="minorEastAsia"/>
        </w:rPr>
        <w:t xml:space="preserve">WG-DEN </w:t>
      </w:r>
      <w:r w:rsidR="00A61966" w:rsidRPr="00E136CC">
        <w:rPr>
          <w:rFonts w:eastAsiaTheme="minorEastAsia"/>
        </w:rPr>
        <w:t xml:space="preserve">convino en </w:t>
      </w:r>
      <w:r w:rsidR="007054E0" w:rsidRPr="00E136CC">
        <w:rPr>
          <w:rFonts w:eastAsiaTheme="minorEastAsia"/>
        </w:rPr>
        <w:t xml:space="preserve">seguir considerando </w:t>
      </w:r>
      <w:r w:rsidRPr="00E136CC">
        <w:rPr>
          <w:rFonts w:eastAsiaTheme="minorEastAsia"/>
        </w:rPr>
        <w:t xml:space="preserve">si </w:t>
      </w:r>
      <w:r w:rsidR="00A61966" w:rsidRPr="00E136CC">
        <w:rPr>
          <w:rFonts w:eastAsiaTheme="minorEastAsia"/>
        </w:rPr>
        <w:t xml:space="preserve">las oficinas de protección de las obtenciones vegetales deberían </w:t>
      </w:r>
      <w:r w:rsidR="00552EB8" w:rsidRPr="00E136CC">
        <w:rPr>
          <w:rFonts w:eastAsiaTheme="minorEastAsia"/>
        </w:rPr>
        <w:t>de</w:t>
      </w:r>
      <w:r w:rsidR="00C7204B" w:rsidRPr="00E136CC">
        <w:rPr>
          <w:rFonts w:eastAsiaTheme="minorEastAsia"/>
        </w:rPr>
        <w:t>sempeñar</w:t>
      </w:r>
      <w:r w:rsidR="00552EB8" w:rsidRPr="00E136CC">
        <w:rPr>
          <w:rFonts w:eastAsiaTheme="minorEastAsia"/>
        </w:rPr>
        <w:t xml:space="preserve"> alg</w:t>
      </w:r>
      <w:r w:rsidR="00C7204B" w:rsidRPr="00E136CC">
        <w:rPr>
          <w:rFonts w:eastAsiaTheme="minorEastAsia"/>
        </w:rPr>
        <w:t xml:space="preserve">una función </w:t>
      </w:r>
      <w:r w:rsidR="00A61966" w:rsidRPr="00E136CC">
        <w:rPr>
          <w:rFonts w:eastAsiaTheme="minorEastAsia"/>
        </w:rPr>
        <w:t xml:space="preserve">en </w:t>
      </w:r>
      <w:r w:rsidR="00C7204B" w:rsidRPr="00E136CC">
        <w:rPr>
          <w:rFonts w:eastAsiaTheme="minorEastAsia"/>
        </w:rPr>
        <w:t>cuanto a</w:t>
      </w:r>
      <w:r w:rsidR="00A61966" w:rsidRPr="00E136CC">
        <w:rPr>
          <w:rFonts w:eastAsiaTheme="minorEastAsia"/>
        </w:rPr>
        <w:t>l</w:t>
      </w:r>
      <w:r w:rsidRPr="00E136CC">
        <w:rPr>
          <w:rFonts w:eastAsiaTheme="minorEastAsia"/>
        </w:rPr>
        <w:t xml:space="preserve"> reco</w:t>
      </w:r>
      <w:r w:rsidR="00A61966" w:rsidRPr="00E136CC">
        <w:rPr>
          <w:rFonts w:eastAsiaTheme="minorEastAsia"/>
        </w:rPr>
        <w:t xml:space="preserve">nocimiento de las prácticas de los </w:t>
      </w:r>
      <w:r w:rsidRPr="00E136CC">
        <w:rPr>
          <w:rFonts w:eastAsiaTheme="minorEastAsia"/>
        </w:rPr>
        <w:t xml:space="preserve">obtentores </w:t>
      </w:r>
      <w:r w:rsidR="00E136CC" w:rsidRPr="00E136CC">
        <w:rPr>
          <w:rFonts w:eastAsiaTheme="minorEastAsia"/>
        </w:rPr>
        <w:t>respecto de</w:t>
      </w:r>
      <w:r w:rsidR="00A61966" w:rsidRPr="00E136CC">
        <w:rPr>
          <w:rFonts w:eastAsiaTheme="minorEastAsia"/>
        </w:rPr>
        <w:t xml:space="preserve"> la denominación de </w:t>
      </w:r>
      <w:r w:rsidRPr="00E136CC">
        <w:rPr>
          <w:rFonts w:eastAsiaTheme="minorEastAsia"/>
        </w:rPr>
        <w:t>variedades (</w:t>
      </w:r>
      <w:r w:rsidR="00A61966" w:rsidRPr="00E136CC">
        <w:rPr>
          <w:rFonts w:eastAsiaTheme="minorEastAsia"/>
        </w:rPr>
        <w:t>p. ej.</w:t>
      </w:r>
      <w:r w:rsidR="00FC7ADA" w:rsidRPr="00E136CC">
        <w:rPr>
          <w:rFonts w:eastAsiaTheme="minorEastAsia"/>
        </w:rPr>
        <w:t xml:space="preserve">, </w:t>
      </w:r>
      <w:r w:rsidRPr="00E136CC">
        <w:rPr>
          <w:rFonts w:eastAsiaTheme="minorEastAsia"/>
        </w:rPr>
        <w:t>prefi</w:t>
      </w:r>
      <w:r w:rsidR="00A61966" w:rsidRPr="00E136CC">
        <w:rPr>
          <w:rFonts w:eastAsiaTheme="minorEastAsia"/>
        </w:rPr>
        <w:t>jos</w:t>
      </w:r>
      <w:r w:rsidR="00FC7ADA" w:rsidRPr="00E136CC">
        <w:rPr>
          <w:rFonts w:eastAsiaTheme="minorEastAsia"/>
        </w:rPr>
        <w:t xml:space="preserve">, </w:t>
      </w:r>
      <w:r w:rsidR="00A61966" w:rsidRPr="00E136CC">
        <w:rPr>
          <w:rFonts w:eastAsiaTheme="minorEastAsia"/>
        </w:rPr>
        <w:t>tema</w:t>
      </w:r>
      <w:r w:rsidRPr="00E136CC">
        <w:rPr>
          <w:rFonts w:eastAsiaTheme="minorEastAsia"/>
        </w:rPr>
        <w:t xml:space="preserve">s) o si </w:t>
      </w:r>
      <w:r w:rsidR="00EE49CB" w:rsidRPr="00E136CC">
        <w:rPr>
          <w:rFonts w:eastAsiaTheme="minorEastAsia"/>
        </w:rPr>
        <w:t>es</w:t>
      </w:r>
      <w:r w:rsidR="000A533B" w:rsidRPr="00E136CC">
        <w:rPr>
          <w:rFonts w:eastAsiaTheme="minorEastAsia"/>
        </w:rPr>
        <w:t>t</w:t>
      </w:r>
      <w:r w:rsidR="00EE49CB" w:rsidRPr="00E136CC">
        <w:rPr>
          <w:rFonts w:eastAsiaTheme="minorEastAsia"/>
        </w:rPr>
        <w:t xml:space="preserve">e aspecto </w:t>
      </w:r>
      <w:r w:rsidR="00F55E42" w:rsidRPr="00E136CC">
        <w:rPr>
          <w:rFonts w:eastAsiaTheme="minorEastAsia"/>
        </w:rPr>
        <w:t xml:space="preserve">debería </w:t>
      </w:r>
      <w:r w:rsidR="00880446" w:rsidRPr="00E136CC">
        <w:rPr>
          <w:rFonts w:eastAsiaTheme="minorEastAsia"/>
        </w:rPr>
        <w:t xml:space="preserve">abordarse </w:t>
      </w:r>
      <w:r w:rsidR="00A23CA0" w:rsidRPr="00E136CC">
        <w:rPr>
          <w:rFonts w:eastAsiaTheme="minorEastAsia"/>
        </w:rPr>
        <w:t xml:space="preserve">a través de </w:t>
      </w:r>
      <w:r w:rsidRPr="00E136CC">
        <w:rPr>
          <w:rFonts w:eastAsiaTheme="minorEastAsia"/>
        </w:rPr>
        <w:t>otro</w:t>
      </w:r>
      <w:r w:rsidR="00F55E42" w:rsidRPr="00E136CC">
        <w:rPr>
          <w:rFonts w:eastAsiaTheme="minorEastAsia"/>
        </w:rPr>
        <w:t>s mec</w:t>
      </w:r>
      <w:r w:rsidRPr="00E136CC">
        <w:rPr>
          <w:rFonts w:eastAsiaTheme="minorEastAsia"/>
        </w:rPr>
        <w:t>anism</w:t>
      </w:r>
      <w:r w:rsidR="00F55E42" w:rsidRPr="00E136CC">
        <w:rPr>
          <w:rFonts w:eastAsiaTheme="minorEastAsia"/>
        </w:rPr>
        <w:t>o</w:t>
      </w:r>
      <w:r w:rsidRPr="00E136CC">
        <w:rPr>
          <w:rFonts w:eastAsiaTheme="minorEastAsia"/>
        </w:rPr>
        <w:t>s (</w:t>
      </w:r>
      <w:r w:rsidR="00F55E42" w:rsidRPr="00E136CC">
        <w:rPr>
          <w:rFonts w:eastAsiaTheme="minorEastAsia"/>
        </w:rPr>
        <w:t>p. ej.</w:t>
      </w:r>
      <w:r w:rsidR="00FC7ADA" w:rsidRPr="00E136CC">
        <w:rPr>
          <w:rFonts w:eastAsiaTheme="minorEastAsia"/>
        </w:rPr>
        <w:t xml:space="preserve">, </w:t>
      </w:r>
      <w:r w:rsidR="00F55E42" w:rsidRPr="00E136CC">
        <w:rPr>
          <w:rFonts w:eastAsiaTheme="minorEastAsia"/>
        </w:rPr>
        <w:t xml:space="preserve">las </w:t>
      </w:r>
      <w:r w:rsidRPr="00E136CC">
        <w:rPr>
          <w:rFonts w:eastAsiaTheme="minorEastAsia"/>
        </w:rPr>
        <w:t>marcas).</w:t>
      </w:r>
      <w:r w:rsidR="00A93D11" w:rsidRPr="00BB6FEA">
        <w:rPr>
          <w:rFonts w:eastAsiaTheme="minorEastAsia"/>
          <w:lang w:val="es-ES"/>
        </w:rPr>
        <w:t xml:space="preserve"> </w:t>
      </w:r>
      <w:r w:rsidR="00E47077" w:rsidRPr="00FF0B32">
        <w:rPr>
          <w:rFonts w:eastAsiaTheme="minorEastAsia"/>
        </w:rPr>
        <w:t xml:space="preserve">Se convino </w:t>
      </w:r>
      <w:r w:rsidR="00F55E42" w:rsidRPr="00FF0B32">
        <w:rPr>
          <w:rFonts w:eastAsiaTheme="minorEastAsia"/>
        </w:rPr>
        <w:t>además en que la Oficina de la Unión env</w:t>
      </w:r>
      <w:r w:rsidR="00E47077" w:rsidRPr="00FF0B32">
        <w:rPr>
          <w:rFonts w:eastAsiaTheme="minorEastAsia"/>
        </w:rPr>
        <w:t>íe</w:t>
      </w:r>
      <w:r w:rsidR="00F55E42" w:rsidRPr="00FF0B32">
        <w:rPr>
          <w:rFonts w:eastAsiaTheme="minorEastAsia"/>
        </w:rPr>
        <w:t xml:space="preserve"> una circular invitando a formular observaciones sobre esa cuestión</w:t>
      </w:r>
      <w:r w:rsidR="00F55E42" w:rsidRPr="00FF0B32">
        <w:rPr>
          <w:rFonts w:eastAsiaTheme="minorEastAsia"/>
          <w:lang w:eastAsia="ja-JP"/>
        </w:rPr>
        <w:t>;</w:t>
      </w:r>
    </w:p>
    <w:p w:rsidR="00A93D11" w:rsidRPr="00BB6FEA" w:rsidRDefault="00A93D11" w:rsidP="00A93D11">
      <w:pPr>
        <w:autoSpaceDE w:val="0"/>
        <w:autoSpaceDN w:val="0"/>
        <w:adjustRightInd w:val="0"/>
        <w:ind w:firstLine="567"/>
        <w:rPr>
          <w:rFonts w:eastAsiaTheme="minorEastAsia"/>
          <w:szCs w:val="24"/>
          <w:highlight w:val="yellow"/>
          <w:lang w:val="es-ES" w:eastAsia="ja-JP"/>
        </w:rPr>
      </w:pPr>
    </w:p>
    <w:p w:rsidR="00A93D11" w:rsidRPr="00BB6FEA" w:rsidRDefault="00A93D11" w:rsidP="00A93D11">
      <w:pPr>
        <w:keepLines/>
        <w:rPr>
          <w:highlight w:val="yellow"/>
          <w:lang w:val="es-ES"/>
        </w:rPr>
      </w:pPr>
      <w:r w:rsidRPr="00BB6FEA">
        <w:rPr>
          <w:lang w:val="es-ES" w:eastAsia="ja-JP"/>
        </w:rPr>
        <w:tab/>
      </w:r>
      <w:r w:rsidR="00F55E42" w:rsidRPr="00FF0B32">
        <w:rPr>
          <w:lang w:eastAsia="ja-JP"/>
        </w:rPr>
        <w:t>d)</w:t>
      </w:r>
      <w:r w:rsidRPr="00BB6FEA">
        <w:rPr>
          <w:lang w:val="es-ES" w:eastAsia="ja-JP"/>
        </w:rPr>
        <w:tab/>
      </w:r>
      <w:r w:rsidR="00F55E42" w:rsidRPr="00FF0B32">
        <w:t>Sección</w:t>
      </w:r>
      <w:r w:rsidR="00FC7ADA" w:rsidRPr="00FF0B32">
        <w:t> 2</w:t>
      </w:r>
      <w:r w:rsidR="00F55E42" w:rsidRPr="00FF0B32">
        <w:t>.5 “Clases de denominaciones de variedades:</w:t>
      </w:r>
      <w:r w:rsidRPr="00BB6FEA">
        <w:rPr>
          <w:lang w:val="es-ES"/>
        </w:rPr>
        <w:t xml:space="preserve"> </w:t>
      </w:r>
      <w:r w:rsidR="00F55E42" w:rsidRPr="00FF0B32">
        <w:t>una denominación de variedad no deberá ser utilizada más de una vez en la misma clase”:</w:t>
      </w:r>
      <w:r w:rsidR="00F55E42" w:rsidRPr="00FF0B32">
        <w:rPr>
          <w:lang w:eastAsia="ja-JP"/>
        </w:rPr>
        <w:t xml:space="preserve"> </w:t>
      </w:r>
      <w:r w:rsidR="002753E9" w:rsidRPr="00FF0B32">
        <w:rPr>
          <w:lang w:eastAsia="ja-JP"/>
        </w:rPr>
        <w:t>el WG</w:t>
      </w:r>
      <w:r w:rsidR="002753E9" w:rsidRPr="00FF0B32">
        <w:rPr>
          <w:lang w:eastAsia="ja-JP"/>
        </w:rPr>
        <w:noBreakHyphen/>
        <w:t>DEN tomó nota de que</w:t>
      </w:r>
      <w:r w:rsidR="00FC7ADA" w:rsidRPr="00FF0B32">
        <w:t xml:space="preserve">, </w:t>
      </w:r>
      <w:r w:rsidR="002753E9" w:rsidRPr="00FF0B32">
        <w:t xml:space="preserve">para algunos </w:t>
      </w:r>
      <w:r w:rsidR="00F55E42" w:rsidRPr="00FF0B32">
        <w:t>miembros de la</w:t>
      </w:r>
      <w:r w:rsidR="00C15D85" w:rsidRPr="00FF0B32">
        <w:t> </w:t>
      </w:r>
      <w:r w:rsidR="00F55E42" w:rsidRPr="00FF0B32">
        <w:t>UPOV</w:t>
      </w:r>
      <w:r w:rsidR="00FC7ADA" w:rsidRPr="00FF0B32">
        <w:t xml:space="preserve">, </w:t>
      </w:r>
      <w:r w:rsidR="002753E9" w:rsidRPr="00FF0B32">
        <w:t>la</w:t>
      </w:r>
      <w:r w:rsidR="00F55E42" w:rsidRPr="00FF0B32">
        <w:t xml:space="preserve"> </w:t>
      </w:r>
      <w:r w:rsidR="002753E9" w:rsidRPr="00FF0B32">
        <w:t xml:space="preserve">aceptabilidad </w:t>
      </w:r>
      <w:r w:rsidR="00F55E42" w:rsidRPr="00FF0B32">
        <w:t xml:space="preserve">de </w:t>
      </w:r>
      <w:r w:rsidR="002753E9" w:rsidRPr="00FF0B32">
        <w:t xml:space="preserve">denominaciones </w:t>
      </w:r>
      <w:r w:rsidR="00F55E42" w:rsidRPr="00FF0B32">
        <w:t>similar</w:t>
      </w:r>
      <w:r w:rsidR="002753E9" w:rsidRPr="00FF0B32">
        <w:t>es</w:t>
      </w:r>
      <w:r w:rsidR="00F55E42" w:rsidRPr="00FF0B32">
        <w:t xml:space="preserve"> var</w:t>
      </w:r>
      <w:r w:rsidR="002753E9" w:rsidRPr="00FF0B32">
        <w:t>ía</w:t>
      </w:r>
      <w:r w:rsidR="00F55E42" w:rsidRPr="00FF0B32">
        <w:t xml:space="preserve"> </w:t>
      </w:r>
      <w:r w:rsidR="002753E9" w:rsidRPr="00FF0B32">
        <w:t xml:space="preserve">en función de la </w:t>
      </w:r>
      <w:r w:rsidR="00F55E42" w:rsidRPr="00FF0B32">
        <w:t>clase.</w:t>
      </w:r>
      <w:r w:rsidR="002753E9" w:rsidRPr="00BB6FEA">
        <w:rPr>
          <w:lang w:val="es-ES"/>
        </w:rPr>
        <w:t xml:space="preserve"> </w:t>
      </w:r>
      <w:r w:rsidR="00A93F6C">
        <w:t>Por </w:t>
      </w:r>
      <w:r w:rsidR="002753E9" w:rsidRPr="00FF0B32">
        <w:t>ejemplo</w:t>
      </w:r>
      <w:r w:rsidR="00FC7ADA" w:rsidRPr="00FF0B32">
        <w:t xml:space="preserve">, </w:t>
      </w:r>
      <w:r w:rsidR="00603817" w:rsidRPr="00FF0B32">
        <w:t xml:space="preserve">si se trata </w:t>
      </w:r>
      <w:r w:rsidR="002753E9" w:rsidRPr="00FF0B32">
        <w:t>de una clase que cumpl</w:t>
      </w:r>
      <w:r w:rsidR="00603817" w:rsidRPr="00FF0B32">
        <w:t>e</w:t>
      </w:r>
      <w:r w:rsidR="002753E9" w:rsidRPr="00FF0B32">
        <w:t xml:space="preserve"> la regla general (un género/una clase)</w:t>
      </w:r>
      <w:r w:rsidR="00FC7ADA" w:rsidRPr="00FF0B32">
        <w:t xml:space="preserve">, </w:t>
      </w:r>
      <w:r w:rsidR="002753E9" w:rsidRPr="00FF0B32">
        <w:t>podría aceptarse una denominación similar para una especie distinta del mismo género.</w:t>
      </w:r>
      <w:r w:rsidR="002753E9" w:rsidRPr="00BB6FEA">
        <w:rPr>
          <w:lang w:val="es-ES"/>
        </w:rPr>
        <w:t xml:space="preserve"> </w:t>
      </w:r>
      <w:r w:rsidR="002777B6" w:rsidRPr="00FF0B32">
        <w:t>El WG</w:t>
      </w:r>
      <w:r w:rsidR="002777B6" w:rsidRPr="00FF0B32">
        <w:noBreakHyphen/>
        <w:t>DEN convino en que</w:t>
      </w:r>
      <w:r w:rsidR="00FC7ADA" w:rsidRPr="00FF0B32">
        <w:t xml:space="preserve">, </w:t>
      </w:r>
      <w:r w:rsidR="00F61021" w:rsidRPr="00FF0B32">
        <w:t>en la circular que se ha de enviar</w:t>
      </w:r>
      <w:r w:rsidR="00FC7ADA" w:rsidRPr="00FF0B32">
        <w:t xml:space="preserve">, </w:t>
      </w:r>
      <w:r w:rsidR="002777B6" w:rsidRPr="00FF0B32">
        <w:t>se</w:t>
      </w:r>
      <w:r w:rsidR="004047F6" w:rsidRPr="00FF0B32">
        <w:t xml:space="preserve"> </w:t>
      </w:r>
      <w:r w:rsidR="002777B6" w:rsidRPr="00FF0B32">
        <w:t xml:space="preserve">invite a los </w:t>
      </w:r>
      <w:r w:rsidR="004047F6" w:rsidRPr="00FF0B32">
        <w:t>miembros de la</w:t>
      </w:r>
      <w:r w:rsidR="00E47077" w:rsidRPr="00FF0B32">
        <w:t> </w:t>
      </w:r>
      <w:r w:rsidR="004047F6" w:rsidRPr="00FF0B32">
        <w:t xml:space="preserve">UPOV </w:t>
      </w:r>
      <w:r w:rsidR="002777B6" w:rsidRPr="00FF0B32">
        <w:t xml:space="preserve">a </w:t>
      </w:r>
      <w:r w:rsidR="00E47077" w:rsidRPr="00FF0B32">
        <w:t>aport</w:t>
      </w:r>
      <w:r w:rsidR="004047F6" w:rsidRPr="00FF0B32">
        <w:t xml:space="preserve">ar información </w:t>
      </w:r>
      <w:r w:rsidR="003641B0" w:rsidRPr="00FF0B32">
        <w:t>sobre esos</w:t>
      </w:r>
      <w:r w:rsidR="004047F6" w:rsidRPr="00FF0B32">
        <w:t xml:space="preserve"> </w:t>
      </w:r>
      <w:r w:rsidR="003641B0" w:rsidRPr="00FF0B32">
        <w:t>enfoqu</w:t>
      </w:r>
      <w:r w:rsidR="004047F6" w:rsidRPr="00FF0B32">
        <w:t>es</w:t>
      </w:r>
      <w:r w:rsidR="004047F6" w:rsidRPr="00FF0B32">
        <w:rPr>
          <w:lang w:eastAsia="ja-JP"/>
        </w:rPr>
        <w:t>; y</w:t>
      </w:r>
    </w:p>
    <w:p w:rsidR="00A93D11" w:rsidRPr="00BB6FEA" w:rsidRDefault="00A93D11" w:rsidP="00A93D11">
      <w:pPr>
        <w:keepNext/>
        <w:outlineLvl w:val="2"/>
        <w:rPr>
          <w:i/>
          <w:highlight w:val="yellow"/>
          <w:lang w:val="es-ES"/>
        </w:rPr>
      </w:pPr>
    </w:p>
    <w:p w:rsidR="00A93D11" w:rsidRPr="00BB6FEA" w:rsidRDefault="00F61021" w:rsidP="00A93D11">
      <w:pPr>
        <w:ind w:firstLine="562"/>
        <w:rPr>
          <w:rFonts w:eastAsiaTheme="minorEastAsia"/>
          <w:highlight w:val="yellow"/>
          <w:lang w:val="es-ES" w:eastAsia="ja-JP"/>
        </w:rPr>
      </w:pPr>
      <w:r w:rsidRPr="00FF0B32">
        <w:rPr>
          <w:rFonts w:eastAsiaTheme="minorEastAsia"/>
        </w:rPr>
        <w:t>e)</w:t>
      </w:r>
      <w:r w:rsidR="00A93D11" w:rsidRPr="00BB6FEA">
        <w:rPr>
          <w:rFonts w:eastAsiaTheme="minorEastAsia"/>
          <w:lang w:val="es-ES"/>
        </w:rPr>
        <w:tab/>
      </w:r>
      <w:r w:rsidRPr="00C433F2">
        <w:rPr>
          <w:rFonts w:eastAsiaTheme="minorEastAsia"/>
        </w:rPr>
        <w:t>Párrafo</w:t>
      </w:r>
      <w:r w:rsidR="00FC7ADA" w:rsidRPr="00C433F2">
        <w:rPr>
          <w:rFonts w:eastAsiaTheme="minorEastAsia"/>
        </w:rPr>
        <w:t> 4</w:t>
      </w:r>
      <w:r w:rsidRPr="00C433F2">
        <w:rPr>
          <w:rFonts w:eastAsiaTheme="minorEastAsia"/>
        </w:rPr>
        <w:t xml:space="preserve"> [Derechos anteriores de terceros]</w:t>
      </w:r>
      <w:r w:rsidRPr="00C433F2">
        <w:rPr>
          <w:rFonts w:eastAsiaTheme="minorEastAsia"/>
          <w:lang w:eastAsia="ja-JP"/>
        </w:rPr>
        <w:t xml:space="preserve">: </w:t>
      </w:r>
      <w:r w:rsidR="00B604E0" w:rsidRPr="00C433F2">
        <w:rPr>
          <w:rFonts w:eastAsiaTheme="minorEastAsia"/>
          <w:lang w:eastAsia="ja-JP"/>
        </w:rPr>
        <w:t>el</w:t>
      </w:r>
      <w:r w:rsidRPr="00C433F2">
        <w:rPr>
          <w:rFonts w:eastAsiaTheme="minorEastAsia"/>
          <w:szCs w:val="24"/>
          <w:lang w:eastAsia="ja-JP"/>
        </w:rPr>
        <w:t xml:space="preserve"> WG-DEN </w:t>
      </w:r>
      <w:r w:rsidR="00B604E0" w:rsidRPr="00C433F2">
        <w:rPr>
          <w:rFonts w:eastAsiaTheme="minorEastAsia"/>
          <w:szCs w:val="24"/>
          <w:lang w:eastAsia="ja-JP"/>
        </w:rPr>
        <w:t>decidió</w:t>
      </w:r>
      <w:r w:rsidRPr="00C433F2">
        <w:rPr>
          <w:rFonts w:eastAsiaTheme="minorEastAsia"/>
          <w:szCs w:val="24"/>
          <w:lang w:eastAsia="ja-JP"/>
        </w:rPr>
        <w:t xml:space="preserve"> propo</w:t>
      </w:r>
      <w:r w:rsidR="00B604E0" w:rsidRPr="00C433F2">
        <w:rPr>
          <w:rFonts w:eastAsiaTheme="minorEastAsia"/>
          <w:szCs w:val="24"/>
          <w:lang w:eastAsia="ja-JP"/>
        </w:rPr>
        <w:t xml:space="preserve">ner que se añada </w:t>
      </w:r>
      <w:r w:rsidRPr="00C433F2">
        <w:rPr>
          <w:rFonts w:eastAsiaTheme="minorEastAsia"/>
          <w:szCs w:val="24"/>
          <w:lang w:eastAsia="ja-JP"/>
        </w:rPr>
        <w:t>text</w:t>
      </w:r>
      <w:r w:rsidR="00B604E0" w:rsidRPr="00C433F2">
        <w:rPr>
          <w:rFonts w:eastAsiaTheme="minorEastAsia"/>
          <w:szCs w:val="24"/>
          <w:lang w:eastAsia="ja-JP"/>
        </w:rPr>
        <w:t>o</w:t>
      </w:r>
      <w:r w:rsidRPr="00C433F2">
        <w:rPr>
          <w:rFonts w:eastAsiaTheme="minorEastAsia"/>
          <w:szCs w:val="24"/>
          <w:lang w:eastAsia="ja-JP"/>
        </w:rPr>
        <w:t xml:space="preserve"> </w:t>
      </w:r>
      <w:r w:rsidR="00B604E0" w:rsidRPr="00C433F2">
        <w:rPr>
          <w:rFonts w:eastAsiaTheme="minorEastAsia"/>
          <w:szCs w:val="24"/>
          <w:lang w:eastAsia="ja-JP"/>
        </w:rPr>
        <w:t xml:space="preserve">a fin de </w:t>
      </w:r>
      <w:r w:rsidRPr="00C433F2">
        <w:rPr>
          <w:rFonts w:eastAsiaTheme="minorEastAsia"/>
          <w:szCs w:val="24"/>
          <w:lang w:eastAsia="ja-JP"/>
        </w:rPr>
        <w:t xml:space="preserve">explicar </w:t>
      </w:r>
      <w:r w:rsidR="00B604E0" w:rsidRPr="00C433F2">
        <w:rPr>
          <w:rFonts w:eastAsiaTheme="minorEastAsia"/>
          <w:szCs w:val="24"/>
          <w:lang w:eastAsia="ja-JP"/>
        </w:rPr>
        <w:t>que</w:t>
      </w:r>
      <w:r w:rsidR="00FC7ADA" w:rsidRPr="00C433F2">
        <w:rPr>
          <w:rFonts w:eastAsiaTheme="minorEastAsia"/>
          <w:szCs w:val="24"/>
          <w:lang w:eastAsia="ja-JP"/>
        </w:rPr>
        <w:t xml:space="preserve">, </w:t>
      </w:r>
      <w:r w:rsidRPr="00C433F2">
        <w:rPr>
          <w:rFonts w:eastAsiaTheme="minorEastAsia"/>
          <w:szCs w:val="24"/>
          <w:lang w:eastAsia="ja-JP"/>
        </w:rPr>
        <w:t xml:space="preserve">si </w:t>
      </w:r>
      <w:r w:rsidR="00B604E0" w:rsidRPr="00C433F2">
        <w:rPr>
          <w:rFonts w:eastAsiaTheme="minorEastAsia"/>
          <w:szCs w:val="24"/>
          <w:lang w:eastAsia="ja-JP"/>
        </w:rPr>
        <w:t>un</w:t>
      </w:r>
      <w:r w:rsidRPr="00C433F2">
        <w:rPr>
          <w:rFonts w:eastAsiaTheme="minorEastAsia"/>
          <w:szCs w:val="24"/>
          <w:lang w:eastAsia="ja-JP"/>
        </w:rPr>
        <w:t xml:space="preserve">a autoridad </w:t>
      </w:r>
      <w:r w:rsidR="007D6CA9" w:rsidRPr="00C433F2">
        <w:rPr>
          <w:rFonts w:eastAsiaTheme="minorEastAsia"/>
          <w:szCs w:val="24"/>
          <w:lang w:eastAsia="ja-JP"/>
        </w:rPr>
        <w:t>ad</w:t>
      </w:r>
      <w:r w:rsidR="00B604E0" w:rsidRPr="00C433F2">
        <w:rPr>
          <w:rFonts w:eastAsiaTheme="minorEastAsia"/>
          <w:szCs w:val="24"/>
          <w:lang w:eastAsia="ja-JP"/>
        </w:rPr>
        <w:t>mite que se registre un</w:t>
      </w:r>
      <w:r w:rsidRPr="00C433F2">
        <w:rPr>
          <w:rFonts w:eastAsiaTheme="minorEastAsia"/>
          <w:szCs w:val="24"/>
          <w:lang w:eastAsia="ja-JP"/>
        </w:rPr>
        <w:t xml:space="preserve">a denominación </w:t>
      </w:r>
      <w:r w:rsidR="00BC69F2" w:rsidRPr="00C433F2">
        <w:rPr>
          <w:rFonts w:eastAsiaTheme="minorEastAsia"/>
          <w:szCs w:val="24"/>
          <w:lang w:eastAsia="ja-JP"/>
        </w:rPr>
        <w:t>de una variedad cuyo</w:t>
      </w:r>
      <w:r w:rsidRPr="00C433F2">
        <w:rPr>
          <w:rFonts w:eastAsiaTheme="minorEastAsia"/>
          <w:szCs w:val="24"/>
          <w:lang w:eastAsia="ja-JP"/>
        </w:rPr>
        <w:t xml:space="preserve"> obtentor </w:t>
      </w:r>
      <w:r w:rsidR="00F412BD" w:rsidRPr="00C433F2">
        <w:rPr>
          <w:rFonts w:eastAsiaTheme="minorEastAsia"/>
          <w:szCs w:val="24"/>
          <w:lang w:eastAsia="ja-JP"/>
        </w:rPr>
        <w:t>e</w:t>
      </w:r>
      <w:r w:rsidRPr="00C433F2">
        <w:rPr>
          <w:rFonts w:eastAsiaTheme="minorEastAsia"/>
          <w:szCs w:val="24"/>
          <w:lang w:eastAsia="ja-JP"/>
        </w:rPr>
        <w:t>s también</w:t>
      </w:r>
      <w:r w:rsidR="00F412BD" w:rsidRPr="00C433F2">
        <w:rPr>
          <w:rFonts w:eastAsiaTheme="minorEastAsia"/>
          <w:szCs w:val="24"/>
          <w:lang w:eastAsia="ja-JP"/>
        </w:rPr>
        <w:t xml:space="preserve"> el</w:t>
      </w:r>
      <w:r w:rsidRPr="00C433F2">
        <w:rPr>
          <w:rFonts w:eastAsiaTheme="minorEastAsia"/>
          <w:szCs w:val="24"/>
          <w:lang w:eastAsia="ja-JP"/>
        </w:rPr>
        <w:t xml:space="preserve"> titular de </w:t>
      </w:r>
      <w:r w:rsidR="00F412BD" w:rsidRPr="00C433F2">
        <w:rPr>
          <w:rFonts w:eastAsiaTheme="minorEastAsia"/>
          <w:szCs w:val="24"/>
          <w:lang w:eastAsia="ja-JP"/>
        </w:rPr>
        <w:t>un</w:t>
      </w:r>
      <w:r w:rsidRPr="00C433F2">
        <w:rPr>
          <w:rFonts w:eastAsiaTheme="minorEastAsia"/>
          <w:szCs w:val="24"/>
          <w:lang w:eastAsia="ja-JP"/>
        </w:rPr>
        <w:t xml:space="preserve">a marca </w:t>
      </w:r>
      <w:r w:rsidR="00727F08" w:rsidRPr="00C433F2">
        <w:rPr>
          <w:rFonts w:eastAsiaTheme="minorEastAsia"/>
          <w:szCs w:val="24"/>
          <w:lang w:eastAsia="ja-JP"/>
        </w:rPr>
        <w:t xml:space="preserve">que es </w:t>
      </w:r>
      <w:r w:rsidR="00F412BD" w:rsidRPr="00C433F2">
        <w:rPr>
          <w:rFonts w:eastAsiaTheme="minorEastAsia"/>
          <w:szCs w:val="24"/>
          <w:lang w:eastAsia="ja-JP"/>
        </w:rPr>
        <w:t>idé</w:t>
      </w:r>
      <w:r w:rsidRPr="00C433F2">
        <w:rPr>
          <w:rFonts w:eastAsiaTheme="minorEastAsia"/>
          <w:szCs w:val="24"/>
          <w:lang w:eastAsia="ja-JP"/>
        </w:rPr>
        <w:t xml:space="preserve">ntica </w:t>
      </w:r>
      <w:r w:rsidR="00F412BD" w:rsidRPr="00C433F2">
        <w:rPr>
          <w:rFonts w:eastAsiaTheme="minorEastAsia"/>
          <w:szCs w:val="24"/>
          <w:lang w:eastAsia="ja-JP"/>
        </w:rPr>
        <w:t xml:space="preserve">a </w:t>
      </w:r>
      <w:r w:rsidR="00727F08" w:rsidRPr="00C433F2">
        <w:rPr>
          <w:rFonts w:eastAsiaTheme="minorEastAsia"/>
          <w:szCs w:val="24"/>
          <w:lang w:eastAsia="ja-JP"/>
        </w:rPr>
        <w:t>la denominación de la variedad</w:t>
      </w:r>
      <w:r w:rsidR="00FC7ADA" w:rsidRPr="00C433F2">
        <w:rPr>
          <w:rFonts w:eastAsiaTheme="minorEastAsia"/>
          <w:szCs w:val="24"/>
          <w:lang w:eastAsia="ja-JP"/>
        </w:rPr>
        <w:t xml:space="preserve">, </w:t>
      </w:r>
      <w:r w:rsidR="007D6CA9" w:rsidRPr="00C433F2">
        <w:rPr>
          <w:rFonts w:eastAsiaTheme="minorEastAsia"/>
          <w:szCs w:val="24"/>
          <w:lang w:eastAsia="ja-JP"/>
        </w:rPr>
        <w:t>dich</w:t>
      </w:r>
      <w:r w:rsidR="00F412BD" w:rsidRPr="00C433F2">
        <w:rPr>
          <w:rFonts w:eastAsiaTheme="minorEastAsia"/>
          <w:szCs w:val="24"/>
          <w:lang w:eastAsia="ja-JP"/>
        </w:rPr>
        <w:t>a</w:t>
      </w:r>
      <w:r w:rsidRPr="00C433F2">
        <w:rPr>
          <w:rFonts w:eastAsiaTheme="minorEastAsia"/>
          <w:szCs w:val="24"/>
          <w:lang w:eastAsia="ja-JP"/>
        </w:rPr>
        <w:t xml:space="preserve"> autoridad </w:t>
      </w:r>
      <w:r w:rsidR="00F412BD" w:rsidRPr="00C433F2">
        <w:rPr>
          <w:rFonts w:eastAsiaTheme="minorEastAsia"/>
          <w:szCs w:val="24"/>
          <w:lang w:eastAsia="ja-JP"/>
        </w:rPr>
        <w:t xml:space="preserve">deberá </w:t>
      </w:r>
      <w:r w:rsidRPr="00C433F2">
        <w:rPr>
          <w:rFonts w:eastAsiaTheme="minorEastAsia"/>
          <w:szCs w:val="24"/>
          <w:lang w:eastAsia="ja-JP"/>
        </w:rPr>
        <w:t>inform</w:t>
      </w:r>
      <w:r w:rsidR="00F412BD" w:rsidRPr="00C433F2">
        <w:rPr>
          <w:rFonts w:eastAsiaTheme="minorEastAsia"/>
          <w:szCs w:val="24"/>
          <w:lang w:eastAsia="ja-JP"/>
        </w:rPr>
        <w:t>ar a</w:t>
      </w:r>
      <w:r w:rsidRPr="00C433F2">
        <w:rPr>
          <w:rFonts w:eastAsiaTheme="minorEastAsia"/>
          <w:szCs w:val="24"/>
          <w:lang w:eastAsia="ja-JP"/>
        </w:rPr>
        <w:t xml:space="preserve">l obtentor de </w:t>
      </w:r>
      <w:r w:rsidR="00F412BD" w:rsidRPr="00C433F2">
        <w:rPr>
          <w:rFonts w:eastAsiaTheme="minorEastAsia"/>
          <w:szCs w:val="24"/>
          <w:lang w:eastAsia="ja-JP"/>
        </w:rPr>
        <w:t>la</w:t>
      </w:r>
      <w:r w:rsidRPr="00C433F2">
        <w:rPr>
          <w:rFonts w:eastAsiaTheme="minorEastAsia"/>
          <w:szCs w:val="24"/>
          <w:lang w:eastAsia="ja-JP"/>
        </w:rPr>
        <w:t xml:space="preserve"> obligación </w:t>
      </w:r>
      <w:r w:rsidR="00F412BD" w:rsidRPr="00C433F2">
        <w:rPr>
          <w:rFonts w:eastAsiaTheme="minorEastAsia"/>
          <w:szCs w:val="24"/>
          <w:lang w:eastAsia="ja-JP"/>
        </w:rPr>
        <w:t>de pe</w:t>
      </w:r>
      <w:r w:rsidR="007D6CA9" w:rsidRPr="00C433F2">
        <w:rPr>
          <w:rFonts w:eastAsiaTheme="minorEastAsia"/>
          <w:szCs w:val="24"/>
          <w:lang w:eastAsia="ja-JP"/>
        </w:rPr>
        <w:t>r</w:t>
      </w:r>
      <w:r w:rsidR="00F412BD" w:rsidRPr="00C433F2">
        <w:rPr>
          <w:rFonts w:eastAsiaTheme="minorEastAsia"/>
          <w:szCs w:val="24"/>
          <w:lang w:eastAsia="ja-JP"/>
        </w:rPr>
        <w:t xml:space="preserve">mitir </w:t>
      </w:r>
      <w:r w:rsidR="008115A0" w:rsidRPr="00C433F2">
        <w:rPr>
          <w:rFonts w:eastAsiaTheme="minorEastAsia"/>
          <w:szCs w:val="24"/>
          <w:lang w:eastAsia="ja-JP"/>
        </w:rPr>
        <w:t>el uso de la denominación en relación con la variedad</w:t>
      </w:r>
      <w:r w:rsidR="00FC7ADA" w:rsidRPr="00C433F2">
        <w:rPr>
          <w:rFonts w:eastAsiaTheme="minorEastAsia"/>
          <w:szCs w:val="24"/>
          <w:lang w:eastAsia="ja-JP"/>
        </w:rPr>
        <w:t xml:space="preserve">, </w:t>
      </w:r>
      <w:r w:rsidR="008115A0" w:rsidRPr="00C433F2">
        <w:rPr>
          <w:rFonts w:eastAsiaTheme="minorEastAsia"/>
          <w:szCs w:val="24"/>
          <w:lang w:eastAsia="ja-JP"/>
        </w:rPr>
        <w:t xml:space="preserve">incluso después de </w:t>
      </w:r>
      <w:r w:rsidR="00D274C7" w:rsidRPr="00C433F2">
        <w:rPr>
          <w:rFonts w:eastAsiaTheme="minorEastAsia"/>
          <w:szCs w:val="24"/>
          <w:lang w:eastAsia="ja-JP"/>
        </w:rPr>
        <w:t xml:space="preserve">haber </w:t>
      </w:r>
      <w:r w:rsidR="008115A0" w:rsidRPr="00C433F2">
        <w:rPr>
          <w:rFonts w:eastAsiaTheme="minorEastAsia"/>
          <w:szCs w:val="24"/>
          <w:lang w:eastAsia="ja-JP"/>
        </w:rPr>
        <w:t>expirado el derecho de obtentor</w:t>
      </w:r>
      <w:r w:rsidRPr="00C433F2">
        <w:rPr>
          <w:rFonts w:eastAsiaTheme="minorEastAsia"/>
          <w:szCs w:val="24"/>
          <w:lang w:eastAsia="ja-JP"/>
        </w:rPr>
        <w:t>.</w:t>
      </w:r>
      <w:r w:rsidR="002753E9" w:rsidRPr="00BB6FEA">
        <w:rPr>
          <w:rFonts w:eastAsiaTheme="minorEastAsia"/>
          <w:szCs w:val="24"/>
          <w:lang w:val="es-ES" w:eastAsia="ja-JP"/>
        </w:rPr>
        <w:t xml:space="preserve"> </w:t>
      </w:r>
      <w:r w:rsidR="00B67D6B" w:rsidRPr="00C433F2">
        <w:rPr>
          <w:rFonts w:eastAsiaTheme="minorEastAsia"/>
          <w:szCs w:val="24"/>
          <w:lang w:eastAsia="ja-JP"/>
        </w:rPr>
        <w:t>Este asunto se examinará en la sección</w:t>
      </w:r>
      <w:r w:rsidR="00FC7ADA" w:rsidRPr="00C433F2">
        <w:rPr>
          <w:rFonts w:eastAsiaTheme="minorEastAsia"/>
          <w:szCs w:val="24"/>
          <w:lang w:eastAsia="ja-JP"/>
        </w:rPr>
        <w:t> 1</w:t>
      </w:r>
      <w:r w:rsidR="00B67D6B" w:rsidRPr="00C433F2">
        <w:rPr>
          <w:rFonts w:eastAsiaTheme="minorEastAsia"/>
          <w:szCs w:val="24"/>
          <w:lang w:eastAsia="ja-JP"/>
        </w:rPr>
        <w:t>.2</w:t>
      </w:r>
      <w:r w:rsidR="00B67D6B" w:rsidRPr="00C433F2">
        <w:rPr>
          <w:rFonts w:eastAsiaTheme="minorEastAsia"/>
          <w:lang w:eastAsia="ja-JP"/>
        </w:rPr>
        <w:t>.</w:t>
      </w:r>
    </w:p>
    <w:p w:rsidR="00A93D11" w:rsidRPr="00BB6FEA" w:rsidRDefault="00A93D11" w:rsidP="00A93D11">
      <w:pPr>
        <w:autoSpaceDE w:val="0"/>
        <w:autoSpaceDN w:val="0"/>
        <w:adjustRightInd w:val="0"/>
        <w:rPr>
          <w:rFonts w:eastAsiaTheme="minorEastAsia"/>
          <w:lang w:val="es-ES" w:eastAsia="ja-JP"/>
        </w:rPr>
      </w:pPr>
    </w:p>
    <w:p w:rsidR="00A93D11" w:rsidRDefault="00EA5061" w:rsidP="00A93D11">
      <w:pPr>
        <w:autoSpaceDE w:val="0"/>
        <w:autoSpaceDN w:val="0"/>
        <w:adjustRightInd w:val="0"/>
        <w:rPr>
          <w:rFonts w:eastAsiaTheme="minorEastAsia"/>
          <w:lang w:eastAsia="ja-JP"/>
        </w:rPr>
      </w:pPr>
      <w:r w:rsidRPr="003E6A0B">
        <w:rPr>
          <w:rFonts w:eastAsiaTheme="minorEastAsia"/>
          <w:lang w:eastAsia="ja-JP"/>
        </w:rPr>
        <w:fldChar w:fldCharType="begin"/>
      </w:r>
      <w:r w:rsidR="00A93D11" w:rsidRPr="00BB6FEA">
        <w:rPr>
          <w:rFonts w:eastAsiaTheme="minorEastAsia"/>
          <w:lang w:val="es-ES" w:eastAsia="ja-JP"/>
        </w:rPr>
        <w:instrText xml:space="preserve"> AUTONUM  </w:instrText>
      </w:r>
      <w:r w:rsidRPr="003E6A0B">
        <w:rPr>
          <w:rFonts w:eastAsiaTheme="minorEastAsia"/>
          <w:lang w:eastAsia="ja-JP"/>
        </w:rPr>
        <w:fldChar w:fldCharType="end"/>
      </w:r>
      <w:r w:rsidR="00A93D11" w:rsidRPr="00BB6FEA">
        <w:rPr>
          <w:rFonts w:eastAsiaTheme="minorEastAsia"/>
          <w:lang w:val="es-ES" w:eastAsia="ja-JP"/>
        </w:rPr>
        <w:tab/>
      </w:r>
      <w:r w:rsidR="00756ED2" w:rsidRPr="00C433F2">
        <w:rPr>
          <w:rFonts w:eastAsiaTheme="minorEastAsia"/>
          <w:lang w:eastAsia="ja-JP"/>
        </w:rPr>
        <w:t xml:space="preserve">Con arreglo a lo anterior, se enviaron las </w:t>
      </w:r>
      <w:r w:rsidR="00B67D6B" w:rsidRPr="00C433F2">
        <w:rPr>
          <w:rFonts w:eastAsiaTheme="minorEastAsia"/>
          <w:lang w:eastAsia="ja-JP"/>
        </w:rPr>
        <w:t>circulares E</w:t>
      </w:r>
      <w:r w:rsidR="00B67D6B" w:rsidRPr="00C433F2">
        <w:rPr>
          <w:rFonts w:eastAsiaTheme="minorEastAsia"/>
          <w:lang w:eastAsia="ja-JP"/>
        </w:rPr>
        <w:noBreakHyphen/>
        <w:t>17/135 y E</w:t>
      </w:r>
      <w:r w:rsidR="00B67D6B" w:rsidRPr="00C433F2">
        <w:rPr>
          <w:rFonts w:eastAsiaTheme="minorEastAsia"/>
          <w:lang w:eastAsia="ja-JP"/>
        </w:rPr>
        <w:noBreakHyphen/>
        <w:t>17/136 de la</w:t>
      </w:r>
      <w:r w:rsidR="007D6CA9" w:rsidRPr="00C433F2">
        <w:rPr>
          <w:rFonts w:eastAsiaTheme="minorEastAsia"/>
          <w:lang w:eastAsia="ja-JP"/>
        </w:rPr>
        <w:t> </w:t>
      </w:r>
      <w:r w:rsidR="00B67D6B" w:rsidRPr="00C433F2">
        <w:rPr>
          <w:rFonts w:eastAsiaTheme="minorEastAsia"/>
          <w:lang w:eastAsia="ja-JP"/>
        </w:rPr>
        <w:t>UPOV</w:t>
      </w:r>
      <w:r w:rsidR="00FC7ADA" w:rsidRPr="00C433F2">
        <w:rPr>
          <w:rFonts w:eastAsiaTheme="minorEastAsia"/>
          <w:lang w:eastAsia="ja-JP"/>
        </w:rPr>
        <w:t xml:space="preserve">, </w:t>
      </w:r>
      <w:r w:rsidR="00B67D6B" w:rsidRPr="00C433F2">
        <w:rPr>
          <w:rFonts w:eastAsiaTheme="minorEastAsia"/>
          <w:lang w:eastAsia="ja-JP"/>
        </w:rPr>
        <w:t>ambas del</w:t>
      </w:r>
      <w:r w:rsidR="00FC7ADA" w:rsidRPr="00C433F2">
        <w:rPr>
          <w:rFonts w:eastAsiaTheme="minorEastAsia"/>
          <w:lang w:eastAsia="ja-JP"/>
        </w:rPr>
        <w:t> 2</w:t>
      </w:r>
      <w:r w:rsidR="002D73B2">
        <w:rPr>
          <w:rFonts w:eastAsiaTheme="minorEastAsia"/>
          <w:lang w:eastAsia="ja-JP"/>
        </w:rPr>
        <w:t>6 de </w:t>
      </w:r>
      <w:r w:rsidR="00B67D6B" w:rsidRPr="00C433F2">
        <w:rPr>
          <w:rFonts w:eastAsiaTheme="minorEastAsia"/>
          <w:lang w:eastAsia="ja-JP"/>
        </w:rPr>
        <w:t>julio de</w:t>
      </w:r>
      <w:r w:rsidR="00FC7ADA" w:rsidRPr="00C433F2">
        <w:rPr>
          <w:rFonts w:eastAsiaTheme="minorEastAsia"/>
          <w:lang w:eastAsia="ja-JP"/>
        </w:rPr>
        <w:t> 2</w:t>
      </w:r>
      <w:r w:rsidR="00B67D6B" w:rsidRPr="00C433F2">
        <w:rPr>
          <w:rFonts w:eastAsiaTheme="minorEastAsia"/>
          <w:lang w:eastAsia="ja-JP"/>
        </w:rPr>
        <w:t>017</w:t>
      </w:r>
      <w:r w:rsidR="00FC7ADA" w:rsidRPr="00C433F2">
        <w:rPr>
          <w:rFonts w:eastAsiaTheme="minorEastAsia"/>
          <w:lang w:eastAsia="ja-JP"/>
        </w:rPr>
        <w:t xml:space="preserve">, </w:t>
      </w:r>
      <w:r w:rsidR="00756ED2" w:rsidRPr="00C433F2">
        <w:rPr>
          <w:rFonts w:eastAsiaTheme="minorEastAsia"/>
          <w:lang w:eastAsia="ja-JP"/>
        </w:rPr>
        <w:t>a los miembros y a los observadores del WG</w:t>
      </w:r>
      <w:r w:rsidR="00756ED2" w:rsidRPr="00C433F2">
        <w:rPr>
          <w:rFonts w:eastAsiaTheme="minorEastAsia"/>
          <w:lang w:eastAsia="ja-JP"/>
        </w:rPr>
        <w:noBreakHyphen/>
        <w:t xml:space="preserve">DEN, </w:t>
      </w:r>
      <w:r w:rsidR="00B67D6B" w:rsidRPr="00C433F2">
        <w:rPr>
          <w:rFonts w:eastAsiaTheme="minorEastAsia"/>
          <w:lang w:eastAsia="ja-JP"/>
        </w:rPr>
        <w:t>respectivamente.</w:t>
      </w:r>
    </w:p>
    <w:p w:rsidR="00E608DA" w:rsidRDefault="00E608DA" w:rsidP="00A93D11">
      <w:pPr>
        <w:autoSpaceDE w:val="0"/>
        <w:autoSpaceDN w:val="0"/>
        <w:adjustRightInd w:val="0"/>
        <w:rPr>
          <w:rFonts w:eastAsiaTheme="minorEastAsia"/>
          <w:lang w:eastAsia="ja-JP"/>
        </w:rPr>
      </w:pPr>
    </w:p>
    <w:p w:rsidR="00E608DA" w:rsidRPr="00BB6FEA" w:rsidRDefault="00E608DA" w:rsidP="00A93D11">
      <w:pPr>
        <w:autoSpaceDE w:val="0"/>
        <w:autoSpaceDN w:val="0"/>
        <w:adjustRightInd w:val="0"/>
        <w:rPr>
          <w:rFonts w:eastAsiaTheme="minorEastAsia"/>
          <w:lang w:val="es-ES" w:eastAsia="ja-JP"/>
        </w:rPr>
      </w:pPr>
    </w:p>
    <w:p w:rsidR="00A93D11" w:rsidRPr="00BB6FEA" w:rsidRDefault="00B67D6B" w:rsidP="00E608DA">
      <w:pPr>
        <w:pStyle w:val="Heading2"/>
        <w:keepLines/>
        <w:rPr>
          <w:lang w:val="es-ES" w:eastAsia="ja-JP"/>
        </w:rPr>
      </w:pPr>
      <w:bookmarkStart w:id="7" w:name="_Toc524686624"/>
      <w:r w:rsidRPr="00C433F2">
        <w:rPr>
          <w:snapToGrid w:val="0"/>
          <w:lang w:val="es-ES_tradnl" w:eastAsia="ja-JP"/>
        </w:rPr>
        <w:lastRenderedPageBreak/>
        <w:t>Novedades acontecidas en la cuarta reunión del WG-DEN</w:t>
      </w:r>
      <w:bookmarkEnd w:id="7"/>
    </w:p>
    <w:p w:rsidR="00A93D11" w:rsidRPr="00BB6FEA" w:rsidRDefault="00A93D11" w:rsidP="00A93D11">
      <w:pPr>
        <w:keepNext/>
        <w:keepLines/>
        <w:rPr>
          <w:rFonts w:eastAsiaTheme="minorEastAsia"/>
          <w:lang w:val="es-ES" w:eastAsia="ja-JP"/>
        </w:rPr>
      </w:pPr>
    </w:p>
    <w:p w:rsidR="00A93D11" w:rsidRPr="00BB6FEA" w:rsidRDefault="00EA5061" w:rsidP="00A93D11">
      <w:pPr>
        <w:keepNext/>
        <w:keepLines/>
        <w:rPr>
          <w:rFonts w:eastAsiaTheme="minorEastAsia"/>
          <w:highlight w:val="yellow"/>
          <w:lang w:val="es-ES" w:eastAsia="ja-JP"/>
        </w:rPr>
      </w:pPr>
      <w:r w:rsidRPr="007678AB">
        <w:rPr>
          <w:rFonts w:eastAsiaTheme="minorEastAsia"/>
        </w:rPr>
        <w:fldChar w:fldCharType="begin"/>
      </w:r>
      <w:r w:rsidR="00A93D11" w:rsidRPr="00BB6FEA">
        <w:rPr>
          <w:rFonts w:eastAsiaTheme="minorEastAsia"/>
          <w:lang w:val="es-ES"/>
        </w:rPr>
        <w:instrText xml:space="preserve"> AUTONUM  </w:instrText>
      </w:r>
      <w:r w:rsidRPr="007678AB">
        <w:rPr>
          <w:rFonts w:eastAsiaTheme="minorEastAsia"/>
        </w:rPr>
        <w:fldChar w:fldCharType="end"/>
      </w:r>
      <w:r w:rsidR="00A93D11" w:rsidRPr="00BB6FEA">
        <w:rPr>
          <w:rFonts w:eastAsiaTheme="minorEastAsia"/>
          <w:lang w:val="es-ES"/>
        </w:rPr>
        <w:tab/>
      </w:r>
      <w:r w:rsidR="00B67D6B" w:rsidRPr="00C433F2">
        <w:rPr>
          <w:rFonts w:eastAsiaTheme="minorEastAsia"/>
        </w:rPr>
        <w:t xml:space="preserve">En su </w:t>
      </w:r>
      <w:r w:rsidR="00B67D6B" w:rsidRPr="00C433F2">
        <w:rPr>
          <w:rFonts w:eastAsiaTheme="minorEastAsia"/>
          <w:lang w:eastAsia="ja-JP"/>
        </w:rPr>
        <w:t>cuarta</w:t>
      </w:r>
      <w:r w:rsidR="00B67D6B" w:rsidRPr="00C433F2">
        <w:rPr>
          <w:rFonts w:eastAsiaTheme="minorEastAsia" w:hint="eastAsia"/>
          <w:lang w:eastAsia="ja-JP"/>
        </w:rPr>
        <w:t xml:space="preserve"> </w:t>
      </w:r>
      <w:r w:rsidR="00B67D6B" w:rsidRPr="00C433F2">
        <w:rPr>
          <w:rFonts w:eastAsiaTheme="minorEastAsia"/>
          <w:lang w:eastAsia="ja-JP"/>
        </w:rPr>
        <w:t>reunión</w:t>
      </w:r>
      <w:r w:rsidR="00FC7ADA" w:rsidRPr="00C433F2">
        <w:rPr>
          <w:rFonts w:eastAsiaTheme="minorEastAsia" w:hint="eastAsia"/>
          <w:lang w:eastAsia="ja-JP"/>
        </w:rPr>
        <w:t xml:space="preserve">, </w:t>
      </w:r>
      <w:r w:rsidR="00B67D6B" w:rsidRPr="00C433F2">
        <w:rPr>
          <w:rFonts w:eastAsiaTheme="minorEastAsia"/>
          <w:lang w:eastAsia="ja-JP"/>
        </w:rPr>
        <w:t>celebrada en Ginebra</w:t>
      </w:r>
      <w:r w:rsidR="00B67D6B" w:rsidRPr="00C433F2">
        <w:rPr>
          <w:rFonts w:eastAsiaTheme="minorEastAsia"/>
        </w:rPr>
        <w:t xml:space="preserve"> </w:t>
      </w:r>
      <w:r w:rsidR="00112686" w:rsidRPr="00C433F2">
        <w:rPr>
          <w:rFonts w:eastAsiaTheme="minorEastAsia"/>
          <w:lang w:eastAsia="ja-JP"/>
        </w:rPr>
        <w:t>el 27 de octubre de 2017</w:t>
      </w:r>
      <w:r w:rsidR="00FC7ADA" w:rsidRPr="00C433F2">
        <w:rPr>
          <w:rFonts w:eastAsiaTheme="minorEastAsia"/>
          <w:lang w:eastAsia="ja-JP"/>
        </w:rPr>
        <w:t xml:space="preserve">, </w:t>
      </w:r>
      <w:r w:rsidR="002F333F" w:rsidRPr="00C433F2">
        <w:rPr>
          <w:rFonts w:eastAsiaTheme="minorEastAsia"/>
          <w:lang w:eastAsia="ja-JP"/>
        </w:rPr>
        <w:t>el WG</w:t>
      </w:r>
      <w:r w:rsidR="002F333F" w:rsidRPr="00C433F2">
        <w:rPr>
          <w:rFonts w:eastAsiaTheme="minorEastAsia"/>
          <w:lang w:eastAsia="ja-JP"/>
        </w:rPr>
        <w:noBreakHyphen/>
        <w:t xml:space="preserve">DEN </w:t>
      </w:r>
      <w:r w:rsidR="00B67D6B" w:rsidRPr="00C433F2">
        <w:rPr>
          <w:rFonts w:eastAsiaTheme="minorEastAsia"/>
          <w:lang w:eastAsia="ja-JP"/>
        </w:rPr>
        <w:t xml:space="preserve">examinó </w:t>
      </w:r>
      <w:r w:rsidR="00E019D6" w:rsidRPr="00C433F2">
        <w:rPr>
          <w:rFonts w:eastAsiaTheme="minorEastAsia"/>
          <w:lang w:eastAsia="ja-JP"/>
        </w:rPr>
        <w:t>el documento</w:t>
      </w:r>
      <w:r w:rsidR="00B67D6B" w:rsidRPr="00C433F2">
        <w:rPr>
          <w:rFonts w:eastAsiaTheme="minorEastAsia"/>
          <w:lang w:eastAsia="ja-JP"/>
        </w:rPr>
        <w:t xml:space="preserve"> UPOV/</w:t>
      </w:r>
      <w:r w:rsidR="00112686" w:rsidRPr="00C433F2">
        <w:rPr>
          <w:rFonts w:eastAsiaTheme="minorEastAsia"/>
          <w:lang w:eastAsia="ja-JP"/>
        </w:rPr>
        <w:t>WG</w:t>
      </w:r>
      <w:r w:rsidR="00112686" w:rsidRPr="00C433F2">
        <w:rPr>
          <w:rFonts w:eastAsiaTheme="minorEastAsia"/>
          <w:lang w:eastAsia="ja-JP"/>
        </w:rPr>
        <w:noBreakHyphen/>
        <w:t>DEN</w:t>
      </w:r>
      <w:r w:rsidR="00B67D6B" w:rsidRPr="00C433F2">
        <w:rPr>
          <w:rFonts w:eastAsiaTheme="minorEastAsia"/>
          <w:lang w:eastAsia="ja-JP"/>
        </w:rPr>
        <w:t>/4/2</w:t>
      </w:r>
      <w:r w:rsidR="00B67D6B" w:rsidRPr="00C433F2">
        <w:rPr>
          <w:rFonts w:eastAsiaTheme="minorEastAsia" w:hint="eastAsia"/>
          <w:lang w:eastAsia="ja-JP"/>
        </w:rPr>
        <w:t xml:space="preserve"> </w:t>
      </w:r>
      <w:r w:rsidR="00B67D6B" w:rsidRPr="00C433F2">
        <w:rPr>
          <w:rFonts w:eastAsiaTheme="minorEastAsia"/>
          <w:lang w:eastAsia="ja-JP"/>
        </w:rPr>
        <w:t>“</w:t>
      </w:r>
      <w:proofErr w:type="spellStart"/>
      <w:r w:rsidR="00112686" w:rsidRPr="00BB6FEA">
        <w:rPr>
          <w:rFonts w:eastAsiaTheme="minorEastAsia"/>
          <w:i/>
          <w:lang w:val="es-ES"/>
        </w:rPr>
        <w:t>Revision</w:t>
      </w:r>
      <w:proofErr w:type="spellEnd"/>
      <w:r w:rsidR="00112686" w:rsidRPr="00BB6FEA">
        <w:rPr>
          <w:rFonts w:eastAsiaTheme="minorEastAsia"/>
          <w:i/>
          <w:lang w:val="es-ES"/>
        </w:rPr>
        <w:t xml:space="preserve"> of UPOV/INF/12/5 ‘</w:t>
      </w:r>
      <w:proofErr w:type="spellStart"/>
      <w:r w:rsidR="00112686" w:rsidRPr="00BB6FEA">
        <w:rPr>
          <w:rFonts w:eastAsiaTheme="minorEastAsia"/>
          <w:i/>
          <w:lang w:val="es-ES"/>
        </w:rPr>
        <w:t>Explanatory</w:t>
      </w:r>
      <w:proofErr w:type="spellEnd"/>
      <w:r w:rsidR="00112686" w:rsidRPr="00BB6FEA">
        <w:rPr>
          <w:rFonts w:eastAsiaTheme="minorEastAsia"/>
          <w:i/>
          <w:lang w:val="es-ES"/>
        </w:rPr>
        <w:t xml:space="preserve"> Notes </w:t>
      </w:r>
      <w:proofErr w:type="spellStart"/>
      <w:r w:rsidR="00112686" w:rsidRPr="00BB6FEA">
        <w:rPr>
          <w:rFonts w:eastAsiaTheme="minorEastAsia"/>
          <w:i/>
          <w:lang w:val="es-ES"/>
        </w:rPr>
        <w:t>on</w:t>
      </w:r>
      <w:proofErr w:type="spellEnd"/>
      <w:r w:rsidR="00112686" w:rsidRPr="00BB6FEA">
        <w:rPr>
          <w:rFonts w:eastAsiaTheme="minorEastAsia"/>
          <w:i/>
          <w:lang w:val="es-ES"/>
        </w:rPr>
        <w:t xml:space="preserve"> </w:t>
      </w:r>
      <w:proofErr w:type="spellStart"/>
      <w:r w:rsidR="00112686" w:rsidRPr="00BB6FEA">
        <w:rPr>
          <w:rFonts w:eastAsiaTheme="minorEastAsia"/>
          <w:i/>
          <w:lang w:val="es-ES"/>
        </w:rPr>
        <w:t>Variety</w:t>
      </w:r>
      <w:proofErr w:type="spellEnd"/>
      <w:r w:rsidR="00112686" w:rsidRPr="00BB6FEA">
        <w:rPr>
          <w:rFonts w:eastAsiaTheme="minorEastAsia"/>
          <w:i/>
          <w:lang w:val="es-ES"/>
        </w:rPr>
        <w:t xml:space="preserve"> </w:t>
      </w:r>
      <w:proofErr w:type="spellStart"/>
      <w:r w:rsidR="00112686" w:rsidRPr="00BB6FEA">
        <w:rPr>
          <w:rFonts w:eastAsiaTheme="minorEastAsia"/>
          <w:i/>
          <w:lang w:val="es-ES"/>
        </w:rPr>
        <w:t>Denominations</w:t>
      </w:r>
      <w:proofErr w:type="spellEnd"/>
      <w:r w:rsidR="00112686" w:rsidRPr="00BB6FEA">
        <w:rPr>
          <w:rFonts w:eastAsiaTheme="minorEastAsia"/>
          <w:i/>
          <w:lang w:val="es-ES"/>
        </w:rPr>
        <w:t xml:space="preserve"> </w:t>
      </w:r>
      <w:proofErr w:type="spellStart"/>
      <w:r w:rsidR="00112686" w:rsidRPr="00BB6FEA">
        <w:rPr>
          <w:rFonts w:eastAsiaTheme="minorEastAsia"/>
          <w:i/>
          <w:lang w:val="es-ES"/>
        </w:rPr>
        <w:t>under</w:t>
      </w:r>
      <w:proofErr w:type="spellEnd"/>
      <w:r w:rsidR="00112686" w:rsidRPr="00BB6FEA">
        <w:rPr>
          <w:rFonts w:eastAsiaTheme="minorEastAsia"/>
          <w:i/>
          <w:lang w:val="es-ES"/>
        </w:rPr>
        <w:t xml:space="preserve"> </w:t>
      </w:r>
      <w:proofErr w:type="spellStart"/>
      <w:r w:rsidR="00112686" w:rsidRPr="00BB6FEA">
        <w:rPr>
          <w:rFonts w:eastAsiaTheme="minorEastAsia"/>
          <w:i/>
          <w:lang w:val="es-ES"/>
        </w:rPr>
        <w:t>the</w:t>
      </w:r>
      <w:proofErr w:type="spellEnd"/>
      <w:r w:rsidR="00112686" w:rsidRPr="00BB6FEA">
        <w:rPr>
          <w:rFonts w:eastAsiaTheme="minorEastAsia"/>
          <w:i/>
          <w:lang w:val="es-ES"/>
        </w:rPr>
        <w:t xml:space="preserve"> UPOV </w:t>
      </w:r>
      <w:proofErr w:type="spellStart"/>
      <w:r w:rsidR="00112686" w:rsidRPr="00BB6FEA">
        <w:rPr>
          <w:rFonts w:eastAsiaTheme="minorEastAsia"/>
          <w:i/>
          <w:lang w:val="es-ES"/>
        </w:rPr>
        <w:t>Convention</w:t>
      </w:r>
      <w:proofErr w:type="spellEnd"/>
      <w:r w:rsidR="00112686" w:rsidRPr="00BB6FEA">
        <w:rPr>
          <w:rFonts w:eastAsiaTheme="minorEastAsia"/>
          <w:i/>
          <w:lang w:val="es-ES"/>
        </w:rPr>
        <w:t>’</w:t>
      </w:r>
      <w:r w:rsidR="00112686" w:rsidRPr="00C433F2">
        <w:rPr>
          <w:rFonts w:eastAsiaTheme="minorEastAsia"/>
        </w:rPr>
        <w:t xml:space="preserve">” (Revisión del documento UPOV/INF/12 “Notas explicativas sobre las denominaciones de variedades con arreglo al Convenio de la UPOV”) y </w:t>
      </w:r>
      <w:r w:rsidR="00E019D6" w:rsidRPr="00C433F2">
        <w:rPr>
          <w:rFonts w:eastAsiaTheme="minorEastAsia"/>
          <w:lang w:eastAsia="ja-JP"/>
        </w:rPr>
        <w:t>el documento UPOV/INF/12/6 </w:t>
      </w:r>
      <w:proofErr w:type="spellStart"/>
      <w:r w:rsidR="00B67D6B" w:rsidRPr="00C433F2">
        <w:rPr>
          <w:rFonts w:eastAsiaTheme="minorEastAsia"/>
          <w:lang w:eastAsia="ja-JP"/>
        </w:rPr>
        <w:t>Draft</w:t>
      </w:r>
      <w:proofErr w:type="spellEnd"/>
      <w:r w:rsidR="00E019D6" w:rsidRPr="00C433F2">
        <w:rPr>
          <w:rFonts w:eastAsiaTheme="minorEastAsia"/>
          <w:lang w:eastAsia="ja-JP"/>
        </w:rPr>
        <w:t> </w:t>
      </w:r>
      <w:r w:rsidR="00B67D6B" w:rsidRPr="00C433F2">
        <w:rPr>
          <w:rFonts w:eastAsiaTheme="minorEastAsia"/>
          <w:lang w:eastAsia="ja-JP"/>
        </w:rPr>
        <w:t>4 “</w:t>
      </w:r>
      <w:r w:rsidR="00E019D6" w:rsidRPr="00C433F2">
        <w:rPr>
          <w:rFonts w:eastAsiaTheme="minorEastAsia"/>
        </w:rPr>
        <w:t>Notas explicativas sobre las denominaciones de variedades con arreglo al Convenio de la UPOV</w:t>
      </w:r>
      <w:r w:rsidR="00E019D6" w:rsidRPr="00C433F2">
        <w:rPr>
          <w:rFonts w:eastAsiaTheme="minorEastAsia"/>
          <w:iCs/>
          <w:spacing w:val="-4"/>
        </w:rPr>
        <w:t xml:space="preserve"> </w:t>
      </w:r>
      <w:r w:rsidR="00B67D6B" w:rsidRPr="00C433F2">
        <w:rPr>
          <w:rFonts w:eastAsiaTheme="minorEastAsia"/>
          <w:iCs/>
          <w:spacing w:val="-4"/>
        </w:rPr>
        <w:t>(</w:t>
      </w:r>
      <w:r w:rsidR="00E019D6" w:rsidRPr="00C433F2">
        <w:rPr>
          <w:rFonts w:eastAsiaTheme="minorEastAsia"/>
          <w:iCs/>
          <w:spacing w:val="-4"/>
        </w:rPr>
        <w:t>revisión</w:t>
      </w:r>
      <w:r w:rsidR="00B67D6B" w:rsidRPr="00C433F2">
        <w:rPr>
          <w:rFonts w:eastAsiaTheme="minorEastAsia"/>
          <w:iCs/>
          <w:spacing w:val="-4"/>
        </w:rPr>
        <w:t>)”</w:t>
      </w:r>
      <w:r w:rsidR="00FC7ADA" w:rsidRPr="00C433F2">
        <w:rPr>
          <w:rFonts w:eastAsiaTheme="minorEastAsia" w:hint="eastAsia"/>
          <w:iCs/>
          <w:spacing w:val="-4"/>
          <w:lang w:eastAsia="ja-JP"/>
        </w:rPr>
        <w:t xml:space="preserve">, </w:t>
      </w:r>
      <w:r w:rsidR="00E019D6" w:rsidRPr="00C433F2">
        <w:rPr>
          <w:rFonts w:eastAsiaTheme="minorEastAsia"/>
          <w:iCs/>
          <w:spacing w:val="-4"/>
          <w:lang w:eastAsia="ja-JP"/>
        </w:rPr>
        <w:t>que</w:t>
      </w:r>
      <w:r w:rsidR="00B67D6B" w:rsidRPr="00C433F2">
        <w:rPr>
          <w:rFonts w:eastAsiaTheme="minorEastAsia"/>
          <w:iCs/>
          <w:spacing w:val="-4"/>
          <w:lang w:eastAsia="ja-JP"/>
        </w:rPr>
        <w:t xml:space="preserve"> </w:t>
      </w:r>
      <w:r w:rsidR="002F333F" w:rsidRPr="00C433F2">
        <w:rPr>
          <w:rFonts w:eastAsiaTheme="minorEastAsia"/>
          <w:iCs/>
          <w:spacing w:val="-4"/>
          <w:lang w:eastAsia="ja-JP"/>
        </w:rPr>
        <w:t>incorpora las propuestas que el WG</w:t>
      </w:r>
      <w:r w:rsidR="002F333F" w:rsidRPr="00C433F2">
        <w:rPr>
          <w:rFonts w:eastAsiaTheme="minorEastAsia"/>
          <w:iCs/>
          <w:spacing w:val="-4"/>
          <w:lang w:eastAsia="ja-JP"/>
        </w:rPr>
        <w:noBreakHyphen/>
        <w:t>DEN convino o que se acordó examinar más a fondo</w:t>
      </w:r>
      <w:r w:rsidR="00B67D6B" w:rsidRPr="00C433F2">
        <w:rPr>
          <w:rFonts w:eastAsiaTheme="minorEastAsia" w:hint="eastAsia"/>
          <w:lang w:eastAsia="ja-JP"/>
        </w:rPr>
        <w:t>.</w:t>
      </w:r>
      <w:r w:rsidR="00A93D11" w:rsidRPr="00BB6FEA">
        <w:rPr>
          <w:rFonts w:eastAsiaTheme="minorEastAsia"/>
          <w:lang w:val="es-ES" w:eastAsia="ja-JP"/>
        </w:rPr>
        <w:t xml:space="preserve"> </w:t>
      </w:r>
    </w:p>
    <w:p w:rsidR="00A93D11" w:rsidRPr="00BB6FEA" w:rsidRDefault="00A93D11" w:rsidP="00A93D11">
      <w:pPr>
        <w:rPr>
          <w:rFonts w:eastAsiaTheme="minorEastAsia"/>
          <w:lang w:val="es-ES" w:eastAsia="ja-JP"/>
        </w:rPr>
      </w:pPr>
    </w:p>
    <w:p w:rsidR="00A93D11" w:rsidRPr="00BB6FEA" w:rsidRDefault="00EA5061" w:rsidP="00A93D11">
      <w:pPr>
        <w:rPr>
          <w:lang w:val="es-ES"/>
        </w:rPr>
      </w:pPr>
      <w:r w:rsidRPr="007678AB">
        <w:rPr>
          <w:lang w:eastAsia="ja-JP"/>
        </w:rPr>
        <w:fldChar w:fldCharType="begin"/>
      </w:r>
      <w:r w:rsidR="00A93D11" w:rsidRPr="00BB6FEA">
        <w:rPr>
          <w:lang w:val="es-ES" w:eastAsia="ja-JP"/>
        </w:rPr>
        <w:instrText xml:space="preserve"> AUTONUM  </w:instrText>
      </w:r>
      <w:r w:rsidRPr="007678AB">
        <w:rPr>
          <w:lang w:eastAsia="ja-JP"/>
        </w:rPr>
        <w:fldChar w:fldCharType="end"/>
      </w:r>
      <w:r w:rsidR="00A93D11" w:rsidRPr="00BB6FEA">
        <w:rPr>
          <w:lang w:val="es-ES" w:eastAsia="ja-JP"/>
        </w:rPr>
        <w:tab/>
      </w:r>
      <w:r w:rsidR="00395243" w:rsidRPr="00A1479B">
        <w:rPr>
          <w:rFonts w:cs="Arial"/>
          <w:lang w:eastAsia="ja-JP"/>
        </w:rPr>
        <w:t>El WG-DEN convino en que la Oficina de la Unión elabore</w:t>
      </w:r>
      <w:r w:rsidR="00FC7ADA" w:rsidRPr="00A1479B">
        <w:rPr>
          <w:rFonts w:cs="Arial"/>
          <w:lang w:eastAsia="ja-JP"/>
        </w:rPr>
        <w:t xml:space="preserve">, </w:t>
      </w:r>
      <w:r w:rsidR="00395243" w:rsidRPr="00A1479B">
        <w:rPr>
          <w:rFonts w:cs="Arial"/>
          <w:lang w:eastAsia="ja-JP"/>
        </w:rPr>
        <w:t>para su quinta reunión</w:t>
      </w:r>
      <w:r w:rsidR="00FC7ADA" w:rsidRPr="00A1479B">
        <w:rPr>
          <w:rFonts w:cs="Arial"/>
          <w:lang w:eastAsia="ja-JP"/>
        </w:rPr>
        <w:t xml:space="preserve">, </w:t>
      </w:r>
      <w:r w:rsidR="00395243" w:rsidRPr="00A1479B">
        <w:rPr>
          <w:rFonts w:cs="Arial"/>
          <w:lang w:eastAsia="ja-JP"/>
        </w:rPr>
        <w:t>un nuevo proyecto del documento “</w:t>
      </w:r>
      <w:proofErr w:type="spellStart"/>
      <w:r w:rsidR="00395243" w:rsidRPr="00BB6FEA">
        <w:rPr>
          <w:rFonts w:cs="Arial"/>
          <w:i/>
          <w:lang w:val="es-ES" w:eastAsia="ja-JP"/>
        </w:rPr>
        <w:t>Explanatory</w:t>
      </w:r>
      <w:proofErr w:type="spellEnd"/>
      <w:r w:rsidR="00395243" w:rsidRPr="00BB6FEA">
        <w:rPr>
          <w:rFonts w:cs="Arial"/>
          <w:i/>
          <w:lang w:val="es-ES" w:eastAsia="ja-JP"/>
        </w:rPr>
        <w:t xml:space="preserve"> Notes </w:t>
      </w:r>
      <w:proofErr w:type="spellStart"/>
      <w:r w:rsidR="00395243" w:rsidRPr="00BB6FEA">
        <w:rPr>
          <w:rFonts w:cs="Arial"/>
          <w:i/>
          <w:lang w:val="es-ES" w:eastAsia="ja-JP"/>
        </w:rPr>
        <w:t>on</w:t>
      </w:r>
      <w:proofErr w:type="spellEnd"/>
      <w:r w:rsidR="00395243" w:rsidRPr="00BB6FEA">
        <w:rPr>
          <w:rFonts w:cs="Arial"/>
          <w:i/>
          <w:lang w:val="es-ES" w:eastAsia="ja-JP"/>
        </w:rPr>
        <w:t xml:space="preserve"> </w:t>
      </w:r>
      <w:proofErr w:type="spellStart"/>
      <w:r w:rsidR="00395243" w:rsidRPr="00BB6FEA">
        <w:rPr>
          <w:rFonts w:cs="Arial"/>
          <w:i/>
          <w:lang w:val="es-ES" w:eastAsia="ja-JP"/>
        </w:rPr>
        <w:t>Variety</w:t>
      </w:r>
      <w:proofErr w:type="spellEnd"/>
      <w:r w:rsidR="00395243" w:rsidRPr="00BB6FEA">
        <w:rPr>
          <w:rFonts w:cs="Arial"/>
          <w:i/>
          <w:lang w:val="es-ES" w:eastAsia="ja-JP"/>
        </w:rPr>
        <w:t xml:space="preserve"> </w:t>
      </w:r>
      <w:proofErr w:type="spellStart"/>
      <w:r w:rsidR="00395243" w:rsidRPr="00BB6FEA">
        <w:rPr>
          <w:rFonts w:cs="Arial"/>
          <w:i/>
          <w:lang w:val="es-ES" w:eastAsia="ja-JP"/>
        </w:rPr>
        <w:t>Denominations</w:t>
      </w:r>
      <w:proofErr w:type="spellEnd"/>
      <w:r w:rsidR="00395243" w:rsidRPr="00BB6FEA">
        <w:rPr>
          <w:rFonts w:cs="Arial"/>
          <w:i/>
          <w:lang w:val="es-ES" w:eastAsia="ja-JP"/>
        </w:rPr>
        <w:t xml:space="preserve"> </w:t>
      </w:r>
      <w:proofErr w:type="spellStart"/>
      <w:r w:rsidR="00395243" w:rsidRPr="00BB6FEA">
        <w:rPr>
          <w:rFonts w:cs="Arial"/>
          <w:i/>
          <w:lang w:val="es-ES" w:eastAsia="ja-JP"/>
        </w:rPr>
        <w:t>under</w:t>
      </w:r>
      <w:proofErr w:type="spellEnd"/>
      <w:r w:rsidR="00395243" w:rsidRPr="00BB6FEA">
        <w:rPr>
          <w:rFonts w:cs="Arial"/>
          <w:i/>
          <w:lang w:val="es-ES" w:eastAsia="ja-JP"/>
        </w:rPr>
        <w:t xml:space="preserve"> </w:t>
      </w:r>
      <w:proofErr w:type="spellStart"/>
      <w:r w:rsidR="00395243" w:rsidRPr="00BB6FEA">
        <w:rPr>
          <w:rFonts w:cs="Arial"/>
          <w:i/>
          <w:lang w:val="es-ES" w:eastAsia="ja-JP"/>
        </w:rPr>
        <w:t>the</w:t>
      </w:r>
      <w:proofErr w:type="spellEnd"/>
      <w:r w:rsidR="00395243" w:rsidRPr="00BB6FEA">
        <w:rPr>
          <w:rFonts w:cs="Arial"/>
          <w:i/>
          <w:lang w:val="es-ES" w:eastAsia="ja-JP"/>
        </w:rPr>
        <w:t xml:space="preserve"> UPOV </w:t>
      </w:r>
      <w:proofErr w:type="spellStart"/>
      <w:r w:rsidR="00395243" w:rsidRPr="00BB6FEA">
        <w:rPr>
          <w:rFonts w:cs="Arial"/>
          <w:i/>
          <w:lang w:val="es-ES" w:eastAsia="ja-JP"/>
        </w:rPr>
        <w:t>Convention</w:t>
      </w:r>
      <w:proofErr w:type="spellEnd"/>
      <w:r w:rsidR="00395243" w:rsidRPr="00A1479B">
        <w:rPr>
          <w:rFonts w:cs="Arial"/>
          <w:lang w:eastAsia="ja-JP"/>
        </w:rPr>
        <w:t xml:space="preserve">” que incorpore las propuestas que este grupo de trabajo convino o que se acordó examinar más a fondo </w:t>
      </w:r>
      <w:r w:rsidR="00395243" w:rsidRPr="00A1479B">
        <w:rPr>
          <w:rFonts w:cs="Arial"/>
          <w:snapToGrid w:val="0"/>
          <w:lang w:eastAsia="ja-JP"/>
        </w:rPr>
        <w:t xml:space="preserve">(véase </w:t>
      </w:r>
      <w:r w:rsidR="00606458" w:rsidRPr="00A1479B">
        <w:rPr>
          <w:rFonts w:cs="Arial"/>
          <w:snapToGrid w:val="0"/>
          <w:lang w:eastAsia="ja-JP"/>
        </w:rPr>
        <w:t>el párrafo</w:t>
      </w:r>
      <w:r w:rsidR="00FC7ADA" w:rsidRPr="00A1479B">
        <w:rPr>
          <w:rFonts w:cs="Arial"/>
          <w:snapToGrid w:val="0"/>
          <w:lang w:eastAsia="ja-JP"/>
        </w:rPr>
        <w:t> 2</w:t>
      </w:r>
      <w:r w:rsidR="00A93F6C">
        <w:rPr>
          <w:rFonts w:cs="Arial"/>
          <w:snapToGrid w:val="0"/>
          <w:lang w:eastAsia="ja-JP"/>
        </w:rPr>
        <w:t>6 del </w:t>
      </w:r>
      <w:r w:rsidR="00395243" w:rsidRPr="00A1479B">
        <w:rPr>
          <w:rFonts w:cs="Arial"/>
          <w:snapToGrid w:val="0"/>
          <w:lang w:eastAsia="ja-JP"/>
        </w:rPr>
        <w:t>documento</w:t>
      </w:r>
      <w:r w:rsidR="00606458" w:rsidRPr="00A1479B">
        <w:rPr>
          <w:rFonts w:cs="Arial"/>
          <w:snapToGrid w:val="0"/>
          <w:lang w:eastAsia="ja-JP"/>
        </w:rPr>
        <w:t xml:space="preserve"> </w:t>
      </w:r>
      <w:r w:rsidR="00395243" w:rsidRPr="00A1479B">
        <w:rPr>
          <w:rFonts w:cs="Arial"/>
          <w:snapToGrid w:val="0"/>
          <w:lang w:eastAsia="ja-JP"/>
        </w:rPr>
        <w:t>UPOV/</w:t>
      </w:r>
      <w:r w:rsidR="00606458" w:rsidRPr="00A1479B">
        <w:rPr>
          <w:rFonts w:cs="Arial"/>
          <w:snapToGrid w:val="0"/>
          <w:lang w:eastAsia="ja-JP"/>
        </w:rPr>
        <w:t>WG</w:t>
      </w:r>
      <w:r w:rsidR="00606458" w:rsidRPr="00A1479B">
        <w:rPr>
          <w:rFonts w:cs="Arial"/>
          <w:snapToGrid w:val="0"/>
          <w:lang w:eastAsia="ja-JP"/>
        </w:rPr>
        <w:noBreakHyphen/>
        <w:t>DEN</w:t>
      </w:r>
      <w:r w:rsidR="00395243" w:rsidRPr="00A1479B">
        <w:rPr>
          <w:rFonts w:cs="Arial" w:hint="eastAsia"/>
          <w:snapToGrid w:val="0"/>
          <w:lang w:eastAsia="ja-JP"/>
        </w:rPr>
        <w:t>/</w:t>
      </w:r>
      <w:r w:rsidR="00395243" w:rsidRPr="00A1479B">
        <w:rPr>
          <w:rFonts w:cs="Arial"/>
          <w:snapToGrid w:val="0"/>
          <w:lang w:eastAsia="ja-JP"/>
        </w:rPr>
        <w:t>4</w:t>
      </w:r>
      <w:r w:rsidR="00395243" w:rsidRPr="00A1479B">
        <w:rPr>
          <w:rFonts w:cs="Arial" w:hint="eastAsia"/>
          <w:snapToGrid w:val="0"/>
          <w:lang w:eastAsia="ja-JP"/>
        </w:rPr>
        <w:t>/</w:t>
      </w:r>
      <w:r w:rsidR="00395243" w:rsidRPr="00A1479B">
        <w:rPr>
          <w:rFonts w:cs="Arial"/>
          <w:snapToGrid w:val="0"/>
          <w:lang w:eastAsia="ja-JP"/>
        </w:rPr>
        <w:t>3</w:t>
      </w:r>
      <w:r w:rsidR="00395243" w:rsidRPr="00A1479B">
        <w:rPr>
          <w:rFonts w:cs="Arial" w:hint="eastAsia"/>
          <w:snapToGrid w:val="0"/>
          <w:lang w:eastAsia="ja-JP"/>
        </w:rPr>
        <w:t xml:space="preserve"> </w:t>
      </w:r>
      <w:r w:rsidR="00395243" w:rsidRPr="00A1479B">
        <w:rPr>
          <w:rFonts w:cs="Arial"/>
          <w:snapToGrid w:val="0"/>
          <w:lang w:eastAsia="ja-JP"/>
        </w:rPr>
        <w:t>“</w:t>
      </w:r>
      <w:proofErr w:type="spellStart"/>
      <w:r w:rsidR="00395243" w:rsidRPr="00BB6FEA">
        <w:rPr>
          <w:rFonts w:cs="Arial"/>
          <w:i/>
          <w:snapToGrid w:val="0"/>
          <w:lang w:val="es-ES" w:eastAsia="ja-JP"/>
        </w:rPr>
        <w:t>Report</w:t>
      </w:r>
      <w:proofErr w:type="spellEnd"/>
      <w:r w:rsidR="00395243" w:rsidRPr="00A1479B">
        <w:rPr>
          <w:rFonts w:cs="Arial"/>
          <w:snapToGrid w:val="0"/>
          <w:lang w:eastAsia="ja-JP"/>
        </w:rPr>
        <w:t>”)</w:t>
      </w:r>
      <w:r w:rsidR="00395243" w:rsidRPr="00A1479B">
        <w:rPr>
          <w:rFonts w:eastAsiaTheme="minorEastAsia" w:hint="eastAsia"/>
          <w:lang w:eastAsia="ja-JP"/>
        </w:rPr>
        <w:t>.</w:t>
      </w:r>
    </w:p>
    <w:p w:rsidR="00A93D11" w:rsidRPr="00BB6FEA" w:rsidRDefault="00A93D11" w:rsidP="00A93D11">
      <w:pPr>
        <w:rPr>
          <w:snapToGrid w:val="0"/>
          <w:highlight w:val="yellow"/>
          <w:lang w:val="es-ES" w:eastAsia="ja-JP"/>
        </w:rPr>
      </w:pPr>
    </w:p>
    <w:p w:rsidR="00A93D11" w:rsidRDefault="00A93D11" w:rsidP="00A93D11">
      <w:pPr>
        <w:rPr>
          <w:rFonts w:eastAsiaTheme="minorEastAsia"/>
          <w:lang w:val="es-ES" w:eastAsia="ja-JP"/>
        </w:rPr>
      </w:pPr>
    </w:p>
    <w:p w:rsidR="00E608DA" w:rsidRPr="00BB6FEA" w:rsidRDefault="00E608DA" w:rsidP="00A93D11">
      <w:pPr>
        <w:rPr>
          <w:rFonts w:eastAsiaTheme="minorEastAsia"/>
          <w:lang w:val="es-ES" w:eastAsia="ja-JP"/>
        </w:rPr>
      </w:pPr>
    </w:p>
    <w:p w:rsidR="00A93D11" w:rsidRPr="00BB6FEA" w:rsidRDefault="00FD2907" w:rsidP="00083B28">
      <w:pPr>
        <w:pStyle w:val="Heading1"/>
        <w:rPr>
          <w:lang w:val="es-ES"/>
        </w:rPr>
      </w:pPr>
      <w:bookmarkStart w:id="8" w:name="_Toc524686625"/>
      <w:r w:rsidRPr="00A93F6C">
        <w:rPr>
          <w:lang w:val="fr-CH"/>
        </w:rPr>
        <w:t>POSIBLE ELABORACIÓN DE UN INSTRUMENTO DE LA UPOV DE BÚSQUEDA DE SIMILITUD A LOS FINES DE LA DENOMINACIÓN DE VARIEDADES</w:t>
      </w:r>
      <w:bookmarkEnd w:id="8"/>
    </w:p>
    <w:p w:rsidR="00A93D11" w:rsidRPr="00BB6FEA" w:rsidRDefault="00A93D11" w:rsidP="00A93D11">
      <w:pPr>
        <w:rPr>
          <w:rFonts w:eastAsiaTheme="minorEastAsia"/>
          <w:lang w:val="es-ES" w:eastAsia="ja-JP"/>
        </w:rPr>
      </w:pPr>
    </w:p>
    <w:p w:rsidR="00A93D11" w:rsidRPr="00BB6FEA" w:rsidRDefault="00EA5061" w:rsidP="00A93D11">
      <w:pPr>
        <w:rPr>
          <w:rFonts w:eastAsiaTheme="minorEastAsia"/>
          <w:lang w:val="es-ES" w:eastAsia="ja-JP"/>
        </w:rPr>
      </w:pPr>
      <w:r w:rsidRPr="007678AB">
        <w:rPr>
          <w:rFonts w:eastAsiaTheme="minorEastAsia"/>
        </w:rPr>
        <w:fldChar w:fldCharType="begin"/>
      </w:r>
      <w:r w:rsidR="00A93D11" w:rsidRPr="00BB6FEA">
        <w:rPr>
          <w:rFonts w:eastAsiaTheme="minorEastAsia"/>
          <w:lang w:val="es-ES"/>
        </w:rPr>
        <w:instrText xml:space="preserve"> AUTONUM  </w:instrText>
      </w:r>
      <w:r w:rsidRPr="007678AB">
        <w:rPr>
          <w:rFonts w:eastAsiaTheme="minorEastAsia"/>
        </w:rPr>
        <w:fldChar w:fldCharType="end"/>
      </w:r>
      <w:r w:rsidR="00A93D11" w:rsidRPr="00BB6FEA">
        <w:rPr>
          <w:rFonts w:eastAsiaTheme="minorEastAsia"/>
          <w:lang w:val="es-ES"/>
        </w:rPr>
        <w:tab/>
      </w:r>
      <w:r w:rsidR="009D528A" w:rsidRPr="00A1479B">
        <w:rPr>
          <w:rFonts w:eastAsiaTheme="minorEastAsia"/>
          <w:lang w:eastAsia="ja-JP"/>
        </w:rPr>
        <w:t>Los antecedentes de esta cuestión figuran en los párrafos 13 a 18 del documento TC/53/12 “Denominaciones de variedades”.</w:t>
      </w:r>
    </w:p>
    <w:p w:rsidR="00A93D11" w:rsidRPr="00BB6FEA" w:rsidRDefault="00A93D11" w:rsidP="00A93D11">
      <w:pPr>
        <w:rPr>
          <w:lang w:val="es-ES" w:eastAsia="ja-JP"/>
        </w:rPr>
      </w:pPr>
    </w:p>
    <w:p w:rsidR="00A93D11" w:rsidRPr="00BB6FEA" w:rsidRDefault="00EA5061" w:rsidP="00A93D11">
      <w:pPr>
        <w:rPr>
          <w:lang w:val="es-ES"/>
        </w:rPr>
      </w:pPr>
      <w:r w:rsidRPr="007678AB">
        <w:rPr>
          <w:lang w:eastAsia="ja-JP"/>
        </w:rPr>
        <w:fldChar w:fldCharType="begin"/>
      </w:r>
      <w:r w:rsidR="00A93D11" w:rsidRPr="00BB6FEA">
        <w:rPr>
          <w:lang w:val="es-ES" w:eastAsia="ja-JP"/>
        </w:rPr>
        <w:instrText xml:space="preserve"> AUTONUM  </w:instrText>
      </w:r>
      <w:r w:rsidRPr="007678AB">
        <w:rPr>
          <w:lang w:eastAsia="ja-JP"/>
        </w:rPr>
        <w:fldChar w:fldCharType="end"/>
      </w:r>
      <w:r w:rsidR="00A93D11" w:rsidRPr="00BB6FEA">
        <w:rPr>
          <w:lang w:val="es-ES" w:eastAsia="ja-JP"/>
        </w:rPr>
        <w:tab/>
      </w:r>
      <w:r w:rsidR="009D528A" w:rsidRPr="00A1479B">
        <w:rPr>
          <w:rFonts w:cs="Arial"/>
          <w:lang w:eastAsia="ja-JP"/>
        </w:rPr>
        <w:t xml:space="preserve">En su </w:t>
      </w:r>
      <w:r w:rsidR="009D528A" w:rsidRPr="00A1479B">
        <w:rPr>
          <w:rFonts w:eastAsiaTheme="minorEastAsia"/>
          <w:lang w:eastAsia="ja-JP"/>
        </w:rPr>
        <w:t xml:space="preserve">cuarta </w:t>
      </w:r>
      <w:r w:rsidR="009D528A" w:rsidRPr="00A1479B">
        <w:rPr>
          <w:rFonts w:cs="Arial"/>
          <w:lang w:eastAsia="ja-JP"/>
        </w:rPr>
        <w:t>reunión</w:t>
      </w:r>
      <w:r w:rsidR="00FC7ADA" w:rsidRPr="00A1479B">
        <w:rPr>
          <w:rFonts w:cs="Arial"/>
          <w:lang w:eastAsia="ja-JP"/>
        </w:rPr>
        <w:t xml:space="preserve">, </w:t>
      </w:r>
      <w:r w:rsidR="009D528A" w:rsidRPr="00A1479B">
        <w:rPr>
          <w:rFonts w:cs="Arial"/>
          <w:lang w:eastAsia="ja-JP"/>
        </w:rPr>
        <w:t>el WG-DEN acordó que el punto</w:t>
      </w:r>
      <w:r w:rsidR="00FC7ADA" w:rsidRPr="00A1479B">
        <w:rPr>
          <w:rFonts w:cs="Arial"/>
          <w:lang w:eastAsia="ja-JP"/>
        </w:rPr>
        <w:t> 4</w:t>
      </w:r>
      <w:r w:rsidR="009D528A" w:rsidRPr="00A1479B">
        <w:rPr>
          <w:rFonts w:cs="Arial"/>
          <w:lang w:eastAsia="ja-JP"/>
        </w:rPr>
        <w:t xml:space="preserve"> del orden del día</w:t>
      </w:r>
      <w:r w:rsidR="00FC7ADA" w:rsidRPr="00A1479B">
        <w:rPr>
          <w:rFonts w:cs="Arial"/>
          <w:lang w:eastAsia="ja-JP"/>
        </w:rPr>
        <w:t xml:space="preserve">, </w:t>
      </w:r>
      <w:r w:rsidR="00A1479B" w:rsidRPr="00A1479B">
        <w:rPr>
          <w:rFonts w:cs="Arial"/>
          <w:lang w:eastAsia="ja-JP"/>
        </w:rPr>
        <w:t>“Instrumento de la </w:t>
      </w:r>
      <w:r w:rsidR="009D528A" w:rsidRPr="00A1479B">
        <w:rPr>
          <w:rFonts w:cs="Arial"/>
          <w:lang w:eastAsia="ja-JP"/>
        </w:rPr>
        <w:t>UPOV para la búsqueda de denominaciones similares”</w:t>
      </w:r>
      <w:r w:rsidR="00FC7ADA" w:rsidRPr="00A1479B">
        <w:rPr>
          <w:rFonts w:cs="Arial"/>
          <w:lang w:eastAsia="ja-JP"/>
        </w:rPr>
        <w:t xml:space="preserve">, </w:t>
      </w:r>
      <w:r w:rsidR="009D528A" w:rsidRPr="00A1479B">
        <w:rPr>
          <w:rFonts w:cs="Arial"/>
          <w:lang w:eastAsia="ja-JP"/>
        </w:rPr>
        <w:t>se examine en una reunión posterior sobre la base del documento presentado en la segunda reunión.</w:t>
      </w:r>
      <w:r w:rsidR="002753E9" w:rsidRPr="00BB6FEA">
        <w:rPr>
          <w:rFonts w:hint="eastAsia"/>
          <w:lang w:val="es-ES"/>
        </w:rPr>
        <w:t xml:space="preserve"> </w:t>
      </w:r>
      <w:r w:rsidR="008B488F" w:rsidRPr="00A1479B">
        <w:t>Se convino en que la Oficina de la Unión proponga la manera de avanzar en el debate de estas cuestiones en la quinta reunión del WG</w:t>
      </w:r>
      <w:r w:rsidR="008B488F" w:rsidRPr="00A1479B">
        <w:noBreakHyphen/>
        <w:t>DEN.</w:t>
      </w:r>
    </w:p>
    <w:p w:rsidR="00A93D11" w:rsidRDefault="00A93D11" w:rsidP="00A93D11">
      <w:pPr>
        <w:rPr>
          <w:rFonts w:eastAsiaTheme="minorEastAsia"/>
          <w:lang w:val="es-ES" w:eastAsia="ja-JP"/>
        </w:rPr>
      </w:pPr>
    </w:p>
    <w:p w:rsidR="00E608DA" w:rsidRPr="00BB6FEA" w:rsidRDefault="00E608DA" w:rsidP="00A93D11">
      <w:pPr>
        <w:rPr>
          <w:rFonts w:eastAsiaTheme="minorEastAsia"/>
          <w:lang w:val="es-ES" w:eastAsia="ja-JP"/>
        </w:rPr>
      </w:pPr>
    </w:p>
    <w:p w:rsidR="00A93D11" w:rsidRPr="00BB6FEA" w:rsidRDefault="00A93D11" w:rsidP="00A93D11">
      <w:pPr>
        <w:rPr>
          <w:rFonts w:eastAsiaTheme="minorEastAsia"/>
          <w:lang w:val="es-ES" w:eastAsia="ja-JP"/>
        </w:rPr>
      </w:pPr>
    </w:p>
    <w:p w:rsidR="00A93D11" w:rsidRPr="00BB6FEA" w:rsidRDefault="008B488F" w:rsidP="00083B28">
      <w:pPr>
        <w:pStyle w:val="Heading1"/>
        <w:rPr>
          <w:lang w:val="es-ES"/>
        </w:rPr>
      </w:pPr>
      <w:bookmarkStart w:id="9" w:name="_Toc524686626"/>
      <w:r w:rsidRPr="00A93F6C">
        <w:rPr>
          <w:lang w:val="fr-CH"/>
        </w:rPr>
        <w:t>AMPLIACIÓN DEL CONTENIDO DE LA BASE DE DATOS PLUTO</w:t>
      </w:r>
      <w:bookmarkEnd w:id="9"/>
    </w:p>
    <w:p w:rsidR="00A93D11" w:rsidRPr="00BB6FEA" w:rsidRDefault="00A93D11" w:rsidP="00A93D11">
      <w:pPr>
        <w:keepNext/>
        <w:keepLines/>
        <w:rPr>
          <w:rFonts w:eastAsiaTheme="minorEastAsia"/>
          <w:lang w:val="es-ES" w:eastAsia="ja-JP"/>
        </w:rPr>
      </w:pPr>
    </w:p>
    <w:p w:rsidR="00A93D11" w:rsidRPr="00BB6FEA" w:rsidRDefault="00EA5061" w:rsidP="00A93D11">
      <w:pPr>
        <w:rPr>
          <w:rFonts w:eastAsiaTheme="minorEastAsia"/>
          <w:lang w:val="es-ES" w:eastAsia="ja-JP"/>
        </w:rPr>
      </w:pPr>
      <w:r w:rsidRPr="007678AB">
        <w:rPr>
          <w:rFonts w:eastAsiaTheme="minorEastAsia"/>
        </w:rPr>
        <w:fldChar w:fldCharType="begin"/>
      </w:r>
      <w:r w:rsidR="00A93D11" w:rsidRPr="00BB6FEA">
        <w:rPr>
          <w:rFonts w:eastAsiaTheme="minorEastAsia"/>
          <w:lang w:val="es-ES"/>
        </w:rPr>
        <w:instrText xml:space="preserve"> AUTONUM  </w:instrText>
      </w:r>
      <w:r w:rsidRPr="007678AB">
        <w:rPr>
          <w:rFonts w:eastAsiaTheme="minorEastAsia"/>
        </w:rPr>
        <w:fldChar w:fldCharType="end"/>
      </w:r>
      <w:r w:rsidR="00A93D11" w:rsidRPr="00BB6FEA">
        <w:rPr>
          <w:rFonts w:eastAsiaTheme="minorEastAsia"/>
          <w:lang w:val="es-ES"/>
        </w:rPr>
        <w:tab/>
      </w:r>
      <w:r w:rsidR="008F5F82" w:rsidRPr="00A1479B">
        <w:rPr>
          <w:rFonts w:eastAsiaTheme="minorEastAsia"/>
          <w:lang w:eastAsia="ja-JP"/>
        </w:rPr>
        <w:t>Los antecedentes de esta cuestión figuran en los párrafos 19 a</w:t>
      </w:r>
      <w:r w:rsidR="00FC7ADA" w:rsidRPr="00A1479B">
        <w:rPr>
          <w:rFonts w:eastAsiaTheme="minorEastAsia"/>
          <w:lang w:eastAsia="ja-JP"/>
        </w:rPr>
        <w:t> 2</w:t>
      </w:r>
      <w:r w:rsidR="008F5F82" w:rsidRPr="00A1479B">
        <w:rPr>
          <w:rFonts w:eastAsiaTheme="minorEastAsia"/>
          <w:lang w:eastAsia="ja-JP"/>
        </w:rPr>
        <w:t>3 del documento TC/53/12 “Denominaciones de variedades”.</w:t>
      </w:r>
    </w:p>
    <w:p w:rsidR="00A93D11" w:rsidRPr="00BB6FEA" w:rsidRDefault="00A93D11" w:rsidP="00A93D11">
      <w:pPr>
        <w:rPr>
          <w:lang w:val="es-ES" w:eastAsia="ja-JP"/>
        </w:rPr>
      </w:pPr>
    </w:p>
    <w:p w:rsidR="00A93D11" w:rsidRPr="00BB6FEA" w:rsidRDefault="00EA5061" w:rsidP="00A93D11">
      <w:pPr>
        <w:rPr>
          <w:lang w:val="es-ES"/>
        </w:rPr>
      </w:pPr>
      <w:r w:rsidRPr="007678AB">
        <w:rPr>
          <w:lang w:eastAsia="ja-JP"/>
        </w:rPr>
        <w:fldChar w:fldCharType="begin"/>
      </w:r>
      <w:r w:rsidR="00A93D11" w:rsidRPr="00BB6FEA">
        <w:rPr>
          <w:lang w:val="es-ES" w:eastAsia="ja-JP"/>
        </w:rPr>
        <w:instrText xml:space="preserve"> AUTONUM  </w:instrText>
      </w:r>
      <w:r w:rsidRPr="007678AB">
        <w:rPr>
          <w:lang w:eastAsia="ja-JP"/>
        </w:rPr>
        <w:fldChar w:fldCharType="end"/>
      </w:r>
      <w:r w:rsidR="00A93D11" w:rsidRPr="00BB6FEA">
        <w:rPr>
          <w:lang w:val="es-ES" w:eastAsia="ja-JP"/>
        </w:rPr>
        <w:tab/>
      </w:r>
      <w:r w:rsidR="00E36189" w:rsidRPr="00A1479B">
        <w:rPr>
          <w:rFonts w:cs="Arial"/>
          <w:lang w:eastAsia="ja-JP"/>
        </w:rPr>
        <w:t>En su cuarta reunión</w:t>
      </w:r>
      <w:r w:rsidR="00FC7ADA" w:rsidRPr="00A1479B">
        <w:rPr>
          <w:rFonts w:cs="Arial"/>
          <w:lang w:eastAsia="ja-JP"/>
        </w:rPr>
        <w:t xml:space="preserve">, </w:t>
      </w:r>
      <w:r w:rsidR="00E36189" w:rsidRPr="00A1479B">
        <w:rPr>
          <w:rFonts w:cs="Arial"/>
          <w:lang w:eastAsia="ja-JP"/>
        </w:rPr>
        <w:t>el WG-DEN acordó que el punto 5 del orden del día</w:t>
      </w:r>
      <w:r w:rsidR="00FC7ADA" w:rsidRPr="00A1479B">
        <w:rPr>
          <w:rFonts w:cs="Arial"/>
          <w:lang w:eastAsia="ja-JP"/>
        </w:rPr>
        <w:t xml:space="preserve">, </w:t>
      </w:r>
      <w:r w:rsidR="00E36189" w:rsidRPr="00A1479B">
        <w:rPr>
          <w:rFonts w:cs="Arial"/>
          <w:lang w:eastAsia="ja-JP"/>
        </w:rPr>
        <w:t>“Ampliación del contenido de la base de datos PLUTO”</w:t>
      </w:r>
      <w:r w:rsidR="00FC7ADA" w:rsidRPr="00A1479B">
        <w:rPr>
          <w:rFonts w:cs="Arial"/>
          <w:lang w:eastAsia="ja-JP"/>
        </w:rPr>
        <w:t xml:space="preserve">, </w:t>
      </w:r>
      <w:r w:rsidR="00E36189" w:rsidRPr="00A1479B">
        <w:rPr>
          <w:rFonts w:cs="Arial"/>
          <w:lang w:eastAsia="ja-JP"/>
        </w:rPr>
        <w:t>se examine en una reunión posterior sobre la base del documento presentado en la segunda reunión</w:t>
      </w:r>
      <w:r w:rsidR="008F5F82" w:rsidRPr="00A1479B">
        <w:rPr>
          <w:rFonts w:cs="Arial"/>
          <w:lang w:eastAsia="ja-JP"/>
        </w:rPr>
        <w:t>.</w:t>
      </w:r>
      <w:r w:rsidR="002753E9" w:rsidRPr="00BB6FEA">
        <w:rPr>
          <w:rFonts w:hint="eastAsia"/>
          <w:lang w:val="es-ES"/>
        </w:rPr>
        <w:t xml:space="preserve"> </w:t>
      </w:r>
      <w:r w:rsidR="00E36189" w:rsidRPr="00A1479B">
        <w:t>Se convino en que la Oficina de la Unión proponga la manera de avanzar en el debate de estas cuestiones en la quinta reunión del WG</w:t>
      </w:r>
      <w:r w:rsidR="00E36189" w:rsidRPr="00A1479B">
        <w:noBreakHyphen/>
        <w:t>DEN.</w:t>
      </w:r>
    </w:p>
    <w:p w:rsidR="00A93D11" w:rsidRPr="00BB6FEA" w:rsidRDefault="00A93D11" w:rsidP="00A93D11">
      <w:pPr>
        <w:rPr>
          <w:rFonts w:eastAsiaTheme="minorEastAsia"/>
          <w:lang w:val="es-ES"/>
        </w:rPr>
      </w:pPr>
    </w:p>
    <w:p w:rsidR="00A93D11" w:rsidRDefault="00A93D11" w:rsidP="00A93D11">
      <w:pPr>
        <w:rPr>
          <w:rFonts w:eastAsiaTheme="minorEastAsia"/>
          <w:lang w:val="es-ES"/>
        </w:rPr>
      </w:pPr>
    </w:p>
    <w:p w:rsidR="00E608DA" w:rsidRPr="00BB6FEA" w:rsidRDefault="00E608DA" w:rsidP="00A93D11">
      <w:pPr>
        <w:rPr>
          <w:rFonts w:eastAsiaTheme="minorEastAsia"/>
          <w:lang w:val="es-ES"/>
        </w:rPr>
      </w:pPr>
    </w:p>
    <w:p w:rsidR="00A93D11" w:rsidRPr="00BB6FEA" w:rsidRDefault="00E36189" w:rsidP="00083B28">
      <w:pPr>
        <w:pStyle w:val="Heading1"/>
        <w:rPr>
          <w:lang w:val="es-ES"/>
        </w:rPr>
      </w:pPr>
      <w:bookmarkStart w:id="10" w:name="_Toc524686627"/>
      <w:r w:rsidRPr="00A93F6C">
        <w:rPr>
          <w:lang w:val="fr-CH"/>
        </w:rPr>
        <w:t>TÉRMINOS INADMISIBLES</w:t>
      </w:r>
      <w:bookmarkEnd w:id="10"/>
    </w:p>
    <w:p w:rsidR="00A93D11" w:rsidRPr="00BB6FEA" w:rsidRDefault="00A93D11" w:rsidP="00A93D11">
      <w:pPr>
        <w:keepNext/>
        <w:keepLines/>
        <w:rPr>
          <w:rFonts w:eastAsiaTheme="minorEastAsia"/>
          <w:lang w:val="es-ES" w:eastAsia="ja-JP"/>
        </w:rPr>
      </w:pPr>
    </w:p>
    <w:p w:rsidR="00A93D11" w:rsidRPr="00BB6FEA" w:rsidRDefault="00EA5061" w:rsidP="00A93D11">
      <w:pPr>
        <w:rPr>
          <w:rFonts w:eastAsiaTheme="minorEastAsia"/>
          <w:lang w:val="es-ES" w:eastAsia="ja-JP"/>
        </w:rPr>
      </w:pPr>
      <w:r w:rsidRPr="007678AB">
        <w:rPr>
          <w:rFonts w:eastAsiaTheme="minorEastAsia"/>
        </w:rPr>
        <w:fldChar w:fldCharType="begin"/>
      </w:r>
      <w:r w:rsidR="00A93D11" w:rsidRPr="00BB6FEA">
        <w:rPr>
          <w:rFonts w:eastAsiaTheme="minorEastAsia"/>
          <w:lang w:val="es-ES"/>
        </w:rPr>
        <w:instrText xml:space="preserve"> AUTONUM  </w:instrText>
      </w:r>
      <w:r w:rsidRPr="007678AB">
        <w:rPr>
          <w:rFonts w:eastAsiaTheme="minorEastAsia"/>
        </w:rPr>
        <w:fldChar w:fldCharType="end"/>
      </w:r>
      <w:r w:rsidR="00A93D11" w:rsidRPr="00BB6FEA">
        <w:rPr>
          <w:rFonts w:eastAsiaTheme="minorEastAsia"/>
          <w:lang w:val="es-ES"/>
        </w:rPr>
        <w:tab/>
      </w:r>
      <w:r w:rsidR="00E36189" w:rsidRPr="00A1479B">
        <w:rPr>
          <w:rFonts w:eastAsiaTheme="minorEastAsia"/>
          <w:lang w:eastAsia="ja-JP"/>
        </w:rPr>
        <w:t>Los antecedentes de esta cuestión figuran en los párrafos 24 a</w:t>
      </w:r>
      <w:r w:rsidR="00FC7ADA" w:rsidRPr="00A1479B">
        <w:rPr>
          <w:rFonts w:eastAsiaTheme="minorEastAsia"/>
          <w:lang w:eastAsia="ja-JP"/>
        </w:rPr>
        <w:t> 2</w:t>
      </w:r>
      <w:r w:rsidR="00E36189" w:rsidRPr="00A1479B">
        <w:rPr>
          <w:rFonts w:eastAsiaTheme="minorEastAsia"/>
          <w:lang w:eastAsia="ja-JP"/>
        </w:rPr>
        <w:t>8 del documento TC/53/12 “Denominaciones de variedades”.</w:t>
      </w:r>
    </w:p>
    <w:p w:rsidR="00A93D11" w:rsidRPr="00BB6FEA" w:rsidRDefault="00A93D11" w:rsidP="00A93D11">
      <w:pPr>
        <w:rPr>
          <w:lang w:val="es-ES" w:eastAsia="ja-JP"/>
        </w:rPr>
      </w:pPr>
    </w:p>
    <w:p w:rsidR="00A93D11" w:rsidRPr="00BB6FEA" w:rsidRDefault="00EA5061" w:rsidP="00A93D11">
      <w:pPr>
        <w:rPr>
          <w:lang w:val="es-ES"/>
        </w:rPr>
      </w:pPr>
      <w:r w:rsidRPr="007678AB">
        <w:rPr>
          <w:lang w:eastAsia="ja-JP"/>
        </w:rPr>
        <w:fldChar w:fldCharType="begin"/>
      </w:r>
      <w:r w:rsidR="00A93D11" w:rsidRPr="00BB6FEA">
        <w:rPr>
          <w:lang w:val="es-ES" w:eastAsia="ja-JP"/>
        </w:rPr>
        <w:instrText xml:space="preserve"> AUTONUM  </w:instrText>
      </w:r>
      <w:r w:rsidRPr="007678AB">
        <w:rPr>
          <w:lang w:eastAsia="ja-JP"/>
        </w:rPr>
        <w:fldChar w:fldCharType="end"/>
      </w:r>
      <w:r w:rsidR="00A93D11" w:rsidRPr="00BB6FEA">
        <w:rPr>
          <w:lang w:val="es-ES" w:eastAsia="ja-JP"/>
        </w:rPr>
        <w:tab/>
      </w:r>
      <w:r w:rsidR="00A54487" w:rsidRPr="00A1479B">
        <w:rPr>
          <w:rFonts w:cs="Arial"/>
          <w:lang w:eastAsia="ja-JP"/>
        </w:rPr>
        <w:t>En su cuarta reunión</w:t>
      </w:r>
      <w:r w:rsidR="00FC7ADA" w:rsidRPr="00A1479B">
        <w:rPr>
          <w:rFonts w:cs="Arial"/>
          <w:lang w:eastAsia="ja-JP"/>
        </w:rPr>
        <w:t xml:space="preserve">, </w:t>
      </w:r>
      <w:r w:rsidR="00A54487" w:rsidRPr="00A1479B">
        <w:rPr>
          <w:rFonts w:cs="Arial"/>
          <w:lang w:eastAsia="ja-JP"/>
        </w:rPr>
        <w:t>el WG-DEN acordó que el punto 6 del orden del día</w:t>
      </w:r>
      <w:r w:rsidR="00FC7ADA" w:rsidRPr="00A1479B">
        <w:rPr>
          <w:rFonts w:cs="Arial"/>
          <w:lang w:eastAsia="ja-JP"/>
        </w:rPr>
        <w:t xml:space="preserve">, </w:t>
      </w:r>
      <w:r w:rsidR="00A54487" w:rsidRPr="00A1479B">
        <w:rPr>
          <w:rFonts w:cs="Arial"/>
          <w:lang w:eastAsia="ja-JP"/>
        </w:rPr>
        <w:t>“Términos inadmisibles”</w:t>
      </w:r>
      <w:r w:rsidR="00FC7ADA" w:rsidRPr="00A1479B">
        <w:rPr>
          <w:rFonts w:cs="Arial"/>
          <w:lang w:eastAsia="ja-JP"/>
        </w:rPr>
        <w:t xml:space="preserve">, </w:t>
      </w:r>
      <w:r w:rsidR="00A54487" w:rsidRPr="00A1479B">
        <w:rPr>
          <w:rFonts w:cs="Arial"/>
          <w:lang w:eastAsia="ja-JP"/>
        </w:rPr>
        <w:t>se examine en una reunión posterior sobre la base del documento presentado en la segunda reunión.</w:t>
      </w:r>
      <w:r w:rsidR="002753E9" w:rsidRPr="00BB6FEA">
        <w:rPr>
          <w:rFonts w:hint="eastAsia"/>
          <w:lang w:val="es-ES"/>
        </w:rPr>
        <w:t xml:space="preserve"> </w:t>
      </w:r>
      <w:r w:rsidR="00A93F6C">
        <w:t>Se </w:t>
      </w:r>
      <w:r w:rsidR="00A54487" w:rsidRPr="00A1479B">
        <w:t>convino en que la Oficina de la Unión proponga la manera de avanzar en el debate de estas cuestiones en la quinta reunión del WG</w:t>
      </w:r>
      <w:r w:rsidR="00A54487" w:rsidRPr="00A1479B">
        <w:noBreakHyphen/>
        <w:t>DEN.</w:t>
      </w:r>
    </w:p>
    <w:p w:rsidR="00A93D11" w:rsidRPr="00BB6FEA" w:rsidRDefault="00A93D11" w:rsidP="00A93D11">
      <w:pPr>
        <w:rPr>
          <w:lang w:val="es-ES"/>
        </w:rPr>
      </w:pPr>
    </w:p>
    <w:p w:rsidR="00A93D11" w:rsidRDefault="00A93D11" w:rsidP="00A93D11">
      <w:pPr>
        <w:rPr>
          <w:lang w:val="es-ES"/>
        </w:rPr>
      </w:pPr>
    </w:p>
    <w:p w:rsidR="00E608DA" w:rsidRPr="00BB6FEA" w:rsidRDefault="00E608DA" w:rsidP="00A93D11">
      <w:pPr>
        <w:rPr>
          <w:lang w:val="es-ES"/>
        </w:rPr>
      </w:pPr>
    </w:p>
    <w:p w:rsidR="00A93D11" w:rsidRPr="00BB6FEA" w:rsidRDefault="00A54487" w:rsidP="00083B28">
      <w:pPr>
        <w:pStyle w:val="Heading1"/>
        <w:rPr>
          <w:lang w:val="es-ES"/>
        </w:rPr>
      </w:pPr>
      <w:bookmarkStart w:id="11" w:name="_Toc524686628"/>
      <w:r w:rsidRPr="00E608DA">
        <w:rPr>
          <w:lang w:val="fr-CH"/>
        </w:rPr>
        <w:t>FECHA Y PROGRAMA DE LA PRÓXIMA REUNIÓN DEL WG-DEN</w:t>
      </w:r>
      <w:bookmarkEnd w:id="11"/>
    </w:p>
    <w:p w:rsidR="00A93D11" w:rsidRPr="00BB6FEA" w:rsidRDefault="00A93D11" w:rsidP="00A93D11">
      <w:pPr>
        <w:keepNext/>
        <w:rPr>
          <w:rFonts w:eastAsiaTheme="minorEastAsia"/>
          <w:color w:val="000000" w:themeColor="text1"/>
          <w:lang w:val="es-ES" w:eastAsia="ja-JP"/>
        </w:rPr>
      </w:pPr>
    </w:p>
    <w:p w:rsidR="00A93D11" w:rsidRPr="00BB6FEA" w:rsidRDefault="00EA5061" w:rsidP="00A93D11">
      <w:pPr>
        <w:rPr>
          <w:rFonts w:eastAsiaTheme="minorEastAsia"/>
          <w:color w:val="000000" w:themeColor="text1"/>
          <w:lang w:val="es-ES" w:eastAsia="ja-JP"/>
        </w:rPr>
      </w:pPr>
      <w:r w:rsidRPr="007678AB">
        <w:rPr>
          <w:rFonts w:eastAsiaTheme="minorEastAsia"/>
        </w:rPr>
        <w:fldChar w:fldCharType="begin"/>
      </w:r>
      <w:r w:rsidR="00A93D11" w:rsidRPr="00BB6FEA">
        <w:rPr>
          <w:rFonts w:eastAsiaTheme="minorEastAsia"/>
          <w:lang w:val="es-ES"/>
        </w:rPr>
        <w:instrText xml:space="preserve"> AUTONUM  </w:instrText>
      </w:r>
      <w:r w:rsidRPr="007678AB">
        <w:rPr>
          <w:rFonts w:eastAsiaTheme="minorEastAsia"/>
        </w:rPr>
        <w:fldChar w:fldCharType="end"/>
      </w:r>
      <w:r w:rsidR="00A93D11" w:rsidRPr="00BB6FEA">
        <w:rPr>
          <w:rFonts w:eastAsiaTheme="minorEastAsia"/>
          <w:lang w:val="es-ES"/>
        </w:rPr>
        <w:tab/>
      </w:r>
      <w:r w:rsidR="00A54487" w:rsidRPr="00A1479B">
        <w:rPr>
          <w:rFonts w:eastAsiaTheme="minorEastAsia" w:cs="Arial"/>
        </w:rPr>
        <w:t xml:space="preserve">En su </w:t>
      </w:r>
      <w:r w:rsidR="00A54487" w:rsidRPr="00A1479B">
        <w:t xml:space="preserve">cuarta </w:t>
      </w:r>
      <w:r w:rsidR="00A54487" w:rsidRPr="00A1479B">
        <w:rPr>
          <w:rFonts w:eastAsiaTheme="minorEastAsia" w:cs="Arial"/>
        </w:rPr>
        <w:t>reunión</w:t>
      </w:r>
      <w:r w:rsidR="00FC7ADA" w:rsidRPr="00A1479B">
        <w:rPr>
          <w:rFonts w:eastAsiaTheme="minorEastAsia" w:cs="Arial"/>
        </w:rPr>
        <w:t xml:space="preserve">, </w:t>
      </w:r>
      <w:r w:rsidR="00A54487" w:rsidRPr="00A1479B">
        <w:rPr>
          <w:rFonts w:eastAsiaTheme="minorEastAsia" w:cs="Arial"/>
        </w:rPr>
        <w:t xml:space="preserve">el WG-DEN convino en que su </w:t>
      </w:r>
      <w:r w:rsidR="00A54487" w:rsidRPr="00A1479B">
        <w:rPr>
          <w:rFonts w:eastAsiaTheme="minorEastAsia"/>
          <w:color w:val="000000" w:themeColor="text1"/>
          <w:lang w:eastAsia="ja-JP"/>
        </w:rPr>
        <w:t xml:space="preserve">quinta </w:t>
      </w:r>
      <w:r w:rsidR="00A54487" w:rsidRPr="00A1479B">
        <w:rPr>
          <w:rFonts w:eastAsiaTheme="minorEastAsia" w:cs="Arial"/>
        </w:rPr>
        <w:t>reun</w:t>
      </w:r>
      <w:r w:rsidR="00A93F6C">
        <w:rPr>
          <w:rFonts w:eastAsiaTheme="minorEastAsia" w:cs="Arial"/>
        </w:rPr>
        <w:t>ión se celebre en Ginebra en la </w:t>
      </w:r>
      <w:bookmarkStart w:id="12" w:name="_GoBack"/>
      <w:bookmarkEnd w:id="12"/>
      <w:r w:rsidR="00A54487" w:rsidRPr="00A1479B">
        <w:rPr>
          <w:rFonts w:eastAsiaTheme="minorEastAsia" w:cs="Arial"/>
        </w:rPr>
        <w:t>mañana del</w:t>
      </w:r>
      <w:r w:rsidR="00FC7ADA" w:rsidRPr="00A1479B">
        <w:rPr>
          <w:rFonts w:eastAsiaTheme="minorEastAsia" w:cs="Arial"/>
        </w:rPr>
        <w:t> 3</w:t>
      </w:r>
      <w:r w:rsidR="00A54487" w:rsidRPr="00A1479B">
        <w:rPr>
          <w:rFonts w:eastAsiaTheme="minorEastAsia" w:cs="Arial"/>
        </w:rPr>
        <w:t>0 de octubre de</w:t>
      </w:r>
      <w:r w:rsidR="00FC7ADA" w:rsidRPr="00A1479B">
        <w:rPr>
          <w:rFonts w:eastAsiaTheme="minorEastAsia" w:cs="Arial"/>
        </w:rPr>
        <w:t> 2</w:t>
      </w:r>
      <w:r w:rsidR="00A54487" w:rsidRPr="00A1479B">
        <w:rPr>
          <w:rFonts w:eastAsiaTheme="minorEastAsia" w:cs="Arial"/>
        </w:rPr>
        <w:t>018.</w:t>
      </w:r>
    </w:p>
    <w:p w:rsidR="00A93D11" w:rsidRPr="00BB6FEA" w:rsidRDefault="00A93D11" w:rsidP="00A93D11">
      <w:pPr>
        <w:rPr>
          <w:rFonts w:eastAsiaTheme="minorEastAsia"/>
          <w:color w:val="000000" w:themeColor="text1"/>
          <w:lang w:val="es-ES" w:eastAsia="ja-JP"/>
        </w:rPr>
      </w:pPr>
    </w:p>
    <w:p w:rsidR="00A93D11" w:rsidRPr="00BB6FEA" w:rsidRDefault="00EA5061" w:rsidP="00A93D11">
      <w:pPr>
        <w:keepNext/>
        <w:rPr>
          <w:color w:val="000000" w:themeColor="text1"/>
          <w:lang w:val="es-ES" w:eastAsia="ja-JP"/>
        </w:rPr>
      </w:pPr>
      <w:r w:rsidRPr="007678AB">
        <w:rPr>
          <w:lang w:eastAsia="ja-JP"/>
        </w:rPr>
        <w:lastRenderedPageBreak/>
        <w:fldChar w:fldCharType="begin"/>
      </w:r>
      <w:r w:rsidR="00A93D11" w:rsidRPr="00BB6FEA">
        <w:rPr>
          <w:lang w:val="es-ES" w:eastAsia="ja-JP"/>
        </w:rPr>
        <w:instrText xml:space="preserve"> AUTONUM  </w:instrText>
      </w:r>
      <w:r w:rsidRPr="007678AB">
        <w:rPr>
          <w:lang w:eastAsia="ja-JP"/>
        </w:rPr>
        <w:fldChar w:fldCharType="end"/>
      </w:r>
      <w:r w:rsidR="00A93D11" w:rsidRPr="00BB6FEA">
        <w:rPr>
          <w:lang w:val="es-ES" w:eastAsia="ja-JP"/>
        </w:rPr>
        <w:tab/>
      </w:r>
      <w:r w:rsidR="00A54487" w:rsidRPr="00A1479B">
        <w:t xml:space="preserve">Se acordó el siguiente programa para la </w:t>
      </w:r>
      <w:r w:rsidR="00A54487" w:rsidRPr="00A1479B">
        <w:rPr>
          <w:rFonts w:eastAsiaTheme="minorEastAsia"/>
          <w:color w:val="000000" w:themeColor="text1"/>
          <w:lang w:eastAsia="ja-JP"/>
        </w:rPr>
        <w:t xml:space="preserve">quinta </w:t>
      </w:r>
      <w:r w:rsidR="00A54487" w:rsidRPr="00A1479B">
        <w:t>reunión del WG-DEN:</w:t>
      </w:r>
    </w:p>
    <w:p w:rsidR="00A93D11" w:rsidRPr="00BB6FEA" w:rsidRDefault="00A93D11" w:rsidP="00A93D11">
      <w:pPr>
        <w:keepNext/>
        <w:ind w:left="540"/>
        <w:rPr>
          <w:color w:val="000000" w:themeColor="text1"/>
          <w:lang w:val="es-ES" w:eastAsia="ja-JP"/>
        </w:rPr>
      </w:pPr>
    </w:p>
    <w:p w:rsidR="00A93D11" w:rsidRPr="007678AB" w:rsidRDefault="00A54487" w:rsidP="00A93D11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</w:rPr>
      </w:pPr>
      <w:r w:rsidRPr="00A1479B">
        <w:rPr>
          <w:rFonts w:eastAsiaTheme="minorEastAsia"/>
          <w:szCs w:val="24"/>
        </w:rPr>
        <w:t>Apertura de la reunión</w:t>
      </w:r>
    </w:p>
    <w:p w:rsidR="00A93D11" w:rsidRPr="007678AB" w:rsidRDefault="00A93D11" w:rsidP="00A93D11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</w:rPr>
      </w:pPr>
    </w:p>
    <w:p w:rsidR="00A93D11" w:rsidRPr="007678AB" w:rsidRDefault="00A54487" w:rsidP="00A93D11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</w:rPr>
      </w:pPr>
      <w:r w:rsidRPr="00A1479B">
        <w:rPr>
          <w:rFonts w:eastAsiaTheme="minorEastAsia"/>
          <w:szCs w:val="24"/>
        </w:rPr>
        <w:t>Aprobación del orden del día</w:t>
      </w:r>
    </w:p>
    <w:p w:rsidR="00A93D11" w:rsidRPr="007678AB" w:rsidRDefault="00A93D11" w:rsidP="00A93D11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</w:rPr>
      </w:pPr>
    </w:p>
    <w:p w:rsidR="00A93D11" w:rsidRPr="00BB6FEA" w:rsidRDefault="00A54487" w:rsidP="00A93D11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rPr>
          <w:rFonts w:eastAsiaTheme="minorEastAsia"/>
          <w:szCs w:val="24"/>
          <w:lang w:val="es-ES" w:eastAsia="ja-JP"/>
        </w:rPr>
      </w:pPr>
      <w:r w:rsidRPr="00A1479B">
        <w:rPr>
          <w:rFonts w:eastAsiaTheme="minorEastAsia"/>
          <w:szCs w:val="24"/>
          <w:lang w:eastAsia="ja-JP"/>
        </w:rPr>
        <w:t>Revisión del documento UPOV/INF/12/5 “Notas explicativas sobre las denominaciones de variedades</w:t>
      </w:r>
      <w:r w:rsidR="00A1479B" w:rsidRPr="00A1479B">
        <w:rPr>
          <w:rFonts w:eastAsiaTheme="minorEastAsia"/>
          <w:szCs w:val="24"/>
          <w:lang w:eastAsia="ja-JP"/>
        </w:rPr>
        <w:t xml:space="preserve"> con arreglo al Convenio de la </w:t>
      </w:r>
      <w:r w:rsidRPr="00A1479B">
        <w:rPr>
          <w:rFonts w:eastAsiaTheme="minorEastAsia"/>
          <w:szCs w:val="24"/>
          <w:lang w:eastAsia="ja-JP"/>
        </w:rPr>
        <w:t>UPOV”</w:t>
      </w:r>
    </w:p>
    <w:p w:rsidR="00A93D11" w:rsidRPr="00BB6FEA" w:rsidRDefault="00A93D11" w:rsidP="00A93D11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  <w:lang w:val="es-ES" w:eastAsia="ja-JP"/>
        </w:rPr>
      </w:pPr>
    </w:p>
    <w:p w:rsidR="00A93D11" w:rsidRPr="007678AB" w:rsidRDefault="00A1479B" w:rsidP="00A93D11">
      <w:pPr>
        <w:keepNext/>
        <w:numPr>
          <w:ilvl w:val="0"/>
          <w:numId w:val="1"/>
        </w:numPr>
        <w:autoSpaceDE w:val="0"/>
        <w:autoSpaceDN w:val="0"/>
        <w:adjustRightInd w:val="0"/>
        <w:ind w:left="1170" w:hanging="630"/>
        <w:jc w:val="left"/>
        <w:rPr>
          <w:rFonts w:eastAsiaTheme="minorEastAsia"/>
          <w:szCs w:val="24"/>
        </w:rPr>
      </w:pPr>
      <w:r w:rsidRPr="00A1479B">
        <w:rPr>
          <w:rFonts w:eastAsiaTheme="minorEastAsia"/>
          <w:szCs w:val="24"/>
          <w:lang w:eastAsia="ja-JP"/>
        </w:rPr>
        <w:t>Instrumento de la </w:t>
      </w:r>
      <w:r w:rsidR="00A54487" w:rsidRPr="00A1479B">
        <w:rPr>
          <w:rFonts w:eastAsiaTheme="minorEastAsia"/>
          <w:szCs w:val="24"/>
          <w:lang w:eastAsia="ja-JP"/>
        </w:rPr>
        <w:t>UPOV para la búsqueda de denominaciones similares</w:t>
      </w:r>
    </w:p>
    <w:p w:rsidR="00A93D11" w:rsidRPr="007678AB" w:rsidRDefault="00A93D11" w:rsidP="00A93D11">
      <w:pPr>
        <w:keepNext/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A93D11" w:rsidRPr="00BB6FEA" w:rsidRDefault="00A54487" w:rsidP="00A93D11">
      <w:pPr>
        <w:keepNext/>
        <w:numPr>
          <w:ilvl w:val="0"/>
          <w:numId w:val="1"/>
        </w:numPr>
        <w:autoSpaceDE w:val="0"/>
        <w:autoSpaceDN w:val="0"/>
        <w:adjustRightInd w:val="0"/>
        <w:ind w:left="1170" w:hanging="630"/>
        <w:jc w:val="left"/>
        <w:rPr>
          <w:rFonts w:eastAsiaTheme="minorEastAsia"/>
          <w:szCs w:val="24"/>
          <w:lang w:val="es-ES"/>
        </w:rPr>
      </w:pPr>
      <w:r w:rsidRPr="00A1479B">
        <w:rPr>
          <w:rFonts w:eastAsiaTheme="minorEastAsia"/>
          <w:szCs w:val="24"/>
        </w:rPr>
        <w:t>Ampliación del contenido de la base de datos PLUTO</w:t>
      </w:r>
    </w:p>
    <w:p w:rsidR="00A93D11" w:rsidRPr="00BB6FEA" w:rsidRDefault="00A93D11" w:rsidP="00A93D11">
      <w:pPr>
        <w:keepNext/>
        <w:rPr>
          <w:lang w:val="es-ES"/>
        </w:rPr>
      </w:pPr>
    </w:p>
    <w:p w:rsidR="00A93D11" w:rsidRPr="007678AB" w:rsidRDefault="00A54487" w:rsidP="00A93D11">
      <w:pPr>
        <w:numPr>
          <w:ilvl w:val="0"/>
          <w:numId w:val="1"/>
        </w:numPr>
        <w:autoSpaceDE w:val="0"/>
        <w:autoSpaceDN w:val="0"/>
        <w:adjustRightInd w:val="0"/>
        <w:ind w:left="1170" w:hanging="630"/>
        <w:jc w:val="left"/>
        <w:rPr>
          <w:rFonts w:eastAsiaTheme="minorEastAsia"/>
          <w:szCs w:val="24"/>
        </w:rPr>
      </w:pPr>
      <w:r w:rsidRPr="00A1479B">
        <w:rPr>
          <w:rFonts w:eastAsiaTheme="minorEastAsia"/>
          <w:szCs w:val="24"/>
        </w:rPr>
        <w:t>Términos inadmisibles</w:t>
      </w:r>
    </w:p>
    <w:p w:rsidR="00A93D11" w:rsidRPr="007678AB" w:rsidRDefault="00A93D11" w:rsidP="00A93D11">
      <w:pPr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  <w:lang w:eastAsia="ja-JP"/>
        </w:rPr>
      </w:pPr>
    </w:p>
    <w:p w:rsidR="00A93D11" w:rsidRPr="00BB6FEA" w:rsidRDefault="00A54487" w:rsidP="00A93D11">
      <w:pPr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  <w:lang w:val="es-ES" w:eastAsia="ja-JP"/>
        </w:rPr>
      </w:pPr>
      <w:r w:rsidRPr="00A1479B">
        <w:rPr>
          <w:rFonts w:eastAsiaTheme="minorEastAsia"/>
        </w:rPr>
        <w:t>Fecha</w:t>
      </w:r>
      <w:r w:rsidR="00FC7ADA" w:rsidRPr="00A1479B">
        <w:rPr>
          <w:rFonts w:eastAsiaTheme="minorEastAsia"/>
        </w:rPr>
        <w:t xml:space="preserve">, </w:t>
      </w:r>
      <w:r w:rsidRPr="00A1479B">
        <w:rPr>
          <w:rFonts w:eastAsiaTheme="minorEastAsia"/>
        </w:rPr>
        <w:t>lugar y programa de la siguiente reunión</w:t>
      </w:r>
    </w:p>
    <w:p w:rsidR="00A93D11" w:rsidRPr="00BB6FEA" w:rsidRDefault="00A93D11" w:rsidP="00A93D11">
      <w:pPr>
        <w:rPr>
          <w:rFonts w:eastAsiaTheme="minorEastAsia"/>
          <w:lang w:val="es-ES" w:eastAsia="ja-JP"/>
        </w:rPr>
      </w:pPr>
    </w:p>
    <w:bookmarkStart w:id="13" w:name="_Toc382388626"/>
    <w:p w:rsidR="00A93D11" w:rsidRPr="00BB6FEA" w:rsidRDefault="00EA5061" w:rsidP="00A93D11">
      <w:pPr>
        <w:keepNext/>
        <w:tabs>
          <w:tab w:val="left" w:pos="5387"/>
        </w:tabs>
        <w:ind w:left="4820"/>
        <w:rPr>
          <w:rFonts w:eastAsiaTheme="minorEastAsia" w:cs="Arial"/>
          <w:i/>
          <w:lang w:val="es-ES" w:eastAsia="ja-JP"/>
        </w:rPr>
      </w:pPr>
      <w:r w:rsidRPr="007678AB">
        <w:rPr>
          <w:rFonts w:eastAsiaTheme="minorEastAsia"/>
          <w:i/>
        </w:rPr>
        <w:fldChar w:fldCharType="begin"/>
      </w:r>
      <w:r w:rsidR="00A93D11" w:rsidRPr="00BB6FEA">
        <w:rPr>
          <w:rFonts w:eastAsiaTheme="minorEastAsia"/>
          <w:i/>
          <w:lang w:val="es-ES"/>
        </w:rPr>
        <w:instrText xml:space="preserve"> AUTONUM  </w:instrText>
      </w:r>
      <w:r w:rsidRPr="007678AB">
        <w:rPr>
          <w:rFonts w:eastAsiaTheme="minorEastAsia"/>
          <w:i/>
        </w:rPr>
        <w:fldChar w:fldCharType="end"/>
      </w:r>
      <w:r w:rsidR="00A93D11" w:rsidRPr="00BB6FEA">
        <w:rPr>
          <w:rFonts w:eastAsiaTheme="minorEastAsia"/>
          <w:i/>
          <w:lang w:val="es-ES"/>
        </w:rPr>
        <w:tab/>
      </w:r>
      <w:bookmarkEnd w:id="13"/>
      <w:r w:rsidR="00A54487" w:rsidRPr="00A1479B">
        <w:rPr>
          <w:rFonts w:eastAsiaTheme="minorEastAsia"/>
          <w:i/>
        </w:rPr>
        <w:t>Se invita al TC a tomar nota:</w:t>
      </w:r>
    </w:p>
    <w:p w:rsidR="00A93D11" w:rsidRPr="00BB6FEA" w:rsidRDefault="00A93D11" w:rsidP="00A93D11">
      <w:pPr>
        <w:pStyle w:val="DecisionParagraphs"/>
        <w:keepNext/>
        <w:rPr>
          <w:rFonts w:eastAsiaTheme="minorEastAsia"/>
          <w:snapToGrid w:val="0"/>
          <w:lang w:val="es-ES" w:eastAsia="ja-JP"/>
        </w:rPr>
      </w:pPr>
    </w:p>
    <w:p w:rsidR="00A93D11" w:rsidRPr="00BB6FEA" w:rsidRDefault="00A93D11" w:rsidP="004A364C">
      <w:pPr>
        <w:pStyle w:val="DecisionParagraphs"/>
        <w:keepNext/>
        <w:tabs>
          <w:tab w:val="left" w:pos="5954"/>
        </w:tabs>
        <w:rPr>
          <w:rFonts w:eastAsiaTheme="minorEastAsia"/>
          <w:snapToGrid w:val="0"/>
          <w:lang w:val="es-ES" w:eastAsia="ja-JP"/>
        </w:rPr>
      </w:pPr>
      <w:r w:rsidRPr="00BB6FEA">
        <w:rPr>
          <w:rFonts w:eastAsiaTheme="minorEastAsia"/>
          <w:snapToGrid w:val="0"/>
          <w:lang w:val="es-ES" w:eastAsia="ja-JP"/>
        </w:rPr>
        <w:tab/>
        <w:t xml:space="preserve"> </w:t>
      </w:r>
      <w:r w:rsidR="00A54487" w:rsidRPr="00A1479B">
        <w:rPr>
          <w:rFonts w:eastAsiaTheme="minorEastAsia"/>
          <w:snapToGrid w:val="0"/>
          <w:lang w:eastAsia="ja-JP"/>
        </w:rPr>
        <w:t>a)</w:t>
      </w:r>
      <w:r w:rsidR="007A33B4">
        <w:rPr>
          <w:rFonts w:eastAsiaTheme="minorEastAsia"/>
          <w:snapToGrid w:val="0"/>
          <w:lang w:eastAsia="ja-JP"/>
        </w:rPr>
        <w:tab/>
      </w:r>
      <w:r w:rsidR="00A54487" w:rsidRPr="00A1479B">
        <w:rPr>
          <w:rFonts w:eastAsiaTheme="minorEastAsia"/>
          <w:snapToGrid w:val="0"/>
          <w:lang w:eastAsia="ja-JP"/>
        </w:rPr>
        <w:t xml:space="preserve">de las novedades relativas a la eventual revisión del documento UPOV/INF/12 “Notas explicativas sobre las denominaciones de variedades con </w:t>
      </w:r>
      <w:r w:rsidR="00B92F7C" w:rsidRPr="00A1479B">
        <w:rPr>
          <w:rFonts w:eastAsiaTheme="minorEastAsia"/>
          <w:snapToGrid w:val="0"/>
          <w:lang w:eastAsia="ja-JP"/>
        </w:rPr>
        <w:t xml:space="preserve">arreglo al Convenio de la UPOV” que se exponen </w:t>
      </w:r>
      <w:r w:rsidR="00A54487" w:rsidRPr="00A1479B">
        <w:rPr>
          <w:rFonts w:eastAsiaTheme="minorEastAsia"/>
          <w:snapToGrid w:val="0"/>
          <w:lang w:eastAsia="ja-JP"/>
        </w:rPr>
        <w:t>en los párrafos</w:t>
      </w:r>
      <w:r w:rsidR="00FC7ADA" w:rsidRPr="00A1479B">
        <w:rPr>
          <w:rFonts w:eastAsiaTheme="minorEastAsia"/>
          <w:snapToGrid w:val="0"/>
          <w:lang w:eastAsia="ja-JP"/>
        </w:rPr>
        <w:t> 6</w:t>
      </w:r>
      <w:r w:rsidR="00A54487" w:rsidRPr="00A1479B">
        <w:rPr>
          <w:rFonts w:eastAsiaTheme="minorEastAsia"/>
          <w:snapToGrid w:val="0"/>
          <w:lang w:eastAsia="ja-JP"/>
        </w:rPr>
        <w:t xml:space="preserve"> a</w:t>
      </w:r>
      <w:r w:rsidR="00FC7ADA" w:rsidRPr="00A1479B">
        <w:rPr>
          <w:rFonts w:eastAsiaTheme="minorEastAsia"/>
          <w:snapToGrid w:val="0"/>
          <w:lang w:eastAsia="ja-JP"/>
        </w:rPr>
        <w:t> 1</w:t>
      </w:r>
      <w:r w:rsidR="00A54487" w:rsidRPr="00A1479B">
        <w:rPr>
          <w:rFonts w:eastAsiaTheme="minorEastAsia"/>
          <w:snapToGrid w:val="0"/>
          <w:lang w:eastAsia="ja-JP"/>
        </w:rPr>
        <w:t>0 del presente documento;</w:t>
      </w:r>
    </w:p>
    <w:p w:rsidR="00A93D11" w:rsidRPr="00BB6FEA" w:rsidRDefault="00A93D11" w:rsidP="00A93D11">
      <w:pPr>
        <w:pStyle w:val="DecisionParagraphs"/>
        <w:keepNext/>
        <w:rPr>
          <w:rFonts w:eastAsiaTheme="minorEastAsia"/>
          <w:snapToGrid w:val="0"/>
          <w:lang w:val="es-ES" w:eastAsia="ja-JP"/>
        </w:rPr>
      </w:pPr>
    </w:p>
    <w:p w:rsidR="00A93D11" w:rsidRPr="00BB6FEA" w:rsidRDefault="00A93D11" w:rsidP="004A364C">
      <w:pPr>
        <w:pStyle w:val="DecisionParagraphs"/>
        <w:keepNext/>
        <w:tabs>
          <w:tab w:val="left" w:pos="5954"/>
        </w:tabs>
        <w:rPr>
          <w:rFonts w:eastAsiaTheme="minorEastAsia"/>
          <w:snapToGrid w:val="0"/>
          <w:lang w:val="es-ES" w:eastAsia="ja-JP"/>
        </w:rPr>
      </w:pPr>
      <w:r w:rsidRPr="00BB6FEA">
        <w:rPr>
          <w:rFonts w:eastAsiaTheme="minorEastAsia"/>
          <w:snapToGrid w:val="0"/>
          <w:lang w:val="es-ES" w:eastAsia="ja-JP"/>
        </w:rPr>
        <w:tab/>
      </w:r>
      <w:r w:rsidR="00A54487" w:rsidRPr="00A1479B">
        <w:rPr>
          <w:rFonts w:eastAsiaTheme="minorEastAsia"/>
          <w:snapToGrid w:val="0"/>
          <w:lang w:eastAsia="ja-JP"/>
        </w:rPr>
        <w:t>b)</w:t>
      </w:r>
      <w:r w:rsidRPr="00BB6FEA">
        <w:rPr>
          <w:rFonts w:eastAsiaTheme="minorEastAsia"/>
          <w:snapToGrid w:val="0"/>
          <w:lang w:val="es-ES" w:eastAsia="ja-JP"/>
        </w:rPr>
        <w:tab/>
      </w:r>
      <w:r w:rsidR="00A54487" w:rsidRPr="00A1479B">
        <w:rPr>
          <w:rFonts w:eastAsiaTheme="minorEastAsia"/>
          <w:snapToGrid w:val="0"/>
          <w:lang w:eastAsia="ja-JP"/>
        </w:rPr>
        <w:t xml:space="preserve">de las novedades relativas al instrumento de la UPOV de búsqueda de similitud a los </w:t>
      </w:r>
      <w:r w:rsidR="006C2721" w:rsidRPr="00A1479B">
        <w:rPr>
          <w:rFonts w:eastAsiaTheme="minorEastAsia"/>
          <w:snapToGrid w:val="0"/>
          <w:lang w:eastAsia="ja-JP"/>
        </w:rPr>
        <w:t xml:space="preserve">fines de la denominación de variedades que se exponen </w:t>
      </w:r>
      <w:r w:rsidR="00A54487" w:rsidRPr="00A1479B">
        <w:rPr>
          <w:rFonts w:eastAsiaTheme="minorEastAsia"/>
          <w:snapToGrid w:val="0"/>
          <w:lang w:eastAsia="ja-JP"/>
        </w:rPr>
        <w:t>en el párrafo</w:t>
      </w:r>
      <w:r w:rsidR="00FC7ADA" w:rsidRPr="00A1479B">
        <w:rPr>
          <w:rFonts w:eastAsiaTheme="minorEastAsia"/>
          <w:snapToGrid w:val="0"/>
          <w:lang w:eastAsia="ja-JP"/>
        </w:rPr>
        <w:t> 1</w:t>
      </w:r>
      <w:r w:rsidR="00A54487" w:rsidRPr="00A1479B">
        <w:rPr>
          <w:rFonts w:eastAsiaTheme="minorEastAsia"/>
          <w:snapToGrid w:val="0"/>
          <w:lang w:eastAsia="ja-JP"/>
        </w:rPr>
        <w:t>2 del presente documento;</w:t>
      </w:r>
    </w:p>
    <w:p w:rsidR="00A93D11" w:rsidRPr="00BB6FEA" w:rsidRDefault="00A93D11" w:rsidP="00A93D11">
      <w:pPr>
        <w:pStyle w:val="DecisionParagraphs"/>
        <w:keepNext/>
        <w:rPr>
          <w:rFonts w:eastAsiaTheme="minorEastAsia"/>
          <w:snapToGrid w:val="0"/>
          <w:lang w:val="es-ES" w:eastAsia="ja-JP"/>
        </w:rPr>
      </w:pPr>
    </w:p>
    <w:p w:rsidR="00A93D11" w:rsidRPr="00BB6FEA" w:rsidRDefault="00A93D11" w:rsidP="004A364C">
      <w:pPr>
        <w:pStyle w:val="DecisionParagraphs"/>
        <w:keepNext/>
        <w:tabs>
          <w:tab w:val="left" w:pos="5954"/>
        </w:tabs>
        <w:rPr>
          <w:rFonts w:eastAsiaTheme="minorEastAsia"/>
          <w:snapToGrid w:val="0"/>
          <w:lang w:val="es-ES" w:eastAsia="ja-JP"/>
        </w:rPr>
      </w:pPr>
      <w:r w:rsidRPr="00BB6FEA">
        <w:rPr>
          <w:rFonts w:eastAsiaTheme="minorEastAsia"/>
          <w:snapToGrid w:val="0"/>
          <w:lang w:val="es-ES" w:eastAsia="ja-JP"/>
        </w:rPr>
        <w:tab/>
      </w:r>
      <w:r w:rsidR="00A54487" w:rsidRPr="00A1479B">
        <w:rPr>
          <w:rFonts w:eastAsiaTheme="minorEastAsia"/>
          <w:snapToGrid w:val="0"/>
          <w:lang w:eastAsia="ja-JP"/>
        </w:rPr>
        <w:t>c)</w:t>
      </w:r>
      <w:r w:rsidRPr="00BB6FEA">
        <w:rPr>
          <w:rFonts w:eastAsiaTheme="minorEastAsia"/>
          <w:snapToGrid w:val="0"/>
          <w:lang w:val="es-ES" w:eastAsia="ja-JP"/>
        </w:rPr>
        <w:tab/>
      </w:r>
      <w:r w:rsidR="00A54487" w:rsidRPr="00A1479B">
        <w:rPr>
          <w:rFonts w:eastAsiaTheme="minorEastAsia"/>
          <w:snapToGrid w:val="0"/>
          <w:lang w:eastAsia="ja-JP"/>
        </w:rPr>
        <w:t xml:space="preserve">de las novedades relativas a la posible ampliación del contenido </w:t>
      </w:r>
      <w:r w:rsidR="006C2721" w:rsidRPr="00A1479B">
        <w:rPr>
          <w:rFonts w:eastAsiaTheme="minorEastAsia"/>
          <w:snapToGrid w:val="0"/>
          <w:lang w:eastAsia="ja-JP"/>
        </w:rPr>
        <w:t xml:space="preserve">de la base de datos PLUTO que se exponen </w:t>
      </w:r>
      <w:r w:rsidR="00A54487" w:rsidRPr="00A1479B">
        <w:rPr>
          <w:rFonts w:eastAsiaTheme="minorEastAsia"/>
          <w:snapToGrid w:val="0"/>
          <w:lang w:eastAsia="ja-JP"/>
        </w:rPr>
        <w:t>en el párrafo</w:t>
      </w:r>
      <w:r w:rsidR="00FC7ADA" w:rsidRPr="00A1479B">
        <w:rPr>
          <w:rFonts w:eastAsiaTheme="minorEastAsia"/>
          <w:snapToGrid w:val="0"/>
          <w:lang w:eastAsia="ja-JP"/>
        </w:rPr>
        <w:t> 1</w:t>
      </w:r>
      <w:r w:rsidR="00A54487" w:rsidRPr="00A1479B">
        <w:rPr>
          <w:rFonts w:eastAsiaTheme="minorEastAsia"/>
          <w:snapToGrid w:val="0"/>
          <w:lang w:eastAsia="ja-JP"/>
        </w:rPr>
        <w:t>4 del presente documento;</w:t>
      </w:r>
    </w:p>
    <w:p w:rsidR="00A93D11" w:rsidRPr="00BB6FEA" w:rsidRDefault="00A93D11" w:rsidP="00A93D11">
      <w:pPr>
        <w:pStyle w:val="DecisionParagraphs"/>
        <w:keepNext/>
        <w:rPr>
          <w:rFonts w:eastAsiaTheme="minorEastAsia"/>
          <w:snapToGrid w:val="0"/>
          <w:lang w:val="es-ES" w:eastAsia="ja-JP"/>
        </w:rPr>
      </w:pPr>
    </w:p>
    <w:p w:rsidR="00A93D11" w:rsidRPr="00BB6FEA" w:rsidRDefault="00A93D11" w:rsidP="004A364C">
      <w:pPr>
        <w:pStyle w:val="DecisionParagraphs"/>
        <w:keepNext/>
        <w:tabs>
          <w:tab w:val="left" w:pos="5954"/>
        </w:tabs>
        <w:rPr>
          <w:rFonts w:eastAsiaTheme="minorEastAsia"/>
          <w:snapToGrid w:val="0"/>
          <w:lang w:val="es-ES" w:eastAsia="ja-JP"/>
        </w:rPr>
      </w:pPr>
      <w:r w:rsidRPr="00BB6FEA">
        <w:rPr>
          <w:rFonts w:eastAsiaTheme="minorEastAsia"/>
          <w:snapToGrid w:val="0"/>
          <w:lang w:val="es-ES" w:eastAsia="ja-JP"/>
        </w:rPr>
        <w:tab/>
      </w:r>
      <w:r w:rsidR="00A54487" w:rsidRPr="00A1479B">
        <w:rPr>
          <w:rFonts w:eastAsiaTheme="minorEastAsia"/>
          <w:snapToGrid w:val="0"/>
          <w:lang w:eastAsia="ja-JP"/>
        </w:rPr>
        <w:t>d)</w:t>
      </w:r>
      <w:r w:rsidRPr="00BB6FEA">
        <w:rPr>
          <w:rFonts w:eastAsiaTheme="minorEastAsia"/>
          <w:snapToGrid w:val="0"/>
          <w:lang w:val="es-ES" w:eastAsia="ja-JP"/>
        </w:rPr>
        <w:tab/>
      </w:r>
      <w:r w:rsidR="00A1479B" w:rsidRPr="00A1479B">
        <w:rPr>
          <w:rFonts w:eastAsiaTheme="minorEastAsia"/>
          <w:snapToGrid w:val="0"/>
          <w:lang w:eastAsia="ja-JP"/>
        </w:rPr>
        <w:t>de las novedades relativas a los términos inadmisibles, que se exponen en el párrafo 16 del presente documento;</w:t>
      </w:r>
      <w:r w:rsidRPr="00BB6FEA">
        <w:rPr>
          <w:rFonts w:eastAsiaTheme="minorEastAsia"/>
          <w:snapToGrid w:val="0"/>
          <w:lang w:val="es-ES" w:eastAsia="ja-JP"/>
        </w:rPr>
        <w:t xml:space="preserve"> </w:t>
      </w:r>
    </w:p>
    <w:p w:rsidR="00A93D11" w:rsidRPr="00BB6FEA" w:rsidRDefault="00A93D11" w:rsidP="00A93D11">
      <w:pPr>
        <w:pStyle w:val="DecisionParagraphs"/>
        <w:keepNext/>
        <w:rPr>
          <w:rFonts w:eastAsiaTheme="minorEastAsia"/>
          <w:snapToGrid w:val="0"/>
          <w:lang w:val="es-ES" w:eastAsia="ja-JP"/>
        </w:rPr>
      </w:pPr>
    </w:p>
    <w:p w:rsidR="00A93D11" w:rsidRPr="00BB6FEA" w:rsidRDefault="00A93D11" w:rsidP="004A364C">
      <w:pPr>
        <w:pStyle w:val="DecisionParagraphs"/>
        <w:keepNext/>
        <w:tabs>
          <w:tab w:val="left" w:pos="5954"/>
        </w:tabs>
        <w:rPr>
          <w:rFonts w:eastAsiaTheme="minorEastAsia"/>
          <w:snapToGrid w:val="0"/>
          <w:lang w:val="es-ES" w:eastAsia="ja-JP"/>
        </w:rPr>
      </w:pPr>
      <w:r w:rsidRPr="00BB6FEA">
        <w:rPr>
          <w:rFonts w:eastAsiaTheme="minorEastAsia"/>
          <w:snapToGrid w:val="0"/>
          <w:lang w:val="es-ES" w:eastAsia="ja-JP"/>
        </w:rPr>
        <w:tab/>
      </w:r>
      <w:r w:rsidR="00A54487" w:rsidRPr="00A1479B">
        <w:rPr>
          <w:rFonts w:eastAsiaTheme="minorEastAsia"/>
          <w:snapToGrid w:val="0"/>
          <w:lang w:eastAsia="ja-JP"/>
        </w:rPr>
        <w:t>e)</w:t>
      </w:r>
      <w:r w:rsidRPr="00BB6FEA">
        <w:rPr>
          <w:rFonts w:eastAsiaTheme="minorEastAsia"/>
          <w:snapToGrid w:val="0"/>
          <w:lang w:val="es-ES" w:eastAsia="ja-JP"/>
        </w:rPr>
        <w:tab/>
      </w:r>
      <w:r w:rsidR="00A54487" w:rsidRPr="00A1479B">
        <w:rPr>
          <w:rFonts w:eastAsiaTheme="minorEastAsia"/>
          <w:snapToGrid w:val="0"/>
          <w:lang w:eastAsia="ja-JP"/>
        </w:rPr>
        <w:t>de que la quinta reunión del WG-DEN se celebrará en Ginebra el 30 de octubre de 2018;</w:t>
      </w:r>
      <w:r w:rsidR="002753E9" w:rsidRPr="00BB6FEA">
        <w:rPr>
          <w:rFonts w:eastAsiaTheme="minorEastAsia"/>
          <w:snapToGrid w:val="0"/>
          <w:lang w:val="es-ES" w:eastAsia="ja-JP"/>
        </w:rPr>
        <w:t xml:space="preserve"> </w:t>
      </w:r>
      <w:r w:rsidR="00A54487" w:rsidRPr="00A1479B">
        <w:rPr>
          <w:rFonts w:eastAsiaTheme="minorEastAsia"/>
          <w:snapToGrid w:val="0"/>
          <w:lang w:eastAsia="ja-JP"/>
        </w:rPr>
        <w:t>y</w:t>
      </w:r>
      <w:r w:rsidRPr="00BB6FEA">
        <w:rPr>
          <w:rFonts w:eastAsiaTheme="minorEastAsia"/>
          <w:snapToGrid w:val="0"/>
          <w:lang w:val="es-ES" w:eastAsia="ja-JP"/>
        </w:rPr>
        <w:t xml:space="preserve"> </w:t>
      </w:r>
    </w:p>
    <w:p w:rsidR="00A93D11" w:rsidRPr="00BB6FEA" w:rsidRDefault="00A93D11" w:rsidP="00A93D11">
      <w:pPr>
        <w:pStyle w:val="DecisionParagraphs"/>
        <w:keepNext/>
        <w:rPr>
          <w:rFonts w:eastAsiaTheme="minorEastAsia"/>
          <w:snapToGrid w:val="0"/>
          <w:lang w:val="es-ES" w:eastAsia="ja-JP"/>
        </w:rPr>
      </w:pPr>
    </w:p>
    <w:p w:rsidR="00A93D11" w:rsidRPr="00BB6FEA" w:rsidRDefault="00A93D11" w:rsidP="004A364C">
      <w:pPr>
        <w:pStyle w:val="DecisionParagraphs"/>
        <w:keepNext/>
        <w:tabs>
          <w:tab w:val="left" w:pos="5954"/>
        </w:tabs>
        <w:rPr>
          <w:rFonts w:eastAsiaTheme="minorEastAsia"/>
          <w:snapToGrid w:val="0"/>
          <w:lang w:val="es-ES" w:eastAsia="ja-JP"/>
        </w:rPr>
      </w:pPr>
      <w:r w:rsidRPr="00BB6FEA">
        <w:rPr>
          <w:rFonts w:eastAsiaTheme="minorEastAsia"/>
          <w:snapToGrid w:val="0"/>
          <w:lang w:val="es-ES" w:eastAsia="ja-JP"/>
        </w:rPr>
        <w:tab/>
      </w:r>
      <w:r w:rsidR="00A54487" w:rsidRPr="00A1479B">
        <w:rPr>
          <w:rFonts w:eastAsiaTheme="minorEastAsia"/>
          <w:snapToGrid w:val="0"/>
          <w:lang w:eastAsia="ja-JP"/>
        </w:rPr>
        <w:t>f)</w:t>
      </w:r>
      <w:r w:rsidRPr="00BB6FEA">
        <w:rPr>
          <w:rFonts w:eastAsiaTheme="minorEastAsia"/>
          <w:snapToGrid w:val="0"/>
          <w:lang w:val="es-ES" w:eastAsia="ja-JP"/>
        </w:rPr>
        <w:tab/>
      </w:r>
      <w:r w:rsidR="00A54487" w:rsidRPr="00A1479B">
        <w:rPr>
          <w:rFonts w:eastAsiaTheme="minorEastAsia"/>
          <w:snapToGrid w:val="0"/>
          <w:lang w:eastAsia="ja-JP"/>
        </w:rPr>
        <w:t xml:space="preserve">del proyecto de orden del día de la quinta reunión del </w:t>
      </w:r>
      <w:r w:rsidR="006C2721" w:rsidRPr="00A1479B">
        <w:rPr>
          <w:rFonts w:eastAsiaTheme="minorEastAsia"/>
          <w:snapToGrid w:val="0"/>
          <w:lang w:eastAsia="ja-JP"/>
        </w:rPr>
        <w:t>WG</w:t>
      </w:r>
      <w:r w:rsidR="006C2721" w:rsidRPr="00A1479B">
        <w:rPr>
          <w:rFonts w:eastAsiaTheme="minorEastAsia"/>
          <w:snapToGrid w:val="0"/>
          <w:lang w:eastAsia="ja-JP"/>
        </w:rPr>
        <w:noBreakHyphen/>
        <w:t>DEN</w:t>
      </w:r>
      <w:r w:rsidR="00FC7ADA" w:rsidRPr="00A1479B">
        <w:rPr>
          <w:rFonts w:eastAsiaTheme="minorEastAsia"/>
          <w:snapToGrid w:val="0"/>
          <w:lang w:eastAsia="ja-JP"/>
        </w:rPr>
        <w:t xml:space="preserve">, </w:t>
      </w:r>
      <w:r w:rsidR="00A54487" w:rsidRPr="00A1479B">
        <w:rPr>
          <w:rFonts w:eastAsiaTheme="minorEastAsia"/>
          <w:snapToGrid w:val="0"/>
          <w:lang w:eastAsia="ja-JP"/>
        </w:rPr>
        <w:t>que se expone en el párrafo</w:t>
      </w:r>
      <w:r w:rsidR="00FC7ADA" w:rsidRPr="00A1479B">
        <w:rPr>
          <w:rFonts w:eastAsiaTheme="minorEastAsia"/>
          <w:snapToGrid w:val="0"/>
          <w:lang w:eastAsia="ja-JP"/>
        </w:rPr>
        <w:t> 1</w:t>
      </w:r>
      <w:r w:rsidR="00A54487" w:rsidRPr="00A1479B">
        <w:rPr>
          <w:rFonts w:eastAsiaTheme="minorEastAsia"/>
          <w:snapToGrid w:val="0"/>
          <w:lang w:eastAsia="ja-JP"/>
        </w:rPr>
        <w:t>8 del presente documento.</w:t>
      </w:r>
    </w:p>
    <w:p w:rsidR="00544581" w:rsidRPr="00BB6FEA" w:rsidRDefault="00544581">
      <w:pPr>
        <w:jc w:val="left"/>
        <w:rPr>
          <w:lang w:val="es-ES"/>
        </w:rPr>
      </w:pPr>
    </w:p>
    <w:p w:rsidR="00050E16" w:rsidRDefault="00050E16" w:rsidP="00050E16">
      <w:pPr>
        <w:rPr>
          <w:lang w:val="es-ES"/>
        </w:rPr>
      </w:pPr>
    </w:p>
    <w:p w:rsidR="009B440E" w:rsidRPr="006812EB" w:rsidRDefault="00050E16" w:rsidP="00050E16">
      <w:pPr>
        <w:jc w:val="right"/>
      </w:pPr>
      <w:r w:rsidRPr="006812EB">
        <w:t>[</w:t>
      </w:r>
      <w:r w:rsidR="000638A9" w:rsidRPr="006812EB">
        <w:t>Fin del documento</w:t>
      </w:r>
      <w:r w:rsidRPr="006812EB">
        <w:t>]</w:t>
      </w:r>
    </w:p>
    <w:p w:rsidR="00202E38" w:rsidRDefault="00202E38" w:rsidP="00DF1B80">
      <w:pPr>
        <w:jc w:val="left"/>
      </w:pPr>
    </w:p>
    <w:sectPr w:rsidR="00202E38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9F2" w:rsidRDefault="00BC69F2" w:rsidP="006655D3">
      <w:r>
        <w:separator/>
      </w:r>
    </w:p>
    <w:p w:rsidR="00BC69F2" w:rsidRDefault="00BC69F2" w:rsidP="006655D3"/>
    <w:p w:rsidR="00BC69F2" w:rsidRDefault="00BC69F2" w:rsidP="006655D3"/>
  </w:endnote>
  <w:endnote w:type="continuationSeparator" w:id="0">
    <w:p w:rsidR="00BC69F2" w:rsidRDefault="00BC69F2" w:rsidP="006655D3">
      <w:r>
        <w:separator/>
      </w:r>
    </w:p>
    <w:p w:rsidR="00BC69F2" w:rsidRPr="00294751" w:rsidRDefault="00BC69F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C69F2" w:rsidRPr="00294751" w:rsidRDefault="00BC69F2" w:rsidP="006655D3">
      <w:pPr>
        <w:rPr>
          <w:lang w:val="fr-FR"/>
        </w:rPr>
      </w:pPr>
    </w:p>
    <w:p w:rsidR="00BC69F2" w:rsidRPr="00294751" w:rsidRDefault="00BC69F2" w:rsidP="006655D3">
      <w:pPr>
        <w:rPr>
          <w:lang w:val="fr-FR"/>
        </w:rPr>
      </w:pPr>
    </w:p>
  </w:endnote>
  <w:endnote w:type="continuationNotice" w:id="1">
    <w:p w:rsidR="00BC69F2" w:rsidRPr="00294751" w:rsidRDefault="00BC69F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C69F2" w:rsidRPr="00294751" w:rsidRDefault="00BC69F2" w:rsidP="006655D3">
      <w:pPr>
        <w:rPr>
          <w:lang w:val="fr-FR"/>
        </w:rPr>
      </w:pPr>
    </w:p>
    <w:p w:rsidR="00BC69F2" w:rsidRPr="00294751" w:rsidRDefault="00BC69F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9F2" w:rsidRDefault="00BC69F2" w:rsidP="006655D3">
      <w:r>
        <w:separator/>
      </w:r>
    </w:p>
  </w:footnote>
  <w:footnote w:type="continuationSeparator" w:id="0">
    <w:p w:rsidR="00BC69F2" w:rsidRDefault="00BC69F2" w:rsidP="006655D3">
      <w:r>
        <w:separator/>
      </w:r>
    </w:p>
  </w:footnote>
  <w:footnote w:type="continuationNotice" w:id="1">
    <w:p w:rsidR="00BC69F2" w:rsidRPr="00AB530F" w:rsidRDefault="00BC69F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F2" w:rsidRPr="000A23DC" w:rsidRDefault="00BC69F2" w:rsidP="000A23DC">
    <w:pPr>
      <w:pStyle w:val="Header"/>
      <w:rPr>
        <w:rStyle w:val="PageNumber"/>
      </w:rPr>
    </w:pPr>
    <w:r>
      <w:rPr>
        <w:rStyle w:val="PageNumber"/>
      </w:rPr>
      <w:t>TC/54</w:t>
    </w:r>
    <w:r w:rsidRPr="000A23DC">
      <w:rPr>
        <w:rStyle w:val="PageNumber"/>
      </w:rPr>
      <w:t>/</w:t>
    </w:r>
    <w:r>
      <w:rPr>
        <w:rStyle w:val="PageNumber"/>
      </w:rPr>
      <w:t>12</w:t>
    </w:r>
  </w:p>
  <w:p w:rsidR="00BC69F2" w:rsidRPr="00202E38" w:rsidRDefault="00BC69F2" w:rsidP="008B3D8D">
    <w:pPr>
      <w:pStyle w:val="Header"/>
      <w:rPr>
        <w:lang w:val="de-DE"/>
      </w:rPr>
    </w:pPr>
    <w:r w:rsidRPr="008B3D8D">
      <w:t>página</w:t>
    </w:r>
    <w:r w:rsidRPr="00202E38">
      <w:rPr>
        <w:lang w:val="de-DE"/>
      </w:rPr>
      <w:t xml:space="preserve"> </w:t>
    </w:r>
    <w:r w:rsidR="00EA5061"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="00EA5061" w:rsidRPr="00202E38">
      <w:rPr>
        <w:rStyle w:val="PageNumber"/>
        <w:lang w:val="de-DE"/>
      </w:rPr>
      <w:fldChar w:fldCharType="separate"/>
    </w:r>
    <w:r w:rsidR="00FF2F03">
      <w:rPr>
        <w:rStyle w:val="PageNumber"/>
        <w:noProof/>
        <w:lang w:val="de-DE"/>
      </w:rPr>
      <w:t>4</w:t>
    </w:r>
    <w:r w:rsidR="00EA5061" w:rsidRPr="00202E38">
      <w:rPr>
        <w:rStyle w:val="PageNumber"/>
        <w:lang w:val="de-DE"/>
      </w:rPr>
      <w:fldChar w:fldCharType="end"/>
    </w:r>
  </w:p>
  <w:p w:rsidR="00BC69F2" w:rsidRPr="00202E38" w:rsidRDefault="00BC69F2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12"/>
  </w:docVars>
  <w:rsids>
    <w:rsidRoot w:val="00F838D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3B28"/>
    <w:rsid w:val="00085505"/>
    <w:rsid w:val="0009147F"/>
    <w:rsid w:val="000A23DC"/>
    <w:rsid w:val="000A533B"/>
    <w:rsid w:val="000C4E25"/>
    <w:rsid w:val="000C7021"/>
    <w:rsid w:val="000D6BBC"/>
    <w:rsid w:val="000D7780"/>
    <w:rsid w:val="000E636A"/>
    <w:rsid w:val="000F2F11"/>
    <w:rsid w:val="00105929"/>
    <w:rsid w:val="00110C36"/>
    <w:rsid w:val="00112686"/>
    <w:rsid w:val="001131D5"/>
    <w:rsid w:val="00141DB8"/>
    <w:rsid w:val="00151627"/>
    <w:rsid w:val="00170EED"/>
    <w:rsid w:val="00171307"/>
    <w:rsid w:val="00172084"/>
    <w:rsid w:val="0017474A"/>
    <w:rsid w:val="001758C6"/>
    <w:rsid w:val="00182B99"/>
    <w:rsid w:val="001B1FCD"/>
    <w:rsid w:val="001E3D60"/>
    <w:rsid w:val="001E637F"/>
    <w:rsid w:val="001F2FCC"/>
    <w:rsid w:val="001F64BF"/>
    <w:rsid w:val="00202E38"/>
    <w:rsid w:val="0021332C"/>
    <w:rsid w:val="00213982"/>
    <w:rsid w:val="0024416D"/>
    <w:rsid w:val="002464A3"/>
    <w:rsid w:val="00271911"/>
    <w:rsid w:val="002753E9"/>
    <w:rsid w:val="002777B6"/>
    <w:rsid w:val="002800A0"/>
    <w:rsid w:val="002801B3"/>
    <w:rsid w:val="00281060"/>
    <w:rsid w:val="00286E18"/>
    <w:rsid w:val="00290EAC"/>
    <w:rsid w:val="002940E8"/>
    <w:rsid w:val="00294751"/>
    <w:rsid w:val="002A6E50"/>
    <w:rsid w:val="002B4298"/>
    <w:rsid w:val="002C256A"/>
    <w:rsid w:val="002D73B2"/>
    <w:rsid w:val="002E5944"/>
    <w:rsid w:val="002F333F"/>
    <w:rsid w:val="00305A7F"/>
    <w:rsid w:val="003152FE"/>
    <w:rsid w:val="00327436"/>
    <w:rsid w:val="00336B2B"/>
    <w:rsid w:val="00344BD6"/>
    <w:rsid w:val="0035528D"/>
    <w:rsid w:val="00361821"/>
    <w:rsid w:val="00361E9E"/>
    <w:rsid w:val="003641B0"/>
    <w:rsid w:val="003712B0"/>
    <w:rsid w:val="00395243"/>
    <w:rsid w:val="003B031A"/>
    <w:rsid w:val="003C7469"/>
    <w:rsid w:val="003C7FBE"/>
    <w:rsid w:val="003D227C"/>
    <w:rsid w:val="003D2B4D"/>
    <w:rsid w:val="003F45CE"/>
    <w:rsid w:val="003F72B7"/>
    <w:rsid w:val="004047F6"/>
    <w:rsid w:val="0040557F"/>
    <w:rsid w:val="00427694"/>
    <w:rsid w:val="00444A88"/>
    <w:rsid w:val="0046173B"/>
    <w:rsid w:val="00474DA4"/>
    <w:rsid w:val="00476B4D"/>
    <w:rsid w:val="004805FA"/>
    <w:rsid w:val="004935D2"/>
    <w:rsid w:val="004A364C"/>
    <w:rsid w:val="004B1215"/>
    <w:rsid w:val="004D047D"/>
    <w:rsid w:val="004F1E9E"/>
    <w:rsid w:val="004F305A"/>
    <w:rsid w:val="00512164"/>
    <w:rsid w:val="00520297"/>
    <w:rsid w:val="005255C8"/>
    <w:rsid w:val="005338F9"/>
    <w:rsid w:val="00537A98"/>
    <w:rsid w:val="0054281C"/>
    <w:rsid w:val="00544581"/>
    <w:rsid w:val="00545E42"/>
    <w:rsid w:val="0055268D"/>
    <w:rsid w:val="00552EB8"/>
    <w:rsid w:val="00575A0E"/>
    <w:rsid w:val="00576BE4"/>
    <w:rsid w:val="005A1EC1"/>
    <w:rsid w:val="005A400A"/>
    <w:rsid w:val="005C1895"/>
    <w:rsid w:val="005F7B92"/>
    <w:rsid w:val="00603817"/>
    <w:rsid w:val="00606458"/>
    <w:rsid w:val="00612379"/>
    <w:rsid w:val="006153B6"/>
    <w:rsid w:val="0061555F"/>
    <w:rsid w:val="00625028"/>
    <w:rsid w:val="00636CA6"/>
    <w:rsid w:val="00637EDD"/>
    <w:rsid w:val="00641200"/>
    <w:rsid w:val="00645CA8"/>
    <w:rsid w:val="006655D3"/>
    <w:rsid w:val="00667404"/>
    <w:rsid w:val="00674251"/>
    <w:rsid w:val="006812EB"/>
    <w:rsid w:val="00684288"/>
    <w:rsid w:val="00687EB4"/>
    <w:rsid w:val="00695C56"/>
    <w:rsid w:val="006A5CDE"/>
    <w:rsid w:val="006A644A"/>
    <w:rsid w:val="006A6533"/>
    <w:rsid w:val="006B17D2"/>
    <w:rsid w:val="006C224E"/>
    <w:rsid w:val="006C2721"/>
    <w:rsid w:val="006C2F84"/>
    <w:rsid w:val="006D5F80"/>
    <w:rsid w:val="006D780A"/>
    <w:rsid w:val="007054E0"/>
    <w:rsid w:val="0071271E"/>
    <w:rsid w:val="00724B0C"/>
    <w:rsid w:val="00727F08"/>
    <w:rsid w:val="00732DEC"/>
    <w:rsid w:val="00735BD5"/>
    <w:rsid w:val="00751613"/>
    <w:rsid w:val="0075450B"/>
    <w:rsid w:val="007556F6"/>
    <w:rsid w:val="00756ED2"/>
    <w:rsid w:val="00760EEF"/>
    <w:rsid w:val="00776400"/>
    <w:rsid w:val="00777EE5"/>
    <w:rsid w:val="00783722"/>
    <w:rsid w:val="00784836"/>
    <w:rsid w:val="0079023E"/>
    <w:rsid w:val="007A2854"/>
    <w:rsid w:val="007A33B4"/>
    <w:rsid w:val="007B61E4"/>
    <w:rsid w:val="007C1D92"/>
    <w:rsid w:val="007C4CB9"/>
    <w:rsid w:val="007C6F54"/>
    <w:rsid w:val="007D0B9D"/>
    <w:rsid w:val="007D19B0"/>
    <w:rsid w:val="007D6CA9"/>
    <w:rsid w:val="007E03EB"/>
    <w:rsid w:val="007F2ACE"/>
    <w:rsid w:val="007F498F"/>
    <w:rsid w:val="0080679D"/>
    <w:rsid w:val="00807EEC"/>
    <w:rsid w:val="008108B0"/>
    <w:rsid w:val="008115A0"/>
    <w:rsid w:val="00811B20"/>
    <w:rsid w:val="00816A93"/>
    <w:rsid w:val="008211B5"/>
    <w:rsid w:val="0082296E"/>
    <w:rsid w:val="00824099"/>
    <w:rsid w:val="00846D7C"/>
    <w:rsid w:val="00864C55"/>
    <w:rsid w:val="00865DFC"/>
    <w:rsid w:val="00867AC1"/>
    <w:rsid w:val="00880446"/>
    <w:rsid w:val="00884E58"/>
    <w:rsid w:val="00890DF8"/>
    <w:rsid w:val="008A743F"/>
    <w:rsid w:val="008B3D8D"/>
    <w:rsid w:val="008B488F"/>
    <w:rsid w:val="008C0970"/>
    <w:rsid w:val="008D0BC5"/>
    <w:rsid w:val="008D2CF7"/>
    <w:rsid w:val="008E0846"/>
    <w:rsid w:val="008F5F82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97FD5"/>
    <w:rsid w:val="009A7339"/>
    <w:rsid w:val="009B440E"/>
    <w:rsid w:val="009D528A"/>
    <w:rsid w:val="009D690D"/>
    <w:rsid w:val="009E65B6"/>
    <w:rsid w:val="009F3311"/>
    <w:rsid w:val="009F6068"/>
    <w:rsid w:val="00A1479B"/>
    <w:rsid w:val="00A23CA0"/>
    <w:rsid w:val="00A2498A"/>
    <w:rsid w:val="00A24C10"/>
    <w:rsid w:val="00A42AC3"/>
    <w:rsid w:val="00A430CF"/>
    <w:rsid w:val="00A54309"/>
    <w:rsid w:val="00A54487"/>
    <w:rsid w:val="00A61966"/>
    <w:rsid w:val="00A669F3"/>
    <w:rsid w:val="00A67A92"/>
    <w:rsid w:val="00A706D3"/>
    <w:rsid w:val="00A93D11"/>
    <w:rsid w:val="00A93F6C"/>
    <w:rsid w:val="00AB2B93"/>
    <w:rsid w:val="00AB530F"/>
    <w:rsid w:val="00AB7E5B"/>
    <w:rsid w:val="00AC2883"/>
    <w:rsid w:val="00AD1AB7"/>
    <w:rsid w:val="00AD577B"/>
    <w:rsid w:val="00AE0EF1"/>
    <w:rsid w:val="00AE2937"/>
    <w:rsid w:val="00B07301"/>
    <w:rsid w:val="00B11F3E"/>
    <w:rsid w:val="00B224DE"/>
    <w:rsid w:val="00B324D4"/>
    <w:rsid w:val="00B347BC"/>
    <w:rsid w:val="00B4250C"/>
    <w:rsid w:val="00B4260E"/>
    <w:rsid w:val="00B46575"/>
    <w:rsid w:val="00B604E0"/>
    <w:rsid w:val="00B61777"/>
    <w:rsid w:val="00B67D6B"/>
    <w:rsid w:val="00B739FA"/>
    <w:rsid w:val="00B83824"/>
    <w:rsid w:val="00B84BBD"/>
    <w:rsid w:val="00B92F7C"/>
    <w:rsid w:val="00BA43FB"/>
    <w:rsid w:val="00BB6FEA"/>
    <w:rsid w:val="00BC0BD4"/>
    <w:rsid w:val="00BC127D"/>
    <w:rsid w:val="00BC168C"/>
    <w:rsid w:val="00BC1FE6"/>
    <w:rsid w:val="00BC69F2"/>
    <w:rsid w:val="00C061B6"/>
    <w:rsid w:val="00C15D85"/>
    <w:rsid w:val="00C217C9"/>
    <w:rsid w:val="00C2446C"/>
    <w:rsid w:val="00C36AE5"/>
    <w:rsid w:val="00C41F17"/>
    <w:rsid w:val="00C433F2"/>
    <w:rsid w:val="00C527FA"/>
    <w:rsid w:val="00C5280D"/>
    <w:rsid w:val="00C53EB3"/>
    <w:rsid w:val="00C574D6"/>
    <w:rsid w:val="00C5791C"/>
    <w:rsid w:val="00C66290"/>
    <w:rsid w:val="00C7204B"/>
    <w:rsid w:val="00C72B7A"/>
    <w:rsid w:val="00C973F2"/>
    <w:rsid w:val="00CA304C"/>
    <w:rsid w:val="00CA577F"/>
    <w:rsid w:val="00CA774A"/>
    <w:rsid w:val="00CC11B0"/>
    <w:rsid w:val="00CC2841"/>
    <w:rsid w:val="00CE1D1B"/>
    <w:rsid w:val="00CE49AB"/>
    <w:rsid w:val="00CF1330"/>
    <w:rsid w:val="00CF79EF"/>
    <w:rsid w:val="00CF7E36"/>
    <w:rsid w:val="00D274C7"/>
    <w:rsid w:val="00D3708D"/>
    <w:rsid w:val="00D40426"/>
    <w:rsid w:val="00D57C96"/>
    <w:rsid w:val="00D57D18"/>
    <w:rsid w:val="00D67030"/>
    <w:rsid w:val="00D7766C"/>
    <w:rsid w:val="00D77CF4"/>
    <w:rsid w:val="00D91203"/>
    <w:rsid w:val="00D95174"/>
    <w:rsid w:val="00DA4973"/>
    <w:rsid w:val="00DA5AD1"/>
    <w:rsid w:val="00DA6F36"/>
    <w:rsid w:val="00DB596E"/>
    <w:rsid w:val="00DB7773"/>
    <w:rsid w:val="00DC00EA"/>
    <w:rsid w:val="00DC3802"/>
    <w:rsid w:val="00DC6B6A"/>
    <w:rsid w:val="00DF1B80"/>
    <w:rsid w:val="00E019D6"/>
    <w:rsid w:val="00E07D87"/>
    <w:rsid w:val="00E136CC"/>
    <w:rsid w:val="00E20DE6"/>
    <w:rsid w:val="00E24BD5"/>
    <w:rsid w:val="00E32F7E"/>
    <w:rsid w:val="00E36189"/>
    <w:rsid w:val="00E37465"/>
    <w:rsid w:val="00E45A7A"/>
    <w:rsid w:val="00E47077"/>
    <w:rsid w:val="00E5267B"/>
    <w:rsid w:val="00E608DA"/>
    <w:rsid w:val="00E63C0E"/>
    <w:rsid w:val="00E72D49"/>
    <w:rsid w:val="00E7593C"/>
    <w:rsid w:val="00E7678A"/>
    <w:rsid w:val="00E81A2B"/>
    <w:rsid w:val="00E935F1"/>
    <w:rsid w:val="00E94A81"/>
    <w:rsid w:val="00EA1FFB"/>
    <w:rsid w:val="00EA5061"/>
    <w:rsid w:val="00EB048E"/>
    <w:rsid w:val="00EB4E9C"/>
    <w:rsid w:val="00EC2265"/>
    <w:rsid w:val="00EC5F40"/>
    <w:rsid w:val="00EE34DF"/>
    <w:rsid w:val="00EE49CB"/>
    <w:rsid w:val="00EF2F89"/>
    <w:rsid w:val="00F03E98"/>
    <w:rsid w:val="00F1237A"/>
    <w:rsid w:val="00F22CBD"/>
    <w:rsid w:val="00F272F1"/>
    <w:rsid w:val="00F412BD"/>
    <w:rsid w:val="00F45372"/>
    <w:rsid w:val="00F55E42"/>
    <w:rsid w:val="00F560F7"/>
    <w:rsid w:val="00F61021"/>
    <w:rsid w:val="00F6334D"/>
    <w:rsid w:val="00F838D9"/>
    <w:rsid w:val="00F84F61"/>
    <w:rsid w:val="00FA49AB"/>
    <w:rsid w:val="00FC7ADA"/>
    <w:rsid w:val="00FD2907"/>
    <w:rsid w:val="00FD3F87"/>
    <w:rsid w:val="00FE39C7"/>
    <w:rsid w:val="00FF0B32"/>
    <w:rsid w:val="00FF2F0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5F7577E"/>
  <w15:docId w15:val="{C915C069-4616-401F-A7C3-BBA06DA4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73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083B28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083B28"/>
    <w:pPr>
      <w:tabs>
        <w:tab w:val="right" w:leader="dot" w:pos="9639"/>
      </w:tabs>
      <w:ind w:left="568" w:right="851" w:hanging="284"/>
      <w:contextualSpacing/>
    </w:pPr>
    <w:rPr>
      <w:smallCaps/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unhideWhenUsed/>
    <w:rsid w:val="00083B28"/>
    <w:rPr>
      <w:color w:val="0000FF" w:themeColor="hyperlink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083B28"/>
    <w:pPr>
      <w:keepNext/>
      <w:spacing w:before="60"/>
    </w:pPr>
    <w:rPr>
      <w:noProof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1461E-0517-45E0-9DB8-54CFA00A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1746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CEVALLOS DUQUE Nilo</dc:creator>
  <cp:lastModifiedBy>SANTOS Carla Marina</cp:lastModifiedBy>
  <cp:revision>19</cp:revision>
  <cp:lastPrinted>2018-09-14T09:18:00Z</cp:lastPrinted>
  <dcterms:created xsi:type="dcterms:W3CDTF">2018-09-05T09:14:00Z</dcterms:created>
  <dcterms:modified xsi:type="dcterms:W3CDTF">2018-09-14T09:18:00Z</dcterms:modified>
</cp:coreProperties>
</file>