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FA4EE3" w:rsidRDefault="005A1EC1" w:rsidP="003C7FBE">
            <w:pPr>
              <w:pStyle w:val="Doccode"/>
              <w:rPr>
                <w:lang w:val="es-ES"/>
              </w:rPr>
            </w:pPr>
            <w:r w:rsidRPr="00FA4EE3">
              <w:rPr>
                <w:lang w:val="es-ES"/>
              </w:rPr>
              <w:t xml:space="preserve">TC/54/11 </w:t>
            </w:r>
            <w:proofErr w:type="spellStart"/>
            <w:r w:rsidRPr="00FA4EE3">
              <w:rPr>
                <w:lang w:val="es-ES"/>
              </w:rPr>
              <w:t>Add</w:t>
            </w:r>
            <w:proofErr w:type="spellEnd"/>
            <w:r w:rsidRPr="00FA4EE3">
              <w:rPr>
                <w:lang w:val="es-ES"/>
              </w:rPr>
              <w:t>.</w:t>
            </w:r>
          </w:p>
          <w:p w:rsidR="00EB4E9C" w:rsidRPr="003C7FBE" w:rsidRDefault="00EB4E9C" w:rsidP="003C7FBE">
            <w:pPr>
              <w:pStyle w:val="Docoriginal"/>
            </w:pPr>
            <w:r>
              <w:t>Original:</w:t>
            </w:r>
            <w:r>
              <w:rPr>
                <w:b w:val="0"/>
                <w:spacing w:val="0"/>
              </w:rPr>
              <w:t xml:space="preserve"> </w:t>
            </w:r>
            <w:proofErr w:type="gramStart"/>
            <w:r>
              <w:rPr>
                <w:b w:val="0"/>
                <w:spacing w:val="0"/>
              </w:rPr>
              <w:t>Inglés</w:t>
            </w:r>
            <w:proofErr w:type="gramEnd"/>
          </w:p>
          <w:p w:rsidR="00EB4E9C" w:rsidRPr="007C1D92" w:rsidRDefault="002E5944" w:rsidP="00C44EBC">
            <w:pPr>
              <w:pStyle w:val="Docoriginal"/>
            </w:pPr>
            <w:r>
              <w:t>Fecha</w:t>
            </w:r>
            <w:r w:rsidRPr="00C44EBC">
              <w:t>:</w:t>
            </w:r>
            <w:r w:rsidRPr="00C44EBC">
              <w:rPr>
                <w:b w:val="0"/>
                <w:spacing w:val="0"/>
              </w:rPr>
              <w:t xml:space="preserve"> </w:t>
            </w:r>
            <w:r w:rsidR="00C44EBC" w:rsidRPr="00C44EBC">
              <w:rPr>
                <w:b w:val="0"/>
                <w:spacing w:val="0"/>
              </w:rPr>
              <w:t>1</w:t>
            </w:r>
            <w:r w:rsidRPr="00C44EBC">
              <w:rPr>
                <w:b w:val="0"/>
                <w:spacing w:val="0"/>
              </w:rPr>
              <w:t xml:space="preserve"> de </w:t>
            </w:r>
            <w:r w:rsidR="00C44EBC" w:rsidRPr="00C44EBC">
              <w:rPr>
                <w:b w:val="0"/>
                <w:spacing w:val="0"/>
              </w:rPr>
              <w:t>octubre</w:t>
            </w:r>
            <w:r w:rsidRPr="00C44EBC">
              <w:rPr>
                <w:b w:val="0"/>
                <w:spacing w:val="0"/>
              </w:rPr>
              <w:t xml:space="preserve"> </w:t>
            </w:r>
            <w:proofErr w:type="spellStart"/>
            <w:r w:rsidRPr="00C44EBC">
              <w:rPr>
                <w:b w:val="0"/>
                <w:spacing w:val="0"/>
              </w:rPr>
              <w:t>de</w:t>
            </w:r>
            <w:proofErr w:type="spellEnd"/>
            <w:r w:rsidRPr="00C44EBC">
              <w:rPr>
                <w:b w:val="0"/>
                <w:spacing w:val="0"/>
              </w:rPr>
              <w:t xml:space="preserve"> 2018</w:t>
            </w:r>
          </w:p>
        </w:tc>
      </w:tr>
    </w:tbl>
    <w:p w:rsidR="0091333D" w:rsidRPr="006A644A" w:rsidRDefault="0091333D" w:rsidP="0091333D">
      <w:pPr>
        <w:pStyle w:val="Titleofdoc0"/>
      </w:pPr>
      <w:bookmarkStart w:id="0" w:name="TitleOfDoc"/>
      <w:bookmarkStart w:id="1" w:name="Prepared"/>
      <w:bookmarkEnd w:id="0"/>
      <w:bookmarkEnd w:id="1"/>
      <w:r>
        <w:t>ADICIÓN A: TÉCNICAS MOLECULARES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91333D" w:rsidRPr="00FA4EE3" w:rsidRDefault="0091333D" w:rsidP="0091333D">
      <w:pPr>
        <w:pStyle w:val="Heading1"/>
        <w:rPr>
          <w:lang w:val="es-ES"/>
        </w:rPr>
      </w:pPr>
      <w:bookmarkStart w:id="2" w:name="_Toc525647177"/>
      <w:bookmarkStart w:id="3" w:name="_Toc525647253"/>
      <w:bookmarkStart w:id="4" w:name="_Toc526950841"/>
      <w:r w:rsidRPr="00FA4EE3">
        <w:rPr>
          <w:lang w:val="es-ES"/>
        </w:rPr>
        <w:t>RESUMEN</w:t>
      </w:r>
      <w:bookmarkEnd w:id="2"/>
      <w:bookmarkEnd w:id="3"/>
      <w:bookmarkEnd w:id="4"/>
    </w:p>
    <w:p w:rsidR="0091333D" w:rsidRPr="0091333D" w:rsidRDefault="0091333D" w:rsidP="0091333D"/>
    <w:p w:rsidR="0091333D" w:rsidRPr="0091333D" w:rsidRDefault="00742368" w:rsidP="0091333D">
      <w:r w:rsidRPr="00FB197B">
        <w:fldChar w:fldCharType="begin"/>
      </w:r>
      <w:r w:rsidR="0091333D" w:rsidRPr="0091333D">
        <w:instrText xml:space="preserve"> AUTONUM  </w:instrText>
      </w:r>
      <w:r w:rsidRPr="00FB197B">
        <w:fldChar w:fldCharType="end"/>
      </w:r>
      <w:r w:rsidR="0091333D">
        <w:tab/>
        <w:t>La finalidad de la presente adición es informar acerca de las novedades acaecidas en la decimoséptima sesión del Grupo de Trabajo sobre Técnicas Bioquímicas y Moleculares, y Perfiles de ADN en particular (BMT).</w:t>
      </w:r>
    </w:p>
    <w:p w:rsidR="0091333D" w:rsidRPr="0091333D" w:rsidRDefault="0091333D" w:rsidP="0091333D">
      <w:pPr>
        <w:tabs>
          <w:tab w:val="left" w:pos="567"/>
          <w:tab w:val="left" w:pos="1134"/>
        </w:tabs>
      </w:pPr>
      <w:bookmarkStart w:id="5" w:name="_Toc410822402"/>
      <w:bookmarkStart w:id="6" w:name="_Toc410822806"/>
      <w:bookmarkStart w:id="7" w:name="_Toc410823313"/>
      <w:bookmarkStart w:id="8" w:name="_Toc410899581"/>
    </w:p>
    <w:p w:rsidR="0091333D" w:rsidRPr="0091333D" w:rsidRDefault="00742368" w:rsidP="0091333D">
      <w:pPr>
        <w:pStyle w:val="DecisionParagraphs"/>
        <w:tabs>
          <w:tab w:val="left" w:pos="567"/>
          <w:tab w:val="left" w:pos="1134"/>
        </w:tabs>
        <w:ind w:left="0"/>
        <w:rPr>
          <w:i w:val="0"/>
        </w:rPr>
      </w:pPr>
      <w:r w:rsidRPr="00993E31">
        <w:rPr>
          <w:i w:val="0"/>
        </w:rPr>
        <w:fldChar w:fldCharType="begin"/>
      </w:r>
      <w:r w:rsidR="0091333D" w:rsidRPr="0091333D">
        <w:rPr>
          <w:i w:val="0"/>
        </w:rPr>
        <w:instrText xml:space="preserve"> AUTONUM  </w:instrText>
      </w:r>
      <w:r w:rsidRPr="00993E31">
        <w:rPr>
          <w:i w:val="0"/>
        </w:rPr>
        <w:fldChar w:fldCharType="end"/>
      </w:r>
      <w:r w:rsidR="0091333D">
        <w:tab/>
      </w:r>
      <w:r w:rsidR="0091333D">
        <w:rPr>
          <w:i w:val="0"/>
        </w:rPr>
        <w:t>Se invita al TC a:</w:t>
      </w:r>
    </w:p>
    <w:p w:rsidR="0091333D" w:rsidRPr="0091333D" w:rsidRDefault="0091333D" w:rsidP="00C44EBC"/>
    <w:p w:rsidR="0091333D" w:rsidRPr="0091333D" w:rsidRDefault="0091333D" w:rsidP="0091333D">
      <w:pPr>
        <w:ind w:firstLine="567"/>
      </w:pPr>
      <w:r>
        <w:t>a)</w:t>
      </w:r>
      <w:r>
        <w:tab/>
        <w:t>considerar si procede introducir el párrafo 3.1.4 del documento UPOV/INF/18/1 en el documento TGP/15 para aclarar que es responsabilidad de la autoridad determinar la fiabilidad del vínculo entre el gen y la expresión del carácter, según se expone en el párrafo 8 del presente documento;</w:t>
      </w:r>
    </w:p>
    <w:p w:rsidR="0091333D" w:rsidRPr="0091333D" w:rsidRDefault="0091333D" w:rsidP="0091333D"/>
    <w:p w:rsidR="0091333D" w:rsidRPr="0091333D" w:rsidRDefault="0091333D" w:rsidP="0091333D">
      <w:pPr>
        <w:ind w:firstLine="567"/>
      </w:pPr>
      <w:r>
        <w:t>b)</w:t>
      </w:r>
      <w:r>
        <w:tab/>
        <w:t xml:space="preserve">considerar si procede incluir en el documento TGP/15 la explicación que indique que será responsabilidad del correspondiente TWP </w:t>
      </w:r>
      <w:r w:rsidR="00530FE5">
        <w:t xml:space="preserve">y el TC </w:t>
      </w:r>
      <w:r>
        <w:t>determinar si se cumple el criterio de fiabilidad del vínculo entre el gen y la expresión del carácter para añadir un método en las directrices de examen, según se expone en el párrafo 8 del presente documento;</w:t>
      </w:r>
    </w:p>
    <w:p w:rsidR="0091333D" w:rsidRPr="0091333D" w:rsidRDefault="0091333D" w:rsidP="0091333D">
      <w:pPr>
        <w:rPr>
          <w:i/>
        </w:rPr>
      </w:pPr>
    </w:p>
    <w:p w:rsidR="0091333D" w:rsidRPr="0091333D" w:rsidRDefault="0091333D" w:rsidP="0091333D">
      <w:pPr>
        <w:ind w:firstLine="567"/>
      </w:pPr>
      <w:r>
        <w:t>c)</w:t>
      </w:r>
      <w:r>
        <w:tab/>
        <w:t>solicitar a Francia, los Países Bajos y la Unión Europea que elaboren un nuevo proyecto de documento UPOV/INF/17 para su examen en la decimoctava sesión del BMT, según se expone en el párrafo 45 del presente documento;</w:t>
      </w:r>
    </w:p>
    <w:p w:rsidR="0091333D" w:rsidRPr="0091333D" w:rsidRDefault="0091333D" w:rsidP="0091333D">
      <w:pPr>
        <w:rPr>
          <w:i/>
          <w:highlight w:val="yellow"/>
        </w:rPr>
      </w:pPr>
    </w:p>
    <w:p w:rsidR="0091333D" w:rsidRPr="0091333D" w:rsidRDefault="0091333D" w:rsidP="0091333D">
      <w:pPr>
        <w:ind w:firstLine="567"/>
      </w:pPr>
      <w:r>
        <w:t>d)</w:t>
      </w:r>
      <w:r>
        <w:tab/>
        <w:t>tomar nota de que la ISTA no está en disposición de aprobar la propuesta de actividades conjuntas con la UPOV y la OCDE en la decimoséptima sesión del BMT, según se expone en el párrafo 49 de este documento;</w:t>
      </w:r>
    </w:p>
    <w:p w:rsidR="0091333D" w:rsidRPr="0091333D" w:rsidRDefault="0091333D" w:rsidP="0091333D">
      <w:pPr>
        <w:pStyle w:val="DecisionParagraphs"/>
        <w:tabs>
          <w:tab w:val="left" w:pos="567"/>
          <w:tab w:val="left" w:pos="1134"/>
        </w:tabs>
        <w:ind w:left="0"/>
        <w:rPr>
          <w:i w:val="0"/>
        </w:rPr>
      </w:pPr>
    </w:p>
    <w:p w:rsidR="0091333D" w:rsidRPr="0091333D" w:rsidRDefault="0091333D" w:rsidP="0091333D">
      <w:pPr>
        <w:pStyle w:val="DecisionParagraphs"/>
        <w:tabs>
          <w:tab w:val="left" w:pos="567"/>
          <w:tab w:val="left" w:pos="1134"/>
        </w:tabs>
        <w:ind w:left="0"/>
        <w:rPr>
          <w:i w:val="0"/>
        </w:rPr>
      </w:pPr>
      <w:r>
        <w:tab/>
      </w:r>
      <w:r>
        <w:rPr>
          <w:i w:val="0"/>
        </w:rPr>
        <w:t>e)</w:t>
      </w:r>
      <w:r>
        <w:tab/>
      </w:r>
      <w:r>
        <w:rPr>
          <w:i w:val="0"/>
        </w:rPr>
        <w:t>considerar la posibilidad de que la UPOV y la OCDE avancen en los asuntos convenidos con anterioridad por el TC,</w:t>
      </w:r>
      <w:r>
        <w:t xml:space="preserve"> </w:t>
      </w:r>
      <w:r>
        <w:rPr>
          <w:i w:val="0"/>
        </w:rPr>
        <w:t xml:space="preserve">según se expone en el párrafo 49 de este documento; </w:t>
      </w:r>
    </w:p>
    <w:p w:rsidR="0091333D" w:rsidRPr="0091333D" w:rsidRDefault="0091333D" w:rsidP="0091333D"/>
    <w:p w:rsidR="0091333D" w:rsidRPr="0091333D" w:rsidRDefault="0091333D" w:rsidP="0091333D">
      <w:pPr>
        <w:pStyle w:val="DecisionParagraphs"/>
        <w:tabs>
          <w:tab w:val="left" w:pos="567"/>
          <w:tab w:val="left" w:pos="1134"/>
        </w:tabs>
        <w:ind w:left="0"/>
        <w:rPr>
          <w:i w:val="0"/>
          <w:highlight w:val="yellow"/>
        </w:rPr>
      </w:pPr>
      <w:r>
        <w:tab/>
      </w:r>
      <w:r>
        <w:rPr>
          <w:i w:val="0"/>
        </w:rPr>
        <w:t>f)</w:t>
      </w:r>
      <w:r>
        <w:tab/>
      </w:r>
      <w:r>
        <w:rPr>
          <w:i w:val="0"/>
        </w:rPr>
        <w:t>invitar a la ISTA a sumarse a las iniciativas, en el momento que lo disponga</w:t>
      </w:r>
      <w:r w:rsidR="00530FE5" w:rsidRPr="00530FE5">
        <w:rPr>
          <w:i w:val="0"/>
        </w:rPr>
        <w:t xml:space="preserve"> </w:t>
      </w:r>
      <w:r w:rsidR="00530FE5">
        <w:rPr>
          <w:i w:val="0"/>
        </w:rPr>
        <w:t>según se expone en el párrafo 49</w:t>
      </w:r>
      <w:r>
        <w:rPr>
          <w:i w:val="0"/>
        </w:rPr>
        <w:t>;</w:t>
      </w:r>
      <w:r>
        <w:rPr>
          <w:i w:val="0"/>
          <w:highlight w:val="yellow"/>
        </w:rPr>
        <w:t xml:space="preserve"> </w:t>
      </w:r>
    </w:p>
    <w:p w:rsidR="0091333D" w:rsidRPr="0091333D" w:rsidRDefault="0091333D" w:rsidP="0091333D"/>
    <w:p w:rsidR="0091333D" w:rsidRPr="0091333D" w:rsidRDefault="0091333D" w:rsidP="0091333D">
      <w:pPr>
        <w:pStyle w:val="DecisionParagraphs"/>
        <w:tabs>
          <w:tab w:val="left" w:pos="567"/>
          <w:tab w:val="left" w:pos="1134"/>
        </w:tabs>
        <w:ind w:left="0"/>
        <w:rPr>
          <w:i w:val="0"/>
        </w:rPr>
      </w:pPr>
      <w:r>
        <w:tab/>
      </w:r>
      <w:r>
        <w:rPr>
          <w:i w:val="0"/>
        </w:rPr>
        <w:t>g)</w:t>
      </w:r>
      <w:r>
        <w:tab/>
      </w:r>
      <w:r>
        <w:rPr>
          <w:i w:val="0"/>
        </w:rPr>
        <w:t xml:space="preserve">tomar nota del ofrecimiento del Sr. Barry Nelson </w:t>
      </w:r>
      <w:r w:rsidR="00C44EBC" w:rsidRPr="00DC76A1">
        <w:rPr>
          <w:i w:val="0"/>
          <w:snapToGrid w:val="0"/>
          <w:lang w:eastAsia="ja-JP"/>
        </w:rPr>
        <w:t>(</w:t>
      </w:r>
      <w:proofErr w:type="spellStart"/>
      <w:r w:rsidR="00C44EBC" w:rsidRPr="00DC76A1">
        <w:rPr>
          <w:i w:val="0"/>
          <w:snapToGrid w:val="0"/>
          <w:lang w:eastAsia="ja-JP"/>
        </w:rPr>
        <w:t>Corteva</w:t>
      </w:r>
      <w:r w:rsidR="00C44EBC" w:rsidRPr="00DC76A1">
        <w:rPr>
          <w:i w:val="0"/>
          <w:snapToGrid w:val="0"/>
          <w:vertAlign w:val="superscript"/>
          <w:lang w:eastAsia="ja-JP"/>
        </w:rPr>
        <w:t>TM</w:t>
      </w:r>
      <w:proofErr w:type="spellEnd"/>
      <w:r w:rsidR="00C44EBC" w:rsidRPr="00DC76A1">
        <w:rPr>
          <w:i w:val="0"/>
          <w:snapToGrid w:val="0"/>
          <w:lang w:eastAsia="ja-JP"/>
        </w:rPr>
        <w:t xml:space="preserve"> </w:t>
      </w:r>
      <w:proofErr w:type="spellStart"/>
      <w:r w:rsidR="00C44EBC" w:rsidRPr="00DC76A1">
        <w:rPr>
          <w:i w:val="0"/>
          <w:snapToGrid w:val="0"/>
          <w:lang w:eastAsia="ja-JP"/>
        </w:rPr>
        <w:t>Agriscience</w:t>
      </w:r>
      <w:proofErr w:type="spellEnd"/>
      <w:r w:rsidR="00C44EBC" w:rsidRPr="00DC76A1">
        <w:rPr>
          <w:i w:val="0"/>
          <w:snapToGrid w:val="0"/>
          <w:lang w:eastAsia="ja-JP"/>
        </w:rPr>
        <w:t>)</w:t>
      </w:r>
      <w:r w:rsidR="00C44EBC">
        <w:rPr>
          <w:snapToGrid w:val="0"/>
          <w:lang w:eastAsia="ja-JP"/>
        </w:rPr>
        <w:t xml:space="preserve"> </w:t>
      </w:r>
      <w:r>
        <w:rPr>
          <w:i w:val="0"/>
        </w:rPr>
        <w:t>de estudiar la posibilidad de crear un instrumento informático para seleccionar marcadores con el algoritmo del vendedor ambulante, que se encuentra a disposición de terceros para su ulterior desarrollo,</w:t>
      </w:r>
      <w:r>
        <w:t xml:space="preserve"> </w:t>
      </w:r>
      <w:r>
        <w:rPr>
          <w:i w:val="0"/>
        </w:rPr>
        <w:t>según se expone en el párrafo 53 de este documento;</w:t>
      </w:r>
    </w:p>
    <w:p w:rsidR="0091333D" w:rsidRPr="0091333D" w:rsidRDefault="0091333D" w:rsidP="0091333D"/>
    <w:p w:rsidR="0091333D" w:rsidRPr="0091333D" w:rsidRDefault="0091333D" w:rsidP="0091333D">
      <w:pPr>
        <w:pStyle w:val="DecisionParagraphs"/>
        <w:tabs>
          <w:tab w:val="left" w:pos="567"/>
          <w:tab w:val="left" w:pos="1134"/>
        </w:tabs>
        <w:ind w:left="0"/>
        <w:rPr>
          <w:i w:val="0"/>
        </w:rPr>
      </w:pPr>
      <w:r>
        <w:tab/>
      </w:r>
      <w:r>
        <w:rPr>
          <w:i w:val="0"/>
        </w:rPr>
        <w:t>h)</w:t>
      </w:r>
      <w:r>
        <w:tab/>
      </w:r>
      <w:r>
        <w:rPr>
          <w:i w:val="0"/>
        </w:rPr>
        <w:t>tomar nota de que se informará de los nuevos avances al BMT en su decimoctava sesión,</w:t>
      </w:r>
      <w:r>
        <w:t xml:space="preserve"> </w:t>
      </w:r>
      <w:r>
        <w:rPr>
          <w:i w:val="0"/>
        </w:rPr>
        <w:t>según se expone en el párrafo 53 de este documento;</w:t>
      </w:r>
    </w:p>
    <w:p w:rsidR="0091333D" w:rsidRPr="0091333D" w:rsidRDefault="0091333D" w:rsidP="0091333D">
      <w:pPr>
        <w:rPr>
          <w:highlight w:val="yellow"/>
        </w:rPr>
      </w:pPr>
    </w:p>
    <w:p w:rsidR="0091333D" w:rsidRPr="0091333D" w:rsidRDefault="0091333D" w:rsidP="0091333D">
      <w:pPr>
        <w:pStyle w:val="DecisionParagraphs"/>
        <w:keepLines/>
        <w:tabs>
          <w:tab w:val="left" w:pos="567"/>
          <w:tab w:val="left" w:pos="1134"/>
        </w:tabs>
        <w:ind w:left="0"/>
        <w:rPr>
          <w:i w:val="0"/>
        </w:rPr>
      </w:pPr>
      <w:r>
        <w:tab/>
      </w:r>
      <w:r>
        <w:rPr>
          <w:i w:val="0"/>
        </w:rPr>
        <w:t>i)</w:t>
      </w:r>
      <w:r>
        <w:tab/>
      </w:r>
      <w:r>
        <w:rPr>
          <w:i w:val="0"/>
        </w:rPr>
        <w:t>tomar nota de que, en la decimoséptima sesión del BMT,</w:t>
      </w:r>
      <w:r>
        <w:t xml:space="preserve"> </w:t>
      </w:r>
      <w:r>
        <w:rPr>
          <w:i w:val="0"/>
        </w:rPr>
        <w:t>se crearon grupos de debate respecto de maíz y soja y otras plantas agrícolas, plantas frutales y árboles forestales, plantas ornamentales y plantas hortícolas, con el objeto de que los asistentes a la sesión intercambien información sobre su labor y definan ámbitos de cooperación,</w:t>
      </w:r>
      <w:r>
        <w:t xml:space="preserve"> </w:t>
      </w:r>
      <w:r>
        <w:rPr>
          <w:i w:val="0"/>
        </w:rPr>
        <w:t>según se expone en el párrafo 57 de este documento;</w:t>
      </w:r>
    </w:p>
    <w:p w:rsidR="0091333D" w:rsidRPr="0091333D" w:rsidRDefault="0091333D" w:rsidP="0091333D"/>
    <w:p w:rsidR="0091333D" w:rsidRPr="0091333D" w:rsidRDefault="0091333D" w:rsidP="0091333D">
      <w:pPr>
        <w:pStyle w:val="DecisionParagraphs"/>
        <w:tabs>
          <w:tab w:val="left" w:pos="567"/>
          <w:tab w:val="left" w:pos="1134"/>
        </w:tabs>
        <w:ind w:left="0"/>
        <w:rPr>
          <w:i w:val="0"/>
        </w:rPr>
      </w:pPr>
      <w:r>
        <w:lastRenderedPageBreak/>
        <w:tab/>
      </w:r>
      <w:r>
        <w:rPr>
          <w:i w:val="0"/>
        </w:rPr>
        <w:t>j)</w:t>
      </w:r>
      <w:r>
        <w:tab/>
      </w:r>
      <w:r>
        <w:rPr>
          <w:i w:val="0"/>
        </w:rPr>
        <w:t>tomar nota de que, en su decimoctava sesión, el BMT tiene previsto tratar</w:t>
      </w:r>
      <w:r>
        <w:t xml:space="preserve"> </w:t>
      </w:r>
      <w:r>
        <w:rPr>
          <w:i w:val="0"/>
        </w:rPr>
        <w:t>las cuestiones de cooperación entre asociados y proveedores de servicios, incluida la confidencialidad, el acceso a los datos y el material, la autorización para que se realicen trabajos y la disponibilidad de resultados e información para los asociados,</w:t>
      </w:r>
      <w:r>
        <w:t xml:space="preserve"> </w:t>
      </w:r>
      <w:r>
        <w:rPr>
          <w:i w:val="0"/>
        </w:rPr>
        <w:t xml:space="preserve">según se expone en el párrafo 65 de este documento; </w:t>
      </w:r>
    </w:p>
    <w:p w:rsidR="0091333D" w:rsidRPr="0091333D" w:rsidRDefault="0091333D" w:rsidP="0091333D">
      <w:pPr>
        <w:rPr>
          <w:highlight w:val="yellow"/>
        </w:rPr>
      </w:pPr>
    </w:p>
    <w:p w:rsidR="0091333D" w:rsidRPr="0091333D" w:rsidRDefault="0091333D" w:rsidP="0091333D">
      <w:pPr>
        <w:pStyle w:val="DecisionParagraphs"/>
        <w:tabs>
          <w:tab w:val="left" w:pos="567"/>
          <w:tab w:val="left" w:pos="1134"/>
        </w:tabs>
        <w:ind w:left="0"/>
        <w:rPr>
          <w:i w:val="0"/>
        </w:rPr>
      </w:pPr>
      <w:r>
        <w:tab/>
      </w:r>
      <w:r>
        <w:rPr>
          <w:i w:val="0"/>
        </w:rPr>
        <w:t>k)</w:t>
      </w:r>
      <w:r>
        <w:tab/>
      </w:r>
      <w:r>
        <w:rPr>
          <w:i w:val="0"/>
        </w:rPr>
        <w:t>considerar si procede que se comunique a los demás Grupos de Trabajo Técnico (TWP) los resultados de la sesión de coordinación del BMT y que se invite a los TWP a llevar a cabo una sesión similar para que reflexionen sobre dichos resultados y contribuyan a la labor futura del BMT,</w:t>
      </w:r>
      <w:r>
        <w:t xml:space="preserve"> </w:t>
      </w:r>
      <w:r>
        <w:rPr>
          <w:i w:val="0"/>
        </w:rPr>
        <w:t>según se expone en el párrafo 66 de este documento; y</w:t>
      </w:r>
    </w:p>
    <w:p w:rsidR="0091333D" w:rsidRPr="0091333D" w:rsidRDefault="0091333D" w:rsidP="0091333D"/>
    <w:p w:rsidR="0091333D" w:rsidRPr="0091333D" w:rsidRDefault="0091333D" w:rsidP="0091333D">
      <w:pPr>
        <w:pStyle w:val="DecisionParagraphs"/>
        <w:tabs>
          <w:tab w:val="left" w:pos="567"/>
          <w:tab w:val="left" w:pos="1134"/>
        </w:tabs>
        <w:ind w:left="0"/>
        <w:rPr>
          <w:i w:val="0"/>
        </w:rPr>
      </w:pPr>
      <w:r>
        <w:tab/>
      </w:r>
      <w:r>
        <w:rPr>
          <w:i w:val="0"/>
        </w:rPr>
        <w:t>l)</w:t>
      </w:r>
      <w:r>
        <w:tab/>
      </w:r>
      <w:r>
        <w:rPr>
          <w:i w:val="0"/>
        </w:rPr>
        <w:t>examinar el proyecto de orden del día de la decimoctava sesión del BMT, que se recoge en el párrafo 69.</w:t>
      </w:r>
    </w:p>
    <w:p w:rsidR="0091333D" w:rsidRPr="0091333D" w:rsidRDefault="0091333D" w:rsidP="0091333D">
      <w:pPr>
        <w:jc w:val="left"/>
        <w:rPr>
          <w:rFonts w:cs="Arial"/>
          <w:snapToGrid w:val="0"/>
          <w:sz w:val="18"/>
          <w:szCs w:val="24"/>
        </w:rPr>
      </w:pPr>
    </w:p>
    <w:p w:rsidR="0091333D" w:rsidRPr="0091333D" w:rsidRDefault="00742368" w:rsidP="0091333D">
      <w:pPr>
        <w:keepNext/>
        <w:keepLines/>
      </w:pPr>
      <w:r w:rsidRPr="00FB197B">
        <w:fldChar w:fldCharType="begin"/>
      </w:r>
      <w:r w:rsidR="0091333D" w:rsidRPr="0091333D">
        <w:instrText xml:space="preserve"> AUTONUM  </w:instrText>
      </w:r>
      <w:r w:rsidRPr="00FB197B">
        <w:fldChar w:fldCharType="end"/>
      </w:r>
      <w:r w:rsidR="0091333D">
        <w:tab/>
        <w:t>El presente documento se estructura del modo siguiente:</w:t>
      </w:r>
    </w:p>
    <w:p w:rsidR="0091333D" w:rsidRPr="0091333D" w:rsidRDefault="0091333D" w:rsidP="0091333D">
      <w:pPr>
        <w:keepNext/>
        <w:keepLines/>
        <w:rPr>
          <w:rFonts w:cs="Arial"/>
          <w:b/>
        </w:rPr>
      </w:pPr>
    </w:p>
    <w:p w:rsidR="00097802" w:rsidRPr="00F865AC" w:rsidRDefault="00742368" w:rsidP="006757F0">
      <w:pPr>
        <w:pStyle w:val="TOC1"/>
        <w:spacing w:before="120" w:after="120"/>
        <w:ind w:right="1418"/>
        <w:contextualSpacing w:val="0"/>
        <w:jc w:val="left"/>
        <w:rPr>
          <w:rFonts w:asciiTheme="minorHAnsi" w:eastAsiaTheme="minorEastAsia" w:hAnsiTheme="minorHAnsi" w:cstheme="minorBidi"/>
          <w:caps w:val="0"/>
          <w:noProof/>
          <w:sz w:val="22"/>
          <w:szCs w:val="22"/>
          <w:lang w:val="es-ES"/>
        </w:rPr>
      </w:pPr>
      <w:r>
        <w:rPr>
          <w:rFonts w:eastAsiaTheme="minorEastAsia" w:cs="Arial"/>
          <w:b/>
          <w:smallCaps/>
          <w:szCs w:val="18"/>
        </w:rPr>
        <w:fldChar w:fldCharType="begin"/>
      </w:r>
      <w:r w:rsidR="0091333D" w:rsidRPr="00F865AC">
        <w:rPr>
          <w:b/>
          <w:smallCaps/>
          <w:szCs w:val="18"/>
          <w:lang w:val="es-ES"/>
        </w:rPr>
        <w:instrText xml:space="preserve"> TOC \o "1-2" \u </w:instrText>
      </w:r>
      <w:r>
        <w:rPr>
          <w:rFonts w:eastAsiaTheme="minorEastAsia" w:cs="Arial"/>
          <w:b/>
          <w:smallCaps/>
          <w:szCs w:val="18"/>
        </w:rPr>
        <w:fldChar w:fldCharType="separate"/>
      </w:r>
      <w:r w:rsidR="00097802" w:rsidRPr="00F865AC">
        <w:rPr>
          <w:noProof/>
          <w:lang w:val="es-ES"/>
        </w:rPr>
        <w:t>RESUMEN</w:t>
      </w:r>
      <w:r w:rsidR="00097802" w:rsidRPr="00F865AC">
        <w:rPr>
          <w:noProof/>
          <w:lang w:val="es-ES"/>
        </w:rPr>
        <w:tab/>
      </w:r>
      <w:r>
        <w:rPr>
          <w:noProof/>
        </w:rPr>
        <w:fldChar w:fldCharType="begin"/>
      </w:r>
      <w:r w:rsidR="00097802" w:rsidRPr="00F865AC">
        <w:rPr>
          <w:noProof/>
          <w:lang w:val="es-ES"/>
        </w:rPr>
        <w:instrText xml:space="preserve"> PAGEREF _Toc526950841 \h </w:instrText>
      </w:r>
      <w:r>
        <w:rPr>
          <w:noProof/>
        </w:rPr>
      </w:r>
      <w:r>
        <w:rPr>
          <w:noProof/>
        </w:rPr>
        <w:fldChar w:fldCharType="separate"/>
      </w:r>
      <w:r w:rsidR="00F865AC" w:rsidRPr="00F865AC">
        <w:rPr>
          <w:noProof/>
          <w:lang w:val="es-ES"/>
        </w:rPr>
        <w:t>1</w:t>
      </w:r>
      <w:r>
        <w:rPr>
          <w:noProof/>
        </w:rPr>
        <w:fldChar w:fldCharType="end"/>
      </w:r>
    </w:p>
    <w:p w:rsidR="00097802" w:rsidRPr="00F865AC" w:rsidRDefault="00097802" w:rsidP="006757F0">
      <w:pPr>
        <w:pStyle w:val="TOC1"/>
        <w:spacing w:before="60"/>
        <w:ind w:right="1418"/>
        <w:contextualSpacing w:val="0"/>
        <w:jc w:val="left"/>
        <w:rPr>
          <w:rFonts w:asciiTheme="minorHAnsi" w:eastAsiaTheme="minorEastAsia" w:hAnsiTheme="minorHAnsi" w:cstheme="minorBidi"/>
          <w:caps w:val="0"/>
          <w:noProof/>
          <w:sz w:val="22"/>
          <w:szCs w:val="22"/>
          <w:lang w:val="es-ES"/>
        </w:rPr>
      </w:pPr>
      <w:r w:rsidRPr="00F865AC">
        <w:rPr>
          <w:rFonts w:eastAsiaTheme="minorEastAsia" w:cs="Arial"/>
          <w:bCs/>
          <w:noProof/>
          <w:sz w:val="18"/>
          <w:lang w:val="es-ES" w:eastAsia="ja-JP"/>
        </w:rPr>
        <w:t>NOVEDADES ACAECIDAS EN LA DECIMOSÉPTIMA SESIÓN DEL GRUPO DE TRABAJO</w:t>
      </w:r>
      <w:r w:rsidRPr="00F865AC">
        <w:rPr>
          <w:noProof/>
          <w:lang w:val="es-ES"/>
        </w:rPr>
        <w:t xml:space="preserve"> </w:t>
      </w:r>
      <w:r w:rsidRPr="00F865AC">
        <w:rPr>
          <w:rFonts w:eastAsiaTheme="minorEastAsia" w:cs="Arial"/>
          <w:bCs/>
          <w:noProof/>
          <w:sz w:val="18"/>
          <w:lang w:val="es-ES" w:eastAsia="ja-JP"/>
        </w:rPr>
        <w:t>SOBRE TÉCNICAS BIOQUÍMICAS Y MOLECULARES, Y PERFILES DE ADN EN PARTICULAR</w:t>
      </w:r>
      <w:r w:rsidRPr="00F865AC">
        <w:rPr>
          <w:noProof/>
          <w:lang w:val="es-ES"/>
        </w:rPr>
        <w:tab/>
      </w:r>
      <w:r w:rsidR="00742368">
        <w:rPr>
          <w:noProof/>
        </w:rPr>
        <w:fldChar w:fldCharType="begin"/>
      </w:r>
      <w:r w:rsidRPr="00F865AC">
        <w:rPr>
          <w:noProof/>
          <w:lang w:val="es-ES"/>
        </w:rPr>
        <w:instrText xml:space="preserve"> PAGEREF _Toc526950842 \h </w:instrText>
      </w:r>
      <w:r w:rsidR="00742368">
        <w:rPr>
          <w:noProof/>
        </w:rPr>
      </w:r>
      <w:r w:rsidR="00742368">
        <w:rPr>
          <w:noProof/>
        </w:rPr>
        <w:fldChar w:fldCharType="separate"/>
      </w:r>
      <w:r w:rsidR="00F865AC" w:rsidRPr="00F865AC">
        <w:rPr>
          <w:noProof/>
          <w:lang w:val="es-ES"/>
        </w:rPr>
        <w:t>2</w:t>
      </w:r>
      <w:r w:rsidR="00742368">
        <w:rPr>
          <w:noProof/>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Documentos presentados</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_Toc526950843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2</w:t>
      </w:r>
      <w:r w:rsidR="00742368" w:rsidRPr="006757F0">
        <w:rPr>
          <w:rFonts w:eastAsiaTheme="minorHAnsi"/>
          <w:smallCaps/>
          <w:noProof/>
          <w:lang w:eastAsia="ja-JP"/>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Informe sobre la labor relativa a las técnicas moleculares en relación con el examen DHE</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_Toc526950844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4</w:t>
      </w:r>
      <w:r w:rsidR="00742368" w:rsidRPr="006757F0">
        <w:rPr>
          <w:rFonts w:eastAsiaTheme="minorHAnsi"/>
          <w:smallCaps/>
          <w:noProof/>
          <w:lang w:eastAsia="ja-JP"/>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 xml:space="preserve">Revisión del documento UPOV/INF/17 “Directrices para los perfiles de ADN: selección de marcadores moleculares y creación de una base de datos </w:t>
      </w:r>
      <w:r w:rsidR="00473449" w:rsidRPr="00F865AC">
        <w:rPr>
          <w:rFonts w:eastAsiaTheme="minorHAnsi"/>
          <w:noProof/>
          <w:lang w:val="es-ES" w:eastAsia="ja-JP"/>
        </w:rPr>
        <w:t>‘Directrices BMT’</w:t>
      </w:r>
      <w:r w:rsidRPr="00F865AC">
        <w:rPr>
          <w:rFonts w:eastAsiaTheme="minorHAnsi"/>
          <w:noProof/>
          <w:lang w:val="es-ES" w:eastAsia="ja-JP"/>
        </w:rPr>
        <w:t>)”</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_Toc526950845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5</w:t>
      </w:r>
      <w:r w:rsidR="00742368" w:rsidRPr="006757F0">
        <w:rPr>
          <w:rFonts w:eastAsiaTheme="minorHAnsi"/>
          <w:smallCaps/>
          <w:noProof/>
          <w:lang w:eastAsia="ja-JP"/>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Cooperación entre las organizaciones internacionales</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_Toc526950846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9</w:t>
      </w:r>
      <w:r w:rsidR="00742368" w:rsidRPr="006757F0">
        <w:rPr>
          <w:rFonts w:eastAsiaTheme="minorHAnsi"/>
          <w:smallCaps/>
          <w:noProof/>
          <w:lang w:eastAsia="ja-JP"/>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La utilización de técnicas moleculares en la identificación de variedades</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_Toc526950847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10</w:t>
      </w:r>
      <w:r w:rsidR="00742368" w:rsidRPr="006757F0">
        <w:rPr>
          <w:rFonts w:eastAsiaTheme="minorHAnsi"/>
          <w:smallCaps/>
          <w:noProof/>
          <w:lang w:eastAsia="ja-JP"/>
        </w:rPr>
        <w:fldChar w:fldCharType="end"/>
      </w:r>
    </w:p>
    <w:p w:rsidR="00097802" w:rsidRPr="00F865AC" w:rsidRDefault="00097802" w:rsidP="00C44EBC">
      <w:pPr>
        <w:pStyle w:val="TOC2"/>
        <w:rPr>
          <w:rFonts w:eastAsiaTheme="minorHAnsi"/>
          <w:smallCaps/>
          <w:noProof/>
          <w:lang w:val="es-ES" w:eastAsia="ja-JP"/>
        </w:rPr>
      </w:pPr>
      <w:r w:rsidRPr="00F865AC">
        <w:rPr>
          <w:rFonts w:eastAsiaTheme="minorHAnsi"/>
          <w:noProof/>
          <w:lang w:val="es-ES" w:eastAsia="ja-JP"/>
        </w:rPr>
        <w:t>Sesión para facilitar la cooperación</w:t>
      </w:r>
      <w:r w:rsidRPr="00F865AC">
        <w:rPr>
          <w:rFonts w:eastAsiaTheme="minorHAnsi"/>
          <w:noProof/>
          <w:lang w:val="es-ES" w:eastAsia="ja-JP"/>
        </w:rPr>
        <w:tab/>
      </w:r>
      <w:r w:rsidR="00742368" w:rsidRPr="006757F0">
        <w:rPr>
          <w:rFonts w:eastAsiaTheme="minorHAnsi"/>
          <w:smallCaps/>
          <w:noProof/>
          <w:lang w:eastAsia="ja-JP"/>
        </w:rPr>
        <w:fldChar w:fldCharType="begin"/>
      </w:r>
      <w:r w:rsidRPr="00F865AC">
        <w:rPr>
          <w:rFonts w:eastAsiaTheme="minorHAnsi"/>
          <w:noProof/>
          <w:lang w:val="es-ES" w:eastAsia="ja-JP"/>
        </w:rPr>
        <w:instrText xml:space="preserve"> PAGEREF _Toc526950848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sidRPr="00F865AC">
        <w:rPr>
          <w:rFonts w:eastAsiaTheme="minorHAnsi"/>
          <w:noProof/>
          <w:lang w:val="es-ES" w:eastAsia="ja-JP"/>
        </w:rPr>
        <w:t>10</w:t>
      </w:r>
      <w:r w:rsidR="00742368" w:rsidRPr="006757F0">
        <w:rPr>
          <w:rFonts w:eastAsiaTheme="minorHAnsi"/>
          <w:smallCaps/>
          <w:noProof/>
          <w:lang w:eastAsia="ja-JP"/>
        </w:rPr>
        <w:fldChar w:fldCharType="end"/>
      </w:r>
    </w:p>
    <w:p w:rsidR="00097802" w:rsidRPr="006757F0" w:rsidRDefault="00097802" w:rsidP="00C44EBC">
      <w:pPr>
        <w:pStyle w:val="TOC2"/>
        <w:rPr>
          <w:rFonts w:eastAsiaTheme="minorHAnsi"/>
          <w:smallCaps/>
          <w:noProof/>
          <w:lang w:eastAsia="ja-JP"/>
        </w:rPr>
      </w:pPr>
      <w:r w:rsidRPr="006757F0">
        <w:rPr>
          <w:rFonts w:eastAsiaTheme="minorHAnsi"/>
          <w:noProof/>
          <w:lang w:eastAsia="ja-JP"/>
        </w:rPr>
        <w:t>Futuro programa</w:t>
      </w:r>
      <w:r w:rsidRPr="006757F0">
        <w:rPr>
          <w:rFonts w:eastAsiaTheme="minorHAnsi"/>
          <w:noProof/>
          <w:lang w:eastAsia="ja-JP"/>
        </w:rPr>
        <w:tab/>
      </w:r>
      <w:r w:rsidR="00742368" w:rsidRPr="006757F0">
        <w:rPr>
          <w:rFonts w:eastAsiaTheme="minorHAnsi"/>
          <w:smallCaps/>
          <w:noProof/>
          <w:lang w:eastAsia="ja-JP"/>
        </w:rPr>
        <w:fldChar w:fldCharType="begin"/>
      </w:r>
      <w:r w:rsidRPr="006757F0">
        <w:rPr>
          <w:rFonts w:eastAsiaTheme="minorHAnsi"/>
          <w:noProof/>
          <w:lang w:eastAsia="ja-JP"/>
        </w:rPr>
        <w:instrText xml:space="preserve"> PAGEREF _Toc526950849 \h </w:instrText>
      </w:r>
      <w:r w:rsidR="00742368" w:rsidRPr="006757F0">
        <w:rPr>
          <w:rFonts w:eastAsiaTheme="minorHAnsi"/>
          <w:smallCaps/>
          <w:noProof/>
          <w:lang w:eastAsia="ja-JP"/>
        </w:rPr>
      </w:r>
      <w:r w:rsidR="00742368" w:rsidRPr="006757F0">
        <w:rPr>
          <w:rFonts w:eastAsiaTheme="minorHAnsi"/>
          <w:smallCaps/>
          <w:noProof/>
          <w:lang w:eastAsia="ja-JP"/>
        </w:rPr>
        <w:fldChar w:fldCharType="separate"/>
      </w:r>
      <w:r w:rsidR="00F865AC">
        <w:rPr>
          <w:rFonts w:eastAsiaTheme="minorHAnsi"/>
          <w:noProof/>
          <w:lang w:eastAsia="ja-JP"/>
        </w:rPr>
        <w:t>14</w:t>
      </w:r>
      <w:r w:rsidR="00742368" w:rsidRPr="006757F0">
        <w:rPr>
          <w:rFonts w:eastAsiaTheme="minorHAnsi"/>
          <w:smallCaps/>
          <w:noProof/>
          <w:lang w:eastAsia="ja-JP"/>
        </w:rPr>
        <w:fldChar w:fldCharType="end"/>
      </w:r>
    </w:p>
    <w:p w:rsidR="0091333D" w:rsidRDefault="00742368" w:rsidP="00DA1D48">
      <w:r>
        <w:rPr>
          <w:noProof/>
        </w:rPr>
        <w:fldChar w:fldCharType="end"/>
      </w:r>
    </w:p>
    <w:p w:rsidR="0091333D" w:rsidRPr="0091333D" w:rsidRDefault="0091333D" w:rsidP="0091333D">
      <w:pPr>
        <w:rPr>
          <w:noProof/>
        </w:rPr>
      </w:pPr>
    </w:p>
    <w:p w:rsidR="0091333D" w:rsidRPr="00FA4EE3" w:rsidRDefault="0091333D" w:rsidP="0091333D">
      <w:pPr>
        <w:pStyle w:val="Heading1"/>
        <w:rPr>
          <w:lang w:val="es-ES"/>
        </w:rPr>
      </w:pPr>
      <w:bookmarkStart w:id="9" w:name="_Toc525647178"/>
      <w:bookmarkStart w:id="10" w:name="_Toc525647254"/>
      <w:bookmarkStart w:id="11" w:name="_Toc526950842"/>
      <w:r w:rsidRPr="00FA4EE3">
        <w:rPr>
          <w:lang w:val="es-ES"/>
        </w:rPr>
        <w:t>NOVEDADES ACAECIDAS EN LA DECIMOSÉPTIMA SESIÓN DEL GRUPO DE TRABAJO SOBRE TÉCNICAS BIOQUÍMICAS Y MOLECULARES, Y PERFILES DE ADN EN PARTICULAR</w:t>
      </w:r>
      <w:bookmarkEnd w:id="9"/>
      <w:bookmarkEnd w:id="10"/>
      <w:bookmarkEnd w:id="11"/>
    </w:p>
    <w:p w:rsidR="0091333D" w:rsidRPr="0091333D" w:rsidRDefault="0091333D" w:rsidP="0091333D"/>
    <w:p w:rsidR="0091333D" w:rsidRPr="0091333D" w:rsidRDefault="00742368" w:rsidP="0091333D">
      <w:r w:rsidRPr="00EA0560">
        <w:rPr>
          <w:color w:val="000000"/>
        </w:rPr>
        <w:fldChar w:fldCharType="begin"/>
      </w:r>
      <w:r w:rsidR="0091333D" w:rsidRPr="0091333D">
        <w:rPr>
          <w:color w:val="000000"/>
        </w:rPr>
        <w:instrText xml:space="preserve"> AUTONUM  </w:instrText>
      </w:r>
      <w:r w:rsidRPr="00EA0560">
        <w:rPr>
          <w:color w:val="000000"/>
        </w:rPr>
        <w:fldChar w:fldCharType="end"/>
      </w:r>
      <w:r w:rsidR="0091333D">
        <w:tab/>
        <w:t>La decimoséptima sesión del BMT se celebró en Montevideo (Uruguay), del 10 al 13 de septiembre de 2018.</w:t>
      </w:r>
      <w:r w:rsidR="00AE5E49">
        <w:t xml:space="preserve"> </w:t>
      </w:r>
      <w:r w:rsidR="0091333D">
        <w:t>Concretamente, los puntos del orden del día “La utilización de técnicas moleculares en el examen de las variedades esencialmente derivadas” y “La utilización de técnicas moleculares en la identificación de variedades” (el “Día del obtentor”) se examinaron el 12 de septiembre de 2018.</w:t>
      </w:r>
    </w:p>
    <w:p w:rsidR="0091333D" w:rsidRPr="0091333D" w:rsidRDefault="0091333D" w:rsidP="0091333D">
      <w:pPr>
        <w:rPr>
          <w:noProof/>
        </w:rPr>
      </w:pPr>
    </w:p>
    <w:p w:rsidR="0091333D" w:rsidRPr="0091333D" w:rsidRDefault="0091333D" w:rsidP="0091333D">
      <w:pPr>
        <w:rPr>
          <w:noProof/>
        </w:rPr>
      </w:pPr>
    </w:p>
    <w:p w:rsidR="0091333D" w:rsidRPr="00FA4EE3" w:rsidRDefault="0091333D" w:rsidP="0091333D">
      <w:pPr>
        <w:pStyle w:val="Heading2"/>
        <w:rPr>
          <w:lang w:val="es-ES"/>
        </w:rPr>
      </w:pPr>
      <w:bookmarkStart w:id="12" w:name="_Toc525647179"/>
      <w:bookmarkStart w:id="13" w:name="_Toc525647255"/>
      <w:bookmarkStart w:id="14" w:name="_Toc526950843"/>
      <w:r w:rsidRPr="00FA4EE3">
        <w:rPr>
          <w:lang w:val="es-ES"/>
        </w:rPr>
        <w:t>Documentos presentados</w:t>
      </w:r>
      <w:bookmarkEnd w:id="12"/>
      <w:bookmarkEnd w:id="13"/>
      <w:bookmarkEnd w:id="14"/>
    </w:p>
    <w:p w:rsidR="0091333D" w:rsidRPr="0091333D" w:rsidRDefault="0091333D" w:rsidP="0091333D"/>
    <w:p w:rsidR="0091333D" w:rsidRPr="0091333D" w:rsidRDefault="00742368" w:rsidP="0091333D">
      <w:r w:rsidRPr="00154A92">
        <w:fldChar w:fldCharType="begin"/>
      </w:r>
      <w:r w:rsidR="0091333D" w:rsidRPr="0091333D">
        <w:instrText xml:space="preserve"> AUTONUM  </w:instrText>
      </w:r>
      <w:r w:rsidRPr="00154A92">
        <w:fldChar w:fldCharType="end"/>
      </w:r>
      <w:r w:rsidR="0091333D">
        <w:tab/>
        <w:t xml:space="preserve">A </w:t>
      </w:r>
      <w:proofErr w:type="gramStart"/>
      <w:r w:rsidR="0091333D">
        <w:t>continuación</w:t>
      </w:r>
      <w:proofErr w:type="gramEnd"/>
      <w:r w:rsidR="0091333D">
        <w:t xml:space="preserve"> se indican los documentos presentados en cada punto del orden del día de la decimoséptima sesión del BMT:</w:t>
      </w:r>
    </w:p>
    <w:p w:rsidR="0091333D" w:rsidRPr="0091333D" w:rsidRDefault="0091333D" w:rsidP="0091333D">
      <w:pPr>
        <w:autoSpaceDE w:val="0"/>
        <w:autoSpaceDN w:val="0"/>
        <w:adjustRightInd w:val="0"/>
        <w:rPr>
          <w:rFonts w:cs="Arial"/>
        </w:rPr>
      </w:pPr>
    </w:p>
    <w:p w:rsidR="0091333D" w:rsidRPr="0091333D" w:rsidRDefault="0091333D" w:rsidP="0091333D">
      <w:pPr>
        <w:ind w:left="567"/>
        <w:rPr>
          <w:i/>
        </w:rPr>
      </w:pPr>
      <w:bookmarkStart w:id="15" w:name="_Toc525478480"/>
      <w:r>
        <w:rPr>
          <w:i/>
        </w:rPr>
        <w:t>Información preliminar</w:t>
      </w:r>
      <w:bookmarkEnd w:id="15"/>
      <w:r>
        <w:rPr>
          <w:i/>
        </w:rPr>
        <w:t xml:space="preserve"> </w:t>
      </w:r>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proofErr w:type="spellStart"/>
      <w:r w:rsidRPr="006757F0">
        <w:t>Preparatory</w:t>
      </w:r>
      <w:proofErr w:type="spellEnd"/>
      <w:r w:rsidRPr="006757F0">
        <w:t xml:space="preserve"> </w:t>
      </w:r>
      <w:proofErr w:type="spellStart"/>
      <w:r w:rsidRPr="006757F0">
        <w:t>Information</w:t>
      </w:r>
      <w:proofErr w:type="spellEnd"/>
      <w:r>
        <w:rPr>
          <w:i/>
        </w:rPr>
        <w:t xml:space="preserve"> (Información preliminar) (documento BMT/17/4)</w:t>
      </w:r>
    </w:p>
    <w:p w:rsidR="0091333D" w:rsidRPr="0091333D" w:rsidRDefault="0091333D" w:rsidP="0091333D">
      <w:pPr>
        <w:autoSpaceDE w:val="0"/>
        <w:autoSpaceDN w:val="0"/>
        <w:adjustRightInd w:val="0"/>
        <w:rPr>
          <w:rFonts w:cs="Arial"/>
        </w:rPr>
      </w:pPr>
    </w:p>
    <w:p w:rsidR="0091333D" w:rsidRPr="0091333D" w:rsidRDefault="0091333D" w:rsidP="0091333D">
      <w:pPr>
        <w:ind w:left="567"/>
        <w:rPr>
          <w:i/>
        </w:rPr>
      </w:pPr>
      <w:bookmarkStart w:id="16" w:name="_Toc516587895"/>
      <w:bookmarkStart w:id="17" w:name="_Toc525478481"/>
      <w:r>
        <w:rPr>
          <w:i/>
        </w:rPr>
        <w:t>Informe sobre las novedades acaecidas en la UPOV en relación con las técnicas bioquímicas y moleculares</w:t>
      </w:r>
      <w:bookmarkEnd w:id="16"/>
      <w:bookmarkEnd w:id="17"/>
      <w:r>
        <w:rPr>
          <w:i/>
        </w:rPr>
        <w:t xml:space="preserve"> </w:t>
      </w:r>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proofErr w:type="spellStart"/>
      <w:r w:rsidRPr="006757F0">
        <w:t>Reports</w:t>
      </w:r>
      <w:proofErr w:type="spellEnd"/>
      <w:r w:rsidRPr="006757F0">
        <w:t xml:space="preserve"> </w:t>
      </w:r>
      <w:proofErr w:type="spellStart"/>
      <w:r w:rsidRPr="006757F0">
        <w:t>on</w:t>
      </w:r>
      <w:proofErr w:type="spellEnd"/>
      <w:r w:rsidRPr="006757F0">
        <w:t xml:space="preserve"> </w:t>
      </w:r>
      <w:proofErr w:type="spellStart"/>
      <w:r w:rsidRPr="006757F0">
        <w:t>developments</w:t>
      </w:r>
      <w:proofErr w:type="spellEnd"/>
      <w:r w:rsidRPr="006757F0">
        <w:t xml:space="preserve"> in UPOV</w:t>
      </w:r>
      <w:r>
        <w:rPr>
          <w:i/>
        </w:rPr>
        <w:t xml:space="preserve"> (Informe sobre las novedades acaecidas en la UPOV) (documento BMT/17/2)</w:t>
      </w:r>
    </w:p>
    <w:p w:rsidR="0091333D" w:rsidRPr="0091333D" w:rsidRDefault="0091333D" w:rsidP="0091333D">
      <w:pPr>
        <w:autoSpaceDE w:val="0"/>
        <w:autoSpaceDN w:val="0"/>
        <w:adjustRightInd w:val="0"/>
        <w:ind w:left="540"/>
        <w:rPr>
          <w:rFonts w:cs="Arial"/>
        </w:rPr>
      </w:pPr>
    </w:p>
    <w:p w:rsidR="0091333D" w:rsidRPr="0091333D" w:rsidRDefault="0091333D" w:rsidP="0091333D">
      <w:pPr>
        <w:ind w:left="567"/>
        <w:rPr>
          <w:i/>
        </w:rPr>
      </w:pPr>
      <w:bookmarkStart w:id="18" w:name="_Toc525478482"/>
      <w:bookmarkStart w:id="19" w:name="_Toc516587896"/>
      <w:r>
        <w:rPr>
          <w:i/>
        </w:rPr>
        <w:t>Breves ponencias sobre los avances en las técnicas bioquímicas y moleculares a cargo de expertos en el examen DHE, especialistas en técnicas bioquímicas y moleculares, y obtentores y organizaciones internacionales pertinentes</w:t>
      </w:r>
      <w:bookmarkEnd w:id="18"/>
      <w:r>
        <w:rPr>
          <w:i/>
        </w:rPr>
        <w:t xml:space="preserve"> </w:t>
      </w:r>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r w:rsidRPr="006757F0">
        <w:t xml:space="preserve">New </w:t>
      </w:r>
      <w:proofErr w:type="spellStart"/>
      <w:r w:rsidRPr="006757F0">
        <w:t>developments</w:t>
      </w:r>
      <w:proofErr w:type="spellEnd"/>
      <w:r w:rsidRPr="006757F0">
        <w:t xml:space="preserve"> in </w:t>
      </w:r>
      <w:proofErr w:type="spellStart"/>
      <w:r w:rsidRPr="006757F0">
        <w:t>biochemical</w:t>
      </w:r>
      <w:proofErr w:type="spellEnd"/>
      <w:r w:rsidRPr="006757F0">
        <w:t xml:space="preserve"> and molecular </w:t>
      </w:r>
      <w:proofErr w:type="spellStart"/>
      <w:r w:rsidRPr="006757F0">
        <w:t>techniques</w:t>
      </w:r>
      <w:proofErr w:type="spellEnd"/>
      <w:r w:rsidRPr="006757F0">
        <w:t xml:space="preserve"> CPVO </w:t>
      </w:r>
      <w:proofErr w:type="spellStart"/>
      <w:r w:rsidRPr="006757F0">
        <w:t>report</w:t>
      </w:r>
      <w:proofErr w:type="spellEnd"/>
      <w:r w:rsidRPr="006757F0">
        <w:t xml:space="preserve"> </w:t>
      </w:r>
      <w:proofErr w:type="spellStart"/>
      <w:r w:rsidRPr="006757F0">
        <w:t>on</w:t>
      </w:r>
      <w:proofErr w:type="spellEnd"/>
      <w:r w:rsidRPr="006757F0">
        <w:t xml:space="preserve"> IMODDUS: </w:t>
      </w:r>
      <w:proofErr w:type="spellStart"/>
      <w:r w:rsidRPr="006757F0">
        <w:t>latest</w:t>
      </w:r>
      <w:proofErr w:type="spellEnd"/>
      <w:r w:rsidRPr="006757F0">
        <w:t xml:space="preserve"> </w:t>
      </w:r>
      <w:proofErr w:type="spellStart"/>
      <w:r w:rsidRPr="006757F0">
        <w:t>developments</w:t>
      </w:r>
      <w:proofErr w:type="spellEnd"/>
      <w:r>
        <w:rPr>
          <w:i/>
        </w:rPr>
        <w:t xml:space="preserve"> (Avances en las técnicas bioquímicas y moleculares. Informe de la OCVV sobre el IMODDUS: últimas novedades) (documento BMT/17/23)</w:t>
      </w:r>
    </w:p>
    <w:p w:rsidR="0091333D" w:rsidRPr="0091333D" w:rsidRDefault="0091333D" w:rsidP="0091333D">
      <w:pPr>
        <w:autoSpaceDE w:val="0"/>
        <w:autoSpaceDN w:val="0"/>
        <w:adjustRightInd w:val="0"/>
        <w:ind w:left="1080"/>
        <w:rPr>
          <w:rFonts w:cs="Arial"/>
          <w:i/>
        </w:rPr>
      </w:pPr>
    </w:p>
    <w:p w:rsidR="0091333D" w:rsidRPr="0091333D" w:rsidRDefault="0091333D" w:rsidP="00DA1D48">
      <w:pPr>
        <w:keepNext/>
        <w:keepLines/>
        <w:autoSpaceDE w:val="0"/>
        <w:autoSpaceDN w:val="0"/>
        <w:adjustRightInd w:val="0"/>
        <w:ind w:left="1080"/>
        <w:rPr>
          <w:rFonts w:cs="Arial"/>
          <w:i/>
        </w:rPr>
      </w:pPr>
      <w:r w:rsidRPr="00605295">
        <w:rPr>
          <w:lang w:val="en-US"/>
        </w:rPr>
        <w:lastRenderedPageBreak/>
        <w:t>New developments in biochemical and molecular techniques CPVO report on IMODDUS: Update on R&amp;D projects co-funded by CPVO</w:t>
      </w:r>
      <w:r w:rsidRPr="00605295">
        <w:rPr>
          <w:i/>
          <w:lang w:val="en-US"/>
        </w:rPr>
        <w:t xml:space="preserve"> (</w:t>
      </w:r>
      <w:proofErr w:type="spellStart"/>
      <w:r w:rsidRPr="00605295">
        <w:rPr>
          <w:i/>
          <w:lang w:val="en-US"/>
        </w:rPr>
        <w:t>Avances</w:t>
      </w:r>
      <w:proofErr w:type="spellEnd"/>
      <w:r w:rsidRPr="00605295">
        <w:rPr>
          <w:i/>
          <w:lang w:val="en-US"/>
        </w:rPr>
        <w:t xml:space="preserve"> </w:t>
      </w:r>
      <w:proofErr w:type="spellStart"/>
      <w:r w:rsidRPr="00605295">
        <w:rPr>
          <w:i/>
          <w:lang w:val="en-US"/>
        </w:rPr>
        <w:t>en</w:t>
      </w:r>
      <w:proofErr w:type="spellEnd"/>
      <w:r w:rsidRPr="00605295">
        <w:rPr>
          <w:i/>
          <w:lang w:val="en-US"/>
        </w:rPr>
        <w:t xml:space="preserve"> las </w:t>
      </w:r>
      <w:proofErr w:type="spellStart"/>
      <w:r w:rsidRPr="00605295">
        <w:rPr>
          <w:i/>
          <w:lang w:val="en-US"/>
        </w:rPr>
        <w:t>técnicas</w:t>
      </w:r>
      <w:proofErr w:type="spellEnd"/>
      <w:r w:rsidRPr="00605295">
        <w:rPr>
          <w:i/>
          <w:lang w:val="en-US"/>
        </w:rPr>
        <w:t xml:space="preserve"> </w:t>
      </w:r>
      <w:proofErr w:type="spellStart"/>
      <w:r w:rsidRPr="00605295">
        <w:rPr>
          <w:i/>
          <w:lang w:val="en-US"/>
        </w:rPr>
        <w:t>bioquímicas</w:t>
      </w:r>
      <w:proofErr w:type="spellEnd"/>
      <w:r w:rsidRPr="00605295">
        <w:rPr>
          <w:i/>
          <w:lang w:val="en-US"/>
        </w:rPr>
        <w:t xml:space="preserve"> y </w:t>
      </w:r>
      <w:proofErr w:type="spellStart"/>
      <w:r w:rsidRPr="00605295">
        <w:rPr>
          <w:i/>
          <w:lang w:val="en-US"/>
        </w:rPr>
        <w:t>moleculares</w:t>
      </w:r>
      <w:proofErr w:type="spellEnd"/>
      <w:r w:rsidRPr="00605295">
        <w:rPr>
          <w:i/>
          <w:lang w:val="en-US"/>
        </w:rPr>
        <w:t xml:space="preserve">. </w:t>
      </w:r>
      <w:r>
        <w:rPr>
          <w:i/>
        </w:rPr>
        <w:t>Informe de la OCVV sobre el IMODDUS. Información actualizada acerca de los proyectos de I+D cofinanciados por la OCVV) (documento BMT/17/24)</w:t>
      </w:r>
    </w:p>
    <w:p w:rsidR="0091333D" w:rsidRPr="00FA4EE3" w:rsidRDefault="0091333D" w:rsidP="0091333D">
      <w:pPr>
        <w:pStyle w:val="Heading3"/>
        <w:rPr>
          <w:lang w:val="es-ES"/>
        </w:rPr>
      </w:pPr>
    </w:p>
    <w:p w:rsidR="0091333D" w:rsidRPr="0091333D" w:rsidRDefault="0091333D" w:rsidP="0091333D">
      <w:pPr>
        <w:ind w:left="567"/>
        <w:rPr>
          <w:i/>
        </w:rPr>
      </w:pPr>
      <w:bookmarkStart w:id="20" w:name="_Toc525478483"/>
      <w:r>
        <w:rPr>
          <w:i/>
        </w:rPr>
        <w:t>Informe sobre la labor relativa a las técnicas moleculares en relación con el examen DHE</w:t>
      </w:r>
      <w:bookmarkEnd w:id="19"/>
      <w:bookmarkEnd w:id="20"/>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r w:rsidRPr="006757F0">
        <w:t xml:space="preserve">Test of </w:t>
      </w:r>
      <w:proofErr w:type="spellStart"/>
      <w:r w:rsidRPr="006757F0">
        <w:t>the</w:t>
      </w:r>
      <w:proofErr w:type="spellEnd"/>
      <w:r w:rsidRPr="006757F0">
        <w:t xml:space="preserve"> </w:t>
      </w:r>
      <w:proofErr w:type="spellStart"/>
      <w:r w:rsidRPr="006757F0">
        <w:t>potential</w:t>
      </w:r>
      <w:proofErr w:type="spellEnd"/>
      <w:r w:rsidRPr="006757F0">
        <w:t xml:space="preserve"> use of </w:t>
      </w:r>
      <w:proofErr w:type="spellStart"/>
      <w:r w:rsidRPr="006757F0">
        <w:t>SNPs</w:t>
      </w:r>
      <w:proofErr w:type="spellEnd"/>
      <w:r w:rsidRPr="006757F0">
        <w:t xml:space="preserve"> </w:t>
      </w:r>
      <w:proofErr w:type="spellStart"/>
      <w:r w:rsidRPr="006757F0">
        <w:t>markers</w:t>
      </w:r>
      <w:proofErr w:type="spellEnd"/>
      <w:r w:rsidRPr="006757F0">
        <w:t xml:space="preserve"> </w:t>
      </w:r>
      <w:proofErr w:type="spellStart"/>
      <w:r w:rsidRPr="006757F0">
        <w:t>on</w:t>
      </w:r>
      <w:proofErr w:type="spellEnd"/>
      <w:r w:rsidRPr="006757F0">
        <w:t xml:space="preserve"> </w:t>
      </w:r>
      <w:proofErr w:type="spellStart"/>
      <w:r w:rsidRPr="006757F0">
        <w:t>oilseed</w:t>
      </w:r>
      <w:proofErr w:type="spellEnd"/>
      <w:r w:rsidRPr="006757F0">
        <w:t xml:space="preserve"> rape </w:t>
      </w:r>
      <w:proofErr w:type="spellStart"/>
      <w:r w:rsidRPr="006757F0">
        <w:t>varieties</w:t>
      </w:r>
      <w:proofErr w:type="spellEnd"/>
      <w:r>
        <w:rPr>
          <w:i/>
        </w:rPr>
        <w:t xml:space="preserve"> (Estudio del posible uso de marcadores SNP en variedades de colza oleaginosa) (documento BMT/17/8)</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r w:rsidRPr="006757F0">
        <w:t xml:space="preserve">Use of Molecular </w:t>
      </w:r>
      <w:proofErr w:type="spellStart"/>
      <w:r w:rsidRPr="006757F0">
        <w:t>Marker</w:t>
      </w:r>
      <w:proofErr w:type="spellEnd"/>
      <w:r w:rsidRPr="006757F0">
        <w:t xml:space="preserve"> </w:t>
      </w:r>
      <w:proofErr w:type="spellStart"/>
      <w:r w:rsidRPr="006757F0">
        <w:t>Techniques</w:t>
      </w:r>
      <w:proofErr w:type="spellEnd"/>
      <w:r w:rsidRPr="006757F0">
        <w:t xml:space="preserve"> in DUS </w:t>
      </w:r>
      <w:proofErr w:type="spellStart"/>
      <w:r w:rsidRPr="006757F0">
        <w:t>Testing</w:t>
      </w:r>
      <w:proofErr w:type="spellEnd"/>
      <w:r w:rsidRPr="006757F0">
        <w:t xml:space="preserve"> and </w:t>
      </w:r>
      <w:proofErr w:type="spellStart"/>
      <w:r w:rsidRPr="006757F0">
        <w:t>Enforcement</w:t>
      </w:r>
      <w:proofErr w:type="spellEnd"/>
      <w:r w:rsidRPr="006757F0">
        <w:t xml:space="preserve"> of </w:t>
      </w:r>
      <w:proofErr w:type="spellStart"/>
      <w:r w:rsidRPr="006757F0">
        <w:t>Breeder’s</w:t>
      </w:r>
      <w:proofErr w:type="spellEnd"/>
      <w:r w:rsidRPr="006757F0">
        <w:t xml:space="preserve"> </w:t>
      </w:r>
      <w:proofErr w:type="spellStart"/>
      <w:r w:rsidRPr="006757F0">
        <w:t>Right</w:t>
      </w:r>
      <w:proofErr w:type="spellEnd"/>
      <w:r w:rsidRPr="006757F0">
        <w:t xml:space="preserve"> in </w:t>
      </w:r>
      <w:proofErr w:type="spellStart"/>
      <w:r w:rsidRPr="006757F0">
        <w:t>the</w:t>
      </w:r>
      <w:proofErr w:type="spellEnd"/>
      <w:r w:rsidRPr="006757F0">
        <w:t xml:space="preserve"> </w:t>
      </w:r>
      <w:proofErr w:type="spellStart"/>
      <w:r w:rsidRPr="006757F0">
        <w:t>Republic</w:t>
      </w:r>
      <w:proofErr w:type="spellEnd"/>
      <w:r w:rsidRPr="006757F0">
        <w:t xml:space="preserve"> of </w:t>
      </w:r>
      <w:proofErr w:type="spellStart"/>
      <w:r w:rsidRPr="006757F0">
        <w:t>Korea</w:t>
      </w:r>
      <w:proofErr w:type="spellEnd"/>
      <w:r>
        <w:rPr>
          <w:i/>
        </w:rPr>
        <w:t xml:space="preserve"> (Utilización de técnicas basadas en marc</w:t>
      </w:r>
      <w:r w:rsidR="002D3030">
        <w:rPr>
          <w:i/>
        </w:rPr>
        <w:t>adores moleculares en el examen </w:t>
      </w:r>
      <w:r>
        <w:rPr>
          <w:i/>
        </w:rPr>
        <w:t>DHE y defensa del derecho de obtentor en la</w:t>
      </w:r>
      <w:r w:rsidR="002D3030">
        <w:rPr>
          <w:i/>
        </w:rPr>
        <w:t xml:space="preserve"> República de Corea) (documento </w:t>
      </w:r>
      <w:r>
        <w:rPr>
          <w:i/>
        </w:rPr>
        <w:t>BMT/17/14 Rev.)</w:t>
      </w:r>
    </w:p>
    <w:p w:rsidR="0091333D" w:rsidRPr="0091333D" w:rsidRDefault="0091333D" w:rsidP="0091333D">
      <w:pPr>
        <w:autoSpaceDE w:val="0"/>
        <w:autoSpaceDN w:val="0"/>
        <w:adjustRightInd w:val="0"/>
        <w:ind w:left="1080"/>
        <w:rPr>
          <w:rFonts w:cs="Arial"/>
          <w:i/>
          <w:highlight w:val="yellow"/>
        </w:rPr>
      </w:pPr>
    </w:p>
    <w:p w:rsidR="0091333D" w:rsidRPr="0091333D" w:rsidRDefault="0091333D" w:rsidP="0091333D">
      <w:pPr>
        <w:autoSpaceDE w:val="0"/>
        <w:autoSpaceDN w:val="0"/>
        <w:adjustRightInd w:val="0"/>
        <w:ind w:left="1080"/>
        <w:rPr>
          <w:rFonts w:cs="Arial"/>
          <w:i/>
        </w:rPr>
      </w:pPr>
      <w:r w:rsidRPr="00605295">
        <w:rPr>
          <w:lang w:val="en-US"/>
        </w:rPr>
        <w:t>Do resistance markers for tomato fulfil the requirements of TGP/15?</w:t>
      </w:r>
      <w:r w:rsidRPr="00605295">
        <w:rPr>
          <w:i/>
          <w:lang w:val="en-US"/>
        </w:rPr>
        <w:t xml:space="preserve"> </w:t>
      </w:r>
      <w:r>
        <w:rPr>
          <w:i/>
        </w:rPr>
        <w:t>(¿Cumplen los marcadores de resistencia del tomate las premisas del documento TGP/15?) (documento BMT/17/21)</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r w:rsidRPr="006757F0">
        <w:t xml:space="preserve">Use of SNP </w:t>
      </w:r>
      <w:proofErr w:type="spellStart"/>
      <w:r w:rsidRPr="006757F0">
        <w:t>markers</w:t>
      </w:r>
      <w:proofErr w:type="spellEnd"/>
      <w:r w:rsidRPr="006757F0">
        <w:t xml:space="preserve"> </w:t>
      </w:r>
      <w:proofErr w:type="spellStart"/>
      <w:r w:rsidRPr="006757F0">
        <w:t>for</w:t>
      </w:r>
      <w:proofErr w:type="spellEnd"/>
      <w:r w:rsidRPr="006757F0">
        <w:t xml:space="preserve"> </w:t>
      </w:r>
      <w:proofErr w:type="spellStart"/>
      <w:r w:rsidRPr="006757F0">
        <w:t>soybean</w:t>
      </w:r>
      <w:proofErr w:type="spellEnd"/>
      <w:r w:rsidRPr="006757F0">
        <w:t xml:space="preserve"> </w:t>
      </w:r>
      <w:proofErr w:type="spellStart"/>
      <w:r w:rsidRPr="006757F0">
        <w:t>variety</w:t>
      </w:r>
      <w:proofErr w:type="spellEnd"/>
      <w:r w:rsidRPr="006757F0">
        <w:t xml:space="preserve"> </w:t>
      </w:r>
      <w:proofErr w:type="spellStart"/>
      <w:r w:rsidRPr="006757F0">
        <w:t>protection</w:t>
      </w:r>
      <w:proofErr w:type="spellEnd"/>
      <w:r w:rsidRPr="006757F0">
        <w:t xml:space="preserve"> </w:t>
      </w:r>
      <w:proofErr w:type="spellStart"/>
      <w:r w:rsidRPr="006757F0">
        <w:t>purposes</w:t>
      </w:r>
      <w:proofErr w:type="spellEnd"/>
      <w:r w:rsidRPr="006757F0">
        <w:t xml:space="preserve"> in </w:t>
      </w:r>
      <w:proofErr w:type="gramStart"/>
      <w:r w:rsidRPr="006757F0">
        <w:t>Argentina</w:t>
      </w:r>
      <w:proofErr w:type="gramEnd"/>
      <w:r>
        <w:rPr>
          <w:i/>
        </w:rPr>
        <w:t xml:space="preserve"> (Utilización de marcadores SNP para la protección de las variedades de s</w:t>
      </w:r>
      <w:r w:rsidR="002D3030">
        <w:rPr>
          <w:i/>
        </w:rPr>
        <w:t>oja en la Argentina) (documento </w:t>
      </w:r>
      <w:r>
        <w:rPr>
          <w:i/>
        </w:rPr>
        <w:t>BMT/17/22)</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proofErr w:type="spellStart"/>
      <w:r w:rsidRPr="006757F0">
        <w:t>The</w:t>
      </w:r>
      <w:proofErr w:type="spellEnd"/>
      <w:r w:rsidRPr="006757F0">
        <w:t xml:space="preserve"> </w:t>
      </w:r>
      <w:proofErr w:type="spellStart"/>
      <w:r w:rsidRPr="006757F0">
        <w:t>United</w:t>
      </w:r>
      <w:proofErr w:type="spellEnd"/>
      <w:r w:rsidRPr="006757F0">
        <w:t xml:space="preserve"> </w:t>
      </w:r>
      <w:proofErr w:type="spellStart"/>
      <w:r w:rsidRPr="006757F0">
        <w:t>States</w:t>
      </w:r>
      <w:proofErr w:type="spellEnd"/>
      <w:r w:rsidRPr="006757F0">
        <w:t xml:space="preserve"> Molecular </w:t>
      </w:r>
      <w:proofErr w:type="spellStart"/>
      <w:r w:rsidRPr="006757F0">
        <w:t>Marker</w:t>
      </w:r>
      <w:proofErr w:type="spellEnd"/>
      <w:r w:rsidRPr="006757F0">
        <w:t xml:space="preserve"> </w:t>
      </w:r>
      <w:proofErr w:type="spellStart"/>
      <w:r w:rsidRPr="006757F0">
        <w:t>Working</w:t>
      </w:r>
      <w:proofErr w:type="spellEnd"/>
      <w:r w:rsidRPr="006757F0">
        <w:t xml:space="preserve"> </w:t>
      </w:r>
      <w:proofErr w:type="spellStart"/>
      <w:r w:rsidRPr="006757F0">
        <w:t>Group</w:t>
      </w:r>
      <w:proofErr w:type="spellEnd"/>
      <w:r w:rsidRPr="006757F0">
        <w:t xml:space="preserve">: </w:t>
      </w:r>
      <w:proofErr w:type="spellStart"/>
      <w:r w:rsidRPr="006757F0">
        <w:t>Backgroun</w:t>
      </w:r>
      <w:r w:rsidR="006757F0">
        <w:t>d</w:t>
      </w:r>
      <w:proofErr w:type="spellEnd"/>
      <w:r w:rsidR="006757F0">
        <w:t xml:space="preserve"> </w:t>
      </w:r>
      <w:proofErr w:type="spellStart"/>
      <w:r w:rsidR="006757F0">
        <w:t>for</w:t>
      </w:r>
      <w:proofErr w:type="spellEnd"/>
      <w:r w:rsidR="006757F0">
        <w:t xml:space="preserve"> </w:t>
      </w:r>
      <w:proofErr w:type="spellStart"/>
      <w:r w:rsidR="006757F0">
        <w:t>the</w:t>
      </w:r>
      <w:proofErr w:type="spellEnd"/>
      <w:r w:rsidR="006757F0">
        <w:t xml:space="preserve"> use of DNA </w:t>
      </w:r>
      <w:proofErr w:type="spellStart"/>
      <w:r w:rsidR="006757F0">
        <w:t>markers</w:t>
      </w:r>
      <w:proofErr w:type="spellEnd"/>
      <w:r w:rsidR="006757F0">
        <w:t xml:space="preserve"> in </w:t>
      </w:r>
      <w:r w:rsidRPr="006757F0">
        <w:t>DUS</w:t>
      </w:r>
      <w:r>
        <w:rPr>
          <w:i/>
        </w:rPr>
        <w:t xml:space="preserve"> (Grupo de Trabajo sobre marcadores moleculares de los Estados Unidos: antecedentes del uso de marcadores de ADN en la DHE) (documentos BMT/17/17 y BMT/17/17 </w:t>
      </w:r>
      <w:proofErr w:type="spellStart"/>
      <w:r>
        <w:rPr>
          <w:i/>
        </w:rPr>
        <w:t>Add</w:t>
      </w:r>
      <w:proofErr w:type="spellEnd"/>
      <w:r>
        <w:rPr>
          <w:i/>
        </w:rPr>
        <w:t>.)</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r w:rsidRPr="006757F0">
        <w:t>Use of DNA-</w:t>
      </w:r>
      <w:proofErr w:type="spellStart"/>
      <w:r w:rsidRPr="006757F0">
        <w:t>Based</w:t>
      </w:r>
      <w:proofErr w:type="spellEnd"/>
      <w:r w:rsidRPr="006757F0">
        <w:t xml:space="preserve"> </w:t>
      </w:r>
      <w:proofErr w:type="spellStart"/>
      <w:r w:rsidRPr="006757F0">
        <w:t>Markers</w:t>
      </w:r>
      <w:proofErr w:type="spellEnd"/>
      <w:r w:rsidRPr="006757F0">
        <w:t xml:space="preserve"> in </w:t>
      </w:r>
      <w:proofErr w:type="spellStart"/>
      <w:r w:rsidRPr="006757F0">
        <w:t>Testing</w:t>
      </w:r>
      <w:proofErr w:type="spellEnd"/>
      <w:r w:rsidRPr="006757F0">
        <w:t xml:space="preserve"> </w:t>
      </w:r>
      <w:proofErr w:type="spellStart"/>
      <w:r w:rsidRPr="006757F0">
        <w:t>for</w:t>
      </w:r>
      <w:proofErr w:type="spellEnd"/>
      <w:r w:rsidRPr="006757F0">
        <w:t xml:space="preserve"> </w:t>
      </w:r>
      <w:proofErr w:type="spellStart"/>
      <w:r w:rsidRPr="006757F0">
        <w:t>Distinctness</w:t>
      </w:r>
      <w:proofErr w:type="spellEnd"/>
      <w:r w:rsidRPr="006757F0">
        <w:t xml:space="preserve">, </w:t>
      </w:r>
      <w:proofErr w:type="spellStart"/>
      <w:r w:rsidRPr="006757F0">
        <w:t>Uniformity</w:t>
      </w:r>
      <w:proofErr w:type="spellEnd"/>
      <w:r w:rsidRPr="006757F0">
        <w:t xml:space="preserve"> and </w:t>
      </w:r>
      <w:proofErr w:type="spellStart"/>
      <w:r w:rsidRPr="006757F0">
        <w:t>Stability</w:t>
      </w:r>
      <w:proofErr w:type="spellEnd"/>
      <w:r w:rsidRPr="006757F0">
        <w:t xml:space="preserve"> (DUS) and </w:t>
      </w:r>
      <w:proofErr w:type="spellStart"/>
      <w:r w:rsidRPr="006757F0">
        <w:t>Enforcement</w:t>
      </w:r>
      <w:proofErr w:type="spellEnd"/>
      <w:r w:rsidRPr="006757F0">
        <w:t xml:space="preserve"> of </w:t>
      </w:r>
      <w:proofErr w:type="spellStart"/>
      <w:r w:rsidRPr="006757F0">
        <w:t>Plant</w:t>
      </w:r>
      <w:proofErr w:type="spellEnd"/>
      <w:r w:rsidRPr="006757F0">
        <w:t xml:space="preserve"> </w:t>
      </w:r>
      <w:proofErr w:type="spellStart"/>
      <w:r w:rsidRPr="006757F0">
        <w:t>Breeders</w:t>
      </w:r>
      <w:proofErr w:type="spellEnd"/>
      <w:r w:rsidRPr="006757F0">
        <w:t xml:space="preserve"> </w:t>
      </w:r>
      <w:proofErr w:type="spellStart"/>
      <w:r w:rsidRPr="006757F0">
        <w:t>Rights</w:t>
      </w:r>
      <w:proofErr w:type="spellEnd"/>
      <w:r>
        <w:rPr>
          <w:i/>
        </w:rPr>
        <w:t xml:space="preserve"> (Uso de marcadores basados en el ADN en el examen de la distinción, la homogeneidad y la estabilidad (DHE) y la defensa de los derechos de obtentor) (documento BMT/17/20)</w:t>
      </w:r>
    </w:p>
    <w:p w:rsidR="0091333D" w:rsidRPr="0091333D" w:rsidRDefault="0091333D" w:rsidP="0091333D">
      <w:pPr>
        <w:autoSpaceDE w:val="0"/>
        <w:autoSpaceDN w:val="0"/>
        <w:adjustRightInd w:val="0"/>
        <w:ind w:left="1080"/>
        <w:rPr>
          <w:rFonts w:cs="Arial"/>
          <w:i/>
        </w:rPr>
      </w:pPr>
    </w:p>
    <w:p w:rsidR="0091333D" w:rsidRPr="0091333D" w:rsidRDefault="0091333D" w:rsidP="0091333D">
      <w:pPr>
        <w:ind w:left="567"/>
        <w:rPr>
          <w:i/>
        </w:rPr>
      </w:pPr>
      <w:bookmarkStart w:id="21" w:name="_Toc525478484"/>
      <w:r>
        <w:rPr>
          <w:i/>
        </w:rPr>
        <w:t>Revisión del documento TGP/15 “Orientación sobre el uso de marcadores bioquímicos y moleculares en el examen de la distinción, la homogeneidad y la estabilidad (DHE)”</w:t>
      </w:r>
      <w:bookmarkEnd w:id="21"/>
    </w:p>
    <w:p w:rsidR="0091333D" w:rsidRPr="0091333D" w:rsidRDefault="0091333D" w:rsidP="0091333D">
      <w:pPr>
        <w:keepNext/>
        <w:autoSpaceDE w:val="0"/>
        <w:autoSpaceDN w:val="0"/>
        <w:adjustRightInd w:val="0"/>
        <w:ind w:left="540"/>
        <w:rPr>
          <w:rFonts w:cs="Arial"/>
          <w:i/>
        </w:rPr>
      </w:pPr>
    </w:p>
    <w:p w:rsidR="0091333D" w:rsidRPr="0091333D" w:rsidRDefault="006757F0" w:rsidP="0091333D">
      <w:pPr>
        <w:keepNext/>
        <w:autoSpaceDE w:val="0"/>
        <w:autoSpaceDN w:val="0"/>
        <w:adjustRightInd w:val="0"/>
        <w:ind w:left="1080"/>
        <w:rPr>
          <w:rFonts w:cs="Arial"/>
          <w:i/>
        </w:rPr>
      </w:pPr>
      <w:proofErr w:type="spellStart"/>
      <w:r w:rsidRPr="00605295">
        <w:rPr>
          <w:rFonts w:cs="Arial"/>
          <w:lang w:val="es-ES" w:eastAsia="ja-JP"/>
        </w:rPr>
        <w:t>Revision</w:t>
      </w:r>
      <w:proofErr w:type="spellEnd"/>
      <w:r w:rsidRPr="00605295">
        <w:rPr>
          <w:rFonts w:cs="Arial"/>
          <w:lang w:val="es-ES" w:eastAsia="ja-JP"/>
        </w:rPr>
        <w:t xml:space="preserve"> of </w:t>
      </w:r>
      <w:proofErr w:type="spellStart"/>
      <w:r w:rsidRPr="00605295">
        <w:rPr>
          <w:rFonts w:cs="Arial"/>
          <w:lang w:val="es-ES" w:eastAsia="ja-JP"/>
        </w:rPr>
        <w:t>document</w:t>
      </w:r>
      <w:proofErr w:type="spellEnd"/>
      <w:r w:rsidRPr="00605295">
        <w:rPr>
          <w:rFonts w:cs="Arial"/>
          <w:lang w:val="es-ES" w:eastAsia="ja-JP"/>
        </w:rPr>
        <w:t xml:space="preserve"> TGP/15 “</w:t>
      </w:r>
      <w:proofErr w:type="spellStart"/>
      <w:r w:rsidRPr="00605295">
        <w:rPr>
          <w:rFonts w:cs="Arial"/>
          <w:lang w:val="es-ES" w:eastAsia="ja-JP"/>
        </w:rPr>
        <w:t>Guidance</w:t>
      </w:r>
      <w:proofErr w:type="spellEnd"/>
      <w:r w:rsidRPr="00605295">
        <w:rPr>
          <w:rFonts w:cs="Arial"/>
          <w:lang w:val="es-ES" w:eastAsia="ja-JP"/>
        </w:rPr>
        <w:t xml:space="preserve"> </w:t>
      </w:r>
      <w:proofErr w:type="spellStart"/>
      <w:r w:rsidRPr="00605295">
        <w:rPr>
          <w:rFonts w:cs="Arial"/>
          <w:lang w:val="es-ES" w:eastAsia="ja-JP"/>
        </w:rPr>
        <w:t>on</w:t>
      </w:r>
      <w:proofErr w:type="spellEnd"/>
      <w:r w:rsidRPr="00605295">
        <w:rPr>
          <w:rFonts w:cs="Arial"/>
          <w:lang w:val="es-ES" w:eastAsia="ja-JP"/>
        </w:rPr>
        <w:t xml:space="preserve"> </w:t>
      </w:r>
      <w:proofErr w:type="spellStart"/>
      <w:r w:rsidRPr="00605295">
        <w:rPr>
          <w:rFonts w:cs="Arial"/>
          <w:lang w:val="es-ES" w:eastAsia="ja-JP"/>
        </w:rPr>
        <w:t>the</w:t>
      </w:r>
      <w:proofErr w:type="spellEnd"/>
      <w:r w:rsidRPr="00605295">
        <w:rPr>
          <w:rFonts w:cs="Arial"/>
          <w:lang w:val="es-ES" w:eastAsia="ja-JP"/>
        </w:rPr>
        <w:t xml:space="preserve"> Use of </w:t>
      </w:r>
      <w:proofErr w:type="spellStart"/>
      <w:r w:rsidRPr="00605295">
        <w:rPr>
          <w:rFonts w:cs="Arial"/>
          <w:lang w:val="es-ES" w:eastAsia="ja-JP"/>
        </w:rPr>
        <w:t>Biochemical</w:t>
      </w:r>
      <w:proofErr w:type="spellEnd"/>
      <w:r w:rsidRPr="00605295">
        <w:rPr>
          <w:rFonts w:cs="Arial"/>
          <w:lang w:val="es-ES" w:eastAsia="ja-JP"/>
        </w:rPr>
        <w:t xml:space="preserve"> and Molecular </w:t>
      </w:r>
      <w:proofErr w:type="spellStart"/>
      <w:r w:rsidRPr="00605295">
        <w:rPr>
          <w:rFonts w:cs="Arial"/>
          <w:lang w:val="es-ES" w:eastAsia="ja-JP"/>
        </w:rPr>
        <w:t>Markers</w:t>
      </w:r>
      <w:proofErr w:type="spellEnd"/>
      <w:r w:rsidRPr="00605295">
        <w:rPr>
          <w:rFonts w:cs="Arial"/>
          <w:lang w:val="es-ES" w:eastAsia="ja-JP"/>
        </w:rPr>
        <w:t xml:space="preserve"> in </w:t>
      </w:r>
      <w:proofErr w:type="spellStart"/>
      <w:r w:rsidRPr="00605295">
        <w:rPr>
          <w:rFonts w:cs="Arial"/>
          <w:lang w:val="es-ES" w:eastAsia="ja-JP"/>
        </w:rPr>
        <w:t>the</w:t>
      </w:r>
      <w:proofErr w:type="spellEnd"/>
      <w:r w:rsidRPr="00605295">
        <w:rPr>
          <w:rFonts w:cs="Arial"/>
          <w:lang w:val="es-ES" w:eastAsia="ja-JP"/>
        </w:rPr>
        <w:t xml:space="preserve"> </w:t>
      </w:r>
      <w:proofErr w:type="spellStart"/>
      <w:r w:rsidRPr="00605295">
        <w:rPr>
          <w:rFonts w:cs="Arial"/>
          <w:lang w:val="es-ES" w:eastAsia="ja-JP"/>
        </w:rPr>
        <w:t>Examination</w:t>
      </w:r>
      <w:proofErr w:type="spellEnd"/>
      <w:r w:rsidRPr="00605295">
        <w:rPr>
          <w:rFonts w:cs="Arial"/>
          <w:lang w:val="es-ES" w:eastAsia="ja-JP"/>
        </w:rPr>
        <w:t xml:space="preserve"> of </w:t>
      </w:r>
      <w:proofErr w:type="spellStart"/>
      <w:r w:rsidRPr="00605295">
        <w:rPr>
          <w:rFonts w:cs="Arial"/>
          <w:lang w:val="es-ES" w:eastAsia="ja-JP"/>
        </w:rPr>
        <w:t>Distinctness</w:t>
      </w:r>
      <w:proofErr w:type="spellEnd"/>
      <w:r w:rsidRPr="00605295">
        <w:rPr>
          <w:rFonts w:cs="Arial"/>
          <w:lang w:val="es-ES" w:eastAsia="ja-JP"/>
        </w:rPr>
        <w:t xml:space="preserve">, </w:t>
      </w:r>
      <w:proofErr w:type="spellStart"/>
      <w:r w:rsidRPr="00605295">
        <w:rPr>
          <w:rFonts w:cs="Arial"/>
          <w:lang w:val="es-ES" w:eastAsia="ja-JP"/>
        </w:rPr>
        <w:t>Uniformity</w:t>
      </w:r>
      <w:proofErr w:type="spellEnd"/>
      <w:r w:rsidRPr="00605295">
        <w:rPr>
          <w:rFonts w:cs="Arial"/>
          <w:lang w:val="es-ES" w:eastAsia="ja-JP"/>
        </w:rPr>
        <w:t xml:space="preserve"> and </w:t>
      </w:r>
      <w:proofErr w:type="spellStart"/>
      <w:r w:rsidRPr="00605295">
        <w:rPr>
          <w:rFonts w:cs="Arial"/>
          <w:lang w:val="es-ES" w:eastAsia="ja-JP"/>
        </w:rPr>
        <w:t>Stability</w:t>
      </w:r>
      <w:proofErr w:type="spellEnd"/>
      <w:r w:rsidRPr="00605295">
        <w:rPr>
          <w:rFonts w:cs="Arial"/>
          <w:lang w:val="es-ES" w:eastAsia="ja-JP"/>
        </w:rPr>
        <w:t xml:space="preserve"> (DUS)”</w:t>
      </w:r>
      <w:r w:rsidRPr="000F0D96">
        <w:rPr>
          <w:rFonts w:cs="Arial"/>
          <w:i/>
          <w:lang w:eastAsia="ja-JP"/>
        </w:rPr>
        <w:t xml:space="preserve"> </w:t>
      </w:r>
      <w:r>
        <w:rPr>
          <w:rFonts w:cs="Arial"/>
          <w:i/>
          <w:lang w:eastAsia="ja-JP"/>
        </w:rPr>
        <w:t>(</w:t>
      </w:r>
      <w:r w:rsidR="0091333D">
        <w:rPr>
          <w:i/>
        </w:rPr>
        <w:t>Revisión del documento TGP/15 “Orientación sobre el uso de marcadores bioquímicos y moleculares en el examen de la distinción, la homogeneidad y la estabilidad (DHE)</w:t>
      </w:r>
      <w:r>
        <w:rPr>
          <w:i/>
        </w:rPr>
        <w:t>)</w:t>
      </w:r>
      <w:r w:rsidR="0091333D">
        <w:rPr>
          <w:i/>
        </w:rPr>
        <w:t xml:space="preserve"> (documento BMT/17/7)</w:t>
      </w:r>
    </w:p>
    <w:p w:rsidR="0091333D" w:rsidRPr="0091333D" w:rsidRDefault="0091333D" w:rsidP="0091333D">
      <w:pPr>
        <w:keepNext/>
        <w:autoSpaceDE w:val="0"/>
        <w:autoSpaceDN w:val="0"/>
        <w:adjustRightInd w:val="0"/>
        <w:ind w:left="1080"/>
        <w:rPr>
          <w:rFonts w:cs="Arial"/>
          <w:i/>
        </w:rPr>
      </w:pPr>
    </w:p>
    <w:p w:rsidR="0091333D" w:rsidRPr="0091333D" w:rsidRDefault="0091333D" w:rsidP="0091333D">
      <w:pPr>
        <w:keepNext/>
        <w:autoSpaceDE w:val="0"/>
        <w:autoSpaceDN w:val="0"/>
        <w:adjustRightInd w:val="0"/>
        <w:ind w:left="1080"/>
        <w:rPr>
          <w:rFonts w:cs="Arial"/>
          <w:i/>
        </w:rPr>
      </w:pPr>
      <w:r>
        <w:rPr>
          <w:i/>
        </w:rPr>
        <w:t>Orientación sobre el uso de marcadores bioquímicos y moleculares en el examen de la distinción, la homogeneidad y la estabilidad (DHE)</w:t>
      </w:r>
      <w:r>
        <w:t xml:space="preserve"> </w:t>
      </w:r>
      <w:r>
        <w:rPr>
          <w:i/>
        </w:rPr>
        <w:t>(documento TGP/15/2</w:t>
      </w:r>
      <w:r>
        <w:t xml:space="preserve"> </w:t>
      </w:r>
      <w:proofErr w:type="spellStart"/>
      <w:r>
        <w:rPr>
          <w:i/>
        </w:rPr>
        <w:t>Draft</w:t>
      </w:r>
      <w:proofErr w:type="spellEnd"/>
      <w:r>
        <w:rPr>
          <w:i/>
        </w:rPr>
        <w:t xml:space="preserve"> 1)</w:t>
      </w:r>
    </w:p>
    <w:p w:rsidR="0091333D" w:rsidRPr="0091333D" w:rsidRDefault="0091333D" w:rsidP="0091333D">
      <w:pPr>
        <w:autoSpaceDE w:val="0"/>
        <w:autoSpaceDN w:val="0"/>
        <w:adjustRightInd w:val="0"/>
        <w:ind w:left="1080"/>
        <w:rPr>
          <w:rFonts w:cs="Arial"/>
          <w:i/>
        </w:rPr>
      </w:pPr>
    </w:p>
    <w:p w:rsidR="0091333D" w:rsidRPr="0091333D" w:rsidRDefault="0091333D" w:rsidP="0091333D">
      <w:pPr>
        <w:keepNext/>
        <w:ind w:left="567"/>
        <w:rPr>
          <w:i/>
        </w:rPr>
      </w:pPr>
      <w:bookmarkStart w:id="22" w:name="_Toc516587897"/>
      <w:bookmarkStart w:id="23" w:name="_Toc525478485"/>
      <w:r>
        <w:rPr>
          <w:i/>
        </w:rPr>
        <w:t>Cooperación entre las organizaciones internacionales</w:t>
      </w:r>
      <w:bookmarkEnd w:id="22"/>
      <w:bookmarkEnd w:id="23"/>
    </w:p>
    <w:p w:rsidR="0091333D" w:rsidRPr="0091333D" w:rsidRDefault="0091333D" w:rsidP="0091333D">
      <w:pPr>
        <w:keepNext/>
        <w:autoSpaceDE w:val="0"/>
        <w:autoSpaceDN w:val="0"/>
        <w:adjustRightInd w:val="0"/>
        <w:ind w:left="540"/>
        <w:rPr>
          <w:rFonts w:cs="Arial"/>
          <w:i/>
        </w:rPr>
      </w:pPr>
    </w:p>
    <w:p w:rsidR="0091333D" w:rsidRPr="0091333D" w:rsidRDefault="0091333D" w:rsidP="0091333D">
      <w:pPr>
        <w:keepNext/>
        <w:autoSpaceDE w:val="0"/>
        <w:autoSpaceDN w:val="0"/>
        <w:adjustRightInd w:val="0"/>
        <w:ind w:left="1080"/>
        <w:rPr>
          <w:rFonts w:cs="Arial"/>
          <w:i/>
        </w:rPr>
      </w:pPr>
      <w:proofErr w:type="spellStart"/>
      <w:r w:rsidRPr="006757F0">
        <w:t>Cooperation</w:t>
      </w:r>
      <w:proofErr w:type="spellEnd"/>
      <w:r w:rsidRPr="006757F0">
        <w:t xml:space="preserve"> </w:t>
      </w:r>
      <w:proofErr w:type="spellStart"/>
      <w:r w:rsidRPr="006757F0">
        <w:t>between</w:t>
      </w:r>
      <w:proofErr w:type="spellEnd"/>
      <w:r w:rsidRPr="006757F0">
        <w:t xml:space="preserve"> International </w:t>
      </w:r>
      <w:proofErr w:type="spellStart"/>
      <w:r w:rsidRPr="006757F0">
        <w:t>Organizations</w:t>
      </w:r>
      <w:proofErr w:type="spellEnd"/>
      <w:r>
        <w:rPr>
          <w:i/>
        </w:rPr>
        <w:t xml:space="preserve"> (Cooperación entre las organizaciones internacionales) (documento BMT/17/3)</w:t>
      </w:r>
    </w:p>
    <w:p w:rsidR="0091333D" w:rsidRPr="0091333D" w:rsidRDefault="0091333D" w:rsidP="0091333D">
      <w:pPr>
        <w:keepNext/>
        <w:autoSpaceDE w:val="0"/>
        <w:autoSpaceDN w:val="0"/>
        <w:adjustRightInd w:val="0"/>
        <w:ind w:left="1080"/>
        <w:rPr>
          <w:rFonts w:cs="Arial"/>
          <w:i/>
        </w:rPr>
      </w:pPr>
    </w:p>
    <w:p w:rsidR="0091333D" w:rsidRPr="0091333D" w:rsidRDefault="0091333D" w:rsidP="0091333D">
      <w:pPr>
        <w:keepNext/>
        <w:autoSpaceDE w:val="0"/>
        <w:autoSpaceDN w:val="0"/>
        <w:adjustRightInd w:val="0"/>
        <w:ind w:left="1080"/>
        <w:rPr>
          <w:rFonts w:cs="Arial"/>
          <w:i/>
        </w:rPr>
      </w:pPr>
      <w:r w:rsidRPr="006757F0">
        <w:t>DNA-</w:t>
      </w:r>
      <w:proofErr w:type="spellStart"/>
      <w:r w:rsidRPr="006757F0">
        <w:t>based</w:t>
      </w:r>
      <w:proofErr w:type="spellEnd"/>
      <w:r w:rsidRPr="006757F0">
        <w:t xml:space="preserve"> </w:t>
      </w:r>
      <w:proofErr w:type="spellStart"/>
      <w:r w:rsidRPr="006757F0">
        <w:t>methods</w:t>
      </w:r>
      <w:proofErr w:type="spellEnd"/>
      <w:r w:rsidRPr="006757F0">
        <w:t xml:space="preserve"> </w:t>
      </w:r>
      <w:proofErr w:type="spellStart"/>
      <w:r w:rsidRPr="006757F0">
        <w:t>for</w:t>
      </w:r>
      <w:proofErr w:type="spellEnd"/>
      <w:r w:rsidRPr="006757F0">
        <w:t xml:space="preserve"> </w:t>
      </w:r>
      <w:proofErr w:type="spellStart"/>
      <w:r w:rsidRPr="006757F0">
        <w:t>variety</w:t>
      </w:r>
      <w:proofErr w:type="spellEnd"/>
      <w:r w:rsidRPr="006757F0">
        <w:t xml:space="preserve"> </w:t>
      </w:r>
      <w:proofErr w:type="spellStart"/>
      <w:r w:rsidRPr="006757F0">
        <w:t>testing</w:t>
      </w:r>
      <w:proofErr w:type="spellEnd"/>
      <w:r w:rsidRPr="006757F0">
        <w:t xml:space="preserve">: ISTA </w:t>
      </w:r>
      <w:proofErr w:type="spellStart"/>
      <w:r w:rsidRPr="006757F0">
        <w:t>approach</w:t>
      </w:r>
      <w:proofErr w:type="spellEnd"/>
      <w:r>
        <w:rPr>
          <w:i/>
        </w:rPr>
        <w:t xml:space="preserve"> (Métodos de examen de variedades basados en el ADN: el enfoque de la ISTA) (documento BMT/17/6)</w:t>
      </w:r>
    </w:p>
    <w:p w:rsidR="0091333D" w:rsidRPr="0091333D" w:rsidRDefault="0091333D" w:rsidP="0091333D">
      <w:pPr>
        <w:autoSpaceDE w:val="0"/>
        <w:autoSpaceDN w:val="0"/>
        <w:adjustRightInd w:val="0"/>
        <w:ind w:left="540"/>
        <w:rPr>
          <w:rFonts w:cs="Arial"/>
          <w:i/>
        </w:rPr>
      </w:pPr>
    </w:p>
    <w:p w:rsidR="006757F0" w:rsidRDefault="0091333D" w:rsidP="0091333D">
      <w:pPr>
        <w:keepNext/>
        <w:ind w:left="567"/>
        <w:rPr>
          <w:i/>
        </w:rPr>
      </w:pPr>
      <w:bookmarkStart w:id="24" w:name="_Toc516587898"/>
      <w:bookmarkStart w:id="25" w:name="_Toc525478486"/>
      <w:r>
        <w:rPr>
          <w:i/>
        </w:rPr>
        <w:t>Bases de datos de descripciones de variedades, en particular las que contienen datos moleculares</w:t>
      </w:r>
    </w:p>
    <w:p w:rsidR="006757F0" w:rsidRDefault="006757F0" w:rsidP="0091333D">
      <w:pPr>
        <w:keepNext/>
        <w:ind w:left="567"/>
        <w:rPr>
          <w:i/>
        </w:rPr>
      </w:pPr>
    </w:p>
    <w:p w:rsidR="006757F0" w:rsidRDefault="0091333D" w:rsidP="006757F0">
      <w:pPr>
        <w:autoSpaceDE w:val="0"/>
        <w:autoSpaceDN w:val="0"/>
        <w:adjustRightInd w:val="0"/>
        <w:ind w:left="1080"/>
        <w:rPr>
          <w:i/>
        </w:rPr>
      </w:pPr>
      <w:proofErr w:type="spellStart"/>
      <w:r w:rsidRPr="00605295">
        <w:rPr>
          <w:lang w:val="es-ES"/>
        </w:rPr>
        <w:t>Construction</w:t>
      </w:r>
      <w:proofErr w:type="spellEnd"/>
      <w:r w:rsidRPr="00605295">
        <w:rPr>
          <w:lang w:val="es-ES"/>
        </w:rPr>
        <w:t xml:space="preserve"> of a </w:t>
      </w:r>
      <w:proofErr w:type="spellStart"/>
      <w:r w:rsidRPr="00605295">
        <w:rPr>
          <w:lang w:val="es-ES"/>
        </w:rPr>
        <w:t>European</w:t>
      </w:r>
      <w:proofErr w:type="spellEnd"/>
      <w:r w:rsidRPr="00605295">
        <w:rPr>
          <w:lang w:val="es-ES"/>
        </w:rPr>
        <w:t xml:space="preserve"> </w:t>
      </w:r>
      <w:proofErr w:type="spellStart"/>
      <w:r w:rsidRPr="00605295">
        <w:rPr>
          <w:lang w:val="es-ES"/>
        </w:rPr>
        <w:t>Potato</w:t>
      </w:r>
      <w:proofErr w:type="spellEnd"/>
      <w:r w:rsidRPr="00605295">
        <w:rPr>
          <w:lang w:val="es-ES"/>
        </w:rPr>
        <w:t xml:space="preserve"> </w:t>
      </w:r>
      <w:proofErr w:type="spellStart"/>
      <w:r w:rsidRPr="00605295">
        <w:rPr>
          <w:lang w:val="es-ES"/>
        </w:rPr>
        <w:t>database</w:t>
      </w:r>
      <w:proofErr w:type="spellEnd"/>
      <w:r w:rsidRPr="00605295">
        <w:rPr>
          <w:lang w:val="es-ES"/>
        </w:rPr>
        <w:t xml:space="preserve"> </w:t>
      </w:r>
      <w:proofErr w:type="spellStart"/>
      <w:r w:rsidRPr="00605295">
        <w:rPr>
          <w:lang w:val="es-ES"/>
        </w:rPr>
        <w:t>with</w:t>
      </w:r>
      <w:proofErr w:type="spellEnd"/>
      <w:r w:rsidRPr="00605295">
        <w:rPr>
          <w:lang w:val="es-ES"/>
        </w:rPr>
        <w:t xml:space="preserve"> </w:t>
      </w:r>
      <w:proofErr w:type="spellStart"/>
      <w:r w:rsidRPr="00605295">
        <w:rPr>
          <w:lang w:val="es-ES"/>
        </w:rPr>
        <w:t>varieties</w:t>
      </w:r>
      <w:proofErr w:type="spellEnd"/>
      <w:r w:rsidRPr="00605295">
        <w:rPr>
          <w:lang w:val="es-ES"/>
        </w:rPr>
        <w:t xml:space="preserve"> of </w:t>
      </w:r>
      <w:proofErr w:type="spellStart"/>
      <w:r w:rsidRPr="00605295">
        <w:rPr>
          <w:lang w:val="es-ES"/>
        </w:rPr>
        <w:t>common</w:t>
      </w:r>
      <w:proofErr w:type="spellEnd"/>
      <w:r w:rsidRPr="00605295">
        <w:rPr>
          <w:lang w:val="es-ES"/>
        </w:rPr>
        <w:t xml:space="preserve"> </w:t>
      </w:r>
      <w:proofErr w:type="spellStart"/>
      <w:r w:rsidRPr="00605295">
        <w:rPr>
          <w:lang w:val="es-ES"/>
        </w:rPr>
        <w:t>knowledge</w:t>
      </w:r>
      <w:proofErr w:type="spellEnd"/>
      <w:r w:rsidRPr="00605295">
        <w:rPr>
          <w:lang w:val="es-ES"/>
        </w:rPr>
        <w:t xml:space="preserve"> and </w:t>
      </w:r>
      <w:proofErr w:type="spellStart"/>
      <w:r w:rsidRPr="00605295">
        <w:rPr>
          <w:lang w:val="es-ES"/>
        </w:rPr>
        <w:t>its</w:t>
      </w:r>
      <w:proofErr w:type="spellEnd"/>
      <w:r w:rsidRPr="00605295">
        <w:rPr>
          <w:lang w:val="es-ES"/>
        </w:rPr>
        <w:t xml:space="preserve"> </w:t>
      </w:r>
      <w:proofErr w:type="spellStart"/>
      <w:r w:rsidRPr="00605295">
        <w:rPr>
          <w:lang w:val="es-ES"/>
        </w:rPr>
        <w:t>implementation</w:t>
      </w:r>
      <w:proofErr w:type="spellEnd"/>
      <w:r w:rsidRPr="00605295">
        <w:rPr>
          <w:lang w:val="es-ES"/>
        </w:rPr>
        <w:t xml:space="preserve"> in </w:t>
      </w:r>
      <w:proofErr w:type="spellStart"/>
      <w:r w:rsidRPr="00605295">
        <w:rPr>
          <w:lang w:val="es-ES"/>
        </w:rPr>
        <w:t>the</w:t>
      </w:r>
      <w:proofErr w:type="spellEnd"/>
      <w:r w:rsidRPr="00605295">
        <w:rPr>
          <w:lang w:val="es-ES"/>
        </w:rPr>
        <w:t xml:space="preserve"> </w:t>
      </w:r>
      <w:proofErr w:type="spellStart"/>
      <w:r w:rsidRPr="00605295">
        <w:rPr>
          <w:lang w:val="es-ES"/>
        </w:rPr>
        <w:t>potato</w:t>
      </w:r>
      <w:proofErr w:type="spellEnd"/>
      <w:r w:rsidRPr="00605295">
        <w:rPr>
          <w:lang w:val="es-ES"/>
        </w:rPr>
        <w:t xml:space="preserve"> DUS </w:t>
      </w:r>
      <w:proofErr w:type="spellStart"/>
      <w:r w:rsidRPr="00605295">
        <w:rPr>
          <w:lang w:val="es-ES"/>
        </w:rPr>
        <w:t>testing</w:t>
      </w:r>
      <w:proofErr w:type="spellEnd"/>
      <w:r w:rsidRPr="00605295">
        <w:rPr>
          <w:lang w:val="es-ES"/>
        </w:rPr>
        <w:t xml:space="preserve"> </w:t>
      </w:r>
      <w:proofErr w:type="spellStart"/>
      <w:r w:rsidRPr="00605295">
        <w:rPr>
          <w:lang w:val="es-ES"/>
        </w:rPr>
        <w:t>system</w:t>
      </w:r>
      <w:proofErr w:type="spellEnd"/>
      <w:r>
        <w:rPr>
          <w:i/>
        </w:rPr>
        <w:t xml:space="preserve"> (Creación de una base de datos europea de variedades de papa o patata con variedades notoriamente conocidas y su aplicación al sistema de examen DHE de las variedades de esta especie) </w:t>
      </w:r>
    </w:p>
    <w:p w:rsidR="006757F0" w:rsidRDefault="006757F0" w:rsidP="0091333D">
      <w:pPr>
        <w:keepNext/>
        <w:ind w:left="567"/>
        <w:rPr>
          <w:i/>
        </w:rPr>
      </w:pPr>
    </w:p>
    <w:p w:rsidR="0091333D" w:rsidRPr="0091333D" w:rsidRDefault="0091333D" w:rsidP="006757F0">
      <w:pPr>
        <w:autoSpaceDE w:val="0"/>
        <w:autoSpaceDN w:val="0"/>
        <w:adjustRightInd w:val="0"/>
        <w:ind w:left="1701"/>
        <w:rPr>
          <w:i/>
        </w:rPr>
      </w:pPr>
      <w:proofErr w:type="spellStart"/>
      <w:r w:rsidRPr="00605295">
        <w:rPr>
          <w:rFonts w:cs="Arial"/>
          <w:lang w:val="es-ES" w:eastAsia="ja-JP"/>
        </w:rPr>
        <w:t>Part</w:t>
      </w:r>
      <w:proofErr w:type="spellEnd"/>
      <w:r w:rsidRPr="00605295">
        <w:rPr>
          <w:lang w:val="es-ES"/>
        </w:rPr>
        <w:t xml:space="preserve"> I: </w:t>
      </w:r>
      <w:proofErr w:type="spellStart"/>
      <w:r w:rsidRPr="00605295">
        <w:rPr>
          <w:lang w:val="es-ES"/>
        </w:rPr>
        <w:t>Construction</w:t>
      </w:r>
      <w:proofErr w:type="spellEnd"/>
      <w:r w:rsidRPr="00605295">
        <w:rPr>
          <w:lang w:val="es-ES"/>
        </w:rPr>
        <w:t xml:space="preserve">, </w:t>
      </w:r>
      <w:proofErr w:type="spellStart"/>
      <w:r w:rsidRPr="00605295">
        <w:rPr>
          <w:lang w:val="es-ES"/>
        </w:rPr>
        <w:t>maintenance</w:t>
      </w:r>
      <w:proofErr w:type="spellEnd"/>
      <w:r w:rsidRPr="00605295">
        <w:rPr>
          <w:lang w:val="es-ES"/>
        </w:rPr>
        <w:t xml:space="preserve"> and use of </w:t>
      </w:r>
      <w:proofErr w:type="spellStart"/>
      <w:r w:rsidRPr="00605295">
        <w:rPr>
          <w:lang w:val="es-ES"/>
        </w:rPr>
        <w:t>the</w:t>
      </w:r>
      <w:proofErr w:type="spellEnd"/>
      <w:r w:rsidRPr="00605295">
        <w:rPr>
          <w:lang w:val="es-ES"/>
        </w:rPr>
        <w:t xml:space="preserve"> </w:t>
      </w:r>
      <w:proofErr w:type="spellStart"/>
      <w:r w:rsidRPr="00605295">
        <w:rPr>
          <w:lang w:val="es-ES"/>
        </w:rPr>
        <w:t>common</w:t>
      </w:r>
      <w:proofErr w:type="spellEnd"/>
      <w:r w:rsidRPr="00605295">
        <w:rPr>
          <w:lang w:val="es-ES"/>
        </w:rPr>
        <w:t xml:space="preserve"> </w:t>
      </w:r>
      <w:proofErr w:type="spellStart"/>
      <w:r w:rsidRPr="00605295">
        <w:rPr>
          <w:lang w:val="es-ES"/>
        </w:rPr>
        <w:t>database</w:t>
      </w:r>
      <w:proofErr w:type="spellEnd"/>
      <w:r>
        <w:rPr>
          <w:i/>
        </w:rPr>
        <w:t xml:space="preserve"> (Parte I: creación, mantenimiento y utilización de la base de datos común) (documento BMT/17/11)</w:t>
      </w:r>
      <w:bookmarkEnd w:id="24"/>
      <w:bookmarkEnd w:id="25"/>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647" w:firstLine="54"/>
        <w:rPr>
          <w:rFonts w:cs="Arial"/>
          <w:i/>
        </w:rPr>
      </w:pPr>
    </w:p>
    <w:p w:rsidR="0091333D" w:rsidRPr="0091333D" w:rsidRDefault="0091333D" w:rsidP="0091333D">
      <w:pPr>
        <w:autoSpaceDE w:val="0"/>
        <w:autoSpaceDN w:val="0"/>
        <w:adjustRightInd w:val="0"/>
        <w:ind w:left="540"/>
        <w:rPr>
          <w:rFonts w:cs="Arial"/>
          <w:i/>
        </w:rPr>
      </w:pPr>
    </w:p>
    <w:p w:rsidR="0091333D" w:rsidRPr="0091333D" w:rsidRDefault="0091333D" w:rsidP="006757F0">
      <w:pPr>
        <w:autoSpaceDE w:val="0"/>
        <w:autoSpaceDN w:val="0"/>
        <w:adjustRightInd w:val="0"/>
        <w:ind w:left="1701"/>
        <w:rPr>
          <w:rFonts w:cs="Arial"/>
          <w:i/>
        </w:rPr>
      </w:pPr>
      <w:proofErr w:type="spellStart"/>
      <w:r w:rsidRPr="006757F0">
        <w:t>Part</w:t>
      </w:r>
      <w:proofErr w:type="spellEnd"/>
      <w:r w:rsidRPr="006757F0">
        <w:t xml:space="preserve"> II: </w:t>
      </w:r>
      <w:proofErr w:type="spellStart"/>
      <w:r w:rsidRPr="006757F0">
        <w:t>Generation</w:t>
      </w:r>
      <w:proofErr w:type="spellEnd"/>
      <w:r w:rsidRPr="006757F0">
        <w:t xml:space="preserve"> of molecular data</w:t>
      </w:r>
      <w:r>
        <w:rPr>
          <w:i/>
        </w:rPr>
        <w:t xml:space="preserve"> (Parte II: generación de datos moleculares) (documento BMT/17/12)</w:t>
      </w:r>
    </w:p>
    <w:p w:rsidR="0091333D" w:rsidRPr="0091333D" w:rsidRDefault="0091333D" w:rsidP="0091333D">
      <w:pPr>
        <w:autoSpaceDE w:val="0"/>
        <w:autoSpaceDN w:val="0"/>
        <w:adjustRightInd w:val="0"/>
        <w:ind w:left="540"/>
        <w:rPr>
          <w:rFonts w:cs="Arial"/>
        </w:rPr>
      </w:pPr>
    </w:p>
    <w:p w:rsidR="0091333D" w:rsidRPr="0091333D" w:rsidRDefault="0091333D" w:rsidP="0091333D">
      <w:pPr>
        <w:autoSpaceDE w:val="0"/>
        <w:autoSpaceDN w:val="0"/>
        <w:adjustRightInd w:val="0"/>
        <w:ind w:left="1080"/>
        <w:rPr>
          <w:rFonts w:cs="Arial"/>
          <w:i/>
        </w:rPr>
      </w:pPr>
      <w:bookmarkStart w:id="26" w:name="_Toc516587899"/>
      <w:r w:rsidRPr="002D3030">
        <w:t xml:space="preserve">A DNA </w:t>
      </w:r>
      <w:proofErr w:type="spellStart"/>
      <w:r w:rsidRPr="002D3030">
        <w:t>database</w:t>
      </w:r>
      <w:proofErr w:type="spellEnd"/>
      <w:r w:rsidRPr="002D3030">
        <w:t xml:space="preserve"> </w:t>
      </w:r>
      <w:proofErr w:type="spellStart"/>
      <w:r w:rsidRPr="002D3030">
        <w:t>for</w:t>
      </w:r>
      <w:proofErr w:type="spellEnd"/>
      <w:r w:rsidRPr="002D3030">
        <w:t xml:space="preserve"> Rose: </w:t>
      </w:r>
      <w:proofErr w:type="spellStart"/>
      <w:r w:rsidRPr="002D3030">
        <w:t>Development</w:t>
      </w:r>
      <w:proofErr w:type="spellEnd"/>
      <w:r w:rsidRPr="002D3030">
        <w:t xml:space="preserve"> and </w:t>
      </w:r>
      <w:proofErr w:type="spellStart"/>
      <w:r w:rsidRPr="002D3030">
        <w:t>validation</w:t>
      </w:r>
      <w:proofErr w:type="spellEnd"/>
      <w:r w:rsidRPr="002D3030">
        <w:t xml:space="preserve"> of a SNP </w:t>
      </w:r>
      <w:proofErr w:type="spellStart"/>
      <w:r w:rsidRPr="002D3030">
        <w:t>marker</w:t>
      </w:r>
      <w:proofErr w:type="spellEnd"/>
      <w:r w:rsidRPr="002D3030">
        <w:t xml:space="preserve"> set</w:t>
      </w:r>
      <w:r>
        <w:rPr>
          <w:i/>
        </w:rPr>
        <w:t xml:space="preserve"> (Base de datos de ADN de </w:t>
      </w:r>
      <w:r w:rsidRPr="002D3030">
        <w:t>Rosa</w:t>
      </w:r>
      <w:r>
        <w:rPr>
          <w:i/>
        </w:rPr>
        <w:t xml:space="preserve">: obtención y validación de un conjunto de marcadores SNP) (documento BMT/17/15 y documento BMT/17/15 </w:t>
      </w:r>
      <w:proofErr w:type="spellStart"/>
      <w:r>
        <w:rPr>
          <w:i/>
        </w:rPr>
        <w:t>Add</w:t>
      </w:r>
      <w:proofErr w:type="spellEnd"/>
      <w:r>
        <w:rPr>
          <w:i/>
        </w:rPr>
        <w:t>.)</w:t>
      </w:r>
    </w:p>
    <w:p w:rsidR="0091333D" w:rsidRPr="0091333D" w:rsidRDefault="0091333D" w:rsidP="0091333D">
      <w:pPr>
        <w:autoSpaceDE w:val="0"/>
        <w:autoSpaceDN w:val="0"/>
        <w:adjustRightInd w:val="0"/>
        <w:ind w:left="1080"/>
        <w:rPr>
          <w:rFonts w:cs="Arial"/>
          <w:i/>
        </w:rPr>
      </w:pPr>
    </w:p>
    <w:p w:rsidR="0091333D" w:rsidRPr="0091333D" w:rsidRDefault="0091333D" w:rsidP="0091333D">
      <w:pPr>
        <w:keepNext/>
        <w:ind w:left="567"/>
        <w:rPr>
          <w:i/>
        </w:rPr>
      </w:pPr>
      <w:bookmarkStart w:id="27" w:name="_Toc525478487"/>
      <w:r>
        <w:rPr>
          <w:i/>
        </w:rPr>
        <w:t xml:space="preserve">Revisión del documento UPOV/INF/17 “Directrices para los perfiles de ADN: selección de marcadores moleculares y creación de una base de datos </w:t>
      </w:r>
      <w:r w:rsidR="00473449">
        <w:rPr>
          <w:i/>
        </w:rPr>
        <w:t>‘Directrices BMT’</w:t>
      </w:r>
      <w:r>
        <w:rPr>
          <w:i/>
        </w:rPr>
        <w:t>)”</w:t>
      </w:r>
      <w:bookmarkEnd w:id="27"/>
    </w:p>
    <w:p w:rsidR="0091333D" w:rsidRPr="0091333D" w:rsidRDefault="0091333D" w:rsidP="0091333D">
      <w:pPr>
        <w:keepNext/>
        <w:ind w:left="567"/>
        <w:rPr>
          <w:i/>
        </w:rPr>
      </w:pPr>
    </w:p>
    <w:p w:rsidR="0091333D" w:rsidRPr="0091333D" w:rsidRDefault="0091333D" w:rsidP="0091333D">
      <w:pPr>
        <w:keepNext/>
        <w:autoSpaceDE w:val="0"/>
        <w:autoSpaceDN w:val="0"/>
        <w:adjustRightInd w:val="0"/>
        <w:ind w:left="1080"/>
        <w:rPr>
          <w:rFonts w:cs="Arial"/>
          <w:i/>
        </w:rPr>
      </w:pPr>
      <w:proofErr w:type="spellStart"/>
      <w:r w:rsidRPr="006757F0">
        <w:t>Review</w:t>
      </w:r>
      <w:proofErr w:type="spellEnd"/>
      <w:r w:rsidRPr="006757F0">
        <w:t xml:space="preserve"> of </w:t>
      </w:r>
      <w:proofErr w:type="spellStart"/>
      <w:r w:rsidRPr="006757F0">
        <w:t>document</w:t>
      </w:r>
      <w:proofErr w:type="spellEnd"/>
      <w:r w:rsidRPr="006757F0">
        <w:t xml:space="preserve"> UPOV/INF/17 “</w:t>
      </w:r>
      <w:proofErr w:type="spellStart"/>
      <w:r w:rsidRPr="006757F0">
        <w:t>Guidelines</w:t>
      </w:r>
      <w:proofErr w:type="spellEnd"/>
      <w:r w:rsidRPr="006757F0">
        <w:t xml:space="preserve"> </w:t>
      </w:r>
      <w:proofErr w:type="spellStart"/>
      <w:r w:rsidRPr="006757F0">
        <w:t>for</w:t>
      </w:r>
      <w:proofErr w:type="spellEnd"/>
      <w:r w:rsidRPr="006757F0">
        <w:t xml:space="preserve"> DNA-</w:t>
      </w:r>
      <w:proofErr w:type="spellStart"/>
      <w:r w:rsidRPr="006757F0">
        <w:t>Profiling</w:t>
      </w:r>
      <w:proofErr w:type="spellEnd"/>
      <w:r w:rsidRPr="006757F0">
        <w:t xml:space="preserve">: Molecular </w:t>
      </w:r>
      <w:proofErr w:type="spellStart"/>
      <w:r w:rsidRPr="006757F0">
        <w:t>Marker</w:t>
      </w:r>
      <w:proofErr w:type="spellEnd"/>
      <w:r w:rsidRPr="006757F0">
        <w:t xml:space="preserve"> </w:t>
      </w:r>
      <w:proofErr w:type="spellStart"/>
      <w:r w:rsidRPr="006757F0">
        <w:t>Selection</w:t>
      </w:r>
      <w:proofErr w:type="spellEnd"/>
      <w:r w:rsidRPr="006757F0">
        <w:t xml:space="preserve"> and </w:t>
      </w:r>
      <w:proofErr w:type="spellStart"/>
      <w:r w:rsidRPr="006757F0">
        <w:t>Database</w:t>
      </w:r>
      <w:proofErr w:type="spellEnd"/>
      <w:r w:rsidRPr="006757F0">
        <w:t xml:space="preserve"> </w:t>
      </w:r>
      <w:proofErr w:type="spellStart"/>
      <w:r w:rsidRPr="006757F0">
        <w:t>Construction</w:t>
      </w:r>
      <w:proofErr w:type="spellEnd"/>
      <w:r>
        <w:rPr>
          <w:i/>
        </w:rPr>
        <w:t xml:space="preserve"> (‘BMT </w:t>
      </w:r>
      <w:proofErr w:type="spellStart"/>
      <w:r>
        <w:rPr>
          <w:i/>
        </w:rPr>
        <w:t>Guidelines</w:t>
      </w:r>
      <w:proofErr w:type="spellEnd"/>
      <w:r>
        <w:rPr>
          <w:i/>
        </w:rPr>
        <w:t>’)” (Revisión del documento UPOV/INF/17 “Directrices para los perfiles de ADN: selección de marcadores moleculares y creación de una base de datos (‘Directrices BMT</w:t>
      </w:r>
      <w:r w:rsidR="00F05141">
        <w:rPr>
          <w:i/>
        </w:rPr>
        <w:t>’</w:t>
      </w:r>
      <w:r>
        <w:rPr>
          <w:i/>
        </w:rPr>
        <w:t xml:space="preserve">)”) (documentos BMT/17/10 y BMT/17/10 </w:t>
      </w:r>
      <w:proofErr w:type="spellStart"/>
      <w:r>
        <w:rPr>
          <w:i/>
        </w:rPr>
        <w:t>Add</w:t>
      </w:r>
      <w:proofErr w:type="spellEnd"/>
      <w:r>
        <w:rPr>
          <w:i/>
        </w:rPr>
        <w:t>.)</w:t>
      </w:r>
    </w:p>
    <w:p w:rsidR="0091333D" w:rsidRPr="0091333D" w:rsidRDefault="0091333D" w:rsidP="0091333D">
      <w:pPr>
        <w:keepNext/>
        <w:autoSpaceDE w:val="0"/>
        <w:autoSpaceDN w:val="0"/>
        <w:adjustRightInd w:val="0"/>
        <w:ind w:left="1080"/>
        <w:rPr>
          <w:rFonts w:cs="Arial"/>
          <w:i/>
        </w:rPr>
      </w:pPr>
    </w:p>
    <w:p w:rsidR="0091333D" w:rsidRPr="0091333D" w:rsidRDefault="0091333D" w:rsidP="0091333D">
      <w:pPr>
        <w:keepNext/>
        <w:autoSpaceDE w:val="0"/>
        <w:autoSpaceDN w:val="0"/>
        <w:adjustRightInd w:val="0"/>
        <w:ind w:left="1080"/>
        <w:rPr>
          <w:rFonts w:cs="Arial"/>
          <w:i/>
        </w:rPr>
      </w:pPr>
      <w:r>
        <w:rPr>
          <w:i/>
        </w:rPr>
        <w:t>Directrices para los perfiles de ADN: selección de marcadores moleculares y creación de una base de datos (“Directrices BMT”)</w:t>
      </w:r>
      <w:r>
        <w:t xml:space="preserve"> </w:t>
      </w:r>
      <w:r>
        <w:rPr>
          <w:i/>
        </w:rPr>
        <w:t>(documento UPOV/INF/17/2</w:t>
      </w:r>
      <w:r>
        <w:t xml:space="preserve"> </w:t>
      </w:r>
      <w:proofErr w:type="spellStart"/>
      <w:r>
        <w:rPr>
          <w:i/>
        </w:rPr>
        <w:t>Draft</w:t>
      </w:r>
      <w:proofErr w:type="spellEnd"/>
      <w:r>
        <w:rPr>
          <w:i/>
        </w:rPr>
        <w:t xml:space="preserve"> 1)</w:t>
      </w:r>
    </w:p>
    <w:p w:rsidR="0091333D" w:rsidRPr="0091333D" w:rsidRDefault="0091333D" w:rsidP="0091333D">
      <w:pPr>
        <w:autoSpaceDE w:val="0"/>
        <w:autoSpaceDN w:val="0"/>
        <w:adjustRightInd w:val="0"/>
        <w:ind w:left="1080"/>
        <w:rPr>
          <w:rFonts w:cs="Arial"/>
          <w:i/>
        </w:rPr>
      </w:pPr>
    </w:p>
    <w:p w:rsidR="0091333D" w:rsidRPr="0091333D" w:rsidRDefault="0091333D" w:rsidP="0091333D">
      <w:pPr>
        <w:keepNext/>
        <w:ind w:left="567"/>
        <w:rPr>
          <w:i/>
        </w:rPr>
      </w:pPr>
      <w:bookmarkStart w:id="28" w:name="_Toc525478488"/>
      <w:r>
        <w:rPr>
          <w:i/>
        </w:rPr>
        <w:t>La utilización de técnicas moleculares en el examen de las variedades esencialmente derivadas</w:t>
      </w:r>
      <w:r w:rsidRPr="002D3030">
        <w:rPr>
          <w:i/>
          <w:vertAlign w:val="superscript"/>
        </w:rPr>
        <w:footnoteReference w:id="2"/>
      </w:r>
      <w:bookmarkEnd w:id="28"/>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r w:rsidRPr="00605295">
        <w:rPr>
          <w:lang w:val="en-US"/>
        </w:rPr>
        <w:t>Do new breeding techniques lead to Essentially Derived Varieties?</w:t>
      </w:r>
      <w:r w:rsidRPr="00605295">
        <w:rPr>
          <w:i/>
          <w:lang w:val="en-US"/>
        </w:rPr>
        <w:t xml:space="preserve"> </w:t>
      </w:r>
      <w:r>
        <w:rPr>
          <w:i/>
        </w:rPr>
        <w:t xml:space="preserve">(¿Redundan las nuevas técnicas de </w:t>
      </w:r>
      <w:proofErr w:type="spellStart"/>
      <w:r>
        <w:rPr>
          <w:i/>
        </w:rPr>
        <w:t>fitomejoramiento</w:t>
      </w:r>
      <w:proofErr w:type="spellEnd"/>
      <w:r>
        <w:rPr>
          <w:i/>
        </w:rPr>
        <w:t xml:space="preserve"> en variedades esencialmente derivadas?) (documentos BMT/17/9 y BMT/17/9 </w:t>
      </w:r>
      <w:proofErr w:type="spellStart"/>
      <w:r>
        <w:rPr>
          <w:i/>
        </w:rPr>
        <w:t>Add</w:t>
      </w:r>
      <w:proofErr w:type="spellEnd"/>
      <w:r>
        <w:rPr>
          <w:i/>
        </w:rPr>
        <w:t>.)</w:t>
      </w:r>
    </w:p>
    <w:p w:rsidR="0091333D" w:rsidRPr="0091333D" w:rsidRDefault="0091333D" w:rsidP="0091333D">
      <w:pPr>
        <w:autoSpaceDE w:val="0"/>
        <w:autoSpaceDN w:val="0"/>
        <w:adjustRightInd w:val="0"/>
        <w:ind w:left="1080"/>
        <w:rPr>
          <w:rFonts w:cs="Arial"/>
          <w:i/>
        </w:rPr>
      </w:pPr>
    </w:p>
    <w:p w:rsidR="0091333D" w:rsidRPr="0091333D" w:rsidRDefault="0091333D" w:rsidP="0091333D">
      <w:pPr>
        <w:keepNext/>
        <w:ind w:left="567"/>
        <w:rPr>
          <w:i/>
        </w:rPr>
      </w:pPr>
      <w:bookmarkStart w:id="29" w:name="_Toc525478489"/>
      <w:r>
        <w:rPr>
          <w:i/>
        </w:rPr>
        <w:t>La utilización de técnicas moleculares en la identificación de variedades</w:t>
      </w:r>
      <w:bookmarkEnd w:id="26"/>
      <w:r w:rsidRPr="002D3030">
        <w:rPr>
          <w:i/>
          <w:vertAlign w:val="superscript"/>
        </w:rPr>
        <w:t>1</w:t>
      </w:r>
      <w:bookmarkEnd w:id="29"/>
    </w:p>
    <w:p w:rsidR="0091333D" w:rsidRPr="0091333D" w:rsidRDefault="0091333D" w:rsidP="0091333D">
      <w:pPr>
        <w:autoSpaceDE w:val="0"/>
        <w:autoSpaceDN w:val="0"/>
        <w:adjustRightInd w:val="0"/>
        <w:ind w:left="540"/>
        <w:rPr>
          <w:rFonts w:cs="Arial"/>
          <w:i/>
        </w:rPr>
      </w:pPr>
    </w:p>
    <w:p w:rsidR="0091333D" w:rsidRPr="0091333D" w:rsidRDefault="0091333D" w:rsidP="0091333D">
      <w:pPr>
        <w:autoSpaceDE w:val="0"/>
        <w:autoSpaceDN w:val="0"/>
        <w:adjustRightInd w:val="0"/>
        <w:ind w:left="1080"/>
        <w:rPr>
          <w:rFonts w:cs="Arial"/>
          <w:i/>
        </w:rPr>
      </w:pPr>
      <w:proofErr w:type="spellStart"/>
      <w:r w:rsidRPr="006757F0">
        <w:t>Implementation</w:t>
      </w:r>
      <w:proofErr w:type="spellEnd"/>
      <w:r w:rsidRPr="006757F0">
        <w:t xml:space="preserve"> of SNP </w:t>
      </w:r>
      <w:proofErr w:type="spellStart"/>
      <w:r w:rsidRPr="006757F0">
        <w:t>markers</w:t>
      </w:r>
      <w:proofErr w:type="spellEnd"/>
      <w:r w:rsidRPr="006757F0">
        <w:t xml:space="preserve"> to </w:t>
      </w:r>
      <w:proofErr w:type="spellStart"/>
      <w:r w:rsidRPr="006757F0">
        <w:t>identify</w:t>
      </w:r>
      <w:proofErr w:type="spellEnd"/>
      <w:r w:rsidRPr="006757F0">
        <w:t xml:space="preserve"> </w:t>
      </w:r>
      <w:proofErr w:type="spellStart"/>
      <w:r w:rsidRPr="006757F0">
        <w:t>soybean</w:t>
      </w:r>
      <w:proofErr w:type="spellEnd"/>
      <w:r w:rsidRPr="006757F0">
        <w:t xml:space="preserve"> </w:t>
      </w:r>
      <w:proofErr w:type="spellStart"/>
      <w:r w:rsidRPr="006757F0">
        <w:t>varieties</w:t>
      </w:r>
      <w:proofErr w:type="spellEnd"/>
      <w:r w:rsidRPr="006757F0">
        <w:t xml:space="preserve"> </w:t>
      </w:r>
      <w:proofErr w:type="spellStart"/>
      <w:r w:rsidRPr="006757F0">
        <w:t>commercialized</w:t>
      </w:r>
      <w:proofErr w:type="spellEnd"/>
      <w:r w:rsidRPr="006757F0">
        <w:t xml:space="preserve"> in Uruguay </w:t>
      </w:r>
      <w:r>
        <w:rPr>
          <w:i/>
        </w:rPr>
        <w:t>(Aplicación de los marcadores SNP parar identificar variedade</w:t>
      </w:r>
      <w:r w:rsidR="002D3030">
        <w:rPr>
          <w:i/>
        </w:rPr>
        <w:t>s de soja comercializadas en el </w:t>
      </w:r>
      <w:r>
        <w:rPr>
          <w:i/>
        </w:rPr>
        <w:t>Uruguay) (documento BMT/17/13)</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proofErr w:type="spellStart"/>
      <w:r w:rsidRPr="006757F0">
        <w:t>Corn</w:t>
      </w:r>
      <w:proofErr w:type="spellEnd"/>
      <w:r w:rsidRPr="006757F0">
        <w:t xml:space="preserve"> </w:t>
      </w:r>
      <w:proofErr w:type="spellStart"/>
      <w:r w:rsidRPr="006757F0">
        <w:t>Hybrid</w:t>
      </w:r>
      <w:proofErr w:type="spellEnd"/>
      <w:r w:rsidRPr="006757F0">
        <w:t xml:space="preserve"> parental </w:t>
      </w:r>
      <w:proofErr w:type="spellStart"/>
      <w:r w:rsidRPr="006757F0">
        <w:t>identification</w:t>
      </w:r>
      <w:proofErr w:type="spellEnd"/>
      <w:r w:rsidRPr="006757F0">
        <w:t xml:space="preserve">: </w:t>
      </w:r>
      <w:proofErr w:type="spellStart"/>
      <w:r w:rsidRPr="006757F0">
        <w:t>The</w:t>
      </w:r>
      <w:proofErr w:type="spellEnd"/>
      <w:r w:rsidRPr="006757F0">
        <w:t xml:space="preserve"> Use of </w:t>
      </w:r>
      <w:proofErr w:type="spellStart"/>
      <w:r w:rsidRPr="006757F0">
        <w:t>Hybrid</w:t>
      </w:r>
      <w:proofErr w:type="spellEnd"/>
      <w:r w:rsidRPr="006757F0">
        <w:t xml:space="preserve"> </w:t>
      </w:r>
      <w:proofErr w:type="spellStart"/>
      <w:r w:rsidRPr="006757F0">
        <w:t>Monomorphic</w:t>
      </w:r>
      <w:proofErr w:type="spellEnd"/>
      <w:r w:rsidRPr="006757F0">
        <w:t xml:space="preserve"> </w:t>
      </w:r>
      <w:proofErr w:type="spellStart"/>
      <w:r w:rsidRPr="006757F0">
        <w:t>Profile</w:t>
      </w:r>
      <w:proofErr w:type="spellEnd"/>
      <w:r w:rsidRPr="006757F0">
        <w:t xml:space="preserve"> </w:t>
      </w:r>
      <w:proofErr w:type="spellStart"/>
      <w:r w:rsidRPr="006757F0">
        <w:t>compared</w:t>
      </w:r>
      <w:proofErr w:type="spellEnd"/>
      <w:r w:rsidRPr="006757F0">
        <w:t xml:space="preserve"> to </w:t>
      </w:r>
      <w:proofErr w:type="spellStart"/>
      <w:r w:rsidRPr="006757F0">
        <w:t>Pericarp</w:t>
      </w:r>
      <w:proofErr w:type="spellEnd"/>
      <w:r w:rsidRPr="006757F0">
        <w:t xml:space="preserve"> </w:t>
      </w:r>
      <w:proofErr w:type="spellStart"/>
      <w:r w:rsidRPr="006757F0">
        <w:t>Genotyping</w:t>
      </w:r>
      <w:proofErr w:type="spellEnd"/>
      <w:r>
        <w:rPr>
          <w:i/>
        </w:rPr>
        <w:t xml:space="preserve"> (Identificación de progenitores de híbridos del maíz: comparación entre el empleo del perfil </w:t>
      </w:r>
      <w:proofErr w:type="spellStart"/>
      <w:r>
        <w:rPr>
          <w:i/>
        </w:rPr>
        <w:t>monomórfico</w:t>
      </w:r>
      <w:proofErr w:type="spellEnd"/>
      <w:r>
        <w:rPr>
          <w:i/>
        </w:rPr>
        <w:t xml:space="preserve"> del híbrido y el </w:t>
      </w:r>
      <w:proofErr w:type="spellStart"/>
      <w:r>
        <w:rPr>
          <w:i/>
        </w:rPr>
        <w:t>genot</w:t>
      </w:r>
      <w:r w:rsidR="002D3030">
        <w:rPr>
          <w:i/>
        </w:rPr>
        <w:t>ipado</w:t>
      </w:r>
      <w:proofErr w:type="spellEnd"/>
      <w:r w:rsidR="002D3030">
        <w:rPr>
          <w:i/>
        </w:rPr>
        <w:t xml:space="preserve"> del </w:t>
      </w:r>
      <w:proofErr w:type="spellStart"/>
      <w:r w:rsidR="002D3030">
        <w:rPr>
          <w:i/>
        </w:rPr>
        <w:t>pericarpo</w:t>
      </w:r>
      <w:proofErr w:type="spellEnd"/>
      <w:r w:rsidR="002D3030">
        <w:rPr>
          <w:i/>
        </w:rPr>
        <w:t>) (documento </w:t>
      </w:r>
      <w:r>
        <w:rPr>
          <w:i/>
        </w:rPr>
        <w:t>BMT/17/16)</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rPr>
      </w:pPr>
      <w:proofErr w:type="spellStart"/>
      <w:r w:rsidRPr="006757F0">
        <w:t>Variety</w:t>
      </w:r>
      <w:proofErr w:type="spellEnd"/>
      <w:r w:rsidRPr="006757F0">
        <w:t xml:space="preserve"> </w:t>
      </w:r>
      <w:proofErr w:type="spellStart"/>
      <w:r w:rsidRPr="006757F0">
        <w:t>identification</w:t>
      </w:r>
      <w:proofErr w:type="spellEnd"/>
      <w:r w:rsidRPr="006757F0">
        <w:t xml:space="preserve"> in </w:t>
      </w:r>
      <w:proofErr w:type="spellStart"/>
      <w:r w:rsidRPr="006757F0">
        <w:t>soybeans</w:t>
      </w:r>
      <w:proofErr w:type="spellEnd"/>
      <w:r w:rsidRPr="006757F0">
        <w:t xml:space="preserve"> </w:t>
      </w:r>
      <w:proofErr w:type="spellStart"/>
      <w:r w:rsidRPr="006757F0">
        <w:t>using</w:t>
      </w:r>
      <w:proofErr w:type="spellEnd"/>
      <w:r w:rsidRPr="006757F0">
        <w:t xml:space="preserve"> </w:t>
      </w:r>
      <w:proofErr w:type="spellStart"/>
      <w:r w:rsidRPr="006757F0">
        <w:t>SNPs</w:t>
      </w:r>
      <w:proofErr w:type="spellEnd"/>
      <w:r>
        <w:rPr>
          <w:i/>
        </w:rPr>
        <w:t xml:space="preserve"> (Identificación</w:t>
      </w:r>
      <w:r w:rsidR="002D3030">
        <w:rPr>
          <w:i/>
        </w:rPr>
        <w:t xml:space="preserve"> de variedades de soja mediante </w:t>
      </w:r>
      <w:r>
        <w:rPr>
          <w:i/>
        </w:rPr>
        <w:t>SNP) (documento BMT/17/18)</w:t>
      </w:r>
    </w:p>
    <w:p w:rsidR="0091333D" w:rsidRPr="0091333D" w:rsidRDefault="0091333D" w:rsidP="0091333D">
      <w:pPr>
        <w:autoSpaceDE w:val="0"/>
        <w:autoSpaceDN w:val="0"/>
        <w:adjustRightInd w:val="0"/>
        <w:ind w:left="1080"/>
        <w:rPr>
          <w:rFonts w:cs="Arial"/>
          <w:i/>
        </w:rPr>
      </w:pPr>
    </w:p>
    <w:p w:rsidR="0091333D" w:rsidRPr="0091333D" w:rsidRDefault="0091333D" w:rsidP="0091333D">
      <w:pPr>
        <w:autoSpaceDE w:val="0"/>
        <w:autoSpaceDN w:val="0"/>
        <w:adjustRightInd w:val="0"/>
        <w:ind w:left="1080"/>
        <w:rPr>
          <w:rFonts w:cs="Arial"/>
          <w:i/>
          <w:highlight w:val="yellow"/>
        </w:rPr>
      </w:pPr>
      <w:proofErr w:type="spellStart"/>
      <w:r w:rsidRPr="006757F0">
        <w:t>Presentation</w:t>
      </w:r>
      <w:proofErr w:type="spellEnd"/>
      <w:r w:rsidRPr="006757F0">
        <w:t xml:space="preserve"> of a set of 11 </w:t>
      </w:r>
      <w:proofErr w:type="spellStart"/>
      <w:r w:rsidRPr="006757F0">
        <w:t>SNPs</w:t>
      </w:r>
      <w:proofErr w:type="spellEnd"/>
      <w:r w:rsidRPr="006757F0">
        <w:t xml:space="preserve"> </w:t>
      </w:r>
      <w:proofErr w:type="spellStart"/>
      <w:r w:rsidRPr="006757F0">
        <w:t>capable</w:t>
      </w:r>
      <w:proofErr w:type="spellEnd"/>
      <w:r w:rsidRPr="006757F0">
        <w:t xml:space="preserve"> of </w:t>
      </w:r>
      <w:proofErr w:type="spellStart"/>
      <w:r w:rsidRPr="006757F0">
        <w:t>discriminating</w:t>
      </w:r>
      <w:proofErr w:type="spellEnd"/>
      <w:r w:rsidRPr="006757F0">
        <w:t xml:space="preserve"> 80 </w:t>
      </w:r>
      <w:proofErr w:type="spellStart"/>
      <w:r w:rsidRPr="006757F0">
        <w:t>soybean</w:t>
      </w:r>
      <w:proofErr w:type="spellEnd"/>
      <w:r w:rsidRPr="006757F0">
        <w:t xml:space="preserve"> </w:t>
      </w:r>
      <w:proofErr w:type="spellStart"/>
      <w:r w:rsidRPr="006757F0">
        <w:t>varieties</w:t>
      </w:r>
      <w:proofErr w:type="spellEnd"/>
      <w:r w:rsidRPr="006757F0">
        <w:t xml:space="preserve"> </w:t>
      </w:r>
      <w:proofErr w:type="spellStart"/>
      <w:r w:rsidRPr="006757F0">
        <w:t>from</w:t>
      </w:r>
      <w:proofErr w:type="spellEnd"/>
      <w:r w:rsidRPr="006757F0">
        <w:t xml:space="preserve"> a </w:t>
      </w:r>
      <w:proofErr w:type="spellStart"/>
      <w:r w:rsidRPr="006757F0">
        <w:t>reference</w:t>
      </w:r>
      <w:proofErr w:type="spellEnd"/>
      <w:r w:rsidRPr="006757F0">
        <w:t xml:space="preserve"> </w:t>
      </w:r>
      <w:proofErr w:type="spellStart"/>
      <w:r w:rsidRPr="006757F0">
        <w:t>collection</w:t>
      </w:r>
      <w:proofErr w:type="spellEnd"/>
      <w:r>
        <w:rPr>
          <w:i/>
        </w:rPr>
        <w:t xml:space="preserve"> (Presentación de un conjunto d</w:t>
      </w:r>
      <w:r w:rsidR="002D3030">
        <w:rPr>
          <w:i/>
        </w:rPr>
        <w:t>e 11 SNP capaces de discriminar </w:t>
      </w:r>
      <w:r>
        <w:rPr>
          <w:i/>
        </w:rPr>
        <w:t>80 variedades de soja de una colección de referencia) (documento BMT/17/19)</w:t>
      </w:r>
    </w:p>
    <w:p w:rsidR="0091333D" w:rsidRPr="0091333D" w:rsidRDefault="0091333D" w:rsidP="0091333D">
      <w:pPr>
        <w:autoSpaceDE w:val="0"/>
        <w:autoSpaceDN w:val="0"/>
        <w:adjustRightInd w:val="0"/>
        <w:ind w:left="1080"/>
        <w:rPr>
          <w:rFonts w:cs="Arial"/>
          <w:i/>
        </w:rPr>
      </w:pPr>
    </w:p>
    <w:p w:rsidR="0091333D" w:rsidRPr="0091333D" w:rsidRDefault="0091333D" w:rsidP="0091333D">
      <w:pPr>
        <w:keepNext/>
        <w:ind w:left="567"/>
        <w:rPr>
          <w:i/>
        </w:rPr>
      </w:pPr>
      <w:bookmarkStart w:id="30" w:name="_Toc525478490"/>
      <w:r>
        <w:rPr>
          <w:i/>
        </w:rPr>
        <w:t>Sesión para facilitar la cooperación</w:t>
      </w:r>
      <w:bookmarkEnd w:id="30"/>
    </w:p>
    <w:p w:rsidR="0091333D" w:rsidRPr="0091333D" w:rsidRDefault="0091333D" w:rsidP="0091333D">
      <w:pPr>
        <w:keepNext/>
        <w:autoSpaceDE w:val="0"/>
        <w:autoSpaceDN w:val="0"/>
        <w:adjustRightInd w:val="0"/>
        <w:ind w:left="540"/>
        <w:rPr>
          <w:rFonts w:cs="Arial"/>
          <w:i/>
        </w:rPr>
      </w:pPr>
    </w:p>
    <w:p w:rsidR="0091333D" w:rsidRPr="0091333D" w:rsidRDefault="0091333D" w:rsidP="0091333D">
      <w:pPr>
        <w:keepNext/>
        <w:autoSpaceDE w:val="0"/>
        <w:autoSpaceDN w:val="0"/>
        <w:adjustRightInd w:val="0"/>
        <w:ind w:left="1080"/>
        <w:rPr>
          <w:rFonts w:cs="Arial"/>
          <w:i/>
        </w:rPr>
      </w:pPr>
      <w:proofErr w:type="spellStart"/>
      <w:r w:rsidRPr="006757F0">
        <w:t>Session</w:t>
      </w:r>
      <w:proofErr w:type="spellEnd"/>
      <w:r w:rsidRPr="006757F0">
        <w:t xml:space="preserve"> to </w:t>
      </w:r>
      <w:proofErr w:type="spellStart"/>
      <w:r w:rsidRPr="006757F0">
        <w:t>facilitate</w:t>
      </w:r>
      <w:proofErr w:type="spellEnd"/>
      <w:r w:rsidRPr="006757F0">
        <w:t xml:space="preserve"> </w:t>
      </w:r>
      <w:proofErr w:type="spellStart"/>
      <w:r w:rsidRPr="006757F0">
        <w:t>cooperation</w:t>
      </w:r>
      <w:proofErr w:type="spellEnd"/>
      <w:r w:rsidRPr="006757F0">
        <w:t xml:space="preserve"> in </w:t>
      </w:r>
      <w:proofErr w:type="spellStart"/>
      <w:r w:rsidRPr="006757F0">
        <w:t>relation</w:t>
      </w:r>
      <w:proofErr w:type="spellEnd"/>
      <w:r w:rsidRPr="006757F0">
        <w:t xml:space="preserve"> to </w:t>
      </w:r>
      <w:proofErr w:type="spellStart"/>
      <w:r w:rsidRPr="006757F0">
        <w:t>the</w:t>
      </w:r>
      <w:proofErr w:type="spellEnd"/>
      <w:r w:rsidRPr="006757F0">
        <w:t xml:space="preserve"> use of molecular </w:t>
      </w:r>
      <w:proofErr w:type="spellStart"/>
      <w:r w:rsidRPr="006757F0">
        <w:t>techniques</w:t>
      </w:r>
      <w:proofErr w:type="spellEnd"/>
      <w:r>
        <w:rPr>
          <w:i/>
        </w:rPr>
        <w:t xml:space="preserve"> (Sesión para facilitar la cooperación en el uso de técnicas moleculares) (documento BMT/17/5)</w:t>
      </w:r>
    </w:p>
    <w:p w:rsidR="0091333D" w:rsidRPr="0091333D" w:rsidRDefault="0091333D" w:rsidP="0091333D">
      <w:pPr>
        <w:autoSpaceDE w:val="0"/>
        <w:autoSpaceDN w:val="0"/>
        <w:adjustRightInd w:val="0"/>
        <w:rPr>
          <w:rFonts w:cs="Arial"/>
        </w:rPr>
      </w:pPr>
    </w:p>
    <w:p w:rsidR="0091333D" w:rsidRPr="0091333D" w:rsidRDefault="0091333D" w:rsidP="0091333D">
      <w:pPr>
        <w:autoSpaceDE w:val="0"/>
        <w:autoSpaceDN w:val="0"/>
        <w:adjustRightInd w:val="0"/>
        <w:rPr>
          <w:rFonts w:cs="Arial"/>
        </w:rPr>
      </w:pPr>
    </w:p>
    <w:p w:rsidR="0091333D" w:rsidRPr="00C44EBC" w:rsidRDefault="0091333D" w:rsidP="0091333D">
      <w:pPr>
        <w:pStyle w:val="Heading2"/>
        <w:rPr>
          <w:lang w:val="es-ES"/>
        </w:rPr>
      </w:pPr>
      <w:bookmarkStart w:id="31" w:name="_Toc525647180"/>
      <w:bookmarkStart w:id="32" w:name="_Toc525647256"/>
      <w:bookmarkStart w:id="33" w:name="_Toc526950844"/>
      <w:r w:rsidRPr="00C44EBC">
        <w:rPr>
          <w:lang w:val="es-ES"/>
        </w:rPr>
        <w:t>Informe sobre la labor relativa a las técnicas moleculares en relación con el examen DHE</w:t>
      </w:r>
      <w:bookmarkEnd w:id="31"/>
      <w:bookmarkEnd w:id="32"/>
      <w:bookmarkEnd w:id="33"/>
    </w:p>
    <w:p w:rsidR="0091333D" w:rsidRPr="0091333D" w:rsidRDefault="0091333D" w:rsidP="0091333D">
      <w:pPr>
        <w:rPr>
          <w:rFonts w:cs="Arial"/>
          <w:iCs/>
        </w:rPr>
      </w:pPr>
    </w:p>
    <w:p w:rsidR="0091333D" w:rsidRPr="0091333D" w:rsidRDefault="00742368" w:rsidP="0091333D">
      <w:r>
        <w:fldChar w:fldCharType="begin"/>
      </w:r>
      <w:r w:rsidR="0091333D" w:rsidRPr="0091333D">
        <w:instrText xml:space="preserve"> AUTONUM  </w:instrText>
      </w:r>
      <w:r>
        <w:fldChar w:fldCharType="end"/>
      </w:r>
      <w:r w:rsidR="0091333D">
        <w:tab/>
        <w:t>En su decimoséptima sesión, el BMT examinó el documento BMT/17/21 “</w:t>
      </w:r>
      <w:r w:rsidR="0091333D">
        <w:rPr>
          <w:i/>
        </w:rPr>
        <w:t xml:space="preserve">Do </w:t>
      </w:r>
      <w:proofErr w:type="spellStart"/>
      <w:r w:rsidR="0091333D">
        <w:rPr>
          <w:i/>
        </w:rPr>
        <w:t>resistance</w:t>
      </w:r>
      <w:proofErr w:type="spellEnd"/>
      <w:r w:rsidR="0091333D">
        <w:rPr>
          <w:i/>
        </w:rPr>
        <w:t xml:space="preserve"> </w:t>
      </w:r>
      <w:proofErr w:type="spellStart"/>
      <w:r w:rsidR="0091333D">
        <w:rPr>
          <w:i/>
        </w:rPr>
        <w:t>markers</w:t>
      </w:r>
      <w:proofErr w:type="spellEnd"/>
      <w:r w:rsidR="0091333D">
        <w:rPr>
          <w:i/>
        </w:rPr>
        <w:t xml:space="preserve"> </w:t>
      </w:r>
      <w:proofErr w:type="spellStart"/>
      <w:r w:rsidR="0091333D">
        <w:rPr>
          <w:i/>
        </w:rPr>
        <w:t>for</w:t>
      </w:r>
      <w:proofErr w:type="spellEnd"/>
      <w:r w:rsidR="0091333D">
        <w:rPr>
          <w:i/>
        </w:rPr>
        <w:t xml:space="preserve"> </w:t>
      </w:r>
      <w:proofErr w:type="spellStart"/>
      <w:r w:rsidR="0091333D">
        <w:rPr>
          <w:i/>
        </w:rPr>
        <w:t>tomato</w:t>
      </w:r>
      <w:proofErr w:type="spellEnd"/>
      <w:r w:rsidR="0091333D">
        <w:rPr>
          <w:i/>
        </w:rPr>
        <w:t xml:space="preserve"> </w:t>
      </w:r>
      <w:proofErr w:type="spellStart"/>
      <w:r w:rsidR="0091333D">
        <w:rPr>
          <w:i/>
        </w:rPr>
        <w:t>fulfil</w:t>
      </w:r>
      <w:proofErr w:type="spellEnd"/>
      <w:r w:rsidR="0091333D">
        <w:rPr>
          <w:i/>
        </w:rPr>
        <w:t xml:space="preserve"> </w:t>
      </w:r>
      <w:proofErr w:type="spellStart"/>
      <w:r w:rsidR="0091333D">
        <w:rPr>
          <w:i/>
        </w:rPr>
        <w:t>the</w:t>
      </w:r>
      <w:proofErr w:type="spellEnd"/>
      <w:r w:rsidR="0091333D">
        <w:rPr>
          <w:i/>
        </w:rPr>
        <w:t xml:space="preserve"> </w:t>
      </w:r>
      <w:proofErr w:type="spellStart"/>
      <w:r w:rsidR="0091333D">
        <w:rPr>
          <w:i/>
        </w:rPr>
        <w:t>requirements</w:t>
      </w:r>
      <w:proofErr w:type="spellEnd"/>
      <w:r w:rsidR="0091333D">
        <w:rPr>
          <w:i/>
        </w:rPr>
        <w:t xml:space="preserve"> of TGP/15</w:t>
      </w:r>
      <w:r w:rsidR="0091333D">
        <w:t>” (¿Cumplen los marcadores de resistencia del tomate las premisas del documento TGP/15?) y asistió a una ponencia de la Sra. Amanda van </w:t>
      </w:r>
      <w:proofErr w:type="spellStart"/>
      <w:r w:rsidR="0091333D">
        <w:t>Dijk</w:t>
      </w:r>
      <w:r w:rsidR="0091333D">
        <w:noBreakHyphen/>
        <w:t>Veldhuizen</w:t>
      </w:r>
      <w:proofErr w:type="spellEnd"/>
      <w:r w:rsidR="0091333D">
        <w:t xml:space="preserve"> (Países Bajos), que se reproduce en el documento BMT/17/21 </w:t>
      </w:r>
      <w:proofErr w:type="spellStart"/>
      <w:r w:rsidR="0091333D">
        <w:t>Add</w:t>
      </w:r>
      <w:proofErr w:type="spellEnd"/>
      <w:r w:rsidR="0091333D">
        <w:t>. (véanse los párrafos 10 y 12 del documento BMT/17/25 “</w:t>
      </w:r>
      <w:proofErr w:type="spellStart"/>
      <w:r w:rsidR="0091333D">
        <w:rPr>
          <w:i/>
        </w:rPr>
        <w:t>Report</w:t>
      </w:r>
      <w:proofErr w:type="spellEnd"/>
      <w:r w:rsidR="0091333D">
        <w:t>" (Informe)).</w:t>
      </w:r>
    </w:p>
    <w:p w:rsidR="0091333D" w:rsidRPr="0091333D" w:rsidRDefault="0091333D" w:rsidP="0091333D"/>
    <w:p w:rsidR="0091333D" w:rsidRPr="0091333D" w:rsidRDefault="00742368" w:rsidP="0091333D">
      <w:r w:rsidRPr="00591EFF">
        <w:fldChar w:fldCharType="begin"/>
      </w:r>
      <w:r w:rsidR="0091333D" w:rsidRPr="0091333D">
        <w:instrText xml:space="preserve"> AUTONUM  </w:instrText>
      </w:r>
      <w:r w:rsidRPr="00591EFF">
        <w:fldChar w:fldCharType="end"/>
      </w:r>
      <w:r w:rsidR="0091333D">
        <w:tab/>
        <w:t>El BMT convino en que el método presentado en el documento BMT/17/21 concuerda con el modelo “Marcadores moleculares ligados a caracteres” expuesto en el documento TGP/15.</w:t>
      </w:r>
      <w:r w:rsidR="00AE5E49">
        <w:t xml:space="preserve"> </w:t>
      </w:r>
      <w:r w:rsidR="0091333D">
        <w:t>El BMT convino en proponer que se añada un nuevo ejemplo al documento TGP/15, basado en el ejemplo facilitado por los Países Bajos, para ilustrar un caso en que el marcador ligado a un carácter no proporciona información completa sobre el nivel de expresión de un carácter.</w:t>
      </w:r>
    </w:p>
    <w:p w:rsidR="0091333D" w:rsidRPr="0091333D" w:rsidRDefault="0091333D" w:rsidP="0091333D"/>
    <w:p w:rsidR="0091333D" w:rsidRPr="0091333D" w:rsidRDefault="00742368" w:rsidP="0091333D">
      <w:r w:rsidRPr="00591EFF">
        <w:fldChar w:fldCharType="begin"/>
      </w:r>
      <w:r w:rsidR="0091333D" w:rsidRPr="0091333D">
        <w:instrText xml:space="preserve"> AUTONUM  </w:instrText>
      </w:r>
      <w:r w:rsidRPr="00591EFF">
        <w:fldChar w:fldCharType="end"/>
      </w:r>
      <w:r w:rsidR="0091333D">
        <w:tab/>
        <w:t>El BMT convino en proponer que el párrafo 3.1.4 del documento UPOV/INF/18/1 (reproducido en el párrafo siguiente) se introduzca en el documento TGP/15 para aclarar que es responsabilidad de la autoridad determinar la fiabilidad del vínculo entre el gen y la expresión del carácter.</w:t>
      </w:r>
      <w:r w:rsidR="00AE5E49">
        <w:t xml:space="preserve"> </w:t>
      </w:r>
      <w:r w:rsidR="0091333D">
        <w:t xml:space="preserve">Al considerar si procede incluir el método en las directrices de examen, el BMT propuso además que en el documento TGP/15 se explique que será responsabilidad del correspondiente TWP </w:t>
      </w:r>
      <w:r w:rsidR="00530FE5">
        <w:t xml:space="preserve">y el TC </w:t>
      </w:r>
      <w:r w:rsidR="0091333D">
        <w:t>determinar si se cumple el criterio de fiabilidad del vínculo entre el gen y la expresión del carácter.</w:t>
      </w:r>
      <w:r w:rsidR="00AE5E49">
        <w:t xml:space="preserve"> </w:t>
      </w:r>
    </w:p>
    <w:p w:rsidR="0091333D" w:rsidRPr="0091333D" w:rsidRDefault="0091333D" w:rsidP="0091333D">
      <w:pPr>
        <w:autoSpaceDE w:val="0"/>
        <w:autoSpaceDN w:val="0"/>
        <w:adjustRightInd w:val="0"/>
      </w:pPr>
    </w:p>
    <w:p w:rsidR="0091333D" w:rsidRPr="0091333D" w:rsidRDefault="0091333D" w:rsidP="0091333D">
      <w:pPr>
        <w:autoSpaceDE w:val="0"/>
        <w:autoSpaceDN w:val="0"/>
        <w:adjustRightInd w:val="0"/>
        <w:ind w:left="567" w:right="567"/>
        <w:rPr>
          <w:sz w:val="18"/>
        </w:rPr>
      </w:pPr>
      <w:r>
        <w:rPr>
          <w:sz w:val="18"/>
        </w:rPr>
        <w:t>“3.1.4</w:t>
      </w:r>
      <w:r>
        <w:tab/>
      </w:r>
      <w:r>
        <w:rPr>
          <w:sz w:val="18"/>
        </w:rPr>
        <w:t xml:space="preserve">Al examinar el modelo y el ejemplo que figuran en el Anexo 1 del presente documento, el TC subrayó la importancia del cumplimiento de las premisas. A este respecto, aclaró que incumbe a la autoridad competente determinar si se han cumplido las premisas (véase el párrafo 152 del documento TC/45/16 “Informe”).” </w:t>
      </w:r>
    </w:p>
    <w:p w:rsidR="0091333D" w:rsidRPr="0091333D" w:rsidRDefault="0091333D" w:rsidP="0091333D">
      <w:pPr>
        <w:rPr>
          <w:rFonts w:cs="Arial"/>
          <w:iCs/>
        </w:rPr>
      </w:pPr>
    </w:p>
    <w:p w:rsidR="0091333D" w:rsidRPr="0091333D" w:rsidRDefault="00742368" w:rsidP="0091333D">
      <w:pPr>
        <w:pStyle w:val="DecisionParagraphs"/>
        <w:keepNext/>
        <w:tabs>
          <w:tab w:val="clear" w:pos="5387"/>
          <w:tab w:val="left" w:pos="5103"/>
        </w:tabs>
        <w:ind w:left="4536"/>
      </w:pPr>
      <w:r w:rsidRPr="00104CFF">
        <w:fldChar w:fldCharType="begin"/>
      </w:r>
      <w:r w:rsidR="0091333D" w:rsidRPr="0091333D">
        <w:instrText xml:space="preserve"> AUTONUM  </w:instrText>
      </w:r>
      <w:r w:rsidRPr="00104CFF">
        <w:fldChar w:fldCharType="end"/>
      </w:r>
      <w:r w:rsidR="0091333D">
        <w:tab/>
        <w:t>Se invita al TC a considerar:</w:t>
      </w:r>
    </w:p>
    <w:p w:rsidR="0091333D" w:rsidRPr="0091333D" w:rsidRDefault="0091333D" w:rsidP="0091333D">
      <w:pPr>
        <w:pStyle w:val="DecisionParagraphs"/>
        <w:keepNext/>
        <w:ind w:left="4536"/>
      </w:pPr>
    </w:p>
    <w:p w:rsidR="0091333D" w:rsidRPr="0091333D" w:rsidRDefault="0091333D" w:rsidP="0091333D">
      <w:pPr>
        <w:pStyle w:val="DecisionParagraphs"/>
        <w:keepNext/>
        <w:keepLines/>
        <w:tabs>
          <w:tab w:val="clear" w:pos="5387"/>
          <w:tab w:val="left" w:pos="5103"/>
          <w:tab w:val="left" w:pos="5670"/>
        </w:tabs>
        <w:ind w:left="4536" w:firstLine="567"/>
      </w:pPr>
      <w:r>
        <w:t>a)</w:t>
      </w:r>
      <w:r>
        <w:tab/>
        <w:t>si procede introducir el párrafo 3.1</w:t>
      </w:r>
      <w:r w:rsidR="00F05141">
        <w:t>.4 del documento UPOV/INF/18/1</w:t>
      </w:r>
      <w:r>
        <w:t xml:space="preserve"> en el documento TGP/15 para aclarar que es responsabilidad de la autoridad determinar la fiabilidad del vínculo entre el gen y la expresión del carácter, según se expone en el párrafo 8 del presente documento; y</w:t>
      </w:r>
    </w:p>
    <w:p w:rsidR="0091333D" w:rsidRPr="0091333D" w:rsidRDefault="0091333D" w:rsidP="0091333D">
      <w:pPr>
        <w:pStyle w:val="DecisionParagraphs"/>
        <w:tabs>
          <w:tab w:val="clear" w:pos="5387"/>
          <w:tab w:val="left" w:pos="5103"/>
          <w:tab w:val="left" w:pos="5670"/>
        </w:tabs>
        <w:ind w:left="4536" w:firstLine="567"/>
        <w:rPr>
          <w:snapToGrid w:val="0"/>
        </w:rPr>
      </w:pPr>
    </w:p>
    <w:p w:rsidR="0091333D" w:rsidRPr="0091333D" w:rsidRDefault="0091333D" w:rsidP="0091333D">
      <w:pPr>
        <w:pStyle w:val="DecisionParagraphs"/>
        <w:tabs>
          <w:tab w:val="clear" w:pos="5387"/>
          <w:tab w:val="left" w:pos="5103"/>
          <w:tab w:val="left" w:pos="5670"/>
        </w:tabs>
        <w:ind w:left="4536" w:firstLine="567"/>
      </w:pPr>
      <w:r>
        <w:t>b)</w:t>
      </w:r>
      <w:r>
        <w:tab/>
        <w:t xml:space="preserve">si procede incluir en el documento TGP/15 la explicación que indique que es responsabilidad del correspondiente TWP </w:t>
      </w:r>
      <w:r w:rsidR="00530FE5">
        <w:t xml:space="preserve">y el TC </w:t>
      </w:r>
      <w:r>
        <w:t>determinar si se cumple el criterio de fiabilidad del vínculo entre el gen y la expresión del carácter para añadir un método en las directrices de examen, según se expone en el párrafo 8 del presente documento.</w:t>
      </w:r>
    </w:p>
    <w:p w:rsidR="0091333D" w:rsidRPr="0091333D" w:rsidRDefault="0091333D" w:rsidP="0091333D">
      <w:pPr>
        <w:rPr>
          <w:rFonts w:cs="Arial"/>
          <w:iCs/>
        </w:rPr>
      </w:pPr>
    </w:p>
    <w:p w:rsidR="0091333D" w:rsidRPr="00C44EBC" w:rsidRDefault="0091333D" w:rsidP="0091333D">
      <w:pPr>
        <w:pStyle w:val="Heading2"/>
        <w:rPr>
          <w:lang w:val="es-ES"/>
        </w:rPr>
      </w:pPr>
    </w:p>
    <w:p w:rsidR="0091333D" w:rsidRPr="00C44EBC" w:rsidRDefault="0091333D" w:rsidP="0091333D">
      <w:pPr>
        <w:pStyle w:val="Heading2"/>
        <w:rPr>
          <w:lang w:val="es-ES"/>
        </w:rPr>
      </w:pPr>
      <w:bookmarkStart w:id="34" w:name="_Toc525647181"/>
      <w:bookmarkStart w:id="35" w:name="_Toc525647257"/>
      <w:bookmarkStart w:id="36" w:name="_Toc526950845"/>
      <w:r w:rsidRPr="00C44EBC">
        <w:rPr>
          <w:lang w:val="es-ES"/>
        </w:rPr>
        <w:t xml:space="preserve">Revisión del documento UPOV/INF/17 “Directrices para los perfiles de ADN: selección de marcadores moleculares y creación de una base de datos </w:t>
      </w:r>
      <w:r w:rsidR="00473449" w:rsidRPr="00C44EBC">
        <w:rPr>
          <w:lang w:val="es-ES"/>
        </w:rPr>
        <w:t>‘Directrices BMT’</w:t>
      </w:r>
      <w:r w:rsidRPr="00C44EBC">
        <w:rPr>
          <w:lang w:val="es-ES"/>
        </w:rPr>
        <w:t>)”</w:t>
      </w:r>
      <w:bookmarkEnd w:id="34"/>
      <w:bookmarkEnd w:id="35"/>
      <w:bookmarkEnd w:id="36"/>
    </w:p>
    <w:p w:rsidR="0091333D" w:rsidRPr="0091333D" w:rsidRDefault="0091333D" w:rsidP="0091333D">
      <w:pPr>
        <w:rPr>
          <w:rFonts w:cs="Arial"/>
          <w:iCs/>
        </w:rPr>
      </w:pPr>
    </w:p>
    <w:p w:rsidR="0091333D" w:rsidRPr="0091333D" w:rsidRDefault="00742368" w:rsidP="0091333D">
      <w:r>
        <w:fldChar w:fldCharType="begin"/>
      </w:r>
      <w:r w:rsidR="0091333D" w:rsidRPr="0091333D">
        <w:instrText xml:space="preserve"> AUTONUM  </w:instrText>
      </w:r>
      <w:r>
        <w:fldChar w:fldCharType="end"/>
      </w:r>
      <w:r w:rsidR="0091333D">
        <w:tab/>
        <w:t xml:space="preserve">En su decimoséptima sesión, el BMT examinó los documentos BMT/17/10 y BMT/17/10 </w:t>
      </w:r>
      <w:proofErr w:type="spellStart"/>
      <w:r w:rsidR="0091333D">
        <w:t>Add</w:t>
      </w:r>
      <w:proofErr w:type="spellEnd"/>
      <w:r w:rsidR="0091333D">
        <w:t>. “</w:t>
      </w:r>
      <w:proofErr w:type="spellStart"/>
      <w:r w:rsidR="0091333D">
        <w:rPr>
          <w:i/>
        </w:rPr>
        <w:t>Review</w:t>
      </w:r>
      <w:proofErr w:type="spellEnd"/>
      <w:r w:rsidR="0091333D">
        <w:rPr>
          <w:i/>
        </w:rPr>
        <w:t xml:space="preserve"> of </w:t>
      </w:r>
      <w:proofErr w:type="spellStart"/>
      <w:r w:rsidR="0091333D">
        <w:rPr>
          <w:i/>
        </w:rPr>
        <w:t>document</w:t>
      </w:r>
      <w:proofErr w:type="spellEnd"/>
      <w:r w:rsidR="0091333D">
        <w:rPr>
          <w:i/>
        </w:rPr>
        <w:t xml:space="preserve"> UPOV/INF/17 “</w:t>
      </w:r>
      <w:proofErr w:type="spellStart"/>
      <w:r w:rsidR="0091333D">
        <w:rPr>
          <w:i/>
        </w:rPr>
        <w:t>Guidelines</w:t>
      </w:r>
      <w:proofErr w:type="spellEnd"/>
      <w:r w:rsidR="0091333D">
        <w:rPr>
          <w:i/>
        </w:rPr>
        <w:t xml:space="preserve"> </w:t>
      </w:r>
      <w:proofErr w:type="spellStart"/>
      <w:r w:rsidR="0091333D">
        <w:rPr>
          <w:i/>
        </w:rPr>
        <w:t>for</w:t>
      </w:r>
      <w:proofErr w:type="spellEnd"/>
      <w:r w:rsidR="0091333D">
        <w:rPr>
          <w:i/>
        </w:rPr>
        <w:t xml:space="preserve"> DNA-</w:t>
      </w:r>
      <w:proofErr w:type="spellStart"/>
      <w:r w:rsidR="0091333D">
        <w:rPr>
          <w:i/>
        </w:rPr>
        <w:t>Profiling</w:t>
      </w:r>
      <w:proofErr w:type="spellEnd"/>
      <w:r w:rsidR="0091333D">
        <w:rPr>
          <w:i/>
        </w:rPr>
        <w:t xml:space="preserve">: Molecular </w:t>
      </w:r>
      <w:proofErr w:type="spellStart"/>
      <w:r w:rsidR="0091333D">
        <w:rPr>
          <w:i/>
        </w:rPr>
        <w:t>Marker</w:t>
      </w:r>
      <w:proofErr w:type="spellEnd"/>
      <w:r w:rsidR="0091333D">
        <w:rPr>
          <w:i/>
        </w:rPr>
        <w:t xml:space="preserve"> </w:t>
      </w:r>
      <w:proofErr w:type="spellStart"/>
      <w:r w:rsidR="0091333D">
        <w:rPr>
          <w:i/>
        </w:rPr>
        <w:t>Selection</w:t>
      </w:r>
      <w:proofErr w:type="spellEnd"/>
      <w:r w:rsidR="0091333D">
        <w:rPr>
          <w:i/>
        </w:rPr>
        <w:t xml:space="preserve"> and </w:t>
      </w:r>
      <w:proofErr w:type="spellStart"/>
      <w:r w:rsidR="0091333D">
        <w:rPr>
          <w:i/>
        </w:rPr>
        <w:t>Database</w:t>
      </w:r>
      <w:proofErr w:type="spellEnd"/>
      <w:r w:rsidR="0091333D">
        <w:rPr>
          <w:i/>
        </w:rPr>
        <w:t xml:space="preserve"> </w:t>
      </w:r>
      <w:proofErr w:type="spellStart"/>
      <w:r w:rsidR="0091333D">
        <w:rPr>
          <w:i/>
        </w:rPr>
        <w:t>Construction</w:t>
      </w:r>
      <w:proofErr w:type="spellEnd"/>
      <w:r w:rsidR="0091333D">
        <w:rPr>
          <w:i/>
        </w:rPr>
        <w:t xml:space="preserve"> (‘BMT </w:t>
      </w:r>
      <w:proofErr w:type="spellStart"/>
      <w:r w:rsidR="0091333D">
        <w:rPr>
          <w:i/>
        </w:rPr>
        <w:t>Guidelines</w:t>
      </w:r>
      <w:proofErr w:type="spellEnd"/>
      <w:r w:rsidR="0091333D">
        <w:t>’)” (Revisión del documento UPOV/INF/17 “D</w:t>
      </w:r>
      <w:r w:rsidR="006757F0">
        <w:t>irectrices para los perfiles de </w:t>
      </w:r>
      <w:r w:rsidR="0091333D">
        <w:t>ADN: selección de marcadores moleculares y creación de una base d</w:t>
      </w:r>
      <w:r w:rsidR="006757F0">
        <w:t>e datos (‘Directrices BMT</w:t>
      </w:r>
      <w:r w:rsidR="00F05141">
        <w:t>’</w:t>
      </w:r>
      <w:r w:rsidR="006757F0">
        <w:t>)”) y </w:t>
      </w:r>
      <w:r w:rsidR="0091333D">
        <w:t>UPOV/INF/17/2 </w:t>
      </w:r>
      <w:proofErr w:type="spellStart"/>
      <w:r w:rsidR="0091333D">
        <w:t>Draft</w:t>
      </w:r>
      <w:proofErr w:type="spellEnd"/>
      <w:r w:rsidR="0091333D">
        <w:t xml:space="preserve"> 1 “Directrices para los perfiles de BMT: selección de marcadores moleculares y creación de una base de datos (‘Directrices BMT</w:t>
      </w:r>
      <w:r w:rsidR="00F05141">
        <w:t>’</w:t>
      </w:r>
      <w:r w:rsidR="0091333D">
        <w:t>)” (véanse los párrafos 15 y 50 del documento BMT/17/25 “</w:t>
      </w:r>
      <w:proofErr w:type="spellStart"/>
      <w:r w:rsidR="0091333D">
        <w:rPr>
          <w:i/>
        </w:rPr>
        <w:t>Report</w:t>
      </w:r>
      <w:proofErr w:type="spellEnd"/>
      <w:r w:rsidR="0091333D">
        <w:t>" (Informe)).</w:t>
      </w:r>
    </w:p>
    <w:p w:rsidR="0091333D" w:rsidRPr="0091333D" w:rsidRDefault="0091333D" w:rsidP="0091333D"/>
    <w:p w:rsidR="0091333D" w:rsidRPr="0091333D" w:rsidRDefault="0091333D" w:rsidP="0091333D">
      <w:pPr>
        <w:keepNext/>
        <w:spacing w:before="120" w:after="240"/>
        <w:outlineLvl w:val="2"/>
        <w:rPr>
          <w:i/>
        </w:rPr>
      </w:pPr>
      <w:bookmarkStart w:id="37" w:name="_Toc525478493"/>
      <w:bookmarkStart w:id="38" w:name="_Toc525647182"/>
      <w:r>
        <w:rPr>
          <w:i/>
        </w:rPr>
        <w:t>Sección A. Introducción</w:t>
      </w:r>
      <w:bookmarkEnd w:id="37"/>
      <w:bookmarkEnd w:id="38"/>
    </w:p>
    <w:p w:rsidR="0091333D" w:rsidRPr="0091333D" w:rsidRDefault="00742368" w:rsidP="0091333D">
      <w:pPr>
        <w:keepNext/>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que la primera frase del texto de la Introducción se modifique de la manera siguiente:</w:t>
      </w:r>
    </w:p>
    <w:p w:rsidR="0091333D" w:rsidRPr="0091333D" w:rsidRDefault="0091333D" w:rsidP="0091333D">
      <w:pPr>
        <w:keepNext/>
        <w:autoSpaceDE w:val="0"/>
        <w:autoSpaceDN w:val="0"/>
        <w:adjustRightInd w:val="0"/>
      </w:pPr>
    </w:p>
    <w:p w:rsidR="0091333D" w:rsidRPr="0091333D" w:rsidRDefault="0091333D" w:rsidP="0091333D">
      <w:pPr>
        <w:autoSpaceDE w:val="0"/>
        <w:autoSpaceDN w:val="0"/>
        <w:adjustRightInd w:val="0"/>
        <w:ind w:left="540" w:right="567" w:firstLine="27"/>
        <w:contextualSpacing/>
        <w:rPr>
          <w:sz w:val="18"/>
        </w:rPr>
      </w:pPr>
      <w:r>
        <w:rPr>
          <w:sz w:val="18"/>
        </w:rPr>
        <w:t xml:space="preserve">“El presente documento (Directrices BMT) tiene por finalidad ofrecer </w:t>
      </w:r>
      <w:r>
        <w:rPr>
          <w:sz w:val="18"/>
          <w:u w:val="single"/>
          <w:shd w:val="pct15" w:color="auto" w:fill="FFFFFF"/>
        </w:rPr>
        <w:t xml:space="preserve">orientaciones sobre principios armonizados </w:t>
      </w:r>
      <w:r>
        <w:rPr>
          <w:strike/>
          <w:sz w:val="18"/>
          <w:u w:val="single"/>
          <w:shd w:val="pct15" w:color="auto" w:fill="FFFFFF"/>
        </w:rPr>
        <w:t>para la elaboración de metodologías armonizadas</w:t>
      </w:r>
      <w:r>
        <w:rPr>
          <w:sz w:val="18"/>
          <w:u w:val="single"/>
          <w:shd w:val="pct15" w:color="auto" w:fill="FFFFFF"/>
        </w:rPr>
        <w:t xml:space="preserve"> para el uso de marcadores de ADN</w:t>
      </w:r>
      <w:r>
        <w:rPr>
          <w:sz w:val="18"/>
        </w:rPr>
        <w:t xml:space="preserve"> destinadas a generar datos moleculares de gran calidad para diversas aplicaciones.” </w:t>
      </w:r>
    </w:p>
    <w:p w:rsidR="0091333D" w:rsidRPr="0091333D" w:rsidRDefault="0091333D" w:rsidP="0091333D"/>
    <w:p w:rsidR="0091333D" w:rsidRPr="0091333D" w:rsidRDefault="0091333D" w:rsidP="0091333D">
      <w:pPr>
        <w:keepNext/>
        <w:spacing w:before="120" w:after="240"/>
        <w:outlineLvl w:val="2"/>
        <w:rPr>
          <w:i/>
        </w:rPr>
      </w:pPr>
      <w:bookmarkStart w:id="39" w:name="_Toc525478494"/>
      <w:bookmarkStart w:id="40" w:name="_Toc525647183"/>
      <w:r>
        <w:rPr>
          <w:i/>
        </w:rPr>
        <w:t>Sección B. Principios generales</w:t>
      </w:r>
      <w:bookmarkEnd w:id="39"/>
      <w:bookmarkEnd w:id="40"/>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reconsiderar el documento UPOV/INF/17 teniendo en cuenta los comentarios formulados conjuntamente por Francia, los Países Bajos y la Unión Europea.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41" w:name="_Toc525478495"/>
      <w:bookmarkStart w:id="42" w:name="_Toc525647184"/>
      <w:r>
        <w:rPr>
          <w:i/>
        </w:rPr>
        <w:t>Sección 1.</w:t>
      </w:r>
      <w:r w:rsidR="00AE5E49">
        <w:rPr>
          <w:i/>
        </w:rPr>
        <w:t xml:space="preserve"> </w:t>
      </w:r>
      <w:r>
        <w:rPr>
          <w:i/>
        </w:rPr>
        <w:t>Selección de una metodología de marcadores moleculares</w:t>
      </w:r>
      <w:bookmarkEnd w:id="41"/>
      <w:bookmarkEnd w:id="42"/>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eliminar la sección 1.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43" w:name="_Toc525478496"/>
      <w:bookmarkStart w:id="44" w:name="_Toc525647185"/>
      <w:r>
        <w:rPr>
          <w:i/>
        </w:rPr>
        <w:lastRenderedPageBreak/>
        <w:t>Sección 2.</w:t>
      </w:r>
      <w:r>
        <w:tab/>
      </w:r>
      <w:r>
        <w:rPr>
          <w:i/>
        </w:rPr>
        <w:t>Selección de marcadores moleculares</w:t>
      </w:r>
      <w:bookmarkEnd w:id="43"/>
      <w:bookmarkEnd w:id="44"/>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modificar el título de la sección 2 para que sea “</w:t>
      </w:r>
      <w:r w:rsidR="0091333D">
        <w:rPr>
          <w:u w:val="single"/>
          <w:shd w:val="pct15" w:color="auto" w:fill="FFFFFF"/>
        </w:rPr>
        <w:t>1. Fase 1:</w:t>
      </w:r>
      <w:r w:rsidR="0091333D">
        <w:t xml:space="preserve"> selección de marcadores moleculares” y en cambiar la numeración de la sección en consecuencia.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45" w:name="_Toc525478497"/>
      <w:bookmarkStart w:id="46" w:name="_Toc525647186"/>
      <w:r>
        <w:rPr>
          <w:i/>
        </w:rPr>
        <w:t>Sección 2.1.a)</w:t>
      </w:r>
      <w:bookmarkEnd w:id="45"/>
      <w:bookmarkEnd w:id="46"/>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que se abrevie el texto propuesto por Franc</w:t>
      </w:r>
      <w:r w:rsidR="00F05141">
        <w:t>ia, los Países Bajos y la Unión </w:t>
      </w:r>
      <w:r w:rsidR="0091333D">
        <w:t>Europea para hacer referencia únicamente a la necesidad de lograr un equilibrio entre el número de marcadores y la resolución o capacidad discriminadora, conforme al objetivo y teniendo en cuenta el índice de error.</w:t>
      </w:r>
      <w:r w:rsidR="00AE5E49">
        <w:t xml:space="preserve"> </w:t>
      </w:r>
      <w:r w:rsidR="0091333D">
        <w:t xml:space="preserve">Se convino en omitir el gráfico. </w:t>
      </w:r>
    </w:p>
    <w:p w:rsidR="0091333D" w:rsidRPr="0091333D" w:rsidRDefault="0091333D" w:rsidP="0091333D"/>
    <w:p w:rsidR="0091333D" w:rsidRPr="0091333D" w:rsidRDefault="0091333D" w:rsidP="0091333D">
      <w:pPr>
        <w:keepNext/>
        <w:spacing w:before="120" w:after="240"/>
        <w:outlineLvl w:val="2"/>
        <w:rPr>
          <w:i/>
        </w:rPr>
      </w:pPr>
      <w:bookmarkStart w:id="47" w:name="_Toc525478498"/>
      <w:bookmarkStart w:id="48" w:name="_Toc525647187"/>
      <w:r>
        <w:rPr>
          <w:i/>
        </w:rPr>
        <w:t>Sección 2.1.c)</w:t>
      </w:r>
      <w:bookmarkEnd w:id="47"/>
      <w:bookmarkEnd w:id="48"/>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que se modifique la sección 2.1.c) para que su texto sea el siguiente:</w:t>
      </w:r>
    </w:p>
    <w:p w:rsidR="0091333D" w:rsidRPr="0091333D" w:rsidRDefault="0091333D" w:rsidP="0091333D">
      <w:pPr>
        <w:autoSpaceDE w:val="0"/>
        <w:autoSpaceDN w:val="0"/>
        <w:adjustRightInd w:val="0"/>
      </w:pPr>
    </w:p>
    <w:p w:rsidR="0091333D" w:rsidRPr="0091333D" w:rsidRDefault="0091333D" w:rsidP="0091333D">
      <w:pPr>
        <w:shd w:val="clear" w:color="auto" w:fill="FFFFFF" w:themeFill="background1"/>
        <w:autoSpaceDE w:val="0"/>
        <w:autoSpaceDN w:val="0"/>
        <w:adjustRightInd w:val="0"/>
        <w:ind w:left="540" w:right="567" w:firstLine="27"/>
        <w:contextualSpacing/>
        <w:rPr>
          <w:sz w:val="18"/>
        </w:rPr>
      </w:pPr>
      <w:r>
        <w:rPr>
          <w:sz w:val="18"/>
        </w:rPr>
        <w:t xml:space="preserve">“La información sobre el genoma y el ligamiento debe ser reflejo de los objetivos. No es indispensable conocer la posición genómica de los marcadores seleccionados (es decir, su posición en el mapa), pero ayuda a evitar que se seleccionen marcadores que puedan estar ligados entre sí.” </w:t>
      </w:r>
    </w:p>
    <w:p w:rsidR="0091333D" w:rsidRPr="0091333D" w:rsidRDefault="0091333D" w:rsidP="0091333D"/>
    <w:p w:rsidR="0091333D" w:rsidRPr="0091333D" w:rsidRDefault="0091333D" w:rsidP="0091333D">
      <w:pPr>
        <w:keepNext/>
        <w:spacing w:before="120" w:after="240"/>
        <w:outlineLvl w:val="2"/>
        <w:rPr>
          <w:i/>
        </w:rPr>
      </w:pPr>
      <w:bookmarkStart w:id="49" w:name="_Toc525478499"/>
      <w:bookmarkStart w:id="50" w:name="_Toc525647188"/>
      <w:r>
        <w:rPr>
          <w:i/>
        </w:rPr>
        <w:t>Nueva sección 1.1.d)</w:t>
      </w:r>
      <w:bookmarkEnd w:id="49"/>
      <w:bookmarkEnd w:id="50"/>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añadir una nueva sección 1.1.d)</w:t>
      </w:r>
      <w:r w:rsidR="00AE5E49">
        <w:t xml:space="preserve">. </w:t>
      </w:r>
      <w:r w:rsidR="0091333D">
        <w:t>El BMT tamb</w:t>
      </w:r>
      <w:r w:rsidR="006757F0">
        <w:t>ién convino en que Francia, los </w:t>
      </w:r>
      <w:r w:rsidR="0091333D">
        <w:t>Países</w:t>
      </w:r>
      <w:r w:rsidR="004E5372">
        <w:t> </w:t>
      </w:r>
      <w:r w:rsidR="0091333D">
        <w:t>Bajos y la Unión Europea deben reconsiderar su propuesta de enumerar las posibles fuentes sin determinar su idoneidad, porque esta puede verse afectada por las circunstancias.</w:t>
      </w:r>
    </w:p>
    <w:p w:rsidR="0091333D" w:rsidRPr="0091333D" w:rsidRDefault="0091333D" w:rsidP="0091333D"/>
    <w:p w:rsidR="0091333D" w:rsidRPr="0091333D" w:rsidRDefault="0091333D" w:rsidP="0091333D">
      <w:pPr>
        <w:keepNext/>
        <w:spacing w:before="120" w:after="240"/>
        <w:outlineLvl w:val="2"/>
        <w:rPr>
          <w:i/>
        </w:rPr>
      </w:pPr>
      <w:bookmarkStart w:id="51" w:name="_Toc525478500"/>
      <w:bookmarkStart w:id="52" w:name="_Toc525647189"/>
      <w:r>
        <w:rPr>
          <w:i/>
        </w:rPr>
        <w:t>Nuevas secciones 1.1.f) a k)</w:t>
      </w:r>
      <w:bookmarkEnd w:id="51"/>
      <w:bookmarkEnd w:id="52"/>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añadir</w:t>
      </w:r>
      <w:r w:rsidR="00C569C7">
        <w:t xml:space="preserve"> las nuevas secciones 1.1.f) a </w:t>
      </w:r>
      <w:r w:rsidR="0091333D">
        <w:t>k) y desplazar la nueva sección 1.1.h) “Evitar el desequilibrio de ligamientos” a la nueva sección 1.1.c).</w:t>
      </w:r>
    </w:p>
    <w:p w:rsidR="0091333D" w:rsidRPr="0091333D" w:rsidRDefault="0091333D" w:rsidP="0091333D">
      <w:pPr>
        <w:autoSpaceDE w:val="0"/>
        <w:autoSpaceDN w:val="0"/>
        <w:adjustRightInd w:val="0"/>
      </w:pPr>
    </w:p>
    <w:p w:rsidR="0091333D" w:rsidRPr="0091333D" w:rsidRDefault="0091333D" w:rsidP="0069072B">
      <w:pPr>
        <w:keepNext/>
        <w:tabs>
          <w:tab w:val="left" w:pos="1418"/>
        </w:tabs>
        <w:spacing w:before="120" w:after="240"/>
        <w:outlineLvl w:val="2"/>
        <w:rPr>
          <w:i/>
        </w:rPr>
      </w:pPr>
      <w:bookmarkStart w:id="53" w:name="_Toc525478501"/>
      <w:bookmarkStart w:id="54" w:name="_Toc525647190"/>
      <w:r>
        <w:rPr>
          <w:i/>
        </w:rPr>
        <w:t xml:space="preserve">Sección </w:t>
      </w:r>
      <w:bookmarkStart w:id="55" w:name="_Toc522523218"/>
      <w:r>
        <w:rPr>
          <w:i/>
        </w:rPr>
        <w:t>2.2</w:t>
      </w:r>
      <w:r w:rsidR="00C569C7">
        <w:rPr>
          <w:i/>
        </w:rPr>
        <w:t>.</w:t>
      </w:r>
      <w:r w:rsidR="0069072B">
        <w:rPr>
          <w:i/>
        </w:rPr>
        <w:t xml:space="preserve"> </w:t>
      </w:r>
      <w:r>
        <w:rPr>
          <w:i/>
        </w:rPr>
        <w:t>Criterios para tipos específicos de marcadores moleculares</w:t>
      </w:r>
      <w:bookmarkEnd w:id="53"/>
      <w:bookmarkEnd w:id="54"/>
      <w:bookmarkEnd w:id="55"/>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eliminar la sección 2.2. </w:t>
      </w:r>
    </w:p>
    <w:p w:rsidR="0091333D" w:rsidRPr="0091333D" w:rsidRDefault="0091333D" w:rsidP="0091333D"/>
    <w:p w:rsidR="0091333D" w:rsidRPr="0091333D" w:rsidRDefault="0091333D" w:rsidP="0091333D">
      <w:pPr>
        <w:keepNext/>
        <w:spacing w:before="120" w:after="240"/>
        <w:outlineLvl w:val="2"/>
        <w:rPr>
          <w:i/>
        </w:rPr>
      </w:pPr>
      <w:bookmarkStart w:id="56" w:name="_Toc525478502"/>
      <w:bookmarkStart w:id="57" w:name="_Toc525647191"/>
      <w:r>
        <w:rPr>
          <w:i/>
        </w:rPr>
        <w:t>Nuevas secciones 1.2 y 1.3</w:t>
      </w:r>
      <w:bookmarkEnd w:id="56"/>
      <w:bookmarkEnd w:id="57"/>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no incluir las nuevas secciones 1.2 y 1.3 propuestas por Francia, los Países Bajos y la Unión Europea.</w:t>
      </w:r>
    </w:p>
    <w:p w:rsidR="0091333D" w:rsidRPr="0091333D" w:rsidRDefault="0091333D" w:rsidP="0091333D"/>
    <w:p w:rsidR="0091333D" w:rsidRPr="0091333D" w:rsidRDefault="0091333D" w:rsidP="0091333D">
      <w:pPr>
        <w:keepNext/>
        <w:spacing w:before="120" w:after="240"/>
        <w:outlineLvl w:val="2"/>
        <w:rPr>
          <w:i/>
        </w:rPr>
      </w:pPr>
      <w:bookmarkStart w:id="58" w:name="_Toc525478503"/>
      <w:bookmarkStart w:id="59" w:name="_Toc525647192"/>
      <w:r>
        <w:rPr>
          <w:i/>
        </w:rPr>
        <w:t>Nueva sección 2</w:t>
      </w:r>
      <w:bookmarkEnd w:id="58"/>
      <w:bookmarkEnd w:id="59"/>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añadir una nueva sección 2 “Fase 2: selección del método de de</w:t>
      </w:r>
      <w:r w:rsidR="00AE5E49">
        <w:t>tección” sin el texto siguiente:</w:t>
      </w:r>
      <w:r w:rsidR="0091333D">
        <w:t xml:space="preserve"> “Sea cual fuere la fuente del material, el método empleado para el muestreo y la extracción del ADN debe estar normalizado y documentado”.</w:t>
      </w:r>
    </w:p>
    <w:p w:rsidR="0091333D" w:rsidRPr="0091333D" w:rsidRDefault="0091333D" w:rsidP="0091333D"/>
    <w:p w:rsidR="0091333D" w:rsidRPr="0091333D" w:rsidRDefault="0091333D" w:rsidP="0091333D">
      <w:pPr>
        <w:keepNext/>
        <w:spacing w:before="120" w:after="240"/>
        <w:outlineLvl w:val="2"/>
        <w:rPr>
          <w:i/>
        </w:rPr>
      </w:pPr>
      <w:bookmarkStart w:id="60" w:name="_Toc525478504"/>
      <w:bookmarkStart w:id="61" w:name="_Toc525647193"/>
      <w:r>
        <w:rPr>
          <w:i/>
        </w:rPr>
        <w:t>Nueva sección 2.1</w:t>
      </w:r>
      <w:bookmarkEnd w:id="60"/>
      <w:bookmarkEnd w:id="61"/>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añadir una nueva sección 2.1 “Métodos de </w:t>
      </w:r>
      <w:proofErr w:type="spellStart"/>
      <w:r w:rsidR="0091333D">
        <w:t>genotipado</w:t>
      </w:r>
      <w:proofErr w:type="spellEnd"/>
      <w:r w:rsidR="0091333D">
        <w:t>: criterios generales” y a continuación la subsección 2.1.1. Con respecto a la subsección 2.1.1, el BMT convino en evitar que los criterios se clasifiquen en “criterios obligatorios” o “criterios optativos” y en eliminar “e) Aplicables a especies diploides y a especies poliploides”.</w:t>
      </w:r>
      <w:r w:rsidR="00AE5E49">
        <w:t xml:space="preserve"> </w:t>
      </w:r>
      <w:r w:rsidR="0091333D">
        <w:t>El BMT también convino en incluir el nuevo punto “sostenibilidad de las bases de datos” en la subsección 2.1.1.</w:t>
      </w:r>
      <w:r w:rsidR="00AE5E49">
        <w:t xml:space="preserve"> </w:t>
      </w:r>
      <w:r w:rsidR="0091333D">
        <w:t>El BMT convino en no incluir una nueva subsección 2.1.2, referida a los avances tecnológicos.</w:t>
      </w:r>
    </w:p>
    <w:p w:rsidR="0091333D" w:rsidRPr="0091333D" w:rsidRDefault="0091333D" w:rsidP="0091333D"/>
    <w:p w:rsidR="0091333D" w:rsidRPr="0091333D" w:rsidRDefault="0091333D" w:rsidP="0091333D">
      <w:pPr>
        <w:keepNext/>
        <w:spacing w:before="120" w:after="240"/>
        <w:outlineLvl w:val="2"/>
        <w:rPr>
          <w:i/>
        </w:rPr>
      </w:pPr>
      <w:bookmarkStart w:id="62" w:name="_Toc525478505"/>
      <w:bookmarkStart w:id="63" w:name="_Toc525647194"/>
      <w:r>
        <w:rPr>
          <w:i/>
        </w:rPr>
        <w:lastRenderedPageBreak/>
        <w:t>Nueva sección 2.2</w:t>
      </w:r>
      <w:bookmarkEnd w:id="62"/>
      <w:bookmarkEnd w:id="63"/>
      <w:r>
        <w:rPr>
          <w:i/>
        </w:rPr>
        <w:t xml:space="preserve"> </w:t>
      </w:r>
    </w:p>
    <w:p w:rsidR="0091333D" w:rsidRPr="0091333D" w:rsidRDefault="00742368" w:rsidP="0091333D">
      <w:pPr>
        <w:rPr>
          <w:i/>
        </w:rPr>
      </w:pPr>
      <w:r w:rsidRPr="003C7ECE">
        <w:fldChar w:fldCharType="begin"/>
      </w:r>
      <w:r w:rsidR="0091333D" w:rsidRPr="0091333D">
        <w:instrText xml:space="preserve"> AUTONUM  </w:instrText>
      </w:r>
      <w:r w:rsidRPr="003C7ECE">
        <w:fldChar w:fldCharType="end"/>
      </w:r>
      <w:r w:rsidR="0091333D">
        <w:tab/>
        <w:t>El BMT convino en que Francia, los Países Bajos y la Unión Europea deben reagrupar los elementos propuestos en la nueva sección 2.1.</w:t>
      </w:r>
    </w:p>
    <w:p w:rsidR="0091333D" w:rsidRPr="0091333D" w:rsidRDefault="0091333D" w:rsidP="0091333D">
      <w:pPr>
        <w:autoSpaceDE w:val="0"/>
        <w:autoSpaceDN w:val="0"/>
        <w:adjustRightInd w:val="0"/>
      </w:pPr>
    </w:p>
    <w:p w:rsidR="0091333D" w:rsidRPr="0091333D" w:rsidRDefault="0091333D" w:rsidP="0069072B">
      <w:pPr>
        <w:keepNext/>
        <w:tabs>
          <w:tab w:val="left" w:pos="1134"/>
        </w:tabs>
        <w:spacing w:before="120" w:after="240"/>
        <w:outlineLvl w:val="2"/>
        <w:rPr>
          <w:i/>
        </w:rPr>
      </w:pPr>
      <w:bookmarkStart w:id="64" w:name="_Toc525478506"/>
      <w:bookmarkStart w:id="65" w:name="_Toc525647195"/>
      <w:r>
        <w:rPr>
          <w:i/>
        </w:rPr>
        <w:t>Sección 3.</w:t>
      </w:r>
      <w:r w:rsidR="0069072B">
        <w:rPr>
          <w:i/>
        </w:rPr>
        <w:t xml:space="preserve"> </w:t>
      </w:r>
      <w:r>
        <w:rPr>
          <w:i/>
        </w:rPr>
        <w:t>Acceso a la tecnología</w:t>
      </w:r>
      <w:bookmarkEnd w:id="64"/>
      <w:bookmarkEnd w:id="65"/>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cambiar la numeración de la sección 3 para que figure como sección 2.3 </w:t>
      </w:r>
    </w:p>
    <w:p w:rsidR="0091333D" w:rsidRPr="0091333D" w:rsidRDefault="0091333D" w:rsidP="0091333D"/>
    <w:p w:rsidR="0091333D" w:rsidRPr="0091333D" w:rsidRDefault="0091333D" w:rsidP="0091333D">
      <w:pPr>
        <w:keepNext/>
        <w:spacing w:before="120" w:after="240"/>
        <w:outlineLvl w:val="2"/>
        <w:rPr>
          <w:i/>
        </w:rPr>
      </w:pPr>
      <w:bookmarkStart w:id="66" w:name="_Toc525478507"/>
      <w:bookmarkStart w:id="67" w:name="_Toc525647196"/>
      <w:r>
        <w:rPr>
          <w:i/>
        </w:rPr>
        <w:t>Nueva sección 2.4</w:t>
      </w:r>
      <w:bookmarkEnd w:id="66"/>
      <w:bookmarkEnd w:id="67"/>
      <w:r>
        <w:rPr>
          <w:i/>
        </w:rPr>
        <w:t xml:space="preserve"> </w:t>
      </w:r>
    </w:p>
    <w:p w:rsidR="0091333D" w:rsidRPr="0091333D" w:rsidRDefault="00742368" w:rsidP="0091333D">
      <w:pPr>
        <w:rPr>
          <w:i/>
        </w:rPr>
      </w:pPr>
      <w:r w:rsidRPr="003C7ECE">
        <w:fldChar w:fldCharType="begin"/>
      </w:r>
      <w:r w:rsidR="0091333D" w:rsidRPr="0091333D">
        <w:instrText xml:space="preserve"> AUTONUM  </w:instrText>
      </w:r>
      <w:r w:rsidRPr="003C7ECE">
        <w:fldChar w:fldCharType="end"/>
      </w:r>
      <w:r w:rsidR="0091333D">
        <w:tab/>
        <w:t>El BMT convino en que el Francia, los Países Bajos y la Unión Europea deben acortar el texto propuesto y presentarlo en un preámbulo al principio del documento.</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68" w:name="_Toc525478508"/>
      <w:bookmarkStart w:id="69" w:name="_Toc525647197"/>
      <w:r>
        <w:rPr>
          <w:i/>
        </w:rPr>
        <w:t>Sección 4.</w:t>
      </w:r>
      <w:r w:rsidR="00AE5E49">
        <w:rPr>
          <w:i/>
        </w:rPr>
        <w:t xml:space="preserve"> </w:t>
      </w:r>
      <w:r>
        <w:rPr>
          <w:i/>
        </w:rPr>
        <w:t>Material a analizar</w:t>
      </w:r>
      <w:bookmarkEnd w:id="68"/>
      <w:bookmarkEnd w:id="69"/>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desplazar los textos y subsecciones actuales de la sección 4 a una nueva sección 5.2 “Requisitos del material vegetal”.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70" w:name="_Toc525478509"/>
      <w:bookmarkStart w:id="71" w:name="_Toc525647198"/>
      <w:r>
        <w:rPr>
          <w:i/>
        </w:rPr>
        <w:t>Sección 4.4</w:t>
      </w:r>
      <w:bookmarkEnd w:id="70"/>
      <w:bookmarkEnd w:id="71"/>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aprobó el texto </w:t>
      </w:r>
      <w:r w:rsidR="0069072B">
        <w:t xml:space="preserve">de la sección 4.4 </w:t>
      </w:r>
      <w:r w:rsidR="0091333D">
        <w:t>propuesto por Francia, los Países Bajos y la Unión Europea, con la salvedad de que la tercera frase se debe sustituir por una referenc</w:t>
      </w:r>
      <w:r w:rsidR="004535EC">
        <w:t>ia a la sección 1 del documento </w:t>
      </w:r>
      <w:r w:rsidR="0091333D">
        <w:t>TGP/5 relativa a la transferencia de material.</w:t>
      </w:r>
      <w:r w:rsidR="00AE5E49">
        <w:t xml:space="preserve">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72" w:name="_Toc525478510"/>
      <w:bookmarkStart w:id="73" w:name="_Toc525647199"/>
      <w:r>
        <w:rPr>
          <w:i/>
        </w:rPr>
        <w:t>Sección 5.</w:t>
      </w:r>
      <w:r w:rsidR="00AE5E49">
        <w:rPr>
          <w:i/>
        </w:rPr>
        <w:t xml:space="preserve"> </w:t>
      </w:r>
      <w:r>
        <w:rPr>
          <w:i/>
        </w:rPr>
        <w:t>Estandarización de los protocolos analíticos</w:t>
      </w:r>
      <w:bookmarkEnd w:id="72"/>
      <w:bookmarkEnd w:id="73"/>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 xml:space="preserve">El BMT convino en eliminar la actual sección 5 y sustituirla por una nueva sección 4 “Fase 4: armonización y validación del conjunto de marcadores y el método”.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74" w:name="_Toc525478511"/>
      <w:bookmarkStart w:id="75" w:name="_Toc525647200"/>
      <w:r>
        <w:rPr>
          <w:i/>
        </w:rPr>
        <w:t>Sección 5.1</w:t>
      </w:r>
      <w:bookmarkEnd w:id="74"/>
      <w:bookmarkEnd w:id="75"/>
      <w:r>
        <w:rPr>
          <w:i/>
        </w:rPr>
        <w:t xml:space="preserve"> </w:t>
      </w:r>
    </w:p>
    <w:p w:rsidR="0091333D" w:rsidRPr="0091333D" w:rsidRDefault="00742368" w:rsidP="0091333D">
      <w:pPr>
        <w:keepLines/>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eliminar la actual sección 5.1 y sustituirla por una nueva sección 4.1 “Armonización y validación: criterios generales”.</w:t>
      </w:r>
      <w:r w:rsidR="00AE5E49">
        <w:t xml:space="preserve"> </w:t>
      </w:r>
      <w:r w:rsidR="0091333D">
        <w:t>El BMT también convino en que Francia, los Países Bajos y la Unión Europea deben reconsiderar los textos propuestos para la nueva sección 4.1 para aclarar que el uso de métodos validados dará lugar a resultados armonizados.</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76" w:name="_Toc525478512"/>
      <w:bookmarkStart w:id="77" w:name="_Toc525647201"/>
      <w:r>
        <w:rPr>
          <w:i/>
        </w:rPr>
        <w:t>Sección 5.2</w:t>
      </w:r>
      <w:bookmarkEnd w:id="76"/>
      <w:bookmarkEnd w:id="77"/>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eliminar la actual sección 5.2 y sustituirla por una nueva sección 4.2 “Criterios de rendimiento”.</w:t>
      </w:r>
      <w:r w:rsidR="00AE5E49">
        <w:t xml:space="preserve"> </w:t>
      </w:r>
      <w:r w:rsidR="0091333D">
        <w:t>Con respecto a los textos propuestos para la nueva sección 4.1, el BMT convino en enumerar los criterios sin la información aclaratoria adicional.</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78" w:name="_Toc525478513"/>
      <w:bookmarkStart w:id="79" w:name="_Toc525647202"/>
      <w:r>
        <w:rPr>
          <w:i/>
        </w:rPr>
        <w:t>Sección 5.3</w:t>
      </w:r>
      <w:bookmarkEnd w:id="78"/>
      <w:bookmarkEnd w:id="79"/>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eliminar la actual sección 5.3 y sustituirla por una nueva sección 3 “Fase 3: Evaluación del conjunto de marcadores seleccionados y el método de detección (apto a efectos de la validación del conjunto de marcadores y la validación técnica del método)”.</w:t>
      </w:r>
      <w:r w:rsidR="00AE5E49">
        <w:t xml:space="preserve"> </w:t>
      </w:r>
      <w:r w:rsidR="0091333D">
        <w:t>Con respecto a la subsección 3.1.1 que se propone incluir en la nueva sección 3, el BMT con</w:t>
      </w:r>
      <w:r w:rsidR="004535EC">
        <w:t>vino en que Francia, los Países </w:t>
      </w:r>
      <w:r w:rsidR="0091333D">
        <w:t>Bajos y la Unión Europea deben reconsiderar los textos a fin de explicar la necesidad de utilizar un conjunto de variedades idóneo para obtener conjuntos de marcadores y otro conjunto de variedades para evaluar el conjunto de marcadores.</w:t>
      </w:r>
      <w:r w:rsidR="00AE5E49">
        <w:t xml:space="preserve"> </w:t>
      </w:r>
      <w:r w:rsidR="0091333D">
        <w:t xml:space="preserve">Con respecto a la subsección 3.1.2 propuesta, el </w:t>
      </w:r>
      <w:r w:rsidR="0069072B">
        <w:t>BMT convino en que </w:t>
      </w:r>
      <w:r w:rsidR="004535EC">
        <w:t>Francia, los </w:t>
      </w:r>
      <w:r w:rsidR="0091333D">
        <w:t>Países Bajos y la Unión Europea deben revisar el texto.</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80" w:name="_Toc525478514"/>
      <w:bookmarkStart w:id="81" w:name="_Toc525647203"/>
      <w:r>
        <w:rPr>
          <w:i/>
        </w:rPr>
        <w:lastRenderedPageBreak/>
        <w:t>Nueva sección 4.3</w:t>
      </w:r>
      <w:bookmarkEnd w:id="80"/>
      <w:bookmarkEnd w:id="81"/>
      <w:r>
        <w:rPr>
          <w:i/>
        </w:rPr>
        <w:t xml:space="preserve"> </w:t>
      </w:r>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añadir una nueva sección 4.3 “Criterios de coherencia: armonización de marcadores y métodos en los criterios de rendimiento de diferentes laboratorios”.</w:t>
      </w:r>
      <w:r w:rsidR="00AE5E49">
        <w:t xml:space="preserve"> </w:t>
      </w:r>
      <w:r w:rsidR="0091333D">
        <w:t>El BMT también convino en que Francia, los Países Bajos y la Unión Europea deben revisar esta nueva sección a fin de evitar que se dupliquen las secciones anteriores.</w:t>
      </w:r>
      <w:r w:rsidR="0091333D">
        <w:tab/>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82" w:name="_Toc525478515"/>
      <w:bookmarkStart w:id="83" w:name="_Toc525647204"/>
      <w:r>
        <w:rPr>
          <w:i/>
        </w:rPr>
        <w:t>Sección 6.</w:t>
      </w:r>
      <w:r>
        <w:tab/>
      </w:r>
      <w:r>
        <w:rPr>
          <w:i/>
        </w:rPr>
        <w:t>Bases de datos</w:t>
      </w:r>
      <w:bookmarkEnd w:id="82"/>
      <w:bookmarkEnd w:id="83"/>
    </w:p>
    <w:p w:rsidR="0091333D" w:rsidRPr="0091333D" w:rsidRDefault="00742368" w:rsidP="0091333D">
      <w:pPr>
        <w:autoSpaceDE w:val="0"/>
        <w:autoSpaceDN w:val="0"/>
        <w:adjustRightInd w:val="0"/>
      </w:pPr>
      <w:r w:rsidRPr="003C7ECE">
        <w:fldChar w:fldCharType="begin"/>
      </w:r>
      <w:r w:rsidR="0091333D" w:rsidRPr="0091333D">
        <w:instrText xml:space="preserve"> AUTONUM  </w:instrText>
      </w:r>
      <w:r w:rsidRPr="003C7ECE">
        <w:fldChar w:fldCharType="end"/>
      </w:r>
      <w:r w:rsidR="0091333D">
        <w:tab/>
        <w:t>El BMT convino en introducir una nueva sección 6 “Intercambio de datos” después de la sección 5 “Bases de datos”.</w:t>
      </w:r>
      <w:r w:rsidR="00AE5E49">
        <w:t xml:space="preserve"> </w:t>
      </w:r>
      <w:r w:rsidR="0091333D">
        <w:t>Con respecto a los textos propuestos por Franc</w:t>
      </w:r>
      <w:r w:rsidR="004535EC">
        <w:t>ia, los Países Bajos y la Unión </w:t>
      </w:r>
      <w:r w:rsidR="0091333D">
        <w:t>Europea, el BMT convino en que Francia, los Países Bajos y la Unión Europea deben eliminar el término “bases de datos compartidas” de la propuesta corregida sobre bases de datos e indicar las expresiones completas de “VCF” y “BCF” en la lista de siglas.</w:t>
      </w:r>
      <w:r w:rsidR="00AE5E49">
        <w:t xml:space="preserve">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84" w:name="_Toc525478516"/>
      <w:bookmarkStart w:id="85" w:name="_Toc525647205"/>
      <w:r>
        <w:rPr>
          <w:i/>
        </w:rPr>
        <w:t>Nueva sección 5.3</w:t>
      </w:r>
      <w:bookmarkEnd w:id="84"/>
      <w:bookmarkEnd w:id="85"/>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que Francia, los Países Bajos y la Unión Europea deben evitar recomendar “herramientas de código abierto” en la sección 5.3.d), cambi</w:t>
      </w:r>
      <w:r w:rsidR="00C44098">
        <w:t>ar</w:t>
      </w:r>
      <w:r w:rsidR="0091333D">
        <w:t xml:space="preserve"> la palabra “cultivar” por “variedad” y proporcion</w:t>
      </w:r>
      <w:r w:rsidR="00C44098">
        <w:t>ar</w:t>
      </w:r>
      <w:r w:rsidR="0091333D">
        <w:t xml:space="preserve"> el significado de “</w:t>
      </w:r>
      <w:proofErr w:type="spellStart"/>
      <w:r w:rsidR="0091333D">
        <w:t>bam</w:t>
      </w:r>
      <w:proofErr w:type="spellEnd"/>
      <w:r w:rsidR="0091333D">
        <w:t>” y “CRAM” en la lista de siglas.</w:t>
      </w:r>
      <w:r w:rsidR="00AE5E49">
        <w:t xml:space="preserve">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86" w:name="_Toc525478517"/>
      <w:bookmarkStart w:id="87" w:name="_Toc525647206"/>
      <w:r>
        <w:rPr>
          <w:i/>
        </w:rPr>
        <w:t>Sección 6.1</w:t>
      </w:r>
      <w:bookmarkEnd w:id="86"/>
      <w:bookmarkEnd w:id="87"/>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cambiar la numeración de la sección 6.1 para qu</w:t>
      </w:r>
      <w:r w:rsidR="004535EC">
        <w:t>e figure como una nueva sección </w:t>
      </w:r>
      <w:r w:rsidR="0091333D">
        <w:t>5.4.</w:t>
      </w:r>
      <w:r w:rsidR="00AE5E49">
        <w:t xml:space="preserve"> </w:t>
      </w:r>
      <w:r w:rsidR="0091333D">
        <w:t xml:space="preserve">Con el texto propuesto, el BMT convino en que Francia, los Países Bajos y la Unión Europea deben eliminar el hiperenlace a las especificaciones y analizar si se las debe indicar como método preferido.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88" w:name="_Toc525478518"/>
      <w:bookmarkStart w:id="89" w:name="_Toc525647207"/>
      <w:r>
        <w:rPr>
          <w:i/>
        </w:rPr>
        <w:t>Sección 6.2</w:t>
      </w:r>
      <w:bookmarkEnd w:id="88"/>
      <w:bookmarkEnd w:id="89"/>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cambiar la numeración de la sección 6.2 para que figure como sección 5.5 y añadir las siguientes frases al final de los textos actuales</w:t>
      </w:r>
      <w:r w:rsidR="00C44098">
        <w:t>:</w:t>
      </w:r>
      <w:r w:rsidR="0091333D">
        <w:t xml:space="preserve"> “Para las variantes obtenidas a partir de datos de secuenciación, se recomienda guardar los archivos VCF en una base de datos SQL, ya sea relacional o no. En este caso cada registro de una variante en la base de datos tiene una versión genómica, un cromosoma, una posición y un alelo de referencia definidos”.</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90" w:name="_Toc525478519"/>
      <w:bookmarkStart w:id="91" w:name="_Toc525647208"/>
      <w:r>
        <w:rPr>
          <w:i/>
        </w:rPr>
        <w:t>Sección 6.3</w:t>
      </w:r>
      <w:bookmarkEnd w:id="90"/>
      <w:bookmarkEnd w:id="91"/>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 xml:space="preserve">El BMT convino en cambiar la numeración de la sección 6.3 para que figure como sección 5.6.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92" w:name="_Toc525478520"/>
      <w:bookmarkStart w:id="93" w:name="_Toc525647209"/>
      <w:r>
        <w:rPr>
          <w:i/>
        </w:rPr>
        <w:t>Sección 6.3.1.b)</w:t>
      </w:r>
      <w:bookmarkEnd w:id="92"/>
      <w:bookmarkEnd w:id="93"/>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 xml:space="preserve">El BMT convino en modificar el título de la sección 6.3.1.b), que ha de ser “Posición en el genoma de referencia o código del locus:”, y en que su texto sea el siguiente: “De ser posible, se debe proporcionar una versión del ensamblaje del genoma, el cromosoma y la posición, si se dispone de un genoma de referencia de la especie de que se trate p. ej. </w:t>
      </w:r>
      <w:r w:rsidR="0091333D">
        <w:rPr>
          <w:i/>
        </w:rPr>
        <w:t>SL2.50ch05:63309763</w:t>
      </w:r>
      <w:r w:rsidR="0091333D">
        <w:t xml:space="preserve"> en el caso del tomate</w:t>
      </w:r>
      <w:r w:rsidR="0091333D">
        <w:rPr>
          <w:i/>
        </w:rPr>
        <w:t xml:space="preserve"> </w:t>
      </w:r>
      <w:proofErr w:type="spellStart"/>
      <w:r w:rsidR="0091333D">
        <w:rPr>
          <w:i/>
        </w:rPr>
        <w:t>Solanum</w:t>
      </w:r>
      <w:proofErr w:type="spellEnd"/>
      <w:r w:rsidR="0091333D">
        <w:rPr>
          <w:i/>
        </w:rPr>
        <w:t xml:space="preserve"> </w:t>
      </w:r>
      <w:proofErr w:type="spellStart"/>
      <w:r w:rsidR="0091333D">
        <w:rPr>
          <w:i/>
        </w:rPr>
        <w:t>lycopersicum</w:t>
      </w:r>
      <w:proofErr w:type="spellEnd"/>
      <w:r w:rsidR="0091333D">
        <w:t xml:space="preserve">, la versión 2.50 del ensamblaje del genoma, el cromosoma 5 y la posición 63309763. Si no se dispone de un genoma de referencia o se desconoce la posición, puede utilizarse el nombre o el código del locus de la especie en cuestión, por </w:t>
      </w:r>
      <w:proofErr w:type="gramStart"/>
      <w:r w:rsidR="0091333D">
        <w:t>ejemplo</w:t>
      </w:r>
      <w:proofErr w:type="gramEnd"/>
      <w:r w:rsidR="0091333D">
        <w:t xml:space="preserve"> </w:t>
      </w:r>
      <w:proofErr w:type="spellStart"/>
      <w:r w:rsidR="0091333D">
        <w:rPr>
          <w:i/>
        </w:rPr>
        <w:t>gwm</w:t>
      </w:r>
      <w:proofErr w:type="spellEnd"/>
      <w:r w:rsidR="0091333D">
        <w:rPr>
          <w:i/>
        </w:rPr>
        <w:t> 149, A2</w:t>
      </w:r>
      <w:r w:rsidR="0091333D">
        <w:t xml:space="preserve">, etc.” </w:t>
      </w:r>
    </w:p>
    <w:p w:rsidR="0091333D" w:rsidRPr="0091333D" w:rsidRDefault="0091333D" w:rsidP="0091333D">
      <w:pPr>
        <w:autoSpaceDE w:val="0"/>
        <w:autoSpaceDN w:val="0"/>
        <w:adjustRightInd w:val="0"/>
        <w:spacing w:line="360" w:lineRule="auto"/>
      </w:pPr>
    </w:p>
    <w:p w:rsidR="0091333D" w:rsidRPr="0091333D" w:rsidRDefault="0091333D" w:rsidP="0091333D">
      <w:pPr>
        <w:keepNext/>
        <w:rPr>
          <w:i/>
        </w:rPr>
      </w:pPr>
      <w:r>
        <w:rPr>
          <w:i/>
        </w:rPr>
        <w:t xml:space="preserve">Sección 6.3.1.c) </w:t>
      </w:r>
    </w:p>
    <w:p w:rsidR="0091333D" w:rsidRPr="0091333D" w:rsidRDefault="0091333D" w:rsidP="0091333D">
      <w:pPr>
        <w:keepNext/>
      </w:pP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modificar el título de la sección 6.3.1.c), que ha de ser “Genotipo”, y en que su texto sea el siguiente</w:t>
      </w:r>
      <w:r w:rsidR="00642BFF">
        <w:t>:</w:t>
      </w:r>
      <w:r w:rsidR="0091333D">
        <w:t xml:space="preserve"> “En el caso de los genotipos SNP, debe proporcionarse la composición alé</w:t>
      </w:r>
      <w:r w:rsidR="004535EC">
        <w:t>lica del </w:t>
      </w:r>
      <w:r w:rsidR="0091333D">
        <w:rPr>
          <w:i/>
        </w:rPr>
        <w:t>SNP</w:t>
      </w:r>
      <w:r w:rsidR="0091333D">
        <w:t xml:space="preserve"> o el </w:t>
      </w:r>
      <w:r w:rsidR="0091333D">
        <w:rPr>
          <w:i/>
        </w:rPr>
        <w:t>MNP</w:t>
      </w:r>
      <w:r w:rsidR="0091333D">
        <w:t xml:space="preserve">, por ejemplo, </w:t>
      </w:r>
      <w:r w:rsidR="0091333D">
        <w:rPr>
          <w:i/>
        </w:rPr>
        <w:t>A/T</w:t>
      </w:r>
      <w:r w:rsidR="0091333D">
        <w:t xml:space="preserve"> o </w:t>
      </w:r>
      <w:r w:rsidR="0091333D">
        <w:rPr>
          <w:i/>
        </w:rPr>
        <w:t>A/A</w:t>
      </w:r>
      <w:r w:rsidR="0091333D">
        <w:t>.</w:t>
      </w:r>
      <w:r w:rsidR="00AE5E49">
        <w:t xml:space="preserve"> </w:t>
      </w:r>
      <w:r w:rsidR="0091333D">
        <w:t xml:space="preserve">Si se trata de otras técnicas, el genotipo indica el nombre o código </w:t>
      </w:r>
      <w:proofErr w:type="spellStart"/>
      <w:r w:rsidR="0091333D">
        <w:t>del</w:t>
      </w:r>
      <w:proofErr w:type="spellEnd"/>
      <w:r w:rsidR="0091333D">
        <w:t xml:space="preserve"> un determinado locus de la especie de que se trate, por ejemplo, </w:t>
      </w:r>
      <w:r w:rsidR="0091333D">
        <w:rPr>
          <w:i/>
        </w:rPr>
        <w:t>1, 123</w:t>
      </w:r>
      <w:r w:rsidR="0091333D">
        <w:t>, etc.”</w:t>
      </w:r>
      <w:r w:rsidR="00AE5E49">
        <w:t xml:space="preserve"> </w:t>
      </w:r>
      <w:r w:rsidR="0091333D">
        <w:t>El BMT convino en que Francia, los Países Bajos y la Unión Europea deben proporcionar el significado de “MNP” en la lista de siglas.</w:t>
      </w:r>
    </w:p>
    <w:p w:rsidR="0091333D" w:rsidRPr="0091333D" w:rsidRDefault="0091333D" w:rsidP="0091333D">
      <w:pPr>
        <w:autoSpaceDE w:val="0"/>
        <w:autoSpaceDN w:val="0"/>
        <w:adjustRightInd w:val="0"/>
        <w:spacing w:line="360" w:lineRule="auto"/>
      </w:pPr>
    </w:p>
    <w:p w:rsidR="0091333D" w:rsidRPr="0091333D" w:rsidRDefault="0091333D" w:rsidP="0091333D">
      <w:pPr>
        <w:keepNext/>
        <w:rPr>
          <w:i/>
        </w:rPr>
      </w:pPr>
      <w:r>
        <w:rPr>
          <w:i/>
        </w:rPr>
        <w:lastRenderedPageBreak/>
        <w:t xml:space="preserve">Sección 6.3.1.d) </w:t>
      </w:r>
    </w:p>
    <w:p w:rsidR="0091333D" w:rsidRPr="0091333D" w:rsidRDefault="0091333D" w:rsidP="0091333D">
      <w:pPr>
        <w:keepNext/>
      </w:pPr>
    </w:p>
    <w:p w:rsidR="0091333D" w:rsidRPr="004E5372" w:rsidRDefault="00742368" w:rsidP="0091333D">
      <w:r w:rsidRPr="003C7ECE">
        <w:fldChar w:fldCharType="begin"/>
      </w:r>
      <w:r w:rsidR="0091333D" w:rsidRPr="0091333D">
        <w:instrText xml:space="preserve"> AUTONUM  </w:instrText>
      </w:r>
      <w:r w:rsidRPr="003C7ECE">
        <w:fldChar w:fldCharType="end"/>
      </w:r>
      <w:r w:rsidR="0091333D">
        <w:tab/>
        <w:t>El BMT convino en modificar el título de la sección 6.3.1.d), que ha de ser “Profundidades alélicas o valor de los datos:”, y en que su texto sea el siguiente “En el caso de los SNP obtenidos de datos de secuenciación de última generación, estos deben indicar la profundidad de cobertura de los alelos, por ejemplo, 10/20 para un alelo </w:t>
      </w:r>
      <w:r w:rsidR="0091333D">
        <w:rPr>
          <w:i/>
        </w:rPr>
        <w:t>A/T</w:t>
      </w:r>
      <w:r w:rsidR="0091333D">
        <w:t xml:space="preserve">, en el que </w:t>
      </w:r>
      <w:r w:rsidR="0091333D">
        <w:rPr>
          <w:i/>
        </w:rPr>
        <w:t>A</w:t>
      </w:r>
      <w:r w:rsidR="0091333D">
        <w:t xml:space="preserve"> se ha cubierto mediante 10 lecturas y </w:t>
      </w:r>
      <w:r w:rsidR="0091333D">
        <w:rPr>
          <w:i/>
        </w:rPr>
        <w:t>T</w:t>
      </w:r>
      <w:r w:rsidR="0091333D">
        <w:t xml:space="preserve"> mediante 20 lecturas. De lo contrario, se designa el valor de los datos de una muestra determinada respecto de un alelo presente en un locus determinado, por </w:t>
      </w:r>
      <w:r w:rsidR="0091333D" w:rsidRPr="004E5372">
        <w:t>ejemplo, 0 (ausencia), 1 (presencia), 0,25</w:t>
      </w:r>
      <w:r w:rsidR="00AE5E49" w:rsidRPr="004E5372">
        <w:t xml:space="preserve"> </w:t>
      </w:r>
      <w:r w:rsidR="0091333D" w:rsidRPr="004E5372">
        <w:t>(frecuencia), etc.</w:t>
      </w:r>
      <w:r w:rsidR="004E5372">
        <w:t>”.</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94" w:name="_Toc525478521"/>
      <w:bookmarkStart w:id="95" w:name="_Toc525647210"/>
      <w:r>
        <w:rPr>
          <w:i/>
        </w:rPr>
        <w:t>Nueva sección 6. “Fase 4: Gestión de la base de datos”</w:t>
      </w:r>
      <w:bookmarkEnd w:id="94"/>
      <w:bookmarkEnd w:id="95"/>
      <w:r>
        <w:rPr>
          <w:i/>
        </w:rPr>
        <w:t xml:space="preserve"> </w:t>
      </w:r>
    </w:p>
    <w:p w:rsidR="0091333D" w:rsidRPr="0091333D" w:rsidRDefault="00742368" w:rsidP="0091333D">
      <w:pPr>
        <w:rPr>
          <w:highlight w:val="yellow"/>
        </w:rPr>
      </w:pPr>
      <w:r w:rsidRPr="003C7ECE">
        <w:fldChar w:fldCharType="begin"/>
      </w:r>
      <w:r w:rsidR="0091333D" w:rsidRPr="0091333D">
        <w:instrText xml:space="preserve"> AUTONUM  </w:instrText>
      </w:r>
      <w:r w:rsidRPr="003C7ECE">
        <w:fldChar w:fldCharType="end"/>
      </w:r>
      <w:r w:rsidR="0091333D">
        <w:tab/>
        <w:t>El BMT convino en no incluir la nueva sección 6 que se propuso añadir.</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96" w:name="_Toc525478522"/>
      <w:bookmarkStart w:id="97" w:name="_Toc525647211"/>
      <w:r>
        <w:rPr>
          <w:i/>
        </w:rPr>
        <w:t>Sección 7. Resumen</w:t>
      </w:r>
      <w:bookmarkEnd w:id="96"/>
      <w:bookmarkEnd w:id="97"/>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que se ha de modificar el resumen conforme a los cambios introducidos en la estructura y el contenido del documento.</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98" w:name="_Toc525478523"/>
      <w:bookmarkStart w:id="99" w:name="_Toc525647212"/>
      <w:r>
        <w:rPr>
          <w:i/>
        </w:rPr>
        <w:t>Nueva sección C “DEFINICIONES”</w:t>
      </w:r>
      <w:bookmarkEnd w:id="98"/>
      <w:bookmarkEnd w:id="99"/>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El BMT convino en no añadir la nueva sección C “DEFINICIONES”.</w:t>
      </w:r>
      <w:r w:rsidR="00AE5E49">
        <w:t xml:space="preserve"> </w:t>
      </w:r>
    </w:p>
    <w:p w:rsidR="0091333D" w:rsidRPr="0091333D" w:rsidRDefault="0091333D" w:rsidP="0091333D">
      <w:pPr>
        <w:autoSpaceDE w:val="0"/>
        <w:autoSpaceDN w:val="0"/>
        <w:adjustRightInd w:val="0"/>
      </w:pPr>
    </w:p>
    <w:p w:rsidR="0091333D" w:rsidRPr="0091333D" w:rsidRDefault="0091333D" w:rsidP="0091333D">
      <w:pPr>
        <w:keepNext/>
        <w:spacing w:before="120" w:after="240"/>
        <w:outlineLvl w:val="2"/>
        <w:rPr>
          <w:i/>
        </w:rPr>
      </w:pPr>
      <w:bookmarkStart w:id="100" w:name="_Toc525478524"/>
      <w:bookmarkStart w:id="101" w:name="_Toc525647213"/>
      <w:r>
        <w:t>GLOSARIO</w:t>
      </w:r>
      <w:bookmarkEnd w:id="100"/>
      <w:bookmarkEnd w:id="101"/>
      <w:r>
        <w:rPr>
          <w:i/>
        </w:rPr>
        <w:t xml:space="preserve"> </w:t>
      </w:r>
    </w:p>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 xml:space="preserve">El BMT convino en que el glosario debe reemplazarse por una lista de siglas en que se proporcionen sus </w:t>
      </w:r>
      <w:proofErr w:type="gramStart"/>
      <w:r w:rsidR="0091333D">
        <w:t>significados</w:t>
      </w:r>
      <w:proofErr w:type="gramEnd"/>
      <w:r w:rsidR="0091333D">
        <w:t xml:space="preserve"> pero no se expliquen los términos.</w:t>
      </w:r>
    </w:p>
    <w:p w:rsidR="0091333D" w:rsidRPr="0091333D" w:rsidRDefault="0091333D" w:rsidP="0091333D"/>
    <w:p w:rsidR="0091333D" w:rsidRPr="0091333D" w:rsidRDefault="00742368" w:rsidP="0091333D">
      <w:r w:rsidRPr="003C7ECE">
        <w:fldChar w:fldCharType="begin"/>
      </w:r>
      <w:r w:rsidR="0091333D" w:rsidRPr="0091333D">
        <w:instrText xml:space="preserve"> AUTONUM  </w:instrText>
      </w:r>
      <w:r w:rsidRPr="003C7ECE">
        <w:fldChar w:fldCharType="end"/>
      </w:r>
      <w:r w:rsidR="0091333D">
        <w:tab/>
        <w:t xml:space="preserve">El BMT convino en proponer al TC que Francia, los Países Bajos y la Unión Europea elaboren un nuevo proyecto de documento INF/17 para su examen en la decimoctava sesión del BMT. </w:t>
      </w:r>
    </w:p>
    <w:p w:rsidR="0091333D" w:rsidRPr="0091333D" w:rsidRDefault="0091333D" w:rsidP="0091333D">
      <w:pPr>
        <w:autoSpaceDE w:val="0"/>
        <w:autoSpaceDN w:val="0"/>
        <w:adjustRightInd w:val="0"/>
        <w:rPr>
          <w:rFonts w:cs="Arial"/>
        </w:rPr>
      </w:pPr>
    </w:p>
    <w:p w:rsidR="0091333D" w:rsidRPr="0091333D" w:rsidRDefault="00742368" w:rsidP="0091333D">
      <w:pPr>
        <w:pStyle w:val="DecisionParagraphs"/>
        <w:tabs>
          <w:tab w:val="clear" w:pos="5387"/>
          <w:tab w:val="left" w:pos="5103"/>
        </w:tabs>
        <w:ind w:left="4536"/>
      </w:pPr>
      <w:r w:rsidRPr="00C24DB9">
        <w:fldChar w:fldCharType="begin"/>
      </w:r>
      <w:r w:rsidR="0091333D" w:rsidRPr="0091333D">
        <w:instrText xml:space="preserve"> AUTONUM  </w:instrText>
      </w:r>
      <w:r w:rsidRPr="00C24DB9">
        <w:fldChar w:fldCharType="end"/>
      </w:r>
      <w:r w:rsidR="0091333D">
        <w:tab/>
        <w:t xml:space="preserve">Se invita al TC a </w:t>
      </w:r>
      <w:r w:rsidR="004535EC">
        <w:t>solicitar a Francia, los Países </w:t>
      </w:r>
      <w:r w:rsidR="0091333D">
        <w:t>Bajos y la Unión Europea que elaboren un nuevo proyecto de documento UPOV/INF/17 para su examen en la decimoctava sesión del BMT, tal como se expone en el párrafo 45 del presente documento.</w:t>
      </w:r>
    </w:p>
    <w:p w:rsidR="0091333D" w:rsidRPr="0091333D" w:rsidRDefault="0091333D" w:rsidP="0091333D">
      <w:pPr>
        <w:rPr>
          <w:snapToGrid w:val="0"/>
          <w:highlight w:val="yellow"/>
        </w:rPr>
      </w:pPr>
    </w:p>
    <w:p w:rsidR="0091333D" w:rsidRPr="0091333D" w:rsidRDefault="0091333D" w:rsidP="0091333D">
      <w:pPr>
        <w:autoSpaceDE w:val="0"/>
        <w:autoSpaceDN w:val="0"/>
        <w:adjustRightInd w:val="0"/>
        <w:rPr>
          <w:rFonts w:cs="Arial"/>
        </w:rPr>
      </w:pPr>
    </w:p>
    <w:p w:rsidR="0091333D" w:rsidRPr="0091333D" w:rsidRDefault="0091333D" w:rsidP="0091333D">
      <w:pPr>
        <w:autoSpaceDE w:val="0"/>
        <w:autoSpaceDN w:val="0"/>
        <w:adjustRightInd w:val="0"/>
        <w:rPr>
          <w:rFonts w:cs="Arial"/>
        </w:rPr>
      </w:pPr>
    </w:p>
    <w:p w:rsidR="0091333D" w:rsidRPr="00C44EBC" w:rsidRDefault="0091333D" w:rsidP="0091333D">
      <w:pPr>
        <w:pStyle w:val="Heading2"/>
        <w:rPr>
          <w:lang w:val="es-ES"/>
        </w:rPr>
      </w:pPr>
      <w:bookmarkStart w:id="102" w:name="_Toc525647214"/>
      <w:bookmarkStart w:id="103" w:name="_Toc525647258"/>
      <w:bookmarkStart w:id="104" w:name="_Toc526950846"/>
      <w:r w:rsidRPr="00C44EBC">
        <w:rPr>
          <w:lang w:val="es-ES"/>
        </w:rPr>
        <w:t>Cooperación entre las organizaciones internacionales</w:t>
      </w:r>
      <w:bookmarkEnd w:id="102"/>
      <w:bookmarkEnd w:id="103"/>
      <w:bookmarkEnd w:id="104"/>
    </w:p>
    <w:p w:rsidR="0091333D" w:rsidRPr="0091333D" w:rsidRDefault="0091333D" w:rsidP="0091333D">
      <w:pPr>
        <w:keepNext/>
        <w:rPr>
          <w:rFonts w:cs="Arial"/>
          <w:iCs/>
        </w:rPr>
      </w:pPr>
    </w:p>
    <w:p w:rsidR="0091333D" w:rsidRPr="0091333D" w:rsidRDefault="00742368" w:rsidP="0091333D">
      <w:pPr>
        <w:keepNext/>
        <w:rPr>
          <w:rFonts w:eastAsiaTheme="minorEastAsia"/>
        </w:rPr>
      </w:pPr>
      <w:r>
        <w:fldChar w:fldCharType="begin"/>
      </w:r>
      <w:r w:rsidR="0091333D" w:rsidRPr="0091333D">
        <w:instrText xml:space="preserve"> AUTONUM  </w:instrText>
      </w:r>
      <w:r>
        <w:fldChar w:fldCharType="end"/>
      </w:r>
      <w:r w:rsidR="0091333D">
        <w:tab/>
        <w:t>Los antecedentes de esta cuestión figuran en los párrafos 19 a 23 del documento TC/54/11 “Técnicas moleculares”.</w:t>
      </w:r>
    </w:p>
    <w:p w:rsidR="0091333D" w:rsidRPr="0091333D" w:rsidRDefault="0091333D" w:rsidP="0091333D"/>
    <w:p w:rsidR="0091333D" w:rsidRPr="0091333D" w:rsidRDefault="00742368" w:rsidP="0091333D">
      <w:pPr>
        <w:rPr>
          <w:rFonts w:cs="Arial"/>
          <w:iCs/>
        </w:rPr>
      </w:pPr>
      <w:r w:rsidRPr="00537D36">
        <w:fldChar w:fldCharType="begin"/>
      </w:r>
      <w:r w:rsidR="0091333D" w:rsidRPr="0091333D">
        <w:instrText xml:space="preserve"> AUTONUM  </w:instrText>
      </w:r>
      <w:r w:rsidRPr="00537D36">
        <w:fldChar w:fldCharType="end"/>
      </w:r>
      <w:r w:rsidR="0091333D">
        <w:tab/>
        <w:t>En su decimoséptima sesión, el BMT examinó el documento BMT/17/3 “</w:t>
      </w:r>
      <w:proofErr w:type="spellStart"/>
      <w:r w:rsidR="0091333D">
        <w:rPr>
          <w:i/>
        </w:rPr>
        <w:t>Cooperation</w:t>
      </w:r>
      <w:proofErr w:type="spellEnd"/>
      <w:r w:rsidR="0091333D">
        <w:rPr>
          <w:i/>
        </w:rPr>
        <w:t xml:space="preserve"> </w:t>
      </w:r>
      <w:proofErr w:type="spellStart"/>
      <w:r w:rsidR="0091333D">
        <w:rPr>
          <w:i/>
        </w:rPr>
        <w:t>between</w:t>
      </w:r>
      <w:proofErr w:type="spellEnd"/>
      <w:r w:rsidR="0091333D">
        <w:rPr>
          <w:i/>
        </w:rPr>
        <w:t xml:space="preserve"> International </w:t>
      </w:r>
      <w:proofErr w:type="spellStart"/>
      <w:r w:rsidR="0091333D">
        <w:rPr>
          <w:i/>
        </w:rPr>
        <w:t>Organizations</w:t>
      </w:r>
      <w:proofErr w:type="spellEnd"/>
      <w:r w:rsidR="0091333D">
        <w:t>” (Cooperación entre las organizaciones internaci</w:t>
      </w:r>
      <w:r w:rsidR="004E5372">
        <w:t>onales) (véanse los párrafos 54 y </w:t>
      </w:r>
      <w:r w:rsidR="0091333D">
        <w:t>55 del documento BMT/17/25 “</w:t>
      </w:r>
      <w:proofErr w:type="spellStart"/>
      <w:r w:rsidR="0091333D">
        <w:rPr>
          <w:i/>
        </w:rPr>
        <w:t>Report</w:t>
      </w:r>
      <w:proofErr w:type="spellEnd"/>
      <w:r w:rsidR="0091333D">
        <w:t>" (Informe)).</w:t>
      </w:r>
      <w:r w:rsidR="00AE5E49">
        <w:t xml:space="preserve"> </w:t>
      </w:r>
    </w:p>
    <w:p w:rsidR="0091333D" w:rsidRPr="0091333D" w:rsidRDefault="0091333D" w:rsidP="0091333D">
      <w:pPr>
        <w:rPr>
          <w:rFonts w:cs="Arial"/>
          <w:iCs/>
        </w:rPr>
      </w:pPr>
    </w:p>
    <w:p w:rsidR="0091333D" w:rsidRPr="0091333D" w:rsidRDefault="00742368" w:rsidP="0091333D">
      <w:pPr>
        <w:rPr>
          <w:rFonts w:cs="Arial"/>
          <w:iCs/>
        </w:rPr>
      </w:pPr>
      <w:r w:rsidRPr="00537D36">
        <w:fldChar w:fldCharType="begin"/>
      </w:r>
      <w:r w:rsidR="0091333D" w:rsidRPr="0091333D">
        <w:instrText xml:space="preserve"> AUTONUM  </w:instrText>
      </w:r>
      <w:r w:rsidRPr="00537D36">
        <w:fldChar w:fldCharType="end"/>
      </w:r>
      <w:r w:rsidR="0091333D">
        <w:tab/>
        <w:t>El BMT tomó nota de que la ISTA no está en disposición de aprobar la propuesta de actividades conjuntas con la UPOV y la OCDE en este momento y convino en proponer al TC que la UPOV y la OCDE avancen en los asuntos convenidos con anterioridad por el Comité, a saber:</w:t>
      </w:r>
    </w:p>
    <w:p w:rsidR="0091333D" w:rsidRPr="0091333D" w:rsidRDefault="0091333D" w:rsidP="0091333D">
      <w:pPr>
        <w:rPr>
          <w:rFonts w:cs="Arial"/>
          <w:iCs/>
        </w:rPr>
      </w:pPr>
    </w:p>
    <w:p w:rsidR="0091333D" w:rsidRPr="0091333D" w:rsidRDefault="0091333D" w:rsidP="0091333D">
      <w:pPr>
        <w:ind w:firstLine="567"/>
      </w:pPr>
      <w:r>
        <w:t>a)</w:t>
      </w:r>
      <w:r>
        <w:tab/>
        <w:t xml:space="preserve">elaborar un documento conjunto en el que se expliquen las características principales de los sistemas de la OCDE, la UPOV y la ISTA; </w:t>
      </w:r>
    </w:p>
    <w:p w:rsidR="0091333D" w:rsidRPr="0091333D" w:rsidRDefault="0091333D" w:rsidP="0091333D">
      <w:pPr>
        <w:ind w:firstLine="567"/>
      </w:pPr>
    </w:p>
    <w:p w:rsidR="0091333D" w:rsidRPr="0091333D" w:rsidRDefault="0091333D" w:rsidP="0091333D">
      <w:pPr>
        <w:keepLines/>
        <w:ind w:firstLine="567"/>
      </w:pPr>
      <w:r>
        <w:t>b)</w:t>
      </w:r>
      <w:r>
        <w:tab/>
        <w:t xml:space="preserve">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 </w:t>
      </w:r>
    </w:p>
    <w:p w:rsidR="0091333D" w:rsidRPr="0091333D" w:rsidRDefault="0091333D" w:rsidP="0091333D">
      <w:pPr>
        <w:ind w:firstLine="567"/>
      </w:pPr>
    </w:p>
    <w:p w:rsidR="0091333D" w:rsidRPr="0091333D" w:rsidRDefault="0091333D" w:rsidP="0091333D">
      <w:pPr>
        <w:ind w:firstLine="567"/>
      </w:pPr>
      <w:r>
        <w:lastRenderedPageBreak/>
        <w:t>c)</w:t>
      </w:r>
      <w:r>
        <w:tab/>
        <w:t>aprobar la propuesta de que, en su decimoquinta sesión, el BMT elabore listas de posibles iniciativas conjuntas con la OCDE y la ISTA relacionadas con las técnicas moleculares a fin de que las examine el TC, las cuales se presentarán al TC en su quincuagésima tercera sesión.</w:t>
      </w:r>
    </w:p>
    <w:p w:rsidR="0091333D" w:rsidRPr="0091333D" w:rsidRDefault="0091333D" w:rsidP="0091333D"/>
    <w:p w:rsidR="0091333D" w:rsidRPr="0091333D" w:rsidRDefault="00742368" w:rsidP="0091333D">
      <w:r w:rsidRPr="00537D36">
        <w:fldChar w:fldCharType="begin"/>
      </w:r>
      <w:r w:rsidR="0091333D" w:rsidRPr="0091333D">
        <w:instrText xml:space="preserve"> AUTONUM  </w:instrText>
      </w:r>
      <w:r w:rsidRPr="00537D36">
        <w:fldChar w:fldCharType="end"/>
      </w:r>
      <w:r w:rsidR="0091333D">
        <w:tab/>
        <w:t>El BMT convino en que la ISTA sea bienvenida a sumarse a las iniciativas mencionadas de la manera y en el momento en que lo disponga.</w:t>
      </w:r>
    </w:p>
    <w:p w:rsidR="0091333D" w:rsidRPr="0091333D" w:rsidRDefault="0091333D" w:rsidP="0091333D">
      <w:pPr>
        <w:autoSpaceDE w:val="0"/>
        <w:autoSpaceDN w:val="0"/>
        <w:adjustRightInd w:val="0"/>
        <w:rPr>
          <w:rFonts w:cs="Arial"/>
        </w:rPr>
      </w:pPr>
    </w:p>
    <w:p w:rsidR="0091333D" w:rsidRPr="0091333D" w:rsidRDefault="00742368" w:rsidP="0091333D">
      <w:pPr>
        <w:pStyle w:val="DecisionParagraphs"/>
        <w:keepNext/>
        <w:tabs>
          <w:tab w:val="clear" w:pos="5387"/>
          <w:tab w:val="left" w:pos="5103"/>
        </w:tabs>
        <w:ind w:left="4536"/>
      </w:pPr>
      <w:r w:rsidRPr="00104CFF">
        <w:fldChar w:fldCharType="begin"/>
      </w:r>
      <w:r w:rsidR="0091333D" w:rsidRPr="0091333D">
        <w:instrText xml:space="preserve"> AUTONUM  </w:instrText>
      </w:r>
      <w:r w:rsidRPr="00104CFF">
        <w:fldChar w:fldCharType="end"/>
      </w:r>
      <w:r w:rsidR="0091333D">
        <w:tab/>
        <w:t>Se invita al TC a:</w:t>
      </w:r>
    </w:p>
    <w:p w:rsidR="0091333D" w:rsidRPr="0091333D" w:rsidRDefault="0091333D" w:rsidP="0091333D">
      <w:pPr>
        <w:pStyle w:val="DecisionParagraphs"/>
        <w:keepNext/>
        <w:ind w:left="4536"/>
      </w:pPr>
    </w:p>
    <w:p w:rsidR="0091333D" w:rsidRPr="0091333D" w:rsidRDefault="0091333D" w:rsidP="0091333D">
      <w:pPr>
        <w:pStyle w:val="DecisionParagraphs"/>
        <w:keepNext/>
        <w:keepLines/>
        <w:tabs>
          <w:tab w:val="clear" w:pos="5387"/>
          <w:tab w:val="left" w:pos="5103"/>
          <w:tab w:val="left" w:pos="5670"/>
        </w:tabs>
        <w:ind w:left="4536" w:firstLine="567"/>
      </w:pPr>
      <w:r>
        <w:t>a)</w:t>
      </w:r>
      <w:r>
        <w:tab/>
        <w:t>tomar nota de que la ISTA no está en disposición de aprobar la propuesta de actividades conjuntas con la UPOV y la OCDE en la decimoséptima sesión del BMT, según se expone en el párrafo 49 de este documento;</w:t>
      </w:r>
    </w:p>
    <w:p w:rsidR="0091333D" w:rsidRPr="0091333D" w:rsidRDefault="0091333D" w:rsidP="0091333D">
      <w:pPr>
        <w:pStyle w:val="DecisionParagraphs"/>
        <w:tabs>
          <w:tab w:val="clear" w:pos="5387"/>
          <w:tab w:val="left" w:pos="5103"/>
          <w:tab w:val="left" w:pos="5670"/>
        </w:tabs>
        <w:ind w:left="4536" w:firstLine="567"/>
        <w:rPr>
          <w:snapToGrid w:val="0"/>
        </w:rPr>
      </w:pPr>
    </w:p>
    <w:p w:rsidR="0091333D" w:rsidRPr="0091333D" w:rsidRDefault="0091333D" w:rsidP="0091333D">
      <w:pPr>
        <w:pStyle w:val="DecisionParagraphs"/>
        <w:tabs>
          <w:tab w:val="clear" w:pos="5387"/>
          <w:tab w:val="left" w:pos="5103"/>
          <w:tab w:val="left" w:pos="5670"/>
        </w:tabs>
        <w:ind w:left="4536" w:firstLine="567"/>
      </w:pPr>
      <w:r>
        <w:t>b)</w:t>
      </w:r>
      <w:r>
        <w:tab/>
        <w:t>considerar la posibilidad de que la UPOV y la OCDE avancen en los asuntos convenidos con anterioridad por el TC, según se expone en el párrafo 49 de este documento; y</w:t>
      </w:r>
    </w:p>
    <w:p w:rsidR="0091333D" w:rsidRPr="0091333D" w:rsidRDefault="0091333D" w:rsidP="0091333D">
      <w:pPr>
        <w:pStyle w:val="DecisionParagraphs"/>
        <w:tabs>
          <w:tab w:val="clear" w:pos="5387"/>
          <w:tab w:val="left" w:pos="5103"/>
          <w:tab w:val="left" w:pos="5670"/>
        </w:tabs>
        <w:ind w:left="4536" w:firstLine="567"/>
      </w:pPr>
    </w:p>
    <w:p w:rsidR="0091333D" w:rsidRPr="0091333D" w:rsidRDefault="0091333D" w:rsidP="0091333D">
      <w:pPr>
        <w:pStyle w:val="DecisionParagraphs"/>
        <w:tabs>
          <w:tab w:val="clear" w:pos="5387"/>
          <w:tab w:val="left" w:pos="5103"/>
          <w:tab w:val="left" w:pos="5670"/>
        </w:tabs>
        <w:ind w:left="4536" w:firstLine="567"/>
      </w:pPr>
      <w:r>
        <w:t>c)</w:t>
      </w:r>
      <w:r>
        <w:tab/>
        <w:t>invitar a la ISTA a sumarse a las iniciativas</w:t>
      </w:r>
      <w:r w:rsidR="00530FE5">
        <w:t xml:space="preserve"> </w:t>
      </w:r>
      <w:r>
        <w:t>en el momento que lo disponga</w:t>
      </w:r>
      <w:r w:rsidR="00530FE5">
        <w:t>, según se expone en el párrafo 49</w:t>
      </w:r>
      <w:r>
        <w:t>.</w:t>
      </w:r>
    </w:p>
    <w:p w:rsidR="0091333D" w:rsidRPr="0091333D" w:rsidRDefault="0091333D" w:rsidP="0091333D">
      <w:pPr>
        <w:rPr>
          <w:snapToGrid w:val="0"/>
          <w:highlight w:val="yellow"/>
        </w:rPr>
      </w:pPr>
    </w:p>
    <w:p w:rsidR="0091333D" w:rsidRPr="0091333D" w:rsidRDefault="0091333D" w:rsidP="0091333D">
      <w:pPr>
        <w:autoSpaceDE w:val="0"/>
        <w:autoSpaceDN w:val="0"/>
        <w:adjustRightInd w:val="0"/>
        <w:rPr>
          <w:rFonts w:cs="Arial"/>
        </w:rPr>
      </w:pPr>
    </w:p>
    <w:p w:rsidR="0091333D" w:rsidRPr="00C44EBC" w:rsidRDefault="0091333D" w:rsidP="0091333D">
      <w:pPr>
        <w:pStyle w:val="Heading2"/>
        <w:rPr>
          <w:lang w:val="es-ES"/>
        </w:rPr>
      </w:pPr>
      <w:bookmarkStart w:id="105" w:name="_Toc525647215"/>
      <w:bookmarkStart w:id="106" w:name="_Toc525647259"/>
      <w:bookmarkStart w:id="107" w:name="_Toc526950847"/>
      <w:r w:rsidRPr="00C44EBC">
        <w:rPr>
          <w:lang w:val="es-ES"/>
        </w:rPr>
        <w:t>La utilización de técnicas moleculares en la identificación de variedades</w:t>
      </w:r>
      <w:bookmarkEnd w:id="105"/>
      <w:bookmarkEnd w:id="106"/>
      <w:bookmarkEnd w:id="107"/>
    </w:p>
    <w:p w:rsidR="0091333D" w:rsidRPr="0091333D" w:rsidRDefault="0091333D" w:rsidP="0091333D">
      <w:pPr>
        <w:keepNext/>
        <w:rPr>
          <w:rFonts w:cs="Arial"/>
          <w:iCs/>
        </w:rPr>
      </w:pPr>
    </w:p>
    <w:p w:rsidR="0091333D" w:rsidRPr="0091333D" w:rsidRDefault="00742368" w:rsidP="0091333D">
      <w:pPr>
        <w:rPr>
          <w:rFonts w:cs="Arial"/>
          <w:iCs/>
        </w:rPr>
      </w:pPr>
      <w:r w:rsidRPr="00537D36">
        <w:fldChar w:fldCharType="begin"/>
      </w:r>
      <w:r w:rsidR="0091333D" w:rsidRPr="0091333D">
        <w:instrText xml:space="preserve"> AUTONUM  </w:instrText>
      </w:r>
      <w:r w:rsidRPr="00537D36">
        <w:fldChar w:fldCharType="end"/>
      </w:r>
      <w:r w:rsidR="0091333D">
        <w:tab/>
        <w:t>En su decimoséptima sesión, el BMT examinó el documento BMT/17/18 “</w:t>
      </w:r>
      <w:proofErr w:type="spellStart"/>
      <w:r w:rsidR="0091333D">
        <w:t>V</w:t>
      </w:r>
      <w:r w:rsidR="0091333D">
        <w:rPr>
          <w:i/>
        </w:rPr>
        <w:t>ariety</w:t>
      </w:r>
      <w:proofErr w:type="spellEnd"/>
      <w:r w:rsidR="0091333D">
        <w:rPr>
          <w:i/>
        </w:rPr>
        <w:t xml:space="preserve"> </w:t>
      </w:r>
      <w:proofErr w:type="spellStart"/>
      <w:r w:rsidR="0091333D">
        <w:rPr>
          <w:i/>
        </w:rPr>
        <w:t>identification</w:t>
      </w:r>
      <w:proofErr w:type="spellEnd"/>
      <w:r w:rsidR="0091333D">
        <w:rPr>
          <w:i/>
        </w:rPr>
        <w:t xml:space="preserve"> in </w:t>
      </w:r>
      <w:proofErr w:type="spellStart"/>
      <w:r w:rsidR="0091333D">
        <w:rPr>
          <w:i/>
        </w:rPr>
        <w:t>soybeans</w:t>
      </w:r>
      <w:proofErr w:type="spellEnd"/>
      <w:r w:rsidR="0091333D">
        <w:rPr>
          <w:i/>
        </w:rPr>
        <w:t xml:space="preserve"> </w:t>
      </w:r>
      <w:proofErr w:type="spellStart"/>
      <w:r w:rsidR="0091333D">
        <w:rPr>
          <w:i/>
        </w:rPr>
        <w:t>using</w:t>
      </w:r>
      <w:proofErr w:type="spellEnd"/>
      <w:r w:rsidR="0091333D">
        <w:rPr>
          <w:i/>
        </w:rPr>
        <w:t xml:space="preserve"> </w:t>
      </w:r>
      <w:proofErr w:type="spellStart"/>
      <w:r w:rsidR="0091333D">
        <w:rPr>
          <w:i/>
        </w:rPr>
        <w:t>SNPs</w:t>
      </w:r>
      <w:proofErr w:type="spellEnd"/>
      <w:r w:rsidR="0091333D">
        <w:t>” (Identificación de variedades de soja mediante SNP) y asistió a una ponencia del Sr. Barry K. Ne</w:t>
      </w:r>
      <w:r w:rsidR="004E5372">
        <w:t xml:space="preserve">lson </w:t>
      </w:r>
      <w:r w:rsidR="004E5372" w:rsidRPr="005C50FF">
        <w:rPr>
          <w:snapToGrid w:val="0"/>
          <w:lang w:eastAsia="ja-JP"/>
        </w:rPr>
        <w:t>(</w:t>
      </w:r>
      <w:proofErr w:type="spellStart"/>
      <w:r w:rsidR="004E5372" w:rsidRPr="00BC48CA">
        <w:rPr>
          <w:snapToGrid w:val="0"/>
          <w:lang w:eastAsia="ja-JP"/>
        </w:rPr>
        <w:t>Corteva</w:t>
      </w:r>
      <w:r w:rsidR="004E5372" w:rsidRPr="00BC48CA">
        <w:rPr>
          <w:snapToGrid w:val="0"/>
          <w:vertAlign w:val="superscript"/>
          <w:lang w:eastAsia="ja-JP"/>
        </w:rPr>
        <w:t>TM</w:t>
      </w:r>
      <w:proofErr w:type="spellEnd"/>
      <w:r w:rsidR="004E5372" w:rsidRPr="00BC48CA">
        <w:rPr>
          <w:snapToGrid w:val="0"/>
          <w:lang w:eastAsia="ja-JP"/>
        </w:rPr>
        <w:t xml:space="preserve"> </w:t>
      </w:r>
      <w:proofErr w:type="spellStart"/>
      <w:r w:rsidR="004E5372" w:rsidRPr="00BC48CA">
        <w:rPr>
          <w:snapToGrid w:val="0"/>
          <w:lang w:eastAsia="ja-JP"/>
        </w:rPr>
        <w:t>Agriscience</w:t>
      </w:r>
      <w:proofErr w:type="spellEnd"/>
      <w:r w:rsidR="004E5372" w:rsidRPr="005C50FF">
        <w:rPr>
          <w:snapToGrid w:val="0"/>
          <w:lang w:eastAsia="ja-JP"/>
        </w:rPr>
        <w:t>)</w:t>
      </w:r>
      <w:r w:rsidR="004E5372">
        <w:rPr>
          <w:snapToGrid w:val="0"/>
          <w:lang w:eastAsia="ja-JP"/>
        </w:rPr>
        <w:t xml:space="preserve"> </w:t>
      </w:r>
      <w:r w:rsidR="0091333D">
        <w:t>que se reproduce en el documento BMT/17/18 </w:t>
      </w:r>
      <w:proofErr w:type="spellStart"/>
      <w:r w:rsidR="0091333D">
        <w:t>Add</w:t>
      </w:r>
      <w:proofErr w:type="spellEnd"/>
      <w:r w:rsidR="0091333D">
        <w:t>. (v</w:t>
      </w:r>
      <w:r w:rsidR="004535EC">
        <w:t>éanse los párrafos 65 y </w:t>
      </w:r>
      <w:r w:rsidR="0091333D">
        <w:t>66 del documento BMT/17/25 “</w:t>
      </w:r>
      <w:proofErr w:type="spellStart"/>
      <w:r w:rsidR="0091333D">
        <w:rPr>
          <w:i/>
        </w:rPr>
        <w:t>Report</w:t>
      </w:r>
      <w:proofErr w:type="spellEnd"/>
      <w:r w:rsidR="0091333D">
        <w:t>" (Informe)).</w:t>
      </w:r>
      <w:r w:rsidR="00AE5E49">
        <w:t xml:space="preserve"> </w:t>
      </w:r>
    </w:p>
    <w:p w:rsidR="0091333D" w:rsidRPr="0091333D" w:rsidRDefault="0091333D" w:rsidP="0091333D">
      <w:pPr>
        <w:rPr>
          <w:snapToGrid w:val="0"/>
          <w:highlight w:val="yellow"/>
        </w:rPr>
      </w:pPr>
    </w:p>
    <w:p w:rsidR="0091333D" w:rsidRPr="0091333D" w:rsidRDefault="00742368" w:rsidP="0091333D">
      <w:r w:rsidRPr="00217A34">
        <w:fldChar w:fldCharType="begin"/>
      </w:r>
      <w:r w:rsidR="0091333D" w:rsidRPr="0091333D">
        <w:instrText xml:space="preserve"> AUTONUM  </w:instrText>
      </w:r>
      <w:r w:rsidRPr="00217A34">
        <w:fldChar w:fldCharType="end"/>
      </w:r>
      <w:r w:rsidR="0091333D">
        <w:tab/>
        <w:t xml:space="preserve">El BMT acogió con satisfacción el ofrecimiento del Sr. Nelson </w:t>
      </w:r>
      <w:r w:rsidR="004E5372" w:rsidRPr="005C50FF">
        <w:rPr>
          <w:snapToGrid w:val="0"/>
          <w:lang w:eastAsia="ja-JP"/>
        </w:rPr>
        <w:t>(</w:t>
      </w:r>
      <w:proofErr w:type="spellStart"/>
      <w:r w:rsidR="004E5372" w:rsidRPr="00BC48CA">
        <w:rPr>
          <w:snapToGrid w:val="0"/>
          <w:lang w:eastAsia="ja-JP"/>
        </w:rPr>
        <w:t>Corteva</w:t>
      </w:r>
      <w:r w:rsidR="004E5372" w:rsidRPr="00BC48CA">
        <w:rPr>
          <w:snapToGrid w:val="0"/>
          <w:vertAlign w:val="superscript"/>
          <w:lang w:eastAsia="ja-JP"/>
        </w:rPr>
        <w:t>TM</w:t>
      </w:r>
      <w:proofErr w:type="spellEnd"/>
      <w:r w:rsidR="004E5372" w:rsidRPr="00BC48CA">
        <w:rPr>
          <w:snapToGrid w:val="0"/>
          <w:lang w:eastAsia="ja-JP"/>
        </w:rPr>
        <w:t xml:space="preserve"> </w:t>
      </w:r>
      <w:proofErr w:type="spellStart"/>
      <w:r w:rsidR="004E5372" w:rsidRPr="00BC48CA">
        <w:rPr>
          <w:snapToGrid w:val="0"/>
          <w:lang w:eastAsia="ja-JP"/>
        </w:rPr>
        <w:t>Agriscience</w:t>
      </w:r>
      <w:proofErr w:type="spellEnd"/>
      <w:r w:rsidR="004E5372" w:rsidRPr="005C50FF">
        <w:rPr>
          <w:snapToGrid w:val="0"/>
          <w:lang w:eastAsia="ja-JP"/>
        </w:rPr>
        <w:t>)</w:t>
      </w:r>
      <w:r w:rsidR="004E5372">
        <w:rPr>
          <w:snapToGrid w:val="0"/>
          <w:lang w:eastAsia="ja-JP"/>
        </w:rPr>
        <w:t xml:space="preserve"> </w:t>
      </w:r>
      <w:r w:rsidR="0091333D">
        <w:t>de estudiar la posibilidad de crear un instrumento informático para seleccionar marcadores con el algoritmo del vendedor ambulante, que se encuentra a disposición de terceros para su ulterior desarrollo. Se convino en que todo experto que desee colaborar en este estudio se ponga en contacto directamente con el Sr. Nelson y en que se lo invitará a informar sobre las novedades al BMT en su decimoctava sesión.</w:t>
      </w:r>
    </w:p>
    <w:p w:rsidR="0091333D" w:rsidRPr="0091333D" w:rsidRDefault="0091333D" w:rsidP="0091333D">
      <w:pPr>
        <w:pStyle w:val="DecisionParagraphs"/>
        <w:keepNext/>
        <w:tabs>
          <w:tab w:val="clear" w:pos="5387"/>
          <w:tab w:val="left" w:pos="5103"/>
        </w:tabs>
        <w:ind w:left="4536"/>
      </w:pPr>
    </w:p>
    <w:p w:rsidR="0091333D" w:rsidRPr="0091333D" w:rsidRDefault="00742368" w:rsidP="0091333D">
      <w:pPr>
        <w:pStyle w:val="DecisionParagraphs"/>
        <w:keepNext/>
        <w:tabs>
          <w:tab w:val="clear" w:pos="5387"/>
          <w:tab w:val="left" w:pos="5103"/>
        </w:tabs>
        <w:ind w:left="4536"/>
      </w:pPr>
      <w:r w:rsidRPr="00104CFF">
        <w:fldChar w:fldCharType="begin"/>
      </w:r>
      <w:r w:rsidR="0091333D" w:rsidRPr="0091333D">
        <w:instrText xml:space="preserve"> AUTONUM  </w:instrText>
      </w:r>
      <w:r w:rsidRPr="00104CFF">
        <w:fldChar w:fldCharType="end"/>
      </w:r>
      <w:r w:rsidR="0091333D">
        <w:tab/>
        <w:t>Se invita al TC a:</w:t>
      </w:r>
    </w:p>
    <w:p w:rsidR="0091333D" w:rsidRPr="0091333D" w:rsidRDefault="0091333D" w:rsidP="0091333D">
      <w:pPr>
        <w:pStyle w:val="DecisionParagraphs"/>
        <w:keepNext/>
        <w:ind w:left="4536"/>
      </w:pPr>
    </w:p>
    <w:p w:rsidR="0091333D" w:rsidRPr="0091333D" w:rsidRDefault="0091333D" w:rsidP="0091333D">
      <w:pPr>
        <w:pStyle w:val="DecisionParagraphs"/>
        <w:keepNext/>
        <w:keepLines/>
        <w:tabs>
          <w:tab w:val="clear" w:pos="5387"/>
          <w:tab w:val="left" w:pos="5103"/>
          <w:tab w:val="left" w:pos="5670"/>
        </w:tabs>
        <w:ind w:left="4536" w:firstLine="567"/>
      </w:pPr>
      <w:r>
        <w:t>a)</w:t>
      </w:r>
      <w:r w:rsidR="00356409">
        <w:tab/>
      </w:r>
      <w:r>
        <w:t xml:space="preserve">tomar nota del ofrecimiento del Sr. Barry Nelson </w:t>
      </w:r>
      <w:r w:rsidR="004E5372" w:rsidRPr="005C50FF">
        <w:rPr>
          <w:snapToGrid w:val="0"/>
          <w:lang w:eastAsia="ja-JP"/>
        </w:rPr>
        <w:t>(</w:t>
      </w:r>
      <w:proofErr w:type="spellStart"/>
      <w:r w:rsidR="004E5372" w:rsidRPr="00BC48CA">
        <w:rPr>
          <w:snapToGrid w:val="0"/>
          <w:lang w:eastAsia="ja-JP"/>
        </w:rPr>
        <w:t>Corteva</w:t>
      </w:r>
      <w:r w:rsidR="004E5372" w:rsidRPr="00BC48CA">
        <w:rPr>
          <w:snapToGrid w:val="0"/>
          <w:vertAlign w:val="superscript"/>
          <w:lang w:eastAsia="ja-JP"/>
        </w:rPr>
        <w:t>TM</w:t>
      </w:r>
      <w:proofErr w:type="spellEnd"/>
      <w:r w:rsidR="004E5372" w:rsidRPr="00BC48CA">
        <w:rPr>
          <w:snapToGrid w:val="0"/>
          <w:lang w:eastAsia="ja-JP"/>
        </w:rPr>
        <w:t xml:space="preserve"> </w:t>
      </w:r>
      <w:proofErr w:type="spellStart"/>
      <w:r w:rsidR="004E5372" w:rsidRPr="00BC48CA">
        <w:rPr>
          <w:snapToGrid w:val="0"/>
          <w:lang w:eastAsia="ja-JP"/>
        </w:rPr>
        <w:t>Agriscience</w:t>
      </w:r>
      <w:proofErr w:type="spellEnd"/>
      <w:r w:rsidR="004E5372" w:rsidRPr="005C50FF">
        <w:rPr>
          <w:snapToGrid w:val="0"/>
          <w:lang w:eastAsia="ja-JP"/>
        </w:rPr>
        <w:t>)</w:t>
      </w:r>
      <w:r w:rsidR="004E5372">
        <w:rPr>
          <w:snapToGrid w:val="0"/>
          <w:lang w:eastAsia="ja-JP"/>
        </w:rPr>
        <w:t xml:space="preserve"> </w:t>
      </w:r>
      <w:r>
        <w:t>de estudiar la posibilidad de crear un instrumento informático para seleccionar marcadores con el algoritmo del vendedor ambulante, que se encuentra a disposición de terceros para su ulterior desarrollo, según se expone en el párrafo 53 de este documento; y</w:t>
      </w:r>
    </w:p>
    <w:p w:rsidR="0091333D" w:rsidRPr="0091333D" w:rsidRDefault="0091333D" w:rsidP="0091333D">
      <w:pPr>
        <w:pStyle w:val="DecisionParagraphs"/>
        <w:tabs>
          <w:tab w:val="clear" w:pos="5387"/>
          <w:tab w:val="left" w:pos="5103"/>
          <w:tab w:val="left" w:pos="5670"/>
        </w:tabs>
        <w:ind w:left="4536" w:firstLine="567"/>
        <w:rPr>
          <w:snapToGrid w:val="0"/>
        </w:rPr>
      </w:pPr>
    </w:p>
    <w:p w:rsidR="0091333D" w:rsidRPr="0091333D" w:rsidRDefault="0091333D" w:rsidP="0091333D">
      <w:pPr>
        <w:pStyle w:val="DecisionParagraphs"/>
        <w:tabs>
          <w:tab w:val="clear" w:pos="5387"/>
          <w:tab w:val="left" w:pos="5103"/>
          <w:tab w:val="left" w:pos="5670"/>
        </w:tabs>
        <w:ind w:left="4536" w:firstLine="567"/>
      </w:pPr>
      <w:r>
        <w:t>b)</w:t>
      </w:r>
      <w:r>
        <w:tab/>
        <w:t>tomar nota de que se informará de los nuevos avances al BMT en su decimoctava sesión, según se expone en el párrafo 53 de este documento.</w:t>
      </w:r>
    </w:p>
    <w:p w:rsidR="0091333D" w:rsidRPr="0091333D" w:rsidRDefault="0091333D" w:rsidP="0091333D">
      <w:pPr>
        <w:rPr>
          <w:snapToGrid w:val="0"/>
          <w:highlight w:val="yellow"/>
        </w:rPr>
      </w:pPr>
    </w:p>
    <w:p w:rsidR="0091333D" w:rsidRPr="0091333D" w:rsidRDefault="0091333D" w:rsidP="0091333D">
      <w:pPr>
        <w:rPr>
          <w:snapToGrid w:val="0"/>
          <w:highlight w:val="yellow"/>
        </w:rPr>
      </w:pPr>
    </w:p>
    <w:p w:rsidR="0091333D" w:rsidRPr="00C44EBC" w:rsidRDefault="0091333D" w:rsidP="0091333D">
      <w:pPr>
        <w:pStyle w:val="Heading2"/>
        <w:rPr>
          <w:snapToGrid w:val="0"/>
          <w:lang w:val="es-ES"/>
        </w:rPr>
      </w:pPr>
      <w:bookmarkStart w:id="108" w:name="_Toc525647216"/>
      <w:bookmarkStart w:id="109" w:name="_Toc525647260"/>
      <w:bookmarkStart w:id="110" w:name="_Toc526950848"/>
      <w:r w:rsidRPr="00C44EBC">
        <w:rPr>
          <w:lang w:val="es-ES"/>
        </w:rPr>
        <w:t>Sesión para facilitar la cooperación</w:t>
      </w:r>
      <w:bookmarkEnd w:id="108"/>
      <w:bookmarkEnd w:id="109"/>
      <w:bookmarkEnd w:id="110"/>
    </w:p>
    <w:p w:rsidR="0091333D" w:rsidRPr="0091333D" w:rsidRDefault="0091333D" w:rsidP="0091333D">
      <w:pPr>
        <w:keepNext/>
        <w:rPr>
          <w:rFonts w:cs="Arial"/>
          <w:iCs/>
        </w:rPr>
      </w:pPr>
    </w:p>
    <w:p w:rsidR="0091333D" w:rsidRPr="0091333D" w:rsidRDefault="00742368" w:rsidP="0091333D">
      <w:pPr>
        <w:keepNext/>
        <w:rPr>
          <w:rFonts w:eastAsiaTheme="minorEastAsia"/>
        </w:rPr>
      </w:pPr>
      <w:r>
        <w:fldChar w:fldCharType="begin"/>
      </w:r>
      <w:r w:rsidR="0091333D" w:rsidRPr="0091333D">
        <w:instrText xml:space="preserve"> AUTONUM  </w:instrText>
      </w:r>
      <w:r>
        <w:fldChar w:fldCharType="end"/>
      </w:r>
      <w:r w:rsidR="0091333D">
        <w:tab/>
        <w:t>Los antecedentes de esta cuestión figuran en los párrafos 25 a 30 del documento TC/54/11 “</w:t>
      </w:r>
      <w:r w:rsidR="0091333D">
        <w:rPr>
          <w:i/>
        </w:rPr>
        <w:t xml:space="preserve">Molecular </w:t>
      </w:r>
      <w:proofErr w:type="spellStart"/>
      <w:r w:rsidR="0091333D">
        <w:rPr>
          <w:i/>
        </w:rPr>
        <w:t>Techniques</w:t>
      </w:r>
      <w:proofErr w:type="spellEnd"/>
      <w:r w:rsidR="0091333D">
        <w:t>” (Técnicas moleculares).</w:t>
      </w:r>
    </w:p>
    <w:p w:rsidR="0091333D" w:rsidRPr="0091333D" w:rsidRDefault="0091333D" w:rsidP="0091333D">
      <w:pPr>
        <w:keepNext/>
        <w:rPr>
          <w:rFonts w:cs="Arial"/>
          <w:iCs/>
          <w:snapToGrid w:val="0"/>
        </w:rPr>
      </w:pPr>
    </w:p>
    <w:p w:rsidR="0091333D" w:rsidRPr="0091333D" w:rsidRDefault="00742368" w:rsidP="0091333D">
      <w:r w:rsidRPr="006D4C12">
        <w:fldChar w:fldCharType="begin"/>
      </w:r>
      <w:r w:rsidR="0091333D" w:rsidRPr="0091333D">
        <w:instrText xml:space="preserve"> AUTONUM  </w:instrText>
      </w:r>
      <w:r w:rsidRPr="006D4C12">
        <w:fldChar w:fldCharType="end"/>
      </w:r>
      <w:r w:rsidR="0091333D">
        <w:tab/>
        <w:t>El BMT examinó el documento BMT/17/5 “</w:t>
      </w:r>
      <w:proofErr w:type="spellStart"/>
      <w:r w:rsidR="0091333D">
        <w:rPr>
          <w:i/>
        </w:rPr>
        <w:t>Session</w:t>
      </w:r>
      <w:proofErr w:type="spellEnd"/>
      <w:r w:rsidR="0091333D">
        <w:rPr>
          <w:i/>
        </w:rPr>
        <w:t xml:space="preserve"> to </w:t>
      </w:r>
      <w:proofErr w:type="spellStart"/>
      <w:r w:rsidR="0091333D">
        <w:rPr>
          <w:i/>
        </w:rPr>
        <w:t>facilitate</w:t>
      </w:r>
      <w:proofErr w:type="spellEnd"/>
      <w:r w:rsidR="0091333D">
        <w:rPr>
          <w:i/>
        </w:rPr>
        <w:t xml:space="preserve"> </w:t>
      </w:r>
      <w:proofErr w:type="spellStart"/>
      <w:r w:rsidR="0091333D">
        <w:rPr>
          <w:i/>
        </w:rPr>
        <w:t>cooperation</w:t>
      </w:r>
      <w:proofErr w:type="spellEnd"/>
      <w:r w:rsidR="0091333D">
        <w:rPr>
          <w:i/>
        </w:rPr>
        <w:t xml:space="preserve"> in </w:t>
      </w:r>
      <w:proofErr w:type="spellStart"/>
      <w:r w:rsidR="0091333D">
        <w:rPr>
          <w:i/>
        </w:rPr>
        <w:t>relation</w:t>
      </w:r>
      <w:proofErr w:type="spellEnd"/>
      <w:r w:rsidR="0091333D">
        <w:rPr>
          <w:i/>
        </w:rPr>
        <w:t xml:space="preserve"> to </w:t>
      </w:r>
      <w:proofErr w:type="spellStart"/>
      <w:r w:rsidR="0091333D">
        <w:rPr>
          <w:i/>
        </w:rPr>
        <w:t>the</w:t>
      </w:r>
      <w:proofErr w:type="spellEnd"/>
      <w:r w:rsidR="0091333D">
        <w:rPr>
          <w:i/>
        </w:rPr>
        <w:t xml:space="preserve"> use of molecular </w:t>
      </w:r>
      <w:proofErr w:type="spellStart"/>
      <w:r w:rsidR="0091333D">
        <w:rPr>
          <w:i/>
        </w:rPr>
        <w:t>techniques</w:t>
      </w:r>
      <w:proofErr w:type="spellEnd"/>
      <w:r w:rsidR="0091333D">
        <w:t>” (Sesión para facilitar la cooperación en el uso de técnicas moleculares).</w:t>
      </w:r>
    </w:p>
    <w:p w:rsidR="0091333D" w:rsidRPr="0091333D" w:rsidRDefault="0091333D" w:rsidP="0091333D"/>
    <w:p w:rsidR="0091333D" w:rsidRPr="0091333D" w:rsidRDefault="00742368" w:rsidP="0091333D">
      <w:r w:rsidRPr="006D4C12">
        <w:lastRenderedPageBreak/>
        <w:fldChar w:fldCharType="begin"/>
      </w:r>
      <w:r w:rsidR="0091333D" w:rsidRPr="0091333D">
        <w:instrText xml:space="preserve"> AUTONUM  </w:instrText>
      </w:r>
      <w:r w:rsidRPr="006D4C12">
        <w:fldChar w:fldCharType="end"/>
      </w:r>
      <w:r w:rsidR="0091333D">
        <w:tab/>
        <w:t xml:space="preserve">Se crearon grupos de debate respecto de maíz y soja y otras plantas agrícolas, plantas frutales y árboles forestales, plantas ornamentales y plantas hortícolas, con el objeto de que los asistentes a la sesión intercambien información sobre su labor y definan ámbitos de cooperación. </w:t>
      </w:r>
    </w:p>
    <w:p w:rsidR="0091333D" w:rsidRPr="0091333D" w:rsidRDefault="0091333D" w:rsidP="0091333D"/>
    <w:p w:rsidR="0091333D" w:rsidRPr="0091333D" w:rsidRDefault="00742368" w:rsidP="0091333D">
      <w:pPr>
        <w:keepNext/>
      </w:pPr>
      <w:r w:rsidRPr="006D4C12">
        <w:fldChar w:fldCharType="begin"/>
      </w:r>
      <w:r w:rsidR="0091333D" w:rsidRPr="0091333D">
        <w:instrText xml:space="preserve"> AUTONUM  </w:instrText>
      </w:r>
      <w:r w:rsidRPr="006D4C12">
        <w:fldChar w:fldCharType="end"/>
      </w:r>
      <w:r w:rsidR="0091333D">
        <w:tab/>
        <w:t>Se informó al BMT de los siguientes resultados de los debates:</w:t>
      </w:r>
    </w:p>
    <w:p w:rsidR="0091333D" w:rsidRPr="0091333D" w:rsidRDefault="0091333D" w:rsidP="0091333D">
      <w:pPr>
        <w:keepNext/>
      </w:pPr>
    </w:p>
    <w:p w:rsidR="0091333D" w:rsidRPr="0091333D" w:rsidRDefault="0091333D" w:rsidP="0091333D">
      <w:pPr>
        <w:keepNext/>
        <w:outlineLvl w:val="2"/>
        <w:rPr>
          <w:i/>
        </w:rPr>
      </w:pPr>
      <w:bookmarkStart w:id="111" w:name="_Toc525478528"/>
      <w:bookmarkStart w:id="112" w:name="_Toc525647217"/>
      <w:r>
        <w:rPr>
          <w:i/>
        </w:rPr>
        <w:t>Maíz y soja</w:t>
      </w:r>
      <w:bookmarkEnd w:id="111"/>
      <w:bookmarkEnd w:id="112"/>
    </w:p>
    <w:p w:rsidR="0091333D" w:rsidRPr="0091333D" w:rsidRDefault="0091333D" w:rsidP="0091333D">
      <w:pPr>
        <w:keepNext/>
      </w:pPr>
    </w:p>
    <w:p w:rsidR="0091333D" w:rsidRPr="0091333D" w:rsidRDefault="0091333D" w:rsidP="0091333D">
      <w:pPr>
        <w:keepNext/>
        <w:ind w:left="567"/>
        <w:outlineLvl w:val="3"/>
        <w:rPr>
          <w:rFonts w:eastAsiaTheme="minorEastAsia"/>
          <w:u w:val="single"/>
        </w:rPr>
      </w:pPr>
      <w:r>
        <w:rPr>
          <w:rFonts w:eastAsiaTheme="minorEastAsia"/>
          <w:u w:val="single"/>
        </w:rPr>
        <w:t>Resumen del interés en el cultivo</w:t>
      </w:r>
    </w:p>
    <w:p w:rsidR="0091333D" w:rsidRPr="0091333D" w:rsidRDefault="0091333D" w:rsidP="0091333D">
      <w:pPr>
        <w:keepNext/>
      </w:pPr>
    </w:p>
    <w:tbl>
      <w:tblPr>
        <w:tblStyle w:val="TableGrid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91333D" w:rsidRPr="006D4C12" w:rsidTr="006757F0">
        <w:tc>
          <w:tcPr>
            <w:tcW w:w="1980" w:type="dxa"/>
          </w:tcPr>
          <w:p w:rsidR="0091333D" w:rsidRPr="006D4C12" w:rsidRDefault="0091333D" w:rsidP="006757F0">
            <w:pPr>
              <w:keepNext/>
              <w:jc w:val="left"/>
              <w:rPr>
                <w:rFonts w:cs="Arial"/>
                <w:sz w:val="18"/>
              </w:rPr>
            </w:pPr>
            <w:r>
              <w:rPr>
                <w:sz w:val="18"/>
              </w:rPr>
              <w:t>Maíz</w:t>
            </w:r>
          </w:p>
        </w:tc>
        <w:tc>
          <w:tcPr>
            <w:tcW w:w="5925" w:type="dxa"/>
          </w:tcPr>
          <w:p w:rsidR="0091333D" w:rsidRPr="006D4C12" w:rsidRDefault="0091333D" w:rsidP="006757F0">
            <w:pPr>
              <w:keepNext/>
              <w:jc w:val="left"/>
              <w:rPr>
                <w:rFonts w:cs="Arial"/>
                <w:sz w:val="18"/>
              </w:rPr>
            </w:pPr>
            <w:r>
              <w:rPr>
                <w:sz w:val="18"/>
              </w:rPr>
              <w:t>Estados Unidos de América</w:t>
            </w:r>
          </w:p>
        </w:tc>
      </w:tr>
      <w:tr w:rsidR="0091333D" w:rsidRPr="0091333D" w:rsidTr="006757F0">
        <w:tc>
          <w:tcPr>
            <w:tcW w:w="1980" w:type="dxa"/>
          </w:tcPr>
          <w:p w:rsidR="0091333D" w:rsidRPr="006D4C12" w:rsidRDefault="0091333D" w:rsidP="006757F0">
            <w:pPr>
              <w:keepNext/>
              <w:jc w:val="left"/>
              <w:rPr>
                <w:rFonts w:cs="Arial"/>
                <w:sz w:val="18"/>
              </w:rPr>
            </w:pPr>
            <w:r>
              <w:rPr>
                <w:sz w:val="18"/>
              </w:rPr>
              <w:t>Soja</w:t>
            </w:r>
          </w:p>
        </w:tc>
        <w:tc>
          <w:tcPr>
            <w:tcW w:w="5925" w:type="dxa"/>
          </w:tcPr>
          <w:p w:rsidR="0091333D" w:rsidRPr="0091333D" w:rsidRDefault="0091333D" w:rsidP="006757F0">
            <w:pPr>
              <w:keepNext/>
              <w:jc w:val="left"/>
              <w:rPr>
                <w:rFonts w:cs="Arial"/>
                <w:sz w:val="18"/>
              </w:rPr>
            </w:pPr>
            <w:r>
              <w:rPr>
                <w:sz w:val="18"/>
              </w:rPr>
              <w:t xml:space="preserve">Argentina, Brasil, Canadá, Estados Unidos de América y </w:t>
            </w:r>
            <w:proofErr w:type="spellStart"/>
            <w:r>
              <w:rPr>
                <w:sz w:val="18"/>
              </w:rPr>
              <w:t>CropLife</w:t>
            </w:r>
            <w:proofErr w:type="spellEnd"/>
            <w:r>
              <w:rPr>
                <w:sz w:val="18"/>
              </w:rPr>
              <w:t xml:space="preserve"> </w:t>
            </w:r>
          </w:p>
        </w:tc>
      </w:tr>
    </w:tbl>
    <w:p w:rsidR="0091333D" w:rsidRPr="0091333D" w:rsidRDefault="0091333D" w:rsidP="0091333D">
      <w:pPr>
        <w:rPr>
          <w:rFonts w:eastAsia="Calibri"/>
        </w:rPr>
      </w:pPr>
    </w:p>
    <w:p w:rsidR="0091333D" w:rsidRPr="006D4C12" w:rsidRDefault="0091333D" w:rsidP="0091333D">
      <w:pPr>
        <w:tabs>
          <w:tab w:val="left" w:pos="3396"/>
        </w:tabs>
        <w:ind w:left="567"/>
        <w:outlineLvl w:val="3"/>
        <w:rPr>
          <w:u w:val="single"/>
        </w:rPr>
      </w:pPr>
      <w:r>
        <w:rPr>
          <w:u w:val="single"/>
        </w:rPr>
        <w:t>Planes de cooperación</w:t>
      </w:r>
    </w:p>
    <w:p w:rsidR="0091333D" w:rsidRPr="006D4C12" w:rsidRDefault="0091333D" w:rsidP="0091333D">
      <w:pPr>
        <w:jc w:val="left"/>
      </w:pPr>
    </w:p>
    <w:p w:rsidR="0091333D" w:rsidRPr="0091333D" w:rsidRDefault="0091333D" w:rsidP="0091333D">
      <w:pPr>
        <w:numPr>
          <w:ilvl w:val="0"/>
          <w:numId w:val="8"/>
        </w:numPr>
        <w:spacing w:after="160" w:line="259" w:lineRule="auto"/>
        <w:contextualSpacing/>
        <w:rPr>
          <w:rFonts w:eastAsia="Calibri" w:cs="Arial"/>
        </w:rPr>
      </w:pPr>
      <w:r>
        <w:t xml:space="preserve">La Argentina ha de consultar si es posible compartir con el Brasil y los Estados Unidos de América el subconjunto de marcadores seleccionados de la </w:t>
      </w:r>
      <w:proofErr w:type="spellStart"/>
      <w:r>
        <w:t>micromatriz</w:t>
      </w:r>
      <w:proofErr w:type="spellEnd"/>
      <w:r>
        <w:t xml:space="preserve"> 6K </w:t>
      </w:r>
      <w:proofErr w:type="spellStart"/>
      <w:r>
        <w:t>Illumina</w:t>
      </w:r>
      <w:proofErr w:type="spellEnd"/>
      <w:r>
        <w:t>. Si fuera posible compartirlo, los Estados Unidos de América determinarán la capacidad discriminadora del subconjunto en una colección de variedades diferente. La Ar</w:t>
      </w:r>
      <w:r w:rsidR="004535EC">
        <w:t>gentina y los Estados Unidos de </w:t>
      </w:r>
      <w:r>
        <w:t xml:space="preserve">América también considerarán establecer un subconjunto común de marcadores idóneo para diferentes técnicas (p. ej. </w:t>
      </w:r>
      <w:proofErr w:type="spellStart"/>
      <w:r>
        <w:t>genotipado</w:t>
      </w:r>
      <w:proofErr w:type="spellEnd"/>
      <w:r>
        <w:t xml:space="preserve"> y secuenciación). </w:t>
      </w:r>
    </w:p>
    <w:p w:rsidR="0091333D" w:rsidRPr="0091333D" w:rsidRDefault="0091333D" w:rsidP="0091333D">
      <w:pPr>
        <w:numPr>
          <w:ilvl w:val="0"/>
          <w:numId w:val="8"/>
        </w:numPr>
        <w:spacing w:after="160" w:line="259" w:lineRule="auto"/>
        <w:contextualSpacing/>
        <w:rPr>
          <w:rFonts w:eastAsia="Calibri" w:cs="Arial"/>
        </w:rPr>
      </w:pPr>
      <w:r>
        <w:t>Los obtentores de los Estados Unidos de América coordinarán con los del Brasil la formulación de una propuesta de estudio sobre el uso de marcadores moleculares en el examen DHE de la soja (p. ej. semejante al estudio realizado en la Argentina), para presentarla a la Oficina de Protección de las Obtenciones Vegetales (SNPC) del Brasil.</w:t>
      </w:r>
    </w:p>
    <w:p w:rsidR="0091333D" w:rsidRPr="0091333D" w:rsidRDefault="0091333D" w:rsidP="0091333D">
      <w:pPr>
        <w:numPr>
          <w:ilvl w:val="0"/>
          <w:numId w:val="8"/>
        </w:numPr>
        <w:spacing w:after="160" w:line="259" w:lineRule="auto"/>
        <w:contextualSpacing/>
        <w:rPr>
          <w:rFonts w:eastAsia="Calibri" w:cs="Arial"/>
        </w:rPr>
      </w:pPr>
      <w:proofErr w:type="spellStart"/>
      <w:r>
        <w:t>CropLife</w:t>
      </w:r>
      <w:proofErr w:type="spellEnd"/>
      <w:r>
        <w:t xml:space="preserve"> colaborará con la iniciativa de los Estados Unidos de América de creación de conjuntos de marcadores y métodos para respaldar el examen DHE.</w:t>
      </w:r>
    </w:p>
    <w:p w:rsidR="0091333D" w:rsidRPr="0091333D" w:rsidRDefault="0091333D" w:rsidP="0091333D">
      <w:pPr>
        <w:rPr>
          <w:rFonts w:eastAsia="Calibri"/>
        </w:rPr>
      </w:pPr>
    </w:p>
    <w:p w:rsidR="0091333D" w:rsidRPr="0091333D" w:rsidRDefault="0091333D" w:rsidP="0091333D">
      <w:pPr>
        <w:keepNext/>
        <w:ind w:left="567"/>
        <w:outlineLvl w:val="3"/>
        <w:rPr>
          <w:rFonts w:eastAsia="Calibri"/>
          <w:u w:val="single"/>
        </w:rPr>
      </w:pPr>
      <w:r>
        <w:rPr>
          <w:u w:val="single"/>
        </w:rPr>
        <w:t>Propuestas para las iniciativas de la UPOV</w:t>
      </w:r>
    </w:p>
    <w:p w:rsidR="0091333D" w:rsidRPr="0091333D" w:rsidRDefault="0091333D" w:rsidP="0091333D">
      <w:pPr>
        <w:keepNext/>
        <w:rPr>
          <w:rFonts w:eastAsia="Calibri"/>
        </w:rPr>
      </w:pPr>
    </w:p>
    <w:p w:rsidR="0091333D" w:rsidRPr="0091333D" w:rsidRDefault="00742368" w:rsidP="0091333D">
      <w:pPr>
        <w:spacing w:after="160" w:line="259" w:lineRule="auto"/>
        <w:contextualSpacing/>
        <w:rPr>
          <w:rFonts w:eastAsia="Calibri" w:cs="Arial"/>
        </w:rPr>
      </w:pPr>
      <w:r w:rsidRPr="006D4C12">
        <w:fldChar w:fldCharType="begin"/>
      </w:r>
      <w:r w:rsidR="0091333D" w:rsidRPr="0091333D">
        <w:instrText xml:space="preserve"> AUTONUM  </w:instrText>
      </w:r>
      <w:r w:rsidRPr="006D4C12">
        <w:fldChar w:fldCharType="end"/>
      </w:r>
      <w:r w:rsidR="0091333D">
        <w:tab/>
        <w:t>El grupo de coordinación de maíz y soja convino en que la Oficina de la UPOV debe hacer un seguimiento, junto con los participantes, de la posible determinación de la capacidad discriminadora del subconjunto de marcadores moleculares elegidos por la Argentina y la eventual creación de un subconjunto común de marcadores idóneos para diferentes técnicas.</w:t>
      </w:r>
    </w:p>
    <w:p w:rsidR="0091333D" w:rsidRPr="0091333D" w:rsidRDefault="0091333D" w:rsidP="0091333D">
      <w:pPr>
        <w:keepNext/>
      </w:pPr>
    </w:p>
    <w:p w:rsidR="0091333D" w:rsidRPr="0091333D" w:rsidRDefault="0091333D" w:rsidP="0091333D">
      <w:pPr>
        <w:keepNext/>
        <w:outlineLvl w:val="2"/>
        <w:rPr>
          <w:i/>
        </w:rPr>
      </w:pPr>
      <w:bookmarkStart w:id="113" w:name="_Toc525478529"/>
      <w:bookmarkStart w:id="114" w:name="_Toc525647218"/>
      <w:r>
        <w:rPr>
          <w:i/>
        </w:rPr>
        <w:t>Otras plantas agrícolas</w:t>
      </w:r>
      <w:bookmarkEnd w:id="113"/>
      <w:bookmarkEnd w:id="114"/>
    </w:p>
    <w:p w:rsidR="0091333D" w:rsidRPr="0091333D" w:rsidRDefault="0091333D" w:rsidP="0091333D">
      <w:pPr>
        <w:keepNext/>
        <w:ind w:left="567" w:hanging="567"/>
      </w:pPr>
    </w:p>
    <w:p w:rsidR="0091333D" w:rsidRPr="0091333D" w:rsidRDefault="0091333D" w:rsidP="0091333D">
      <w:pPr>
        <w:keepNext/>
        <w:ind w:left="567"/>
        <w:outlineLvl w:val="3"/>
      </w:pPr>
      <w:r>
        <w:rPr>
          <w:u w:val="single"/>
        </w:rPr>
        <w:t>Resumen del interés en el cultivo</w:t>
      </w:r>
    </w:p>
    <w:p w:rsidR="0091333D" w:rsidRPr="0091333D" w:rsidRDefault="0091333D" w:rsidP="0091333D">
      <w:pPr>
        <w:jc w:val="left"/>
      </w:pPr>
    </w:p>
    <w:tbl>
      <w:tblPr>
        <w:tblStyle w:val="TableGrid"/>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4535EC" w:rsidRPr="0091333D" w:rsidTr="006757F0">
        <w:tc>
          <w:tcPr>
            <w:tcW w:w="2122" w:type="dxa"/>
          </w:tcPr>
          <w:p w:rsidR="004535EC" w:rsidRPr="006D4C12" w:rsidRDefault="004535EC" w:rsidP="006757F0">
            <w:pPr>
              <w:jc w:val="left"/>
              <w:rPr>
                <w:sz w:val="18"/>
              </w:rPr>
            </w:pPr>
            <w:r>
              <w:rPr>
                <w:sz w:val="18"/>
              </w:rPr>
              <w:t>Cebada</w:t>
            </w:r>
          </w:p>
        </w:tc>
        <w:tc>
          <w:tcPr>
            <w:tcW w:w="6804" w:type="dxa"/>
          </w:tcPr>
          <w:p w:rsidR="004535EC" w:rsidRPr="0091333D" w:rsidRDefault="004535EC" w:rsidP="006757F0">
            <w:pPr>
              <w:jc w:val="left"/>
              <w:rPr>
                <w:sz w:val="18"/>
              </w:rPr>
            </w:pPr>
            <w:r>
              <w:rPr>
                <w:snapToGrid w:val="0"/>
                <w:color w:val="000000" w:themeColor="text1"/>
                <w:sz w:val="18"/>
              </w:rPr>
              <w:t>Alemania</w:t>
            </w:r>
            <w:r>
              <w:rPr>
                <w:sz w:val="18"/>
              </w:rPr>
              <w:t>, Canadá, Francia, República Checa y el Reino Unido</w:t>
            </w:r>
          </w:p>
        </w:tc>
      </w:tr>
      <w:tr w:rsidR="004535EC" w:rsidRPr="006D4C12" w:rsidTr="006757F0">
        <w:tc>
          <w:tcPr>
            <w:tcW w:w="2122" w:type="dxa"/>
          </w:tcPr>
          <w:p w:rsidR="004535EC" w:rsidRPr="006D4C12" w:rsidRDefault="004535EC" w:rsidP="006757F0">
            <w:pPr>
              <w:jc w:val="left"/>
              <w:rPr>
                <w:sz w:val="18"/>
              </w:rPr>
            </w:pPr>
            <w:r>
              <w:rPr>
                <w:sz w:val="18"/>
              </w:rPr>
              <w:t>Alfalfa</w:t>
            </w:r>
          </w:p>
        </w:tc>
        <w:tc>
          <w:tcPr>
            <w:tcW w:w="6804" w:type="dxa"/>
          </w:tcPr>
          <w:p w:rsidR="004535EC" w:rsidRPr="006D4C12" w:rsidRDefault="004535EC" w:rsidP="006757F0">
            <w:pPr>
              <w:jc w:val="left"/>
              <w:rPr>
                <w:sz w:val="18"/>
              </w:rPr>
            </w:pPr>
            <w:r>
              <w:rPr>
                <w:sz w:val="18"/>
              </w:rPr>
              <w:t>Francia</w:t>
            </w:r>
          </w:p>
        </w:tc>
      </w:tr>
      <w:tr w:rsidR="004535EC" w:rsidRPr="006D4C12" w:rsidTr="006757F0">
        <w:tc>
          <w:tcPr>
            <w:tcW w:w="2122" w:type="dxa"/>
          </w:tcPr>
          <w:p w:rsidR="004535EC" w:rsidRPr="006D4C12" w:rsidRDefault="004535EC" w:rsidP="006757F0">
            <w:pPr>
              <w:jc w:val="left"/>
              <w:rPr>
                <w:sz w:val="18"/>
              </w:rPr>
            </w:pPr>
            <w:r>
              <w:rPr>
                <w:sz w:val="18"/>
              </w:rPr>
              <w:t>Algodón</w:t>
            </w:r>
          </w:p>
        </w:tc>
        <w:tc>
          <w:tcPr>
            <w:tcW w:w="6804" w:type="dxa"/>
          </w:tcPr>
          <w:p w:rsidR="004535EC" w:rsidRPr="006D4C12" w:rsidRDefault="004535EC" w:rsidP="006757F0">
            <w:pPr>
              <w:jc w:val="left"/>
              <w:rPr>
                <w:sz w:val="18"/>
              </w:rPr>
            </w:pPr>
            <w:r>
              <w:rPr>
                <w:sz w:val="18"/>
              </w:rPr>
              <w:t>Brasil</w:t>
            </w:r>
          </w:p>
        </w:tc>
      </w:tr>
      <w:tr w:rsidR="004535EC" w:rsidRPr="006D4C12" w:rsidTr="006757F0">
        <w:tc>
          <w:tcPr>
            <w:tcW w:w="2122" w:type="dxa"/>
          </w:tcPr>
          <w:p w:rsidR="004535EC" w:rsidRPr="006D4C12" w:rsidRDefault="004535EC" w:rsidP="006757F0">
            <w:pPr>
              <w:jc w:val="left"/>
              <w:rPr>
                <w:sz w:val="18"/>
              </w:rPr>
            </w:pPr>
            <w:r>
              <w:rPr>
                <w:sz w:val="18"/>
              </w:rPr>
              <w:t>Arroz</w:t>
            </w:r>
          </w:p>
        </w:tc>
        <w:tc>
          <w:tcPr>
            <w:tcW w:w="6804" w:type="dxa"/>
          </w:tcPr>
          <w:p w:rsidR="004535EC" w:rsidRPr="006D4C12" w:rsidRDefault="004535EC" w:rsidP="006757F0">
            <w:pPr>
              <w:jc w:val="left"/>
              <w:rPr>
                <w:sz w:val="18"/>
              </w:rPr>
            </w:pPr>
            <w:r>
              <w:rPr>
                <w:sz w:val="18"/>
              </w:rPr>
              <w:t>Japón</w:t>
            </w:r>
            <w:r>
              <w:t xml:space="preserve"> y República de Corea</w:t>
            </w:r>
          </w:p>
        </w:tc>
      </w:tr>
      <w:tr w:rsidR="004535EC" w:rsidRPr="006D4C12" w:rsidTr="006757F0">
        <w:tc>
          <w:tcPr>
            <w:tcW w:w="2122" w:type="dxa"/>
          </w:tcPr>
          <w:p w:rsidR="004535EC" w:rsidRPr="006D4C12" w:rsidRDefault="004535EC" w:rsidP="006757F0">
            <w:pPr>
              <w:jc w:val="left"/>
              <w:rPr>
                <w:sz w:val="18"/>
              </w:rPr>
            </w:pPr>
            <w:r>
              <w:rPr>
                <w:sz w:val="18"/>
              </w:rPr>
              <w:t>Avena</w:t>
            </w:r>
          </w:p>
        </w:tc>
        <w:tc>
          <w:tcPr>
            <w:tcW w:w="6804" w:type="dxa"/>
          </w:tcPr>
          <w:p w:rsidR="004535EC" w:rsidRPr="006D4C12" w:rsidRDefault="004535EC" w:rsidP="006757F0">
            <w:pPr>
              <w:jc w:val="left"/>
              <w:rPr>
                <w:sz w:val="18"/>
              </w:rPr>
            </w:pPr>
            <w:r>
              <w:rPr>
                <w:snapToGrid w:val="0"/>
                <w:color w:val="000000" w:themeColor="text1"/>
                <w:sz w:val="18"/>
              </w:rPr>
              <w:t>Canadá</w:t>
            </w:r>
          </w:p>
        </w:tc>
      </w:tr>
      <w:tr w:rsidR="004535EC" w:rsidRPr="006D4C12" w:rsidTr="006757F0">
        <w:tc>
          <w:tcPr>
            <w:tcW w:w="2122" w:type="dxa"/>
          </w:tcPr>
          <w:p w:rsidR="004535EC" w:rsidRPr="006D4C12" w:rsidRDefault="004535EC" w:rsidP="006757F0">
            <w:pPr>
              <w:jc w:val="left"/>
              <w:rPr>
                <w:sz w:val="18"/>
              </w:rPr>
            </w:pPr>
            <w:r>
              <w:rPr>
                <w:sz w:val="18"/>
              </w:rPr>
              <w:t>Cáñamo</w:t>
            </w:r>
          </w:p>
        </w:tc>
        <w:tc>
          <w:tcPr>
            <w:tcW w:w="6804" w:type="dxa"/>
          </w:tcPr>
          <w:p w:rsidR="004535EC" w:rsidRPr="006D4C12" w:rsidRDefault="004535EC" w:rsidP="006757F0">
            <w:pPr>
              <w:jc w:val="left"/>
              <w:rPr>
                <w:sz w:val="18"/>
              </w:rPr>
            </w:pPr>
            <w:r>
              <w:rPr>
                <w:color w:val="000000"/>
                <w:sz w:val="18"/>
              </w:rPr>
              <w:t>Países Bajos</w:t>
            </w:r>
          </w:p>
        </w:tc>
      </w:tr>
      <w:tr w:rsidR="004535EC" w:rsidRPr="0091333D" w:rsidTr="006757F0">
        <w:tc>
          <w:tcPr>
            <w:tcW w:w="2122" w:type="dxa"/>
          </w:tcPr>
          <w:p w:rsidR="004535EC" w:rsidRPr="006D4C12" w:rsidRDefault="004535EC" w:rsidP="006757F0">
            <w:pPr>
              <w:jc w:val="left"/>
              <w:rPr>
                <w:sz w:val="18"/>
              </w:rPr>
            </w:pPr>
            <w:r>
              <w:rPr>
                <w:sz w:val="18"/>
              </w:rPr>
              <w:t>Colza</w:t>
            </w:r>
          </w:p>
        </w:tc>
        <w:tc>
          <w:tcPr>
            <w:tcW w:w="6804" w:type="dxa"/>
          </w:tcPr>
          <w:p w:rsidR="004535EC" w:rsidRPr="0091333D" w:rsidRDefault="004535EC" w:rsidP="006757F0">
            <w:pPr>
              <w:jc w:val="left"/>
              <w:rPr>
                <w:sz w:val="18"/>
              </w:rPr>
            </w:pPr>
            <w:r>
              <w:rPr>
                <w:snapToGrid w:val="0"/>
                <w:color w:val="000000" w:themeColor="text1"/>
                <w:sz w:val="18"/>
              </w:rPr>
              <w:t>Alemania</w:t>
            </w:r>
            <w:r>
              <w:rPr>
                <w:sz w:val="18"/>
              </w:rPr>
              <w:t>, Canadá, Francia, Reino Unido y </w:t>
            </w:r>
            <w:proofErr w:type="spellStart"/>
            <w:r>
              <w:rPr>
                <w:sz w:val="18"/>
              </w:rPr>
              <w:t>Corteva</w:t>
            </w:r>
            <w:proofErr w:type="spellEnd"/>
          </w:p>
        </w:tc>
      </w:tr>
      <w:tr w:rsidR="004535EC" w:rsidRPr="006D4C12" w:rsidTr="006757F0">
        <w:tc>
          <w:tcPr>
            <w:tcW w:w="2122" w:type="dxa"/>
          </w:tcPr>
          <w:p w:rsidR="004535EC" w:rsidRPr="006D4C12" w:rsidRDefault="004535EC" w:rsidP="006757F0">
            <w:pPr>
              <w:jc w:val="left"/>
              <w:rPr>
                <w:sz w:val="18"/>
              </w:rPr>
            </w:pPr>
            <w:r>
              <w:rPr>
                <w:sz w:val="18"/>
              </w:rPr>
              <w:t>Girasol</w:t>
            </w:r>
          </w:p>
        </w:tc>
        <w:tc>
          <w:tcPr>
            <w:tcW w:w="6804" w:type="dxa"/>
          </w:tcPr>
          <w:p w:rsidR="004535EC" w:rsidRPr="006D4C12" w:rsidRDefault="004535EC" w:rsidP="006757F0">
            <w:pPr>
              <w:jc w:val="left"/>
              <w:rPr>
                <w:rFonts w:cs="Arial"/>
                <w:snapToGrid w:val="0"/>
                <w:color w:val="000000" w:themeColor="text1"/>
                <w:sz w:val="18"/>
              </w:rPr>
            </w:pPr>
            <w:r>
              <w:rPr>
                <w:snapToGrid w:val="0"/>
                <w:color w:val="000000" w:themeColor="text1"/>
                <w:sz w:val="18"/>
              </w:rPr>
              <w:t>Francia</w:t>
            </w:r>
          </w:p>
        </w:tc>
      </w:tr>
      <w:tr w:rsidR="004535EC" w:rsidRPr="0091333D" w:rsidTr="006757F0">
        <w:tc>
          <w:tcPr>
            <w:tcW w:w="2122" w:type="dxa"/>
          </w:tcPr>
          <w:p w:rsidR="004535EC" w:rsidRPr="006D4C12" w:rsidRDefault="004535EC" w:rsidP="006757F0">
            <w:pPr>
              <w:jc w:val="left"/>
              <w:rPr>
                <w:sz w:val="18"/>
              </w:rPr>
            </w:pPr>
            <w:r>
              <w:rPr>
                <w:sz w:val="18"/>
              </w:rPr>
              <w:t>Papa o patata</w:t>
            </w:r>
          </w:p>
        </w:tc>
        <w:tc>
          <w:tcPr>
            <w:tcW w:w="6804" w:type="dxa"/>
          </w:tcPr>
          <w:p w:rsidR="004535EC" w:rsidRPr="0091333D" w:rsidRDefault="004535EC" w:rsidP="006757F0">
            <w:pPr>
              <w:jc w:val="left"/>
              <w:rPr>
                <w:sz w:val="18"/>
              </w:rPr>
            </w:pPr>
            <w:r>
              <w:rPr>
                <w:snapToGrid w:val="0"/>
                <w:color w:val="000000" w:themeColor="text1"/>
                <w:sz w:val="18"/>
              </w:rPr>
              <w:t>Alemania</w:t>
            </w:r>
            <w:r>
              <w:rPr>
                <w:sz w:val="18"/>
              </w:rPr>
              <w:t>, Canadá, Finlandia, Países Bajos, Reino Unido y la Unión Europea</w:t>
            </w:r>
          </w:p>
        </w:tc>
      </w:tr>
      <w:tr w:rsidR="004535EC" w:rsidRPr="006D4C12" w:rsidTr="006757F0">
        <w:tc>
          <w:tcPr>
            <w:tcW w:w="2122" w:type="dxa"/>
          </w:tcPr>
          <w:p w:rsidR="004535EC" w:rsidRPr="006D4C12" w:rsidRDefault="004535EC" w:rsidP="006757F0">
            <w:pPr>
              <w:jc w:val="left"/>
              <w:rPr>
                <w:sz w:val="18"/>
              </w:rPr>
            </w:pPr>
            <w:r>
              <w:rPr>
                <w:sz w:val="18"/>
              </w:rPr>
              <w:t>Raigrás</w:t>
            </w:r>
          </w:p>
        </w:tc>
        <w:tc>
          <w:tcPr>
            <w:tcW w:w="6804" w:type="dxa"/>
          </w:tcPr>
          <w:p w:rsidR="004535EC" w:rsidRPr="006D4C12" w:rsidRDefault="004535EC" w:rsidP="006757F0">
            <w:pPr>
              <w:jc w:val="left"/>
              <w:rPr>
                <w:sz w:val="18"/>
              </w:rPr>
            </w:pPr>
            <w:r>
              <w:rPr>
                <w:sz w:val="18"/>
              </w:rPr>
              <w:t>Bélgica, Países Bajos y Reino Unido</w:t>
            </w:r>
          </w:p>
        </w:tc>
      </w:tr>
      <w:tr w:rsidR="004535EC" w:rsidRPr="006D4C12" w:rsidTr="006757F0">
        <w:tc>
          <w:tcPr>
            <w:tcW w:w="2122" w:type="dxa"/>
          </w:tcPr>
          <w:p w:rsidR="004535EC" w:rsidRPr="006D4C12" w:rsidRDefault="004535EC" w:rsidP="006757F0">
            <w:pPr>
              <w:jc w:val="left"/>
              <w:rPr>
                <w:sz w:val="18"/>
              </w:rPr>
            </w:pPr>
            <w:r>
              <w:rPr>
                <w:sz w:val="18"/>
              </w:rPr>
              <w:t>Sorgo</w:t>
            </w:r>
          </w:p>
        </w:tc>
        <w:tc>
          <w:tcPr>
            <w:tcW w:w="6804" w:type="dxa"/>
          </w:tcPr>
          <w:p w:rsidR="004535EC" w:rsidRPr="006D4C12" w:rsidRDefault="004535EC" w:rsidP="006757F0">
            <w:pPr>
              <w:jc w:val="left"/>
              <w:rPr>
                <w:sz w:val="18"/>
              </w:rPr>
            </w:pPr>
            <w:r>
              <w:rPr>
                <w:sz w:val="18"/>
              </w:rPr>
              <w:t>Francia</w:t>
            </w:r>
          </w:p>
        </w:tc>
      </w:tr>
      <w:tr w:rsidR="004535EC" w:rsidRPr="0091333D" w:rsidTr="006757F0">
        <w:tc>
          <w:tcPr>
            <w:tcW w:w="2122" w:type="dxa"/>
          </w:tcPr>
          <w:p w:rsidR="004535EC" w:rsidRPr="006D4C12" w:rsidRDefault="004535EC" w:rsidP="006757F0">
            <w:pPr>
              <w:jc w:val="left"/>
              <w:rPr>
                <w:sz w:val="18"/>
              </w:rPr>
            </w:pPr>
            <w:r>
              <w:rPr>
                <w:sz w:val="18"/>
              </w:rPr>
              <w:t>Trigo</w:t>
            </w:r>
          </w:p>
        </w:tc>
        <w:tc>
          <w:tcPr>
            <w:tcW w:w="6804" w:type="dxa"/>
          </w:tcPr>
          <w:p w:rsidR="004535EC" w:rsidRPr="0091333D" w:rsidRDefault="004535EC" w:rsidP="006757F0">
            <w:pPr>
              <w:jc w:val="left"/>
              <w:rPr>
                <w:sz w:val="18"/>
              </w:rPr>
            </w:pPr>
            <w:r>
              <w:rPr>
                <w:snapToGrid w:val="0"/>
                <w:color w:val="000000" w:themeColor="text1"/>
                <w:sz w:val="18"/>
              </w:rPr>
              <w:t>Canadá</w:t>
            </w:r>
            <w:r>
              <w:rPr>
                <w:color w:val="000000"/>
                <w:sz w:val="18"/>
              </w:rPr>
              <w:t xml:space="preserve">, Estonia, Francia, Italia, Reino Unido, República Checa y </w:t>
            </w:r>
            <w:proofErr w:type="spellStart"/>
            <w:r>
              <w:rPr>
                <w:color w:val="000000"/>
                <w:sz w:val="18"/>
              </w:rPr>
              <w:t>Corteva</w:t>
            </w:r>
            <w:proofErr w:type="spellEnd"/>
            <w:r>
              <w:rPr>
                <w:sz w:val="18"/>
              </w:rPr>
              <w:t xml:space="preserve"> </w:t>
            </w:r>
          </w:p>
        </w:tc>
      </w:tr>
      <w:tr w:rsidR="004535EC" w:rsidRPr="006D4C12" w:rsidTr="006757F0">
        <w:tc>
          <w:tcPr>
            <w:tcW w:w="2122" w:type="dxa"/>
          </w:tcPr>
          <w:p w:rsidR="004535EC" w:rsidRPr="006D4C12" w:rsidRDefault="004535EC" w:rsidP="006757F0">
            <w:pPr>
              <w:jc w:val="left"/>
              <w:rPr>
                <w:sz w:val="18"/>
              </w:rPr>
            </w:pPr>
            <w:r>
              <w:rPr>
                <w:sz w:val="18"/>
              </w:rPr>
              <w:t>Trigo duro</w:t>
            </w:r>
          </w:p>
        </w:tc>
        <w:tc>
          <w:tcPr>
            <w:tcW w:w="6804" w:type="dxa"/>
          </w:tcPr>
          <w:p w:rsidR="004535EC" w:rsidRPr="006D4C12" w:rsidRDefault="004535EC" w:rsidP="006757F0">
            <w:pPr>
              <w:jc w:val="left"/>
              <w:rPr>
                <w:sz w:val="18"/>
              </w:rPr>
            </w:pPr>
            <w:r>
              <w:rPr>
                <w:sz w:val="18"/>
              </w:rPr>
              <w:t>Italia y la Unión Europea</w:t>
            </w:r>
          </w:p>
        </w:tc>
      </w:tr>
    </w:tbl>
    <w:p w:rsidR="0091333D" w:rsidRPr="0091333D" w:rsidRDefault="0091333D" w:rsidP="0091333D">
      <w:pPr>
        <w:jc w:val="left"/>
      </w:pPr>
    </w:p>
    <w:p w:rsidR="0091333D" w:rsidRPr="006D4C12" w:rsidRDefault="0091333D" w:rsidP="0091333D">
      <w:pPr>
        <w:keepNext/>
        <w:ind w:left="567"/>
        <w:outlineLvl w:val="3"/>
        <w:rPr>
          <w:u w:val="single"/>
        </w:rPr>
      </w:pPr>
      <w:r>
        <w:rPr>
          <w:u w:val="single"/>
        </w:rPr>
        <w:t>Planes de cooperación</w:t>
      </w:r>
    </w:p>
    <w:p w:rsidR="0091333D" w:rsidRPr="006D4C12" w:rsidRDefault="0091333D" w:rsidP="0091333D">
      <w:pPr>
        <w:keepNext/>
        <w:jc w:val="left"/>
      </w:pPr>
    </w:p>
    <w:p w:rsidR="0091333D" w:rsidRPr="0091333D" w:rsidRDefault="0091333D" w:rsidP="0091333D">
      <w:pPr>
        <w:keepNext/>
        <w:numPr>
          <w:ilvl w:val="0"/>
          <w:numId w:val="9"/>
        </w:numPr>
        <w:contextualSpacing/>
      </w:pPr>
      <w:r>
        <w:rPr>
          <w:snapToGrid w:val="0"/>
          <w:color w:val="000000" w:themeColor="text1"/>
        </w:rPr>
        <w:t>Papa o patata:</w:t>
      </w:r>
      <w:r w:rsidR="00AE5E49">
        <w:rPr>
          <w:snapToGrid w:val="0"/>
          <w:color w:val="000000" w:themeColor="text1"/>
        </w:rPr>
        <w:t xml:space="preserve"> </w:t>
      </w:r>
      <w:r w:rsidR="00AE5E49">
        <w:t>e</w:t>
      </w:r>
      <w:r>
        <w:t xml:space="preserve">l </w:t>
      </w:r>
      <w:r>
        <w:rPr>
          <w:snapToGrid w:val="0"/>
          <w:color w:val="000000" w:themeColor="text1"/>
        </w:rPr>
        <w:t>Canadá</w:t>
      </w:r>
      <w:r>
        <w:t xml:space="preserve"> y la República de Corea se dirigirán a los participantes en la base datos europea de la papa o patata para debatir su eventual participación en dicha base de datos.</w:t>
      </w:r>
    </w:p>
    <w:p w:rsidR="0091333D" w:rsidRPr="0091333D" w:rsidRDefault="0091333D" w:rsidP="0091333D">
      <w:pPr>
        <w:numPr>
          <w:ilvl w:val="0"/>
          <w:numId w:val="9"/>
        </w:numPr>
        <w:contextualSpacing/>
      </w:pPr>
      <w:r>
        <w:t>Arroz:</w:t>
      </w:r>
      <w:r w:rsidR="00AE5E49">
        <w:t xml:space="preserve"> e</w:t>
      </w:r>
      <w:r>
        <w:t>l Japón y la República de Corea debatirán la cooperación entre China, el Japón y la República de Corea en el Foro de Asia Oriental para la Protección de las Variedades Vegetales.</w:t>
      </w:r>
    </w:p>
    <w:p w:rsidR="0091333D" w:rsidRPr="0091333D" w:rsidRDefault="0091333D" w:rsidP="0091333D">
      <w:pPr>
        <w:numPr>
          <w:ilvl w:val="0"/>
          <w:numId w:val="9"/>
        </w:numPr>
        <w:contextualSpacing/>
      </w:pPr>
      <w:r>
        <w:t>Raigrás:</w:t>
      </w:r>
      <w:r w:rsidR="00AE5E49">
        <w:t xml:space="preserve"> </w:t>
      </w:r>
      <w:r>
        <w:t>Bélgica, los Países Bajos y la República Checa compartirán información sobre su labor y sus planes.</w:t>
      </w:r>
    </w:p>
    <w:p w:rsidR="0091333D" w:rsidRDefault="0091333D" w:rsidP="0091333D"/>
    <w:p w:rsidR="0091333D" w:rsidRPr="0091333D" w:rsidRDefault="0091333D" w:rsidP="0091333D">
      <w:pPr>
        <w:ind w:left="567"/>
        <w:outlineLvl w:val="3"/>
        <w:rPr>
          <w:u w:val="single"/>
        </w:rPr>
      </w:pPr>
      <w:r>
        <w:rPr>
          <w:u w:val="single"/>
        </w:rPr>
        <w:lastRenderedPageBreak/>
        <w:t>Propuestas para las iniciativas de la UPOV</w:t>
      </w:r>
    </w:p>
    <w:p w:rsidR="0091333D" w:rsidRPr="0091333D" w:rsidRDefault="0091333D" w:rsidP="0091333D"/>
    <w:p w:rsidR="0091333D" w:rsidRPr="0091333D" w:rsidRDefault="00742368" w:rsidP="0091333D">
      <w:r w:rsidRPr="006D4C12">
        <w:fldChar w:fldCharType="begin"/>
      </w:r>
      <w:r w:rsidR="0091333D" w:rsidRPr="0091333D">
        <w:instrText xml:space="preserve"> AUTONUM  </w:instrText>
      </w:r>
      <w:r w:rsidRPr="006D4C12">
        <w:fldChar w:fldCharType="end"/>
      </w:r>
      <w:r w:rsidR="0091333D">
        <w:tab/>
        <w:t>El grupo de coordinación de otros cultivos agrícolas convino en la utilidad de introducir un punto en el orden del día de la decimoctava sesión del BMT para que los participantes informen sobre la manera en que han gestionado la cooperación entre asociados y proveedores de servicios, incluida la confidencialidad, el acceso a los datos y el material, la autorización para que se realicen trabajos y la disponibilidad de resultados e información para los asociados.</w:t>
      </w:r>
    </w:p>
    <w:p w:rsidR="0091333D" w:rsidRPr="0091333D" w:rsidRDefault="0091333D" w:rsidP="0091333D">
      <w:pPr>
        <w:spacing w:line="360" w:lineRule="auto"/>
        <w:jc w:val="left"/>
        <w:rPr>
          <w:rFonts w:eastAsiaTheme="minorEastAsia"/>
        </w:rPr>
      </w:pPr>
    </w:p>
    <w:p w:rsidR="0091333D" w:rsidRPr="006D4C12" w:rsidRDefault="0091333D" w:rsidP="0091333D">
      <w:pPr>
        <w:keepNext/>
        <w:outlineLvl w:val="2"/>
        <w:rPr>
          <w:rFonts w:eastAsiaTheme="minorEastAsia"/>
          <w:i/>
        </w:rPr>
      </w:pPr>
      <w:bookmarkStart w:id="115" w:name="_Toc525478530"/>
      <w:bookmarkStart w:id="116" w:name="_Toc525647219"/>
      <w:r>
        <w:rPr>
          <w:i/>
        </w:rPr>
        <w:t>Plantas hortícolas</w:t>
      </w:r>
      <w:bookmarkEnd w:id="115"/>
      <w:bookmarkEnd w:id="116"/>
    </w:p>
    <w:p w:rsidR="0091333D" w:rsidRPr="006D4C12" w:rsidRDefault="0091333D" w:rsidP="0091333D">
      <w:pPr>
        <w:jc w:val="left"/>
        <w:rPr>
          <w:rFonts w:eastAsiaTheme="minorEastAsia"/>
        </w:rPr>
      </w:pPr>
    </w:p>
    <w:p w:rsidR="0091333D" w:rsidRPr="006D4C12" w:rsidRDefault="0091333D" w:rsidP="0091333D">
      <w:pPr>
        <w:ind w:left="567"/>
        <w:outlineLvl w:val="3"/>
        <w:rPr>
          <w:rFonts w:eastAsiaTheme="minorEastAsia"/>
          <w:u w:val="single"/>
        </w:rPr>
      </w:pPr>
      <w:r>
        <w:rPr>
          <w:rFonts w:eastAsiaTheme="minorEastAsia"/>
          <w:u w:val="single"/>
        </w:rPr>
        <w:t>Resumen del interés en el cultivo</w:t>
      </w:r>
    </w:p>
    <w:p w:rsidR="0091333D" w:rsidRPr="006D4C12" w:rsidRDefault="0091333D" w:rsidP="0091333D">
      <w:pPr>
        <w:rPr>
          <w:rFonts w:eastAsiaTheme="minorEastAsia"/>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4535EC" w:rsidRPr="006D4C12" w:rsidTr="006757F0">
        <w:tc>
          <w:tcPr>
            <w:tcW w:w="2122" w:type="dxa"/>
          </w:tcPr>
          <w:p w:rsidR="004535EC" w:rsidRPr="006D4C12" w:rsidRDefault="004535EC" w:rsidP="006757F0">
            <w:pPr>
              <w:jc w:val="left"/>
              <w:rPr>
                <w:sz w:val="18"/>
              </w:rPr>
            </w:pPr>
            <w:r>
              <w:rPr>
                <w:sz w:val="18"/>
              </w:rPr>
              <w:t>Berenjena</w:t>
            </w:r>
          </w:p>
        </w:tc>
        <w:tc>
          <w:tcPr>
            <w:tcW w:w="7058" w:type="dxa"/>
          </w:tcPr>
          <w:p w:rsidR="004535EC" w:rsidRPr="006D4C12" w:rsidRDefault="004535EC" w:rsidP="006757F0">
            <w:pPr>
              <w:rPr>
                <w:sz w:val="18"/>
              </w:rPr>
            </w:pPr>
            <w:r>
              <w:rPr>
                <w:color w:val="000000"/>
                <w:sz w:val="18"/>
              </w:rPr>
              <w:t>Italia</w:t>
            </w:r>
          </w:p>
        </w:tc>
      </w:tr>
      <w:tr w:rsidR="004535EC" w:rsidRPr="006D4C12" w:rsidTr="006757F0">
        <w:tc>
          <w:tcPr>
            <w:tcW w:w="2122" w:type="dxa"/>
          </w:tcPr>
          <w:p w:rsidR="004535EC" w:rsidRPr="006D4C12" w:rsidRDefault="004535EC" w:rsidP="006757F0">
            <w:pPr>
              <w:jc w:val="left"/>
              <w:rPr>
                <w:sz w:val="18"/>
              </w:rPr>
            </w:pPr>
            <w:r>
              <w:rPr>
                <w:sz w:val="18"/>
              </w:rPr>
              <w:t>Calabacín</w:t>
            </w:r>
          </w:p>
        </w:tc>
        <w:tc>
          <w:tcPr>
            <w:tcW w:w="7058" w:type="dxa"/>
          </w:tcPr>
          <w:p w:rsidR="004535EC" w:rsidRPr="006D4C12" w:rsidRDefault="004535EC" w:rsidP="006757F0">
            <w:pPr>
              <w:jc w:val="left"/>
              <w:rPr>
                <w:sz w:val="18"/>
              </w:rPr>
            </w:pPr>
            <w:r>
              <w:t>Italia</w:t>
            </w:r>
            <w:r>
              <w:rPr>
                <w:color w:val="000000"/>
                <w:sz w:val="18"/>
              </w:rPr>
              <w:t xml:space="preserve"> y</w:t>
            </w:r>
            <w:r>
              <w:rPr>
                <w:sz w:val="18"/>
              </w:rPr>
              <w:t xml:space="preserve">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w:t>
            </w:r>
          </w:p>
        </w:tc>
      </w:tr>
      <w:tr w:rsidR="004535EC" w:rsidRPr="0091333D" w:rsidTr="006757F0">
        <w:tc>
          <w:tcPr>
            <w:tcW w:w="2122" w:type="dxa"/>
          </w:tcPr>
          <w:p w:rsidR="004535EC" w:rsidRPr="006D4C12" w:rsidRDefault="004535EC" w:rsidP="006757F0">
            <w:pPr>
              <w:jc w:val="left"/>
              <w:rPr>
                <w:sz w:val="18"/>
              </w:rPr>
            </w:pPr>
            <w:r>
              <w:rPr>
                <w:sz w:val="18"/>
              </w:rPr>
              <w:t>Calabaza o zapallo</w:t>
            </w:r>
          </w:p>
        </w:tc>
        <w:tc>
          <w:tcPr>
            <w:tcW w:w="7058" w:type="dxa"/>
          </w:tcPr>
          <w:p w:rsidR="004535EC" w:rsidRPr="0091333D" w:rsidRDefault="004535EC" w:rsidP="006757F0">
            <w:pPr>
              <w:jc w:val="left"/>
              <w:rPr>
                <w:rFonts w:cs="Arial"/>
                <w:snapToGrid w:val="0"/>
                <w:color w:val="000000" w:themeColor="text1"/>
                <w:sz w:val="18"/>
              </w:rPr>
            </w:pPr>
            <w:r>
              <w:rPr>
                <w:sz w:val="18"/>
              </w:rPr>
              <w:t xml:space="preserve">República de Corea,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w:t>
            </w:r>
          </w:p>
        </w:tc>
      </w:tr>
      <w:tr w:rsidR="004535EC" w:rsidRPr="006D4C12" w:rsidTr="006757F0">
        <w:tc>
          <w:tcPr>
            <w:tcW w:w="2122" w:type="dxa"/>
          </w:tcPr>
          <w:p w:rsidR="004535EC" w:rsidRPr="006D4C12" w:rsidRDefault="004535EC" w:rsidP="006757F0">
            <w:pPr>
              <w:jc w:val="left"/>
              <w:rPr>
                <w:sz w:val="18"/>
              </w:rPr>
            </w:pPr>
            <w:r>
              <w:rPr>
                <w:sz w:val="18"/>
              </w:rPr>
              <w:t>Cebolla</w:t>
            </w:r>
          </w:p>
        </w:tc>
        <w:tc>
          <w:tcPr>
            <w:tcW w:w="7058" w:type="dxa"/>
          </w:tcPr>
          <w:p w:rsidR="004535EC" w:rsidRPr="006D4C12" w:rsidRDefault="004535EC" w:rsidP="006757F0">
            <w:pPr>
              <w:rPr>
                <w:sz w:val="18"/>
              </w:rPr>
            </w:pPr>
            <w:r>
              <w:rPr>
                <w:color w:val="000000"/>
                <w:sz w:val="18"/>
              </w:rPr>
              <w:t xml:space="preserve">Italia, Países Bajos y BASF </w:t>
            </w:r>
          </w:p>
        </w:tc>
      </w:tr>
      <w:tr w:rsidR="004535EC" w:rsidRPr="006D4C12" w:rsidTr="006757F0">
        <w:tc>
          <w:tcPr>
            <w:tcW w:w="2122" w:type="dxa"/>
          </w:tcPr>
          <w:p w:rsidR="004535EC" w:rsidRPr="006D4C12" w:rsidRDefault="004535EC" w:rsidP="006757F0">
            <w:pPr>
              <w:jc w:val="left"/>
              <w:rPr>
                <w:sz w:val="18"/>
              </w:rPr>
            </w:pPr>
            <w:r>
              <w:rPr>
                <w:sz w:val="18"/>
              </w:rPr>
              <w:t>Chalota</w:t>
            </w:r>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sz w:val="18"/>
              </w:rPr>
            </w:pPr>
            <w:r>
              <w:rPr>
                <w:sz w:val="18"/>
              </w:rPr>
              <w:t>Guisante</w:t>
            </w:r>
          </w:p>
        </w:tc>
        <w:tc>
          <w:tcPr>
            <w:tcW w:w="7058" w:type="dxa"/>
          </w:tcPr>
          <w:p w:rsidR="004535EC" w:rsidRPr="006D4C12" w:rsidRDefault="004535EC" w:rsidP="006757F0">
            <w:pPr>
              <w:jc w:val="left"/>
              <w:rPr>
                <w:sz w:val="18"/>
              </w:rPr>
            </w:pPr>
            <w:r>
              <w:rPr>
                <w:sz w:val="18"/>
              </w:rPr>
              <w:t xml:space="preserve">Países Bajos y Reino Unido </w:t>
            </w:r>
          </w:p>
        </w:tc>
      </w:tr>
      <w:tr w:rsidR="004535EC" w:rsidRPr="006D4C12" w:rsidTr="006757F0">
        <w:tc>
          <w:tcPr>
            <w:tcW w:w="2122" w:type="dxa"/>
          </w:tcPr>
          <w:p w:rsidR="004535EC" w:rsidRPr="006D4C12" w:rsidRDefault="004535EC" w:rsidP="006757F0">
            <w:pPr>
              <w:jc w:val="left"/>
              <w:rPr>
                <w:sz w:val="18"/>
              </w:rPr>
            </w:pPr>
            <w:r>
              <w:rPr>
                <w:sz w:val="18"/>
              </w:rPr>
              <w:t>Judía común</w:t>
            </w:r>
          </w:p>
        </w:tc>
        <w:tc>
          <w:tcPr>
            <w:tcW w:w="7058" w:type="dxa"/>
          </w:tcPr>
          <w:p w:rsidR="004535EC" w:rsidRPr="006D4C12" w:rsidRDefault="004535EC" w:rsidP="006757F0">
            <w:pPr>
              <w:rPr>
                <w:sz w:val="18"/>
              </w:rPr>
            </w:pPr>
            <w:r>
              <w:rPr>
                <w:color w:val="000000"/>
                <w:sz w:val="18"/>
              </w:rPr>
              <w:t>Países Bajos</w:t>
            </w:r>
          </w:p>
        </w:tc>
      </w:tr>
      <w:tr w:rsidR="004535EC" w:rsidRPr="0091333D" w:rsidTr="006757F0">
        <w:tc>
          <w:tcPr>
            <w:tcW w:w="2122" w:type="dxa"/>
          </w:tcPr>
          <w:p w:rsidR="004535EC" w:rsidRPr="006D4C12" w:rsidRDefault="004535EC" w:rsidP="006757F0">
            <w:pPr>
              <w:jc w:val="left"/>
              <w:rPr>
                <w:sz w:val="18"/>
              </w:rPr>
            </w:pPr>
            <w:r>
              <w:rPr>
                <w:sz w:val="18"/>
              </w:rPr>
              <w:t>Lechuga</w:t>
            </w:r>
          </w:p>
        </w:tc>
        <w:tc>
          <w:tcPr>
            <w:tcW w:w="7058" w:type="dxa"/>
          </w:tcPr>
          <w:p w:rsidR="004535EC" w:rsidRPr="0091333D" w:rsidRDefault="004535EC" w:rsidP="006757F0">
            <w:pPr>
              <w:rPr>
                <w:sz w:val="18"/>
              </w:rPr>
            </w:pPr>
            <w:r>
              <w:rPr>
                <w:sz w:val="18"/>
              </w:rPr>
              <w:t xml:space="preserve">Australia, Canadá, Países Bajos, República de Corea, BASF, </w:t>
            </w:r>
            <w:proofErr w:type="spellStart"/>
            <w:r>
              <w:rPr>
                <w:i/>
                <w:sz w:val="18"/>
              </w:rPr>
              <w:t>CropLife</w:t>
            </w:r>
            <w:proofErr w:type="spellEnd"/>
            <w:r>
              <w:rPr>
                <w:i/>
                <w:sz w:val="18"/>
              </w:rPr>
              <w:t xml:space="preserve"> International</w:t>
            </w:r>
            <w:r>
              <w:rPr>
                <w:sz w:val="18"/>
              </w:rPr>
              <w:t xml:space="preserve"> y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 </w:t>
            </w:r>
          </w:p>
        </w:tc>
      </w:tr>
      <w:tr w:rsidR="004535EC" w:rsidRPr="0091333D" w:rsidTr="006757F0">
        <w:tc>
          <w:tcPr>
            <w:tcW w:w="2122" w:type="dxa"/>
          </w:tcPr>
          <w:p w:rsidR="004535EC" w:rsidRPr="006D4C12" w:rsidRDefault="004535EC" w:rsidP="006757F0">
            <w:pPr>
              <w:jc w:val="left"/>
              <w:rPr>
                <w:sz w:val="18"/>
              </w:rPr>
            </w:pPr>
            <w:r>
              <w:rPr>
                <w:sz w:val="18"/>
              </w:rPr>
              <w:t>Melón</w:t>
            </w:r>
          </w:p>
        </w:tc>
        <w:tc>
          <w:tcPr>
            <w:tcW w:w="7058" w:type="dxa"/>
          </w:tcPr>
          <w:p w:rsidR="004535EC" w:rsidRPr="0091333D" w:rsidRDefault="004535EC" w:rsidP="006757F0">
            <w:pPr>
              <w:rPr>
                <w:sz w:val="18"/>
              </w:rPr>
            </w:pPr>
            <w:r>
              <w:rPr>
                <w:sz w:val="18"/>
              </w:rPr>
              <w:t xml:space="preserve">China, Países Bajos, República de Corea, BASF y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 </w:t>
            </w:r>
          </w:p>
        </w:tc>
      </w:tr>
      <w:tr w:rsidR="004535EC" w:rsidRPr="006D4C12" w:rsidTr="006757F0">
        <w:tc>
          <w:tcPr>
            <w:tcW w:w="2122" w:type="dxa"/>
          </w:tcPr>
          <w:p w:rsidR="004535EC" w:rsidRPr="006D4C12" w:rsidRDefault="004535EC" w:rsidP="006757F0">
            <w:pPr>
              <w:jc w:val="left"/>
              <w:rPr>
                <w:sz w:val="18"/>
              </w:rPr>
            </w:pPr>
            <w:r>
              <w:rPr>
                <w:sz w:val="18"/>
              </w:rPr>
              <w:t>Melón oriental</w:t>
            </w:r>
          </w:p>
        </w:tc>
        <w:tc>
          <w:tcPr>
            <w:tcW w:w="7058" w:type="dxa"/>
          </w:tcPr>
          <w:p w:rsidR="004535EC" w:rsidRPr="006D4C12" w:rsidRDefault="004535EC" w:rsidP="006757F0">
            <w:pPr>
              <w:jc w:val="left"/>
              <w:rPr>
                <w:sz w:val="18"/>
              </w:rPr>
            </w:pPr>
            <w:r>
              <w:rPr>
                <w:sz w:val="18"/>
              </w:rPr>
              <w:t>República de Corea</w:t>
            </w:r>
          </w:p>
        </w:tc>
      </w:tr>
      <w:tr w:rsidR="004535EC" w:rsidRPr="0091333D" w:rsidTr="006757F0">
        <w:tc>
          <w:tcPr>
            <w:tcW w:w="2122" w:type="dxa"/>
          </w:tcPr>
          <w:p w:rsidR="004535EC" w:rsidRPr="006D4C12" w:rsidRDefault="004535EC" w:rsidP="006757F0">
            <w:pPr>
              <w:jc w:val="left"/>
              <w:rPr>
                <w:sz w:val="18"/>
              </w:rPr>
            </w:pPr>
            <w:r>
              <w:rPr>
                <w:sz w:val="18"/>
              </w:rPr>
              <w:t>Pepino</w:t>
            </w:r>
          </w:p>
        </w:tc>
        <w:tc>
          <w:tcPr>
            <w:tcW w:w="7058" w:type="dxa"/>
          </w:tcPr>
          <w:p w:rsidR="004535EC" w:rsidRPr="0091333D" w:rsidRDefault="004535EC" w:rsidP="006757F0">
            <w:pPr>
              <w:rPr>
                <w:sz w:val="18"/>
              </w:rPr>
            </w:pPr>
            <w:r>
              <w:t>Países Bajos, República de Corea y BASF</w:t>
            </w:r>
          </w:p>
        </w:tc>
      </w:tr>
      <w:tr w:rsidR="004535EC" w:rsidRPr="0091333D" w:rsidTr="006757F0">
        <w:tc>
          <w:tcPr>
            <w:tcW w:w="2122" w:type="dxa"/>
          </w:tcPr>
          <w:p w:rsidR="004535EC" w:rsidRPr="006D4C12" w:rsidRDefault="004535EC" w:rsidP="006757F0">
            <w:pPr>
              <w:jc w:val="left"/>
              <w:rPr>
                <w:sz w:val="18"/>
              </w:rPr>
            </w:pPr>
            <w:r>
              <w:rPr>
                <w:sz w:val="18"/>
              </w:rPr>
              <w:t>Pimiento</w:t>
            </w:r>
          </w:p>
        </w:tc>
        <w:tc>
          <w:tcPr>
            <w:tcW w:w="7058" w:type="dxa"/>
          </w:tcPr>
          <w:p w:rsidR="004535EC" w:rsidRPr="0091333D" w:rsidRDefault="004535EC" w:rsidP="006757F0">
            <w:pPr>
              <w:jc w:val="left"/>
              <w:rPr>
                <w:sz w:val="18"/>
              </w:rPr>
            </w:pPr>
            <w:r>
              <w:rPr>
                <w:sz w:val="18"/>
              </w:rPr>
              <w:t xml:space="preserve">China, Italia, Países Bajos, República de Corea, BASF, </w:t>
            </w:r>
            <w:proofErr w:type="spellStart"/>
            <w:r>
              <w:rPr>
                <w:i/>
                <w:sz w:val="18"/>
              </w:rPr>
              <w:t>CropLife</w:t>
            </w:r>
            <w:proofErr w:type="spellEnd"/>
            <w:r>
              <w:rPr>
                <w:i/>
                <w:sz w:val="18"/>
              </w:rPr>
              <w:t xml:space="preserve"> International</w:t>
            </w:r>
            <w:r>
              <w:rPr>
                <w:sz w:val="18"/>
              </w:rPr>
              <w:t xml:space="preserve"> y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w:t>
            </w:r>
          </w:p>
        </w:tc>
      </w:tr>
      <w:tr w:rsidR="004535EC" w:rsidRPr="006D4C12" w:rsidTr="006757F0">
        <w:tc>
          <w:tcPr>
            <w:tcW w:w="2122" w:type="dxa"/>
          </w:tcPr>
          <w:p w:rsidR="004535EC" w:rsidRPr="006D4C12" w:rsidRDefault="004535EC" w:rsidP="006757F0">
            <w:pPr>
              <w:jc w:val="left"/>
              <w:rPr>
                <w:sz w:val="18"/>
              </w:rPr>
            </w:pPr>
            <w:r>
              <w:rPr>
                <w:sz w:val="18"/>
              </w:rPr>
              <w:t>Rabanito</w:t>
            </w:r>
          </w:p>
        </w:tc>
        <w:tc>
          <w:tcPr>
            <w:tcW w:w="7058" w:type="dxa"/>
          </w:tcPr>
          <w:p w:rsidR="004535EC" w:rsidRPr="006D4C12" w:rsidRDefault="004535EC" w:rsidP="006757F0">
            <w:pPr>
              <w:jc w:val="left"/>
              <w:rPr>
                <w:sz w:val="18"/>
              </w:rPr>
            </w:pPr>
            <w:r>
              <w:rPr>
                <w:sz w:val="18"/>
              </w:rPr>
              <w:t>República de Corea y BASF</w:t>
            </w:r>
          </w:p>
        </w:tc>
      </w:tr>
      <w:tr w:rsidR="004535EC" w:rsidRPr="006D4C12" w:rsidTr="006757F0">
        <w:tc>
          <w:tcPr>
            <w:tcW w:w="2122" w:type="dxa"/>
          </w:tcPr>
          <w:p w:rsidR="004535EC" w:rsidRPr="006D4C12" w:rsidRDefault="004535EC" w:rsidP="006757F0">
            <w:pPr>
              <w:jc w:val="left"/>
              <w:rPr>
                <w:sz w:val="18"/>
              </w:rPr>
            </w:pPr>
            <w:r>
              <w:rPr>
                <w:sz w:val="18"/>
              </w:rPr>
              <w:t>Repollo</w:t>
            </w:r>
          </w:p>
        </w:tc>
        <w:tc>
          <w:tcPr>
            <w:tcW w:w="7058" w:type="dxa"/>
          </w:tcPr>
          <w:p w:rsidR="004535EC" w:rsidRPr="006D4C12" w:rsidRDefault="004535EC" w:rsidP="006757F0">
            <w:pPr>
              <w:jc w:val="left"/>
              <w:rPr>
                <w:sz w:val="18"/>
              </w:rPr>
            </w:pPr>
            <w:r>
              <w:rPr>
                <w:sz w:val="18"/>
              </w:rPr>
              <w:t>República de Corea</w:t>
            </w:r>
          </w:p>
        </w:tc>
      </w:tr>
      <w:tr w:rsidR="004535EC" w:rsidRPr="006D4C12" w:rsidTr="006757F0">
        <w:tc>
          <w:tcPr>
            <w:tcW w:w="2122" w:type="dxa"/>
          </w:tcPr>
          <w:p w:rsidR="004535EC" w:rsidRPr="006D4C12" w:rsidRDefault="004535EC" w:rsidP="006757F0">
            <w:pPr>
              <w:jc w:val="left"/>
              <w:rPr>
                <w:sz w:val="18"/>
              </w:rPr>
            </w:pPr>
            <w:r>
              <w:rPr>
                <w:sz w:val="18"/>
              </w:rPr>
              <w:t>Repollo chino</w:t>
            </w:r>
          </w:p>
        </w:tc>
        <w:tc>
          <w:tcPr>
            <w:tcW w:w="7058" w:type="dxa"/>
          </w:tcPr>
          <w:p w:rsidR="004535EC" w:rsidRPr="006D4C12" w:rsidRDefault="004535EC" w:rsidP="006757F0">
            <w:pPr>
              <w:rPr>
                <w:sz w:val="18"/>
              </w:rPr>
            </w:pPr>
            <w:r>
              <w:rPr>
                <w:sz w:val="18"/>
              </w:rPr>
              <w:t>China y República de Corea</w:t>
            </w:r>
          </w:p>
        </w:tc>
      </w:tr>
      <w:tr w:rsidR="004535EC" w:rsidRPr="0091333D" w:rsidTr="006757F0">
        <w:tc>
          <w:tcPr>
            <w:tcW w:w="2122" w:type="dxa"/>
          </w:tcPr>
          <w:p w:rsidR="004535EC" w:rsidRPr="006D4C12" w:rsidRDefault="004535EC" w:rsidP="006757F0">
            <w:pPr>
              <w:jc w:val="left"/>
              <w:rPr>
                <w:sz w:val="18"/>
              </w:rPr>
            </w:pPr>
            <w:r>
              <w:rPr>
                <w:sz w:val="18"/>
              </w:rPr>
              <w:t>Sandía</w:t>
            </w:r>
          </w:p>
        </w:tc>
        <w:tc>
          <w:tcPr>
            <w:tcW w:w="7058" w:type="dxa"/>
          </w:tcPr>
          <w:p w:rsidR="004535EC" w:rsidRPr="0091333D" w:rsidRDefault="004535EC" w:rsidP="006757F0">
            <w:pPr>
              <w:jc w:val="left"/>
              <w:rPr>
                <w:sz w:val="18"/>
              </w:rPr>
            </w:pPr>
            <w:r>
              <w:rPr>
                <w:sz w:val="18"/>
              </w:rPr>
              <w:t xml:space="preserve">China, Italia, República de Corea, BASF y </w:t>
            </w:r>
            <w:proofErr w:type="spellStart"/>
            <w:r>
              <w:rPr>
                <w:i/>
                <w:sz w:val="18"/>
              </w:rPr>
              <w:t>CropLife</w:t>
            </w:r>
            <w:proofErr w:type="spellEnd"/>
            <w:r>
              <w:rPr>
                <w:i/>
                <w:sz w:val="18"/>
              </w:rPr>
              <w:t xml:space="preserve"> International</w:t>
            </w:r>
          </w:p>
        </w:tc>
      </w:tr>
      <w:tr w:rsidR="004535EC" w:rsidRPr="0091333D" w:rsidTr="006757F0">
        <w:tc>
          <w:tcPr>
            <w:tcW w:w="2122" w:type="dxa"/>
          </w:tcPr>
          <w:p w:rsidR="004535EC" w:rsidRPr="006D4C12" w:rsidRDefault="004535EC" w:rsidP="006757F0">
            <w:pPr>
              <w:jc w:val="left"/>
              <w:rPr>
                <w:sz w:val="18"/>
              </w:rPr>
            </w:pPr>
            <w:r>
              <w:rPr>
                <w:sz w:val="18"/>
              </w:rPr>
              <w:t>Tomate</w:t>
            </w:r>
          </w:p>
        </w:tc>
        <w:tc>
          <w:tcPr>
            <w:tcW w:w="7058" w:type="dxa"/>
          </w:tcPr>
          <w:p w:rsidR="004535EC" w:rsidRPr="0091333D" w:rsidRDefault="004535EC" w:rsidP="006757F0">
            <w:pPr>
              <w:jc w:val="left"/>
              <w:rPr>
                <w:sz w:val="18"/>
              </w:rPr>
            </w:pPr>
            <w:r>
              <w:rPr>
                <w:sz w:val="18"/>
              </w:rPr>
              <w:t xml:space="preserve">China, Italia, Países Bajos, República de Corea, BASF, </w:t>
            </w:r>
            <w:proofErr w:type="spellStart"/>
            <w:r>
              <w:rPr>
                <w:i/>
                <w:sz w:val="18"/>
              </w:rPr>
              <w:t>CropLife</w:t>
            </w:r>
            <w:proofErr w:type="spellEnd"/>
            <w:r>
              <w:rPr>
                <w:i/>
                <w:sz w:val="18"/>
              </w:rPr>
              <w:t xml:space="preserve"> International</w:t>
            </w:r>
            <w:r>
              <w:rPr>
                <w:sz w:val="18"/>
              </w:rPr>
              <w:t xml:space="preserve"> y </w:t>
            </w:r>
            <w:proofErr w:type="spellStart"/>
            <w:r>
              <w:rPr>
                <w:sz w:val="18"/>
              </w:rPr>
              <w:t>Sakata</w:t>
            </w:r>
            <w:proofErr w:type="spellEnd"/>
            <w:r>
              <w:rPr>
                <w:sz w:val="18"/>
              </w:rPr>
              <w:t xml:space="preserve"> </w:t>
            </w:r>
            <w:proofErr w:type="spellStart"/>
            <w:r>
              <w:rPr>
                <w:sz w:val="18"/>
              </w:rPr>
              <w:t>Seed</w:t>
            </w:r>
            <w:proofErr w:type="spellEnd"/>
            <w:r>
              <w:rPr>
                <w:sz w:val="18"/>
              </w:rPr>
              <w:t xml:space="preserve"> Sudamérica</w:t>
            </w:r>
          </w:p>
        </w:tc>
      </w:tr>
    </w:tbl>
    <w:p w:rsidR="0091333D" w:rsidRPr="0091333D" w:rsidRDefault="0091333D" w:rsidP="0091333D">
      <w:pPr>
        <w:jc w:val="left"/>
        <w:rPr>
          <w:rFonts w:eastAsiaTheme="minorEastAsia"/>
        </w:rPr>
      </w:pPr>
    </w:p>
    <w:p w:rsidR="0091333D" w:rsidRPr="0091333D" w:rsidRDefault="0091333D" w:rsidP="0091333D">
      <w:pPr>
        <w:ind w:left="567"/>
        <w:outlineLvl w:val="3"/>
        <w:rPr>
          <w:rFonts w:eastAsiaTheme="minorEastAsia"/>
          <w:u w:val="single"/>
        </w:rPr>
      </w:pPr>
      <w:r>
        <w:rPr>
          <w:rFonts w:eastAsiaTheme="minorEastAsia"/>
          <w:u w:val="single"/>
        </w:rPr>
        <w:t>Propuestas para las iniciativas de la UPOV</w:t>
      </w:r>
    </w:p>
    <w:p w:rsidR="0091333D" w:rsidRPr="0091333D" w:rsidRDefault="0091333D" w:rsidP="0091333D">
      <w:pPr>
        <w:jc w:val="left"/>
        <w:rPr>
          <w:rFonts w:eastAsiaTheme="minorEastAsia"/>
        </w:rPr>
      </w:pPr>
    </w:p>
    <w:p w:rsidR="0091333D" w:rsidRPr="0091333D" w:rsidRDefault="00742368" w:rsidP="0091333D">
      <w:pPr>
        <w:widowControl w:val="0"/>
        <w:ind w:right="420"/>
        <w:rPr>
          <w:rFonts w:eastAsiaTheme="minorEastAsia" w:cs="Arial"/>
          <w:szCs w:val="21"/>
        </w:rPr>
      </w:pPr>
      <w:r w:rsidRPr="006D4C12">
        <w:fldChar w:fldCharType="begin"/>
      </w:r>
      <w:r w:rsidR="0091333D" w:rsidRPr="0091333D">
        <w:instrText xml:space="preserve"> AUTONUM  </w:instrText>
      </w:r>
      <w:r w:rsidRPr="006D4C12">
        <w:fldChar w:fldCharType="end"/>
      </w:r>
      <w:r w:rsidR="0091333D">
        <w:tab/>
        <w:t>El grupo de coordinación de cultivos hortícolas convino en la utilidad de introducir un punto en el orden del día del BMT para invitar a los obtentores, los abogados y los encargados de formular políticas a debatir cuestiones de titularidad y establecer criterios para hacer posible el intercambio de material e información sobre el ADN entre los miembros de la UPOV.</w:t>
      </w:r>
      <w:r w:rsidR="00AE5E49">
        <w:t xml:space="preserve"> </w:t>
      </w:r>
    </w:p>
    <w:p w:rsidR="0091333D" w:rsidRPr="0091333D" w:rsidRDefault="0091333D" w:rsidP="0091333D">
      <w:pPr>
        <w:keepNext/>
      </w:pPr>
    </w:p>
    <w:p w:rsidR="0091333D" w:rsidRPr="0091333D" w:rsidRDefault="0091333D" w:rsidP="0091333D">
      <w:pPr>
        <w:keepNext/>
        <w:outlineLvl w:val="2"/>
        <w:rPr>
          <w:i/>
        </w:rPr>
      </w:pPr>
      <w:bookmarkStart w:id="117" w:name="_Toc525478531"/>
      <w:bookmarkStart w:id="118" w:name="_Toc525647220"/>
      <w:r>
        <w:rPr>
          <w:i/>
        </w:rPr>
        <w:t>Plantas frutales y árboles forestales</w:t>
      </w:r>
      <w:bookmarkEnd w:id="117"/>
      <w:bookmarkEnd w:id="118"/>
    </w:p>
    <w:p w:rsidR="0091333D" w:rsidRPr="0091333D" w:rsidRDefault="0091333D" w:rsidP="0091333D">
      <w:pPr>
        <w:keepNext/>
        <w:jc w:val="left"/>
      </w:pPr>
    </w:p>
    <w:p w:rsidR="0091333D" w:rsidRPr="0091333D" w:rsidRDefault="0091333D" w:rsidP="0091333D">
      <w:pPr>
        <w:keepNext/>
        <w:ind w:left="567"/>
        <w:outlineLvl w:val="3"/>
        <w:rPr>
          <w:u w:val="single"/>
        </w:rPr>
      </w:pPr>
      <w:r>
        <w:rPr>
          <w:u w:val="single"/>
        </w:rPr>
        <w:t>Resumen del interés en el cultivo</w:t>
      </w:r>
    </w:p>
    <w:p w:rsidR="0091333D" w:rsidRPr="0091333D" w:rsidRDefault="0091333D" w:rsidP="0091333D">
      <w:pPr>
        <w:keepNext/>
        <w:jc w:val="left"/>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7"/>
        <w:gridCol w:w="7063"/>
      </w:tblGrid>
      <w:tr w:rsidR="004535EC" w:rsidRPr="006D4C12" w:rsidTr="006757F0">
        <w:tc>
          <w:tcPr>
            <w:tcW w:w="2117" w:type="dxa"/>
          </w:tcPr>
          <w:p w:rsidR="004535EC" w:rsidRPr="006D4C12" w:rsidRDefault="004535EC" w:rsidP="006757F0">
            <w:pPr>
              <w:keepNext/>
              <w:jc w:val="left"/>
              <w:rPr>
                <w:sz w:val="18"/>
              </w:rPr>
            </w:pPr>
            <w:r>
              <w:rPr>
                <w:sz w:val="18"/>
              </w:rPr>
              <w:t>Albaricoque</w:t>
            </w:r>
          </w:p>
        </w:tc>
        <w:tc>
          <w:tcPr>
            <w:tcW w:w="7063" w:type="dxa"/>
          </w:tcPr>
          <w:p w:rsidR="004535EC" w:rsidRPr="006D4C12" w:rsidRDefault="004535EC" w:rsidP="006757F0">
            <w:pPr>
              <w:keepNext/>
              <w:jc w:val="left"/>
              <w:rPr>
                <w:sz w:val="18"/>
              </w:rPr>
            </w:pPr>
            <w:r>
              <w:rPr>
                <w:sz w:val="18"/>
              </w:rPr>
              <w:t>Francia</w:t>
            </w:r>
          </w:p>
        </w:tc>
      </w:tr>
      <w:tr w:rsidR="004535EC" w:rsidRPr="0091333D" w:rsidTr="006757F0">
        <w:tc>
          <w:tcPr>
            <w:tcW w:w="2117" w:type="dxa"/>
          </w:tcPr>
          <w:p w:rsidR="004535EC" w:rsidRPr="006D4C12" w:rsidRDefault="004535EC" w:rsidP="006757F0">
            <w:pPr>
              <w:jc w:val="left"/>
              <w:rPr>
                <w:sz w:val="18"/>
              </w:rPr>
            </w:pPr>
            <w:r>
              <w:rPr>
                <w:sz w:val="18"/>
              </w:rPr>
              <w:t>Arándano</w:t>
            </w:r>
          </w:p>
        </w:tc>
        <w:tc>
          <w:tcPr>
            <w:tcW w:w="7063" w:type="dxa"/>
          </w:tcPr>
          <w:p w:rsidR="004535EC" w:rsidRPr="0091333D" w:rsidRDefault="004535EC" w:rsidP="006757F0">
            <w:pPr>
              <w:jc w:val="left"/>
              <w:rPr>
                <w:sz w:val="18"/>
              </w:rPr>
            </w:pPr>
            <w:r>
              <w:rPr>
                <w:color w:val="000000"/>
                <w:sz w:val="18"/>
              </w:rPr>
              <w:t xml:space="preserve">Países Bajos, República de Corea y el Reino Unido </w:t>
            </w:r>
          </w:p>
        </w:tc>
      </w:tr>
      <w:tr w:rsidR="004535EC" w:rsidRPr="006D4C12" w:rsidTr="006757F0">
        <w:tc>
          <w:tcPr>
            <w:tcW w:w="2117" w:type="dxa"/>
          </w:tcPr>
          <w:p w:rsidR="004535EC" w:rsidRPr="006D4C12" w:rsidRDefault="004535EC" w:rsidP="006757F0">
            <w:pPr>
              <w:jc w:val="left"/>
              <w:rPr>
                <w:sz w:val="18"/>
              </w:rPr>
            </w:pPr>
            <w:r>
              <w:rPr>
                <w:sz w:val="18"/>
              </w:rPr>
              <w:t>Cerezo</w:t>
            </w:r>
          </w:p>
        </w:tc>
        <w:tc>
          <w:tcPr>
            <w:tcW w:w="7063" w:type="dxa"/>
          </w:tcPr>
          <w:p w:rsidR="004535EC" w:rsidRPr="006D4C12" w:rsidRDefault="004535EC" w:rsidP="006757F0">
            <w:pPr>
              <w:jc w:val="left"/>
              <w:rPr>
                <w:sz w:val="18"/>
              </w:rPr>
            </w:pPr>
            <w:r>
              <w:rPr>
                <w:color w:val="000000"/>
                <w:sz w:val="18"/>
              </w:rPr>
              <w:t>Francia</w:t>
            </w:r>
          </w:p>
        </w:tc>
      </w:tr>
      <w:tr w:rsidR="004535EC" w:rsidRPr="006D4C12" w:rsidTr="006757F0">
        <w:tc>
          <w:tcPr>
            <w:tcW w:w="2117" w:type="dxa"/>
          </w:tcPr>
          <w:p w:rsidR="004535EC" w:rsidRPr="006D4C12" w:rsidRDefault="004535EC" w:rsidP="006757F0">
            <w:pPr>
              <w:jc w:val="left"/>
              <w:rPr>
                <w:rFonts w:cs="Arial"/>
                <w:sz w:val="18"/>
              </w:rPr>
            </w:pPr>
            <w:r>
              <w:rPr>
                <w:sz w:val="18"/>
              </w:rPr>
              <w:t>Ciruelo japonés</w:t>
            </w:r>
          </w:p>
        </w:tc>
        <w:tc>
          <w:tcPr>
            <w:tcW w:w="7063" w:type="dxa"/>
          </w:tcPr>
          <w:p w:rsidR="004535EC" w:rsidRPr="006D4C12" w:rsidRDefault="004535EC" w:rsidP="006757F0">
            <w:pPr>
              <w:jc w:val="left"/>
              <w:rPr>
                <w:sz w:val="18"/>
              </w:rPr>
            </w:pPr>
            <w:r>
              <w:rPr>
                <w:color w:val="000000"/>
                <w:sz w:val="18"/>
              </w:rPr>
              <w:t>Francia</w:t>
            </w:r>
          </w:p>
        </w:tc>
      </w:tr>
      <w:tr w:rsidR="004535EC" w:rsidRPr="006D4C12" w:rsidTr="006757F0">
        <w:tc>
          <w:tcPr>
            <w:tcW w:w="2117" w:type="dxa"/>
          </w:tcPr>
          <w:p w:rsidR="004535EC" w:rsidRPr="006D4C12" w:rsidRDefault="004535EC" w:rsidP="006757F0">
            <w:pPr>
              <w:jc w:val="left"/>
              <w:rPr>
                <w:sz w:val="18"/>
              </w:rPr>
            </w:pPr>
            <w:r>
              <w:rPr>
                <w:sz w:val="18"/>
              </w:rPr>
              <w:t>Citrus</w:t>
            </w:r>
          </w:p>
        </w:tc>
        <w:tc>
          <w:tcPr>
            <w:tcW w:w="7063" w:type="dxa"/>
          </w:tcPr>
          <w:p w:rsidR="004535EC" w:rsidRPr="006D4C12" w:rsidRDefault="004535EC" w:rsidP="006757F0">
            <w:pPr>
              <w:jc w:val="left"/>
              <w:rPr>
                <w:sz w:val="18"/>
              </w:rPr>
            </w:pPr>
            <w:r>
              <w:rPr>
                <w:color w:val="000000"/>
                <w:sz w:val="18"/>
              </w:rPr>
              <w:t>CIOPORA</w:t>
            </w:r>
          </w:p>
        </w:tc>
      </w:tr>
      <w:tr w:rsidR="004535EC" w:rsidRPr="006D4C12" w:rsidTr="006757F0">
        <w:tc>
          <w:tcPr>
            <w:tcW w:w="2117" w:type="dxa"/>
          </w:tcPr>
          <w:p w:rsidR="004535EC" w:rsidRPr="006D4C12" w:rsidRDefault="004535EC" w:rsidP="006757F0">
            <w:pPr>
              <w:jc w:val="left"/>
              <w:rPr>
                <w:rFonts w:cs="Arial"/>
                <w:sz w:val="18"/>
              </w:rPr>
            </w:pPr>
            <w:r>
              <w:rPr>
                <w:sz w:val="18"/>
              </w:rPr>
              <w:t>Frambueso</w:t>
            </w:r>
          </w:p>
        </w:tc>
        <w:tc>
          <w:tcPr>
            <w:tcW w:w="7063" w:type="dxa"/>
          </w:tcPr>
          <w:p w:rsidR="004535EC" w:rsidRPr="006D4C12" w:rsidRDefault="004535EC" w:rsidP="006757F0">
            <w:pPr>
              <w:jc w:val="left"/>
              <w:rPr>
                <w:sz w:val="18"/>
              </w:rPr>
            </w:pPr>
            <w:r>
              <w:rPr>
                <w:color w:val="000000"/>
                <w:sz w:val="18"/>
              </w:rPr>
              <w:t>Países Bajos y Reino Unido</w:t>
            </w:r>
          </w:p>
        </w:tc>
      </w:tr>
      <w:tr w:rsidR="004535EC" w:rsidRPr="006D4C12" w:rsidTr="006757F0">
        <w:tc>
          <w:tcPr>
            <w:tcW w:w="2117" w:type="dxa"/>
          </w:tcPr>
          <w:p w:rsidR="004535EC" w:rsidRPr="006D4C12" w:rsidRDefault="004535EC" w:rsidP="006757F0">
            <w:pPr>
              <w:jc w:val="left"/>
              <w:rPr>
                <w:sz w:val="18"/>
              </w:rPr>
            </w:pPr>
            <w:proofErr w:type="spellStart"/>
            <w:r>
              <w:rPr>
                <w:i/>
                <w:sz w:val="18"/>
              </w:rPr>
              <w:t>Fraxinus</w:t>
            </w:r>
            <w:proofErr w:type="spellEnd"/>
          </w:p>
        </w:tc>
        <w:tc>
          <w:tcPr>
            <w:tcW w:w="7063" w:type="dxa"/>
          </w:tcPr>
          <w:p w:rsidR="004535EC" w:rsidRPr="006D4C12" w:rsidRDefault="004535EC" w:rsidP="006757F0">
            <w:pPr>
              <w:jc w:val="left"/>
              <w:rPr>
                <w:sz w:val="18"/>
              </w:rPr>
            </w:pPr>
            <w:r>
              <w:rPr>
                <w:color w:val="000000"/>
                <w:sz w:val="18"/>
              </w:rPr>
              <w:t>Países Bajos</w:t>
            </w:r>
          </w:p>
        </w:tc>
      </w:tr>
      <w:tr w:rsidR="004535EC" w:rsidRPr="006D4C12" w:rsidTr="006757F0">
        <w:tc>
          <w:tcPr>
            <w:tcW w:w="2117" w:type="dxa"/>
          </w:tcPr>
          <w:p w:rsidR="004535EC" w:rsidRPr="006D4C12" w:rsidRDefault="004535EC" w:rsidP="006757F0">
            <w:pPr>
              <w:jc w:val="left"/>
              <w:rPr>
                <w:rFonts w:cs="Arial"/>
                <w:sz w:val="18"/>
              </w:rPr>
            </w:pPr>
            <w:r>
              <w:rPr>
                <w:sz w:val="18"/>
              </w:rPr>
              <w:t>Fresa</w:t>
            </w:r>
          </w:p>
        </w:tc>
        <w:tc>
          <w:tcPr>
            <w:tcW w:w="7063" w:type="dxa"/>
          </w:tcPr>
          <w:p w:rsidR="004535EC" w:rsidRPr="006D4C12" w:rsidRDefault="004535EC" w:rsidP="006757F0">
            <w:pPr>
              <w:jc w:val="left"/>
              <w:rPr>
                <w:sz w:val="18"/>
              </w:rPr>
            </w:pPr>
            <w:r>
              <w:rPr>
                <w:sz w:val="18"/>
              </w:rPr>
              <w:t>China, Francia y Países Bajos</w:t>
            </w:r>
          </w:p>
        </w:tc>
      </w:tr>
      <w:tr w:rsidR="004535EC" w:rsidRPr="006D4C12" w:rsidTr="006757F0">
        <w:tc>
          <w:tcPr>
            <w:tcW w:w="2117" w:type="dxa"/>
          </w:tcPr>
          <w:p w:rsidR="004535EC" w:rsidRPr="006D4C12" w:rsidRDefault="004535EC" w:rsidP="006757F0">
            <w:pPr>
              <w:keepNext/>
              <w:jc w:val="left"/>
              <w:rPr>
                <w:sz w:val="18"/>
              </w:rPr>
            </w:pPr>
            <w:r>
              <w:rPr>
                <w:sz w:val="18"/>
              </w:rPr>
              <w:t>Manzano</w:t>
            </w:r>
          </w:p>
        </w:tc>
        <w:tc>
          <w:tcPr>
            <w:tcW w:w="7063" w:type="dxa"/>
          </w:tcPr>
          <w:p w:rsidR="004535EC" w:rsidRPr="006D4C12" w:rsidRDefault="004535EC" w:rsidP="006757F0">
            <w:pPr>
              <w:keepNext/>
              <w:jc w:val="left"/>
              <w:rPr>
                <w:sz w:val="18"/>
              </w:rPr>
            </w:pPr>
            <w:r>
              <w:rPr>
                <w:color w:val="000000"/>
                <w:sz w:val="18"/>
              </w:rPr>
              <w:t xml:space="preserve">Canadá, Francia, Países Bajos, República de Corea, Unión Europea y CIOPORA </w:t>
            </w:r>
          </w:p>
        </w:tc>
      </w:tr>
      <w:tr w:rsidR="004535EC" w:rsidRPr="006D4C12" w:rsidTr="006757F0">
        <w:tc>
          <w:tcPr>
            <w:tcW w:w="2117" w:type="dxa"/>
          </w:tcPr>
          <w:p w:rsidR="004535EC" w:rsidRPr="006D4C12" w:rsidRDefault="004535EC" w:rsidP="006757F0">
            <w:pPr>
              <w:jc w:val="left"/>
              <w:rPr>
                <w:sz w:val="18"/>
              </w:rPr>
            </w:pPr>
            <w:r>
              <w:rPr>
                <w:sz w:val="18"/>
              </w:rPr>
              <w:t>Melocotón</w:t>
            </w:r>
          </w:p>
        </w:tc>
        <w:tc>
          <w:tcPr>
            <w:tcW w:w="7063" w:type="dxa"/>
          </w:tcPr>
          <w:p w:rsidR="004535EC" w:rsidRPr="006D4C12" w:rsidRDefault="004535EC" w:rsidP="006757F0">
            <w:pPr>
              <w:jc w:val="left"/>
              <w:rPr>
                <w:sz w:val="18"/>
              </w:rPr>
            </w:pPr>
            <w:r>
              <w:rPr>
                <w:sz w:val="18"/>
              </w:rPr>
              <w:t>Francia y República de Corea</w:t>
            </w:r>
            <w:r>
              <w:rPr>
                <w:color w:val="000000"/>
                <w:sz w:val="18"/>
              </w:rPr>
              <w:t xml:space="preserve"> </w:t>
            </w:r>
          </w:p>
        </w:tc>
      </w:tr>
      <w:tr w:rsidR="004535EC" w:rsidRPr="006D4C12" w:rsidTr="006757F0">
        <w:tc>
          <w:tcPr>
            <w:tcW w:w="2117" w:type="dxa"/>
          </w:tcPr>
          <w:p w:rsidR="004535EC" w:rsidRPr="006D4C12" w:rsidRDefault="004535EC" w:rsidP="006757F0">
            <w:pPr>
              <w:jc w:val="left"/>
              <w:rPr>
                <w:sz w:val="18"/>
              </w:rPr>
            </w:pPr>
            <w:r>
              <w:rPr>
                <w:sz w:val="18"/>
              </w:rPr>
              <w:t>Olmo (</w:t>
            </w:r>
            <w:proofErr w:type="spellStart"/>
            <w:r>
              <w:rPr>
                <w:i/>
                <w:sz w:val="18"/>
              </w:rPr>
              <w:t>Ulmus</w:t>
            </w:r>
            <w:proofErr w:type="spellEnd"/>
            <w:r>
              <w:rPr>
                <w:sz w:val="18"/>
              </w:rPr>
              <w:t>)</w:t>
            </w:r>
          </w:p>
        </w:tc>
        <w:tc>
          <w:tcPr>
            <w:tcW w:w="7063" w:type="dxa"/>
          </w:tcPr>
          <w:p w:rsidR="004535EC" w:rsidRPr="006D4C12" w:rsidRDefault="004535EC" w:rsidP="006757F0">
            <w:pPr>
              <w:jc w:val="left"/>
              <w:rPr>
                <w:sz w:val="18"/>
              </w:rPr>
            </w:pPr>
            <w:r>
              <w:rPr>
                <w:color w:val="000000"/>
                <w:sz w:val="18"/>
              </w:rPr>
              <w:t>Países Bajos</w:t>
            </w:r>
          </w:p>
        </w:tc>
      </w:tr>
      <w:tr w:rsidR="004535EC" w:rsidRPr="006D4C12" w:rsidTr="006757F0">
        <w:tc>
          <w:tcPr>
            <w:tcW w:w="2117" w:type="dxa"/>
          </w:tcPr>
          <w:p w:rsidR="004535EC" w:rsidRPr="006D4C12" w:rsidRDefault="004535EC" w:rsidP="006757F0">
            <w:pPr>
              <w:jc w:val="left"/>
              <w:rPr>
                <w:rFonts w:cs="Arial"/>
                <w:sz w:val="18"/>
              </w:rPr>
            </w:pPr>
            <w:r>
              <w:rPr>
                <w:sz w:val="18"/>
              </w:rPr>
              <w:t>Pera</w:t>
            </w:r>
          </w:p>
        </w:tc>
        <w:tc>
          <w:tcPr>
            <w:tcW w:w="7063" w:type="dxa"/>
          </w:tcPr>
          <w:p w:rsidR="004535EC" w:rsidRPr="006D4C12" w:rsidRDefault="004535EC" w:rsidP="006757F0">
            <w:pPr>
              <w:jc w:val="left"/>
              <w:rPr>
                <w:sz w:val="18"/>
              </w:rPr>
            </w:pPr>
            <w:r>
              <w:rPr>
                <w:sz w:val="18"/>
              </w:rPr>
              <w:t>Francia</w:t>
            </w:r>
          </w:p>
        </w:tc>
      </w:tr>
    </w:tbl>
    <w:p w:rsidR="0091333D" w:rsidRPr="006D4C12" w:rsidRDefault="0091333D" w:rsidP="0091333D"/>
    <w:p w:rsidR="0091333D" w:rsidRPr="006D4C12" w:rsidRDefault="0091333D" w:rsidP="0091333D">
      <w:pPr>
        <w:ind w:left="567"/>
        <w:outlineLvl w:val="3"/>
        <w:rPr>
          <w:u w:val="single"/>
        </w:rPr>
      </w:pPr>
      <w:r>
        <w:rPr>
          <w:u w:val="single"/>
        </w:rPr>
        <w:t>Propuestas para las iniciativas de la UPOV</w:t>
      </w:r>
    </w:p>
    <w:p w:rsidR="0091333D" w:rsidRPr="006D4C12" w:rsidRDefault="0091333D" w:rsidP="0091333D"/>
    <w:p w:rsidR="0091333D" w:rsidRPr="0091333D" w:rsidRDefault="00742368" w:rsidP="0091333D">
      <w:pPr>
        <w:rPr>
          <w:rFonts w:cs="Arial"/>
          <w:iCs/>
          <w:snapToGrid w:val="0"/>
        </w:rPr>
      </w:pPr>
      <w:r w:rsidRPr="006D4C12">
        <w:fldChar w:fldCharType="begin"/>
      </w:r>
      <w:r w:rsidR="0091333D" w:rsidRPr="0091333D">
        <w:instrText xml:space="preserve"> AUTONUM  </w:instrText>
      </w:r>
      <w:r w:rsidRPr="006D4C12">
        <w:fldChar w:fldCharType="end"/>
      </w:r>
      <w:r w:rsidR="0091333D">
        <w:tab/>
        <w:t>El grupo de coordinación de plantas frutales y árboles forestales convino en la importancia de las cuestiones de titularidad para facilitar la cooperación internacional relativa al uso de técnicas moleculares.</w:t>
      </w:r>
    </w:p>
    <w:p w:rsidR="004535EC" w:rsidRDefault="004535EC">
      <w:pPr>
        <w:jc w:val="left"/>
      </w:pPr>
      <w:r>
        <w:br w:type="page"/>
      </w:r>
    </w:p>
    <w:p w:rsidR="0091333D" w:rsidRPr="0091333D" w:rsidRDefault="0091333D" w:rsidP="0091333D">
      <w:pPr>
        <w:keepNext/>
        <w:outlineLvl w:val="2"/>
        <w:rPr>
          <w:i/>
        </w:rPr>
      </w:pPr>
      <w:bookmarkStart w:id="119" w:name="_Toc525478532"/>
      <w:bookmarkStart w:id="120" w:name="_Toc525647221"/>
      <w:r>
        <w:rPr>
          <w:i/>
        </w:rPr>
        <w:lastRenderedPageBreak/>
        <w:t>Plantas ornamentales</w:t>
      </w:r>
      <w:bookmarkEnd w:id="119"/>
      <w:bookmarkEnd w:id="120"/>
    </w:p>
    <w:p w:rsidR="0091333D" w:rsidRPr="0091333D" w:rsidRDefault="0091333D" w:rsidP="0091333D">
      <w:pPr>
        <w:jc w:val="left"/>
      </w:pPr>
    </w:p>
    <w:p w:rsidR="0091333D" w:rsidRPr="0091333D" w:rsidRDefault="0091333D" w:rsidP="0091333D">
      <w:pPr>
        <w:ind w:left="567"/>
        <w:outlineLvl w:val="3"/>
        <w:rPr>
          <w:u w:val="single"/>
        </w:rPr>
      </w:pPr>
      <w:r>
        <w:rPr>
          <w:u w:val="single"/>
        </w:rPr>
        <w:t>Resumen del interés en el cultivo</w:t>
      </w:r>
    </w:p>
    <w:p w:rsidR="0091333D" w:rsidRPr="0091333D" w:rsidRDefault="0091333D" w:rsidP="0091333D"/>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4535EC" w:rsidRPr="006D4C12" w:rsidTr="006757F0">
        <w:tc>
          <w:tcPr>
            <w:tcW w:w="2122" w:type="dxa"/>
          </w:tcPr>
          <w:p w:rsidR="004535EC" w:rsidRPr="006D4C12" w:rsidRDefault="004535EC" w:rsidP="006757F0">
            <w:pPr>
              <w:jc w:val="left"/>
              <w:rPr>
                <w:sz w:val="18"/>
              </w:rPr>
            </w:pPr>
            <w:r>
              <w:rPr>
                <w:sz w:val="18"/>
              </w:rPr>
              <w:t>Crisantemo</w:t>
            </w:r>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sz w:val="18"/>
              </w:rPr>
            </w:pPr>
            <w:r>
              <w:rPr>
                <w:sz w:val="18"/>
              </w:rPr>
              <w:t>Eléboro</w:t>
            </w:r>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sz w:val="18"/>
              </w:rPr>
            </w:pPr>
            <w:proofErr w:type="spellStart"/>
            <w:r>
              <w:rPr>
                <w:i/>
                <w:sz w:val="18"/>
              </w:rPr>
              <w:t>Gypsophila</w:t>
            </w:r>
            <w:proofErr w:type="spellEnd"/>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sz w:val="18"/>
              </w:rPr>
            </w:pPr>
            <w:r>
              <w:rPr>
                <w:sz w:val="18"/>
              </w:rPr>
              <w:t>Hortensia</w:t>
            </w:r>
          </w:p>
        </w:tc>
        <w:tc>
          <w:tcPr>
            <w:tcW w:w="7058" w:type="dxa"/>
          </w:tcPr>
          <w:p w:rsidR="004535EC" w:rsidRPr="006D4C12" w:rsidRDefault="004535EC" w:rsidP="006757F0">
            <w:pPr>
              <w:jc w:val="left"/>
              <w:rPr>
                <w:sz w:val="18"/>
              </w:rPr>
            </w:pPr>
            <w:r>
              <w:rPr>
                <w:sz w:val="18"/>
              </w:rPr>
              <w:t>Francia</w:t>
            </w:r>
          </w:p>
        </w:tc>
      </w:tr>
      <w:tr w:rsidR="004535EC" w:rsidRPr="006D4C12" w:rsidTr="006757F0">
        <w:tc>
          <w:tcPr>
            <w:tcW w:w="2122" w:type="dxa"/>
          </w:tcPr>
          <w:p w:rsidR="004535EC" w:rsidRPr="006D4C12" w:rsidRDefault="004535EC" w:rsidP="006757F0">
            <w:pPr>
              <w:jc w:val="left"/>
              <w:rPr>
                <w:rFonts w:cs="Arial"/>
                <w:sz w:val="18"/>
              </w:rPr>
            </w:pPr>
            <w:proofErr w:type="spellStart"/>
            <w:r>
              <w:rPr>
                <w:i/>
                <w:sz w:val="18"/>
              </w:rPr>
              <w:t>Lilium</w:t>
            </w:r>
            <w:proofErr w:type="spellEnd"/>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rFonts w:cs="Arial"/>
                <w:sz w:val="18"/>
              </w:rPr>
            </w:pPr>
            <w:r>
              <w:rPr>
                <w:sz w:val="18"/>
              </w:rPr>
              <w:t>Peonia</w:t>
            </w:r>
          </w:p>
        </w:tc>
        <w:tc>
          <w:tcPr>
            <w:tcW w:w="7058" w:type="dxa"/>
          </w:tcPr>
          <w:p w:rsidR="004535EC" w:rsidRPr="006D4C12" w:rsidRDefault="004535EC" w:rsidP="006757F0">
            <w:pPr>
              <w:jc w:val="left"/>
              <w:rPr>
                <w:sz w:val="18"/>
              </w:rPr>
            </w:pPr>
            <w:r>
              <w:rPr>
                <w:sz w:val="18"/>
              </w:rPr>
              <w:t>China</w:t>
            </w:r>
          </w:p>
        </w:tc>
      </w:tr>
      <w:tr w:rsidR="004535EC" w:rsidRPr="006D4C12" w:rsidTr="006757F0">
        <w:tc>
          <w:tcPr>
            <w:tcW w:w="2122" w:type="dxa"/>
          </w:tcPr>
          <w:p w:rsidR="004535EC" w:rsidRPr="006D4C12" w:rsidRDefault="004535EC" w:rsidP="006757F0">
            <w:pPr>
              <w:jc w:val="left"/>
              <w:rPr>
                <w:rFonts w:cs="Arial"/>
                <w:sz w:val="18"/>
              </w:rPr>
            </w:pPr>
            <w:proofErr w:type="spellStart"/>
            <w:r>
              <w:rPr>
                <w:i/>
                <w:sz w:val="18"/>
              </w:rPr>
              <w:t>Phalaenopsis</w:t>
            </w:r>
            <w:proofErr w:type="spellEnd"/>
          </w:p>
        </w:tc>
        <w:tc>
          <w:tcPr>
            <w:tcW w:w="7058" w:type="dxa"/>
          </w:tcPr>
          <w:p w:rsidR="004535EC" w:rsidRPr="006D4C12" w:rsidRDefault="004535EC" w:rsidP="006757F0">
            <w:pPr>
              <w:jc w:val="left"/>
              <w:rPr>
                <w:sz w:val="18"/>
              </w:rPr>
            </w:pPr>
            <w:r>
              <w:rPr>
                <w:color w:val="000000"/>
                <w:sz w:val="18"/>
              </w:rPr>
              <w:t>Países Bajos</w:t>
            </w:r>
          </w:p>
        </w:tc>
      </w:tr>
      <w:tr w:rsidR="004535EC" w:rsidRPr="006D4C12" w:rsidTr="006757F0">
        <w:tc>
          <w:tcPr>
            <w:tcW w:w="2122" w:type="dxa"/>
          </w:tcPr>
          <w:p w:rsidR="004535EC" w:rsidRPr="006D4C12" w:rsidRDefault="004535EC" w:rsidP="006757F0">
            <w:pPr>
              <w:jc w:val="left"/>
              <w:rPr>
                <w:rFonts w:cs="Arial"/>
                <w:sz w:val="18"/>
              </w:rPr>
            </w:pPr>
            <w:r>
              <w:rPr>
                <w:sz w:val="18"/>
              </w:rPr>
              <w:t>Rosal</w:t>
            </w:r>
          </w:p>
        </w:tc>
        <w:tc>
          <w:tcPr>
            <w:tcW w:w="7058" w:type="dxa"/>
          </w:tcPr>
          <w:p w:rsidR="004535EC" w:rsidRPr="006D4C12" w:rsidRDefault="004535EC" w:rsidP="006757F0">
            <w:pPr>
              <w:jc w:val="left"/>
              <w:rPr>
                <w:sz w:val="18"/>
              </w:rPr>
            </w:pPr>
            <w:r>
              <w:rPr>
                <w:sz w:val="18"/>
              </w:rPr>
              <w:t>China, Países Bajos y CIOPORA</w:t>
            </w:r>
          </w:p>
        </w:tc>
      </w:tr>
    </w:tbl>
    <w:p w:rsidR="0091333D" w:rsidRPr="006D4C12" w:rsidRDefault="0091333D" w:rsidP="0091333D">
      <w:pPr>
        <w:jc w:val="left"/>
      </w:pPr>
    </w:p>
    <w:p w:rsidR="0091333D" w:rsidRPr="006D4C12" w:rsidRDefault="0091333D" w:rsidP="0091333D">
      <w:pPr>
        <w:ind w:left="567"/>
        <w:outlineLvl w:val="3"/>
      </w:pPr>
      <w:r>
        <w:rPr>
          <w:u w:val="single"/>
        </w:rPr>
        <w:t>Planes de cooperación</w:t>
      </w:r>
    </w:p>
    <w:p w:rsidR="0091333D" w:rsidRPr="006D4C12" w:rsidRDefault="0091333D" w:rsidP="0091333D">
      <w:pPr>
        <w:jc w:val="left"/>
      </w:pPr>
    </w:p>
    <w:p w:rsidR="0091333D" w:rsidRPr="0091333D" w:rsidRDefault="0091333D" w:rsidP="0091333D">
      <w:pPr>
        <w:numPr>
          <w:ilvl w:val="0"/>
          <w:numId w:val="9"/>
        </w:numPr>
        <w:contextualSpacing/>
        <w:jc w:val="left"/>
      </w:pPr>
      <w:r>
        <w:rPr>
          <w:snapToGrid w:val="0"/>
          <w:color w:val="000000" w:themeColor="text1"/>
        </w:rPr>
        <w:t>Rosal:</w:t>
      </w:r>
      <w:r w:rsidR="00AE5E49">
        <w:rPr>
          <w:snapToGrid w:val="0"/>
          <w:color w:val="000000" w:themeColor="text1"/>
        </w:rPr>
        <w:t xml:space="preserve"> </w:t>
      </w:r>
      <w:r>
        <w:rPr>
          <w:snapToGrid w:val="0"/>
          <w:color w:val="000000" w:themeColor="text1"/>
        </w:rPr>
        <w:t>tras finalizar la cooperación entre los Países Bajos y la CIOPORA, China puede estudiar la posibilidad de cooperar en la validación entre laboratorios.</w:t>
      </w:r>
    </w:p>
    <w:p w:rsidR="0091333D" w:rsidRPr="0091333D" w:rsidRDefault="0091333D" w:rsidP="0091333D">
      <w:pPr>
        <w:jc w:val="left"/>
      </w:pPr>
    </w:p>
    <w:p w:rsidR="0091333D" w:rsidRPr="0091333D" w:rsidRDefault="0091333D" w:rsidP="0091333D">
      <w:pPr>
        <w:keepNext/>
        <w:ind w:left="567"/>
        <w:outlineLvl w:val="3"/>
      </w:pPr>
      <w:r>
        <w:rPr>
          <w:u w:val="single"/>
        </w:rPr>
        <w:t>Propuestas para las iniciativas de la UPOV</w:t>
      </w:r>
    </w:p>
    <w:p w:rsidR="0091333D" w:rsidRPr="0091333D" w:rsidRDefault="0091333D" w:rsidP="0091333D">
      <w:pPr>
        <w:keepNext/>
        <w:jc w:val="left"/>
      </w:pPr>
    </w:p>
    <w:p w:rsidR="0091333D" w:rsidRPr="0091333D" w:rsidRDefault="00742368" w:rsidP="0091333D">
      <w:pPr>
        <w:keepNext/>
        <w:rPr>
          <w:rFonts w:cs="Arial"/>
          <w:iCs/>
          <w:snapToGrid w:val="0"/>
        </w:rPr>
      </w:pPr>
      <w:r w:rsidRPr="006D4C12">
        <w:fldChar w:fldCharType="begin"/>
      </w:r>
      <w:r w:rsidR="0091333D" w:rsidRPr="0091333D">
        <w:instrText xml:space="preserve"> AUTONUM  </w:instrText>
      </w:r>
      <w:r w:rsidRPr="006D4C12">
        <w:fldChar w:fldCharType="end"/>
      </w:r>
      <w:r w:rsidR="0091333D">
        <w:tab/>
        <w:t>El grupo de coordinación de plantas ornamentales, en su segunda ronda, convino en la utilidad de organizar sesiones para compartir experiencias de superación de las cuestiones de titularidad con la finalidad de facilitar la cooperación internacional en relación con el uso de técnicas moleculares.</w:t>
      </w:r>
    </w:p>
    <w:p w:rsidR="0091333D" w:rsidRPr="0091333D" w:rsidRDefault="0091333D" w:rsidP="0091333D">
      <w:pPr>
        <w:jc w:val="left"/>
      </w:pPr>
    </w:p>
    <w:p w:rsidR="0091333D" w:rsidRPr="0091333D" w:rsidRDefault="00742368" w:rsidP="0091333D">
      <w:pPr>
        <w:rPr>
          <w:rFonts w:cs="Arial"/>
          <w:iCs/>
          <w:snapToGrid w:val="0"/>
        </w:rPr>
      </w:pPr>
      <w:r w:rsidRPr="006D4C12">
        <w:fldChar w:fldCharType="begin"/>
      </w:r>
      <w:r w:rsidR="0091333D" w:rsidRPr="0091333D">
        <w:instrText xml:space="preserve"> AUTONUM  </w:instrText>
      </w:r>
      <w:r w:rsidRPr="006D4C12">
        <w:fldChar w:fldCharType="end"/>
      </w:r>
      <w:r w:rsidR="0091333D">
        <w:tab/>
        <w:t>El grupo de coordinación de plantas ornamentales convino en la utilidad de crear una base de datos común para facilitar la cooperación internacional en relación con el uso de técnicas moleculares.</w:t>
      </w:r>
    </w:p>
    <w:p w:rsidR="0091333D" w:rsidRPr="0091333D" w:rsidRDefault="0091333D" w:rsidP="0091333D">
      <w:pPr>
        <w:ind w:left="567" w:hanging="567"/>
      </w:pPr>
    </w:p>
    <w:p w:rsidR="0091333D" w:rsidRPr="0091333D" w:rsidRDefault="00742368" w:rsidP="0091333D">
      <w:pPr>
        <w:rPr>
          <w:rFonts w:cs="Arial"/>
        </w:rPr>
      </w:pPr>
      <w:r w:rsidRPr="006D4C12">
        <w:rPr>
          <w:rFonts w:cs="Arial"/>
        </w:rPr>
        <w:fldChar w:fldCharType="begin"/>
      </w:r>
      <w:r w:rsidR="0091333D" w:rsidRPr="0091333D">
        <w:rPr>
          <w:rFonts w:cs="Arial"/>
        </w:rPr>
        <w:instrText xml:space="preserve"> AUTONUM  </w:instrText>
      </w:r>
      <w:r w:rsidRPr="006D4C12">
        <w:rPr>
          <w:rFonts w:cs="Arial"/>
        </w:rPr>
        <w:fldChar w:fldCharType="end"/>
      </w:r>
      <w:r w:rsidR="0091333D">
        <w:tab/>
        <w:t>Teniendo en cuenta los informes de las sesiones de cooperación, el BMT tomó nota del interés común en tratar las cuestiones de cooperación entre asociados y proveedores de servicios, incluida la confidencialidad, el acceso a los datos y el material, la autorización para que se realicen trabajos y la disponibilidad de resultados e información para los asociados y convino en añadirlo como un punto del orden de día de su decimoctava sesión para que los expertos, entre ellos los obtentores, presenten información sobre sus experiencias (véase el punto 8 del orden del día propuesto “Gestión de bases de datos e intercambio de datos y material” de la decimoctava sesión del BMT).</w:t>
      </w:r>
      <w:r w:rsidR="00AE5E49">
        <w:t xml:space="preserve"> </w:t>
      </w:r>
    </w:p>
    <w:p w:rsidR="0091333D" w:rsidRPr="0091333D" w:rsidRDefault="0091333D" w:rsidP="0091333D">
      <w:pPr>
        <w:rPr>
          <w:rFonts w:cs="Arial"/>
        </w:rPr>
      </w:pPr>
    </w:p>
    <w:p w:rsidR="0091333D" w:rsidRDefault="00742368" w:rsidP="0091333D">
      <w:r w:rsidRPr="006D4C12">
        <w:rPr>
          <w:rFonts w:cs="Arial"/>
        </w:rPr>
        <w:fldChar w:fldCharType="begin"/>
      </w:r>
      <w:r w:rsidR="0091333D" w:rsidRPr="0091333D">
        <w:rPr>
          <w:rFonts w:cs="Arial"/>
        </w:rPr>
        <w:instrText xml:space="preserve"> AUTONUM  </w:instrText>
      </w:r>
      <w:r w:rsidRPr="006D4C12">
        <w:rPr>
          <w:rFonts w:cs="Arial"/>
        </w:rPr>
        <w:fldChar w:fldCharType="end"/>
      </w:r>
      <w:r w:rsidR="0091333D">
        <w:tab/>
        <w:t xml:space="preserve">El BMT convino en proponer al TC que se comunique a los demás Grupos de Trabajo Técnico (TWP) los resultados de la sesión de coordinación del BMT y en que se invite a los TWP a llevar a cabo una sesión similar para que reflexionen sobre dichos resultados y contribuyan a la labor futura del BMT. El BMT convino en que la información sobre el interés de los participantes en los cultivos, manifestado en la decimoséptima </w:t>
      </w:r>
      <w:r w:rsidR="0091333D" w:rsidRPr="00605295">
        <w:rPr>
          <w:rFonts w:cs="Arial"/>
          <w:lang w:val="es-ES"/>
        </w:rPr>
        <w:t>sesión</w:t>
      </w:r>
      <w:r w:rsidR="0091333D">
        <w:t xml:space="preserve"> del BMT, debe añadirse a lo antes expuesto en el documento que se ha de preparar para los TWP y la decimoctava sesión de BMT.</w:t>
      </w:r>
    </w:p>
    <w:p w:rsidR="008E5773" w:rsidRDefault="008E5773" w:rsidP="008E5773">
      <w:pPr>
        <w:autoSpaceDE w:val="0"/>
        <w:autoSpaceDN w:val="0"/>
        <w:adjustRightInd w:val="0"/>
        <w:rPr>
          <w:rFonts w:cs="Arial"/>
          <w:lang w:eastAsia="ja-JP"/>
        </w:rPr>
      </w:pPr>
    </w:p>
    <w:p w:rsidR="008E5773" w:rsidRPr="00104CFF" w:rsidRDefault="008E5773" w:rsidP="00F865AC">
      <w:pPr>
        <w:pStyle w:val="DecisionParagraphs"/>
        <w:tabs>
          <w:tab w:val="clear" w:pos="5387"/>
          <w:tab w:val="left" w:pos="5103"/>
        </w:tabs>
        <w:ind w:left="4536"/>
      </w:pPr>
      <w:r w:rsidRPr="00104CFF">
        <w:fldChar w:fldCharType="begin"/>
      </w:r>
      <w:r w:rsidRPr="00104CFF">
        <w:instrText xml:space="preserve"> AUTONUM  </w:instrText>
      </w:r>
      <w:r w:rsidRPr="00104CFF">
        <w:fldChar w:fldCharType="end"/>
      </w:r>
      <w:r w:rsidRPr="00104CFF">
        <w:tab/>
      </w:r>
      <w:r>
        <w:t>Se invita al TC a</w:t>
      </w:r>
      <w:r w:rsidRPr="00104CFF">
        <w:t>:</w:t>
      </w:r>
    </w:p>
    <w:p w:rsidR="0091333D" w:rsidRPr="0091333D" w:rsidRDefault="0091333D" w:rsidP="00F865AC">
      <w:pPr>
        <w:pStyle w:val="DecisionParagraphs"/>
        <w:ind w:left="4536"/>
      </w:pPr>
    </w:p>
    <w:p w:rsidR="0091333D" w:rsidRPr="0091333D" w:rsidRDefault="0091333D" w:rsidP="00F865AC">
      <w:pPr>
        <w:pStyle w:val="DecisionParagraphs"/>
        <w:keepLines/>
        <w:tabs>
          <w:tab w:val="clear" w:pos="5387"/>
          <w:tab w:val="left" w:pos="5103"/>
          <w:tab w:val="left" w:pos="5670"/>
        </w:tabs>
        <w:ind w:left="4536" w:firstLine="567"/>
      </w:pPr>
      <w:r>
        <w:t>a)</w:t>
      </w:r>
      <w:r>
        <w:tab/>
        <w:t xml:space="preserve">tomar nota de que, en la decimoséptima sesión del BMT, se crearon grupos de debate respecto de maíz y </w:t>
      </w:r>
      <w:r w:rsidRPr="00605295">
        <w:rPr>
          <w:snapToGrid w:val="0"/>
          <w:lang w:val="es-ES"/>
        </w:rPr>
        <w:t>soja</w:t>
      </w:r>
      <w:r>
        <w:t xml:space="preserve"> y otras plantas agrícolas, plantas frutales y árboles forestales, plantas ornamentales y plantas hortícolas, con el objeto de que los asistentes a la sesión intercambien información sobre su labor y definan ámbitos de cooperación, según se expone en el párrafo 57 de este documento;</w:t>
      </w:r>
    </w:p>
    <w:p w:rsidR="0091333D" w:rsidRPr="0091333D" w:rsidRDefault="0091333D" w:rsidP="00F865AC">
      <w:pPr>
        <w:pStyle w:val="DecisionParagraphs"/>
        <w:tabs>
          <w:tab w:val="clear" w:pos="5387"/>
          <w:tab w:val="left" w:pos="5103"/>
          <w:tab w:val="left" w:pos="5670"/>
        </w:tabs>
        <w:ind w:left="4536" w:firstLine="567"/>
        <w:rPr>
          <w:snapToGrid w:val="0"/>
        </w:rPr>
      </w:pPr>
    </w:p>
    <w:p w:rsidR="0091333D" w:rsidRPr="0091333D" w:rsidRDefault="0091333D" w:rsidP="00F865AC">
      <w:pPr>
        <w:pStyle w:val="DecisionParagraphs"/>
        <w:keepLines/>
        <w:tabs>
          <w:tab w:val="clear" w:pos="5387"/>
          <w:tab w:val="left" w:pos="5103"/>
          <w:tab w:val="left" w:pos="5670"/>
        </w:tabs>
        <w:ind w:left="4536" w:firstLine="567"/>
      </w:pPr>
      <w:r>
        <w:t>b)</w:t>
      </w:r>
      <w:r>
        <w:tab/>
        <w:t>tomar nota de que, en su decimoctava sesió</w:t>
      </w:r>
      <w:r w:rsidR="00D6090B">
        <w:t>n, el BMT tiene previsto tratar</w:t>
      </w:r>
      <w:r>
        <w:t xml:space="preserve"> las cuestiones de cooperación entre asociados y proveedores de servicios, incluida la confidencialidad, el acceso a los datos y el material, la autorización para que se realicen trabajos y la disponibilidad de resultados e información para los asociados, según se expone en el párrafo 65 de este documento; y</w:t>
      </w:r>
    </w:p>
    <w:p w:rsidR="0091333D" w:rsidRPr="0091333D" w:rsidRDefault="0091333D" w:rsidP="0091333D">
      <w:pPr>
        <w:pStyle w:val="DecisionParagraphs"/>
        <w:keepNext/>
        <w:ind w:left="4536"/>
      </w:pPr>
    </w:p>
    <w:p w:rsidR="0091333D" w:rsidRPr="0091333D" w:rsidRDefault="0091333D" w:rsidP="0091333D">
      <w:pPr>
        <w:pStyle w:val="DecisionParagraphs"/>
        <w:keepNext/>
        <w:keepLines/>
        <w:tabs>
          <w:tab w:val="clear" w:pos="5387"/>
          <w:tab w:val="left" w:pos="5103"/>
          <w:tab w:val="left" w:pos="5670"/>
        </w:tabs>
        <w:ind w:left="4536" w:firstLine="567"/>
      </w:pPr>
      <w:r>
        <w:t>c)</w:t>
      </w:r>
      <w:r>
        <w:tab/>
        <w:t>considerar si procede que se comunique a los demás Grupos de Trabajo Técnico (TWP) los resultados de la sesión de coordinación del BMT y que se invite a los TWP a llevar a cabo una sesión similar para que reflexionen sobre dichos resultados y contribuyan a la labor futura del BMT, según se expone en el párrafo 66 de este documento.</w:t>
      </w:r>
    </w:p>
    <w:p w:rsidR="0091333D" w:rsidRPr="0091333D" w:rsidRDefault="0091333D" w:rsidP="0091333D">
      <w:pPr>
        <w:rPr>
          <w:snapToGrid w:val="0"/>
          <w:highlight w:val="yellow"/>
        </w:rPr>
      </w:pPr>
    </w:p>
    <w:p w:rsidR="0091333D" w:rsidRPr="0091333D" w:rsidRDefault="0091333D" w:rsidP="0091333D"/>
    <w:p w:rsidR="0091333D" w:rsidRPr="0091333D" w:rsidRDefault="0091333D" w:rsidP="0091333D"/>
    <w:p w:rsidR="0091333D" w:rsidRPr="00C44EBC" w:rsidRDefault="0091333D" w:rsidP="0091333D">
      <w:pPr>
        <w:pStyle w:val="Heading2"/>
        <w:rPr>
          <w:lang w:val="es-ES"/>
        </w:rPr>
      </w:pPr>
      <w:bookmarkStart w:id="121" w:name="_Toc525647222"/>
      <w:bookmarkStart w:id="122" w:name="_Toc525647261"/>
      <w:bookmarkStart w:id="123" w:name="_Toc526950849"/>
      <w:r w:rsidRPr="00C44EBC">
        <w:rPr>
          <w:lang w:val="es-ES"/>
        </w:rPr>
        <w:t>Futuro programa</w:t>
      </w:r>
      <w:bookmarkEnd w:id="121"/>
      <w:bookmarkEnd w:id="122"/>
      <w:bookmarkEnd w:id="123"/>
    </w:p>
    <w:p w:rsidR="0091333D" w:rsidRPr="00C44EBC" w:rsidRDefault="0091333D" w:rsidP="0091333D">
      <w:pPr>
        <w:pStyle w:val="Heading2"/>
        <w:rPr>
          <w:lang w:val="es-ES"/>
        </w:rPr>
      </w:pPr>
    </w:p>
    <w:p w:rsidR="0091333D" w:rsidRPr="0091333D" w:rsidRDefault="0091333D" w:rsidP="0091333D">
      <w:pPr>
        <w:rPr>
          <w:i/>
        </w:rPr>
      </w:pPr>
      <w:r>
        <w:rPr>
          <w:i/>
        </w:rPr>
        <w:t>Fecha y lugar de la próxima sesión</w:t>
      </w:r>
    </w:p>
    <w:p w:rsidR="0091333D" w:rsidRPr="0091333D" w:rsidRDefault="0091333D" w:rsidP="0091333D"/>
    <w:p w:rsidR="0091333D" w:rsidRPr="0091333D" w:rsidRDefault="00742368" w:rsidP="0091333D">
      <w:pPr>
        <w:rPr>
          <w:rFonts w:cs="Arial"/>
        </w:rPr>
      </w:pPr>
      <w:r w:rsidRPr="006F01DE">
        <w:rPr>
          <w:rFonts w:cs="Arial"/>
        </w:rPr>
        <w:fldChar w:fldCharType="begin"/>
      </w:r>
      <w:r w:rsidR="0091333D" w:rsidRPr="0091333D">
        <w:rPr>
          <w:rFonts w:cs="Arial"/>
        </w:rPr>
        <w:instrText xml:space="preserve"> AUTONUM  </w:instrText>
      </w:r>
      <w:r w:rsidRPr="006F01DE">
        <w:rPr>
          <w:rFonts w:cs="Arial"/>
        </w:rPr>
        <w:fldChar w:fldCharType="end"/>
      </w:r>
      <w:r w:rsidR="0091333D">
        <w:tab/>
        <w:t>El BMT acogió con satisfacción la invitación de China a celebrar su decimoctava sesión en Hangzhou (China), del 16 al 18 de octubre de 2019, de manera consecutiva con la sesión del TWC para facilitar los debates en esferas de interés mutuo, sesión en la que se incluirán los elementos del taller preparatorio (véase el párrafo 79 del documento BMT/17/25 “</w:t>
      </w:r>
      <w:proofErr w:type="spellStart"/>
      <w:r w:rsidR="0091333D">
        <w:rPr>
          <w:i/>
        </w:rPr>
        <w:t>Report</w:t>
      </w:r>
      <w:proofErr w:type="spellEnd"/>
      <w:r w:rsidR="0091333D">
        <w:t>” (Informe)).</w:t>
      </w:r>
    </w:p>
    <w:p w:rsidR="0091333D" w:rsidRPr="0091333D" w:rsidRDefault="0091333D" w:rsidP="0091333D"/>
    <w:p w:rsidR="0091333D" w:rsidRPr="00C44EBC" w:rsidRDefault="0091333D" w:rsidP="0091333D">
      <w:pPr>
        <w:pStyle w:val="Heading3"/>
        <w:rPr>
          <w:snapToGrid w:val="0"/>
          <w:lang w:val="es-ES"/>
        </w:rPr>
      </w:pPr>
      <w:bookmarkStart w:id="124" w:name="_Toc516587910"/>
      <w:bookmarkStart w:id="125" w:name="_Toc525478534"/>
      <w:bookmarkStart w:id="126" w:name="_Toc525647223"/>
      <w:r w:rsidRPr="00C44EBC">
        <w:rPr>
          <w:lang w:val="es-ES"/>
        </w:rPr>
        <w:t>Programa de la d</w:t>
      </w:r>
      <w:bookmarkStart w:id="127" w:name="_GoBack"/>
      <w:bookmarkEnd w:id="127"/>
      <w:r w:rsidRPr="00C44EBC">
        <w:rPr>
          <w:lang w:val="es-ES"/>
        </w:rPr>
        <w:t>ecimoctava sesión</w:t>
      </w:r>
      <w:bookmarkEnd w:id="124"/>
      <w:bookmarkEnd w:id="125"/>
      <w:bookmarkEnd w:id="126"/>
    </w:p>
    <w:p w:rsidR="0091333D" w:rsidRPr="0091333D" w:rsidRDefault="0091333D" w:rsidP="0091333D">
      <w:pPr>
        <w:keepNext/>
      </w:pPr>
    </w:p>
    <w:p w:rsidR="0091333D" w:rsidRPr="0091333D" w:rsidRDefault="00742368" w:rsidP="0091333D">
      <w:pPr>
        <w:keepNext/>
        <w:rPr>
          <w:rFonts w:cs="Arial"/>
        </w:rPr>
      </w:pPr>
      <w:r w:rsidRPr="006F01DE">
        <w:rPr>
          <w:rFonts w:cs="Arial"/>
          <w:iCs/>
          <w:snapToGrid w:val="0"/>
        </w:rPr>
        <w:fldChar w:fldCharType="begin"/>
      </w:r>
      <w:r w:rsidR="0091333D" w:rsidRPr="0091333D">
        <w:rPr>
          <w:rFonts w:cs="Arial"/>
          <w:iCs/>
          <w:snapToGrid w:val="0"/>
        </w:rPr>
        <w:instrText xml:space="preserve"> AUTONUM  </w:instrText>
      </w:r>
      <w:r w:rsidRPr="006F01DE">
        <w:rPr>
          <w:rFonts w:cs="Arial"/>
          <w:iCs/>
          <w:snapToGrid w:val="0"/>
        </w:rPr>
        <w:fldChar w:fldCharType="end"/>
      </w:r>
      <w:r w:rsidR="0091333D">
        <w:tab/>
        <w:t>Durante su decimoctava sesión, el BMT tiene previsto examinar los asuntos siguientes (véase el párrafo 80 del documento BMT/17/25):</w:t>
      </w:r>
    </w:p>
    <w:p w:rsidR="0091333D" w:rsidRPr="0091333D" w:rsidRDefault="0091333D" w:rsidP="0091333D">
      <w:pPr>
        <w:keepNext/>
        <w:rPr>
          <w:rFonts w:cs="Arial"/>
        </w:rPr>
      </w:pPr>
    </w:p>
    <w:p w:rsidR="0091333D" w:rsidRPr="0091333D" w:rsidRDefault="0091333D" w:rsidP="0091333D">
      <w:pPr>
        <w:spacing w:after="200"/>
        <w:ind w:left="567"/>
        <w:rPr>
          <w:rFonts w:cs="Arial"/>
        </w:rPr>
      </w:pPr>
      <w:r>
        <w:t>1.</w:t>
      </w:r>
      <w:r>
        <w:tab/>
        <w:t>Apertura de la sesión</w:t>
      </w:r>
    </w:p>
    <w:p w:rsidR="0091333D" w:rsidRPr="0091333D" w:rsidRDefault="0091333D" w:rsidP="0091333D">
      <w:pPr>
        <w:spacing w:after="200"/>
        <w:ind w:left="567"/>
        <w:rPr>
          <w:rFonts w:cs="Arial"/>
        </w:rPr>
      </w:pPr>
      <w:r>
        <w:t>2.</w:t>
      </w:r>
      <w:r>
        <w:tab/>
        <w:t>Aprobación del orden del día</w:t>
      </w:r>
    </w:p>
    <w:p w:rsidR="0091333D" w:rsidRPr="0091333D" w:rsidRDefault="0091333D" w:rsidP="0091333D">
      <w:pPr>
        <w:spacing w:after="200"/>
        <w:ind w:left="1134" w:hanging="567"/>
        <w:rPr>
          <w:rFonts w:cs="Arial"/>
        </w:rPr>
      </w:pPr>
      <w:r>
        <w:t>3.</w:t>
      </w:r>
      <w:r>
        <w:tab/>
        <w:t>Informes sobre las novedades acaecidas en la UPOV en relación con las técnicas bioquímicas y moleculares (documento que elaborará la Oficina de la Unión)</w:t>
      </w:r>
    </w:p>
    <w:p w:rsidR="0091333D" w:rsidRPr="0091333D" w:rsidRDefault="0091333D" w:rsidP="0091333D">
      <w:pPr>
        <w:spacing w:after="200"/>
        <w:ind w:left="1134" w:hanging="567"/>
        <w:rPr>
          <w:rFonts w:cs="Arial"/>
        </w:rPr>
      </w:pPr>
      <w:r>
        <w:t>4.</w:t>
      </w:r>
      <w:r>
        <w:tab/>
        <w:t>Breves ponencias sobre los avances en las técnicas bioquímicas y moleculares a cargo de expertos en el examen DHE, especialistas en técnicas bioquímicas y moleculares, y obtentores y organizaciones internacionales pertinentes (informes verbales de los participantes)</w:t>
      </w:r>
    </w:p>
    <w:p w:rsidR="0091333D" w:rsidRPr="0091333D" w:rsidRDefault="0091333D" w:rsidP="004535EC">
      <w:pPr>
        <w:spacing w:after="200"/>
        <w:ind w:left="1134" w:hanging="567"/>
        <w:rPr>
          <w:rFonts w:cs="Arial"/>
        </w:rPr>
      </w:pPr>
      <w:r>
        <w:t>5.</w:t>
      </w:r>
      <w:r>
        <w:tab/>
        <w:t>Informe sobre la labor relativa a las técnicas moleculares en relación con el examen DHE (se solicitan ponencias)</w:t>
      </w:r>
    </w:p>
    <w:p w:rsidR="0091333D" w:rsidRPr="0091333D" w:rsidRDefault="0091333D" w:rsidP="0091333D">
      <w:pPr>
        <w:spacing w:after="200"/>
        <w:ind w:left="1134" w:hanging="567"/>
        <w:rPr>
          <w:rFonts w:cs="Arial"/>
        </w:rPr>
      </w:pPr>
      <w:r>
        <w:t>6.</w:t>
      </w:r>
      <w:r>
        <w:tab/>
        <w:t>Cooperación entre organizaciones internacionales (documento</w:t>
      </w:r>
      <w:r w:rsidR="004535EC">
        <w:t xml:space="preserve"> que preparará la Oficina de la </w:t>
      </w:r>
      <w:r>
        <w:t xml:space="preserve">Unión) </w:t>
      </w:r>
    </w:p>
    <w:p w:rsidR="0091333D" w:rsidRPr="0091333D" w:rsidRDefault="0091333D" w:rsidP="004535EC">
      <w:pPr>
        <w:spacing w:after="200"/>
        <w:ind w:left="1134" w:hanging="567"/>
        <w:rPr>
          <w:rFonts w:cs="Arial"/>
        </w:rPr>
      </w:pPr>
      <w:r>
        <w:t>7.</w:t>
      </w:r>
      <w:r>
        <w:tab/>
        <w:t>Bases de datos de descripciones de variedades, en particular las que contienen datos moleculares (se solicitan ponencias)</w:t>
      </w:r>
    </w:p>
    <w:p w:rsidR="0091333D" w:rsidRPr="0091333D" w:rsidRDefault="0091333D" w:rsidP="0091333D">
      <w:pPr>
        <w:spacing w:after="200"/>
        <w:ind w:left="567"/>
        <w:rPr>
          <w:rFonts w:cs="Arial"/>
        </w:rPr>
      </w:pPr>
      <w:r>
        <w:t>8.</w:t>
      </w:r>
      <w:r>
        <w:tab/>
        <w:t>Gestión de bases de datos e intercambio de datos y material</w:t>
      </w:r>
      <w:r>
        <w:rPr>
          <w:vertAlign w:val="superscript"/>
        </w:rPr>
        <w:t>2</w:t>
      </w:r>
      <w:r>
        <w:t xml:space="preserve"> (se solicitan ponencias)</w:t>
      </w:r>
    </w:p>
    <w:p w:rsidR="0091333D" w:rsidRPr="0091333D" w:rsidRDefault="0091333D" w:rsidP="0091333D">
      <w:pPr>
        <w:spacing w:after="200"/>
        <w:ind w:left="567"/>
        <w:rPr>
          <w:rFonts w:cs="Arial"/>
        </w:rPr>
      </w:pPr>
      <w:r>
        <w:t>9.</w:t>
      </w:r>
      <w:r>
        <w:tab/>
        <w:t>Métodos de análisis de datos moleculares (se solicitan ponencias)</w:t>
      </w:r>
    </w:p>
    <w:p w:rsidR="0091333D" w:rsidRPr="0091333D" w:rsidRDefault="0091333D" w:rsidP="0091333D">
      <w:pPr>
        <w:spacing w:after="200"/>
        <w:ind w:left="1134" w:hanging="567"/>
        <w:rPr>
          <w:rFonts w:cs="Arial"/>
        </w:rPr>
      </w:pPr>
      <w:r>
        <w:t>10.</w:t>
      </w:r>
      <w:r>
        <w:tab/>
        <w:t>Informe sobre las novedades en la creación de un instrumento informático para seleccionar marcadores que utilice el algoritmo del vendedor ambulante</w:t>
      </w:r>
    </w:p>
    <w:p w:rsidR="0091333D" w:rsidRPr="0091333D" w:rsidRDefault="0091333D" w:rsidP="004535EC">
      <w:pPr>
        <w:spacing w:after="200"/>
        <w:ind w:left="1134" w:hanging="567"/>
        <w:rPr>
          <w:rFonts w:cs="Arial"/>
        </w:rPr>
      </w:pPr>
      <w:r>
        <w:t>11.</w:t>
      </w:r>
      <w:r>
        <w:tab/>
        <w:t>La utilización de técnicas moleculares en el examen de las variedades esencialmente derivadas</w:t>
      </w:r>
      <w:r>
        <w:rPr>
          <w:vertAlign w:val="superscript"/>
        </w:rPr>
        <w:footnoteReference w:id="3"/>
      </w:r>
      <w:r>
        <w:t xml:space="preserve"> (se solicitan ponencias) </w:t>
      </w:r>
    </w:p>
    <w:p w:rsidR="0091333D" w:rsidRPr="0091333D" w:rsidRDefault="0091333D" w:rsidP="004535EC">
      <w:pPr>
        <w:spacing w:after="200"/>
        <w:ind w:left="1134" w:hanging="567"/>
        <w:rPr>
          <w:rFonts w:cs="Arial"/>
        </w:rPr>
      </w:pPr>
      <w:r>
        <w:t>12.</w:t>
      </w:r>
      <w:r>
        <w:tab/>
        <w:t>La utilización de técnicas moleculares en la identificación de variedades</w:t>
      </w:r>
      <w:r>
        <w:rPr>
          <w:vertAlign w:val="superscript"/>
        </w:rPr>
        <w:t>2</w:t>
      </w:r>
      <w:r>
        <w:t xml:space="preserve"> (se solicitan ponencias)</w:t>
      </w:r>
    </w:p>
    <w:p w:rsidR="0091333D" w:rsidRPr="0091333D" w:rsidRDefault="0091333D" w:rsidP="0091333D">
      <w:pPr>
        <w:spacing w:after="200"/>
        <w:ind w:left="1134" w:hanging="567"/>
        <w:rPr>
          <w:rFonts w:cs="Arial"/>
        </w:rPr>
      </w:pPr>
      <w:r>
        <w:t>13.</w:t>
      </w:r>
      <w:r>
        <w:tab/>
        <w:t xml:space="preserve">Revisión del documento UPOV/INF/17 “Directrices para los perfiles de ADN: selección de marcadores moleculares y creación de una base de datos </w:t>
      </w:r>
    </w:p>
    <w:p w:rsidR="0091333D" w:rsidRPr="0091333D" w:rsidRDefault="0091333D" w:rsidP="0091333D">
      <w:pPr>
        <w:spacing w:after="200"/>
        <w:ind w:left="1134" w:hanging="567"/>
        <w:rPr>
          <w:rFonts w:cs="Arial"/>
        </w:rPr>
      </w:pPr>
      <w:r>
        <w:lastRenderedPageBreak/>
        <w:t>14.</w:t>
      </w:r>
      <w:r>
        <w:tab/>
        <w:t xml:space="preserve">Revisión del documento TGP/15 “Orientación sobre el uso de marcadores bioquímicos y moleculares en el examen de la distinción, la homogeneidad y la estabilidad (DHE)” </w:t>
      </w:r>
    </w:p>
    <w:p w:rsidR="0091333D" w:rsidRPr="0091333D" w:rsidRDefault="0091333D" w:rsidP="0091333D">
      <w:pPr>
        <w:spacing w:after="200"/>
        <w:ind w:left="1134" w:hanging="567"/>
        <w:rPr>
          <w:rFonts w:cs="Arial"/>
        </w:rPr>
      </w:pPr>
      <w:r>
        <w:t>15.</w:t>
      </w:r>
      <w:r>
        <w:tab/>
        <w:t xml:space="preserve">Sesión para facilitar la cooperación </w:t>
      </w:r>
    </w:p>
    <w:p w:rsidR="0091333D" w:rsidRPr="0091333D" w:rsidRDefault="0091333D" w:rsidP="0091333D">
      <w:pPr>
        <w:spacing w:after="200"/>
        <w:ind w:left="567"/>
        <w:rPr>
          <w:rFonts w:cs="Arial"/>
        </w:rPr>
      </w:pPr>
      <w:r>
        <w:t>16.</w:t>
      </w:r>
      <w:r>
        <w:tab/>
        <w:t>Fecha y lugar de la siguiente sesión</w:t>
      </w:r>
    </w:p>
    <w:p w:rsidR="0091333D" w:rsidRPr="0091333D" w:rsidRDefault="0091333D" w:rsidP="0091333D">
      <w:pPr>
        <w:spacing w:after="200"/>
        <w:ind w:left="567"/>
        <w:rPr>
          <w:rFonts w:cs="Arial"/>
        </w:rPr>
      </w:pPr>
      <w:r>
        <w:t>17.</w:t>
      </w:r>
      <w:r>
        <w:tab/>
        <w:t>Futuro programa</w:t>
      </w:r>
    </w:p>
    <w:p w:rsidR="0091333D" w:rsidRPr="0091333D" w:rsidRDefault="0091333D" w:rsidP="0091333D">
      <w:pPr>
        <w:spacing w:after="200"/>
        <w:ind w:left="567"/>
        <w:rPr>
          <w:rFonts w:cs="Arial"/>
        </w:rPr>
      </w:pPr>
      <w:r>
        <w:t>18.</w:t>
      </w:r>
      <w:r>
        <w:tab/>
        <w:t>Informe de la sesión (si se dispone de tiempo)</w:t>
      </w:r>
    </w:p>
    <w:p w:rsidR="0091333D" w:rsidRPr="0091333D" w:rsidRDefault="0091333D" w:rsidP="0091333D">
      <w:pPr>
        <w:ind w:left="567"/>
        <w:rPr>
          <w:rFonts w:cs="Arial"/>
        </w:rPr>
      </w:pPr>
      <w:r>
        <w:t>19.</w:t>
      </w:r>
      <w:r>
        <w:tab/>
        <w:t>Clausura de la sesión</w:t>
      </w:r>
    </w:p>
    <w:bookmarkEnd w:id="5"/>
    <w:bookmarkEnd w:id="6"/>
    <w:bookmarkEnd w:id="7"/>
    <w:bookmarkEnd w:id="8"/>
    <w:p w:rsidR="0091333D" w:rsidRPr="0091333D" w:rsidRDefault="0091333D" w:rsidP="0091333D">
      <w:pPr>
        <w:autoSpaceDE w:val="0"/>
        <w:autoSpaceDN w:val="0"/>
        <w:adjustRightInd w:val="0"/>
        <w:rPr>
          <w:rFonts w:cs="Arial"/>
        </w:rPr>
      </w:pPr>
    </w:p>
    <w:p w:rsidR="0091333D" w:rsidRPr="0091333D" w:rsidRDefault="0091333D" w:rsidP="0091333D">
      <w:pPr>
        <w:autoSpaceDE w:val="0"/>
        <w:autoSpaceDN w:val="0"/>
        <w:adjustRightInd w:val="0"/>
        <w:rPr>
          <w:rFonts w:cs="Arial"/>
        </w:rPr>
      </w:pPr>
    </w:p>
    <w:p w:rsidR="0091333D" w:rsidRPr="0091333D" w:rsidRDefault="00742368" w:rsidP="0091333D">
      <w:pPr>
        <w:pStyle w:val="DecisionParagraphs"/>
        <w:keepLines/>
        <w:tabs>
          <w:tab w:val="clear" w:pos="5387"/>
          <w:tab w:val="left" w:pos="5103"/>
        </w:tabs>
        <w:ind w:left="4536"/>
      </w:pPr>
      <w:r w:rsidRPr="0089570C">
        <w:fldChar w:fldCharType="begin"/>
      </w:r>
      <w:r w:rsidR="0091333D" w:rsidRPr="0091333D">
        <w:instrText xml:space="preserve"> AUTONUM  </w:instrText>
      </w:r>
      <w:r w:rsidRPr="0089570C">
        <w:fldChar w:fldCharType="end"/>
      </w:r>
      <w:r w:rsidR="0091333D">
        <w:tab/>
        <w:t>Se invita al TC a examinar el proyecto de orden del día de la decimoctava sesión del BMT, que se recoge en el párrafo 69.</w:t>
      </w:r>
    </w:p>
    <w:p w:rsidR="0091333D" w:rsidRPr="0091333D" w:rsidRDefault="0091333D" w:rsidP="0091333D">
      <w:pPr>
        <w:jc w:val="right"/>
      </w:pPr>
    </w:p>
    <w:p w:rsidR="0091333D" w:rsidRPr="0091333D" w:rsidRDefault="0091333D" w:rsidP="0091333D"/>
    <w:p w:rsidR="0091333D" w:rsidRPr="0091333D" w:rsidRDefault="0091333D" w:rsidP="0091333D"/>
    <w:p w:rsidR="0091333D" w:rsidRPr="0091333D" w:rsidRDefault="0091333D" w:rsidP="0091333D">
      <w:pPr>
        <w:jc w:val="right"/>
      </w:pPr>
    </w:p>
    <w:p w:rsidR="00050E16" w:rsidRPr="00C5280D" w:rsidRDefault="0091333D" w:rsidP="0091333D">
      <w:pPr>
        <w:jc w:val="right"/>
      </w:pPr>
      <w:r>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27" w:rsidRDefault="00A87A27" w:rsidP="006655D3">
      <w:r>
        <w:separator/>
      </w:r>
    </w:p>
    <w:p w:rsidR="00A87A27" w:rsidRDefault="00A87A27" w:rsidP="006655D3"/>
    <w:p w:rsidR="00A87A27" w:rsidRDefault="00A87A27" w:rsidP="006655D3"/>
  </w:endnote>
  <w:endnote w:type="continuationSeparator" w:id="0">
    <w:p w:rsidR="00A87A27" w:rsidRDefault="00A87A27" w:rsidP="006655D3">
      <w:r>
        <w:separator/>
      </w:r>
    </w:p>
    <w:p w:rsidR="00A87A27" w:rsidRPr="00294751" w:rsidRDefault="00A87A27">
      <w:pPr>
        <w:pStyle w:val="Footer"/>
        <w:spacing w:after="60"/>
        <w:rPr>
          <w:sz w:val="18"/>
          <w:lang w:val="fr-FR"/>
        </w:rPr>
      </w:pPr>
      <w:r w:rsidRPr="00294751">
        <w:rPr>
          <w:sz w:val="18"/>
          <w:lang w:val="fr-FR"/>
        </w:rPr>
        <w:t>[Suite de la note de la page précédente]</w:t>
      </w:r>
    </w:p>
    <w:p w:rsidR="00A87A27" w:rsidRPr="00294751" w:rsidRDefault="00A87A27" w:rsidP="006655D3">
      <w:pPr>
        <w:rPr>
          <w:lang w:val="fr-FR"/>
        </w:rPr>
      </w:pPr>
    </w:p>
    <w:p w:rsidR="00A87A27" w:rsidRPr="00294751" w:rsidRDefault="00A87A27" w:rsidP="006655D3">
      <w:pPr>
        <w:rPr>
          <w:lang w:val="fr-FR"/>
        </w:rPr>
      </w:pPr>
    </w:p>
  </w:endnote>
  <w:endnote w:type="continuationNotice" w:id="1">
    <w:p w:rsidR="00A87A27" w:rsidRPr="00294751" w:rsidRDefault="00A87A27" w:rsidP="006655D3">
      <w:pPr>
        <w:rPr>
          <w:lang w:val="fr-FR"/>
        </w:rPr>
      </w:pPr>
      <w:r w:rsidRPr="00294751">
        <w:rPr>
          <w:lang w:val="fr-FR"/>
        </w:rPr>
        <w:t>[Suite de la note page suivante]</w:t>
      </w:r>
    </w:p>
    <w:p w:rsidR="00A87A27" w:rsidRPr="00294751" w:rsidRDefault="00A87A27" w:rsidP="006655D3">
      <w:pPr>
        <w:rPr>
          <w:lang w:val="fr-FR"/>
        </w:rPr>
      </w:pPr>
    </w:p>
    <w:p w:rsidR="00A87A27" w:rsidRPr="00294751" w:rsidRDefault="00A87A2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27" w:rsidRDefault="00A87A27" w:rsidP="006655D3">
      <w:r>
        <w:separator/>
      </w:r>
    </w:p>
  </w:footnote>
  <w:footnote w:type="continuationSeparator" w:id="0">
    <w:p w:rsidR="00A87A27" w:rsidRDefault="00A87A27" w:rsidP="006655D3">
      <w:r>
        <w:separator/>
      </w:r>
    </w:p>
  </w:footnote>
  <w:footnote w:type="continuationNotice" w:id="1">
    <w:p w:rsidR="00A87A27" w:rsidRPr="00AB530F" w:rsidRDefault="00A87A27" w:rsidP="00AB530F">
      <w:pPr>
        <w:pStyle w:val="Footer"/>
      </w:pPr>
    </w:p>
  </w:footnote>
  <w:footnote w:id="2">
    <w:p w:rsidR="00530FE5" w:rsidRPr="00605295" w:rsidRDefault="00530FE5" w:rsidP="0091333D">
      <w:pPr>
        <w:pStyle w:val="FootnoteText"/>
        <w:rPr>
          <w:lang w:val="es-ES"/>
        </w:rPr>
      </w:pPr>
      <w:r>
        <w:rPr>
          <w:rStyle w:val="FootnoteReference"/>
        </w:rPr>
        <w:footnoteRef/>
      </w:r>
      <w:r>
        <w:tab/>
        <w:t>Este punto del orden del día se debatió el miércoles 12 de septiembre de 2018 (el “Día del obtentor”).</w:t>
      </w:r>
    </w:p>
  </w:footnote>
  <w:footnote w:id="3">
    <w:p w:rsidR="00530FE5" w:rsidRDefault="00530FE5" w:rsidP="0091333D">
      <w:pPr>
        <w:pStyle w:val="FootnoteText"/>
      </w:pPr>
      <w:r>
        <w:rPr>
          <w:rStyle w:val="FootnoteReference"/>
        </w:rPr>
        <w:footnoteRef/>
      </w:r>
      <w:r>
        <w:t xml:space="preserve"> Día del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FE5" w:rsidRPr="000A23DC" w:rsidRDefault="00530FE5" w:rsidP="000A23DC">
    <w:pPr>
      <w:pStyle w:val="Header"/>
      <w:rPr>
        <w:rStyle w:val="PageNumber"/>
      </w:rPr>
    </w:pPr>
    <w:r>
      <w:rPr>
        <w:rStyle w:val="PageNumber"/>
      </w:rPr>
      <w:t xml:space="preserve">TC/54/11 </w:t>
    </w:r>
    <w:proofErr w:type="spellStart"/>
    <w:r>
      <w:rPr>
        <w:rStyle w:val="PageNumber"/>
      </w:rPr>
      <w:t>Add</w:t>
    </w:r>
    <w:proofErr w:type="spellEnd"/>
    <w:r>
      <w:rPr>
        <w:rStyle w:val="PageNumber"/>
      </w:rPr>
      <w:t>.</w:t>
    </w:r>
  </w:p>
  <w:p w:rsidR="00530FE5" w:rsidRPr="00202E38" w:rsidRDefault="00530FE5"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AD0525">
      <w:rPr>
        <w:rStyle w:val="PageNumber"/>
        <w:noProof/>
      </w:rPr>
      <w:t>15</w:t>
    </w:r>
    <w:r w:rsidRPr="00202E38">
      <w:rPr>
        <w:rStyle w:val="PageNumber"/>
      </w:rPr>
      <w:fldChar w:fldCharType="end"/>
    </w:r>
  </w:p>
  <w:p w:rsidR="00530FE5" w:rsidRPr="00202E38" w:rsidRDefault="00530FE5"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09"/>
    <w:rsid w:val="00010CF3"/>
    <w:rsid w:val="00011E27"/>
    <w:rsid w:val="000148BC"/>
    <w:rsid w:val="00024AB8"/>
    <w:rsid w:val="00030854"/>
    <w:rsid w:val="00036028"/>
    <w:rsid w:val="00044642"/>
    <w:rsid w:val="000446B9"/>
    <w:rsid w:val="00047E21"/>
    <w:rsid w:val="00050E16"/>
    <w:rsid w:val="000638A9"/>
    <w:rsid w:val="00085505"/>
    <w:rsid w:val="00097802"/>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D3030"/>
    <w:rsid w:val="002E5944"/>
    <w:rsid w:val="00305A7F"/>
    <w:rsid w:val="003152FE"/>
    <w:rsid w:val="00327436"/>
    <w:rsid w:val="00344BD6"/>
    <w:rsid w:val="0035528D"/>
    <w:rsid w:val="00356409"/>
    <w:rsid w:val="00361821"/>
    <w:rsid w:val="00361E9E"/>
    <w:rsid w:val="003A563C"/>
    <w:rsid w:val="003B031A"/>
    <w:rsid w:val="003C7FBE"/>
    <w:rsid w:val="003D227C"/>
    <w:rsid w:val="003D2B4D"/>
    <w:rsid w:val="0040557F"/>
    <w:rsid w:val="00444A88"/>
    <w:rsid w:val="004535EC"/>
    <w:rsid w:val="004646AD"/>
    <w:rsid w:val="00473449"/>
    <w:rsid w:val="00474DA4"/>
    <w:rsid w:val="00476B4D"/>
    <w:rsid w:val="004805FA"/>
    <w:rsid w:val="004935D2"/>
    <w:rsid w:val="004B1215"/>
    <w:rsid w:val="004D047D"/>
    <w:rsid w:val="004E5372"/>
    <w:rsid w:val="004F1E9E"/>
    <w:rsid w:val="004F305A"/>
    <w:rsid w:val="00512164"/>
    <w:rsid w:val="00520297"/>
    <w:rsid w:val="00526687"/>
    <w:rsid w:val="00530FE5"/>
    <w:rsid w:val="005338F9"/>
    <w:rsid w:val="0054281C"/>
    <w:rsid w:val="00544581"/>
    <w:rsid w:val="00545E42"/>
    <w:rsid w:val="0055268D"/>
    <w:rsid w:val="00576BE4"/>
    <w:rsid w:val="005A1EC1"/>
    <w:rsid w:val="005A400A"/>
    <w:rsid w:val="005F7B92"/>
    <w:rsid w:val="00605295"/>
    <w:rsid w:val="00612379"/>
    <w:rsid w:val="006153B6"/>
    <w:rsid w:val="0061555F"/>
    <w:rsid w:val="00636CA6"/>
    <w:rsid w:val="00637EDD"/>
    <w:rsid w:val="00641200"/>
    <w:rsid w:val="00642BFF"/>
    <w:rsid w:val="00645CA8"/>
    <w:rsid w:val="006655D3"/>
    <w:rsid w:val="00667404"/>
    <w:rsid w:val="006757F0"/>
    <w:rsid w:val="00687EB4"/>
    <w:rsid w:val="006904AF"/>
    <w:rsid w:val="0069072B"/>
    <w:rsid w:val="00695C56"/>
    <w:rsid w:val="006A5CDE"/>
    <w:rsid w:val="006A644A"/>
    <w:rsid w:val="006B17D2"/>
    <w:rsid w:val="006C224E"/>
    <w:rsid w:val="006D2E09"/>
    <w:rsid w:val="006D780A"/>
    <w:rsid w:val="0071271E"/>
    <w:rsid w:val="00732DEC"/>
    <w:rsid w:val="00735BD5"/>
    <w:rsid w:val="00742368"/>
    <w:rsid w:val="00751613"/>
    <w:rsid w:val="007556F6"/>
    <w:rsid w:val="00760EEF"/>
    <w:rsid w:val="00777EE5"/>
    <w:rsid w:val="00783722"/>
    <w:rsid w:val="00784836"/>
    <w:rsid w:val="0079023E"/>
    <w:rsid w:val="007A2854"/>
    <w:rsid w:val="007C1D92"/>
    <w:rsid w:val="007C4CB9"/>
    <w:rsid w:val="007D0B9D"/>
    <w:rsid w:val="007D19B0"/>
    <w:rsid w:val="007D1ADC"/>
    <w:rsid w:val="007F498F"/>
    <w:rsid w:val="0080679D"/>
    <w:rsid w:val="008108B0"/>
    <w:rsid w:val="00811B20"/>
    <w:rsid w:val="008211B5"/>
    <w:rsid w:val="0082296E"/>
    <w:rsid w:val="00824099"/>
    <w:rsid w:val="00846D7C"/>
    <w:rsid w:val="00864C55"/>
    <w:rsid w:val="008674A0"/>
    <w:rsid w:val="00867AC1"/>
    <w:rsid w:val="00890DF8"/>
    <w:rsid w:val="008A743F"/>
    <w:rsid w:val="008B3D8D"/>
    <w:rsid w:val="008C0970"/>
    <w:rsid w:val="008D0BC5"/>
    <w:rsid w:val="008D2CF7"/>
    <w:rsid w:val="008E5773"/>
    <w:rsid w:val="00900C26"/>
    <w:rsid w:val="0090197F"/>
    <w:rsid w:val="00906DDC"/>
    <w:rsid w:val="0091333D"/>
    <w:rsid w:val="00934E09"/>
    <w:rsid w:val="00936253"/>
    <w:rsid w:val="00940D46"/>
    <w:rsid w:val="00952DD4"/>
    <w:rsid w:val="0096175D"/>
    <w:rsid w:val="00965AE7"/>
    <w:rsid w:val="00970FED"/>
    <w:rsid w:val="00992D82"/>
    <w:rsid w:val="00997029"/>
    <w:rsid w:val="009A7339"/>
    <w:rsid w:val="009B440E"/>
    <w:rsid w:val="009C0E81"/>
    <w:rsid w:val="009D690D"/>
    <w:rsid w:val="009E65B6"/>
    <w:rsid w:val="00A24C10"/>
    <w:rsid w:val="00A42AC3"/>
    <w:rsid w:val="00A430CF"/>
    <w:rsid w:val="00A54309"/>
    <w:rsid w:val="00A706D3"/>
    <w:rsid w:val="00A74786"/>
    <w:rsid w:val="00A87A27"/>
    <w:rsid w:val="00A931EF"/>
    <w:rsid w:val="00AB2B93"/>
    <w:rsid w:val="00AB530F"/>
    <w:rsid w:val="00AB7E5B"/>
    <w:rsid w:val="00AC2883"/>
    <w:rsid w:val="00AD0525"/>
    <w:rsid w:val="00AE0EF1"/>
    <w:rsid w:val="00AE2937"/>
    <w:rsid w:val="00AE5E49"/>
    <w:rsid w:val="00B07301"/>
    <w:rsid w:val="00B11F3E"/>
    <w:rsid w:val="00B224DE"/>
    <w:rsid w:val="00B324D4"/>
    <w:rsid w:val="00B46575"/>
    <w:rsid w:val="00B61777"/>
    <w:rsid w:val="00B84BBD"/>
    <w:rsid w:val="00BA43FB"/>
    <w:rsid w:val="00BC0BD4"/>
    <w:rsid w:val="00BC127D"/>
    <w:rsid w:val="00BC1FE6"/>
    <w:rsid w:val="00BD2237"/>
    <w:rsid w:val="00C061B6"/>
    <w:rsid w:val="00C2446C"/>
    <w:rsid w:val="00C36AE5"/>
    <w:rsid w:val="00C41F17"/>
    <w:rsid w:val="00C44098"/>
    <w:rsid w:val="00C44EBC"/>
    <w:rsid w:val="00C527FA"/>
    <w:rsid w:val="00C5280D"/>
    <w:rsid w:val="00C53EB3"/>
    <w:rsid w:val="00C569C7"/>
    <w:rsid w:val="00C5791C"/>
    <w:rsid w:val="00C66290"/>
    <w:rsid w:val="00C72B7A"/>
    <w:rsid w:val="00C85D45"/>
    <w:rsid w:val="00C973F2"/>
    <w:rsid w:val="00CA304C"/>
    <w:rsid w:val="00CA774A"/>
    <w:rsid w:val="00CC11B0"/>
    <w:rsid w:val="00CC2841"/>
    <w:rsid w:val="00CE49AB"/>
    <w:rsid w:val="00CF1330"/>
    <w:rsid w:val="00CF7E36"/>
    <w:rsid w:val="00D3708D"/>
    <w:rsid w:val="00D40426"/>
    <w:rsid w:val="00D57C96"/>
    <w:rsid w:val="00D57D18"/>
    <w:rsid w:val="00D6090B"/>
    <w:rsid w:val="00D91203"/>
    <w:rsid w:val="00D95174"/>
    <w:rsid w:val="00DA1D48"/>
    <w:rsid w:val="00DA4973"/>
    <w:rsid w:val="00DA6F36"/>
    <w:rsid w:val="00DB596E"/>
    <w:rsid w:val="00DB7773"/>
    <w:rsid w:val="00DC00EA"/>
    <w:rsid w:val="00DC3802"/>
    <w:rsid w:val="00DD4DF7"/>
    <w:rsid w:val="00E07D87"/>
    <w:rsid w:val="00E26714"/>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05141"/>
    <w:rsid w:val="00F1237A"/>
    <w:rsid w:val="00F22CBD"/>
    <w:rsid w:val="00F272F1"/>
    <w:rsid w:val="00F45372"/>
    <w:rsid w:val="00F560F7"/>
    <w:rsid w:val="00F6334D"/>
    <w:rsid w:val="00F865AC"/>
    <w:rsid w:val="00FA49AB"/>
    <w:rsid w:val="00FA4EE3"/>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FF162A"/>
  <w15:docId w15:val="{04D59A9D-C5C6-4AB2-911A-8BDD238C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C44EBC"/>
    <w:pPr>
      <w:tabs>
        <w:tab w:val="right" w:leader="dot" w:pos="9639"/>
      </w:tabs>
      <w:ind w:left="284" w:right="851"/>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91333D"/>
    <w:rPr>
      <w:b/>
      <w:lang w:val="en-US"/>
    </w:rPr>
  </w:style>
  <w:style w:type="paragraph" w:customStyle="1" w:styleId="Sessiontwpplacedate">
    <w:name w:val="Session_twp_place_date"/>
    <w:basedOn w:val="Normal"/>
    <w:next w:val="Normal"/>
    <w:qFormat/>
    <w:rsid w:val="0091333D"/>
    <w:rPr>
      <w:lang w:val="en-US"/>
    </w:rPr>
  </w:style>
  <w:style w:type="character" w:customStyle="1" w:styleId="Heading1Char">
    <w:name w:val="Heading 1 Char"/>
    <w:basedOn w:val="DefaultParagraphFont"/>
    <w:link w:val="Heading1"/>
    <w:rsid w:val="0091333D"/>
    <w:rPr>
      <w:rFonts w:ascii="Arial" w:hAnsi="Arial"/>
      <w:caps/>
    </w:rPr>
  </w:style>
  <w:style w:type="paragraph" w:styleId="ListParagraph">
    <w:name w:val="List Paragraph"/>
    <w:basedOn w:val="Normal"/>
    <w:uiPriority w:val="34"/>
    <w:qFormat/>
    <w:rsid w:val="0091333D"/>
    <w:pPr>
      <w:ind w:left="720"/>
      <w:contextualSpacing/>
    </w:pPr>
    <w:rPr>
      <w:rFonts w:eastAsiaTheme="minorEastAsia"/>
      <w:lang w:val="en-US"/>
    </w:rPr>
  </w:style>
  <w:style w:type="paragraph" w:styleId="BodyTextIndent">
    <w:name w:val="Body Text Indent"/>
    <w:basedOn w:val="Normal"/>
    <w:link w:val="BodyTextIndentChar"/>
    <w:rsid w:val="0091333D"/>
    <w:pPr>
      <w:spacing w:after="120"/>
      <w:ind w:left="283"/>
    </w:pPr>
    <w:rPr>
      <w:rFonts w:eastAsiaTheme="minorEastAsia"/>
      <w:lang w:val="en-US"/>
    </w:rPr>
  </w:style>
  <w:style w:type="character" w:customStyle="1" w:styleId="BodyTextIndentChar">
    <w:name w:val="Body Text Indent Char"/>
    <w:basedOn w:val="DefaultParagraphFont"/>
    <w:link w:val="BodyTextIndent"/>
    <w:rsid w:val="0091333D"/>
    <w:rPr>
      <w:rFonts w:ascii="Arial" w:eastAsiaTheme="minorEastAsia" w:hAnsi="Arial"/>
    </w:rPr>
  </w:style>
  <w:style w:type="character" w:customStyle="1" w:styleId="FootnoteTextChar">
    <w:name w:val="Footnote Text Char"/>
    <w:basedOn w:val="DefaultParagraphFont"/>
    <w:link w:val="FootnoteText"/>
    <w:rsid w:val="0091333D"/>
    <w:rPr>
      <w:rFonts w:ascii="Arial" w:hAnsi="Arial"/>
      <w:sz w:val="16"/>
      <w:lang w:val="es-ES_tradnl"/>
    </w:rPr>
  </w:style>
  <w:style w:type="character" w:customStyle="1" w:styleId="HeaderChar">
    <w:name w:val="Header Char"/>
    <w:basedOn w:val="DefaultParagraphFont"/>
    <w:link w:val="Header"/>
    <w:rsid w:val="0091333D"/>
    <w:rPr>
      <w:rFonts w:ascii="Arial" w:hAnsi="Arial"/>
      <w:lang w:val="es-ES_tradnl"/>
    </w:rPr>
  </w:style>
  <w:style w:type="paragraph" w:customStyle="1" w:styleId="Style1">
    <w:name w:val="Style1"/>
    <w:basedOn w:val="Normal"/>
    <w:rsid w:val="0091333D"/>
    <w:pPr>
      <w:tabs>
        <w:tab w:val="decimal" w:pos="907"/>
        <w:tab w:val="left" w:pos="1077"/>
      </w:tabs>
    </w:pPr>
    <w:rPr>
      <w:rFonts w:ascii="Times New Roman" w:eastAsiaTheme="minorEastAsia" w:hAnsi="Times New Roman"/>
      <w:sz w:val="24"/>
      <w:szCs w:val="24"/>
      <w:lang w:val="en-US" w:eastAsia="ja-JP"/>
    </w:rPr>
  </w:style>
  <w:style w:type="table" w:customStyle="1" w:styleId="PlainTable41">
    <w:name w:val="Plain Table 41"/>
    <w:basedOn w:val="TableNormal"/>
    <w:uiPriority w:val="44"/>
    <w:rsid w:val="0091333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1333D"/>
    <w:pPr>
      <w:spacing w:before="100" w:beforeAutospacing="1" w:after="100" w:afterAutospacing="1"/>
      <w:jc w:val="left"/>
    </w:pPr>
    <w:rPr>
      <w:rFonts w:ascii="Times New Roman" w:eastAsiaTheme="minorEastAsia" w:hAnsi="Times New Roman"/>
      <w:sz w:val="24"/>
      <w:szCs w:val="24"/>
      <w:lang w:val="en-US" w:eastAsia="ja-JP"/>
    </w:rPr>
  </w:style>
  <w:style w:type="paragraph" w:styleId="TOCHeading">
    <w:name w:val="TOC Heading"/>
    <w:basedOn w:val="Heading1"/>
    <w:next w:val="Normal"/>
    <w:uiPriority w:val="39"/>
    <w:semiHidden/>
    <w:unhideWhenUsed/>
    <w:qFormat/>
    <w:rsid w:val="0091333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unhideWhenUsed/>
    <w:rsid w:val="0091333D"/>
    <w:rPr>
      <w:color w:val="800080" w:themeColor="followedHyperlink"/>
      <w:u w:val="single"/>
    </w:rPr>
  </w:style>
  <w:style w:type="table" w:customStyle="1" w:styleId="TableGrid1">
    <w:name w:val="Table Grid1"/>
    <w:basedOn w:val="TableNormal"/>
    <w:next w:val="TableGrid"/>
    <w:uiPriority w:val="39"/>
    <w:rsid w:val="009133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1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1333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6618</Words>
  <Characters>35811</Characters>
  <Application>Microsoft Office Word</Application>
  <DocSecurity>0</DocSecurity>
  <Lines>298</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CEVALLOS DUQUE Nilo</dc:creator>
  <cp:lastModifiedBy>MAY Jessica</cp:lastModifiedBy>
  <cp:revision>6</cp:revision>
  <cp:lastPrinted>2016-11-22T15:41:00Z</cp:lastPrinted>
  <dcterms:created xsi:type="dcterms:W3CDTF">2018-10-16T07:41:00Z</dcterms:created>
  <dcterms:modified xsi:type="dcterms:W3CDTF">2018-10-16T08:14:00Z</dcterms:modified>
</cp:coreProperties>
</file>