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3750C" w:rsidTr="00EB4E9C">
        <w:tc>
          <w:tcPr>
            <w:tcW w:w="6522" w:type="dxa"/>
          </w:tcPr>
          <w:p w:rsidR="00DC3802" w:rsidRPr="00E3750C" w:rsidRDefault="00DC3802" w:rsidP="00AC2883">
            <w:pPr>
              <w:rPr>
                <w:lang w:val="es-ES"/>
              </w:rPr>
            </w:pPr>
            <w:r w:rsidRPr="00E3750C">
              <w:rPr>
                <w:noProof/>
                <w:lang w:val="es-ES"/>
              </w:rPr>
              <w:drawing>
                <wp:inline distT="0" distB="0" distL="0" distR="0" wp14:anchorId="397C13B2" wp14:editId="680C533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3750C" w:rsidRDefault="002E5944" w:rsidP="00AC2883">
            <w:pPr>
              <w:pStyle w:val="Lettrine"/>
              <w:rPr>
                <w:lang w:val="es-ES"/>
              </w:rPr>
            </w:pPr>
            <w:r w:rsidRPr="00E3750C">
              <w:rPr>
                <w:lang w:val="es-ES"/>
              </w:rPr>
              <w:t>S</w:t>
            </w:r>
          </w:p>
        </w:tc>
      </w:tr>
      <w:tr w:rsidR="00DC3802" w:rsidRPr="00E3750C" w:rsidTr="00645CA8">
        <w:trPr>
          <w:trHeight w:val="219"/>
        </w:trPr>
        <w:tc>
          <w:tcPr>
            <w:tcW w:w="6522" w:type="dxa"/>
          </w:tcPr>
          <w:p w:rsidR="00DC3802" w:rsidRPr="00E3750C" w:rsidRDefault="002E5944" w:rsidP="00BC0BD4">
            <w:pPr>
              <w:pStyle w:val="upove"/>
              <w:rPr>
                <w:lang w:val="es-ES"/>
              </w:rPr>
            </w:pPr>
            <w:r w:rsidRPr="00E3750C">
              <w:rPr>
                <w:lang w:val="es-ES"/>
              </w:rPr>
              <w:t>Unión Internacional para la Protección de las Obtenciones Vegetales</w:t>
            </w:r>
          </w:p>
        </w:tc>
        <w:tc>
          <w:tcPr>
            <w:tcW w:w="3117" w:type="dxa"/>
          </w:tcPr>
          <w:p w:rsidR="00DC3802" w:rsidRPr="00E3750C" w:rsidRDefault="00DC3802" w:rsidP="00DA4973">
            <w:pPr>
              <w:rPr>
                <w:lang w:val="es-ES"/>
              </w:rPr>
            </w:pPr>
          </w:p>
        </w:tc>
      </w:tr>
    </w:tbl>
    <w:p w:rsidR="00DC3802" w:rsidRPr="00E3750C" w:rsidRDefault="00DC3802" w:rsidP="00DC3802">
      <w:pPr>
        <w:rPr>
          <w:lang w:val="es-ES"/>
        </w:rPr>
      </w:pPr>
    </w:p>
    <w:p w:rsidR="00DA4973" w:rsidRPr="00E3750C"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3750C" w:rsidTr="00EB4E9C">
        <w:tc>
          <w:tcPr>
            <w:tcW w:w="6512" w:type="dxa"/>
          </w:tcPr>
          <w:p w:rsidR="00EB4E9C" w:rsidRPr="00E3750C" w:rsidRDefault="002E5944" w:rsidP="00AC2883">
            <w:pPr>
              <w:pStyle w:val="Sessiontc"/>
              <w:spacing w:line="240" w:lineRule="auto"/>
              <w:rPr>
                <w:lang w:val="es-ES"/>
              </w:rPr>
            </w:pPr>
            <w:r w:rsidRPr="00E3750C">
              <w:rPr>
                <w:lang w:val="es-ES"/>
              </w:rPr>
              <w:t>Comité Técnico</w:t>
            </w:r>
          </w:p>
          <w:p w:rsidR="00EB4E9C" w:rsidRPr="00E3750C" w:rsidRDefault="002E5944" w:rsidP="002E5944">
            <w:pPr>
              <w:pStyle w:val="Sessiontcplacedate"/>
              <w:rPr>
                <w:sz w:val="22"/>
                <w:lang w:val="es-ES"/>
              </w:rPr>
            </w:pPr>
            <w:r w:rsidRPr="00E3750C">
              <w:rPr>
                <w:lang w:val="es-ES"/>
              </w:rPr>
              <w:t>Quincuagésima tercera sesión</w:t>
            </w:r>
            <w:r w:rsidRPr="00E3750C">
              <w:rPr>
                <w:lang w:val="es-ES"/>
              </w:rPr>
              <w:br/>
              <w:t>Ginebra, 3 a 5 de abril de 2017</w:t>
            </w:r>
          </w:p>
        </w:tc>
        <w:tc>
          <w:tcPr>
            <w:tcW w:w="3127" w:type="dxa"/>
          </w:tcPr>
          <w:p w:rsidR="00EB4E9C" w:rsidRPr="00E3750C" w:rsidRDefault="00EB4E9C" w:rsidP="003C7FBE">
            <w:pPr>
              <w:pStyle w:val="Doccode"/>
              <w:rPr>
                <w:lang w:val="es-ES"/>
              </w:rPr>
            </w:pPr>
            <w:r w:rsidRPr="00E3750C">
              <w:rPr>
                <w:lang w:val="es-ES"/>
              </w:rPr>
              <w:t>TC/53/7</w:t>
            </w:r>
          </w:p>
          <w:p w:rsidR="00EB4E9C" w:rsidRPr="00E3750C" w:rsidRDefault="00EB4E9C" w:rsidP="003C7FBE">
            <w:pPr>
              <w:pStyle w:val="Docoriginal"/>
              <w:rPr>
                <w:lang w:val="es-ES"/>
              </w:rPr>
            </w:pPr>
            <w:r w:rsidRPr="00E3750C">
              <w:rPr>
                <w:lang w:val="es-ES"/>
              </w:rPr>
              <w:t>Original:</w:t>
            </w:r>
            <w:r w:rsidRPr="00E3750C">
              <w:rPr>
                <w:b w:val="0"/>
                <w:spacing w:val="0"/>
                <w:lang w:val="es-ES"/>
              </w:rPr>
              <w:t xml:space="preserve">  Inglés</w:t>
            </w:r>
          </w:p>
          <w:p w:rsidR="00EB4E9C" w:rsidRPr="00E3750C" w:rsidRDefault="002E5944" w:rsidP="00E3750C">
            <w:pPr>
              <w:pStyle w:val="Docoriginal"/>
              <w:rPr>
                <w:lang w:val="es-ES"/>
              </w:rPr>
            </w:pPr>
            <w:r w:rsidRPr="00E3750C">
              <w:rPr>
                <w:lang w:val="es-ES"/>
              </w:rPr>
              <w:t>Fecha:</w:t>
            </w:r>
            <w:r w:rsidRPr="00E3750C">
              <w:rPr>
                <w:b w:val="0"/>
                <w:spacing w:val="0"/>
                <w:lang w:val="es-ES"/>
              </w:rPr>
              <w:t xml:space="preserve">  </w:t>
            </w:r>
            <w:r w:rsidRPr="0030098E">
              <w:rPr>
                <w:b w:val="0"/>
                <w:spacing w:val="0"/>
                <w:lang w:val="es-ES"/>
              </w:rPr>
              <w:t>2</w:t>
            </w:r>
            <w:r w:rsidR="00E3750C" w:rsidRPr="0030098E">
              <w:rPr>
                <w:b w:val="0"/>
                <w:spacing w:val="0"/>
                <w:lang w:val="es-ES"/>
              </w:rPr>
              <w:t>2</w:t>
            </w:r>
            <w:r w:rsidRPr="0030098E">
              <w:rPr>
                <w:b w:val="0"/>
                <w:spacing w:val="0"/>
                <w:lang w:val="es-ES"/>
              </w:rPr>
              <w:t xml:space="preserve"> de marzo de 2017</w:t>
            </w:r>
          </w:p>
        </w:tc>
      </w:tr>
    </w:tbl>
    <w:p w:rsidR="000D7780" w:rsidRPr="00E3750C" w:rsidRDefault="00E71B18" w:rsidP="002C642D">
      <w:pPr>
        <w:pStyle w:val="Titleofdoc0"/>
        <w:spacing w:before="600"/>
        <w:rPr>
          <w:b/>
          <w:lang w:val="es-ES"/>
        </w:rPr>
      </w:pPr>
      <w:bookmarkStart w:id="0" w:name="TitleOfDoc"/>
      <w:bookmarkEnd w:id="0"/>
      <w:r w:rsidRPr="00E3750C">
        <w:rPr>
          <w:b/>
          <w:snapToGrid w:val="0"/>
          <w:lang w:val="es-ES"/>
        </w:rPr>
        <w:t>Formulario electrónico de solicitud</w:t>
      </w:r>
    </w:p>
    <w:p w:rsidR="006A644A" w:rsidRPr="00E3750C" w:rsidRDefault="000638A9" w:rsidP="006A644A">
      <w:pPr>
        <w:pStyle w:val="preparedby1"/>
        <w:jc w:val="left"/>
        <w:rPr>
          <w:lang w:val="es-ES"/>
        </w:rPr>
      </w:pPr>
      <w:bookmarkStart w:id="1" w:name="Prepared"/>
      <w:bookmarkEnd w:id="1"/>
      <w:r w:rsidRPr="00E3750C">
        <w:rPr>
          <w:lang w:val="es-ES"/>
        </w:rPr>
        <w:t>Documento preparado por la Oficina de la Unión</w:t>
      </w:r>
    </w:p>
    <w:p w:rsidR="00050E16" w:rsidRPr="00E3750C" w:rsidRDefault="000638A9" w:rsidP="002C642D">
      <w:pPr>
        <w:pStyle w:val="Disclaimer"/>
        <w:spacing w:after="600"/>
        <w:rPr>
          <w:lang w:val="es-ES"/>
        </w:rPr>
      </w:pPr>
      <w:r w:rsidRPr="00E3750C">
        <w:rPr>
          <w:lang w:val="es-ES"/>
        </w:rPr>
        <w:t>Descargo de responsabilidad</w:t>
      </w:r>
      <w:proofErr w:type="gramStart"/>
      <w:r w:rsidRPr="00E3750C">
        <w:rPr>
          <w:lang w:val="es-ES"/>
        </w:rPr>
        <w:t xml:space="preserve">: </w:t>
      </w:r>
      <w:r w:rsidR="00624D7B" w:rsidRPr="00E3750C">
        <w:rPr>
          <w:lang w:val="es-ES"/>
        </w:rPr>
        <w:t xml:space="preserve"> </w:t>
      </w:r>
      <w:r w:rsidRPr="00E3750C">
        <w:rPr>
          <w:lang w:val="es-ES"/>
        </w:rPr>
        <w:t>el</w:t>
      </w:r>
      <w:proofErr w:type="gramEnd"/>
      <w:r w:rsidRPr="00E3750C">
        <w:rPr>
          <w:lang w:val="es-ES"/>
        </w:rPr>
        <w:t xml:space="preserve"> presente documento no constituye un documento de política u orientación de la UPOV</w:t>
      </w:r>
    </w:p>
    <w:p w:rsidR="00E71B18" w:rsidRPr="00E3750C" w:rsidRDefault="00E71B18" w:rsidP="00E71B18">
      <w:pPr>
        <w:pStyle w:val="Heading1"/>
        <w:rPr>
          <w:lang w:val="es-ES"/>
        </w:rPr>
      </w:pPr>
      <w:bookmarkStart w:id="2" w:name="_Toc475955714"/>
      <w:bookmarkStart w:id="3" w:name="_Toc477186291"/>
      <w:bookmarkStart w:id="4" w:name="_Toc477354022"/>
      <w:bookmarkStart w:id="5" w:name="_Toc477880917"/>
      <w:bookmarkStart w:id="6" w:name="_Toc478483752"/>
      <w:r w:rsidRPr="00E3750C">
        <w:rPr>
          <w:lang w:val="es-ES"/>
        </w:rPr>
        <w:t>RESUMEN</w:t>
      </w:r>
      <w:bookmarkEnd w:id="2"/>
      <w:bookmarkEnd w:id="3"/>
      <w:bookmarkEnd w:id="4"/>
      <w:bookmarkEnd w:id="5"/>
      <w:bookmarkEnd w:id="6"/>
    </w:p>
    <w:p w:rsidR="00E71B18" w:rsidRPr="00E3750C" w:rsidRDefault="00E71B18" w:rsidP="00E71B18">
      <w:pPr>
        <w:rPr>
          <w:snapToGrid w:val="0"/>
          <w:lang w:val="es-ES"/>
        </w:rPr>
      </w:pPr>
    </w:p>
    <w:p w:rsidR="00E71B18" w:rsidRPr="00E3750C" w:rsidRDefault="005D0DC8" w:rsidP="00E71B18">
      <w:pPr>
        <w:rPr>
          <w:lang w:val="es-ES"/>
        </w:rPr>
      </w:pPr>
      <w:r w:rsidRPr="00E3750C">
        <w:rPr>
          <w:snapToGrid w:val="0"/>
          <w:lang w:val="es-ES"/>
        </w:rPr>
        <w:fldChar w:fldCharType="begin"/>
      </w:r>
      <w:r w:rsidR="00E71B18" w:rsidRPr="00E3750C">
        <w:rPr>
          <w:snapToGrid w:val="0"/>
          <w:lang w:val="es-ES"/>
        </w:rPr>
        <w:instrText xml:space="preserve"> AUTONUM  </w:instrText>
      </w:r>
      <w:r w:rsidRPr="00E3750C">
        <w:rPr>
          <w:snapToGrid w:val="0"/>
          <w:lang w:val="es-ES"/>
        </w:rPr>
        <w:fldChar w:fldCharType="end"/>
      </w:r>
      <w:r w:rsidR="0068039E" w:rsidRPr="00E3750C">
        <w:rPr>
          <w:lang w:val="es-ES"/>
        </w:rPr>
        <w:tab/>
        <w:t>La finalidad de este documento es informar de las novedades relativas a la elaboración de un formulario electrónico de solicitud.</w:t>
      </w:r>
    </w:p>
    <w:p w:rsidR="00E71B18" w:rsidRPr="00E3750C" w:rsidRDefault="00E71B18" w:rsidP="00E71B18">
      <w:pPr>
        <w:rPr>
          <w:lang w:val="es-ES"/>
        </w:rPr>
      </w:pPr>
    </w:p>
    <w:p w:rsidR="00E71B18" w:rsidRPr="00E3750C" w:rsidRDefault="005D0DC8" w:rsidP="00E71B18">
      <w:pPr>
        <w:rPr>
          <w:lang w:val="es-ES"/>
        </w:rPr>
      </w:pPr>
      <w:r w:rsidRPr="00E3750C">
        <w:rPr>
          <w:snapToGrid w:val="0"/>
          <w:lang w:val="es-ES"/>
        </w:rPr>
        <w:fldChar w:fldCharType="begin"/>
      </w:r>
      <w:r w:rsidR="00E71B18" w:rsidRPr="00E3750C">
        <w:rPr>
          <w:snapToGrid w:val="0"/>
          <w:lang w:val="es-ES"/>
        </w:rPr>
        <w:instrText xml:space="preserve"> AUTONUM  </w:instrText>
      </w:r>
      <w:r w:rsidRPr="00E3750C">
        <w:rPr>
          <w:snapToGrid w:val="0"/>
          <w:lang w:val="es-ES"/>
        </w:rPr>
        <w:fldChar w:fldCharType="end"/>
      </w:r>
      <w:r w:rsidR="0068039E" w:rsidRPr="00E3750C">
        <w:rPr>
          <w:lang w:val="es-ES"/>
        </w:rPr>
        <w:tab/>
        <w:t>Se invita al TC a tomar nota de las novedad</w:t>
      </w:r>
      <w:bookmarkStart w:id="7" w:name="_GoBack"/>
      <w:bookmarkEnd w:id="7"/>
      <w:r w:rsidR="0068039E" w:rsidRPr="00E3750C">
        <w:rPr>
          <w:lang w:val="es-ES"/>
        </w:rPr>
        <w:t>es relativas a la elaboración de un formulario electrónico de solicitud que se exponen en el presente documento.</w:t>
      </w:r>
    </w:p>
    <w:p w:rsidR="00E71B18" w:rsidRPr="00E3750C" w:rsidRDefault="00E71B18" w:rsidP="00E71B18">
      <w:pPr>
        <w:rPr>
          <w:lang w:val="es-ES"/>
        </w:rPr>
      </w:pPr>
    </w:p>
    <w:p w:rsidR="00E71B18" w:rsidRPr="00E3750C" w:rsidRDefault="005D0DC8" w:rsidP="00E71B18">
      <w:pPr>
        <w:rPr>
          <w:rFonts w:cs="Arial"/>
          <w:snapToGrid w:val="0"/>
          <w:lang w:val="es-ES"/>
        </w:rPr>
      </w:pPr>
      <w:r w:rsidRPr="00E3750C">
        <w:rPr>
          <w:rFonts w:cs="Arial"/>
          <w:snapToGrid w:val="0"/>
          <w:lang w:val="es-ES"/>
        </w:rPr>
        <w:fldChar w:fldCharType="begin"/>
      </w:r>
      <w:r w:rsidR="00E71B18" w:rsidRPr="00E3750C">
        <w:rPr>
          <w:rFonts w:cs="Arial"/>
          <w:snapToGrid w:val="0"/>
          <w:lang w:val="es-ES"/>
        </w:rPr>
        <w:instrText xml:space="preserve"> AUTONUM  </w:instrText>
      </w:r>
      <w:r w:rsidRPr="00E3750C">
        <w:rPr>
          <w:rFonts w:cs="Arial"/>
          <w:snapToGrid w:val="0"/>
          <w:lang w:val="es-ES"/>
        </w:rPr>
        <w:fldChar w:fldCharType="end"/>
      </w:r>
      <w:r w:rsidR="0068039E" w:rsidRPr="00E3750C">
        <w:rPr>
          <w:lang w:val="es-ES"/>
        </w:rPr>
        <w:tab/>
        <w:t>El presente documento se estructura del modo siguiente:</w:t>
      </w:r>
    </w:p>
    <w:p w:rsidR="00E71B18" w:rsidRPr="00E3750C" w:rsidRDefault="00E71B18" w:rsidP="00E71B18">
      <w:pPr>
        <w:rPr>
          <w:rFonts w:cs="Arial"/>
          <w:snapToGrid w:val="0"/>
          <w:lang w:val="es-ES"/>
        </w:rPr>
      </w:pPr>
    </w:p>
    <w:sdt>
      <w:sdtPr>
        <w:rPr>
          <w:bCs/>
          <w:sz w:val="18"/>
          <w:lang w:val="es-ES"/>
        </w:rPr>
        <w:id w:val="-2115974964"/>
        <w:docPartObj>
          <w:docPartGallery w:val="Table of Contents"/>
          <w:docPartUnique/>
        </w:docPartObj>
      </w:sdtPr>
      <w:sdtEndPr>
        <w:rPr>
          <w:bCs w:val="0"/>
          <w:noProof/>
          <w:sz w:val="20"/>
        </w:rPr>
      </w:sdtEndPr>
      <w:sdtContent>
        <w:p w:rsidR="0030098E" w:rsidRDefault="005D0DC8">
          <w:pPr>
            <w:pStyle w:val="TOC1"/>
            <w:rPr>
              <w:rFonts w:asciiTheme="minorHAnsi" w:eastAsiaTheme="minorEastAsia" w:hAnsiTheme="minorHAnsi" w:cstheme="minorBidi"/>
              <w:caps w:val="0"/>
              <w:noProof/>
              <w:sz w:val="22"/>
              <w:szCs w:val="22"/>
            </w:rPr>
          </w:pPr>
          <w:r w:rsidRPr="00E3750C">
            <w:rPr>
              <w:rStyle w:val="Hyperlink"/>
              <w:lang w:val="es-ES"/>
            </w:rPr>
            <w:fldChar w:fldCharType="begin"/>
          </w:r>
          <w:r w:rsidR="00E71B18" w:rsidRPr="00E3750C">
            <w:rPr>
              <w:rStyle w:val="Hyperlink"/>
              <w:noProof/>
              <w:lang w:val="es-ES"/>
            </w:rPr>
            <w:instrText xml:space="preserve"> TOC \o "1-3" \h \z \u </w:instrText>
          </w:r>
          <w:r w:rsidRPr="00E3750C">
            <w:rPr>
              <w:rStyle w:val="Hyperlink"/>
              <w:lang w:val="es-ES"/>
            </w:rPr>
            <w:fldChar w:fldCharType="separate"/>
          </w:r>
          <w:hyperlink w:anchor="_Toc478483752" w:history="1">
            <w:r w:rsidR="0030098E" w:rsidRPr="00F76A8B">
              <w:rPr>
                <w:rStyle w:val="Hyperlink"/>
                <w:noProof/>
                <w:lang w:val="es-ES"/>
              </w:rPr>
              <w:t>RESUMEN</w:t>
            </w:r>
            <w:r w:rsidR="0030098E">
              <w:rPr>
                <w:noProof/>
                <w:webHidden/>
              </w:rPr>
              <w:tab/>
            </w:r>
            <w:r w:rsidR="0030098E">
              <w:rPr>
                <w:noProof/>
                <w:webHidden/>
              </w:rPr>
              <w:fldChar w:fldCharType="begin"/>
            </w:r>
            <w:r w:rsidR="0030098E">
              <w:rPr>
                <w:noProof/>
                <w:webHidden/>
              </w:rPr>
              <w:instrText xml:space="preserve"> PAGEREF _Toc478483752 \h </w:instrText>
            </w:r>
            <w:r w:rsidR="0030098E">
              <w:rPr>
                <w:noProof/>
                <w:webHidden/>
              </w:rPr>
            </w:r>
            <w:r w:rsidR="0030098E">
              <w:rPr>
                <w:noProof/>
                <w:webHidden/>
              </w:rPr>
              <w:fldChar w:fldCharType="separate"/>
            </w:r>
            <w:r w:rsidR="0030098E">
              <w:rPr>
                <w:noProof/>
                <w:webHidden/>
              </w:rPr>
              <w:t>1</w:t>
            </w:r>
            <w:r w:rsidR="0030098E">
              <w:rPr>
                <w:noProof/>
                <w:webHidden/>
              </w:rPr>
              <w:fldChar w:fldCharType="end"/>
            </w:r>
          </w:hyperlink>
        </w:p>
        <w:p w:rsidR="0030098E" w:rsidRDefault="0030098E">
          <w:pPr>
            <w:pStyle w:val="TOC1"/>
            <w:rPr>
              <w:rFonts w:asciiTheme="minorHAnsi" w:eastAsiaTheme="minorEastAsia" w:hAnsiTheme="minorHAnsi" w:cstheme="minorBidi"/>
              <w:caps w:val="0"/>
              <w:noProof/>
              <w:sz w:val="22"/>
              <w:szCs w:val="22"/>
            </w:rPr>
          </w:pPr>
          <w:hyperlink w:anchor="_Toc478483753" w:history="1">
            <w:r w:rsidRPr="00F76A8B">
              <w:rPr>
                <w:rStyle w:val="Hyperlink"/>
                <w:noProof/>
                <w:lang w:val="es-ES"/>
              </w:rPr>
              <w:t>Antecedentes</w:t>
            </w:r>
            <w:r>
              <w:rPr>
                <w:noProof/>
                <w:webHidden/>
              </w:rPr>
              <w:tab/>
            </w:r>
            <w:r>
              <w:rPr>
                <w:noProof/>
                <w:webHidden/>
              </w:rPr>
              <w:fldChar w:fldCharType="begin"/>
            </w:r>
            <w:r>
              <w:rPr>
                <w:noProof/>
                <w:webHidden/>
              </w:rPr>
              <w:instrText xml:space="preserve"> PAGEREF _Toc478483753 \h </w:instrText>
            </w:r>
            <w:r>
              <w:rPr>
                <w:noProof/>
                <w:webHidden/>
              </w:rPr>
            </w:r>
            <w:r>
              <w:rPr>
                <w:noProof/>
                <w:webHidden/>
              </w:rPr>
              <w:fldChar w:fldCharType="separate"/>
            </w:r>
            <w:r>
              <w:rPr>
                <w:noProof/>
                <w:webHidden/>
              </w:rPr>
              <w:t>1</w:t>
            </w:r>
            <w:r>
              <w:rPr>
                <w:noProof/>
                <w:webHidden/>
              </w:rPr>
              <w:fldChar w:fldCharType="end"/>
            </w:r>
          </w:hyperlink>
        </w:p>
        <w:p w:rsidR="0030098E" w:rsidRDefault="0030098E">
          <w:pPr>
            <w:pStyle w:val="TOC1"/>
            <w:rPr>
              <w:rFonts w:asciiTheme="minorHAnsi" w:eastAsiaTheme="minorEastAsia" w:hAnsiTheme="minorHAnsi" w:cstheme="minorBidi"/>
              <w:caps w:val="0"/>
              <w:noProof/>
              <w:sz w:val="22"/>
              <w:szCs w:val="22"/>
            </w:rPr>
          </w:pPr>
          <w:hyperlink w:anchor="_Toc478483754" w:history="1">
            <w:r w:rsidRPr="00F76A8B">
              <w:rPr>
                <w:rStyle w:val="Hyperlink"/>
                <w:noProof/>
                <w:lang w:val="es-ES"/>
              </w:rPr>
              <w:t>Novedades acaecidas en 2016</w:t>
            </w:r>
            <w:r>
              <w:rPr>
                <w:noProof/>
                <w:webHidden/>
              </w:rPr>
              <w:tab/>
            </w:r>
            <w:r>
              <w:rPr>
                <w:noProof/>
                <w:webHidden/>
              </w:rPr>
              <w:fldChar w:fldCharType="begin"/>
            </w:r>
            <w:r>
              <w:rPr>
                <w:noProof/>
                <w:webHidden/>
              </w:rPr>
              <w:instrText xml:space="preserve"> PAGEREF _Toc478483754 \h </w:instrText>
            </w:r>
            <w:r>
              <w:rPr>
                <w:noProof/>
                <w:webHidden/>
              </w:rPr>
            </w:r>
            <w:r>
              <w:rPr>
                <w:noProof/>
                <w:webHidden/>
              </w:rPr>
              <w:fldChar w:fldCharType="separate"/>
            </w:r>
            <w:r>
              <w:rPr>
                <w:noProof/>
                <w:webHidden/>
              </w:rPr>
              <w:t>1</w:t>
            </w:r>
            <w:r>
              <w:rPr>
                <w:noProof/>
                <w:webHidden/>
              </w:rPr>
              <w:fldChar w:fldCharType="end"/>
            </w:r>
          </w:hyperlink>
        </w:p>
        <w:p w:rsidR="0030098E" w:rsidRDefault="0030098E">
          <w:pPr>
            <w:pStyle w:val="TOC2"/>
            <w:rPr>
              <w:rFonts w:asciiTheme="minorHAnsi" w:eastAsiaTheme="minorEastAsia" w:hAnsiTheme="minorHAnsi" w:cstheme="minorBidi"/>
              <w:smallCaps w:val="0"/>
              <w:noProof/>
              <w:sz w:val="22"/>
              <w:szCs w:val="22"/>
            </w:rPr>
          </w:pPr>
          <w:hyperlink w:anchor="_Toc478483755" w:history="1">
            <w:r w:rsidRPr="00F76A8B">
              <w:rPr>
                <w:rStyle w:val="Hyperlink"/>
                <w:noProof/>
                <w:lang w:val="es-ES"/>
              </w:rPr>
              <w:t>Comité Técnico (TC)</w:t>
            </w:r>
            <w:r>
              <w:rPr>
                <w:noProof/>
                <w:webHidden/>
              </w:rPr>
              <w:tab/>
            </w:r>
            <w:r>
              <w:rPr>
                <w:noProof/>
                <w:webHidden/>
              </w:rPr>
              <w:fldChar w:fldCharType="begin"/>
            </w:r>
            <w:r>
              <w:rPr>
                <w:noProof/>
                <w:webHidden/>
              </w:rPr>
              <w:instrText xml:space="preserve"> PAGEREF _Toc478483755 \h </w:instrText>
            </w:r>
            <w:r>
              <w:rPr>
                <w:noProof/>
                <w:webHidden/>
              </w:rPr>
            </w:r>
            <w:r>
              <w:rPr>
                <w:noProof/>
                <w:webHidden/>
              </w:rPr>
              <w:fldChar w:fldCharType="separate"/>
            </w:r>
            <w:r>
              <w:rPr>
                <w:noProof/>
                <w:webHidden/>
              </w:rPr>
              <w:t>1</w:t>
            </w:r>
            <w:r>
              <w:rPr>
                <w:noProof/>
                <w:webHidden/>
              </w:rPr>
              <w:fldChar w:fldCharType="end"/>
            </w:r>
          </w:hyperlink>
        </w:p>
        <w:p w:rsidR="0030098E" w:rsidRDefault="0030098E">
          <w:pPr>
            <w:pStyle w:val="TOC2"/>
            <w:rPr>
              <w:rFonts w:asciiTheme="minorHAnsi" w:eastAsiaTheme="minorEastAsia" w:hAnsiTheme="minorHAnsi" w:cstheme="minorBidi"/>
              <w:smallCaps w:val="0"/>
              <w:noProof/>
              <w:sz w:val="22"/>
              <w:szCs w:val="22"/>
            </w:rPr>
          </w:pPr>
          <w:hyperlink w:anchor="_Toc478483756" w:history="1">
            <w:r w:rsidRPr="00F76A8B">
              <w:rPr>
                <w:rStyle w:val="Hyperlink"/>
                <w:noProof/>
                <w:lang w:val="es-ES"/>
              </w:rPr>
              <w:t>Reuniones sobre la elaboración de un prototipo de formulario electrónico</w:t>
            </w:r>
            <w:r>
              <w:rPr>
                <w:noProof/>
                <w:webHidden/>
              </w:rPr>
              <w:tab/>
            </w:r>
            <w:r>
              <w:rPr>
                <w:noProof/>
                <w:webHidden/>
              </w:rPr>
              <w:fldChar w:fldCharType="begin"/>
            </w:r>
            <w:r>
              <w:rPr>
                <w:noProof/>
                <w:webHidden/>
              </w:rPr>
              <w:instrText xml:space="preserve"> PAGEREF _Toc478483756 \h </w:instrText>
            </w:r>
            <w:r>
              <w:rPr>
                <w:noProof/>
                <w:webHidden/>
              </w:rPr>
            </w:r>
            <w:r>
              <w:rPr>
                <w:noProof/>
                <w:webHidden/>
              </w:rPr>
              <w:fldChar w:fldCharType="separate"/>
            </w:r>
            <w:r>
              <w:rPr>
                <w:noProof/>
                <w:webHidden/>
              </w:rPr>
              <w:t>2</w:t>
            </w:r>
            <w:r>
              <w:rPr>
                <w:noProof/>
                <w:webHidden/>
              </w:rPr>
              <w:fldChar w:fldCharType="end"/>
            </w:r>
          </w:hyperlink>
        </w:p>
        <w:p w:rsidR="0030098E" w:rsidRDefault="0030098E">
          <w:pPr>
            <w:pStyle w:val="TOC2"/>
            <w:rPr>
              <w:rFonts w:asciiTheme="minorHAnsi" w:eastAsiaTheme="minorEastAsia" w:hAnsiTheme="minorHAnsi" w:cstheme="minorBidi"/>
              <w:smallCaps w:val="0"/>
              <w:noProof/>
              <w:sz w:val="22"/>
              <w:szCs w:val="22"/>
            </w:rPr>
          </w:pPr>
          <w:hyperlink w:anchor="_Toc478483757" w:history="1">
            <w:r w:rsidRPr="00F76A8B">
              <w:rPr>
                <w:rStyle w:val="Hyperlink"/>
                <w:noProof/>
                <w:lang w:val="es-ES"/>
              </w:rPr>
              <w:t>Novedades acaecidas en el Comité Administrativo y Jurídico (CAJ) en octubre de 2016</w:t>
            </w:r>
            <w:r>
              <w:rPr>
                <w:noProof/>
                <w:webHidden/>
              </w:rPr>
              <w:tab/>
            </w:r>
            <w:r>
              <w:rPr>
                <w:noProof/>
                <w:webHidden/>
              </w:rPr>
              <w:fldChar w:fldCharType="begin"/>
            </w:r>
            <w:r>
              <w:rPr>
                <w:noProof/>
                <w:webHidden/>
              </w:rPr>
              <w:instrText xml:space="preserve"> PAGEREF _Toc478483757 \h </w:instrText>
            </w:r>
            <w:r>
              <w:rPr>
                <w:noProof/>
                <w:webHidden/>
              </w:rPr>
            </w:r>
            <w:r>
              <w:rPr>
                <w:noProof/>
                <w:webHidden/>
              </w:rPr>
              <w:fldChar w:fldCharType="separate"/>
            </w:r>
            <w:r>
              <w:rPr>
                <w:noProof/>
                <w:webHidden/>
              </w:rPr>
              <w:t>4</w:t>
            </w:r>
            <w:r>
              <w:rPr>
                <w:noProof/>
                <w:webHidden/>
              </w:rPr>
              <w:fldChar w:fldCharType="end"/>
            </w:r>
          </w:hyperlink>
        </w:p>
        <w:p w:rsidR="0030098E" w:rsidRDefault="0030098E">
          <w:pPr>
            <w:pStyle w:val="TOC2"/>
            <w:rPr>
              <w:rFonts w:asciiTheme="minorHAnsi" w:eastAsiaTheme="minorEastAsia" w:hAnsiTheme="minorHAnsi" w:cstheme="minorBidi"/>
              <w:smallCaps w:val="0"/>
              <w:noProof/>
              <w:sz w:val="22"/>
              <w:szCs w:val="22"/>
            </w:rPr>
          </w:pPr>
          <w:hyperlink w:anchor="_Toc478483758" w:history="1">
            <w:r w:rsidRPr="00F76A8B">
              <w:rPr>
                <w:rStyle w:val="Hyperlink"/>
                <w:noProof/>
                <w:lang w:val="es-ES"/>
              </w:rPr>
              <w:t>Novedades acaecidas en el Comité Consultivo y el Consejo en octubre de 2016</w:t>
            </w:r>
            <w:r>
              <w:rPr>
                <w:noProof/>
                <w:webHidden/>
              </w:rPr>
              <w:tab/>
            </w:r>
            <w:r>
              <w:rPr>
                <w:noProof/>
                <w:webHidden/>
              </w:rPr>
              <w:fldChar w:fldCharType="begin"/>
            </w:r>
            <w:r>
              <w:rPr>
                <w:noProof/>
                <w:webHidden/>
              </w:rPr>
              <w:instrText xml:space="preserve"> PAGEREF _Toc478483758 \h </w:instrText>
            </w:r>
            <w:r>
              <w:rPr>
                <w:noProof/>
                <w:webHidden/>
              </w:rPr>
            </w:r>
            <w:r>
              <w:rPr>
                <w:noProof/>
                <w:webHidden/>
              </w:rPr>
              <w:fldChar w:fldCharType="separate"/>
            </w:r>
            <w:r>
              <w:rPr>
                <w:noProof/>
                <w:webHidden/>
              </w:rPr>
              <w:t>4</w:t>
            </w:r>
            <w:r>
              <w:rPr>
                <w:noProof/>
                <w:webHidden/>
              </w:rPr>
              <w:fldChar w:fldCharType="end"/>
            </w:r>
          </w:hyperlink>
        </w:p>
        <w:p w:rsidR="0030098E" w:rsidRDefault="0030098E">
          <w:pPr>
            <w:pStyle w:val="TOC2"/>
            <w:rPr>
              <w:rFonts w:asciiTheme="minorHAnsi" w:eastAsiaTheme="minorEastAsia" w:hAnsiTheme="minorHAnsi" w:cstheme="minorBidi"/>
              <w:smallCaps w:val="0"/>
              <w:noProof/>
              <w:sz w:val="22"/>
              <w:szCs w:val="22"/>
            </w:rPr>
          </w:pPr>
          <w:hyperlink w:anchor="_Toc478483759" w:history="1">
            <w:r w:rsidRPr="00F76A8B">
              <w:rPr>
                <w:rStyle w:val="Hyperlink"/>
                <w:noProof/>
                <w:lang w:val="es-ES"/>
              </w:rPr>
              <w:t>Últimas novedades relativas al EAF</w:t>
            </w:r>
            <w:r>
              <w:rPr>
                <w:noProof/>
                <w:webHidden/>
              </w:rPr>
              <w:tab/>
            </w:r>
            <w:r>
              <w:rPr>
                <w:noProof/>
                <w:webHidden/>
              </w:rPr>
              <w:fldChar w:fldCharType="begin"/>
            </w:r>
            <w:r>
              <w:rPr>
                <w:noProof/>
                <w:webHidden/>
              </w:rPr>
              <w:instrText xml:space="preserve"> PAGEREF _Toc478483759 \h </w:instrText>
            </w:r>
            <w:r>
              <w:rPr>
                <w:noProof/>
                <w:webHidden/>
              </w:rPr>
            </w:r>
            <w:r>
              <w:rPr>
                <w:noProof/>
                <w:webHidden/>
              </w:rPr>
              <w:fldChar w:fldCharType="separate"/>
            </w:r>
            <w:r>
              <w:rPr>
                <w:noProof/>
                <w:webHidden/>
              </w:rPr>
              <w:t>5</w:t>
            </w:r>
            <w:r>
              <w:rPr>
                <w:noProof/>
                <w:webHidden/>
              </w:rPr>
              <w:fldChar w:fldCharType="end"/>
            </w:r>
          </w:hyperlink>
        </w:p>
        <w:p w:rsidR="0030098E" w:rsidRDefault="0030098E">
          <w:pPr>
            <w:pStyle w:val="TOC3"/>
            <w:rPr>
              <w:rFonts w:asciiTheme="minorHAnsi" w:eastAsiaTheme="minorEastAsia" w:hAnsiTheme="minorHAnsi" w:cstheme="minorBidi"/>
              <w:noProof/>
              <w:sz w:val="22"/>
              <w:szCs w:val="22"/>
              <w:lang w:val="en-US"/>
            </w:rPr>
          </w:pPr>
          <w:hyperlink w:anchor="_Toc478483760" w:history="1">
            <w:r w:rsidRPr="00F76A8B">
              <w:rPr>
                <w:rStyle w:val="Hyperlink"/>
                <w:noProof/>
                <w:lang w:val="es-ES"/>
              </w:rPr>
              <w:t>Puesta en funcionamiento de la versión 1.0 del EAF</w:t>
            </w:r>
            <w:r>
              <w:rPr>
                <w:noProof/>
                <w:webHidden/>
              </w:rPr>
              <w:tab/>
            </w:r>
            <w:r>
              <w:rPr>
                <w:noProof/>
                <w:webHidden/>
              </w:rPr>
              <w:fldChar w:fldCharType="begin"/>
            </w:r>
            <w:r>
              <w:rPr>
                <w:noProof/>
                <w:webHidden/>
              </w:rPr>
              <w:instrText xml:space="preserve"> PAGEREF _Toc478483760 \h </w:instrText>
            </w:r>
            <w:r>
              <w:rPr>
                <w:noProof/>
                <w:webHidden/>
              </w:rPr>
            </w:r>
            <w:r>
              <w:rPr>
                <w:noProof/>
                <w:webHidden/>
              </w:rPr>
              <w:fldChar w:fldCharType="separate"/>
            </w:r>
            <w:r>
              <w:rPr>
                <w:noProof/>
                <w:webHidden/>
              </w:rPr>
              <w:t>5</w:t>
            </w:r>
            <w:r>
              <w:rPr>
                <w:noProof/>
                <w:webHidden/>
              </w:rPr>
              <w:fldChar w:fldCharType="end"/>
            </w:r>
          </w:hyperlink>
        </w:p>
        <w:p w:rsidR="0030098E" w:rsidRDefault="0030098E">
          <w:pPr>
            <w:pStyle w:val="TOC3"/>
            <w:rPr>
              <w:rFonts w:asciiTheme="minorHAnsi" w:eastAsiaTheme="minorEastAsia" w:hAnsiTheme="minorHAnsi" w:cstheme="minorBidi"/>
              <w:noProof/>
              <w:sz w:val="22"/>
              <w:szCs w:val="22"/>
              <w:lang w:val="en-US"/>
            </w:rPr>
          </w:pPr>
          <w:hyperlink w:anchor="_Toc478483761" w:history="1">
            <w:r w:rsidRPr="00F76A8B">
              <w:rPr>
                <w:rStyle w:val="Hyperlink"/>
                <w:noProof/>
                <w:lang w:val="es-ES"/>
              </w:rPr>
              <w:t>Propuestas de futuras modificaciones</w:t>
            </w:r>
            <w:r>
              <w:rPr>
                <w:noProof/>
                <w:webHidden/>
              </w:rPr>
              <w:tab/>
            </w:r>
            <w:r>
              <w:rPr>
                <w:noProof/>
                <w:webHidden/>
              </w:rPr>
              <w:fldChar w:fldCharType="begin"/>
            </w:r>
            <w:r>
              <w:rPr>
                <w:noProof/>
                <w:webHidden/>
              </w:rPr>
              <w:instrText xml:space="preserve"> PAGEREF _Toc478483761 \h </w:instrText>
            </w:r>
            <w:r>
              <w:rPr>
                <w:noProof/>
                <w:webHidden/>
              </w:rPr>
            </w:r>
            <w:r>
              <w:rPr>
                <w:noProof/>
                <w:webHidden/>
              </w:rPr>
              <w:fldChar w:fldCharType="separate"/>
            </w:r>
            <w:r>
              <w:rPr>
                <w:noProof/>
                <w:webHidden/>
              </w:rPr>
              <w:t>7</w:t>
            </w:r>
            <w:r>
              <w:rPr>
                <w:noProof/>
                <w:webHidden/>
              </w:rPr>
              <w:fldChar w:fldCharType="end"/>
            </w:r>
          </w:hyperlink>
        </w:p>
        <w:p w:rsidR="00E71B18" w:rsidRPr="00E3750C" w:rsidRDefault="005D0DC8" w:rsidP="00E3750C">
          <w:pPr>
            <w:pStyle w:val="TOC1"/>
            <w:rPr>
              <w:rFonts w:asciiTheme="minorHAnsi" w:eastAsiaTheme="minorEastAsia" w:hAnsiTheme="minorHAnsi" w:cstheme="minorBidi"/>
              <w:noProof/>
              <w:sz w:val="22"/>
              <w:szCs w:val="22"/>
              <w:lang w:val="es-ES"/>
            </w:rPr>
          </w:pPr>
          <w:r w:rsidRPr="00E3750C">
            <w:rPr>
              <w:b/>
              <w:bCs/>
              <w:noProof/>
              <w:lang w:val="es-ES"/>
            </w:rPr>
            <w:fldChar w:fldCharType="end"/>
          </w:r>
        </w:p>
      </w:sdtContent>
    </w:sdt>
    <w:p w:rsidR="00E71B18" w:rsidRPr="00E3750C" w:rsidRDefault="00E71B18" w:rsidP="00E71B18">
      <w:pPr>
        <w:rPr>
          <w:snapToGrid w:val="0"/>
          <w:lang w:val="es-ES"/>
        </w:rPr>
      </w:pPr>
    </w:p>
    <w:p w:rsidR="00E71B18" w:rsidRPr="00E3750C" w:rsidRDefault="00E71B18" w:rsidP="00E71B18">
      <w:pPr>
        <w:pStyle w:val="Heading1"/>
        <w:rPr>
          <w:snapToGrid w:val="0"/>
          <w:lang w:val="es-ES"/>
        </w:rPr>
      </w:pPr>
      <w:bookmarkStart w:id="8" w:name="_Toc477880918"/>
      <w:bookmarkStart w:id="9" w:name="_Toc478483753"/>
      <w:r w:rsidRPr="00E3750C">
        <w:rPr>
          <w:lang w:val="es-ES"/>
        </w:rPr>
        <w:t>Antecedentes</w:t>
      </w:r>
      <w:bookmarkEnd w:id="8"/>
      <w:bookmarkEnd w:id="9"/>
    </w:p>
    <w:p w:rsidR="00E71B18" w:rsidRPr="00E3750C" w:rsidRDefault="00E71B18" w:rsidP="00E71B18">
      <w:pPr>
        <w:rPr>
          <w:snapToGrid w:val="0"/>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La finalidad del proyecto de formulario electrónico de solicitud (EAF) es elaborar un formulario electrónico plurilingüe que contenga preguntas pertinentes a las solicitudes de derechos de obtentor (véase el párrafo 2 del documento CAJ/66/5 “Sistemas de presentación electrónica de solicitudes”).</w:t>
      </w:r>
    </w:p>
    <w:p w:rsidR="00E71B18" w:rsidRPr="00E3750C" w:rsidRDefault="00E71B18" w:rsidP="00E71B18">
      <w:pPr>
        <w:rPr>
          <w:snapToGrid w:val="0"/>
          <w:lang w:val="es-ES"/>
        </w:rPr>
      </w:pPr>
    </w:p>
    <w:p w:rsidR="00E71B18" w:rsidRPr="00E3750C" w:rsidRDefault="005D0DC8" w:rsidP="00E71B18">
      <w:pPr>
        <w:rPr>
          <w:snapToGrid w:val="0"/>
          <w:lang w:val="es-ES"/>
        </w:rPr>
      </w:pPr>
      <w:r w:rsidRPr="00E3750C">
        <w:rPr>
          <w:snapToGrid w:val="0"/>
          <w:lang w:val="es-ES"/>
        </w:rPr>
        <w:fldChar w:fldCharType="begin"/>
      </w:r>
      <w:r w:rsidR="00E71B18" w:rsidRPr="00E3750C">
        <w:rPr>
          <w:snapToGrid w:val="0"/>
          <w:lang w:val="es-ES"/>
        </w:rPr>
        <w:instrText xml:space="preserve"> AUTONUM  </w:instrText>
      </w:r>
      <w:r w:rsidRPr="00E3750C">
        <w:rPr>
          <w:snapToGrid w:val="0"/>
          <w:lang w:val="es-ES"/>
        </w:rPr>
        <w:fldChar w:fldCharType="end"/>
      </w:r>
      <w:r w:rsidR="0068039E" w:rsidRPr="00E3750C">
        <w:rPr>
          <w:lang w:val="es-ES"/>
        </w:rPr>
        <w:tab/>
        <w:t>Los antecedentes de la elaboración del EAF y las novedades acaecidas antes de la quincuagésima segunda sesión del Comité Técnico (TC) se facilitan en el documento TC/52/7 “Formulario electrónico de solicitud”.</w:t>
      </w:r>
    </w:p>
    <w:p w:rsidR="00E71B18" w:rsidRPr="00E3750C" w:rsidRDefault="00E71B18" w:rsidP="00E71B18">
      <w:pPr>
        <w:rPr>
          <w:snapToGrid w:val="0"/>
          <w:lang w:val="es-ES"/>
        </w:rPr>
      </w:pPr>
    </w:p>
    <w:p w:rsidR="00E71B18" w:rsidRPr="00E3750C" w:rsidRDefault="00E71B18" w:rsidP="00E71B18">
      <w:pPr>
        <w:rPr>
          <w:snapToGrid w:val="0"/>
          <w:lang w:val="es-ES"/>
        </w:rPr>
      </w:pPr>
    </w:p>
    <w:p w:rsidR="00E71B18" w:rsidRPr="00E3750C" w:rsidRDefault="00E71B18" w:rsidP="00E71B18">
      <w:pPr>
        <w:pStyle w:val="Heading1"/>
        <w:rPr>
          <w:lang w:val="es-ES"/>
        </w:rPr>
      </w:pPr>
      <w:bookmarkStart w:id="10" w:name="_Toc477880919"/>
      <w:bookmarkStart w:id="11" w:name="_Toc478483754"/>
      <w:r w:rsidRPr="00E3750C">
        <w:rPr>
          <w:lang w:val="es-ES"/>
        </w:rPr>
        <w:t>Novedades acaecidas en 2016</w:t>
      </w:r>
      <w:bookmarkEnd w:id="10"/>
      <w:bookmarkEnd w:id="11"/>
    </w:p>
    <w:p w:rsidR="00E71B18" w:rsidRPr="00E3750C" w:rsidRDefault="00E71B18" w:rsidP="00E71B18">
      <w:pPr>
        <w:rPr>
          <w:lang w:val="es-ES"/>
        </w:rPr>
      </w:pPr>
    </w:p>
    <w:p w:rsidR="00E71B18" w:rsidRPr="00E3750C" w:rsidRDefault="00E71B18" w:rsidP="00E71B18">
      <w:pPr>
        <w:pStyle w:val="Heading2"/>
        <w:rPr>
          <w:rFonts w:cs="Arial"/>
          <w:sz w:val="19"/>
          <w:szCs w:val="19"/>
          <w:lang w:val="es-ES"/>
        </w:rPr>
      </w:pPr>
      <w:bookmarkStart w:id="12" w:name="_Toc477880920"/>
      <w:bookmarkStart w:id="13" w:name="_Toc478483755"/>
      <w:r w:rsidRPr="00E3750C">
        <w:rPr>
          <w:sz w:val="19"/>
          <w:lang w:val="es-ES"/>
        </w:rPr>
        <w:t>Comité Técnico (TC)</w:t>
      </w:r>
      <w:bookmarkEnd w:id="12"/>
      <w:bookmarkEnd w:id="13"/>
    </w:p>
    <w:p w:rsidR="00E71B18" w:rsidRPr="00E3750C" w:rsidRDefault="00E71B18" w:rsidP="00E71B18">
      <w:pPr>
        <w:rPr>
          <w:lang w:val="es-ES"/>
        </w:rPr>
      </w:pPr>
    </w:p>
    <w:p w:rsidR="00E71B18" w:rsidRPr="00E3750C" w:rsidRDefault="005D0DC8" w:rsidP="00E71B18">
      <w:pPr>
        <w:rPr>
          <w:rFonts w:cs="Arial"/>
          <w:lang w:val="es-ES"/>
        </w:rPr>
      </w:pPr>
      <w:r w:rsidRPr="00E3750C">
        <w:rPr>
          <w:rFonts w:cs="Arial"/>
          <w:lang w:val="es-ES"/>
        </w:rPr>
        <w:fldChar w:fldCharType="begin"/>
      </w:r>
      <w:r w:rsidR="00E71B18" w:rsidRPr="00E3750C">
        <w:rPr>
          <w:rFonts w:cs="Arial"/>
          <w:lang w:val="es-ES"/>
        </w:rPr>
        <w:instrText xml:space="preserve"> AUTONUM  </w:instrText>
      </w:r>
      <w:r w:rsidRPr="00E3750C">
        <w:rPr>
          <w:rFonts w:cs="Arial"/>
          <w:lang w:val="es-ES"/>
        </w:rPr>
        <w:fldChar w:fldCharType="end"/>
      </w:r>
      <w:r w:rsidR="0068039E" w:rsidRPr="00E3750C">
        <w:rPr>
          <w:lang w:val="es-ES"/>
        </w:rPr>
        <w:tab/>
        <w:t>En su quincuagésima segunda sesión, celebrada en Ginebra del 14 al 16 de marzo de 2016, el TC examinó el documento TC/52/7 “Formulario electrónico de solicitud” y una presentación de la Oficina de la Unión (véanse los párrafos 170 a 172 del documento TC/52/29 Rev. “Informe revisado”).</w:t>
      </w:r>
    </w:p>
    <w:p w:rsidR="00E71B18" w:rsidRPr="00E3750C" w:rsidRDefault="00E71B18" w:rsidP="00E71B18">
      <w:pPr>
        <w:rPr>
          <w:rFonts w:cs="Arial"/>
          <w:lang w:val="es-ES"/>
        </w:rPr>
      </w:pPr>
    </w:p>
    <w:p w:rsidR="00E71B18" w:rsidRPr="00E3750C" w:rsidRDefault="005D0DC8" w:rsidP="00E71B18">
      <w:pPr>
        <w:keepNext/>
        <w:rPr>
          <w:lang w:val="es-ES"/>
        </w:rPr>
      </w:pPr>
      <w:r w:rsidRPr="00E3750C">
        <w:rPr>
          <w:snapToGrid w:val="0"/>
          <w:lang w:val="es-ES"/>
        </w:rPr>
        <w:lastRenderedPageBreak/>
        <w:fldChar w:fldCharType="begin"/>
      </w:r>
      <w:r w:rsidR="00E71B18" w:rsidRPr="00E3750C">
        <w:rPr>
          <w:snapToGrid w:val="0"/>
          <w:lang w:val="es-ES"/>
        </w:rPr>
        <w:instrText xml:space="preserve"> AUTONUM  </w:instrText>
      </w:r>
      <w:r w:rsidRPr="00E3750C">
        <w:rPr>
          <w:snapToGrid w:val="0"/>
          <w:lang w:val="es-ES"/>
        </w:rPr>
        <w:fldChar w:fldCharType="end"/>
      </w:r>
      <w:r w:rsidR="0068039E" w:rsidRPr="00E3750C">
        <w:rPr>
          <w:lang w:val="es-ES"/>
        </w:rPr>
        <w:tab/>
        <w:t>El TC tomó nota de las novedades relativas a la elaboración de un prototipo de formulario electrónico y de los planes para disponer de un prototipo completo (PV2) en funcionamiento antes de agosto de 2016, para una campaña de pruebas final en septiembre de 2016, antes de la presentación en las sesiones del</w:t>
      </w:r>
      <w:r w:rsidR="00576553" w:rsidRPr="00E3750C">
        <w:rPr>
          <w:lang w:val="es-ES"/>
        </w:rPr>
        <w:t> </w:t>
      </w:r>
      <w:r w:rsidR="0068039E" w:rsidRPr="00E3750C">
        <w:rPr>
          <w:lang w:val="es-ES"/>
        </w:rPr>
        <w:t>CAJ, el Comité Consultivo y el Consejo en octubre de 2016.  El TC tomó nota de que se añadirían los siguientes cultivos con el siguiente orden de prioridad conforme al interés de los obtentores y las oficinas de protección de las obtenciones vegetales participantes y a la capacidad de estas para proporcionar la información pertinente de los cuestionarios técnicos:</w:t>
      </w:r>
    </w:p>
    <w:p w:rsidR="00E71B18" w:rsidRPr="00E3750C" w:rsidRDefault="00E71B18" w:rsidP="00E71B18">
      <w:pPr>
        <w:pStyle w:val="Default"/>
        <w:jc w:val="both"/>
        <w:rPr>
          <w:rFonts w:cs="Times New Roman"/>
          <w:color w:val="auto"/>
          <w:sz w:val="20"/>
          <w:szCs w:val="20"/>
          <w:lang w:val="es-ES"/>
        </w:rPr>
      </w:pPr>
    </w:p>
    <w:p w:rsidR="00E71B18" w:rsidRPr="00E3750C" w:rsidRDefault="00576553" w:rsidP="00E71B18">
      <w:pPr>
        <w:pStyle w:val="Default"/>
        <w:numPr>
          <w:ilvl w:val="0"/>
          <w:numId w:val="1"/>
        </w:numPr>
        <w:ind w:left="993"/>
        <w:jc w:val="both"/>
        <w:rPr>
          <w:rFonts w:cs="Times New Roman"/>
          <w:color w:val="auto"/>
          <w:sz w:val="20"/>
          <w:szCs w:val="20"/>
          <w:lang w:val="es-ES"/>
        </w:rPr>
      </w:pPr>
      <w:r w:rsidRPr="00E3750C">
        <w:rPr>
          <w:color w:val="auto"/>
          <w:sz w:val="20"/>
          <w:lang w:val="es-ES"/>
        </w:rPr>
        <w:t>r</w:t>
      </w:r>
      <w:r w:rsidR="00E71B18" w:rsidRPr="00E3750C">
        <w:rPr>
          <w:color w:val="auto"/>
          <w:sz w:val="20"/>
          <w:lang w:val="es-ES"/>
        </w:rPr>
        <w:t>osal</w:t>
      </w:r>
    </w:p>
    <w:p w:rsidR="00E71B18" w:rsidRPr="00E3750C" w:rsidRDefault="00576553" w:rsidP="00E71B18">
      <w:pPr>
        <w:pStyle w:val="Default"/>
        <w:numPr>
          <w:ilvl w:val="0"/>
          <w:numId w:val="1"/>
        </w:numPr>
        <w:ind w:left="993"/>
        <w:jc w:val="both"/>
        <w:rPr>
          <w:rFonts w:cs="Times New Roman"/>
          <w:color w:val="auto"/>
          <w:sz w:val="20"/>
          <w:szCs w:val="20"/>
          <w:lang w:val="es-ES"/>
        </w:rPr>
      </w:pPr>
      <w:r w:rsidRPr="00E3750C">
        <w:rPr>
          <w:color w:val="auto"/>
          <w:sz w:val="20"/>
          <w:lang w:val="es-ES"/>
        </w:rPr>
        <w:t>s</w:t>
      </w:r>
      <w:r w:rsidR="00E71B18" w:rsidRPr="00E3750C">
        <w:rPr>
          <w:color w:val="auto"/>
          <w:sz w:val="20"/>
          <w:lang w:val="es-ES"/>
        </w:rPr>
        <w:t>oja</w:t>
      </w:r>
    </w:p>
    <w:p w:rsidR="00E71B18" w:rsidRPr="00E3750C" w:rsidRDefault="00576553" w:rsidP="00E71B18">
      <w:pPr>
        <w:pStyle w:val="Default"/>
        <w:numPr>
          <w:ilvl w:val="0"/>
          <w:numId w:val="1"/>
        </w:numPr>
        <w:ind w:left="993"/>
        <w:jc w:val="both"/>
        <w:rPr>
          <w:rFonts w:cs="Times New Roman"/>
          <w:color w:val="auto"/>
          <w:sz w:val="20"/>
          <w:szCs w:val="20"/>
          <w:lang w:val="es-ES"/>
        </w:rPr>
      </w:pPr>
      <w:r w:rsidRPr="00E3750C">
        <w:rPr>
          <w:color w:val="auto"/>
          <w:sz w:val="20"/>
          <w:lang w:val="es-ES"/>
        </w:rPr>
        <w:t>l</w:t>
      </w:r>
      <w:r w:rsidR="00E71B18" w:rsidRPr="00E3750C">
        <w:rPr>
          <w:color w:val="auto"/>
          <w:sz w:val="20"/>
          <w:lang w:val="es-ES"/>
        </w:rPr>
        <w:t>echuga</w:t>
      </w:r>
    </w:p>
    <w:p w:rsidR="00E71B18" w:rsidRPr="00E3750C" w:rsidRDefault="00E71B18" w:rsidP="00E71B18">
      <w:pPr>
        <w:pStyle w:val="Default"/>
        <w:numPr>
          <w:ilvl w:val="0"/>
          <w:numId w:val="1"/>
        </w:numPr>
        <w:ind w:left="993"/>
        <w:jc w:val="both"/>
        <w:rPr>
          <w:rFonts w:cs="Times New Roman"/>
          <w:color w:val="auto"/>
          <w:sz w:val="20"/>
          <w:szCs w:val="20"/>
          <w:lang w:val="es-ES"/>
        </w:rPr>
      </w:pPr>
      <w:r w:rsidRPr="00E3750C">
        <w:rPr>
          <w:color w:val="auto"/>
          <w:sz w:val="20"/>
          <w:lang w:val="es-ES"/>
        </w:rPr>
        <w:t>manzano:  variedades frutales</w:t>
      </w:r>
    </w:p>
    <w:p w:rsidR="00E71B18" w:rsidRPr="00E3750C" w:rsidRDefault="00576553" w:rsidP="00E71B18">
      <w:pPr>
        <w:pStyle w:val="Default"/>
        <w:numPr>
          <w:ilvl w:val="0"/>
          <w:numId w:val="1"/>
        </w:numPr>
        <w:ind w:left="993"/>
        <w:jc w:val="both"/>
        <w:rPr>
          <w:rFonts w:cs="Times New Roman"/>
          <w:color w:val="auto"/>
          <w:sz w:val="20"/>
          <w:szCs w:val="20"/>
          <w:lang w:val="es-ES"/>
        </w:rPr>
      </w:pPr>
      <w:r w:rsidRPr="00E3750C">
        <w:rPr>
          <w:color w:val="auto"/>
          <w:sz w:val="20"/>
          <w:lang w:val="es-ES"/>
        </w:rPr>
        <w:t>p</w:t>
      </w:r>
      <w:r w:rsidR="00E71B18" w:rsidRPr="00E3750C">
        <w:rPr>
          <w:color w:val="auto"/>
          <w:sz w:val="20"/>
          <w:lang w:val="es-ES"/>
        </w:rPr>
        <w:t>apa o patata</w:t>
      </w:r>
    </w:p>
    <w:p w:rsidR="00E71B18" w:rsidRPr="00E3750C" w:rsidRDefault="00E71B18" w:rsidP="00E71B18">
      <w:pPr>
        <w:rPr>
          <w:lang w:val="es-ES"/>
        </w:rPr>
      </w:pPr>
    </w:p>
    <w:p w:rsidR="00E71B18" w:rsidRPr="00E3750C" w:rsidRDefault="005D0DC8" w:rsidP="00E71B18">
      <w:pPr>
        <w:rPr>
          <w:rFonts w:cs="Arial"/>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La Delegación del Japón solicitó una aclaración acerca de los requisitos en materia de idiomas del formula</w:t>
      </w:r>
      <w:r w:rsidR="00232E17" w:rsidRPr="00E3750C">
        <w:rPr>
          <w:lang w:val="es-ES"/>
        </w:rPr>
        <w:t xml:space="preserve">rio electrónico de solicitud.  </w:t>
      </w:r>
      <w:r w:rsidR="0068039E" w:rsidRPr="00E3750C">
        <w:rPr>
          <w:lang w:val="es-ES"/>
        </w:rPr>
        <w:t xml:space="preserve">La Oficina de la Unión aclaró que el formulario electrónico de solicitud permitirá a los usuarios ver todas las preguntas en cualquiera de las lenguas de los miembros de la UPOV participantes.  No obstante, los usuarios deberán proporcionar la información solicitada en un idioma aceptado por la autoridad competente. </w:t>
      </w:r>
      <w:r w:rsidR="00576553" w:rsidRPr="00E3750C">
        <w:rPr>
          <w:lang w:val="es-ES"/>
        </w:rPr>
        <w:t xml:space="preserve"> </w:t>
      </w:r>
      <w:r w:rsidR="0068039E" w:rsidRPr="00E3750C">
        <w:rPr>
          <w:lang w:val="es-ES"/>
        </w:rPr>
        <w:t>El idioma o idiomas aceptables se indicarán en el formulario.</w:t>
      </w:r>
    </w:p>
    <w:p w:rsidR="00E71B18" w:rsidRPr="00E3750C" w:rsidRDefault="00E71B18" w:rsidP="00E71B18">
      <w:pPr>
        <w:rPr>
          <w:rFonts w:cs="Arial"/>
          <w:lang w:val="es-ES"/>
        </w:rPr>
      </w:pPr>
    </w:p>
    <w:p w:rsidR="00E71B18" w:rsidRPr="00E3750C" w:rsidRDefault="00E71B18" w:rsidP="00E71B18">
      <w:pPr>
        <w:pStyle w:val="Heading2"/>
        <w:rPr>
          <w:rFonts w:eastAsia="MS Mincho"/>
          <w:snapToGrid w:val="0"/>
          <w:lang w:val="es-ES"/>
        </w:rPr>
      </w:pPr>
      <w:bookmarkStart w:id="14" w:name="_Toc477880921"/>
      <w:bookmarkStart w:id="15" w:name="_Toc478483756"/>
      <w:r w:rsidRPr="00E3750C">
        <w:rPr>
          <w:lang w:val="es-ES"/>
        </w:rPr>
        <w:t>Reuniones sobre la elaboración de un prototipo de formulario electrónico</w:t>
      </w:r>
      <w:bookmarkEnd w:id="14"/>
      <w:bookmarkEnd w:id="15"/>
    </w:p>
    <w:p w:rsidR="00E71B18" w:rsidRPr="00E3750C" w:rsidRDefault="00E71B18" w:rsidP="00E71B18">
      <w:pPr>
        <w:rPr>
          <w:lang w:val="es-ES"/>
        </w:rPr>
      </w:pPr>
    </w:p>
    <w:p w:rsidR="00E71B18" w:rsidRPr="00E3750C" w:rsidRDefault="005D0DC8" w:rsidP="00E71B18">
      <w:pPr>
        <w:rPr>
          <w:lang w:val="es-ES"/>
        </w:rPr>
      </w:pPr>
      <w:r w:rsidRPr="00E3750C">
        <w:rPr>
          <w:snapToGrid w:val="0"/>
          <w:lang w:val="es-ES"/>
        </w:rPr>
        <w:fldChar w:fldCharType="begin"/>
      </w:r>
      <w:r w:rsidR="00E71B18" w:rsidRPr="00E3750C">
        <w:rPr>
          <w:snapToGrid w:val="0"/>
          <w:lang w:val="es-ES"/>
        </w:rPr>
        <w:instrText xml:space="preserve"> AUTONUM  </w:instrText>
      </w:r>
      <w:r w:rsidRPr="00E3750C">
        <w:rPr>
          <w:snapToGrid w:val="0"/>
          <w:lang w:val="es-ES"/>
        </w:rPr>
        <w:fldChar w:fldCharType="end"/>
      </w:r>
      <w:r w:rsidR="0068039E" w:rsidRPr="00E3750C">
        <w:rPr>
          <w:lang w:val="es-ES"/>
        </w:rPr>
        <w:tab/>
        <w:t xml:space="preserve">En el documento TC/52/7 “Formulario electrónico de solicitud” se exponen las novedades acaecidas en las reuniones sobre la elaboración de un prototipo de formulario electrónico antes de la quincuagésima segunda sesión del TC. </w:t>
      </w:r>
    </w:p>
    <w:p w:rsidR="00E71B18" w:rsidRPr="00E3750C" w:rsidRDefault="00E71B18" w:rsidP="00E71B18">
      <w:pPr>
        <w:rPr>
          <w:lang w:val="es-ES"/>
        </w:rPr>
      </w:pPr>
    </w:p>
    <w:p w:rsidR="00E71B18" w:rsidRPr="00E3750C" w:rsidRDefault="005D0DC8" w:rsidP="00E71B18">
      <w:pPr>
        <w:rPr>
          <w:lang w:val="es-ES"/>
        </w:rPr>
      </w:pPr>
      <w:r w:rsidRPr="00E3750C">
        <w:rPr>
          <w:rFonts w:cs="Arial"/>
          <w:lang w:val="es-ES"/>
        </w:rPr>
        <w:fldChar w:fldCharType="begin"/>
      </w:r>
      <w:r w:rsidR="00E71B18" w:rsidRPr="00E3750C">
        <w:rPr>
          <w:rFonts w:cs="Arial"/>
          <w:lang w:val="es-ES"/>
        </w:rPr>
        <w:instrText xml:space="preserve"> AUTONUM  </w:instrText>
      </w:r>
      <w:r w:rsidRPr="00E3750C">
        <w:rPr>
          <w:rFonts w:cs="Arial"/>
          <w:lang w:val="es-ES"/>
        </w:rPr>
        <w:fldChar w:fldCharType="end"/>
      </w:r>
      <w:r w:rsidR="0068039E" w:rsidRPr="00E3750C">
        <w:rPr>
          <w:lang w:val="es-ES"/>
        </w:rPr>
        <w:tab/>
        <w:t xml:space="preserve">En la octava reunión sobre la elaboración de un prototipo de formulario electrónico </w:t>
      </w:r>
      <w:r w:rsidR="0068039E" w:rsidRPr="00E3750C">
        <w:rPr>
          <w:color w:val="000000"/>
          <w:lang w:val="es-ES"/>
        </w:rPr>
        <w:t xml:space="preserve">(“reunión EAF/8”), </w:t>
      </w:r>
      <w:r w:rsidR="0068039E" w:rsidRPr="00E3750C">
        <w:rPr>
          <w:lang w:val="es-ES"/>
        </w:rPr>
        <w:t>celebrada en Ginebra el 24 de octubre de 2016, los miembros participantes examinaron el documento</w:t>
      </w:r>
      <w:r w:rsidR="00576553" w:rsidRPr="00E3750C">
        <w:rPr>
          <w:lang w:val="es-ES"/>
        </w:rPr>
        <w:t> </w:t>
      </w:r>
      <w:r w:rsidR="0068039E" w:rsidRPr="00E3750C">
        <w:rPr>
          <w:color w:val="000000"/>
          <w:lang w:val="es-ES"/>
        </w:rPr>
        <w:t>EAF/8/2 “</w:t>
      </w:r>
      <w:proofErr w:type="spellStart"/>
      <w:r w:rsidR="0068039E" w:rsidRPr="00E3750C">
        <w:rPr>
          <w:i/>
          <w:color w:val="000000"/>
          <w:lang w:val="es-ES"/>
        </w:rPr>
        <w:t>Developments</w:t>
      </w:r>
      <w:proofErr w:type="spellEnd"/>
      <w:r w:rsidR="0068039E" w:rsidRPr="00E3750C">
        <w:rPr>
          <w:i/>
          <w:color w:val="000000"/>
          <w:lang w:val="es-ES"/>
        </w:rPr>
        <w:t xml:space="preserve"> </w:t>
      </w:r>
      <w:proofErr w:type="spellStart"/>
      <w:r w:rsidR="0068039E" w:rsidRPr="00E3750C">
        <w:rPr>
          <w:i/>
          <w:color w:val="000000"/>
          <w:lang w:val="es-ES"/>
        </w:rPr>
        <w:t>concerning</w:t>
      </w:r>
      <w:proofErr w:type="spellEnd"/>
      <w:r w:rsidR="0068039E" w:rsidRPr="00E3750C">
        <w:rPr>
          <w:i/>
          <w:color w:val="000000"/>
          <w:lang w:val="es-ES"/>
        </w:rPr>
        <w:t xml:space="preserve"> </w:t>
      </w:r>
      <w:proofErr w:type="spellStart"/>
      <w:r w:rsidR="0068039E" w:rsidRPr="00E3750C">
        <w:rPr>
          <w:i/>
          <w:color w:val="000000"/>
          <w:lang w:val="es-ES"/>
        </w:rPr>
        <w:t>the</w:t>
      </w:r>
      <w:proofErr w:type="spellEnd"/>
      <w:r w:rsidR="0068039E" w:rsidRPr="00E3750C">
        <w:rPr>
          <w:i/>
          <w:color w:val="000000"/>
          <w:lang w:val="es-ES"/>
        </w:rPr>
        <w:t xml:space="preserve"> </w:t>
      </w:r>
      <w:proofErr w:type="spellStart"/>
      <w:r w:rsidR="0068039E" w:rsidRPr="00E3750C">
        <w:rPr>
          <w:i/>
          <w:color w:val="000000"/>
          <w:lang w:val="es-ES"/>
        </w:rPr>
        <w:t>prototype</w:t>
      </w:r>
      <w:proofErr w:type="spellEnd"/>
      <w:r w:rsidR="0068039E" w:rsidRPr="00E3750C">
        <w:rPr>
          <w:i/>
          <w:color w:val="000000"/>
          <w:lang w:val="es-ES"/>
        </w:rPr>
        <w:t xml:space="preserve"> </w:t>
      </w:r>
      <w:proofErr w:type="spellStart"/>
      <w:r w:rsidR="0068039E" w:rsidRPr="00E3750C">
        <w:rPr>
          <w:i/>
          <w:color w:val="000000"/>
          <w:lang w:val="es-ES"/>
        </w:rPr>
        <w:t>electronic</w:t>
      </w:r>
      <w:proofErr w:type="spellEnd"/>
      <w:r w:rsidR="0068039E" w:rsidRPr="00E3750C">
        <w:rPr>
          <w:i/>
          <w:color w:val="000000"/>
          <w:lang w:val="es-ES"/>
        </w:rPr>
        <w:t xml:space="preserve"> </w:t>
      </w:r>
      <w:proofErr w:type="spellStart"/>
      <w:r w:rsidR="0068039E" w:rsidRPr="00E3750C">
        <w:rPr>
          <w:i/>
          <w:color w:val="000000"/>
          <w:lang w:val="es-ES"/>
        </w:rPr>
        <w:t>form</w:t>
      </w:r>
      <w:proofErr w:type="spellEnd"/>
      <w:r w:rsidR="0068039E" w:rsidRPr="00E3750C">
        <w:rPr>
          <w:i/>
          <w:color w:val="000000"/>
          <w:lang w:val="es-ES"/>
        </w:rPr>
        <w:t xml:space="preserve"> </w:t>
      </w:r>
      <w:proofErr w:type="spellStart"/>
      <w:r w:rsidR="0068039E" w:rsidRPr="00E3750C">
        <w:rPr>
          <w:i/>
          <w:color w:val="000000"/>
          <w:lang w:val="es-ES"/>
        </w:rPr>
        <w:t>project</w:t>
      </w:r>
      <w:proofErr w:type="spellEnd"/>
      <w:r w:rsidR="0068039E" w:rsidRPr="00E3750C">
        <w:rPr>
          <w:color w:val="000000"/>
          <w:lang w:val="es-ES"/>
        </w:rPr>
        <w:t xml:space="preserve">” y asistieron a una ponencia de la Oficina de la Unión. </w:t>
      </w:r>
      <w:r w:rsidR="00576553" w:rsidRPr="00E3750C">
        <w:rPr>
          <w:color w:val="000000"/>
          <w:lang w:val="es-ES"/>
        </w:rPr>
        <w:t xml:space="preserve"> </w:t>
      </w:r>
      <w:r w:rsidR="0068039E" w:rsidRPr="00E3750C">
        <w:rPr>
          <w:lang w:val="es-ES"/>
        </w:rPr>
        <w:t>En la reunión EAF/8 se acordó lo siguiente (véanse los párrafos 6 a 8 del documento UPOV/EAF/8/3 “</w:t>
      </w:r>
      <w:proofErr w:type="spellStart"/>
      <w:r w:rsidR="0068039E" w:rsidRPr="00E3750C">
        <w:rPr>
          <w:i/>
          <w:lang w:val="es-ES"/>
        </w:rPr>
        <w:t>Report</w:t>
      </w:r>
      <w:proofErr w:type="spellEnd"/>
      <w:r w:rsidR="0068039E" w:rsidRPr="00E3750C">
        <w:rPr>
          <w:lang w:val="es-ES"/>
        </w:rPr>
        <w:t>”):</w:t>
      </w:r>
    </w:p>
    <w:p w:rsidR="00E71B18" w:rsidRPr="00E3750C" w:rsidRDefault="00E71B18" w:rsidP="00E71B18">
      <w:pPr>
        <w:rPr>
          <w:lang w:val="es-ES"/>
        </w:rPr>
      </w:pPr>
    </w:p>
    <w:p w:rsidR="00E71B18" w:rsidRPr="00E3750C" w:rsidRDefault="00E71B18" w:rsidP="00E71B18">
      <w:pPr>
        <w:rPr>
          <w:rStyle w:val="Strong"/>
          <w:b w:val="0"/>
          <w:i/>
          <w:lang w:val="es-ES"/>
        </w:rPr>
      </w:pPr>
      <w:r w:rsidRPr="00E3750C">
        <w:rPr>
          <w:rStyle w:val="Strong"/>
          <w:b w:val="0"/>
          <w:i/>
          <w:lang w:val="es-ES"/>
        </w:rPr>
        <w:t>Validación del prototipo</w:t>
      </w:r>
    </w:p>
    <w:p w:rsidR="00E71B18" w:rsidRPr="00E3750C" w:rsidRDefault="00E71B18" w:rsidP="00E71B18">
      <w:pPr>
        <w:keepNext/>
        <w:ind w:left="207"/>
        <w:rPr>
          <w:lang w:val="es-ES"/>
        </w:rPr>
      </w:pPr>
    </w:p>
    <w:p w:rsidR="00E71B18" w:rsidRPr="00E3750C" w:rsidRDefault="00D00D03" w:rsidP="005C5C5E">
      <w:pPr>
        <w:pStyle w:val="ListParagraph"/>
        <w:numPr>
          <w:ilvl w:val="0"/>
          <w:numId w:val="17"/>
        </w:numPr>
        <w:spacing w:after="120"/>
        <w:ind w:left="1134" w:hanging="567"/>
        <w:rPr>
          <w:lang w:val="es-ES"/>
        </w:rPr>
      </w:pPr>
      <w:r w:rsidRPr="00E3750C">
        <w:rPr>
          <w:lang w:val="es-ES"/>
        </w:rPr>
        <w:t>L</w:t>
      </w:r>
      <w:r w:rsidR="00E71B18" w:rsidRPr="00E3750C">
        <w:rPr>
          <w:lang w:val="es-ES"/>
        </w:rPr>
        <w:t>a versión 2 del prototipo (V2P) ha permitido demostrar la viabilidad del proyecto;</w:t>
      </w:r>
    </w:p>
    <w:p w:rsidR="005C5C5E" w:rsidRPr="00E3750C" w:rsidRDefault="005C5C5E" w:rsidP="005C5C5E">
      <w:pPr>
        <w:pStyle w:val="ListParagraph"/>
        <w:spacing w:after="120"/>
        <w:ind w:left="1134"/>
        <w:rPr>
          <w:lang w:val="es-ES"/>
        </w:rPr>
      </w:pPr>
    </w:p>
    <w:p w:rsidR="00E71B18" w:rsidRPr="00E3750C" w:rsidRDefault="00D00D03" w:rsidP="005C5C5E">
      <w:pPr>
        <w:pStyle w:val="ListParagraph"/>
        <w:numPr>
          <w:ilvl w:val="0"/>
          <w:numId w:val="17"/>
        </w:numPr>
        <w:spacing w:after="120"/>
        <w:ind w:left="1134" w:hanging="567"/>
        <w:rPr>
          <w:rFonts w:cs="Arial"/>
          <w:lang w:val="es-ES"/>
        </w:rPr>
      </w:pPr>
      <w:r w:rsidRPr="00E3750C">
        <w:rPr>
          <w:lang w:val="es-ES"/>
        </w:rPr>
        <w:t>L</w:t>
      </w:r>
      <w:r w:rsidR="00E71B18" w:rsidRPr="00E3750C">
        <w:rPr>
          <w:lang w:val="es-ES"/>
        </w:rPr>
        <w:t>a V2P cumplió las expectativas como prototipo plenamente funcional que permite a los usuarios enviar y recibir datos de las solicitudes y volver a utilizar datos ya presentados;</w:t>
      </w:r>
    </w:p>
    <w:p w:rsidR="005C5C5E" w:rsidRPr="00E3750C" w:rsidRDefault="005C5C5E" w:rsidP="005C5C5E">
      <w:pPr>
        <w:pStyle w:val="ListParagraph"/>
        <w:spacing w:after="120"/>
        <w:ind w:left="1134"/>
        <w:rPr>
          <w:rFonts w:cs="Arial"/>
          <w:lang w:val="es-ES"/>
        </w:rPr>
      </w:pPr>
    </w:p>
    <w:p w:rsidR="00E71B18" w:rsidRPr="00E3750C" w:rsidRDefault="00D00D03" w:rsidP="005C5C5E">
      <w:pPr>
        <w:pStyle w:val="ListParagraph"/>
        <w:numPr>
          <w:ilvl w:val="0"/>
          <w:numId w:val="17"/>
        </w:numPr>
        <w:ind w:left="1134" w:hanging="567"/>
        <w:rPr>
          <w:rFonts w:cs="Arial"/>
          <w:lang w:val="es-ES"/>
        </w:rPr>
      </w:pPr>
      <w:r w:rsidRPr="00E3750C">
        <w:rPr>
          <w:lang w:val="es-ES"/>
        </w:rPr>
        <w:t>L</w:t>
      </w:r>
      <w:r w:rsidR="00E71B18" w:rsidRPr="00E3750C">
        <w:rPr>
          <w:lang w:val="es-ES"/>
        </w:rPr>
        <w:t>a V2P debe servir de base para la implantación de un sistema operativo;</w:t>
      </w:r>
    </w:p>
    <w:p w:rsidR="00E71B18" w:rsidRPr="00E3750C" w:rsidRDefault="00E71B18" w:rsidP="00E71B18">
      <w:pPr>
        <w:rPr>
          <w:rStyle w:val="Strong"/>
          <w:lang w:val="es-ES"/>
        </w:rPr>
      </w:pPr>
    </w:p>
    <w:p w:rsidR="00E71B18" w:rsidRPr="00E3750C" w:rsidRDefault="00E71B18" w:rsidP="00E71B18">
      <w:pPr>
        <w:rPr>
          <w:rStyle w:val="Strong"/>
          <w:b w:val="0"/>
          <w:i/>
          <w:lang w:val="es-ES"/>
        </w:rPr>
      </w:pPr>
      <w:r w:rsidRPr="00E3750C">
        <w:rPr>
          <w:rStyle w:val="Strong"/>
          <w:b w:val="0"/>
          <w:i/>
          <w:lang w:val="es-ES"/>
        </w:rPr>
        <w:t>Idiomas</w:t>
      </w:r>
    </w:p>
    <w:p w:rsidR="00E71B18" w:rsidRPr="00E3750C" w:rsidRDefault="00E71B18" w:rsidP="00E71B18">
      <w:pPr>
        <w:rPr>
          <w:rFonts w:cs="Arial"/>
          <w:lang w:val="es-ES"/>
        </w:rPr>
      </w:pPr>
    </w:p>
    <w:p w:rsidR="00E71B18" w:rsidRPr="00E3750C" w:rsidRDefault="00E71B18" w:rsidP="00E71B18">
      <w:pPr>
        <w:keepNext/>
        <w:ind w:left="709"/>
        <w:rPr>
          <w:rFonts w:cs="Arial"/>
          <w:lang w:val="es-ES"/>
        </w:rPr>
      </w:pPr>
      <w:r w:rsidRPr="00E3750C">
        <w:rPr>
          <w:lang w:val="es-ES"/>
        </w:rPr>
        <w:t>Preguntas</w:t>
      </w:r>
    </w:p>
    <w:p w:rsidR="00E71B18" w:rsidRPr="00E3750C" w:rsidRDefault="00D00D03" w:rsidP="005C5C5E">
      <w:pPr>
        <w:pStyle w:val="ListParagraph"/>
        <w:numPr>
          <w:ilvl w:val="0"/>
          <w:numId w:val="17"/>
        </w:numPr>
        <w:ind w:left="1134" w:hanging="567"/>
        <w:rPr>
          <w:lang w:val="es-ES"/>
        </w:rPr>
      </w:pPr>
      <w:r w:rsidRPr="00E3750C">
        <w:rPr>
          <w:lang w:val="es-ES"/>
        </w:rPr>
        <w:t>E</w:t>
      </w:r>
      <w:r w:rsidR="00E71B18" w:rsidRPr="00E3750C">
        <w:rPr>
          <w:lang w:val="es-ES"/>
        </w:rPr>
        <w:t xml:space="preserve">l EAF presentará todos los elementos (preguntas) en alemán, español, francés e inglés. </w:t>
      </w:r>
      <w:r w:rsidR="004B4483" w:rsidRPr="00E3750C">
        <w:rPr>
          <w:lang w:val="es-ES"/>
        </w:rPr>
        <w:t xml:space="preserve"> </w:t>
      </w:r>
      <w:r w:rsidR="00E71B18" w:rsidRPr="00E3750C">
        <w:rPr>
          <w:lang w:val="es-ES"/>
        </w:rPr>
        <w:t>Si los miembros de la Unión participantes las facilitan, se publicarán las traducciones de todos los elementos (preguntas) a otros idiomas, con el correspondiente descargo de responsabilidad;</w:t>
      </w:r>
    </w:p>
    <w:p w:rsidR="00E71B18" w:rsidRPr="00E3750C" w:rsidRDefault="00E71B18" w:rsidP="00E71B18">
      <w:pPr>
        <w:rPr>
          <w:lang w:val="es-ES"/>
        </w:rPr>
      </w:pPr>
    </w:p>
    <w:p w:rsidR="00E71B18" w:rsidRPr="00E3750C" w:rsidRDefault="00E71B18" w:rsidP="00E71B18">
      <w:pPr>
        <w:keepNext/>
        <w:ind w:left="709"/>
        <w:rPr>
          <w:rFonts w:cs="Arial"/>
          <w:sz w:val="18"/>
          <w:lang w:val="es-ES"/>
        </w:rPr>
      </w:pPr>
      <w:r w:rsidRPr="00E3750C">
        <w:rPr>
          <w:lang w:val="es-ES"/>
        </w:rPr>
        <w:t>Respuestas</w:t>
      </w:r>
    </w:p>
    <w:p w:rsidR="00E71B18" w:rsidRPr="00E3750C" w:rsidRDefault="00D00D03" w:rsidP="005C5C5E">
      <w:pPr>
        <w:pStyle w:val="ListParagraph"/>
        <w:numPr>
          <w:ilvl w:val="0"/>
          <w:numId w:val="17"/>
        </w:numPr>
        <w:ind w:left="1134" w:hanging="567"/>
        <w:rPr>
          <w:lang w:val="es-ES"/>
        </w:rPr>
      </w:pPr>
      <w:r w:rsidRPr="00E3750C">
        <w:rPr>
          <w:lang w:val="es-ES"/>
        </w:rPr>
        <w:t>S</w:t>
      </w:r>
      <w:r w:rsidR="00E71B18" w:rsidRPr="00E3750C">
        <w:rPr>
          <w:lang w:val="es-ES"/>
        </w:rPr>
        <w:t>e solicitará a los usuarios que proporcionen información (respuestas) en un idioma aceptado por la oficina de protección de las obtenciones vegetales en cuestión, la que se indicará en el formulario;</w:t>
      </w:r>
    </w:p>
    <w:p w:rsidR="00E71B18" w:rsidRPr="00E3750C" w:rsidRDefault="00E71B18" w:rsidP="00E71B18">
      <w:pPr>
        <w:rPr>
          <w:rFonts w:cs="Arial"/>
          <w:lang w:val="es-ES"/>
        </w:rPr>
      </w:pPr>
    </w:p>
    <w:p w:rsidR="00E71B18" w:rsidRPr="00E3750C" w:rsidRDefault="00E71B18" w:rsidP="00E71B18">
      <w:pPr>
        <w:rPr>
          <w:rStyle w:val="Strong"/>
          <w:b w:val="0"/>
          <w:i/>
          <w:lang w:val="es-ES"/>
        </w:rPr>
      </w:pPr>
      <w:r w:rsidRPr="00E3750C">
        <w:rPr>
          <w:rStyle w:val="Strong"/>
          <w:b w:val="0"/>
          <w:i/>
          <w:lang w:val="es-ES"/>
        </w:rPr>
        <w:t>Pago</w:t>
      </w:r>
    </w:p>
    <w:p w:rsidR="00E71B18" w:rsidRPr="00E3750C" w:rsidRDefault="00E71B18" w:rsidP="00E71B18">
      <w:pPr>
        <w:rPr>
          <w:rFonts w:cs="Arial"/>
          <w:lang w:val="es-ES"/>
        </w:rPr>
      </w:pPr>
    </w:p>
    <w:p w:rsidR="00E71B18" w:rsidRPr="00E3750C" w:rsidRDefault="00D00D03" w:rsidP="005C5C5E">
      <w:pPr>
        <w:pStyle w:val="ListParagraph"/>
        <w:numPr>
          <w:ilvl w:val="0"/>
          <w:numId w:val="17"/>
        </w:numPr>
        <w:ind w:left="1134" w:hanging="567"/>
        <w:rPr>
          <w:lang w:val="es-ES"/>
        </w:rPr>
      </w:pPr>
      <w:r w:rsidRPr="00E3750C">
        <w:rPr>
          <w:lang w:val="es-ES"/>
        </w:rPr>
        <w:t>E</w:t>
      </w:r>
      <w:r w:rsidR="00E71B18" w:rsidRPr="00E3750C">
        <w:rPr>
          <w:lang w:val="es-ES"/>
        </w:rPr>
        <w:t>l EAF no tendrá repercusión en las tasas que las oficinas de protección de las obtenciones vegetales reciban por solicitud;</w:t>
      </w:r>
    </w:p>
    <w:p w:rsidR="005C5C5E" w:rsidRPr="00E3750C" w:rsidRDefault="005C5C5E" w:rsidP="005C5C5E">
      <w:pPr>
        <w:pStyle w:val="ListParagraph"/>
        <w:ind w:left="1134"/>
        <w:rPr>
          <w:lang w:val="es-ES"/>
        </w:rPr>
      </w:pPr>
    </w:p>
    <w:p w:rsidR="00E71B18" w:rsidRPr="00E3750C" w:rsidRDefault="00D00D03" w:rsidP="005C5C5E">
      <w:pPr>
        <w:pStyle w:val="ListParagraph"/>
        <w:numPr>
          <w:ilvl w:val="0"/>
          <w:numId w:val="17"/>
        </w:numPr>
        <w:ind w:left="1134" w:hanging="567"/>
        <w:rPr>
          <w:lang w:val="es-ES"/>
        </w:rPr>
      </w:pPr>
      <w:r w:rsidRPr="00E3750C">
        <w:rPr>
          <w:lang w:val="es-ES"/>
        </w:rPr>
        <w:t>E</w:t>
      </w:r>
      <w:r w:rsidR="00E71B18" w:rsidRPr="00E3750C">
        <w:rPr>
          <w:lang w:val="es-ES"/>
        </w:rPr>
        <w:t>l solicitante abonará las tasas de solicitud directamente a la oficina de protección de las obtenciones vegetales pertinente, a no ser que se convenga lo contrario con la Oficina de la Unión.  Sin embargo, si así se solicita, el sistema EAF contemplará la posibilidad de recaudar por sí mismo las tasas de solicitud y distribuirlas a las oficinas de protección de las obtenciones vegetales interesadas, de la forma y en la moneda que la oficina en cuestión convenga;</w:t>
      </w:r>
    </w:p>
    <w:p w:rsidR="00E71B18" w:rsidRPr="00E3750C" w:rsidRDefault="00D00D03" w:rsidP="005C5C5E">
      <w:pPr>
        <w:pStyle w:val="ListParagraph"/>
        <w:numPr>
          <w:ilvl w:val="0"/>
          <w:numId w:val="17"/>
        </w:numPr>
        <w:ind w:left="1134" w:hanging="567"/>
        <w:rPr>
          <w:lang w:val="es-ES"/>
        </w:rPr>
      </w:pPr>
      <w:r w:rsidRPr="00E3750C">
        <w:rPr>
          <w:lang w:val="es-ES"/>
        </w:rPr>
        <w:lastRenderedPageBreak/>
        <w:t>E</w:t>
      </w:r>
      <w:r w:rsidR="00E71B18" w:rsidRPr="00E3750C">
        <w:rPr>
          <w:lang w:val="es-ES"/>
        </w:rPr>
        <w:t>l importe que recibirá el sistema EAF por solicitud será el siguiente:</w:t>
      </w:r>
    </w:p>
    <w:p w:rsidR="00E71B18" w:rsidRPr="00E3750C" w:rsidRDefault="00E71B18" w:rsidP="00E71B18">
      <w:pPr>
        <w:keepNext/>
        <w:numPr>
          <w:ilvl w:val="1"/>
          <w:numId w:val="2"/>
        </w:numPr>
        <w:tabs>
          <w:tab w:val="clear" w:pos="1440"/>
          <w:tab w:val="num" w:pos="1701"/>
        </w:tabs>
        <w:ind w:left="1418" w:hanging="284"/>
        <w:rPr>
          <w:rFonts w:cs="Arial"/>
          <w:lang w:val="es-ES"/>
        </w:rPr>
      </w:pPr>
      <w:r w:rsidRPr="00E3750C">
        <w:rPr>
          <w:lang w:val="es-ES"/>
        </w:rPr>
        <w:t>150 francos suizos por cada solicitud presentada en 2017 o 2018;</w:t>
      </w:r>
    </w:p>
    <w:p w:rsidR="00E71B18" w:rsidRPr="00E3750C" w:rsidRDefault="00E71B18" w:rsidP="00E71B18">
      <w:pPr>
        <w:numPr>
          <w:ilvl w:val="1"/>
          <w:numId w:val="2"/>
        </w:numPr>
        <w:tabs>
          <w:tab w:val="clear" w:pos="1440"/>
        </w:tabs>
        <w:ind w:left="1418" w:hanging="284"/>
        <w:rPr>
          <w:rFonts w:cs="Arial"/>
          <w:lang w:val="es-ES"/>
        </w:rPr>
      </w:pPr>
      <w:r w:rsidRPr="00E3750C">
        <w:rPr>
          <w:lang w:val="es-ES"/>
        </w:rPr>
        <w:t>250 francos suizos por cada solicitud presentada a partir de 2019.</w:t>
      </w:r>
    </w:p>
    <w:p w:rsidR="00E71B18" w:rsidRPr="00E3750C" w:rsidRDefault="00E71B18" w:rsidP="00E71B18">
      <w:pPr>
        <w:rPr>
          <w:rFonts w:cs="Arial"/>
          <w:lang w:val="es-ES"/>
        </w:rPr>
      </w:pPr>
    </w:p>
    <w:p w:rsidR="00E71B18" w:rsidRPr="00E3750C" w:rsidRDefault="00E71B18" w:rsidP="00E71B18">
      <w:pPr>
        <w:rPr>
          <w:rStyle w:val="Strong"/>
          <w:b w:val="0"/>
          <w:i/>
          <w:lang w:val="es-ES"/>
        </w:rPr>
      </w:pPr>
      <w:r w:rsidRPr="00E3750C">
        <w:rPr>
          <w:rStyle w:val="Strong"/>
          <w:b w:val="0"/>
          <w:i/>
          <w:lang w:val="es-ES"/>
        </w:rPr>
        <w:t>Añadido de nuevos cultivos</w:t>
      </w:r>
    </w:p>
    <w:p w:rsidR="00E71B18" w:rsidRPr="00E3750C" w:rsidRDefault="00E71B18" w:rsidP="00E71B18">
      <w:pPr>
        <w:rPr>
          <w:rFonts w:cs="Arial"/>
          <w:lang w:val="es-ES"/>
        </w:rPr>
      </w:pPr>
    </w:p>
    <w:p w:rsidR="00E71B18" w:rsidRPr="00E3750C" w:rsidRDefault="00D00D03" w:rsidP="005C5C5E">
      <w:pPr>
        <w:pStyle w:val="ListParagraph"/>
        <w:numPr>
          <w:ilvl w:val="0"/>
          <w:numId w:val="17"/>
        </w:numPr>
        <w:ind w:left="1134" w:hanging="567"/>
        <w:rPr>
          <w:lang w:val="es-ES"/>
        </w:rPr>
      </w:pPr>
      <w:r w:rsidRPr="00E3750C">
        <w:rPr>
          <w:lang w:val="es-ES"/>
        </w:rPr>
        <w:t>E</w:t>
      </w:r>
      <w:r w:rsidR="00E71B18" w:rsidRPr="00E3750C">
        <w:rPr>
          <w:lang w:val="es-ES"/>
        </w:rPr>
        <w:t>l EAF se pondrá en funcionamiento el 9 de enero de 2017 para el rosal, la soja, la lechuga, las variedades frutales de manzano y la papa o patata;</w:t>
      </w:r>
    </w:p>
    <w:p w:rsidR="005C5C5E" w:rsidRPr="00E3750C" w:rsidRDefault="005C5C5E" w:rsidP="005C5C5E">
      <w:pPr>
        <w:pStyle w:val="ListParagraph"/>
        <w:ind w:left="1134"/>
        <w:rPr>
          <w:lang w:val="es-ES"/>
        </w:rPr>
      </w:pPr>
    </w:p>
    <w:p w:rsidR="00E71B18" w:rsidRPr="00E3750C" w:rsidRDefault="00D00D03" w:rsidP="005C5C5E">
      <w:pPr>
        <w:pStyle w:val="ListParagraph"/>
        <w:numPr>
          <w:ilvl w:val="0"/>
          <w:numId w:val="17"/>
        </w:numPr>
        <w:ind w:left="1134" w:hanging="567"/>
        <w:rPr>
          <w:lang w:val="es-ES"/>
        </w:rPr>
      </w:pPr>
      <w:r w:rsidRPr="00E3750C">
        <w:rPr>
          <w:lang w:val="es-ES"/>
        </w:rPr>
        <w:t>E</w:t>
      </w:r>
      <w:r w:rsidR="00E71B18" w:rsidRPr="00E3750C">
        <w:rPr>
          <w:lang w:val="es-ES"/>
        </w:rPr>
        <w:t>n la próxima reunión EAF habrán de proporcionarse más detalles sobre los distintos métodos para incorporar nuevos cultivos o especies al sistema:</w:t>
      </w:r>
    </w:p>
    <w:p w:rsidR="005C5C5E" w:rsidRPr="00E3750C" w:rsidRDefault="005C5C5E" w:rsidP="005C5C5E">
      <w:pPr>
        <w:pStyle w:val="ListParagraph"/>
        <w:ind w:left="1134"/>
        <w:rPr>
          <w:lang w:val="es-ES"/>
        </w:rPr>
      </w:pPr>
    </w:p>
    <w:p w:rsidR="00E71B18" w:rsidRPr="00E3750C" w:rsidRDefault="00E71B18" w:rsidP="00E71B18">
      <w:pPr>
        <w:numPr>
          <w:ilvl w:val="1"/>
          <w:numId w:val="3"/>
        </w:numPr>
        <w:tabs>
          <w:tab w:val="clear" w:pos="1440"/>
          <w:tab w:val="num" w:pos="1701"/>
        </w:tabs>
        <w:ind w:left="1418" w:hanging="284"/>
        <w:rPr>
          <w:rFonts w:cs="Arial"/>
          <w:lang w:val="es-ES"/>
        </w:rPr>
      </w:pPr>
      <w:r w:rsidRPr="00E3750C">
        <w:rPr>
          <w:lang w:val="es-ES"/>
        </w:rPr>
        <w:t>Cuestionario técnico adaptado</w:t>
      </w:r>
    </w:p>
    <w:p w:rsidR="00E71B18" w:rsidRPr="00E3750C" w:rsidRDefault="00E71B18" w:rsidP="00E71B18">
      <w:pPr>
        <w:numPr>
          <w:ilvl w:val="1"/>
          <w:numId w:val="3"/>
        </w:numPr>
        <w:tabs>
          <w:tab w:val="clear" w:pos="1440"/>
        </w:tabs>
        <w:ind w:left="1418" w:hanging="284"/>
        <w:rPr>
          <w:rFonts w:cs="Arial"/>
          <w:lang w:val="es-ES"/>
        </w:rPr>
      </w:pPr>
      <w:r w:rsidRPr="00E3750C">
        <w:rPr>
          <w:lang w:val="es-ES"/>
        </w:rPr>
        <w:t xml:space="preserve">Cuestionario técnico basado en las directrices de examen de la UPOV </w:t>
      </w:r>
    </w:p>
    <w:p w:rsidR="00E71B18" w:rsidRPr="00E3750C" w:rsidRDefault="00E71B18" w:rsidP="00E71B18">
      <w:pPr>
        <w:numPr>
          <w:ilvl w:val="1"/>
          <w:numId w:val="3"/>
        </w:numPr>
        <w:tabs>
          <w:tab w:val="clear" w:pos="1440"/>
        </w:tabs>
        <w:spacing w:after="120"/>
        <w:ind w:left="1418" w:hanging="284"/>
        <w:rPr>
          <w:rFonts w:cs="Arial"/>
          <w:lang w:val="es-ES"/>
        </w:rPr>
      </w:pPr>
      <w:r w:rsidRPr="00E3750C">
        <w:rPr>
          <w:lang w:val="es-ES"/>
        </w:rPr>
        <w:t>Cuestionario técnico genérico;</w:t>
      </w:r>
    </w:p>
    <w:p w:rsidR="00E71B18" w:rsidRPr="00E3750C" w:rsidRDefault="00D00D03" w:rsidP="005C5C5E">
      <w:pPr>
        <w:pStyle w:val="ListParagraph"/>
        <w:numPr>
          <w:ilvl w:val="0"/>
          <w:numId w:val="17"/>
        </w:numPr>
        <w:ind w:left="1134" w:hanging="567"/>
        <w:rPr>
          <w:lang w:val="es-ES"/>
        </w:rPr>
      </w:pPr>
      <w:r w:rsidRPr="00E3750C">
        <w:rPr>
          <w:lang w:val="es-ES"/>
        </w:rPr>
        <w:t>E</w:t>
      </w:r>
      <w:r w:rsidR="00E71B18" w:rsidRPr="00E3750C">
        <w:rPr>
          <w:lang w:val="es-ES"/>
        </w:rPr>
        <w:t>n la reunión EAF/9, prevista para abril de 2017, se deberá establecer un orden de prioridad para la incorporación de nuevos cultivos o especies;</w:t>
      </w:r>
    </w:p>
    <w:p w:rsidR="00E71B18" w:rsidRPr="00E3750C" w:rsidRDefault="00E71B18" w:rsidP="00E71B18">
      <w:pPr>
        <w:rPr>
          <w:rFonts w:cs="Arial"/>
          <w:lang w:val="es-ES"/>
        </w:rPr>
      </w:pPr>
    </w:p>
    <w:p w:rsidR="00E71B18" w:rsidRPr="00E3750C" w:rsidRDefault="00E71B18" w:rsidP="00E71B18">
      <w:pPr>
        <w:rPr>
          <w:rStyle w:val="Strong"/>
          <w:b w:val="0"/>
          <w:i/>
          <w:lang w:val="es-ES"/>
        </w:rPr>
      </w:pPr>
      <w:r w:rsidRPr="00E3750C">
        <w:rPr>
          <w:rStyle w:val="Strong"/>
          <w:b w:val="0"/>
          <w:i/>
          <w:lang w:val="es-ES"/>
        </w:rPr>
        <w:t>Registro oficial de variedades</w:t>
      </w:r>
    </w:p>
    <w:p w:rsidR="00E71B18" w:rsidRPr="00E3750C" w:rsidRDefault="00E71B18" w:rsidP="00E71B18">
      <w:pPr>
        <w:rPr>
          <w:rFonts w:cs="Arial"/>
          <w:lang w:val="es-ES"/>
        </w:rPr>
      </w:pPr>
    </w:p>
    <w:p w:rsidR="00E71B18" w:rsidRPr="00E3750C" w:rsidRDefault="00D00D03" w:rsidP="005C5C5E">
      <w:pPr>
        <w:pStyle w:val="ListParagraph"/>
        <w:numPr>
          <w:ilvl w:val="0"/>
          <w:numId w:val="17"/>
        </w:numPr>
        <w:ind w:left="1134" w:hanging="567"/>
        <w:rPr>
          <w:lang w:val="es-ES"/>
        </w:rPr>
      </w:pPr>
      <w:r w:rsidRPr="00E3750C">
        <w:rPr>
          <w:lang w:val="es-ES"/>
        </w:rPr>
        <w:t>E</w:t>
      </w:r>
      <w:r w:rsidR="00E71B18" w:rsidRPr="00E3750C">
        <w:rPr>
          <w:lang w:val="es-ES"/>
        </w:rPr>
        <w:t>n la próxima reunión EAF (reunión EAF/9, prevista para abril de 2017) habrá de considerarse si en el EAF se debe incluir información a efectos del registro oficial de variedades;</w:t>
      </w:r>
    </w:p>
    <w:p w:rsidR="00E71B18" w:rsidRPr="00E3750C" w:rsidRDefault="00E71B18" w:rsidP="00E71B18">
      <w:pPr>
        <w:rPr>
          <w:rFonts w:cs="Arial"/>
          <w:lang w:val="es-ES"/>
        </w:rPr>
      </w:pPr>
    </w:p>
    <w:p w:rsidR="00E71B18" w:rsidRPr="00E3750C" w:rsidRDefault="00E71B18" w:rsidP="00E71B18">
      <w:pPr>
        <w:rPr>
          <w:rStyle w:val="Strong"/>
          <w:b w:val="0"/>
          <w:i/>
          <w:lang w:val="es-ES"/>
        </w:rPr>
      </w:pPr>
      <w:r w:rsidRPr="00E3750C">
        <w:rPr>
          <w:rStyle w:val="Strong"/>
          <w:b w:val="0"/>
          <w:i/>
          <w:lang w:val="es-ES"/>
        </w:rPr>
        <w:t>Condiciones de uso</w:t>
      </w:r>
    </w:p>
    <w:p w:rsidR="00E71B18" w:rsidRPr="00E3750C" w:rsidRDefault="00E71B18" w:rsidP="00E71B18">
      <w:pPr>
        <w:keepNext/>
        <w:rPr>
          <w:rFonts w:cs="Arial"/>
          <w:lang w:val="es-ES"/>
        </w:rPr>
      </w:pPr>
    </w:p>
    <w:p w:rsidR="00E71B18" w:rsidRPr="00E3750C" w:rsidRDefault="00D00D03" w:rsidP="005C5C5E">
      <w:pPr>
        <w:pStyle w:val="ListParagraph"/>
        <w:numPr>
          <w:ilvl w:val="0"/>
          <w:numId w:val="17"/>
        </w:numPr>
        <w:ind w:left="1134" w:hanging="567"/>
        <w:rPr>
          <w:lang w:val="es-ES"/>
        </w:rPr>
      </w:pPr>
      <w:r w:rsidRPr="00E3750C">
        <w:rPr>
          <w:lang w:val="es-ES"/>
        </w:rPr>
        <w:t>C</w:t>
      </w:r>
      <w:r w:rsidR="00E71B18" w:rsidRPr="00E3750C">
        <w:rPr>
          <w:lang w:val="es-ES"/>
        </w:rPr>
        <w:t>on los miembros participantes y la Organización Mundial de la Propiedad Intelectual (OMPI), deberá finalizarse un documento detallado en el que se expliquen las “condiciones de uso”, teniendo en cuenta las consideraciones siguientes:</w:t>
      </w:r>
    </w:p>
    <w:p w:rsidR="005C5C5E" w:rsidRPr="00E3750C" w:rsidRDefault="005C5C5E" w:rsidP="005C5C5E">
      <w:pPr>
        <w:pStyle w:val="ListParagraph"/>
        <w:ind w:left="1134"/>
        <w:rPr>
          <w:lang w:val="es-ES"/>
        </w:rPr>
      </w:pPr>
    </w:p>
    <w:p w:rsidR="00E71B18" w:rsidRPr="00E3750C" w:rsidRDefault="00D00D03" w:rsidP="005C5C5E">
      <w:pPr>
        <w:pStyle w:val="ListParagraph"/>
        <w:numPr>
          <w:ilvl w:val="2"/>
          <w:numId w:val="19"/>
        </w:numPr>
        <w:ind w:left="1701" w:hanging="567"/>
        <w:rPr>
          <w:rFonts w:cs="Arial"/>
          <w:lang w:val="es-ES"/>
        </w:rPr>
      </w:pPr>
      <w:r w:rsidRPr="00E3750C">
        <w:rPr>
          <w:lang w:val="es-ES"/>
        </w:rPr>
        <w:t>L</w:t>
      </w:r>
      <w:r w:rsidR="00E71B18" w:rsidRPr="00E3750C">
        <w:rPr>
          <w:lang w:val="es-ES"/>
        </w:rPr>
        <w:t>os datos de la solicitud habrán de transmitirse a la autoridad seleccionada tras haber sido presentados, sin esperar a recibir la confirmación del pago del importe del EAF y de las tasas de solicitud (si procede);</w:t>
      </w:r>
    </w:p>
    <w:p w:rsidR="00E71B18" w:rsidRPr="00E3750C" w:rsidRDefault="00D00D03" w:rsidP="005C5C5E">
      <w:pPr>
        <w:pStyle w:val="ListParagraph"/>
        <w:numPr>
          <w:ilvl w:val="2"/>
          <w:numId w:val="19"/>
        </w:numPr>
        <w:ind w:left="1701" w:hanging="567"/>
        <w:rPr>
          <w:rFonts w:cs="Arial"/>
          <w:lang w:val="es-ES"/>
        </w:rPr>
      </w:pPr>
      <w:r w:rsidRPr="00E3750C">
        <w:rPr>
          <w:lang w:val="es-ES"/>
        </w:rPr>
        <w:t>S</w:t>
      </w:r>
      <w:r w:rsidR="00E71B18" w:rsidRPr="00E3750C">
        <w:rPr>
          <w:lang w:val="es-ES"/>
        </w:rPr>
        <w:t>i en un plazo de 45 días desde la presentación de la solicitud no se ha recibido el pago mediante transferencia bancaria, el Departamento Financiero de la UPOV/OMPI deberá enviar un recordatorio;</w:t>
      </w:r>
    </w:p>
    <w:p w:rsidR="00E71B18" w:rsidRPr="00E3750C" w:rsidRDefault="00D00D03" w:rsidP="005C5C5E">
      <w:pPr>
        <w:pStyle w:val="ListParagraph"/>
        <w:numPr>
          <w:ilvl w:val="2"/>
          <w:numId w:val="19"/>
        </w:numPr>
        <w:ind w:left="1701" w:hanging="567"/>
        <w:rPr>
          <w:rFonts w:cs="Arial"/>
          <w:lang w:val="es-ES"/>
        </w:rPr>
      </w:pPr>
      <w:r w:rsidRPr="00E3750C">
        <w:rPr>
          <w:spacing w:val="-4"/>
          <w:lang w:val="es-ES"/>
        </w:rPr>
        <w:t>L</w:t>
      </w:r>
      <w:r w:rsidR="00E71B18" w:rsidRPr="00E3750C">
        <w:rPr>
          <w:spacing w:val="-4"/>
          <w:lang w:val="es-ES"/>
        </w:rPr>
        <w:t>os gastos por el pago de las tasas de solicitud mediante tarjeta de crédito deberán abordarse bilateralmente con cada oficina de protección de las obtenciones vegetales (si el pago de la tasa de la oficina de protección de las obtenciones vegetales se efectúa por medio de la UPOV)</w:t>
      </w:r>
      <w:r w:rsidR="00E71B18" w:rsidRPr="00E3750C">
        <w:rPr>
          <w:lang w:val="es-ES"/>
        </w:rPr>
        <w:t>;</w:t>
      </w:r>
    </w:p>
    <w:p w:rsidR="00E71B18" w:rsidRPr="00E3750C" w:rsidRDefault="00D00D03" w:rsidP="005C5C5E">
      <w:pPr>
        <w:pStyle w:val="ListParagraph"/>
        <w:numPr>
          <w:ilvl w:val="2"/>
          <w:numId w:val="19"/>
        </w:numPr>
        <w:ind w:left="1701" w:hanging="567"/>
        <w:rPr>
          <w:rFonts w:cs="Arial"/>
          <w:lang w:val="es-ES"/>
        </w:rPr>
      </w:pPr>
      <w:r w:rsidRPr="00E3750C">
        <w:rPr>
          <w:lang w:val="es-ES"/>
        </w:rPr>
        <w:t>L</w:t>
      </w:r>
      <w:r w:rsidR="00E71B18" w:rsidRPr="00E3750C">
        <w:rPr>
          <w:lang w:val="es-ES"/>
        </w:rPr>
        <w:t>as tasas que aplica cada autoridad habrán de redistribuirse a las correspondientes oficinas de protección de las obtenciones vegetales con arreglo a los pagos solicitados (si el pago de la tasa de la oficina de protección de las obtenciones vegetales se efectúa por medio de la UPOV);</w:t>
      </w:r>
    </w:p>
    <w:p w:rsidR="00E71B18" w:rsidRPr="00E3750C" w:rsidRDefault="00D00D03" w:rsidP="005C5C5E">
      <w:pPr>
        <w:pStyle w:val="ListParagraph"/>
        <w:numPr>
          <w:ilvl w:val="2"/>
          <w:numId w:val="19"/>
        </w:numPr>
        <w:ind w:left="1701" w:hanging="567"/>
        <w:rPr>
          <w:rFonts w:cs="Arial"/>
          <w:lang w:val="es-ES"/>
        </w:rPr>
      </w:pPr>
      <w:r w:rsidRPr="00E3750C">
        <w:rPr>
          <w:lang w:val="es-ES"/>
        </w:rPr>
        <w:t>L</w:t>
      </w:r>
      <w:r w:rsidR="00E71B18" w:rsidRPr="00E3750C">
        <w:rPr>
          <w:lang w:val="es-ES"/>
        </w:rPr>
        <w:t>as transferencias de los pagos podrían experimentar cierta demora en función del método de pago elegido (tarjeta de crédito o transferencia bancaria).</w:t>
      </w:r>
    </w:p>
    <w:p w:rsidR="00E71B18" w:rsidRPr="00E3750C" w:rsidRDefault="00E71B18" w:rsidP="00E71B18">
      <w:pPr>
        <w:rPr>
          <w:rFonts w:cs="Arial"/>
          <w:lang w:val="es-ES"/>
        </w:rPr>
      </w:pPr>
    </w:p>
    <w:p w:rsidR="00E71B18" w:rsidRPr="00E3750C" w:rsidRDefault="00E71B18" w:rsidP="00E71B18">
      <w:pPr>
        <w:rPr>
          <w:rStyle w:val="Strong"/>
          <w:b w:val="0"/>
          <w:i/>
          <w:lang w:val="es-ES"/>
        </w:rPr>
      </w:pPr>
      <w:r w:rsidRPr="00E3750C">
        <w:rPr>
          <w:rStyle w:val="Strong"/>
          <w:b w:val="0"/>
          <w:i/>
          <w:lang w:val="es-ES"/>
        </w:rPr>
        <w:t>Participación en la puesta en funcionamiento del EAF</w:t>
      </w:r>
    </w:p>
    <w:p w:rsidR="00E71B18" w:rsidRPr="00E3750C" w:rsidRDefault="00E71B18" w:rsidP="00E71B18">
      <w:pPr>
        <w:keepNext/>
        <w:rPr>
          <w:rFonts w:cs="Arial"/>
          <w:lang w:val="es-ES"/>
        </w:rPr>
      </w:pPr>
    </w:p>
    <w:p w:rsidR="00E71B18" w:rsidRPr="00E3750C" w:rsidRDefault="005D0DC8" w:rsidP="00E71B18">
      <w:pPr>
        <w:spacing w:after="120"/>
        <w:rPr>
          <w:rFonts w:cs="Arial"/>
          <w:lang w:val="es-ES"/>
        </w:rPr>
      </w:pPr>
      <w:r w:rsidRPr="00E3750C">
        <w:rPr>
          <w:rFonts w:cs="Arial"/>
          <w:lang w:val="es-ES"/>
        </w:rPr>
        <w:fldChar w:fldCharType="begin"/>
      </w:r>
      <w:r w:rsidR="00E71B18" w:rsidRPr="00E3750C">
        <w:rPr>
          <w:rFonts w:cs="Arial"/>
          <w:lang w:val="es-ES"/>
        </w:rPr>
        <w:instrText xml:space="preserve"> AUTONUM  </w:instrText>
      </w:r>
      <w:r w:rsidRPr="00E3750C">
        <w:rPr>
          <w:rFonts w:cs="Arial"/>
          <w:lang w:val="es-ES"/>
        </w:rPr>
        <w:fldChar w:fldCharType="end"/>
      </w:r>
      <w:r w:rsidR="0068039E" w:rsidRPr="00E3750C">
        <w:rPr>
          <w:lang w:val="es-ES"/>
        </w:rPr>
        <w:tab/>
        <w:t xml:space="preserve">Los participantes tomaron nota de que, antes del 11 de noviembre de 2016, las autoridades participantes en la V2P (Argentina, Australia, Bolivia (Estado Plurinacional de), Brasil, Chile, Canadá, Colombia, Estados Unidos de América, Francia, Georgia, Japón, </w:t>
      </w:r>
      <w:proofErr w:type="spellStart"/>
      <w:r w:rsidR="0068039E" w:rsidRPr="00E3750C">
        <w:rPr>
          <w:lang w:val="es-ES"/>
        </w:rPr>
        <w:t>Kenya</w:t>
      </w:r>
      <w:proofErr w:type="spellEnd"/>
      <w:r w:rsidR="0068039E" w:rsidRPr="00E3750C">
        <w:rPr>
          <w:lang w:val="es-ES"/>
        </w:rPr>
        <w:t xml:space="preserve">, México, Nueva Zelandia, Noruega, Organización Africana de la Propiedad Intelectual (OAPI), Países Bajos, República Checa, República de Corea, Sudáfrica, Suiza, Túnez, Unión Europea, Uruguay y </w:t>
      </w:r>
      <w:proofErr w:type="spellStart"/>
      <w:r w:rsidR="0068039E" w:rsidRPr="00E3750C">
        <w:rPr>
          <w:lang w:val="es-ES"/>
        </w:rPr>
        <w:t>Viet</w:t>
      </w:r>
      <w:proofErr w:type="spellEnd"/>
      <w:r w:rsidR="0068039E" w:rsidRPr="00E3750C">
        <w:rPr>
          <w:lang w:val="es-ES"/>
        </w:rPr>
        <w:t> </w:t>
      </w:r>
      <w:proofErr w:type="spellStart"/>
      <w:r w:rsidR="0068039E" w:rsidRPr="00E3750C">
        <w:rPr>
          <w:lang w:val="es-ES"/>
        </w:rPr>
        <w:t>Nam</w:t>
      </w:r>
      <w:proofErr w:type="spellEnd"/>
      <w:r w:rsidR="0068039E" w:rsidRPr="00E3750C">
        <w:rPr>
          <w:lang w:val="es-ES"/>
        </w:rPr>
        <w:t>) debían comunicar a la Oficina de la Unión si deseaban participar en la puesta en funcionamiento del EAF y habían de facilitar la información necesaria, en particular:</w:t>
      </w:r>
    </w:p>
    <w:p w:rsidR="00E71B18" w:rsidRPr="00E3750C" w:rsidRDefault="00E71B18" w:rsidP="00E71B18">
      <w:pPr>
        <w:pStyle w:val="ListParagraph"/>
        <w:numPr>
          <w:ilvl w:val="0"/>
          <w:numId w:val="6"/>
        </w:numPr>
        <w:rPr>
          <w:rFonts w:cs="Arial"/>
          <w:lang w:val="es-ES"/>
        </w:rPr>
      </w:pPr>
      <w:r w:rsidRPr="00E3750C">
        <w:rPr>
          <w:lang w:val="es-ES"/>
        </w:rPr>
        <w:t>los cultivos que habrá de admitir el EAF (de los 5 cultivos empleados en la V2P);</w:t>
      </w:r>
    </w:p>
    <w:p w:rsidR="00E71B18" w:rsidRPr="00E3750C" w:rsidRDefault="00E71B18" w:rsidP="00E71B18">
      <w:pPr>
        <w:pStyle w:val="ListParagraph"/>
        <w:numPr>
          <w:ilvl w:val="0"/>
          <w:numId w:val="6"/>
        </w:numPr>
        <w:rPr>
          <w:rFonts w:cs="Arial"/>
          <w:lang w:val="es-ES"/>
        </w:rPr>
      </w:pPr>
      <w:r w:rsidRPr="00E3750C">
        <w:rPr>
          <w:lang w:val="es-ES"/>
        </w:rPr>
        <w:t xml:space="preserve">las divisas que se aceptan; </w:t>
      </w:r>
    </w:p>
    <w:p w:rsidR="00E71B18" w:rsidRPr="00E3750C" w:rsidRDefault="00E71B18" w:rsidP="00E71B18">
      <w:pPr>
        <w:pStyle w:val="ListParagraph"/>
        <w:numPr>
          <w:ilvl w:val="0"/>
          <w:numId w:val="6"/>
        </w:numPr>
        <w:rPr>
          <w:rFonts w:cs="Arial"/>
          <w:lang w:val="es-ES"/>
        </w:rPr>
      </w:pPr>
      <w:r w:rsidRPr="00E3750C">
        <w:rPr>
          <w:lang w:val="es-ES"/>
        </w:rPr>
        <w:t>el método de pago (directo o a través de la UPOV);</w:t>
      </w:r>
    </w:p>
    <w:p w:rsidR="00E71B18" w:rsidRPr="00E3750C" w:rsidRDefault="00E71B18" w:rsidP="00E71B18">
      <w:pPr>
        <w:pStyle w:val="ListParagraph"/>
        <w:numPr>
          <w:ilvl w:val="0"/>
          <w:numId w:val="6"/>
        </w:numPr>
        <w:rPr>
          <w:rFonts w:cs="Arial"/>
          <w:lang w:val="es-ES"/>
        </w:rPr>
      </w:pPr>
      <w:r w:rsidRPr="00E3750C">
        <w:rPr>
          <w:lang w:val="es-ES"/>
        </w:rPr>
        <w:t>los datos de la cuenta bancaria (si procede);</w:t>
      </w:r>
    </w:p>
    <w:p w:rsidR="00E71B18" w:rsidRPr="00E3750C" w:rsidRDefault="00E71B18" w:rsidP="00E71B18">
      <w:pPr>
        <w:pStyle w:val="ListParagraph"/>
        <w:numPr>
          <w:ilvl w:val="0"/>
          <w:numId w:val="6"/>
        </w:numPr>
        <w:rPr>
          <w:rFonts w:cs="Arial"/>
          <w:lang w:val="es-ES"/>
        </w:rPr>
      </w:pPr>
      <w:r w:rsidRPr="00E3750C">
        <w:rPr>
          <w:lang w:val="es-ES"/>
        </w:rPr>
        <w:t>toda información requerida que no se haya facilitado (véase la wiki);</w:t>
      </w:r>
    </w:p>
    <w:p w:rsidR="00E71B18" w:rsidRPr="00E3750C" w:rsidRDefault="00E71B18" w:rsidP="00E71B18">
      <w:pPr>
        <w:pStyle w:val="ListParagraph"/>
        <w:numPr>
          <w:ilvl w:val="0"/>
          <w:numId w:val="6"/>
        </w:numPr>
        <w:rPr>
          <w:rFonts w:cs="Arial"/>
          <w:lang w:val="es-ES"/>
        </w:rPr>
      </w:pPr>
      <w:r w:rsidRPr="00E3750C">
        <w:rPr>
          <w:lang w:val="es-ES"/>
        </w:rPr>
        <w:t>la intención de probar el sistema durante la fase de prueba previa a la puesta en funcionamiento (noviembre-diciembre de 2016).</w:t>
      </w:r>
    </w:p>
    <w:p w:rsidR="00E71B18" w:rsidRPr="00E3750C" w:rsidRDefault="00E71B18" w:rsidP="00E71B18">
      <w:pPr>
        <w:rPr>
          <w:rFonts w:cs="Arial"/>
          <w:lang w:val="es-ES"/>
        </w:rPr>
      </w:pPr>
    </w:p>
    <w:p w:rsidR="00E71B18" w:rsidRPr="00E3750C" w:rsidRDefault="005D0DC8" w:rsidP="00E71B18">
      <w:pPr>
        <w:spacing w:after="120"/>
        <w:rPr>
          <w:rFonts w:cs="Arial"/>
          <w:lang w:val="es-ES"/>
        </w:rPr>
      </w:pPr>
      <w:r w:rsidRPr="00E3750C">
        <w:rPr>
          <w:rFonts w:cs="Arial"/>
          <w:lang w:val="es-ES"/>
        </w:rPr>
        <w:fldChar w:fldCharType="begin"/>
      </w:r>
      <w:r w:rsidR="00E71B18" w:rsidRPr="00E3750C">
        <w:rPr>
          <w:rFonts w:cs="Arial"/>
          <w:lang w:val="es-ES"/>
        </w:rPr>
        <w:instrText xml:space="preserve"> AUTONUM  </w:instrText>
      </w:r>
      <w:r w:rsidRPr="00E3750C">
        <w:rPr>
          <w:rFonts w:cs="Arial"/>
          <w:lang w:val="es-ES"/>
        </w:rPr>
        <w:fldChar w:fldCharType="end"/>
      </w:r>
      <w:r w:rsidR="0068039E" w:rsidRPr="00E3750C">
        <w:rPr>
          <w:lang w:val="es-ES"/>
        </w:rPr>
        <w:tab/>
        <w:t xml:space="preserve">Los participantes tomaron nota asimismo de que se publicarían en Internet, en alemán, español, francés, inglés y otros idiomas pertinentes, guías del usuario dirigidas a los obtentores y a las oficinas de protección de las obtenciones vegetales.  En consulta con los miembros participantes, la Oficina de la Unión elaboraría, para las oficinas de protección de las obtenciones vegetales y los usuarios: </w:t>
      </w:r>
    </w:p>
    <w:p w:rsidR="00E71B18" w:rsidRPr="00E3750C" w:rsidRDefault="00E71B18" w:rsidP="00E71B18">
      <w:pPr>
        <w:pStyle w:val="ListParagraph"/>
        <w:numPr>
          <w:ilvl w:val="0"/>
          <w:numId w:val="7"/>
        </w:numPr>
        <w:rPr>
          <w:rFonts w:cs="Arial"/>
          <w:lang w:val="es-ES"/>
        </w:rPr>
      </w:pPr>
      <w:r w:rsidRPr="00E3750C">
        <w:rPr>
          <w:lang w:val="es-ES"/>
        </w:rPr>
        <w:t>un programa de formación (con sesiones y seminarios por Internet);</w:t>
      </w:r>
    </w:p>
    <w:p w:rsidR="00E71B18" w:rsidRPr="00E3750C" w:rsidRDefault="00E71B18" w:rsidP="00E71B18">
      <w:pPr>
        <w:pStyle w:val="ListParagraph"/>
        <w:numPr>
          <w:ilvl w:val="0"/>
          <w:numId w:val="7"/>
        </w:numPr>
        <w:rPr>
          <w:rFonts w:cs="Arial"/>
          <w:lang w:val="es-ES"/>
        </w:rPr>
      </w:pPr>
      <w:r w:rsidRPr="00E3750C">
        <w:rPr>
          <w:lang w:val="es-ES"/>
        </w:rPr>
        <w:t>un programa de apoyo a los usuarios y previsiones de mantenimiento habitual;</w:t>
      </w:r>
    </w:p>
    <w:p w:rsidR="00E71B18" w:rsidRPr="00E3750C" w:rsidRDefault="00E71B18" w:rsidP="00E71B18">
      <w:pPr>
        <w:pStyle w:val="ListParagraph"/>
        <w:numPr>
          <w:ilvl w:val="0"/>
          <w:numId w:val="7"/>
        </w:numPr>
        <w:rPr>
          <w:rFonts w:cs="Arial"/>
          <w:lang w:val="es-ES"/>
        </w:rPr>
      </w:pPr>
      <w:r w:rsidRPr="00E3750C">
        <w:rPr>
          <w:lang w:val="es-ES"/>
        </w:rPr>
        <w:t>un programa de publicidad de la disponibilidad del sistema.</w:t>
      </w:r>
    </w:p>
    <w:p w:rsidR="00E71B18" w:rsidRPr="00E3750C" w:rsidRDefault="00E71B18" w:rsidP="00E71B18">
      <w:pPr>
        <w:rPr>
          <w:rFonts w:cs="Arial"/>
          <w:lang w:val="es-ES"/>
        </w:rPr>
      </w:pPr>
    </w:p>
    <w:p w:rsidR="00E71B18" w:rsidRPr="00E3750C" w:rsidRDefault="005D0DC8" w:rsidP="00E71B18">
      <w:pPr>
        <w:spacing w:after="240"/>
        <w:rPr>
          <w:rFonts w:cs="Arial"/>
          <w:lang w:val="es-ES"/>
        </w:rPr>
      </w:pPr>
      <w:r w:rsidRPr="00E3750C">
        <w:rPr>
          <w:rFonts w:cs="Arial"/>
          <w:lang w:val="es-ES"/>
        </w:rPr>
        <w:fldChar w:fldCharType="begin"/>
      </w:r>
      <w:r w:rsidR="00E71B18" w:rsidRPr="00E3750C">
        <w:rPr>
          <w:rFonts w:cs="Arial"/>
          <w:lang w:val="es-ES"/>
        </w:rPr>
        <w:instrText xml:space="preserve"> AUTONUM  </w:instrText>
      </w:r>
      <w:r w:rsidRPr="00E3750C">
        <w:rPr>
          <w:rFonts w:cs="Arial"/>
          <w:lang w:val="es-ES"/>
        </w:rPr>
        <w:fldChar w:fldCharType="end"/>
      </w:r>
      <w:r w:rsidR="0068039E" w:rsidRPr="00E3750C">
        <w:rPr>
          <w:lang w:val="es-ES"/>
        </w:rPr>
        <w:tab/>
        <w:t>Los participantes tomaron nota de que había ciertas preocupaciones en torno a la denominación</w:t>
      </w:r>
      <w:r w:rsidR="00AF38A3" w:rsidRPr="00E3750C">
        <w:rPr>
          <w:lang w:val="es-ES"/>
        </w:rPr>
        <w:t> </w:t>
      </w:r>
      <w:r w:rsidR="0068039E" w:rsidRPr="00E3750C">
        <w:rPr>
          <w:lang w:val="es-ES"/>
        </w:rPr>
        <w:t>OLAF (siglas en inglés de “formulario de solicitud en línea”) y convinieron en que se meditara más detenidamente sobre el nombre adecuado en la reunión EAF/9.</w:t>
      </w:r>
    </w:p>
    <w:p w:rsidR="00E71B18" w:rsidRPr="00E3750C" w:rsidRDefault="005D0DC8" w:rsidP="00E71B18">
      <w:pPr>
        <w:spacing w:after="240"/>
        <w:rPr>
          <w:rFonts w:cs="Arial"/>
          <w:lang w:val="es-ES"/>
        </w:rPr>
      </w:pPr>
      <w:r w:rsidRPr="00E3750C">
        <w:rPr>
          <w:rFonts w:cs="Arial"/>
          <w:lang w:val="es-ES"/>
        </w:rPr>
        <w:fldChar w:fldCharType="begin"/>
      </w:r>
      <w:r w:rsidR="00E71B18" w:rsidRPr="00E3750C">
        <w:rPr>
          <w:rFonts w:cs="Arial"/>
          <w:lang w:val="es-ES"/>
        </w:rPr>
        <w:instrText xml:space="preserve"> AUTONUM  </w:instrText>
      </w:r>
      <w:r w:rsidRPr="00E3750C">
        <w:rPr>
          <w:rFonts w:cs="Arial"/>
          <w:lang w:val="es-ES"/>
        </w:rPr>
        <w:fldChar w:fldCharType="end"/>
      </w:r>
      <w:r w:rsidR="0068039E" w:rsidRPr="00E3750C">
        <w:rPr>
          <w:lang w:val="es-ES"/>
        </w:rPr>
        <w:tab/>
        <w:t>Los participantes acordaron, a reserva de la aprobación del Comité Consultivo, proponer al Consejo que, en su quincuagésima sesión ordinaria, que se celebraría en Ginebra el 28 de octubre de 2016, aprobara que la puesta en funcionamiento del EAF tuviera lugar el 9 de enero de 2017.</w:t>
      </w:r>
    </w:p>
    <w:p w:rsidR="00E71B18" w:rsidRPr="00E3750C" w:rsidRDefault="00E71B18" w:rsidP="00E71B18">
      <w:pPr>
        <w:pStyle w:val="Heading2"/>
        <w:rPr>
          <w:lang w:val="es-ES"/>
        </w:rPr>
      </w:pPr>
      <w:bookmarkStart w:id="16" w:name="_Toc442185535"/>
      <w:bookmarkStart w:id="17" w:name="_Toc442776591"/>
      <w:bookmarkStart w:id="18" w:name="_Toc443323837"/>
      <w:bookmarkStart w:id="19" w:name="_Toc477527629"/>
      <w:bookmarkStart w:id="20" w:name="_Toc477880922"/>
      <w:bookmarkStart w:id="21" w:name="_Toc411436993"/>
      <w:bookmarkStart w:id="22" w:name="_Toc478483757"/>
      <w:r w:rsidRPr="00E3750C">
        <w:rPr>
          <w:lang w:val="es-ES"/>
        </w:rPr>
        <w:t>Novedades acaecidas en el Comité Administrativo y Jurídico (CAJ) en octubre de 201</w:t>
      </w:r>
      <w:bookmarkEnd w:id="16"/>
      <w:bookmarkEnd w:id="17"/>
      <w:bookmarkEnd w:id="18"/>
      <w:r w:rsidRPr="00E3750C">
        <w:rPr>
          <w:lang w:val="es-ES"/>
        </w:rPr>
        <w:t>6</w:t>
      </w:r>
      <w:bookmarkEnd w:id="19"/>
      <w:bookmarkEnd w:id="20"/>
      <w:bookmarkEnd w:id="22"/>
      <w:r w:rsidRPr="00E3750C">
        <w:rPr>
          <w:lang w:val="es-ES"/>
        </w:rPr>
        <w:t xml:space="preserve"> </w:t>
      </w:r>
      <w:bookmarkEnd w:id="21"/>
    </w:p>
    <w:p w:rsidR="00E71B18" w:rsidRPr="00E3750C" w:rsidRDefault="00E71B18" w:rsidP="00E71B18">
      <w:pPr>
        <w:keepNext/>
        <w:rPr>
          <w:rFonts w:cs="Arial"/>
          <w:color w:val="000000"/>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 xml:space="preserve">En su septuagésima tercera sesión, celebrada el 25 de octubre de 2016, el CAJ tomó nota de que en la reunión EAF/8 se convino en que la versión 2 del prototipo de formulario electrónico de solicitud (V2P) había permitido demostrar la viabilidad del proyecto. </w:t>
      </w:r>
      <w:r w:rsidR="00AF38A3" w:rsidRPr="00E3750C">
        <w:rPr>
          <w:lang w:val="es-ES"/>
        </w:rPr>
        <w:t xml:space="preserve"> </w:t>
      </w:r>
      <w:r w:rsidR="0068039E" w:rsidRPr="00E3750C">
        <w:rPr>
          <w:lang w:val="es-ES"/>
        </w:rPr>
        <w:t>En la misma sesión, el CAJ suscribió las propuestas formuladas en la reunión EAF/8 relativas a la elaboración de la versión 2 del prototipo de formulario electrónico de solicitud (PV2) y a la participación en la puesta en funcionamiento del EAF, según se expone en los párrafos 5 a 9 de este documento (véanse los párrafos 31 a 34 del documento CAJ/73/10 “Informe sobre las conclusiones”).</w:t>
      </w:r>
    </w:p>
    <w:p w:rsidR="00E71B18" w:rsidRPr="00E3750C" w:rsidRDefault="00E71B18" w:rsidP="00E71B18">
      <w:pPr>
        <w:rPr>
          <w:lang w:val="es-ES"/>
        </w:rPr>
      </w:pPr>
    </w:p>
    <w:p w:rsidR="00E71B18" w:rsidRPr="00E3750C" w:rsidRDefault="005D0DC8" w:rsidP="00E71B18">
      <w:pPr>
        <w:rPr>
          <w:rFonts w:cs="Arial"/>
          <w:lang w:val="es-ES"/>
        </w:rPr>
      </w:pPr>
      <w:r w:rsidRPr="00E3750C">
        <w:rPr>
          <w:rFonts w:cs="Arial"/>
          <w:lang w:val="es-ES"/>
        </w:rPr>
        <w:fldChar w:fldCharType="begin"/>
      </w:r>
      <w:r w:rsidR="00E71B18" w:rsidRPr="00E3750C">
        <w:rPr>
          <w:rFonts w:cs="Arial"/>
          <w:lang w:val="es-ES"/>
        </w:rPr>
        <w:instrText xml:space="preserve"> AUTONUM  </w:instrText>
      </w:r>
      <w:r w:rsidRPr="00E3750C">
        <w:rPr>
          <w:rFonts w:cs="Arial"/>
          <w:lang w:val="es-ES"/>
        </w:rPr>
        <w:fldChar w:fldCharType="end"/>
      </w:r>
      <w:r w:rsidR="0068039E" w:rsidRPr="00E3750C">
        <w:rPr>
          <w:lang w:val="es-ES"/>
        </w:rPr>
        <w:tab/>
        <w:t>En su septuagésima tercera sesión, a reserva de la aprobación del Comité Consultivo, el CAJ convino en proponer al Consejo que, en su quincuagésima sesión ordinaria, que se celebraría en Ginebra el 28</w:t>
      </w:r>
      <w:r w:rsidR="00E3750C">
        <w:rPr>
          <w:lang w:val="es-ES"/>
        </w:rPr>
        <w:t> </w:t>
      </w:r>
      <w:r w:rsidR="0068039E" w:rsidRPr="00E3750C">
        <w:rPr>
          <w:lang w:val="es-ES"/>
        </w:rPr>
        <w:t>de</w:t>
      </w:r>
      <w:r w:rsidR="00E3750C">
        <w:rPr>
          <w:lang w:val="es-ES"/>
        </w:rPr>
        <w:t> </w:t>
      </w:r>
      <w:r w:rsidR="0068039E" w:rsidRPr="00E3750C">
        <w:rPr>
          <w:lang w:val="es-ES"/>
        </w:rPr>
        <w:t>octubre de 2016, aprobara que la puesta en funcionamiento del EAF tuviera lugar el 9 de enero de 2017 (véase el párrafo 35 del documento CAJ/73/10 “Informe sobre las conclusiones”).</w:t>
      </w:r>
    </w:p>
    <w:p w:rsidR="00E71B18" w:rsidRPr="00E3750C" w:rsidRDefault="00E71B18" w:rsidP="00E71B18">
      <w:pPr>
        <w:rPr>
          <w:lang w:val="es-ES"/>
        </w:rPr>
      </w:pPr>
    </w:p>
    <w:p w:rsidR="00E71B18" w:rsidRPr="00E3750C" w:rsidRDefault="00E71B18" w:rsidP="00E71B18">
      <w:pPr>
        <w:pStyle w:val="Heading2"/>
        <w:rPr>
          <w:lang w:val="es-ES"/>
        </w:rPr>
      </w:pPr>
      <w:bookmarkStart w:id="23" w:name="_Toc443323838"/>
      <w:bookmarkStart w:id="24" w:name="_Toc477527630"/>
      <w:bookmarkStart w:id="25" w:name="_Toc477880923"/>
      <w:bookmarkStart w:id="26" w:name="_Toc478483758"/>
      <w:r w:rsidRPr="00E3750C">
        <w:rPr>
          <w:lang w:val="es-ES"/>
        </w:rPr>
        <w:t>Novedades acaecidas en el Comité Consultivo y el Consejo en octubre de 201</w:t>
      </w:r>
      <w:bookmarkEnd w:id="23"/>
      <w:r w:rsidRPr="00E3750C">
        <w:rPr>
          <w:lang w:val="es-ES"/>
        </w:rPr>
        <w:t>6</w:t>
      </w:r>
      <w:bookmarkEnd w:id="24"/>
      <w:bookmarkEnd w:id="25"/>
      <w:bookmarkEnd w:id="26"/>
    </w:p>
    <w:p w:rsidR="00E71B18" w:rsidRPr="00E3750C" w:rsidRDefault="00E71B18" w:rsidP="00E71B18">
      <w:pPr>
        <w:rPr>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En su quincuagésima sesión ordinaria, celebrada en Ginebra el 28 de octubre de 2016, el Consejo tomó nota de la labor llevada a cabo por el Comité Consultivo en su nonagésima segunda sesión, que se expone en el documento C/50/17 “</w:t>
      </w:r>
      <w:proofErr w:type="spellStart"/>
      <w:r w:rsidR="0068039E" w:rsidRPr="00E3750C">
        <w:rPr>
          <w:i/>
          <w:lang w:val="es-ES"/>
        </w:rPr>
        <w:t>Report</w:t>
      </w:r>
      <w:proofErr w:type="spellEnd"/>
      <w:r w:rsidR="0068039E" w:rsidRPr="00E3750C">
        <w:rPr>
          <w:i/>
          <w:lang w:val="es-ES"/>
        </w:rPr>
        <w:t xml:space="preserve"> </w:t>
      </w:r>
      <w:proofErr w:type="spellStart"/>
      <w:r w:rsidR="0068039E" w:rsidRPr="00E3750C">
        <w:rPr>
          <w:i/>
          <w:lang w:val="es-ES"/>
        </w:rPr>
        <w:t>by</w:t>
      </w:r>
      <w:proofErr w:type="spellEnd"/>
      <w:r w:rsidR="0068039E" w:rsidRPr="00E3750C">
        <w:rPr>
          <w:i/>
          <w:lang w:val="es-ES"/>
        </w:rPr>
        <w:t xml:space="preserve"> </w:t>
      </w:r>
      <w:proofErr w:type="spellStart"/>
      <w:r w:rsidR="0068039E" w:rsidRPr="00E3750C">
        <w:rPr>
          <w:i/>
          <w:lang w:val="es-ES"/>
        </w:rPr>
        <w:t>the</w:t>
      </w:r>
      <w:proofErr w:type="spellEnd"/>
      <w:r w:rsidR="0068039E" w:rsidRPr="00E3750C">
        <w:rPr>
          <w:i/>
          <w:lang w:val="es-ES"/>
        </w:rPr>
        <w:t xml:space="preserve"> Vice-</w:t>
      </w:r>
      <w:proofErr w:type="spellStart"/>
      <w:r w:rsidR="0068039E" w:rsidRPr="00E3750C">
        <w:rPr>
          <w:i/>
          <w:lang w:val="es-ES"/>
        </w:rPr>
        <w:t>President</w:t>
      </w:r>
      <w:proofErr w:type="spellEnd"/>
      <w:r w:rsidR="0068039E" w:rsidRPr="00E3750C">
        <w:rPr>
          <w:i/>
          <w:lang w:val="es-ES"/>
        </w:rPr>
        <w:t xml:space="preserve"> </w:t>
      </w:r>
      <w:proofErr w:type="spellStart"/>
      <w:r w:rsidR="0068039E" w:rsidRPr="00E3750C">
        <w:rPr>
          <w:i/>
          <w:lang w:val="es-ES"/>
        </w:rPr>
        <w:t>on</w:t>
      </w:r>
      <w:proofErr w:type="spellEnd"/>
      <w:r w:rsidR="0068039E" w:rsidRPr="00E3750C">
        <w:rPr>
          <w:i/>
          <w:lang w:val="es-ES"/>
        </w:rPr>
        <w:t xml:space="preserve">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work</w:t>
      </w:r>
      <w:proofErr w:type="spellEnd"/>
      <w:r w:rsidR="0068039E" w:rsidRPr="00E3750C">
        <w:rPr>
          <w:i/>
          <w:lang w:val="es-ES"/>
        </w:rPr>
        <w:t xml:space="preserve"> of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ninety-second</w:t>
      </w:r>
      <w:proofErr w:type="spellEnd"/>
      <w:r w:rsidR="0068039E" w:rsidRPr="00E3750C">
        <w:rPr>
          <w:i/>
          <w:lang w:val="es-ES"/>
        </w:rPr>
        <w:t xml:space="preserve"> </w:t>
      </w:r>
      <w:proofErr w:type="spellStart"/>
      <w:r w:rsidR="0068039E" w:rsidRPr="00E3750C">
        <w:rPr>
          <w:i/>
          <w:lang w:val="es-ES"/>
        </w:rPr>
        <w:t>session</w:t>
      </w:r>
      <w:proofErr w:type="spellEnd"/>
      <w:r w:rsidR="0068039E" w:rsidRPr="00E3750C">
        <w:rPr>
          <w:i/>
          <w:lang w:val="es-ES"/>
        </w:rPr>
        <w:t xml:space="preserve"> of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Consultative</w:t>
      </w:r>
      <w:proofErr w:type="spellEnd"/>
      <w:r w:rsidR="0068039E" w:rsidRPr="00E3750C">
        <w:rPr>
          <w:i/>
          <w:lang w:val="es-ES"/>
        </w:rPr>
        <w:t xml:space="preserve"> </w:t>
      </w:r>
      <w:proofErr w:type="spellStart"/>
      <w:r w:rsidR="0068039E" w:rsidRPr="00E3750C">
        <w:rPr>
          <w:i/>
          <w:lang w:val="es-ES"/>
        </w:rPr>
        <w:t>Committee</w:t>
      </w:r>
      <w:proofErr w:type="spellEnd"/>
      <w:r w:rsidR="0068039E" w:rsidRPr="00E3750C">
        <w:rPr>
          <w:lang w:val="es-ES"/>
        </w:rPr>
        <w:t>” (Informe del Vicepresidente sobre los trabajos de la nonagésima segunda sesión del Comité Consultivo), en el que figura la siguiente información relativa al EAF (véase el párrafo 11 del documento C/50/19 “Informe sobre las decisiones”).</w:t>
      </w:r>
    </w:p>
    <w:p w:rsidR="00E71B18" w:rsidRPr="00E3750C" w:rsidRDefault="00E71B18" w:rsidP="00E71B18">
      <w:pPr>
        <w:rPr>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El Comité Consultivo examinó una presentación de la Oficina de la Unión, en particular un informe verbal del Secretario General Adjunto respecto de la octava reunión sobre la elaboración de un prototipo de formulario electrónico (“reunión EAF/8”), que tuvo lugar el 24 de octubre de 2016, así como las conclusiones del</w:t>
      </w:r>
      <w:r w:rsidR="00CF1174" w:rsidRPr="00E3750C">
        <w:rPr>
          <w:lang w:val="es-ES"/>
        </w:rPr>
        <w:t> </w:t>
      </w:r>
      <w:r w:rsidR="0068039E" w:rsidRPr="00E3750C">
        <w:rPr>
          <w:lang w:val="es-ES"/>
        </w:rPr>
        <w:t>CAJ en su septuagésima tercera sesión, celebrada el 25 de octubre de 2016 (véase el documento</w:t>
      </w:r>
      <w:r w:rsidR="00AF38A3" w:rsidRPr="00E3750C">
        <w:rPr>
          <w:lang w:val="es-ES"/>
        </w:rPr>
        <w:t> </w:t>
      </w:r>
      <w:r w:rsidR="0068039E" w:rsidRPr="00E3750C">
        <w:rPr>
          <w:lang w:val="es-ES"/>
        </w:rPr>
        <w:t>CAJ/73/10 “Informe sobre las conclusiones”).</w:t>
      </w:r>
    </w:p>
    <w:p w:rsidR="00E71B18" w:rsidRPr="00E3750C" w:rsidRDefault="00E71B18" w:rsidP="00E71B18">
      <w:pPr>
        <w:ind w:left="567" w:hanging="567"/>
        <w:rPr>
          <w:rFonts w:cs="Arial"/>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El Comité Consultivo tomó nota de que en la reunión EAF/8 se convino en que la versión 2 del prototipo de formulario electrónico de solicitud (V2P) había permitido demostrar la viabilidad del proyecto.  El Comité Consultivo aceptó las propuestas efectuadas en la reunión EAF/8, que se exponen en los párrafos 5 a 9 de este documento (véanse los párrafos 41 a 44 del documento C/50/17 “</w:t>
      </w:r>
      <w:proofErr w:type="spellStart"/>
      <w:r w:rsidR="0068039E" w:rsidRPr="00E3750C">
        <w:rPr>
          <w:i/>
          <w:lang w:val="es-ES"/>
        </w:rPr>
        <w:t>Report</w:t>
      </w:r>
      <w:proofErr w:type="spellEnd"/>
      <w:r w:rsidR="0068039E" w:rsidRPr="00E3750C">
        <w:rPr>
          <w:i/>
          <w:lang w:val="es-ES"/>
        </w:rPr>
        <w:t xml:space="preserve"> </w:t>
      </w:r>
      <w:proofErr w:type="spellStart"/>
      <w:r w:rsidR="0068039E" w:rsidRPr="00E3750C">
        <w:rPr>
          <w:i/>
          <w:lang w:val="es-ES"/>
        </w:rPr>
        <w:t>by</w:t>
      </w:r>
      <w:proofErr w:type="spellEnd"/>
      <w:r w:rsidR="0068039E" w:rsidRPr="00E3750C">
        <w:rPr>
          <w:i/>
          <w:lang w:val="es-ES"/>
        </w:rPr>
        <w:t xml:space="preserve"> </w:t>
      </w:r>
      <w:proofErr w:type="spellStart"/>
      <w:r w:rsidR="0068039E" w:rsidRPr="00E3750C">
        <w:rPr>
          <w:i/>
          <w:lang w:val="es-ES"/>
        </w:rPr>
        <w:t>the</w:t>
      </w:r>
      <w:proofErr w:type="spellEnd"/>
      <w:r w:rsidR="0068039E" w:rsidRPr="00E3750C">
        <w:rPr>
          <w:i/>
          <w:lang w:val="es-ES"/>
        </w:rPr>
        <w:t xml:space="preserve"> Vice-</w:t>
      </w:r>
      <w:proofErr w:type="spellStart"/>
      <w:r w:rsidR="0068039E" w:rsidRPr="00E3750C">
        <w:rPr>
          <w:i/>
          <w:lang w:val="es-ES"/>
        </w:rPr>
        <w:t>President</w:t>
      </w:r>
      <w:proofErr w:type="spellEnd"/>
      <w:r w:rsidR="0068039E" w:rsidRPr="00E3750C">
        <w:rPr>
          <w:i/>
          <w:lang w:val="es-ES"/>
        </w:rPr>
        <w:t xml:space="preserve"> </w:t>
      </w:r>
      <w:proofErr w:type="spellStart"/>
      <w:r w:rsidR="0068039E" w:rsidRPr="00E3750C">
        <w:rPr>
          <w:i/>
          <w:lang w:val="es-ES"/>
        </w:rPr>
        <w:t>on</w:t>
      </w:r>
      <w:proofErr w:type="spellEnd"/>
      <w:r w:rsidR="0068039E" w:rsidRPr="00E3750C">
        <w:rPr>
          <w:i/>
          <w:lang w:val="es-ES"/>
        </w:rPr>
        <w:t xml:space="preserve">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work</w:t>
      </w:r>
      <w:proofErr w:type="spellEnd"/>
      <w:r w:rsidR="0068039E" w:rsidRPr="00E3750C">
        <w:rPr>
          <w:i/>
          <w:lang w:val="es-ES"/>
        </w:rPr>
        <w:t xml:space="preserve"> of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ninety-second</w:t>
      </w:r>
      <w:proofErr w:type="spellEnd"/>
      <w:r w:rsidR="0068039E" w:rsidRPr="00E3750C">
        <w:rPr>
          <w:i/>
          <w:lang w:val="es-ES"/>
        </w:rPr>
        <w:t xml:space="preserve"> </w:t>
      </w:r>
      <w:proofErr w:type="spellStart"/>
      <w:r w:rsidR="0068039E" w:rsidRPr="00E3750C">
        <w:rPr>
          <w:i/>
          <w:lang w:val="es-ES"/>
        </w:rPr>
        <w:t>session</w:t>
      </w:r>
      <w:proofErr w:type="spellEnd"/>
      <w:r w:rsidR="0068039E" w:rsidRPr="00E3750C">
        <w:rPr>
          <w:i/>
          <w:lang w:val="es-ES"/>
        </w:rPr>
        <w:t xml:space="preserve"> of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Consultative</w:t>
      </w:r>
      <w:proofErr w:type="spellEnd"/>
      <w:r w:rsidR="0068039E" w:rsidRPr="00E3750C">
        <w:rPr>
          <w:i/>
          <w:lang w:val="es-ES"/>
        </w:rPr>
        <w:t xml:space="preserve"> </w:t>
      </w:r>
      <w:proofErr w:type="spellStart"/>
      <w:r w:rsidR="0068039E" w:rsidRPr="00E3750C">
        <w:rPr>
          <w:i/>
          <w:lang w:val="es-ES"/>
        </w:rPr>
        <w:t>Committee</w:t>
      </w:r>
      <w:proofErr w:type="spellEnd"/>
      <w:r w:rsidR="0068039E" w:rsidRPr="00E3750C">
        <w:rPr>
          <w:lang w:val="es-ES"/>
        </w:rPr>
        <w:t>” (Informe del Vicepresidente sobre los trabajos de la nonagésima segunda sesión del Comité Consultivo)).</w:t>
      </w:r>
    </w:p>
    <w:p w:rsidR="00E71B18" w:rsidRPr="00E3750C" w:rsidRDefault="00E71B18" w:rsidP="00E71B18">
      <w:pPr>
        <w:rPr>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El Comité Consultivo tomó nota de que en la reunión EAF/8 y en la septuagésima tercera sesión del</w:t>
      </w:r>
      <w:r w:rsidR="00AF38A3" w:rsidRPr="00E3750C">
        <w:rPr>
          <w:lang w:val="es-ES"/>
        </w:rPr>
        <w:t> </w:t>
      </w:r>
      <w:r w:rsidR="0068039E" w:rsidRPr="00E3750C">
        <w:rPr>
          <w:lang w:val="es-ES"/>
        </w:rPr>
        <w:t>CAJ, celebrada el 25 de octubre de 2016, se acordó, a reserva de la aprobación del Comité Consultivo, proponer al Consejo que, en su quincuagésima sesión ordinaria, que se celebraría en Ginebra el 28 de octubre de 2016, aprobara que la puesta en funcionamiento del EAF tuviera lugar en enero de 2017 (véase el párrafo 45 del documento C/50/17 “</w:t>
      </w:r>
      <w:proofErr w:type="spellStart"/>
      <w:r w:rsidR="0068039E" w:rsidRPr="00E3750C">
        <w:rPr>
          <w:i/>
          <w:lang w:val="es-ES"/>
        </w:rPr>
        <w:t>Report</w:t>
      </w:r>
      <w:proofErr w:type="spellEnd"/>
      <w:r w:rsidR="0068039E" w:rsidRPr="00E3750C">
        <w:rPr>
          <w:i/>
          <w:lang w:val="es-ES"/>
        </w:rPr>
        <w:t xml:space="preserve"> </w:t>
      </w:r>
      <w:proofErr w:type="spellStart"/>
      <w:r w:rsidR="0068039E" w:rsidRPr="00E3750C">
        <w:rPr>
          <w:i/>
          <w:lang w:val="es-ES"/>
        </w:rPr>
        <w:t>by</w:t>
      </w:r>
      <w:proofErr w:type="spellEnd"/>
      <w:r w:rsidR="0068039E" w:rsidRPr="00E3750C">
        <w:rPr>
          <w:i/>
          <w:lang w:val="es-ES"/>
        </w:rPr>
        <w:t xml:space="preserve"> </w:t>
      </w:r>
      <w:proofErr w:type="spellStart"/>
      <w:r w:rsidR="0068039E" w:rsidRPr="00E3750C">
        <w:rPr>
          <w:i/>
          <w:lang w:val="es-ES"/>
        </w:rPr>
        <w:t>the</w:t>
      </w:r>
      <w:proofErr w:type="spellEnd"/>
      <w:r w:rsidR="0068039E" w:rsidRPr="00E3750C">
        <w:rPr>
          <w:i/>
          <w:lang w:val="es-ES"/>
        </w:rPr>
        <w:t xml:space="preserve"> Vice-</w:t>
      </w:r>
      <w:proofErr w:type="spellStart"/>
      <w:r w:rsidR="0068039E" w:rsidRPr="00E3750C">
        <w:rPr>
          <w:i/>
          <w:lang w:val="es-ES"/>
        </w:rPr>
        <w:t>President</w:t>
      </w:r>
      <w:proofErr w:type="spellEnd"/>
      <w:r w:rsidR="0068039E" w:rsidRPr="00E3750C">
        <w:rPr>
          <w:i/>
          <w:lang w:val="es-ES"/>
        </w:rPr>
        <w:t xml:space="preserve"> </w:t>
      </w:r>
      <w:proofErr w:type="spellStart"/>
      <w:r w:rsidR="0068039E" w:rsidRPr="00E3750C">
        <w:rPr>
          <w:i/>
          <w:lang w:val="es-ES"/>
        </w:rPr>
        <w:t>on</w:t>
      </w:r>
      <w:proofErr w:type="spellEnd"/>
      <w:r w:rsidR="0068039E" w:rsidRPr="00E3750C">
        <w:rPr>
          <w:i/>
          <w:lang w:val="es-ES"/>
        </w:rPr>
        <w:t xml:space="preserve">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work</w:t>
      </w:r>
      <w:proofErr w:type="spellEnd"/>
      <w:r w:rsidR="0068039E" w:rsidRPr="00E3750C">
        <w:rPr>
          <w:i/>
          <w:lang w:val="es-ES"/>
        </w:rPr>
        <w:t xml:space="preserve"> of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ninety-second</w:t>
      </w:r>
      <w:proofErr w:type="spellEnd"/>
      <w:r w:rsidR="0068039E" w:rsidRPr="00E3750C">
        <w:rPr>
          <w:i/>
          <w:lang w:val="es-ES"/>
        </w:rPr>
        <w:t xml:space="preserve"> </w:t>
      </w:r>
      <w:proofErr w:type="spellStart"/>
      <w:r w:rsidR="0068039E" w:rsidRPr="00E3750C">
        <w:rPr>
          <w:i/>
          <w:lang w:val="es-ES"/>
        </w:rPr>
        <w:t>session</w:t>
      </w:r>
      <w:proofErr w:type="spellEnd"/>
      <w:r w:rsidR="0068039E" w:rsidRPr="00E3750C">
        <w:rPr>
          <w:i/>
          <w:lang w:val="es-ES"/>
        </w:rPr>
        <w:t xml:space="preserve"> </w:t>
      </w:r>
      <w:r w:rsidR="0068039E" w:rsidRPr="00E3750C">
        <w:rPr>
          <w:i/>
          <w:lang w:val="es-ES"/>
        </w:rPr>
        <w:lastRenderedPageBreak/>
        <w:t xml:space="preserve">of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Consultative</w:t>
      </w:r>
      <w:proofErr w:type="spellEnd"/>
      <w:r w:rsidR="0068039E" w:rsidRPr="00E3750C">
        <w:rPr>
          <w:i/>
          <w:lang w:val="es-ES"/>
        </w:rPr>
        <w:t xml:space="preserve"> </w:t>
      </w:r>
      <w:proofErr w:type="spellStart"/>
      <w:r w:rsidR="0068039E" w:rsidRPr="00E3750C">
        <w:rPr>
          <w:i/>
          <w:lang w:val="es-ES"/>
        </w:rPr>
        <w:t>Committee</w:t>
      </w:r>
      <w:proofErr w:type="spellEnd"/>
      <w:r w:rsidR="0068039E" w:rsidRPr="00E3750C">
        <w:rPr>
          <w:lang w:val="es-ES"/>
        </w:rPr>
        <w:t>” (Informe del Vicepresidente sobre los trabajos de la nonagésima segunda sesión del Comité Consultivo)).</w:t>
      </w:r>
    </w:p>
    <w:p w:rsidR="00E71B18" w:rsidRPr="00E3750C" w:rsidRDefault="00E71B18" w:rsidP="00E71B18">
      <w:pPr>
        <w:rPr>
          <w:lang w:val="es-ES"/>
        </w:rPr>
      </w:pPr>
    </w:p>
    <w:p w:rsidR="00E71B18" w:rsidRPr="00E3750C" w:rsidRDefault="005D0DC8" w:rsidP="00E71B18">
      <w:pPr>
        <w:rPr>
          <w:snapToGrid w:val="0"/>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El Comité Consultivo acordó solicitar al Consejo, en su quincuagésima sesión ordinaria, que se celebraría en Ginebra el 28 de octubre de 2016, la aprobación de la puesta en funcionamiento del EAF en enero de 2017 para el rosal, la soja, la lechuga, las variedades frutales de manzano y la papa/patata (véase el párrafo 47 del documento C/50/17 “</w:t>
      </w:r>
      <w:proofErr w:type="spellStart"/>
      <w:r w:rsidR="0068039E" w:rsidRPr="00E3750C">
        <w:rPr>
          <w:i/>
          <w:lang w:val="es-ES"/>
        </w:rPr>
        <w:t>Report</w:t>
      </w:r>
      <w:proofErr w:type="spellEnd"/>
      <w:r w:rsidR="0068039E" w:rsidRPr="00E3750C">
        <w:rPr>
          <w:i/>
          <w:lang w:val="es-ES"/>
        </w:rPr>
        <w:t xml:space="preserve"> </w:t>
      </w:r>
      <w:proofErr w:type="spellStart"/>
      <w:r w:rsidR="0068039E" w:rsidRPr="00E3750C">
        <w:rPr>
          <w:i/>
          <w:lang w:val="es-ES"/>
        </w:rPr>
        <w:t>by</w:t>
      </w:r>
      <w:proofErr w:type="spellEnd"/>
      <w:r w:rsidR="0068039E" w:rsidRPr="00E3750C">
        <w:rPr>
          <w:i/>
          <w:lang w:val="es-ES"/>
        </w:rPr>
        <w:t xml:space="preserve"> </w:t>
      </w:r>
      <w:proofErr w:type="spellStart"/>
      <w:r w:rsidR="0068039E" w:rsidRPr="00E3750C">
        <w:rPr>
          <w:i/>
          <w:lang w:val="es-ES"/>
        </w:rPr>
        <w:t>the</w:t>
      </w:r>
      <w:proofErr w:type="spellEnd"/>
      <w:r w:rsidR="0068039E" w:rsidRPr="00E3750C">
        <w:rPr>
          <w:i/>
          <w:lang w:val="es-ES"/>
        </w:rPr>
        <w:t xml:space="preserve"> Vice-</w:t>
      </w:r>
      <w:proofErr w:type="spellStart"/>
      <w:r w:rsidR="0068039E" w:rsidRPr="00E3750C">
        <w:rPr>
          <w:i/>
          <w:lang w:val="es-ES"/>
        </w:rPr>
        <w:t>President</w:t>
      </w:r>
      <w:proofErr w:type="spellEnd"/>
      <w:r w:rsidR="0068039E" w:rsidRPr="00E3750C">
        <w:rPr>
          <w:i/>
          <w:lang w:val="es-ES"/>
        </w:rPr>
        <w:t xml:space="preserve"> </w:t>
      </w:r>
      <w:proofErr w:type="spellStart"/>
      <w:r w:rsidR="0068039E" w:rsidRPr="00E3750C">
        <w:rPr>
          <w:i/>
          <w:lang w:val="es-ES"/>
        </w:rPr>
        <w:t>on</w:t>
      </w:r>
      <w:proofErr w:type="spellEnd"/>
      <w:r w:rsidR="0068039E" w:rsidRPr="00E3750C">
        <w:rPr>
          <w:i/>
          <w:lang w:val="es-ES"/>
        </w:rPr>
        <w:t xml:space="preserve">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work</w:t>
      </w:r>
      <w:proofErr w:type="spellEnd"/>
      <w:r w:rsidR="0068039E" w:rsidRPr="00E3750C">
        <w:rPr>
          <w:i/>
          <w:lang w:val="es-ES"/>
        </w:rPr>
        <w:t xml:space="preserve"> of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ninety-second</w:t>
      </w:r>
      <w:proofErr w:type="spellEnd"/>
      <w:r w:rsidR="0068039E" w:rsidRPr="00E3750C">
        <w:rPr>
          <w:i/>
          <w:lang w:val="es-ES"/>
        </w:rPr>
        <w:t xml:space="preserve"> </w:t>
      </w:r>
      <w:proofErr w:type="spellStart"/>
      <w:r w:rsidR="0068039E" w:rsidRPr="00E3750C">
        <w:rPr>
          <w:i/>
          <w:lang w:val="es-ES"/>
        </w:rPr>
        <w:t>session</w:t>
      </w:r>
      <w:proofErr w:type="spellEnd"/>
      <w:r w:rsidR="0068039E" w:rsidRPr="00E3750C">
        <w:rPr>
          <w:i/>
          <w:lang w:val="es-ES"/>
        </w:rPr>
        <w:t xml:space="preserve"> of </w:t>
      </w:r>
      <w:proofErr w:type="spellStart"/>
      <w:r w:rsidR="0068039E" w:rsidRPr="00E3750C">
        <w:rPr>
          <w:i/>
          <w:lang w:val="es-ES"/>
        </w:rPr>
        <w:t>the</w:t>
      </w:r>
      <w:proofErr w:type="spellEnd"/>
      <w:r w:rsidR="0068039E" w:rsidRPr="00E3750C">
        <w:rPr>
          <w:i/>
          <w:lang w:val="es-ES"/>
        </w:rPr>
        <w:t xml:space="preserve"> </w:t>
      </w:r>
      <w:proofErr w:type="spellStart"/>
      <w:r w:rsidR="0068039E" w:rsidRPr="00E3750C">
        <w:rPr>
          <w:i/>
          <w:lang w:val="es-ES"/>
        </w:rPr>
        <w:t>Consultative</w:t>
      </w:r>
      <w:proofErr w:type="spellEnd"/>
      <w:r w:rsidR="0068039E" w:rsidRPr="00E3750C">
        <w:rPr>
          <w:i/>
          <w:lang w:val="es-ES"/>
        </w:rPr>
        <w:t xml:space="preserve"> </w:t>
      </w:r>
      <w:proofErr w:type="spellStart"/>
      <w:r w:rsidR="0068039E" w:rsidRPr="00E3750C">
        <w:rPr>
          <w:i/>
          <w:lang w:val="es-ES"/>
        </w:rPr>
        <w:t>Committee</w:t>
      </w:r>
      <w:proofErr w:type="spellEnd"/>
      <w:r w:rsidR="0068039E" w:rsidRPr="00E3750C">
        <w:rPr>
          <w:lang w:val="es-ES"/>
        </w:rPr>
        <w:t>” (Informe del Vicepresidente sobre los trabajos de la nonagésima segunda sesión del Comité Consultivo)).</w:t>
      </w:r>
    </w:p>
    <w:p w:rsidR="00E71B18" w:rsidRPr="00E3750C" w:rsidRDefault="00E71B18" w:rsidP="00E71B18">
      <w:pPr>
        <w:rPr>
          <w:lang w:val="es-ES"/>
        </w:rPr>
      </w:pPr>
    </w:p>
    <w:p w:rsidR="00E71B18" w:rsidRPr="00E3750C" w:rsidRDefault="005D0DC8" w:rsidP="00E71B18">
      <w:pPr>
        <w:rPr>
          <w:snapToGrid w:val="0"/>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 xml:space="preserve">En su quincuagésima sesión ordinaria, el Consejo aprobó la puesta en funcionamiento del formulario electrónico de solicitud (EAF) en enero de 2017 para el rosal, la soja, la lechuga, </w:t>
      </w:r>
      <w:r w:rsidR="00AF38A3" w:rsidRPr="00E3750C">
        <w:rPr>
          <w:lang w:val="es-ES"/>
        </w:rPr>
        <w:t xml:space="preserve">las </w:t>
      </w:r>
      <w:r w:rsidR="0068039E" w:rsidRPr="00E3750C">
        <w:rPr>
          <w:lang w:val="es-ES"/>
        </w:rPr>
        <w:t>variedades frutales de manzano y la patata, tal como se expone en los párrafos 40 a 47 del documento C/50/17 (véase el párrafo 11.d) del documento C/50/19 “Informe sobre las decisiones”).</w:t>
      </w:r>
    </w:p>
    <w:p w:rsidR="00E71B18" w:rsidRPr="00E3750C" w:rsidRDefault="00E71B18" w:rsidP="00E71B18">
      <w:pPr>
        <w:rPr>
          <w:lang w:val="es-ES"/>
        </w:rPr>
      </w:pPr>
    </w:p>
    <w:p w:rsidR="00E71B18" w:rsidRPr="00E3750C" w:rsidRDefault="00E71B18" w:rsidP="00E71B18">
      <w:pPr>
        <w:pStyle w:val="Heading2"/>
        <w:rPr>
          <w:rFonts w:cs="Arial"/>
          <w:sz w:val="19"/>
          <w:szCs w:val="19"/>
          <w:lang w:val="es-ES"/>
        </w:rPr>
      </w:pPr>
      <w:bookmarkStart w:id="27" w:name="_Toc414608730"/>
      <w:bookmarkStart w:id="28" w:name="_Toc442185536"/>
      <w:bookmarkStart w:id="29" w:name="_Toc442687435"/>
      <w:bookmarkStart w:id="30" w:name="_Toc477880924"/>
      <w:bookmarkStart w:id="31" w:name="_Toc478483759"/>
      <w:r w:rsidRPr="00E3750C">
        <w:rPr>
          <w:sz w:val="19"/>
          <w:lang w:val="es-ES"/>
        </w:rPr>
        <w:t xml:space="preserve">Últimas novedades relativas al </w:t>
      </w:r>
      <w:bookmarkEnd w:id="27"/>
      <w:bookmarkEnd w:id="28"/>
      <w:bookmarkEnd w:id="29"/>
      <w:r w:rsidRPr="00E3750C">
        <w:rPr>
          <w:sz w:val="19"/>
          <w:lang w:val="es-ES"/>
        </w:rPr>
        <w:t>EAF</w:t>
      </w:r>
      <w:bookmarkEnd w:id="30"/>
      <w:bookmarkEnd w:id="31"/>
    </w:p>
    <w:p w:rsidR="00E71B18" w:rsidRPr="00E3750C" w:rsidRDefault="00E71B18" w:rsidP="00E71B18">
      <w:pPr>
        <w:rPr>
          <w:rFonts w:cs="Arial"/>
          <w:color w:val="000000"/>
          <w:lang w:val="es-ES"/>
        </w:rPr>
      </w:pPr>
    </w:p>
    <w:p w:rsidR="00E71B18" w:rsidRPr="00E3750C" w:rsidRDefault="00E71B18" w:rsidP="00E71B18">
      <w:pPr>
        <w:pStyle w:val="Heading3"/>
        <w:rPr>
          <w:lang w:val="es-ES"/>
        </w:rPr>
      </w:pPr>
      <w:bookmarkStart w:id="32" w:name="_Toc477541723"/>
      <w:bookmarkStart w:id="33" w:name="_Toc477880925"/>
      <w:bookmarkStart w:id="34" w:name="_Toc478483760"/>
      <w:r w:rsidRPr="00E3750C">
        <w:rPr>
          <w:lang w:val="es-ES"/>
        </w:rPr>
        <w:t>Puesta en funcionamiento de la versión 1.0 del EAF</w:t>
      </w:r>
      <w:bookmarkEnd w:id="32"/>
      <w:bookmarkEnd w:id="33"/>
      <w:bookmarkEnd w:id="34"/>
    </w:p>
    <w:p w:rsidR="00E71B18" w:rsidRPr="00E3750C" w:rsidRDefault="00E71B18" w:rsidP="00E71B18">
      <w:pPr>
        <w:pStyle w:val="Heading3"/>
        <w:rPr>
          <w:lang w:val="es-ES"/>
        </w:rPr>
      </w:pPr>
      <w:bookmarkStart w:id="35" w:name="_Toc442185537"/>
      <w:bookmarkStart w:id="36" w:name="_Toc442776593"/>
    </w:p>
    <w:bookmarkEnd w:id="35"/>
    <w:bookmarkEnd w:id="36"/>
    <w:p w:rsidR="00E71B18" w:rsidRPr="00E3750C" w:rsidRDefault="005D0DC8" w:rsidP="00E71B18">
      <w:pPr>
        <w:rPr>
          <w:rFonts w:cs="Arial"/>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El 31 de octubre de 2016 se envió la Circular</w:t>
      </w:r>
      <w:r w:rsidR="0068039E" w:rsidRPr="00E3750C">
        <w:rPr>
          <w:color w:val="000000"/>
          <w:lang w:val="es-ES"/>
        </w:rPr>
        <w:t xml:space="preserve"> E-16/266, por la que se invitó a todos los miembros participantes en la elaboración de un formulario electrónico de solicitud </w:t>
      </w:r>
      <w:r w:rsidR="0068039E" w:rsidRPr="00E3750C">
        <w:rPr>
          <w:lang w:val="es-ES"/>
        </w:rPr>
        <w:t xml:space="preserve">(Argentina, Australia, Bolivia (Estado Plurinacional de), Brasil, Canadá, Chile, Colombia, Estados Unidos de América, Francia, Georgia, Japón, </w:t>
      </w:r>
      <w:proofErr w:type="spellStart"/>
      <w:r w:rsidR="0068039E" w:rsidRPr="00E3750C">
        <w:rPr>
          <w:lang w:val="es-ES"/>
        </w:rPr>
        <w:t>Kenya</w:t>
      </w:r>
      <w:proofErr w:type="spellEnd"/>
      <w:r w:rsidR="0068039E" w:rsidRPr="00E3750C">
        <w:rPr>
          <w:lang w:val="es-ES"/>
        </w:rPr>
        <w:t xml:space="preserve">, México, Países Bajos, OAPI, Noruega, Nueva Zelandia, República Checa, República de Corea, Sudáfrica, Suiza, Túnez, Unión Europea, Uruguay y </w:t>
      </w:r>
      <w:proofErr w:type="spellStart"/>
      <w:r w:rsidR="0068039E" w:rsidRPr="00E3750C">
        <w:rPr>
          <w:lang w:val="es-ES"/>
        </w:rPr>
        <w:t>Viet</w:t>
      </w:r>
      <w:proofErr w:type="spellEnd"/>
      <w:r w:rsidR="0068039E" w:rsidRPr="00E3750C">
        <w:rPr>
          <w:lang w:val="es-ES"/>
        </w:rPr>
        <w:t xml:space="preserve"> </w:t>
      </w:r>
      <w:proofErr w:type="spellStart"/>
      <w:r w:rsidR="0068039E" w:rsidRPr="00E3750C">
        <w:rPr>
          <w:lang w:val="es-ES"/>
        </w:rPr>
        <w:t>Nam</w:t>
      </w:r>
      <w:proofErr w:type="spellEnd"/>
      <w:r w:rsidR="0068039E" w:rsidRPr="00E3750C">
        <w:rPr>
          <w:lang w:val="es-ES"/>
        </w:rPr>
        <w:t>)</w:t>
      </w:r>
      <w:r w:rsidR="0068039E" w:rsidRPr="00E3750C">
        <w:rPr>
          <w:color w:val="000000"/>
          <w:spacing w:val="-2"/>
          <w:lang w:val="es-ES"/>
        </w:rPr>
        <w:t xml:space="preserve"> a comunicar a la Oficina de la Unión si deseaban participar en la puesta en funcionamiento del </w:t>
      </w:r>
      <w:r w:rsidR="0068039E" w:rsidRPr="00E3750C">
        <w:rPr>
          <w:lang w:val="es-ES"/>
        </w:rPr>
        <w:t>EAF.</w:t>
      </w:r>
    </w:p>
    <w:p w:rsidR="00E71B18" w:rsidRPr="00E3750C" w:rsidRDefault="00E71B18" w:rsidP="00E71B18">
      <w:pPr>
        <w:spacing w:line="360" w:lineRule="auto"/>
        <w:rPr>
          <w:lang w:val="es-ES"/>
        </w:rPr>
      </w:pPr>
    </w:p>
    <w:p w:rsidR="00E71B18" w:rsidRPr="00E3750C" w:rsidRDefault="00E71B18" w:rsidP="00E3750C">
      <w:pPr>
        <w:pStyle w:val="Heading4"/>
      </w:pPr>
      <w:bookmarkStart w:id="37" w:name="_Toc477541724"/>
      <w:r w:rsidRPr="00E3750C">
        <w:t>Miembros de la UPOV que participan en el EAF y cultivos que abarca el EAF</w:t>
      </w:r>
      <w:bookmarkEnd w:id="37"/>
    </w:p>
    <w:p w:rsidR="00E71B18" w:rsidRPr="00E3750C" w:rsidRDefault="00E71B18" w:rsidP="00E71B18">
      <w:pPr>
        <w:rPr>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Los siguientes miembros de la UPOV participaron en la puesta en funcionamiento del EAF el 9</w:t>
      </w:r>
      <w:r w:rsidR="00E3750C">
        <w:rPr>
          <w:lang w:val="es-ES"/>
        </w:rPr>
        <w:t> </w:t>
      </w:r>
      <w:r w:rsidR="0068039E" w:rsidRPr="00E3750C">
        <w:rPr>
          <w:lang w:val="es-ES"/>
        </w:rPr>
        <w:t>de</w:t>
      </w:r>
      <w:r w:rsidR="00E3750C">
        <w:rPr>
          <w:lang w:val="es-ES"/>
        </w:rPr>
        <w:t> </w:t>
      </w:r>
      <w:r w:rsidR="0068039E" w:rsidRPr="00E3750C">
        <w:rPr>
          <w:lang w:val="es-ES"/>
        </w:rPr>
        <w:t>enero de 2017, para los cultivos que se indican:</w:t>
      </w:r>
    </w:p>
    <w:p w:rsidR="00E71B18" w:rsidRPr="00E3750C" w:rsidRDefault="00E71B18" w:rsidP="00E71B18">
      <w:pPr>
        <w:rPr>
          <w:rFonts w:cs="Arial"/>
          <w:color w:val="000000"/>
          <w:lang w:val="es-ES"/>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39"/>
        <w:gridCol w:w="1170"/>
        <w:gridCol w:w="1276"/>
        <w:gridCol w:w="1134"/>
        <w:gridCol w:w="1134"/>
        <w:gridCol w:w="839"/>
      </w:tblGrid>
      <w:tr w:rsidR="009301C9" w:rsidRPr="00E3750C" w:rsidTr="00266A01">
        <w:trPr>
          <w:cantSplit/>
          <w:jc w:val="center"/>
        </w:trPr>
        <w:tc>
          <w:tcPr>
            <w:tcW w:w="2541" w:type="dxa"/>
            <w:gridSpan w:val="2"/>
            <w:vMerge w:val="restart"/>
            <w:vAlign w:val="center"/>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Autoridad</w:t>
            </w:r>
          </w:p>
        </w:tc>
        <w:tc>
          <w:tcPr>
            <w:tcW w:w="1239" w:type="dxa"/>
            <w:tcBorders>
              <w:bottom w:val="nil"/>
            </w:tcBorders>
            <w:noWrap/>
            <w:vAlign w:val="center"/>
            <w:hideMark/>
          </w:tcPr>
          <w:p w:rsidR="009301C9" w:rsidRPr="00E3750C" w:rsidRDefault="009301C9" w:rsidP="00266A01">
            <w:pPr>
              <w:jc w:val="center"/>
              <w:rPr>
                <w:bCs/>
                <w:color w:val="000000" w:themeColor="text1"/>
                <w:spacing w:val="-2"/>
                <w:sz w:val="14"/>
                <w:lang w:val="es-ES"/>
              </w:rPr>
            </w:pPr>
            <w:r w:rsidRPr="00E3750C">
              <w:rPr>
                <w:color w:val="000000" w:themeColor="text1"/>
                <w:spacing w:val="-2"/>
                <w:sz w:val="14"/>
                <w:lang w:val="es-ES"/>
              </w:rPr>
              <w:t>GLYCI_MAX</w:t>
            </w:r>
          </w:p>
        </w:tc>
        <w:tc>
          <w:tcPr>
            <w:tcW w:w="1170" w:type="dxa"/>
            <w:tcBorders>
              <w:bottom w:val="nil"/>
            </w:tcBorders>
            <w:noWrap/>
            <w:vAlign w:val="center"/>
            <w:hideMark/>
          </w:tcPr>
          <w:p w:rsidR="009301C9" w:rsidRPr="00E3750C" w:rsidRDefault="009301C9" w:rsidP="00266A01">
            <w:pPr>
              <w:jc w:val="center"/>
              <w:rPr>
                <w:bCs/>
                <w:color w:val="000000" w:themeColor="text1"/>
                <w:spacing w:val="-2"/>
                <w:sz w:val="14"/>
                <w:lang w:val="es-ES"/>
              </w:rPr>
            </w:pPr>
            <w:r w:rsidRPr="00E3750C">
              <w:rPr>
                <w:color w:val="000000" w:themeColor="text1"/>
                <w:spacing w:val="-2"/>
                <w:sz w:val="14"/>
                <w:lang w:val="es-ES"/>
              </w:rPr>
              <w:t>LACTU_SAT</w:t>
            </w:r>
          </w:p>
        </w:tc>
        <w:tc>
          <w:tcPr>
            <w:tcW w:w="1276" w:type="dxa"/>
            <w:tcBorders>
              <w:bottom w:val="nil"/>
            </w:tcBorders>
            <w:noWrap/>
            <w:vAlign w:val="center"/>
            <w:hideMark/>
          </w:tcPr>
          <w:p w:rsidR="009301C9" w:rsidRPr="00E3750C" w:rsidRDefault="009301C9" w:rsidP="00266A01">
            <w:pPr>
              <w:jc w:val="center"/>
              <w:rPr>
                <w:bCs/>
                <w:color w:val="000000" w:themeColor="text1"/>
                <w:spacing w:val="-2"/>
                <w:sz w:val="14"/>
                <w:lang w:val="es-ES"/>
              </w:rPr>
            </w:pPr>
            <w:r w:rsidRPr="00E3750C">
              <w:rPr>
                <w:color w:val="000000" w:themeColor="text1"/>
                <w:spacing w:val="-2"/>
                <w:sz w:val="14"/>
                <w:lang w:val="es-ES"/>
              </w:rPr>
              <w:t>MALUS_DOM</w:t>
            </w:r>
          </w:p>
        </w:tc>
        <w:tc>
          <w:tcPr>
            <w:tcW w:w="1134" w:type="dxa"/>
            <w:tcBorders>
              <w:bottom w:val="nil"/>
            </w:tcBorders>
            <w:noWrap/>
            <w:vAlign w:val="center"/>
            <w:hideMark/>
          </w:tcPr>
          <w:p w:rsidR="009301C9" w:rsidRPr="00E3750C" w:rsidRDefault="009301C9" w:rsidP="00266A01">
            <w:pPr>
              <w:jc w:val="center"/>
              <w:rPr>
                <w:bCs/>
                <w:color w:val="000000" w:themeColor="text1"/>
                <w:spacing w:val="-2"/>
                <w:sz w:val="14"/>
                <w:lang w:val="es-ES"/>
              </w:rPr>
            </w:pPr>
            <w:r w:rsidRPr="00E3750C">
              <w:rPr>
                <w:color w:val="000000" w:themeColor="text1"/>
                <w:spacing w:val="-2"/>
                <w:sz w:val="14"/>
                <w:lang w:val="es-ES"/>
              </w:rPr>
              <w:t>ROSAA</w:t>
            </w:r>
          </w:p>
        </w:tc>
        <w:tc>
          <w:tcPr>
            <w:tcW w:w="1134" w:type="dxa"/>
            <w:tcBorders>
              <w:bottom w:val="nil"/>
            </w:tcBorders>
            <w:noWrap/>
            <w:vAlign w:val="center"/>
            <w:hideMark/>
          </w:tcPr>
          <w:p w:rsidR="009301C9" w:rsidRPr="00E3750C" w:rsidRDefault="009301C9" w:rsidP="00266A01">
            <w:pPr>
              <w:jc w:val="center"/>
              <w:rPr>
                <w:bCs/>
                <w:color w:val="000000" w:themeColor="text1"/>
                <w:spacing w:val="-2"/>
                <w:sz w:val="14"/>
                <w:lang w:val="es-ES"/>
              </w:rPr>
            </w:pPr>
            <w:r w:rsidRPr="00E3750C">
              <w:rPr>
                <w:color w:val="000000" w:themeColor="text1"/>
                <w:spacing w:val="-2"/>
                <w:sz w:val="14"/>
                <w:lang w:val="es-ES"/>
              </w:rPr>
              <w:t>SOLAN_TUB</w:t>
            </w:r>
          </w:p>
        </w:tc>
        <w:tc>
          <w:tcPr>
            <w:tcW w:w="839" w:type="dxa"/>
            <w:vMerge w:val="restart"/>
            <w:noWrap/>
            <w:vAlign w:val="center"/>
            <w:hideMark/>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Total</w:t>
            </w:r>
          </w:p>
        </w:tc>
      </w:tr>
      <w:tr w:rsidR="009301C9" w:rsidRPr="00E3750C" w:rsidTr="00266A01">
        <w:trPr>
          <w:cantSplit/>
          <w:jc w:val="center"/>
        </w:trPr>
        <w:tc>
          <w:tcPr>
            <w:tcW w:w="2541" w:type="dxa"/>
            <w:gridSpan w:val="2"/>
            <w:vMerge/>
          </w:tcPr>
          <w:p w:rsidR="009301C9" w:rsidRPr="00E3750C" w:rsidRDefault="009301C9" w:rsidP="00266A01">
            <w:pPr>
              <w:jc w:val="center"/>
              <w:rPr>
                <w:color w:val="000000" w:themeColor="text1"/>
                <w:spacing w:val="-2"/>
                <w:sz w:val="16"/>
                <w:lang w:val="es-ES"/>
              </w:rPr>
            </w:pPr>
          </w:p>
        </w:tc>
        <w:tc>
          <w:tcPr>
            <w:tcW w:w="1239" w:type="dxa"/>
            <w:tcBorders>
              <w:top w:val="nil"/>
            </w:tcBorders>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Soja</w:t>
            </w:r>
          </w:p>
        </w:tc>
        <w:tc>
          <w:tcPr>
            <w:tcW w:w="1170" w:type="dxa"/>
            <w:tcBorders>
              <w:top w:val="nil"/>
            </w:tcBorders>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Lechuga</w:t>
            </w:r>
          </w:p>
        </w:tc>
        <w:tc>
          <w:tcPr>
            <w:tcW w:w="1276" w:type="dxa"/>
            <w:tcBorders>
              <w:top w:val="nil"/>
            </w:tcBorders>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Variedades frutales de manzano</w:t>
            </w:r>
          </w:p>
        </w:tc>
        <w:tc>
          <w:tcPr>
            <w:tcW w:w="1134" w:type="dxa"/>
            <w:tcBorders>
              <w:top w:val="nil"/>
            </w:tcBorders>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Rosal</w:t>
            </w:r>
          </w:p>
        </w:tc>
        <w:tc>
          <w:tcPr>
            <w:tcW w:w="1134" w:type="dxa"/>
            <w:tcBorders>
              <w:top w:val="nil"/>
            </w:tcBorders>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Papa o patata</w:t>
            </w:r>
          </w:p>
        </w:tc>
        <w:tc>
          <w:tcPr>
            <w:tcW w:w="839" w:type="dxa"/>
            <w:vMerge/>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Argentina</w:t>
            </w:r>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AR</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w:t>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4</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Australia</w:t>
            </w:r>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AU</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5</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Chile</w:t>
            </w:r>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CL</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5</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Estados Unidos de América</w:t>
            </w:r>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US</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t xml:space="preserve"> </w:t>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w:t>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w:t>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w:t>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2</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Francia</w:t>
            </w:r>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FR</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5</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proofErr w:type="spellStart"/>
            <w:r w:rsidRPr="00E3750C">
              <w:rPr>
                <w:color w:val="000000" w:themeColor="text1"/>
                <w:spacing w:val="-2"/>
                <w:sz w:val="16"/>
                <w:lang w:val="es-ES"/>
              </w:rPr>
              <w:t>Kenya</w:t>
            </w:r>
            <w:proofErr w:type="spellEnd"/>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KE</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5</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Nueva Zelandia</w:t>
            </w:r>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NZ</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w:t>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4</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Noruega</w:t>
            </w:r>
          </w:p>
        </w:tc>
        <w:tc>
          <w:tcPr>
            <w:tcW w:w="567"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NO</w:t>
            </w:r>
          </w:p>
        </w:tc>
        <w:tc>
          <w:tcPr>
            <w:tcW w:w="1239"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276"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5</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Países Bajos</w:t>
            </w:r>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NL</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5</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Suiza</w:t>
            </w:r>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CH</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5</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Túnez</w:t>
            </w:r>
          </w:p>
        </w:tc>
        <w:tc>
          <w:tcPr>
            <w:tcW w:w="567"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TN</w:t>
            </w:r>
          </w:p>
        </w:tc>
        <w:tc>
          <w:tcPr>
            <w:tcW w:w="1239"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27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5</w:t>
            </w:r>
          </w:p>
        </w:tc>
      </w:tr>
      <w:tr w:rsidR="009301C9" w:rsidRPr="00E3750C" w:rsidTr="00266A01">
        <w:trPr>
          <w:cantSplit/>
          <w:jc w:val="center"/>
        </w:trPr>
        <w:tc>
          <w:tcPr>
            <w:tcW w:w="1974"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Uruguay</w:t>
            </w:r>
          </w:p>
        </w:tc>
        <w:tc>
          <w:tcPr>
            <w:tcW w:w="567"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UY</w:t>
            </w:r>
          </w:p>
        </w:tc>
        <w:tc>
          <w:tcPr>
            <w:tcW w:w="1239"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70"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w:t>
            </w:r>
          </w:p>
        </w:tc>
        <w:tc>
          <w:tcPr>
            <w:tcW w:w="1276"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1134"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w:t>
            </w:r>
          </w:p>
        </w:tc>
        <w:tc>
          <w:tcPr>
            <w:tcW w:w="1134"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839"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3</w:t>
            </w:r>
          </w:p>
        </w:tc>
      </w:tr>
      <w:tr w:rsidR="009301C9" w:rsidRPr="00E3750C" w:rsidTr="00266A01">
        <w:trPr>
          <w:cantSplit/>
          <w:jc w:val="center"/>
        </w:trPr>
        <w:tc>
          <w:tcPr>
            <w:tcW w:w="1974" w:type="dxa"/>
            <w:vAlign w:val="center"/>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Total</w:t>
            </w:r>
          </w:p>
        </w:tc>
        <w:tc>
          <w:tcPr>
            <w:tcW w:w="567" w:type="dxa"/>
            <w:noWrap/>
            <w:vAlign w:val="center"/>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12</w:t>
            </w:r>
          </w:p>
        </w:tc>
        <w:tc>
          <w:tcPr>
            <w:tcW w:w="1239" w:type="dxa"/>
            <w:noWrap/>
            <w:vAlign w:val="center"/>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11</w:t>
            </w:r>
          </w:p>
        </w:tc>
        <w:tc>
          <w:tcPr>
            <w:tcW w:w="1170" w:type="dxa"/>
            <w:noWrap/>
            <w:vAlign w:val="center"/>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10</w:t>
            </w:r>
          </w:p>
        </w:tc>
        <w:tc>
          <w:tcPr>
            <w:tcW w:w="1276" w:type="dxa"/>
            <w:noWrap/>
            <w:vAlign w:val="center"/>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11</w:t>
            </w:r>
          </w:p>
        </w:tc>
        <w:tc>
          <w:tcPr>
            <w:tcW w:w="1134" w:type="dxa"/>
            <w:noWrap/>
            <w:vAlign w:val="center"/>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10</w:t>
            </w:r>
          </w:p>
        </w:tc>
        <w:tc>
          <w:tcPr>
            <w:tcW w:w="1134" w:type="dxa"/>
            <w:noWrap/>
            <w:vAlign w:val="center"/>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11</w:t>
            </w:r>
          </w:p>
        </w:tc>
        <w:tc>
          <w:tcPr>
            <w:tcW w:w="839" w:type="dxa"/>
            <w:noWrap/>
            <w:vAlign w:val="center"/>
          </w:tcPr>
          <w:p w:rsidR="009301C9" w:rsidRPr="00E3750C" w:rsidRDefault="009301C9" w:rsidP="00266A01">
            <w:pPr>
              <w:jc w:val="center"/>
              <w:rPr>
                <w:bCs/>
                <w:color w:val="000000" w:themeColor="text1"/>
                <w:spacing w:val="-2"/>
                <w:sz w:val="16"/>
                <w:lang w:val="es-ES"/>
              </w:rPr>
            </w:pPr>
          </w:p>
        </w:tc>
      </w:tr>
    </w:tbl>
    <w:p w:rsidR="00E71B18" w:rsidRPr="00E3750C" w:rsidRDefault="00E71B18" w:rsidP="00E71B18">
      <w:pPr>
        <w:rPr>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 xml:space="preserve">El 9 de enero de 2017, se puso en funcionamiento la versión 1.0 del EAF en el sitio web de la UPOV, con la posibilidad de transmitir los datos de las solicitudes introducidos el 16 de enero de 2017.  </w:t>
      </w:r>
    </w:p>
    <w:p w:rsidR="00E71B18" w:rsidRPr="00E3750C" w:rsidRDefault="00E71B18" w:rsidP="00E71B18">
      <w:pPr>
        <w:rPr>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La versión 1.0 del EAF está disponible en alemán, español, francés e inglés.</w:t>
      </w:r>
    </w:p>
    <w:p w:rsidR="00E71B18" w:rsidRPr="00E3750C" w:rsidRDefault="00E71B18" w:rsidP="00E71B18">
      <w:pPr>
        <w:spacing w:line="360" w:lineRule="auto"/>
        <w:rPr>
          <w:lang w:val="es-ES"/>
        </w:rPr>
      </w:pPr>
    </w:p>
    <w:p w:rsidR="00E71B18" w:rsidRPr="00E3750C" w:rsidRDefault="00E71B18" w:rsidP="00E3750C">
      <w:pPr>
        <w:pStyle w:val="Heading4"/>
      </w:pPr>
      <w:bookmarkStart w:id="38" w:name="_Toc477541725"/>
      <w:r w:rsidRPr="00E3750C">
        <w:t>Página del EAF en el sitio web de la UPOV</w:t>
      </w:r>
      <w:bookmarkEnd w:id="38"/>
    </w:p>
    <w:p w:rsidR="00E71B18" w:rsidRPr="00E3750C" w:rsidRDefault="00E71B18" w:rsidP="00E71B18">
      <w:pPr>
        <w:keepNext/>
        <w:jc w:val="left"/>
        <w:rPr>
          <w:rFonts w:cs="Arial"/>
          <w:color w:val="000000"/>
          <w:lang w:val="es-ES"/>
        </w:rPr>
      </w:pPr>
    </w:p>
    <w:p w:rsidR="00E71B18" w:rsidRPr="00E3750C" w:rsidRDefault="005D0DC8" w:rsidP="00E71B18">
      <w:pPr>
        <w:rPr>
          <w:lang w:val="es-ES"/>
        </w:rPr>
      </w:pPr>
      <w:r w:rsidRPr="00E3750C">
        <w:rPr>
          <w:rFonts w:cs="Arial"/>
          <w:color w:val="000000"/>
          <w:spacing w:val="-2"/>
          <w:lang w:val="es-ES"/>
        </w:rPr>
        <w:fldChar w:fldCharType="begin"/>
      </w:r>
      <w:r w:rsidR="00E71B18" w:rsidRPr="00E3750C">
        <w:rPr>
          <w:rFonts w:cs="Arial"/>
          <w:color w:val="000000"/>
          <w:spacing w:val="-2"/>
          <w:lang w:val="es-ES"/>
        </w:rPr>
        <w:instrText xml:space="preserve"> AUTONUM  </w:instrText>
      </w:r>
      <w:r w:rsidRPr="00E3750C">
        <w:rPr>
          <w:rFonts w:cs="Arial"/>
          <w:color w:val="000000"/>
          <w:spacing w:val="-2"/>
          <w:lang w:val="es-ES"/>
        </w:rPr>
        <w:fldChar w:fldCharType="end"/>
      </w:r>
      <w:r w:rsidR="0068039E" w:rsidRPr="00E3750C">
        <w:rPr>
          <w:lang w:val="es-ES"/>
        </w:rPr>
        <w:tab/>
        <w:t xml:space="preserve">En el momento de la puesta en funcionamiento del EAF el 9 de enero de 2017, se creó una página web específica para el EAF, en la dirección: </w:t>
      </w:r>
      <w:hyperlink r:id="rId9">
        <w:r w:rsidR="0068039E" w:rsidRPr="00E3750C">
          <w:rPr>
            <w:rStyle w:val="Hyperlink"/>
            <w:lang w:val="es-ES"/>
          </w:rPr>
          <w:t>http://www.upov.int/upoveaf</w:t>
        </w:r>
      </w:hyperlink>
      <w:r w:rsidR="0068039E" w:rsidRPr="00E3750C">
        <w:rPr>
          <w:lang w:val="es-ES"/>
        </w:rPr>
        <w:t>, en la que consta toda la información necesaria para acceder y utilizar el EAF.</w:t>
      </w:r>
    </w:p>
    <w:p w:rsidR="00E71B18" w:rsidRPr="00E3750C" w:rsidRDefault="00E71B18" w:rsidP="00E71B18">
      <w:pPr>
        <w:spacing w:line="360" w:lineRule="auto"/>
        <w:rPr>
          <w:lang w:val="es-ES"/>
        </w:rPr>
      </w:pPr>
    </w:p>
    <w:p w:rsidR="00E71B18" w:rsidRPr="00E3750C" w:rsidRDefault="00E71B18" w:rsidP="00E3750C">
      <w:pPr>
        <w:pStyle w:val="Heading4"/>
      </w:pPr>
      <w:bookmarkStart w:id="39" w:name="_Toc477541726"/>
      <w:r w:rsidRPr="00E3750C">
        <w:t>Métodos de pago</w:t>
      </w:r>
      <w:bookmarkEnd w:id="39"/>
      <w:r w:rsidRPr="00E3750C">
        <w:t xml:space="preserve"> </w:t>
      </w:r>
    </w:p>
    <w:p w:rsidR="00E71B18" w:rsidRPr="00E3750C" w:rsidRDefault="00E71B18" w:rsidP="00E71B18">
      <w:pPr>
        <w:keepNext/>
        <w:rPr>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El pago se puede realizar por transferencia bancaria o tarjeta de crédito.</w:t>
      </w:r>
    </w:p>
    <w:p w:rsidR="00E71B18" w:rsidRPr="00E3750C" w:rsidRDefault="00E71B18" w:rsidP="00E71B18">
      <w:pPr>
        <w:spacing w:line="360" w:lineRule="auto"/>
        <w:rPr>
          <w:lang w:val="es-ES"/>
        </w:rPr>
      </w:pPr>
    </w:p>
    <w:p w:rsidR="00E71B18" w:rsidRPr="00E3750C" w:rsidRDefault="00E71B18" w:rsidP="00E3750C">
      <w:pPr>
        <w:pStyle w:val="Heading4"/>
      </w:pPr>
      <w:bookmarkStart w:id="40" w:name="_Toc477541727"/>
      <w:r w:rsidRPr="00E3750C">
        <w:t>Opciones para transmitir los datos</w:t>
      </w:r>
      <w:bookmarkEnd w:id="40"/>
    </w:p>
    <w:p w:rsidR="00E71B18" w:rsidRPr="00E3750C" w:rsidRDefault="00E71B18" w:rsidP="00E71B18">
      <w:pPr>
        <w:keepNext/>
        <w:rPr>
          <w:lang w:val="es-ES"/>
        </w:rPr>
      </w:pPr>
    </w:p>
    <w:p w:rsidR="00E71B18" w:rsidRPr="00E3750C" w:rsidRDefault="005D0DC8" w:rsidP="00E71B18">
      <w:pPr>
        <w:keepNext/>
        <w:rPr>
          <w:color w:val="000000"/>
          <w:spacing w:val="-2"/>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r>
      <w:r w:rsidR="0068039E" w:rsidRPr="00E3750C">
        <w:rPr>
          <w:color w:val="000000"/>
          <w:spacing w:val="-2"/>
          <w:lang w:val="es-ES"/>
        </w:rPr>
        <w:t xml:space="preserve">Para transmitir los datos de la solicitud, los miembros participantes en la versión 1.0 han optado por lo siguiente: </w:t>
      </w:r>
    </w:p>
    <w:p w:rsidR="009301C9" w:rsidRPr="00E3750C" w:rsidRDefault="009301C9" w:rsidP="00E71B18">
      <w:pPr>
        <w:keepNext/>
        <w:rPr>
          <w:rFonts w:cs="Arial"/>
          <w:color w:val="000000"/>
          <w:spacing w:val="-2"/>
          <w:lang w:val="es-ES"/>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9301C9" w:rsidRPr="00E3750C" w:rsidTr="00266A01">
        <w:trPr>
          <w:cantSplit/>
          <w:tblHeader/>
          <w:jc w:val="center"/>
        </w:trPr>
        <w:tc>
          <w:tcPr>
            <w:tcW w:w="4791" w:type="dxa"/>
            <w:gridSpan w:val="2"/>
            <w:vAlign w:val="center"/>
          </w:tcPr>
          <w:p w:rsidR="009301C9" w:rsidRPr="00E3750C" w:rsidRDefault="009301C9" w:rsidP="00266A01">
            <w:pPr>
              <w:keepNext/>
              <w:jc w:val="center"/>
              <w:rPr>
                <w:bCs/>
                <w:color w:val="000000" w:themeColor="text1"/>
                <w:spacing w:val="-2"/>
                <w:sz w:val="16"/>
                <w:lang w:val="es-ES"/>
              </w:rPr>
            </w:pPr>
            <w:r w:rsidRPr="00E3750C">
              <w:rPr>
                <w:color w:val="000000" w:themeColor="text1"/>
                <w:spacing w:val="-2"/>
                <w:sz w:val="16"/>
                <w:lang w:val="es-ES"/>
              </w:rPr>
              <w:t>Autoridad</w:t>
            </w:r>
          </w:p>
        </w:tc>
        <w:tc>
          <w:tcPr>
            <w:tcW w:w="2336" w:type="dxa"/>
            <w:noWrap/>
            <w:vAlign w:val="center"/>
            <w:hideMark/>
          </w:tcPr>
          <w:p w:rsidR="009301C9" w:rsidRPr="00E3750C" w:rsidRDefault="009301C9" w:rsidP="00266A01">
            <w:pPr>
              <w:keepNext/>
              <w:jc w:val="center"/>
              <w:rPr>
                <w:bCs/>
                <w:color w:val="000000" w:themeColor="text1"/>
                <w:spacing w:val="-2"/>
                <w:sz w:val="16"/>
                <w:lang w:val="es-ES"/>
              </w:rPr>
            </w:pPr>
            <w:r w:rsidRPr="00E3750C">
              <w:rPr>
                <w:color w:val="000000" w:themeColor="text1"/>
                <w:spacing w:val="-2"/>
                <w:sz w:val="16"/>
                <w:lang w:val="es-ES"/>
              </w:rPr>
              <w:t>notificación por correo electrónico</w:t>
            </w:r>
          </w:p>
        </w:tc>
        <w:tc>
          <w:tcPr>
            <w:tcW w:w="2206" w:type="dxa"/>
            <w:noWrap/>
            <w:vAlign w:val="center"/>
          </w:tcPr>
          <w:p w:rsidR="009301C9" w:rsidRPr="00E3750C" w:rsidRDefault="009301C9" w:rsidP="00266A01">
            <w:pPr>
              <w:keepNext/>
              <w:jc w:val="center"/>
              <w:rPr>
                <w:bCs/>
                <w:color w:val="000000" w:themeColor="text1"/>
                <w:spacing w:val="-2"/>
                <w:sz w:val="16"/>
                <w:lang w:val="es-ES"/>
              </w:rPr>
            </w:pPr>
            <w:r w:rsidRPr="00E3750C">
              <w:rPr>
                <w:color w:val="000000" w:themeColor="text1"/>
                <w:spacing w:val="-2"/>
                <w:sz w:val="16"/>
                <w:lang w:val="es-ES"/>
              </w:rPr>
              <w:t>en papel por correo postal</w:t>
            </w:r>
          </w:p>
        </w:tc>
      </w:tr>
      <w:tr w:rsidR="009301C9" w:rsidRPr="00E3750C" w:rsidTr="00266A01">
        <w:trPr>
          <w:cantSplit/>
          <w:jc w:val="center"/>
        </w:trPr>
        <w:tc>
          <w:tcPr>
            <w:tcW w:w="3722" w:type="dxa"/>
            <w:vAlign w:val="center"/>
          </w:tcPr>
          <w:p w:rsidR="009301C9" w:rsidRPr="00E3750C" w:rsidRDefault="009301C9" w:rsidP="00266A01">
            <w:pPr>
              <w:keepNext/>
              <w:jc w:val="left"/>
              <w:rPr>
                <w:color w:val="000000" w:themeColor="text1"/>
                <w:spacing w:val="-2"/>
                <w:sz w:val="16"/>
                <w:lang w:val="es-ES"/>
              </w:rPr>
            </w:pPr>
            <w:r w:rsidRPr="00E3750C">
              <w:rPr>
                <w:color w:val="000000" w:themeColor="text1"/>
                <w:spacing w:val="-2"/>
                <w:sz w:val="16"/>
                <w:lang w:val="es-ES"/>
              </w:rPr>
              <w:t>Argentina</w:t>
            </w:r>
          </w:p>
        </w:tc>
        <w:tc>
          <w:tcPr>
            <w:tcW w:w="1069" w:type="dxa"/>
            <w:noWrap/>
            <w:vAlign w:val="center"/>
            <w:hideMark/>
          </w:tcPr>
          <w:p w:rsidR="009301C9" w:rsidRPr="00E3750C" w:rsidRDefault="009301C9" w:rsidP="00266A01">
            <w:pPr>
              <w:keepNext/>
              <w:jc w:val="center"/>
              <w:rPr>
                <w:color w:val="000000" w:themeColor="text1"/>
                <w:spacing w:val="-2"/>
                <w:sz w:val="16"/>
                <w:lang w:val="es-ES"/>
              </w:rPr>
            </w:pPr>
            <w:r w:rsidRPr="00E3750C">
              <w:rPr>
                <w:color w:val="000000" w:themeColor="text1"/>
                <w:spacing w:val="-2"/>
                <w:sz w:val="16"/>
                <w:lang w:val="es-ES"/>
              </w:rPr>
              <w:t>AR</w:t>
            </w:r>
          </w:p>
        </w:tc>
        <w:tc>
          <w:tcPr>
            <w:tcW w:w="2336" w:type="dxa"/>
            <w:noWrap/>
            <w:vAlign w:val="center"/>
            <w:hideMark/>
          </w:tcPr>
          <w:p w:rsidR="009301C9" w:rsidRPr="00E3750C" w:rsidRDefault="009301C9" w:rsidP="00266A01">
            <w:pPr>
              <w:keepNext/>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keepNext/>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Australia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AU</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Chile</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CL</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Estados Unidos de América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US</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t xml:space="preserve"> </w:t>
            </w: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Francia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FR</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proofErr w:type="spellStart"/>
            <w:r w:rsidRPr="00E3750C">
              <w:rPr>
                <w:color w:val="000000" w:themeColor="text1"/>
                <w:spacing w:val="-2"/>
                <w:sz w:val="16"/>
                <w:lang w:val="es-ES"/>
              </w:rPr>
              <w:t>Kenya</w:t>
            </w:r>
            <w:proofErr w:type="spellEnd"/>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KE</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Nueva Zelandia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NZ</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Noruega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NO</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Países Bajos</w:t>
            </w:r>
          </w:p>
        </w:tc>
        <w:tc>
          <w:tcPr>
            <w:tcW w:w="1069"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NL</w:t>
            </w:r>
          </w:p>
        </w:tc>
        <w:tc>
          <w:tcPr>
            <w:tcW w:w="2336"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Suiza</w:t>
            </w:r>
          </w:p>
        </w:tc>
        <w:tc>
          <w:tcPr>
            <w:tcW w:w="1069"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CH</w:t>
            </w:r>
          </w:p>
        </w:tc>
        <w:tc>
          <w:tcPr>
            <w:tcW w:w="2336"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Túnez</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TN</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t>-</w:t>
            </w:r>
          </w:p>
        </w:tc>
        <w:tc>
          <w:tcPr>
            <w:tcW w:w="220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r w:rsidRPr="00E3750C">
              <w:rPr>
                <w:caps/>
                <w:color w:val="000000" w:themeColor="text1"/>
                <w:lang w:val="es-ES"/>
              </w:rPr>
              <w:t>*</w:t>
            </w: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Uruguay</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UY</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hideMark/>
          </w:tcPr>
          <w:p w:rsidR="009301C9" w:rsidRPr="00E3750C" w:rsidRDefault="009301C9" w:rsidP="00266A01">
            <w:pPr>
              <w:jc w:val="center"/>
              <w:rPr>
                <w:color w:val="000000" w:themeColor="text1"/>
                <w:spacing w:val="-2"/>
                <w:sz w:val="16"/>
                <w:lang w:val="es-ES"/>
              </w:rPr>
            </w:pPr>
          </w:p>
        </w:tc>
      </w:tr>
    </w:tbl>
    <w:p w:rsidR="00E71B18" w:rsidRPr="00E3750C" w:rsidRDefault="00E71B18" w:rsidP="00E71B18">
      <w:pPr>
        <w:ind w:left="567"/>
        <w:rPr>
          <w:i/>
          <w:iCs/>
          <w:color w:val="000000"/>
          <w:spacing w:val="-2"/>
          <w:sz w:val="16"/>
          <w:szCs w:val="16"/>
          <w:lang w:val="es-ES"/>
        </w:rPr>
      </w:pPr>
      <w:r w:rsidRPr="00E3750C">
        <w:rPr>
          <w:i/>
          <w:color w:val="000000"/>
          <w:spacing w:val="-2"/>
          <w:sz w:val="16"/>
          <w:lang w:val="es-ES"/>
        </w:rPr>
        <w:t>* La oficina de protección de las obtenciones vegetales solo acepta la solicitud en papel</w:t>
      </w:r>
    </w:p>
    <w:p w:rsidR="00E71B18" w:rsidRPr="00E3750C" w:rsidRDefault="00E71B18" w:rsidP="00E71B18">
      <w:pPr>
        <w:rPr>
          <w:rFonts w:cs="Arial"/>
          <w:color w:val="000000"/>
          <w:spacing w:val="-2"/>
          <w:lang w:val="es-ES"/>
        </w:rPr>
      </w:pPr>
    </w:p>
    <w:p w:rsidR="00E71B18" w:rsidRPr="00E3750C" w:rsidRDefault="005D0DC8" w:rsidP="00E71B18">
      <w:pPr>
        <w:rPr>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 xml:space="preserve"> Cuando lo soliciten las oficinas de protección de las obtenciones vegetales, los datos de la solicitud presentada se podrán transmitir automáticamente por medio de servicios de Internet.  Todavía no se ha empleado esta función, que será puesta a prueba con las oficinas de protección de las obtenciones vegetales interesadas y se incluirá en una futura versión del EAF.</w:t>
      </w:r>
    </w:p>
    <w:p w:rsidR="00E71B18" w:rsidRPr="00E3750C" w:rsidRDefault="00E71B18" w:rsidP="00E71B18">
      <w:pPr>
        <w:spacing w:line="360" w:lineRule="auto"/>
        <w:rPr>
          <w:rFonts w:cs="Arial"/>
          <w:color w:val="000000"/>
          <w:spacing w:val="-2"/>
          <w:lang w:val="es-ES"/>
        </w:rPr>
      </w:pPr>
    </w:p>
    <w:p w:rsidR="00E71B18" w:rsidRPr="00E3750C" w:rsidRDefault="00E71B18" w:rsidP="00E3750C">
      <w:pPr>
        <w:pStyle w:val="Heading4"/>
      </w:pPr>
      <w:bookmarkStart w:id="41" w:name="_Toc477541728"/>
      <w:r w:rsidRPr="00E3750C">
        <w:t>Pago de las tasas</w:t>
      </w:r>
      <w:bookmarkEnd w:id="41"/>
    </w:p>
    <w:p w:rsidR="00E71B18" w:rsidRPr="00E3750C" w:rsidRDefault="00E71B18" w:rsidP="00E71B18">
      <w:pPr>
        <w:keepNext/>
        <w:rPr>
          <w:lang w:val="es-ES"/>
        </w:rPr>
      </w:pPr>
    </w:p>
    <w:bookmarkStart w:id="42" w:name="_Toc457833223"/>
    <w:bookmarkStart w:id="43" w:name="_Toc461641447"/>
    <w:p w:rsidR="00E71B18" w:rsidRPr="00E3750C" w:rsidRDefault="005D0DC8" w:rsidP="00E71B18">
      <w:pPr>
        <w:rPr>
          <w:rFonts w:cs="Arial"/>
          <w:color w:val="000000"/>
          <w:spacing w:val="-2"/>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La t</w:t>
      </w:r>
      <w:r w:rsidR="0068039E" w:rsidRPr="00E3750C">
        <w:rPr>
          <w:color w:val="000000"/>
          <w:spacing w:val="-2"/>
          <w:lang w:val="es-ES"/>
        </w:rPr>
        <w:t xml:space="preserve">asa del EAF de la UPOV se paga directamente a la Unión mediante el portal de pago de la UPOV en Internet. </w:t>
      </w:r>
      <w:r w:rsidR="00232E17" w:rsidRPr="00E3750C">
        <w:rPr>
          <w:color w:val="000000"/>
          <w:spacing w:val="-2"/>
          <w:lang w:val="es-ES"/>
        </w:rPr>
        <w:t xml:space="preserve"> </w:t>
      </w:r>
      <w:r w:rsidR="0068039E" w:rsidRPr="00E3750C">
        <w:rPr>
          <w:color w:val="000000"/>
          <w:spacing w:val="-2"/>
          <w:lang w:val="es-ES"/>
        </w:rPr>
        <w:t xml:space="preserve">Sin embargo, para el pago de la tasa de la oficina de protección de las obtenciones vegetales, los miembros participantes han optado por lo siguiente: </w:t>
      </w:r>
    </w:p>
    <w:p w:rsidR="00E71B18" w:rsidRPr="00E3750C" w:rsidRDefault="00E71B18" w:rsidP="00E71B18">
      <w:pPr>
        <w:rPr>
          <w:rFonts w:cs="Arial"/>
          <w:color w:val="000000"/>
          <w:spacing w:val="-2"/>
          <w:lang w:val="es-ES"/>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9301C9" w:rsidRPr="00E3750C" w:rsidTr="00266A01">
        <w:trPr>
          <w:cantSplit/>
          <w:tblHeader/>
          <w:jc w:val="center"/>
        </w:trPr>
        <w:tc>
          <w:tcPr>
            <w:tcW w:w="4791" w:type="dxa"/>
            <w:gridSpan w:val="2"/>
            <w:vAlign w:val="center"/>
          </w:tcPr>
          <w:p w:rsidR="009301C9" w:rsidRPr="00E3750C" w:rsidRDefault="009301C9" w:rsidP="00266A01">
            <w:pPr>
              <w:jc w:val="center"/>
              <w:rPr>
                <w:bCs/>
                <w:color w:val="000000" w:themeColor="text1"/>
                <w:spacing w:val="-2"/>
                <w:sz w:val="16"/>
                <w:lang w:val="es-ES"/>
              </w:rPr>
            </w:pPr>
            <w:r w:rsidRPr="00E3750C">
              <w:rPr>
                <w:color w:val="000000" w:themeColor="text1"/>
                <w:spacing w:val="-2"/>
                <w:sz w:val="16"/>
                <w:lang w:val="es-ES"/>
              </w:rPr>
              <w:t>Autoridad</w:t>
            </w:r>
          </w:p>
        </w:tc>
        <w:tc>
          <w:tcPr>
            <w:tcW w:w="2336" w:type="dxa"/>
            <w:noWrap/>
            <w:vAlign w:val="center"/>
          </w:tcPr>
          <w:p w:rsidR="009301C9" w:rsidRPr="00E3750C" w:rsidRDefault="009301C9" w:rsidP="00266A01">
            <w:pPr>
              <w:jc w:val="center"/>
              <w:rPr>
                <w:bCs/>
                <w:color w:val="000000" w:themeColor="text1"/>
                <w:spacing w:val="-2"/>
                <w:sz w:val="14"/>
                <w:lang w:val="es-ES"/>
              </w:rPr>
            </w:pPr>
            <w:r w:rsidRPr="00E3750C">
              <w:rPr>
                <w:color w:val="000000" w:themeColor="text1"/>
                <w:spacing w:val="-2"/>
                <w:sz w:val="16"/>
                <w:lang w:val="es-ES"/>
              </w:rPr>
              <w:t>pago directo a la oficina de protección de las obtenciones vegetales</w:t>
            </w:r>
          </w:p>
        </w:tc>
        <w:tc>
          <w:tcPr>
            <w:tcW w:w="2206" w:type="dxa"/>
            <w:noWrap/>
            <w:vAlign w:val="center"/>
          </w:tcPr>
          <w:p w:rsidR="009301C9" w:rsidRPr="00E3750C" w:rsidRDefault="009301C9" w:rsidP="00266A01">
            <w:pPr>
              <w:jc w:val="center"/>
              <w:rPr>
                <w:bCs/>
                <w:color w:val="000000" w:themeColor="text1"/>
                <w:spacing w:val="-2"/>
                <w:sz w:val="14"/>
                <w:lang w:val="es-ES"/>
              </w:rPr>
            </w:pPr>
            <w:r w:rsidRPr="00E3750C">
              <w:rPr>
                <w:color w:val="000000" w:themeColor="text1"/>
                <w:spacing w:val="-2"/>
                <w:sz w:val="16"/>
                <w:lang w:val="es-ES"/>
              </w:rPr>
              <w:t>pago mediante el portal de pago de la UPOV en Internet</w:t>
            </w: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Argentina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AR</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Australia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AU</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Chile</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CL</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Estados Unidos de América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US</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t xml:space="preserve"> </w:t>
            </w: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Francia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FR</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proofErr w:type="spellStart"/>
            <w:r w:rsidRPr="00E3750C">
              <w:rPr>
                <w:color w:val="000000" w:themeColor="text1"/>
                <w:spacing w:val="-2"/>
                <w:sz w:val="16"/>
                <w:lang w:val="es-ES"/>
              </w:rPr>
              <w:t>Kenya</w:t>
            </w:r>
            <w:proofErr w:type="spellEnd"/>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KE</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Nueva Zelandia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NZ</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w:t>
            </w:r>
          </w:p>
        </w:tc>
        <w:tc>
          <w:tcPr>
            <w:tcW w:w="2206"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Noruega</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NO</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Países Bajos</w:t>
            </w:r>
          </w:p>
        </w:tc>
        <w:tc>
          <w:tcPr>
            <w:tcW w:w="1069"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NL</w:t>
            </w:r>
          </w:p>
        </w:tc>
        <w:tc>
          <w:tcPr>
            <w:tcW w:w="2336"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Suiza</w:t>
            </w:r>
          </w:p>
        </w:tc>
        <w:tc>
          <w:tcPr>
            <w:tcW w:w="1069" w:type="dxa"/>
            <w:noWrap/>
            <w:vAlign w:val="center"/>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CH</w:t>
            </w:r>
          </w:p>
        </w:tc>
        <w:tc>
          <w:tcPr>
            <w:tcW w:w="2336" w:type="dxa"/>
            <w:noWrap/>
            <w:vAlign w:val="center"/>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Túnez</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TN</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hideMark/>
          </w:tcPr>
          <w:p w:rsidR="009301C9" w:rsidRPr="00E3750C" w:rsidRDefault="009301C9" w:rsidP="00266A01">
            <w:pPr>
              <w:jc w:val="center"/>
              <w:rPr>
                <w:color w:val="000000" w:themeColor="text1"/>
                <w:spacing w:val="-2"/>
                <w:sz w:val="16"/>
                <w:lang w:val="es-ES"/>
              </w:rPr>
            </w:pPr>
          </w:p>
        </w:tc>
      </w:tr>
      <w:tr w:rsidR="009301C9" w:rsidRPr="00E3750C" w:rsidTr="00266A01">
        <w:trPr>
          <w:cantSplit/>
          <w:jc w:val="center"/>
        </w:trPr>
        <w:tc>
          <w:tcPr>
            <w:tcW w:w="3722" w:type="dxa"/>
            <w:vAlign w:val="center"/>
          </w:tcPr>
          <w:p w:rsidR="009301C9" w:rsidRPr="00E3750C" w:rsidRDefault="009301C9" w:rsidP="00266A01">
            <w:pPr>
              <w:jc w:val="left"/>
              <w:rPr>
                <w:color w:val="000000" w:themeColor="text1"/>
                <w:spacing w:val="-2"/>
                <w:sz w:val="16"/>
                <w:lang w:val="es-ES"/>
              </w:rPr>
            </w:pPr>
            <w:r w:rsidRPr="00E3750C">
              <w:rPr>
                <w:color w:val="000000" w:themeColor="text1"/>
                <w:spacing w:val="-2"/>
                <w:sz w:val="16"/>
                <w:lang w:val="es-ES"/>
              </w:rPr>
              <w:t>Uruguay</w:t>
            </w:r>
          </w:p>
        </w:tc>
        <w:tc>
          <w:tcPr>
            <w:tcW w:w="1069" w:type="dxa"/>
            <w:noWrap/>
            <w:vAlign w:val="center"/>
            <w:hideMark/>
          </w:tcPr>
          <w:p w:rsidR="009301C9" w:rsidRPr="00E3750C" w:rsidRDefault="009301C9" w:rsidP="00266A01">
            <w:pPr>
              <w:jc w:val="center"/>
              <w:rPr>
                <w:color w:val="000000" w:themeColor="text1"/>
                <w:spacing w:val="-2"/>
                <w:sz w:val="16"/>
                <w:lang w:val="es-ES"/>
              </w:rPr>
            </w:pPr>
            <w:r w:rsidRPr="00E3750C">
              <w:rPr>
                <w:color w:val="000000" w:themeColor="text1"/>
                <w:spacing w:val="-2"/>
                <w:sz w:val="16"/>
                <w:lang w:val="es-ES"/>
              </w:rPr>
              <w:t>UY</w:t>
            </w:r>
          </w:p>
        </w:tc>
        <w:tc>
          <w:tcPr>
            <w:tcW w:w="2336" w:type="dxa"/>
            <w:noWrap/>
            <w:vAlign w:val="center"/>
            <w:hideMark/>
          </w:tcPr>
          <w:p w:rsidR="009301C9" w:rsidRPr="00E3750C" w:rsidRDefault="009301C9" w:rsidP="00266A01">
            <w:pPr>
              <w:jc w:val="center"/>
              <w:rPr>
                <w:color w:val="000000" w:themeColor="text1"/>
                <w:spacing w:val="-2"/>
                <w:sz w:val="16"/>
                <w:lang w:val="es-ES"/>
              </w:rPr>
            </w:pPr>
            <w:r w:rsidRPr="00E3750C">
              <w:rPr>
                <w:caps/>
                <w:color w:val="000000" w:themeColor="text1"/>
                <w:lang w:val="es-ES"/>
              </w:rPr>
              <w:sym w:font="Wingdings 2" w:char="F050"/>
            </w:r>
          </w:p>
        </w:tc>
        <w:tc>
          <w:tcPr>
            <w:tcW w:w="2206" w:type="dxa"/>
            <w:noWrap/>
            <w:vAlign w:val="center"/>
            <w:hideMark/>
          </w:tcPr>
          <w:p w:rsidR="009301C9" w:rsidRPr="00E3750C" w:rsidRDefault="009301C9" w:rsidP="00266A01">
            <w:pPr>
              <w:jc w:val="center"/>
              <w:rPr>
                <w:color w:val="000000" w:themeColor="text1"/>
                <w:spacing w:val="-2"/>
                <w:sz w:val="16"/>
                <w:lang w:val="es-ES"/>
              </w:rPr>
            </w:pPr>
          </w:p>
        </w:tc>
      </w:tr>
    </w:tbl>
    <w:p w:rsidR="00E71B18" w:rsidRPr="00E3750C" w:rsidRDefault="00E71B18" w:rsidP="00E71B18">
      <w:pPr>
        <w:rPr>
          <w:lang w:val="es-ES"/>
        </w:rPr>
      </w:pPr>
    </w:p>
    <w:p w:rsidR="00E71B18" w:rsidRPr="00E3750C" w:rsidRDefault="005D0DC8" w:rsidP="00E71B18">
      <w:pPr>
        <w:rPr>
          <w:rFonts w:cs="Arial"/>
          <w:color w:val="000000"/>
          <w:spacing w:val="-2"/>
          <w:lang w:val="es-ES"/>
        </w:rPr>
      </w:pPr>
      <w:r w:rsidRPr="00E3750C">
        <w:rPr>
          <w:lang w:val="es-ES"/>
        </w:rPr>
        <w:fldChar w:fldCharType="begin"/>
      </w:r>
      <w:r w:rsidR="00E71B18" w:rsidRPr="00E3750C">
        <w:rPr>
          <w:lang w:val="es-ES"/>
        </w:rPr>
        <w:instrText xml:space="preserve"> AUTONUM  </w:instrText>
      </w:r>
      <w:r w:rsidRPr="00E3750C">
        <w:rPr>
          <w:lang w:val="es-ES"/>
        </w:rPr>
        <w:fldChar w:fldCharType="end"/>
      </w:r>
      <w:r w:rsidR="0068039E" w:rsidRPr="00E3750C">
        <w:rPr>
          <w:lang w:val="es-ES"/>
        </w:rPr>
        <w:tab/>
        <w:t xml:space="preserve">Por el momento, el </w:t>
      </w:r>
      <w:proofErr w:type="spellStart"/>
      <w:r w:rsidR="0068039E" w:rsidRPr="00E3750C">
        <w:rPr>
          <w:i/>
          <w:lang w:val="es-ES"/>
        </w:rPr>
        <w:t>Naktuinbouw</w:t>
      </w:r>
      <w:proofErr w:type="spellEnd"/>
      <w:r w:rsidR="0068039E" w:rsidRPr="00E3750C">
        <w:rPr>
          <w:lang w:val="es-ES"/>
        </w:rPr>
        <w:t xml:space="preserve"> </w:t>
      </w:r>
      <w:r w:rsidR="0068039E" w:rsidRPr="00E3750C">
        <w:rPr>
          <w:color w:val="000000"/>
          <w:spacing w:val="-2"/>
          <w:lang w:val="es-ES"/>
        </w:rPr>
        <w:t>ha decidido abonar a los Países Bajos la tasa del EAF de la UPOV para la presentación de los datos de solicitud.</w:t>
      </w:r>
    </w:p>
    <w:p w:rsidR="00E71B18" w:rsidRPr="00E3750C" w:rsidRDefault="00E71B18" w:rsidP="00E71B18">
      <w:pPr>
        <w:rPr>
          <w:lang w:val="es-ES"/>
        </w:rPr>
      </w:pPr>
    </w:p>
    <w:p w:rsidR="00A35900" w:rsidRPr="00E3750C" w:rsidRDefault="00A35900" w:rsidP="00E3750C">
      <w:pPr>
        <w:pStyle w:val="Heading4"/>
      </w:pPr>
      <w:r w:rsidRPr="00E3750C">
        <w:lastRenderedPageBreak/>
        <w:t>Utilización del EAF</w:t>
      </w:r>
    </w:p>
    <w:p w:rsidR="00A35900" w:rsidRPr="00E3750C" w:rsidRDefault="00A35900" w:rsidP="00A35900">
      <w:pPr>
        <w:rPr>
          <w:rFonts w:eastAsiaTheme="minorHAnsi" w:cs="Arial"/>
          <w:lang w:val="es-ES"/>
        </w:rPr>
      </w:pPr>
    </w:p>
    <w:p w:rsidR="00A35900" w:rsidRPr="00E3750C" w:rsidRDefault="00A35900" w:rsidP="005D11E4">
      <w:pPr>
        <w:pStyle w:val="ListParagraph"/>
        <w:numPr>
          <w:ilvl w:val="0"/>
          <w:numId w:val="12"/>
        </w:numPr>
        <w:ind w:left="0" w:firstLine="0"/>
        <w:rPr>
          <w:rFonts w:cs="Arial"/>
          <w:lang w:val="es-ES"/>
        </w:rPr>
      </w:pPr>
      <w:r w:rsidRPr="00E3750C">
        <w:rPr>
          <w:lang w:val="es-ES"/>
        </w:rPr>
        <w:t>En su quincuagésima tercera sesión se presentará al TC un informe verbal sobre las últimas novedades, entre ellas las cifras de la utilización del EAF.</w:t>
      </w:r>
    </w:p>
    <w:p w:rsidR="00A35900" w:rsidRPr="00E3750C" w:rsidRDefault="00A35900" w:rsidP="00A35900">
      <w:pPr>
        <w:rPr>
          <w:rFonts w:cs="Arial"/>
          <w:lang w:val="es-ES"/>
        </w:rPr>
      </w:pPr>
    </w:p>
    <w:p w:rsidR="00E71B18" w:rsidRPr="00E3750C" w:rsidRDefault="00E71B18" w:rsidP="00E71B18">
      <w:pPr>
        <w:rPr>
          <w:lang w:val="es-ES"/>
        </w:rPr>
      </w:pPr>
    </w:p>
    <w:p w:rsidR="00E71B18" w:rsidRPr="00E3750C" w:rsidRDefault="00E71B18" w:rsidP="00E71B18">
      <w:pPr>
        <w:pStyle w:val="Heading3"/>
        <w:rPr>
          <w:lang w:val="es-ES"/>
        </w:rPr>
      </w:pPr>
      <w:bookmarkStart w:id="44" w:name="_Toc477541729"/>
      <w:bookmarkStart w:id="45" w:name="_Toc477880926"/>
      <w:bookmarkStart w:id="46" w:name="_Toc478483761"/>
      <w:bookmarkEnd w:id="42"/>
      <w:bookmarkEnd w:id="43"/>
      <w:r w:rsidRPr="00E3750C">
        <w:rPr>
          <w:lang w:val="es-ES"/>
        </w:rPr>
        <w:t xml:space="preserve">Propuestas de futuras </w:t>
      </w:r>
      <w:bookmarkEnd w:id="44"/>
      <w:r w:rsidRPr="00E3750C">
        <w:rPr>
          <w:lang w:val="es-ES"/>
        </w:rPr>
        <w:t>modificaciones</w:t>
      </w:r>
      <w:bookmarkEnd w:id="45"/>
      <w:bookmarkEnd w:id="46"/>
    </w:p>
    <w:p w:rsidR="00E71B18" w:rsidRPr="00E3750C" w:rsidRDefault="00E71B18" w:rsidP="00E71B18">
      <w:pPr>
        <w:keepNext/>
        <w:rPr>
          <w:lang w:val="es-ES"/>
        </w:rPr>
      </w:pPr>
    </w:p>
    <w:p w:rsidR="00E71B18" w:rsidRPr="00E3750C" w:rsidRDefault="00E71B18" w:rsidP="005D11E4">
      <w:pPr>
        <w:pStyle w:val="ListParagraph"/>
        <w:numPr>
          <w:ilvl w:val="0"/>
          <w:numId w:val="12"/>
        </w:numPr>
        <w:ind w:left="0" w:firstLine="0"/>
        <w:rPr>
          <w:rFonts w:cs="Arial"/>
          <w:lang w:val="es-ES"/>
        </w:rPr>
      </w:pPr>
      <w:r w:rsidRPr="00E3750C">
        <w:rPr>
          <w:lang w:val="es-ES"/>
        </w:rPr>
        <w:t xml:space="preserve">La versión actual del EAF es la versión 1.0. </w:t>
      </w:r>
      <w:r w:rsidR="009301C9" w:rsidRPr="00E3750C">
        <w:rPr>
          <w:lang w:val="es-ES"/>
        </w:rPr>
        <w:t xml:space="preserve"> </w:t>
      </w:r>
      <w:r w:rsidRPr="00E3750C">
        <w:rPr>
          <w:lang w:val="es-ES"/>
        </w:rPr>
        <w:t xml:space="preserve">En la novena reunión sobre la elaboración de un prototipo de formulario electrónico (“reunión EAF/9”), que se celebrará el 7 de abril de 2017 se debatirán los planes para la puesta en funcionamiento de las futuras versiones. </w:t>
      </w:r>
      <w:r w:rsidR="009301C9" w:rsidRPr="00E3750C">
        <w:rPr>
          <w:lang w:val="es-ES"/>
        </w:rPr>
        <w:t xml:space="preserve"> </w:t>
      </w:r>
      <w:r w:rsidRPr="00E3750C">
        <w:rPr>
          <w:lang w:val="es-ES"/>
        </w:rPr>
        <w:t>En especial se prevé debatir:  los planes y las funciones de las versiones 1.1 y 1.2</w:t>
      </w:r>
      <w:r w:rsidR="009301C9" w:rsidRPr="00E3750C">
        <w:rPr>
          <w:lang w:val="es-ES"/>
        </w:rPr>
        <w:t>,</w:t>
      </w:r>
      <w:r w:rsidR="00232E17" w:rsidRPr="00E3750C">
        <w:rPr>
          <w:lang w:val="es-ES"/>
        </w:rPr>
        <w:t xml:space="preserve"> </w:t>
      </w:r>
      <w:r w:rsidRPr="00E3750C">
        <w:rPr>
          <w:lang w:val="es-ES"/>
        </w:rPr>
        <w:t>la estrategia para añadir nuevos cultivos y especies</w:t>
      </w:r>
      <w:r w:rsidR="009301C9" w:rsidRPr="00E3750C">
        <w:rPr>
          <w:lang w:val="es-ES"/>
        </w:rPr>
        <w:t>,</w:t>
      </w:r>
      <w:r w:rsidR="00232E17" w:rsidRPr="00E3750C">
        <w:rPr>
          <w:lang w:val="es-ES"/>
        </w:rPr>
        <w:t xml:space="preserve"> </w:t>
      </w:r>
      <w:r w:rsidRPr="00E3750C">
        <w:rPr>
          <w:lang w:val="es-ES"/>
        </w:rPr>
        <w:t>el plan para dar a conocer y apoyar al EAF</w:t>
      </w:r>
      <w:r w:rsidR="009301C9" w:rsidRPr="00E3750C">
        <w:rPr>
          <w:lang w:val="es-ES"/>
        </w:rPr>
        <w:t>,</w:t>
      </w:r>
      <w:r w:rsidRPr="00E3750C">
        <w:rPr>
          <w:lang w:val="es-ES"/>
        </w:rPr>
        <w:t xml:space="preserve"> la propuesta de un nuevo nombre para el</w:t>
      </w:r>
      <w:r w:rsidR="00CF1174" w:rsidRPr="00E3750C">
        <w:rPr>
          <w:lang w:val="es-ES"/>
        </w:rPr>
        <w:t> </w:t>
      </w:r>
      <w:r w:rsidRPr="00E3750C">
        <w:rPr>
          <w:lang w:val="es-ES"/>
        </w:rPr>
        <w:t>EAF</w:t>
      </w:r>
      <w:r w:rsidR="009301C9" w:rsidRPr="00E3750C">
        <w:rPr>
          <w:lang w:val="es-ES"/>
        </w:rPr>
        <w:t>,</w:t>
      </w:r>
      <w:r w:rsidRPr="00E3750C">
        <w:rPr>
          <w:lang w:val="es-ES"/>
        </w:rPr>
        <w:t xml:space="preserve"> la participación de los miembros de la Unión en el EAF y calendario propuesto para el</w:t>
      </w:r>
      <w:r w:rsidR="009301C9" w:rsidRPr="00E3750C">
        <w:rPr>
          <w:lang w:val="es-ES"/>
        </w:rPr>
        <w:t> </w:t>
      </w:r>
      <w:r w:rsidRPr="00E3750C">
        <w:rPr>
          <w:lang w:val="es-ES"/>
        </w:rPr>
        <w:t>EAF.</w:t>
      </w:r>
    </w:p>
    <w:p w:rsidR="00E71B18" w:rsidRPr="00E3750C" w:rsidRDefault="00E71B18" w:rsidP="00E71B18">
      <w:pPr>
        <w:rPr>
          <w:lang w:val="es-ES"/>
        </w:rPr>
      </w:pPr>
    </w:p>
    <w:p w:rsidR="00E71B18" w:rsidRPr="00E3750C" w:rsidRDefault="0054130A" w:rsidP="0054130A">
      <w:pPr>
        <w:pStyle w:val="DecisionParagraphs"/>
        <w:keepNext/>
        <w:numPr>
          <w:ilvl w:val="0"/>
          <w:numId w:val="12"/>
        </w:numPr>
        <w:ind w:left="4820" w:firstLine="0"/>
        <w:rPr>
          <w:snapToGrid w:val="0"/>
          <w:lang w:val="es-ES"/>
        </w:rPr>
      </w:pPr>
      <w:r w:rsidRPr="00E3750C">
        <w:rPr>
          <w:lang w:val="es-ES"/>
        </w:rPr>
        <w:t>Se invita al TC a tomar nota de las novedades relativas a la elaboración de un formulario electrónico de solicitud que se exponen en el presente documento.</w:t>
      </w:r>
    </w:p>
    <w:p w:rsidR="00050E16" w:rsidRPr="00E3750C" w:rsidRDefault="00050E16" w:rsidP="00050E16">
      <w:pPr>
        <w:rPr>
          <w:lang w:val="es-ES"/>
        </w:rPr>
      </w:pPr>
    </w:p>
    <w:p w:rsidR="00544581" w:rsidRPr="00E3750C" w:rsidRDefault="00544581">
      <w:pPr>
        <w:jc w:val="left"/>
        <w:rPr>
          <w:lang w:val="es-ES"/>
        </w:rPr>
      </w:pPr>
    </w:p>
    <w:p w:rsidR="00050E16" w:rsidRPr="00E3750C" w:rsidRDefault="00050E16" w:rsidP="00050E16">
      <w:pPr>
        <w:rPr>
          <w:lang w:val="es-ES"/>
        </w:rPr>
      </w:pPr>
    </w:p>
    <w:p w:rsidR="009B440E" w:rsidRPr="00E3750C" w:rsidRDefault="00050E16" w:rsidP="00050E16">
      <w:pPr>
        <w:jc w:val="right"/>
        <w:rPr>
          <w:lang w:val="es-ES"/>
        </w:rPr>
      </w:pPr>
      <w:r w:rsidRPr="00E3750C">
        <w:rPr>
          <w:lang w:val="es-ES"/>
        </w:rPr>
        <w:t>[Fin del documento]</w:t>
      </w:r>
    </w:p>
    <w:p w:rsidR="00202E38" w:rsidRPr="00E3750C" w:rsidRDefault="00202E38">
      <w:pPr>
        <w:jc w:val="left"/>
        <w:rPr>
          <w:lang w:val="es-ES"/>
        </w:rPr>
      </w:pPr>
    </w:p>
    <w:p w:rsidR="008B3D8D" w:rsidRPr="00E3750C" w:rsidRDefault="008B3D8D">
      <w:pPr>
        <w:jc w:val="left"/>
        <w:rPr>
          <w:lang w:val="es-ES"/>
        </w:rPr>
      </w:pPr>
    </w:p>
    <w:p w:rsidR="00050E16" w:rsidRPr="00E3750C" w:rsidRDefault="00050E16" w:rsidP="009B440E">
      <w:pPr>
        <w:jc w:val="left"/>
        <w:rPr>
          <w:lang w:val="es-ES"/>
        </w:rPr>
      </w:pPr>
    </w:p>
    <w:sectPr w:rsidR="00050E16" w:rsidRPr="00E3750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01" w:rsidRDefault="00266A01" w:rsidP="006655D3">
      <w:r>
        <w:separator/>
      </w:r>
    </w:p>
    <w:p w:rsidR="00266A01" w:rsidRDefault="00266A01" w:rsidP="006655D3"/>
    <w:p w:rsidR="00266A01" w:rsidRDefault="00266A01" w:rsidP="006655D3"/>
  </w:endnote>
  <w:endnote w:type="continuationSeparator" w:id="0">
    <w:p w:rsidR="00266A01" w:rsidRDefault="00266A01" w:rsidP="006655D3">
      <w:r>
        <w:separator/>
      </w:r>
    </w:p>
    <w:p w:rsidR="00266A01" w:rsidRPr="00294751" w:rsidRDefault="00266A01">
      <w:pPr>
        <w:pStyle w:val="Footer"/>
        <w:spacing w:after="60"/>
        <w:rPr>
          <w:sz w:val="18"/>
          <w:lang w:val="fr-FR"/>
        </w:rPr>
      </w:pPr>
      <w:r w:rsidRPr="00294751">
        <w:rPr>
          <w:sz w:val="18"/>
          <w:lang w:val="fr-FR"/>
        </w:rPr>
        <w:t>[Suite de la note de la page précédente]</w:t>
      </w:r>
    </w:p>
    <w:p w:rsidR="00266A01" w:rsidRPr="00294751" w:rsidRDefault="00266A01" w:rsidP="006655D3">
      <w:pPr>
        <w:rPr>
          <w:lang w:val="fr-FR"/>
        </w:rPr>
      </w:pPr>
    </w:p>
    <w:p w:rsidR="00266A01" w:rsidRPr="00294751" w:rsidRDefault="00266A01" w:rsidP="006655D3">
      <w:pPr>
        <w:rPr>
          <w:lang w:val="fr-FR"/>
        </w:rPr>
      </w:pPr>
    </w:p>
  </w:endnote>
  <w:endnote w:type="continuationNotice" w:id="1">
    <w:p w:rsidR="00266A01" w:rsidRPr="00294751" w:rsidRDefault="00266A01" w:rsidP="006655D3">
      <w:pPr>
        <w:rPr>
          <w:lang w:val="fr-FR"/>
        </w:rPr>
      </w:pPr>
      <w:r w:rsidRPr="00294751">
        <w:rPr>
          <w:lang w:val="fr-FR"/>
        </w:rPr>
        <w:t>[Suite de la note page suivante]</w:t>
      </w:r>
    </w:p>
    <w:p w:rsidR="00266A01" w:rsidRPr="00294751" w:rsidRDefault="00266A01" w:rsidP="006655D3">
      <w:pPr>
        <w:rPr>
          <w:lang w:val="fr-FR"/>
        </w:rPr>
      </w:pPr>
    </w:p>
    <w:p w:rsidR="00266A01" w:rsidRPr="00294751" w:rsidRDefault="00266A0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01" w:rsidRDefault="00266A01" w:rsidP="006655D3">
      <w:r>
        <w:separator/>
      </w:r>
    </w:p>
  </w:footnote>
  <w:footnote w:type="continuationSeparator" w:id="0">
    <w:p w:rsidR="00266A01" w:rsidRDefault="00266A01" w:rsidP="006655D3">
      <w:r>
        <w:separator/>
      </w:r>
    </w:p>
  </w:footnote>
  <w:footnote w:type="continuationNotice" w:id="1">
    <w:p w:rsidR="00266A01" w:rsidRPr="00AB530F" w:rsidRDefault="00266A0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01" w:rsidRPr="000A23DC" w:rsidRDefault="00266A01" w:rsidP="000A23DC">
    <w:pPr>
      <w:pStyle w:val="Header"/>
      <w:rPr>
        <w:rStyle w:val="PageNumber"/>
      </w:rPr>
    </w:pPr>
    <w:r>
      <w:rPr>
        <w:rStyle w:val="PageNumber"/>
      </w:rPr>
      <w:t>TC/53/7</w:t>
    </w:r>
  </w:p>
  <w:p w:rsidR="00266A01" w:rsidRPr="00202E38" w:rsidRDefault="00266A01" w:rsidP="008B3D8D">
    <w:pPr>
      <w:pStyle w:val="Header"/>
    </w:pPr>
    <w:proofErr w:type="gramStart"/>
    <w:r>
      <w:t>página</w:t>
    </w:r>
    <w:proofErr w:type="gramEnd"/>
    <w:r>
      <w:t xml:space="preserv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0098E">
      <w:rPr>
        <w:rStyle w:val="PageNumber"/>
        <w:noProof/>
      </w:rPr>
      <w:t>2</w:t>
    </w:r>
    <w:r w:rsidRPr="00202E38">
      <w:rPr>
        <w:rStyle w:val="PageNumber"/>
      </w:rPr>
      <w:fldChar w:fldCharType="end"/>
    </w:r>
  </w:p>
  <w:p w:rsidR="00266A01" w:rsidRPr="00202E38" w:rsidRDefault="00266A0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46E9"/>
    <w:multiLevelType w:val="hybridMultilevel"/>
    <w:tmpl w:val="09C424EC"/>
    <w:lvl w:ilvl="0" w:tplc="85D4BCC6">
      <w:start w:val="1"/>
      <w:numFmt w:val="lowerLetter"/>
      <w:lvlText w:val="(%1)"/>
      <w:lvlJc w:val="left"/>
      <w:pPr>
        <w:tabs>
          <w:tab w:val="num" w:pos="7590"/>
        </w:tabs>
        <w:ind w:left="7590" w:hanging="360"/>
      </w:pPr>
      <w:rPr>
        <w:rFonts w:hint="default"/>
      </w:rPr>
    </w:lvl>
    <w:lvl w:ilvl="1" w:tplc="07E63E4E" w:tentative="1">
      <w:start w:val="1"/>
      <w:numFmt w:val="bullet"/>
      <w:lvlText w:val="•"/>
      <w:lvlJc w:val="left"/>
      <w:pPr>
        <w:tabs>
          <w:tab w:val="num" w:pos="8310"/>
        </w:tabs>
        <w:ind w:left="8310" w:hanging="360"/>
      </w:pPr>
      <w:rPr>
        <w:rFonts w:ascii="Times New Roman" w:hAnsi="Times New Roman" w:hint="default"/>
      </w:rPr>
    </w:lvl>
    <w:lvl w:ilvl="2" w:tplc="B74A341A" w:tentative="1">
      <w:start w:val="1"/>
      <w:numFmt w:val="bullet"/>
      <w:lvlText w:val="•"/>
      <w:lvlJc w:val="left"/>
      <w:pPr>
        <w:tabs>
          <w:tab w:val="num" w:pos="9030"/>
        </w:tabs>
        <w:ind w:left="9030" w:hanging="360"/>
      </w:pPr>
      <w:rPr>
        <w:rFonts w:ascii="Times New Roman" w:hAnsi="Times New Roman" w:hint="default"/>
      </w:rPr>
    </w:lvl>
    <w:lvl w:ilvl="3" w:tplc="4616449E" w:tentative="1">
      <w:start w:val="1"/>
      <w:numFmt w:val="bullet"/>
      <w:lvlText w:val="•"/>
      <w:lvlJc w:val="left"/>
      <w:pPr>
        <w:tabs>
          <w:tab w:val="num" w:pos="9750"/>
        </w:tabs>
        <w:ind w:left="9750" w:hanging="360"/>
      </w:pPr>
      <w:rPr>
        <w:rFonts w:ascii="Times New Roman" w:hAnsi="Times New Roman" w:hint="default"/>
      </w:rPr>
    </w:lvl>
    <w:lvl w:ilvl="4" w:tplc="E05A76F4" w:tentative="1">
      <w:start w:val="1"/>
      <w:numFmt w:val="bullet"/>
      <w:lvlText w:val="•"/>
      <w:lvlJc w:val="left"/>
      <w:pPr>
        <w:tabs>
          <w:tab w:val="num" w:pos="10470"/>
        </w:tabs>
        <w:ind w:left="10470" w:hanging="360"/>
      </w:pPr>
      <w:rPr>
        <w:rFonts w:ascii="Times New Roman" w:hAnsi="Times New Roman" w:hint="default"/>
      </w:rPr>
    </w:lvl>
    <w:lvl w:ilvl="5" w:tplc="143EE8B0" w:tentative="1">
      <w:start w:val="1"/>
      <w:numFmt w:val="bullet"/>
      <w:lvlText w:val="•"/>
      <w:lvlJc w:val="left"/>
      <w:pPr>
        <w:tabs>
          <w:tab w:val="num" w:pos="11190"/>
        </w:tabs>
        <w:ind w:left="11190" w:hanging="360"/>
      </w:pPr>
      <w:rPr>
        <w:rFonts w:ascii="Times New Roman" w:hAnsi="Times New Roman" w:hint="default"/>
      </w:rPr>
    </w:lvl>
    <w:lvl w:ilvl="6" w:tplc="6F84B28C" w:tentative="1">
      <w:start w:val="1"/>
      <w:numFmt w:val="bullet"/>
      <w:lvlText w:val="•"/>
      <w:lvlJc w:val="left"/>
      <w:pPr>
        <w:tabs>
          <w:tab w:val="num" w:pos="11910"/>
        </w:tabs>
        <w:ind w:left="11910" w:hanging="360"/>
      </w:pPr>
      <w:rPr>
        <w:rFonts w:ascii="Times New Roman" w:hAnsi="Times New Roman" w:hint="default"/>
      </w:rPr>
    </w:lvl>
    <w:lvl w:ilvl="7" w:tplc="20DC2204" w:tentative="1">
      <w:start w:val="1"/>
      <w:numFmt w:val="bullet"/>
      <w:lvlText w:val="•"/>
      <w:lvlJc w:val="left"/>
      <w:pPr>
        <w:tabs>
          <w:tab w:val="num" w:pos="12630"/>
        </w:tabs>
        <w:ind w:left="12630" w:hanging="360"/>
      </w:pPr>
      <w:rPr>
        <w:rFonts w:ascii="Times New Roman" w:hAnsi="Times New Roman" w:hint="default"/>
      </w:rPr>
    </w:lvl>
    <w:lvl w:ilvl="8" w:tplc="58FC3468" w:tentative="1">
      <w:start w:val="1"/>
      <w:numFmt w:val="bullet"/>
      <w:lvlText w:val="•"/>
      <w:lvlJc w:val="left"/>
      <w:pPr>
        <w:tabs>
          <w:tab w:val="num" w:pos="13350"/>
        </w:tabs>
        <w:ind w:left="13350" w:hanging="360"/>
      </w:pPr>
      <w:rPr>
        <w:rFonts w:ascii="Times New Roman" w:hAnsi="Times New Roman" w:hint="default"/>
      </w:rPr>
    </w:lvl>
  </w:abstractNum>
  <w:abstractNum w:abstractNumId="1">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6190E"/>
    <w:multiLevelType w:val="hybridMultilevel"/>
    <w:tmpl w:val="44D03EF8"/>
    <w:lvl w:ilvl="0" w:tplc="DF5084FA">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3BB63630">
      <w:start w:val="1"/>
      <w:numFmt w:val="lowerRoman"/>
      <w:lvlText w:val="%3)"/>
      <w:lvlJc w:val="left"/>
      <w:pPr>
        <w:ind w:left="3294" w:hanging="18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29B54AEB"/>
    <w:multiLevelType w:val="hybridMultilevel"/>
    <w:tmpl w:val="A5DEA97C"/>
    <w:lvl w:ilvl="0" w:tplc="0C0A000F">
      <w:start w:val="1"/>
      <w:numFmt w:val="decimal"/>
      <w:lvlText w:val="%1."/>
      <w:lvlJc w:val="left"/>
      <w:pPr>
        <w:ind w:left="5544" w:hanging="360"/>
      </w:pPr>
    </w:lvl>
    <w:lvl w:ilvl="1" w:tplc="0C0A0019" w:tentative="1">
      <w:start w:val="1"/>
      <w:numFmt w:val="lowerLetter"/>
      <w:lvlText w:val="%2."/>
      <w:lvlJc w:val="left"/>
      <w:pPr>
        <w:ind w:left="6264" w:hanging="360"/>
      </w:pPr>
    </w:lvl>
    <w:lvl w:ilvl="2" w:tplc="0C0A001B" w:tentative="1">
      <w:start w:val="1"/>
      <w:numFmt w:val="lowerRoman"/>
      <w:lvlText w:val="%3."/>
      <w:lvlJc w:val="right"/>
      <w:pPr>
        <w:ind w:left="6984" w:hanging="180"/>
      </w:pPr>
    </w:lvl>
    <w:lvl w:ilvl="3" w:tplc="0C0A000F" w:tentative="1">
      <w:start w:val="1"/>
      <w:numFmt w:val="decimal"/>
      <w:lvlText w:val="%4."/>
      <w:lvlJc w:val="left"/>
      <w:pPr>
        <w:ind w:left="7704" w:hanging="360"/>
      </w:pPr>
    </w:lvl>
    <w:lvl w:ilvl="4" w:tplc="0C0A0019" w:tentative="1">
      <w:start w:val="1"/>
      <w:numFmt w:val="lowerLetter"/>
      <w:lvlText w:val="%5."/>
      <w:lvlJc w:val="left"/>
      <w:pPr>
        <w:ind w:left="8424" w:hanging="360"/>
      </w:pPr>
    </w:lvl>
    <w:lvl w:ilvl="5" w:tplc="0C0A001B" w:tentative="1">
      <w:start w:val="1"/>
      <w:numFmt w:val="lowerRoman"/>
      <w:lvlText w:val="%6."/>
      <w:lvlJc w:val="right"/>
      <w:pPr>
        <w:ind w:left="9144" w:hanging="180"/>
      </w:pPr>
    </w:lvl>
    <w:lvl w:ilvl="6" w:tplc="0C0A000F" w:tentative="1">
      <w:start w:val="1"/>
      <w:numFmt w:val="decimal"/>
      <w:lvlText w:val="%7."/>
      <w:lvlJc w:val="left"/>
      <w:pPr>
        <w:ind w:left="9864" w:hanging="360"/>
      </w:pPr>
    </w:lvl>
    <w:lvl w:ilvl="7" w:tplc="0C0A0019" w:tentative="1">
      <w:start w:val="1"/>
      <w:numFmt w:val="lowerLetter"/>
      <w:lvlText w:val="%8."/>
      <w:lvlJc w:val="left"/>
      <w:pPr>
        <w:ind w:left="10584" w:hanging="360"/>
      </w:pPr>
    </w:lvl>
    <w:lvl w:ilvl="8" w:tplc="0C0A001B" w:tentative="1">
      <w:start w:val="1"/>
      <w:numFmt w:val="lowerRoman"/>
      <w:lvlText w:val="%9."/>
      <w:lvlJc w:val="right"/>
      <w:pPr>
        <w:ind w:left="11304" w:hanging="180"/>
      </w:pPr>
    </w:lvl>
  </w:abstractNum>
  <w:abstractNum w:abstractNumId="4">
    <w:nsid w:val="32360A22"/>
    <w:multiLevelType w:val="hybridMultilevel"/>
    <w:tmpl w:val="B478ED04"/>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62769F40">
      <w:start w:val="1"/>
      <w:numFmt w:val="lowerRoman"/>
      <w:lvlText w:val="%3)"/>
      <w:lvlJc w:val="left"/>
      <w:pPr>
        <w:ind w:left="2520" w:hanging="720"/>
      </w:pPr>
      <w:rPr>
        <w:rFonts w:cs="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3EB70F1"/>
    <w:multiLevelType w:val="hybridMultilevel"/>
    <w:tmpl w:val="400C6144"/>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28361F"/>
    <w:multiLevelType w:val="hybridMultilevel"/>
    <w:tmpl w:val="E0FEEFBC"/>
    <w:lvl w:ilvl="0" w:tplc="DF5084FA">
      <w:start w:val="1"/>
      <w:numFmt w:val="lowerRoman"/>
      <w:lvlText w:val="%1)"/>
      <w:lvlJc w:val="left"/>
      <w:pPr>
        <w:ind w:left="1429" w:hanging="720"/>
      </w:pPr>
      <w:rPr>
        <w:rFonts w:cs="Times New Roman"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4D266A33"/>
    <w:multiLevelType w:val="hybridMultilevel"/>
    <w:tmpl w:val="DD1C154C"/>
    <w:lvl w:ilvl="0" w:tplc="AF200F34">
      <w:start w:val="3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2427BE5"/>
    <w:multiLevelType w:val="hybridMultilevel"/>
    <w:tmpl w:val="B3E01BA8"/>
    <w:lvl w:ilvl="0" w:tplc="190660C4">
      <w:start w:val="3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2007C0"/>
    <w:multiLevelType w:val="hybridMultilevel"/>
    <w:tmpl w:val="1DE8D51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5D123CBD"/>
    <w:multiLevelType w:val="hybridMultilevel"/>
    <w:tmpl w:val="C1961B14"/>
    <w:lvl w:ilvl="0" w:tplc="E3B43230">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E6D4A7F"/>
    <w:multiLevelType w:val="hybridMultilevel"/>
    <w:tmpl w:val="7BDE96F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31A1AAB"/>
    <w:multiLevelType w:val="hybridMultilevel"/>
    <w:tmpl w:val="7AB8862A"/>
    <w:lvl w:ilvl="0" w:tplc="0C0A000F">
      <w:start w:val="1"/>
      <w:numFmt w:val="decimal"/>
      <w:lvlText w:val="%1."/>
      <w:lvlJc w:val="left"/>
      <w:pPr>
        <w:ind w:left="1098"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6">
    <w:nsid w:val="74680DF6"/>
    <w:multiLevelType w:val="hybridMultilevel"/>
    <w:tmpl w:val="25BABA3A"/>
    <w:lvl w:ilvl="0" w:tplc="F482C7EA">
      <w:start w:val="3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4BE7D2A"/>
    <w:multiLevelType w:val="hybridMultilevel"/>
    <w:tmpl w:val="20DE67C4"/>
    <w:lvl w:ilvl="0" w:tplc="DF5084FA">
      <w:start w:val="1"/>
      <w:numFmt w:val="lowerRoman"/>
      <w:lvlText w:val="%1)"/>
      <w:lvlJc w:val="left"/>
      <w:pPr>
        <w:ind w:left="2138" w:hanging="720"/>
      </w:pPr>
      <w:rPr>
        <w:rFonts w:cs="Times New Roman"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
  </w:num>
  <w:num w:numId="2">
    <w:abstractNumId w:val="8"/>
  </w:num>
  <w:num w:numId="3">
    <w:abstractNumId w:val="4"/>
  </w:num>
  <w:num w:numId="4">
    <w:abstractNumId w:val="0"/>
  </w:num>
  <w:num w:numId="5">
    <w:abstractNumId w:val="18"/>
  </w:num>
  <w:num w:numId="6">
    <w:abstractNumId w:val="5"/>
  </w:num>
  <w:num w:numId="7">
    <w:abstractNumId w:val="7"/>
  </w:num>
  <w:num w:numId="8">
    <w:abstractNumId w:val="6"/>
  </w:num>
  <w:num w:numId="9">
    <w:abstractNumId w:val="15"/>
  </w:num>
  <w:num w:numId="10">
    <w:abstractNumId w:val="11"/>
  </w:num>
  <w:num w:numId="11">
    <w:abstractNumId w:val="10"/>
  </w:num>
  <w:num w:numId="12">
    <w:abstractNumId w:val="16"/>
  </w:num>
  <w:num w:numId="13">
    <w:abstractNumId w:val="3"/>
  </w:num>
  <w:num w:numId="14">
    <w:abstractNumId w:val="12"/>
  </w:num>
  <w:num w:numId="15">
    <w:abstractNumId w:val="9"/>
  </w:num>
  <w:num w:numId="16">
    <w:abstractNumId w:val="17"/>
  </w:num>
  <w:num w:numId="17">
    <w:abstractNumId w:val="14"/>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D0"/>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A2CDA"/>
    <w:rsid w:val="001B66AC"/>
    <w:rsid w:val="001F64BF"/>
    <w:rsid w:val="00202E38"/>
    <w:rsid w:val="0021332C"/>
    <w:rsid w:val="00213982"/>
    <w:rsid w:val="00232E17"/>
    <w:rsid w:val="0024416D"/>
    <w:rsid w:val="002464A3"/>
    <w:rsid w:val="00266A01"/>
    <w:rsid w:val="00271911"/>
    <w:rsid w:val="002800A0"/>
    <w:rsid w:val="002801B3"/>
    <w:rsid w:val="00281060"/>
    <w:rsid w:val="002940E8"/>
    <w:rsid w:val="00294751"/>
    <w:rsid w:val="002A6E50"/>
    <w:rsid w:val="002B4298"/>
    <w:rsid w:val="002C256A"/>
    <w:rsid w:val="002C642D"/>
    <w:rsid w:val="002E5944"/>
    <w:rsid w:val="0030098E"/>
    <w:rsid w:val="00305A7F"/>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A7D3D"/>
    <w:rsid w:val="004B1215"/>
    <w:rsid w:val="004B4483"/>
    <w:rsid w:val="004D047D"/>
    <w:rsid w:val="004F1E9E"/>
    <w:rsid w:val="004F305A"/>
    <w:rsid w:val="00512164"/>
    <w:rsid w:val="00520297"/>
    <w:rsid w:val="005338F9"/>
    <w:rsid w:val="0054130A"/>
    <w:rsid w:val="0054281C"/>
    <w:rsid w:val="00544581"/>
    <w:rsid w:val="00545E42"/>
    <w:rsid w:val="0055268D"/>
    <w:rsid w:val="00576553"/>
    <w:rsid w:val="00576BE4"/>
    <w:rsid w:val="005A400A"/>
    <w:rsid w:val="005C5C5E"/>
    <w:rsid w:val="005D0DC8"/>
    <w:rsid w:val="005D11E4"/>
    <w:rsid w:val="005F7B92"/>
    <w:rsid w:val="00612379"/>
    <w:rsid w:val="006153B6"/>
    <w:rsid w:val="0061555F"/>
    <w:rsid w:val="00624D7B"/>
    <w:rsid w:val="00636CA6"/>
    <w:rsid w:val="00637EDD"/>
    <w:rsid w:val="00641200"/>
    <w:rsid w:val="00645CA8"/>
    <w:rsid w:val="0066262B"/>
    <w:rsid w:val="006655D3"/>
    <w:rsid w:val="00665C14"/>
    <w:rsid w:val="00667324"/>
    <w:rsid w:val="00667404"/>
    <w:rsid w:val="0068039E"/>
    <w:rsid w:val="00687EB4"/>
    <w:rsid w:val="00695C56"/>
    <w:rsid w:val="006A5CDE"/>
    <w:rsid w:val="006A644A"/>
    <w:rsid w:val="006B17D2"/>
    <w:rsid w:val="006C21D0"/>
    <w:rsid w:val="006C224E"/>
    <w:rsid w:val="006D780A"/>
    <w:rsid w:val="0071271E"/>
    <w:rsid w:val="00732DEC"/>
    <w:rsid w:val="00735BD5"/>
    <w:rsid w:val="00751613"/>
    <w:rsid w:val="007556F6"/>
    <w:rsid w:val="00760EEF"/>
    <w:rsid w:val="00777EE5"/>
    <w:rsid w:val="00782E88"/>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253AA"/>
    <w:rsid w:val="00846D7C"/>
    <w:rsid w:val="00864C55"/>
    <w:rsid w:val="00867AC1"/>
    <w:rsid w:val="00890DF8"/>
    <w:rsid w:val="008A743F"/>
    <w:rsid w:val="008B3D8D"/>
    <w:rsid w:val="008C0970"/>
    <w:rsid w:val="008D0BC5"/>
    <w:rsid w:val="008D2CF7"/>
    <w:rsid w:val="00900C26"/>
    <w:rsid w:val="0090197F"/>
    <w:rsid w:val="00906DDC"/>
    <w:rsid w:val="009301C9"/>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35900"/>
    <w:rsid w:val="00A42AC3"/>
    <w:rsid w:val="00A430CF"/>
    <w:rsid w:val="00A54309"/>
    <w:rsid w:val="00A706D3"/>
    <w:rsid w:val="00AB2B93"/>
    <w:rsid w:val="00AB530F"/>
    <w:rsid w:val="00AB7E5B"/>
    <w:rsid w:val="00AC1EF1"/>
    <w:rsid w:val="00AC2883"/>
    <w:rsid w:val="00AE0EF1"/>
    <w:rsid w:val="00AE2937"/>
    <w:rsid w:val="00AF38A3"/>
    <w:rsid w:val="00B07301"/>
    <w:rsid w:val="00B11F3E"/>
    <w:rsid w:val="00B224DE"/>
    <w:rsid w:val="00B324D4"/>
    <w:rsid w:val="00B46575"/>
    <w:rsid w:val="00B61777"/>
    <w:rsid w:val="00B84BBD"/>
    <w:rsid w:val="00B90401"/>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174"/>
    <w:rsid w:val="00CF1330"/>
    <w:rsid w:val="00CF7E36"/>
    <w:rsid w:val="00D00D03"/>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3750C"/>
    <w:rsid w:val="00E5267B"/>
    <w:rsid w:val="00E63C0E"/>
    <w:rsid w:val="00E71B18"/>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E3750C"/>
    <w:pPr>
      <w:keepNext/>
      <w:ind w:left="567"/>
      <w:jc w:val="both"/>
      <w:outlineLvl w:val="3"/>
    </w:pPr>
    <w:rPr>
      <w:rFonts w:ascii="Arial" w:hAnsi="Arial"/>
      <w:lang w:val="es-ES"/>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3750C"/>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E71B18"/>
    <w:rPr>
      <w:rFonts w:ascii="Arial" w:hAnsi="Arial"/>
      <w:caps/>
    </w:rPr>
  </w:style>
  <w:style w:type="character" w:customStyle="1" w:styleId="Heading2Char">
    <w:name w:val="Heading 2 Char"/>
    <w:basedOn w:val="DefaultParagraphFont"/>
    <w:link w:val="Heading2"/>
    <w:rsid w:val="00E71B18"/>
    <w:rPr>
      <w:rFonts w:ascii="Arial" w:hAnsi="Arial"/>
      <w:u w:val="single"/>
    </w:rPr>
  </w:style>
  <w:style w:type="character" w:customStyle="1" w:styleId="Heading3Char">
    <w:name w:val="Heading 3 Char"/>
    <w:basedOn w:val="DefaultParagraphFont"/>
    <w:link w:val="Heading3"/>
    <w:rsid w:val="00E71B18"/>
    <w:rPr>
      <w:rFonts w:ascii="Arial" w:hAnsi="Arial"/>
      <w:i/>
    </w:rPr>
  </w:style>
  <w:style w:type="paragraph" w:styleId="ListParagraph">
    <w:name w:val="List Paragraph"/>
    <w:basedOn w:val="Normal"/>
    <w:uiPriority w:val="34"/>
    <w:qFormat/>
    <w:rsid w:val="00E71B18"/>
    <w:pPr>
      <w:ind w:left="720"/>
      <w:contextualSpacing/>
    </w:pPr>
    <w:rPr>
      <w:lang w:val="en-US"/>
    </w:rPr>
  </w:style>
  <w:style w:type="paragraph" w:customStyle="1" w:styleId="Default">
    <w:name w:val="Default"/>
    <w:rsid w:val="00E71B18"/>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E71B18"/>
    <w:rPr>
      <w:b/>
      <w:bCs/>
    </w:rPr>
  </w:style>
  <w:style w:type="table" w:styleId="TableGrid">
    <w:name w:val="Table Grid"/>
    <w:basedOn w:val="TableNormal"/>
    <w:rsid w:val="00E71B1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E3750C"/>
    <w:pPr>
      <w:keepNext/>
      <w:ind w:left="567"/>
      <w:jc w:val="both"/>
      <w:outlineLvl w:val="3"/>
    </w:pPr>
    <w:rPr>
      <w:rFonts w:ascii="Arial" w:hAnsi="Arial"/>
      <w:lang w:val="es-ES"/>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3750C"/>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E71B18"/>
    <w:rPr>
      <w:rFonts w:ascii="Arial" w:hAnsi="Arial"/>
      <w:caps/>
    </w:rPr>
  </w:style>
  <w:style w:type="character" w:customStyle="1" w:styleId="Heading2Char">
    <w:name w:val="Heading 2 Char"/>
    <w:basedOn w:val="DefaultParagraphFont"/>
    <w:link w:val="Heading2"/>
    <w:rsid w:val="00E71B18"/>
    <w:rPr>
      <w:rFonts w:ascii="Arial" w:hAnsi="Arial"/>
      <w:u w:val="single"/>
    </w:rPr>
  </w:style>
  <w:style w:type="character" w:customStyle="1" w:styleId="Heading3Char">
    <w:name w:val="Heading 3 Char"/>
    <w:basedOn w:val="DefaultParagraphFont"/>
    <w:link w:val="Heading3"/>
    <w:rsid w:val="00E71B18"/>
    <w:rPr>
      <w:rFonts w:ascii="Arial" w:hAnsi="Arial"/>
      <w:i/>
    </w:rPr>
  </w:style>
  <w:style w:type="paragraph" w:styleId="ListParagraph">
    <w:name w:val="List Paragraph"/>
    <w:basedOn w:val="Normal"/>
    <w:uiPriority w:val="34"/>
    <w:qFormat/>
    <w:rsid w:val="00E71B18"/>
    <w:pPr>
      <w:ind w:left="720"/>
      <w:contextualSpacing/>
    </w:pPr>
    <w:rPr>
      <w:lang w:val="en-US"/>
    </w:rPr>
  </w:style>
  <w:style w:type="paragraph" w:customStyle="1" w:styleId="Default">
    <w:name w:val="Default"/>
    <w:rsid w:val="00E71B18"/>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E71B18"/>
    <w:rPr>
      <w:b/>
      <w:bCs/>
    </w:rPr>
  </w:style>
  <w:style w:type="table" w:styleId="TableGrid">
    <w:name w:val="Table Grid"/>
    <w:basedOn w:val="TableNormal"/>
    <w:rsid w:val="00E71B1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e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F36456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F36456E3</Template>
  <TotalTime>7</TotalTime>
  <Pages>7</Pages>
  <Words>3205</Words>
  <Characters>17197</Characters>
  <Application>Microsoft Office Word</Application>
  <DocSecurity>0</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TC/53/7</vt:lpstr>
      <vt:lpstr>TC/53/7</vt:lpstr>
    </vt:vector>
  </TitlesOfParts>
  <Company>UPOV</Company>
  <LinksUpToDate>false</LinksUpToDate>
  <CharactersWithSpaces>20362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TC/53/7</dc:title>
  <dc:creator>CEVALLOS DUQUE Nilo</dc:creator>
  <cp:lastModifiedBy>GIACHINO Erika</cp:lastModifiedBy>
  <cp:revision>3</cp:revision>
  <cp:lastPrinted>2016-11-22T15:41:00Z</cp:lastPrinted>
  <dcterms:created xsi:type="dcterms:W3CDTF">2017-03-28T14:51:00Z</dcterms:created>
  <dcterms:modified xsi:type="dcterms:W3CDTF">2017-03-28T15:00:00Z</dcterms:modified>
</cp:coreProperties>
</file>