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2" w:type="dxa"/>
        <w:tblLayout w:type="fixed"/>
        <w:tblCellMar>
          <w:left w:w="0" w:type="dxa"/>
          <w:right w:w="0" w:type="dxa"/>
        </w:tblCellMar>
        <w:tblLook w:val="0000" w:firstRow="0" w:lastRow="0" w:firstColumn="0" w:lastColumn="0" w:noHBand="0" w:noVBand="0"/>
      </w:tblPr>
      <w:tblGrid>
        <w:gridCol w:w="6522"/>
        <w:gridCol w:w="3117"/>
      </w:tblGrid>
      <w:tr w:rsidR="00300785" w:rsidRPr="0016789C">
        <w:tc>
          <w:tcPr>
            <w:tcW w:w="6522" w:type="dxa"/>
          </w:tcPr>
          <w:p w:rsidR="00300785" w:rsidRPr="0016789C" w:rsidRDefault="008844FD" w:rsidP="00AC2883">
            <w:pPr>
              <w:rPr>
                <w:lang w:val="es-ES"/>
              </w:rPr>
            </w:pPr>
            <w:r w:rsidRPr="0016789C">
              <w:rPr>
                <w:noProof/>
                <w:lang w:val="en-US"/>
              </w:rPr>
              <w:drawing>
                <wp:inline distT="0" distB="0" distL="0" distR="0">
                  <wp:extent cx="933450" cy="2286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inline>
              </w:drawing>
            </w:r>
          </w:p>
        </w:tc>
        <w:tc>
          <w:tcPr>
            <w:tcW w:w="3117" w:type="dxa"/>
          </w:tcPr>
          <w:p w:rsidR="00300785" w:rsidRPr="0016789C" w:rsidRDefault="00300785" w:rsidP="00AC2883">
            <w:pPr>
              <w:pStyle w:val="Lettrine"/>
              <w:rPr>
                <w:lang w:val="es-ES"/>
              </w:rPr>
            </w:pPr>
            <w:r w:rsidRPr="0016789C">
              <w:rPr>
                <w:lang w:val="es-ES"/>
              </w:rPr>
              <w:t>S</w:t>
            </w:r>
          </w:p>
        </w:tc>
      </w:tr>
      <w:tr w:rsidR="00300785" w:rsidRPr="0016789C">
        <w:trPr>
          <w:trHeight w:val="219"/>
        </w:trPr>
        <w:tc>
          <w:tcPr>
            <w:tcW w:w="6522" w:type="dxa"/>
          </w:tcPr>
          <w:p w:rsidR="00300785" w:rsidRPr="0016789C" w:rsidRDefault="00300785" w:rsidP="00BC0BD4">
            <w:pPr>
              <w:pStyle w:val="upove"/>
              <w:rPr>
                <w:lang w:val="es-ES"/>
              </w:rPr>
            </w:pPr>
            <w:r w:rsidRPr="0016789C">
              <w:rPr>
                <w:lang w:val="es-ES"/>
              </w:rPr>
              <w:t>Unión Internacional para la Protección de las Obtenciones Vegetales</w:t>
            </w:r>
          </w:p>
        </w:tc>
        <w:tc>
          <w:tcPr>
            <w:tcW w:w="3117" w:type="dxa"/>
          </w:tcPr>
          <w:p w:rsidR="00300785" w:rsidRPr="0016789C" w:rsidRDefault="00300785" w:rsidP="00DA4973">
            <w:pPr>
              <w:rPr>
                <w:lang w:val="es-ES"/>
              </w:rPr>
            </w:pPr>
          </w:p>
        </w:tc>
      </w:tr>
    </w:tbl>
    <w:p w:rsidR="00300785" w:rsidRPr="0016789C" w:rsidRDefault="00300785" w:rsidP="00DC3802">
      <w:pPr>
        <w:rPr>
          <w:lang w:val="es-ES"/>
        </w:rPr>
      </w:pPr>
    </w:p>
    <w:p w:rsidR="00300785" w:rsidRPr="0016789C" w:rsidRDefault="00300785" w:rsidP="00DC3802">
      <w:pPr>
        <w:rPr>
          <w:lang w:val="es-ES"/>
        </w:rPr>
      </w:pPr>
    </w:p>
    <w:tbl>
      <w:tblPr>
        <w:tblW w:w="5000" w:type="pct"/>
        <w:tblInd w:w="2" w:type="dxa"/>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00785" w:rsidRPr="0016789C">
        <w:tc>
          <w:tcPr>
            <w:tcW w:w="6512" w:type="dxa"/>
            <w:tcBorders>
              <w:bottom w:val="single" w:sz="4" w:space="0" w:color="auto"/>
            </w:tcBorders>
          </w:tcPr>
          <w:p w:rsidR="00300785" w:rsidRPr="0016789C" w:rsidRDefault="00300785" w:rsidP="00AC2883">
            <w:pPr>
              <w:pStyle w:val="Sessiontc"/>
              <w:spacing w:line="240" w:lineRule="auto"/>
              <w:rPr>
                <w:lang w:val="es-ES"/>
              </w:rPr>
            </w:pPr>
            <w:r w:rsidRPr="0016789C">
              <w:rPr>
                <w:lang w:val="es-ES"/>
              </w:rPr>
              <w:t>Comité Técnico</w:t>
            </w:r>
          </w:p>
          <w:p w:rsidR="00300785" w:rsidRPr="0016789C" w:rsidRDefault="00300785" w:rsidP="002E5944">
            <w:pPr>
              <w:pStyle w:val="Sessiontcplacedate"/>
              <w:rPr>
                <w:sz w:val="22"/>
                <w:szCs w:val="22"/>
                <w:lang w:val="es-ES"/>
              </w:rPr>
            </w:pPr>
            <w:r w:rsidRPr="0016789C">
              <w:rPr>
                <w:lang w:val="es-ES"/>
              </w:rPr>
              <w:t>Quincuagésima tercera sesión</w:t>
            </w:r>
            <w:r w:rsidRPr="0016789C">
              <w:rPr>
                <w:lang w:val="es-ES"/>
              </w:rPr>
              <w:br/>
              <w:t>Ginebra, 3 a 5 de abril de 2017</w:t>
            </w:r>
          </w:p>
        </w:tc>
        <w:tc>
          <w:tcPr>
            <w:tcW w:w="3127" w:type="dxa"/>
            <w:tcBorders>
              <w:bottom w:val="single" w:sz="4" w:space="0" w:color="auto"/>
            </w:tcBorders>
          </w:tcPr>
          <w:p w:rsidR="00300785" w:rsidRPr="0016789C" w:rsidRDefault="00300785" w:rsidP="003C7FBE">
            <w:pPr>
              <w:pStyle w:val="Doccode"/>
              <w:rPr>
                <w:lang w:val="es-ES"/>
              </w:rPr>
            </w:pPr>
            <w:r w:rsidRPr="0016789C">
              <w:rPr>
                <w:lang w:val="es-ES"/>
              </w:rPr>
              <w:t>TC/53/5</w:t>
            </w:r>
          </w:p>
          <w:p w:rsidR="00300785" w:rsidRPr="00D11A35" w:rsidRDefault="002A3A67" w:rsidP="003C7FBE">
            <w:pPr>
              <w:pStyle w:val="Docoriginal"/>
              <w:rPr>
                <w:b w:val="0"/>
                <w:lang w:val="es-ES"/>
              </w:rPr>
            </w:pPr>
            <w:r w:rsidRPr="002A3A67">
              <w:rPr>
                <w:lang w:val="es-ES"/>
              </w:rPr>
              <w:t>Original:</w:t>
            </w:r>
            <w:r w:rsidRPr="002A3A67">
              <w:rPr>
                <w:b w:val="0"/>
                <w:lang w:val="es-ES"/>
              </w:rPr>
              <w:t xml:space="preserve">  Inglés</w:t>
            </w:r>
          </w:p>
          <w:p w:rsidR="00300785" w:rsidRPr="0016789C" w:rsidRDefault="002A3A67" w:rsidP="0025117F">
            <w:pPr>
              <w:pStyle w:val="Docoriginal"/>
              <w:rPr>
                <w:lang w:val="es-ES"/>
              </w:rPr>
            </w:pPr>
            <w:r w:rsidRPr="002A3A67">
              <w:rPr>
                <w:lang w:val="es-ES"/>
              </w:rPr>
              <w:t>Fecha:</w:t>
            </w:r>
            <w:r w:rsidRPr="002A3A67">
              <w:rPr>
                <w:b w:val="0"/>
                <w:lang w:val="es-ES"/>
              </w:rPr>
              <w:t xml:space="preserve">  </w:t>
            </w:r>
            <w:r w:rsidRPr="0025117F">
              <w:rPr>
                <w:b w:val="0"/>
                <w:lang w:val="es-ES"/>
              </w:rPr>
              <w:t>2</w:t>
            </w:r>
            <w:r w:rsidR="0025117F" w:rsidRPr="0025117F">
              <w:rPr>
                <w:b w:val="0"/>
                <w:lang w:val="es-ES"/>
              </w:rPr>
              <w:t>8</w:t>
            </w:r>
            <w:r w:rsidRPr="0025117F">
              <w:rPr>
                <w:b w:val="0"/>
                <w:lang w:val="es-ES"/>
              </w:rPr>
              <w:t xml:space="preserve"> de febrero de 2</w:t>
            </w:r>
            <w:r w:rsidRPr="002A3A67">
              <w:rPr>
                <w:b w:val="0"/>
                <w:lang w:val="es-ES"/>
              </w:rPr>
              <w:t>017</w:t>
            </w:r>
          </w:p>
        </w:tc>
      </w:tr>
    </w:tbl>
    <w:p w:rsidR="00300785" w:rsidRPr="0016789C" w:rsidRDefault="00300785" w:rsidP="004233FE">
      <w:pPr>
        <w:pStyle w:val="Titleofdoc0"/>
        <w:rPr>
          <w:b w:val="0"/>
          <w:bCs/>
          <w:snapToGrid w:val="0"/>
          <w:lang w:val="es-ES"/>
        </w:rPr>
      </w:pPr>
      <w:bookmarkStart w:id="0" w:name="TitleOfDoc"/>
      <w:bookmarkEnd w:id="0"/>
      <w:r w:rsidRPr="0016789C">
        <w:rPr>
          <w:bCs/>
          <w:snapToGrid w:val="0"/>
          <w:lang w:val="es-ES"/>
        </w:rPr>
        <w:t>DOCUMENTOS TGP</w:t>
      </w:r>
    </w:p>
    <w:p w:rsidR="00300785" w:rsidRPr="0016789C" w:rsidRDefault="00300785" w:rsidP="006A644A">
      <w:pPr>
        <w:pStyle w:val="preparedby1"/>
        <w:jc w:val="left"/>
        <w:rPr>
          <w:lang w:val="es-ES"/>
        </w:rPr>
      </w:pPr>
      <w:bookmarkStart w:id="1" w:name="Prepared"/>
      <w:bookmarkEnd w:id="1"/>
      <w:r w:rsidRPr="0016789C">
        <w:rPr>
          <w:lang w:val="es-ES"/>
        </w:rPr>
        <w:t>Documento preparado por la Oficina de la Unión</w:t>
      </w:r>
    </w:p>
    <w:p w:rsidR="00300785" w:rsidRPr="0016789C" w:rsidRDefault="00300785" w:rsidP="0016789C">
      <w:pPr>
        <w:pStyle w:val="Disclaimer"/>
        <w:rPr>
          <w:lang w:val="es-ES"/>
        </w:rPr>
      </w:pPr>
      <w:r w:rsidRPr="0016789C">
        <w:rPr>
          <w:lang w:val="es-ES"/>
        </w:rPr>
        <w:t>Descargo de responsabilidad</w:t>
      </w:r>
      <w:proofErr w:type="gramStart"/>
      <w:r w:rsidRPr="0016789C">
        <w:rPr>
          <w:lang w:val="es-ES"/>
        </w:rPr>
        <w:t>:  el</w:t>
      </w:r>
      <w:proofErr w:type="gramEnd"/>
      <w:r w:rsidRPr="0016789C">
        <w:rPr>
          <w:lang w:val="es-ES"/>
        </w:rPr>
        <w:t xml:space="preserve"> presente documento no constituye un documento de política u orientación de la UPOV</w:t>
      </w:r>
    </w:p>
    <w:p w:rsidR="00300785" w:rsidRPr="0016789C" w:rsidRDefault="00300785" w:rsidP="0025117F">
      <w:pPr>
        <w:pStyle w:val="Heading1"/>
        <w:rPr>
          <w:snapToGrid w:val="0"/>
        </w:rPr>
      </w:pPr>
      <w:bookmarkStart w:id="2" w:name="_Toc476323003"/>
      <w:r w:rsidRPr="0016789C">
        <w:rPr>
          <w:snapToGrid w:val="0"/>
        </w:rPr>
        <w:t>RESUMEN</w:t>
      </w:r>
      <w:bookmarkEnd w:id="2"/>
    </w:p>
    <w:p w:rsidR="00300785" w:rsidRPr="0016789C" w:rsidRDefault="00300785" w:rsidP="00DF30C8">
      <w:pPr>
        <w:rPr>
          <w:snapToGrid w:val="0"/>
          <w:lang w:val="es-ES"/>
        </w:rPr>
      </w:pPr>
    </w:p>
    <w:p w:rsidR="00300785" w:rsidRPr="0016789C" w:rsidRDefault="002A3A67" w:rsidP="00DF30C8">
      <w:pPr>
        <w:rPr>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r>
      <w:r w:rsidR="00300785" w:rsidRPr="0016789C">
        <w:rPr>
          <w:lang w:val="es-ES"/>
        </w:rPr>
        <w:t xml:space="preserve">En el presente documento se ofrece un panorama general de las propuestas relativas a la posible futura revisión de documentos TGP. </w:t>
      </w:r>
    </w:p>
    <w:p w:rsidR="00300785" w:rsidRPr="0016789C" w:rsidRDefault="00300785" w:rsidP="00DF30C8">
      <w:pPr>
        <w:rPr>
          <w:lang w:val="es-ES"/>
        </w:rPr>
      </w:pPr>
    </w:p>
    <w:p w:rsidR="00300785" w:rsidRPr="0016789C" w:rsidRDefault="002A3A67" w:rsidP="00DF30C8">
      <w:pPr>
        <w:tabs>
          <w:tab w:val="left" w:pos="567"/>
          <w:tab w:val="left" w:pos="1134"/>
          <w:tab w:val="left" w:pos="5387"/>
          <w:tab w:val="left" w:pos="5954"/>
        </w:tabs>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Se invita al TC a:  </w:t>
      </w:r>
    </w:p>
    <w:p w:rsidR="00300785" w:rsidRPr="0016789C" w:rsidRDefault="00300785" w:rsidP="00DF30C8">
      <w:pPr>
        <w:tabs>
          <w:tab w:val="left" w:pos="567"/>
          <w:tab w:val="left" w:pos="1134"/>
          <w:tab w:val="left" w:pos="5387"/>
          <w:tab w:val="left" w:pos="5954"/>
        </w:tabs>
        <w:rPr>
          <w:lang w:val="es-ES"/>
        </w:rPr>
      </w:pPr>
    </w:p>
    <w:p w:rsidR="00300785" w:rsidRPr="0016789C" w:rsidRDefault="00300785" w:rsidP="007437F0">
      <w:pPr>
        <w:tabs>
          <w:tab w:val="left" w:pos="567"/>
          <w:tab w:val="left" w:pos="1134"/>
          <w:tab w:val="left" w:pos="5387"/>
          <w:tab w:val="left" w:pos="5954"/>
        </w:tabs>
        <w:ind w:firstLine="567"/>
        <w:rPr>
          <w:lang w:val="es-ES"/>
        </w:rPr>
      </w:pPr>
      <w:r w:rsidRPr="0016789C">
        <w:rPr>
          <w:lang w:val="es-ES"/>
        </w:rPr>
        <w:t>a)</w:t>
      </w:r>
      <w:r w:rsidRPr="0016789C">
        <w:rPr>
          <w:lang w:val="es-ES"/>
        </w:rPr>
        <w:tab/>
        <w:t>tomar nota de las cuestiones relativas a la futura revisión de documentos TGP que se examinarán en los documentos TC/53/15, TC/53/16, TC/53/17, TC/53/18 y TC/53/19;</w:t>
      </w:r>
    </w:p>
    <w:p w:rsidR="00300785" w:rsidRPr="0016789C" w:rsidRDefault="00300785" w:rsidP="00DF30C8">
      <w:pPr>
        <w:tabs>
          <w:tab w:val="left" w:pos="567"/>
          <w:tab w:val="left" w:pos="1134"/>
          <w:tab w:val="left" w:pos="5387"/>
          <w:tab w:val="left" w:pos="5954"/>
        </w:tabs>
        <w:rPr>
          <w:lang w:val="es-ES"/>
        </w:rPr>
      </w:pPr>
    </w:p>
    <w:p w:rsidR="007B286D" w:rsidRDefault="00D11A35" w:rsidP="007437F0">
      <w:pPr>
        <w:tabs>
          <w:tab w:val="left" w:pos="567"/>
          <w:tab w:val="left" w:pos="1134"/>
          <w:tab w:val="left" w:pos="5387"/>
          <w:tab w:val="left" w:pos="5954"/>
        </w:tabs>
        <w:ind w:firstLine="567"/>
        <w:rPr>
          <w:lang w:val="es-ES"/>
        </w:rPr>
      </w:pPr>
      <w:r>
        <w:rPr>
          <w:lang w:val="es-ES"/>
        </w:rPr>
        <w:t>b)</w:t>
      </w:r>
      <w:r w:rsidR="00300785" w:rsidRPr="00D11A35">
        <w:rPr>
          <w:lang w:val="es-ES"/>
        </w:rPr>
        <w:tab/>
      </w:r>
      <w:r w:rsidR="002A3A67" w:rsidRPr="002A3A67">
        <w:rPr>
          <w:lang w:val="es-ES"/>
        </w:rPr>
        <w:t>considerar si procede revisar el documento TGP/7 “Elaboración de las directrices de examen” para introducir nuevo texto estándar en la plantilla de directrices de examen y modificar el texto estándar adicional 2 para aclarar la duración del examen DHE, según se expon</w:t>
      </w:r>
      <w:r w:rsidR="002A3A67" w:rsidRPr="007437F0">
        <w:rPr>
          <w:lang w:val="es-ES"/>
        </w:rPr>
        <w:t>e en el párrafo 10 d</w:t>
      </w:r>
      <w:r w:rsidR="002A3A67" w:rsidRPr="002A3A67">
        <w:rPr>
          <w:lang w:val="es-ES"/>
        </w:rPr>
        <w:t>el presente documento;</w:t>
      </w:r>
    </w:p>
    <w:p w:rsidR="007B286D" w:rsidRDefault="007B286D" w:rsidP="007437F0">
      <w:pPr>
        <w:tabs>
          <w:tab w:val="left" w:pos="0"/>
          <w:tab w:val="left" w:pos="567"/>
          <w:tab w:val="left" w:pos="1134"/>
          <w:tab w:val="left" w:pos="5387"/>
          <w:tab w:val="left" w:pos="5954"/>
        </w:tabs>
        <w:ind w:left="567" w:firstLine="567"/>
      </w:pPr>
    </w:p>
    <w:p w:rsidR="007B286D" w:rsidRDefault="00D11A35" w:rsidP="007437F0">
      <w:pPr>
        <w:tabs>
          <w:tab w:val="left" w:pos="567"/>
          <w:tab w:val="left" w:pos="1134"/>
          <w:tab w:val="left" w:pos="5387"/>
          <w:tab w:val="left" w:pos="5954"/>
        </w:tabs>
        <w:ind w:firstLine="567"/>
        <w:rPr>
          <w:lang w:val="es-ES"/>
        </w:rPr>
      </w:pPr>
      <w:r>
        <w:rPr>
          <w:lang w:val="es-ES"/>
        </w:rPr>
        <w:t>c)</w:t>
      </w:r>
      <w:r>
        <w:rPr>
          <w:lang w:val="es-ES"/>
        </w:rPr>
        <w:tab/>
      </w:r>
      <w:r w:rsidR="002A3A67" w:rsidRPr="002A3A67">
        <w:rPr>
          <w:lang w:val="es-ES"/>
        </w:rPr>
        <w:t xml:space="preserve">considerar si los códigos UPOV y los nombres botánicos que figuran en la portada del proyecto de directrices de examen deben seguir disponiéndose </w:t>
      </w:r>
      <w:r w:rsidR="00AF0DEB">
        <w:rPr>
          <w:lang w:val="es-ES"/>
        </w:rPr>
        <w:t>por</w:t>
      </w:r>
      <w:r w:rsidR="002A3A67" w:rsidRPr="002A3A67">
        <w:rPr>
          <w:lang w:val="es-ES"/>
        </w:rPr>
        <w:t xml:space="preserve"> orden alfabético; </w:t>
      </w:r>
    </w:p>
    <w:p w:rsidR="007B286D" w:rsidRDefault="007B286D" w:rsidP="007437F0">
      <w:pPr>
        <w:tabs>
          <w:tab w:val="left" w:pos="567"/>
          <w:tab w:val="left" w:pos="1134"/>
          <w:tab w:val="left" w:pos="5387"/>
          <w:tab w:val="left" w:pos="5954"/>
        </w:tabs>
        <w:ind w:firstLine="567"/>
        <w:rPr>
          <w:lang w:val="es-ES"/>
        </w:rPr>
      </w:pPr>
    </w:p>
    <w:p w:rsidR="007B286D" w:rsidRDefault="00D11A35" w:rsidP="007437F0">
      <w:pPr>
        <w:tabs>
          <w:tab w:val="left" w:pos="567"/>
          <w:tab w:val="left" w:pos="1134"/>
          <w:tab w:val="left" w:pos="5387"/>
          <w:tab w:val="left" w:pos="5954"/>
        </w:tabs>
        <w:ind w:firstLine="567"/>
        <w:rPr>
          <w:lang w:val="es-ES"/>
        </w:rPr>
      </w:pPr>
      <w:r>
        <w:rPr>
          <w:lang w:val="es-ES"/>
        </w:rPr>
        <w:t>d)</w:t>
      </w:r>
      <w:r>
        <w:rPr>
          <w:lang w:val="es-ES"/>
        </w:rPr>
        <w:tab/>
      </w:r>
      <w:r w:rsidR="002A3A67" w:rsidRPr="002A3A67">
        <w:rPr>
          <w:lang w:val="es-ES"/>
        </w:rPr>
        <w:t>considerar si los métodos de observación de un carácter deben seguir presentándose por orden alfabético y si procede incluir una explicación sobre esta cuestión en el documento TGP/7 “Elaboración de las directrices de examen”;</w:t>
      </w:r>
    </w:p>
    <w:p w:rsidR="007B286D" w:rsidRDefault="007B286D" w:rsidP="007437F0">
      <w:pPr>
        <w:tabs>
          <w:tab w:val="left" w:pos="567"/>
          <w:tab w:val="left" w:pos="1134"/>
          <w:tab w:val="left" w:pos="5387"/>
          <w:tab w:val="left" w:pos="5954"/>
        </w:tabs>
        <w:ind w:firstLine="567"/>
        <w:rPr>
          <w:lang w:val="es-ES"/>
        </w:rPr>
      </w:pPr>
    </w:p>
    <w:p w:rsidR="007B286D" w:rsidRDefault="00D11A35" w:rsidP="007437F0">
      <w:pPr>
        <w:tabs>
          <w:tab w:val="left" w:pos="567"/>
          <w:tab w:val="left" w:pos="1134"/>
          <w:tab w:val="left" w:pos="5387"/>
          <w:tab w:val="left" w:pos="5954"/>
        </w:tabs>
        <w:ind w:firstLine="567"/>
        <w:rPr>
          <w:lang w:val="es-ES"/>
        </w:rPr>
      </w:pPr>
      <w:r>
        <w:rPr>
          <w:lang w:val="es-ES"/>
        </w:rPr>
        <w:t>e)</w:t>
      </w:r>
      <w:r>
        <w:rPr>
          <w:lang w:val="es-ES"/>
        </w:rPr>
        <w:tab/>
      </w:r>
      <w:r w:rsidR="002A3A67" w:rsidRPr="002A3A67">
        <w:rPr>
          <w:lang w:val="es-ES"/>
        </w:rPr>
        <w:t>considerar si procede revisar el documento TGP/7 “Elaboración de las directrices de examen” para indicar que puede emplearse una coma para separar tipos diferentes de variedades ejemplo (por ejemplo, (w) tipo de invierno, (s) tipo de primavera) y si la indicación del tipo debe preceder a la denominación de cada variedad ejemplo (por ejemplo, (w) alfa, (w) beta, (s) gamma, (s) sigma);</w:t>
      </w:r>
    </w:p>
    <w:p w:rsidR="007B286D" w:rsidRDefault="007B286D" w:rsidP="007437F0">
      <w:pPr>
        <w:tabs>
          <w:tab w:val="left" w:pos="567"/>
          <w:tab w:val="left" w:pos="1134"/>
          <w:tab w:val="left" w:pos="5387"/>
          <w:tab w:val="left" w:pos="5954"/>
        </w:tabs>
        <w:ind w:firstLine="567"/>
        <w:rPr>
          <w:lang w:val="es-ES"/>
        </w:rPr>
      </w:pPr>
    </w:p>
    <w:p w:rsidR="007B286D" w:rsidRDefault="00D11A35" w:rsidP="007437F0">
      <w:pPr>
        <w:tabs>
          <w:tab w:val="left" w:pos="567"/>
          <w:tab w:val="left" w:pos="1134"/>
          <w:tab w:val="left" w:pos="5387"/>
          <w:tab w:val="left" w:pos="5954"/>
        </w:tabs>
        <w:ind w:firstLine="567"/>
        <w:rPr>
          <w:lang w:val="es-ES"/>
        </w:rPr>
      </w:pPr>
      <w:r>
        <w:rPr>
          <w:lang w:val="es-ES"/>
        </w:rPr>
        <w:t>f)</w:t>
      </w:r>
      <w:r>
        <w:rPr>
          <w:lang w:val="es-ES"/>
        </w:rPr>
        <w:tab/>
      </w:r>
      <w:r w:rsidR="002A3A67" w:rsidRPr="002A3A67">
        <w:rPr>
          <w:lang w:val="es-ES"/>
        </w:rPr>
        <w:t>considerar si procede incluir explicaciones relativas a todos los caracteres antes del capítulo 8.1 “Explicaciones relativas a varios caracteres”, observando que para ello sería necesario insertar un cuadro de texto libre en la plantilla en Internet de los documentos TG;</w:t>
      </w:r>
    </w:p>
    <w:p w:rsidR="007B286D" w:rsidRDefault="007B286D">
      <w:pPr>
        <w:tabs>
          <w:tab w:val="left" w:pos="567"/>
          <w:tab w:val="left" w:pos="1134"/>
          <w:tab w:val="left" w:pos="5387"/>
          <w:tab w:val="left" w:pos="5954"/>
        </w:tabs>
        <w:rPr>
          <w:lang w:val="es-ES"/>
        </w:rPr>
      </w:pPr>
    </w:p>
    <w:p w:rsidR="007B286D" w:rsidRDefault="00D11A35" w:rsidP="007437F0">
      <w:pPr>
        <w:tabs>
          <w:tab w:val="left" w:pos="567"/>
          <w:tab w:val="left" w:pos="1134"/>
          <w:tab w:val="left" w:pos="5387"/>
          <w:tab w:val="left" w:pos="5954"/>
        </w:tabs>
        <w:ind w:firstLine="567"/>
        <w:rPr>
          <w:lang w:val="es-ES"/>
        </w:rPr>
      </w:pPr>
      <w:r>
        <w:rPr>
          <w:lang w:val="es-ES"/>
        </w:rPr>
        <w:t>g)</w:t>
      </w:r>
      <w:r>
        <w:rPr>
          <w:lang w:val="es-ES"/>
        </w:rPr>
        <w:tab/>
      </w:r>
      <w:r w:rsidR="002A3A67" w:rsidRPr="002A3A67">
        <w:rPr>
          <w:lang w:val="es-ES"/>
        </w:rPr>
        <w:t xml:space="preserve">considerar si los caracteres que cuentan con la misma explicación pueden presentarse en el capítulo 8.2 “Explicaciones relativas a caracteres individuales”, según se expone en el párrafo 20 del presente documento. </w:t>
      </w:r>
    </w:p>
    <w:p w:rsidR="007B286D" w:rsidRDefault="007B286D" w:rsidP="007437F0">
      <w:pPr>
        <w:tabs>
          <w:tab w:val="left" w:pos="567"/>
          <w:tab w:val="left" w:pos="1134"/>
          <w:tab w:val="left" w:pos="5387"/>
          <w:tab w:val="left" w:pos="5954"/>
        </w:tabs>
        <w:ind w:firstLine="567"/>
        <w:rPr>
          <w:lang w:val="es-ES"/>
        </w:rPr>
      </w:pPr>
    </w:p>
    <w:p w:rsidR="007B286D" w:rsidRDefault="00D11A35" w:rsidP="007437F0">
      <w:pPr>
        <w:tabs>
          <w:tab w:val="left" w:pos="567"/>
          <w:tab w:val="left" w:pos="1134"/>
          <w:tab w:val="left" w:pos="5387"/>
          <w:tab w:val="left" w:pos="5954"/>
        </w:tabs>
        <w:ind w:firstLine="567"/>
        <w:rPr>
          <w:lang w:val="es-ES"/>
        </w:rPr>
      </w:pPr>
      <w:r>
        <w:rPr>
          <w:lang w:val="es-ES"/>
        </w:rPr>
        <w:t>h)</w:t>
      </w:r>
      <w:r>
        <w:rPr>
          <w:lang w:val="es-ES"/>
        </w:rPr>
        <w:tab/>
      </w:r>
      <w:r w:rsidR="002A3A67" w:rsidRPr="00E471CF">
        <w:rPr>
          <w:lang w:val="es-ES"/>
        </w:rPr>
        <w:t xml:space="preserve">considerar si procede modificar el párrafo 3 de la nota orientativa 18, del documento TGP/7, a fin de aclarar que, </w:t>
      </w:r>
      <w:r w:rsidR="00EC6A06" w:rsidRPr="00E471CF">
        <w:rPr>
          <w:rFonts w:cs="Arial"/>
          <w:sz w:val="19"/>
          <w:szCs w:val="19"/>
          <w:lang w:val="es-ES" w:eastAsia="es-ES_tradnl"/>
        </w:rPr>
        <w:t>además de por el nivel de expresión de un carácter cualitativo anterior</w:t>
      </w:r>
      <w:r w:rsidR="00695590" w:rsidRPr="00E471CF">
        <w:rPr>
          <w:rFonts w:cs="Arial"/>
          <w:sz w:val="19"/>
          <w:szCs w:val="19"/>
          <w:lang w:val="es-ES" w:eastAsia="es-ES_tradnl"/>
        </w:rPr>
        <w:t xml:space="preserve">, </w:t>
      </w:r>
      <w:r w:rsidR="002A3A67" w:rsidRPr="00E471CF">
        <w:rPr>
          <w:lang w:val="es-ES"/>
        </w:rPr>
        <w:t>en algunos casos, por e</w:t>
      </w:r>
      <w:r w:rsidR="002A3A67" w:rsidRPr="00E471CF">
        <w:rPr>
          <w:strike/>
          <w:lang w:val="es-ES"/>
        </w:rPr>
        <w:t>l</w:t>
      </w:r>
      <w:r w:rsidR="002A3A67" w:rsidRPr="00E471CF">
        <w:rPr>
          <w:lang w:val="es-ES"/>
        </w:rPr>
        <w:t xml:space="preserve"> nivel de expresión de un carácter </w:t>
      </w:r>
      <w:proofErr w:type="spellStart"/>
      <w:r w:rsidR="002A3A67" w:rsidRPr="00E471CF">
        <w:rPr>
          <w:lang w:val="es-ES"/>
        </w:rPr>
        <w:t>pseudocualitativo</w:t>
      </w:r>
      <w:proofErr w:type="spellEnd"/>
      <w:r w:rsidR="002A3A67" w:rsidRPr="00E471CF">
        <w:rPr>
          <w:lang w:val="es-ES"/>
        </w:rPr>
        <w:t xml:space="preserve"> anterior puede determinarse que un carácter subsiguiente no es aplicable y establecer los criterios de aplicación de este enfoque;</w:t>
      </w:r>
      <w:r w:rsidR="002A3A67" w:rsidRPr="002A3A67">
        <w:rPr>
          <w:lang w:val="es-ES"/>
        </w:rPr>
        <w:t xml:space="preserve"> </w:t>
      </w:r>
    </w:p>
    <w:p w:rsidR="007B286D" w:rsidRDefault="007B286D" w:rsidP="007437F0">
      <w:pPr>
        <w:tabs>
          <w:tab w:val="left" w:pos="567"/>
          <w:tab w:val="left" w:pos="1134"/>
          <w:tab w:val="left" w:pos="5387"/>
          <w:tab w:val="left" w:pos="5954"/>
        </w:tabs>
        <w:ind w:firstLine="567"/>
        <w:rPr>
          <w:lang w:val="es-ES"/>
        </w:rPr>
      </w:pPr>
    </w:p>
    <w:p w:rsidR="007B286D" w:rsidRDefault="00D11A35" w:rsidP="007437F0">
      <w:pPr>
        <w:tabs>
          <w:tab w:val="left" w:pos="567"/>
          <w:tab w:val="left" w:pos="1134"/>
          <w:tab w:val="left" w:pos="5387"/>
          <w:tab w:val="left" w:pos="5954"/>
        </w:tabs>
        <w:ind w:firstLine="567"/>
        <w:rPr>
          <w:lang w:val="es-ES"/>
        </w:rPr>
      </w:pPr>
      <w:r>
        <w:rPr>
          <w:lang w:val="es-ES"/>
        </w:rPr>
        <w:t>i)</w:t>
      </w:r>
      <w:r>
        <w:rPr>
          <w:lang w:val="es-ES"/>
        </w:rPr>
        <w:tab/>
      </w:r>
      <w:r w:rsidR="002A3A67" w:rsidRPr="002A3A67">
        <w:rPr>
          <w:lang w:val="es-ES"/>
        </w:rPr>
        <w:t xml:space="preserve">considerar si procede modificar el documento TGP/7 para permitir el añadido de nuevas propuestas de revisiones parciales de las directrices de examen en cualquier momento del año, a reserva de que se prevea tiempo suficiente para que los expertos pertinentes y los miembros de la UPOV examinen las propuestas; </w:t>
      </w:r>
    </w:p>
    <w:p w:rsidR="007B286D" w:rsidRDefault="007B286D">
      <w:pPr>
        <w:tabs>
          <w:tab w:val="left" w:pos="567"/>
          <w:tab w:val="left" w:pos="1134"/>
          <w:tab w:val="left" w:pos="5387"/>
          <w:tab w:val="left" w:pos="5954"/>
        </w:tabs>
        <w:rPr>
          <w:lang w:val="es-ES"/>
        </w:rPr>
      </w:pPr>
    </w:p>
    <w:p w:rsidR="007B286D" w:rsidRDefault="00D11A35" w:rsidP="00CF2958">
      <w:pPr>
        <w:tabs>
          <w:tab w:val="left" w:pos="567"/>
          <w:tab w:val="left" w:pos="1134"/>
          <w:tab w:val="left" w:pos="5387"/>
          <w:tab w:val="left" w:pos="5954"/>
        </w:tabs>
        <w:ind w:firstLine="567"/>
        <w:rPr>
          <w:lang w:val="es-ES"/>
        </w:rPr>
      </w:pPr>
      <w:r>
        <w:rPr>
          <w:lang w:val="es-ES"/>
        </w:rPr>
        <w:t>j)</w:t>
      </w:r>
      <w:r>
        <w:rPr>
          <w:lang w:val="es-ES"/>
        </w:rPr>
        <w:tab/>
      </w:r>
      <w:r w:rsidR="002A3A67" w:rsidRPr="002A3A67">
        <w:rPr>
          <w:lang w:val="es-ES"/>
        </w:rPr>
        <w:t xml:space="preserve">tomar nota de que el experto de Israel había retirado la propuesta de revisión del término "recurvado”; </w:t>
      </w:r>
    </w:p>
    <w:p w:rsidR="007B286D" w:rsidRDefault="007B286D" w:rsidP="00CF2958">
      <w:pPr>
        <w:tabs>
          <w:tab w:val="left" w:pos="567"/>
          <w:tab w:val="left" w:pos="1134"/>
          <w:tab w:val="left" w:pos="5387"/>
          <w:tab w:val="left" w:pos="5954"/>
        </w:tabs>
        <w:ind w:firstLine="567"/>
        <w:rPr>
          <w:lang w:val="es-ES"/>
        </w:rPr>
      </w:pPr>
    </w:p>
    <w:p w:rsidR="007B286D" w:rsidRDefault="00D11A35" w:rsidP="00CF2958">
      <w:pPr>
        <w:tabs>
          <w:tab w:val="left" w:pos="567"/>
          <w:tab w:val="left" w:pos="1134"/>
          <w:tab w:val="left" w:pos="5387"/>
          <w:tab w:val="left" w:pos="5954"/>
        </w:tabs>
        <w:ind w:firstLine="567"/>
        <w:rPr>
          <w:lang w:val="es-ES"/>
        </w:rPr>
      </w:pPr>
      <w:r>
        <w:rPr>
          <w:lang w:val="es-ES"/>
        </w:rPr>
        <w:t>k)</w:t>
      </w:r>
      <w:r>
        <w:rPr>
          <w:lang w:val="es-ES"/>
        </w:rPr>
        <w:tab/>
      </w:r>
      <w:r w:rsidR="002A3A67" w:rsidRPr="002A3A67">
        <w:rPr>
          <w:lang w:val="es-ES"/>
        </w:rPr>
        <w:t>considerar si procede revisar el documento TGP/14</w:t>
      </w:r>
      <w:proofErr w:type="gramStart"/>
      <w:r w:rsidR="002A3A67" w:rsidRPr="002A3A67">
        <w:rPr>
          <w:lang w:val="es-ES"/>
        </w:rPr>
        <w:t xml:space="preserve">:  </w:t>
      </w:r>
      <w:r w:rsidR="003B54D8">
        <w:rPr>
          <w:lang w:val="es-ES"/>
        </w:rPr>
        <w:t>s</w:t>
      </w:r>
      <w:r w:rsidR="002A3A67" w:rsidRPr="002A3A67">
        <w:rPr>
          <w:lang w:val="es-ES"/>
        </w:rPr>
        <w:t>ección</w:t>
      </w:r>
      <w:proofErr w:type="gramEnd"/>
      <w:r w:rsidR="002A3A67" w:rsidRPr="002A3A67">
        <w:rPr>
          <w:lang w:val="es-ES"/>
        </w:rPr>
        <w:t xml:space="preserve"> 2:  </w:t>
      </w:r>
      <w:r w:rsidR="003B54D8">
        <w:rPr>
          <w:lang w:val="es-ES"/>
        </w:rPr>
        <w:t>s</w:t>
      </w:r>
      <w:r w:rsidR="002A3A67" w:rsidRPr="002A3A67">
        <w:rPr>
          <w:lang w:val="es-ES"/>
        </w:rPr>
        <w:t xml:space="preserve">ubsección 2:  Formas y estructuras para modificar el “cuadro de la posición de la parte más ancha y la relación longitud/anchura” presentado en la variante 2 y eliminar el texto “relación” e indicar “anchura” en una columna diferente de la escala de “ancha a estrecha”; </w:t>
      </w:r>
    </w:p>
    <w:p w:rsidR="007B286D" w:rsidRDefault="007B286D" w:rsidP="00CF2958">
      <w:pPr>
        <w:tabs>
          <w:tab w:val="left" w:pos="567"/>
          <w:tab w:val="left" w:pos="1134"/>
          <w:tab w:val="left" w:pos="5387"/>
          <w:tab w:val="left" w:pos="5954"/>
        </w:tabs>
        <w:ind w:firstLine="567"/>
        <w:rPr>
          <w:lang w:val="es-ES"/>
        </w:rPr>
      </w:pPr>
    </w:p>
    <w:p w:rsidR="007B286D" w:rsidRDefault="00D11A35" w:rsidP="00CF2958">
      <w:pPr>
        <w:tabs>
          <w:tab w:val="left" w:pos="567"/>
          <w:tab w:val="left" w:pos="1134"/>
          <w:tab w:val="left" w:pos="5387"/>
          <w:tab w:val="left" w:pos="5954"/>
        </w:tabs>
        <w:ind w:firstLine="567"/>
        <w:rPr>
          <w:lang w:val="es-ES"/>
        </w:rPr>
      </w:pPr>
      <w:r>
        <w:rPr>
          <w:lang w:val="es-ES"/>
        </w:rPr>
        <w:t>l)</w:t>
      </w:r>
      <w:r>
        <w:rPr>
          <w:lang w:val="es-ES"/>
        </w:rPr>
        <w:tab/>
      </w:r>
      <w:r w:rsidR="002A3A67" w:rsidRPr="002A3A67">
        <w:rPr>
          <w:lang w:val="es-ES"/>
        </w:rPr>
        <w:t xml:space="preserve">considerar si procede revisar el documento TGP/14 “Glosario de términos utilizados en los documentos de la UPOV” para reemplazar la actual lista de grupos de color UPOV por una nueva lista creada a partir de la sexta edición de la carta de colores RHS; </w:t>
      </w:r>
    </w:p>
    <w:p w:rsidR="007B286D" w:rsidRDefault="007B286D" w:rsidP="00CF2958">
      <w:pPr>
        <w:tabs>
          <w:tab w:val="left" w:pos="567"/>
          <w:tab w:val="left" w:pos="1134"/>
          <w:tab w:val="left" w:pos="5387"/>
          <w:tab w:val="left" w:pos="5954"/>
        </w:tabs>
        <w:ind w:firstLine="567"/>
        <w:rPr>
          <w:lang w:val="es-ES"/>
        </w:rPr>
      </w:pPr>
    </w:p>
    <w:p w:rsidR="00D11A35" w:rsidRDefault="00AE490C" w:rsidP="00D11A35">
      <w:pPr>
        <w:tabs>
          <w:tab w:val="left" w:pos="567"/>
          <w:tab w:val="left" w:pos="1134"/>
          <w:tab w:val="left" w:pos="5387"/>
          <w:tab w:val="left" w:pos="5954"/>
        </w:tabs>
        <w:rPr>
          <w:lang w:val="es-ES"/>
        </w:rPr>
      </w:pPr>
      <w:r>
        <w:rPr>
          <w:lang w:val="es-ES"/>
        </w:rPr>
        <w:tab/>
      </w:r>
      <w:r w:rsidR="00CF2958">
        <w:rPr>
          <w:lang w:val="es-ES"/>
        </w:rPr>
        <w:t>m</w:t>
      </w:r>
      <w:r w:rsidR="00D11A35">
        <w:rPr>
          <w:lang w:val="es-ES"/>
        </w:rPr>
        <w:t>)</w:t>
      </w:r>
      <w:r w:rsidR="00D11A35">
        <w:rPr>
          <w:lang w:val="es-ES"/>
        </w:rPr>
        <w:tab/>
      </w:r>
      <w:r w:rsidR="002A3A67" w:rsidRPr="002A3A67">
        <w:rPr>
          <w:lang w:val="es-ES"/>
        </w:rPr>
        <w:t>considerar la solicitud del TWO de que el experto de Alemania, con el apoyo de los expertos de Australia, el Canadá, Nueva Zelandia, los Países Bajos, el Reino Unido y la Unión Europea, elabore un proyecto de orientación sobre los factores que se han de tener en cuenta al crear grupos de color a efectos de agrupar variedades y organizar el ensayo de cultivo;</w:t>
      </w:r>
    </w:p>
    <w:p w:rsidR="00D11A35" w:rsidRPr="00D11A35" w:rsidRDefault="00D11A35" w:rsidP="00D11A35">
      <w:pPr>
        <w:tabs>
          <w:tab w:val="left" w:pos="567"/>
          <w:tab w:val="left" w:pos="1134"/>
          <w:tab w:val="left" w:pos="5387"/>
          <w:tab w:val="left" w:pos="5954"/>
        </w:tabs>
        <w:rPr>
          <w:lang w:val="es-ES"/>
        </w:rPr>
      </w:pPr>
    </w:p>
    <w:p w:rsidR="00300785" w:rsidRPr="0016789C" w:rsidRDefault="00AE490C" w:rsidP="00AE490C">
      <w:pPr>
        <w:tabs>
          <w:tab w:val="left" w:pos="567"/>
          <w:tab w:val="left" w:pos="1134"/>
          <w:tab w:val="left" w:pos="5387"/>
          <w:tab w:val="left" w:pos="5954"/>
        </w:tabs>
        <w:rPr>
          <w:lang w:val="es-ES"/>
        </w:rPr>
      </w:pPr>
      <w:r>
        <w:rPr>
          <w:lang w:val="es-ES"/>
        </w:rPr>
        <w:tab/>
      </w:r>
      <w:r w:rsidR="00CF2958">
        <w:rPr>
          <w:lang w:val="es-ES"/>
        </w:rPr>
        <w:t>n</w:t>
      </w:r>
      <w:r w:rsidR="00300785" w:rsidRPr="0016789C">
        <w:rPr>
          <w:lang w:val="es-ES"/>
        </w:rPr>
        <w:t>)</w:t>
      </w:r>
      <w:r w:rsidR="00300785" w:rsidRPr="0016789C">
        <w:rPr>
          <w:lang w:val="es-ES"/>
        </w:rPr>
        <w:tab/>
        <w:t>examinar el programa para la elaboración de los documentos TGP, según consta en el Anexo del presente documento.</w:t>
      </w:r>
    </w:p>
    <w:p w:rsidR="00300785" w:rsidRDefault="00300785" w:rsidP="00DF30C8">
      <w:pPr>
        <w:rPr>
          <w:lang w:val="es-ES"/>
        </w:rPr>
      </w:pPr>
    </w:p>
    <w:p w:rsidR="00CF2958" w:rsidRPr="0016789C" w:rsidRDefault="00CF2958" w:rsidP="00DF30C8">
      <w:pPr>
        <w:rPr>
          <w:lang w:val="es-ES"/>
        </w:rPr>
      </w:pPr>
    </w:p>
    <w:p w:rsidR="00300785" w:rsidRPr="0016789C" w:rsidRDefault="002A3A67" w:rsidP="00DF30C8">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El presente documento se estructura del modo siguiente:  </w:t>
      </w:r>
    </w:p>
    <w:p w:rsidR="00300785" w:rsidRPr="0016789C" w:rsidRDefault="00300785" w:rsidP="00DF30C8">
      <w:pPr>
        <w:rPr>
          <w:highlight w:val="yellow"/>
          <w:lang w:val="es-ES"/>
        </w:rPr>
      </w:pPr>
    </w:p>
    <w:p w:rsidR="00B341CF" w:rsidRDefault="002A3A67">
      <w:pPr>
        <w:pStyle w:val="TOC1"/>
        <w:rPr>
          <w:rFonts w:asciiTheme="minorHAnsi" w:eastAsiaTheme="minorEastAsia" w:hAnsiTheme="minorHAnsi" w:cstheme="minorBidi"/>
          <w:caps w:val="0"/>
          <w:noProof/>
          <w:sz w:val="22"/>
          <w:szCs w:val="22"/>
        </w:rPr>
      </w:pPr>
      <w:r w:rsidRPr="0016789C">
        <w:rPr>
          <w:dstrike/>
          <w:snapToGrid w:val="0"/>
          <w:lang w:val="es-ES"/>
        </w:rPr>
        <w:fldChar w:fldCharType="begin"/>
      </w:r>
      <w:r w:rsidR="00300785" w:rsidRPr="0016789C">
        <w:rPr>
          <w:dstrike/>
          <w:snapToGrid w:val="0"/>
          <w:lang w:val="es-ES"/>
        </w:rPr>
        <w:instrText xml:space="preserve"> TOC \o "1-4" \h \z \u </w:instrText>
      </w:r>
      <w:r w:rsidRPr="0016789C">
        <w:rPr>
          <w:dstrike/>
          <w:snapToGrid w:val="0"/>
          <w:lang w:val="es-ES"/>
        </w:rPr>
        <w:fldChar w:fldCharType="separate"/>
      </w:r>
      <w:hyperlink w:anchor="_Toc476323003" w:history="1">
        <w:r w:rsidR="00B341CF" w:rsidRPr="002667AC">
          <w:rPr>
            <w:rStyle w:val="Hyperlink"/>
            <w:noProof/>
            <w:snapToGrid w:val="0"/>
          </w:rPr>
          <w:t>RESUMEN</w:t>
        </w:r>
        <w:r w:rsidR="00B341CF">
          <w:rPr>
            <w:noProof/>
            <w:webHidden/>
          </w:rPr>
          <w:tab/>
        </w:r>
        <w:r w:rsidR="00B341CF">
          <w:rPr>
            <w:noProof/>
            <w:webHidden/>
          </w:rPr>
          <w:fldChar w:fldCharType="begin"/>
        </w:r>
        <w:r w:rsidR="00B341CF">
          <w:rPr>
            <w:noProof/>
            <w:webHidden/>
          </w:rPr>
          <w:instrText xml:space="preserve"> PAGEREF _Toc476323003 \h </w:instrText>
        </w:r>
        <w:r w:rsidR="00B341CF">
          <w:rPr>
            <w:noProof/>
            <w:webHidden/>
          </w:rPr>
        </w:r>
        <w:r w:rsidR="00B341CF">
          <w:rPr>
            <w:noProof/>
            <w:webHidden/>
          </w:rPr>
          <w:fldChar w:fldCharType="separate"/>
        </w:r>
        <w:r w:rsidR="00B341CF">
          <w:rPr>
            <w:noProof/>
            <w:webHidden/>
          </w:rPr>
          <w:t>1</w:t>
        </w:r>
        <w:r w:rsidR="00B341CF">
          <w:rPr>
            <w:noProof/>
            <w:webHidden/>
          </w:rPr>
          <w:fldChar w:fldCharType="end"/>
        </w:r>
      </w:hyperlink>
    </w:p>
    <w:p w:rsidR="00B341CF" w:rsidRDefault="00B341CF">
      <w:pPr>
        <w:pStyle w:val="TOC1"/>
        <w:rPr>
          <w:rFonts w:asciiTheme="minorHAnsi" w:eastAsiaTheme="minorEastAsia" w:hAnsiTheme="minorHAnsi" w:cstheme="minorBidi"/>
          <w:caps w:val="0"/>
          <w:noProof/>
          <w:sz w:val="22"/>
          <w:szCs w:val="22"/>
        </w:rPr>
      </w:pPr>
      <w:hyperlink w:anchor="_Toc476323004" w:history="1">
        <w:r w:rsidRPr="002667AC">
          <w:rPr>
            <w:rStyle w:val="Hyperlink"/>
            <w:noProof/>
          </w:rPr>
          <w:t>ANTECEDENTES</w:t>
        </w:r>
        <w:r>
          <w:rPr>
            <w:noProof/>
            <w:webHidden/>
          </w:rPr>
          <w:tab/>
        </w:r>
        <w:r>
          <w:rPr>
            <w:noProof/>
            <w:webHidden/>
          </w:rPr>
          <w:fldChar w:fldCharType="begin"/>
        </w:r>
        <w:r>
          <w:rPr>
            <w:noProof/>
            <w:webHidden/>
          </w:rPr>
          <w:instrText xml:space="preserve"> PAGEREF _Toc476323004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1"/>
        <w:rPr>
          <w:rFonts w:asciiTheme="minorHAnsi" w:eastAsiaTheme="minorEastAsia" w:hAnsiTheme="minorHAnsi" w:cstheme="minorBidi"/>
          <w:caps w:val="0"/>
          <w:noProof/>
          <w:sz w:val="22"/>
          <w:szCs w:val="22"/>
        </w:rPr>
      </w:pPr>
      <w:hyperlink w:anchor="_Toc476323005" w:history="1">
        <w:r w:rsidRPr="002667AC">
          <w:rPr>
            <w:rStyle w:val="Hyperlink"/>
            <w:noProof/>
          </w:rPr>
          <w:t>FUTURA REVISIÓN DE DOCUMENTOS TGP</w:t>
        </w:r>
        <w:r>
          <w:rPr>
            <w:noProof/>
            <w:webHidden/>
          </w:rPr>
          <w:tab/>
        </w:r>
        <w:r>
          <w:rPr>
            <w:noProof/>
            <w:webHidden/>
          </w:rPr>
          <w:fldChar w:fldCharType="begin"/>
        </w:r>
        <w:r>
          <w:rPr>
            <w:noProof/>
            <w:webHidden/>
          </w:rPr>
          <w:instrText xml:space="preserve"> PAGEREF _Toc476323005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2"/>
        <w:rPr>
          <w:rFonts w:asciiTheme="minorHAnsi" w:eastAsiaTheme="minorEastAsia" w:hAnsiTheme="minorHAnsi" w:cstheme="minorBidi"/>
          <w:smallCaps w:val="0"/>
          <w:noProof/>
          <w:sz w:val="22"/>
          <w:szCs w:val="22"/>
        </w:rPr>
      </w:pPr>
      <w:hyperlink w:anchor="_Toc476323006" w:history="1">
        <w:r w:rsidRPr="002667AC">
          <w:rPr>
            <w:rStyle w:val="Hyperlink"/>
            <w:noProof/>
            <w:lang w:val="es-ES"/>
          </w:rPr>
          <w:t>TGP/7 “Elaboración de las directrices de examen”</w:t>
        </w:r>
        <w:r>
          <w:rPr>
            <w:noProof/>
            <w:webHidden/>
          </w:rPr>
          <w:tab/>
        </w:r>
        <w:r>
          <w:rPr>
            <w:noProof/>
            <w:webHidden/>
          </w:rPr>
          <w:fldChar w:fldCharType="begin"/>
        </w:r>
        <w:r>
          <w:rPr>
            <w:noProof/>
            <w:webHidden/>
          </w:rPr>
          <w:instrText xml:space="preserve"> PAGEREF _Toc476323006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07" w:history="1">
        <w:r w:rsidRPr="002667AC">
          <w:rPr>
            <w:rStyle w:val="Hyperlink"/>
            <w:noProof/>
            <w:lang w:val="es-ES"/>
          </w:rPr>
          <w:t>i)</w:t>
        </w:r>
        <w:r>
          <w:rPr>
            <w:rFonts w:asciiTheme="minorHAnsi" w:eastAsiaTheme="minorEastAsia" w:hAnsiTheme="minorHAnsi" w:cstheme="minorBidi"/>
            <w:noProof/>
            <w:sz w:val="22"/>
            <w:szCs w:val="22"/>
            <w:lang w:val="en-US"/>
          </w:rPr>
          <w:tab/>
        </w:r>
        <w:r w:rsidRPr="002667AC">
          <w:rPr>
            <w:rStyle w:val="Hyperlink"/>
            <w:noProof/>
            <w:lang w:val="es-ES"/>
          </w:rPr>
          <w:t>Carpeta de material para los redactores de directrices de examen</w:t>
        </w:r>
        <w:r>
          <w:rPr>
            <w:noProof/>
            <w:webHidden/>
          </w:rPr>
          <w:tab/>
        </w:r>
        <w:r>
          <w:rPr>
            <w:noProof/>
            <w:webHidden/>
          </w:rPr>
          <w:fldChar w:fldCharType="begin"/>
        </w:r>
        <w:r>
          <w:rPr>
            <w:noProof/>
            <w:webHidden/>
          </w:rPr>
          <w:instrText xml:space="preserve"> PAGEREF _Toc476323007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2"/>
        <w:rPr>
          <w:rFonts w:asciiTheme="minorHAnsi" w:eastAsiaTheme="minorEastAsia" w:hAnsiTheme="minorHAnsi" w:cstheme="minorBidi"/>
          <w:smallCaps w:val="0"/>
          <w:noProof/>
          <w:sz w:val="22"/>
          <w:szCs w:val="22"/>
        </w:rPr>
      </w:pPr>
      <w:hyperlink w:anchor="_Toc476323008" w:history="1">
        <w:r w:rsidRPr="002667AC">
          <w:rPr>
            <w:rStyle w:val="Hyperlink"/>
            <w:noProof/>
            <w:lang w:val="es-ES"/>
          </w:rPr>
          <w:t>TGP/8 “Diseño de ensayos y técnicas utilizadas en el examen de la distinción, la homogeneidad y la estabilidad”</w:t>
        </w:r>
        <w:r>
          <w:rPr>
            <w:noProof/>
            <w:webHidden/>
          </w:rPr>
          <w:tab/>
        </w:r>
        <w:r>
          <w:rPr>
            <w:noProof/>
            <w:webHidden/>
          </w:rPr>
          <w:fldChar w:fldCharType="begin"/>
        </w:r>
        <w:r>
          <w:rPr>
            <w:noProof/>
            <w:webHidden/>
          </w:rPr>
          <w:instrText xml:space="preserve"> PAGEREF _Toc476323008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09" w:history="1">
        <w:r w:rsidRPr="002667AC">
          <w:rPr>
            <w:rStyle w:val="Hyperlink"/>
            <w:noProof/>
            <w:lang w:val="es-ES"/>
          </w:rPr>
          <w:t>ii)</w:t>
        </w:r>
        <w:r>
          <w:rPr>
            <w:rFonts w:asciiTheme="minorHAnsi" w:eastAsiaTheme="minorEastAsia" w:hAnsiTheme="minorHAnsi" w:cstheme="minorBidi"/>
            <w:noProof/>
            <w:sz w:val="22"/>
            <w:szCs w:val="22"/>
            <w:lang w:val="en-US"/>
          </w:rPr>
          <w:tab/>
        </w:r>
        <w:r w:rsidRPr="002667AC">
          <w:rPr>
            <w:rStyle w:val="Hyperlink"/>
            <w:noProof/>
            <w:lang w:val="es-ES"/>
          </w:rPr>
          <w:t>Criterio combinado interanual de distinción (COYU)</w:t>
        </w:r>
        <w:r>
          <w:rPr>
            <w:noProof/>
            <w:webHidden/>
          </w:rPr>
          <w:tab/>
        </w:r>
        <w:r>
          <w:rPr>
            <w:noProof/>
            <w:webHidden/>
          </w:rPr>
          <w:fldChar w:fldCharType="begin"/>
        </w:r>
        <w:r>
          <w:rPr>
            <w:noProof/>
            <w:webHidden/>
          </w:rPr>
          <w:instrText xml:space="preserve"> PAGEREF _Toc476323009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0" w:history="1">
        <w:r w:rsidRPr="002667AC">
          <w:rPr>
            <w:rStyle w:val="Hyperlink"/>
            <w:noProof/>
            <w:lang w:val="es-ES"/>
          </w:rPr>
          <w:t>iii)</w:t>
        </w:r>
        <w:r>
          <w:rPr>
            <w:rFonts w:asciiTheme="minorHAnsi" w:eastAsiaTheme="minorEastAsia" w:hAnsiTheme="minorHAnsi" w:cstheme="minorBidi"/>
            <w:noProof/>
            <w:sz w:val="22"/>
            <w:szCs w:val="22"/>
            <w:lang w:val="en-US"/>
          </w:rPr>
          <w:tab/>
        </w:r>
        <w:r w:rsidRPr="002667AC">
          <w:rPr>
            <w:rStyle w:val="Hyperlink"/>
            <w:noProof/>
            <w:lang w:val="es-ES"/>
          </w:rPr>
          <w:t>Nueva sección:  Examen DHE de muestras en bloque</w:t>
        </w:r>
        <w:r>
          <w:rPr>
            <w:noProof/>
            <w:webHidden/>
          </w:rPr>
          <w:tab/>
        </w:r>
        <w:r>
          <w:rPr>
            <w:noProof/>
            <w:webHidden/>
          </w:rPr>
          <w:fldChar w:fldCharType="begin"/>
        </w:r>
        <w:r>
          <w:rPr>
            <w:noProof/>
            <w:webHidden/>
          </w:rPr>
          <w:instrText xml:space="preserve"> PAGEREF _Toc476323010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1" w:history="1">
        <w:r w:rsidRPr="002667AC">
          <w:rPr>
            <w:rStyle w:val="Hyperlink"/>
            <w:noProof/>
            <w:lang w:val="es-ES"/>
          </w:rPr>
          <w:t>iv)</w:t>
        </w:r>
        <w:r>
          <w:rPr>
            <w:rFonts w:asciiTheme="minorHAnsi" w:eastAsiaTheme="minorEastAsia" w:hAnsiTheme="minorHAnsi" w:cstheme="minorBidi"/>
            <w:noProof/>
            <w:sz w:val="22"/>
            <w:szCs w:val="22"/>
            <w:lang w:val="en-US"/>
          </w:rPr>
          <w:tab/>
        </w:r>
        <w:r w:rsidRPr="002667AC">
          <w:rPr>
            <w:rStyle w:val="Hyperlink"/>
            <w:noProof/>
            <w:lang w:val="es-ES"/>
          </w:rPr>
          <w:t>Nueva sección:  Tratamiento de datos para la evaluación de la distinción y la elaboración de descripciones de variedades</w:t>
        </w:r>
        <w:r>
          <w:rPr>
            <w:noProof/>
            <w:webHidden/>
          </w:rPr>
          <w:tab/>
        </w:r>
        <w:r>
          <w:rPr>
            <w:noProof/>
            <w:webHidden/>
          </w:rPr>
          <w:fldChar w:fldCharType="begin"/>
        </w:r>
        <w:r>
          <w:rPr>
            <w:noProof/>
            <w:webHidden/>
          </w:rPr>
          <w:instrText xml:space="preserve"> PAGEREF _Toc476323011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2"/>
        <w:rPr>
          <w:rFonts w:asciiTheme="minorHAnsi" w:eastAsiaTheme="minorEastAsia" w:hAnsiTheme="minorHAnsi" w:cstheme="minorBidi"/>
          <w:smallCaps w:val="0"/>
          <w:noProof/>
          <w:sz w:val="22"/>
          <w:szCs w:val="22"/>
        </w:rPr>
      </w:pPr>
      <w:hyperlink w:anchor="_Toc476323012" w:history="1">
        <w:r w:rsidRPr="002667AC">
          <w:rPr>
            <w:rStyle w:val="Hyperlink"/>
            <w:noProof/>
            <w:lang w:val="es-ES"/>
          </w:rPr>
          <w:t>TGP/10 “Examen de la homogeneidad”</w:t>
        </w:r>
        <w:r>
          <w:rPr>
            <w:noProof/>
            <w:webHidden/>
          </w:rPr>
          <w:tab/>
        </w:r>
        <w:r>
          <w:rPr>
            <w:noProof/>
            <w:webHidden/>
          </w:rPr>
          <w:fldChar w:fldCharType="begin"/>
        </w:r>
        <w:r>
          <w:rPr>
            <w:noProof/>
            <w:webHidden/>
          </w:rPr>
          <w:instrText xml:space="preserve"> PAGEREF _Toc476323012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3" w:history="1">
        <w:r w:rsidRPr="002667AC">
          <w:rPr>
            <w:rStyle w:val="Hyperlink"/>
            <w:noProof/>
            <w:lang w:val="es-ES"/>
          </w:rPr>
          <w:t>v)</w:t>
        </w:r>
        <w:r>
          <w:rPr>
            <w:rFonts w:asciiTheme="minorHAnsi" w:eastAsiaTheme="minorEastAsia" w:hAnsiTheme="minorHAnsi" w:cstheme="minorBidi"/>
            <w:noProof/>
            <w:sz w:val="22"/>
            <w:szCs w:val="22"/>
            <w:lang w:val="en-US"/>
          </w:rPr>
          <w:tab/>
        </w:r>
        <w:r w:rsidRPr="002667AC">
          <w:rPr>
            <w:rStyle w:val="Hyperlink"/>
            <w:noProof/>
            <w:lang w:val="es-ES"/>
          </w:rPr>
          <w:t>Nueva sección:  Evaluación de la homogeneidad de las plantas fuera de tipo mediante la observación de más de un ciclo de cultivo o mediante la observación de submuestras</w:t>
        </w:r>
        <w:r>
          <w:rPr>
            <w:noProof/>
            <w:webHidden/>
          </w:rPr>
          <w:tab/>
        </w:r>
        <w:r>
          <w:rPr>
            <w:noProof/>
            <w:webHidden/>
          </w:rPr>
          <w:fldChar w:fldCharType="begin"/>
        </w:r>
        <w:r>
          <w:rPr>
            <w:noProof/>
            <w:webHidden/>
          </w:rPr>
          <w:instrText xml:space="preserve"> PAGEREF _Toc476323013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1"/>
        <w:rPr>
          <w:rFonts w:asciiTheme="minorHAnsi" w:eastAsiaTheme="minorEastAsia" w:hAnsiTheme="minorHAnsi" w:cstheme="minorBidi"/>
          <w:caps w:val="0"/>
          <w:noProof/>
          <w:sz w:val="22"/>
          <w:szCs w:val="22"/>
        </w:rPr>
      </w:pPr>
      <w:hyperlink w:anchor="_Toc476323014" w:history="1">
        <w:r w:rsidRPr="002667AC">
          <w:rPr>
            <w:rStyle w:val="Hyperlink"/>
            <w:noProof/>
          </w:rPr>
          <w:t>NUEVAS PROPUESTAS PARA LA FUTURA REVISIÓN DE DOCUMENTOS TGP</w:t>
        </w:r>
        <w:r>
          <w:rPr>
            <w:noProof/>
            <w:webHidden/>
          </w:rPr>
          <w:tab/>
        </w:r>
        <w:r>
          <w:rPr>
            <w:noProof/>
            <w:webHidden/>
          </w:rPr>
          <w:fldChar w:fldCharType="begin"/>
        </w:r>
        <w:r>
          <w:rPr>
            <w:noProof/>
            <w:webHidden/>
          </w:rPr>
          <w:instrText xml:space="preserve"> PAGEREF _Toc476323014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2"/>
        <w:rPr>
          <w:rFonts w:asciiTheme="minorHAnsi" w:eastAsiaTheme="minorEastAsia" w:hAnsiTheme="minorHAnsi" w:cstheme="minorBidi"/>
          <w:smallCaps w:val="0"/>
          <w:noProof/>
          <w:sz w:val="22"/>
          <w:szCs w:val="22"/>
        </w:rPr>
      </w:pPr>
      <w:hyperlink w:anchor="_Toc476323015" w:history="1">
        <w:r w:rsidRPr="002667AC">
          <w:rPr>
            <w:rStyle w:val="Hyperlink"/>
            <w:noProof/>
            <w:lang w:val="es-ES"/>
          </w:rPr>
          <w:t>TGP/7 “Elaboración de las directrices de examen”</w:t>
        </w:r>
        <w:r>
          <w:rPr>
            <w:noProof/>
            <w:webHidden/>
          </w:rPr>
          <w:tab/>
        </w:r>
        <w:r>
          <w:rPr>
            <w:noProof/>
            <w:webHidden/>
          </w:rPr>
          <w:fldChar w:fldCharType="begin"/>
        </w:r>
        <w:r>
          <w:rPr>
            <w:noProof/>
            <w:webHidden/>
          </w:rPr>
          <w:instrText xml:space="preserve"> PAGEREF _Toc476323015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6" w:history="1">
        <w:r w:rsidRPr="002667AC">
          <w:rPr>
            <w:rStyle w:val="Hyperlink"/>
            <w:noProof/>
            <w:lang w:val="es-ES"/>
          </w:rPr>
          <w:t>i)</w:t>
        </w:r>
        <w:r>
          <w:rPr>
            <w:rFonts w:asciiTheme="minorHAnsi" w:eastAsiaTheme="minorEastAsia" w:hAnsiTheme="minorHAnsi" w:cstheme="minorBidi"/>
            <w:noProof/>
            <w:sz w:val="22"/>
            <w:szCs w:val="22"/>
            <w:lang w:val="en-US"/>
          </w:rPr>
          <w:tab/>
        </w:r>
        <w:r w:rsidRPr="002667AC">
          <w:rPr>
            <w:rStyle w:val="Hyperlink"/>
            <w:noProof/>
            <w:lang w:val="es-ES"/>
          </w:rPr>
          <w:t>Duración de los exámenes DHE en el sector frutícola</w:t>
        </w:r>
        <w:r>
          <w:rPr>
            <w:noProof/>
            <w:webHidden/>
          </w:rPr>
          <w:tab/>
        </w:r>
        <w:r>
          <w:rPr>
            <w:noProof/>
            <w:webHidden/>
          </w:rPr>
          <w:fldChar w:fldCharType="begin"/>
        </w:r>
        <w:r>
          <w:rPr>
            <w:noProof/>
            <w:webHidden/>
          </w:rPr>
          <w:instrText xml:space="preserve"> PAGEREF _Toc476323016 \h </w:instrText>
        </w:r>
        <w:r>
          <w:rPr>
            <w:noProof/>
            <w:webHidden/>
          </w:rPr>
        </w:r>
        <w:r>
          <w:rPr>
            <w:noProof/>
            <w:webHidden/>
          </w:rPr>
          <w:fldChar w:fldCharType="separate"/>
        </w:r>
        <w:r>
          <w:rPr>
            <w:noProof/>
            <w:webHidden/>
          </w:rPr>
          <w:t>3</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7" w:history="1">
        <w:r w:rsidRPr="002667AC">
          <w:rPr>
            <w:rStyle w:val="Hyperlink"/>
            <w:noProof/>
            <w:lang w:val="es-ES"/>
          </w:rPr>
          <w:t>ii)</w:t>
        </w:r>
        <w:r>
          <w:rPr>
            <w:rFonts w:asciiTheme="minorHAnsi" w:eastAsiaTheme="minorEastAsia" w:hAnsiTheme="minorHAnsi" w:cstheme="minorBidi"/>
            <w:noProof/>
            <w:sz w:val="22"/>
            <w:szCs w:val="22"/>
            <w:lang w:val="en-US"/>
          </w:rPr>
          <w:tab/>
        </w:r>
        <w:r w:rsidRPr="002667AC">
          <w:rPr>
            <w:rStyle w:val="Hyperlink"/>
            <w:noProof/>
            <w:lang w:val="es-ES"/>
          </w:rPr>
          <w:t>Orden de los códigos UPOV y los nombres botánicos</w:t>
        </w:r>
        <w:r>
          <w:rPr>
            <w:noProof/>
            <w:webHidden/>
          </w:rPr>
          <w:tab/>
        </w:r>
        <w:r>
          <w:rPr>
            <w:noProof/>
            <w:webHidden/>
          </w:rPr>
          <w:fldChar w:fldCharType="begin"/>
        </w:r>
        <w:r>
          <w:rPr>
            <w:noProof/>
            <w:webHidden/>
          </w:rPr>
          <w:instrText xml:space="preserve"> PAGEREF _Toc476323017 \h </w:instrText>
        </w:r>
        <w:r>
          <w:rPr>
            <w:noProof/>
            <w:webHidden/>
          </w:rPr>
        </w:r>
        <w:r>
          <w:rPr>
            <w:noProof/>
            <w:webHidden/>
          </w:rPr>
          <w:fldChar w:fldCharType="separate"/>
        </w:r>
        <w:r>
          <w:rPr>
            <w:noProof/>
            <w:webHidden/>
          </w:rPr>
          <w:t>4</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8" w:history="1">
        <w:r w:rsidRPr="002667AC">
          <w:rPr>
            <w:rStyle w:val="Hyperlink"/>
            <w:noProof/>
            <w:lang w:val="es-ES"/>
          </w:rPr>
          <w:t>iii)</w:t>
        </w:r>
        <w:r>
          <w:rPr>
            <w:rFonts w:asciiTheme="minorHAnsi" w:eastAsiaTheme="minorEastAsia" w:hAnsiTheme="minorHAnsi" w:cstheme="minorBidi"/>
            <w:noProof/>
            <w:sz w:val="22"/>
            <w:szCs w:val="22"/>
            <w:lang w:val="en-US"/>
          </w:rPr>
          <w:tab/>
        </w:r>
        <w:r w:rsidRPr="002667AC">
          <w:rPr>
            <w:rStyle w:val="Hyperlink"/>
            <w:noProof/>
            <w:lang w:val="es-ES"/>
          </w:rPr>
          <w:t>Orden de los métodos de observación</w:t>
        </w:r>
        <w:r>
          <w:rPr>
            <w:noProof/>
            <w:webHidden/>
          </w:rPr>
          <w:tab/>
        </w:r>
        <w:r>
          <w:rPr>
            <w:noProof/>
            <w:webHidden/>
          </w:rPr>
          <w:fldChar w:fldCharType="begin"/>
        </w:r>
        <w:r>
          <w:rPr>
            <w:noProof/>
            <w:webHidden/>
          </w:rPr>
          <w:instrText xml:space="preserve"> PAGEREF _Toc476323018 \h </w:instrText>
        </w:r>
        <w:r>
          <w:rPr>
            <w:noProof/>
            <w:webHidden/>
          </w:rPr>
        </w:r>
        <w:r>
          <w:rPr>
            <w:noProof/>
            <w:webHidden/>
          </w:rPr>
          <w:fldChar w:fldCharType="separate"/>
        </w:r>
        <w:r>
          <w:rPr>
            <w:noProof/>
            <w:webHidden/>
          </w:rPr>
          <w:t>5</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19" w:history="1">
        <w:r w:rsidRPr="002667AC">
          <w:rPr>
            <w:rStyle w:val="Hyperlink"/>
            <w:noProof/>
            <w:lang w:val="es-ES"/>
          </w:rPr>
          <w:t>iv)</w:t>
        </w:r>
        <w:r>
          <w:rPr>
            <w:rFonts w:asciiTheme="minorHAnsi" w:eastAsiaTheme="minorEastAsia" w:hAnsiTheme="minorHAnsi" w:cstheme="minorBidi"/>
            <w:noProof/>
            <w:sz w:val="22"/>
            <w:szCs w:val="22"/>
            <w:lang w:val="en-US"/>
          </w:rPr>
          <w:tab/>
        </w:r>
        <w:r w:rsidRPr="002667AC">
          <w:rPr>
            <w:rStyle w:val="Hyperlink"/>
            <w:noProof/>
            <w:lang w:val="es-ES"/>
          </w:rPr>
          <w:t>Presentación de tipos diferentes de variedades ejemplo</w:t>
        </w:r>
        <w:r>
          <w:rPr>
            <w:noProof/>
            <w:webHidden/>
          </w:rPr>
          <w:tab/>
        </w:r>
        <w:r>
          <w:rPr>
            <w:noProof/>
            <w:webHidden/>
          </w:rPr>
          <w:fldChar w:fldCharType="begin"/>
        </w:r>
        <w:r>
          <w:rPr>
            <w:noProof/>
            <w:webHidden/>
          </w:rPr>
          <w:instrText xml:space="preserve"> PAGEREF _Toc476323019 \h </w:instrText>
        </w:r>
        <w:r>
          <w:rPr>
            <w:noProof/>
            <w:webHidden/>
          </w:rPr>
        </w:r>
        <w:r>
          <w:rPr>
            <w:noProof/>
            <w:webHidden/>
          </w:rPr>
          <w:fldChar w:fldCharType="separate"/>
        </w:r>
        <w:r>
          <w:rPr>
            <w:noProof/>
            <w:webHidden/>
          </w:rPr>
          <w:t>5</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0" w:history="1">
        <w:r w:rsidRPr="002667AC">
          <w:rPr>
            <w:rStyle w:val="Hyperlink"/>
            <w:noProof/>
            <w:lang w:val="es-ES"/>
          </w:rPr>
          <w:t>v)</w:t>
        </w:r>
        <w:r>
          <w:rPr>
            <w:rFonts w:asciiTheme="minorHAnsi" w:eastAsiaTheme="minorEastAsia" w:hAnsiTheme="minorHAnsi" w:cstheme="minorBidi"/>
            <w:noProof/>
            <w:sz w:val="22"/>
            <w:szCs w:val="22"/>
            <w:lang w:val="en-US"/>
          </w:rPr>
          <w:tab/>
        </w:r>
        <w:r w:rsidRPr="002667AC">
          <w:rPr>
            <w:rStyle w:val="Hyperlink"/>
            <w:noProof/>
            <w:lang w:val="es-ES"/>
          </w:rPr>
          <w:t>Explicaciones relativas a todos los caracteres</w:t>
        </w:r>
        <w:r>
          <w:rPr>
            <w:noProof/>
            <w:webHidden/>
          </w:rPr>
          <w:tab/>
        </w:r>
        <w:r>
          <w:rPr>
            <w:noProof/>
            <w:webHidden/>
          </w:rPr>
          <w:fldChar w:fldCharType="begin"/>
        </w:r>
        <w:r>
          <w:rPr>
            <w:noProof/>
            <w:webHidden/>
          </w:rPr>
          <w:instrText xml:space="preserve"> PAGEREF _Toc476323020 \h </w:instrText>
        </w:r>
        <w:r>
          <w:rPr>
            <w:noProof/>
            <w:webHidden/>
          </w:rPr>
        </w:r>
        <w:r>
          <w:rPr>
            <w:noProof/>
            <w:webHidden/>
          </w:rPr>
          <w:fldChar w:fldCharType="separate"/>
        </w:r>
        <w:r>
          <w:rPr>
            <w:noProof/>
            <w:webHidden/>
          </w:rPr>
          <w:t>5</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1" w:history="1">
        <w:r w:rsidRPr="002667AC">
          <w:rPr>
            <w:rStyle w:val="Hyperlink"/>
            <w:noProof/>
            <w:lang w:val="es-ES"/>
          </w:rPr>
          <w:t>vi)</w:t>
        </w:r>
        <w:r>
          <w:rPr>
            <w:rFonts w:asciiTheme="minorHAnsi" w:eastAsiaTheme="minorEastAsia" w:hAnsiTheme="minorHAnsi" w:cstheme="minorBidi"/>
            <w:noProof/>
            <w:sz w:val="22"/>
            <w:szCs w:val="22"/>
            <w:lang w:val="en-US"/>
          </w:rPr>
          <w:tab/>
        </w:r>
        <w:r w:rsidRPr="002667AC">
          <w:rPr>
            <w:rStyle w:val="Hyperlink"/>
            <w:noProof/>
            <w:lang w:val="es-ES"/>
          </w:rPr>
          <w:t>Explicaciones relativas a varios caracteres subsiguientes</w:t>
        </w:r>
        <w:r>
          <w:rPr>
            <w:noProof/>
            <w:webHidden/>
          </w:rPr>
          <w:tab/>
        </w:r>
        <w:r>
          <w:rPr>
            <w:noProof/>
            <w:webHidden/>
          </w:rPr>
          <w:fldChar w:fldCharType="begin"/>
        </w:r>
        <w:r>
          <w:rPr>
            <w:noProof/>
            <w:webHidden/>
          </w:rPr>
          <w:instrText xml:space="preserve"> PAGEREF _Toc476323021 \h </w:instrText>
        </w:r>
        <w:r>
          <w:rPr>
            <w:noProof/>
            <w:webHidden/>
          </w:rPr>
        </w:r>
        <w:r>
          <w:rPr>
            <w:noProof/>
            <w:webHidden/>
          </w:rPr>
          <w:fldChar w:fldCharType="separate"/>
        </w:r>
        <w:r>
          <w:rPr>
            <w:noProof/>
            <w:webHidden/>
          </w:rPr>
          <w:t>5</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2" w:history="1">
        <w:r w:rsidRPr="002667AC">
          <w:rPr>
            <w:rStyle w:val="Hyperlink"/>
            <w:noProof/>
            <w:lang w:val="es-ES"/>
          </w:rPr>
          <w:t>vii)</w:t>
        </w:r>
        <w:r>
          <w:rPr>
            <w:rFonts w:asciiTheme="minorHAnsi" w:eastAsiaTheme="minorEastAsia" w:hAnsiTheme="minorHAnsi" w:cstheme="minorBidi"/>
            <w:noProof/>
            <w:sz w:val="22"/>
            <w:szCs w:val="22"/>
            <w:lang w:val="en-US"/>
          </w:rPr>
          <w:tab/>
        </w:r>
        <w:r w:rsidRPr="002667AC">
          <w:rPr>
            <w:rStyle w:val="Hyperlink"/>
            <w:noProof/>
            <w:lang w:val="es-ES"/>
          </w:rPr>
          <w:t>Caracteres que solo se aplican a ciertas variedades</w:t>
        </w:r>
        <w:r>
          <w:rPr>
            <w:noProof/>
            <w:webHidden/>
          </w:rPr>
          <w:tab/>
        </w:r>
        <w:r>
          <w:rPr>
            <w:noProof/>
            <w:webHidden/>
          </w:rPr>
          <w:fldChar w:fldCharType="begin"/>
        </w:r>
        <w:r>
          <w:rPr>
            <w:noProof/>
            <w:webHidden/>
          </w:rPr>
          <w:instrText xml:space="preserve"> PAGEREF _Toc476323022 \h </w:instrText>
        </w:r>
        <w:r>
          <w:rPr>
            <w:noProof/>
            <w:webHidden/>
          </w:rPr>
        </w:r>
        <w:r>
          <w:rPr>
            <w:noProof/>
            <w:webHidden/>
          </w:rPr>
          <w:fldChar w:fldCharType="separate"/>
        </w:r>
        <w:r>
          <w:rPr>
            <w:noProof/>
            <w:webHidden/>
          </w:rPr>
          <w:t>6</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3" w:history="1">
        <w:r w:rsidRPr="002667AC">
          <w:rPr>
            <w:rStyle w:val="Hyperlink"/>
            <w:noProof/>
            <w:lang w:val="es-ES"/>
          </w:rPr>
          <w:t>viii)</w:t>
        </w:r>
        <w:r>
          <w:rPr>
            <w:rFonts w:asciiTheme="minorHAnsi" w:eastAsiaTheme="minorEastAsia" w:hAnsiTheme="minorHAnsi" w:cstheme="minorBidi"/>
            <w:noProof/>
            <w:sz w:val="22"/>
            <w:szCs w:val="22"/>
            <w:lang w:val="en-US"/>
          </w:rPr>
          <w:tab/>
        </w:r>
        <w:r w:rsidRPr="002667AC">
          <w:rPr>
            <w:rStyle w:val="Hyperlink"/>
            <w:noProof/>
            <w:lang w:val="es-ES"/>
          </w:rPr>
          <w:t>procedimiento de revisión parcial de las directrices de examen de la UPOV</w:t>
        </w:r>
        <w:r>
          <w:rPr>
            <w:noProof/>
            <w:webHidden/>
          </w:rPr>
          <w:tab/>
        </w:r>
        <w:r>
          <w:rPr>
            <w:noProof/>
            <w:webHidden/>
          </w:rPr>
          <w:fldChar w:fldCharType="begin"/>
        </w:r>
        <w:r>
          <w:rPr>
            <w:noProof/>
            <w:webHidden/>
          </w:rPr>
          <w:instrText xml:space="preserve"> PAGEREF _Toc476323023 \h </w:instrText>
        </w:r>
        <w:r>
          <w:rPr>
            <w:noProof/>
            <w:webHidden/>
          </w:rPr>
        </w:r>
        <w:r>
          <w:rPr>
            <w:noProof/>
            <w:webHidden/>
          </w:rPr>
          <w:fldChar w:fldCharType="separate"/>
        </w:r>
        <w:r>
          <w:rPr>
            <w:noProof/>
            <w:webHidden/>
          </w:rPr>
          <w:t>6</w:t>
        </w:r>
        <w:r>
          <w:rPr>
            <w:noProof/>
            <w:webHidden/>
          </w:rPr>
          <w:fldChar w:fldCharType="end"/>
        </w:r>
      </w:hyperlink>
    </w:p>
    <w:p w:rsidR="00B341CF" w:rsidRDefault="00B341CF">
      <w:pPr>
        <w:pStyle w:val="TOC2"/>
        <w:rPr>
          <w:rFonts w:asciiTheme="minorHAnsi" w:eastAsiaTheme="minorEastAsia" w:hAnsiTheme="minorHAnsi" w:cstheme="minorBidi"/>
          <w:smallCaps w:val="0"/>
          <w:noProof/>
          <w:sz w:val="22"/>
          <w:szCs w:val="22"/>
        </w:rPr>
      </w:pPr>
      <w:hyperlink w:anchor="_Toc476323024" w:history="1">
        <w:r w:rsidRPr="002667AC">
          <w:rPr>
            <w:rStyle w:val="Hyperlink"/>
            <w:rFonts w:cs="Arial"/>
            <w:i/>
            <w:iCs/>
            <w:noProof/>
            <w:lang w:val="es-ES"/>
          </w:rPr>
          <w:t>TGP/14 “Glosario de términos utilizados en los documentos de la UPOV”</w:t>
        </w:r>
        <w:r>
          <w:rPr>
            <w:noProof/>
            <w:webHidden/>
          </w:rPr>
          <w:tab/>
        </w:r>
        <w:r>
          <w:rPr>
            <w:noProof/>
            <w:webHidden/>
          </w:rPr>
          <w:fldChar w:fldCharType="begin"/>
        </w:r>
        <w:r>
          <w:rPr>
            <w:noProof/>
            <w:webHidden/>
          </w:rPr>
          <w:instrText xml:space="preserve"> PAGEREF _Toc476323024 \h </w:instrText>
        </w:r>
        <w:r>
          <w:rPr>
            <w:noProof/>
            <w:webHidden/>
          </w:rPr>
        </w:r>
        <w:r>
          <w:rPr>
            <w:noProof/>
            <w:webHidden/>
          </w:rPr>
          <w:fldChar w:fldCharType="separate"/>
        </w:r>
        <w:r>
          <w:rPr>
            <w:noProof/>
            <w:webHidden/>
          </w:rPr>
          <w:t>8</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5" w:history="1">
        <w:r w:rsidRPr="002667AC">
          <w:rPr>
            <w:rStyle w:val="Hyperlink"/>
            <w:noProof/>
            <w:lang w:val="es-ES"/>
          </w:rPr>
          <w:t>x)</w:t>
        </w:r>
        <w:r>
          <w:rPr>
            <w:rFonts w:asciiTheme="minorHAnsi" w:eastAsiaTheme="minorEastAsia" w:hAnsiTheme="minorHAnsi" w:cstheme="minorBidi"/>
            <w:noProof/>
            <w:sz w:val="22"/>
            <w:szCs w:val="22"/>
            <w:lang w:val="en-US"/>
          </w:rPr>
          <w:tab/>
        </w:r>
        <w:r w:rsidRPr="002667AC">
          <w:rPr>
            <w:rStyle w:val="Hyperlink"/>
            <w:noProof/>
            <w:lang w:val="es-ES"/>
          </w:rPr>
          <w:t>Definición de “recurvado”</w:t>
        </w:r>
        <w:r>
          <w:rPr>
            <w:noProof/>
            <w:webHidden/>
          </w:rPr>
          <w:tab/>
        </w:r>
        <w:r>
          <w:rPr>
            <w:noProof/>
            <w:webHidden/>
          </w:rPr>
          <w:fldChar w:fldCharType="begin"/>
        </w:r>
        <w:r>
          <w:rPr>
            <w:noProof/>
            <w:webHidden/>
          </w:rPr>
          <w:instrText xml:space="preserve"> PAGEREF _Toc476323025 \h </w:instrText>
        </w:r>
        <w:r>
          <w:rPr>
            <w:noProof/>
            <w:webHidden/>
          </w:rPr>
        </w:r>
        <w:r>
          <w:rPr>
            <w:noProof/>
            <w:webHidden/>
          </w:rPr>
          <w:fldChar w:fldCharType="separate"/>
        </w:r>
        <w:r>
          <w:rPr>
            <w:noProof/>
            <w:webHidden/>
          </w:rPr>
          <w:t>8</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6" w:history="1">
        <w:r w:rsidRPr="002667AC">
          <w:rPr>
            <w:rStyle w:val="Hyperlink"/>
            <w:noProof/>
            <w:lang w:val="es-ES"/>
          </w:rPr>
          <w:t>x)</w:t>
        </w:r>
        <w:r>
          <w:rPr>
            <w:rFonts w:asciiTheme="minorHAnsi" w:eastAsiaTheme="minorEastAsia" w:hAnsiTheme="minorHAnsi" w:cstheme="minorBidi"/>
            <w:noProof/>
            <w:sz w:val="22"/>
            <w:szCs w:val="22"/>
            <w:lang w:val="en-US"/>
          </w:rPr>
          <w:tab/>
        </w:r>
        <w:r w:rsidRPr="002667AC">
          <w:rPr>
            <w:rStyle w:val="Hyperlink"/>
            <w:noProof/>
            <w:lang w:val="es-ES"/>
          </w:rPr>
          <w:t>Cuadro para los caracteres relacionados con la forma</w:t>
        </w:r>
        <w:r>
          <w:rPr>
            <w:noProof/>
            <w:webHidden/>
          </w:rPr>
          <w:tab/>
        </w:r>
        <w:r>
          <w:rPr>
            <w:noProof/>
            <w:webHidden/>
          </w:rPr>
          <w:fldChar w:fldCharType="begin"/>
        </w:r>
        <w:r>
          <w:rPr>
            <w:noProof/>
            <w:webHidden/>
          </w:rPr>
          <w:instrText xml:space="preserve"> PAGEREF _Toc476323026 \h </w:instrText>
        </w:r>
        <w:r>
          <w:rPr>
            <w:noProof/>
            <w:webHidden/>
          </w:rPr>
        </w:r>
        <w:r>
          <w:rPr>
            <w:noProof/>
            <w:webHidden/>
          </w:rPr>
          <w:fldChar w:fldCharType="separate"/>
        </w:r>
        <w:r>
          <w:rPr>
            <w:noProof/>
            <w:webHidden/>
          </w:rPr>
          <w:t>8</w:t>
        </w:r>
        <w:r>
          <w:rPr>
            <w:noProof/>
            <w:webHidden/>
          </w:rPr>
          <w:fldChar w:fldCharType="end"/>
        </w:r>
      </w:hyperlink>
    </w:p>
    <w:p w:rsidR="00B341CF" w:rsidRDefault="00B341CF">
      <w:pPr>
        <w:pStyle w:val="TOC3"/>
        <w:rPr>
          <w:rFonts w:asciiTheme="minorHAnsi" w:eastAsiaTheme="minorEastAsia" w:hAnsiTheme="minorHAnsi" w:cstheme="minorBidi"/>
          <w:noProof/>
          <w:sz w:val="22"/>
          <w:szCs w:val="22"/>
          <w:lang w:val="en-US"/>
        </w:rPr>
      </w:pPr>
      <w:hyperlink w:anchor="_Toc476323027" w:history="1">
        <w:r w:rsidRPr="002667AC">
          <w:rPr>
            <w:rStyle w:val="Hyperlink"/>
            <w:noProof/>
            <w:lang w:val="es-ES"/>
          </w:rPr>
          <w:t>xi)</w:t>
        </w:r>
        <w:r>
          <w:rPr>
            <w:rFonts w:asciiTheme="minorHAnsi" w:eastAsiaTheme="minorEastAsia" w:hAnsiTheme="minorHAnsi" w:cstheme="minorBidi"/>
            <w:noProof/>
            <w:sz w:val="22"/>
            <w:szCs w:val="22"/>
            <w:lang w:val="en-US"/>
          </w:rPr>
          <w:tab/>
        </w:r>
        <w:r w:rsidRPr="002667AC">
          <w:rPr>
            <w:rStyle w:val="Hyperlink"/>
            <w:noProof/>
            <w:lang w:val="es-ES"/>
          </w:rPr>
          <w:t>Revisión de los grupos de color UPOV</w:t>
        </w:r>
        <w:r>
          <w:rPr>
            <w:noProof/>
            <w:webHidden/>
          </w:rPr>
          <w:tab/>
        </w:r>
        <w:r>
          <w:rPr>
            <w:noProof/>
            <w:webHidden/>
          </w:rPr>
          <w:fldChar w:fldCharType="begin"/>
        </w:r>
        <w:r>
          <w:rPr>
            <w:noProof/>
            <w:webHidden/>
          </w:rPr>
          <w:instrText xml:space="preserve"> PAGEREF _Toc476323027 \h </w:instrText>
        </w:r>
        <w:r>
          <w:rPr>
            <w:noProof/>
            <w:webHidden/>
          </w:rPr>
        </w:r>
        <w:r>
          <w:rPr>
            <w:noProof/>
            <w:webHidden/>
          </w:rPr>
          <w:fldChar w:fldCharType="separate"/>
        </w:r>
        <w:r>
          <w:rPr>
            <w:noProof/>
            <w:webHidden/>
          </w:rPr>
          <w:t>9</w:t>
        </w:r>
        <w:r>
          <w:rPr>
            <w:noProof/>
            <w:webHidden/>
          </w:rPr>
          <w:fldChar w:fldCharType="end"/>
        </w:r>
      </w:hyperlink>
    </w:p>
    <w:p w:rsidR="00B341CF" w:rsidRDefault="00B341CF">
      <w:pPr>
        <w:pStyle w:val="TOC1"/>
        <w:rPr>
          <w:rFonts w:asciiTheme="minorHAnsi" w:eastAsiaTheme="minorEastAsia" w:hAnsiTheme="minorHAnsi" w:cstheme="minorBidi"/>
          <w:caps w:val="0"/>
          <w:noProof/>
          <w:sz w:val="22"/>
          <w:szCs w:val="22"/>
        </w:rPr>
      </w:pPr>
      <w:hyperlink w:anchor="_Toc476323028" w:history="1">
        <w:r w:rsidRPr="002667AC">
          <w:rPr>
            <w:rStyle w:val="Hyperlink"/>
            <w:noProof/>
          </w:rPr>
          <w:t>PROGRAMA PARA LA ELABORACIÓN DE LOS DOCUMENTOS TGP</w:t>
        </w:r>
        <w:r>
          <w:rPr>
            <w:noProof/>
            <w:webHidden/>
          </w:rPr>
          <w:tab/>
        </w:r>
        <w:r>
          <w:rPr>
            <w:noProof/>
            <w:webHidden/>
          </w:rPr>
          <w:fldChar w:fldCharType="begin"/>
        </w:r>
        <w:r>
          <w:rPr>
            <w:noProof/>
            <w:webHidden/>
          </w:rPr>
          <w:instrText xml:space="preserve"> PAGEREF _Toc476323028 \h </w:instrText>
        </w:r>
        <w:r>
          <w:rPr>
            <w:noProof/>
            <w:webHidden/>
          </w:rPr>
        </w:r>
        <w:r>
          <w:rPr>
            <w:noProof/>
            <w:webHidden/>
          </w:rPr>
          <w:fldChar w:fldCharType="separate"/>
        </w:r>
        <w:r>
          <w:rPr>
            <w:noProof/>
            <w:webHidden/>
          </w:rPr>
          <w:t>10</w:t>
        </w:r>
        <w:r>
          <w:rPr>
            <w:noProof/>
            <w:webHidden/>
          </w:rPr>
          <w:fldChar w:fldCharType="end"/>
        </w:r>
      </w:hyperlink>
    </w:p>
    <w:p w:rsidR="0025117F" w:rsidRDefault="002A3A67" w:rsidP="00025525">
      <w:pPr>
        <w:rPr>
          <w:caps/>
          <w:dstrike/>
          <w:snapToGrid w:val="0"/>
          <w:lang w:val="es-ES"/>
        </w:rPr>
      </w:pPr>
      <w:r w:rsidRPr="0016789C">
        <w:rPr>
          <w:caps/>
          <w:dstrike/>
          <w:snapToGrid w:val="0"/>
          <w:lang w:val="es-ES"/>
        </w:rPr>
        <w:fldChar w:fldCharType="end"/>
      </w:r>
    </w:p>
    <w:p w:rsidR="00300785" w:rsidRPr="0016789C" w:rsidRDefault="00300785" w:rsidP="00025525">
      <w:pPr>
        <w:rPr>
          <w:lang w:val="es-ES"/>
        </w:rPr>
      </w:pPr>
      <w:r w:rsidRPr="0016789C">
        <w:rPr>
          <w:lang w:val="es-ES"/>
        </w:rPr>
        <w:t>ANEXO:</w:t>
      </w:r>
      <w:r w:rsidRPr="0016789C">
        <w:rPr>
          <w:lang w:val="es-ES"/>
        </w:rPr>
        <w:tab/>
        <w:t>Programa para la elaboración de los documentos TGP</w:t>
      </w:r>
    </w:p>
    <w:p w:rsidR="0025117F" w:rsidRDefault="0025117F" w:rsidP="00DF30C8">
      <w:pPr>
        <w:rPr>
          <w:snapToGrid w:val="0"/>
          <w:lang w:val="es-ES"/>
        </w:rPr>
      </w:pPr>
      <w:r>
        <w:rPr>
          <w:snapToGrid w:val="0"/>
          <w:lang w:val="es-ES"/>
        </w:rPr>
        <w:br w:type="page"/>
      </w:r>
    </w:p>
    <w:bookmarkStart w:id="3" w:name="_Toc386185971"/>
    <w:bookmarkStart w:id="4" w:name="_Toc419124859"/>
    <w:p w:rsidR="00300785" w:rsidRPr="0016789C" w:rsidRDefault="002A3A67" w:rsidP="00DF30C8">
      <w:pPr>
        <w:rPr>
          <w:lang w:val="es-ES"/>
        </w:rPr>
      </w:pPr>
      <w:r w:rsidRPr="0016789C">
        <w:rPr>
          <w:lang w:val="es-ES"/>
        </w:rPr>
        <w:lastRenderedPageBreak/>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En el presente documento se utilizan las abreviaturas siguientes:  </w:t>
      </w:r>
    </w:p>
    <w:p w:rsidR="00300785" w:rsidRPr="0016789C" w:rsidRDefault="00300785" w:rsidP="00DF30C8">
      <w:pPr>
        <w:ind w:left="1701" w:hanging="1134"/>
        <w:rPr>
          <w:lang w:val="es-ES"/>
        </w:rPr>
      </w:pPr>
    </w:p>
    <w:p w:rsidR="00300785" w:rsidRPr="0016789C" w:rsidRDefault="00300785" w:rsidP="00DF30C8">
      <w:pPr>
        <w:ind w:left="1701" w:hanging="1134"/>
        <w:rPr>
          <w:lang w:val="es-ES"/>
        </w:rPr>
      </w:pPr>
      <w:r w:rsidRPr="0016789C">
        <w:rPr>
          <w:lang w:val="es-ES"/>
        </w:rPr>
        <w:t>CAJ:</w:t>
      </w:r>
      <w:r w:rsidRPr="0016789C">
        <w:rPr>
          <w:lang w:val="es-ES"/>
        </w:rPr>
        <w:tab/>
        <w:t xml:space="preserve">Comité Administrativo y Jurídico </w:t>
      </w:r>
    </w:p>
    <w:p w:rsidR="00300785" w:rsidRPr="0016789C" w:rsidRDefault="00300785" w:rsidP="00DF30C8">
      <w:pPr>
        <w:ind w:left="1701" w:hanging="1134"/>
        <w:rPr>
          <w:lang w:val="es-ES"/>
        </w:rPr>
      </w:pPr>
      <w:r w:rsidRPr="0016789C">
        <w:rPr>
          <w:lang w:val="es-ES"/>
        </w:rPr>
        <w:t>TC:</w:t>
      </w:r>
      <w:r w:rsidRPr="0016789C">
        <w:rPr>
          <w:lang w:val="es-ES"/>
        </w:rPr>
        <w:tab/>
        <w:t>Comité Técnico</w:t>
      </w:r>
    </w:p>
    <w:p w:rsidR="00300785" w:rsidRPr="0016789C" w:rsidRDefault="00300785" w:rsidP="00DF30C8">
      <w:pPr>
        <w:ind w:left="1701" w:hanging="1134"/>
        <w:rPr>
          <w:lang w:val="es-ES"/>
        </w:rPr>
      </w:pPr>
      <w:r w:rsidRPr="0016789C">
        <w:rPr>
          <w:lang w:val="es-ES"/>
        </w:rPr>
        <w:t>TC</w:t>
      </w:r>
      <w:r w:rsidRPr="0016789C">
        <w:rPr>
          <w:lang w:val="es-ES"/>
        </w:rPr>
        <w:noBreakHyphen/>
        <w:t>EDC:</w:t>
      </w:r>
      <w:r w:rsidRPr="0016789C">
        <w:rPr>
          <w:lang w:val="es-ES"/>
        </w:rPr>
        <w:tab/>
        <w:t>Comité de Redacción Ampliado</w:t>
      </w:r>
    </w:p>
    <w:p w:rsidR="00300785" w:rsidRPr="0016789C" w:rsidRDefault="00300785" w:rsidP="00DF30C8">
      <w:pPr>
        <w:ind w:left="1701" w:hanging="1134"/>
        <w:rPr>
          <w:lang w:val="es-ES"/>
        </w:rPr>
      </w:pPr>
      <w:r w:rsidRPr="0016789C">
        <w:rPr>
          <w:lang w:val="es-ES"/>
        </w:rPr>
        <w:t>TWA:</w:t>
      </w:r>
      <w:r w:rsidRPr="0016789C">
        <w:rPr>
          <w:lang w:val="es-ES"/>
        </w:rPr>
        <w:tab/>
        <w:t>Grupo de Trabajo Técnico sobre Plantas Agrícolas</w:t>
      </w:r>
    </w:p>
    <w:p w:rsidR="00300785" w:rsidRPr="0016789C" w:rsidRDefault="00300785" w:rsidP="00DF30C8">
      <w:pPr>
        <w:ind w:left="1701" w:hanging="1134"/>
        <w:rPr>
          <w:lang w:val="es-ES"/>
        </w:rPr>
      </w:pPr>
      <w:r w:rsidRPr="0016789C">
        <w:rPr>
          <w:lang w:val="es-ES"/>
        </w:rPr>
        <w:t>TWC:</w:t>
      </w:r>
      <w:r w:rsidRPr="0016789C">
        <w:rPr>
          <w:lang w:val="es-ES"/>
        </w:rPr>
        <w:tab/>
        <w:t>Grupo de Trabajo Técnico sobre Automatización y Programas Informáticos</w:t>
      </w:r>
    </w:p>
    <w:p w:rsidR="00300785" w:rsidRPr="0016789C" w:rsidRDefault="00300785" w:rsidP="00DF30C8">
      <w:pPr>
        <w:ind w:left="1701" w:hanging="1134"/>
        <w:rPr>
          <w:lang w:val="es-ES"/>
        </w:rPr>
      </w:pPr>
      <w:r w:rsidRPr="0016789C">
        <w:rPr>
          <w:lang w:val="es-ES"/>
        </w:rPr>
        <w:t>TWF:</w:t>
      </w:r>
      <w:r w:rsidRPr="0016789C">
        <w:rPr>
          <w:lang w:val="es-ES"/>
        </w:rPr>
        <w:tab/>
        <w:t xml:space="preserve">Grupo de Trabajo Técnico sobre Plantas Frutales </w:t>
      </w:r>
    </w:p>
    <w:p w:rsidR="00300785" w:rsidRPr="0016789C" w:rsidRDefault="00300785" w:rsidP="00DF30C8">
      <w:pPr>
        <w:ind w:left="1701" w:hanging="1134"/>
        <w:rPr>
          <w:lang w:val="es-ES"/>
        </w:rPr>
      </w:pPr>
      <w:r w:rsidRPr="0016789C">
        <w:rPr>
          <w:lang w:val="es-ES"/>
        </w:rPr>
        <w:t>TWO:</w:t>
      </w:r>
      <w:r w:rsidRPr="0016789C">
        <w:rPr>
          <w:lang w:val="es-ES"/>
        </w:rPr>
        <w:tab/>
        <w:t xml:space="preserve">Grupo de Trabajo Técnico sobre Plantas Ornamentales y Árboles Forestales </w:t>
      </w:r>
    </w:p>
    <w:p w:rsidR="00300785" w:rsidRPr="0016789C" w:rsidRDefault="00300785" w:rsidP="00DF30C8">
      <w:pPr>
        <w:ind w:left="1701" w:hanging="1134"/>
        <w:rPr>
          <w:lang w:val="es-ES"/>
        </w:rPr>
      </w:pPr>
      <w:r w:rsidRPr="0016789C">
        <w:rPr>
          <w:lang w:val="es-ES"/>
        </w:rPr>
        <w:t>TWV:</w:t>
      </w:r>
      <w:r w:rsidRPr="0016789C">
        <w:rPr>
          <w:lang w:val="es-ES"/>
        </w:rPr>
        <w:tab/>
        <w:t>Grupo de Trabajo Técnico sobre Hortalizas</w:t>
      </w:r>
    </w:p>
    <w:p w:rsidR="00300785" w:rsidRPr="0016789C" w:rsidRDefault="00300785" w:rsidP="00DF30C8">
      <w:pPr>
        <w:ind w:left="1701" w:hanging="1134"/>
        <w:rPr>
          <w:color w:val="000000"/>
          <w:lang w:val="es-ES"/>
        </w:rPr>
      </w:pPr>
      <w:r w:rsidRPr="0016789C">
        <w:rPr>
          <w:color w:val="000000"/>
          <w:lang w:val="es-ES"/>
        </w:rPr>
        <w:t>TWP:</w:t>
      </w:r>
      <w:r w:rsidRPr="0016789C">
        <w:rPr>
          <w:color w:val="000000"/>
          <w:lang w:val="es-ES"/>
        </w:rPr>
        <w:tab/>
        <w:t>Grupos de Trabajo Técnico</w:t>
      </w:r>
    </w:p>
    <w:p w:rsidR="00300785" w:rsidRPr="0016789C" w:rsidRDefault="00300785" w:rsidP="00DF30C8">
      <w:pPr>
        <w:jc w:val="left"/>
        <w:rPr>
          <w:caps/>
          <w:snapToGrid w:val="0"/>
          <w:lang w:val="es-ES"/>
        </w:rPr>
      </w:pPr>
    </w:p>
    <w:p w:rsidR="00300785" w:rsidRPr="0016789C" w:rsidRDefault="00300785" w:rsidP="00DF30C8">
      <w:pPr>
        <w:jc w:val="left"/>
        <w:rPr>
          <w:caps/>
          <w:snapToGrid w:val="0"/>
          <w:lang w:val="es-ES"/>
        </w:rPr>
      </w:pPr>
    </w:p>
    <w:p w:rsidR="00300785" w:rsidRPr="0016789C" w:rsidRDefault="00300785" w:rsidP="00F17E6A">
      <w:pPr>
        <w:pStyle w:val="Heading1"/>
        <w:keepNext w:val="0"/>
      </w:pPr>
      <w:bookmarkStart w:id="5" w:name="_Toc476323004"/>
      <w:r w:rsidRPr="0016789C">
        <w:t>ANTECEDENTES</w:t>
      </w:r>
      <w:bookmarkEnd w:id="5"/>
    </w:p>
    <w:p w:rsidR="00300785" w:rsidRPr="0016789C" w:rsidRDefault="00300785" w:rsidP="00F17E6A">
      <w:pPr>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color w:val="000000"/>
          <w:lang w:val="es-ES"/>
        </w:rPr>
        <w:tab/>
      </w:r>
      <w:r w:rsidR="00300785" w:rsidRPr="0016789C">
        <w:rPr>
          <w:lang w:val="es-ES"/>
        </w:rPr>
        <w:t xml:space="preserve">Los documentos TGP aprobados están publicados en la siguiente dirección del sitio web de la UPOV:  </w:t>
      </w:r>
      <w:hyperlink r:id="rId10" w:history="1">
        <w:r w:rsidR="00300785" w:rsidRPr="0016789C">
          <w:rPr>
            <w:rStyle w:val="Hyperlink"/>
            <w:lang w:val="es-ES"/>
          </w:rPr>
          <w:t>http://www.upov.int/upov_collection/es/</w:t>
        </w:r>
      </w:hyperlink>
      <w:r w:rsidR="00300785" w:rsidRPr="0016789C">
        <w:rPr>
          <w:lang w:val="es-ES"/>
        </w:rPr>
        <w:t>.</w:t>
      </w:r>
    </w:p>
    <w:p w:rsidR="00300785" w:rsidRPr="0016789C" w:rsidRDefault="00300785" w:rsidP="00F17E6A">
      <w:pPr>
        <w:rPr>
          <w:lang w:val="es-ES"/>
        </w:rPr>
      </w:pPr>
      <w:bookmarkStart w:id="6" w:name="_Toc386185983"/>
      <w:bookmarkStart w:id="7" w:name="_Toc419124871"/>
      <w:bookmarkStart w:id="8" w:name="_Toc378251517"/>
      <w:bookmarkStart w:id="9" w:name="_Toc381279978"/>
      <w:bookmarkEnd w:id="3"/>
      <w:bookmarkEnd w:id="4"/>
    </w:p>
    <w:p w:rsidR="00300785" w:rsidRPr="0016789C" w:rsidRDefault="00300785" w:rsidP="00F17E6A">
      <w:pPr>
        <w:rPr>
          <w:lang w:val="es-ES"/>
        </w:rPr>
      </w:pPr>
    </w:p>
    <w:p w:rsidR="00300785" w:rsidRPr="0016789C" w:rsidRDefault="00300785" w:rsidP="00F17E6A">
      <w:pPr>
        <w:pStyle w:val="Heading1"/>
        <w:keepNext w:val="0"/>
      </w:pPr>
      <w:bookmarkStart w:id="10" w:name="_Toc476323005"/>
      <w:bookmarkEnd w:id="6"/>
      <w:bookmarkEnd w:id="7"/>
      <w:r w:rsidRPr="0016789C">
        <w:t>FUTURA REVISIÓN DE DOCUMENTOS TGP</w:t>
      </w:r>
      <w:bookmarkEnd w:id="10"/>
      <w:r w:rsidRPr="0016789C">
        <w:t xml:space="preserve"> </w:t>
      </w:r>
      <w:bookmarkEnd w:id="8"/>
      <w:bookmarkEnd w:id="9"/>
    </w:p>
    <w:p w:rsidR="00300785" w:rsidRPr="0016789C" w:rsidRDefault="00300785" w:rsidP="00F17E6A">
      <w:pPr>
        <w:rPr>
          <w:lang w:val="es-ES"/>
        </w:rPr>
      </w:pPr>
      <w:bookmarkStart w:id="11" w:name="_Toc352678059"/>
      <w:bookmarkStart w:id="12" w:name="_Toc353797740"/>
      <w:bookmarkStart w:id="13" w:name="_Toc374385120"/>
      <w:bookmarkStart w:id="14" w:name="_Toc374631058"/>
      <w:bookmarkStart w:id="15" w:name="_Toc374632530"/>
      <w:bookmarkStart w:id="16" w:name="_Toc374635730"/>
      <w:bookmarkStart w:id="17" w:name="_Toc378251520"/>
      <w:bookmarkStart w:id="18" w:name="_Toc381279981"/>
      <w:bookmarkStart w:id="19" w:name="_Toc386185984"/>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El TC acordó examinar, en su quincuagésima tercera sesión, la posible futura revisión de los documentos TGP que se indican a continuación:  </w:t>
      </w:r>
    </w:p>
    <w:p w:rsidR="00300785" w:rsidRPr="0016789C" w:rsidRDefault="00300785" w:rsidP="00F17E6A">
      <w:pPr>
        <w:pStyle w:val="Heading2"/>
        <w:keepNext w:val="0"/>
        <w:rPr>
          <w:lang w:val="es-ES"/>
        </w:rPr>
      </w:pPr>
    </w:p>
    <w:p w:rsidR="00300785" w:rsidRPr="0016789C" w:rsidRDefault="00300785" w:rsidP="00F17E6A">
      <w:pPr>
        <w:pStyle w:val="Heading2"/>
        <w:keepNext w:val="0"/>
        <w:rPr>
          <w:lang w:val="es-ES"/>
        </w:rPr>
      </w:pPr>
      <w:bookmarkStart w:id="20" w:name="_Toc476323006"/>
      <w:r w:rsidRPr="0016789C">
        <w:rPr>
          <w:lang w:val="es-ES"/>
        </w:rPr>
        <w:t>TGP/7 “Elaboración de las directrices de examen”</w:t>
      </w:r>
      <w:bookmarkEnd w:id="20"/>
    </w:p>
    <w:p w:rsidR="00300785" w:rsidRPr="0016789C" w:rsidRDefault="00300785" w:rsidP="00F17E6A">
      <w:pPr>
        <w:rPr>
          <w:lang w:val="es-ES"/>
        </w:rPr>
      </w:pPr>
    </w:p>
    <w:p w:rsidR="00300785" w:rsidRPr="007437F0" w:rsidRDefault="00300785" w:rsidP="00F17E6A">
      <w:pPr>
        <w:pStyle w:val="Heading3"/>
        <w:rPr>
          <w:lang w:val="es-ES"/>
        </w:rPr>
      </w:pPr>
      <w:bookmarkStart w:id="21" w:name="_Toc476323007"/>
      <w:r w:rsidRPr="007437F0">
        <w:rPr>
          <w:lang w:val="es-ES"/>
        </w:rPr>
        <w:t>i)</w:t>
      </w:r>
      <w:r w:rsidRPr="007437F0">
        <w:rPr>
          <w:lang w:val="es-ES"/>
        </w:rPr>
        <w:tab/>
        <w:t>Carpeta de material para los redactores de directrices de examen</w:t>
      </w:r>
      <w:bookmarkEnd w:id="21"/>
    </w:p>
    <w:p w:rsidR="00300785" w:rsidRPr="0016789C" w:rsidRDefault="00300785" w:rsidP="00F17E6A">
      <w:pPr>
        <w:ind w:left="567" w:firstLine="567"/>
        <w:rPr>
          <w:lang w:val="es-ES"/>
        </w:rPr>
      </w:pPr>
      <w:r w:rsidRPr="0016789C">
        <w:rPr>
          <w:lang w:val="es-ES"/>
        </w:rPr>
        <w:t>Véase el documento TC/53/15.</w:t>
      </w:r>
    </w:p>
    <w:p w:rsidR="00300785" w:rsidRPr="0016789C" w:rsidRDefault="00300785" w:rsidP="00F17E6A">
      <w:pPr>
        <w:rPr>
          <w:lang w:val="es-ES"/>
        </w:rPr>
      </w:pPr>
    </w:p>
    <w:p w:rsidR="00300785" w:rsidRPr="0016789C" w:rsidRDefault="00300785" w:rsidP="00F17E6A">
      <w:pPr>
        <w:pStyle w:val="Heading2"/>
        <w:keepNext w:val="0"/>
        <w:rPr>
          <w:lang w:val="es-ES"/>
        </w:rPr>
      </w:pPr>
      <w:bookmarkStart w:id="22" w:name="_Toc476323008"/>
      <w:r w:rsidRPr="0016789C">
        <w:rPr>
          <w:lang w:val="es-ES"/>
        </w:rPr>
        <w:t>TGP/8 “Diseño de ensayos y técnicas utilizadas en el examen de la distinción, la homogeneidad y la estabilidad”</w:t>
      </w:r>
      <w:bookmarkEnd w:id="22"/>
    </w:p>
    <w:p w:rsidR="00300785" w:rsidRPr="0016789C" w:rsidRDefault="00300785" w:rsidP="00F17E6A">
      <w:pPr>
        <w:rPr>
          <w:lang w:val="es-ES"/>
        </w:rPr>
      </w:pPr>
    </w:p>
    <w:p w:rsidR="00300785" w:rsidRPr="007437F0" w:rsidRDefault="00300785" w:rsidP="00F17E6A">
      <w:pPr>
        <w:pStyle w:val="Heading3"/>
        <w:rPr>
          <w:lang w:val="es-ES"/>
        </w:rPr>
      </w:pPr>
      <w:bookmarkStart w:id="23" w:name="_Toc476323009"/>
      <w:r w:rsidRPr="007437F0">
        <w:rPr>
          <w:lang w:val="es-ES"/>
        </w:rPr>
        <w:t>ii)</w:t>
      </w:r>
      <w:r w:rsidRPr="007437F0">
        <w:rPr>
          <w:lang w:val="es-ES"/>
        </w:rPr>
        <w:tab/>
        <w:t>Criterio combinado interanual de distinción (COYU)</w:t>
      </w:r>
      <w:bookmarkEnd w:id="23"/>
    </w:p>
    <w:p w:rsidR="00300785" w:rsidRPr="0016789C" w:rsidRDefault="00300785" w:rsidP="00F17E6A">
      <w:pPr>
        <w:ind w:left="567" w:firstLine="567"/>
        <w:rPr>
          <w:lang w:val="es-ES"/>
        </w:rPr>
      </w:pPr>
      <w:r w:rsidRPr="0016789C">
        <w:rPr>
          <w:lang w:val="es-ES"/>
        </w:rPr>
        <w:t>Véase el documento TC/53/16.</w:t>
      </w:r>
    </w:p>
    <w:p w:rsidR="00300785" w:rsidRPr="0016789C" w:rsidRDefault="00300785" w:rsidP="00F17E6A">
      <w:pPr>
        <w:rPr>
          <w:lang w:val="es-ES"/>
        </w:rPr>
      </w:pPr>
    </w:p>
    <w:p w:rsidR="00300785" w:rsidRPr="00EA35C3" w:rsidRDefault="00300785" w:rsidP="00F17E6A">
      <w:pPr>
        <w:pStyle w:val="Heading3"/>
        <w:rPr>
          <w:lang w:val="es-ES"/>
        </w:rPr>
      </w:pPr>
      <w:bookmarkStart w:id="24" w:name="_Toc476323010"/>
      <w:r w:rsidRPr="00EA35C3">
        <w:rPr>
          <w:lang w:val="es-ES"/>
        </w:rPr>
        <w:t>iii)</w:t>
      </w:r>
      <w:r w:rsidRPr="00EA35C3">
        <w:rPr>
          <w:lang w:val="es-ES"/>
        </w:rPr>
        <w:tab/>
        <w:t>Nueva sección</w:t>
      </w:r>
      <w:proofErr w:type="gramStart"/>
      <w:r w:rsidRPr="00EA35C3">
        <w:rPr>
          <w:lang w:val="es-ES"/>
        </w:rPr>
        <w:t>:  Examen</w:t>
      </w:r>
      <w:proofErr w:type="gramEnd"/>
      <w:r w:rsidRPr="00EA35C3">
        <w:rPr>
          <w:lang w:val="es-ES"/>
        </w:rPr>
        <w:t xml:space="preserve"> DHE de muestras en bloque</w:t>
      </w:r>
      <w:bookmarkEnd w:id="24"/>
    </w:p>
    <w:p w:rsidR="00300785" w:rsidRPr="0016789C" w:rsidRDefault="00300785" w:rsidP="00F17E6A">
      <w:pPr>
        <w:ind w:left="567" w:firstLine="567"/>
        <w:rPr>
          <w:lang w:val="es-ES"/>
        </w:rPr>
      </w:pPr>
      <w:r w:rsidRPr="0016789C">
        <w:rPr>
          <w:lang w:val="es-ES"/>
        </w:rPr>
        <w:t>Véase el documento TC/53/17.</w:t>
      </w:r>
    </w:p>
    <w:p w:rsidR="00300785" w:rsidRPr="0016789C" w:rsidRDefault="00300785" w:rsidP="00F17E6A">
      <w:pPr>
        <w:rPr>
          <w:lang w:val="es-ES"/>
        </w:rPr>
      </w:pPr>
    </w:p>
    <w:p w:rsidR="00300785" w:rsidRPr="00EA35C3" w:rsidRDefault="00300785" w:rsidP="00F17E6A">
      <w:pPr>
        <w:pStyle w:val="Heading3"/>
        <w:rPr>
          <w:lang w:val="es-ES"/>
        </w:rPr>
      </w:pPr>
      <w:bookmarkStart w:id="25" w:name="_Toc476323011"/>
      <w:r w:rsidRPr="00EA35C3">
        <w:rPr>
          <w:lang w:val="es-ES"/>
        </w:rPr>
        <w:t>iv)</w:t>
      </w:r>
      <w:r w:rsidRPr="00EA35C3">
        <w:rPr>
          <w:lang w:val="es-ES"/>
        </w:rPr>
        <w:tab/>
        <w:t>Nueva sección</w:t>
      </w:r>
      <w:proofErr w:type="gramStart"/>
      <w:r w:rsidRPr="00EA35C3">
        <w:rPr>
          <w:lang w:val="es-ES"/>
        </w:rPr>
        <w:t>:  Tratamiento</w:t>
      </w:r>
      <w:proofErr w:type="gramEnd"/>
      <w:r w:rsidRPr="00EA35C3">
        <w:rPr>
          <w:lang w:val="es-ES"/>
        </w:rPr>
        <w:t xml:space="preserve"> de datos para la evaluación de la distinción y la elaboración de descripciones de variedades</w:t>
      </w:r>
      <w:bookmarkEnd w:id="25"/>
    </w:p>
    <w:p w:rsidR="00300785" w:rsidRPr="0016789C" w:rsidRDefault="00300785" w:rsidP="00F17E6A">
      <w:pPr>
        <w:ind w:left="567" w:firstLine="567"/>
        <w:rPr>
          <w:lang w:val="es-ES"/>
        </w:rPr>
      </w:pPr>
      <w:r w:rsidRPr="0016789C">
        <w:rPr>
          <w:lang w:val="es-ES"/>
        </w:rPr>
        <w:t>Véase el documento TC/53/18.</w:t>
      </w:r>
    </w:p>
    <w:p w:rsidR="00300785" w:rsidRPr="0016789C" w:rsidRDefault="00300785" w:rsidP="00F17E6A">
      <w:pPr>
        <w:rPr>
          <w:lang w:val="es-ES"/>
        </w:rPr>
      </w:pPr>
    </w:p>
    <w:p w:rsidR="00300785" w:rsidRPr="0016789C" w:rsidRDefault="00300785" w:rsidP="00F17E6A">
      <w:pPr>
        <w:pStyle w:val="Heading2"/>
        <w:keepNext w:val="0"/>
        <w:rPr>
          <w:lang w:val="es-ES"/>
        </w:rPr>
      </w:pPr>
      <w:bookmarkStart w:id="26" w:name="_Toc476323012"/>
      <w:r w:rsidRPr="0016789C">
        <w:rPr>
          <w:lang w:val="es-ES"/>
        </w:rPr>
        <w:t>TGP/10 “Examen de la homogeneidad”</w:t>
      </w:r>
      <w:bookmarkEnd w:id="26"/>
    </w:p>
    <w:p w:rsidR="00300785" w:rsidRPr="0016789C" w:rsidRDefault="00300785" w:rsidP="00F17E6A">
      <w:pPr>
        <w:rPr>
          <w:snapToGrid w:val="0"/>
          <w:lang w:val="es-ES"/>
        </w:rPr>
      </w:pPr>
    </w:p>
    <w:p w:rsidR="00300785" w:rsidRPr="00EA35C3" w:rsidRDefault="00300785" w:rsidP="00F17E6A">
      <w:pPr>
        <w:pStyle w:val="Heading3"/>
        <w:rPr>
          <w:lang w:val="es-ES"/>
        </w:rPr>
      </w:pPr>
      <w:bookmarkStart w:id="27" w:name="_Toc476323013"/>
      <w:r w:rsidRPr="00EA35C3">
        <w:rPr>
          <w:lang w:val="es-ES"/>
        </w:rPr>
        <w:t>v)</w:t>
      </w:r>
      <w:r w:rsidRPr="00EA35C3">
        <w:rPr>
          <w:lang w:val="es-ES"/>
        </w:rPr>
        <w:tab/>
        <w:t>Nueva sección</w:t>
      </w:r>
      <w:proofErr w:type="gramStart"/>
      <w:r w:rsidRPr="00EA35C3">
        <w:rPr>
          <w:lang w:val="es-ES"/>
        </w:rPr>
        <w:t>:  Evaluación</w:t>
      </w:r>
      <w:proofErr w:type="gramEnd"/>
      <w:r w:rsidRPr="00EA35C3">
        <w:rPr>
          <w:lang w:val="es-ES"/>
        </w:rPr>
        <w:t xml:space="preserve"> de la homogeneidad de las plantas fuera de tipo mediante la observación de más de un ciclo de cultivo o mediante la observación de </w:t>
      </w:r>
      <w:proofErr w:type="spellStart"/>
      <w:r w:rsidRPr="00EA35C3">
        <w:rPr>
          <w:lang w:val="es-ES"/>
        </w:rPr>
        <w:t>submuestras</w:t>
      </w:r>
      <w:bookmarkEnd w:id="27"/>
      <w:proofErr w:type="spellEnd"/>
      <w:r w:rsidRPr="00EA35C3">
        <w:rPr>
          <w:lang w:val="es-ES"/>
        </w:rPr>
        <w:t xml:space="preserve"> </w:t>
      </w:r>
    </w:p>
    <w:bookmarkEnd w:id="11"/>
    <w:bookmarkEnd w:id="12"/>
    <w:bookmarkEnd w:id="13"/>
    <w:bookmarkEnd w:id="14"/>
    <w:bookmarkEnd w:id="15"/>
    <w:bookmarkEnd w:id="16"/>
    <w:bookmarkEnd w:id="17"/>
    <w:bookmarkEnd w:id="18"/>
    <w:bookmarkEnd w:id="19"/>
    <w:p w:rsidR="00300785" w:rsidRDefault="00300785" w:rsidP="00F17E6A">
      <w:pPr>
        <w:ind w:left="567" w:firstLine="567"/>
        <w:rPr>
          <w:lang w:val="es-ES"/>
        </w:rPr>
      </w:pPr>
      <w:r w:rsidRPr="0016789C">
        <w:rPr>
          <w:lang w:val="es-ES"/>
        </w:rPr>
        <w:t>Véase el documento TC/53/19.</w:t>
      </w:r>
    </w:p>
    <w:p w:rsidR="00D75883" w:rsidRPr="0016789C" w:rsidRDefault="00D75883" w:rsidP="00F17E6A">
      <w:pPr>
        <w:ind w:left="567" w:firstLine="567"/>
        <w:rPr>
          <w:lang w:val="es-ES"/>
        </w:rPr>
      </w:pPr>
    </w:p>
    <w:p w:rsidR="000904D4" w:rsidRPr="00503830" w:rsidRDefault="002A3A67" w:rsidP="000904D4">
      <w:pPr>
        <w:tabs>
          <w:tab w:val="left" w:pos="5387"/>
          <w:tab w:val="left" w:pos="5954"/>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tab/>
      </w:r>
      <w:r w:rsidR="000904D4">
        <w:rPr>
          <w:i/>
        </w:rPr>
        <w:t xml:space="preserve">Se invita al TC a tomar nota de las cuestiones relativas a la futura revisión de documentos TGP que se examinarán en los documentos TC/53/15, TC/53/16, TC/53/17, TC/53/18 y TC/53/19. </w:t>
      </w:r>
    </w:p>
    <w:p w:rsidR="00300785" w:rsidRPr="000904D4" w:rsidRDefault="00300785" w:rsidP="00F17E6A"/>
    <w:p w:rsidR="00D75883" w:rsidRPr="0016789C" w:rsidRDefault="00D75883" w:rsidP="00F17E6A">
      <w:pPr>
        <w:rPr>
          <w:lang w:val="es-ES"/>
        </w:rPr>
      </w:pPr>
    </w:p>
    <w:p w:rsidR="00300785" w:rsidRPr="0016789C" w:rsidRDefault="00300785" w:rsidP="0025117F">
      <w:pPr>
        <w:pStyle w:val="Heading1"/>
        <w:rPr>
          <w:rStyle w:val="Emphasis"/>
          <w:rFonts w:cs="Arial"/>
          <w:i w:val="0"/>
          <w:iCs w:val="0"/>
        </w:rPr>
      </w:pPr>
      <w:bookmarkStart w:id="28" w:name="_Toc476323014"/>
      <w:r w:rsidRPr="0025117F">
        <w:t>NUEVAS PROPUESTAS PARA LA FUTURA REVISIÓN DE DOCUMENTOS TGP</w:t>
      </w:r>
      <w:bookmarkEnd w:id="28"/>
    </w:p>
    <w:p w:rsidR="00300785" w:rsidRPr="0016789C" w:rsidRDefault="00300785" w:rsidP="006E464C">
      <w:pPr>
        <w:keepNext/>
        <w:keepLines/>
        <w:rPr>
          <w:lang w:val="es-ES"/>
        </w:rPr>
      </w:pPr>
    </w:p>
    <w:p w:rsidR="00300785" w:rsidRPr="0016789C" w:rsidRDefault="00300785" w:rsidP="006E464C">
      <w:pPr>
        <w:pStyle w:val="Heading2"/>
        <w:keepLines/>
        <w:rPr>
          <w:lang w:val="es-ES"/>
        </w:rPr>
      </w:pPr>
      <w:bookmarkStart w:id="29" w:name="_Toc476323015"/>
      <w:r w:rsidRPr="0016789C">
        <w:rPr>
          <w:lang w:val="es-ES"/>
        </w:rPr>
        <w:t>TGP/7 “Elaboración de las directrices de examen”</w:t>
      </w:r>
      <w:bookmarkEnd w:id="29"/>
    </w:p>
    <w:p w:rsidR="00300785" w:rsidRPr="0016789C" w:rsidRDefault="00300785" w:rsidP="006E464C">
      <w:pPr>
        <w:keepNext/>
        <w:keepLines/>
        <w:rPr>
          <w:lang w:val="es-ES"/>
        </w:rPr>
      </w:pPr>
    </w:p>
    <w:p w:rsidR="00300785" w:rsidRPr="007437F0" w:rsidRDefault="00300785" w:rsidP="00F17E6A">
      <w:pPr>
        <w:pStyle w:val="Heading3"/>
        <w:rPr>
          <w:lang w:val="es-ES"/>
        </w:rPr>
      </w:pPr>
      <w:bookmarkStart w:id="30" w:name="_Toc441133908"/>
      <w:bookmarkStart w:id="31" w:name="_Toc476323016"/>
      <w:r w:rsidRPr="007437F0">
        <w:rPr>
          <w:lang w:val="es-ES"/>
        </w:rPr>
        <w:t>i)</w:t>
      </w:r>
      <w:r w:rsidRPr="007437F0">
        <w:rPr>
          <w:lang w:val="es-ES"/>
        </w:rPr>
        <w:tab/>
      </w:r>
      <w:bookmarkEnd w:id="30"/>
      <w:r w:rsidRPr="007437F0">
        <w:rPr>
          <w:lang w:val="es-ES"/>
        </w:rPr>
        <w:t>Duración de los exámenes DHE en el sector frutícola</w:t>
      </w:r>
      <w:bookmarkEnd w:id="31"/>
    </w:p>
    <w:p w:rsidR="00300785" w:rsidRPr="0016789C" w:rsidRDefault="00300785" w:rsidP="00F17E6A">
      <w:pPr>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En su quincuagésima segunda sesión, el TC convino en considerar si procede modificar la orientación que figura en el documento TGP/7 sobre la duración del examen DHE para las plantas frutales después de las nuevas deliberaciones del TWF en su reunión de 2016.  En este sentido, solicitó al TWF que examine si </w:t>
      </w:r>
      <w:r w:rsidR="00300785" w:rsidRPr="0016789C">
        <w:rPr>
          <w:lang w:val="es-ES"/>
        </w:rPr>
        <w:lastRenderedPageBreak/>
        <w:t>la orientación que figura actualmente en los documentos TGP impide la conclusión de un examen DHE después de un ciclo de cultivo (véase el párrafo 122 del documento TC/52/29 Rev. “Informe revisado”).</w:t>
      </w:r>
    </w:p>
    <w:p w:rsidR="00300785" w:rsidRPr="0016789C" w:rsidRDefault="00300785" w:rsidP="00F17E6A">
      <w:pPr>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 xml:space="preserve">En su cuadragésima séptima reunión, </w:t>
      </w:r>
      <w:r w:rsidR="000904D4">
        <w:rPr>
          <w:lang w:val="es-ES"/>
        </w:rPr>
        <w:t>celebrada en Angers (Francia</w:t>
      </w:r>
      <w:r w:rsidR="00D75883">
        <w:rPr>
          <w:lang w:val="es-ES"/>
        </w:rPr>
        <w:t>)</w:t>
      </w:r>
      <w:r w:rsidR="000904D4">
        <w:rPr>
          <w:lang w:val="es-ES"/>
        </w:rPr>
        <w:t xml:space="preserve">, </w:t>
      </w:r>
      <w:r w:rsidR="00300785" w:rsidRPr="0016789C">
        <w:rPr>
          <w:lang w:val="es-ES"/>
        </w:rPr>
        <w:t>el TWF examinó el documento TWF/47/19 “</w:t>
      </w:r>
      <w:r w:rsidR="00300785" w:rsidRPr="0016789C">
        <w:rPr>
          <w:i/>
          <w:iCs/>
          <w:lang w:val="es-ES"/>
        </w:rPr>
        <w:t>Duration of DUS tests in the fruit sector</w:t>
      </w:r>
      <w:r w:rsidR="00300785" w:rsidRPr="0016789C">
        <w:rPr>
          <w:lang w:val="es-ES"/>
        </w:rPr>
        <w:t>” (Duración de los exámenes DHE en el sector frutícola) (véanse los párrafos 47 y 48 del documento TWF/47/25 “</w:t>
      </w:r>
      <w:r w:rsidR="00300785" w:rsidRPr="0016789C">
        <w:rPr>
          <w:i/>
          <w:iCs/>
          <w:lang w:val="es-ES"/>
        </w:rPr>
        <w:t>Report</w:t>
      </w:r>
      <w:r w:rsidR="00300785" w:rsidRPr="0016789C">
        <w:rPr>
          <w:lang w:val="es-ES"/>
        </w:rPr>
        <w:t xml:space="preserve">” (Informe)). </w:t>
      </w:r>
    </w:p>
    <w:p w:rsidR="00300785" w:rsidRPr="0016789C" w:rsidRDefault="00300785" w:rsidP="00F17E6A">
      <w:pPr>
        <w:pStyle w:val="Heading2"/>
        <w:keepNext w:val="0"/>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El TWF estudió la propuesta de un experto de la Unión Europea y acordó proponer que el texto del documento TGP/7 se modifique como se indica a continuación, a fin de que refleje la práctica habitual en el sector frutícola (</w:t>
      </w:r>
      <w:r w:rsidR="00300785" w:rsidRPr="0016789C">
        <w:rPr>
          <w:sz w:val="18"/>
          <w:szCs w:val="18"/>
          <w:lang w:val="es-ES"/>
        </w:rPr>
        <w:t xml:space="preserve">el </w:t>
      </w:r>
      <w:r w:rsidR="00300785" w:rsidRPr="0016789C">
        <w:rPr>
          <w:strike/>
          <w:sz w:val="18"/>
          <w:szCs w:val="18"/>
          <w:highlight w:val="lightGray"/>
          <w:lang w:val="es-ES"/>
        </w:rPr>
        <w:t>tachado</w:t>
      </w:r>
      <w:r w:rsidR="00300785" w:rsidRPr="0016789C">
        <w:rPr>
          <w:sz w:val="18"/>
          <w:szCs w:val="18"/>
          <w:lang w:val="es-ES"/>
        </w:rPr>
        <w:t xml:space="preserve"> (y sombreado) indica el texto que se propone eliminar;  el </w:t>
      </w:r>
      <w:r w:rsidR="00300785" w:rsidRPr="0016789C">
        <w:rPr>
          <w:sz w:val="18"/>
          <w:szCs w:val="18"/>
          <w:highlight w:val="lightGray"/>
          <w:u w:val="single"/>
          <w:lang w:val="es-ES"/>
        </w:rPr>
        <w:t>subrayado</w:t>
      </w:r>
      <w:r w:rsidR="00300785" w:rsidRPr="0016789C">
        <w:rPr>
          <w:sz w:val="18"/>
          <w:szCs w:val="18"/>
          <w:lang w:val="es-ES"/>
        </w:rPr>
        <w:t xml:space="preserve"> (y sombreado) indica el texto que se propone insertar</w:t>
      </w:r>
      <w:r w:rsidR="00300785" w:rsidRPr="0016789C">
        <w:rPr>
          <w:lang w:val="es-ES"/>
        </w:rPr>
        <w:t xml:space="preserve">):  </w:t>
      </w:r>
    </w:p>
    <w:p w:rsidR="00300785" w:rsidRPr="0016789C" w:rsidRDefault="00300785" w:rsidP="00F17E6A">
      <w:pPr>
        <w:rPr>
          <w:lang w:val="es-ES"/>
        </w:rPr>
      </w:pPr>
    </w:p>
    <w:p w:rsidR="00300785" w:rsidRPr="0016789C" w:rsidRDefault="00300785" w:rsidP="00F17E6A">
      <w:pPr>
        <w:numPr>
          <w:ilvl w:val="0"/>
          <w:numId w:val="1"/>
        </w:numPr>
        <w:autoSpaceDE w:val="0"/>
        <w:autoSpaceDN w:val="0"/>
        <w:adjustRightInd w:val="0"/>
        <w:spacing w:after="120"/>
        <w:jc w:val="left"/>
        <w:rPr>
          <w:b/>
          <w:bCs/>
          <w:i/>
          <w:iCs/>
          <w:sz w:val="18"/>
          <w:szCs w:val="18"/>
          <w:lang w:val="es-ES"/>
        </w:rPr>
      </w:pPr>
      <w:r w:rsidRPr="0016789C">
        <w:rPr>
          <w:b/>
          <w:bCs/>
          <w:i/>
          <w:iCs/>
          <w:sz w:val="18"/>
          <w:szCs w:val="18"/>
          <w:lang w:val="es-ES"/>
        </w:rPr>
        <w:t xml:space="preserve">Añadir una frase estándar en el capítulo 3 de la plantilla de los documentos TG de la UPOV de modo que el texto quede como sigue:  </w:t>
      </w:r>
    </w:p>
    <w:p w:rsidR="00300785" w:rsidRPr="0016789C" w:rsidRDefault="00300785" w:rsidP="00F17E6A">
      <w:pPr>
        <w:autoSpaceDE w:val="0"/>
        <w:autoSpaceDN w:val="0"/>
        <w:adjustRightInd w:val="0"/>
        <w:ind w:firstLine="360"/>
        <w:jc w:val="left"/>
        <w:rPr>
          <w:sz w:val="18"/>
          <w:szCs w:val="18"/>
          <w:lang w:val="es-ES"/>
        </w:rPr>
      </w:pPr>
      <w:r w:rsidRPr="0016789C">
        <w:rPr>
          <w:sz w:val="18"/>
          <w:szCs w:val="18"/>
          <w:lang w:val="es-ES"/>
        </w:rPr>
        <w:t>“3. Método de examen</w:t>
      </w:r>
    </w:p>
    <w:p w:rsidR="00300785" w:rsidRPr="0016789C" w:rsidRDefault="00300785" w:rsidP="00F17E6A">
      <w:pPr>
        <w:autoSpaceDE w:val="0"/>
        <w:autoSpaceDN w:val="0"/>
        <w:adjustRightInd w:val="0"/>
        <w:ind w:firstLine="360"/>
        <w:jc w:val="left"/>
        <w:rPr>
          <w:sz w:val="18"/>
          <w:szCs w:val="18"/>
          <w:lang w:val="es-ES"/>
        </w:rPr>
      </w:pPr>
    </w:p>
    <w:p w:rsidR="00300785" w:rsidRPr="0016789C" w:rsidRDefault="002A3A67" w:rsidP="00F17E6A">
      <w:pPr>
        <w:autoSpaceDE w:val="0"/>
        <w:autoSpaceDN w:val="0"/>
        <w:adjustRightInd w:val="0"/>
        <w:ind w:left="567"/>
        <w:jc w:val="left"/>
        <w:rPr>
          <w:i/>
          <w:iCs/>
          <w:sz w:val="18"/>
          <w:szCs w:val="18"/>
          <w:lang w:val="es-ES"/>
        </w:rPr>
      </w:pPr>
      <w:r w:rsidRPr="002A3A67">
        <w:rPr>
          <w:rFonts w:eastAsia="Cambria"/>
        </w:rPr>
        <w:t>“</w:t>
      </w:r>
      <w:r w:rsidR="00300785" w:rsidRPr="0016789C">
        <w:rPr>
          <w:i/>
          <w:iCs/>
          <w:sz w:val="18"/>
          <w:szCs w:val="18"/>
          <w:lang w:val="es-ES"/>
        </w:rPr>
        <w:t>3.1 Número de ciclos de cultivo</w:t>
      </w:r>
    </w:p>
    <w:p w:rsidR="00300785" w:rsidRPr="0016789C" w:rsidRDefault="00300785" w:rsidP="00F17E6A">
      <w:pPr>
        <w:autoSpaceDE w:val="0"/>
        <w:autoSpaceDN w:val="0"/>
        <w:adjustRightInd w:val="0"/>
        <w:ind w:left="567"/>
        <w:jc w:val="left"/>
        <w:rPr>
          <w:i/>
          <w:iCs/>
          <w:sz w:val="18"/>
          <w:szCs w:val="18"/>
          <w:lang w:val="es-ES"/>
        </w:rPr>
      </w:pPr>
    </w:p>
    <w:p w:rsidR="00300785" w:rsidRPr="0016789C" w:rsidRDefault="002A3A67" w:rsidP="00F17E6A">
      <w:pPr>
        <w:autoSpaceDE w:val="0"/>
        <w:autoSpaceDN w:val="0"/>
        <w:adjustRightInd w:val="0"/>
        <w:ind w:left="567" w:firstLine="567"/>
        <w:jc w:val="left"/>
        <w:rPr>
          <w:sz w:val="18"/>
          <w:szCs w:val="18"/>
          <w:lang w:val="es-ES"/>
        </w:rPr>
      </w:pPr>
      <w:r w:rsidRPr="002A3A67">
        <w:rPr>
          <w:rFonts w:eastAsia="Cambria"/>
        </w:rPr>
        <w:t>“</w:t>
      </w:r>
      <w:r w:rsidR="00300785" w:rsidRPr="0016789C">
        <w:rPr>
          <w:sz w:val="18"/>
          <w:szCs w:val="18"/>
          <w:lang w:val="es-ES"/>
        </w:rPr>
        <w:t xml:space="preserve">La duración mínima de los ensayos deberá ser normalmente de:  </w:t>
      </w:r>
    </w:p>
    <w:p w:rsidR="00300785" w:rsidRPr="0016789C" w:rsidRDefault="00300785" w:rsidP="00F17E6A">
      <w:pPr>
        <w:autoSpaceDE w:val="0"/>
        <w:autoSpaceDN w:val="0"/>
        <w:adjustRightInd w:val="0"/>
        <w:ind w:left="567" w:firstLine="567"/>
        <w:jc w:val="left"/>
        <w:rPr>
          <w:sz w:val="18"/>
          <w:szCs w:val="18"/>
          <w:lang w:val="es-ES"/>
        </w:rPr>
      </w:pPr>
    </w:p>
    <w:p w:rsidR="00300785" w:rsidRPr="0016789C" w:rsidRDefault="002A3A67" w:rsidP="00F17E6A">
      <w:pPr>
        <w:autoSpaceDE w:val="0"/>
        <w:autoSpaceDN w:val="0"/>
        <w:adjustRightInd w:val="0"/>
        <w:ind w:left="567" w:firstLine="567"/>
        <w:jc w:val="left"/>
        <w:rPr>
          <w:sz w:val="18"/>
          <w:szCs w:val="18"/>
          <w:lang w:val="es-ES"/>
        </w:rPr>
      </w:pPr>
      <w:r w:rsidRPr="002A3A67">
        <w:rPr>
          <w:rFonts w:eastAsia="Cambria"/>
        </w:rPr>
        <w:t>“</w:t>
      </w:r>
      <w:proofErr w:type="gramStart"/>
      <w:r w:rsidR="00300785" w:rsidRPr="0016789C">
        <w:rPr>
          <w:sz w:val="18"/>
          <w:szCs w:val="18"/>
          <w:lang w:val="es-ES"/>
        </w:rPr>
        <w:t xml:space="preserve">{ </w:t>
      </w:r>
      <w:r w:rsidR="00300785" w:rsidRPr="0016789C">
        <w:rPr>
          <w:b/>
          <w:bCs/>
          <w:sz w:val="18"/>
          <w:szCs w:val="18"/>
          <w:lang w:val="es-ES"/>
        </w:rPr>
        <w:t>ASW</w:t>
      </w:r>
      <w:proofErr w:type="gramEnd"/>
      <w:r w:rsidR="00300785" w:rsidRPr="0016789C">
        <w:rPr>
          <w:b/>
          <w:bCs/>
          <w:sz w:val="18"/>
          <w:szCs w:val="18"/>
          <w:lang w:val="es-ES"/>
        </w:rPr>
        <w:t xml:space="preserve"> 2 </w:t>
      </w:r>
      <w:r w:rsidR="00300785" w:rsidRPr="0016789C">
        <w:rPr>
          <w:sz w:val="18"/>
          <w:szCs w:val="18"/>
          <w:lang w:val="es-ES"/>
        </w:rPr>
        <w:t>(sección 3.1(.1)) – Número de ciclos de cultivo }</w:t>
      </w:r>
    </w:p>
    <w:p w:rsidR="00300785" w:rsidRPr="0016789C" w:rsidRDefault="002A3A67" w:rsidP="00F17E6A">
      <w:pPr>
        <w:autoSpaceDE w:val="0"/>
        <w:autoSpaceDN w:val="0"/>
        <w:adjustRightInd w:val="0"/>
        <w:ind w:left="567" w:firstLine="567"/>
        <w:jc w:val="left"/>
        <w:rPr>
          <w:sz w:val="18"/>
          <w:szCs w:val="18"/>
          <w:lang w:val="es-ES"/>
        </w:rPr>
      </w:pPr>
      <w:r w:rsidRPr="002A3A67">
        <w:rPr>
          <w:rFonts w:eastAsia="Cambria"/>
        </w:rPr>
        <w:t>“</w:t>
      </w:r>
      <w:proofErr w:type="gramStart"/>
      <w:r w:rsidR="00300785" w:rsidRPr="0016789C">
        <w:rPr>
          <w:sz w:val="18"/>
          <w:szCs w:val="18"/>
          <w:lang w:val="es-ES"/>
        </w:rPr>
        <w:t>{ GN</w:t>
      </w:r>
      <w:proofErr w:type="gramEnd"/>
      <w:r w:rsidR="00300785" w:rsidRPr="0016789C">
        <w:rPr>
          <w:sz w:val="18"/>
          <w:szCs w:val="18"/>
          <w:lang w:val="es-ES"/>
        </w:rPr>
        <w:t> 8 (sección 3.1.2) – Explicación del ciclo de cultivo }</w:t>
      </w:r>
    </w:p>
    <w:p w:rsidR="00300785" w:rsidRPr="0016789C" w:rsidRDefault="002A3A67" w:rsidP="00F17E6A">
      <w:pPr>
        <w:autoSpaceDE w:val="0"/>
        <w:autoSpaceDN w:val="0"/>
        <w:adjustRightInd w:val="0"/>
        <w:ind w:left="567" w:firstLine="567"/>
        <w:rPr>
          <w:sz w:val="18"/>
          <w:szCs w:val="18"/>
          <w:lang w:val="es-ES"/>
        </w:rPr>
      </w:pPr>
      <w:r w:rsidRPr="002A3A67">
        <w:rPr>
          <w:rFonts w:eastAsia="Cambria"/>
        </w:rPr>
        <w:t>“</w:t>
      </w:r>
      <w:proofErr w:type="gramStart"/>
      <w:r w:rsidR="00300785" w:rsidRPr="0016789C">
        <w:rPr>
          <w:sz w:val="18"/>
          <w:szCs w:val="18"/>
          <w:lang w:val="es-ES"/>
        </w:rPr>
        <w:t xml:space="preserve">{ </w:t>
      </w:r>
      <w:r w:rsidR="00300785" w:rsidRPr="0016789C">
        <w:rPr>
          <w:b/>
          <w:bCs/>
          <w:sz w:val="18"/>
          <w:szCs w:val="18"/>
          <w:lang w:val="es-ES"/>
        </w:rPr>
        <w:t>ASW</w:t>
      </w:r>
      <w:proofErr w:type="gramEnd"/>
      <w:r w:rsidR="00300785" w:rsidRPr="0016789C">
        <w:rPr>
          <w:b/>
          <w:bCs/>
          <w:sz w:val="18"/>
          <w:szCs w:val="18"/>
          <w:lang w:val="es-ES"/>
        </w:rPr>
        <w:t xml:space="preserve"> 3 </w:t>
      </w:r>
      <w:r w:rsidR="00300785" w:rsidRPr="0016789C">
        <w:rPr>
          <w:sz w:val="18"/>
          <w:szCs w:val="18"/>
          <w:lang w:val="es-ES"/>
        </w:rPr>
        <w:t>(sección 3.1.2) – Explicación del ciclo de cultivo }</w:t>
      </w:r>
    </w:p>
    <w:p w:rsidR="00300785" w:rsidRPr="0016789C" w:rsidRDefault="00300785" w:rsidP="00F17E6A">
      <w:pPr>
        <w:autoSpaceDE w:val="0"/>
        <w:autoSpaceDN w:val="0"/>
        <w:adjustRightInd w:val="0"/>
        <w:ind w:left="567" w:firstLine="567"/>
        <w:rPr>
          <w:color w:val="000000"/>
          <w:sz w:val="18"/>
          <w:szCs w:val="18"/>
          <w:lang w:val="es-ES"/>
        </w:rPr>
      </w:pPr>
    </w:p>
    <w:p w:rsidR="00300785" w:rsidRPr="0016789C" w:rsidRDefault="00300785" w:rsidP="00F17E6A">
      <w:pPr>
        <w:shd w:val="clear" w:color="auto" w:fill="D4D0C8"/>
        <w:autoSpaceDE w:val="0"/>
        <w:autoSpaceDN w:val="0"/>
        <w:adjustRightInd w:val="0"/>
        <w:ind w:left="567" w:firstLine="567"/>
        <w:rPr>
          <w:sz w:val="18"/>
          <w:szCs w:val="18"/>
          <w:lang w:val="es-ES" w:eastAsia="fr-FR"/>
        </w:rPr>
      </w:pPr>
      <w:r w:rsidRPr="0016789C">
        <w:rPr>
          <w:sz w:val="18"/>
          <w:szCs w:val="18"/>
          <w:highlight w:val="lightGray"/>
          <w:u w:val="single"/>
          <w:lang w:val="es-ES" w:eastAsia="fr-FR"/>
        </w:rPr>
        <w:t>En cuanto se pueda establecer con certeza que el resultado del examen DHE será negativo, se lo puede detener independientemente del número de ciclos de cultivo llevados a cabo hasta el momento.</w:t>
      </w:r>
      <w:r w:rsidRPr="0016789C">
        <w:rPr>
          <w:sz w:val="18"/>
          <w:szCs w:val="18"/>
          <w:lang w:val="es-ES" w:eastAsia="fr-FR"/>
        </w:rPr>
        <w:t>”</w:t>
      </w:r>
    </w:p>
    <w:p w:rsidR="00300785" w:rsidRPr="0016789C" w:rsidRDefault="00300785" w:rsidP="00F17E6A">
      <w:pPr>
        <w:autoSpaceDE w:val="0"/>
        <w:autoSpaceDN w:val="0"/>
        <w:adjustRightInd w:val="0"/>
        <w:rPr>
          <w:rFonts w:ascii="Tahoma" w:hAnsi="Tahoma" w:cs="Tahoma"/>
          <w:sz w:val="18"/>
          <w:szCs w:val="18"/>
          <w:lang w:val="es-ES"/>
        </w:rPr>
      </w:pPr>
    </w:p>
    <w:p w:rsidR="00300785" w:rsidRPr="0016789C" w:rsidRDefault="00300785" w:rsidP="00F17E6A">
      <w:pPr>
        <w:numPr>
          <w:ilvl w:val="0"/>
          <w:numId w:val="1"/>
        </w:numPr>
        <w:autoSpaceDE w:val="0"/>
        <w:autoSpaceDN w:val="0"/>
        <w:adjustRightInd w:val="0"/>
        <w:spacing w:after="120"/>
        <w:jc w:val="left"/>
        <w:rPr>
          <w:sz w:val="18"/>
          <w:szCs w:val="18"/>
          <w:lang w:val="es-ES"/>
        </w:rPr>
      </w:pPr>
      <w:r w:rsidRPr="0016789C">
        <w:rPr>
          <w:b/>
          <w:bCs/>
          <w:i/>
          <w:iCs/>
          <w:sz w:val="18"/>
          <w:szCs w:val="18"/>
          <w:lang w:val="es-ES"/>
        </w:rPr>
        <w:t>Opción(es) adicional(es) que ha(n) de incluirse en el ASW 2</w:t>
      </w:r>
    </w:p>
    <w:p w:rsidR="00300785" w:rsidRPr="0016789C" w:rsidRDefault="00300785" w:rsidP="00F17E6A">
      <w:pPr>
        <w:autoSpaceDE w:val="0"/>
        <w:autoSpaceDN w:val="0"/>
        <w:adjustRightInd w:val="0"/>
        <w:ind w:left="567"/>
        <w:jc w:val="left"/>
        <w:rPr>
          <w:sz w:val="18"/>
          <w:szCs w:val="18"/>
          <w:lang w:val="es-ES"/>
        </w:rPr>
      </w:pPr>
      <w:r w:rsidRPr="0016789C">
        <w:rPr>
          <w:sz w:val="18"/>
          <w:szCs w:val="18"/>
          <w:lang w:val="es-ES"/>
        </w:rPr>
        <w:t>ASW 2 (Plantilla de los documentos TG</w:t>
      </w:r>
      <w:proofErr w:type="gramStart"/>
      <w:r w:rsidRPr="0016789C">
        <w:rPr>
          <w:sz w:val="18"/>
          <w:szCs w:val="18"/>
          <w:lang w:val="es-ES"/>
        </w:rPr>
        <w:t>:  sección</w:t>
      </w:r>
      <w:proofErr w:type="gramEnd"/>
      <w:r w:rsidRPr="0016789C">
        <w:rPr>
          <w:sz w:val="18"/>
          <w:szCs w:val="18"/>
          <w:lang w:val="es-ES"/>
        </w:rPr>
        <w:t> 3.1) – Número de ciclos de cultivo</w:t>
      </w:r>
    </w:p>
    <w:p w:rsidR="00300785" w:rsidRPr="0016789C" w:rsidRDefault="00300785" w:rsidP="00F17E6A">
      <w:pPr>
        <w:autoSpaceDE w:val="0"/>
        <w:autoSpaceDN w:val="0"/>
        <w:adjustRightInd w:val="0"/>
        <w:ind w:left="567"/>
        <w:jc w:val="left"/>
        <w:rPr>
          <w:sz w:val="18"/>
          <w:szCs w:val="18"/>
          <w:lang w:val="es-ES"/>
        </w:rPr>
      </w:pPr>
    </w:p>
    <w:p w:rsidR="00300785" w:rsidRPr="0016789C" w:rsidRDefault="00300785" w:rsidP="00F17E6A">
      <w:pPr>
        <w:pStyle w:val="ListParagraph"/>
        <w:numPr>
          <w:ilvl w:val="0"/>
          <w:numId w:val="2"/>
        </w:numPr>
        <w:autoSpaceDE w:val="0"/>
        <w:autoSpaceDN w:val="0"/>
        <w:adjustRightInd w:val="0"/>
        <w:jc w:val="left"/>
        <w:rPr>
          <w:i/>
          <w:iCs/>
          <w:sz w:val="18"/>
          <w:szCs w:val="18"/>
          <w:lang w:val="es-ES"/>
        </w:rPr>
      </w:pPr>
      <w:r w:rsidRPr="0016789C">
        <w:rPr>
          <w:i/>
          <w:iCs/>
          <w:sz w:val="18"/>
          <w:szCs w:val="18"/>
          <w:lang w:val="es-ES"/>
        </w:rPr>
        <w:t>Ciclo de cultivo único</w:t>
      </w:r>
    </w:p>
    <w:p w:rsidR="00300785" w:rsidRPr="0016789C" w:rsidRDefault="00300785" w:rsidP="00F17E6A">
      <w:pPr>
        <w:pStyle w:val="ListParagraph"/>
        <w:autoSpaceDE w:val="0"/>
        <w:autoSpaceDN w:val="0"/>
        <w:adjustRightInd w:val="0"/>
        <w:ind w:left="927"/>
        <w:jc w:val="left"/>
        <w:rPr>
          <w:i/>
          <w:iCs/>
          <w:sz w:val="18"/>
          <w:szCs w:val="18"/>
          <w:lang w:val="es-ES"/>
        </w:rPr>
      </w:pPr>
    </w:p>
    <w:p w:rsidR="00300785" w:rsidRPr="0016789C" w:rsidRDefault="00300785" w:rsidP="00F17E6A">
      <w:pPr>
        <w:autoSpaceDE w:val="0"/>
        <w:autoSpaceDN w:val="0"/>
        <w:adjustRightInd w:val="0"/>
        <w:ind w:left="567"/>
        <w:rPr>
          <w:sz w:val="18"/>
          <w:szCs w:val="18"/>
          <w:lang w:val="es-ES"/>
        </w:rPr>
      </w:pPr>
      <w:r w:rsidRPr="0016789C">
        <w:rPr>
          <w:sz w:val="18"/>
          <w:szCs w:val="18"/>
          <w:lang w:val="es-ES"/>
        </w:rPr>
        <w:t xml:space="preserve">“La duración </w:t>
      </w:r>
      <w:r w:rsidRPr="0016789C">
        <w:rPr>
          <w:strike/>
          <w:sz w:val="18"/>
          <w:szCs w:val="18"/>
          <w:highlight w:val="lightGray"/>
          <w:lang w:val="es-ES"/>
        </w:rPr>
        <w:t>mínima</w:t>
      </w:r>
      <w:r w:rsidRPr="0016789C">
        <w:rPr>
          <w:sz w:val="18"/>
          <w:szCs w:val="18"/>
          <w:lang w:val="es-ES"/>
        </w:rPr>
        <w:t xml:space="preserve"> de los ensayos deberá ser </w:t>
      </w:r>
      <w:r w:rsidRPr="0016789C">
        <w:rPr>
          <w:strike/>
          <w:sz w:val="18"/>
          <w:szCs w:val="18"/>
          <w:highlight w:val="lightGray"/>
          <w:lang w:val="es-ES"/>
        </w:rPr>
        <w:t>normalmente</w:t>
      </w:r>
      <w:r w:rsidRPr="0016789C">
        <w:rPr>
          <w:sz w:val="18"/>
          <w:szCs w:val="18"/>
          <w:highlight w:val="lightGray"/>
          <w:u w:val="single"/>
          <w:lang w:val="es-ES"/>
        </w:rPr>
        <w:t>, por lo general,</w:t>
      </w:r>
      <w:r w:rsidRPr="0016789C">
        <w:rPr>
          <w:sz w:val="18"/>
          <w:szCs w:val="18"/>
          <w:lang w:val="es-ES"/>
        </w:rPr>
        <w:t xml:space="preserve"> de un único ciclo de cultivo.</w:t>
      </w:r>
      <w:r w:rsidRPr="0016789C">
        <w:rPr>
          <w:sz w:val="18"/>
          <w:szCs w:val="18"/>
          <w:lang w:val="es-ES" w:eastAsia="fr-FR"/>
        </w:rPr>
        <w:t xml:space="preserve">  </w:t>
      </w:r>
      <w:r w:rsidRPr="0016789C">
        <w:rPr>
          <w:sz w:val="18"/>
          <w:szCs w:val="18"/>
          <w:highlight w:val="lightGray"/>
          <w:u w:val="single"/>
          <w:lang w:val="es-ES" w:eastAsia="fr-FR"/>
        </w:rPr>
        <w:t>Al final del ciclo de cultivo, la autoridad competente determinará si es necesario o no llevar a cabo un ciclo de cultivo adicional</w:t>
      </w:r>
      <w:r w:rsidRPr="0016789C">
        <w:rPr>
          <w:sz w:val="18"/>
          <w:szCs w:val="18"/>
          <w:lang w:val="es-ES" w:eastAsia="fr-FR"/>
        </w:rPr>
        <w:t>.”</w:t>
      </w:r>
    </w:p>
    <w:p w:rsidR="00300785" w:rsidRPr="0016789C" w:rsidRDefault="00300785" w:rsidP="00F17E6A">
      <w:pPr>
        <w:autoSpaceDE w:val="0"/>
        <w:autoSpaceDN w:val="0"/>
        <w:adjustRightInd w:val="0"/>
        <w:ind w:left="567"/>
        <w:jc w:val="left"/>
        <w:rPr>
          <w:sz w:val="18"/>
          <w:szCs w:val="18"/>
          <w:lang w:val="es-ES"/>
        </w:rPr>
      </w:pPr>
    </w:p>
    <w:p w:rsidR="00300785" w:rsidRPr="0016789C" w:rsidRDefault="00300785" w:rsidP="00F17E6A">
      <w:pPr>
        <w:pStyle w:val="ListParagraph"/>
        <w:numPr>
          <w:ilvl w:val="0"/>
          <w:numId w:val="2"/>
        </w:numPr>
        <w:autoSpaceDE w:val="0"/>
        <w:autoSpaceDN w:val="0"/>
        <w:adjustRightInd w:val="0"/>
        <w:jc w:val="left"/>
        <w:rPr>
          <w:i/>
          <w:iCs/>
          <w:sz w:val="18"/>
          <w:szCs w:val="18"/>
          <w:lang w:val="es-ES"/>
        </w:rPr>
      </w:pPr>
      <w:r w:rsidRPr="0016789C">
        <w:rPr>
          <w:i/>
          <w:iCs/>
          <w:sz w:val="18"/>
          <w:szCs w:val="18"/>
          <w:lang w:val="es-ES"/>
        </w:rPr>
        <w:t>Dos ciclos de cultivo independientes</w:t>
      </w:r>
    </w:p>
    <w:p w:rsidR="00300785" w:rsidRPr="0016789C" w:rsidRDefault="00300785" w:rsidP="00F17E6A">
      <w:pPr>
        <w:pStyle w:val="ListParagraph"/>
        <w:autoSpaceDE w:val="0"/>
        <w:autoSpaceDN w:val="0"/>
        <w:adjustRightInd w:val="0"/>
        <w:ind w:left="927"/>
        <w:jc w:val="left"/>
        <w:rPr>
          <w:i/>
          <w:iCs/>
          <w:sz w:val="18"/>
          <w:szCs w:val="18"/>
          <w:lang w:val="es-ES"/>
        </w:rPr>
      </w:pPr>
    </w:p>
    <w:p w:rsidR="00300785" w:rsidRDefault="00300785" w:rsidP="00F17E6A">
      <w:pPr>
        <w:autoSpaceDE w:val="0"/>
        <w:autoSpaceDN w:val="0"/>
        <w:adjustRightInd w:val="0"/>
        <w:ind w:left="567"/>
        <w:rPr>
          <w:sz w:val="18"/>
          <w:szCs w:val="18"/>
          <w:lang w:val="es-ES" w:eastAsia="fr-FR"/>
        </w:rPr>
      </w:pPr>
      <w:r w:rsidRPr="0016789C">
        <w:rPr>
          <w:sz w:val="18"/>
          <w:szCs w:val="18"/>
          <w:lang w:val="es-ES"/>
        </w:rPr>
        <w:t xml:space="preserve">“La duración </w:t>
      </w:r>
      <w:r w:rsidRPr="0016789C">
        <w:rPr>
          <w:strike/>
          <w:sz w:val="18"/>
          <w:szCs w:val="18"/>
          <w:highlight w:val="lightGray"/>
          <w:lang w:val="es-ES"/>
        </w:rPr>
        <w:t>mínima</w:t>
      </w:r>
      <w:r w:rsidRPr="0016789C">
        <w:rPr>
          <w:sz w:val="18"/>
          <w:szCs w:val="18"/>
          <w:lang w:val="es-ES"/>
        </w:rPr>
        <w:t xml:space="preserve"> de los ensayos deberá ser </w:t>
      </w:r>
      <w:r w:rsidRPr="0016789C">
        <w:rPr>
          <w:strike/>
          <w:sz w:val="18"/>
          <w:szCs w:val="18"/>
          <w:highlight w:val="lightGray"/>
          <w:lang w:val="es-ES"/>
        </w:rPr>
        <w:t>normalmente</w:t>
      </w:r>
      <w:r w:rsidRPr="0016789C">
        <w:rPr>
          <w:sz w:val="18"/>
          <w:szCs w:val="18"/>
          <w:highlight w:val="lightGray"/>
          <w:u w:val="single"/>
          <w:lang w:val="es-ES"/>
        </w:rPr>
        <w:t>, por lo general,</w:t>
      </w:r>
      <w:r w:rsidRPr="0016789C">
        <w:rPr>
          <w:sz w:val="18"/>
          <w:szCs w:val="18"/>
          <w:lang w:val="es-ES"/>
        </w:rPr>
        <w:t xml:space="preserve"> de dos ciclos de cultivo independientes.  </w:t>
      </w:r>
      <w:r w:rsidRPr="0016789C">
        <w:rPr>
          <w:sz w:val="18"/>
          <w:szCs w:val="18"/>
          <w:highlight w:val="lightGray"/>
          <w:u w:val="single"/>
          <w:lang w:val="es-ES"/>
        </w:rPr>
        <w:t>No obstante, al final del ciclo de cultivo, la autoridad competente determinará si es necesario o no llevar a cabo un ciclo de cultivo adicional</w:t>
      </w:r>
      <w:r w:rsidRPr="0016789C">
        <w:rPr>
          <w:sz w:val="18"/>
          <w:szCs w:val="18"/>
          <w:highlight w:val="lightGray"/>
          <w:lang w:val="es-ES"/>
        </w:rPr>
        <w:t>.</w:t>
      </w:r>
      <w:r w:rsidRPr="0016789C">
        <w:rPr>
          <w:sz w:val="18"/>
          <w:szCs w:val="18"/>
          <w:lang w:val="es-ES" w:eastAsia="fr-FR"/>
        </w:rPr>
        <w:t>”</w:t>
      </w:r>
    </w:p>
    <w:p w:rsidR="000904D4" w:rsidRPr="0016789C" w:rsidRDefault="000904D4" w:rsidP="00F17E6A">
      <w:pPr>
        <w:autoSpaceDE w:val="0"/>
        <w:autoSpaceDN w:val="0"/>
        <w:adjustRightInd w:val="0"/>
        <w:ind w:left="567"/>
        <w:rPr>
          <w:sz w:val="18"/>
          <w:szCs w:val="18"/>
          <w:lang w:val="es-ES"/>
        </w:rPr>
      </w:pPr>
    </w:p>
    <w:p w:rsidR="000904D4" w:rsidRPr="00503830" w:rsidRDefault="002A3A67" w:rsidP="000904D4">
      <w:pPr>
        <w:tabs>
          <w:tab w:val="left" w:pos="5387"/>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tab/>
        <w:t xml:space="preserve"> </w:t>
      </w:r>
      <w:r w:rsidR="000904D4">
        <w:rPr>
          <w:i/>
        </w:rPr>
        <w:t xml:space="preserve">Se invita al TC a considerar si procede revisar el documento TGP/7 “Elaboración de las directrices de examen” </w:t>
      </w:r>
      <w:r w:rsidR="00FE1A31">
        <w:rPr>
          <w:i/>
        </w:rPr>
        <w:t>para</w:t>
      </w:r>
      <w:r w:rsidR="000904D4">
        <w:rPr>
          <w:i/>
        </w:rPr>
        <w:t xml:space="preserve"> introducir nuevo texto estándar en la plantilla de directrices de examen y modificar el texto estándar adicional 2 para aclarar la duración del examen DHE, según s</w:t>
      </w:r>
      <w:r w:rsidR="000904D4" w:rsidRPr="00EC6A06">
        <w:rPr>
          <w:i/>
        </w:rPr>
        <w:t>e expone en el párrafo 10 del presente documento</w:t>
      </w:r>
      <w:r w:rsidR="000904D4" w:rsidRPr="00EC6A06">
        <w:t>.</w:t>
      </w:r>
      <w:r w:rsidR="000904D4">
        <w:rPr>
          <w:i/>
        </w:rPr>
        <w:t xml:space="preserve"> </w:t>
      </w:r>
    </w:p>
    <w:p w:rsidR="00300785" w:rsidRPr="000904D4" w:rsidRDefault="00300785" w:rsidP="00F17E6A"/>
    <w:p w:rsidR="00300785" w:rsidRPr="0016789C" w:rsidRDefault="00300785" w:rsidP="00F17E6A">
      <w:pPr>
        <w:rPr>
          <w:lang w:val="es-ES"/>
        </w:rPr>
      </w:pPr>
    </w:p>
    <w:p w:rsidR="00300785" w:rsidRPr="007437F0" w:rsidRDefault="00300785" w:rsidP="00F17E6A">
      <w:pPr>
        <w:pStyle w:val="Heading3"/>
        <w:rPr>
          <w:lang w:val="es-ES"/>
        </w:rPr>
      </w:pPr>
      <w:bookmarkStart w:id="32" w:name="_Toc476323017"/>
      <w:r w:rsidRPr="007437F0">
        <w:rPr>
          <w:lang w:val="es-ES"/>
        </w:rPr>
        <w:t>ii)</w:t>
      </w:r>
      <w:r w:rsidRPr="007437F0">
        <w:rPr>
          <w:lang w:val="es-ES"/>
        </w:rPr>
        <w:tab/>
        <w:t>Orden de los códigos UPOV y los nombres botánicos</w:t>
      </w:r>
      <w:bookmarkEnd w:id="32"/>
    </w:p>
    <w:p w:rsidR="00300785" w:rsidRPr="0016789C" w:rsidRDefault="00300785" w:rsidP="00F17E6A">
      <w:pPr>
        <w:rPr>
          <w:snapToGrid w:val="0"/>
          <w:lang w:val="es-ES"/>
        </w:rPr>
      </w:pPr>
    </w:p>
    <w:p w:rsidR="00300785" w:rsidRDefault="002A3A67" w:rsidP="00F17E6A">
      <w:pPr>
        <w:rPr>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 xml:space="preserve">EDC recomendó al TC que considere si los códigos UPOV y los nombres botánicos que figuran en la portada del proyecto de directrices de examen deben seguir disponiéndose en orden alfabético.  </w:t>
      </w:r>
      <w:r w:rsidR="00300785" w:rsidRPr="0016789C">
        <w:rPr>
          <w:lang w:val="es-ES"/>
        </w:rPr>
        <w:t>Si se prefiriese presentar la información en otro orden (por ejemplo, la especie con el mayor número de solicitudes en primer lugar), el TC</w:t>
      </w:r>
      <w:r w:rsidR="00300785" w:rsidRPr="0016789C">
        <w:rPr>
          <w:lang w:val="es-ES"/>
        </w:rPr>
        <w:noBreakHyphen/>
        <w:t xml:space="preserve">EDC recomendó que las directrices de examen aprobadas en 2017 se modifiquen antes de su publicación.  En ese caso, la modificación del orden de presentación de los códigos UPOV debería contemplarse en la próxima versión de la plantilla en Internet de los documentos TG.  </w:t>
      </w:r>
    </w:p>
    <w:p w:rsidR="000904D4" w:rsidRPr="00503830" w:rsidRDefault="002A3A67" w:rsidP="000904D4">
      <w:pPr>
        <w:tabs>
          <w:tab w:val="left" w:pos="5387"/>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tab/>
      </w:r>
      <w:r w:rsidR="000904D4">
        <w:rPr>
          <w:i/>
        </w:rPr>
        <w:t xml:space="preserve">Se invita al TC a considerar si los </w:t>
      </w:r>
      <w:r w:rsidR="000904D4">
        <w:rPr>
          <w:i/>
          <w:snapToGrid w:val="0"/>
        </w:rPr>
        <w:t>códigos</w:t>
      </w:r>
      <w:r w:rsidR="00D75883">
        <w:rPr>
          <w:i/>
          <w:snapToGrid w:val="0"/>
        </w:rPr>
        <w:t> </w:t>
      </w:r>
      <w:r w:rsidR="000904D4">
        <w:rPr>
          <w:i/>
          <w:snapToGrid w:val="0"/>
        </w:rPr>
        <w:t>UPOV y los nombres botánicos que figuran en la portada del proyecto de directrices de examen deben seguir disponiéndose por orden alfabético</w:t>
      </w:r>
      <w:r w:rsidR="000904D4">
        <w:t>.</w:t>
      </w:r>
      <w:r w:rsidR="000904D4">
        <w:rPr>
          <w:i/>
        </w:rPr>
        <w:t xml:space="preserve"> </w:t>
      </w:r>
    </w:p>
    <w:p w:rsidR="00300785" w:rsidRPr="007437F0" w:rsidRDefault="00300785" w:rsidP="00F17E6A">
      <w:pPr>
        <w:pStyle w:val="Heading3"/>
        <w:rPr>
          <w:lang w:val="es-ES"/>
        </w:rPr>
      </w:pPr>
      <w:bookmarkStart w:id="33" w:name="_Toc476323018"/>
      <w:r w:rsidRPr="007437F0">
        <w:rPr>
          <w:lang w:val="es-ES"/>
        </w:rPr>
        <w:lastRenderedPageBreak/>
        <w:t>iii)</w:t>
      </w:r>
      <w:r w:rsidRPr="007437F0">
        <w:rPr>
          <w:lang w:val="es-ES"/>
        </w:rPr>
        <w:tab/>
        <w:t>Orden de los métodos de observación</w:t>
      </w:r>
      <w:bookmarkEnd w:id="33"/>
    </w:p>
    <w:p w:rsidR="00300785" w:rsidRPr="0016789C" w:rsidRDefault="00300785" w:rsidP="00F17E6A">
      <w:pPr>
        <w:rPr>
          <w:snapToGrid w:val="0"/>
          <w:lang w:val="es-ES"/>
        </w:rPr>
      </w:pPr>
    </w:p>
    <w:p w:rsidR="00300785" w:rsidRDefault="002A3A67" w:rsidP="00F17E6A">
      <w:pPr>
        <w:rPr>
          <w:snapToGrid w:val="0"/>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 xml:space="preserve">EDC recomendó al TC que considere si los métodos de observación de un carácter </w:t>
      </w:r>
      <w:r w:rsidR="000904D4">
        <w:rPr>
          <w:snapToGrid w:val="0"/>
        </w:rPr>
        <w:t xml:space="preserve">(MG/MS/VG/VS) </w:t>
      </w:r>
      <w:r w:rsidR="00300785" w:rsidRPr="0016789C">
        <w:rPr>
          <w:snapToGrid w:val="0"/>
          <w:lang w:val="es-ES"/>
        </w:rPr>
        <w:t>deben seguir presentándose en orden alfabético y si procede incluir una explicación sobre esta cuestión en el documento TGP/7 “Elaboración de las directrices de examen”.</w:t>
      </w:r>
    </w:p>
    <w:p w:rsidR="000904D4" w:rsidRPr="00503830" w:rsidRDefault="002A3A67" w:rsidP="000904D4">
      <w:pPr>
        <w:keepNext/>
        <w:tabs>
          <w:tab w:val="left" w:pos="5387"/>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tab/>
      </w:r>
      <w:r w:rsidR="000904D4">
        <w:rPr>
          <w:i/>
        </w:rPr>
        <w:t>Se invita al TC a</w:t>
      </w:r>
      <w:r w:rsidR="0025153C">
        <w:rPr>
          <w:i/>
        </w:rPr>
        <w:t xml:space="preserve"> considerar si</w:t>
      </w:r>
      <w:r w:rsidR="000904D4">
        <w:t>:</w:t>
      </w:r>
    </w:p>
    <w:p w:rsidR="000904D4" w:rsidRPr="00503830" w:rsidRDefault="000904D4" w:rsidP="000904D4">
      <w:pPr>
        <w:keepNext/>
        <w:tabs>
          <w:tab w:val="left" w:pos="5387"/>
        </w:tabs>
        <w:ind w:left="4820"/>
        <w:rPr>
          <w:i/>
        </w:rPr>
      </w:pPr>
    </w:p>
    <w:p w:rsidR="000904D4" w:rsidRPr="00503830" w:rsidRDefault="000904D4" w:rsidP="000904D4">
      <w:pPr>
        <w:keepNext/>
        <w:tabs>
          <w:tab w:val="left" w:pos="5387"/>
          <w:tab w:val="left" w:pos="5954"/>
        </w:tabs>
        <w:ind w:left="4820"/>
        <w:rPr>
          <w:i/>
          <w:snapToGrid w:val="0"/>
        </w:rPr>
      </w:pPr>
      <w:r>
        <w:rPr>
          <w:i/>
        </w:rPr>
        <w:tab/>
        <w:t>a)</w:t>
      </w:r>
      <w:r>
        <w:rPr>
          <w:i/>
        </w:rPr>
        <w:tab/>
      </w:r>
      <w:r>
        <w:rPr>
          <w:i/>
          <w:snapToGrid w:val="0"/>
        </w:rPr>
        <w:t xml:space="preserve">los métodos de observación de un carácter deben seguir presentándose por orden alfabético;  </w:t>
      </w:r>
      <w:r w:rsidR="00FE1A31">
        <w:rPr>
          <w:i/>
          <w:snapToGrid w:val="0"/>
        </w:rPr>
        <w:t>y</w:t>
      </w:r>
    </w:p>
    <w:p w:rsidR="000904D4" w:rsidRPr="00503830" w:rsidRDefault="000904D4" w:rsidP="000904D4">
      <w:pPr>
        <w:tabs>
          <w:tab w:val="left" w:pos="5387"/>
          <w:tab w:val="left" w:pos="5954"/>
        </w:tabs>
        <w:ind w:left="4820"/>
        <w:rPr>
          <w:i/>
          <w:snapToGrid w:val="0"/>
        </w:rPr>
      </w:pPr>
    </w:p>
    <w:p w:rsidR="000904D4" w:rsidRPr="00503830" w:rsidRDefault="000904D4" w:rsidP="000904D4">
      <w:pPr>
        <w:tabs>
          <w:tab w:val="left" w:pos="5387"/>
          <w:tab w:val="left" w:pos="5954"/>
        </w:tabs>
        <w:ind w:left="4820"/>
        <w:rPr>
          <w:i/>
        </w:rPr>
      </w:pPr>
      <w:r>
        <w:rPr>
          <w:i/>
          <w:snapToGrid w:val="0"/>
        </w:rPr>
        <w:tab/>
        <w:t>b)</w:t>
      </w:r>
      <w:r>
        <w:rPr>
          <w:i/>
          <w:snapToGrid w:val="0"/>
        </w:rPr>
        <w:tab/>
      </w:r>
      <w:r w:rsidR="00FE1A31" w:rsidRPr="00FE1A31">
        <w:rPr>
          <w:i/>
          <w:snapToGrid w:val="0"/>
        </w:rPr>
        <w:t xml:space="preserve">procede </w:t>
      </w:r>
      <w:r>
        <w:rPr>
          <w:i/>
          <w:snapToGrid w:val="0"/>
        </w:rPr>
        <w:t>incluir una explicación sobre esta cuestión en el documento TGP/7 “Elaboración de las directrices de examen”</w:t>
      </w:r>
      <w:r>
        <w:rPr>
          <w:i/>
        </w:rPr>
        <w:t>.</w:t>
      </w:r>
    </w:p>
    <w:p w:rsidR="00300785" w:rsidRDefault="00300785" w:rsidP="00F17E6A">
      <w:pPr>
        <w:rPr>
          <w:snapToGrid w:val="0"/>
          <w:lang w:val="es-ES"/>
        </w:rPr>
      </w:pPr>
    </w:p>
    <w:p w:rsidR="0025153C" w:rsidRPr="0016789C" w:rsidRDefault="0025153C" w:rsidP="00F17E6A">
      <w:pPr>
        <w:rPr>
          <w:snapToGrid w:val="0"/>
          <w:lang w:val="es-ES"/>
        </w:rPr>
      </w:pPr>
    </w:p>
    <w:p w:rsidR="00300785" w:rsidRPr="007437F0" w:rsidRDefault="00300785" w:rsidP="00F17E6A">
      <w:pPr>
        <w:pStyle w:val="Heading3"/>
        <w:rPr>
          <w:lang w:val="es-ES"/>
        </w:rPr>
      </w:pPr>
      <w:bookmarkStart w:id="34" w:name="_Toc476323019"/>
      <w:r w:rsidRPr="007437F0">
        <w:rPr>
          <w:lang w:val="es-ES"/>
        </w:rPr>
        <w:t>iv)</w:t>
      </w:r>
      <w:r w:rsidRPr="007437F0">
        <w:rPr>
          <w:lang w:val="es-ES"/>
        </w:rPr>
        <w:tab/>
        <w:t>Presentación de tipos diferentes de variedades ejemplo</w:t>
      </w:r>
      <w:bookmarkEnd w:id="34"/>
    </w:p>
    <w:p w:rsidR="00300785" w:rsidRPr="0016789C" w:rsidRDefault="00300785" w:rsidP="00F17E6A">
      <w:pPr>
        <w:rPr>
          <w:snapToGrid w:val="0"/>
          <w:lang w:val="es-ES"/>
        </w:rPr>
      </w:pPr>
    </w:p>
    <w:p w:rsidR="00300785" w:rsidRDefault="002A3A67" w:rsidP="00F17E6A">
      <w:pPr>
        <w:rPr>
          <w:snapToGrid w:val="0"/>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EDC recomendó al TC que considere si procede revisar el documento TGP/7 “Elaboración de las directrices de examen” para indicar que puede emplearse una coma para separar tipos diferentes de variedades ejemplo (por ejemplo, (w) tipo de invierno, (s) tipo de primavera) y si la indicación del tipo debe preceder a la denominación de cada variedad ejemplo (por ejemplo, (w) alfa, (w) beta, (s) gamma, (s) sigma).</w:t>
      </w:r>
    </w:p>
    <w:p w:rsidR="000904D4" w:rsidRDefault="000904D4" w:rsidP="00F17E6A">
      <w:pPr>
        <w:rPr>
          <w:snapToGrid w:val="0"/>
          <w:lang w:val="es-ES"/>
        </w:rPr>
      </w:pPr>
    </w:p>
    <w:p w:rsidR="000904D4" w:rsidRPr="00503830" w:rsidRDefault="002A3A67" w:rsidP="000904D4">
      <w:pPr>
        <w:tabs>
          <w:tab w:val="left" w:pos="5387"/>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rPr>
          <w:i/>
        </w:rPr>
        <w:tab/>
        <w:t>Se invita al TC a considerar si procede revisar el documento TGP/7 “Elaboración de las directrices de examen”</w:t>
      </w:r>
      <w:r w:rsidR="00FE1A31">
        <w:rPr>
          <w:i/>
        </w:rPr>
        <w:t xml:space="preserve"> para indicar</w:t>
      </w:r>
      <w:r w:rsidR="000904D4">
        <w:rPr>
          <w:i/>
        </w:rPr>
        <w:t>:</w:t>
      </w:r>
    </w:p>
    <w:p w:rsidR="000904D4" w:rsidRPr="00503830" w:rsidRDefault="000904D4" w:rsidP="000904D4">
      <w:pPr>
        <w:tabs>
          <w:tab w:val="left" w:pos="5387"/>
        </w:tabs>
        <w:ind w:left="4820"/>
        <w:rPr>
          <w:i/>
        </w:rPr>
      </w:pPr>
    </w:p>
    <w:p w:rsidR="000904D4" w:rsidRPr="00503830" w:rsidRDefault="000904D4" w:rsidP="000904D4">
      <w:pPr>
        <w:tabs>
          <w:tab w:val="left" w:pos="5387"/>
          <w:tab w:val="left" w:pos="5954"/>
        </w:tabs>
        <w:ind w:left="4820"/>
        <w:rPr>
          <w:i/>
          <w:snapToGrid w:val="0"/>
        </w:rPr>
      </w:pPr>
      <w:r>
        <w:rPr>
          <w:i/>
        </w:rPr>
        <w:tab/>
        <w:t>a)</w:t>
      </w:r>
      <w:r>
        <w:rPr>
          <w:i/>
        </w:rPr>
        <w:tab/>
      </w:r>
      <w:r w:rsidR="00FE1A31">
        <w:rPr>
          <w:i/>
        </w:rPr>
        <w:t>que</w:t>
      </w:r>
      <w:r w:rsidR="00FE1A31">
        <w:rPr>
          <w:i/>
          <w:snapToGrid w:val="0"/>
        </w:rPr>
        <w:t xml:space="preserve"> </w:t>
      </w:r>
      <w:r>
        <w:rPr>
          <w:i/>
          <w:snapToGrid w:val="0"/>
        </w:rPr>
        <w:t>puede emplearse una coma para separar tipos diferentes de variedades ejemplo (por ejemplo, (w) tipo de invierno, (s) tipo de primavera);  y</w:t>
      </w:r>
    </w:p>
    <w:p w:rsidR="000904D4" w:rsidRPr="00503830" w:rsidRDefault="000904D4" w:rsidP="000904D4">
      <w:pPr>
        <w:tabs>
          <w:tab w:val="left" w:pos="5387"/>
          <w:tab w:val="left" w:pos="5954"/>
        </w:tabs>
        <w:ind w:left="4820"/>
        <w:rPr>
          <w:i/>
          <w:snapToGrid w:val="0"/>
        </w:rPr>
      </w:pPr>
    </w:p>
    <w:p w:rsidR="000904D4" w:rsidRPr="00503830" w:rsidRDefault="000904D4" w:rsidP="000904D4">
      <w:pPr>
        <w:tabs>
          <w:tab w:val="left" w:pos="5387"/>
          <w:tab w:val="left" w:pos="5954"/>
        </w:tabs>
        <w:ind w:left="4820"/>
        <w:rPr>
          <w:i/>
        </w:rPr>
      </w:pPr>
      <w:r>
        <w:rPr>
          <w:i/>
          <w:snapToGrid w:val="0"/>
        </w:rPr>
        <w:tab/>
        <w:t>b)</w:t>
      </w:r>
      <w:r>
        <w:rPr>
          <w:i/>
          <w:snapToGrid w:val="0"/>
        </w:rPr>
        <w:tab/>
        <w:t>si la indicación del tipo debe preceder a la denominación de cada variedad ejemplo (por ejemplo, (w) alfa, (w) beta, (s) gamma, (s) sigma).</w:t>
      </w:r>
      <w:r>
        <w:rPr>
          <w:i/>
        </w:rPr>
        <w:t xml:space="preserve"> </w:t>
      </w:r>
    </w:p>
    <w:p w:rsidR="000904D4" w:rsidRDefault="000904D4" w:rsidP="00F17E6A">
      <w:pPr>
        <w:rPr>
          <w:snapToGrid w:val="0"/>
        </w:rPr>
      </w:pPr>
    </w:p>
    <w:p w:rsidR="0025153C" w:rsidRPr="000904D4" w:rsidRDefault="0025153C" w:rsidP="00F17E6A">
      <w:pPr>
        <w:rPr>
          <w:snapToGrid w:val="0"/>
        </w:rPr>
      </w:pPr>
    </w:p>
    <w:p w:rsidR="00300785" w:rsidRPr="007437F0" w:rsidRDefault="00300785" w:rsidP="00F17E6A">
      <w:pPr>
        <w:pStyle w:val="Heading3"/>
        <w:rPr>
          <w:lang w:val="es-ES"/>
        </w:rPr>
      </w:pPr>
      <w:bookmarkStart w:id="35" w:name="_Toc476323020"/>
      <w:r w:rsidRPr="007437F0">
        <w:rPr>
          <w:lang w:val="es-ES"/>
        </w:rPr>
        <w:t>v)</w:t>
      </w:r>
      <w:r w:rsidRPr="007437F0">
        <w:rPr>
          <w:lang w:val="es-ES"/>
        </w:rPr>
        <w:tab/>
        <w:t>Explicaciones relativas a todos los caracteres</w:t>
      </w:r>
      <w:bookmarkEnd w:id="35"/>
    </w:p>
    <w:p w:rsidR="00300785" w:rsidRPr="0016789C" w:rsidRDefault="00300785" w:rsidP="00F17E6A">
      <w:pPr>
        <w:rPr>
          <w:snapToGrid w:val="0"/>
          <w:lang w:val="es-ES"/>
        </w:rPr>
      </w:pPr>
    </w:p>
    <w:p w:rsidR="00300785" w:rsidRDefault="002A3A67" w:rsidP="00F17E6A">
      <w:pPr>
        <w:rPr>
          <w:snapToGrid w:val="0"/>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EDC recomendó al TC que considere si procede incluir explicaciones relativas a todos los caracteres antes del capítulo 8.1 “Explicaciones relativas a varios caracteres”, observando que para ello sería necesario insertar un cuadro de texto libre en la plantilla en Internet de los documentos TG.</w:t>
      </w:r>
    </w:p>
    <w:p w:rsidR="000904D4" w:rsidRDefault="000904D4" w:rsidP="00F17E6A">
      <w:pPr>
        <w:rPr>
          <w:snapToGrid w:val="0"/>
          <w:lang w:val="es-ES"/>
        </w:rPr>
      </w:pPr>
    </w:p>
    <w:p w:rsidR="000904D4" w:rsidRPr="00503830" w:rsidRDefault="002A3A67" w:rsidP="000904D4">
      <w:pPr>
        <w:keepLines/>
        <w:tabs>
          <w:tab w:val="left" w:pos="5387"/>
        </w:tabs>
        <w:ind w:left="4820"/>
        <w:rPr>
          <w:i/>
        </w:rPr>
      </w:pPr>
      <w:r w:rsidRPr="00503830">
        <w:rPr>
          <w:i/>
        </w:rPr>
        <w:fldChar w:fldCharType="begin"/>
      </w:r>
      <w:r w:rsidR="000904D4" w:rsidRPr="00503830">
        <w:rPr>
          <w:i/>
        </w:rPr>
        <w:instrText xml:space="preserve"> AUTONUM  </w:instrText>
      </w:r>
      <w:r w:rsidRPr="00503830">
        <w:rPr>
          <w:i/>
        </w:rPr>
        <w:fldChar w:fldCharType="end"/>
      </w:r>
      <w:r w:rsidR="000904D4">
        <w:tab/>
      </w:r>
      <w:r w:rsidR="000904D4">
        <w:rPr>
          <w:i/>
        </w:rPr>
        <w:t xml:space="preserve">Se invita al TC a considerar si procede incluir </w:t>
      </w:r>
      <w:r w:rsidR="000904D4">
        <w:rPr>
          <w:i/>
          <w:snapToGrid w:val="0"/>
        </w:rPr>
        <w:t>explicaciones relativas a todos los caracteres antes del capítulo 8.1 “Explicaciones relativas a varios caracteres”, observando que para ello sería necesario insertar un cuadro de texto libre en la plantilla en Internet de los documentos TG</w:t>
      </w:r>
      <w:r w:rsidR="000904D4">
        <w:t>.</w:t>
      </w:r>
      <w:r w:rsidR="000904D4">
        <w:rPr>
          <w:i/>
        </w:rPr>
        <w:t xml:space="preserve"> </w:t>
      </w:r>
    </w:p>
    <w:p w:rsidR="000904D4" w:rsidRDefault="000904D4" w:rsidP="00F17E6A">
      <w:pPr>
        <w:rPr>
          <w:snapToGrid w:val="0"/>
        </w:rPr>
      </w:pPr>
    </w:p>
    <w:p w:rsidR="0025153C" w:rsidRPr="000904D4" w:rsidRDefault="0025153C" w:rsidP="00F17E6A">
      <w:pPr>
        <w:rPr>
          <w:snapToGrid w:val="0"/>
        </w:rPr>
      </w:pPr>
    </w:p>
    <w:p w:rsidR="00300785" w:rsidRPr="00EA35C3" w:rsidRDefault="00300785" w:rsidP="00F17E6A">
      <w:pPr>
        <w:pStyle w:val="Heading3"/>
        <w:rPr>
          <w:lang w:val="es-ES"/>
        </w:rPr>
      </w:pPr>
      <w:bookmarkStart w:id="36" w:name="_Toc476323021"/>
      <w:proofErr w:type="gramStart"/>
      <w:r w:rsidRPr="00EA35C3">
        <w:rPr>
          <w:lang w:val="es-ES"/>
        </w:rPr>
        <w:t>vi</w:t>
      </w:r>
      <w:proofErr w:type="gramEnd"/>
      <w:r w:rsidRPr="00EA35C3">
        <w:rPr>
          <w:lang w:val="es-ES"/>
        </w:rPr>
        <w:t>)</w:t>
      </w:r>
      <w:r w:rsidRPr="00EA35C3">
        <w:rPr>
          <w:lang w:val="es-ES"/>
        </w:rPr>
        <w:tab/>
        <w:t>Explicaciones relativas a varios caracteres subsiguientes</w:t>
      </w:r>
      <w:bookmarkEnd w:id="36"/>
    </w:p>
    <w:p w:rsidR="00300785" w:rsidRPr="0016789C" w:rsidRDefault="00300785" w:rsidP="00F17E6A">
      <w:pPr>
        <w:rPr>
          <w:snapToGrid w:val="0"/>
          <w:lang w:val="es-ES"/>
        </w:rPr>
      </w:pPr>
    </w:p>
    <w:p w:rsidR="00300785" w:rsidRPr="0016789C" w:rsidRDefault="002A3A67" w:rsidP="00F17E6A">
      <w:pPr>
        <w:rPr>
          <w:snapToGrid w:val="0"/>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 xml:space="preserve">EDC recomendó al TC que considere si los caracteres que cuentan con la misma explicación pueden presentarse en el capítulo 8.2 “Explicaciones relativas a caracteres individuales”.  La explicación del primer carácter constaría del texto y/o la ilustración correspondientes, y las explicaciones de los caracteres </w:t>
      </w:r>
      <w:r w:rsidR="00300785" w:rsidRPr="0016789C">
        <w:rPr>
          <w:lang w:val="es-ES"/>
        </w:rPr>
        <w:t xml:space="preserve">subsiguientes </w:t>
      </w:r>
      <w:r w:rsidR="00300785" w:rsidRPr="0016789C">
        <w:rPr>
          <w:snapToGrid w:val="0"/>
          <w:lang w:val="es-ES"/>
        </w:rPr>
        <w:t xml:space="preserve">harían referencia a esa primera explicación. </w:t>
      </w:r>
    </w:p>
    <w:p w:rsidR="00300785" w:rsidRDefault="00300785" w:rsidP="00F17E6A">
      <w:pPr>
        <w:rPr>
          <w:snapToGrid w:val="0"/>
          <w:lang w:val="es-ES"/>
        </w:rPr>
      </w:pPr>
    </w:p>
    <w:p w:rsidR="0025153C" w:rsidRPr="0016789C" w:rsidRDefault="0025153C" w:rsidP="00F17E6A">
      <w:pPr>
        <w:rPr>
          <w:snapToGrid w:val="0"/>
          <w:lang w:val="es-ES"/>
        </w:rPr>
      </w:pPr>
    </w:p>
    <w:p w:rsidR="00300785" w:rsidRPr="0016789C" w:rsidRDefault="00300785" w:rsidP="00E471CF">
      <w:pPr>
        <w:keepNext/>
        <w:ind w:left="567"/>
        <w:rPr>
          <w:snapToGrid w:val="0"/>
          <w:lang w:val="es-ES"/>
        </w:rPr>
      </w:pPr>
      <w:r w:rsidRPr="0016789C">
        <w:rPr>
          <w:snapToGrid w:val="0"/>
          <w:lang w:val="es-ES"/>
        </w:rPr>
        <w:lastRenderedPageBreak/>
        <w:t>Por ejemplo:</w:t>
      </w:r>
      <w:r w:rsidRPr="0016789C">
        <w:rPr>
          <w:snapToGrid w:val="0"/>
          <w:lang w:val="es-ES"/>
        </w:rPr>
        <w:tab/>
      </w:r>
      <w:r w:rsidR="0025153C">
        <w:rPr>
          <w:snapToGrid w:val="0"/>
          <w:lang w:val="es-ES"/>
        </w:rPr>
        <w:t xml:space="preserve">  </w:t>
      </w:r>
      <w:r w:rsidRPr="0016789C">
        <w:rPr>
          <w:snapToGrid w:val="0"/>
          <w:lang w:val="es-ES"/>
        </w:rPr>
        <w:t>Ad. 10 “[texto/ilustración de la explicación]”</w:t>
      </w:r>
    </w:p>
    <w:p w:rsidR="00300785" w:rsidRPr="0016789C" w:rsidRDefault="00300785" w:rsidP="00F17E6A">
      <w:pPr>
        <w:rPr>
          <w:snapToGrid w:val="0"/>
          <w:lang w:val="es-ES"/>
        </w:rPr>
      </w:pPr>
    </w:p>
    <w:p w:rsidR="00300785" w:rsidRPr="001414F7" w:rsidRDefault="002A3A67" w:rsidP="00F17E6A">
      <w:pPr>
        <w:ind w:left="567" w:firstLine="567"/>
        <w:rPr>
          <w:snapToGrid w:val="0"/>
          <w:lang w:val="en-US"/>
        </w:rPr>
      </w:pPr>
      <w:proofErr w:type="gramStart"/>
      <w:r w:rsidRPr="001414F7">
        <w:rPr>
          <w:snapToGrid w:val="0"/>
          <w:lang w:val="en-US"/>
        </w:rPr>
        <w:t>Ad.</w:t>
      </w:r>
      <w:proofErr w:type="gramEnd"/>
      <w:r w:rsidRPr="001414F7">
        <w:rPr>
          <w:snapToGrid w:val="0"/>
          <w:lang w:val="en-US"/>
        </w:rPr>
        <w:t> </w:t>
      </w:r>
      <w:proofErr w:type="gramStart"/>
      <w:r w:rsidRPr="001414F7">
        <w:rPr>
          <w:snapToGrid w:val="0"/>
          <w:lang w:val="en-US"/>
        </w:rPr>
        <w:t>11 “</w:t>
      </w:r>
      <w:proofErr w:type="spellStart"/>
      <w:r w:rsidRPr="001414F7">
        <w:rPr>
          <w:snapToGrid w:val="0"/>
          <w:lang w:val="en-US"/>
        </w:rPr>
        <w:t>Véase</w:t>
      </w:r>
      <w:proofErr w:type="spellEnd"/>
      <w:r w:rsidRPr="001414F7">
        <w:rPr>
          <w:snapToGrid w:val="0"/>
          <w:lang w:val="en-US"/>
        </w:rPr>
        <w:t xml:space="preserve"> la Ad.</w:t>
      </w:r>
      <w:proofErr w:type="gramEnd"/>
      <w:r w:rsidRPr="001414F7">
        <w:rPr>
          <w:snapToGrid w:val="0"/>
          <w:lang w:val="en-US"/>
        </w:rPr>
        <w:t> 10”</w:t>
      </w:r>
    </w:p>
    <w:p w:rsidR="00300785" w:rsidRPr="001414F7" w:rsidRDefault="00300785" w:rsidP="00F17E6A">
      <w:pPr>
        <w:rPr>
          <w:snapToGrid w:val="0"/>
          <w:lang w:val="en-US"/>
        </w:rPr>
      </w:pPr>
    </w:p>
    <w:p w:rsidR="00300785" w:rsidRPr="001414F7" w:rsidRDefault="002A3A67" w:rsidP="00F17E6A">
      <w:pPr>
        <w:ind w:left="567" w:firstLine="567"/>
        <w:rPr>
          <w:snapToGrid w:val="0"/>
          <w:lang w:val="en-US"/>
        </w:rPr>
      </w:pPr>
      <w:r w:rsidRPr="001414F7">
        <w:rPr>
          <w:snapToGrid w:val="0"/>
          <w:lang w:val="en-US"/>
        </w:rPr>
        <w:t>[…]</w:t>
      </w:r>
    </w:p>
    <w:p w:rsidR="00300785" w:rsidRPr="001414F7" w:rsidRDefault="00300785" w:rsidP="00F17E6A">
      <w:pPr>
        <w:rPr>
          <w:snapToGrid w:val="0"/>
          <w:lang w:val="en-US"/>
        </w:rPr>
      </w:pPr>
    </w:p>
    <w:p w:rsidR="00C435BD" w:rsidRPr="001414F7" w:rsidRDefault="002A3A67" w:rsidP="00F17E6A">
      <w:pPr>
        <w:ind w:left="567" w:firstLine="567"/>
        <w:rPr>
          <w:snapToGrid w:val="0"/>
          <w:lang w:val="en-US"/>
        </w:rPr>
      </w:pPr>
      <w:proofErr w:type="gramStart"/>
      <w:r w:rsidRPr="001414F7">
        <w:rPr>
          <w:snapToGrid w:val="0"/>
          <w:lang w:val="en-US"/>
        </w:rPr>
        <w:t>Ad.</w:t>
      </w:r>
      <w:proofErr w:type="gramEnd"/>
      <w:r w:rsidRPr="001414F7">
        <w:rPr>
          <w:snapToGrid w:val="0"/>
          <w:lang w:val="en-US"/>
        </w:rPr>
        <w:t> </w:t>
      </w:r>
      <w:proofErr w:type="gramStart"/>
      <w:r w:rsidRPr="001414F7">
        <w:rPr>
          <w:snapToGrid w:val="0"/>
          <w:lang w:val="en-US"/>
        </w:rPr>
        <w:t>50 “</w:t>
      </w:r>
      <w:proofErr w:type="spellStart"/>
      <w:r w:rsidRPr="001414F7">
        <w:rPr>
          <w:snapToGrid w:val="0"/>
          <w:lang w:val="en-US"/>
        </w:rPr>
        <w:t>Véase</w:t>
      </w:r>
      <w:proofErr w:type="spellEnd"/>
      <w:r w:rsidRPr="001414F7">
        <w:rPr>
          <w:snapToGrid w:val="0"/>
          <w:lang w:val="en-US"/>
        </w:rPr>
        <w:t xml:space="preserve"> la Ad.</w:t>
      </w:r>
      <w:proofErr w:type="gramEnd"/>
      <w:r w:rsidRPr="001414F7">
        <w:rPr>
          <w:snapToGrid w:val="0"/>
          <w:lang w:val="en-US"/>
        </w:rPr>
        <w:t> 10”</w:t>
      </w:r>
    </w:p>
    <w:p w:rsidR="00C435BD" w:rsidRPr="001414F7" w:rsidRDefault="00C435BD" w:rsidP="00F17E6A">
      <w:pPr>
        <w:ind w:left="567" w:firstLine="567"/>
        <w:rPr>
          <w:snapToGrid w:val="0"/>
          <w:lang w:val="en-US"/>
        </w:rPr>
      </w:pPr>
    </w:p>
    <w:p w:rsidR="00C435BD" w:rsidRPr="00503830" w:rsidRDefault="002A3A67" w:rsidP="00C435BD">
      <w:pPr>
        <w:tabs>
          <w:tab w:val="left" w:pos="5387"/>
        </w:tabs>
        <w:ind w:left="4820"/>
        <w:rPr>
          <w:i/>
        </w:rPr>
      </w:pPr>
      <w:r w:rsidRPr="00503830">
        <w:rPr>
          <w:i/>
        </w:rPr>
        <w:fldChar w:fldCharType="begin"/>
      </w:r>
      <w:r w:rsidR="00C435BD" w:rsidRPr="00503830">
        <w:rPr>
          <w:i/>
        </w:rPr>
        <w:instrText xml:space="preserve"> AUTONUM  </w:instrText>
      </w:r>
      <w:r w:rsidRPr="00503830">
        <w:rPr>
          <w:i/>
        </w:rPr>
        <w:fldChar w:fldCharType="end"/>
      </w:r>
      <w:r w:rsidR="00C435BD">
        <w:rPr>
          <w:i/>
        </w:rPr>
        <w:tab/>
        <w:t xml:space="preserve">Se invita al TC a considerar </w:t>
      </w:r>
      <w:r w:rsidR="00C435BD">
        <w:rPr>
          <w:i/>
          <w:snapToGrid w:val="0"/>
        </w:rPr>
        <w:t xml:space="preserve">si los caracteres que cuentan con la misma explicación pueden presentarse en el capítulo 8.2 “Explicaciones relativas </w:t>
      </w:r>
      <w:r w:rsidR="00C435BD" w:rsidRPr="00EC6A06">
        <w:rPr>
          <w:i/>
          <w:snapToGrid w:val="0"/>
        </w:rPr>
        <w:t>a caracteres individuales”</w:t>
      </w:r>
      <w:r w:rsidR="00C435BD" w:rsidRPr="00EC6A06">
        <w:rPr>
          <w:i/>
        </w:rPr>
        <w:t>, según se expone en el párrafo 20 de</w:t>
      </w:r>
      <w:r w:rsidR="00C435BD">
        <w:rPr>
          <w:i/>
        </w:rPr>
        <w:t xml:space="preserve"> este documento. </w:t>
      </w:r>
    </w:p>
    <w:p w:rsidR="00300785" w:rsidRDefault="0025153C" w:rsidP="00F17E6A">
      <w:pPr>
        <w:rPr>
          <w:snapToGrid w:val="0"/>
        </w:rPr>
      </w:pPr>
      <w:r>
        <w:rPr>
          <w:snapToGrid w:val="0"/>
        </w:rPr>
        <w:t xml:space="preserve"> </w:t>
      </w:r>
    </w:p>
    <w:p w:rsidR="0025153C" w:rsidRPr="00C435BD" w:rsidRDefault="0025153C" w:rsidP="00F17E6A">
      <w:pPr>
        <w:rPr>
          <w:snapToGrid w:val="0"/>
        </w:rPr>
      </w:pPr>
    </w:p>
    <w:p w:rsidR="00300785" w:rsidRPr="007437F0" w:rsidRDefault="00300785" w:rsidP="00F17E6A">
      <w:pPr>
        <w:pStyle w:val="Heading3"/>
        <w:rPr>
          <w:lang w:val="es-ES"/>
        </w:rPr>
      </w:pPr>
      <w:bookmarkStart w:id="37" w:name="_Toc476323022"/>
      <w:r w:rsidRPr="007437F0">
        <w:rPr>
          <w:lang w:val="es-ES"/>
        </w:rPr>
        <w:t>vii)</w:t>
      </w:r>
      <w:r w:rsidRPr="007437F0">
        <w:rPr>
          <w:lang w:val="es-ES"/>
        </w:rPr>
        <w:tab/>
        <w:t>Caracteres que solo se aplican a ciertas variedades</w:t>
      </w:r>
      <w:bookmarkEnd w:id="37"/>
    </w:p>
    <w:p w:rsidR="00300785" w:rsidRPr="0016789C" w:rsidRDefault="00300785" w:rsidP="00F17E6A">
      <w:pPr>
        <w:rPr>
          <w:snapToGrid w:val="0"/>
          <w:lang w:val="es-ES"/>
        </w:rPr>
      </w:pPr>
    </w:p>
    <w:p w:rsidR="00C435BD" w:rsidRPr="00503830" w:rsidRDefault="002A3A67" w:rsidP="00C435BD">
      <w:pPr>
        <w:keepNext/>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r>
      <w:r w:rsidR="00C435BD">
        <w:rPr>
          <w:snapToGrid w:val="0"/>
        </w:rPr>
        <w:t xml:space="preserve">En su reunión de enero de 2017, </w:t>
      </w:r>
      <w:r w:rsidR="00C435BD">
        <w:t>el TC</w:t>
      </w:r>
      <w:r w:rsidR="00C435BD">
        <w:noBreakHyphen/>
        <w:t xml:space="preserve">EDC recomendó al TC que considere si procede elaborar una modificación que se introduciría en el párrafo 3 “Caracteres que solo se aplican a ciertas variedades” de la nota orientativa 18, Anexo 3, del documento TGP/7, a fin de aclarar que, en algunos casos, también por el nivel de expresión de un carácter pseudocualitativo anterior puede determinarse que un carácter subsiguiente no es aplicable. </w:t>
      </w:r>
      <w:r w:rsidR="00D75883">
        <w:t xml:space="preserve"> </w:t>
      </w:r>
      <w:r w:rsidR="00C435BD">
        <w:t>Asimismo, deberían establecerse los criterios de aplicación de este enfoque.  A continuación se reproduce el extracto pertinente del documento TGP/7:</w:t>
      </w:r>
    </w:p>
    <w:p w:rsidR="00C435BD" w:rsidRPr="00503830" w:rsidRDefault="00C435BD" w:rsidP="00C435BD"/>
    <w:p w:rsidR="00C435BD" w:rsidRPr="00503830" w:rsidRDefault="00C435BD" w:rsidP="00C435BD">
      <w:pPr>
        <w:tabs>
          <w:tab w:val="left" w:pos="1134"/>
        </w:tabs>
        <w:ind w:left="1701" w:right="567" w:hanging="1134"/>
        <w:rPr>
          <w:sz w:val="18"/>
          <w:u w:val="single"/>
        </w:rPr>
      </w:pPr>
      <w:r>
        <w:rPr>
          <w:sz w:val="18"/>
          <w:u w:val="single"/>
        </w:rPr>
        <w:t>“GN 18</w:t>
      </w:r>
      <w:r>
        <w:rPr>
          <w:sz w:val="18"/>
          <w:u w:val="single"/>
        </w:rPr>
        <w:tab/>
        <w:t>(Plantilla de los documentos TG</w:t>
      </w:r>
      <w:proofErr w:type="gramStart"/>
      <w:r>
        <w:rPr>
          <w:sz w:val="18"/>
          <w:u w:val="single"/>
        </w:rPr>
        <w:t>:  Capítulo</w:t>
      </w:r>
      <w:proofErr w:type="gramEnd"/>
      <w:r>
        <w:rPr>
          <w:sz w:val="18"/>
          <w:u w:val="single"/>
        </w:rPr>
        <w:t xml:space="preserve"> 7:  columna 3) – Presentación de los caracteres:  título de un carácter</w:t>
      </w:r>
    </w:p>
    <w:p w:rsidR="00C435BD" w:rsidRPr="00503830" w:rsidRDefault="00C435BD" w:rsidP="00C435BD">
      <w:pPr>
        <w:tabs>
          <w:tab w:val="left" w:pos="1134"/>
        </w:tabs>
        <w:ind w:left="567" w:right="567"/>
        <w:rPr>
          <w:sz w:val="18"/>
        </w:rPr>
      </w:pPr>
    </w:p>
    <w:p w:rsidR="00C435BD" w:rsidRPr="00503830" w:rsidRDefault="00C435BD" w:rsidP="00C435BD">
      <w:pPr>
        <w:tabs>
          <w:tab w:val="left" w:pos="1134"/>
        </w:tabs>
        <w:ind w:left="567" w:right="567"/>
        <w:rPr>
          <w:sz w:val="18"/>
        </w:rPr>
      </w:pPr>
      <w:r>
        <w:rPr>
          <w:sz w:val="18"/>
        </w:rPr>
        <w:t>[…]</w:t>
      </w:r>
    </w:p>
    <w:p w:rsidR="00C435BD" w:rsidRPr="00503830" w:rsidRDefault="00C435BD" w:rsidP="00C435BD">
      <w:pPr>
        <w:tabs>
          <w:tab w:val="left" w:pos="1134"/>
        </w:tabs>
        <w:ind w:left="567" w:right="567"/>
        <w:rPr>
          <w:sz w:val="18"/>
        </w:rPr>
      </w:pPr>
    </w:p>
    <w:p w:rsidR="00C435BD" w:rsidRPr="00503830" w:rsidRDefault="00C435BD" w:rsidP="00C435BD">
      <w:pPr>
        <w:tabs>
          <w:tab w:val="left" w:pos="1134"/>
        </w:tabs>
        <w:ind w:left="567" w:right="567"/>
        <w:rPr>
          <w:i/>
          <w:sz w:val="18"/>
        </w:rPr>
      </w:pPr>
      <w:r>
        <w:rPr>
          <w:i/>
          <w:sz w:val="18"/>
        </w:rPr>
        <w:t>“3.</w:t>
      </w:r>
      <w:r>
        <w:rPr>
          <w:i/>
          <w:sz w:val="18"/>
        </w:rPr>
        <w:tab/>
        <w:t xml:space="preserve">Caracteres que solo se aplican a ciertas variedades </w:t>
      </w:r>
    </w:p>
    <w:p w:rsidR="00C435BD" w:rsidRPr="00503830" w:rsidRDefault="00C435BD" w:rsidP="00C435BD">
      <w:pPr>
        <w:tabs>
          <w:tab w:val="left" w:pos="1134"/>
        </w:tabs>
        <w:ind w:left="567" w:right="567"/>
        <w:rPr>
          <w:sz w:val="18"/>
        </w:rPr>
      </w:pPr>
    </w:p>
    <w:p w:rsidR="00C435BD" w:rsidRPr="00503830" w:rsidRDefault="00C435BD" w:rsidP="00C435BD">
      <w:pPr>
        <w:tabs>
          <w:tab w:val="left" w:pos="1134"/>
        </w:tabs>
        <w:ind w:left="567" w:right="567"/>
        <w:rPr>
          <w:sz w:val="18"/>
        </w:rPr>
      </w:pPr>
      <w:r>
        <w:rPr>
          <w:sz w:val="18"/>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w:t>
      </w:r>
      <w:r w:rsidR="00705D25">
        <w:rPr>
          <w:sz w:val="18"/>
        </w:rPr>
        <w:t>iguiente está precedido por una</w:t>
      </w:r>
      <w:r>
        <w:rPr>
          <w:sz w:val="18"/>
        </w:rPr>
        <w:br/>
        <w:t>referencia subrayada a los tipos de variedades a los que se aplica, sobre la base del carácter precedente, por ejemplo:</w:t>
      </w:r>
    </w:p>
    <w:p w:rsidR="00C435BD" w:rsidRPr="00503830" w:rsidRDefault="00C435BD" w:rsidP="00C435BD">
      <w:pPr>
        <w:tabs>
          <w:tab w:val="left" w:pos="1134"/>
        </w:tabs>
        <w:ind w:left="567" w:right="567"/>
        <w:rPr>
          <w:sz w:val="18"/>
        </w:rPr>
      </w:pPr>
    </w:p>
    <w:p w:rsidR="00C435BD" w:rsidRPr="00503830" w:rsidRDefault="00C435BD" w:rsidP="00C435BD">
      <w:pPr>
        <w:tabs>
          <w:tab w:val="left" w:pos="1134"/>
        </w:tabs>
        <w:ind w:left="1134" w:right="567"/>
        <w:rPr>
          <w:sz w:val="18"/>
        </w:rPr>
      </w:pPr>
      <w:r>
        <w:rPr>
          <w:sz w:val="18"/>
        </w:rPr>
        <w:t>“‘</w:t>
      </w:r>
      <w:r>
        <w:rPr>
          <w:sz w:val="18"/>
          <w:u w:val="single"/>
        </w:rPr>
        <w:t>Solo variedades con tipo de flor</w:t>
      </w:r>
      <w:proofErr w:type="gramStart"/>
      <w:r>
        <w:rPr>
          <w:sz w:val="18"/>
          <w:u w:val="single"/>
        </w:rPr>
        <w:t>:</w:t>
      </w:r>
      <w:r>
        <w:rPr>
          <w:sz w:val="18"/>
        </w:rPr>
        <w:t xml:space="preserve">  simple</w:t>
      </w:r>
      <w:proofErr w:type="gramEnd"/>
      <w:r>
        <w:rPr>
          <w:sz w:val="18"/>
        </w:rPr>
        <w:t>:  Flor:  forma’”</w:t>
      </w:r>
    </w:p>
    <w:p w:rsidR="00C435BD" w:rsidRPr="00503830" w:rsidRDefault="00C435BD" w:rsidP="00C435BD"/>
    <w:p w:rsidR="00840403" w:rsidRDefault="002A3A67" w:rsidP="00EC6A06">
      <w:pPr>
        <w:tabs>
          <w:tab w:val="left" w:pos="5387"/>
        </w:tabs>
        <w:ind w:left="4820"/>
        <w:rPr>
          <w:i/>
        </w:rPr>
      </w:pPr>
      <w:r w:rsidRPr="00503830">
        <w:rPr>
          <w:i/>
        </w:rPr>
        <w:fldChar w:fldCharType="begin"/>
      </w:r>
      <w:r w:rsidR="00C435BD" w:rsidRPr="00503830">
        <w:rPr>
          <w:i/>
        </w:rPr>
        <w:instrText xml:space="preserve"> AUTONUM  </w:instrText>
      </w:r>
      <w:r w:rsidRPr="00503830">
        <w:rPr>
          <w:i/>
        </w:rPr>
        <w:fldChar w:fldCharType="end"/>
      </w:r>
      <w:r w:rsidR="00C435BD">
        <w:rPr>
          <w:i/>
        </w:rPr>
        <w:tab/>
        <w:t>Se invita al TC a</w:t>
      </w:r>
      <w:r w:rsidR="00840403">
        <w:rPr>
          <w:i/>
        </w:rPr>
        <w:t>:</w:t>
      </w:r>
    </w:p>
    <w:p w:rsidR="00840403" w:rsidRDefault="00840403" w:rsidP="00EC6A06">
      <w:pPr>
        <w:tabs>
          <w:tab w:val="left" w:pos="5387"/>
        </w:tabs>
        <w:ind w:left="4820"/>
        <w:rPr>
          <w:i/>
        </w:rPr>
      </w:pPr>
    </w:p>
    <w:p w:rsidR="00840403" w:rsidRPr="00E471CF" w:rsidRDefault="00840403" w:rsidP="00840403">
      <w:pPr>
        <w:tabs>
          <w:tab w:val="left" w:pos="5387"/>
          <w:tab w:val="left" w:pos="5954"/>
        </w:tabs>
        <w:ind w:left="4820"/>
        <w:rPr>
          <w:i/>
          <w:lang w:val="es-ES"/>
        </w:rPr>
      </w:pPr>
      <w:r>
        <w:rPr>
          <w:i/>
        </w:rPr>
        <w:tab/>
        <w:t>(a)</w:t>
      </w:r>
      <w:r>
        <w:rPr>
          <w:i/>
        </w:rPr>
        <w:tab/>
      </w:r>
      <w:r w:rsidR="00C435BD">
        <w:rPr>
          <w:i/>
        </w:rPr>
        <w:t xml:space="preserve"> </w:t>
      </w:r>
      <w:r w:rsidR="00695590" w:rsidRPr="00E471CF">
        <w:rPr>
          <w:i/>
          <w:lang w:val="es-ES"/>
        </w:rPr>
        <w:t xml:space="preserve">considerar si procede modificar el párrafo 3 de la nota orientativa 18, del documento TGP/7, a fin de aclarar que, </w:t>
      </w:r>
      <w:r w:rsidR="00695590" w:rsidRPr="00E471CF">
        <w:rPr>
          <w:rFonts w:cs="Arial"/>
          <w:i/>
          <w:sz w:val="19"/>
          <w:szCs w:val="19"/>
          <w:lang w:val="es-ES" w:eastAsia="es-ES_tradnl"/>
        </w:rPr>
        <w:t>además de</w:t>
      </w:r>
      <w:r w:rsidR="00EC6A06" w:rsidRPr="00E471CF">
        <w:rPr>
          <w:rFonts w:cs="Arial"/>
          <w:i/>
          <w:sz w:val="19"/>
          <w:szCs w:val="19"/>
          <w:lang w:val="es-ES" w:eastAsia="es-ES_tradnl"/>
        </w:rPr>
        <w:t xml:space="preserve"> por e</w:t>
      </w:r>
      <w:r w:rsidR="00695590" w:rsidRPr="00E471CF">
        <w:rPr>
          <w:rFonts w:cs="Arial"/>
          <w:i/>
          <w:sz w:val="19"/>
          <w:szCs w:val="19"/>
          <w:lang w:val="es-ES" w:eastAsia="es-ES_tradnl"/>
        </w:rPr>
        <w:t xml:space="preserve">l nivel de expresión de un carácter cualitativo anterior, </w:t>
      </w:r>
      <w:r w:rsidR="00695590" w:rsidRPr="00E471CF">
        <w:rPr>
          <w:i/>
          <w:lang w:val="es-ES"/>
        </w:rPr>
        <w:t xml:space="preserve">en algunos casos, por el nivel de expresión de un carácter </w:t>
      </w:r>
      <w:proofErr w:type="spellStart"/>
      <w:r w:rsidR="00695590" w:rsidRPr="00E471CF">
        <w:rPr>
          <w:i/>
          <w:lang w:val="es-ES"/>
        </w:rPr>
        <w:t>pseudocualitativo</w:t>
      </w:r>
      <w:proofErr w:type="spellEnd"/>
      <w:r w:rsidR="00695590" w:rsidRPr="00E471CF">
        <w:rPr>
          <w:i/>
          <w:lang w:val="es-ES"/>
        </w:rPr>
        <w:t xml:space="preserve"> anterior puede determinarse que un carácter subsiguiente no es aplicable</w:t>
      </w:r>
      <w:r w:rsidRPr="00E471CF">
        <w:rPr>
          <w:i/>
          <w:lang w:val="es-ES"/>
        </w:rPr>
        <w:t xml:space="preserve">;  </w:t>
      </w:r>
      <w:r w:rsidR="00695590" w:rsidRPr="00E471CF">
        <w:rPr>
          <w:i/>
          <w:lang w:val="es-ES"/>
        </w:rPr>
        <w:t>y</w:t>
      </w:r>
    </w:p>
    <w:p w:rsidR="00840403" w:rsidRPr="00E471CF" w:rsidRDefault="00840403" w:rsidP="00840403">
      <w:pPr>
        <w:tabs>
          <w:tab w:val="left" w:pos="5387"/>
        </w:tabs>
        <w:ind w:left="4820"/>
        <w:rPr>
          <w:i/>
          <w:lang w:val="es-ES"/>
        </w:rPr>
      </w:pPr>
    </w:p>
    <w:p w:rsidR="00C435BD" w:rsidRPr="00503830" w:rsidRDefault="00840403" w:rsidP="00840403">
      <w:pPr>
        <w:tabs>
          <w:tab w:val="left" w:pos="5387"/>
          <w:tab w:val="left" w:pos="5954"/>
        </w:tabs>
        <w:ind w:left="4820"/>
        <w:rPr>
          <w:i/>
        </w:rPr>
      </w:pPr>
      <w:r w:rsidRPr="00E471CF">
        <w:rPr>
          <w:i/>
          <w:lang w:val="es-ES"/>
        </w:rPr>
        <w:tab/>
        <w:t>(b)</w:t>
      </w:r>
      <w:r w:rsidR="00695590" w:rsidRPr="00E471CF">
        <w:rPr>
          <w:i/>
          <w:lang w:val="es-ES"/>
        </w:rPr>
        <w:t xml:space="preserve"> </w:t>
      </w:r>
      <w:r w:rsidRPr="00E471CF">
        <w:rPr>
          <w:i/>
          <w:lang w:val="es-ES"/>
        </w:rPr>
        <w:tab/>
      </w:r>
      <w:r w:rsidR="00695590" w:rsidRPr="00E471CF">
        <w:rPr>
          <w:i/>
          <w:lang w:val="es-ES"/>
        </w:rPr>
        <w:t>establecer los criterios de aplicación de este enfoque</w:t>
      </w:r>
      <w:r w:rsidR="00C435BD" w:rsidRPr="00E471CF">
        <w:rPr>
          <w:i/>
          <w:snapToGrid w:val="0"/>
        </w:rPr>
        <w:t>.</w:t>
      </w:r>
      <w:r w:rsidR="00C435BD">
        <w:rPr>
          <w:i/>
        </w:rPr>
        <w:t xml:space="preserve"> </w:t>
      </w:r>
    </w:p>
    <w:p w:rsidR="00C435BD" w:rsidRPr="00503830" w:rsidRDefault="00C435BD" w:rsidP="00C435BD"/>
    <w:p w:rsidR="00C435BD" w:rsidRPr="007437F0" w:rsidRDefault="00C435BD" w:rsidP="00C435BD">
      <w:pPr>
        <w:pStyle w:val="Heading3"/>
        <w:rPr>
          <w:lang w:val="es-ES"/>
        </w:rPr>
      </w:pPr>
      <w:bookmarkStart w:id="38" w:name="_Toc476323023"/>
      <w:r w:rsidRPr="007437F0">
        <w:rPr>
          <w:lang w:val="es-ES"/>
        </w:rPr>
        <w:t>viii)</w:t>
      </w:r>
      <w:r w:rsidRPr="007437F0">
        <w:rPr>
          <w:lang w:val="es-ES"/>
        </w:rPr>
        <w:tab/>
        <w:t>procedimiento de revisión parcial de las directrices de examen de la UPOV</w:t>
      </w:r>
      <w:bookmarkEnd w:id="38"/>
    </w:p>
    <w:p w:rsidR="00C435BD" w:rsidRPr="00503830" w:rsidRDefault="00C435BD" w:rsidP="00C435BD"/>
    <w:p w:rsidR="00C435BD" w:rsidRPr="00503830" w:rsidRDefault="002A3A67" w:rsidP="00C435BD">
      <w:r w:rsidRPr="00503830">
        <w:fldChar w:fldCharType="begin"/>
      </w:r>
      <w:r w:rsidR="00C435BD" w:rsidRPr="00503830">
        <w:instrText xml:space="preserve"> AUTONUM  </w:instrText>
      </w:r>
      <w:r w:rsidRPr="00503830">
        <w:fldChar w:fldCharType="end"/>
      </w:r>
      <w:r w:rsidR="00C435BD">
        <w:tab/>
        <w:t>E</w:t>
      </w:r>
      <w:r w:rsidR="006F1A55">
        <w:t>l</w:t>
      </w:r>
      <w:r w:rsidR="00C435BD">
        <w:t xml:space="preserve"> TWV expresó ciertas preocupaciones acerca de la rapidez con que se llevan a cabo las revisiones parciales de las directrices de examen, en especial las relativas a los caracteres de resistencia a las enfermedades, que son especialmente relevantes en el sector </w:t>
      </w:r>
      <w:r w:rsidR="00D75883">
        <w:t>hortícola</w:t>
      </w:r>
      <w:r w:rsidR="00C435BD">
        <w:t xml:space="preserve">. </w:t>
      </w:r>
      <w:r w:rsidR="006F1A55">
        <w:t xml:space="preserve"> </w:t>
      </w:r>
      <w:r w:rsidR="00C435BD">
        <w:t xml:space="preserve">El TWV examinó la orientación que figura en la </w:t>
      </w:r>
      <w:r w:rsidR="003B54D8">
        <w:t>s</w:t>
      </w:r>
      <w:r w:rsidR="00C435BD">
        <w:t xml:space="preserve">ección 2 titulada “Procedimiento para introducir y revisar directrices de examen de la UPOV”, del documento TGP/7/4, que se reproduce a continuación, e invitó al TC a </w:t>
      </w:r>
      <w:r w:rsidR="006F1A55">
        <w:t>considerar</w:t>
      </w:r>
      <w:r w:rsidR="00C435BD">
        <w:t xml:space="preserve"> si procede prever una revisión de la orientación existente a fin de permitir una mayor flexibilidad para añadir nuevas propuestas de revisión parci</w:t>
      </w:r>
      <w:r w:rsidR="00A142D4">
        <w:t>al en cualquier momento del año</w:t>
      </w:r>
      <w:r w:rsidR="00C435BD">
        <w:t xml:space="preserve"> (véanse los párrafos 59 y 60 del documento TWV/50/25 “</w:t>
      </w:r>
      <w:r w:rsidR="00C435BD">
        <w:rPr>
          <w:i/>
        </w:rPr>
        <w:t>Report</w:t>
      </w:r>
      <w:r w:rsidR="00C435BD">
        <w:t>").</w:t>
      </w:r>
    </w:p>
    <w:p w:rsidR="00C435BD" w:rsidRPr="00503830" w:rsidRDefault="00C435BD" w:rsidP="00C435BD"/>
    <w:p w:rsidR="00C435BD" w:rsidRPr="00503830" w:rsidRDefault="00C435BD" w:rsidP="00C435BD"/>
    <w:p w:rsidR="00C435BD" w:rsidRPr="00503830" w:rsidRDefault="00C435BD" w:rsidP="00C435BD">
      <w:pPr>
        <w:autoSpaceDE w:val="0"/>
        <w:autoSpaceDN w:val="0"/>
        <w:adjustRightInd w:val="0"/>
        <w:ind w:left="567" w:right="567"/>
        <w:jc w:val="left"/>
        <w:rPr>
          <w:sz w:val="18"/>
        </w:rPr>
      </w:pPr>
      <w:r>
        <w:rPr>
          <w:sz w:val="18"/>
        </w:rPr>
        <w:t>“2.2.1 ETAPA 1 Propuestas para encomendar la introducción o revisión de directrices de examen</w:t>
      </w:r>
    </w:p>
    <w:p w:rsidR="00C435BD" w:rsidRPr="00503830" w:rsidRDefault="00C435BD" w:rsidP="00C435BD">
      <w:pPr>
        <w:autoSpaceDE w:val="0"/>
        <w:autoSpaceDN w:val="0"/>
        <w:adjustRightInd w:val="0"/>
        <w:ind w:left="567" w:right="567"/>
        <w:jc w:val="left"/>
        <w:rPr>
          <w:sz w:val="18"/>
        </w:rPr>
      </w:pPr>
    </w:p>
    <w:p w:rsidR="00C435BD" w:rsidRPr="00503830" w:rsidRDefault="00C435BD" w:rsidP="00C435BD">
      <w:pPr>
        <w:autoSpaceDE w:val="0"/>
        <w:autoSpaceDN w:val="0"/>
        <w:adjustRightInd w:val="0"/>
        <w:ind w:left="567" w:right="567"/>
        <w:rPr>
          <w:sz w:val="18"/>
        </w:rPr>
      </w:pPr>
      <w:r>
        <w:rPr>
          <w:sz w:val="18"/>
        </w:rPr>
        <w:t xml:space="preserve">“Es competencia del Comité Técnico encomendar cualquier tarea relativa a las directrices de examen. </w:t>
      </w:r>
      <w:r w:rsidR="00A142D4">
        <w:rPr>
          <w:sz w:val="18"/>
        </w:rPr>
        <w:t xml:space="preserve"> </w:t>
      </w:r>
      <w:r>
        <w:rPr>
          <w:sz w:val="18"/>
        </w:rPr>
        <w:t>Las propuestas para que el Comité Técnico encargue un trabajo pueden ser presentadas</w:t>
      </w:r>
      <w:proofErr w:type="gramStart"/>
      <w:r>
        <w:rPr>
          <w:sz w:val="18"/>
        </w:rPr>
        <w:t xml:space="preserve">: </w:t>
      </w:r>
      <w:r w:rsidR="003B54D8">
        <w:rPr>
          <w:sz w:val="18"/>
        </w:rPr>
        <w:t xml:space="preserve"> </w:t>
      </w:r>
      <w:r>
        <w:rPr>
          <w:sz w:val="18"/>
        </w:rPr>
        <w:t>TGP</w:t>
      </w:r>
      <w:proofErr w:type="gramEnd"/>
      <w:r>
        <w:rPr>
          <w:sz w:val="18"/>
        </w:rPr>
        <w:t>/7/4.  Capítulo 2</w:t>
      </w:r>
      <w:proofErr w:type="gramStart"/>
      <w:r>
        <w:rPr>
          <w:sz w:val="18"/>
        </w:rPr>
        <w:t xml:space="preserve">: </w:t>
      </w:r>
      <w:r w:rsidR="003B54D8">
        <w:rPr>
          <w:sz w:val="18"/>
        </w:rPr>
        <w:t xml:space="preserve"> </w:t>
      </w:r>
      <w:r>
        <w:rPr>
          <w:sz w:val="18"/>
        </w:rPr>
        <w:t>Procedimiento</w:t>
      </w:r>
      <w:proofErr w:type="gramEnd"/>
      <w:r>
        <w:rPr>
          <w:sz w:val="18"/>
        </w:rPr>
        <w:t xml:space="preserve"> para introducir y revisar directrices de examen  </w:t>
      </w:r>
    </w:p>
    <w:p w:rsidR="00C435BD" w:rsidRPr="00503830" w:rsidRDefault="00C435BD" w:rsidP="00C435BD">
      <w:pPr>
        <w:autoSpaceDE w:val="0"/>
        <w:autoSpaceDN w:val="0"/>
        <w:adjustRightInd w:val="0"/>
        <w:ind w:left="567" w:right="567"/>
        <w:rPr>
          <w:sz w:val="18"/>
        </w:rPr>
      </w:pPr>
    </w:p>
    <w:p w:rsidR="00C435BD" w:rsidRPr="00503830" w:rsidRDefault="00C435BD" w:rsidP="00C435BD">
      <w:pPr>
        <w:autoSpaceDE w:val="0"/>
        <w:autoSpaceDN w:val="0"/>
        <w:adjustRightInd w:val="0"/>
        <w:ind w:left="567" w:right="567"/>
        <w:jc w:val="left"/>
        <w:rPr>
          <w:sz w:val="18"/>
        </w:rPr>
      </w:pPr>
      <w:r>
        <w:rPr>
          <w:sz w:val="18"/>
        </w:rPr>
        <w:t xml:space="preserve">“a) por un órgano de la UPOV </w:t>
      </w:r>
    </w:p>
    <w:p w:rsidR="00C435BD" w:rsidRPr="00503830" w:rsidRDefault="00C435BD" w:rsidP="00C435BD">
      <w:pPr>
        <w:autoSpaceDE w:val="0"/>
        <w:autoSpaceDN w:val="0"/>
        <w:adjustRightInd w:val="0"/>
        <w:ind w:left="567" w:right="567"/>
        <w:jc w:val="left"/>
        <w:rPr>
          <w:sz w:val="18"/>
        </w:rPr>
      </w:pPr>
    </w:p>
    <w:p w:rsidR="00C435BD" w:rsidRPr="00503830" w:rsidRDefault="00C435BD" w:rsidP="00C435BD">
      <w:pPr>
        <w:autoSpaceDE w:val="0"/>
        <w:autoSpaceDN w:val="0"/>
        <w:adjustRightInd w:val="0"/>
        <w:ind w:left="567" w:right="567"/>
        <w:rPr>
          <w:sz w:val="18"/>
        </w:rPr>
      </w:pPr>
      <w:r>
        <w:rPr>
          <w:sz w:val="18"/>
        </w:rPr>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C435BD" w:rsidRPr="00503830" w:rsidRDefault="00C435BD" w:rsidP="00C435BD">
      <w:pPr>
        <w:autoSpaceDE w:val="0"/>
        <w:autoSpaceDN w:val="0"/>
        <w:adjustRightInd w:val="0"/>
        <w:ind w:left="567" w:right="567"/>
        <w:rPr>
          <w:sz w:val="18"/>
        </w:rPr>
      </w:pPr>
    </w:p>
    <w:p w:rsidR="00C435BD" w:rsidRPr="00503830" w:rsidRDefault="00C435BD" w:rsidP="00C435BD">
      <w:pPr>
        <w:autoSpaceDE w:val="0"/>
        <w:autoSpaceDN w:val="0"/>
        <w:adjustRightInd w:val="0"/>
        <w:ind w:left="567" w:right="567"/>
        <w:rPr>
          <w:sz w:val="18"/>
        </w:rPr>
      </w:pPr>
      <w:r>
        <w:rPr>
          <w:sz w:val="18"/>
        </w:rPr>
        <w:t>“b</w:t>
      </w:r>
      <w:proofErr w:type="gramStart"/>
      <w:r>
        <w:rPr>
          <w:sz w:val="18"/>
        </w:rPr>
        <w:t>) )</w:t>
      </w:r>
      <w:proofErr w:type="gramEnd"/>
      <w:r>
        <w:rPr>
          <w:sz w:val="18"/>
        </w:rPr>
        <w:t xml:space="preserve"> directamente al Comité Técnico por un miembro de la Unión;</w:t>
      </w:r>
    </w:p>
    <w:p w:rsidR="00C435BD" w:rsidRPr="00503830" w:rsidRDefault="00C435BD" w:rsidP="00C435BD">
      <w:pPr>
        <w:autoSpaceDE w:val="0"/>
        <w:autoSpaceDN w:val="0"/>
        <w:adjustRightInd w:val="0"/>
        <w:ind w:left="567" w:right="567"/>
        <w:rPr>
          <w:sz w:val="18"/>
        </w:rPr>
      </w:pPr>
    </w:p>
    <w:p w:rsidR="00C435BD" w:rsidRPr="00503830" w:rsidRDefault="00C435BD" w:rsidP="00C435BD">
      <w:pPr>
        <w:autoSpaceDE w:val="0"/>
        <w:autoSpaceDN w:val="0"/>
        <w:adjustRightInd w:val="0"/>
        <w:ind w:left="567" w:right="567"/>
        <w:rPr>
          <w:sz w:val="18"/>
        </w:rPr>
      </w:pPr>
      <w:r>
        <w:rPr>
          <w:sz w:val="18"/>
        </w:rPr>
        <w:t xml:space="preserve">“c) directamente al Comité Técnico por un Estado observador o una organización observadora ante el </w:t>
      </w:r>
    </w:p>
    <w:p w:rsidR="00C435BD" w:rsidRPr="00503830" w:rsidRDefault="00C435BD" w:rsidP="00C435BD">
      <w:pPr>
        <w:ind w:left="1134" w:right="567"/>
        <w:rPr>
          <w:sz w:val="18"/>
        </w:rPr>
      </w:pPr>
      <w:r>
        <w:rPr>
          <w:sz w:val="18"/>
        </w:rPr>
        <w:t>Comité Técnico.</w:t>
      </w:r>
    </w:p>
    <w:p w:rsidR="00C435BD" w:rsidRPr="00503830" w:rsidRDefault="00C435BD" w:rsidP="00C435BD">
      <w:pPr>
        <w:ind w:left="567" w:right="425"/>
        <w:rPr>
          <w:sz w:val="18"/>
        </w:rPr>
      </w:pPr>
    </w:p>
    <w:p w:rsidR="00C435BD" w:rsidRPr="00503830" w:rsidRDefault="00C435BD" w:rsidP="00C435BD">
      <w:pPr>
        <w:ind w:left="567" w:right="425"/>
        <w:rPr>
          <w:sz w:val="18"/>
        </w:rPr>
      </w:pPr>
      <w:r>
        <w:rPr>
          <w:sz w:val="18"/>
        </w:rPr>
        <w:t>[…]</w:t>
      </w:r>
    </w:p>
    <w:p w:rsidR="00C435BD" w:rsidRPr="00503830" w:rsidRDefault="00C435BD" w:rsidP="00C435BD">
      <w:pPr>
        <w:ind w:left="567" w:right="425"/>
        <w:rPr>
          <w:sz w:val="18"/>
        </w:rPr>
      </w:pPr>
    </w:p>
    <w:p w:rsidR="00C435BD" w:rsidRPr="00503830" w:rsidRDefault="00C435BD" w:rsidP="00C435BD">
      <w:pPr>
        <w:ind w:left="567" w:right="425"/>
        <w:rPr>
          <w:sz w:val="18"/>
        </w:rPr>
      </w:pPr>
    </w:p>
    <w:p w:rsidR="00C435BD" w:rsidRPr="00503830" w:rsidRDefault="00C435BD" w:rsidP="00C435BD">
      <w:pPr>
        <w:ind w:left="567" w:right="567"/>
        <w:rPr>
          <w:sz w:val="18"/>
        </w:rPr>
      </w:pPr>
      <w:r>
        <w:rPr>
          <w:sz w:val="18"/>
        </w:rPr>
        <w:t>“2.3.3 Revisión parcial</w:t>
      </w:r>
    </w:p>
    <w:p w:rsidR="00C435BD" w:rsidRPr="00503830" w:rsidRDefault="00C435BD" w:rsidP="00C435BD">
      <w:pPr>
        <w:ind w:left="567" w:right="567"/>
        <w:rPr>
          <w:sz w:val="18"/>
        </w:rPr>
      </w:pPr>
    </w:p>
    <w:p w:rsidR="00C435BD" w:rsidRPr="00503830" w:rsidRDefault="00C435BD" w:rsidP="00C435BD">
      <w:pPr>
        <w:ind w:left="567" w:right="567"/>
        <w:rPr>
          <w:sz w:val="18"/>
        </w:rPr>
      </w:pPr>
      <w:r>
        <w:rPr>
          <w:sz w:val="18"/>
        </w:rPr>
        <w:t>“2.3.3.1 Cuando proceda, podrá actualizarse únicamente una parte de las directrices de examen sin necesidad de revisar</w:t>
      </w:r>
      <w:r w:rsidR="00A142D4">
        <w:rPr>
          <w:sz w:val="18"/>
        </w:rPr>
        <w:t xml:space="preserve"> </w:t>
      </w:r>
      <w:r>
        <w:rPr>
          <w:sz w:val="18"/>
        </w:rPr>
        <w:t>minuciosamente la totalidad de las mismas, en cuyo caso se realiza una “revisión parcial.</w:t>
      </w:r>
    </w:p>
    <w:p w:rsidR="00C435BD" w:rsidRPr="00503830" w:rsidRDefault="00C435BD" w:rsidP="00C435BD">
      <w:pPr>
        <w:ind w:left="567" w:right="567"/>
        <w:rPr>
          <w:sz w:val="18"/>
        </w:rPr>
      </w:pPr>
    </w:p>
    <w:p w:rsidR="00C435BD" w:rsidRPr="00503830" w:rsidRDefault="00C435BD" w:rsidP="00C435BD">
      <w:pPr>
        <w:ind w:left="567" w:right="567"/>
        <w:rPr>
          <w:sz w:val="18"/>
        </w:rPr>
      </w:pPr>
      <w:r>
        <w:rPr>
          <w:sz w:val="18"/>
        </w:rPr>
        <w:t>“2.3.3.2 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de expresión en función de los patotipos.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w:t>
      </w:r>
      <w:r w:rsidR="006F1A55">
        <w:rPr>
          <w:sz w:val="18"/>
        </w:rPr>
        <w:t> </w:t>
      </w:r>
      <w:r>
        <w:rPr>
          <w:sz w:val="18"/>
        </w:rPr>
        <w:t xml:space="preserve">TWP competente.  Aunque no es necesario que se haya designado un experto principal o un Subgrupo de expertos interesados, sería conveniente que el proponente de la revisión parcial consulte con expertos interesados antes de elaborar una propuesta específica. </w:t>
      </w:r>
    </w:p>
    <w:p w:rsidR="00C435BD" w:rsidRPr="00503830" w:rsidRDefault="00C435BD" w:rsidP="00C435BD">
      <w:pPr>
        <w:ind w:left="567" w:right="567"/>
        <w:rPr>
          <w:sz w:val="18"/>
        </w:rPr>
      </w:pPr>
    </w:p>
    <w:p w:rsidR="00C435BD" w:rsidRPr="00503830" w:rsidRDefault="00C435BD" w:rsidP="00C435BD">
      <w:pPr>
        <w:ind w:left="567" w:right="567"/>
        <w:rPr>
          <w:sz w:val="18"/>
        </w:rPr>
      </w:pPr>
      <w:r>
        <w:rPr>
          <w:sz w:val="18"/>
        </w:rPr>
        <w:t>“2.3.3.3 Por lo que respecta a una revisión parcial de las directrices de examen, no es necesario elaborar un nuevo proyecto de di</w:t>
      </w:r>
      <w:r w:rsidR="00A142D4">
        <w:rPr>
          <w:sz w:val="18"/>
        </w:rPr>
        <w:t>rectrices de examen.</w:t>
      </w:r>
      <w:r>
        <w:rPr>
          <w:sz w:val="18"/>
        </w:rPr>
        <w:t xml:space="preserve"> </w:t>
      </w:r>
      <w:r w:rsidR="00A142D4">
        <w:rPr>
          <w:sz w:val="18"/>
        </w:rPr>
        <w:t xml:space="preserve"> </w:t>
      </w:r>
      <w:r>
        <w:rPr>
          <w:sz w:val="18"/>
        </w:rPr>
        <w:t>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w:t>
      </w:r>
    </w:p>
    <w:p w:rsidR="00C435BD" w:rsidRPr="00503830" w:rsidRDefault="00C435BD" w:rsidP="00C435BD">
      <w:pPr>
        <w:ind w:left="567" w:right="425"/>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3260"/>
      </w:tblGrid>
      <w:tr w:rsidR="00C435BD" w:rsidRPr="00503830" w:rsidTr="00AC0F01">
        <w:trPr>
          <w:cantSplit/>
        </w:trPr>
        <w:tc>
          <w:tcPr>
            <w:tcW w:w="5245" w:type="dxa"/>
          </w:tcPr>
          <w:p w:rsidR="00C435BD" w:rsidRPr="00503830" w:rsidRDefault="00C435BD" w:rsidP="00AC0F01">
            <w:pPr>
              <w:keepNext/>
              <w:jc w:val="center"/>
              <w:rPr>
                <w:sz w:val="18"/>
              </w:rPr>
            </w:pPr>
            <w:r>
              <w:rPr>
                <w:sz w:val="18"/>
              </w:rPr>
              <w:t>Medidas a tomar</w:t>
            </w:r>
          </w:p>
        </w:tc>
        <w:tc>
          <w:tcPr>
            <w:tcW w:w="3260" w:type="dxa"/>
          </w:tcPr>
          <w:p w:rsidR="00C435BD" w:rsidRPr="00503830" w:rsidRDefault="00C435BD" w:rsidP="00AC0F01">
            <w:pPr>
              <w:keepNext/>
              <w:jc w:val="center"/>
              <w:rPr>
                <w:sz w:val="18"/>
              </w:rPr>
            </w:pPr>
            <w:r>
              <w:rPr>
                <w:sz w:val="18"/>
              </w:rPr>
              <w:t>Plazo máximo</w:t>
            </w:r>
            <w:r>
              <w:rPr>
                <w:sz w:val="18"/>
              </w:rPr>
              <w:br/>
              <w:t>antes de la reunión del TWP</w:t>
            </w:r>
          </w:p>
        </w:tc>
      </w:tr>
      <w:tr w:rsidR="00C435BD" w:rsidRPr="00503830" w:rsidTr="00AC0F01">
        <w:trPr>
          <w:cantSplit/>
        </w:trPr>
        <w:tc>
          <w:tcPr>
            <w:tcW w:w="5245" w:type="dxa"/>
          </w:tcPr>
          <w:p w:rsidR="00C435BD" w:rsidRPr="00503830" w:rsidRDefault="00C435BD" w:rsidP="00AC0F01">
            <w:pPr>
              <w:keepNext/>
              <w:rPr>
                <w:sz w:val="18"/>
              </w:rPr>
            </w:pPr>
            <w:r>
              <w:rPr>
                <w:sz w:val="18"/>
              </w:rPr>
              <w:t>Difusión del proyecto de documento destinado al TWP por el proponente (distribución por la Oficina):</w:t>
            </w:r>
          </w:p>
        </w:tc>
        <w:tc>
          <w:tcPr>
            <w:tcW w:w="3260" w:type="dxa"/>
          </w:tcPr>
          <w:p w:rsidR="00C435BD" w:rsidRPr="00503830" w:rsidRDefault="00C435BD" w:rsidP="00AC0F01">
            <w:pPr>
              <w:keepNext/>
              <w:jc w:val="center"/>
              <w:rPr>
                <w:sz w:val="18"/>
              </w:rPr>
            </w:pPr>
            <w:r>
              <w:rPr>
                <w:sz w:val="18"/>
              </w:rPr>
              <w:t>14 semanas</w:t>
            </w:r>
          </w:p>
        </w:tc>
      </w:tr>
      <w:tr w:rsidR="00C435BD" w:rsidRPr="00503830" w:rsidTr="00AC0F01">
        <w:trPr>
          <w:cantSplit/>
        </w:trPr>
        <w:tc>
          <w:tcPr>
            <w:tcW w:w="5245" w:type="dxa"/>
          </w:tcPr>
          <w:p w:rsidR="00C435BD" w:rsidRPr="00503830" w:rsidRDefault="00C435BD" w:rsidP="00AC0F01">
            <w:pPr>
              <w:keepNext/>
              <w:rPr>
                <w:sz w:val="18"/>
              </w:rPr>
            </w:pPr>
            <w:r>
              <w:rPr>
                <w:sz w:val="18"/>
              </w:rPr>
              <w:t>Envío de las observaciones del TWP:</w:t>
            </w:r>
          </w:p>
        </w:tc>
        <w:tc>
          <w:tcPr>
            <w:tcW w:w="3260" w:type="dxa"/>
          </w:tcPr>
          <w:p w:rsidR="00C435BD" w:rsidRPr="00503830" w:rsidRDefault="00C435BD" w:rsidP="00AC0F01">
            <w:pPr>
              <w:keepNext/>
              <w:jc w:val="center"/>
              <w:rPr>
                <w:sz w:val="18"/>
              </w:rPr>
            </w:pPr>
            <w:r>
              <w:rPr>
                <w:sz w:val="18"/>
              </w:rPr>
              <w:t>10 semanas</w:t>
            </w:r>
          </w:p>
        </w:tc>
      </w:tr>
      <w:tr w:rsidR="00C435BD" w:rsidRPr="00503830" w:rsidTr="00AC0F01">
        <w:trPr>
          <w:cantSplit/>
        </w:trPr>
        <w:tc>
          <w:tcPr>
            <w:tcW w:w="5245" w:type="dxa"/>
          </w:tcPr>
          <w:p w:rsidR="00C435BD" w:rsidRPr="00503830" w:rsidRDefault="00C435BD" w:rsidP="00AC0F01">
            <w:pPr>
              <w:keepNext/>
              <w:rPr>
                <w:sz w:val="18"/>
              </w:rPr>
            </w:pPr>
            <w:r>
              <w:rPr>
                <w:sz w:val="18"/>
              </w:rPr>
              <w:t>Envío a la Oficina del proyecto de documento destinado al</w:t>
            </w:r>
            <w:r>
              <w:rPr>
                <w:sz w:val="18"/>
              </w:rPr>
              <w:cr/>
            </w:r>
            <w:r>
              <w:rPr>
                <w:sz w:val="18"/>
              </w:rPr>
              <w:br/>
              <w:t xml:space="preserve">TWP por el </w:t>
            </w:r>
            <w:r>
              <w:rPr>
                <w:iCs/>
                <w:snapToGrid w:val="0"/>
                <w:color w:val="000000"/>
                <w:sz w:val="18"/>
              </w:rPr>
              <w:t>proponente</w:t>
            </w:r>
            <w:r>
              <w:rPr>
                <w:sz w:val="18"/>
              </w:rPr>
              <w:t>:</w:t>
            </w:r>
          </w:p>
        </w:tc>
        <w:tc>
          <w:tcPr>
            <w:tcW w:w="3260" w:type="dxa"/>
          </w:tcPr>
          <w:p w:rsidR="00C435BD" w:rsidRPr="00503830" w:rsidRDefault="00C435BD" w:rsidP="00AC0F01">
            <w:pPr>
              <w:keepNext/>
              <w:jc w:val="center"/>
              <w:rPr>
                <w:sz w:val="18"/>
              </w:rPr>
            </w:pPr>
            <w:r>
              <w:rPr>
                <w:sz w:val="18"/>
              </w:rPr>
              <w:t>6 semanas</w:t>
            </w:r>
          </w:p>
        </w:tc>
      </w:tr>
      <w:tr w:rsidR="00C435BD" w:rsidRPr="00503830" w:rsidTr="00AC0F01">
        <w:trPr>
          <w:cantSplit/>
        </w:trPr>
        <w:tc>
          <w:tcPr>
            <w:tcW w:w="5245" w:type="dxa"/>
          </w:tcPr>
          <w:p w:rsidR="00C435BD" w:rsidRPr="00503830" w:rsidRDefault="00C435BD" w:rsidP="006F1A55">
            <w:pPr>
              <w:rPr>
                <w:sz w:val="18"/>
              </w:rPr>
            </w:pPr>
            <w:r>
              <w:rPr>
                <w:sz w:val="18"/>
              </w:rPr>
              <w:t xml:space="preserve">Publicación del documento del TWP en el sitio </w:t>
            </w:r>
            <w:r w:rsidR="006F1A55">
              <w:rPr>
                <w:sz w:val="18"/>
              </w:rPr>
              <w:t>w</w:t>
            </w:r>
            <w:r>
              <w:rPr>
                <w:sz w:val="18"/>
              </w:rPr>
              <w:t>eb por la</w:t>
            </w:r>
            <w:r>
              <w:rPr>
                <w:sz w:val="18"/>
              </w:rPr>
              <w:cr/>
            </w:r>
            <w:r>
              <w:rPr>
                <w:sz w:val="18"/>
              </w:rPr>
              <w:br/>
              <w:t>Oficina:</w:t>
            </w:r>
          </w:p>
        </w:tc>
        <w:tc>
          <w:tcPr>
            <w:tcW w:w="3260" w:type="dxa"/>
          </w:tcPr>
          <w:p w:rsidR="00C435BD" w:rsidRPr="00503830" w:rsidRDefault="00C435BD" w:rsidP="00AC0F01">
            <w:pPr>
              <w:jc w:val="center"/>
              <w:rPr>
                <w:sz w:val="18"/>
              </w:rPr>
            </w:pPr>
            <w:r>
              <w:rPr>
                <w:sz w:val="18"/>
              </w:rPr>
              <w:t>4 semanas</w:t>
            </w:r>
          </w:p>
        </w:tc>
      </w:tr>
    </w:tbl>
    <w:p w:rsidR="00C435BD" w:rsidRPr="00503830" w:rsidRDefault="00C435BD" w:rsidP="00C435BD">
      <w:pPr>
        <w:ind w:left="567" w:right="425"/>
      </w:pPr>
    </w:p>
    <w:p w:rsidR="00C435BD" w:rsidRPr="00503830" w:rsidRDefault="00C435BD" w:rsidP="00C435BD">
      <w:pPr>
        <w:ind w:left="567" w:right="567"/>
        <w:rPr>
          <w:sz w:val="18"/>
        </w:rPr>
      </w:pPr>
      <w:r>
        <w:rPr>
          <w:sz w:val="18"/>
        </w:rPr>
        <w:t>“2.3.3.4 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p>
    <w:p w:rsidR="00C435BD" w:rsidRPr="00503830" w:rsidRDefault="00C435BD" w:rsidP="00C435BD">
      <w:pPr>
        <w:ind w:left="567" w:right="425"/>
      </w:pPr>
    </w:p>
    <w:p w:rsidR="00C435BD" w:rsidRPr="00503830" w:rsidRDefault="002A3A67" w:rsidP="00C435BD">
      <w:r w:rsidRPr="00503830">
        <w:rPr>
          <w:snapToGrid w:val="0"/>
          <w:color w:val="000000" w:themeColor="text1"/>
        </w:rPr>
        <w:fldChar w:fldCharType="begin"/>
      </w:r>
      <w:r w:rsidR="00C435BD" w:rsidRPr="00503830">
        <w:rPr>
          <w:snapToGrid w:val="0"/>
          <w:color w:val="000000" w:themeColor="text1"/>
        </w:rPr>
        <w:instrText xml:space="preserve"> AUTONUM  </w:instrText>
      </w:r>
      <w:r w:rsidRPr="00503830">
        <w:rPr>
          <w:snapToGrid w:val="0"/>
          <w:color w:val="000000" w:themeColor="text1"/>
        </w:rPr>
        <w:fldChar w:fldCharType="end"/>
      </w:r>
      <w:r w:rsidR="00C435BD">
        <w:rPr>
          <w:snapToGrid w:val="0"/>
          <w:color w:val="000000" w:themeColor="text1"/>
        </w:rPr>
        <w:tab/>
        <w:t>El TWV convino en que sería importante que las oficinas de examen y los expertos en el examen</w:t>
      </w:r>
      <w:r w:rsidR="006F1A55">
        <w:rPr>
          <w:snapToGrid w:val="0"/>
          <w:color w:val="000000" w:themeColor="text1"/>
        </w:rPr>
        <w:t> </w:t>
      </w:r>
      <w:r w:rsidR="00C435BD">
        <w:rPr>
          <w:snapToGrid w:val="0"/>
          <w:color w:val="000000" w:themeColor="text1"/>
        </w:rPr>
        <w:t xml:space="preserve">DHE tuvieran la </w:t>
      </w:r>
      <w:r w:rsidR="00C435BD">
        <w:t>oportunidad de proponer una revisión parcial de una directriz de examen de la</w:t>
      </w:r>
      <w:r w:rsidR="006F1A55">
        <w:t> </w:t>
      </w:r>
      <w:r w:rsidR="00C435BD">
        <w:t xml:space="preserve">UPOV existente, en el período posterior a la sesión del TC pero anterior a la sesión del TWP.  Convino </w:t>
      </w:r>
      <w:r w:rsidR="00C435BD">
        <w:lastRenderedPageBreak/>
        <w:t xml:space="preserve">además en que se concedería tiempo suficiente para informar a los miembros de la UPOV y los expertos pertinentes y para que estos últimos puedan examinar la propuestas, si procede. </w:t>
      </w:r>
    </w:p>
    <w:p w:rsidR="00C435BD" w:rsidRPr="00503830" w:rsidRDefault="00C435BD" w:rsidP="00C435BD"/>
    <w:p w:rsidR="00C435BD" w:rsidRPr="00503830" w:rsidRDefault="002A3A67" w:rsidP="00C435BD">
      <w:pPr>
        <w:tabs>
          <w:tab w:val="left" w:pos="5387"/>
        </w:tabs>
        <w:ind w:left="4820"/>
        <w:rPr>
          <w:i/>
        </w:rPr>
      </w:pPr>
      <w:r w:rsidRPr="00503830">
        <w:rPr>
          <w:i/>
        </w:rPr>
        <w:fldChar w:fldCharType="begin"/>
      </w:r>
      <w:r w:rsidR="00C435BD" w:rsidRPr="00503830">
        <w:rPr>
          <w:i/>
        </w:rPr>
        <w:instrText xml:space="preserve"> AUTONUM  </w:instrText>
      </w:r>
      <w:r w:rsidRPr="00503830">
        <w:rPr>
          <w:i/>
        </w:rPr>
        <w:fldChar w:fldCharType="end"/>
      </w:r>
      <w:r w:rsidR="00C435BD">
        <w:rPr>
          <w:i/>
        </w:rPr>
        <w:tab/>
        <w:t xml:space="preserve">Se invita al TC a considerar si procede </w:t>
      </w:r>
      <w:r w:rsidR="00C435BD">
        <w:rPr>
          <w:i/>
          <w:snapToGrid w:val="0"/>
        </w:rPr>
        <w:t>modificar el documento TGP/7 para permitir el añadido de nuevas propuestas de revisiones parciales de las directrices de examen en cualquier momento del año, a reserva de que se prevea tiempo suficiente para que los expertos pertinentes y los miembros de la UPOV examinen las propuestas.</w:t>
      </w:r>
      <w:r w:rsidR="00C435BD">
        <w:rPr>
          <w:i/>
        </w:rPr>
        <w:t xml:space="preserve"> </w:t>
      </w:r>
    </w:p>
    <w:p w:rsidR="00300785" w:rsidRPr="0016789C" w:rsidRDefault="00300785" w:rsidP="00F17E6A">
      <w:pPr>
        <w:rPr>
          <w:lang w:val="es-ES"/>
        </w:rPr>
      </w:pPr>
    </w:p>
    <w:p w:rsidR="00300785" w:rsidRPr="0016789C" w:rsidRDefault="00300785" w:rsidP="00F17E6A">
      <w:pPr>
        <w:pStyle w:val="Heading2"/>
        <w:keepNext w:val="0"/>
        <w:rPr>
          <w:rStyle w:val="Emphasis"/>
          <w:rFonts w:cs="Arial"/>
          <w:i w:val="0"/>
          <w:iCs w:val="0"/>
          <w:lang w:val="es-ES"/>
        </w:rPr>
      </w:pPr>
      <w:bookmarkStart w:id="39" w:name="_Toc476323024"/>
      <w:r w:rsidRPr="0016789C">
        <w:rPr>
          <w:rStyle w:val="Emphasis"/>
          <w:rFonts w:cs="Arial"/>
          <w:lang w:val="es-ES"/>
        </w:rPr>
        <w:t>TGP/14 “Glosario de términos utilizados en los documentos de la UPOV”</w:t>
      </w:r>
      <w:bookmarkEnd w:id="39"/>
    </w:p>
    <w:p w:rsidR="00300785" w:rsidRPr="0016789C" w:rsidRDefault="00300785" w:rsidP="00F17E6A">
      <w:pPr>
        <w:rPr>
          <w:lang w:val="es-ES"/>
        </w:rPr>
      </w:pPr>
    </w:p>
    <w:p w:rsidR="00300785" w:rsidRPr="007437F0" w:rsidRDefault="00705D25" w:rsidP="00F17E6A">
      <w:pPr>
        <w:pStyle w:val="Heading3"/>
        <w:rPr>
          <w:lang w:val="es-ES"/>
        </w:rPr>
      </w:pPr>
      <w:bookmarkStart w:id="40" w:name="_Toc476323025"/>
      <w:r w:rsidRPr="007437F0">
        <w:rPr>
          <w:lang w:val="es-ES"/>
        </w:rPr>
        <w:t>x</w:t>
      </w:r>
      <w:r w:rsidR="00300785" w:rsidRPr="007437F0">
        <w:rPr>
          <w:lang w:val="es-ES"/>
        </w:rPr>
        <w:t>)</w:t>
      </w:r>
      <w:r w:rsidR="00300785" w:rsidRPr="007437F0">
        <w:rPr>
          <w:lang w:val="es-ES"/>
        </w:rPr>
        <w:tab/>
        <w:t>Definición de “recurvado”</w:t>
      </w:r>
      <w:bookmarkEnd w:id="40"/>
    </w:p>
    <w:p w:rsidR="00300785" w:rsidRPr="0016789C" w:rsidRDefault="00300785" w:rsidP="00F17E6A">
      <w:pPr>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r>
      <w:r w:rsidR="00300785" w:rsidRPr="0016789C">
        <w:rPr>
          <w:snapToGrid w:val="0"/>
          <w:lang w:val="es-ES"/>
        </w:rPr>
        <w:t xml:space="preserve">En su quincuagésima segunda sesión, el TC tomó nota de los planes </w:t>
      </w:r>
      <w:r w:rsidR="00300785" w:rsidRPr="0016789C">
        <w:rPr>
          <w:lang w:val="es-ES"/>
        </w:rPr>
        <w:t>del TWF de considerar si procede proponer que se revise la definición de “recurvado” que figura en el documento TGP/14</w:t>
      </w:r>
      <w:r w:rsidR="00300785" w:rsidRPr="0016789C">
        <w:rPr>
          <w:snapToGrid w:val="0"/>
          <w:lang w:val="es-ES"/>
        </w:rPr>
        <w:t>.</w:t>
      </w:r>
    </w:p>
    <w:p w:rsidR="00300785" w:rsidRPr="0016789C" w:rsidRDefault="00300785" w:rsidP="00F17E6A">
      <w:pPr>
        <w:rPr>
          <w:lang w:val="es-ES"/>
        </w:rPr>
      </w:pPr>
    </w:p>
    <w:p w:rsidR="00300785" w:rsidRPr="0016789C" w:rsidRDefault="002A3A67" w:rsidP="00F17E6A">
      <w:pPr>
        <w:rPr>
          <w:lang w:val="es-ES"/>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En su cuadragésima séptima sesión, el TWF observó que el experto de Israel había retirado la propuesta de revisión del término “recurvado” y que, por lo tanto, no se examinaría ningún documento en ese punto del orden del día.  El TWF decidió no seguir estudiando ese asunto (véase el párrafo 63 del documento TWF/47/25 “</w:t>
      </w:r>
      <w:r w:rsidR="00300785" w:rsidRPr="0016789C">
        <w:rPr>
          <w:i/>
          <w:iCs/>
          <w:lang w:val="es-ES"/>
        </w:rPr>
        <w:t>Report</w:t>
      </w:r>
      <w:r w:rsidR="00300785" w:rsidRPr="0016789C">
        <w:rPr>
          <w:lang w:val="es-ES"/>
        </w:rPr>
        <w:t>” (Informe)).</w:t>
      </w:r>
    </w:p>
    <w:p w:rsidR="00300785" w:rsidRDefault="00300785" w:rsidP="00F17E6A">
      <w:pPr>
        <w:rPr>
          <w:lang w:val="es-ES"/>
        </w:rPr>
      </w:pPr>
    </w:p>
    <w:p w:rsidR="00C90355" w:rsidRPr="00503830" w:rsidRDefault="002A3A67" w:rsidP="00C90355">
      <w:pPr>
        <w:keepLines/>
        <w:tabs>
          <w:tab w:val="left" w:pos="5387"/>
        </w:tabs>
        <w:ind w:left="4820"/>
        <w:rPr>
          <w:i/>
        </w:rPr>
      </w:pPr>
      <w:r w:rsidRPr="00503830">
        <w:rPr>
          <w:i/>
        </w:rPr>
        <w:fldChar w:fldCharType="begin"/>
      </w:r>
      <w:r w:rsidR="00C90355" w:rsidRPr="00503830">
        <w:rPr>
          <w:i/>
        </w:rPr>
        <w:instrText xml:space="preserve"> AUTONUM  </w:instrText>
      </w:r>
      <w:r w:rsidRPr="00503830">
        <w:rPr>
          <w:i/>
        </w:rPr>
        <w:fldChar w:fldCharType="end"/>
      </w:r>
      <w:r w:rsidR="00C90355">
        <w:rPr>
          <w:i/>
        </w:rPr>
        <w:tab/>
        <w:t xml:space="preserve">Se invita al TC a tomar nota de que el experto de Israel había retirado la propuesta de </w:t>
      </w:r>
      <w:r w:rsidR="006F1A55">
        <w:rPr>
          <w:i/>
        </w:rPr>
        <w:t>revisión del término "recurvado</w:t>
      </w:r>
      <w:r w:rsidR="00C90355">
        <w:rPr>
          <w:i/>
        </w:rPr>
        <w:t>”</w:t>
      </w:r>
      <w:r w:rsidR="00C90355">
        <w:rPr>
          <w:i/>
          <w:snapToGrid w:val="0"/>
        </w:rPr>
        <w:t>.</w:t>
      </w:r>
      <w:r w:rsidR="00C90355">
        <w:rPr>
          <w:i/>
        </w:rPr>
        <w:t xml:space="preserve"> </w:t>
      </w:r>
    </w:p>
    <w:p w:rsidR="00C90355" w:rsidRPr="00C90355" w:rsidRDefault="00C90355" w:rsidP="00F17E6A"/>
    <w:p w:rsidR="00300785" w:rsidRPr="007437F0" w:rsidRDefault="00300785" w:rsidP="00F17E6A">
      <w:pPr>
        <w:pStyle w:val="Heading3"/>
        <w:rPr>
          <w:lang w:val="es-ES"/>
        </w:rPr>
      </w:pPr>
      <w:bookmarkStart w:id="41" w:name="_Toc476323026"/>
      <w:r w:rsidRPr="007437F0">
        <w:rPr>
          <w:lang w:val="es-ES"/>
        </w:rPr>
        <w:t>x)</w:t>
      </w:r>
      <w:r w:rsidRPr="007437F0">
        <w:rPr>
          <w:lang w:val="es-ES"/>
        </w:rPr>
        <w:tab/>
        <w:t>Cuadro para los caracteres relacionados con la forma</w:t>
      </w:r>
      <w:bookmarkEnd w:id="41"/>
    </w:p>
    <w:p w:rsidR="00300785" w:rsidRPr="0016789C" w:rsidRDefault="00300785" w:rsidP="00F17E6A">
      <w:pPr>
        <w:rPr>
          <w:snapToGrid w:val="0"/>
          <w:lang w:val="es-ES"/>
        </w:rPr>
      </w:pPr>
    </w:p>
    <w:p w:rsidR="00300785" w:rsidRDefault="002A3A67" w:rsidP="00F17E6A">
      <w:pPr>
        <w:rPr>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En su reunión de enero de 2017, el TC</w:t>
      </w:r>
      <w:r w:rsidR="00300785" w:rsidRPr="0016789C">
        <w:rPr>
          <w:snapToGrid w:val="0"/>
          <w:lang w:val="es-ES"/>
        </w:rPr>
        <w:noBreakHyphen/>
        <w:t xml:space="preserve">EDC recomendó al TC que considere si procede modificar en el cuadro la </w:t>
      </w:r>
      <w:r w:rsidR="00300785" w:rsidRPr="0016789C">
        <w:rPr>
          <w:lang w:val="es-ES"/>
        </w:rPr>
        <w:t>posición de la parte más ancha y la relación longitud/anchura que figuran en el documento</w:t>
      </w:r>
      <w:r w:rsidR="00C90355">
        <w:rPr>
          <w:lang w:val="es-ES"/>
        </w:rPr>
        <w:t> </w:t>
      </w:r>
      <w:r w:rsidR="00300785" w:rsidRPr="0016789C">
        <w:rPr>
          <w:lang w:val="es-ES"/>
        </w:rPr>
        <w:t>TGP/14</w:t>
      </w:r>
      <w:proofErr w:type="gramStart"/>
      <w:r w:rsidR="00300785" w:rsidRPr="0016789C">
        <w:rPr>
          <w:lang w:val="es-ES"/>
        </w:rPr>
        <w:t>:  sección</w:t>
      </w:r>
      <w:proofErr w:type="gramEnd"/>
      <w:r w:rsidR="00300785" w:rsidRPr="0016789C">
        <w:rPr>
          <w:lang w:val="es-ES"/>
        </w:rPr>
        <w:t> 2:  subsección 2:  Formas y estructuras (</w:t>
      </w:r>
      <w:r w:rsidR="00C90355">
        <w:rPr>
          <w:lang w:val="es-ES"/>
        </w:rPr>
        <w:t>v</w:t>
      </w:r>
      <w:r w:rsidR="00300785" w:rsidRPr="0016789C">
        <w:rPr>
          <w:lang w:val="es-ES"/>
        </w:rPr>
        <w:t xml:space="preserve">ariante 2) </w:t>
      </w:r>
      <w:r w:rsidR="00C90355">
        <w:t xml:space="preserve">de la siguiente manera (se indican las eliminaciones mediante </w:t>
      </w:r>
      <w:r w:rsidR="00C90355">
        <w:rPr>
          <w:strike/>
          <w:highlight w:val="lightGray"/>
        </w:rPr>
        <w:t>resaltado y tachado</w:t>
      </w:r>
      <w:r w:rsidR="00C90355">
        <w:t xml:space="preserve"> y los añadidos mediante </w:t>
      </w:r>
      <w:r w:rsidR="00C90355">
        <w:rPr>
          <w:highlight w:val="lightGray"/>
          <w:u w:val="single"/>
        </w:rPr>
        <w:t>resaltado y subrayado</w:t>
      </w:r>
      <w:r w:rsidR="00C90355">
        <w:t>):</w:t>
      </w:r>
    </w:p>
    <w:p w:rsidR="00E471CF" w:rsidRDefault="00E471CF" w:rsidP="00F17E6A">
      <w:pPr>
        <w:rPr>
          <w:lang w:val="es-ES"/>
        </w:rPr>
      </w:pPr>
      <w:r>
        <w:rPr>
          <w:lang w:val="es-ES"/>
        </w:rPr>
        <w:br w:type="page"/>
      </w:r>
    </w:p>
    <w:p w:rsidR="00AC0F01" w:rsidRPr="0016789C" w:rsidRDefault="00AC0F01" w:rsidP="00F17E6A">
      <w:pPr>
        <w:rPr>
          <w:lang w:val="es-ES"/>
        </w:rPr>
      </w:pPr>
    </w:p>
    <w:tbl>
      <w:tblPr>
        <w:tblW w:w="0" w:type="auto"/>
        <w:jc w:val="center"/>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567"/>
        <w:gridCol w:w="236"/>
        <w:gridCol w:w="1420"/>
        <w:gridCol w:w="1389"/>
        <w:gridCol w:w="26"/>
        <w:gridCol w:w="1363"/>
        <w:gridCol w:w="55"/>
        <w:gridCol w:w="1510"/>
        <w:gridCol w:w="1212"/>
        <w:gridCol w:w="1382"/>
        <w:gridCol w:w="7"/>
      </w:tblGrid>
      <w:tr w:rsidR="00AC0F01" w:rsidRPr="00503830" w:rsidTr="003B54D8">
        <w:trPr>
          <w:gridBefore w:val="1"/>
          <w:gridAfter w:val="1"/>
          <w:wBefore w:w="380" w:type="dxa"/>
          <w:wAfter w:w="7" w:type="dxa"/>
          <w:cantSplit/>
          <w:jc w:val="center"/>
        </w:trPr>
        <w:tc>
          <w:tcPr>
            <w:tcW w:w="567" w:type="dxa"/>
            <w:tcBorders>
              <w:top w:val="nil"/>
              <w:left w:val="nil"/>
              <w:bottom w:val="nil"/>
              <w:right w:val="nil"/>
            </w:tcBorders>
          </w:tcPr>
          <w:p w:rsidR="00AC0F01" w:rsidRPr="00503830" w:rsidRDefault="00AC0F01" w:rsidP="00AC0F01">
            <w:pPr>
              <w:keepNext/>
              <w:keepLines/>
              <w:jc w:val="center"/>
            </w:pPr>
          </w:p>
        </w:tc>
        <w:tc>
          <w:tcPr>
            <w:tcW w:w="236" w:type="dxa"/>
            <w:tcBorders>
              <w:top w:val="nil"/>
              <w:left w:val="nil"/>
              <w:bottom w:val="nil"/>
              <w:right w:val="nil"/>
            </w:tcBorders>
          </w:tcPr>
          <w:p w:rsidR="00AC0F01" w:rsidRPr="00503830" w:rsidRDefault="00AC0F01" w:rsidP="00AC0F01">
            <w:pPr>
              <w:keepNext/>
              <w:keepLines/>
              <w:jc w:val="center"/>
            </w:pPr>
          </w:p>
        </w:tc>
        <w:tc>
          <w:tcPr>
            <w:tcW w:w="8357" w:type="dxa"/>
            <w:gridSpan w:val="8"/>
            <w:tcBorders>
              <w:left w:val="single" w:sz="4" w:space="0" w:color="auto"/>
              <w:bottom w:val="nil"/>
            </w:tcBorders>
          </w:tcPr>
          <w:p w:rsidR="00AC0F01" w:rsidRPr="00503830" w:rsidRDefault="00AC0F01" w:rsidP="00AC0F01">
            <w:pPr>
              <w:keepNext/>
              <w:keepLines/>
              <w:jc w:val="center"/>
            </w:pPr>
            <w:r>
              <w:tab/>
            </w:r>
            <w:r>
              <w:sym w:font="Wingdings" w:char="F0DF"/>
            </w:r>
            <w:r>
              <w:tab/>
            </w:r>
            <w:r>
              <w:tab/>
              <w:t>parte más ancha</w:t>
            </w:r>
            <w:r>
              <w:tab/>
            </w:r>
            <w:r>
              <w:tab/>
            </w:r>
            <w:r>
              <w:sym w:font="Wingdings" w:char="F0E0"/>
            </w:r>
            <w:r>
              <w:t xml:space="preserve"> </w:t>
            </w:r>
            <w:r>
              <w:tab/>
            </w:r>
          </w:p>
        </w:tc>
      </w:tr>
      <w:tr w:rsidR="00AC0F01" w:rsidRPr="00503830" w:rsidTr="003B54D8">
        <w:trPr>
          <w:gridBefore w:val="1"/>
          <w:gridAfter w:val="1"/>
          <w:wBefore w:w="380" w:type="dxa"/>
          <w:wAfter w:w="7" w:type="dxa"/>
          <w:cantSplit/>
          <w:jc w:val="center"/>
        </w:trPr>
        <w:tc>
          <w:tcPr>
            <w:tcW w:w="567" w:type="dxa"/>
            <w:tcBorders>
              <w:top w:val="nil"/>
              <w:left w:val="nil"/>
              <w:bottom w:val="nil"/>
              <w:right w:val="nil"/>
            </w:tcBorders>
          </w:tcPr>
          <w:p w:rsidR="00AC0F01" w:rsidRPr="00503830" w:rsidRDefault="00AC0F01" w:rsidP="00AC0F01">
            <w:pPr>
              <w:jc w:val="center"/>
            </w:pPr>
          </w:p>
        </w:tc>
        <w:tc>
          <w:tcPr>
            <w:tcW w:w="236" w:type="dxa"/>
            <w:tcBorders>
              <w:top w:val="nil"/>
              <w:left w:val="nil"/>
              <w:bottom w:val="nil"/>
              <w:right w:val="nil"/>
            </w:tcBorders>
          </w:tcPr>
          <w:p w:rsidR="00AC0F01" w:rsidRPr="00503830" w:rsidRDefault="00AC0F01" w:rsidP="00AC0F01">
            <w:pPr>
              <w:jc w:val="center"/>
            </w:pPr>
          </w:p>
        </w:tc>
        <w:tc>
          <w:tcPr>
            <w:tcW w:w="2835" w:type="dxa"/>
            <w:gridSpan w:val="3"/>
            <w:tcBorders>
              <w:top w:val="single" w:sz="4" w:space="0" w:color="auto"/>
              <w:left w:val="single" w:sz="4" w:space="0" w:color="auto"/>
              <w:bottom w:val="single" w:sz="4" w:space="0" w:color="auto"/>
              <w:right w:val="single" w:sz="4" w:space="0" w:color="auto"/>
            </w:tcBorders>
          </w:tcPr>
          <w:p w:rsidR="00AC0F01" w:rsidRPr="00503830" w:rsidRDefault="00AC0F01" w:rsidP="00AC0F01">
            <w:pPr>
              <w:jc w:val="center"/>
            </w:pPr>
            <w:r>
              <w:t>(por debajo de la mitad)</w:t>
            </w:r>
          </w:p>
        </w:tc>
        <w:tc>
          <w:tcPr>
            <w:tcW w:w="1418" w:type="dxa"/>
            <w:gridSpan w:val="2"/>
            <w:tcBorders>
              <w:top w:val="single" w:sz="4" w:space="0" w:color="auto"/>
              <w:left w:val="single" w:sz="4" w:space="0" w:color="auto"/>
              <w:bottom w:val="single" w:sz="4" w:space="0" w:color="auto"/>
              <w:right w:val="single" w:sz="4" w:space="0" w:color="auto"/>
            </w:tcBorders>
          </w:tcPr>
          <w:p w:rsidR="00AC0F01" w:rsidRPr="00503830" w:rsidRDefault="00AC0F01" w:rsidP="00AC0F01">
            <w:pPr>
              <w:jc w:val="center"/>
            </w:pPr>
            <w:r>
              <w:t>en la mitad</w:t>
            </w:r>
          </w:p>
        </w:tc>
        <w:tc>
          <w:tcPr>
            <w:tcW w:w="4104" w:type="dxa"/>
            <w:gridSpan w:val="3"/>
            <w:tcBorders>
              <w:top w:val="single" w:sz="4" w:space="0" w:color="auto"/>
              <w:left w:val="single" w:sz="4" w:space="0" w:color="auto"/>
              <w:bottom w:val="single" w:sz="4" w:space="0" w:color="auto"/>
              <w:right w:val="single" w:sz="4" w:space="0" w:color="auto"/>
            </w:tcBorders>
          </w:tcPr>
          <w:p w:rsidR="00AC0F01" w:rsidRPr="00503830" w:rsidRDefault="00AC0F01" w:rsidP="00AC0F01">
            <w:pPr>
              <w:jc w:val="center"/>
            </w:pPr>
            <w:r>
              <w:t>(por encima de la mitad)</w:t>
            </w:r>
          </w:p>
        </w:tc>
      </w:tr>
      <w:tr w:rsidR="00AC0F01" w:rsidRPr="00503830" w:rsidTr="003B54D8">
        <w:trPr>
          <w:gridBefore w:val="1"/>
          <w:wBefore w:w="380" w:type="dxa"/>
          <w:trHeight w:val="163"/>
          <w:jc w:val="center"/>
        </w:trPr>
        <w:tc>
          <w:tcPr>
            <w:tcW w:w="567" w:type="dxa"/>
            <w:tcBorders>
              <w:top w:val="nil"/>
              <w:left w:val="nil"/>
              <w:bottom w:val="nil"/>
              <w:right w:val="nil"/>
            </w:tcBorders>
          </w:tcPr>
          <w:p w:rsidR="00AC0F01" w:rsidRPr="00503830" w:rsidRDefault="00AC0F01" w:rsidP="00AC0F01">
            <w:pPr>
              <w:jc w:val="center"/>
            </w:pPr>
          </w:p>
        </w:tc>
        <w:tc>
          <w:tcPr>
            <w:tcW w:w="236" w:type="dxa"/>
            <w:tcBorders>
              <w:top w:val="nil"/>
              <w:left w:val="nil"/>
              <w:bottom w:val="nil"/>
              <w:right w:val="nil"/>
            </w:tcBorders>
          </w:tcPr>
          <w:p w:rsidR="00AC0F01" w:rsidRPr="00503830" w:rsidRDefault="00AC0F01" w:rsidP="00AC0F01">
            <w:pPr>
              <w:jc w:val="center"/>
            </w:pPr>
          </w:p>
        </w:tc>
        <w:tc>
          <w:tcPr>
            <w:tcW w:w="1420" w:type="dxa"/>
            <w:tcBorders>
              <w:top w:val="nil"/>
              <w:left w:val="nil"/>
              <w:bottom w:val="nil"/>
              <w:right w:val="nil"/>
            </w:tcBorders>
          </w:tcPr>
          <w:p w:rsidR="00AC0F01" w:rsidRPr="00503830" w:rsidRDefault="00AC0F01" w:rsidP="00AC0F01">
            <w:pPr>
              <w:jc w:val="center"/>
            </w:pPr>
          </w:p>
        </w:tc>
        <w:tc>
          <w:tcPr>
            <w:tcW w:w="1389" w:type="dxa"/>
            <w:tcBorders>
              <w:top w:val="nil"/>
              <w:left w:val="nil"/>
              <w:bottom w:val="nil"/>
              <w:right w:val="nil"/>
            </w:tcBorders>
          </w:tcPr>
          <w:p w:rsidR="00AC0F01" w:rsidRPr="00503830" w:rsidRDefault="00AC0F01" w:rsidP="00AC0F01">
            <w:pPr>
              <w:jc w:val="center"/>
            </w:pPr>
          </w:p>
        </w:tc>
        <w:tc>
          <w:tcPr>
            <w:tcW w:w="1389" w:type="dxa"/>
            <w:gridSpan w:val="2"/>
            <w:tcBorders>
              <w:top w:val="nil"/>
              <w:left w:val="nil"/>
              <w:bottom w:val="nil"/>
              <w:right w:val="nil"/>
            </w:tcBorders>
          </w:tcPr>
          <w:p w:rsidR="00AC0F01" w:rsidRPr="00503830" w:rsidRDefault="00AC0F01" w:rsidP="00AC0F01">
            <w:pPr>
              <w:jc w:val="center"/>
            </w:pPr>
          </w:p>
        </w:tc>
        <w:tc>
          <w:tcPr>
            <w:tcW w:w="1565" w:type="dxa"/>
            <w:gridSpan w:val="2"/>
            <w:tcBorders>
              <w:top w:val="nil"/>
              <w:left w:val="nil"/>
              <w:bottom w:val="nil"/>
              <w:right w:val="nil"/>
            </w:tcBorders>
          </w:tcPr>
          <w:p w:rsidR="00AC0F01" w:rsidRPr="00503830" w:rsidRDefault="00AC0F01" w:rsidP="00AC0F01">
            <w:pPr>
              <w:jc w:val="center"/>
            </w:pPr>
          </w:p>
        </w:tc>
        <w:tc>
          <w:tcPr>
            <w:tcW w:w="1212" w:type="dxa"/>
            <w:tcBorders>
              <w:top w:val="nil"/>
              <w:left w:val="nil"/>
              <w:bottom w:val="nil"/>
              <w:right w:val="nil"/>
            </w:tcBorders>
          </w:tcPr>
          <w:p w:rsidR="00AC0F01" w:rsidRPr="00503830" w:rsidRDefault="00AC0F01" w:rsidP="00AC0F01">
            <w:pPr>
              <w:jc w:val="center"/>
            </w:pPr>
          </w:p>
        </w:tc>
        <w:tc>
          <w:tcPr>
            <w:tcW w:w="1389" w:type="dxa"/>
            <w:gridSpan w:val="2"/>
            <w:tcBorders>
              <w:top w:val="nil"/>
              <w:left w:val="nil"/>
              <w:bottom w:val="nil"/>
              <w:right w:val="nil"/>
            </w:tcBorders>
          </w:tcPr>
          <w:p w:rsidR="00AC0F01" w:rsidRPr="00503830" w:rsidRDefault="00AC0F01" w:rsidP="00AC0F01">
            <w:pPr>
              <w:jc w:val="center"/>
            </w:pPr>
          </w:p>
        </w:tc>
      </w:tr>
      <w:tr w:rsidR="00AC0F01" w:rsidRPr="00503830" w:rsidTr="003B54D8">
        <w:trPr>
          <w:cantSplit/>
          <w:jc w:val="center"/>
        </w:trPr>
        <w:tc>
          <w:tcPr>
            <w:tcW w:w="380" w:type="dxa"/>
            <w:vMerge w:val="restart"/>
            <w:shd w:val="clear" w:color="auto" w:fill="auto"/>
            <w:textDirection w:val="btLr"/>
          </w:tcPr>
          <w:p w:rsidR="00AC0F01" w:rsidRPr="00503830" w:rsidRDefault="00AC0F01" w:rsidP="00AC0F01">
            <w:pPr>
              <w:ind w:left="113" w:right="113"/>
              <w:jc w:val="center"/>
              <w:rPr>
                <w:noProof/>
                <w:u w:val="single"/>
              </w:rPr>
            </w:pPr>
            <w:r>
              <w:rPr>
                <w:highlight w:val="lightGray"/>
                <w:u w:val="single"/>
              </w:rPr>
              <w:sym w:font="Wingdings" w:char="F0DF"/>
            </w:r>
            <w:r>
              <w:rPr>
                <w:highlight w:val="lightGray"/>
                <w:u w:val="single"/>
              </w:rPr>
              <w:t xml:space="preserve">                   anchura                 </w:t>
            </w:r>
            <w:r>
              <w:rPr>
                <w:highlight w:val="lightGray"/>
                <w:u w:val="single"/>
              </w:rPr>
              <w:sym w:font="Wingdings" w:char="F0E0"/>
            </w:r>
          </w:p>
        </w:tc>
        <w:tc>
          <w:tcPr>
            <w:tcW w:w="567" w:type="dxa"/>
            <w:vMerge w:val="restart"/>
            <w:tcBorders>
              <w:top w:val="single" w:sz="4" w:space="0" w:color="auto"/>
              <w:right w:val="single" w:sz="4" w:space="0" w:color="auto"/>
            </w:tcBorders>
            <w:textDirection w:val="btLr"/>
          </w:tcPr>
          <w:p w:rsidR="00AC0F01" w:rsidRPr="00503830" w:rsidRDefault="00AC0F01" w:rsidP="00AC0F01">
            <w:pPr>
              <w:ind w:left="113" w:right="113"/>
              <w:jc w:val="center"/>
            </w:pPr>
            <w:r>
              <w:t xml:space="preserve">ancha </w:t>
            </w:r>
            <w:r>
              <w:rPr>
                <w:strike/>
                <w:highlight w:val="lightGray"/>
              </w:rPr>
              <w:t>(</w:t>
            </w:r>
            <w:r>
              <w:rPr>
                <w:i/>
                <w:strike/>
                <w:highlight w:val="lightGray"/>
              </w:rPr>
              <w:t>baja)</w:t>
            </w:r>
            <w:r>
              <w:sym w:font="Wingdings" w:char="F0DF"/>
            </w:r>
            <w:r>
              <w:tab/>
            </w:r>
            <w:r>
              <w:rPr>
                <w:strike/>
                <w:highlight w:val="lightGray"/>
              </w:rPr>
              <w:t>anchura</w:t>
            </w:r>
            <w:r>
              <w:rPr>
                <w:strike/>
              </w:rPr>
              <w:t xml:space="preserve"> </w:t>
            </w:r>
            <w:r>
              <w:rPr>
                <w:strike/>
                <w:highlight w:val="lightGray"/>
              </w:rPr>
              <w:t>(</w:t>
            </w:r>
            <w:r>
              <w:rPr>
                <w:strike/>
                <w:color w:val="000000"/>
                <w:highlight w:val="lightGray"/>
              </w:rPr>
              <w:t>relación longitud/anchura)</w:t>
            </w:r>
            <w:r>
              <w:tab/>
            </w:r>
            <w:r>
              <w:sym w:font="Wingdings" w:char="F0E0"/>
            </w:r>
            <w:r>
              <w:t xml:space="preserve"> estrecha </w:t>
            </w:r>
            <w:r>
              <w:rPr>
                <w:strike/>
                <w:highlight w:val="lightGray"/>
              </w:rPr>
              <w:t>(</w:t>
            </w:r>
            <w:r>
              <w:rPr>
                <w:i/>
                <w:strike/>
                <w:highlight w:val="lightGray"/>
              </w:rPr>
              <w:t>alta</w:t>
            </w:r>
            <w:r>
              <w:rPr>
                <w:strike/>
                <w:highlight w:val="lightGray"/>
              </w:rPr>
              <w:t>)</w:t>
            </w:r>
          </w:p>
        </w:tc>
        <w:tc>
          <w:tcPr>
            <w:tcW w:w="236" w:type="dxa"/>
            <w:tcBorders>
              <w:top w:val="nil"/>
              <w:left w:val="nil"/>
              <w:bottom w:val="nil"/>
              <w:right w:val="nil"/>
            </w:tcBorders>
          </w:tcPr>
          <w:p w:rsidR="00AC0F01" w:rsidRPr="00503830" w:rsidRDefault="00AC0F01" w:rsidP="00AC0F01">
            <w:pPr>
              <w:jc w:val="center"/>
            </w:pPr>
          </w:p>
        </w:tc>
        <w:tc>
          <w:tcPr>
            <w:tcW w:w="1420" w:type="dxa"/>
            <w:tcBorders>
              <w:left w:val="single" w:sz="4" w:space="0" w:color="auto"/>
            </w:tcBorders>
          </w:tcPr>
          <w:p w:rsidR="00AC0F01" w:rsidRPr="00503830" w:rsidRDefault="00AC0F01" w:rsidP="00AC0F01">
            <w:pPr>
              <w:jc w:val="center"/>
            </w:pPr>
          </w:p>
        </w:tc>
        <w:tc>
          <w:tcPr>
            <w:tcW w:w="1389" w:type="dxa"/>
          </w:tcPr>
          <w:p w:rsidR="00AC0F01" w:rsidRPr="00503830" w:rsidRDefault="00AC0F01" w:rsidP="00AC0F01">
            <w:pPr>
              <w:jc w:val="center"/>
            </w:pPr>
          </w:p>
        </w:tc>
        <w:tc>
          <w:tcPr>
            <w:tcW w:w="1389" w:type="dxa"/>
            <w:gridSpan w:val="2"/>
          </w:tcPr>
          <w:p w:rsidR="00AC0F01" w:rsidRPr="00503830" w:rsidRDefault="008E3CD2" w:rsidP="00AC0F01">
            <w:pPr>
              <w:jc w:val="center"/>
            </w:pPr>
            <w:r>
              <w:rPr>
                <w:noProof/>
                <w:lang w:val="en-US"/>
              </w:rPr>
              <w:drawing>
                <wp:inline distT="0" distB="0" distL="0" distR="0" wp14:anchorId="022B6B4C" wp14:editId="56BFF782">
                  <wp:extent cx="171450" cy="10858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AC0F01" w:rsidRPr="00503830" w:rsidRDefault="00AC0F01" w:rsidP="00AC0F01">
            <w:pPr>
              <w:jc w:val="center"/>
            </w:pPr>
            <w:r>
              <w:t xml:space="preserve">6 </w:t>
            </w:r>
          </w:p>
          <w:p w:rsidR="00AC0F01" w:rsidRPr="00503830" w:rsidRDefault="00AC0F01" w:rsidP="00AC0F01">
            <w:pPr>
              <w:jc w:val="center"/>
            </w:pPr>
            <w:r>
              <w:t>lineal</w:t>
            </w:r>
          </w:p>
        </w:tc>
        <w:tc>
          <w:tcPr>
            <w:tcW w:w="1565" w:type="dxa"/>
            <w:gridSpan w:val="2"/>
          </w:tcPr>
          <w:p w:rsidR="00AC0F01" w:rsidRPr="00503830" w:rsidRDefault="00AC0F01" w:rsidP="00AC0F01">
            <w:pPr>
              <w:jc w:val="center"/>
            </w:pPr>
          </w:p>
        </w:tc>
        <w:tc>
          <w:tcPr>
            <w:tcW w:w="1212" w:type="dxa"/>
          </w:tcPr>
          <w:p w:rsidR="00AC0F01" w:rsidRPr="00503830" w:rsidRDefault="00AC0F01" w:rsidP="00AC0F01">
            <w:pPr>
              <w:jc w:val="center"/>
            </w:pPr>
          </w:p>
        </w:tc>
        <w:tc>
          <w:tcPr>
            <w:tcW w:w="1389" w:type="dxa"/>
            <w:gridSpan w:val="2"/>
          </w:tcPr>
          <w:p w:rsidR="00AC0F01" w:rsidRPr="00503830" w:rsidRDefault="00AC0F01" w:rsidP="00AC0F01">
            <w:pPr>
              <w:jc w:val="center"/>
            </w:pPr>
          </w:p>
        </w:tc>
      </w:tr>
      <w:tr w:rsidR="00AC0F01" w:rsidRPr="00503830" w:rsidTr="003B54D8">
        <w:trPr>
          <w:cantSplit/>
          <w:jc w:val="center"/>
        </w:trPr>
        <w:tc>
          <w:tcPr>
            <w:tcW w:w="380" w:type="dxa"/>
            <w:vMerge/>
            <w:shd w:val="clear" w:color="auto" w:fill="auto"/>
          </w:tcPr>
          <w:p w:rsidR="00AC0F01" w:rsidRPr="00503830" w:rsidRDefault="00AC0F01" w:rsidP="00AC0F01">
            <w:pPr>
              <w:jc w:val="center"/>
            </w:pPr>
          </w:p>
        </w:tc>
        <w:tc>
          <w:tcPr>
            <w:tcW w:w="567" w:type="dxa"/>
            <w:vMerge/>
            <w:tcBorders>
              <w:right w:val="single" w:sz="4" w:space="0" w:color="auto"/>
            </w:tcBorders>
          </w:tcPr>
          <w:p w:rsidR="00AC0F01" w:rsidRPr="00503830" w:rsidRDefault="00AC0F01" w:rsidP="00AC0F01">
            <w:pPr>
              <w:jc w:val="center"/>
            </w:pPr>
          </w:p>
        </w:tc>
        <w:tc>
          <w:tcPr>
            <w:tcW w:w="236" w:type="dxa"/>
            <w:tcBorders>
              <w:top w:val="nil"/>
              <w:left w:val="nil"/>
              <w:bottom w:val="nil"/>
              <w:right w:val="nil"/>
            </w:tcBorders>
          </w:tcPr>
          <w:p w:rsidR="00AC0F01" w:rsidRPr="00503830" w:rsidRDefault="00AC0F01" w:rsidP="00AC0F01">
            <w:pPr>
              <w:jc w:val="center"/>
            </w:pPr>
          </w:p>
        </w:tc>
        <w:tc>
          <w:tcPr>
            <w:tcW w:w="1420" w:type="dxa"/>
            <w:tcBorders>
              <w:left w:val="single" w:sz="4" w:space="0" w:color="auto"/>
            </w:tcBorders>
          </w:tcPr>
          <w:p w:rsidR="00AC0F01" w:rsidRPr="00503830" w:rsidRDefault="00AC0F01" w:rsidP="00AC0F01">
            <w:pPr>
              <w:jc w:val="center"/>
            </w:pPr>
          </w:p>
        </w:tc>
        <w:tc>
          <w:tcPr>
            <w:tcW w:w="1389" w:type="dxa"/>
          </w:tcPr>
          <w:p w:rsidR="00AC0F01" w:rsidRPr="00503830" w:rsidRDefault="00AC0F01" w:rsidP="00AC0F01">
            <w:pPr>
              <w:jc w:val="center"/>
            </w:pPr>
          </w:p>
        </w:tc>
        <w:tc>
          <w:tcPr>
            <w:tcW w:w="1389" w:type="dxa"/>
            <w:gridSpan w:val="2"/>
          </w:tcPr>
          <w:p w:rsidR="00AC0F01" w:rsidRPr="00503830" w:rsidRDefault="008E3CD2" w:rsidP="00AC0F01">
            <w:pPr>
              <w:jc w:val="center"/>
            </w:pPr>
            <w:r>
              <w:rPr>
                <w:noProof/>
                <w:lang w:val="en-US"/>
              </w:rPr>
              <w:drawing>
                <wp:inline distT="0" distB="0" distL="0" distR="0" wp14:anchorId="1D871936" wp14:editId="62DEF512">
                  <wp:extent cx="371475" cy="1085850"/>
                  <wp:effectExtent l="0" t="0" r="952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AC0F01" w:rsidRPr="00503830" w:rsidRDefault="00AC0F01" w:rsidP="00AC0F01">
            <w:pPr>
              <w:jc w:val="center"/>
            </w:pPr>
            <w:r>
              <w:t>5</w:t>
            </w:r>
          </w:p>
          <w:p w:rsidR="00AC0F01" w:rsidRPr="00503830" w:rsidRDefault="00AC0F01" w:rsidP="00AC0F01">
            <w:pPr>
              <w:jc w:val="center"/>
            </w:pPr>
            <w:r>
              <w:t>oblonga</w:t>
            </w:r>
          </w:p>
        </w:tc>
        <w:tc>
          <w:tcPr>
            <w:tcW w:w="1565" w:type="dxa"/>
            <w:gridSpan w:val="2"/>
          </w:tcPr>
          <w:p w:rsidR="00AC0F01" w:rsidRPr="00503830" w:rsidRDefault="008E3CD2" w:rsidP="00AC0F01">
            <w:pPr>
              <w:jc w:val="center"/>
            </w:pPr>
            <w:r>
              <w:rPr>
                <w:noProof/>
                <w:lang w:val="en-US"/>
              </w:rPr>
              <w:drawing>
                <wp:inline distT="0" distB="0" distL="0" distR="0" wp14:anchorId="1E6CA62F" wp14:editId="4930091A">
                  <wp:extent cx="266700" cy="10858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AC0F01" w:rsidRPr="00503830" w:rsidRDefault="00AC0F01" w:rsidP="00AC0F01">
            <w:pPr>
              <w:jc w:val="center"/>
            </w:pPr>
            <w:r>
              <w:t>8</w:t>
            </w:r>
          </w:p>
          <w:p w:rsidR="00AC0F01" w:rsidRPr="00503830" w:rsidRDefault="00AC0F01" w:rsidP="00AC0F01">
            <w:pPr>
              <w:jc w:val="center"/>
            </w:pPr>
            <w:r>
              <w:t>oblanceolada</w:t>
            </w:r>
          </w:p>
        </w:tc>
        <w:tc>
          <w:tcPr>
            <w:tcW w:w="1212" w:type="dxa"/>
          </w:tcPr>
          <w:p w:rsidR="00AC0F01" w:rsidRPr="00503830" w:rsidRDefault="008E3CD2" w:rsidP="00AC0F01">
            <w:pPr>
              <w:jc w:val="center"/>
            </w:pPr>
            <w:r>
              <w:rPr>
                <w:noProof/>
                <w:lang w:val="en-US"/>
              </w:rPr>
              <w:drawing>
                <wp:inline distT="0" distB="0" distL="0" distR="0" wp14:anchorId="52DA14D8" wp14:editId="135E799D">
                  <wp:extent cx="304800" cy="107632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AC0F01" w:rsidRPr="00503830" w:rsidRDefault="00AC0F01" w:rsidP="00AC0F01">
            <w:pPr>
              <w:jc w:val="center"/>
            </w:pPr>
            <w:r>
              <w:t>9</w:t>
            </w:r>
          </w:p>
          <w:p w:rsidR="00AC0F01" w:rsidRPr="00503830" w:rsidRDefault="00AC0F01" w:rsidP="00AC0F01">
            <w:pPr>
              <w:jc w:val="center"/>
            </w:pPr>
            <w:r>
              <w:t>espatulada</w:t>
            </w:r>
          </w:p>
        </w:tc>
        <w:tc>
          <w:tcPr>
            <w:tcW w:w="1389" w:type="dxa"/>
            <w:gridSpan w:val="2"/>
          </w:tcPr>
          <w:p w:rsidR="00AC0F01" w:rsidRPr="00503830" w:rsidRDefault="00AC0F01" w:rsidP="00AC0F01">
            <w:pPr>
              <w:jc w:val="center"/>
            </w:pPr>
          </w:p>
        </w:tc>
      </w:tr>
      <w:tr w:rsidR="00AC0F01" w:rsidRPr="00503830" w:rsidTr="003B54D8">
        <w:trPr>
          <w:cantSplit/>
          <w:jc w:val="center"/>
        </w:trPr>
        <w:tc>
          <w:tcPr>
            <w:tcW w:w="380" w:type="dxa"/>
            <w:vMerge/>
            <w:shd w:val="clear" w:color="auto" w:fill="auto"/>
          </w:tcPr>
          <w:p w:rsidR="00AC0F01" w:rsidRPr="00503830" w:rsidRDefault="00AC0F01" w:rsidP="00AC0F01">
            <w:pPr>
              <w:jc w:val="center"/>
            </w:pPr>
          </w:p>
        </w:tc>
        <w:tc>
          <w:tcPr>
            <w:tcW w:w="567" w:type="dxa"/>
            <w:vMerge/>
            <w:tcBorders>
              <w:right w:val="single" w:sz="4" w:space="0" w:color="auto"/>
            </w:tcBorders>
          </w:tcPr>
          <w:p w:rsidR="00AC0F01" w:rsidRPr="00503830" w:rsidRDefault="00AC0F01" w:rsidP="00AC0F01">
            <w:pPr>
              <w:jc w:val="center"/>
            </w:pPr>
          </w:p>
        </w:tc>
        <w:tc>
          <w:tcPr>
            <w:tcW w:w="236" w:type="dxa"/>
            <w:tcBorders>
              <w:top w:val="nil"/>
              <w:left w:val="nil"/>
              <w:bottom w:val="nil"/>
              <w:right w:val="nil"/>
            </w:tcBorders>
          </w:tcPr>
          <w:p w:rsidR="00AC0F01" w:rsidRPr="00503830" w:rsidRDefault="00AC0F01" w:rsidP="00AC0F01">
            <w:pPr>
              <w:jc w:val="center"/>
            </w:pPr>
          </w:p>
        </w:tc>
        <w:tc>
          <w:tcPr>
            <w:tcW w:w="1420" w:type="dxa"/>
            <w:tcBorders>
              <w:left w:val="single" w:sz="4" w:space="0" w:color="auto"/>
            </w:tcBorders>
          </w:tcPr>
          <w:p w:rsidR="00AC0F01" w:rsidRPr="00503830" w:rsidRDefault="008E3CD2" w:rsidP="00AC0F01">
            <w:pPr>
              <w:jc w:val="center"/>
            </w:pPr>
            <w:r>
              <w:rPr>
                <w:noProof/>
                <w:lang w:val="en-US"/>
              </w:rPr>
              <w:drawing>
                <wp:inline distT="0" distB="0" distL="0" distR="0" wp14:anchorId="2A6C3907" wp14:editId="14D495D7">
                  <wp:extent cx="581025" cy="1047750"/>
                  <wp:effectExtent l="0" t="0" r="952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AC0F01" w:rsidRPr="00503830" w:rsidRDefault="00AC0F01" w:rsidP="00AC0F01">
            <w:pPr>
              <w:jc w:val="center"/>
            </w:pPr>
            <w:r>
              <w:t xml:space="preserve">1 </w:t>
            </w:r>
          </w:p>
          <w:p w:rsidR="00AC0F01" w:rsidRPr="00503830" w:rsidRDefault="00AC0F01" w:rsidP="00AC0F01">
            <w:pPr>
              <w:jc w:val="center"/>
            </w:pPr>
            <w:r>
              <w:t>triangular</w:t>
            </w:r>
          </w:p>
        </w:tc>
        <w:tc>
          <w:tcPr>
            <w:tcW w:w="1389" w:type="dxa"/>
          </w:tcPr>
          <w:p w:rsidR="00AC0F01" w:rsidRPr="00503830" w:rsidRDefault="008E3CD2" w:rsidP="00AC0F01">
            <w:pPr>
              <w:jc w:val="center"/>
            </w:pPr>
            <w:r>
              <w:rPr>
                <w:noProof/>
                <w:lang w:val="en-US"/>
              </w:rPr>
              <w:drawing>
                <wp:inline distT="0" distB="0" distL="0" distR="0" wp14:anchorId="3A8519D8" wp14:editId="1F3D4AEA">
                  <wp:extent cx="504825" cy="108585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AC0F01" w:rsidRPr="00503830" w:rsidRDefault="00AC0F01" w:rsidP="00AC0F01">
            <w:pPr>
              <w:jc w:val="center"/>
            </w:pPr>
            <w:r>
              <w:t>2</w:t>
            </w:r>
          </w:p>
          <w:p w:rsidR="00AC0F01" w:rsidRPr="00503830" w:rsidRDefault="00AC0F01" w:rsidP="00AC0F01">
            <w:pPr>
              <w:jc w:val="center"/>
            </w:pPr>
            <w:r>
              <w:t>oval</w:t>
            </w:r>
          </w:p>
        </w:tc>
        <w:tc>
          <w:tcPr>
            <w:tcW w:w="1389" w:type="dxa"/>
            <w:gridSpan w:val="2"/>
          </w:tcPr>
          <w:p w:rsidR="00AC0F01" w:rsidRPr="00503830" w:rsidRDefault="008E3CD2" w:rsidP="00AC0F01">
            <w:pPr>
              <w:jc w:val="center"/>
            </w:pPr>
            <w:r>
              <w:rPr>
                <w:noProof/>
                <w:lang w:val="en-US"/>
              </w:rPr>
              <w:drawing>
                <wp:inline distT="0" distB="0" distL="0" distR="0" wp14:anchorId="0D6FA583" wp14:editId="0F2D5667">
                  <wp:extent cx="457200" cy="107632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AC0F01" w:rsidRPr="00503830" w:rsidRDefault="00AC0F01" w:rsidP="00AC0F01">
            <w:pPr>
              <w:jc w:val="center"/>
            </w:pPr>
            <w:r>
              <w:t>4</w:t>
            </w:r>
          </w:p>
          <w:p w:rsidR="00AC0F01" w:rsidRPr="00503830" w:rsidRDefault="00AC0F01" w:rsidP="00AC0F01">
            <w:pPr>
              <w:jc w:val="center"/>
            </w:pPr>
            <w:r>
              <w:t>elíptica</w:t>
            </w:r>
          </w:p>
        </w:tc>
        <w:tc>
          <w:tcPr>
            <w:tcW w:w="1565" w:type="dxa"/>
            <w:gridSpan w:val="2"/>
          </w:tcPr>
          <w:p w:rsidR="00AC0F01" w:rsidRPr="00503830" w:rsidRDefault="008E3CD2" w:rsidP="00AC0F01">
            <w:pPr>
              <w:jc w:val="center"/>
            </w:pPr>
            <w:r>
              <w:rPr>
                <w:noProof/>
                <w:lang w:val="en-US"/>
              </w:rPr>
              <w:drawing>
                <wp:inline distT="0" distB="0" distL="0" distR="0" wp14:anchorId="59586FA7" wp14:editId="30C04963">
                  <wp:extent cx="533400" cy="1076325"/>
                  <wp:effectExtent l="0" t="0" r="0"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AC0F01" w:rsidRPr="00503830" w:rsidRDefault="00AC0F01" w:rsidP="00AC0F01">
            <w:pPr>
              <w:jc w:val="center"/>
            </w:pPr>
            <w:r>
              <w:t>7</w:t>
            </w:r>
          </w:p>
          <w:p w:rsidR="00AC0F01" w:rsidRPr="00503830" w:rsidRDefault="00AC0F01" w:rsidP="00AC0F01">
            <w:pPr>
              <w:jc w:val="center"/>
            </w:pPr>
            <w:r>
              <w:t>oboval</w:t>
            </w:r>
          </w:p>
        </w:tc>
        <w:tc>
          <w:tcPr>
            <w:tcW w:w="1212" w:type="dxa"/>
          </w:tcPr>
          <w:p w:rsidR="00AC0F01" w:rsidRPr="00503830" w:rsidRDefault="00AC0F01" w:rsidP="00AC0F01">
            <w:pPr>
              <w:jc w:val="center"/>
            </w:pPr>
          </w:p>
        </w:tc>
        <w:tc>
          <w:tcPr>
            <w:tcW w:w="1389" w:type="dxa"/>
            <w:gridSpan w:val="2"/>
          </w:tcPr>
          <w:p w:rsidR="00AC0F01" w:rsidRPr="00503830" w:rsidRDefault="008E3CD2" w:rsidP="00AC0F01">
            <w:pPr>
              <w:jc w:val="center"/>
            </w:pPr>
            <w:r>
              <w:rPr>
                <w:noProof/>
                <w:lang w:val="en-US"/>
              </w:rPr>
              <w:drawing>
                <wp:inline distT="0" distB="0" distL="0" distR="0" wp14:anchorId="5BCC2E22" wp14:editId="4312C005">
                  <wp:extent cx="523875" cy="1085850"/>
                  <wp:effectExtent l="0" t="0" r="952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AC0F01" w:rsidRPr="00503830" w:rsidRDefault="00AC0F01" w:rsidP="00AC0F01">
            <w:pPr>
              <w:jc w:val="center"/>
            </w:pPr>
            <w:r>
              <w:t>10 obtriangular</w:t>
            </w:r>
          </w:p>
        </w:tc>
      </w:tr>
      <w:tr w:rsidR="00AC0F01" w:rsidRPr="00503830" w:rsidTr="003B54D8">
        <w:trPr>
          <w:cantSplit/>
          <w:trHeight w:val="2035"/>
          <w:jc w:val="center"/>
        </w:trPr>
        <w:tc>
          <w:tcPr>
            <w:tcW w:w="380" w:type="dxa"/>
            <w:vMerge/>
            <w:shd w:val="clear" w:color="auto" w:fill="auto"/>
          </w:tcPr>
          <w:p w:rsidR="00AC0F01" w:rsidRPr="00503830" w:rsidRDefault="00AC0F01" w:rsidP="00AC0F01">
            <w:pPr>
              <w:jc w:val="center"/>
            </w:pPr>
          </w:p>
        </w:tc>
        <w:tc>
          <w:tcPr>
            <w:tcW w:w="567" w:type="dxa"/>
            <w:vMerge/>
            <w:tcBorders>
              <w:right w:val="single" w:sz="4" w:space="0" w:color="auto"/>
            </w:tcBorders>
          </w:tcPr>
          <w:p w:rsidR="00AC0F01" w:rsidRPr="00503830" w:rsidRDefault="00AC0F01" w:rsidP="00AC0F01">
            <w:pPr>
              <w:jc w:val="center"/>
            </w:pPr>
          </w:p>
        </w:tc>
        <w:tc>
          <w:tcPr>
            <w:tcW w:w="236" w:type="dxa"/>
            <w:tcBorders>
              <w:top w:val="nil"/>
              <w:left w:val="nil"/>
              <w:bottom w:val="nil"/>
              <w:right w:val="nil"/>
            </w:tcBorders>
          </w:tcPr>
          <w:p w:rsidR="00AC0F01" w:rsidRPr="00503830" w:rsidRDefault="00AC0F01" w:rsidP="00AC0F01">
            <w:pPr>
              <w:jc w:val="center"/>
            </w:pPr>
          </w:p>
        </w:tc>
        <w:tc>
          <w:tcPr>
            <w:tcW w:w="1420" w:type="dxa"/>
            <w:tcBorders>
              <w:left w:val="single" w:sz="4" w:space="0" w:color="auto"/>
            </w:tcBorders>
          </w:tcPr>
          <w:p w:rsidR="00AC0F01" w:rsidRPr="00503830" w:rsidRDefault="00AC0F01" w:rsidP="00AC0F01">
            <w:pPr>
              <w:jc w:val="center"/>
            </w:pPr>
          </w:p>
        </w:tc>
        <w:tc>
          <w:tcPr>
            <w:tcW w:w="1389" w:type="dxa"/>
          </w:tcPr>
          <w:p w:rsidR="00AC0F01" w:rsidRPr="00503830" w:rsidRDefault="00AC0F01" w:rsidP="00AC0F01">
            <w:pPr>
              <w:jc w:val="center"/>
            </w:pPr>
          </w:p>
        </w:tc>
        <w:tc>
          <w:tcPr>
            <w:tcW w:w="1389" w:type="dxa"/>
            <w:gridSpan w:val="2"/>
          </w:tcPr>
          <w:p w:rsidR="00AC0F01" w:rsidRPr="00503830" w:rsidRDefault="008E3CD2" w:rsidP="00AC0F01">
            <w:pPr>
              <w:jc w:val="center"/>
            </w:pPr>
            <w:r>
              <w:rPr>
                <w:noProof/>
                <w:lang w:val="en-US"/>
              </w:rPr>
              <w:drawing>
                <wp:inline distT="0" distB="0" distL="0" distR="0" wp14:anchorId="415D4859" wp14:editId="32AD5194">
                  <wp:extent cx="600075" cy="857250"/>
                  <wp:effectExtent l="0" t="0" r="952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AC0F01" w:rsidRPr="00503830" w:rsidRDefault="00AC0F01" w:rsidP="00AC0F01">
            <w:pPr>
              <w:jc w:val="center"/>
            </w:pPr>
            <w:r>
              <w:t>3</w:t>
            </w:r>
          </w:p>
          <w:p w:rsidR="00AC0F01" w:rsidRPr="00503830" w:rsidRDefault="00AC0F01" w:rsidP="00AC0F01">
            <w:pPr>
              <w:jc w:val="center"/>
            </w:pPr>
            <w:r>
              <w:t>circular</w:t>
            </w:r>
          </w:p>
        </w:tc>
        <w:tc>
          <w:tcPr>
            <w:tcW w:w="1565" w:type="dxa"/>
            <w:gridSpan w:val="2"/>
          </w:tcPr>
          <w:p w:rsidR="00AC0F01" w:rsidRPr="00503830" w:rsidRDefault="00AC0F01" w:rsidP="00AC0F01">
            <w:pPr>
              <w:jc w:val="center"/>
            </w:pPr>
          </w:p>
        </w:tc>
        <w:tc>
          <w:tcPr>
            <w:tcW w:w="1212" w:type="dxa"/>
          </w:tcPr>
          <w:p w:rsidR="00AC0F01" w:rsidRPr="00503830" w:rsidRDefault="00AC0F01" w:rsidP="00AC0F01">
            <w:pPr>
              <w:jc w:val="center"/>
            </w:pPr>
          </w:p>
        </w:tc>
        <w:tc>
          <w:tcPr>
            <w:tcW w:w="1389" w:type="dxa"/>
            <w:gridSpan w:val="2"/>
          </w:tcPr>
          <w:p w:rsidR="00AC0F01" w:rsidRPr="00503830" w:rsidRDefault="00AC0F01" w:rsidP="00AC0F01">
            <w:pPr>
              <w:jc w:val="center"/>
            </w:pPr>
          </w:p>
        </w:tc>
      </w:tr>
    </w:tbl>
    <w:p w:rsidR="00AC0F01" w:rsidRPr="00503830" w:rsidRDefault="00AC0F01" w:rsidP="00AC0F01"/>
    <w:p w:rsidR="00AC0F01" w:rsidRPr="00503830" w:rsidRDefault="002A3A67" w:rsidP="00AC0F01">
      <w:pPr>
        <w:keepLines/>
        <w:tabs>
          <w:tab w:val="left" w:pos="5387"/>
        </w:tabs>
        <w:ind w:left="4820"/>
        <w:rPr>
          <w:i/>
        </w:rPr>
      </w:pPr>
      <w:r w:rsidRPr="00503830">
        <w:rPr>
          <w:i/>
        </w:rPr>
        <w:fldChar w:fldCharType="begin"/>
      </w:r>
      <w:r w:rsidR="00AC0F01" w:rsidRPr="00503830">
        <w:rPr>
          <w:i/>
        </w:rPr>
        <w:instrText xml:space="preserve"> AUTONUM  </w:instrText>
      </w:r>
      <w:r w:rsidRPr="00503830">
        <w:rPr>
          <w:i/>
        </w:rPr>
        <w:fldChar w:fldCharType="end"/>
      </w:r>
      <w:r w:rsidR="00AC0F01">
        <w:tab/>
      </w:r>
      <w:r w:rsidR="00AC0F01">
        <w:rPr>
          <w:i/>
        </w:rPr>
        <w:t>Se invita al TC a considerar si procede revisar el documento TGP/14</w:t>
      </w:r>
      <w:proofErr w:type="gramStart"/>
      <w:r w:rsidR="00AC0F01">
        <w:rPr>
          <w:i/>
        </w:rPr>
        <w:t>:</w:t>
      </w:r>
      <w:r w:rsidR="00AC0F01">
        <w:t xml:space="preserve"> </w:t>
      </w:r>
      <w:r w:rsidR="00AC0F01">
        <w:rPr>
          <w:i/>
        </w:rPr>
        <w:t xml:space="preserve"> </w:t>
      </w:r>
      <w:r w:rsidR="003B54D8">
        <w:rPr>
          <w:i/>
        </w:rPr>
        <w:t>s</w:t>
      </w:r>
      <w:r w:rsidR="00AC0F01">
        <w:rPr>
          <w:i/>
        </w:rPr>
        <w:t>ección</w:t>
      </w:r>
      <w:proofErr w:type="gramEnd"/>
      <w:r w:rsidR="00AC0F01">
        <w:rPr>
          <w:i/>
        </w:rPr>
        <w:t xml:space="preserve"> 2:  </w:t>
      </w:r>
      <w:r w:rsidR="003B54D8">
        <w:rPr>
          <w:i/>
        </w:rPr>
        <w:t>s</w:t>
      </w:r>
      <w:r w:rsidR="00AC0F01">
        <w:rPr>
          <w:i/>
        </w:rPr>
        <w:t>ubsección 2:  Formas y estructuras para modificar el “cuadro de la posición de la parte más ancha y la relación longitud/anchura” presentado en la variante 2 y eliminar el texto “relación” e indicar “anchura” en una columna diferente de la escala de ancha a estrecha</w:t>
      </w:r>
      <w:r w:rsidR="00AC0F01">
        <w:rPr>
          <w:i/>
          <w:snapToGrid w:val="0"/>
        </w:rPr>
        <w:t>.</w:t>
      </w:r>
      <w:r w:rsidR="00AC0F01">
        <w:rPr>
          <w:i/>
        </w:rPr>
        <w:t xml:space="preserve"> </w:t>
      </w:r>
    </w:p>
    <w:p w:rsidR="00AC0F01" w:rsidRPr="00503830" w:rsidRDefault="00AC0F01" w:rsidP="00AC0F01"/>
    <w:p w:rsidR="00AC0F01" w:rsidRPr="007437F0" w:rsidRDefault="00AC0F01" w:rsidP="00AC0F01">
      <w:pPr>
        <w:pStyle w:val="Heading3"/>
        <w:rPr>
          <w:lang w:val="es-ES"/>
        </w:rPr>
      </w:pPr>
      <w:bookmarkStart w:id="42" w:name="_Toc476323027"/>
      <w:r w:rsidRPr="007437F0">
        <w:rPr>
          <w:lang w:val="es-ES"/>
        </w:rPr>
        <w:t>xi)</w:t>
      </w:r>
      <w:r w:rsidRPr="007437F0">
        <w:rPr>
          <w:lang w:val="es-ES"/>
        </w:rPr>
        <w:tab/>
        <w:t>Revisión de los grupos de color UPOV</w:t>
      </w:r>
      <w:bookmarkEnd w:id="42"/>
    </w:p>
    <w:p w:rsidR="00AC0F01" w:rsidRPr="00503830" w:rsidRDefault="00AC0F01" w:rsidP="00AC0F01">
      <w:pPr>
        <w:keepNext/>
      </w:pPr>
    </w:p>
    <w:p w:rsidR="00AC0F01" w:rsidRPr="00503830" w:rsidRDefault="002A3A67" w:rsidP="00AC0F01">
      <w:r w:rsidRPr="00503830">
        <w:rPr>
          <w:snapToGrid w:val="0"/>
        </w:rPr>
        <w:fldChar w:fldCharType="begin"/>
      </w:r>
      <w:r w:rsidR="00AC0F01" w:rsidRPr="00503830">
        <w:rPr>
          <w:snapToGrid w:val="0"/>
        </w:rPr>
        <w:instrText xml:space="preserve"> AUTONUM  </w:instrText>
      </w:r>
      <w:r w:rsidRPr="00503830">
        <w:rPr>
          <w:snapToGrid w:val="0"/>
        </w:rPr>
        <w:fldChar w:fldCharType="end"/>
      </w:r>
      <w:r w:rsidR="00AC0F01">
        <w:rPr>
          <w:snapToGrid w:val="0"/>
        </w:rPr>
        <w:tab/>
        <w:t>El TWO</w:t>
      </w:r>
      <w:r w:rsidR="00AC0F01">
        <w:t xml:space="preserve"> examinó el documento TWO/49/20 “</w:t>
      </w:r>
      <w:r w:rsidR="00AC0F01">
        <w:rPr>
          <w:i/>
        </w:rPr>
        <w:t>Definition of color groups from RHS Colour Charts</w:t>
      </w:r>
      <w:r w:rsidR="00AC0F01">
        <w:t>” (Definición de grupos de color en referencia a la carta de colores RHS) (véanse los párrafos 57 a 62 del documento TWO/49/25 “</w:t>
      </w:r>
      <w:r w:rsidR="00AC0F01">
        <w:rPr>
          <w:i/>
        </w:rPr>
        <w:t>Report</w:t>
      </w:r>
      <w:proofErr w:type="gramStart"/>
      <w:r w:rsidR="00AC0F01">
        <w:t>”(</w:t>
      </w:r>
      <w:proofErr w:type="gramEnd"/>
      <w:r w:rsidR="00AC0F01">
        <w:t>Informe)).</w:t>
      </w:r>
    </w:p>
    <w:p w:rsidR="00AC0F01" w:rsidRPr="00503830" w:rsidRDefault="00AC0F01" w:rsidP="00AC0F01"/>
    <w:p w:rsidR="00AC0F01" w:rsidRPr="00503830" w:rsidRDefault="002A3A67" w:rsidP="00AC0F01">
      <w:pPr>
        <w:keepNext/>
        <w:keepLines/>
      </w:pPr>
      <w:r w:rsidRPr="00503830">
        <w:fldChar w:fldCharType="begin"/>
      </w:r>
      <w:r w:rsidR="00AC0F01" w:rsidRPr="00503830">
        <w:instrText xml:space="preserve"> AUTONUM  </w:instrText>
      </w:r>
      <w:r w:rsidRPr="00503830">
        <w:fldChar w:fldCharType="end"/>
      </w:r>
      <w:r w:rsidR="00AC0F01">
        <w:tab/>
        <w:t>El TWO examinó los nombres de los colores empleados en la sexta edición de la carta de colores</w:t>
      </w:r>
      <w:r w:rsidR="005B3160">
        <w:t> </w:t>
      </w:r>
      <w:r w:rsidR="00AC0F01">
        <w:t>RHS no siempre expresan la similitud de colores entre diferentes manchas.  El TWO tomó nota de que colores similares de la carta de colores RHS estaban comprendidos en el mismo grupo de color UPOV y convino en que el sistema actual de la UPOV era más adecuado a los efectos de la descripción de variedades.</w:t>
      </w:r>
    </w:p>
    <w:p w:rsidR="00AC0F01" w:rsidRPr="00503830" w:rsidRDefault="00AC0F01" w:rsidP="00AC0F01"/>
    <w:p w:rsidR="00AC0F01" w:rsidRPr="00503830" w:rsidRDefault="002A3A67" w:rsidP="00AC0F01">
      <w:r w:rsidRPr="00503830">
        <w:lastRenderedPageBreak/>
        <w:fldChar w:fldCharType="begin"/>
      </w:r>
      <w:r w:rsidR="00AC0F01" w:rsidRPr="00503830">
        <w:instrText xml:space="preserve"> AUTONUM  </w:instrText>
      </w:r>
      <w:r w:rsidRPr="00503830">
        <w:fldChar w:fldCharType="end"/>
      </w:r>
      <w:r w:rsidR="00AC0F01">
        <w:tab/>
        <w:t>El TWO examinó los términos utilizados en los nombre</w:t>
      </w:r>
      <w:r w:rsidR="005B3160">
        <w:t>s</w:t>
      </w:r>
      <w:r w:rsidR="00AC0F01">
        <w:t xml:space="preserve"> de los colores de la sexta edición de la carta de colores RHS y convino en que no eran adecuados para emplearlos en el examen DHE y para elaborar descripciones de variedades (p. ej. “</w:t>
      </w:r>
      <w:r w:rsidR="00AC0F01">
        <w:rPr>
          <w:i/>
        </w:rPr>
        <w:t>pale</w:t>
      </w:r>
      <w:r w:rsidR="00AC0F01">
        <w:t>” (pálido), “</w:t>
      </w:r>
      <w:r w:rsidR="00AC0F01">
        <w:rPr>
          <w:i/>
        </w:rPr>
        <w:t>moderate</w:t>
      </w:r>
      <w:r w:rsidR="00AC0F01">
        <w:t>” (moderado), “</w:t>
      </w:r>
      <w:r w:rsidR="00AC0F01">
        <w:rPr>
          <w:i/>
        </w:rPr>
        <w:t>vivid</w:t>
      </w:r>
      <w:r w:rsidR="00AC0F01">
        <w:t>” (vivo), “</w:t>
      </w:r>
      <w:r w:rsidR="00AC0F01">
        <w:rPr>
          <w:i/>
        </w:rPr>
        <w:t>brilliant</w:t>
      </w:r>
      <w:r w:rsidR="00AC0F01">
        <w:t>” (brillante), “</w:t>
      </w:r>
      <w:r w:rsidR="00AC0F01">
        <w:rPr>
          <w:i/>
        </w:rPr>
        <w:t>deep</w:t>
      </w:r>
      <w:r w:rsidR="00AC0F01">
        <w:t>” (oscuro) y “</w:t>
      </w:r>
      <w:r w:rsidR="00AC0F01">
        <w:rPr>
          <w:i/>
        </w:rPr>
        <w:t>strong</w:t>
      </w:r>
      <w:r w:rsidR="00AC0F01">
        <w:t>” (intenso)).</w:t>
      </w:r>
    </w:p>
    <w:p w:rsidR="00AC0F01" w:rsidRPr="00503830" w:rsidRDefault="00AC0F01" w:rsidP="00AC0F01"/>
    <w:p w:rsidR="00AC0F01" w:rsidRPr="00503830" w:rsidRDefault="002A3A67" w:rsidP="00AC0F01">
      <w:r w:rsidRPr="00503830">
        <w:fldChar w:fldCharType="begin"/>
      </w:r>
      <w:r w:rsidR="00AC0F01" w:rsidRPr="00503830">
        <w:instrText xml:space="preserve"> AUTONUM  </w:instrText>
      </w:r>
      <w:r w:rsidRPr="00503830">
        <w:fldChar w:fldCharType="end"/>
      </w:r>
      <w:r w:rsidR="00AC0F01">
        <w:tab/>
        <w:t>El TWO tomó nota de que algunas cartas de la edición de 1986 y de las versiones posteriores de la carta de colores RHS tenían colores diferentes a las mismas cartas de la sexta edición y convino en emplear la sexta edición como base para crear una nueva lista revisada que reemplace los grupos de color UPOV que figuran actualmente en el documento TGP/14 “Glosario de términos utilizados en los documentos de la</w:t>
      </w:r>
      <w:r w:rsidR="005B3160">
        <w:t> </w:t>
      </w:r>
      <w:r w:rsidR="00AC0F01">
        <w:t xml:space="preserve">UPOV”. </w:t>
      </w:r>
    </w:p>
    <w:p w:rsidR="00AC0F01" w:rsidRPr="00503830" w:rsidRDefault="00AC0F01" w:rsidP="00AC0F01"/>
    <w:p w:rsidR="00AC0F01" w:rsidRPr="00503830" w:rsidRDefault="002A3A67" w:rsidP="00AC0F01">
      <w:r w:rsidRPr="00503830">
        <w:fldChar w:fldCharType="begin"/>
      </w:r>
      <w:r w:rsidR="00AC0F01" w:rsidRPr="00503830">
        <w:instrText xml:space="preserve"> AUTONUM  </w:instrText>
      </w:r>
      <w:r w:rsidRPr="00503830">
        <w:fldChar w:fldCharType="end"/>
      </w:r>
      <w:r w:rsidR="00AC0F01">
        <w:tab/>
        <w:t xml:space="preserve">El TWO consideró la posibilidad de </w:t>
      </w:r>
      <w:r w:rsidR="005B3160">
        <w:t>que</w:t>
      </w:r>
      <w:r w:rsidR="00AC0F01">
        <w:t xml:space="preserve"> los grupos de color UPOV establecidos para las cartas de colores RHS </w:t>
      </w:r>
      <w:r w:rsidR="005B3160">
        <w:t xml:space="preserve">se utilizaran </w:t>
      </w:r>
      <w:r w:rsidR="00AC0F01">
        <w:t xml:space="preserve">a efectos del agrupamiento de variedades y la organización del ensayo en cultivo y convino en que la diferencia entre los grupos de color UPOV era inferior a la que sería conveniente para excluir variedades de la comparación en un ensayo de cultivo.  El TWO convino en que los grupos de color creados para agrupar variedades y organizar un ensayo debían tener una diferencia clara y amplia entre colores. </w:t>
      </w:r>
    </w:p>
    <w:p w:rsidR="00AC0F01" w:rsidRPr="00503830" w:rsidRDefault="00AC0F01" w:rsidP="00AC0F01"/>
    <w:p w:rsidR="00AC0F01" w:rsidRPr="00503830" w:rsidRDefault="002A3A67" w:rsidP="00AC0F01">
      <w:r w:rsidRPr="00503830">
        <w:fldChar w:fldCharType="begin"/>
      </w:r>
      <w:r w:rsidR="00AC0F01" w:rsidRPr="00503830">
        <w:instrText xml:space="preserve"> AUTONUM  </w:instrText>
      </w:r>
      <w:r w:rsidRPr="00503830">
        <w:fldChar w:fldCharType="end"/>
      </w:r>
      <w:r w:rsidR="00AC0F01">
        <w:tab/>
        <w:t>El TWO convino en solicitar al experto de Alemania que, con el apoyo de los expertos de Australia, el Canadá, Nueva Zelandia, los Países Bajos, el Reino Unido y la Unión Europea, elabore un proyecto de orientación sobre los factores que se han de tener en cuenta al crear grupos de color a efectos de agrupar variedades y organizar el ensayo de cultivo (p. ej. reconocer el grado de variación entre especies y la diferencia necesaria entre colores para que las variedades se consideren diferentes).</w:t>
      </w:r>
    </w:p>
    <w:p w:rsidR="00AC0F01" w:rsidRPr="00503830" w:rsidRDefault="00AC0F01" w:rsidP="00AC0F01"/>
    <w:p w:rsidR="00AC0F01" w:rsidRPr="00503830" w:rsidRDefault="002A3A67" w:rsidP="00AC0F01">
      <w:pPr>
        <w:keepLines/>
        <w:tabs>
          <w:tab w:val="left" w:pos="5387"/>
        </w:tabs>
        <w:ind w:left="4820"/>
        <w:rPr>
          <w:i/>
        </w:rPr>
      </w:pPr>
      <w:r w:rsidRPr="00503830">
        <w:rPr>
          <w:i/>
        </w:rPr>
        <w:fldChar w:fldCharType="begin"/>
      </w:r>
      <w:r w:rsidR="00AC0F01" w:rsidRPr="00503830">
        <w:rPr>
          <w:i/>
        </w:rPr>
        <w:instrText xml:space="preserve"> AUTONUM  </w:instrText>
      </w:r>
      <w:r w:rsidRPr="00503830">
        <w:rPr>
          <w:i/>
        </w:rPr>
        <w:fldChar w:fldCharType="end"/>
      </w:r>
      <w:r w:rsidR="00AC0F01">
        <w:rPr>
          <w:i/>
        </w:rPr>
        <w:tab/>
        <w:t>Se invita al TC</w:t>
      </w:r>
      <w:r w:rsidR="00CF2958">
        <w:rPr>
          <w:i/>
        </w:rPr>
        <w:t xml:space="preserve"> a</w:t>
      </w:r>
      <w:r w:rsidR="0025153C">
        <w:rPr>
          <w:i/>
        </w:rPr>
        <w:t xml:space="preserve"> considerar</w:t>
      </w:r>
      <w:r w:rsidR="00AC0F01">
        <w:t>:</w:t>
      </w:r>
    </w:p>
    <w:p w:rsidR="00AC0F01" w:rsidRPr="00503830" w:rsidRDefault="00AC0F01" w:rsidP="00AC0F01">
      <w:pPr>
        <w:keepLines/>
        <w:tabs>
          <w:tab w:val="left" w:pos="5387"/>
        </w:tabs>
        <w:ind w:left="4820"/>
        <w:rPr>
          <w:i/>
        </w:rPr>
      </w:pPr>
    </w:p>
    <w:p w:rsidR="00AC0F01" w:rsidRPr="00503830" w:rsidRDefault="00AC0F01" w:rsidP="00AC0F01">
      <w:pPr>
        <w:keepLines/>
        <w:tabs>
          <w:tab w:val="left" w:pos="5387"/>
          <w:tab w:val="left" w:pos="5954"/>
        </w:tabs>
        <w:ind w:left="4820"/>
        <w:rPr>
          <w:i/>
          <w:snapToGrid w:val="0"/>
        </w:rPr>
      </w:pPr>
      <w:r>
        <w:rPr>
          <w:i/>
        </w:rPr>
        <w:tab/>
        <w:t>a)</w:t>
      </w:r>
      <w:r>
        <w:rPr>
          <w:i/>
        </w:rPr>
        <w:tab/>
        <w:t>si procede revisar el documento TGP/14 “Glosario de términos utilizados en los documentos de la UPOV” para reemplazar la actual lista de grupos de color UPOV por una nueva lista creada a partir de la sexta edición de la carta de colores RHS</w:t>
      </w:r>
      <w:r>
        <w:rPr>
          <w:i/>
          <w:snapToGrid w:val="0"/>
        </w:rPr>
        <w:t>;  y</w:t>
      </w:r>
    </w:p>
    <w:p w:rsidR="00AC0F01" w:rsidRPr="00503830" w:rsidRDefault="00AC0F01" w:rsidP="00AC0F01">
      <w:pPr>
        <w:keepLines/>
        <w:tabs>
          <w:tab w:val="left" w:pos="5387"/>
          <w:tab w:val="left" w:pos="5954"/>
        </w:tabs>
        <w:ind w:left="4820"/>
        <w:rPr>
          <w:i/>
          <w:snapToGrid w:val="0"/>
        </w:rPr>
      </w:pPr>
    </w:p>
    <w:p w:rsidR="00AC0F01" w:rsidRPr="00503830" w:rsidRDefault="00AC0F01" w:rsidP="00AC0F01">
      <w:pPr>
        <w:keepLines/>
        <w:tabs>
          <w:tab w:val="left" w:pos="5387"/>
          <w:tab w:val="left" w:pos="5954"/>
        </w:tabs>
        <w:ind w:left="4820"/>
        <w:rPr>
          <w:i/>
        </w:rPr>
      </w:pPr>
      <w:r>
        <w:rPr>
          <w:i/>
          <w:snapToGrid w:val="0"/>
        </w:rPr>
        <w:tab/>
        <w:t>b)</w:t>
      </w:r>
      <w:r>
        <w:rPr>
          <w:i/>
          <w:snapToGrid w:val="0"/>
        </w:rPr>
        <w:tab/>
        <w:t>la solicitud del TWO de que el experto de Alemania, con el apoyo de los expertos de Australia, el Canadá, Nueva Zelandia, los Países Bajos, el Reino Unido y la Unión Europea, elabore un proyecto de orientación sobre los factores que se han de tener en cuenta al crear grupos de color a efectos de agrupar variedades y organizar el ensayo de cultivo.</w:t>
      </w:r>
    </w:p>
    <w:p w:rsidR="00AC0F01" w:rsidRPr="00503830" w:rsidRDefault="00AC0F01" w:rsidP="00AC0F01"/>
    <w:p w:rsidR="00300785" w:rsidRPr="00AC0F01" w:rsidRDefault="00300785" w:rsidP="00F17E6A"/>
    <w:p w:rsidR="00300785" w:rsidRPr="0016789C" w:rsidRDefault="00300785" w:rsidP="00F17E6A">
      <w:pPr>
        <w:pStyle w:val="Heading1"/>
        <w:keepNext w:val="0"/>
      </w:pPr>
      <w:bookmarkStart w:id="43" w:name="_Toc476323028"/>
      <w:r w:rsidRPr="0016789C">
        <w:t>PROGRAMA PARA LA ELABORACIÓN DE LOS DOCUMENTOS TGP</w:t>
      </w:r>
      <w:bookmarkEnd w:id="43"/>
    </w:p>
    <w:p w:rsidR="00300785" w:rsidRPr="0016789C" w:rsidRDefault="00300785" w:rsidP="00F17E6A">
      <w:pPr>
        <w:rPr>
          <w:color w:val="000000"/>
          <w:lang w:val="es-ES" w:eastAsia="ja-JP"/>
        </w:rPr>
      </w:pPr>
    </w:p>
    <w:p w:rsidR="00300785" w:rsidRPr="0016789C" w:rsidRDefault="002A3A67" w:rsidP="00F17E6A">
      <w:pPr>
        <w:rPr>
          <w:color w:val="000000"/>
          <w:lang w:val="es-ES" w:eastAsia="ja-JP"/>
        </w:rPr>
      </w:pPr>
      <w:r w:rsidRPr="0016789C">
        <w:rPr>
          <w:lang w:val="es-ES"/>
        </w:rPr>
        <w:fldChar w:fldCharType="begin"/>
      </w:r>
      <w:r w:rsidR="00300785" w:rsidRPr="0016789C">
        <w:rPr>
          <w:lang w:val="es-ES"/>
        </w:rPr>
        <w:instrText xml:space="preserve"> AUTONUM  </w:instrText>
      </w:r>
      <w:r w:rsidRPr="0016789C">
        <w:rPr>
          <w:lang w:val="es-ES"/>
        </w:rPr>
        <w:fldChar w:fldCharType="end"/>
      </w:r>
      <w:r w:rsidR="00300785" w:rsidRPr="0016789C">
        <w:rPr>
          <w:lang w:val="es-ES"/>
        </w:rPr>
        <w:tab/>
        <w:t>En el Anexo del presente documento se expone el programa para la elaboración de los documentos TGP aprobado por el TC en su quincuagésima segunda sesión y por el CAJ en su septuagésima tercera sesión (véanse los párrafos 124 y 125 del documento TC/52/29 Rev. “Informe revisado” y el párrafo 53 del documento CAJ/73/10 “Informe sobre las conclusiones”, respectivamente).</w:t>
      </w:r>
    </w:p>
    <w:p w:rsidR="00300785" w:rsidRPr="0016789C" w:rsidRDefault="00300785" w:rsidP="00F17E6A">
      <w:pPr>
        <w:rPr>
          <w:snapToGrid w:val="0"/>
          <w:lang w:val="es-ES"/>
        </w:rPr>
      </w:pPr>
    </w:p>
    <w:p w:rsidR="00300785" w:rsidRPr="0016789C" w:rsidRDefault="002A3A67" w:rsidP="00F17E6A">
      <w:pPr>
        <w:rPr>
          <w:snapToGrid w:val="0"/>
          <w:lang w:val="es-ES"/>
        </w:rPr>
      </w:pPr>
      <w:r w:rsidRPr="0016789C">
        <w:rPr>
          <w:snapToGrid w:val="0"/>
          <w:lang w:val="es-ES"/>
        </w:rPr>
        <w:fldChar w:fldCharType="begin"/>
      </w:r>
      <w:r w:rsidR="00300785" w:rsidRPr="0016789C">
        <w:rPr>
          <w:snapToGrid w:val="0"/>
          <w:lang w:val="es-ES"/>
        </w:rPr>
        <w:instrText xml:space="preserve"> AUTONUM  </w:instrText>
      </w:r>
      <w:r w:rsidRPr="0016789C">
        <w:rPr>
          <w:snapToGrid w:val="0"/>
          <w:lang w:val="es-ES"/>
        </w:rPr>
        <w:fldChar w:fldCharType="end"/>
      </w:r>
      <w:r w:rsidR="00300785" w:rsidRPr="0016789C">
        <w:rPr>
          <w:snapToGrid w:val="0"/>
          <w:lang w:val="es-ES"/>
        </w:rPr>
        <w:tab/>
        <w:t>Según el programa para la elaboración de los documentos TGP, el TC no tiene previsto someter ningún asunto a la aprobación del Consejo en 2017.</w:t>
      </w:r>
    </w:p>
    <w:p w:rsidR="00300785" w:rsidRPr="0016789C" w:rsidRDefault="00300785" w:rsidP="00F17E6A">
      <w:pPr>
        <w:rPr>
          <w:snapToGrid w:val="0"/>
          <w:lang w:val="es-ES"/>
        </w:rPr>
      </w:pPr>
    </w:p>
    <w:p w:rsidR="00BB754B" w:rsidRDefault="002A3A67">
      <w:pPr>
        <w:tabs>
          <w:tab w:val="left" w:pos="5387"/>
          <w:tab w:val="left" w:pos="5954"/>
        </w:tabs>
        <w:ind w:left="4820"/>
        <w:rPr>
          <w:i/>
          <w:iCs/>
          <w:lang w:val="es-ES"/>
        </w:rPr>
      </w:pPr>
      <w:r w:rsidRPr="0016789C">
        <w:rPr>
          <w:i/>
          <w:iCs/>
          <w:lang w:val="es-ES"/>
        </w:rPr>
        <w:fldChar w:fldCharType="begin"/>
      </w:r>
      <w:r w:rsidR="00300785" w:rsidRPr="0016789C">
        <w:rPr>
          <w:i/>
          <w:iCs/>
          <w:lang w:val="es-ES"/>
        </w:rPr>
        <w:instrText xml:space="preserve"> AUTONUM  </w:instrText>
      </w:r>
      <w:r w:rsidRPr="0016789C">
        <w:rPr>
          <w:i/>
          <w:iCs/>
          <w:lang w:val="es-ES"/>
        </w:rPr>
        <w:fldChar w:fldCharType="end"/>
      </w:r>
      <w:r w:rsidR="0025153C">
        <w:rPr>
          <w:i/>
          <w:iCs/>
          <w:lang w:val="es-ES"/>
        </w:rPr>
        <w:tab/>
        <w:t xml:space="preserve">Se invita al TC a </w:t>
      </w:r>
      <w:r w:rsidR="00300785" w:rsidRPr="0016789C">
        <w:rPr>
          <w:i/>
          <w:iCs/>
          <w:lang w:val="es-ES"/>
        </w:rPr>
        <w:t>examinar el programa para la elaboración de los documentos TGP, según consta en el Anexo del presente documento.</w:t>
      </w:r>
    </w:p>
    <w:p w:rsidR="00300785" w:rsidRPr="0016789C" w:rsidRDefault="00300785" w:rsidP="00F17E6A">
      <w:pPr>
        <w:tabs>
          <w:tab w:val="left" w:pos="5387"/>
          <w:tab w:val="left" w:pos="5954"/>
        </w:tabs>
        <w:ind w:left="4820"/>
        <w:rPr>
          <w:i/>
          <w:iCs/>
          <w:lang w:val="es-ES"/>
        </w:rPr>
      </w:pPr>
    </w:p>
    <w:p w:rsidR="00300785" w:rsidRPr="0016789C" w:rsidRDefault="00300785" w:rsidP="00F17E6A">
      <w:pPr>
        <w:tabs>
          <w:tab w:val="left" w:pos="5387"/>
          <w:tab w:val="left" w:pos="5954"/>
        </w:tabs>
        <w:ind w:left="4820"/>
        <w:rPr>
          <w:i/>
          <w:iCs/>
          <w:lang w:val="es-ES"/>
        </w:rPr>
      </w:pPr>
    </w:p>
    <w:p w:rsidR="00300785" w:rsidRPr="0016789C" w:rsidRDefault="00300785" w:rsidP="00F17E6A">
      <w:pPr>
        <w:tabs>
          <w:tab w:val="left" w:pos="5387"/>
          <w:tab w:val="left" w:pos="5954"/>
        </w:tabs>
        <w:ind w:left="4820"/>
        <w:rPr>
          <w:i/>
          <w:iCs/>
          <w:lang w:val="es-ES"/>
        </w:rPr>
      </w:pPr>
    </w:p>
    <w:p w:rsidR="00300785" w:rsidRPr="0016789C" w:rsidRDefault="00300785" w:rsidP="00F17E6A">
      <w:pPr>
        <w:ind w:left="5529"/>
        <w:jc w:val="right"/>
        <w:rPr>
          <w:snapToGrid w:val="0"/>
          <w:lang w:val="es-ES"/>
        </w:rPr>
      </w:pPr>
      <w:r w:rsidRPr="0016789C">
        <w:rPr>
          <w:snapToGrid w:val="0"/>
          <w:lang w:val="es-ES"/>
        </w:rPr>
        <w:t>[Sigue el Anexo]</w:t>
      </w:r>
    </w:p>
    <w:p w:rsidR="00300785" w:rsidRPr="0016789C" w:rsidRDefault="00300785" w:rsidP="00F17E6A">
      <w:pPr>
        <w:rPr>
          <w:snapToGrid w:val="0"/>
          <w:lang w:val="es-ES"/>
        </w:rPr>
      </w:pPr>
    </w:p>
    <w:p w:rsidR="00300785" w:rsidRPr="0016789C" w:rsidRDefault="00300785" w:rsidP="00F17E6A">
      <w:pPr>
        <w:rPr>
          <w:lang w:val="es-ES"/>
        </w:rPr>
        <w:sectPr w:rsidR="00300785" w:rsidRPr="0016789C" w:rsidSect="00906DDC">
          <w:headerReference w:type="default" r:id="rId21"/>
          <w:pgSz w:w="11907" w:h="16840" w:code="9"/>
          <w:pgMar w:top="510" w:right="1134" w:bottom="1134" w:left="1134" w:header="510" w:footer="680" w:gutter="0"/>
          <w:cols w:space="720"/>
          <w:titlePg/>
        </w:sectPr>
      </w:pPr>
    </w:p>
    <w:p w:rsidR="00300785" w:rsidRPr="0016789C" w:rsidRDefault="008844FD" w:rsidP="00F17E6A">
      <w:pPr>
        <w:rPr>
          <w:noProof/>
          <w:lang w:val="es-ES" w:eastAsia="es-ES_tradnl"/>
        </w:rPr>
      </w:pPr>
      <w:bookmarkStart w:id="44" w:name="_GoBack"/>
      <w:r w:rsidRPr="0016789C">
        <w:rPr>
          <w:noProof/>
          <w:lang w:val="en-US"/>
        </w:rPr>
        <w:lastRenderedPageBreak/>
        <w:drawing>
          <wp:inline distT="0" distB="0" distL="0" distR="0">
            <wp:extent cx="9667875" cy="489585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667875" cy="4895850"/>
                    </a:xfrm>
                    <a:prstGeom prst="rect">
                      <a:avLst/>
                    </a:prstGeom>
                    <a:noFill/>
                    <a:ln w="6350" cmpd="sng">
                      <a:solidFill>
                        <a:srgbClr val="000000"/>
                      </a:solidFill>
                      <a:miter lim="800000"/>
                      <a:headEnd/>
                      <a:tailEnd/>
                    </a:ln>
                    <a:effectLst/>
                  </pic:spPr>
                </pic:pic>
              </a:graphicData>
            </a:graphic>
          </wp:inline>
        </w:drawing>
      </w:r>
      <w:bookmarkEnd w:id="44"/>
    </w:p>
    <w:p w:rsidR="00300785" w:rsidRPr="0016789C" w:rsidRDefault="00300785" w:rsidP="00F17E6A">
      <w:pPr>
        <w:rPr>
          <w:lang w:val="es-ES"/>
        </w:rPr>
      </w:pPr>
    </w:p>
    <w:p w:rsidR="00300785" w:rsidRPr="0016789C" w:rsidRDefault="00300785" w:rsidP="00F17E6A">
      <w:pPr>
        <w:rPr>
          <w:lang w:val="es-ES"/>
        </w:rPr>
      </w:pPr>
    </w:p>
    <w:p w:rsidR="00300785" w:rsidRPr="0016789C" w:rsidRDefault="00300785" w:rsidP="00DF30C8">
      <w:pPr>
        <w:jc w:val="right"/>
        <w:rPr>
          <w:lang w:val="es-ES"/>
        </w:rPr>
      </w:pPr>
      <w:r w:rsidRPr="0016789C">
        <w:rPr>
          <w:lang w:val="es-ES"/>
        </w:rPr>
        <w:t>[Fin del Anexo y del documento]</w:t>
      </w:r>
    </w:p>
    <w:sectPr w:rsidR="00300785" w:rsidRPr="0016789C" w:rsidSect="00DF30C8">
      <w:head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5C3" w:rsidRDefault="00EA35C3" w:rsidP="006655D3">
      <w:r>
        <w:separator/>
      </w:r>
    </w:p>
    <w:p w:rsidR="00EA35C3" w:rsidRDefault="00EA35C3" w:rsidP="006655D3"/>
    <w:p w:rsidR="00EA35C3" w:rsidRDefault="00EA35C3" w:rsidP="006655D3"/>
  </w:endnote>
  <w:endnote w:type="continuationSeparator" w:id="0">
    <w:p w:rsidR="00EA35C3" w:rsidRDefault="00EA35C3" w:rsidP="006655D3">
      <w:r>
        <w:separator/>
      </w:r>
    </w:p>
    <w:p w:rsidR="00EA35C3" w:rsidRPr="00294751" w:rsidRDefault="00EA35C3">
      <w:pPr>
        <w:pStyle w:val="Footer"/>
        <w:spacing w:after="60"/>
        <w:rPr>
          <w:sz w:val="18"/>
          <w:szCs w:val="18"/>
          <w:lang w:val="fr-FR"/>
        </w:rPr>
      </w:pPr>
      <w:r w:rsidRPr="00294751">
        <w:rPr>
          <w:sz w:val="18"/>
          <w:szCs w:val="18"/>
          <w:lang w:val="fr-FR"/>
        </w:rPr>
        <w:t>[Suite de la note de la page précédente]</w:t>
      </w:r>
    </w:p>
    <w:p w:rsidR="00EA35C3" w:rsidRPr="00294751" w:rsidRDefault="00EA35C3" w:rsidP="006655D3">
      <w:pPr>
        <w:rPr>
          <w:lang w:val="fr-FR"/>
        </w:rPr>
      </w:pPr>
    </w:p>
    <w:p w:rsidR="00EA35C3" w:rsidRPr="00294751" w:rsidRDefault="00EA35C3" w:rsidP="006655D3">
      <w:pPr>
        <w:rPr>
          <w:lang w:val="fr-FR"/>
        </w:rPr>
      </w:pPr>
    </w:p>
  </w:endnote>
  <w:endnote w:type="continuationNotice" w:id="1">
    <w:p w:rsidR="00EA35C3" w:rsidRPr="00294751" w:rsidRDefault="00EA35C3" w:rsidP="006655D3">
      <w:pPr>
        <w:rPr>
          <w:lang w:val="fr-FR"/>
        </w:rPr>
      </w:pPr>
      <w:r w:rsidRPr="00294751">
        <w:rPr>
          <w:lang w:val="fr-FR"/>
        </w:rPr>
        <w:t>[Suite de la note page suivante]</w:t>
      </w:r>
    </w:p>
    <w:p w:rsidR="00EA35C3" w:rsidRPr="00294751" w:rsidRDefault="00EA35C3" w:rsidP="006655D3">
      <w:pPr>
        <w:rPr>
          <w:lang w:val="fr-FR"/>
        </w:rPr>
      </w:pPr>
    </w:p>
    <w:p w:rsidR="00EA35C3" w:rsidRPr="00294751" w:rsidRDefault="00EA35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5C3" w:rsidRDefault="00EA35C3" w:rsidP="006655D3">
      <w:r>
        <w:separator/>
      </w:r>
    </w:p>
  </w:footnote>
  <w:footnote w:type="continuationSeparator" w:id="0">
    <w:p w:rsidR="00EA35C3" w:rsidRDefault="00EA35C3" w:rsidP="006655D3">
      <w:r>
        <w:separator/>
      </w:r>
    </w:p>
  </w:footnote>
  <w:footnote w:type="continuationNotice" w:id="1">
    <w:p w:rsidR="00EA35C3" w:rsidRPr="00AB530F" w:rsidRDefault="00EA35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Pr="000A23DC" w:rsidRDefault="00EA35C3" w:rsidP="00DF30C8">
    <w:pPr>
      <w:pStyle w:val="Header"/>
      <w:rPr>
        <w:rStyle w:val="PageNumber"/>
      </w:rPr>
    </w:pPr>
    <w:r w:rsidRPr="000A23DC">
      <w:rPr>
        <w:rStyle w:val="PageNumber"/>
      </w:rPr>
      <w:t>TC/53/</w:t>
    </w:r>
    <w:r>
      <w:rPr>
        <w:rStyle w:val="PageNumber"/>
      </w:rPr>
      <w:t>5</w:t>
    </w:r>
  </w:p>
  <w:p w:rsidR="00EA35C3" w:rsidRPr="00202E38" w:rsidRDefault="00EA35C3" w:rsidP="00DF30C8">
    <w:pPr>
      <w:pStyle w:val="Header"/>
      <w:rPr>
        <w:lang w:val="de-DE"/>
      </w:rPr>
    </w:pPr>
    <w:proofErr w:type="gramStart"/>
    <w:r w:rsidRPr="008B3D8D">
      <w:t>página</w:t>
    </w:r>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B341CF">
      <w:rPr>
        <w:rStyle w:val="PageNumber"/>
        <w:noProof/>
        <w:lang w:val="de-DE"/>
      </w:rPr>
      <w:t>10</w:t>
    </w:r>
    <w:r w:rsidRPr="00202E38">
      <w:rPr>
        <w:rStyle w:val="PageNumber"/>
        <w:lang w:val="de-DE"/>
      </w:rPr>
      <w:fldChar w:fldCharType="end"/>
    </w:r>
  </w:p>
  <w:p w:rsidR="00EA35C3" w:rsidRDefault="00EA35C3" w:rsidP="00DF30C8">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5C3" w:rsidRPr="00516929" w:rsidRDefault="00EA35C3" w:rsidP="00DF30C8">
    <w:pPr>
      <w:pStyle w:val="Header"/>
      <w:rPr>
        <w:lang w:val="es-ES"/>
      </w:rPr>
    </w:pPr>
    <w:r w:rsidRPr="00516929">
      <w:rPr>
        <w:lang w:val="es-ES"/>
      </w:rPr>
      <w:t>TC/53/5</w:t>
    </w:r>
  </w:p>
  <w:p w:rsidR="00EA35C3" w:rsidRPr="00516929" w:rsidRDefault="00EA35C3" w:rsidP="00DF30C8">
    <w:pPr>
      <w:pStyle w:val="Header"/>
      <w:rPr>
        <w:lang w:val="es-ES"/>
      </w:rPr>
    </w:pPr>
  </w:p>
  <w:p w:rsidR="00EA35C3" w:rsidRPr="00516929" w:rsidRDefault="00EA35C3" w:rsidP="00DF30C8">
    <w:pPr>
      <w:pStyle w:val="Header"/>
      <w:rPr>
        <w:lang w:val="es-ES"/>
      </w:rPr>
    </w:pPr>
    <w:r w:rsidRPr="00516929">
      <w:rPr>
        <w:lang w:val="es-ES"/>
      </w:rPr>
      <w:t>ANEXO</w:t>
    </w:r>
  </w:p>
  <w:p w:rsidR="00EA35C3" w:rsidRPr="00516929" w:rsidRDefault="00EA35C3" w:rsidP="00DF30C8">
    <w:pPr>
      <w:jc w:val="center"/>
      <w:rPr>
        <w:sz w:val="16"/>
        <w:szCs w:val="16"/>
        <w:lang w:val="es-ES"/>
      </w:rPr>
    </w:pPr>
  </w:p>
  <w:p w:rsidR="00EA35C3" w:rsidRPr="00516929" w:rsidRDefault="00EA35C3" w:rsidP="00DF30C8">
    <w:pPr>
      <w:pStyle w:val="Header"/>
      <w:rPr>
        <w:caps/>
        <w:lang w:val="es-ES"/>
      </w:rPr>
    </w:pPr>
    <w:r w:rsidRPr="00516929">
      <w:rPr>
        <w:caps/>
        <w:lang w:val="es-ES"/>
      </w:rPr>
      <w:t>Programa para la elaboración de los documentos TGP</w:t>
    </w:r>
  </w:p>
  <w:p w:rsidR="00EA35C3" w:rsidRPr="00DF30C8" w:rsidRDefault="00EA35C3" w:rsidP="00DF30C8">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1FFB"/>
    <w:multiLevelType w:val="hybridMultilevel"/>
    <w:tmpl w:val="23DE5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CA72D9B"/>
    <w:multiLevelType w:val="hybridMultilevel"/>
    <w:tmpl w:val="C19C116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E47C9"/>
    <w:multiLevelType w:val="hybridMultilevel"/>
    <w:tmpl w:val="233402B6"/>
    <w:lvl w:ilvl="0" w:tplc="371EFC48">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6C5F35BB"/>
    <w:multiLevelType w:val="hybridMultilevel"/>
    <w:tmpl w:val="32BCB5B8"/>
    <w:lvl w:ilvl="0" w:tplc="04090017">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0"/>
  </w:docVars>
  <w:rsids>
    <w:rsidRoot w:val="00DF30C8"/>
    <w:rsid w:val="000016BB"/>
    <w:rsid w:val="00006929"/>
    <w:rsid w:val="00010CF3"/>
    <w:rsid w:val="00011E27"/>
    <w:rsid w:val="000148BC"/>
    <w:rsid w:val="000241F0"/>
    <w:rsid w:val="00024AB8"/>
    <w:rsid w:val="00025525"/>
    <w:rsid w:val="00025562"/>
    <w:rsid w:val="00025872"/>
    <w:rsid w:val="00027225"/>
    <w:rsid w:val="00030854"/>
    <w:rsid w:val="00036028"/>
    <w:rsid w:val="0003784D"/>
    <w:rsid w:val="00044642"/>
    <w:rsid w:val="000446B9"/>
    <w:rsid w:val="00047E21"/>
    <w:rsid w:val="00050E16"/>
    <w:rsid w:val="000638A9"/>
    <w:rsid w:val="00067C11"/>
    <w:rsid w:val="00085505"/>
    <w:rsid w:val="00090408"/>
    <w:rsid w:val="000904D4"/>
    <w:rsid w:val="0009776F"/>
    <w:rsid w:val="000A23DC"/>
    <w:rsid w:val="000A51D0"/>
    <w:rsid w:val="000C08FE"/>
    <w:rsid w:val="000C4E25"/>
    <w:rsid w:val="000C7021"/>
    <w:rsid w:val="000D6BBC"/>
    <w:rsid w:val="000D7780"/>
    <w:rsid w:val="000E636A"/>
    <w:rsid w:val="000E657A"/>
    <w:rsid w:val="000F2F11"/>
    <w:rsid w:val="00101D98"/>
    <w:rsid w:val="00105929"/>
    <w:rsid w:val="00110C36"/>
    <w:rsid w:val="001131D5"/>
    <w:rsid w:val="001414F7"/>
    <w:rsid w:val="00141DB8"/>
    <w:rsid w:val="001611FB"/>
    <w:rsid w:val="0016789C"/>
    <w:rsid w:val="00172084"/>
    <w:rsid w:val="0017474A"/>
    <w:rsid w:val="001758C6"/>
    <w:rsid w:val="00177633"/>
    <w:rsid w:val="001801AD"/>
    <w:rsid w:val="001827E5"/>
    <w:rsid w:val="00182B99"/>
    <w:rsid w:val="00185D3F"/>
    <w:rsid w:val="001A55CE"/>
    <w:rsid w:val="001D11B8"/>
    <w:rsid w:val="001D4209"/>
    <w:rsid w:val="001F64BF"/>
    <w:rsid w:val="00202E38"/>
    <w:rsid w:val="00206948"/>
    <w:rsid w:val="0021332C"/>
    <w:rsid w:val="00213982"/>
    <w:rsid w:val="00221C4B"/>
    <w:rsid w:val="0024185D"/>
    <w:rsid w:val="0024416D"/>
    <w:rsid w:val="002464A3"/>
    <w:rsid w:val="0025117F"/>
    <w:rsid w:val="0025153C"/>
    <w:rsid w:val="00270B93"/>
    <w:rsid w:val="00271911"/>
    <w:rsid w:val="002772EC"/>
    <w:rsid w:val="002800A0"/>
    <w:rsid w:val="002801B3"/>
    <w:rsid w:val="00281060"/>
    <w:rsid w:val="0029174E"/>
    <w:rsid w:val="002940E8"/>
    <w:rsid w:val="00294751"/>
    <w:rsid w:val="002A3A67"/>
    <w:rsid w:val="002A5D78"/>
    <w:rsid w:val="002A6E50"/>
    <w:rsid w:val="002B4298"/>
    <w:rsid w:val="002C256A"/>
    <w:rsid w:val="002D1E6A"/>
    <w:rsid w:val="002D34A4"/>
    <w:rsid w:val="002E4053"/>
    <w:rsid w:val="002E4417"/>
    <w:rsid w:val="002E5944"/>
    <w:rsid w:val="00300785"/>
    <w:rsid w:val="00305A7F"/>
    <w:rsid w:val="003152FE"/>
    <w:rsid w:val="00315841"/>
    <w:rsid w:val="00322E8D"/>
    <w:rsid w:val="00327436"/>
    <w:rsid w:val="00344BD6"/>
    <w:rsid w:val="0035528D"/>
    <w:rsid w:val="00361821"/>
    <w:rsid w:val="00361CAE"/>
    <w:rsid w:val="00361E9E"/>
    <w:rsid w:val="0036358A"/>
    <w:rsid w:val="00365DC1"/>
    <w:rsid w:val="00373D71"/>
    <w:rsid w:val="0037461F"/>
    <w:rsid w:val="00376D05"/>
    <w:rsid w:val="00391373"/>
    <w:rsid w:val="003A698B"/>
    <w:rsid w:val="003B031A"/>
    <w:rsid w:val="003B2A55"/>
    <w:rsid w:val="003B54D8"/>
    <w:rsid w:val="003B70AC"/>
    <w:rsid w:val="003C07EF"/>
    <w:rsid w:val="003C2C48"/>
    <w:rsid w:val="003C5451"/>
    <w:rsid w:val="003C7FBE"/>
    <w:rsid w:val="003D09AF"/>
    <w:rsid w:val="003D227C"/>
    <w:rsid w:val="003D2B4D"/>
    <w:rsid w:val="003E2BB1"/>
    <w:rsid w:val="003E2E6A"/>
    <w:rsid w:val="003E79A0"/>
    <w:rsid w:val="003F005B"/>
    <w:rsid w:val="003F071F"/>
    <w:rsid w:val="003F27B0"/>
    <w:rsid w:val="003F28EF"/>
    <w:rsid w:val="003F7334"/>
    <w:rsid w:val="0040557F"/>
    <w:rsid w:val="00413276"/>
    <w:rsid w:val="00413BA6"/>
    <w:rsid w:val="004233FE"/>
    <w:rsid w:val="00433539"/>
    <w:rsid w:val="00436D71"/>
    <w:rsid w:val="00440C59"/>
    <w:rsid w:val="00444073"/>
    <w:rsid w:val="00444A88"/>
    <w:rsid w:val="00447660"/>
    <w:rsid w:val="00456036"/>
    <w:rsid w:val="00474DA4"/>
    <w:rsid w:val="00476B4D"/>
    <w:rsid w:val="00477A53"/>
    <w:rsid w:val="004805FA"/>
    <w:rsid w:val="00481D43"/>
    <w:rsid w:val="004900EE"/>
    <w:rsid w:val="004935D2"/>
    <w:rsid w:val="004B1215"/>
    <w:rsid w:val="004D047D"/>
    <w:rsid w:val="004E1398"/>
    <w:rsid w:val="004E4066"/>
    <w:rsid w:val="004F184D"/>
    <w:rsid w:val="004F1E9E"/>
    <w:rsid w:val="004F305A"/>
    <w:rsid w:val="005025CF"/>
    <w:rsid w:val="00512164"/>
    <w:rsid w:val="005145BB"/>
    <w:rsid w:val="00516929"/>
    <w:rsid w:val="00520297"/>
    <w:rsid w:val="005223C5"/>
    <w:rsid w:val="005302B3"/>
    <w:rsid w:val="005338F9"/>
    <w:rsid w:val="0054281C"/>
    <w:rsid w:val="00544581"/>
    <w:rsid w:val="00545E42"/>
    <w:rsid w:val="0055268D"/>
    <w:rsid w:val="00576B58"/>
    <w:rsid w:val="00576BE4"/>
    <w:rsid w:val="005777C8"/>
    <w:rsid w:val="005902C4"/>
    <w:rsid w:val="00592F5F"/>
    <w:rsid w:val="005A400A"/>
    <w:rsid w:val="005B3160"/>
    <w:rsid w:val="005C1255"/>
    <w:rsid w:val="005C73FF"/>
    <w:rsid w:val="005D37A3"/>
    <w:rsid w:val="005D3CD0"/>
    <w:rsid w:val="005E147A"/>
    <w:rsid w:val="005E19DB"/>
    <w:rsid w:val="005E26D7"/>
    <w:rsid w:val="005E4FFF"/>
    <w:rsid w:val="005F3662"/>
    <w:rsid w:val="005F7B92"/>
    <w:rsid w:val="00612379"/>
    <w:rsid w:val="006153B6"/>
    <w:rsid w:val="0061555F"/>
    <w:rsid w:val="006207A7"/>
    <w:rsid w:val="00635C2D"/>
    <w:rsid w:val="00636CA6"/>
    <w:rsid w:val="00637EDD"/>
    <w:rsid w:val="006409C4"/>
    <w:rsid w:val="00640F04"/>
    <w:rsid w:val="00641200"/>
    <w:rsid w:val="00645CA8"/>
    <w:rsid w:val="006655D3"/>
    <w:rsid w:val="00667404"/>
    <w:rsid w:val="00677F6A"/>
    <w:rsid w:val="00682960"/>
    <w:rsid w:val="00687EB4"/>
    <w:rsid w:val="00695590"/>
    <w:rsid w:val="00695C56"/>
    <w:rsid w:val="00696F9C"/>
    <w:rsid w:val="006A5CDE"/>
    <w:rsid w:val="006A644A"/>
    <w:rsid w:val="006B0625"/>
    <w:rsid w:val="006B17D2"/>
    <w:rsid w:val="006B2AD2"/>
    <w:rsid w:val="006C224E"/>
    <w:rsid w:val="006D780A"/>
    <w:rsid w:val="006E44C2"/>
    <w:rsid w:val="006E464C"/>
    <w:rsid w:val="006F1A55"/>
    <w:rsid w:val="00705D25"/>
    <w:rsid w:val="0071271E"/>
    <w:rsid w:val="0071777B"/>
    <w:rsid w:val="00721E00"/>
    <w:rsid w:val="00732DEC"/>
    <w:rsid w:val="007332E1"/>
    <w:rsid w:val="00735BD5"/>
    <w:rsid w:val="007370B0"/>
    <w:rsid w:val="007437F0"/>
    <w:rsid w:val="0074496A"/>
    <w:rsid w:val="00751613"/>
    <w:rsid w:val="007537D9"/>
    <w:rsid w:val="007556F6"/>
    <w:rsid w:val="00757068"/>
    <w:rsid w:val="00760EEF"/>
    <w:rsid w:val="007615A3"/>
    <w:rsid w:val="00777EE5"/>
    <w:rsid w:val="00783722"/>
    <w:rsid w:val="00784836"/>
    <w:rsid w:val="0079023E"/>
    <w:rsid w:val="00791061"/>
    <w:rsid w:val="007A2854"/>
    <w:rsid w:val="007A7A81"/>
    <w:rsid w:val="007B286D"/>
    <w:rsid w:val="007C1D92"/>
    <w:rsid w:val="007C4CB9"/>
    <w:rsid w:val="007D0B9D"/>
    <w:rsid w:val="007D19B0"/>
    <w:rsid w:val="007D2FD0"/>
    <w:rsid w:val="007D7471"/>
    <w:rsid w:val="007F498F"/>
    <w:rsid w:val="0080679D"/>
    <w:rsid w:val="008108B0"/>
    <w:rsid w:val="00811B20"/>
    <w:rsid w:val="00815738"/>
    <w:rsid w:val="008211B5"/>
    <w:rsid w:val="0082296E"/>
    <w:rsid w:val="00824099"/>
    <w:rsid w:val="00825372"/>
    <w:rsid w:val="00837AAB"/>
    <w:rsid w:val="00840403"/>
    <w:rsid w:val="00846D7C"/>
    <w:rsid w:val="00857CCA"/>
    <w:rsid w:val="00862068"/>
    <w:rsid w:val="00864C55"/>
    <w:rsid w:val="00867AC1"/>
    <w:rsid w:val="008703EC"/>
    <w:rsid w:val="00874D1B"/>
    <w:rsid w:val="008844FD"/>
    <w:rsid w:val="00890DF8"/>
    <w:rsid w:val="008A25CD"/>
    <w:rsid w:val="008A743F"/>
    <w:rsid w:val="008B3D8D"/>
    <w:rsid w:val="008C0970"/>
    <w:rsid w:val="008C09CB"/>
    <w:rsid w:val="008C2719"/>
    <w:rsid w:val="008C2915"/>
    <w:rsid w:val="008C7F01"/>
    <w:rsid w:val="008D0BC5"/>
    <w:rsid w:val="008D2CF7"/>
    <w:rsid w:val="008E0338"/>
    <w:rsid w:val="008E2FD2"/>
    <w:rsid w:val="008E3CD2"/>
    <w:rsid w:val="008F0B1A"/>
    <w:rsid w:val="008F1B5E"/>
    <w:rsid w:val="00900C26"/>
    <w:rsid w:val="0090197F"/>
    <w:rsid w:val="00906DDC"/>
    <w:rsid w:val="00915E76"/>
    <w:rsid w:val="0091788F"/>
    <w:rsid w:val="00934E09"/>
    <w:rsid w:val="00936253"/>
    <w:rsid w:val="0093762C"/>
    <w:rsid w:val="00940D46"/>
    <w:rsid w:val="00952DD4"/>
    <w:rsid w:val="0096175D"/>
    <w:rsid w:val="00965AE7"/>
    <w:rsid w:val="00965BD1"/>
    <w:rsid w:val="00970FED"/>
    <w:rsid w:val="00972004"/>
    <w:rsid w:val="00975751"/>
    <w:rsid w:val="00975867"/>
    <w:rsid w:val="00992D82"/>
    <w:rsid w:val="00994DF2"/>
    <w:rsid w:val="009969E0"/>
    <w:rsid w:val="00997029"/>
    <w:rsid w:val="009974FD"/>
    <w:rsid w:val="009A7339"/>
    <w:rsid w:val="009B440E"/>
    <w:rsid w:val="009C2DFD"/>
    <w:rsid w:val="009D5916"/>
    <w:rsid w:val="009D690D"/>
    <w:rsid w:val="009E1F8B"/>
    <w:rsid w:val="009E65B6"/>
    <w:rsid w:val="009F0545"/>
    <w:rsid w:val="00A030CA"/>
    <w:rsid w:val="00A03B6B"/>
    <w:rsid w:val="00A12281"/>
    <w:rsid w:val="00A142D4"/>
    <w:rsid w:val="00A15FD8"/>
    <w:rsid w:val="00A21CC3"/>
    <w:rsid w:val="00A24C10"/>
    <w:rsid w:val="00A25DA7"/>
    <w:rsid w:val="00A303AD"/>
    <w:rsid w:val="00A30B9E"/>
    <w:rsid w:val="00A350F1"/>
    <w:rsid w:val="00A42AC3"/>
    <w:rsid w:val="00A430CF"/>
    <w:rsid w:val="00A509CE"/>
    <w:rsid w:val="00A54309"/>
    <w:rsid w:val="00A706D3"/>
    <w:rsid w:val="00A8426C"/>
    <w:rsid w:val="00AA716E"/>
    <w:rsid w:val="00AB2B93"/>
    <w:rsid w:val="00AB393A"/>
    <w:rsid w:val="00AB530F"/>
    <w:rsid w:val="00AB7E5B"/>
    <w:rsid w:val="00AC0F01"/>
    <w:rsid w:val="00AC1FCD"/>
    <w:rsid w:val="00AC2883"/>
    <w:rsid w:val="00AC6339"/>
    <w:rsid w:val="00AE0EF1"/>
    <w:rsid w:val="00AE2937"/>
    <w:rsid w:val="00AE490C"/>
    <w:rsid w:val="00AF0DEB"/>
    <w:rsid w:val="00B07301"/>
    <w:rsid w:val="00B11F3E"/>
    <w:rsid w:val="00B173C1"/>
    <w:rsid w:val="00B224DE"/>
    <w:rsid w:val="00B22D80"/>
    <w:rsid w:val="00B234F5"/>
    <w:rsid w:val="00B324D4"/>
    <w:rsid w:val="00B341CF"/>
    <w:rsid w:val="00B37375"/>
    <w:rsid w:val="00B40EED"/>
    <w:rsid w:val="00B42E7A"/>
    <w:rsid w:val="00B46575"/>
    <w:rsid w:val="00B61042"/>
    <w:rsid w:val="00B61777"/>
    <w:rsid w:val="00B61CAC"/>
    <w:rsid w:val="00B675EA"/>
    <w:rsid w:val="00B75ED4"/>
    <w:rsid w:val="00B763A7"/>
    <w:rsid w:val="00B8107A"/>
    <w:rsid w:val="00B821E8"/>
    <w:rsid w:val="00B84BBD"/>
    <w:rsid w:val="00B8748E"/>
    <w:rsid w:val="00B91EA3"/>
    <w:rsid w:val="00BA1667"/>
    <w:rsid w:val="00BA43FB"/>
    <w:rsid w:val="00BB6C0B"/>
    <w:rsid w:val="00BB754B"/>
    <w:rsid w:val="00BC0BD4"/>
    <w:rsid w:val="00BC127D"/>
    <w:rsid w:val="00BC1FE6"/>
    <w:rsid w:val="00BD1D97"/>
    <w:rsid w:val="00BD2D82"/>
    <w:rsid w:val="00BE4DBF"/>
    <w:rsid w:val="00BF3C00"/>
    <w:rsid w:val="00C053E2"/>
    <w:rsid w:val="00C061B6"/>
    <w:rsid w:val="00C21696"/>
    <w:rsid w:val="00C2446C"/>
    <w:rsid w:val="00C30807"/>
    <w:rsid w:val="00C36AE5"/>
    <w:rsid w:val="00C41F17"/>
    <w:rsid w:val="00C435BD"/>
    <w:rsid w:val="00C527FA"/>
    <w:rsid w:val="00C5280D"/>
    <w:rsid w:val="00C5305D"/>
    <w:rsid w:val="00C53EB3"/>
    <w:rsid w:val="00C5791C"/>
    <w:rsid w:val="00C66290"/>
    <w:rsid w:val="00C72B7A"/>
    <w:rsid w:val="00C90355"/>
    <w:rsid w:val="00C93B30"/>
    <w:rsid w:val="00C973F2"/>
    <w:rsid w:val="00CA2FEE"/>
    <w:rsid w:val="00CA304C"/>
    <w:rsid w:val="00CA774A"/>
    <w:rsid w:val="00CB2628"/>
    <w:rsid w:val="00CC11B0"/>
    <w:rsid w:val="00CC2841"/>
    <w:rsid w:val="00CC4887"/>
    <w:rsid w:val="00CC5C35"/>
    <w:rsid w:val="00CF1110"/>
    <w:rsid w:val="00CF1330"/>
    <w:rsid w:val="00CF2958"/>
    <w:rsid w:val="00CF7E36"/>
    <w:rsid w:val="00D0532A"/>
    <w:rsid w:val="00D05CBE"/>
    <w:rsid w:val="00D11A35"/>
    <w:rsid w:val="00D30C81"/>
    <w:rsid w:val="00D3708D"/>
    <w:rsid w:val="00D40426"/>
    <w:rsid w:val="00D57C96"/>
    <w:rsid w:val="00D57D18"/>
    <w:rsid w:val="00D63B8B"/>
    <w:rsid w:val="00D75883"/>
    <w:rsid w:val="00D77A9A"/>
    <w:rsid w:val="00D9053F"/>
    <w:rsid w:val="00D91203"/>
    <w:rsid w:val="00D95174"/>
    <w:rsid w:val="00DA4973"/>
    <w:rsid w:val="00DA6F36"/>
    <w:rsid w:val="00DB596E"/>
    <w:rsid w:val="00DB7773"/>
    <w:rsid w:val="00DC00EA"/>
    <w:rsid w:val="00DC3802"/>
    <w:rsid w:val="00DD482B"/>
    <w:rsid w:val="00DF22C8"/>
    <w:rsid w:val="00DF30C8"/>
    <w:rsid w:val="00E04D73"/>
    <w:rsid w:val="00E05E6B"/>
    <w:rsid w:val="00E07D87"/>
    <w:rsid w:val="00E10C57"/>
    <w:rsid w:val="00E32F7E"/>
    <w:rsid w:val="00E45442"/>
    <w:rsid w:val="00E46026"/>
    <w:rsid w:val="00E471CF"/>
    <w:rsid w:val="00E50983"/>
    <w:rsid w:val="00E5267B"/>
    <w:rsid w:val="00E61BBF"/>
    <w:rsid w:val="00E63C0E"/>
    <w:rsid w:val="00E67A3B"/>
    <w:rsid w:val="00E72D49"/>
    <w:rsid w:val="00E74465"/>
    <w:rsid w:val="00E7593C"/>
    <w:rsid w:val="00E7678A"/>
    <w:rsid w:val="00E76E5C"/>
    <w:rsid w:val="00E90519"/>
    <w:rsid w:val="00E935F1"/>
    <w:rsid w:val="00E94A81"/>
    <w:rsid w:val="00EA1FFB"/>
    <w:rsid w:val="00EA35C3"/>
    <w:rsid w:val="00EB048E"/>
    <w:rsid w:val="00EB1F68"/>
    <w:rsid w:val="00EB4E9C"/>
    <w:rsid w:val="00EC2265"/>
    <w:rsid w:val="00EC6A06"/>
    <w:rsid w:val="00ED24DE"/>
    <w:rsid w:val="00EE34DF"/>
    <w:rsid w:val="00EE4A14"/>
    <w:rsid w:val="00EF2F89"/>
    <w:rsid w:val="00F00D4D"/>
    <w:rsid w:val="00F00E6E"/>
    <w:rsid w:val="00F03E98"/>
    <w:rsid w:val="00F1237A"/>
    <w:rsid w:val="00F17E6A"/>
    <w:rsid w:val="00F21D49"/>
    <w:rsid w:val="00F22CBD"/>
    <w:rsid w:val="00F272F1"/>
    <w:rsid w:val="00F27BF2"/>
    <w:rsid w:val="00F431C8"/>
    <w:rsid w:val="00F45372"/>
    <w:rsid w:val="00F560F7"/>
    <w:rsid w:val="00F6077D"/>
    <w:rsid w:val="00F60CE1"/>
    <w:rsid w:val="00F6125D"/>
    <w:rsid w:val="00F6334D"/>
    <w:rsid w:val="00F636E2"/>
    <w:rsid w:val="00F63A7B"/>
    <w:rsid w:val="00F746BC"/>
    <w:rsid w:val="00F80282"/>
    <w:rsid w:val="00F82ACC"/>
    <w:rsid w:val="00F96542"/>
    <w:rsid w:val="00FA49AB"/>
    <w:rsid w:val="00FC3546"/>
    <w:rsid w:val="00FD3F87"/>
    <w:rsid w:val="00FD4A23"/>
    <w:rsid w:val="00FE04D8"/>
    <w:rsid w:val="00FE1A31"/>
    <w:rsid w:val="00FE39C7"/>
    <w:rsid w:val="00FF28A4"/>
    <w:rsid w:val="00FF4D07"/>
    <w:rsid w:val="00FF52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locked="1" w:semiHidden="0" w:uiPriority="39" w:unhideWhenUsed="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7F"/>
    <w:pPr>
      <w:jc w:val="both"/>
    </w:pPr>
    <w:rPr>
      <w:rFonts w:ascii="Arial" w:hAnsi="Arial"/>
      <w:sz w:val="20"/>
      <w:szCs w:val="20"/>
      <w:lang w:eastAsia="en-US"/>
    </w:rPr>
  </w:style>
  <w:style w:type="paragraph" w:styleId="Heading1">
    <w:name w:val="heading 1"/>
    <w:next w:val="Normal"/>
    <w:link w:val="Heading1Char"/>
    <w:autoRedefine/>
    <w:qFormat/>
    <w:rsid w:val="0025117F"/>
    <w:pPr>
      <w:keepNext/>
      <w:keepLines/>
      <w:jc w:val="both"/>
      <w:outlineLvl w:val="0"/>
    </w:pPr>
    <w:rPr>
      <w:rFonts w:ascii="Arial" w:hAnsi="Arial" w:cs="Arial"/>
      <w:caps/>
      <w:sz w:val="20"/>
      <w:szCs w:val="20"/>
      <w:lang w:val="es-ES" w:eastAsia="en-US"/>
    </w:rPr>
  </w:style>
  <w:style w:type="paragraph" w:styleId="Heading2">
    <w:name w:val="heading 2"/>
    <w:next w:val="Normal"/>
    <w:link w:val="Heading2Char"/>
    <w:autoRedefine/>
    <w:qFormat/>
    <w:rsid w:val="0025117F"/>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25117F"/>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25117F"/>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25117F"/>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25117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5117F"/>
    <w:rPr>
      <w:rFonts w:ascii="Arial" w:hAnsi="Arial" w:cs="Arial"/>
      <w:caps/>
      <w:sz w:val="20"/>
      <w:szCs w:val="20"/>
      <w:lang w:val="es-ES" w:eastAsia="en-US"/>
    </w:rPr>
  </w:style>
  <w:style w:type="character" w:customStyle="1" w:styleId="Heading2Char">
    <w:name w:val="Heading 2 Char"/>
    <w:basedOn w:val="DefaultParagraphFont"/>
    <w:link w:val="Heading2"/>
    <w:locked/>
    <w:rsid w:val="00DF30C8"/>
    <w:rPr>
      <w:rFonts w:ascii="Arial" w:hAnsi="Arial"/>
      <w:sz w:val="20"/>
      <w:szCs w:val="20"/>
      <w:u w:val="single"/>
      <w:lang w:val="en-US" w:eastAsia="en-US"/>
    </w:rPr>
  </w:style>
  <w:style w:type="character" w:customStyle="1" w:styleId="Heading3Char">
    <w:name w:val="Heading 3 Char"/>
    <w:basedOn w:val="DefaultParagraphFont"/>
    <w:link w:val="Heading3"/>
    <w:rsid w:val="00F17E6A"/>
    <w:rPr>
      <w:rFonts w:ascii="Arial" w:hAnsi="Arial"/>
      <w:i/>
      <w:sz w:val="20"/>
      <w:szCs w:val="20"/>
      <w:lang w:val="en-US" w:eastAsia="en-US"/>
    </w:rPr>
  </w:style>
  <w:style w:type="character" w:customStyle="1" w:styleId="Heading4Char">
    <w:name w:val="Heading 4 Char"/>
    <w:basedOn w:val="DefaultParagraphFont"/>
    <w:link w:val="Heading4"/>
    <w:rsid w:val="00194794"/>
    <w:rPr>
      <w:rFonts w:ascii="Arial" w:hAnsi="Arial"/>
      <w:sz w:val="20"/>
      <w:szCs w:val="20"/>
      <w:u w:val="single"/>
      <w:lang w:val="fr-FR" w:eastAsia="en-US"/>
    </w:rPr>
  </w:style>
  <w:style w:type="character" w:customStyle="1" w:styleId="Heading5Char">
    <w:name w:val="Heading 5 Char"/>
    <w:basedOn w:val="DefaultParagraphFont"/>
    <w:link w:val="Heading5"/>
    <w:rsid w:val="00194794"/>
    <w:rPr>
      <w:rFonts w:ascii="Arial" w:hAnsi="Arial"/>
      <w:i/>
      <w:sz w:val="20"/>
      <w:szCs w:val="20"/>
      <w:lang w:val="en-US" w:eastAsia="en-US"/>
    </w:rPr>
  </w:style>
  <w:style w:type="character" w:customStyle="1" w:styleId="Heading9Char">
    <w:name w:val="Heading 9 Char"/>
    <w:basedOn w:val="DefaultParagraphFont"/>
    <w:link w:val="Heading9"/>
    <w:rsid w:val="00194794"/>
    <w:rPr>
      <w:rFonts w:ascii="Arial" w:hAnsi="Arial"/>
      <w:i/>
      <w:sz w:val="18"/>
      <w:szCs w:val="20"/>
      <w:lang w:eastAsia="en-US"/>
    </w:rPr>
  </w:style>
  <w:style w:type="paragraph" w:styleId="Header">
    <w:name w:val="header"/>
    <w:link w:val="HeaderChar"/>
    <w:rsid w:val="0025117F"/>
    <w:pPr>
      <w:jc w:val="center"/>
    </w:pPr>
    <w:rPr>
      <w:rFonts w:ascii="Arial" w:hAnsi="Arial"/>
      <w:sz w:val="20"/>
      <w:szCs w:val="20"/>
      <w:lang w:eastAsia="en-US"/>
    </w:rPr>
  </w:style>
  <w:style w:type="character" w:customStyle="1" w:styleId="HeaderChar">
    <w:name w:val="Header Char"/>
    <w:basedOn w:val="DefaultParagraphFont"/>
    <w:link w:val="Header"/>
    <w:locked/>
    <w:rsid w:val="00DF30C8"/>
    <w:rPr>
      <w:rFonts w:ascii="Arial" w:hAnsi="Arial"/>
      <w:sz w:val="20"/>
      <w:szCs w:val="20"/>
      <w:lang w:eastAsia="en-US"/>
    </w:rPr>
  </w:style>
  <w:style w:type="paragraph" w:styleId="Footer">
    <w:name w:val="footer"/>
    <w:aliases w:val="doc_path_name"/>
    <w:link w:val="FooterChar"/>
    <w:autoRedefine/>
    <w:rsid w:val="0025117F"/>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194794"/>
    <w:rPr>
      <w:rFonts w:ascii="Arial" w:hAnsi="Arial"/>
      <w:sz w:val="14"/>
      <w:szCs w:val="20"/>
      <w:lang w:val="en-US" w:eastAsia="en-US"/>
    </w:rPr>
  </w:style>
  <w:style w:type="character" w:styleId="PageNumber">
    <w:name w:val="page number"/>
    <w:basedOn w:val="DefaultParagraphFont"/>
    <w:rsid w:val="0025117F"/>
    <w:rPr>
      <w:rFonts w:ascii="Arial" w:hAnsi="Arial"/>
      <w:sz w:val="20"/>
    </w:rPr>
  </w:style>
  <w:style w:type="paragraph" w:styleId="Title">
    <w:name w:val="Title"/>
    <w:basedOn w:val="Normal"/>
    <w:link w:val="TitleChar"/>
    <w:qFormat/>
    <w:rsid w:val="0025117F"/>
    <w:pPr>
      <w:spacing w:after="300"/>
      <w:jc w:val="center"/>
    </w:pPr>
    <w:rPr>
      <w:b/>
      <w:caps/>
      <w:kern w:val="28"/>
      <w:sz w:val="30"/>
    </w:rPr>
  </w:style>
  <w:style w:type="character" w:customStyle="1" w:styleId="TitleChar">
    <w:name w:val="Title Char"/>
    <w:basedOn w:val="DefaultParagraphFont"/>
    <w:link w:val="Title"/>
    <w:rsid w:val="00194794"/>
    <w:rPr>
      <w:rFonts w:ascii="Arial" w:hAnsi="Arial"/>
      <w:b/>
      <w:caps/>
      <w:kern w:val="28"/>
      <w:sz w:val="30"/>
      <w:szCs w:val="20"/>
      <w:lang w:eastAsia="en-US"/>
    </w:rPr>
  </w:style>
  <w:style w:type="paragraph" w:customStyle="1" w:styleId="preparedby">
    <w:name w:val="preparedby"/>
    <w:basedOn w:val="Normal"/>
    <w:next w:val="Normal"/>
    <w:semiHidden/>
    <w:rsid w:val="0025117F"/>
    <w:pPr>
      <w:spacing w:after="600"/>
      <w:jc w:val="center"/>
    </w:pPr>
    <w:rPr>
      <w:i/>
    </w:rPr>
  </w:style>
  <w:style w:type="paragraph" w:customStyle="1" w:styleId="Docoriginal">
    <w:name w:val="Doc_original"/>
    <w:basedOn w:val="Code"/>
    <w:link w:val="DocoriginalChar"/>
    <w:rsid w:val="0025117F"/>
    <w:pPr>
      <w:spacing w:before="240" w:line="240" w:lineRule="exact"/>
      <w:ind w:left="0"/>
      <w:contextualSpacing/>
      <w:jc w:val="left"/>
    </w:pPr>
    <w:rPr>
      <w:sz w:val="18"/>
    </w:rPr>
  </w:style>
  <w:style w:type="paragraph" w:customStyle="1" w:styleId="DecisionParagraphs">
    <w:name w:val="DecisionParagraphs"/>
    <w:basedOn w:val="Normal"/>
    <w:rsid w:val="0025117F"/>
    <w:pPr>
      <w:tabs>
        <w:tab w:val="left" w:pos="5387"/>
      </w:tabs>
      <w:ind w:left="4820"/>
    </w:pPr>
    <w:rPr>
      <w:i/>
    </w:rPr>
  </w:style>
  <w:style w:type="paragraph" w:styleId="FootnoteText">
    <w:name w:val="footnote text"/>
    <w:link w:val="FootnoteTextChar"/>
    <w:autoRedefine/>
    <w:rsid w:val="0025117F"/>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194794"/>
    <w:rPr>
      <w:rFonts w:ascii="Arial" w:hAnsi="Arial"/>
      <w:sz w:val="16"/>
      <w:szCs w:val="20"/>
      <w:lang w:eastAsia="en-US"/>
    </w:rPr>
  </w:style>
  <w:style w:type="character" w:styleId="FootnoteReference">
    <w:name w:val="footnote reference"/>
    <w:basedOn w:val="DefaultParagraphFont"/>
    <w:semiHidden/>
    <w:rsid w:val="0025117F"/>
    <w:rPr>
      <w:vertAlign w:val="superscript"/>
    </w:rPr>
  </w:style>
  <w:style w:type="paragraph" w:styleId="Closing">
    <w:name w:val="Closing"/>
    <w:basedOn w:val="Normal"/>
    <w:link w:val="ClosingChar"/>
    <w:rsid w:val="0025117F"/>
    <w:pPr>
      <w:ind w:left="4536"/>
      <w:jc w:val="center"/>
    </w:pPr>
  </w:style>
  <w:style w:type="character" w:customStyle="1" w:styleId="ClosingChar">
    <w:name w:val="Closing Char"/>
    <w:basedOn w:val="DefaultParagraphFont"/>
    <w:link w:val="Closing"/>
    <w:rsid w:val="00194794"/>
    <w:rPr>
      <w:rFonts w:ascii="Arial" w:hAnsi="Arial"/>
      <w:sz w:val="20"/>
      <w:szCs w:val="20"/>
      <w:lang w:eastAsia="en-US"/>
    </w:rPr>
  </w:style>
  <w:style w:type="paragraph" w:styleId="Index1">
    <w:name w:val="index 1"/>
    <w:basedOn w:val="Normal"/>
    <w:next w:val="Normal"/>
    <w:semiHidden/>
    <w:rsid w:val="0025117F"/>
    <w:pPr>
      <w:tabs>
        <w:tab w:val="right" w:leader="dot" w:pos="9071"/>
      </w:tabs>
      <w:ind w:left="284" w:hanging="284"/>
    </w:pPr>
    <w:rPr>
      <w:sz w:val="24"/>
    </w:rPr>
  </w:style>
  <w:style w:type="paragraph" w:styleId="Index2">
    <w:name w:val="index 2"/>
    <w:basedOn w:val="Normal"/>
    <w:next w:val="Normal"/>
    <w:semiHidden/>
    <w:rsid w:val="0025117F"/>
    <w:pPr>
      <w:tabs>
        <w:tab w:val="right" w:leader="dot" w:pos="9071"/>
      </w:tabs>
      <w:ind w:left="568" w:hanging="284"/>
    </w:pPr>
    <w:rPr>
      <w:sz w:val="24"/>
    </w:rPr>
  </w:style>
  <w:style w:type="paragraph" w:styleId="Index3">
    <w:name w:val="index 3"/>
    <w:basedOn w:val="Normal"/>
    <w:next w:val="Normal"/>
    <w:semiHidden/>
    <w:rsid w:val="0025117F"/>
    <w:pPr>
      <w:tabs>
        <w:tab w:val="right" w:leader="dot" w:pos="9071"/>
      </w:tabs>
      <w:ind w:left="851" w:hanging="284"/>
    </w:pPr>
    <w:rPr>
      <w:sz w:val="24"/>
    </w:rPr>
  </w:style>
  <w:style w:type="paragraph" w:styleId="MacroText">
    <w:name w:val="macro"/>
    <w:link w:val="MacroTextChar"/>
    <w:semiHidden/>
    <w:rsid w:val="002511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194794"/>
    <w:rPr>
      <w:rFonts w:ascii="Courier New" w:hAnsi="Courier New"/>
      <w:sz w:val="16"/>
      <w:szCs w:val="20"/>
      <w:lang w:val="en-US" w:eastAsia="en-US"/>
    </w:rPr>
  </w:style>
  <w:style w:type="paragraph" w:styleId="Signature">
    <w:name w:val="Signature"/>
    <w:basedOn w:val="Normal"/>
    <w:link w:val="SignatureChar"/>
    <w:rsid w:val="0025117F"/>
    <w:pPr>
      <w:ind w:left="4536"/>
      <w:jc w:val="center"/>
    </w:pPr>
  </w:style>
  <w:style w:type="character" w:customStyle="1" w:styleId="SignatureChar">
    <w:name w:val="Signature Char"/>
    <w:basedOn w:val="DefaultParagraphFont"/>
    <w:link w:val="Signature"/>
    <w:rsid w:val="00194794"/>
    <w:rPr>
      <w:rFonts w:ascii="Arial" w:hAnsi="Arial"/>
      <w:sz w:val="20"/>
      <w:szCs w:val="20"/>
      <w:lang w:eastAsia="en-US"/>
    </w:rPr>
  </w:style>
  <w:style w:type="character" w:customStyle="1" w:styleId="Doclang">
    <w:name w:val="Doc_lang"/>
    <w:basedOn w:val="DefaultParagraphFont"/>
    <w:rsid w:val="0025117F"/>
    <w:rPr>
      <w:rFonts w:ascii="Arial" w:hAnsi="Arial"/>
      <w:sz w:val="20"/>
      <w:lang w:val="en-US"/>
    </w:rPr>
  </w:style>
  <w:style w:type="paragraph" w:customStyle="1" w:styleId="Session">
    <w:name w:val="Session"/>
    <w:basedOn w:val="Normal"/>
    <w:semiHidden/>
    <w:rsid w:val="0025117F"/>
    <w:pPr>
      <w:spacing w:before="60"/>
      <w:jc w:val="center"/>
    </w:pPr>
    <w:rPr>
      <w:b/>
    </w:rPr>
  </w:style>
  <w:style w:type="paragraph" w:customStyle="1" w:styleId="Organizer">
    <w:name w:val="Organizer"/>
    <w:basedOn w:val="Normal"/>
    <w:semiHidden/>
    <w:rsid w:val="0025117F"/>
    <w:pPr>
      <w:spacing w:after="600"/>
      <w:ind w:left="-993" w:right="-994"/>
      <w:jc w:val="center"/>
    </w:pPr>
    <w:rPr>
      <w:b/>
      <w:caps/>
      <w:kern w:val="26"/>
      <w:sz w:val="26"/>
    </w:rPr>
  </w:style>
  <w:style w:type="paragraph" w:styleId="BodyText">
    <w:name w:val="Body Text"/>
    <w:basedOn w:val="Normal"/>
    <w:link w:val="BodyTextChar"/>
    <w:rsid w:val="0025117F"/>
  </w:style>
  <w:style w:type="character" w:customStyle="1" w:styleId="BodyTextChar">
    <w:name w:val="Body Text Char"/>
    <w:basedOn w:val="DefaultParagraphFont"/>
    <w:link w:val="BodyText"/>
    <w:rsid w:val="00194794"/>
    <w:rPr>
      <w:rFonts w:ascii="Arial" w:hAnsi="Arial"/>
      <w:sz w:val="20"/>
      <w:szCs w:val="20"/>
      <w:lang w:eastAsia="en-US"/>
    </w:rPr>
  </w:style>
  <w:style w:type="paragraph" w:customStyle="1" w:styleId="Disclaimer">
    <w:name w:val="Disclaimer"/>
    <w:next w:val="Normal"/>
    <w:qFormat/>
    <w:rsid w:val="0025117F"/>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25117F"/>
    <w:pPr>
      <w:spacing w:before="120"/>
    </w:pPr>
    <w:rPr>
      <w:sz w:val="16"/>
    </w:rPr>
  </w:style>
  <w:style w:type="paragraph" w:customStyle="1" w:styleId="TitleofDoc">
    <w:name w:val="Title of Doc"/>
    <w:basedOn w:val="Normal"/>
    <w:semiHidden/>
    <w:rsid w:val="0025117F"/>
    <w:pPr>
      <w:spacing w:before="1200"/>
      <w:jc w:val="center"/>
    </w:pPr>
    <w:rPr>
      <w:caps/>
    </w:rPr>
  </w:style>
  <w:style w:type="paragraph" w:customStyle="1" w:styleId="preparedby0">
    <w:name w:val="prepared by"/>
    <w:basedOn w:val="Normal"/>
    <w:semiHidden/>
    <w:rsid w:val="0025117F"/>
    <w:pPr>
      <w:spacing w:before="600" w:after="600"/>
      <w:jc w:val="center"/>
    </w:pPr>
    <w:rPr>
      <w:i/>
    </w:rPr>
  </w:style>
  <w:style w:type="paragraph" w:customStyle="1" w:styleId="PlaceAndDate">
    <w:name w:val="PlaceAndDate"/>
    <w:basedOn w:val="Session"/>
    <w:semiHidden/>
    <w:rsid w:val="0025117F"/>
  </w:style>
  <w:style w:type="paragraph" w:styleId="EndnoteText">
    <w:name w:val="endnote text"/>
    <w:basedOn w:val="Normal"/>
    <w:link w:val="EndnoteTextChar"/>
    <w:semiHidden/>
    <w:rsid w:val="0025117F"/>
  </w:style>
  <w:style w:type="character" w:customStyle="1" w:styleId="EndnoteTextChar">
    <w:name w:val="Endnote Text Char"/>
    <w:basedOn w:val="DefaultParagraphFont"/>
    <w:link w:val="EndnoteText"/>
    <w:semiHidden/>
    <w:rsid w:val="00194794"/>
    <w:rPr>
      <w:rFonts w:ascii="Arial" w:hAnsi="Arial"/>
      <w:sz w:val="20"/>
      <w:szCs w:val="20"/>
      <w:lang w:eastAsia="en-US"/>
    </w:rPr>
  </w:style>
  <w:style w:type="character" w:styleId="EndnoteReference">
    <w:name w:val="endnote reference"/>
    <w:basedOn w:val="DefaultParagraphFont"/>
    <w:semiHidden/>
    <w:rsid w:val="0025117F"/>
    <w:rPr>
      <w:vertAlign w:val="superscript"/>
    </w:rPr>
  </w:style>
  <w:style w:type="paragraph" w:customStyle="1" w:styleId="SessionMeetingPlace">
    <w:name w:val="Session_MeetingPlace"/>
    <w:basedOn w:val="Normal"/>
    <w:semiHidden/>
    <w:rsid w:val="0025117F"/>
    <w:pPr>
      <w:spacing w:before="480"/>
      <w:jc w:val="center"/>
    </w:pPr>
    <w:rPr>
      <w:b/>
      <w:bCs/>
      <w:kern w:val="28"/>
      <w:sz w:val="24"/>
    </w:rPr>
  </w:style>
  <w:style w:type="paragraph" w:customStyle="1" w:styleId="Original">
    <w:name w:val="Original"/>
    <w:basedOn w:val="Normal"/>
    <w:semiHidden/>
    <w:rsid w:val="0025117F"/>
    <w:pPr>
      <w:spacing w:before="60"/>
      <w:ind w:left="1276"/>
    </w:pPr>
    <w:rPr>
      <w:b/>
      <w:sz w:val="22"/>
    </w:rPr>
  </w:style>
  <w:style w:type="paragraph" w:styleId="Date">
    <w:name w:val="Date"/>
    <w:basedOn w:val="Normal"/>
    <w:link w:val="DateChar"/>
    <w:semiHidden/>
    <w:rsid w:val="0025117F"/>
    <w:pPr>
      <w:spacing w:line="340" w:lineRule="exact"/>
      <w:ind w:left="1276"/>
    </w:pPr>
    <w:rPr>
      <w:b/>
      <w:sz w:val="22"/>
    </w:rPr>
  </w:style>
  <w:style w:type="character" w:customStyle="1" w:styleId="DateChar">
    <w:name w:val="Date Char"/>
    <w:basedOn w:val="DefaultParagraphFont"/>
    <w:link w:val="Date"/>
    <w:semiHidden/>
    <w:rsid w:val="00194794"/>
    <w:rPr>
      <w:rFonts w:ascii="Arial" w:hAnsi="Arial"/>
      <w:b/>
      <w:szCs w:val="20"/>
      <w:lang w:eastAsia="en-US"/>
    </w:rPr>
  </w:style>
  <w:style w:type="paragraph" w:customStyle="1" w:styleId="Code">
    <w:name w:val="Code"/>
    <w:basedOn w:val="Normal"/>
    <w:link w:val="CodeChar"/>
    <w:semiHidden/>
    <w:rsid w:val="0025117F"/>
    <w:pPr>
      <w:spacing w:line="340" w:lineRule="atLeast"/>
      <w:ind w:left="1276"/>
    </w:pPr>
    <w:rPr>
      <w:b/>
      <w:bCs/>
      <w:spacing w:val="10"/>
    </w:rPr>
  </w:style>
  <w:style w:type="paragraph" w:customStyle="1" w:styleId="Country">
    <w:name w:val="Country"/>
    <w:basedOn w:val="Normal"/>
    <w:semiHidden/>
    <w:rsid w:val="0025117F"/>
    <w:pPr>
      <w:spacing w:before="60" w:after="480"/>
      <w:jc w:val="center"/>
    </w:pPr>
  </w:style>
  <w:style w:type="paragraph" w:customStyle="1" w:styleId="Lettrine">
    <w:name w:val="Lettrine"/>
    <w:basedOn w:val="Normal"/>
    <w:rsid w:val="0025117F"/>
    <w:pPr>
      <w:spacing w:line="340" w:lineRule="atLeast"/>
      <w:jc w:val="right"/>
    </w:pPr>
    <w:rPr>
      <w:b/>
      <w:bCs/>
      <w:sz w:val="36"/>
    </w:rPr>
  </w:style>
  <w:style w:type="paragraph" w:customStyle="1" w:styleId="LogoUPOV">
    <w:name w:val="LogoUPOV"/>
    <w:basedOn w:val="Normal"/>
    <w:rsid w:val="0025117F"/>
    <w:pPr>
      <w:spacing w:before="600" w:after="80"/>
      <w:jc w:val="center"/>
    </w:pPr>
    <w:rPr>
      <w:snapToGrid w:val="0"/>
    </w:rPr>
  </w:style>
  <w:style w:type="paragraph" w:customStyle="1" w:styleId="Sessiontc">
    <w:name w:val="Session_tc"/>
    <w:basedOn w:val="StyleSessionAllcaps"/>
    <w:rsid w:val="0025117F"/>
    <w:pPr>
      <w:spacing w:before="0" w:line="280" w:lineRule="exact"/>
      <w:jc w:val="left"/>
    </w:pPr>
    <w:rPr>
      <w:caps w:val="0"/>
      <w:sz w:val="20"/>
    </w:rPr>
  </w:style>
  <w:style w:type="paragraph" w:customStyle="1" w:styleId="TitreUpov">
    <w:name w:val="TitreUpov"/>
    <w:basedOn w:val="Normal"/>
    <w:semiHidden/>
    <w:rsid w:val="0025117F"/>
    <w:pPr>
      <w:spacing w:before="60"/>
      <w:jc w:val="center"/>
    </w:pPr>
    <w:rPr>
      <w:b/>
      <w:sz w:val="24"/>
    </w:rPr>
  </w:style>
  <w:style w:type="paragraph" w:customStyle="1" w:styleId="StyleSessionAllcaps">
    <w:name w:val="Style Session + All caps"/>
    <w:basedOn w:val="Session"/>
    <w:semiHidden/>
    <w:rsid w:val="0025117F"/>
    <w:pPr>
      <w:spacing w:before="480"/>
    </w:pPr>
    <w:rPr>
      <w:bCs/>
      <w:caps/>
      <w:kern w:val="28"/>
      <w:sz w:val="24"/>
    </w:rPr>
  </w:style>
  <w:style w:type="paragraph" w:customStyle="1" w:styleId="plcountry">
    <w:name w:val="plcountry"/>
    <w:basedOn w:val="Normal"/>
    <w:rsid w:val="0025117F"/>
    <w:pPr>
      <w:keepNext/>
      <w:keepLines/>
      <w:spacing w:before="180" w:after="120"/>
      <w:jc w:val="left"/>
    </w:pPr>
    <w:rPr>
      <w:caps/>
      <w:noProof/>
      <w:snapToGrid w:val="0"/>
      <w:u w:val="single"/>
    </w:rPr>
  </w:style>
  <w:style w:type="paragraph" w:customStyle="1" w:styleId="pldetails">
    <w:name w:val="pldetails"/>
    <w:basedOn w:val="Normal"/>
    <w:rsid w:val="0025117F"/>
    <w:pPr>
      <w:keepLines/>
      <w:spacing w:before="60" w:after="60"/>
      <w:jc w:val="left"/>
    </w:pPr>
    <w:rPr>
      <w:noProof/>
      <w:snapToGrid w:val="0"/>
    </w:rPr>
  </w:style>
  <w:style w:type="paragraph" w:customStyle="1" w:styleId="plheading">
    <w:name w:val="plheading"/>
    <w:basedOn w:val="Normal"/>
    <w:rsid w:val="0025117F"/>
    <w:pPr>
      <w:keepNext/>
      <w:spacing w:before="480" w:after="120"/>
      <w:jc w:val="center"/>
    </w:pPr>
    <w:rPr>
      <w:caps/>
      <w:snapToGrid w:val="0"/>
      <w:u w:val="single"/>
    </w:rPr>
  </w:style>
  <w:style w:type="paragraph" w:customStyle="1" w:styleId="Sessiontcplacedate">
    <w:name w:val="Session_tc_place_date"/>
    <w:basedOn w:val="SessionMeetingPlace"/>
    <w:rsid w:val="0025117F"/>
    <w:pPr>
      <w:spacing w:before="240"/>
      <w:contextualSpacing/>
      <w:jc w:val="left"/>
    </w:pPr>
    <w:rPr>
      <w:sz w:val="20"/>
    </w:rPr>
  </w:style>
  <w:style w:type="paragraph" w:customStyle="1" w:styleId="Titleofdoc0">
    <w:name w:val="Title_of_doc"/>
    <w:basedOn w:val="TitleofDoc"/>
    <w:rsid w:val="0025117F"/>
    <w:pPr>
      <w:spacing w:before="600" w:after="240"/>
      <w:jc w:val="left"/>
    </w:pPr>
    <w:rPr>
      <w:b/>
    </w:rPr>
  </w:style>
  <w:style w:type="paragraph" w:customStyle="1" w:styleId="preparedby1">
    <w:name w:val="prepared_by"/>
    <w:basedOn w:val="preparedby0"/>
    <w:rsid w:val="0025117F"/>
    <w:pPr>
      <w:spacing w:before="0" w:after="240"/>
    </w:pPr>
    <w:rPr>
      <w:iCs/>
    </w:rPr>
  </w:style>
  <w:style w:type="character" w:customStyle="1" w:styleId="CodeChar">
    <w:name w:val="Code Char"/>
    <w:basedOn w:val="DefaultParagraphFont"/>
    <w:link w:val="Code"/>
    <w:semiHidden/>
    <w:locked/>
    <w:rsid w:val="0025117F"/>
    <w:rPr>
      <w:rFonts w:ascii="Arial" w:hAnsi="Arial"/>
      <w:b/>
      <w:bCs/>
      <w:spacing w:val="10"/>
      <w:sz w:val="20"/>
      <w:szCs w:val="20"/>
      <w:lang w:eastAsia="en-US"/>
    </w:rPr>
  </w:style>
  <w:style w:type="paragraph" w:customStyle="1" w:styleId="endofdoc">
    <w:name w:val="end_of_doc"/>
    <w:next w:val="Header"/>
    <w:autoRedefine/>
    <w:rsid w:val="0025117F"/>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25117F"/>
    <w:rPr>
      <w:rFonts w:ascii="Arial" w:hAnsi="Arial"/>
      <w:b/>
      <w:bCs/>
      <w:spacing w:val="10"/>
      <w:sz w:val="18"/>
      <w:szCs w:val="20"/>
      <w:lang w:eastAsia="en-US"/>
    </w:rPr>
  </w:style>
  <w:style w:type="paragraph" w:styleId="TOC2">
    <w:name w:val="toc 2"/>
    <w:next w:val="Normal"/>
    <w:autoRedefine/>
    <w:uiPriority w:val="39"/>
    <w:rsid w:val="007437F0"/>
    <w:pPr>
      <w:tabs>
        <w:tab w:val="right" w:leader="dot" w:pos="9639"/>
      </w:tabs>
      <w:spacing w:before="120"/>
      <w:ind w:left="993" w:right="851" w:hanging="709"/>
      <w:contextualSpacing/>
    </w:pPr>
    <w:rPr>
      <w:rFonts w:ascii="Arial" w:hAnsi="Arial"/>
      <w:smallCaps/>
      <w:sz w:val="20"/>
      <w:szCs w:val="20"/>
      <w:lang w:val="en-US" w:eastAsia="en-US"/>
    </w:rPr>
  </w:style>
  <w:style w:type="paragraph" w:styleId="TOC3">
    <w:name w:val="toc 3"/>
    <w:next w:val="Normal"/>
    <w:autoRedefine/>
    <w:uiPriority w:val="39"/>
    <w:rsid w:val="007437F0"/>
    <w:pPr>
      <w:tabs>
        <w:tab w:val="left" w:pos="738"/>
        <w:tab w:val="right" w:leader="dot" w:pos="9639"/>
      </w:tabs>
      <w:spacing w:before="120"/>
      <w:ind w:left="709" w:right="851" w:hanging="425"/>
      <w:contextualSpacing/>
    </w:pPr>
    <w:rPr>
      <w:rFonts w:ascii="Arial" w:hAnsi="Arial"/>
      <w:sz w:val="18"/>
      <w:szCs w:val="20"/>
      <w:lang w:val="fr-FR" w:eastAsia="en-US"/>
    </w:rPr>
  </w:style>
  <w:style w:type="character" w:styleId="Hyperlink">
    <w:name w:val="Hyperlink"/>
    <w:basedOn w:val="DefaultParagraphFont"/>
    <w:uiPriority w:val="99"/>
    <w:rsid w:val="0025117F"/>
    <w:rPr>
      <w:rFonts w:ascii="Arial" w:hAnsi="Arial"/>
      <w:color w:val="0000FF"/>
      <w:u w:val="single"/>
    </w:rPr>
  </w:style>
  <w:style w:type="paragraph" w:styleId="TOC4">
    <w:name w:val="toc 4"/>
    <w:next w:val="Normal"/>
    <w:autoRedefine/>
    <w:semiHidden/>
    <w:rsid w:val="0025117F"/>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uiPriority w:val="39"/>
    <w:rsid w:val="007437F0"/>
    <w:pPr>
      <w:tabs>
        <w:tab w:val="left" w:pos="284"/>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25117F"/>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25117F"/>
    <w:rPr>
      <w:rFonts w:ascii="Tahoma" w:hAnsi="Tahoma" w:cs="Tahoma"/>
      <w:sz w:val="16"/>
      <w:szCs w:val="16"/>
    </w:rPr>
  </w:style>
  <w:style w:type="character" w:customStyle="1" w:styleId="BalloonTextChar">
    <w:name w:val="Balloon Text Char"/>
    <w:basedOn w:val="DefaultParagraphFont"/>
    <w:link w:val="BalloonText"/>
    <w:locked/>
    <w:rsid w:val="0025117F"/>
    <w:rPr>
      <w:rFonts w:ascii="Tahoma" w:hAnsi="Tahoma" w:cs="Tahoma"/>
      <w:sz w:val="16"/>
      <w:szCs w:val="16"/>
      <w:lang w:eastAsia="en-US"/>
    </w:rPr>
  </w:style>
  <w:style w:type="paragraph" w:customStyle="1" w:styleId="Doccode">
    <w:name w:val="Doc_code"/>
    <w:qFormat/>
    <w:rsid w:val="0025117F"/>
    <w:rPr>
      <w:rFonts w:ascii="Arial" w:hAnsi="Arial"/>
      <w:b/>
      <w:bCs/>
      <w:spacing w:val="10"/>
      <w:sz w:val="18"/>
      <w:szCs w:val="20"/>
      <w:lang w:val="en-US" w:eastAsia="en-US"/>
    </w:rPr>
  </w:style>
  <w:style w:type="character" w:styleId="Emphasis">
    <w:name w:val="Emphasis"/>
    <w:basedOn w:val="DefaultParagraphFont"/>
    <w:uiPriority w:val="99"/>
    <w:qFormat/>
    <w:rsid w:val="00DF30C8"/>
    <w:rPr>
      <w:rFonts w:cs="Times New Roman"/>
      <w:i/>
      <w:iCs/>
    </w:rPr>
  </w:style>
  <w:style w:type="paragraph" w:styleId="ListParagraph">
    <w:name w:val="List Paragraph"/>
    <w:basedOn w:val="Normal"/>
    <w:uiPriority w:val="34"/>
    <w:qFormat/>
    <w:rsid w:val="00DF30C8"/>
    <w:pPr>
      <w:ind w:left="720"/>
    </w:pPr>
    <w:rPr>
      <w:lang w:val="en-US"/>
    </w:rPr>
  </w:style>
  <w:style w:type="character" w:styleId="FollowedHyperlink">
    <w:name w:val="FollowedHyperlink"/>
    <w:basedOn w:val="DefaultParagraphFont"/>
    <w:uiPriority w:val="99"/>
    <w:rsid w:val="008C7F01"/>
    <w:rPr>
      <w:rFonts w:cs="Times New Roman"/>
      <w:color w:val="800080"/>
      <w:u w:val="single"/>
    </w:rPr>
  </w:style>
  <w:style w:type="table" w:styleId="TableGrid">
    <w:name w:val="Table Grid"/>
    <w:basedOn w:val="TableNormal"/>
    <w:rsid w:val="00C435BD"/>
    <w:pPr>
      <w:jc w:val="both"/>
    </w:pPr>
    <w:rPr>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90C"/>
    <w:rPr>
      <w:rFonts w:ascii="Arial" w:hAnsi="Arial" w:cs="Arial"/>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index 1" w:uiPriority="0"/>
    <w:lsdException w:name="index 2" w:uiPriority="0"/>
    <w:lsdException w:name="index 3" w:uiPriority="0"/>
    <w:lsdException w:name="toc 1" w:locked="1" w:semiHidden="0" w:uiPriority="39" w:unhideWhenUsed="0"/>
    <w:lsdException w:name="toc 2" w:locked="1" w:semiHidden="0" w:uiPriority="39" w:unhideWhenUsed="0"/>
    <w:lsdException w:name="toc 3" w:locked="1" w:semiHidden="0" w:uiPriority="39" w:unhideWhenUsed="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macro" w:uiPriority="0"/>
    <w:lsdException w:name="Title" w:locked="1" w:semiHidden="0" w:uiPriority="0" w:unhideWhenUsed="0" w:qFormat="1"/>
    <w:lsdException w:name="Closing" w:uiPriority="0"/>
    <w:lsdException w:name="Signature" w:uiPriority="0"/>
    <w:lsdException w:name="Default Paragraph Font" w:uiPriority="1"/>
    <w:lsdException w:name="Body Text" w:uiPriority="0"/>
    <w:lsdException w:name="Subtitle" w:locked="1" w:semiHidden="0" w:uiPriority="0" w:unhideWhenUsed="0" w:qFormat="1"/>
    <w:lsdException w:name="Date" w:uiPriority="0"/>
    <w:lsdException w:name="Hyperlink" w:locked="1" w:semiHidden="0" w:unhideWhenUsed="0"/>
    <w:lsdException w:name="Strong" w:locked="1" w:semiHidden="0" w:uiPriority="0" w:unhideWhenUsed="0" w:qFormat="1"/>
    <w:lsdException w:name="Emphasis" w:locked="1"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17F"/>
    <w:pPr>
      <w:jc w:val="both"/>
    </w:pPr>
    <w:rPr>
      <w:rFonts w:ascii="Arial" w:hAnsi="Arial"/>
      <w:sz w:val="20"/>
      <w:szCs w:val="20"/>
      <w:lang w:eastAsia="en-US"/>
    </w:rPr>
  </w:style>
  <w:style w:type="paragraph" w:styleId="Heading1">
    <w:name w:val="heading 1"/>
    <w:next w:val="Normal"/>
    <w:link w:val="Heading1Char"/>
    <w:autoRedefine/>
    <w:qFormat/>
    <w:rsid w:val="0025117F"/>
    <w:pPr>
      <w:keepNext/>
      <w:keepLines/>
      <w:jc w:val="both"/>
      <w:outlineLvl w:val="0"/>
    </w:pPr>
    <w:rPr>
      <w:rFonts w:ascii="Arial" w:hAnsi="Arial" w:cs="Arial"/>
      <w:caps/>
      <w:sz w:val="20"/>
      <w:szCs w:val="20"/>
      <w:lang w:val="es-ES" w:eastAsia="en-US"/>
    </w:rPr>
  </w:style>
  <w:style w:type="paragraph" w:styleId="Heading2">
    <w:name w:val="heading 2"/>
    <w:next w:val="Normal"/>
    <w:link w:val="Heading2Char"/>
    <w:autoRedefine/>
    <w:qFormat/>
    <w:rsid w:val="0025117F"/>
    <w:pPr>
      <w:keepNext/>
      <w:jc w:val="both"/>
      <w:outlineLvl w:val="1"/>
    </w:pPr>
    <w:rPr>
      <w:rFonts w:ascii="Arial" w:hAnsi="Arial"/>
      <w:sz w:val="20"/>
      <w:szCs w:val="20"/>
      <w:u w:val="single"/>
      <w:lang w:val="en-US" w:eastAsia="en-US"/>
    </w:rPr>
  </w:style>
  <w:style w:type="paragraph" w:styleId="Heading3">
    <w:name w:val="heading 3"/>
    <w:next w:val="Normal"/>
    <w:link w:val="Heading3Char"/>
    <w:autoRedefine/>
    <w:qFormat/>
    <w:rsid w:val="0025117F"/>
    <w:pPr>
      <w:keepNext/>
      <w:jc w:val="both"/>
      <w:outlineLvl w:val="2"/>
    </w:pPr>
    <w:rPr>
      <w:rFonts w:ascii="Arial" w:hAnsi="Arial"/>
      <w:i/>
      <w:sz w:val="20"/>
      <w:szCs w:val="20"/>
      <w:lang w:val="en-US" w:eastAsia="en-US"/>
    </w:rPr>
  </w:style>
  <w:style w:type="paragraph" w:styleId="Heading4">
    <w:name w:val="heading 4"/>
    <w:next w:val="Normal"/>
    <w:link w:val="Heading4Char"/>
    <w:autoRedefine/>
    <w:qFormat/>
    <w:rsid w:val="0025117F"/>
    <w:pPr>
      <w:keepNext/>
      <w:ind w:left="567"/>
      <w:jc w:val="both"/>
      <w:outlineLvl w:val="3"/>
    </w:pPr>
    <w:rPr>
      <w:rFonts w:ascii="Arial" w:hAnsi="Arial"/>
      <w:sz w:val="20"/>
      <w:szCs w:val="20"/>
      <w:u w:val="single"/>
      <w:lang w:val="fr-FR" w:eastAsia="en-US"/>
    </w:rPr>
  </w:style>
  <w:style w:type="paragraph" w:styleId="Heading5">
    <w:name w:val="heading 5"/>
    <w:next w:val="Normal"/>
    <w:link w:val="Heading5Char"/>
    <w:autoRedefine/>
    <w:qFormat/>
    <w:rsid w:val="0025117F"/>
    <w:pPr>
      <w:keepNext/>
      <w:ind w:left="1134" w:hanging="567"/>
      <w:jc w:val="both"/>
      <w:outlineLvl w:val="4"/>
    </w:pPr>
    <w:rPr>
      <w:rFonts w:ascii="Arial" w:hAnsi="Arial"/>
      <w:i/>
      <w:sz w:val="20"/>
      <w:szCs w:val="20"/>
      <w:lang w:val="en-US" w:eastAsia="en-US"/>
    </w:rPr>
  </w:style>
  <w:style w:type="paragraph" w:styleId="Heading9">
    <w:name w:val="heading 9"/>
    <w:basedOn w:val="Normal"/>
    <w:next w:val="Normal"/>
    <w:link w:val="Heading9Char"/>
    <w:qFormat/>
    <w:rsid w:val="0025117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25117F"/>
    <w:rPr>
      <w:rFonts w:ascii="Arial" w:hAnsi="Arial" w:cs="Arial"/>
      <w:caps/>
      <w:sz w:val="20"/>
      <w:szCs w:val="20"/>
      <w:lang w:val="es-ES" w:eastAsia="en-US"/>
    </w:rPr>
  </w:style>
  <w:style w:type="character" w:customStyle="1" w:styleId="Heading2Char">
    <w:name w:val="Heading 2 Char"/>
    <w:basedOn w:val="DefaultParagraphFont"/>
    <w:link w:val="Heading2"/>
    <w:locked/>
    <w:rsid w:val="00DF30C8"/>
    <w:rPr>
      <w:rFonts w:ascii="Arial" w:hAnsi="Arial"/>
      <w:sz w:val="20"/>
      <w:szCs w:val="20"/>
      <w:u w:val="single"/>
      <w:lang w:val="en-US" w:eastAsia="en-US"/>
    </w:rPr>
  </w:style>
  <w:style w:type="character" w:customStyle="1" w:styleId="Heading3Char">
    <w:name w:val="Heading 3 Char"/>
    <w:basedOn w:val="DefaultParagraphFont"/>
    <w:link w:val="Heading3"/>
    <w:rsid w:val="00F17E6A"/>
    <w:rPr>
      <w:rFonts w:ascii="Arial" w:hAnsi="Arial"/>
      <w:i/>
      <w:sz w:val="20"/>
      <w:szCs w:val="20"/>
      <w:lang w:val="en-US" w:eastAsia="en-US"/>
    </w:rPr>
  </w:style>
  <w:style w:type="character" w:customStyle="1" w:styleId="Heading4Char">
    <w:name w:val="Heading 4 Char"/>
    <w:basedOn w:val="DefaultParagraphFont"/>
    <w:link w:val="Heading4"/>
    <w:rsid w:val="00194794"/>
    <w:rPr>
      <w:rFonts w:ascii="Arial" w:hAnsi="Arial"/>
      <w:sz w:val="20"/>
      <w:szCs w:val="20"/>
      <w:u w:val="single"/>
      <w:lang w:val="fr-FR" w:eastAsia="en-US"/>
    </w:rPr>
  </w:style>
  <w:style w:type="character" w:customStyle="1" w:styleId="Heading5Char">
    <w:name w:val="Heading 5 Char"/>
    <w:basedOn w:val="DefaultParagraphFont"/>
    <w:link w:val="Heading5"/>
    <w:rsid w:val="00194794"/>
    <w:rPr>
      <w:rFonts w:ascii="Arial" w:hAnsi="Arial"/>
      <w:i/>
      <w:sz w:val="20"/>
      <w:szCs w:val="20"/>
      <w:lang w:val="en-US" w:eastAsia="en-US"/>
    </w:rPr>
  </w:style>
  <w:style w:type="character" w:customStyle="1" w:styleId="Heading9Char">
    <w:name w:val="Heading 9 Char"/>
    <w:basedOn w:val="DefaultParagraphFont"/>
    <w:link w:val="Heading9"/>
    <w:rsid w:val="00194794"/>
    <w:rPr>
      <w:rFonts w:ascii="Arial" w:hAnsi="Arial"/>
      <w:i/>
      <w:sz w:val="18"/>
      <w:szCs w:val="20"/>
      <w:lang w:eastAsia="en-US"/>
    </w:rPr>
  </w:style>
  <w:style w:type="paragraph" w:styleId="Header">
    <w:name w:val="header"/>
    <w:link w:val="HeaderChar"/>
    <w:rsid w:val="0025117F"/>
    <w:pPr>
      <w:jc w:val="center"/>
    </w:pPr>
    <w:rPr>
      <w:rFonts w:ascii="Arial" w:hAnsi="Arial"/>
      <w:sz w:val="20"/>
      <w:szCs w:val="20"/>
      <w:lang w:eastAsia="en-US"/>
    </w:rPr>
  </w:style>
  <w:style w:type="character" w:customStyle="1" w:styleId="HeaderChar">
    <w:name w:val="Header Char"/>
    <w:basedOn w:val="DefaultParagraphFont"/>
    <w:link w:val="Header"/>
    <w:locked/>
    <w:rsid w:val="00DF30C8"/>
    <w:rPr>
      <w:rFonts w:ascii="Arial" w:hAnsi="Arial"/>
      <w:sz w:val="20"/>
      <w:szCs w:val="20"/>
      <w:lang w:eastAsia="en-US"/>
    </w:rPr>
  </w:style>
  <w:style w:type="paragraph" w:styleId="Footer">
    <w:name w:val="footer"/>
    <w:aliases w:val="doc_path_name"/>
    <w:link w:val="FooterChar"/>
    <w:autoRedefine/>
    <w:rsid w:val="0025117F"/>
    <w:pPr>
      <w:jc w:val="both"/>
    </w:pPr>
    <w:rPr>
      <w:rFonts w:ascii="Arial" w:hAnsi="Arial"/>
      <w:sz w:val="14"/>
      <w:szCs w:val="20"/>
      <w:lang w:val="en-US" w:eastAsia="en-US"/>
    </w:rPr>
  </w:style>
  <w:style w:type="character" w:customStyle="1" w:styleId="FooterChar">
    <w:name w:val="Footer Char"/>
    <w:aliases w:val="doc_path_name Char"/>
    <w:basedOn w:val="DefaultParagraphFont"/>
    <w:link w:val="Footer"/>
    <w:rsid w:val="00194794"/>
    <w:rPr>
      <w:rFonts w:ascii="Arial" w:hAnsi="Arial"/>
      <w:sz w:val="14"/>
      <w:szCs w:val="20"/>
      <w:lang w:val="en-US" w:eastAsia="en-US"/>
    </w:rPr>
  </w:style>
  <w:style w:type="character" w:styleId="PageNumber">
    <w:name w:val="page number"/>
    <w:basedOn w:val="DefaultParagraphFont"/>
    <w:rsid w:val="0025117F"/>
    <w:rPr>
      <w:rFonts w:ascii="Arial" w:hAnsi="Arial"/>
      <w:sz w:val="20"/>
    </w:rPr>
  </w:style>
  <w:style w:type="paragraph" w:styleId="Title">
    <w:name w:val="Title"/>
    <w:basedOn w:val="Normal"/>
    <w:link w:val="TitleChar"/>
    <w:qFormat/>
    <w:rsid w:val="0025117F"/>
    <w:pPr>
      <w:spacing w:after="300"/>
      <w:jc w:val="center"/>
    </w:pPr>
    <w:rPr>
      <w:b/>
      <w:caps/>
      <w:kern w:val="28"/>
      <w:sz w:val="30"/>
    </w:rPr>
  </w:style>
  <w:style w:type="character" w:customStyle="1" w:styleId="TitleChar">
    <w:name w:val="Title Char"/>
    <w:basedOn w:val="DefaultParagraphFont"/>
    <w:link w:val="Title"/>
    <w:rsid w:val="00194794"/>
    <w:rPr>
      <w:rFonts w:ascii="Arial" w:hAnsi="Arial"/>
      <w:b/>
      <w:caps/>
      <w:kern w:val="28"/>
      <w:sz w:val="30"/>
      <w:szCs w:val="20"/>
      <w:lang w:eastAsia="en-US"/>
    </w:rPr>
  </w:style>
  <w:style w:type="paragraph" w:customStyle="1" w:styleId="preparedby">
    <w:name w:val="preparedby"/>
    <w:basedOn w:val="Normal"/>
    <w:next w:val="Normal"/>
    <w:semiHidden/>
    <w:rsid w:val="0025117F"/>
    <w:pPr>
      <w:spacing w:after="600"/>
      <w:jc w:val="center"/>
    </w:pPr>
    <w:rPr>
      <w:i/>
    </w:rPr>
  </w:style>
  <w:style w:type="paragraph" w:customStyle="1" w:styleId="Docoriginal">
    <w:name w:val="Doc_original"/>
    <w:basedOn w:val="Code"/>
    <w:link w:val="DocoriginalChar"/>
    <w:rsid w:val="0025117F"/>
    <w:pPr>
      <w:spacing w:before="240" w:line="240" w:lineRule="exact"/>
      <w:ind w:left="0"/>
      <w:contextualSpacing/>
      <w:jc w:val="left"/>
    </w:pPr>
    <w:rPr>
      <w:sz w:val="18"/>
    </w:rPr>
  </w:style>
  <w:style w:type="paragraph" w:customStyle="1" w:styleId="DecisionParagraphs">
    <w:name w:val="DecisionParagraphs"/>
    <w:basedOn w:val="Normal"/>
    <w:rsid w:val="0025117F"/>
    <w:pPr>
      <w:tabs>
        <w:tab w:val="left" w:pos="5387"/>
      </w:tabs>
      <w:ind w:left="4820"/>
    </w:pPr>
    <w:rPr>
      <w:i/>
    </w:rPr>
  </w:style>
  <w:style w:type="paragraph" w:styleId="FootnoteText">
    <w:name w:val="footnote text"/>
    <w:link w:val="FootnoteTextChar"/>
    <w:autoRedefine/>
    <w:rsid w:val="0025117F"/>
    <w:pPr>
      <w:spacing w:before="60"/>
      <w:ind w:left="567" w:hanging="567"/>
      <w:jc w:val="both"/>
    </w:pPr>
    <w:rPr>
      <w:rFonts w:ascii="Arial" w:hAnsi="Arial"/>
      <w:sz w:val="16"/>
      <w:szCs w:val="20"/>
      <w:lang w:eastAsia="en-US"/>
    </w:rPr>
  </w:style>
  <w:style w:type="character" w:customStyle="1" w:styleId="FootnoteTextChar">
    <w:name w:val="Footnote Text Char"/>
    <w:basedOn w:val="DefaultParagraphFont"/>
    <w:link w:val="FootnoteText"/>
    <w:rsid w:val="00194794"/>
    <w:rPr>
      <w:rFonts w:ascii="Arial" w:hAnsi="Arial"/>
      <w:sz w:val="16"/>
      <w:szCs w:val="20"/>
      <w:lang w:eastAsia="en-US"/>
    </w:rPr>
  </w:style>
  <w:style w:type="character" w:styleId="FootnoteReference">
    <w:name w:val="footnote reference"/>
    <w:basedOn w:val="DefaultParagraphFont"/>
    <w:semiHidden/>
    <w:rsid w:val="0025117F"/>
    <w:rPr>
      <w:vertAlign w:val="superscript"/>
    </w:rPr>
  </w:style>
  <w:style w:type="paragraph" w:styleId="Closing">
    <w:name w:val="Closing"/>
    <w:basedOn w:val="Normal"/>
    <w:link w:val="ClosingChar"/>
    <w:rsid w:val="0025117F"/>
    <w:pPr>
      <w:ind w:left="4536"/>
      <w:jc w:val="center"/>
    </w:pPr>
  </w:style>
  <w:style w:type="character" w:customStyle="1" w:styleId="ClosingChar">
    <w:name w:val="Closing Char"/>
    <w:basedOn w:val="DefaultParagraphFont"/>
    <w:link w:val="Closing"/>
    <w:rsid w:val="00194794"/>
    <w:rPr>
      <w:rFonts w:ascii="Arial" w:hAnsi="Arial"/>
      <w:sz w:val="20"/>
      <w:szCs w:val="20"/>
      <w:lang w:eastAsia="en-US"/>
    </w:rPr>
  </w:style>
  <w:style w:type="paragraph" w:styleId="Index1">
    <w:name w:val="index 1"/>
    <w:basedOn w:val="Normal"/>
    <w:next w:val="Normal"/>
    <w:semiHidden/>
    <w:rsid w:val="0025117F"/>
    <w:pPr>
      <w:tabs>
        <w:tab w:val="right" w:leader="dot" w:pos="9071"/>
      </w:tabs>
      <w:ind w:left="284" w:hanging="284"/>
    </w:pPr>
    <w:rPr>
      <w:sz w:val="24"/>
    </w:rPr>
  </w:style>
  <w:style w:type="paragraph" w:styleId="Index2">
    <w:name w:val="index 2"/>
    <w:basedOn w:val="Normal"/>
    <w:next w:val="Normal"/>
    <w:semiHidden/>
    <w:rsid w:val="0025117F"/>
    <w:pPr>
      <w:tabs>
        <w:tab w:val="right" w:leader="dot" w:pos="9071"/>
      </w:tabs>
      <w:ind w:left="568" w:hanging="284"/>
    </w:pPr>
    <w:rPr>
      <w:sz w:val="24"/>
    </w:rPr>
  </w:style>
  <w:style w:type="paragraph" w:styleId="Index3">
    <w:name w:val="index 3"/>
    <w:basedOn w:val="Normal"/>
    <w:next w:val="Normal"/>
    <w:semiHidden/>
    <w:rsid w:val="0025117F"/>
    <w:pPr>
      <w:tabs>
        <w:tab w:val="right" w:leader="dot" w:pos="9071"/>
      </w:tabs>
      <w:ind w:left="851" w:hanging="284"/>
    </w:pPr>
    <w:rPr>
      <w:sz w:val="24"/>
    </w:rPr>
  </w:style>
  <w:style w:type="paragraph" w:styleId="MacroText">
    <w:name w:val="macro"/>
    <w:link w:val="MacroTextChar"/>
    <w:semiHidden/>
    <w:rsid w:val="002511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semiHidden/>
    <w:rsid w:val="00194794"/>
    <w:rPr>
      <w:rFonts w:ascii="Courier New" w:hAnsi="Courier New"/>
      <w:sz w:val="16"/>
      <w:szCs w:val="20"/>
      <w:lang w:val="en-US" w:eastAsia="en-US"/>
    </w:rPr>
  </w:style>
  <w:style w:type="paragraph" w:styleId="Signature">
    <w:name w:val="Signature"/>
    <w:basedOn w:val="Normal"/>
    <w:link w:val="SignatureChar"/>
    <w:rsid w:val="0025117F"/>
    <w:pPr>
      <w:ind w:left="4536"/>
      <w:jc w:val="center"/>
    </w:pPr>
  </w:style>
  <w:style w:type="character" w:customStyle="1" w:styleId="SignatureChar">
    <w:name w:val="Signature Char"/>
    <w:basedOn w:val="DefaultParagraphFont"/>
    <w:link w:val="Signature"/>
    <w:rsid w:val="00194794"/>
    <w:rPr>
      <w:rFonts w:ascii="Arial" w:hAnsi="Arial"/>
      <w:sz w:val="20"/>
      <w:szCs w:val="20"/>
      <w:lang w:eastAsia="en-US"/>
    </w:rPr>
  </w:style>
  <w:style w:type="character" w:customStyle="1" w:styleId="Doclang">
    <w:name w:val="Doc_lang"/>
    <w:basedOn w:val="DefaultParagraphFont"/>
    <w:rsid w:val="0025117F"/>
    <w:rPr>
      <w:rFonts w:ascii="Arial" w:hAnsi="Arial"/>
      <w:sz w:val="20"/>
      <w:lang w:val="en-US"/>
    </w:rPr>
  </w:style>
  <w:style w:type="paragraph" w:customStyle="1" w:styleId="Session">
    <w:name w:val="Session"/>
    <w:basedOn w:val="Normal"/>
    <w:semiHidden/>
    <w:rsid w:val="0025117F"/>
    <w:pPr>
      <w:spacing w:before="60"/>
      <w:jc w:val="center"/>
    </w:pPr>
    <w:rPr>
      <w:b/>
    </w:rPr>
  </w:style>
  <w:style w:type="paragraph" w:customStyle="1" w:styleId="Organizer">
    <w:name w:val="Organizer"/>
    <w:basedOn w:val="Normal"/>
    <w:semiHidden/>
    <w:rsid w:val="0025117F"/>
    <w:pPr>
      <w:spacing w:after="600"/>
      <w:ind w:left="-993" w:right="-994"/>
      <w:jc w:val="center"/>
    </w:pPr>
    <w:rPr>
      <w:b/>
      <w:caps/>
      <w:kern w:val="26"/>
      <w:sz w:val="26"/>
    </w:rPr>
  </w:style>
  <w:style w:type="paragraph" w:styleId="BodyText">
    <w:name w:val="Body Text"/>
    <w:basedOn w:val="Normal"/>
    <w:link w:val="BodyTextChar"/>
    <w:rsid w:val="0025117F"/>
  </w:style>
  <w:style w:type="character" w:customStyle="1" w:styleId="BodyTextChar">
    <w:name w:val="Body Text Char"/>
    <w:basedOn w:val="DefaultParagraphFont"/>
    <w:link w:val="BodyText"/>
    <w:rsid w:val="00194794"/>
    <w:rPr>
      <w:rFonts w:ascii="Arial" w:hAnsi="Arial"/>
      <w:sz w:val="20"/>
      <w:szCs w:val="20"/>
      <w:lang w:eastAsia="en-US"/>
    </w:rPr>
  </w:style>
  <w:style w:type="paragraph" w:customStyle="1" w:styleId="Disclaimer">
    <w:name w:val="Disclaimer"/>
    <w:next w:val="Normal"/>
    <w:qFormat/>
    <w:rsid w:val="0025117F"/>
    <w:pPr>
      <w:spacing w:after="600"/>
    </w:pPr>
    <w:rPr>
      <w:rFonts w:ascii="Arial" w:hAnsi="Arial"/>
      <w:i/>
      <w:iCs/>
      <w:color w:val="A6A6A6" w:themeColor="background1" w:themeShade="A6"/>
      <w:sz w:val="20"/>
      <w:szCs w:val="20"/>
      <w:lang w:eastAsia="en-US"/>
    </w:rPr>
  </w:style>
  <w:style w:type="paragraph" w:customStyle="1" w:styleId="upove">
    <w:name w:val="upov_e"/>
    <w:basedOn w:val="Normal"/>
    <w:rsid w:val="0025117F"/>
    <w:pPr>
      <w:spacing w:before="120"/>
    </w:pPr>
    <w:rPr>
      <w:sz w:val="16"/>
    </w:rPr>
  </w:style>
  <w:style w:type="paragraph" w:customStyle="1" w:styleId="TitleofDoc">
    <w:name w:val="Title of Doc"/>
    <w:basedOn w:val="Normal"/>
    <w:semiHidden/>
    <w:rsid w:val="0025117F"/>
    <w:pPr>
      <w:spacing w:before="1200"/>
      <w:jc w:val="center"/>
    </w:pPr>
    <w:rPr>
      <w:caps/>
    </w:rPr>
  </w:style>
  <w:style w:type="paragraph" w:customStyle="1" w:styleId="preparedby0">
    <w:name w:val="prepared by"/>
    <w:basedOn w:val="Normal"/>
    <w:semiHidden/>
    <w:rsid w:val="0025117F"/>
    <w:pPr>
      <w:spacing w:before="600" w:after="600"/>
      <w:jc w:val="center"/>
    </w:pPr>
    <w:rPr>
      <w:i/>
    </w:rPr>
  </w:style>
  <w:style w:type="paragraph" w:customStyle="1" w:styleId="PlaceAndDate">
    <w:name w:val="PlaceAndDate"/>
    <w:basedOn w:val="Session"/>
    <w:semiHidden/>
    <w:rsid w:val="0025117F"/>
  </w:style>
  <w:style w:type="paragraph" w:styleId="EndnoteText">
    <w:name w:val="endnote text"/>
    <w:basedOn w:val="Normal"/>
    <w:link w:val="EndnoteTextChar"/>
    <w:semiHidden/>
    <w:rsid w:val="0025117F"/>
  </w:style>
  <w:style w:type="character" w:customStyle="1" w:styleId="EndnoteTextChar">
    <w:name w:val="Endnote Text Char"/>
    <w:basedOn w:val="DefaultParagraphFont"/>
    <w:link w:val="EndnoteText"/>
    <w:semiHidden/>
    <w:rsid w:val="00194794"/>
    <w:rPr>
      <w:rFonts w:ascii="Arial" w:hAnsi="Arial"/>
      <w:sz w:val="20"/>
      <w:szCs w:val="20"/>
      <w:lang w:eastAsia="en-US"/>
    </w:rPr>
  </w:style>
  <w:style w:type="character" w:styleId="EndnoteReference">
    <w:name w:val="endnote reference"/>
    <w:basedOn w:val="DefaultParagraphFont"/>
    <w:semiHidden/>
    <w:rsid w:val="0025117F"/>
    <w:rPr>
      <w:vertAlign w:val="superscript"/>
    </w:rPr>
  </w:style>
  <w:style w:type="paragraph" w:customStyle="1" w:styleId="SessionMeetingPlace">
    <w:name w:val="Session_MeetingPlace"/>
    <w:basedOn w:val="Normal"/>
    <w:semiHidden/>
    <w:rsid w:val="0025117F"/>
    <w:pPr>
      <w:spacing w:before="480"/>
      <w:jc w:val="center"/>
    </w:pPr>
    <w:rPr>
      <w:b/>
      <w:bCs/>
      <w:kern w:val="28"/>
      <w:sz w:val="24"/>
    </w:rPr>
  </w:style>
  <w:style w:type="paragraph" w:customStyle="1" w:styleId="Original">
    <w:name w:val="Original"/>
    <w:basedOn w:val="Normal"/>
    <w:semiHidden/>
    <w:rsid w:val="0025117F"/>
    <w:pPr>
      <w:spacing w:before="60"/>
      <w:ind w:left="1276"/>
    </w:pPr>
    <w:rPr>
      <w:b/>
      <w:sz w:val="22"/>
    </w:rPr>
  </w:style>
  <w:style w:type="paragraph" w:styleId="Date">
    <w:name w:val="Date"/>
    <w:basedOn w:val="Normal"/>
    <w:link w:val="DateChar"/>
    <w:semiHidden/>
    <w:rsid w:val="0025117F"/>
    <w:pPr>
      <w:spacing w:line="340" w:lineRule="exact"/>
      <w:ind w:left="1276"/>
    </w:pPr>
    <w:rPr>
      <w:b/>
      <w:sz w:val="22"/>
    </w:rPr>
  </w:style>
  <w:style w:type="character" w:customStyle="1" w:styleId="DateChar">
    <w:name w:val="Date Char"/>
    <w:basedOn w:val="DefaultParagraphFont"/>
    <w:link w:val="Date"/>
    <w:semiHidden/>
    <w:rsid w:val="00194794"/>
    <w:rPr>
      <w:rFonts w:ascii="Arial" w:hAnsi="Arial"/>
      <w:b/>
      <w:szCs w:val="20"/>
      <w:lang w:eastAsia="en-US"/>
    </w:rPr>
  </w:style>
  <w:style w:type="paragraph" w:customStyle="1" w:styleId="Code">
    <w:name w:val="Code"/>
    <w:basedOn w:val="Normal"/>
    <w:link w:val="CodeChar"/>
    <w:semiHidden/>
    <w:rsid w:val="0025117F"/>
    <w:pPr>
      <w:spacing w:line="340" w:lineRule="atLeast"/>
      <w:ind w:left="1276"/>
    </w:pPr>
    <w:rPr>
      <w:b/>
      <w:bCs/>
      <w:spacing w:val="10"/>
    </w:rPr>
  </w:style>
  <w:style w:type="paragraph" w:customStyle="1" w:styleId="Country">
    <w:name w:val="Country"/>
    <w:basedOn w:val="Normal"/>
    <w:semiHidden/>
    <w:rsid w:val="0025117F"/>
    <w:pPr>
      <w:spacing w:before="60" w:after="480"/>
      <w:jc w:val="center"/>
    </w:pPr>
  </w:style>
  <w:style w:type="paragraph" w:customStyle="1" w:styleId="Lettrine">
    <w:name w:val="Lettrine"/>
    <w:basedOn w:val="Normal"/>
    <w:rsid w:val="0025117F"/>
    <w:pPr>
      <w:spacing w:line="340" w:lineRule="atLeast"/>
      <w:jc w:val="right"/>
    </w:pPr>
    <w:rPr>
      <w:b/>
      <w:bCs/>
      <w:sz w:val="36"/>
    </w:rPr>
  </w:style>
  <w:style w:type="paragraph" w:customStyle="1" w:styleId="LogoUPOV">
    <w:name w:val="LogoUPOV"/>
    <w:basedOn w:val="Normal"/>
    <w:rsid w:val="0025117F"/>
    <w:pPr>
      <w:spacing w:before="600" w:after="80"/>
      <w:jc w:val="center"/>
    </w:pPr>
    <w:rPr>
      <w:snapToGrid w:val="0"/>
    </w:rPr>
  </w:style>
  <w:style w:type="paragraph" w:customStyle="1" w:styleId="Sessiontc">
    <w:name w:val="Session_tc"/>
    <w:basedOn w:val="StyleSessionAllcaps"/>
    <w:rsid w:val="0025117F"/>
    <w:pPr>
      <w:spacing w:before="0" w:line="280" w:lineRule="exact"/>
      <w:jc w:val="left"/>
    </w:pPr>
    <w:rPr>
      <w:caps w:val="0"/>
      <w:sz w:val="20"/>
    </w:rPr>
  </w:style>
  <w:style w:type="paragraph" w:customStyle="1" w:styleId="TitreUpov">
    <w:name w:val="TitreUpov"/>
    <w:basedOn w:val="Normal"/>
    <w:semiHidden/>
    <w:rsid w:val="0025117F"/>
    <w:pPr>
      <w:spacing w:before="60"/>
      <w:jc w:val="center"/>
    </w:pPr>
    <w:rPr>
      <w:b/>
      <w:sz w:val="24"/>
    </w:rPr>
  </w:style>
  <w:style w:type="paragraph" w:customStyle="1" w:styleId="StyleSessionAllcaps">
    <w:name w:val="Style Session + All caps"/>
    <w:basedOn w:val="Session"/>
    <w:semiHidden/>
    <w:rsid w:val="0025117F"/>
    <w:pPr>
      <w:spacing w:before="480"/>
    </w:pPr>
    <w:rPr>
      <w:bCs/>
      <w:caps/>
      <w:kern w:val="28"/>
      <w:sz w:val="24"/>
    </w:rPr>
  </w:style>
  <w:style w:type="paragraph" w:customStyle="1" w:styleId="plcountry">
    <w:name w:val="plcountry"/>
    <w:basedOn w:val="Normal"/>
    <w:rsid w:val="0025117F"/>
    <w:pPr>
      <w:keepNext/>
      <w:keepLines/>
      <w:spacing w:before="180" w:after="120"/>
      <w:jc w:val="left"/>
    </w:pPr>
    <w:rPr>
      <w:caps/>
      <w:noProof/>
      <w:snapToGrid w:val="0"/>
      <w:u w:val="single"/>
    </w:rPr>
  </w:style>
  <w:style w:type="paragraph" w:customStyle="1" w:styleId="pldetails">
    <w:name w:val="pldetails"/>
    <w:basedOn w:val="Normal"/>
    <w:rsid w:val="0025117F"/>
    <w:pPr>
      <w:keepLines/>
      <w:spacing w:before="60" w:after="60"/>
      <w:jc w:val="left"/>
    </w:pPr>
    <w:rPr>
      <w:noProof/>
      <w:snapToGrid w:val="0"/>
    </w:rPr>
  </w:style>
  <w:style w:type="paragraph" w:customStyle="1" w:styleId="plheading">
    <w:name w:val="plheading"/>
    <w:basedOn w:val="Normal"/>
    <w:rsid w:val="0025117F"/>
    <w:pPr>
      <w:keepNext/>
      <w:spacing w:before="480" w:after="120"/>
      <w:jc w:val="center"/>
    </w:pPr>
    <w:rPr>
      <w:caps/>
      <w:snapToGrid w:val="0"/>
      <w:u w:val="single"/>
    </w:rPr>
  </w:style>
  <w:style w:type="paragraph" w:customStyle="1" w:styleId="Sessiontcplacedate">
    <w:name w:val="Session_tc_place_date"/>
    <w:basedOn w:val="SessionMeetingPlace"/>
    <w:rsid w:val="0025117F"/>
    <w:pPr>
      <w:spacing w:before="240"/>
      <w:contextualSpacing/>
      <w:jc w:val="left"/>
    </w:pPr>
    <w:rPr>
      <w:sz w:val="20"/>
    </w:rPr>
  </w:style>
  <w:style w:type="paragraph" w:customStyle="1" w:styleId="Titleofdoc0">
    <w:name w:val="Title_of_doc"/>
    <w:basedOn w:val="TitleofDoc"/>
    <w:rsid w:val="0025117F"/>
    <w:pPr>
      <w:spacing w:before="600" w:after="240"/>
      <w:jc w:val="left"/>
    </w:pPr>
    <w:rPr>
      <w:b/>
    </w:rPr>
  </w:style>
  <w:style w:type="paragraph" w:customStyle="1" w:styleId="preparedby1">
    <w:name w:val="prepared_by"/>
    <w:basedOn w:val="preparedby0"/>
    <w:rsid w:val="0025117F"/>
    <w:pPr>
      <w:spacing w:before="0" w:after="240"/>
    </w:pPr>
    <w:rPr>
      <w:iCs/>
    </w:rPr>
  </w:style>
  <w:style w:type="character" w:customStyle="1" w:styleId="CodeChar">
    <w:name w:val="Code Char"/>
    <w:basedOn w:val="DefaultParagraphFont"/>
    <w:link w:val="Code"/>
    <w:semiHidden/>
    <w:locked/>
    <w:rsid w:val="0025117F"/>
    <w:rPr>
      <w:rFonts w:ascii="Arial" w:hAnsi="Arial"/>
      <w:b/>
      <w:bCs/>
      <w:spacing w:val="10"/>
      <w:sz w:val="20"/>
      <w:szCs w:val="20"/>
      <w:lang w:eastAsia="en-US"/>
    </w:rPr>
  </w:style>
  <w:style w:type="paragraph" w:customStyle="1" w:styleId="endofdoc">
    <w:name w:val="end_of_doc"/>
    <w:next w:val="Header"/>
    <w:autoRedefine/>
    <w:rsid w:val="0025117F"/>
    <w:pPr>
      <w:spacing w:before="480"/>
      <w:ind w:left="567" w:hanging="567"/>
      <w:jc w:val="right"/>
    </w:pPr>
    <w:rPr>
      <w:rFonts w:ascii="Arial" w:hAnsi="Arial"/>
      <w:sz w:val="20"/>
      <w:szCs w:val="20"/>
      <w:lang w:val="en-US" w:eastAsia="en-US"/>
    </w:rPr>
  </w:style>
  <w:style w:type="character" w:customStyle="1" w:styleId="DocoriginalChar">
    <w:name w:val="Doc_original Char"/>
    <w:basedOn w:val="CodeChar"/>
    <w:link w:val="Docoriginal"/>
    <w:locked/>
    <w:rsid w:val="0025117F"/>
    <w:rPr>
      <w:rFonts w:ascii="Arial" w:hAnsi="Arial"/>
      <w:b/>
      <w:bCs/>
      <w:spacing w:val="10"/>
      <w:sz w:val="18"/>
      <w:szCs w:val="20"/>
      <w:lang w:eastAsia="en-US"/>
    </w:rPr>
  </w:style>
  <w:style w:type="paragraph" w:styleId="TOC2">
    <w:name w:val="toc 2"/>
    <w:next w:val="Normal"/>
    <w:autoRedefine/>
    <w:uiPriority w:val="39"/>
    <w:rsid w:val="007437F0"/>
    <w:pPr>
      <w:tabs>
        <w:tab w:val="right" w:leader="dot" w:pos="9639"/>
      </w:tabs>
      <w:spacing w:before="120"/>
      <w:ind w:left="993" w:right="851" w:hanging="709"/>
      <w:contextualSpacing/>
    </w:pPr>
    <w:rPr>
      <w:rFonts w:ascii="Arial" w:hAnsi="Arial"/>
      <w:smallCaps/>
      <w:sz w:val="20"/>
      <w:szCs w:val="20"/>
      <w:lang w:val="en-US" w:eastAsia="en-US"/>
    </w:rPr>
  </w:style>
  <w:style w:type="paragraph" w:styleId="TOC3">
    <w:name w:val="toc 3"/>
    <w:next w:val="Normal"/>
    <w:autoRedefine/>
    <w:uiPriority w:val="39"/>
    <w:rsid w:val="007437F0"/>
    <w:pPr>
      <w:tabs>
        <w:tab w:val="left" w:pos="738"/>
        <w:tab w:val="right" w:leader="dot" w:pos="9639"/>
      </w:tabs>
      <w:spacing w:before="120"/>
      <w:ind w:left="709" w:right="851" w:hanging="425"/>
      <w:contextualSpacing/>
    </w:pPr>
    <w:rPr>
      <w:rFonts w:ascii="Arial" w:hAnsi="Arial"/>
      <w:sz w:val="18"/>
      <w:szCs w:val="20"/>
      <w:lang w:val="fr-FR" w:eastAsia="en-US"/>
    </w:rPr>
  </w:style>
  <w:style w:type="character" w:styleId="Hyperlink">
    <w:name w:val="Hyperlink"/>
    <w:basedOn w:val="DefaultParagraphFont"/>
    <w:uiPriority w:val="99"/>
    <w:rsid w:val="0025117F"/>
    <w:rPr>
      <w:rFonts w:ascii="Arial" w:hAnsi="Arial"/>
      <w:color w:val="0000FF"/>
      <w:u w:val="single"/>
    </w:rPr>
  </w:style>
  <w:style w:type="paragraph" w:styleId="TOC4">
    <w:name w:val="toc 4"/>
    <w:next w:val="Normal"/>
    <w:autoRedefine/>
    <w:semiHidden/>
    <w:rsid w:val="0025117F"/>
    <w:pPr>
      <w:tabs>
        <w:tab w:val="right" w:leader="dot" w:pos="9639"/>
      </w:tabs>
      <w:spacing w:before="120"/>
      <w:ind w:left="738" w:right="851" w:hanging="284"/>
    </w:pPr>
    <w:rPr>
      <w:rFonts w:ascii="Arial" w:hAnsi="Arial"/>
      <w:i/>
      <w:sz w:val="18"/>
      <w:szCs w:val="20"/>
      <w:lang w:val="fr-FR" w:eastAsia="en-US"/>
    </w:rPr>
  </w:style>
  <w:style w:type="paragraph" w:styleId="TOC1">
    <w:name w:val="toc 1"/>
    <w:next w:val="Normal"/>
    <w:autoRedefine/>
    <w:uiPriority w:val="39"/>
    <w:rsid w:val="007437F0"/>
    <w:pPr>
      <w:tabs>
        <w:tab w:val="left" w:pos="284"/>
        <w:tab w:val="right" w:leader="dot" w:pos="9639"/>
      </w:tabs>
      <w:spacing w:before="120"/>
      <w:jc w:val="center"/>
    </w:pPr>
    <w:rPr>
      <w:rFonts w:ascii="Arial" w:hAnsi="Arial"/>
      <w:caps/>
      <w:sz w:val="20"/>
      <w:szCs w:val="20"/>
      <w:lang w:val="en-US" w:eastAsia="en-US"/>
    </w:rPr>
  </w:style>
  <w:style w:type="paragraph" w:styleId="TOC5">
    <w:name w:val="toc 5"/>
    <w:next w:val="Normal"/>
    <w:autoRedefine/>
    <w:semiHidden/>
    <w:rsid w:val="0025117F"/>
    <w:pPr>
      <w:tabs>
        <w:tab w:val="right" w:leader="dot" w:pos="9639"/>
      </w:tabs>
      <w:ind w:left="567" w:right="851" w:firstLine="284"/>
      <w:jc w:val="both"/>
    </w:pPr>
    <w:rPr>
      <w:rFonts w:ascii="Arial" w:hAnsi="Arial"/>
      <w:sz w:val="16"/>
      <w:szCs w:val="20"/>
      <w:lang w:val="fr-FR" w:eastAsia="en-US"/>
    </w:rPr>
  </w:style>
  <w:style w:type="paragraph" w:styleId="BalloonText">
    <w:name w:val="Balloon Text"/>
    <w:basedOn w:val="Normal"/>
    <w:link w:val="BalloonTextChar"/>
    <w:rsid w:val="0025117F"/>
    <w:rPr>
      <w:rFonts w:ascii="Tahoma" w:hAnsi="Tahoma" w:cs="Tahoma"/>
      <w:sz w:val="16"/>
      <w:szCs w:val="16"/>
    </w:rPr>
  </w:style>
  <w:style w:type="character" w:customStyle="1" w:styleId="BalloonTextChar">
    <w:name w:val="Balloon Text Char"/>
    <w:basedOn w:val="DefaultParagraphFont"/>
    <w:link w:val="BalloonText"/>
    <w:locked/>
    <w:rsid w:val="0025117F"/>
    <w:rPr>
      <w:rFonts w:ascii="Tahoma" w:hAnsi="Tahoma" w:cs="Tahoma"/>
      <w:sz w:val="16"/>
      <w:szCs w:val="16"/>
      <w:lang w:eastAsia="en-US"/>
    </w:rPr>
  </w:style>
  <w:style w:type="paragraph" w:customStyle="1" w:styleId="Doccode">
    <w:name w:val="Doc_code"/>
    <w:qFormat/>
    <w:rsid w:val="0025117F"/>
    <w:rPr>
      <w:rFonts w:ascii="Arial" w:hAnsi="Arial"/>
      <w:b/>
      <w:bCs/>
      <w:spacing w:val="10"/>
      <w:sz w:val="18"/>
      <w:szCs w:val="20"/>
      <w:lang w:val="en-US" w:eastAsia="en-US"/>
    </w:rPr>
  </w:style>
  <w:style w:type="character" w:styleId="Emphasis">
    <w:name w:val="Emphasis"/>
    <w:basedOn w:val="DefaultParagraphFont"/>
    <w:uiPriority w:val="99"/>
    <w:qFormat/>
    <w:rsid w:val="00DF30C8"/>
    <w:rPr>
      <w:rFonts w:cs="Times New Roman"/>
      <w:i/>
      <w:iCs/>
    </w:rPr>
  </w:style>
  <w:style w:type="paragraph" w:styleId="ListParagraph">
    <w:name w:val="List Paragraph"/>
    <w:basedOn w:val="Normal"/>
    <w:uiPriority w:val="34"/>
    <w:qFormat/>
    <w:rsid w:val="00DF30C8"/>
    <w:pPr>
      <w:ind w:left="720"/>
    </w:pPr>
    <w:rPr>
      <w:lang w:val="en-US"/>
    </w:rPr>
  </w:style>
  <w:style w:type="character" w:styleId="FollowedHyperlink">
    <w:name w:val="FollowedHyperlink"/>
    <w:basedOn w:val="DefaultParagraphFont"/>
    <w:uiPriority w:val="99"/>
    <w:rsid w:val="008C7F01"/>
    <w:rPr>
      <w:rFonts w:cs="Times New Roman"/>
      <w:color w:val="800080"/>
      <w:u w:val="single"/>
    </w:rPr>
  </w:style>
  <w:style w:type="table" w:styleId="TableGrid">
    <w:name w:val="Table Grid"/>
    <w:basedOn w:val="TableNormal"/>
    <w:rsid w:val="00C435BD"/>
    <w:pPr>
      <w:jc w:val="both"/>
    </w:pPr>
    <w:rPr>
      <w:sz w:val="20"/>
      <w:szCs w:val="20"/>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490C"/>
    <w:rPr>
      <w:rFonts w:ascii="Arial"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wmf"/><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header" Target="header2.xml"/><Relationship Id="rId10" Type="http://schemas.openxmlformats.org/officeDocument/2006/relationships/hyperlink" Target="http://www.upov.int/upov_collection/es/" TargetMode="External"/><Relationship Id="rId19" Type="http://schemas.openxmlformats.org/officeDocument/2006/relationships/image" Target="media/image10.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8C868-950F-41CE-9811-71142AD77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4526</Words>
  <Characters>25559</Characters>
  <Application>Microsoft Office Word</Application>
  <DocSecurity>0</DocSecurity>
  <Lines>212</Lines>
  <Paragraphs>60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TC/53/5</vt:lpstr>
      <vt:lpstr>TC/53/5</vt:lpstr>
    </vt:vector>
  </TitlesOfParts>
  <Company>UPOV</Company>
  <LinksUpToDate>false</LinksUpToDate>
  <CharactersWithSpaces>30025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TC/53/5</dc:title>
  <dc:creator>BOU LLORET Amparo</dc:creator>
  <dc:description>AS (trad. ext.) - 7/2/2017</dc:description>
  <cp:lastModifiedBy>GIACHINO Erika</cp:lastModifiedBy>
  <cp:revision>8</cp:revision>
  <cp:lastPrinted>2016-11-22T15:41:00Z</cp:lastPrinted>
  <dcterms:created xsi:type="dcterms:W3CDTF">2017-02-27T12:33:00Z</dcterms:created>
  <dcterms:modified xsi:type="dcterms:W3CDTF">2017-03-03T15:48:00Z</dcterms:modified>
</cp:coreProperties>
</file>