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2E5944">
            <w:pPr>
              <w:pStyle w:val="Sessiontcplacedate"/>
              <w:rPr>
                <w:sz w:val="22"/>
              </w:rPr>
            </w:pPr>
            <w:r>
              <w:t>Quincuagésima tercera sesión</w:t>
            </w:r>
            <w:r w:rsidR="00EB4E9C" w:rsidRPr="00DA4973">
              <w:br/>
            </w:r>
            <w:r>
              <w:t>Ginebra</w:t>
            </w:r>
            <w:r w:rsidR="00EB4E9C" w:rsidRPr="00DA4973">
              <w:t xml:space="preserve">, </w:t>
            </w:r>
            <w:r w:rsidR="00A706D3">
              <w:t>3</w:t>
            </w:r>
            <w:r w:rsidR="00BC0BD4">
              <w:t xml:space="preserve"> </w:t>
            </w:r>
            <w:r>
              <w:t>a</w:t>
            </w:r>
            <w:r w:rsidR="00BC0BD4">
              <w:t xml:space="preserve"> </w:t>
            </w:r>
            <w:r w:rsidR="00A706D3">
              <w:t xml:space="preserve">5 </w:t>
            </w:r>
            <w:r>
              <w:t>de abril de</w:t>
            </w:r>
            <w:r w:rsidR="00A706D3">
              <w:t xml:space="preserve"> </w:t>
            </w:r>
            <w:r w:rsidR="00EB4E9C" w:rsidRPr="00DA4973">
              <w:t>2017</w:t>
            </w:r>
          </w:p>
        </w:tc>
        <w:tc>
          <w:tcPr>
            <w:tcW w:w="3127" w:type="dxa"/>
          </w:tcPr>
          <w:p w:rsidR="00EB4E9C" w:rsidRPr="00F6580A" w:rsidRDefault="00EB4E9C" w:rsidP="003C7FBE">
            <w:pPr>
              <w:pStyle w:val="Doccode"/>
              <w:rPr>
                <w:lang w:val="es-ES_tradnl"/>
              </w:rPr>
            </w:pPr>
            <w:r w:rsidRPr="00F6580A">
              <w:rPr>
                <w:lang w:val="es-ES_tradnl"/>
              </w:rPr>
              <w:t>TC/53/</w:t>
            </w:r>
            <w:r w:rsidR="00926E8A">
              <w:rPr>
                <w:lang w:val="es-ES_tradnl"/>
              </w:rPr>
              <w:t>27</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BC0BD4">
            <w:pPr>
              <w:pStyle w:val="Docoriginal"/>
            </w:pPr>
            <w:r>
              <w:t>Fecha</w:t>
            </w:r>
            <w:r w:rsidR="00EB4E9C" w:rsidRPr="00AC2883">
              <w:t>:</w:t>
            </w:r>
            <w:r w:rsidR="00EB4E9C" w:rsidRPr="000E636A">
              <w:rPr>
                <w:b w:val="0"/>
                <w:spacing w:val="0"/>
              </w:rPr>
              <w:t xml:space="preserve">  </w:t>
            </w:r>
            <w:r w:rsidR="009533F6" w:rsidRPr="009533F6">
              <w:rPr>
                <w:b w:val="0"/>
                <w:spacing w:val="0"/>
                <w:lang w:val="es-ES"/>
              </w:rPr>
              <w:t>10</w:t>
            </w:r>
            <w:r w:rsidR="00712F68" w:rsidRPr="009533F6">
              <w:rPr>
                <w:b w:val="0"/>
                <w:spacing w:val="0"/>
                <w:lang w:val="es-ES"/>
              </w:rPr>
              <w:t xml:space="preserve"> de marzo</w:t>
            </w:r>
            <w:r w:rsidR="00712F68" w:rsidRPr="009533F6">
              <w:rPr>
                <w:b w:val="0"/>
                <w:spacing w:val="0"/>
              </w:rPr>
              <w:t xml:space="preserve"> de</w:t>
            </w:r>
            <w:r>
              <w:rPr>
                <w:b w:val="0"/>
                <w:spacing w:val="0"/>
              </w:rPr>
              <w:t xml:space="preserve"> </w:t>
            </w:r>
            <w:r w:rsidR="00EB4E9C" w:rsidRPr="000E636A">
              <w:rPr>
                <w:b w:val="0"/>
                <w:spacing w:val="0"/>
              </w:rPr>
              <w:t>2017</w:t>
            </w:r>
          </w:p>
        </w:tc>
      </w:tr>
    </w:tbl>
    <w:p w:rsidR="000D7780" w:rsidRPr="006A644A" w:rsidRDefault="00926E8A" w:rsidP="006A644A">
      <w:pPr>
        <w:pStyle w:val="Titleofdoc0"/>
      </w:pPr>
      <w:bookmarkStart w:id="0" w:name="TitleOfDoc"/>
      <w:bookmarkEnd w:id="0"/>
      <w:r w:rsidRPr="00FB0009">
        <w:t>REVISIÓN PARCIAL DE LAS DIRECTRICES DE EXAMEN DEL TOMATE</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926E8A" w:rsidRPr="00150CF2" w:rsidRDefault="00926E8A" w:rsidP="00926E8A">
      <w:pPr>
        <w:rPr>
          <w:lang w:val="es-ES"/>
        </w:rPr>
      </w:pPr>
      <w:r>
        <w:fldChar w:fldCharType="begin"/>
      </w:r>
      <w:r w:rsidRPr="00150CF2">
        <w:rPr>
          <w:lang w:val="es-ES"/>
        </w:rPr>
        <w:instrText xml:space="preserve"> AUTONUM  </w:instrText>
      </w:r>
      <w:r>
        <w:fldChar w:fldCharType="end"/>
      </w:r>
      <w:r w:rsidRPr="00150CF2">
        <w:rPr>
          <w:lang w:val="es-ES"/>
        </w:rPr>
        <w:tab/>
      </w:r>
      <w:r w:rsidRPr="007274B3">
        <w:t>En su quincuagésima segunda sesión, celebrada en Ginebra del 14 al 16 de marzo de 2016, el TC convino en incluir en la quincuagésima reunión del Grupo de Trabajo Técnico sobre Hortalizas</w:t>
      </w:r>
      <w:r w:rsidRPr="007274B3">
        <w:rPr>
          <w:color w:val="008000"/>
        </w:rPr>
        <w:t xml:space="preserve"> </w:t>
      </w:r>
      <w:r w:rsidRPr="007274B3">
        <w:t xml:space="preserve">(TWV), que se celebraría en </w:t>
      </w:r>
      <w:proofErr w:type="spellStart"/>
      <w:r w:rsidRPr="007274B3">
        <w:t>Brno</w:t>
      </w:r>
      <w:proofErr w:type="spellEnd"/>
      <w:r w:rsidRPr="007274B3">
        <w:t xml:space="preserve"> (República Checa) del 14 de junio al 16 de julio de 2016, debates sobre la revisión parcial de las directrices de examen del tomat</w:t>
      </w:r>
      <w:bookmarkStart w:id="2" w:name="_GoBack"/>
      <w:bookmarkEnd w:id="2"/>
      <w:r w:rsidRPr="007274B3">
        <w:t>e (documento TG/44/11 Rev.), carácter 57 “Resistencia al virus del rizado amarillo de la hoja del tomate (TYLCV)”, sobre la base de un documento que elaboraría un experto de la Unión Europea (véase el párrafo 197 del documento TC/52/29 Rev. “Informe revisado”).</w:t>
      </w:r>
    </w:p>
    <w:p w:rsidR="00926E8A" w:rsidRPr="00150CF2" w:rsidRDefault="00926E8A" w:rsidP="00926E8A">
      <w:pPr>
        <w:rPr>
          <w:lang w:val="es-ES"/>
        </w:rPr>
      </w:pPr>
    </w:p>
    <w:p w:rsidR="00926E8A" w:rsidRPr="00150CF2" w:rsidRDefault="00926E8A" w:rsidP="00926E8A">
      <w:pPr>
        <w:rPr>
          <w:lang w:val="es-ES"/>
        </w:rPr>
      </w:pPr>
      <w:r>
        <w:fldChar w:fldCharType="begin"/>
      </w:r>
      <w:r w:rsidRPr="00150CF2">
        <w:rPr>
          <w:lang w:val="es-ES"/>
        </w:rPr>
        <w:instrText xml:space="preserve"> AUTONUM  </w:instrText>
      </w:r>
      <w:r>
        <w:fldChar w:fldCharType="end"/>
      </w:r>
      <w:r w:rsidRPr="00150CF2">
        <w:rPr>
          <w:lang w:val="es-ES"/>
        </w:rPr>
        <w:tab/>
      </w:r>
      <w:r w:rsidRPr="007274B3">
        <w:t>En su quincuagésima reunión, el TWV examinó una propuesta de revisión parcial de las directrices de examen del tomate conforme a los documentos TG/44/11 Rev. y TWV/50/20 “</w:t>
      </w:r>
      <w:proofErr w:type="spellStart"/>
      <w:r w:rsidRPr="00150CF2">
        <w:rPr>
          <w:i/>
          <w:iCs/>
          <w:lang w:val="es-ES"/>
        </w:rPr>
        <w:t>Partial</w:t>
      </w:r>
      <w:proofErr w:type="spellEnd"/>
      <w:r w:rsidRPr="00150CF2">
        <w:rPr>
          <w:i/>
          <w:iCs/>
          <w:lang w:val="es-ES"/>
        </w:rPr>
        <w:t xml:space="preserve"> </w:t>
      </w:r>
      <w:proofErr w:type="spellStart"/>
      <w:r w:rsidRPr="00150CF2">
        <w:rPr>
          <w:i/>
          <w:iCs/>
          <w:lang w:val="es-ES"/>
        </w:rPr>
        <w:t>Revision</w:t>
      </w:r>
      <w:proofErr w:type="spellEnd"/>
      <w:r w:rsidRPr="00150CF2">
        <w:rPr>
          <w:i/>
          <w:iCs/>
          <w:lang w:val="es-ES"/>
        </w:rPr>
        <w:t xml:space="preserve"> of </w:t>
      </w:r>
      <w:proofErr w:type="spellStart"/>
      <w:r w:rsidRPr="00150CF2">
        <w:rPr>
          <w:i/>
          <w:iCs/>
          <w:lang w:val="es-ES"/>
        </w:rPr>
        <w:t>the</w:t>
      </w:r>
      <w:proofErr w:type="spellEnd"/>
      <w:r w:rsidRPr="00150CF2">
        <w:rPr>
          <w:i/>
          <w:iCs/>
          <w:lang w:val="es-ES"/>
        </w:rPr>
        <w:t xml:space="preserve"> Test </w:t>
      </w:r>
      <w:proofErr w:type="spellStart"/>
      <w:r w:rsidRPr="00150CF2">
        <w:rPr>
          <w:i/>
          <w:iCs/>
          <w:lang w:val="es-ES"/>
        </w:rPr>
        <w:t>Guidelines</w:t>
      </w:r>
      <w:proofErr w:type="spellEnd"/>
      <w:r w:rsidRPr="00150CF2">
        <w:rPr>
          <w:i/>
          <w:iCs/>
          <w:lang w:val="es-ES"/>
        </w:rPr>
        <w:t xml:space="preserve"> </w:t>
      </w:r>
      <w:proofErr w:type="spellStart"/>
      <w:r w:rsidRPr="00150CF2">
        <w:rPr>
          <w:i/>
          <w:iCs/>
          <w:lang w:val="es-ES"/>
        </w:rPr>
        <w:t>for</w:t>
      </w:r>
      <w:proofErr w:type="spellEnd"/>
      <w:r w:rsidRPr="00150CF2">
        <w:rPr>
          <w:i/>
          <w:iCs/>
          <w:lang w:val="es-ES"/>
        </w:rPr>
        <w:t xml:space="preserve"> </w:t>
      </w:r>
      <w:proofErr w:type="spellStart"/>
      <w:r w:rsidRPr="00150CF2">
        <w:rPr>
          <w:i/>
          <w:iCs/>
          <w:lang w:val="es-ES"/>
        </w:rPr>
        <w:t>Tomato</w:t>
      </w:r>
      <w:proofErr w:type="spellEnd"/>
      <w:r w:rsidRPr="00150CF2">
        <w:rPr>
          <w:i/>
          <w:iCs/>
          <w:lang w:val="es-ES"/>
        </w:rPr>
        <w:t xml:space="preserve"> (</w:t>
      </w:r>
      <w:proofErr w:type="spellStart"/>
      <w:r w:rsidRPr="00150CF2">
        <w:rPr>
          <w:i/>
          <w:iCs/>
          <w:lang w:val="es-ES"/>
        </w:rPr>
        <w:t>Document</w:t>
      </w:r>
      <w:proofErr w:type="spellEnd"/>
      <w:r w:rsidRPr="00150CF2">
        <w:rPr>
          <w:i/>
          <w:iCs/>
          <w:lang w:val="es-ES"/>
        </w:rPr>
        <w:t xml:space="preserve"> TG/44/11 Rev.)</w:t>
      </w:r>
      <w:r w:rsidRPr="007274B3">
        <w:t>” y propuso efectuar una revisión de dichas directrices según se expone a continuación (véase el párrafo 90 del documento TWV/50/25 “</w:t>
      </w:r>
      <w:proofErr w:type="spellStart"/>
      <w:r w:rsidRPr="00150CF2">
        <w:rPr>
          <w:i/>
          <w:iCs/>
          <w:lang w:val="es-ES"/>
        </w:rPr>
        <w:t>Report</w:t>
      </w:r>
      <w:proofErr w:type="spellEnd"/>
      <w:r w:rsidRPr="007274B3">
        <w:t>”):</w:t>
      </w:r>
    </w:p>
    <w:p w:rsidR="00926E8A" w:rsidRPr="00150CF2" w:rsidRDefault="00926E8A" w:rsidP="00926E8A">
      <w:pPr>
        <w:rPr>
          <w:lang w:val="es-ES"/>
        </w:rPr>
      </w:pPr>
    </w:p>
    <w:p w:rsidR="00926E8A" w:rsidRPr="00150CF2" w:rsidRDefault="00926E8A" w:rsidP="00926E8A">
      <w:pPr>
        <w:pStyle w:val="ListParagraph"/>
        <w:numPr>
          <w:ilvl w:val="0"/>
          <w:numId w:val="1"/>
        </w:numPr>
        <w:ind w:left="1134" w:hanging="567"/>
        <w:rPr>
          <w:lang w:val="es-ES"/>
        </w:rPr>
      </w:pPr>
      <w:r w:rsidRPr="007274B3">
        <w:rPr>
          <w:lang w:val="es-ES_tradnl"/>
        </w:rPr>
        <w:t>Revisión del carácter 57 “Resistencia al virus del rizado amarillo de la hoja del tomate (TYLCV)”:</w:t>
      </w:r>
    </w:p>
    <w:p w:rsidR="00926E8A" w:rsidRPr="00150CF2" w:rsidRDefault="00926E8A" w:rsidP="00926E8A">
      <w:pPr>
        <w:pStyle w:val="ListParagraph"/>
        <w:numPr>
          <w:ilvl w:val="0"/>
          <w:numId w:val="2"/>
        </w:numPr>
        <w:rPr>
          <w:lang w:val="es-ES"/>
        </w:rPr>
      </w:pPr>
      <w:r w:rsidRPr="007274B3">
        <w:rPr>
          <w:lang w:val="es-ES_tradnl"/>
        </w:rPr>
        <w:t>Revisión de las variedades ejemplo correspondientes al nivel 1 “ausente”.</w:t>
      </w:r>
    </w:p>
    <w:p w:rsidR="00926E8A" w:rsidRPr="00150CF2" w:rsidRDefault="00926E8A" w:rsidP="00926E8A">
      <w:pPr>
        <w:pStyle w:val="ListParagraph"/>
        <w:numPr>
          <w:ilvl w:val="0"/>
          <w:numId w:val="2"/>
        </w:numPr>
        <w:rPr>
          <w:lang w:val="es-ES"/>
        </w:rPr>
      </w:pPr>
      <w:r w:rsidRPr="007274B3">
        <w:rPr>
          <w:lang w:val="es-ES_tradnl"/>
        </w:rPr>
        <w:t>Revisión del método actual para el TYLCV, tal como se indica en la adición 57 i), e incorporación del método alternativo de inoculación por moscas blancas que se describe en la adición 57 ii).</w:t>
      </w:r>
    </w:p>
    <w:p w:rsidR="00926E8A" w:rsidRPr="00150CF2" w:rsidRDefault="00926E8A" w:rsidP="00926E8A">
      <w:pPr>
        <w:rPr>
          <w:lang w:val="es-ES"/>
        </w:rPr>
      </w:pPr>
    </w:p>
    <w:p w:rsidR="00926E8A" w:rsidRDefault="00926E8A" w:rsidP="00926E8A">
      <w:pPr>
        <w:pStyle w:val="Default"/>
        <w:jc w:val="both"/>
        <w:rPr>
          <w:color w:val="auto"/>
          <w:sz w:val="20"/>
          <w:szCs w:val="20"/>
          <w:lang w:val="es-ES_tradnl"/>
        </w:rPr>
      </w:pPr>
      <w:r w:rsidRPr="00560D2A">
        <w:rPr>
          <w:sz w:val="20"/>
          <w:szCs w:val="20"/>
          <w:lang w:val="en-US"/>
        </w:rPr>
        <w:fldChar w:fldCharType="begin"/>
      </w:r>
      <w:r w:rsidRPr="00150CF2">
        <w:rPr>
          <w:sz w:val="20"/>
          <w:szCs w:val="20"/>
        </w:rPr>
        <w:instrText xml:space="preserve"> AUTONUM  </w:instrText>
      </w:r>
      <w:r w:rsidRPr="00560D2A">
        <w:rPr>
          <w:sz w:val="20"/>
          <w:szCs w:val="20"/>
          <w:lang w:val="en-US"/>
        </w:rPr>
        <w:fldChar w:fldCharType="end"/>
      </w:r>
      <w:r w:rsidRPr="00150CF2">
        <w:tab/>
      </w:r>
      <w:r w:rsidRPr="00051B34">
        <w:rPr>
          <w:color w:val="auto"/>
          <w:sz w:val="20"/>
          <w:szCs w:val="20"/>
          <w:lang w:val="es-ES_tradnl"/>
        </w:rPr>
        <w:t xml:space="preserve">Los cambios propuestos se indican a continuación como texto resaltado y </w:t>
      </w:r>
      <w:r w:rsidRPr="00104A56">
        <w:rPr>
          <w:color w:val="auto"/>
          <w:sz w:val="20"/>
          <w:szCs w:val="20"/>
          <w:highlight w:val="lightGray"/>
          <w:u w:val="single"/>
          <w:shd w:val="clear" w:color="auto" w:fill="C0C0C0"/>
          <w:lang w:val="es-ES_tradnl"/>
        </w:rPr>
        <w:t>subrayado</w:t>
      </w:r>
      <w:r w:rsidRPr="00051B34">
        <w:rPr>
          <w:color w:val="auto"/>
          <w:sz w:val="20"/>
          <w:szCs w:val="20"/>
          <w:lang w:val="es-ES_tradnl"/>
        </w:rPr>
        <w:t xml:space="preserve"> (inserción) o </w:t>
      </w:r>
      <w:r w:rsidRPr="00104A56">
        <w:rPr>
          <w:strike/>
          <w:color w:val="auto"/>
          <w:sz w:val="20"/>
          <w:szCs w:val="20"/>
          <w:highlight w:val="lightGray"/>
          <w:shd w:val="clear" w:color="auto" w:fill="C0C0C0"/>
          <w:lang w:val="es-ES_tradnl"/>
        </w:rPr>
        <w:t>tachado</w:t>
      </w:r>
      <w:r w:rsidRPr="00051B34">
        <w:rPr>
          <w:color w:val="auto"/>
          <w:sz w:val="20"/>
          <w:szCs w:val="20"/>
          <w:lang w:val="es-ES_tradnl"/>
        </w:rPr>
        <w:t xml:space="preserve"> (eliminación).</w:t>
      </w:r>
    </w:p>
    <w:p w:rsidR="00926E8A" w:rsidRPr="00150CF2" w:rsidRDefault="00926E8A" w:rsidP="00926E8A">
      <w:pPr>
        <w:pStyle w:val="Default"/>
      </w:pPr>
      <w:r w:rsidRPr="00150CF2">
        <w:br w:type="page"/>
      </w:r>
    </w:p>
    <w:p w:rsidR="00926E8A" w:rsidRPr="00150CF2" w:rsidRDefault="00926E8A" w:rsidP="00926E8A">
      <w:pPr>
        <w:pStyle w:val="Heading2"/>
        <w:rPr>
          <w:lang w:val="es-ES"/>
        </w:rPr>
      </w:pPr>
      <w:r w:rsidRPr="007274B3">
        <w:rPr>
          <w:lang w:val="es-ES_tradnl"/>
        </w:rPr>
        <w:lastRenderedPageBreak/>
        <w:t>Propuesta de revisión de la variedad ejemplo correspondiente al nivel 1 “ausente”</w:t>
      </w:r>
    </w:p>
    <w:p w:rsidR="00926E8A" w:rsidRPr="00150CF2" w:rsidRDefault="00926E8A" w:rsidP="00926E8A">
      <w:pPr>
        <w:jc w:val="left"/>
        <w:rPr>
          <w:lang w:val="es-ES"/>
        </w:rPr>
      </w:pPr>
    </w:p>
    <w:p w:rsidR="00926E8A" w:rsidRDefault="00926E8A" w:rsidP="00926E8A">
      <w:pPr>
        <w:jc w:val="left"/>
        <w:rPr>
          <w:i/>
          <w:iCs/>
        </w:rPr>
      </w:pPr>
      <w:r w:rsidRPr="00051B34">
        <w:rPr>
          <w:i/>
          <w:iCs/>
        </w:rPr>
        <w:t>Texto actual:</w:t>
      </w:r>
    </w:p>
    <w:p w:rsidR="00926E8A" w:rsidRDefault="00926E8A" w:rsidP="00926E8A">
      <w:pPr>
        <w:jc w:val="left"/>
        <w:rPr>
          <w:i/>
          <w:iCs/>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926E8A" w:rsidRPr="007917AA" w:rsidTr="00D23974">
        <w:trPr>
          <w:cantSplit/>
          <w:jc w:val="center"/>
        </w:trPr>
        <w:tc>
          <w:tcPr>
            <w:tcW w:w="574" w:type="dxa"/>
            <w:tcBorders>
              <w:top w:val="single" w:sz="4" w:space="0" w:color="auto"/>
              <w:left w:val="nil"/>
              <w:bottom w:val="single" w:sz="4" w:space="0" w:color="auto"/>
            </w:tcBorders>
          </w:tcPr>
          <w:p w:rsidR="00926E8A" w:rsidRPr="007917AA" w:rsidRDefault="00926E8A" w:rsidP="00D23974">
            <w:pPr>
              <w:pStyle w:val="Normaltb"/>
              <w:rPr>
                <w:rFonts w:ascii="Arial" w:hAnsi="Arial" w:cs="Arial"/>
                <w:dstrike/>
                <w:sz w:val="16"/>
                <w:szCs w:val="16"/>
              </w:rPr>
            </w:pPr>
          </w:p>
        </w:tc>
        <w:tc>
          <w:tcPr>
            <w:tcW w:w="577"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rPr>
            </w:pPr>
          </w:p>
        </w:tc>
        <w:tc>
          <w:tcPr>
            <w:tcW w:w="1867"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rPr>
            </w:pPr>
            <w:r w:rsidRPr="007917AA">
              <w:rPr>
                <w:rFonts w:ascii="Arial" w:hAnsi="Arial" w:cs="Arial"/>
                <w:b w:val="0"/>
                <w:bCs w:val="0"/>
                <w:sz w:val="16"/>
                <w:szCs w:val="16"/>
              </w:rPr>
              <w:br/>
              <w:t>English</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fr-FR"/>
              </w:rPr>
            </w:pPr>
            <w:r w:rsidRPr="007917AA">
              <w:rPr>
                <w:rFonts w:ascii="Arial" w:hAnsi="Arial" w:cs="Arial"/>
                <w:b w:val="0"/>
                <w:bCs w:val="0"/>
                <w:sz w:val="16"/>
                <w:szCs w:val="16"/>
                <w:lang w:val="fr-FR"/>
              </w:rPr>
              <w:br/>
              <w:t>français</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de-DE"/>
              </w:rPr>
            </w:pPr>
            <w:r w:rsidRPr="007917AA">
              <w:rPr>
                <w:rFonts w:ascii="Arial" w:hAnsi="Arial" w:cs="Arial"/>
                <w:b w:val="0"/>
                <w:bCs w:val="0"/>
                <w:sz w:val="16"/>
                <w:szCs w:val="16"/>
                <w:lang w:val="de-DE"/>
              </w:rPr>
              <w:br/>
              <w:t>deutsch</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es-MX" w:eastAsia="es-MX"/>
              </w:rPr>
            </w:pPr>
            <w:r w:rsidRPr="007917AA">
              <w:rPr>
                <w:rFonts w:ascii="Arial" w:hAnsi="Arial" w:cs="Arial"/>
                <w:b w:val="0"/>
                <w:bCs w:val="0"/>
                <w:sz w:val="16"/>
                <w:szCs w:val="16"/>
                <w:lang w:val="es-MX" w:eastAsia="es-MX"/>
              </w:rPr>
              <w:br/>
              <w:t>español</w:t>
            </w:r>
          </w:p>
        </w:tc>
        <w:tc>
          <w:tcPr>
            <w:tcW w:w="2010"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es-ES"/>
              </w:rPr>
            </w:pPr>
            <w:r w:rsidRPr="007917AA">
              <w:rPr>
                <w:rFonts w:ascii="Arial" w:hAnsi="Arial" w:cs="Arial"/>
                <w:b w:val="0"/>
                <w:bCs w:val="0"/>
                <w:sz w:val="16"/>
                <w:szCs w:val="16"/>
                <w:lang w:val="es-ES"/>
              </w:rPr>
              <w:t>Example Varieties</w:t>
            </w:r>
            <w:r w:rsidRPr="007917AA">
              <w:rPr>
                <w:rFonts w:ascii="Arial" w:hAnsi="Arial" w:cs="Arial"/>
                <w:b w:val="0"/>
                <w:bCs w:val="0"/>
                <w:sz w:val="16"/>
                <w:szCs w:val="16"/>
                <w:lang w:val="es-ES"/>
              </w:rPr>
              <w:br/>
              <w:t>Exemples</w:t>
            </w:r>
            <w:r w:rsidRPr="007917AA">
              <w:rPr>
                <w:rFonts w:ascii="Arial" w:hAnsi="Arial" w:cs="Arial"/>
                <w:b w:val="0"/>
                <w:bCs w:val="0"/>
                <w:sz w:val="16"/>
                <w:szCs w:val="16"/>
                <w:lang w:val="es-ES"/>
              </w:rPr>
              <w:br/>
              <w:t>Beispielssorten</w:t>
            </w:r>
            <w:r w:rsidRPr="007917AA">
              <w:rPr>
                <w:rFonts w:ascii="Arial" w:hAnsi="Arial" w:cs="Arial"/>
                <w:b w:val="0"/>
                <w:bCs w:val="0"/>
                <w:sz w:val="16"/>
                <w:szCs w:val="16"/>
                <w:lang w:val="es-ES"/>
              </w:rPr>
              <w:br/>
              <w:t>Variedades ejemplo</w:t>
            </w:r>
          </w:p>
        </w:tc>
        <w:tc>
          <w:tcPr>
            <w:tcW w:w="574" w:type="dxa"/>
            <w:tcBorders>
              <w:top w:val="single" w:sz="4" w:space="0" w:color="auto"/>
              <w:bottom w:val="single" w:sz="4" w:space="0" w:color="auto"/>
              <w:right w:val="nil"/>
            </w:tcBorders>
          </w:tcPr>
          <w:p w:rsidR="00926E8A" w:rsidRPr="007917AA" w:rsidRDefault="00926E8A" w:rsidP="00D23974">
            <w:pPr>
              <w:pStyle w:val="Normaltb"/>
              <w:rPr>
                <w:rFonts w:ascii="Arial" w:hAnsi="Arial" w:cs="Arial"/>
                <w:dstrike/>
                <w:sz w:val="16"/>
                <w:szCs w:val="16"/>
                <w:lang w:val="es-ES"/>
              </w:rPr>
            </w:pPr>
            <w:r w:rsidRPr="007917AA">
              <w:rPr>
                <w:rFonts w:ascii="Arial" w:hAnsi="Arial" w:cs="Arial"/>
                <w:sz w:val="16"/>
                <w:szCs w:val="16"/>
                <w:lang w:val="es-ES"/>
              </w:rPr>
              <w:br/>
            </w:r>
            <w:r w:rsidRPr="007917AA">
              <w:rPr>
                <w:rFonts w:ascii="Arial" w:hAnsi="Arial" w:cs="Arial"/>
                <w:b w:val="0"/>
                <w:bCs w:val="0"/>
                <w:sz w:val="16"/>
                <w:szCs w:val="16"/>
                <w:lang w:val="es-ES"/>
              </w:rPr>
              <w:t>Note</w:t>
            </w:r>
            <w:r w:rsidRPr="007917AA">
              <w:rPr>
                <w:rFonts w:ascii="Arial" w:hAnsi="Arial" w:cs="Arial"/>
                <w:sz w:val="16"/>
                <w:szCs w:val="16"/>
                <w:lang w:val="es-ES"/>
              </w:rPr>
              <w:t>/</w:t>
            </w:r>
            <w:r w:rsidRPr="007917AA">
              <w:rPr>
                <w:rFonts w:ascii="Arial" w:hAnsi="Arial" w:cs="Arial"/>
                <w:sz w:val="16"/>
                <w:szCs w:val="16"/>
                <w:lang w:val="es-ES"/>
              </w:rPr>
              <w:br/>
            </w:r>
            <w:r w:rsidRPr="007917AA">
              <w:rPr>
                <w:rFonts w:ascii="Arial" w:hAnsi="Arial" w:cs="Arial"/>
                <w:b w:val="0"/>
                <w:bCs w:val="0"/>
                <w:sz w:val="16"/>
                <w:szCs w:val="16"/>
                <w:lang w:val="es-ES"/>
              </w:rPr>
              <w:t>Nota</w:t>
            </w:r>
          </w:p>
        </w:tc>
      </w:tr>
      <w:tr w:rsidR="00926E8A" w:rsidRPr="007917AA" w:rsidTr="00D23974">
        <w:trPr>
          <w:cantSplit/>
          <w:jc w:val="center"/>
        </w:trPr>
        <w:tc>
          <w:tcPr>
            <w:tcW w:w="574" w:type="dxa"/>
            <w:tcBorders>
              <w:top w:val="single" w:sz="4" w:space="0" w:color="auto"/>
              <w:left w:val="nil"/>
              <w:bottom w:val="nil"/>
            </w:tcBorders>
          </w:tcPr>
          <w:p w:rsidR="00926E8A" w:rsidRPr="007917AA" w:rsidRDefault="00926E8A" w:rsidP="00D23974">
            <w:pPr>
              <w:pStyle w:val="Normaltb"/>
              <w:jc w:val="center"/>
              <w:rPr>
                <w:rFonts w:ascii="Arial" w:hAnsi="Arial" w:cs="Arial"/>
                <w:dstrike/>
                <w:sz w:val="16"/>
                <w:szCs w:val="16"/>
              </w:rPr>
            </w:pPr>
            <w:r w:rsidRPr="007917AA">
              <w:rPr>
                <w:rFonts w:ascii="Arial" w:hAnsi="Arial" w:cs="Arial"/>
                <w:sz w:val="16"/>
                <w:szCs w:val="16"/>
              </w:rPr>
              <w:t xml:space="preserve">57. </w:t>
            </w:r>
            <w:r w:rsidRPr="007917AA">
              <w:rPr>
                <w:rFonts w:ascii="Arial" w:hAnsi="Arial" w:cs="Arial"/>
                <w:sz w:val="16"/>
                <w:szCs w:val="16"/>
              </w:rPr>
              <w:br/>
            </w:r>
            <w:r w:rsidRPr="007917AA">
              <w:rPr>
                <w:rFonts w:ascii="Arial" w:hAnsi="Arial" w:cs="Arial"/>
                <w:sz w:val="16"/>
                <w:szCs w:val="16"/>
              </w:rPr>
              <w:br/>
              <w:t>(+)</w:t>
            </w:r>
          </w:p>
        </w:tc>
        <w:tc>
          <w:tcPr>
            <w:tcW w:w="577" w:type="dxa"/>
            <w:tcBorders>
              <w:top w:val="single" w:sz="4" w:space="0" w:color="auto"/>
              <w:bottom w:val="nil"/>
            </w:tcBorders>
          </w:tcPr>
          <w:p w:rsidR="00926E8A" w:rsidRPr="007917AA" w:rsidRDefault="00926E8A" w:rsidP="00D23974">
            <w:pPr>
              <w:pStyle w:val="Normaltb"/>
              <w:jc w:val="center"/>
              <w:rPr>
                <w:rFonts w:ascii="Arial" w:hAnsi="Arial" w:cs="Arial"/>
                <w:dstrike/>
                <w:sz w:val="16"/>
                <w:szCs w:val="16"/>
              </w:rPr>
            </w:pPr>
            <w:r w:rsidRPr="007917AA">
              <w:rPr>
                <w:rFonts w:ascii="Arial" w:hAnsi="Arial" w:cs="Arial"/>
                <w:sz w:val="16"/>
                <w:szCs w:val="16"/>
              </w:rPr>
              <w:t>VG</w:t>
            </w:r>
          </w:p>
        </w:tc>
        <w:tc>
          <w:tcPr>
            <w:tcW w:w="1867" w:type="dxa"/>
            <w:tcBorders>
              <w:top w:val="single" w:sz="4" w:space="0" w:color="auto"/>
              <w:bottom w:val="nil"/>
            </w:tcBorders>
          </w:tcPr>
          <w:p w:rsidR="00926E8A" w:rsidRPr="007917AA" w:rsidRDefault="00926E8A" w:rsidP="00D23974">
            <w:pPr>
              <w:pStyle w:val="Normaltb"/>
              <w:rPr>
                <w:rFonts w:ascii="Arial" w:hAnsi="Arial" w:cs="Arial"/>
                <w:dstrike/>
                <w:sz w:val="16"/>
                <w:szCs w:val="16"/>
              </w:rPr>
            </w:pPr>
            <w:r w:rsidRPr="007917AA">
              <w:rPr>
                <w:rFonts w:ascii="Arial" w:hAnsi="Arial" w:cs="Arial"/>
                <w:sz w:val="16"/>
                <w:szCs w:val="16"/>
              </w:rPr>
              <w:t>Resistance to Tomato yellow leaf curl virus (TYLCV)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fr-FR"/>
              </w:rPr>
            </w:pPr>
            <w:r w:rsidRPr="007917AA">
              <w:rPr>
                <w:rFonts w:ascii="Arial" w:hAnsi="Arial" w:cs="Arial"/>
                <w:sz w:val="16"/>
                <w:szCs w:val="16"/>
                <w:lang w:val="fr-FR"/>
              </w:rPr>
              <w:t>Résistance au virus des feuilles jaunes en cuillère de la tomate (TYLCV)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de-CH"/>
              </w:rPr>
            </w:pPr>
            <w:r w:rsidRPr="007917AA">
              <w:rPr>
                <w:rFonts w:ascii="Arial" w:hAnsi="Arial" w:cs="Arial"/>
                <w:sz w:val="16"/>
                <w:szCs w:val="16"/>
                <w:lang w:val="de-DE"/>
              </w:rPr>
              <w:t xml:space="preserve">Resistenz gegen gelbes Tomatenblatt-rollvirus </w:t>
            </w:r>
            <w:r w:rsidRPr="007917AA">
              <w:rPr>
                <w:rFonts w:ascii="Arial" w:hAnsi="Arial" w:cs="Arial"/>
                <w:sz w:val="16"/>
                <w:szCs w:val="16"/>
                <w:lang w:val="de-CH"/>
              </w:rPr>
              <w:t>(TYLCV)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es-ES"/>
              </w:rPr>
            </w:pPr>
            <w:r w:rsidRPr="007917AA">
              <w:rPr>
                <w:rFonts w:ascii="Arial" w:hAnsi="Arial" w:cs="Arial"/>
                <w:sz w:val="16"/>
                <w:szCs w:val="16"/>
                <w:lang w:val="es-MX" w:eastAsia="es-MX"/>
              </w:rPr>
              <w:t>Resistencia al virus</w:t>
            </w:r>
            <w:r w:rsidRPr="007917AA">
              <w:rPr>
                <w:rFonts w:ascii="Arial" w:hAnsi="Arial" w:cs="Arial"/>
                <w:b w:val="0"/>
                <w:bCs w:val="0"/>
                <w:sz w:val="16"/>
                <w:szCs w:val="16"/>
                <w:lang w:val="es-MX" w:eastAsia="es-MX"/>
              </w:rPr>
              <w:t xml:space="preserve"> </w:t>
            </w:r>
            <w:r w:rsidRPr="007917AA">
              <w:rPr>
                <w:rFonts w:ascii="Arial" w:hAnsi="Arial" w:cs="Arial"/>
                <w:sz w:val="16"/>
                <w:szCs w:val="16"/>
                <w:lang w:val="es-MX" w:eastAsia="es-MX"/>
              </w:rPr>
              <w:t>del rizado amarillo de la hoja del tomate (TYLCV)</w:t>
            </w:r>
          </w:p>
        </w:tc>
        <w:tc>
          <w:tcPr>
            <w:tcW w:w="2010"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es-ES"/>
              </w:rPr>
            </w:pPr>
          </w:p>
        </w:tc>
        <w:tc>
          <w:tcPr>
            <w:tcW w:w="574" w:type="dxa"/>
            <w:tcBorders>
              <w:top w:val="single" w:sz="4" w:space="0" w:color="auto"/>
              <w:bottom w:val="nil"/>
              <w:right w:val="nil"/>
            </w:tcBorders>
          </w:tcPr>
          <w:p w:rsidR="00926E8A" w:rsidRPr="007917AA" w:rsidRDefault="00926E8A" w:rsidP="00D23974">
            <w:pPr>
              <w:pStyle w:val="Normaltb"/>
              <w:jc w:val="center"/>
              <w:rPr>
                <w:rFonts w:ascii="Arial" w:hAnsi="Arial" w:cs="Arial"/>
                <w:dstrike/>
                <w:sz w:val="16"/>
                <w:szCs w:val="16"/>
                <w:lang w:val="es-ES"/>
              </w:rPr>
            </w:pPr>
          </w:p>
        </w:tc>
      </w:tr>
      <w:tr w:rsidR="00926E8A" w:rsidRPr="007917AA" w:rsidTr="00D23974">
        <w:trPr>
          <w:cantSplit/>
          <w:jc w:val="center"/>
        </w:trPr>
        <w:tc>
          <w:tcPr>
            <w:tcW w:w="574" w:type="dxa"/>
            <w:tcBorders>
              <w:top w:val="nil"/>
              <w:left w:val="nil"/>
              <w:bottom w:val="nil"/>
            </w:tcBorders>
          </w:tcPr>
          <w:p w:rsidR="00926E8A" w:rsidRPr="007917AA" w:rsidRDefault="00926E8A" w:rsidP="00D23974">
            <w:pPr>
              <w:pStyle w:val="Normaltb"/>
              <w:keepNext w:val="0"/>
              <w:widowControl w:val="0"/>
              <w:jc w:val="center"/>
              <w:rPr>
                <w:rFonts w:ascii="Arial" w:hAnsi="Arial" w:cs="Arial"/>
                <w:dstrike/>
                <w:sz w:val="16"/>
                <w:szCs w:val="16"/>
              </w:rPr>
            </w:pPr>
            <w:r w:rsidRPr="007917AA">
              <w:rPr>
                <w:rFonts w:ascii="Arial" w:hAnsi="Arial" w:cs="Arial"/>
                <w:sz w:val="16"/>
                <w:szCs w:val="16"/>
              </w:rPr>
              <w:t>QL</w:t>
            </w:r>
          </w:p>
        </w:tc>
        <w:tc>
          <w:tcPr>
            <w:tcW w:w="577" w:type="dxa"/>
            <w:tcBorders>
              <w:top w:val="nil"/>
              <w:bottom w:val="nil"/>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1867" w:type="dxa"/>
            <w:tcBorders>
              <w:top w:val="nil"/>
              <w:bottom w:val="nil"/>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absent</w:t>
            </w:r>
          </w:p>
        </w:tc>
        <w:tc>
          <w:tcPr>
            <w:tcW w:w="1866" w:type="dxa"/>
            <w:tcBorders>
              <w:top w:val="nil"/>
              <w:bottom w:val="nil"/>
            </w:tcBorders>
          </w:tcPr>
          <w:p w:rsidR="00926E8A" w:rsidRPr="007917AA" w:rsidRDefault="00926E8A" w:rsidP="00D23974">
            <w:pPr>
              <w:pStyle w:val="Normalt"/>
              <w:widowControl w:val="0"/>
              <w:rPr>
                <w:rFonts w:ascii="Arial" w:hAnsi="Arial" w:cs="Arial"/>
                <w:dstrike/>
                <w:sz w:val="16"/>
                <w:szCs w:val="16"/>
                <w:lang w:val="fr-FR"/>
              </w:rPr>
            </w:pPr>
            <w:r w:rsidRPr="007917AA">
              <w:rPr>
                <w:rFonts w:ascii="Arial" w:hAnsi="Arial" w:cs="Arial"/>
                <w:sz w:val="16"/>
                <w:szCs w:val="16"/>
                <w:lang w:val="fr-FR"/>
              </w:rPr>
              <w:t>absente</w:t>
            </w:r>
          </w:p>
        </w:tc>
        <w:tc>
          <w:tcPr>
            <w:tcW w:w="1866" w:type="dxa"/>
            <w:tcBorders>
              <w:top w:val="nil"/>
              <w:bottom w:val="nil"/>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fehlend</w:t>
            </w:r>
          </w:p>
        </w:tc>
        <w:tc>
          <w:tcPr>
            <w:tcW w:w="1866" w:type="dxa"/>
            <w:tcBorders>
              <w:top w:val="nil"/>
              <w:bottom w:val="nil"/>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ausente</w:t>
            </w:r>
          </w:p>
        </w:tc>
        <w:tc>
          <w:tcPr>
            <w:tcW w:w="2010" w:type="dxa"/>
            <w:tcBorders>
              <w:top w:val="nil"/>
              <w:bottom w:val="nil"/>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Montfavet H 63.5</w:t>
            </w:r>
          </w:p>
        </w:tc>
        <w:tc>
          <w:tcPr>
            <w:tcW w:w="574" w:type="dxa"/>
            <w:tcBorders>
              <w:top w:val="nil"/>
              <w:bottom w:val="nil"/>
              <w:right w:val="nil"/>
            </w:tcBorders>
          </w:tcPr>
          <w:p w:rsidR="00926E8A" w:rsidRPr="007917AA" w:rsidRDefault="00926E8A" w:rsidP="00D23974">
            <w:pPr>
              <w:pStyle w:val="Normalt"/>
              <w:widowControl w:val="0"/>
              <w:jc w:val="center"/>
              <w:rPr>
                <w:rFonts w:ascii="Arial" w:hAnsi="Arial" w:cs="Arial"/>
                <w:dstrike/>
                <w:sz w:val="16"/>
                <w:szCs w:val="16"/>
              </w:rPr>
            </w:pPr>
            <w:r w:rsidRPr="007917AA">
              <w:rPr>
                <w:rFonts w:ascii="Arial" w:hAnsi="Arial" w:cs="Arial"/>
                <w:sz w:val="16"/>
                <w:szCs w:val="16"/>
              </w:rPr>
              <w:t>1</w:t>
            </w:r>
          </w:p>
        </w:tc>
      </w:tr>
      <w:tr w:rsidR="00926E8A" w:rsidRPr="007917AA" w:rsidTr="00D23974">
        <w:trPr>
          <w:cantSplit/>
          <w:jc w:val="center"/>
        </w:trPr>
        <w:tc>
          <w:tcPr>
            <w:tcW w:w="574" w:type="dxa"/>
            <w:tcBorders>
              <w:top w:val="nil"/>
              <w:left w:val="nil"/>
              <w:bottom w:val="single" w:sz="4" w:space="0" w:color="auto"/>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577" w:type="dxa"/>
            <w:tcBorders>
              <w:top w:val="nil"/>
              <w:bottom w:val="single" w:sz="4" w:space="0" w:color="auto"/>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1867"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present</w:t>
            </w:r>
          </w:p>
        </w:tc>
        <w:tc>
          <w:tcPr>
            <w:tcW w:w="1866"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lang w:val="fr-FR"/>
              </w:rPr>
            </w:pPr>
            <w:r w:rsidRPr="007917AA">
              <w:rPr>
                <w:rFonts w:ascii="Arial" w:hAnsi="Arial" w:cs="Arial"/>
                <w:sz w:val="16"/>
                <w:szCs w:val="16"/>
                <w:lang w:val="fr-FR"/>
              </w:rPr>
              <w:t>présente</w:t>
            </w:r>
          </w:p>
        </w:tc>
        <w:tc>
          <w:tcPr>
            <w:tcW w:w="1866" w:type="dxa"/>
            <w:tcBorders>
              <w:top w:val="nil"/>
              <w:bottom w:val="single" w:sz="4" w:space="0" w:color="auto"/>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vorhanden</w:t>
            </w:r>
          </w:p>
        </w:tc>
        <w:tc>
          <w:tcPr>
            <w:tcW w:w="1866" w:type="dxa"/>
            <w:tcBorders>
              <w:top w:val="nil"/>
              <w:bottom w:val="single" w:sz="4" w:space="0" w:color="auto"/>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presente</w:t>
            </w:r>
          </w:p>
        </w:tc>
        <w:tc>
          <w:tcPr>
            <w:tcW w:w="2010"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Anastasia, Mohawk, TY 20</w:t>
            </w:r>
          </w:p>
        </w:tc>
        <w:tc>
          <w:tcPr>
            <w:tcW w:w="574" w:type="dxa"/>
            <w:tcBorders>
              <w:top w:val="nil"/>
              <w:bottom w:val="single" w:sz="4" w:space="0" w:color="auto"/>
              <w:right w:val="nil"/>
            </w:tcBorders>
          </w:tcPr>
          <w:p w:rsidR="00926E8A" w:rsidRPr="007917AA" w:rsidRDefault="00926E8A" w:rsidP="00D23974">
            <w:pPr>
              <w:pStyle w:val="Normalt"/>
              <w:widowControl w:val="0"/>
              <w:jc w:val="center"/>
              <w:rPr>
                <w:rFonts w:ascii="Arial" w:hAnsi="Arial" w:cs="Arial"/>
                <w:sz w:val="16"/>
                <w:szCs w:val="16"/>
              </w:rPr>
            </w:pPr>
            <w:r w:rsidRPr="007917AA">
              <w:rPr>
                <w:rFonts w:ascii="Arial" w:hAnsi="Arial" w:cs="Arial"/>
                <w:sz w:val="16"/>
                <w:szCs w:val="16"/>
              </w:rPr>
              <w:t>9</w:t>
            </w:r>
          </w:p>
        </w:tc>
      </w:tr>
    </w:tbl>
    <w:p w:rsidR="00926E8A" w:rsidRDefault="00926E8A" w:rsidP="00926E8A">
      <w:pPr>
        <w:jc w:val="left"/>
        <w:rPr>
          <w:i/>
          <w:iCs/>
        </w:rPr>
      </w:pPr>
    </w:p>
    <w:p w:rsidR="00926E8A" w:rsidRDefault="00926E8A" w:rsidP="00926E8A">
      <w:pPr>
        <w:jc w:val="left"/>
        <w:rPr>
          <w:i/>
          <w:iCs/>
        </w:rPr>
      </w:pPr>
    </w:p>
    <w:p w:rsidR="00926E8A" w:rsidRDefault="00926E8A" w:rsidP="00926E8A">
      <w:pPr>
        <w:rPr>
          <w:i/>
          <w:iCs/>
        </w:rPr>
      </w:pPr>
      <w:r w:rsidRPr="00051B34">
        <w:rPr>
          <w:i/>
          <w:iCs/>
        </w:rPr>
        <w:t>Nuevo texto propuesto:</w:t>
      </w:r>
    </w:p>
    <w:p w:rsidR="00926E8A" w:rsidRDefault="00926E8A" w:rsidP="00926E8A">
      <w:pPr>
        <w:rPr>
          <w:i/>
          <w:iCs/>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926E8A" w:rsidRPr="007917AA" w:rsidTr="00D23974">
        <w:trPr>
          <w:cantSplit/>
          <w:jc w:val="center"/>
        </w:trPr>
        <w:tc>
          <w:tcPr>
            <w:tcW w:w="574" w:type="dxa"/>
            <w:tcBorders>
              <w:top w:val="single" w:sz="4" w:space="0" w:color="auto"/>
              <w:left w:val="nil"/>
              <w:bottom w:val="single" w:sz="4" w:space="0" w:color="auto"/>
            </w:tcBorders>
          </w:tcPr>
          <w:p w:rsidR="00926E8A" w:rsidRPr="007917AA" w:rsidRDefault="00926E8A" w:rsidP="00D23974">
            <w:pPr>
              <w:pStyle w:val="Normaltb"/>
              <w:rPr>
                <w:rFonts w:ascii="Arial" w:hAnsi="Arial" w:cs="Arial"/>
                <w:dstrike/>
                <w:sz w:val="16"/>
                <w:szCs w:val="16"/>
              </w:rPr>
            </w:pPr>
          </w:p>
        </w:tc>
        <w:tc>
          <w:tcPr>
            <w:tcW w:w="577"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rPr>
            </w:pPr>
          </w:p>
        </w:tc>
        <w:tc>
          <w:tcPr>
            <w:tcW w:w="1867"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rPr>
            </w:pPr>
            <w:r w:rsidRPr="007917AA">
              <w:rPr>
                <w:rFonts w:ascii="Arial" w:hAnsi="Arial" w:cs="Arial"/>
                <w:b w:val="0"/>
                <w:bCs w:val="0"/>
                <w:sz w:val="16"/>
                <w:szCs w:val="16"/>
              </w:rPr>
              <w:br/>
              <w:t>English</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fr-FR"/>
              </w:rPr>
            </w:pPr>
            <w:r w:rsidRPr="007917AA">
              <w:rPr>
                <w:rFonts w:ascii="Arial" w:hAnsi="Arial" w:cs="Arial"/>
                <w:b w:val="0"/>
                <w:bCs w:val="0"/>
                <w:sz w:val="16"/>
                <w:szCs w:val="16"/>
                <w:lang w:val="fr-FR"/>
              </w:rPr>
              <w:br/>
              <w:t>français</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de-DE"/>
              </w:rPr>
            </w:pPr>
            <w:r w:rsidRPr="007917AA">
              <w:rPr>
                <w:rFonts w:ascii="Arial" w:hAnsi="Arial" w:cs="Arial"/>
                <w:b w:val="0"/>
                <w:bCs w:val="0"/>
                <w:sz w:val="16"/>
                <w:szCs w:val="16"/>
                <w:lang w:val="de-DE"/>
              </w:rPr>
              <w:br/>
              <w:t>deutsch</w:t>
            </w:r>
          </w:p>
        </w:tc>
        <w:tc>
          <w:tcPr>
            <w:tcW w:w="1866"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es-MX" w:eastAsia="es-MX"/>
              </w:rPr>
            </w:pPr>
            <w:r w:rsidRPr="007917AA">
              <w:rPr>
                <w:rFonts w:ascii="Arial" w:hAnsi="Arial" w:cs="Arial"/>
                <w:b w:val="0"/>
                <w:bCs w:val="0"/>
                <w:sz w:val="16"/>
                <w:szCs w:val="16"/>
                <w:lang w:val="es-MX" w:eastAsia="es-MX"/>
              </w:rPr>
              <w:br/>
              <w:t>español</w:t>
            </w:r>
          </w:p>
        </w:tc>
        <w:tc>
          <w:tcPr>
            <w:tcW w:w="2010" w:type="dxa"/>
            <w:tcBorders>
              <w:top w:val="single" w:sz="4" w:space="0" w:color="auto"/>
              <w:bottom w:val="single" w:sz="4" w:space="0" w:color="auto"/>
            </w:tcBorders>
          </w:tcPr>
          <w:p w:rsidR="00926E8A" w:rsidRPr="007917AA" w:rsidRDefault="00926E8A" w:rsidP="00D23974">
            <w:pPr>
              <w:pStyle w:val="Normaltb"/>
              <w:rPr>
                <w:rFonts w:ascii="Arial" w:hAnsi="Arial" w:cs="Arial"/>
                <w:b w:val="0"/>
                <w:bCs w:val="0"/>
                <w:dstrike/>
                <w:sz w:val="16"/>
                <w:szCs w:val="16"/>
                <w:lang w:val="es-ES"/>
              </w:rPr>
            </w:pPr>
            <w:r w:rsidRPr="007917AA">
              <w:rPr>
                <w:rFonts w:ascii="Arial" w:hAnsi="Arial" w:cs="Arial"/>
                <w:b w:val="0"/>
                <w:bCs w:val="0"/>
                <w:sz w:val="16"/>
                <w:szCs w:val="16"/>
                <w:lang w:val="es-ES"/>
              </w:rPr>
              <w:t>Example Varieties</w:t>
            </w:r>
            <w:r w:rsidRPr="007917AA">
              <w:rPr>
                <w:rFonts w:ascii="Arial" w:hAnsi="Arial" w:cs="Arial"/>
                <w:b w:val="0"/>
                <w:bCs w:val="0"/>
                <w:sz w:val="16"/>
                <w:szCs w:val="16"/>
                <w:lang w:val="es-ES"/>
              </w:rPr>
              <w:br/>
              <w:t>Exemples</w:t>
            </w:r>
            <w:r w:rsidRPr="007917AA">
              <w:rPr>
                <w:rFonts w:ascii="Arial" w:hAnsi="Arial" w:cs="Arial"/>
                <w:b w:val="0"/>
                <w:bCs w:val="0"/>
                <w:sz w:val="16"/>
                <w:szCs w:val="16"/>
                <w:lang w:val="es-ES"/>
              </w:rPr>
              <w:br/>
              <w:t>Beispielssorten</w:t>
            </w:r>
            <w:r w:rsidRPr="007917AA">
              <w:rPr>
                <w:rFonts w:ascii="Arial" w:hAnsi="Arial" w:cs="Arial"/>
                <w:b w:val="0"/>
                <w:bCs w:val="0"/>
                <w:sz w:val="16"/>
                <w:szCs w:val="16"/>
                <w:lang w:val="es-ES"/>
              </w:rPr>
              <w:br/>
              <w:t>Variedades ejemplo</w:t>
            </w:r>
          </w:p>
        </w:tc>
        <w:tc>
          <w:tcPr>
            <w:tcW w:w="574" w:type="dxa"/>
            <w:tcBorders>
              <w:top w:val="single" w:sz="4" w:space="0" w:color="auto"/>
              <w:bottom w:val="single" w:sz="4" w:space="0" w:color="auto"/>
              <w:right w:val="nil"/>
            </w:tcBorders>
          </w:tcPr>
          <w:p w:rsidR="00926E8A" w:rsidRPr="007917AA" w:rsidRDefault="00926E8A" w:rsidP="00D23974">
            <w:pPr>
              <w:pStyle w:val="Normaltb"/>
              <w:rPr>
                <w:rFonts w:ascii="Arial" w:hAnsi="Arial" w:cs="Arial"/>
                <w:dstrike/>
                <w:sz w:val="16"/>
                <w:szCs w:val="16"/>
                <w:lang w:val="es-ES"/>
              </w:rPr>
            </w:pPr>
            <w:r w:rsidRPr="007917AA">
              <w:rPr>
                <w:rFonts w:ascii="Arial" w:hAnsi="Arial" w:cs="Arial"/>
                <w:sz w:val="16"/>
                <w:szCs w:val="16"/>
                <w:lang w:val="es-ES"/>
              </w:rPr>
              <w:br/>
            </w:r>
            <w:r w:rsidRPr="007917AA">
              <w:rPr>
                <w:rFonts w:ascii="Arial" w:hAnsi="Arial" w:cs="Arial"/>
                <w:b w:val="0"/>
                <w:bCs w:val="0"/>
                <w:sz w:val="16"/>
                <w:szCs w:val="16"/>
                <w:lang w:val="es-ES"/>
              </w:rPr>
              <w:t>Note</w:t>
            </w:r>
            <w:r w:rsidRPr="007917AA">
              <w:rPr>
                <w:rFonts w:ascii="Arial" w:hAnsi="Arial" w:cs="Arial"/>
                <w:sz w:val="16"/>
                <w:szCs w:val="16"/>
                <w:lang w:val="es-ES"/>
              </w:rPr>
              <w:t>/</w:t>
            </w:r>
            <w:r w:rsidRPr="007917AA">
              <w:rPr>
                <w:rFonts w:ascii="Arial" w:hAnsi="Arial" w:cs="Arial"/>
                <w:sz w:val="16"/>
                <w:szCs w:val="16"/>
                <w:lang w:val="es-ES"/>
              </w:rPr>
              <w:br/>
            </w:r>
            <w:r w:rsidRPr="007917AA">
              <w:rPr>
                <w:rFonts w:ascii="Arial" w:hAnsi="Arial" w:cs="Arial"/>
                <w:b w:val="0"/>
                <w:bCs w:val="0"/>
                <w:sz w:val="16"/>
                <w:szCs w:val="16"/>
                <w:lang w:val="es-ES"/>
              </w:rPr>
              <w:t>Nota</w:t>
            </w:r>
          </w:p>
        </w:tc>
      </w:tr>
      <w:tr w:rsidR="00926E8A" w:rsidRPr="007917AA" w:rsidTr="00D23974">
        <w:trPr>
          <w:cantSplit/>
          <w:jc w:val="center"/>
        </w:trPr>
        <w:tc>
          <w:tcPr>
            <w:tcW w:w="574" w:type="dxa"/>
            <w:tcBorders>
              <w:top w:val="single" w:sz="4" w:space="0" w:color="auto"/>
              <w:left w:val="nil"/>
              <w:bottom w:val="nil"/>
            </w:tcBorders>
          </w:tcPr>
          <w:p w:rsidR="00926E8A" w:rsidRPr="007917AA" w:rsidRDefault="00926E8A" w:rsidP="00D23974">
            <w:pPr>
              <w:pStyle w:val="Normaltb"/>
              <w:jc w:val="center"/>
              <w:rPr>
                <w:rFonts w:ascii="Arial" w:hAnsi="Arial" w:cs="Arial"/>
                <w:dstrike/>
                <w:sz w:val="16"/>
                <w:szCs w:val="16"/>
              </w:rPr>
            </w:pPr>
            <w:r w:rsidRPr="007917AA">
              <w:rPr>
                <w:rFonts w:ascii="Arial" w:hAnsi="Arial" w:cs="Arial"/>
                <w:sz w:val="16"/>
                <w:szCs w:val="16"/>
              </w:rPr>
              <w:t xml:space="preserve">57. </w:t>
            </w:r>
            <w:r w:rsidRPr="007917AA">
              <w:rPr>
                <w:rFonts w:ascii="Arial" w:hAnsi="Arial" w:cs="Arial"/>
                <w:sz w:val="16"/>
                <w:szCs w:val="16"/>
              </w:rPr>
              <w:br/>
            </w:r>
            <w:r w:rsidRPr="007917AA">
              <w:rPr>
                <w:rFonts w:ascii="Arial" w:hAnsi="Arial" w:cs="Arial"/>
                <w:sz w:val="16"/>
                <w:szCs w:val="16"/>
              </w:rPr>
              <w:br/>
              <w:t>(+)</w:t>
            </w:r>
          </w:p>
        </w:tc>
        <w:tc>
          <w:tcPr>
            <w:tcW w:w="577" w:type="dxa"/>
            <w:tcBorders>
              <w:top w:val="single" w:sz="4" w:space="0" w:color="auto"/>
              <w:bottom w:val="nil"/>
            </w:tcBorders>
          </w:tcPr>
          <w:p w:rsidR="00926E8A" w:rsidRPr="007917AA" w:rsidRDefault="00926E8A" w:rsidP="00D23974">
            <w:pPr>
              <w:pStyle w:val="Normaltb"/>
              <w:jc w:val="center"/>
              <w:rPr>
                <w:rFonts w:ascii="Arial" w:hAnsi="Arial" w:cs="Arial"/>
                <w:dstrike/>
                <w:sz w:val="16"/>
                <w:szCs w:val="16"/>
              </w:rPr>
            </w:pPr>
            <w:r w:rsidRPr="007917AA">
              <w:rPr>
                <w:rFonts w:ascii="Arial" w:hAnsi="Arial" w:cs="Arial"/>
                <w:sz w:val="16"/>
                <w:szCs w:val="16"/>
              </w:rPr>
              <w:t>VG</w:t>
            </w:r>
          </w:p>
        </w:tc>
        <w:tc>
          <w:tcPr>
            <w:tcW w:w="1867" w:type="dxa"/>
            <w:tcBorders>
              <w:top w:val="single" w:sz="4" w:space="0" w:color="auto"/>
              <w:bottom w:val="nil"/>
            </w:tcBorders>
          </w:tcPr>
          <w:p w:rsidR="00926E8A" w:rsidRPr="007917AA" w:rsidRDefault="00926E8A" w:rsidP="00D23974">
            <w:pPr>
              <w:pStyle w:val="Normaltb"/>
              <w:rPr>
                <w:rFonts w:ascii="Arial" w:hAnsi="Arial" w:cs="Arial"/>
                <w:dstrike/>
                <w:sz w:val="16"/>
                <w:szCs w:val="16"/>
              </w:rPr>
            </w:pPr>
            <w:r w:rsidRPr="007917AA">
              <w:rPr>
                <w:rFonts w:ascii="Arial" w:hAnsi="Arial" w:cs="Arial"/>
                <w:sz w:val="16"/>
                <w:szCs w:val="16"/>
              </w:rPr>
              <w:t>Resistance to Tomato yellow leaf curl virus (TYLCV)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fr-FR"/>
              </w:rPr>
            </w:pPr>
            <w:r w:rsidRPr="007917AA">
              <w:rPr>
                <w:rFonts w:ascii="Arial" w:hAnsi="Arial" w:cs="Arial"/>
                <w:sz w:val="16"/>
                <w:szCs w:val="16"/>
                <w:lang w:val="fr-FR"/>
              </w:rPr>
              <w:t>Résistance au virus des feuilles jaunes en cuillère de la tomate (TYLCV)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de-CH"/>
              </w:rPr>
            </w:pPr>
            <w:r w:rsidRPr="007917AA">
              <w:rPr>
                <w:rFonts w:ascii="Arial" w:hAnsi="Arial" w:cs="Arial"/>
                <w:sz w:val="16"/>
                <w:szCs w:val="16"/>
                <w:lang w:val="de-DE"/>
              </w:rPr>
              <w:t xml:space="preserve">Resistenz gegen gelbes Tomatenblatt-rollvirus </w:t>
            </w:r>
            <w:r w:rsidRPr="007917AA">
              <w:rPr>
                <w:rFonts w:ascii="Arial" w:hAnsi="Arial" w:cs="Arial"/>
                <w:sz w:val="16"/>
                <w:szCs w:val="16"/>
                <w:lang w:val="de-CH"/>
              </w:rPr>
              <w:t>(TYLCV)</w:t>
            </w:r>
          </w:p>
        </w:tc>
        <w:tc>
          <w:tcPr>
            <w:tcW w:w="1866"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es-ES"/>
              </w:rPr>
            </w:pPr>
            <w:r w:rsidRPr="007917AA">
              <w:rPr>
                <w:rFonts w:ascii="Arial" w:hAnsi="Arial" w:cs="Arial"/>
                <w:sz w:val="16"/>
                <w:szCs w:val="16"/>
                <w:lang w:val="es-MX" w:eastAsia="es-MX"/>
              </w:rPr>
              <w:t>Resistencia al virus</w:t>
            </w:r>
            <w:r w:rsidRPr="007917AA">
              <w:rPr>
                <w:rFonts w:ascii="Arial" w:hAnsi="Arial" w:cs="Arial"/>
                <w:b w:val="0"/>
                <w:bCs w:val="0"/>
                <w:sz w:val="16"/>
                <w:szCs w:val="16"/>
                <w:lang w:val="es-MX" w:eastAsia="es-MX"/>
              </w:rPr>
              <w:t xml:space="preserve"> </w:t>
            </w:r>
            <w:r w:rsidRPr="007917AA">
              <w:rPr>
                <w:rFonts w:ascii="Arial" w:hAnsi="Arial" w:cs="Arial"/>
                <w:sz w:val="16"/>
                <w:szCs w:val="16"/>
                <w:lang w:val="es-MX" w:eastAsia="es-MX"/>
              </w:rPr>
              <w:t>del rizado amarillo de la hoja del tomate (TYLCV)</w:t>
            </w:r>
          </w:p>
        </w:tc>
        <w:tc>
          <w:tcPr>
            <w:tcW w:w="2010" w:type="dxa"/>
            <w:tcBorders>
              <w:top w:val="single" w:sz="4" w:space="0" w:color="auto"/>
              <w:bottom w:val="nil"/>
            </w:tcBorders>
          </w:tcPr>
          <w:p w:rsidR="00926E8A" w:rsidRPr="007917AA" w:rsidRDefault="00926E8A" w:rsidP="00D23974">
            <w:pPr>
              <w:pStyle w:val="Normaltb"/>
              <w:rPr>
                <w:rFonts w:ascii="Arial" w:hAnsi="Arial" w:cs="Arial"/>
                <w:dstrike/>
                <w:sz w:val="16"/>
                <w:szCs w:val="16"/>
                <w:lang w:val="es-ES"/>
              </w:rPr>
            </w:pPr>
          </w:p>
        </w:tc>
        <w:tc>
          <w:tcPr>
            <w:tcW w:w="574" w:type="dxa"/>
            <w:tcBorders>
              <w:top w:val="single" w:sz="4" w:space="0" w:color="auto"/>
              <w:bottom w:val="nil"/>
              <w:right w:val="nil"/>
            </w:tcBorders>
          </w:tcPr>
          <w:p w:rsidR="00926E8A" w:rsidRPr="007917AA" w:rsidRDefault="00926E8A" w:rsidP="00D23974">
            <w:pPr>
              <w:pStyle w:val="Normaltb"/>
              <w:jc w:val="center"/>
              <w:rPr>
                <w:rFonts w:ascii="Arial" w:hAnsi="Arial" w:cs="Arial"/>
                <w:dstrike/>
                <w:sz w:val="16"/>
                <w:szCs w:val="16"/>
                <w:lang w:val="es-ES"/>
              </w:rPr>
            </w:pPr>
          </w:p>
        </w:tc>
      </w:tr>
      <w:tr w:rsidR="00926E8A" w:rsidRPr="007917AA" w:rsidTr="00D23974">
        <w:trPr>
          <w:cantSplit/>
          <w:jc w:val="center"/>
        </w:trPr>
        <w:tc>
          <w:tcPr>
            <w:tcW w:w="574" w:type="dxa"/>
            <w:tcBorders>
              <w:top w:val="nil"/>
              <w:left w:val="nil"/>
              <w:bottom w:val="nil"/>
            </w:tcBorders>
          </w:tcPr>
          <w:p w:rsidR="00926E8A" w:rsidRPr="007917AA" w:rsidRDefault="00926E8A" w:rsidP="00D23974">
            <w:pPr>
              <w:pStyle w:val="Normaltb"/>
              <w:keepNext w:val="0"/>
              <w:widowControl w:val="0"/>
              <w:jc w:val="center"/>
              <w:rPr>
                <w:rFonts w:ascii="Arial" w:hAnsi="Arial" w:cs="Arial"/>
                <w:dstrike/>
                <w:sz w:val="16"/>
                <w:szCs w:val="16"/>
              </w:rPr>
            </w:pPr>
            <w:r w:rsidRPr="007917AA">
              <w:rPr>
                <w:rFonts w:ascii="Arial" w:hAnsi="Arial" w:cs="Arial"/>
                <w:sz w:val="16"/>
                <w:szCs w:val="16"/>
              </w:rPr>
              <w:t>QL</w:t>
            </w:r>
          </w:p>
        </w:tc>
        <w:tc>
          <w:tcPr>
            <w:tcW w:w="577" w:type="dxa"/>
            <w:tcBorders>
              <w:top w:val="nil"/>
              <w:bottom w:val="nil"/>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1867" w:type="dxa"/>
            <w:tcBorders>
              <w:top w:val="nil"/>
              <w:bottom w:val="nil"/>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absent</w:t>
            </w:r>
          </w:p>
        </w:tc>
        <w:tc>
          <w:tcPr>
            <w:tcW w:w="1866" w:type="dxa"/>
            <w:tcBorders>
              <w:top w:val="nil"/>
              <w:bottom w:val="nil"/>
            </w:tcBorders>
          </w:tcPr>
          <w:p w:rsidR="00926E8A" w:rsidRPr="007917AA" w:rsidRDefault="00926E8A" w:rsidP="00D23974">
            <w:pPr>
              <w:pStyle w:val="Normalt"/>
              <w:widowControl w:val="0"/>
              <w:rPr>
                <w:rFonts w:ascii="Arial" w:hAnsi="Arial" w:cs="Arial"/>
                <w:dstrike/>
                <w:sz w:val="16"/>
                <w:szCs w:val="16"/>
                <w:lang w:val="fr-FR"/>
              </w:rPr>
            </w:pPr>
            <w:r w:rsidRPr="007917AA">
              <w:rPr>
                <w:rFonts w:ascii="Arial" w:hAnsi="Arial" w:cs="Arial"/>
                <w:sz w:val="16"/>
                <w:szCs w:val="16"/>
                <w:lang w:val="fr-FR"/>
              </w:rPr>
              <w:t>absente</w:t>
            </w:r>
          </w:p>
        </w:tc>
        <w:tc>
          <w:tcPr>
            <w:tcW w:w="1866" w:type="dxa"/>
            <w:tcBorders>
              <w:top w:val="nil"/>
              <w:bottom w:val="nil"/>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fehlend</w:t>
            </w:r>
          </w:p>
        </w:tc>
        <w:tc>
          <w:tcPr>
            <w:tcW w:w="1866" w:type="dxa"/>
            <w:tcBorders>
              <w:top w:val="nil"/>
              <w:bottom w:val="nil"/>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ausente</w:t>
            </w:r>
          </w:p>
        </w:tc>
        <w:tc>
          <w:tcPr>
            <w:tcW w:w="2010" w:type="dxa"/>
            <w:tcBorders>
              <w:top w:val="nil"/>
              <w:bottom w:val="nil"/>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trike/>
                <w:sz w:val="16"/>
                <w:szCs w:val="16"/>
                <w:shd w:val="clear" w:color="auto" w:fill="C0C0C0"/>
              </w:rPr>
              <w:t>Montfavet H 63.5</w:t>
            </w:r>
            <w:r w:rsidRPr="007917AA">
              <w:rPr>
                <w:rFonts w:ascii="Arial" w:hAnsi="Arial" w:cs="Arial"/>
                <w:sz w:val="16"/>
                <w:szCs w:val="16"/>
                <w:highlight w:val="lightGray"/>
              </w:rPr>
              <w:br/>
            </w:r>
            <w:r w:rsidRPr="007917AA">
              <w:rPr>
                <w:rFonts w:ascii="Arial" w:hAnsi="Arial" w:cs="Arial"/>
                <w:sz w:val="16"/>
                <w:szCs w:val="16"/>
                <w:highlight w:val="lightGray"/>
                <w:u w:val="single"/>
              </w:rPr>
              <w:t>Marmande, Moneymaker</w:t>
            </w:r>
          </w:p>
        </w:tc>
        <w:tc>
          <w:tcPr>
            <w:tcW w:w="574" w:type="dxa"/>
            <w:tcBorders>
              <w:top w:val="nil"/>
              <w:bottom w:val="nil"/>
              <w:right w:val="nil"/>
            </w:tcBorders>
          </w:tcPr>
          <w:p w:rsidR="00926E8A" w:rsidRPr="007917AA" w:rsidRDefault="00926E8A" w:rsidP="00D23974">
            <w:pPr>
              <w:pStyle w:val="Normalt"/>
              <w:widowControl w:val="0"/>
              <w:jc w:val="center"/>
              <w:rPr>
                <w:rFonts w:ascii="Arial" w:hAnsi="Arial" w:cs="Arial"/>
                <w:dstrike/>
                <w:sz w:val="16"/>
                <w:szCs w:val="16"/>
              </w:rPr>
            </w:pPr>
            <w:r w:rsidRPr="007917AA">
              <w:rPr>
                <w:rFonts w:ascii="Arial" w:hAnsi="Arial" w:cs="Arial"/>
                <w:sz w:val="16"/>
                <w:szCs w:val="16"/>
              </w:rPr>
              <w:t>1</w:t>
            </w:r>
          </w:p>
        </w:tc>
      </w:tr>
      <w:tr w:rsidR="00926E8A" w:rsidRPr="007917AA" w:rsidTr="00D23974">
        <w:trPr>
          <w:cantSplit/>
          <w:jc w:val="center"/>
        </w:trPr>
        <w:tc>
          <w:tcPr>
            <w:tcW w:w="574" w:type="dxa"/>
            <w:tcBorders>
              <w:top w:val="nil"/>
              <w:left w:val="nil"/>
              <w:bottom w:val="single" w:sz="4" w:space="0" w:color="auto"/>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577" w:type="dxa"/>
            <w:tcBorders>
              <w:top w:val="nil"/>
              <w:bottom w:val="single" w:sz="4" w:space="0" w:color="auto"/>
            </w:tcBorders>
          </w:tcPr>
          <w:p w:rsidR="00926E8A" w:rsidRPr="007917AA" w:rsidRDefault="00926E8A" w:rsidP="00D23974">
            <w:pPr>
              <w:pStyle w:val="Normaltb"/>
              <w:keepNext w:val="0"/>
              <w:widowControl w:val="0"/>
              <w:jc w:val="center"/>
              <w:rPr>
                <w:rFonts w:ascii="Arial" w:hAnsi="Arial" w:cs="Arial"/>
                <w:dstrike/>
                <w:sz w:val="16"/>
                <w:szCs w:val="16"/>
              </w:rPr>
            </w:pPr>
          </w:p>
        </w:tc>
        <w:tc>
          <w:tcPr>
            <w:tcW w:w="1867"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present</w:t>
            </w:r>
          </w:p>
        </w:tc>
        <w:tc>
          <w:tcPr>
            <w:tcW w:w="1866"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lang w:val="fr-FR"/>
              </w:rPr>
            </w:pPr>
            <w:r w:rsidRPr="007917AA">
              <w:rPr>
                <w:rFonts w:ascii="Arial" w:hAnsi="Arial" w:cs="Arial"/>
                <w:sz w:val="16"/>
                <w:szCs w:val="16"/>
                <w:lang w:val="fr-FR"/>
              </w:rPr>
              <w:t>présente</w:t>
            </w:r>
          </w:p>
        </w:tc>
        <w:tc>
          <w:tcPr>
            <w:tcW w:w="1866" w:type="dxa"/>
            <w:tcBorders>
              <w:top w:val="nil"/>
              <w:bottom w:val="single" w:sz="4" w:space="0" w:color="auto"/>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vorhanden</w:t>
            </w:r>
          </w:p>
        </w:tc>
        <w:tc>
          <w:tcPr>
            <w:tcW w:w="1866" w:type="dxa"/>
            <w:tcBorders>
              <w:top w:val="nil"/>
              <w:bottom w:val="single" w:sz="4" w:space="0" w:color="auto"/>
            </w:tcBorders>
          </w:tcPr>
          <w:p w:rsidR="00926E8A" w:rsidRPr="007917AA" w:rsidRDefault="00926E8A" w:rsidP="00D23974">
            <w:pPr>
              <w:pStyle w:val="Normalt"/>
              <w:rPr>
                <w:rFonts w:ascii="Arial" w:hAnsi="Arial" w:cs="Arial"/>
                <w:dstrike/>
                <w:sz w:val="16"/>
                <w:szCs w:val="16"/>
              </w:rPr>
            </w:pPr>
            <w:r w:rsidRPr="007917AA">
              <w:rPr>
                <w:rFonts w:ascii="Arial" w:hAnsi="Arial" w:cs="Arial"/>
                <w:sz w:val="16"/>
                <w:szCs w:val="16"/>
              </w:rPr>
              <w:t>presente</w:t>
            </w:r>
          </w:p>
        </w:tc>
        <w:tc>
          <w:tcPr>
            <w:tcW w:w="2010" w:type="dxa"/>
            <w:tcBorders>
              <w:top w:val="nil"/>
              <w:bottom w:val="single" w:sz="4" w:space="0" w:color="auto"/>
            </w:tcBorders>
          </w:tcPr>
          <w:p w:rsidR="00926E8A" w:rsidRPr="007917AA" w:rsidRDefault="00926E8A" w:rsidP="00D23974">
            <w:pPr>
              <w:pStyle w:val="Normalt"/>
              <w:widowControl w:val="0"/>
              <w:rPr>
                <w:rFonts w:ascii="Arial" w:hAnsi="Arial" w:cs="Arial"/>
                <w:dstrike/>
                <w:sz w:val="16"/>
                <w:szCs w:val="16"/>
              </w:rPr>
            </w:pPr>
            <w:r w:rsidRPr="007917AA">
              <w:rPr>
                <w:rFonts w:ascii="Arial" w:hAnsi="Arial" w:cs="Arial"/>
                <w:sz w:val="16"/>
                <w:szCs w:val="16"/>
              </w:rPr>
              <w:t>Anastasia, Mohawk, TY 20</w:t>
            </w:r>
          </w:p>
        </w:tc>
        <w:tc>
          <w:tcPr>
            <w:tcW w:w="574" w:type="dxa"/>
            <w:tcBorders>
              <w:top w:val="nil"/>
              <w:bottom w:val="single" w:sz="4" w:space="0" w:color="auto"/>
              <w:right w:val="nil"/>
            </w:tcBorders>
          </w:tcPr>
          <w:p w:rsidR="00926E8A" w:rsidRPr="007917AA" w:rsidRDefault="00926E8A" w:rsidP="00D23974">
            <w:pPr>
              <w:pStyle w:val="Normalt"/>
              <w:widowControl w:val="0"/>
              <w:jc w:val="center"/>
              <w:rPr>
                <w:rFonts w:ascii="Arial" w:hAnsi="Arial" w:cs="Arial"/>
                <w:sz w:val="16"/>
                <w:szCs w:val="16"/>
              </w:rPr>
            </w:pPr>
            <w:r w:rsidRPr="007917AA">
              <w:rPr>
                <w:rFonts w:ascii="Arial" w:hAnsi="Arial" w:cs="Arial"/>
                <w:sz w:val="16"/>
                <w:szCs w:val="16"/>
              </w:rPr>
              <w:t>9</w:t>
            </w:r>
          </w:p>
        </w:tc>
      </w:tr>
    </w:tbl>
    <w:p w:rsidR="00926E8A" w:rsidRDefault="00926E8A" w:rsidP="00926E8A">
      <w:pPr>
        <w:jc w:val="left"/>
        <w:rPr>
          <w:i/>
          <w:iCs/>
        </w:rPr>
      </w:pPr>
    </w:p>
    <w:p w:rsidR="00926E8A" w:rsidRDefault="00926E8A" w:rsidP="00926E8A">
      <w:pPr>
        <w:pStyle w:val="Heading2"/>
      </w:pPr>
    </w:p>
    <w:p w:rsidR="00926E8A" w:rsidRDefault="00926E8A" w:rsidP="00926E8A">
      <w:pPr>
        <w:jc w:val="left"/>
        <w:rPr>
          <w:u w:val="single"/>
        </w:rPr>
      </w:pPr>
      <w:r>
        <w:br w:type="page"/>
      </w:r>
    </w:p>
    <w:p w:rsidR="00926E8A" w:rsidRPr="00150CF2" w:rsidRDefault="00926E8A" w:rsidP="00926E8A">
      <w:pPr>
        <w:pStyle w:val="Heading2"/>
        <w:rPr>
          <w:lang w:val="es-ES"/>
        </w:rPr>
      </w:pPr>
      <w:r w:rsidRPr="007274B3">
        <w:rPr>
          <w:lang w:val="es-ES_tradnl"/>
        </w:rPr>
        <w:lastRenderedPageBreak/>
        <w:t>Propuesta de revisión del método actual para el TYLCV, tal como se indica en la adición 57 i), e incorporación del método alternativo de inoculación por moscas blancas que se describe en la adición 57 ii)</w:t>
      </w:r>
    </w:p>
    <w:p w:rsidR="00926E8A" w:rsidRPr="00150CF2" w:rsidRDefault="00926E8A" w:rsidP="00926E8A">
      <w:pPr>
        <w:jc w:val="left"/>
        <w:rPr>
          <w:lang w:val="es-ES"/>
        </w:rPr>
      </w:pPr>
    </w:p>
    <w:p w:rsidR="00926E8A" w:rsidRPr="00150CF2" w:rsidRDefault="00926E8A" w:rsidP="00926E8A">
      <w:pPr>
        <w:jc w:val="left"/>
        <w:rPr>
          <w:i/>
          <w:iCs/>
          <w:lang w:val="es-ES"/>
        </w:rPr>
      </w:pPr>
      <w:r w:rsidRPr="00051B34">
        <w:rPr>
          <w:i/>
          <w:iCs/>
        </w:rPr>
        <w:t>Texto actual:</w:t>
      </w:r>
    </w:p>
    <w:p w:rsidR="00926E8A" w:rsidRPr="00150CF2" w:rsidRDefault="00926E8A" w:rsidP="00926E8A">
      <w:pPr>
        <w:jc w:val="left"/>
        <w:rPr>
          <w:i/>
          <w:iCs/>
          <w:lang w:val="es-ES"/>
        </w:rPr>
      </w:pPr>
    </w:p>
    <w:p w:rsidR="00926E8A" w:rsidRPr="00150CF2" w:rsidRDefault="00926E8A" w:rsidP="00926E8A">
      <w:pPr>
        <w:widowControl w:val="0"/>
        <w:outlineLvl w:val="0"/>
        <w:rPr>
          <w:u w:val="single"/>
          <w:lang w:val="es-ES"/>
        </w:rPr>
      </w:pPr>
      <w:r w:rsidRPr="00150CF2">
        <w:rPr>
          <w:u w:val="single"/>
          <w:lang w:val="es-ES"/>
        </w:rPr>
        <w:t xml:space="preserve">Ad. 57:  </w:t>
      </w:r>
      <w:r w:rsidRPr="00051B34">
        <w:rPr>
          <w:u w:val="single"/>
        </w:rPr>
        <w:t>Resistencia al virus del rizado amarillo de la hoja del tomate (TYLCV)</w:t>
      </w:r>
      <w:r w:rsidRPr="00150CF2">
        <w:rPr>
          <w:u w:val="single"/>
          <w:lang w:val="es-ES"/>
        </w:rPr>
        <w:t xml:space="preserve"> </w:t>
      </w:r>
    </w:p>
    <w:p w:rsidR="00926E8A" w:rsidRPr="00150CF2" w:rsidRDefault="00926E8A" w:rsidP="00926E8A">
      <w:pPr>
        <w:widowControl w:val="0"/>
        <w:outlineLvl w:val="0"/>
        <w:rPr>
          <w:u w:val="single"/>
          <w:lang w:val="es-ES"/>
        </w:rPr>
      </w:pPr>
    </w:p>
    <w:p w:rsidR="00926E8A" w:rsidRPr="00150CF2" w:rsidRDefault="00926E8A" w:rsidP="00926E8A">
      <w:pPr>
        <w:widowControl w:val="0"/>
        <w:tabs>
          <w:tab w:val="left" w:leader="dot" w:pos="3402"/>
        </w:tabs>
        <w:ind w:left="482" w:hanging="482"/>
        <w:outlineLvl w:val="0"/>
        <w:rPr>
          <w:lang w:val="es-ES" w:eastAsia="nl-NL"/>
        </w:rPr>
      </w:pPr>
      <w:r w:rsidRPr="00150CF2">
        <w:rPr>
          <w:lang w:val="es-ES" w:eastAsia="nl-NL"/>
        </w:rPr>
        <w:t xml:space="preserve">1. </w:t>
      </w:r>
      <w:r w:rsidRPr="00051B34">
        <w:rPr>
          <w:lang w:eastAsia="nl-NL"/>
        </w:rPr>
        <w:t>Agentes patógenos</w:t>
      </w:r>
      <w:r w:rsidRPr="00150CF2">
        <w:rPr>
          <w:lang w:val="es-ES" w:eastAsia="nl-NL"/>
        </w:rPr>
        <w:t xml:space="preserve"> </w:t>
      </w:r>
      <w:r w:rsidRPr="00150CF2">
        <w:rPr>
          <w:lang w:val="es-ES" w:eastAsia="nl-NL"/>
        </w:rPr>
        <w:tab/>
      </w:r>
      <w:r w:rsidRPr="00150CF2">
        <w:rPr>
          <w:lang w:val="es-ES" w:eastAsia="nl-NL"/>
        </w:rPr>
        <w:tab/>
      </w:r>
      <w:r w:rsidRPr="007274B3">
        <w:rPr>
          <w:lang w:eastAsia="nl-NL"/>
        </w:rPr>
        <w:t>Virus del rizado amarillo de la hoja del tomate (TYLCV)</w:t>
      </w:r>
      <w:r w:rsidRPr="00150CF2">
        <w:rPr>
          <w:lang w:val="es-ES" w:eastAsia="nl-NL"/>
        </w:rPr>
        <w:t xml:space="preserve"> </w:t>
      </w:r>
    </w:p>
    <w:p w:rsidR="00926E8A" w:rsidRPr="00150CF2" w:rsidRDefault="00926E8A" w:rsidP="00926E8A">
      <w:pPr>
        <w:tabs>
          <w:tab w:val="left" w:leader="dot" w:pos="3402"/>
        </w:tabs>
        <w:rPr>
          <w:lang w:val="es-ES" w:eastAsia="nl-NL"/>
        </w:rPr>
      </w:pPr>
      <w:r w:rsidRPr="00150CF2">
        <w:rPr>
          <w:lang w:val="es-ES" w:eastAsia="nl-NL"/>
        </w:rPr>
        <w:t xml:space="preserve">2. </w:t>
      </w:r>
      <w:r w:rsidRPr="00051B34">
        <w:rPr>
          <w:lang w:eastAsia="nl-NL"/>
        </w:rPr>
        <w:t>Estado de cuarentena</w:t>
      </w:r>
      <w:r w:rsidRPr="00150CF2">
        <w:rPr>
          <w:lang w:val="es-ES" w:eastAsia="nl-NL"/>
        </w:rPr>
        <w:tab/>
      </w:r>
      <w:r w:rsidRPr="00150CF2">
        <w:rPr>
          <w:lang w:val="es-ES" w:eastAsia="nl-NL"/>
        </w:rPr>
        <w:tab/>
      </w:r>
      <w:r w:rsidRPr="00051B34">
        <w:rPr>
          <w:lang w:eastAsia="nl-NL"/>
        </w:rPr>
        <w:t>sí</w:t>
      </w:r>
      <w:r w:rsidRPr="00150CF2">
        <w:rPr>
          <w:lang w:val="es-ES" w:eastAsia="nl-NL"/>
        </w:rPr>
        <w:t xml:space="preserve"> </w:t>
      </w:r>
    </w:p>
    <w:p w:rsidR="00926E8A" w:rsidRPr="00150CF2" w:rsidRDefault="00926E8A" w:rsidP="00926E8A">
      <w:pPr>
        <w:tabs>
          <w:tab w:val="left" w:leader="dot" w:pos="3402"/>
        </w:tabs>
        <w:rPr>
          <w:lang w:val="es-ES" w:eastAsia="nl-NL"/>
        </w:rPr>
      </w:pPr>
      <w:r w:rsidRPr="00150CF2">
        <w:rPr>
          <w:lang w:val="es-ES" w:eastAsia="nl-NL"/>
        </w:rPr>
        <w:t xml:space="preserve">3. </w:t>
      </w:r>
      <w:r w:rsidRPr="00051B34">
        <w:rPr>
          <w:lang w:eastAsia="nl-NL"/>
        </w:rPr>
        <w:t>Especies huéspedes</w:t>
      </w:r>
      <w:r w:rsidRPr="00150CF2">
        <w:rPr>
          <w:lang w:val="es-ES" w:eastAsia="nl-NL"/>
        </w:rPr>
        <w:tab/>
      </w:r>
      <w:r w:rsidRPr="00150CF2">
        <w:rPr>
          <w:lang w:val="es-ES" w:eastAsia="nl-NL"/>
        </w:rPr>
        <w:tab/>
      </w:r>
      <w:proofErr w:type="spellStart"/>
      <w:r w:rsidRPr="00051B34">
        <w:rPr>
          <w:i/>
          <w:iCs/>
          <w:lang w:eastAsia="nl-NL"/>
        </w:rPr>
        <w:t>Solanum</w:t>
      </w:r>
      <w:proofErr w:type="spellEnd"/>
      <w:r w:rsidRPr="00051B34">
        <w:rPr>
          <w:i/>
          <w:iCs/>
          <w:lang w:eastAsia="nl-NL"/>
        </w:rPr>
        <w:t xml:space="preserve"> </w:t>
      </w:r>
      <w:proofErr w:type="spellStart"/>
      <w:r w:rsidRPr="00051B34">
        <w:rPr>
          <w:i/>
          <w:iCs/>
          <w:lang w:eastAsia="nl-NL"/>
        </w:rPr>
        <w:t>lycopersicum</w:t>
      </w:r>
      <w:proofErr w:type="spellEnd"/>
      <w:r w:rsidRPr="00150CF2">
        <w:rPr>
          <w:i/>
          <w:iCs/>
          <w:lang w:val="es-ES" w:eastAsia="nl-NL"/>
        </w:rPr>
        <w:t xml:space="preserve"> </w:t>
      </w:r>
    </w:p>
    <w:p w:rsidR="00926E8A" w:rsidRPr="00150CF2" w:rsidRDefault="00926E8A" w:rsidP="00926E8A">
      <w:pPr>
        <w:tabs>
          <w:tab w:val="left" w:leader="dot" w:pos="3402"/>
        </w:tabs>
        <w:rPr>
          <w:lang w:val="es-ES" w:eastAsia="nl-NL"/>
        </w:rPr>
      </w:pPr>
      <w:r w:rsidRPr="00150CF2">
        <w:rPr>
          <w:lang w:val="es-ES" w:eastAsia="nl-NL"/>
        </w:rPr>
        <w:t xml:space="preserve">4. </w:t>
      </w:r>
      <w:r w:rsidRPr="00051B34">
        <w:rPr>
          <w:lang w:eastAsia="nl-NL"/>
        </w:rPr>
        <w:t>Fuente del inóculo</w:t>
      </w:r>
      <w:r w:rsidRPr="00150CF2">
        <w:rPr>
          <w:lang w:val="es-ES" w:eastAsia="nl-NL"/>
        </w:rPr>
        <w:tab/>
      </w:r>
      <w:r w:rsidRPr="00150CF2">
        <w:rPr>
          <w:lang w:val="es-ES" w:eastAsia="nl-NL"/>
        </w:rPr>
        <w:tab/>
        <w:t>-</w:t>
      </w:r>
    </w:p>
    <w:p w:rsidR="00926E8A" w:rsidRPr="00150CF2" w:rsidRDefault="00926E8A" w:rsidP="00926E8A">
      <w:pPr>
        <w:tabs>
          <w:tab w:val="left" w:leader="dot" w:pos="3402"/>
        </w:tabs>
        <w:rPr>
          <w:lang w:val="es-ES" w:eastAsia="nl-NL"/>
        </w:rPr>
      </w:pPr>
      <w:r w:rsidRPr="00150CF2">
        <w:rPr>
          <w:lang w:val="es-ES" w:eastAsia="nl-NL"/>
        </w:rPr>
        <w:t xml:space="preserve">5. </w:t>
      </w:r>
      <w:r w:rsidRPr="00051B34">
        <w:rPr>
          <w:lang w:eastAsia="nl-NL"/>
        </w:rPr>
        <w:t>Aislado</w:t>
      </w:r>
      <w:r w:rsidRPr="00150CF2">
        <w:rPr>
          <w:lang w:val="es-ES" w:eastAsia="nl-NL"/>
        </w:rPr>
        <w:tab/>
      </w:r>
      <w:r w:rsidRPr="00150CF2">
        <w:rPr>
          <w:lang w:val="es-ES" w:eastAsia="nl-NL"/>
        </w:rPr>
        <w:tab/>
        <w:t>-</w:t>
      </w:r>
    </w:p>
    <w:p w:rsidR="00926E8A" w:rsidRPr="00150CF2" w:rsidRDefault="00926E8A" w:rsidP="00926E8A">
      <w:pPr>
        <w:tabs>
          <w:tab w:val="left" w:leader="dot" w:pos="3402"/>
        </w:tabs>
        <w:rPr>
          <w:lang w:val="es-ES" w:eastAsia="nl-NL"/>
        </w:rPr>
      </w:pPr>
      <w:r w:rsidRPr="00150CF2">
        <w:rPr>
          <w:lang w:val="es-ES" w:eastAsia="nl-NL"/>
        </w:rPr>
        <w:t xml:space="preserve">8. </w:t>
      </w:r>
      <w:r w:rsidRPr="00051B34">
        <w:rPr>
          <w:lang w:eastAsia="nl-NL"/>
        </w:rPr>
        <w:t>Multiplicación del inóculo</w:t>
      </w:r>
    </w:p>
    <w:p w:rsidR="00926E8A" w:rsidRPr="00150CF2" w:rsidRDefault="00926E8A" w:rsidP="00926E8A">
      <w:pPr>
        <w:tabs>
          <w:tab w:val="left" w:leader="dot" w:pos="3402"/>
        </w:tabs>
        <w:rPr>
          <w:lang w:val="es-ES" w:eastAsia="nl-NL"/>
        </w:rPr>
      </w:pPr>
      <w:r w:rsidRPr="00150CF2">
        <w:rPr>
          <w:lang w:val="es-ES" w:eastAsia="nl-NL"/>
        </w:rPr>
        <w:t xml:space="preserve">8.6 </w:t>
      </w:r>
      <w:r w:rsidRPr="00051B34">
        <w:rPr>
          <w:lang w:eastAsia="nl-NL"/>
        </w:rPr>
        <w:t>Cosecha del inóculo</w:t>
      </w:r>
      <w:r w:rsidRPr="00150CF2">
        <w:rPr>
          <w:lang w:val="es-ES" w:eastAsia="nl-NL"/>
        </w:rPr>
        <w:tab/>
      </w:r>
      <w:r w:rsidRPr="00150CF2">
        <w:rPr>
          <w:lang w:val="es-ES" w:eastAsia="nl-NL"/>
        </w:rPr>
        <w:tab/>
      </w:r>
      <w:r w:rsidRPr="00051B34">
        <w:rPr>
          <w:lang w:eastAsia="nl-NL"/>
        </w:rPr>
        <w:t>las hojas con síntomas pueden conservarse a -70°C</w:t>
      </w:r>
    </w:p>
    <w:p w:rsidR="00926E8A" w:rsidRPr="00150CF2" w:rsidRDefault="00926E8A" w:rsidP="00926E8A">
      <w:pPr>
        <w:tabs>
          <w:tab w:val="left" w:leader="dot" w:pos="3402"/>
        </w:tabs>
        <w:rPr>
          <w:lang w:val="es-ES" w:eastAsia="nl-NL"/>
        </w:rPr>
      </w:pPr>
      <w:r w:rsidRPr="00150CF2">
        <w:rPr>
          <w:lang w:val="es-ES" w:eastAsia="nl-NL"/>
        </w:rPr>
        <w:t xml:space="preserve">9. </w:t>
      </w:r>
      <w:r w:rsidRPr="00051B34">
        <w:rPr>
          <w:lang w:eastAsia="nl-NL"/>
        </w:rPr>
        <w:t>Formato del examen</w:t>
      </w:r>
    </w:p>
    <w:p w:rsidR="00926E8A" w:rsidRPr="00150CF2" w:rsidRDefault="00926E8A" w:rsidP="00926E8A">
      <w:pPr>
        <w:tabs>
          <w:tab w:val="left" w:leader="dot" w:pos="3402"/>
        </w:tabs>
        <w:rPr>
          <w:lang w:val="es-ES" w:eastAsia="nl-NL"/>
        </w:rPr>
      </w:pPr>
      <w:r w:rsidRPr="00150CF2">
        <w:rPr>
          <w:lang w:val="es-ES" w:eastAsia="nl-NL"/>
        </w:rPr>
        <w:t xml:space="preserve">9.1 </w:t>
      </w:r>
      <w:r w:rsidRPr="00051B34">
        <w:rPr>
          <w:lang w:eastAsia="nl-NL"/>
        </w:rPr>
        <w:t>Número de plantas por genotipo</w:t>
      </w:r>
      <w:r w:rsidRPr="00150CF2">
        <w:rPr>
          <w:lang w:val="es-ES" w:eastAsia="nl-NL"/>
        </w:rPr>
        <w:tab/>
      </w:r>
      <w:r w:rsidRPr="00150CF2">
        <w:rPr>
          <w:lang w:val="es-ES" w:eastAsia="nl-NL"/>
        </w:rPr>
        <w:tab/>
      </w:r>
      <w:r w:rsidRPr="00051B34">
        <w:rPr>
          <w:lang w:eastAsia="nl-NL"/>
        </w:rPr>
        <w:t>20 plantas</w:t>
      </w:r>
    </w:p>
    <w:p w:rsidR="00926E8A" w:rsidRPr="00150CF2" w:rsidRDefault="00926E8A" w:rsidP="00926E8A">
      <w:pPr>
        <w:tabs>
          <w:tab w:val="left" w:leader="dot" w:pos="3402"/>
        </w:tabs>
        <w:outlineLvl w:val="0"/>
        <w:rPr>
          <w:lang w:val="es-ES" w:eastAsia="nl-NL"/>
        </w:rPr>
      </w:pPr>
      <w:r w:rsidRPr="00150CF2">
        <w:rPr>
          <w:lang w:val="es-ES" w:eastAsia="nl-NL"/>
        </w:rPr>
        <w:t xml:space="preserve">9.2 </w:t>
      </w:r>
      <w:r w:rsidRPr="00051B34">
        <w:rPr>
          <w:lang w:eastAsia="nl-NL"/>
        </w:rPr>
        <w:t>Número de réplicas</w:t>
      </w:r>
      <w:r w:rsidRPr="00150CF2">
        <w:rPr>
          <w:lang w:val="es-ES" w:eastAsia="nl-NL"/>
        </w:rPr>
        <w:tab/>
      </w:r>
      <w:r w:rsidRPr="00150CF2">
        <w:rPr>
          <w:lang w:val="es-ES" w:eastAsia="nl-NL"/>
        </w:rPr>
        <w:tab/>
      </w:r>
      <w:r w:rsidRPr="007274B3">
        <w:rPr>
          <w:lang w:eastAsia="nl-NL"/>
        </w:rPr>
        <w:t>1 réplica</w:t>
      </w:r>
    </w:p>
    <w:p w:rsidR="00926E8A" w:rsidRPr="00150CF2" w:rsidRDefault="00926E8A" w:rsidP="00926E8A">
      <w:pPr>
        <w:tabs>
          <w:tab w:val="left" w:leader="dot" w:pos="3402"/>
        </w:tabs>
        <w:rPr>
          <w:lang w:val="es-ES" w:eastAsia="nl-NL"/>
        </w:rPr>
      </w:pPr>
      <w:r w:rsidRPr="00150CF2">
        <w:rPr>
          <w:lang w:val="es-ES" w:eastAsia="nl-NL"/>
        </w:rPr>
        <w:t xml:space="preserve">9.3 </w:t>
      </w:r>
      <w:r w:rsidRPr="00051B34">
        <w:rPr>
          <w:lang w:eastAsia="nl-NL"/>
        </w:rPr>
        <w:t>Variedades de control</w:t>
      </w:r>
    </w:p>
    <w:p w:rsidR="00926E8A" w:rsidRPr="00150CF2" w:rsidRDefault="00926E8A" w:rsidP="00926E8A">
      <w:pPr>
        <w:tabs>
          <w:tab w:val="left" w:leader="dot" w:pos="3402"/>
        </w:tabs>
        <w:outlineLvl w:val="0"/>
        <w:rPr>
          <w:lang w:val="es-ES"/>
        </w:rPr>
      </w:pPr>
      <w:r w:rsidRPr="00051B34">
        <w:t>Susceptibles</w:t>
      </w:r>
      <w:r w:rsidRPr="00150CF2">
        <w:rPr>
          <w:lang w:val="es-ES"/>
        </w:rPr>
        <w:tab/>
      </w:r>
      <w:r w:rsidRPr="00150CF2">
        <w:rPr>
          <w:lang w:val="es-ES"/>
        </w:rPr>
        <w:tab/>
      </w:r>
      <w:proofErr w:type="spellStart"/>
      <w:r w:rsidRPr="00150CF2">
        <w:rPr>
          <w:lang w:val="es-ES"/>
        </w:rPr>
        <w:t>Montfavet</w:t>
      </w:r>
      <w:proofErr w:type="spellEnd"/>
      <w:r w:rsidRPr="00150CF2">
        <w:rPr>
          <w:lang w:val="es-ES"/>
        </w:rPr>
        <w:t xml:space="preserve"> H 63.5</w:t>
      </w:r>
    </w:p>
    <w:p w:rsidR="00926E8A" w:rsidRPr="00150CF2" w:rsidRDefault="00926E8A" w:rsidP="00926E8A">
      <w:pPr>
        <w:tabs>
          <w:tab w:val="left" w:leader="dot" w:pos="3402"/>
        </w:tabs>
        <w:rPr>
          <w:lang w:val="es-ES"/>
        </w:rPr>
      </w:pPr>
      <w:r w:rsidRPr="00051B34">
        <w:t>Resistentes</w:t>
      </w:r>
      <w:r w:rsidRPr="00150CF2">
        <w:rPr>
          <w:lang w:val="es-ES"/>
        </w:rPr>
        <w:tab/>
      </w:r>
      <w:r w:rsidRPr="00150CF2">
        <w:rPr>
          <w:lang w:val="es-ES"/>
        </w:rPr>
        <w:tab/>
        <w:t>TY 20, Anastasia, Mohawk</w:t>
      </w:r>
    </w:p>
    <w:p w:rsidR="00926E8A" w:rsidRPr="00150CF2" w:rsidRDefault="00926E8A" w:rsidP="00926E8A">
      <w:pPr>
        <w:tabs>
          <w:tab w:val="left" w:leader="dot" w:pos="3402"/>
        </w:tabs>
        <w:rPr>
          <w:lang w:val="es-ES" w:eastAsia="nl-NL"/>
        </w:rPr>
      </w:pPr>
      <w:r w:rsidRPr="00150CF2">
        <w:rPr>
          <w:lang w:val="es-ES" w:eastAsia="nl-NL"/>
        </w:rPr>
        <w:t xml:space="preserve">9.5 </w:t>
      </w:r>
      <w:r w:rsidRPr="00051B34">
        <w:rPr>
          <w:lang w:eastAsia="nl-NL"/>
        </w:rPr>
        <w:t>Instalación del ensayo</w:t>
      </w:r>
      <w:r w:rsidRPr="00150CF2">
        <w:rPr>
          <w:lang w:val="es-ES" w:eastAsia="nl-NL"/>
        </w:rPr>
        <w:tab/>
      </w:r>
      <w:r w:rsidRPr="00051B34">
        <w:rPr>
          <w:lang w:eastAsia="nl-NL"/>
        </w:rPr>
        <w:t>campo con presión natural de la enfermedad</w:t>
      </w:r>
    </w:p>
    <w:p w:rsidR="00926E8A" w:rsidRPr="00150CF2" w:rsidRDefault="00926E8A" w:rsidP="00926E8A">
      <w:pPr>
        <w:tabs>
          <w:tab w:val="left" w:leader="dot" w:pos="3402"/>
        </w:tabs>
        <w:rPr>
          <w:lang w:val="es-ES" w:eastAsia="nl-NL"/>
        </w:rPr>
      </w:pPr>
      <w:r w:rsidRPr="00150CF2">
        <w:rPr>
          <w:lang w:val="es-ES" w:eastAsia="nl-NL"/>
        </w:rPr>
        <w:t xml:space="preserve">9.9 </w:t>
      </w:r>
      <w:r w:rsidRPr="00051B34">
        <w:rPr>
          <w:lang w:eastAsia="nl-NL"/>
        </w:rPr>
        <w:t>Medidas especiales</w:t>
      </w:r>
      <w:r w:rsidRPr="00150CF2">
        <w:rPr>
          <w:lang w:val="es-ES" w:eastAsia="nl-NL"/>
        </w:rPr>
        <w:tab/>
      </w:r>
      <w:r w:rsidRPr="00150CF2">
        <w:rPr>
          <w:lang w:val="es-ES" w:eastAsia="nl-NL"/>
        </w:rPr>
        <w:tab/>
      </w:r>
      <w:r w:rsidRPr="00051B34">
        <w:rPr>
          <w:lang w:eastAsia="nl-NL"/>
        </w:rPr>
        <w:t>evitar la propagación de moscas blancas</w:t>
      </w:r>
    </w:p>
    <w:p w:rsidR="00926E8A" w:rsidRPr="00150CF2" w:rsidRDefault="00926E8A" w:rsidP="00926E8A">
      <w:pPr>
        <w:tabs>
          <w:tab w:val="left" w:leader="dot" w:pos="3402"/>
        </w:tabs>
        <w:rPr>
          <w:lang w:val="es-ES" w:eastAsia="nl-NL"/>
        </w:rPr>
      </w:pPr>
      <w:r w:rsidRPr="00150CF2">
        <w:rPr>
          <w:lang w:val="es-ES" w:eastAsia="nl-NL"/>
        </w:rPr>
        <w:t xml:space="preserve">10. </w:t>
      </w:r>
      <w:r w:rsidRPr="00051B34">
        <w:rPr>
          <w:lang w:eastAsia="nl-NL"/>
        </w:rPr>
        <w:t>Inoculación</w:t>
      </w:r>
    </w:p>
    <w:p w:rsidR="00926E8A" w:rsidRDefault="00926E8A" w:rsidP="00926E8A">
      <w:pPr>
        <w:tabs>
          <w:tab w:val="left" w:leader="dot" w:pos="3402"/>
        </w:tabs>
        <w:jc w:val="left"/>
        <w:rPr>
          <w:lang w:eastAsia="nl-NL"/>
        </w:rPr>
      </w:pPr>
      <w:r w:rsidRPr="00150CF2">
        <w:rPr>
          <w:lang w:val="es-ES" w:eastAsia="nl-NL"/>
        </w:rPr>
        <w:t xml:space="preserve">10.3 </w:t>
      </w:r>
      <w:r w:rsidRPr="00051B34">
        <w:rPr>
          <w:lang w:eastAsia="nl-NL"/>
        </w:rPr>
        <w:t>Estado de desarrollo en el</w:t>
      </w:r>
    </w:p>
    <w:p w:rsidR="00926E8A" w:rsidRPr="00150CF2" w:rsidRDefault="00926E8A" w:rsidP="00926E8A">
      <w:pPr>
        <w:tabs>
          <w:tab w:val="left" w:leader="dot" w:pos="3402"/>
        </w:tabs>
        <w:rPr>
          <w:lang w:val="es-ES" w:eastAsia="nl-NL"/>
        </w:rPr>
      </w:pPr>
      <w:r w:rsidRPr="00051B34">
        <w:rPr>
          <w:lang w:eastAsia="nl-NL"/>
        </w:rPr>
        <w:t>momento de la inoculación</w:t>
      </w:r>
      <w:r w:rsidRPr="00150CF2">
        <w:rPr>
          <w:lang w:val="es-ES" w:eastAsia="nl-NL"/>
        </w:rPr>
        <w:tab/>
      </w:r>
      <w:r w:rsidRPr="00051B34">
        <w:rPr>
          <w:lang w:eastAsia="nl-NL"/>
        </w:rPr>
        <w:t>6-12 semanas (plantas adultas)</w:t>
      </w:r>
    </w:p>
    <w:p w:rsidR="00926E8A" w:rsidRPr="00150CF2" w:rsidRDefault="00926E8A" w:rsidP="00926E8A">
      <w:pPr>
        <w:tabs>
          <w:tab w:val="left" w:leader="dot" w:pos="3402"/>
        </w:tabs>
        <w:rPr>
          <w:lang w:val="es-ES" w:eastAsia="nl-NL"/>
        </w:rPr>
      </w:pPr>
      <w:r w:rsidRPr="00150CF2">
        <w:rPr>
          <w:lang w:val="es-ES" w:eastAsia="nl-NL"/>
        </w:rPr>
        <w:t xml:space="preserve">10.4 </w:t>
      </w:r>
      <w:r w:rsidRPr="00051B34">
        <w:rPr>
          <w:lang w:eastAsia="nl-NL"/>
        </w:rPr>
        <w:t>Método de inoculación</w:t>
      </w:r>
      <w:r w:rsidRPr="00150CF2">
        <w:rPr>
          <w:lang w:val="es-ES" w:eastAsia="nl-NL"/>
        </w:rPr>
        <w:tab/>
      </w:r>
      <w:r w:rsidRPr="00051B34">
        <w:rPr>
          <w:lang w:eastAsia="nl-NL"/>
        </w:rPr>
        <w:t xml:space="preserve">vector (moscas blancas </w:t>
      </w:r>
      <w:proofErr w:type="spellStart"/>
      <w:r w:rsidRPr="00051B34">
        <w:rPr>
          <w:lang w:eastAsia="nl-NL"/>
        </w:rPr>
        <w:t>Bemisia</w:t>
      </w:r>
      <w:proofErr w:type="spellEnd"/>
      <w:r w:rsidRPr="00051B34">
        <w:rPr>
          <w:lang w:eastAsia="nl-NL"/>
        </w:rPr>
        <w:t xml:space="preserve"> portadoras del TYLCV)</w:t>
      </w:r>
    </w:p>
    <w:p w:rsidR="00926E8A" w:rsidRPr="00150CF2" w:rsidRDefault="00926E8A" w:rsidP="00926E8A">
      <w:pPr>
        <w:tabs>
          <w:tab w:val="left" w:leader="dot" w:pos="3402"/>
        </w:tabs>
        <w:rPr>
          <w:lang w:val="es-ES" w:eastAsia="nl-NL"/>
        </w:rPr>
      </w:pPr>
      <w:r w:rsidRPr="00150CF2">
        <w:rPr>
          <w:lang w:val="es-ES" w:eastAsia="nl-NL"/>
        </w:rPr>
        <w:t xml:space="preserve">10.7 </w:t>
      </w:r>
      <w:r w:rsidRPr="00051B34">
        <w:rPr>
          <w:lang w:eastAsia="nl-NL"/>
        </w:rPr>
        <w:t>Observaciones finales</w:t>
      </w:r>
      <w:r w:rsidRPr="00150CF2">
        <w:rPr>
          <w:lang w:val="es-ES" w:eastAsia="nl-NL"/>
        </w:rPr>
        <w:tab/>
      </w:r>
      <w:r w:rsidRPr="00150CF2">
        <w:rPr>
          <w:lang w:val="es-ES" w:eastAsia="nl-NL"/>
        </w:rPr>
        <w:tab/>
      </w:r>
      <w:r w:rsidRPr="00051B34">
        <w:rPr>
          <w:lang w:eastAsia="nl-NL"/>
        </w:rPr>
        <w:t>de 1 a 2 meses después de la inoculación</w:t>
      </w:r>
    </w:p>
    <w:p w:rsidR="00926E8A" w:rsidRPr="00150CF2" w:rsidRDefault="00926E8A" w:rsidP="00926E8A">
      <w:pPr>
        <w:tabs>
          <w:tab w:val="left" w:leader="dot" w:pos="3402"/>
        </w:tabs>
        <w:rPr>
          <w:lang w:val="es-ES" w:eastAsia="nl-NL"/>
        </w:rPr>
      </w:pPr>
      <w:r w:rsidRPr="00150CF2">
        <w:rPr>
          <w:lang w:val="es-ES" w:eastAsia="nl-NL"/>
        </w:rPr>
        <w:t xml:space="preserve">11. </w:t>
      </w:r>
      <w:r w:rsidRPr="00051B34">
        <w:rPr>
          <w:lang w:eastAsia="nl-NL"/>
        </w:rPr>
        <w:t>Observaciones</w:t>
      </w:r>
    </w:p>
    <w:p w:rsidR="00926E8A" w:rsidRPr="00150CF2" w:rsidRDefault="00926E8A" w:rsidP="00926E8A">
      <w:pPr>
        <w:tabs>
          <w:tab w:val="left" w:leader="dot" w:pos="3402"/>
        </w:tabs>
        <w:rPr>
          <w:lang w:val="es-ES" w:eastAsia="nl-NL"/>
        </w:rPr>
      </w:pPr>
      <w:r w:rsidRPr="00150CF2">
        <w:rPr>
          <w:lang w:val="es-ES" w:eastAsia="nl-NL"/>
        </w:rPr>
        <w:t xml:space="preserve">11.1 </w:t>
      </w:r>
      <w:r w:rsidRPr="00051B34">
        <w:rPr>
          <w:lang w:eastAsia="nl-NL"/>
        </w:rPr>
        <w:t>Método</w:t>
      </w:r>
      <w:r w:rsidRPr="00150CF2">
        <w:rPr>
          <w:lang w:val="es-ES" w:eastAsia="nl-NL"/>
        </w:rPr>
        <w:tab/>
      </w:r>
      <w:r w:rsidRPr="00150CF2">
        <w:rPr>
          <w:lang w:val="es-ES" w:eastAsia="nl-NL"/>
        </w:rPr>
        <w:tab/>
      </w:r>
      <w:r w:rsidRPr="00051B34">
        <w:rPr>
          <w:lang w:eastAsia="nl-NL"/>
        </w:rPr>
        <w:t>visual</w:t>
      </w:r>
    </w:p>
    <w:p w:rsidR="00926E8A" w:rsidRPr="00150CF2" w:rsidRDefault="00926E8A" w:rsidP="00926E8A">
      <w:pPr>
        <w:tabs>
          <w:tab w:val="left" w:leader="dot" w:pos="3402"/>
        </w:tabs>
        <w:rPr>
          <w:lang w:val="es-ES" w:eastAsia="nl-NL"/>
        </w:rPr>
      </w:pPr>
      <w:r w:rsidRPr="00150CF2">
        <w:rPr>
          <w:lang w:val="es-ES" w:eastAsia="nl-NL"/>
        </w:rPr>
        <w:t xml:space="preserve">11.2 </w:t>
      </w:r>
      <w:r w:rsidRPr="00051B34">
        <w:rPr>
          <w:lang w:eastAsia="nl-NL"/>
        </w:rPr>
        <w:t>Escala de observación</w:t>
      </w:r>
      <w:r w:rsidRPr="00150CF2">
        <w:rPr>
          <w:lang w:val="es-ES" w:eastAsia="nl-NL"/>
        </w:rPr>
        <w:tab/>
      </w:r>
      <w:r w:rsidRPr="00150CF2">
        <w:rPr>
          <w:lang w:val="es-ES" w:eastAsia="nl-NL"/>
        </w:rPr>
        <w:tab/>
      </w:r>
      <w:r w:rsidRPr="00051B34">
        <w:rPr>
          <w:lang w:eastAsia="nl-NL"/>
        </w:rPr>
        <w:t>síntomas:</w:t>
      </w:r>
      <w:r w:rsidRPr="00150CF2">
        <w:rPr>
          <w:lang w:val="es-ES" w:eastAsia="nl-NL"/>
        </w:rPr>
        <w:t xml:space="preserve">  </w:t>
      </w:r>
      <w:r w:rsidRPr="00051B34">
        <w:rPr>
          <w:lang w:eastAsia="nl-NL"/>
        </w:rPr>
        <w:t>amarilleo y rizado de las hojas</w:t>
      </w:r>
    </w:p>
    <w:p w:rsidR="00926E8A" w:rsidRPr="00150CF2" w:rsidRDefault="00926E8A" w:rsidP="00926E8A">
      <w:pPr>
        <w:tabs>
          <w:tab w:val="left" w:leader="dot" w:pos="3402"/>
        </w:tabs>
        <w:ind w:left="3544" w:hanging="3544"/>
        <w:rPr>
          <w:lang w:val="es-ES"/>
        </w:rPr>
      </w:pPr>
      <w:r w:rsidRPr="00150CF2">
        <w:rPr>
          <w:lang w:val="es-ES" w:eastAsia="nl-NL"/>
        </w:rPr>
        <w:t xml:space="preserve">11.3 </w:t>
      </w:r>
      <w:r w:rsidRPr="00051B34">
        <w:rPr>
          <w:lang w:eastAsia="nl-NL"/>
        </w:rPr>
        <w:t>Validación del ensayo</w:t>
      </w:r>
      <w:r w:rsidRPr="00150CF2">
        <w:rPr>
          <w:lang w:val="es-ES" w:eastAsia="nl-NL"/>
        </w:rPr>
        <w:tab/>
      </w:r>
      <w:r w:rsidRPr="00051B34">
        <w:t>la evaluación de la resistencia de la variedad deberá calibrarse con los resultados de los controles resistentes y susceptibles</w:t>
      </w:r>
    </w:p>
    <w:p w:rsidR="00926E8A" w:rsidRPr="00150CF2" w:rsidRDefault="00926E8A" w:rsidP="00926E8A">
      <w:pPr>
        <w:tabs>
          <w:tab w:val="left" w:leader="dot" w:pos="3402"/>
        </w:tabs>
        <w:rPr>
          <w:lang w:val="es-ES" w:eastAsia="nl-NL"/>
        </w:rPr>
      </w:pPr>
      <w:r w:rsidRPr="00150CF2">
        <w:rPr>
          <w:lang w:val="es-ES" w:eastAsia="nl-NL"/>
        </w:rPr>
        <w:t xml:space="preserve">12. </w:t>
      </w:r>
      <w:r w:rsidRPr="0022612B">
        <w:rPr>
          <w:lang w:eastAsia="nl-NL"/>
        </w:rPr>
        <w:t>Interpretación de los resultados del ensayo en comparación con las variedades de control:</w:t>
      </w:r>
    </w:p>
    <w:p w:rsidR="00926E8A" w:rsidRPr="00712F68" w:rsidRDefault="00926E8A" w:rsidP="00926E8A">
      <w:pPr>
        <w:tabs>
          <w:tab w:val="left" w:pos="720"/>
          <w:tab w:val="left" w:leader="dot" w:pos="3402"/>
        </w:tabs>
        <w:rPr>
          <w:lang w:val="pt-BR" w:eastAsia="nl-NL"/>
        </w:rPr>
      </w:pPr>
      <w:r w:rsidRPr="00150CF2">
        <w:rPr>
          <w:lang w:val="es-ES" w:eastAsia="nl-NL"/>
        </w:rPr>
        <w:tab/>
      </w:r>
      <w:r w:rsidRPr="00712F68">
        <w:rPr>
          <w:lang w:val="pt-BR" w:eastAsia="nl-NL"/>
        </w:rPr>
        <w:t>ausente</w:t>
      </w:r>
      <w:r w:rsidRPr="00712F68">
        <w:rPr>
          <w:lang w:val="pt-BR" w:eastAsia="nl-NL"/>
        </w:rPr>
        <w:tab/>
      </w:r>
      <w:r w:rsidRPr="00712F68">
        <w:rPr>
          <w:lang w:val="pt-BR" w:eastAsia="nl-NL"/>
        </w:rPr>
        <w:tab/>
        <w:t>[1]</w:t>
      </w:r>
      <w:r w:rsidRPr="00712F68">
        <w:rPr>
          <w:lang w:val="pt-BR" w:eastAsia="nl-NL"/>
        </w:rPr>
        <w:tab/>
        <w:t>síntomas intensos</w:t>
      </w:r>
    </w:p>
    <w:p w:rsidR="00926E8A" w:rsidRPr="00712F68" w:rsidRDefault="00926E8A" w:rsidP="00926E8A">
      <w:pPr>
        <w:tabs>
          <w:tab w:val="left" w:pos="720"/>
          <w:tab w:val="left" w:leader="dot" w:pos="3402"/>
        </w:tabs>
        <w:rPr>
          <w:lang w:val="pt-BR" w:eastAsia="nl-NL"/>
        </w:rPr>
      </w:pPr>
      <w:r w:rsidRPr="00712F68">
        <w:rPr>
          <w:lang w:val="pt-BR" w:eastAsia="nl-NL"/>
        </w:rPr>
        <w:tab/>
        <w:t>presente</w:t>
      </w:r>
      <w:r w:rsidRPr="00712F68">
        <w:rPr>
          <w:lang w:val="pt-BR" w:eastAsia="nl-NL"/>
        </w:rPr>
        <w:tab/>
      </w:r>
      <w:r w:rsidRPr="00712F68">
        <w:rPr>
          <w:lang w:val="pt-BR" w:eastAsia="nl-NL"/>
        </w:rPr>
        <w:tab/>
        <w:t>[9]</w:t>
      </w:r>
      <w:r w:rsidRPr="00712F68">
        <w:rPr>
          <w:lang w:val="pt-BR" w:eastAsia="nl-NL"/>
        </w:rPr>
        <w:tab/>
        <w:t>síntomas ausentes o leves</w:t>
      </w:r>
    </w:p>
    <w:p w:rsidR="00926E8A" w:rsidRPr="00150CF2" w:rsidRDefault="00926E8A" w:rsidP="00926E8A">
      <w:pPr>
        <w:ind w:left="480" w:hanging="480"/>
        <w:rPr>
          <w:lang w:val="es-ES" w:eastAsia="nl-NL"/>
        </w:rPr>
      </w:pPr>
      <w:r w:rsidRPr="00150CF2">
        <w:rPr>
          <w:lang w:val="es-ES" w:eastAsia="nl-NL"/>
        </w:rPr>
        <w:t xml:space="preserve">13. </w:t>
      </w:r>
      <w:r w:rsidRPr="00051B34">
        <w:rPr>
          <w:lang w:eastAsia="nl-NL"/>
        </w:rPr>
        <w:t>Puntos de control esenciales:</w:t>
      </w:r>
    </w:p>
    <w:p w:rsidR="00926E8A" w:rsidRPr="00150CF2" w:rsidRDefault="00926E8A" w:rsidP="00926E8A">
      <w:pPr>
        <w:rPr>
          <w:lang w:val="es-ES"/>
        </w:rPr>
      </w:pPr>
      <w:r w:rsidRPr="00051B34">
        <w:t>El TYLCV es endémico en muchas zonas tropicales y subtropicales y está sujeto a cuarentena en muchos países de clima templado.</w:t>
      </w:r>
      <w:r w:rsidRPr="00150CF2">
        <w:rPr>
          <w:lang w:val="es-ES"/>
        </w:rPr>
        <w:t xml:space="preserve">  </w:t>
      </w:r>
      <w:r w:rsidRPr="00051B34">
        <w:t>El TYLCV figura en la lista de alertas de la EPPO.</w:t>
      </w:r>
      <w:r w:rsidRPr="00150CF2">
        <w:rPr>
          <w:lang w:val="es-ES"/>
        </w:rPr>
        <w:t xml:space="preserve">  </w:t>
      </w:r>
      <w:r w:rsidRPr="005F49EE">
        <w:t>Algunas variedades resistentes al TYLCV pueden ser susceptibles a otro virus estrechamente relacionado, el de la hoja en cuchara de Cerdeña (TYLCSV).</w:t>
      </w:r>
    </w:p>
    <w:p w:rsidR="00926E8A" w:rsidRPr="00150CF2" w:rsidRDefault="00926E8A" w:rsidP="00926E8A">
      <w:pPr>
        <w:jc w:val="left"/>
        <w:rPr>
          <w:lang w:val="es-ES"/>
        </w:rPr>
      </w:pPr>
    </w:p>
    <w:p w:rsidR="00926E8A" w:rsidRPr="00150CF2" w:rsidRDefault="00926E8A" w:rsidP="00926E8A">
      <w:pPr>
        <w:jc w:val="left"/>
        <w:rPr>
          <w:lang w:val="es-ES"/>
        </w:rPr>
      </w:pPr>
    </w:p>
    <w:p w:rsidR="00926E8A" w:rsidRPr="007917AA" w:rsidRDefault="00926E8A" w:rsidP="00926E8A">
      <w:pPr>
        <w:rPr>
          <w:i/>
          <w:iCs/>
          <w:lang w:val="es-ES"/>
        </w:rPr>
      </w:pPr>
      <w:r w:rsidRPr="007917AA">
        <w:rPr>
          <w:i/>
          <w:iCs/>
        </w:rPr>
        <w:t>Nuevo texto propuesto:</w:t>
      </w:r>
    </w:p>
    <w:p w:rsidR="00926E8A" w:rsidRPr="007917AA" w:rsidRDefault="00926E8A" w:rsidP="00926E8A">
      <w:pPr>
        <w:rPr>
          <w:i/>
          <w:iCs/>
          <w:lang w:val="es-ES"/>
        </w:rPr>
      </w:pPr>
    </w:p>
    <w:p w:rsidR="00926E8A" w:rsidRPr="007917AA" w:rsidRDefault="00926E8A" w:rsidP="00926E8A">
      <w:pPr>
        <w:tabs>
          <w:tab w:val="left" w:pos="0"/>
          <w:tab w:val="left" w:pos="672"/>
          <w:tab w:val="left" w:pos="2592"/>
          <w:tab w:val="left" w:pos="3072"/>
        </w:tabs>
        <w:rPr>
          <w:u w:val="single"/>
          <w:lang w:val="es-ES"/>
        </w:rPr>
      </w:pPr>
      <w:r w:rsidRPr="007917AA">
        <w:rPr>
          <w:u w:val="single"/>
          <w:lang w:val="es-ES"/>
        </w:rPr>
        <w:t xml:space="preserve">Ad. 57:  </w:t>
      </w:r>
      <w:r w:rsidRPr="007917AA">
        <w:rPr>
          <w:u w:val="single"/>
        </w:rPr>
        <w:t>Resistencia al virus del rizado amarillo de la hoja del tomate (TYLCV)</w:t>
      </w:r>
    </w:p>
    <w:p w:rsidR="00926E8A" w:rsidRPr="007917AA" w:rsidRDefault="00926E8A" w:rsidP="00926E8A">
      <w:pPr>
        <w:tabs>
          <w:tab w:val="left" w:pos="0"/>
          <w:tab w:val="left" w:pos="672"/>
          <w:tab w:val="left" w:pos="2592"/>
          <w:tab w:val="left" w:pos="3072"/>
        </w:tabs>
        <w:rPr>
          <w:lang w:val="es-ES"/>
        </w:rPr>
      </w:pPr>
      <w:r w:rsidRPr="007917AA">
        <w:rPr>
          <w:lang w:val="es-ES"/>
        </w:rPr>
        <w:tab/>
      </w:r>
    </w:p>
    <w:p w:rsidR="00926E8A" w:rsidRPr="007917AA" w:rsidRDefault="00926E8A" w:rsidP="00926E8A">
      <w:pPr>
        <w:tabs>
          <w:tab w:val="left" w:pos="0"/>
          <w:tab w:val="left" w:pos="672"/>
          <w:tab w:val="left" w:pos="2592"/>
          <w:tab w:val="left" w:pos="3072"/>
        </w:tabs>
        <w:rPr>
          <w:i/>
          <w:iCs/>
          <w:lang w:val="es-ES"/>
        </w:rPr>
      </w:pPr>
      <w:r w:rsidRPr="007917AA">
        <w:rPr>
          <w:lang w:val="es-ES"/>
        </w:rPr>
        <w:tab/>
      </w:r>
      <w:r w:rsidRPr="007917AA">
        <w:rPr>
          <w:i/>
          <w:iCs/>
        </w:rPr>
        <w:t xml:space="preserve">i) Método de </w:t>
      </w:r>
      <w:proofErr w:type="spellStart"/>
      <w:r w:rsidRPr="007917AA">
        <w:rPr>
          <w:i/>
          <w:iCs/>
        </w:rPr>
        <w:t>agroinoculación</w:t>
      </w:r>
      <w:proofErr w:type="spellEnd"/>
    </w:p>
    <w:p w:rsidR="00926E8A" w:rsidRPr="007917AA" w:rsidRDefault="00926E8A" w:rsidP="00926E8A">
      <w:pPr>
        <w:tabs>
          <w:tab w:val="left" w:pos="0"/>
          <w:tab w:val="left" w:pos="672"/>
          <w:tab w:val="left" w:pos="2592"/>
          <w:tab w:val="left" w:pos="3072"/>
        </w:tabs>
        <w:rPr>
          <w:lang w:val="es-ES"/>
        </w:rPr>
      </w:pPr>
    </w:p>
    <w:p w:rsidR="00926E8A" w:rsidRPr="00E22652" w:rsidRDefault="00926E8A" w:rsidP="00926E8A">
      <w:pPr>
        <w:tabs>
          <w:tab w:val="left" w:leader="dot" w:pos="3544"/>
        </w:tabs>
        <w:autoSpaceDE w:val="0"/>
        <w:autoSpaceDN w:val="0"/>
        <w:adjustRightInd w:val="0"/>
        <w:ind w:left="3544" w:hanging="3544"/>
        <w:rPr>
          <w:lang w:val="es-ES"/>
        </w:rPr>
      </w:pPr>
      <w:r w:rsidRPr="007917AA">
        <w:rPr>
          <w:lang w:val="es-ES"/>
        </w:rPr>
        <w:t xml:space="preserve">1. </w:t>
      </w:r>
      <w:r w:rsidRPr="007917AA">
        <w:t>Agentes patógenos</w:t>
      </w:r>
      <w:r w:rsidRPr="007917AA">
        <w:rPr>
          <w:lang w:val="es-ES"/>
        </w:rPr>
        <w:tab/>
      </w:r>
      <w:r w:rsidRPr="007917AA">
        <w:t xml:space="preserve">cepa IL del virus del rizado amarillo de la hoja del tomate (TYLCV) </w:t>
      </w:r>
      <w:r w:rsidRPr="00E22652">
        <w:t>(véase la nota que figura más adelante)</w:t>
      </w:r>
    </w:p>
    <w:p w:rsidR="00926E8A" w:rsidRPr="00E22652" w:rsidRDefault="00926E8A" w:rsidP="00926E8A">
      <w:pPr>
        <w:tabs>
          <w:tab w:val="left" w:leader="dot" w:pos="3544"/>
        </w:tabs>
        <w:autoSpaceDE w:val="0"/>
        <w:autoSpaceDN w:val="0"/>
        <w:adjustRightInd w:val="0"/>
        <w:rPr>
          <w:lang w:val="es-ES"/>
        </w:rPr>
      </w:pPr>
      <w:r w:rsidRPr="00E22652">
        <w:rPr>
          <w:lang w:val="es-ES"/>
        </w:rPr>
        <w:t xml:space="preserve">2. </w:t>
      </w:r>
      <w:r w:rsidRPr="00E22652">
        <w:t>Estado de cuarentena</w:t>
      </w:r>
      <w:r w:rsidRPr="00E22652">
        <w:rPr>
          <w:lang w:val="es-ES"/>
        </w:rPr>
        <w:tab/>
      </w:r>
      <w:r w:rsidRPr="00E22652">
        <w:t xml:space="preserve">sí </w:t>
      </w:r>
      <w:r w:rsidRPr="00E22652">
        <w:rPr>
          <w:lang w:val="es-ES" w:eastAsia="nl-NL"/>
        </w:rPr>
        <w:t>(véase 13.)</w:t>
      </w:r>
    </w:p>
    <w:p w:rsidR="00926E8A" w:rsidRPr="007917AA" w:rsidRDefault="00926E8A" w:rsidP="00926E8A">
      <w:pPr>
        <w:tabs>
          <w:tab w:val="left" w:leader="dot" w:pos="3544"/>
        </w:tabs>
        <w:autoSpaceDE w:val="0"/>
        <w:autoSpaceDN w:val="0"/>
        <w:adjustRightInd w:val="0"/>
        <w:rPr>
          <w:lang w:val="es-ES"/>
        </w:rPr>
      </w:pPr>
      <w:r w:rsidRPr="00E22652">
        <w:rPr>
          <w:lang w:val="es-ES"/>
        </w:rPr>
        <w:t xml:space="preserve">3. </w:t>
      </w:r>
      <w:r w:rsidRPr="00E22652">
        <w:t>Especies huéspedes</w:t>
      </w:r>
      <w:r w:rsidRPr="00E22652">
        <w:rPr>
          <w:lang w:val="es-ES"/>
        </w:rPr>
        <w:t xml:space="preserve"> </w:t>
      </w:r>
      <w:r w:rsidRPr="00E22652">
        <w:rPr>
          <w:lang w:val="es-ES"/>
        </w:rPr>
        <w:tab/>
      </w:r>
      <w:proofErr w:type="spellStart"/>
      <w:r w:rsidRPr="00E22652">
        <w:rPr>
          <w:i/>
          <w:iCs/>
        </w:rPr>
        <w:t>Solanum</w:t>
      </w:r>
      <w:proofErr w:type="spellEnd"/>
      <w:r w:rsidRPr="00E22652">
        <w:rPr>
          <w:i/>
          <w:iCs/>
        </w:rPr>
        <w:t xml:space="preserve"> </w:t>
      </w:r>
      <w:proofErr w:type="spellStart"/>
      <w:r w:rsidRPr="00E22652">
        <w:rPr>
          <w:i/>
          <w:iCs/>
        </w:rPr>
        <w:t>lycopersicum</w:t>
      </w:r>
      <w:proofErr w:type="spellEnd"/>
    </w:p>
    <w:p w:rsidR="00926E8A" w:rsidRPr="00150CF2" w:rsidRDefault="00926E8A" w:rsidP="00926E8A">
      <w:pPr>
        <w:tabs>
          <w:tab w:val="left" w:leader="dot" w:pos="3544"/>
        </w:tabs>
        <w:autoSpaceDE w:val="0"/>
        <w:autoSpaceDN w:val="0"/>
        <w:adjustRightInd w:val="0"/>
        <w:ind w:left="3544" w:hanging="3544"/>
        <w:jc w:val="left"/>
        <w:rPr>
          <w:lang w:val="es-ES"/>
        </w:rPr>
      </w:pPr>
      <w:r w:rsidRPr="007917AA">
        <w:rPr>
          <w:lang w:val="es-ES"/>
        </w:rPr>
        <w:t xml:space="preserve">4. </w:t>
      </w:r>
      <w:r w:rsidRPr="007917AA">
        <w:t>Fuente del inóculo</w:t>
      </w:r>
      <w:r w:rsidRPr="007917AA">
        <w:rPr>
          <w:lang w:val="es-ES"/>
        </w:rPr>
        <w:tab/>
        <w:t>Dr. Eduardo</w:t>
      </w:r>
      <w:r w:rsidRPr="00150CF2">
        <w:rPr>
          <w:lang w:val="es-ES"/>
        </w:rPr>
        <w:t xml:space="preserve"> R. Bejarano, </w:t>
      </w:r>
      <w:r w:rsidRPr="005F49EE">
        <w:t xml:space="preserve">Laboratorio de </w:t>
      </w:r>
      <w:proofErr w:type="spellStart"/>
      <w:r w:rsidRPr="005F49EE">
        <w:t>Fitogenética</w:t>
      </w:r>
      <w:proofErr w:type="spellEnd"/>
      <w:r w:rsidRPr="00150CF2">
        <w:rPr>
          <w:lang w:val="es-ES"/>
        </w:rPr>
        <w:t xml:space="preserve"> del IHSM</w:t>
      </w:r>
      <w:r w:rsidRPr="00150CF2">
        <w:rPr>
          <w:lang w:val="es-ES"/>
        </w:rPr>
        <w:noBreakHyphen/>
        <w:t>UMA</w:t>
      </w:r>
      <w:r w:rsidRPr="00150CF2">
        <w:rPr>
          <w:lang w:val="es-ES"/>
        </w:rPr>
        <w:noBreakHyphen/>
        <w:t>CSIC)</w:t>
      </w:r>
      <w:r>
        <w:rPr>
          <w:rStyle w:val="FootnoteReference"/>
        </w:rPr>
        <w:footnoteReference w:id="2"/>
      </w:r>
      <w:r w:rsidRPr="00150CF2">
        <w:rPr>
          <w:lang w:val="es-ES"/>
        </w:rPr>
        <w:t xml:space="preserve"> </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5. </w:t>
      </w:r>
      <w:r w:rsidRPr="00051B34">
        <w:t>Aislado</w:t>
      </w:r>
      <w:r w:rsidRPr="00150CF2">
        <w:rPr>
          <w:lang w:val="es-ES"/>
        </w:rPr>
        <w:tab/>
      </w:r>
      <w:r w:rsidRPr="005F49EE">
        <w:t>Alm:Pep:99 (</w:t>
      </w:r>
      <w:r w:rsidRPr="005F49EE">
        <w:rPr>
          <w:rFonts w:eastAsia="Arial Unicode MS"/>
        </w:rPr>
        <w:t>cepa IL)</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6. </w:t>
      </w:r>
      <w:r w:rsidRPr="00051B34">
        <w:t>Establecimiento de la identidad del aislado</w:t>
      </w:r>
      <w:r w:rsidRPr="00150CF2">
        <w:rPr>
          <w:lang w:val="es-ES"/>
        </w:rPr>
        <w:t xml:space="preserve"> </w:t>
      </w:r>
      <w:r w:rsidRPr="00150CF2">
        <w:rPr>
          <w:lang w:val="es-ES"/>
        </w:rPr>
        <w:tab/>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7. </w:t>
      </w:r>
      <w:r w:rsidRPr="00051B34">
        <w:t>Establecimiento de la capacidad patógena</w:t>
      </w:r>
      <w:r w:rsidRPr="00150CF2">
        <w:rPr>
          <w:lang w:val="es-ES"/>
        </w:rPr>
        <w:tab/>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8. </w:t>
      </w:r>
      <w:r w:rsidRPr="00051B34">
        <w:t>Multiplicación del inóculo</w:t>
      </w:r>
    </w:p>
    <w:p w:rsidR="00926E8A" w:rsidRPr="00150CF2" w:rsidRDefault="00926E8A" w:rsidP="00926E8A">
      <w:pPr>
        <w:tabs>
          <w:tab w:val="left" w:leader="dot" w:pos="3544"/>
        </w:tabs>
        <w:rPr>
          <w:lang w:val="es-ES"/>
        </w:rPr>
      </w:pPr>
      <w:r w:rsidRPr="00150CF2">
        <w:rPr>
          <w:lang w:val="es-ES"/>
        </w:rPr>
        <w:t xml:space="preserve">8.1 </w:t>
      </w:r>
      <w:r w:rsidRPr="00051B34">
        <w:t>Medio de multiplicación</w:t>
      </w:r>
      <w:r w:rsidRPr="00150CF2">
        <w:rPr>
          <w:lang w:val="es-ES"/>
        </w:rPr>
        <w:tab/>
      </w:r>
      <w:r w:rsidRPr="005F49EE">
        <w:t>extracto de levadura-peptona (YEP)/</w:t>
      </w:r>
      <w:proofErr w:type="spellStart"/>
      <w:r w:rsidRPr="005F49EE">
        <w:t>kanamicina</w:t>
      </w:r>
      <w:proofErr w:type="spellEnd"/>
      <w:r w:rsidRPr="00150CF2">
        <w:rPr>
          <w:lang w:val="es-ES"/>
        </w:rPr>
        <w:t xml:space="preserve"> </w:t>
      </w:r>
    </w:p>
    <w:p w:rsidR="00926E8A" w:rsidRPr="00150CF2" w:rsidRDefault="00926E8A" w:rsidP="00926E8A">
      <w:pPr>
        <w:tabs>
          <w:tab w:val="left" w:leader="dot" w:pos="3544"/>
        </w:tabs>
        <w:autoSpaceDE w:val="0"/>
        <w:autoSpaceDN w:val="0"/>
        <w:adjustRightInd w:val="0"/>
        <w:rPr>
          <w:lang w:val="es-ES"/>
        </w:rPr>
      </w:pPr>
      <w:r w:rsidRPr="00150CF2">
        <w:rPr>
          <w:lang w:val="es-ES"/>
        </w:rPr>
        <w:lastRenderedPageBreak/>
        <w:t xml:space="preserve">8.2 </w:t>
      </w:r>
      <w:r w:rsidRPr="00051B34">
        <w:t>Variedad para la multiplicación</w:t>
      </w:r>
      <w:r w:rsidRPr="00150CF2">
        <w:rPr>
          <w:lang w:val="es-ES"/>
        </w:rPr>
        <w:tab/>
      </w:r>
    </w:p>
    <w:p w:rsidR="00926E8A" w:rsidRDefault="00926E8A" w:rsidP="00926E8A">
      <w:pPr>
        <w:tabs>
          <w:tab w:val="left" w:leader="dot" w:pos="3544"/>
        </w:tabs>
        <w:autoSpaceDE w:val="0"/>
        <w:autoSpaceDN w:val="0"/>
        <w:adjustRightInd w:val="0"/>
      </w:pPr>
      <w:r w:rsidRPr="00150CF2">
        <w:rPr>
          <w:lang w:val="es-ES"/>
        </w:rPr>
        <w:t xml:space="preserve">8.3 </w:t>
      </w:r>
      <w:r w:rsidRPr="00051B34">
        <w:t>Estado de desarrollo en el momento</w:t>
      </w:r>
    </w:p>
    <w:p w:rsidR="00926E8A" w:rsidRPr="00150CF2" w:rsidRDefault="00926E8A" w:rsidP="00926E8A">
      <w:pPr>
        <w:tabs>
          <w:tab w:val="left" w:leader="dot" w:pos="3544"/>
        </w:tabs>
        <w:autoSpaceDE w:val="0"/>
        <w:autoSpaceDN w:val="0"/>
        <w:adjustRightInd w:val="0"/>
        <w:rPr>
          <w:lang w:val="es-ES"/>
        </w:rPr>
      </w:pPr>
      <w:r w:rsidRPr="00051B34">
        <w:t>de la inoculación</w:t>
      </w:r>
      <w:r w:rsidRPr="00150CF2">
        <w:rPr>
          <w:lang w:val="es-ES"/>
        </w:rPr>
        <w:tab/>
      </w:r>
      <w:r w:rsidRPr="005F49EE">
        <w:t>3-4 hojas</w:t>
      </w:r>
      <w:r w:rsidRPr="00150CF2">
        <w:rPr>
          <w:lang w:val="es-ES"/>
        </w:rPr>
        <w:t xml:space="preserve"> </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8.4 </w:t>
      </w:r>
      <w:r w:rsidRPr="00051B34">
        <w:t>Medio de inoculación</w:t>
      </w:r>
      <w:r w:rsidRPr="00150CF2">
        <w:rPr>
          <w:lang w:val="es-ES"/>
        </w:rPr>
        <w:tab/>
      </w:r>
      <w:r w:rsidRPr="005F49EE">
        <w:t>YEP</w:t>
      </w:r>
    </w:p>
    <w:p w:rsidR="00926E8A" w:rsidRPr="00150CF2" w:rsidRDefault="00926E8A" w:rsidP="00926E8A">
      <w:pPr>
        <w:spacing w:line="170" w:lineRule="atLeast"/>
        <w:rPr>
          <w:lang w:val="es-ES"/>
        </w:rPr>
      </w:pPr>
    </w:p>
    <w:p w:rsidR="00926E8A" w:rsidRPr="00B325AB" w:rsidRDefault="00926E8A" w:rsidP="00926E8A">
      <w:pPr>
        <w:tabs>
          <w:tab w:val="left" w:leader="dot" w:pos="3544"/>
        </w:tabs>
        <w:autoSpaceDE w:val="0"/>
        <w:autoSpaceDN w:val="0"/>
        <w:adjustRightInd w:val="0"/>
        <w:ind w:left="3544" w:hanging="3544"/>
      </w:pPr>
      <w:r w:rsidRPr="00150CF2">
        <w:rPr>
          <w:lang w:val="es-ES"/>
        </w:rPr>
        <w:t xml:space="preserve">8.5 </w:t>
      </w:r>
      <w:r w:rsidRPr="00051B34">
        <w:t>Método de inoculación</w:t>
      </w:r>
      <w:r w:rsidRPr="00150CF2">
        <w:rPr>
          <w:lang w:val="es-ES"/>
        </w:rPr>
        <w:tab/>
      </w:r>
      <w:proofErr w:type="spellStart"/>
      <w:r w:rsidRPr="005F49EE">
        <w:t>Agroinfiltración</w:t>
      </w:r>
      <w:proofErr w:type="spellEnd"/>
      <w:r w:rsidRPr="005F49EE">
        <w:t xml:space="preserve"> por punción del tallo.</w:t>
      </w:r>
      <w:r w:rsidRPr="00150CF2">
        <w:rPr>
          <w:lang w:val="es-ES"/>
        </w:rPr>
        <w:t xml:space="preserve">  </w:t>
      </w:r>
      <w:r w:rsidRPr="005F49EE">
        <w:t xml:space="preserve">Para la </w:t>
      </w:r>
      <w:proofErr w:type="spellStart"/>
      <w:r w:rsidRPr="005F49EE">
        <w:t>agroinoculación</w:t>
      </w:r>
      <w:proofErr w:type="spellEnd"/>
      <w:r w:rsidRPr="005F49EE">
        <w:t xml:space="preserve"> de las plantas se emplea la bacteria </w:t>
      </w:r>
      <w:proofErr w:type="spellStart"/>
      <w:r w:rsidRPr="005F49EE">
        <w:rPr>
          <w:i/>
          <w:iCs/>
        </w:rPr>
        <w:t>Agrobacterium</w:t>
      </w:r>
      <w:proofErr w:type="spellEnd"/>
      <w:r w:rsidRPr="005F49EE">
        <w:rPr>
          <w:i/>
          <w:iCs/>
        </w:rPr>
        <w:t xml:space="preserve"> </w:t>
      </w:r>
      <w:proofErr w:type="spellStart"/>
      <w:r w:rsidRPr="005F49EE">
        <w:rPr>
          <w:i/>
          <w:iCs/>
        </w:rPr>
        <w:t>tumefaciens</w:t>
      </w:r>
      <w:proofErr w:type="spellEnd"/>
      <w:r w:rsidRPr="005F49EE">
        <w:t>, transformada con plásmidos que contienen los clones infecciosos</w:t>
      </w:r>
      <w:r w:rsidRPr="00150CF2">
        <w:rPr>
          <w:lang w:val="es-ES"/>
        </w:rPr>
        <w:t xml:space="preserve"> </w:t>
      </w:r>
      <w:r w:rsidRPr="00150CF2">
        <w:rPr>
          <w:color w:val="000000"/>
          <w:lang w:val="es-ES"/>
        </w:rPr>
        <w:t>(</w:t>
      </w:r>
      <w:r w:rsidRPr="00150CF2">
        <w:rPr>
          <w:lang w:val="es-ES"/>
        </w:rPr>
        <w:t xml:space="preserve">Morilla et al. 2005. </w:t>
      </w:r>
      <w:proofErr w:type="spellStart"/>
      <w:r w:rsidRPr="00051B34">
        <w:t>Phytopathology</w:t>
      </w:r>
      <w:proofErr w:type="spellEnd"/>
      <w:r w:rsidRPr="00051B34">
        <w:t> 95: 1089-1097).</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8.6 </w:t>
      </w:r>
      <w:r w:rsidRPr="005F49EE">
        <w:t>Cosecha del inóculo</w:t>
      </w:r>
      <w:r w:rsidRPr="00150CF2">
        <w:rPr>
          <w:lang w:val="es-ES"/>
        </w:rPr>
        <w:tab/>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8.7 </w:t>
      </w:r>
      <w:r w:rsidRPr="005F49EE">
        <w:t>Comprobación del inóculo cosechado</w:t>
      </w:r>
      <w:r w:rsidRPr="00150CF2">
        <w:rPr>
          <w:lang w:val="es-ES"/>
        </w:rPr>
        <w:tab/>
      </w:r>
    </w:p>
    <w:p w:rsidR="00926E8A" w:rsidRDefault="00926E8A" w:rsidP="00926E8A">
      <w:pPr>
        <w:tabs>
          <w:tab w:val="left" w:leader="dot" w:pos="3544"/>
        </w:tabs>
        <w:autoSpaceDE w:val="0"/>
        <w:autoSpaceDN w:val="0"/>
        <w:adjustRightInd w:val="0"/>
        <w:ind w:left="3544" w:hanging="3544"/>
      </w:pPr>
      <w:r w:rsidRPr="00150CF2">
        <w:rPr>
          <w:lang w:val="es-ES"/>
        </w:rPr>
        <w:t xml:space="preserve">8.8 </w:t>
      </w:r>
      <w:r w:rsidRPr="005F49EE">
        <w:t>Período de conservación/viabilidad</w:t>
      </w:r>
    </w:p>
    <w:p w:rsidR="00926E8A" w:rsidRPr="00150CF2" w:rsidRDefault="00926E8A" w:rsidP="00926E8A">
      <w:pPr>
        <w:tabs>
          <w:tab w:val="left" w:leader="dot" w:pos="3544"/>
        </w:tabs>
        <w:autoSpaceDE w:val="0"/>
        <w:autoSpaceDN w:val="0"/>
        <w:adjustRightInd w:val="0"/>
        <w:ind w:left="3544" w:hanging="3544"/>
        <w:rPr>
          <w:lang w:val="es-ES"/>
        </w:rPr>
      </w:pPr>
      <w:r w:rsidRPr="005F49EE">
        <w:t>del inóculo</w:t>
      </w:r>
      <w:r w:rsidRPr="00150CF2">
        <w:rPr>
          <w:lang w:val="es-ES"/>
        </w:rPr>
        <w:tab/>
      </w:r>
      <w:r w:rsidRPr="005F49EE">
        <w:t xml:space="preserve">Para su almacenamiento a largo plazo, la solución madre de </w:t>
      </w:r>
      <w:r w:rsidRPr="005F49EE">
        <w:rPr>
          <w:i/>
          <w:iCs/>
        </w:rPr>
        <w:t xml:space="preserve">A. </w:t>
      </w:r>
      <w:proofErr w:type="spellStart"/>
      <w:r w:rsidRPr="005F49EE">
        <w:rPr>
          <w:i/>
          <w:iCs/>
        </w:rPr>
        <w:t>tumefaciens</w:t>
      </w:r>
      <w:proofErr w:type="spellEnd"/>
      <w:r w:rsidRPr="005F49EE">
        <w:t xml:space="preserve"> ha de mantenerse congelada a -</w:t>
      </w:r>
      <w:r w:rsidRPr="007917AA">
        <w:t>80ºC en glicerol al 15</w:t>
      </w:r>
      <w:r w:rsidRPr="007917AA">
        <w:noBreakHyphen/>
        <w:t>20%.</w:t>
      </w:r>
      <w:r w:rsidRPr="007917AA">
        <w:rPr>
          <w:lang w:val="es-ES"/>
        </w:rPr>
        <w:t xml:space="preserve">  </w:t>
      </w:r>
      <w:r w:rsidRPr="007917AA">
        <w:t>Los cultivos destinados al almacenamiento se inician generalmente a partir de una única colonia y se dejan crecer en 5 ml</w:t>
      </w:r>
      <w:r w:rsidRPr="005F49EE">
        <w:t xml:space="preserve"> de YEP + 2,5 µl de </w:t>
      </w:r>
      <w:proofErr w:type="spellStart"/>
      <w:r w:rsidRPr="005F49EE">
        <w:t>kanamicina</w:t>
      </w:r>
      <w:proofErr w:type="spellEnd"/>
      <w:r w:rsidRPr="005F49EE">
        <w:t xml:space="preserve"> (100 mg/ml) durante 48 horas a 28°C.</w:t>
      </w:r>
      <w:r w:rsidRPr="00150CF2">
        <w:rPr>
          <w:lang w:val="es-ES"/>
        </w:rPr>
        <w:t xml:space="preserve"> </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 </w:t>
      </w:r>
      <w:r w:rsidRPr="00051B34">
        <w:t>Formato del examen</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9.1 </w:t>
      </w:r>
      <w:r w:rsidRPr="00051B34">
        <w:t>Número de plantas por genotipo</w:t>
      </w:r>
      <w:r w:rsidRPr="00150CF2">
        <w:rPr>
          <w:lang w:val="es-ES"/>
        </w:rPr>
        <w:tab/>
        <w:t>20</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9.2 </w:t>
      </w:r>
      <w:r w:rsidRPr="00051B34">
        <w:t>Número de réplicas</w:t>
      </w:r>
      <w:r w:rsidRPr="00150CF2">
        <w:rPr>
          <w:lang w:val="es-ES"/>
        </w:rPr>
        <w:tab/>
        <w:t>2</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9.3 </w:t>
      </w:r>
      <w:r w:rsidRPr="00051B34">
        <w:t>Variedades de control</w:t>
      </w:r>
    </w:p>
    <w:p w:rsidR="00926E8A" w:rsidRPr="00150CF2" w:rsidRDefault="00926E8A" w:rsidP="00926E8A">
      <w:pPr>
        <w:tabs>
          <w:tab w:val="left" w:leader="dot" w:pos="3544"/>
        </w:tabs>
        <w:autoSpaceDE w:val="0"/>
        <w:autoSpaceDN w:val="0"/>
        <w:adjustRightInd w:val="0"/>
        <w:rPr>
          <w:lang w:val="es-ES"/>
        </w:rPr>
      </w:pPr>
      <w:r w:rsidRPr="00051B34">
        <w:t>Susceptibles:</w:t>
      </w:r>
      <w:r w:rsidRPr="00150CF2">
        <w:rPr>
          <w:lang w:val="es-ES"/>
        </w:rPr>
        <w:tab/>
      </w:r>
      <w:proofErr w:type="spellStart"/>
      <w:r w:rsidRPr="00150CF2">
        <w:rPr>
          <w:lang w:val="es-ES"/>
        </w:rPr>
        <w:t>Moneymaker</w:t>
      </w:r>
      <w:proofErr w:type="spellEnd"/>
      <w:r w:rsidRPr="00150CF2">
        <w:rPr>
          <w:lang w:val="es-ES"/>
        </w:rPr>
        <w:t xml:space="preserve">, </w:t>
      </w:r>
      <w:proofErr w:type="spellStart"/>
      <w:r w:rsidRPr="00150CF2">
        <w:rPr>
          <w:lang w:val="es-ES"/>
        </w:rPr>
        <w:t>Marmande</w:t>
      </w:r>
      <w:proofErr w:type="spellEnd"/>
    </w:p>
    <w:p w:rsidR="00926E8A" w:rsidRPr="00560D2A" w:rsidRDefault="00926E8A" w:rsidP="00926E8A">
      <w:pPr>
        <w:tabs>
          <w:tab w:val="left" w:leader="dot" w:pos="3544"/>
        </w:tabs>
        <w:autoSpaceDE w:val="0"/>
        <w:autoSpaceDN w:val="0"/>
        <w:adjustRightInd w:val="0"/>
        <w:rPr>
          <w:lang w:val="es-ES"/>
        </w:rPr>
      </w:pPr>
      <w:r w:rsidRPr="00051B34">
        <w:t>Resistentes:</w:t>
      </w:r>
      <w:r>
        <w:rPr>
          <w:lang w:val="es-ES"/>
        </w:rPr>
        <w:tab/>
      </w:r>
      <w:proofErr w:type="spellStart"/>
      <w:r w:rsidRPr="00051B34">
        <w:rPr>
          <w:lang w:val="es-ES"/>
        </w:rPr>
        <w:t>Delyca</w:t>
      </w:r>
      <w:proofErr w:type="spellEnd"/>
      <w:r w:rsidRPr="00051B34">
        <w:rPr>
          <w:lang w:val="es-ES"/>
        </w:rPr>
        <w:t>, Montenegro, Anastasia, TY20, Mohawk</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9.4 </w:t>
      </w:r>
      <w:r w:rsidRPr="00051B34">
        <w:t>Diseño del ensayo</w:t>
      </w:r>
      <w:r w:rsidRPr="00150CF2">
        <w:rPr>
          <w:lang w:val="es-ES"/>
        </w:rPr>
        <w:tab/>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9.5 </w:t>
      </w:r>
      <w:r w:rsidRPr="00051B34">
        <w:t>Instalación del ensayo</w:t>
      </w:r>
      <w:r w:rsidRPr="00150CF2">
        <w:rPr>
          <w:lang w:val="es-ES"/>
        </w:rPr>
        <w:tab/>
      </w:r>
      <w:r w:rsidRPr="005F49EE">
        <w:t>invernadero o cámara climatizada con autorización para la utilización confinada de organismos modificados genéticamente (OMG), nivel de confinamiento 1 (N-1)</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9.6 </w:t>
      </w:r>
      <w:r w:rsidRPr="00051B34">
        <w:t>Temperatura</w:t>
      </w:r>
      <w:r w:rsidRPr="00150CF2">
        <w:rPr>
          <w:lang w:val="es-ES"/>
        </w:rPr>
        <w:tab/>
        <w:t>23-25°C</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9.7 </w:t>
      </w:r>
      <w:r w:rsidRPr="00051B34">
        <w:t>Luz</w:t>
      </w:r>
      <w:r w:rsidRPr="00150CF2">
        <w:rPr>
          <w:lang w:val="es-ES"/>
        </w:rPr>
        <w:tab/>
      </w:r>
      <w:r w:rsidRPr="00051B34">
        <w:t>16 horas</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9.8 </w:t>
      </w:r>
      <w:r w:rsidRPr="00051B34">
        <w:t>Estación</w:t>
      </w:r>
      <w:r w:rsidRPr="00150CF2">
        <w:rPr>
          <w:lang w:val="es-ES"/>
        </w:rPr>
        <w:tab/>
      </w:r>
      <w:r w:rsidRPr="00150CF2">
        <w:rPr>
          <w:lang w:val="es-ES"/>
        </w:rPr>
        <w:tab/>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9.9 </w:t>
      </w:r>
      <w:r w:rsidRPr="00051B34">
        <w:t>Medidas especiales</w:t>
      </w:r>
      <w:r w:rsidRPr="00150CF2">
        <w:rPr>
          <w:lang w:val="es-ES"/>
        </w:rPr>
        <w:tab/>
      </w:r>
      <w:r w:rsidRPr="005F49EE">
        <w:t>autorización para la utilización confinada de OMG (N-1 como mínimo)</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10. </w:t>
      </w:r>
      <w:r w:rsidRPr="00051B34">
        <w:t>Inoculación</w:t>
      </w:r>
      <w:r w:rsidRPr="00150CF2">
        <w:rPr>
          <w:lang w:val="es-ES"/>
        </w:rPr>
        <w:tab/>
      </w:r>
      <w:r w:rsidRPr="00150CF2">
        <w:rPr>
          <w:lang w:val="es-ES"/>
        </w:rPr>
        <w:tab/>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10.1 </w:t>
      </w:r>
      <w:r w:rsidRPr="005F49EE">
        <w:t>Preparación del inóculo</w:t>
      </w:r>
      <w:r w:rsidRPr="00150CF2">
        <w:rPr>
          <w:lang w:val="es-ES"/>
        </w:rPr>
        <w:tab/>
      </w:r>
      <w:r w:rsidRPr="005F49EE">
        <w:t xml:space="preserve">Raspar la superficie del tubo que contiene la solución madre de </w:t>
      </w:r>
      <w:r w:rsidRPr="005F49EE">
        <w:rPr>
          <w:i/>
          <w:iCs/>
        </w:rPr>
        <w:t xml:space="preserve">A. </w:t>
      </w:r>
      <w:proofErr w:type="spellStart"/>
      <w:r w:rsidRPr="005F49EE">
        <w:rPr>
          <w:i/>
          <w:iCs/>
        </w:rPr>
        <w:t>tumefaciens</w:t>
      </w:r>
      <w:proofErr w:type="spellEnd"/>
      <w:r w:rsidRPr="005F49EE">
        <w:t xml:space="preserve"> congelada y sumergir en 5 ml de YEP + 2,5 µl de </w:t>
      </w:r>
      <w:proofErr w:type="spellStart"/>
      <w:r w:rsidRPr="005F49EE">
        <w:t>kanamicina</w:t>
      </w:r>
      <w:proofErr w:type="spellEnd"/>
      <w:r w:rsidRPr="005F49EE">
        <w:t xml:space="preserve"> (100 mg/ml) durante 48 horas a 28°C,</w:t>
      </w:r>
      <w:r w:rsidRPr="00150CF2">
        <w:rPr>
          <w:lang w:val="es-ES"/>
        </w:rPr>
        <w:t xml:space="preserve"> </w:t>
      </w:r>
      <w:r w:rsidRPr="005F49EE">
        <w:t>con agitación.</w:t>
      </w:r>
      <w:r w:rsidRPr="00150CF2">
        <w:rPr>
          <w:lang w:val="es-ES"/>
        </w:rPr>
        <w:t xml:space="preserve">  </w:t>
      </w:r>
      <w:r w:rsidRPr="005F49EE">
        <w:t xml:space="preserve">Tomar 100 µl y añadirlos a 100 ml de YEP con 50 µl de </w:t>
      </w:r>
      <w:proofErr w:type="spellStart"/>
      <w:r w:rsidRPr="005F49EE">
        <w:t>kanamicina</w:t>
      </w:r>
      <w:proofErr w:type="spellEnd"/>
      <w:r w:rsidRPr="005F49EE">
        <w:t xml:space="preserve"> (100 mg/ml).</w:t>
      </w:r>
      <w:r w:rsidRPr="00150CF2">
        <w:rPr>
          <w:lang w:val="es-ES"/>
        </w:rPr>
        <w:t xml:space="preserve">  </w:t>
      </w:r>
      <w:r w:rsidRPr="005F49EE">
        <w:t>Agitar durante 48 horas a 28ºC.</w:t>
      </w:r>
      <w:r w:rsidRPr="00150CF2">
        <w:rPr>
          <w:lang w:val="es-ES"/>
        </w:rPr>
        <w:t xml:space="preserve">  </w:t>
      </w:r>
      <w:r w:rsidRPr="005F49EE">
        <w:t>Centrifugar el cultivo saturado a 3500 rpm durante 20 minutos y desechar el sobrenadante.</w:t>
      </w:r>
      <w:r w:rsidRPr="00150CF2">
        <w:rPr>
          <w:lang w:val="es-ES"/>
        </w:rPr>
        <w:t xml:space="preserve"> </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10.2 </w:t>
      </w:r>
      <w:r w:rsidRPr="005F49EE">
        <w:t>Cuantificación del inóculo</w:t>
      </w:r>
      <w:r w:rsidRPr="00150CF2">
        <w:rPr>
          <w:lang w:val="es-ES"/>
        </w:rPr>
        <w:tab/>
      </w:r>
      <w:r w:rsidRPr="005F49EE">
        <w:t xml:space="preserve">disolver en agua </w:t>
      </w:r>
      <w:proofErr w:type="spellStart"/>
      <w:r w:rsidRPr="005F49EE">
        <w:t>desionizada</w:t>
      </w:r>
      <w:proofErr w:type="spellEnd"/>
      <w:r w:rsidRPr="005F49EE">
        <w:t xml:space="preserve"> esterilizada hasta alcanzar una densidad óptica (DO</w:t>
      </w:r>
      <w:r w:rsidRPr="005F49EE">
        <w:rPr>
          <w:vertAlign w:val="subscript"/>
        </w:rPr>
        <w:t>600</w:t>
      </w:r>
      <w:r w:rsidRPr="005F49EE">
        <w:t>) de 1</w:t>
      </w:r>
    </w:p>
    <w:p w:rsidR="00926E8A" w:rsidRDefault="00926E8A" w:rsidP="00926E8A">
      <w:pPr>
        <w:tabs>
          <w:tab w:val="left" w:leader="dot" w:pos="3544"/>
        </w:tabs>
        <w:autoSpaceDE w:val="0"/>
        <w:autoSpaceDN w:val="0"/>
        <w:adjustRightInd w:val="0"/>
      </w:pPr>
      <w:r w:rsidRPr="00150CF2">
        <w:rPr>
          <w:lang w:val="es-ES"/>
        </w:rPr>
        <w:t xml:space="preserve">10.3 </w:t>
      </w:r>
      <w:r w:rsidRPr="00051B34">
        <w:t>Estado de desarrollo en el</w:t>
      </w:r>
    </w:p>
    <w:p w:rsidR="00926E8A" w:rsidRPr="00150CF2" w:rsidRDefault="00926E8A" w:rsidP="00926E8A">
      <w:pPr>
        <w:tabs>
          <w:tab w:val="left" w:leader="dot" w:pos="3544"/>
        </w:tabs>
        <w:autoSpaceDE w:val="0"/>
        <w:autoSpaceDN w:val="0"/>
        <w:adjustRightInd w:val="0"/>
        <w:rPr>
          <w:lang w:val="es-ES"/>
        </w:rPr>
      </w:pPr>
      <w:r w:rsidRPr="00051B34">
        <w:t>momento de la inoculación</w:t>
      </w:r>
      <w:r w:rsidRPr="00150CF2">
        <w:rPr>
          <w:lang w:val="es-ES"/>
        </w:rPr>
        <w:tab/>
      </w:r>
      <w:r w:rsidRPr="00051B34">
        <w:t>3-4 hojas</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10.4 </w:t>
      </w:r>
      <w:r w:rsidRPr="00051B34">
        <w:t>Método de inoculación</w:t>
      </w:r>
      <w:r w:rsidRPr="00150CF2">
        <w:rPr>
          <w:lang w:val="es-ES"/>
        </w:rPr>
        <w:tab/>
      </w:r>
      <w:r w:rsidRPr="005F49EE">
        <w:t xml:space="preserve">Con </w:t>
      </w:r>
      <w:r w:rsidRPr="005F49EE">
        <w:rPr>
          <w:rFonts w:eastAsia="Arial Unicode MS"/>
        </w:rPr>
        <w:t>una jeringa de 1 ml provista de una aguja de calibre 27G, depositar unas gotas del inóculo (aproximadamente 20 µl del cultivo) en 10</w:t>
      </w:r>
      <w:r w:rsidRPr="005F49EE">
        <w:rPr>
          <w:rFonts w:eastAsia="Arial Unicode MS"/>
        </w:rPr>
        <w:noBreakHyphen/>
        <w:t>15 punciones efectuadas con la aguja en el tallo de las plantas de tomate objeto del ensayo.</w:t>
      </w:r>
      <w:r w:rsidRPr="00150CF2">
        <w:rPr>
          <w:rFonts w:eastAsia="Arial Unicode MS"/>
          <w:lang w:val="es-ES"/>
        </w:rPr>
        <w:t xml:space="preserve">  </w:t>
      </w:r>
      <w:r w:rsidRPr="005F49EE">
        <w:rPr>
          <w:rFonts w:eastAsia="Arial Unicode MS"/>
        </w:rPr>
        <w:t>Mantener en hielo durante la inoculación de las plantas.</w:t>
      </w:r>
      <w:r w:rsidRPr="00150CF2">
        <w:rPr>
          <w:rFonts w:eastAsia="Arial Unicode MS"/>
          <w:lang w:val="es-ES"/>
        </w:rPr>
        <w:t xml:space="preserve"> </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10.5 </w:t>
      </w:r>
      <w:r w:rsidRPr="00051B34">
        <w:t>Primera observación</w:t>
      </w:r>
      <w:r w:rsidRPr="00150CF2">
        <w:rPr>
          <w:lang w:val="es-ES"/>
        </w:rPr>
        <w:tab/>
      </w:r>
      <w:r w:rsidRPr="00051B34">
        <w:rPr>
          <w:rFonts w:eastAsia="Arial Unicode MS"/>
        </w:rPr>
        <w:t>20 días después de la inoculación</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10.6 </w:t>
      </w:r>
      <w:r w:rsidRPr="00051B34">
        <w:t>Segunda observación</w:t>
      </w:r>
      <w:r w:rsidRPr="00150CF2">
        <w:rPr>
          <w:lang w:val="es-ES"/>
        </w:rPr>
        <w:tab/>
      </w:r>
      <w:r w:rsidRPr="005F49EE">
        <w:rPr>
          <w:rFonts w:eastAsia="Arial Unicode MS"/>
        </w:rPr>
        <w:t>30 días después de la inoculación</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*10.7 </w:t>
      </w:r>
      <w:r w:rsidRPr="005F49EE">
        <w:t>Fin del ensayo (observación final)</w:t>
      </w:r>
      <w:r w:rsidRPr="00150CF2">
        <w:rPr>
          <w:lang w:val="es-ES"/>
        </w:rPr>
        <w:tab/>
      </w:r>
      <w:r w:rsidRPr="00051B34">
        <w:rPr>
          <w:rFonts w:eastAsia="Arial Unicode MS"/>
        </w:rPr>
        <w:t>45 días después de la inoculación</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11. </w:t>
      </w:r>
      <w:r w:rsidRPr="00051B34">
        <w:t>Observaciones</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11.1 </w:t>
      </w:r>
      <w:r w:rsidRPr="00051B34">
        <w:t>Método</w:t>
      </w:r>
      <w:r w:rsidRPr="00150CF2">
        <w:rPr>
          <w:lang w:val="es-ES"/>
        </w:rPr>
        <w:tab/>
      </w:r>
      <w:r w:rsidRPr="00051B34">
        <w:t>visual</w:t>
      </w:r>
    </w:p>
    <w:p w:rsidR="00926E8A" w:rsidRPr="00150CF2" w:rsidRDefault="00926E8A" w:rsidP="00926E8A">
      <w:pPr>
        <w:tabs>
          <w:tab w:val="left" w:leader="dot" w:pos="3544"/>
        </w:tabs>
        <w:autoSpaceDE w:val="0"/>
        <w:autoSpaceDN w:val="0"/>
        <w:adjustRightInd w:val="0"/>
        <w:rPr>
          <w:lang w:val="es-ES"/>
        </w:rPr>
      </w:pPr>
      <w:r w:rsidRPr="00150CF2">
        <w:rPr>
          <w:lang w:val="es-ES"/>
        </w:rPr>
        <w:t xml:space="preserve">11.2 </w:t>
      </w:r>
      <w:r w:rsidRPr="00051B34">
        <w:t>Escala de observación</w:t>
      </w:r>
      <w:r w:rsidRPr="00150CF2">
        <w:rPr>
          <w:lang w:val="es-ES"/>
        </w:rPr>
        <w:t xml:space="preserve"> </w:t>
      </w:r>
      <w:r w:rsidRPr="00150CF2">
        <w:rPr>
          <w:lang w:val="es-ES"/>
        </w:rPr>
        <w:tab/>
      </w:r>
      <w:r w:rsidRPr="00051B34">
        <w:t>síntomas:</w:t>
      </w:r>
      <w:r w:rsidRPr="00150CF2">
        <w:rPr>
          <w:lang w:val="es-ES"/>
        </w:rPr>
        <w:t xml:space="preserve">  </w:t>
      </w:r>
      <w:r w:rsidRPr="00051B34">
        <w:t>amarilleo y rizado de las hojas</w:t>
      </w:r>
    </w:p>
    <w:p w:rsidR="00926E8A" w:rsidRPr="00150CF2" w:rsidRDefault="00926E8A" w:rsidP="00926E8A">
      <w:pPr>
        <w:tabs>
          <w:tab w:val="left" w:leader="dot" w:pos="3544"/>
        </w:tabs>
        <w:autoSpaceDE w:val="0"/>
        <w:autoSpaceDN w:val="0"/>
        <w:adjustRightInd w:val="0"/>
        <w:ind w:left="3544" w:hanging="3544"/>
        <w:rPr>
          <w:lang w:val="es-ES"/>
        </w:rPr>
      </w:pPr>
      <w:r w:rsidRPr="00150CF2">
        <w:rPr>
          <w:lang w:val="es-ES"/>
        </w:rPr>
        <w:t xml:space="preserve">11.3 </w:t>
      </w:r>
      <w:r w:rsidRPr="00051B34">
        <w:t>Validación del ensayo</w:t>
      </w:r>
      <w:r w:rsidRPr="00150CF2">
        <w:rPr>
          <w:lang w:val="es-ES"/>
        </w:rPr>
        <w:tab/>
      </w:r>
      <w:r w:rsidRPr="00051B34">
        <w:t>la evaluación de la resistencia de la variedad deberá calibrarse con los resultados de los controles resistentes y susceptibles</w:t>
      </w:r>
    </w:p>
    <w:p w:rsidR="00926E8A" w:rsidRPr="00150CF2" w:rsidRDefault="00926E8A" w:rsidP="00926E8A">
      <w:pPr>
        <w:autoSpaceDE w:val="0"/>
        <w:autoSpaceDN w:val="0"/>
        <w:adjustRightInd w:val="0"/>
        <w:rPr>
          <w:lang w:val="es-ES"/>
        </w:rPr>
      </w:pPr>
      <w:r w:rsidRPr="00150CF2">
        <w:rPr>
          <w:lang w:val="es-ES"/>
        </w:rPr>
        <w:t xml:space="preserve">12. </w:t>
      </w:r>
      <w:r w:rsidRPr="00051B34">
        <w:t>Interpretación de los datos en función de los niveles de los caracteres de la UPOV</w:t>
      </w:r>
    </w:p>
    <w:p w:rsidR="00926E8A" w:rsidRPr="00150CF2" w:rsidRDefault="00926E8A" w:rsidP="00926E8A">
      <w:pPr>
        <w:autoSpaceDE w:val="0"/>
        <w:autoSpaceDN w:val="0"/>
        <w:adjustRightInd w:val="0"/>
        <w:ind w:firstLine="709"/>
        <w:rPr>
          <w:lang w:val="es-ES"/>
        </w:rPr>
      </w:pPr>
      <w:r w:rsidRPr="00051B34">
        <w:t>ausente</w:t>
      </w:r>
      <w:r w:rsidRPr="00150CF2">
        <w:rPr>
          <w:lang w:val="es-ES"/>
        </w:rPr>
        <w:t xml:space="preserve"> </w:t>
      </w:r>
      <w:r w:rsidRPr="00150CF2">
        <w:rPr>
          <w:lang w:val="es-ES"/>
        </w:rPr>
        <w:tab/>
      </w:r>
      <w:r w:rsidRPr="005F49EE">
        <w:t>[1] síntomas intensos</w:t>
      </w:r>
    </w:p>
    <w:p w:rsidR="00926E8A" w:rsidRPr="00150CF2" w:rsidRDefault="00926E8A" w:rsidP="00926E8A">
      <w:pPr>
        <w:autoSpaceDE w:val="0"/>
        <w:autoSpaceDN w:val="0"/>
        <w:adjustRightInd w:val="0"/>
        <w:ind w:firstLine="709"/>
        <w:rPr>
          <w:lang w:val="es-ES"/>
        </w:rPr>
      </w:pPr>
      <w:r w:rsidRPr="00051B34">
        <w:t>presente</w:t>
      </w:r>
      <w:r w:rsidRPr="00150CF2">
        <w:rPr>
          <w:lang w:val="es-ES"/>
        </w:rPr>
        <w:t xml:space="preserve"> </w:t>
      </w:r>
      <w:r w:rsidRPr="00150CF2">
        <w:rPr>
          <w:lang w:val="es-ES"/>
        </w:rPr>
        <w:tab/>
      </w:r>
      <w:r w:rsidRPr="005F49EE">
        <w:t>[9] sin síntomas</w:t>
      </w:r>
    </w:p>
    <w:p w:rsidR="00926E8A" w:rsidRPr="00150CF2" w:rsidRDefault="00926E8A" w:rsidP="00926E8A">
      <w:pPr>
        <w:autoSpaceDE w:val="0"/>
        <w:autoSpaceDN w:val="0"/>
        <w:adjustRightInd w:val="0"/>
        <w:rPr>
          <w:lang w:val="es-ES"/>
        </w:rPr>
      </w:pPr>
      <w:r w:rsidRPr="00150CF2">
        <w:rPr>
          <w:lang w:val="es-ES"/>
        </w:rPr>
        <w:t xml:space="preserve">13. </w:t>
      </w:r>
      <w:r w:rsidRPr="00051B34">
        <w:t>Puntos de control esenciales:</w:t>
      </w:r>
    </w:p>
    <w:p w:rsidR="00926E8A" w:rsidRPr="007917AA" w:rsidRDefault="00926E8A" w:rsidP="00926E8A">
      <w:pPr>
        <w:autoSpaceDE w:val="0"/>
        <w:autoSpaceDN w:val="0"/>
        <w:adjustRightInd w:val="0"/>
        <w:rPr>
          <w:lang w:val="es-ES"/>
        </w:rPr>
      </w:pPr>
      <w:r w:rsidRPr="00051B34">
        <w:lastRenderedPageBreak/>
        <w:t xml:space="preserve">El TYLCV es endémico en muchas zonas tropicales y subtropicales y está sujeto a cuarentena en muchos </w:t>
      </w:r>
      <w:r w:rsidRPr="007917AA">
        <w:t>países de clima templado.</w:t>
      </w:r>
    </w:p>
    <w:p w:rsidR="00926E8A" w:rsidRPr="007917AA" w:rsidRDefault="00926E8A" w:rsidP="00926E8A">
      <w:pPr>
        <w:autoSpaceDE w:val="0"/>
        <w:autoSpaceDN w:val="0"/>
        <w:adjustRightInd w:val="0"/>
        <w:rPr>
          <w:lang w:val="es-ES"/>
        </w:rPr>
      </w:pPr>
      <w:r w:rsidRPr="007917AA">
        <w:t>La cepa TYLCV-IL es la más extendida en todo el mundo.</w:t>
      </w:r>
      <w:r w:rsidRPr="007917AA">
        <w:rPr>
          <w:lang w:val="es-ES"/>
        </w:rPr>
        <w:t xml:space="preserve">  </w:t>
      </w:r>
      <w:r w:rsidRPr="007917AA">
        <w:t>Las variedades con Ty-1 o Ty-2 infectadas por esta cepa no presentan síntomas.</w:t>
      </w:r>
      <w:r w:rsidRPr="007917AA">
        <w:rPr>
          <w:lang w:val="es-ES"/>
        </w:rPr>
        <w:t xml:space="preserve"> </w:t>
      </w:r>
    </w:p>
    <w:p w:rsidR="00926E8A" w:rsidRPr="007917AA" w:rsidRDefault="00926E8A" w:rsidP="00926E8A">
      <w:pPr>
        <w:autoSpaceDE w:val="0"/>
        <w:autoSpaceDN w:val="0"/>
        <w:adjustRightInd w:val="0"/>
        <w:rPr>
          <w:lang w:val="es-ES"/>
        </w:rPr>
      </w:pPr>
      <w:r w:rsidRPr="007917AA">
        <w:t>El TYLCV figura en la lista de alertas de la EPPO.</w:t>
      </w:r>
      <w:r w:rsidRPr="007917AA">
        <w:rPr>
          <w:lang w:val="es-ES"/>
        </w:rPr>
        <w:t xml:space="preserve">  </w:t>
      </w:r>
      <w:r w:rsidRPr="007917AA">
        <w:t>Algunas variedades resistentes al TYLCV pueden ser susceptibles a otro virus estrechamente relacionado, el de la hoja en cuchara de Cerdeña (TYLCSV).</w:t>
      </w:r>
      <w:r w:rsidRPr="007917AA">
        <w:rPr>
          <w:lang w:val="es-ES"/>
        </w:rPr>
        <w:t xml:space="preserve"> </w:t>
      </w:r>
    </w:p>
    <w:p w:rsidR="00926E8A" w:rsidRPr="007917AA" w:rsidRDefault="00926E8A" w:rsidP="00926E8A">
      <w:pPr>
        <w:autoSpaceDE w:val="0"/>
        <w:autoSpaceDN w:val="0"/>
        <w:adjustRightInd w:val="0"/>
        <w:rPr>
          <w:lang w:val="es-ES"/>
        </w:rPr>
      </w:pPr>
    </w:p>
    <w:p w:rsidR="00926E8A" w:rsidRPr="007917AA" w:rsidRDefault="00926E8A" w:rsidP="00926E8A">
      <w:pPr>
        <w:autoSpaceDE w:val="0"/>
        <w:autoSpaceDN w:val="0"/>
        <w:adjustRightInd w:val="0"/>
        <w:rPr>
          <w:lang w:val="es-ES"/>
        </w:rPr>
      </w:pPr>
    </w:p>
    <w:p w:rsidR="00926E8A" w:rsidRPr="007917AA" w:rsidRDefault="00926E8A" w:rsidP="00926E8A">
      <w:pPr>
        <w:keepNext/>
        <w:widowControl w:val="0"/>
        <w:ind w:left="482" w:hanging="482"/>
        <w:outlineLvl w:val="0"/>
        <w:rPr>
          <w:u w:val="single"/>
          <w:lang w:val="es-ES"/>
        </w:rPr>
      </w:pPr>
      <w:r w:rsidRPr="007917AA">
        <w:rPr>
          <w:u w:val="single"/>
          <w:lang w:val="es-ES"/>
        </w:rPr>
        <w:t xml:space="preserve">Ad. 57:  </w:t>
      </w:r>
      <w:r w:rsidRPr="007917AA">
        <w:rPr>
          <w:u w:val="single"/>
        </w:rPr>
        <w:t>Resistencia al virus del rizado amarillo de la hoja del tomate (TYLCV)</w:t>
      </w:r>
      <w:r w:rsidRPr="007917AA">
        <w:rPr>
          <w:u w:val="single"/>
          <w:lang w:val="es-ES"/>
        </w:rPr>
        <w:t xml:space="preserve"> </w:t>
      </w:r>
    </w:p>
    <w:p w:rsidR="00926E8A" w:rsidRPr="007917AA" w:rsidRDefault="00926E8A" w:rsidP="00926E8A">
      <w:pPr>
        <w:keepNext/>
        <w:widowControl w:val="0"/>
        <w:outlineLvl w:val="0"/>
        <w:rPr>
          <w:u w:val="single"/>
          <w:lang w:val="es-ES"/>
        </w:rPr>
      </w:pPr>
    </w:p>
    <w:p w:rsidR="00926E8A" w:rsidRPr="00150CF2" w:rsidRDefault="00926E8A" w:rsidP="00926E8A">
      <w:pPr>
        <w:keepNext/>
        <w:rPr>
          <w:i/>
          <w:iCs/>
          <w:lang w:val="es-ES"/>
        </w:rPr>
      </w:pPr>
      <w:r w:rsidRPr="007917AA">
        <w:rPr>
          <w:lang w:val="es-ES"/>
        </w:rPr>
        <w:tab/>
      </w:r>
      <w:r w:rsidRPr="007917AA">
        <w:rPr>
          <w:i/>
          <w:iCs/>
        </w:rPr>
        <w:t>ii) Método de inoculación por moscas blancas</w:t>
      </w:r>
    </w:p>
    <w:p w:rsidR="00926E8A" w:rsidRPr="00150CF2" w:rsidRDefault="00926E8A" w:rsidP="00926E8A">
      <w:pPr>
        <w:keepNext/>
        <w:rPr>
          <w:i/>
          <w:iCs/>
          <w:lang w:val="es-ES"/>
        </w:rPr>
      </w:pPr>
    </w:p>
    <w:p w:rsidR="00926E8A" w:rsidRPr="00150CF2" w:rsidRDefault="00926E8A" w:rsidP="00926E8A">
      <w:pPr>
        <w:tabs>
          <w:tab w:val="left" w:leader="dot" w:pos="3402"/>
        </w:tabs>
        <w:rPr>
          <w:lang w:val="es-ES" w:eastAsia="nl-NL"/>
        </w:rPr>
      </w:pPr>
      <w:r w:rsidRPr="00150CF2">
        <w:rPr>
          <w:lang w:val="es-ES" w:eastAsia="nl-NL"/>
        </w:rPr>
        <w:t xml:space="preserve">1. </w:t>
      </w:r>
      <w:r w:rsidRPr="00051B34">
        <w:rPr>
          <w:lang w:eastAsia="nl-NL"/>
        </w:rPr>
        <w:t>Agentes patógenos</w:t>
      </w:r>
      <w:r w:rsidRPr="00150CF2">
        <w:rPr>
          <w:lang w:val="es-ES" w:eastAsia="nl-NL"/>
        </w:rPr>
        <w:tab/>
      </w:r>
      <w:r w:rsidRPr="005F49EE">
        <w:t>cepa IL del virus del rizado amarillo de la hoja del tomate (TYLCV)</w:t>
      </w:r>
    </w:p>
    <w:p w:rsidR="00926E8A" w:rsidRPr="00150CF2" w:rsidRDefault="00926E8A" w:rsidP="00926E8A">
      <w:pPr>
        <w:tabs>
          <w:tab w:val="left" w:leader="dot" w:pos="3402"/>
        </w:tabs>
        <w:rPr>
          <w:lang w:val="es-ES" w:eastAsia="nl-NL"/>
        </w:rPr>
      </w:pPr>
      <w:r w:rsidRPr="00150CF2">
        <w:rPr>
          <w:lang w:val="es-ES" w:eastAsia="nl-NL"/>
        </w:rPr>
        <w:t xml:space="preserve">2. </w:t>
      </w:r>
      <w:r w:rsidRPr="00051B34">
        <w:rPr>
          <w:lang w:eastAsia="nl-NL"/>
        </w:rPr>
        <w:t>Estado de cuarentena</w:t>
      </w:r>
      <w:r w:rsidRPr="00150CF2">
        <w:rPr>
          <w:lang w:val="es-ES" w:eastAsia="nl-NL"/>
        </w:rPr>
        <w:tab/>
      </w:r>
      <w:r w:rsidRPr="00150CF2">
        <w:rPr>
          <w:lang w:val="es-ES" w:eastAsia="nl-NL"/>
        </w:rPr>
        <w:tab/>
      </w:r>
      <w:r w:rsidRPr="00E22652">
        <w:rPr>
          <w:lang w:eastAsia="nl-NL"/>
        </w:rPr>
        <w:t>sí</w:t>
      </w:r>
      <w:r w:rsidRPr="00E22652">
        <w:rPr>
          <w:lang w:val="es-ES" w:eastAsia="nl-NL"/>
        </w:rPr>
        <w:t xml:space="preserve"> (véase 13.)</w:t>
      </w:r>
    </w:p>
    <w:p w:rsidR="00926E8A" w:rsidRPr="00150CF2" w:rsidRDefault="00926E8A" w:rsidP="00926E8A">
      <w:pPr>
        <w:tabs>
          <w:tab w:val="left" w:leader="dot" w:pos="3402"/>
        </w:tabs>
        <w:rPr>
          <w:i/>
          <w:iCs/>
          <w:lang w:val="es-ES" w:eastAsia="nl-NL"/>
        </w:rPr>
      </w:pPr>
      <w:r w:rsidRPr="00150CF2">
        <w:rPr>
          <w:lang w:val="es-ES" w:eastAsia="nl-NL"/>
        </w:rPr>
        <w:t xml:space="preserve">3. </w:t>
      </w:r>
      <w:r w:rsidRPr="00051B34">
        <w:rPr>
          <w:lang w:eastAsia="nl-NL"/>
        </w:rPr>
        <w:t>Especies huéspedes</w:t>
      </w:r>
      <w:r w:rsidRPr="00150CF2">
        <w:rPr>
          <w:lang w:val="es-ES" w:eastAsia="nl-NL"/>
        </w:rPr>
        <w:tab/>
      </w:r>
      <w:r w:rsidRPr="00150CF2">
        <w:rPr>
          <w:lang w:val="es-ES" w:eastAsia="nl-NL"/>
        </w:rPr>
        <w:tab/>
      </w:r>
      <w:proofErr w:type="spellStart"/>
      <w:r w:rsidRPr="00051B34">
        <w:rPr>
          <w:i/>
          <w:iCs/>
          <w:lang w:eastAsia="nl-NL"/>
        </w:rPr>
        <w:t>Solanum</w:t>
      </w:r>
      <w:proofErr w:type="spellEnd"/>
      <w:r w:rsidRPr="00051B34">
        <w:rPr>
          <w:i/>
          <w:iCs/>
          <w:lang w:eastAsia="nl-NL"/>
        </w:rPr>
        <w:t xml:space="preserve"> </w:t>
      </w:r>
      <w:proofErr w:type="spellStart"/>
      <w:r w:rsidRPr="00051B34">
        <w:rPr>
          <w:i/>
          <w:iCs/>
          <w:lang w:eastAsia="nl-NL"/>
        </w:rPr>
        <w:t>lycopersicum</w:t>
      </w:r>
      <w:proofErr w:type="spellEnd"/>
    </w:p>
    <w:p w:rsidR="00926E8A" w:rsidRPr="00150CF2" w:rsidRDefault="00926E8A" w:rsidP="00926E8A">
      <w:pPr>
        <w:tabs>
          <w:tab w:val="left" w:leader="dot" w:pos="3402"/>
        </w:tabs>
        <w:rPr>
          <w:lang w:val="es-ES" w:eastAsia="nl-NL"/>
        </w:rPr>
      </w:pPr>
      <w:r w:rsidRPr="00150CF2">
        <w:rPr>
          <w:lang w:val="es-ES" w:eastAsia="nl-NL"/>
        </w:rPr>
        <w:t xml:space="preserve">4. </w:t>
      </w:r>
      <w:r w:rsidRPr="00051B34">
        <w:rPr>
          <w:lang w:eastAsia="nl-NL"/>
        </w:rPr>
        <w:t>Fuente del inóculo</w:t>
      </w:r>
      <w:r w:rsidRPr="00150CF2">
        <w:rPr>
          <w:lang w:val="es-ES" w:eastAsia="nl-NL"/>
        </w:rPr>
        <w:tab/>
      </w:r>
      <w:r w:rsidRPr="00051B34">
        <w:rPr>
          <w:lang w:eastAsia="nl-NL"/>
        </w:rPr>
        <w:t>España</w:t>
      </w:r>
    </w:p>
    <w:p w:rsidR="00926E8A" w:rsidRPr="00150CF2" w:rsidRDefault="00926E8A" w:rsidP="00926E8A">
      <w:pPr>
        <w:tabs>
          <w:tab w:val="left" w:leader="dot" w:pos="3402"/>
        </w:tabs>
        <w:rPr>
          <w:lang w:val="es-ES" w:eastAsia="nl-NL"/>
        </w:rPr>
      </w:pPr>
      <w:r w:rsidRPr="00150CF2">
        <w:rPr>
          <w:lang w:val="es-ES" w:eastAsia="nl-NL"/>
        </w:rPr>
        <w:t xml:space="preserve">5. </w:t>
      </w:r>
      <w:r w:rsidRPr="00051B34">
        <w:rPr>
          <w:lang w:eastAsia="nl-NL"/>
        </w:rPr>
        <w:t>Aislado</w:t>
      </w:r>
      <w:r w:rsidRPr="00150CF2">
        <w:rPr>
          <w:lang w:val="es-ES" w:eastAsia="nl-NL"/>
        </w:rPr>
        <w:tab/>
      </w:r>
      <w:r w:rsidRPr="00150CF2">
        <w:rPr>
          <w:lang w:val="es-ES" w:eastAsia="nl-NL"/>
        </w:rPr>
        <w:tab/>
        <w:t>TYLCV-IL “La Mayora”</w:t>
      </w:r>
    </w:p>
    <w:p w:rsidR="00926E8A" w:rsidRPr="00150CF2" w:rsidRDefault="00926E8A" w:rsidP="00926E8A">
      <w:pPr>
        <w:tabs>
          <w:tab w:val="left" w:leader="dot" w:pos="3402"/>
        </w:tabs>
        <w:rPr>
          <w:lang w:val="es-ES" w:eastAsia="nl-NL"/>
        </w:rPr>
      </w:pPr>
      <w:r w:rsidRPr="00150CF2">
        <w:rPr>
          <w:lang w:val="es-ES" w:eastAsia="nl-NL"/>
        </w:rPr>
        <w:t xml:space="preserve">8. </w:t>
      </w:r>
      <w:r w:rsidRPr="00051B34">
        <w:rPr>
          <w:lang w:eastAsia="nl-NL"/>
        </w:rPr>
        <w:t>Multiplicación del inóculo</w:t>
      </w:r>
      <w:r w:rsidRPr="00150CF2">
        <w:rPr>
          <w:lang w:val="es-ES" w:eastAsia="nl-NL"/>
        </w:rPr>
        <w:tab/>
      </w:r>
      <w:r w:rsidRPr="00150CF2">
        <w:rPr>
          <w:lang w:val="es-ES" w:eastAsia="nl-NL"/>
        </w:rPr>
        <w:tab/>
      </w:r>
      <w:r w:rsidRPr="005F49EE">
        <w:rPr>
          <w:lang w:eastAsia="nl-NL"/>
        </w:rPr>
        <w:t>moscas blancas</w:t>
      </w:r>
    </w:p>
    <w:p w:rsidR="00926E8A" w:rsidRPr="00150CF2" w:rsidRDefault="00926E8A" w:rsidP="00926E8A">
      <w:pPr>
        <w:tabs>
          <w:tab w:val="left" w:leader="dot" w:pos="3402"/>
        </w:tabs>
        <w:rPr>
          <w:lang w:val="es-ES" w:eastAsia="nl-NL"/>
        </w:rPr>
      </w:pPr>
      <w:r w:rsidRPr="00150CF2">
        <w:rPr>
          <w:lang w:val="es-ES" w:eastAsia="nl-NL"/>
        </w:rPr>
        <w:t xml:space="preserve">8.6 </w:t>
      </w:r>
      <w:r w:rsidRPr="00051B34">
        <w:rPr>
          <w:lang w:eastAsia="nl-NL"/>
        </w:rPr>
        <w:t>Cosecha del inóculo</w:t>
      </w:r>
      <w:r w:rsidRPr="00150CF2">
        <w:rPr>
          <w:lang w:val="es-ES" w:eastAsia="nl-NL"/>
        </w:rPr>
        <w:tab/>
      </w:r>
      <w:r w:rsidRPr="00150CF2">
        <w:rPr>
          <w:lang w:val="es-ES" w:eastAsia="nl-NL"/>
        </w:rPr>
        <w:tab/>
      </w:r>
    </w:p>
    <w:p w:rsidR="00926E8A" w:rsidRPr="00150CF2" w:rsidRDefault="00926E8A" w:rsidP="00926E8A">
      <w:pPr>
        <w:tabs>
          <w:tab w:val="left" w:pos="3402"/>
        </w:tabs>
        <w:rPr>
          <w:lang w:val="es-ES" w:eastAsia="nl-NL"/>
        </w:rPr>
      </w:pPr>
      <w:r w:rsidRPr="00150CF2">
        <w:rPr>
          <w:lang w:val="es-ES" w:eastAsia="nl-NL"/>
        </w:rPr>
        <w:t xml:space="preserve">9. </w:t>
      </w:r>
      <w:r w:rsidRPr="00051B34">
        <w:rPr>
          <w:lang w:eastAsia="nl-NL"/>
        </w:rPr>
        <w:t>Formato del examen</w:t>
      </w:r>
    </w:p>
    <w:p w:rsidR="00926E8A" w:rsidRPr="00150CF2" w:rsidRDefault="00926E8A" w:rsidP="00926E8A">
      <w:pPr>
        <w:tabs>
          <w:tab w:val="left" w:leader="dot" w:pos="3402"/>
        </w:tabs>
        <w:rPr>
          <w:lang w:val="es-ES" w:eastAsia="nl-NL"/>
        </w:rPr>
      </w:pPr>
      <w:r w:rsidRPr="00150CF2">
        <w:rPr>
          <w:lang w:val="es-ES" w:eastAsia="nl-NL"/>
        </w:rPr>
        <w:t xml:space="preserve">9.1 </w:t>
      </w:r>
      <w:r w:rsidRPr="00051B34">
        <w:rPr>
          <w:lang w:eastAsia="nl-NL"/>
        </w:rPr>
        <w:t>Número de plantas por genotipo</w:t>
      </w:r>
      <w:r w:rsidRPr="00150CF2">
        <w:rPr>
          <w:lang w:val="es-ES" w:eastAsia="nl-NL"/>
        </w:rPr>
        <w:tab/>
      </w:r>
      <w:r w:rsidRPr="00150CF2">
        <w:rPr>
          <w:lang w:val="es-ES" w:eastAsia="nl-NL"/>
        </w:rPr>
        <w:tab/>
        <w:t>20</w:t>
      </w:r>
    </w:p>
    <w:p w:rsidR="00926E8A" w:rsidRPr="00150CF2" w:rsidRDefault="00926E8A" w:rsidP="00926E8A">
      <w:pPr>
        <w:tabs>
          <w:tab w:val="left" w:leader="dot" w:pos="3402"/>
        </w:tabs>
        <w:rPr>
          <w:lang w:val="es-ES" w:eastAsia="nl-NL"/>
        </w:rPr>
      </w:pPr>
      <w:r w:rsidRPr="00150CF2">
        <w:rPr>
          <w:lang w:val="es-ES" w:eastAsia="nl-NL"/>
        </w:rPr>
        <w:t xml:space="preserve">9.2 </w:t>
      </w:r>
      <w:r w:rsidRPr="00051B34">
        <w:rPr>
          <w:lang w:eastAsia="nl-NL"/>
        </w:rPr>
        <w:t>Número de réplicas</w:t>
      </w:r>
      <w:r w:rsidRPr="00150CF2">
        <w:rPr>
          <w:lang w:val="es-ES" w:eastAsia="nl-NL"/>
        </w:rPr>
        <w:tab/>
      </w:r>
      <w:r w:rsidRPr="005F49EE">
        <w:rPr>
          <w:lang w:eastAsia="nl-NL"/>
        </w:rPr>
        <w:t>dos réplicas</w:t>
      </w:r>
    </w:p>
    <w:p w:rsidR="00926E8A" w:rsidRPr="00150CF2" w:rsidRDefault="00926E8A" w:rsidP="00926E8A">
      <w:pPr>
        <w:tabs>
          <w:tab w:val="left" w:leader="dot" w:pos="3402"/>
        </w:tabs>
        <w:rPr>
          <w:lang w:val="es-ES" w:eastAsia="nl-NL"/>
        </w:rPr>
      </w:pPr>
      <w:r w:rsidRPr="00150CF2">
        <w:rPr>
          <w:lang w:val="es-ES" w:eastAsia="nl-NL"/>
        </w:rPr>
        <w:t xml:space="preserve">9.3 </w:t>
      </w:r>
      <w:r w:rsidRPr="00051B34">
        <w:rPr>
          <w:lang w:eastAsia="nl-NL"/>
        </w:rPr>
        <w:t>Variedades de control</w:t>
      </w:r>
    </w:p>
    <w:p w:rsidR="00926E8A" w:rsidRPr="00150CF2" w:rsidRDefault="00926E8A" w:rsidP="00926E8A">
      <w:pPr>
        <w:tabs>
          <w:tab w:val="left" w:leader="dot" w:pos="3402"/>
        </w:tabs>
        <w:autoSpaceDE w:val="0"/>
        <w:autoSpaceDN w:val="0"/>
        <w:adjustRightInd w:val="0"/>
        <w:rPr>
          <w:lang w:val="es-ES"/>
        </w:rPr>
      </w:pPr>
      <w:r w:rsidRPr="00051B34">
        <w:t>Susceptibles:</w:t>
      </w:r>
      <w:r w:rsidRPr="00150CF2">
        <w:rPr>
          <w:lang w:val="es-ES"/>
        </w:rPr>
        <w:t xml:space="preserve"> </w:t>
      </w:r>
      <w:r w:rsidRPr="00150CF2">
        <w:rPr>
          <w:lang w:val="es-ES"/>
        </w:rPr>
        <w:tab/>
      </w:r>
      <w:proofErr w:type="spellStart"/>
      <w:r w:rsidRPr="00150CF2">
        <w:rPr>
          <w:lang w:val="es-ES"/>
        </w:rPr>
        <w:t>Moneymaker</w:t>
      </w:r>
      <w:proofErr w:type="spellEnd"/>
      <w:r w:rsidRPr="00150CF2">
        <w:rPr>
          <w:lang w:val="es-ES"/>
        </w:rPr>
        <w:t xml:space="preserve">, </w:t>
      </w:r>
      <w:proofErr w:type="spellStart"/>
      <w:r w:rsidRPr="00150CF2">
        <w:rPr>
          <w:lang w:val="es-ES"/>
        </w:rPr>
        <w:t>Marmande</w:t>
      </w:r>
      <w:proofErr w:type="spellEnd"/>
    </w:p>
    <w:p w:rsidR="00926E8A" w:rsidRPr="00150CF2" w:rsidRDefault="00926E8A" w:rsidP="00926E8A">
      <w:pPr>
        <w:tabs>
          <w:tab w:val="left" w:leader="dot" w:pos="3402"/>
        </w:tabs>
        <w:rPr>
          <w:lang w:val="es-ES"/>
        </w:rPr>
      </w:pPr>
      <w:r w:rsidRPr="00051B34">
        <w:t>Resistentes:</w:t>
      </w:r>
      <w:r w:rsidRPr="00150CF2">
        <w:rPr>
          <w:lang w:val="es-ES"/>
        </w:rPr>
        <w:t xml:space="preserve"> </w:t>
      </w:r>
      <w:r w:rsidRPr="00150CF2">
        <w:rPr>
          <w:lang w:val="es-ES"/>
        </w:rPr>
        <w:tab/>
      </w:r>
      <w:r w:rsidRPr="00150CF2">
        <w:rPr>
          <w:lang w:val="es-ES"/>
        </w:rPr>
        <w:tab/>
      </w:r>
      <w:proofErr w:type="spellStart"/>
      <w:r w:rsidRPr="00150CF2">
        <w:rPr>
          <w:lang w:val="es-ES"/>
        </w:rPr>
        <w:t>Delyca</w:t>
      </w:r>
      <w:proofErr w:type="spellEnd"/>
      <w:r w:rsidRPr="00150CF2">
        <w:rPr>
          <w:lang w:val="es-ES"/>
        </w:rPr>
        <w:t>, Montenegro, Anastasia, TY20, Mohawk</w:t>
      </w:r>
    </w:p>
    <w:p w:rsidR="00926E8A" w:rsidRPr="00150CF2" w:rsidRDefault="00926E8A" w:rsidP="00926E8A">
      <w:pPr>
        <w:tabs>
          <w:tab w:val="left" w:leader="dot" w:pos="3402"/>
        </w:tabs>
        <w:rPr>
          <w:lang w:val="es-ES" w:eastAsia="nl-NL"/>
        </w:rPr>
      </w:pPr>
      <w:r w:rsidRPr="00150CF2">
        <w:rPr>
          <w:lang w:val="es-ES" w:eastAsia="nl-NL"/>
        </w:rPr>
        <w:t xml:space="preserve">9.5 </w:t>
      </w:r>
      <w:r w:rsidRPr="00051B34">
        <w:rPr>
          <w:lang w:eastAsia="nl-NL"/>
        </w:rPr>
        <w:t>Instalación del ensayo</w:t>
      </w:r>
      <w:r w:rsidRPr="00150CF2">
        <w:rPr>
          <w:lang w:val="es-ES" w:eastAsia="nl-NL"/>
        </w:rPr>
        <w:tab/>
      </w:r>
      <w:r w:rsidRPr="005F49EE">
        <w:rPr>
          <w:lang w:eastAsia="nl-NL"/>
        </w:rPr>
        <w:t>invernadero o túnel de plástico</w:t>
      </w:r>
      <w:r w:rsidRPr="00150CF2">
        <w:rPr>
          <w:lang w:val="es-ES" w:eastAsia="nl-NL"/>
        </w:rPr>
        <w:t xml:space="preserve"> </w:t>
      </w:r>
    </w:p>
    <w:p w:rsidR="00926E8A" w:rsidRPr="00150CF2" w:rsidRDefault="00926E8A" w:rsidP="00926E8A">
      <w:pPr>
        <w:tabs>
          <w:tab w:val="left" w:leader="dot" w:pos="3402"/>
        </w:tabs>
        <w:rPr>
          <w:lang w:val="es-ES" w:eastAsia="nl-NL"/>
        </w:rPr>
      </w:pPr>
      <w:r w:rsidRPr="00150CF2">
        <w:rPr>
          <w:lang w:val="es-ES" w:eastAsia="nl-NL"/>
        </w:rPr>
        <w:t xml:space="preserve">9.9 </w:t>
      </w:r>
      <w:r w:rsidRPr="00051B34">
        <w:rPr>
          <w:lang w:eastAsia="nl-NL"/>
        </w:rPr>
        <w:t>Medidas especiales</w:t>
      </w:r>
      <w:r w:rsidRPr="00150CF2">
        <w:rPr>
          <w:lang w:val="es-ES" w:eastAsia="nl-NL"/>
        </w:rPr>
        <w:tab/>
      </w:r>
      <w:r w:rsidRPr="00150CF2">
        <w:rPr>
          <w:lang w:val="es-ES" w:eastAsia="nl-NL"/>
        </w:rPr>
        <w:tab/>
      </w:r>
      <w:r w:rsidRPr="005F49EE">
        <w:rPr>
          <w:lang w:eastAsia="nl-NL"/>
        </w:rPr>
        <w:t>evitar la propagación de moscas blancas</w:t>
      </w:r>
    </w:p>
    <w:p w:rsidR="00926E8A" w:rsidRPr="00150CF2" w:rsidRDefault="00926E8A" w:rsidP="00926E8A">
      <w:pPr>
        <w:tabs>
          <w:tab w:val="left" w:pos="3402"/>
        </w:tabs>
        <w:rPr>
          <w:lang w:val="es-ES" w:eastAsia="nl-NL"/>
        </w:rPr>
      </w:pPr>
      <w:r w:rsidRPr="00150CF2">
        <w:rPr>
          <w:lang w:val="es-ES" w:eastAsia="nl-NL"/>
        </w:rPr>
        <w:t xml:space="preserve">10. </w:t>
      </w:r>
      <w:r w:rsidRPr="00051B34">
        <w:rPr>
          <w:lang w:eastAsia="nl-NL"/>
        </w:rPr>
        <w:t>Inoculación</w:t>
      </w:r>
    </w:p>
    <w:p w:rsidR="00926E8A" w:rsidRDefault="00926E8A" w:rsidP="00926E8A">
      <w:pPr>
        <w:tabs>
          <w:tab w:val="left" w:leader="dot" w:pos="3402"/>
        </w:tabs>
        <w:rPr>
          <w:lang w:eastAsia="nl-NL"/>
        </w:rPr>
      </w:pPr>
      <w:r w:rsidRPr="00150CF2">
        <w:rPr>
          <w:lang w:val="es-ES" w:eastAsia="nl-NL"/>
        </w:rPr>
        <w:t xml:space="preserve">10.3 </w:t>
      </w:r>
      <w:r w:rsidRPr="00051B34">
        <w:rPr>
          <w:lang w:eastAsia="nl-NL"/>
        </w:rPr>
        <w:t>Estado de desarrollo en el</w:t>
      </w:r>
    </w:p>
    <w:p w:rsidR="00926E8A" w:rsidRPr="00150CF2" w:rsidRDefault="00926E8A" w:rsidP="00926E8A">
      <w:pPr>
        <w:tabs>
          <w:tab w:val="left" w:leader="dot" w:pos="3402"/>
        </w:tabs>
        <w:rPr>
          <w:lang w:val="es-ES" w:eastAsia="nl-NL"/>
        </w:rPr>
      </w:pPr>
      <w:r w:rsidRPr="00051B34">
        <w:rPr>
          <w:lang w:eastAsia="nl-NL"/>
        </w:rPr>
        <w:t>momento de la inoculación</w:t>
      </w:r>
      <w:r w:rsidRPr="00150CF2">
        <w:rPr>
          <w:lang w:val="es-ES" w:eastAsia="nl-NL"/>
        </w:rPr>
        <w:tab/>
      </w:r>
      <w:r w:rsidRPr="00051B34">
        <w:rPr>
          <w:lang w:eastAsia="nl-NL"/>
        </w:rPr>
        <w:t>2-4 semanas</w:t>
      </w:r>
    </w:p>
    <w:p w:rsidR="00926E8A" w:rsidRPr="00150CF2" w:rsidRDefault="00926E8A" w:rsidP="00926E8A">
      <w:pPr>
        <w:tabs>
          <w:tab w:val="left" w:leader="dot" w:pos="3402"/>
        </w:tabs>
        <w:rPr>
          <w:lang w:val="es-ES" w:eastAsia="nl-NL"/>
        </w:rPr>
      </w:pPr>
      <w:r w:rsidRPr="00150CF2">
        <w:rPr>
          <w:lang w:val="es-ES" w:eastAsia="nl-NL"/>
        </w:rPr>
        <w:t xml:space="preserve">10.4 </w:t>
      </w:r>
      <w:r w:rsidRPr="00051B34">
        <w:rPr>
          <w:lang w:eastAsia="nl-NL"/>
        </w:rPr>
        <w:t>Método de inoculación</w:t>
      </w:r>
      <w:r w:rsidRPr="00150CF2">
        <w:rPr>
          <w:lang w:val="es-ES" w:eastAsia="nl-NL"/>
        </w:rPr>
        <w:tab/>
      </w:r>
      <w:r w:rsidRPr="00150CF2">
        <w:rPr>
          <w:lang w:val="es-ES" w:eastAsia="nl-NL"/>
        </w:rPr>
        <w:tab/>
      </w:r>
      <w:r w:rsidRPr="005F49EE">
        <w:rPr>
          <w:lang w:eastAsia="nl-NL"/>
        </w:rPr>
        <w:t xml:space="preserve">vector (moscas blancas </w:t>
      </w:r>
      <w:proofErr w:type="spellStart"/>
      <w:r w:rsidRPr="005F49EE">
        <w:rPr>
          <w:lang w:eastAsia="nl-NL"/>
        </w:rPr>
        <w:t>Bemisia</w:t>
      </w:r>
      <w:proofErr w:type="spellEnd"/>
      <w:r w:rsidRPr="005F49EE">
        <w:rPr>
          <w:lang w:eastAsia="nl-NL"/>
        </w:rPr>
        <w:t xml:space="preserve"> portadoras del TYLCV-IL)</w:t>
      </w:r>
    </w:p>
    <w:p w:rsidR="00926E8A" w:rsidRPr="00150CF2" w:rsidRDefault="00926E8A" w:rsidP="00926E8A">
      <w:pPr>
        <w:tabs>
          <w:tab w:val="left" w:leader="dot" w:pos="3402"/>
        </w:tabs>
        <w:rPr>
          <w:lang w:val="es-ES" w:eastAsia="nl-NL"/>
        </w:rPr>
      </w:pPr>
      <w:r w:rsidRPr="00150CF2">
        <w:rPr>
          <w:lang w:val="es-ES" w:eastAsia="nl-NL"/>
        </w:rPr>
        <w:t xml:space="preserve">10.7 </w:t>
      </w:r>
      <w:r w:rsidRPr="00051B34">
        <w:rPr>
          <w:lang w:eastAsia="nl-NL"/>
        </w:rPr>
        <w:t>Observaciones finales</w:t>
      </w:r>
      <w:r w:rsidRPr="00150CF2">
        <w:rPr>
          <w:lang w:val="es-ES" w:eastAsia="nl-NL"/>
        </w:rPr>
        <w:tab/>
      </w:r>
      <w:r w:rsidRPr="00150CF2">
        <w:rPr>
          <w:lang w:val="es-ES" w:eastAsia="nl-NL"/>
        </w:rPr>
        <w:tab/>
      </w:r>
      <w:r w:rsidRPr="00051B34">
        <w:rPr>
          <w:lang w:eastAsia="nl-NL"/>
        </w:rPr>
        <w:t>de 1 a 2 meses después de la inoculación</w:t>
      </w:r>
    </w:p>
    <w:p w:rsidR="00926E8A" w:rsidRPr="00150CF2" w:rsidRDefault="00926E8A" w:rsidP="00926E8A">
      <w:pPr>
        <w:tabs>
          <w:tab w:val="left" w:pos="3402"/>
        </w:tabs>
        <w:rPr>
          <w:lang w:val="es-ES" w:eastAsia="nl-NL"/>
        </w:rPr>
      </w:pPr>
      <w:r w:rsidRPr="00150CF2">
        <w:rPr>
          <w:lang w:val="es-ES" w:eastAsia="nl-NL"/>
        </w:rPr>
        <w:t xml:space="preserve">11. </w:t>
      </w:r>
      <w:r w:rsidRPr="00051B34">
        <w:rPr>
          <w:lang w:eastAsia="nl-NL"/>
        </w:rPr>
        <w:t>Observaciones</w:t>
      </w:r>
    </w:p>
    <w:p w:rsidR="00926E8A" w:rsidRPr="00150CF2" w:rsidRDefault="00926E8A" w:rsidP="00926E8A">
      <w:pPr>
        <w:tabs>
          <w:tab w:val="left" w:leader="dot" w:pos="3402"/>
        </w:tabs>
        <w:rPr>
          <w:lang w:val="es-ES" w:eastAsia="nl-NL"/>
        </w:rPr>
      </w:pPr>
      <w:r w:rsidRPr="00150CF2">
        <w:rPr>
          <w:lang w:val="es-ES" w:eastAsia="nl-NL"/>
        </w:rPr>
        <w:t xml:space="preserve">11.1 </w:t>
      </w:r>
      <w:r w:rsidRPr="00051B34">
        <w:rPr>
          <w:lang w:eastAsia="nl-NL"/>
        </w:rPr>
        <w:t>Método</w:t>
      </w:r>
      <w:r w:rsidRPr="00150CF2">
        <w:rPr>
          <w:lang w:val="es-ES" w:eastAsia="nl-NL"/>
        </w:rPr>
        <w:tab/>
      </w:r>
      <w:r w:rsidRPr="00150CF2">
        <w:rPr>
          <w:lang w:val="es-ES" w:eastAsia="nl-NL"/>
        </w:rPr>
        <w:tab/>
      </w:r>
      <w:r w:rsidRPr="00051B34">
        <w:rPr>
          <w:lang w:eastAsia="nl-NL"/>
        </w:rPr>
        <w:t>visual</w:t>
      </w:r>
    </w:p>
    <w:p w:rsidR="00926E8A" w:rsidRPr="00150CF2" w:rsidRDefault="00926E8A" w:rsidP="00926E8A">
      <w:pPr>
        <w:tabs>
          <w:tab w:val="left" w:leader="dot" w:pos="3402"/>
        </w:tabs>
        <w:autoSpaceDE w:val="0"/>
        <w:autoSpaceDN w:val="0"/>
        <w:adjustRightInd w:val="0"/>
        <w:rPr>
          <w:lang w:val="es-ES"/>
        </w:rPr>
      </w:pPr>
      <w:r w:rsidRPr="00150CF2">
        <w:rPr>
          <w:lang w:val="es-ES" w:eastAsia="nl-NL"/>
        </w:rPr>
        <w:t xml:space="preserve">11.2 </w:t>
      </w:r>
      <w:r w:rsidRPr="00051B34">
        <w:rPr>
          <w:lang w:eastAsia="nl-NL"/>
        </w:rPr>
        <w:t>Escala de observación</w:t>
      </w:r>
      <w:r w:rsidRPr="00150CF2">
        <w:rPr>
          <w:lang w:val="es-ES" w:eastAsia="nl-NL"/>
        </w:rPr>
        <w:tab/>
      </w:r>
      <w:r w:rsidRPr="00051B34">
        <w:rPr>
          <w:lang w:eastAsia="nl-NL"/>
        </w:rPr>
        <w:t>síntomas:</w:t>
      </w:r>
      <w:r w:rsidRPr="00150CF2">
        <w:rPr>
          <w:lang w:val="es-ES" w:eastAsia="nl-NL"/>
        </w:rPr>
        <w:t xml:space="preserve">  </w:t>
      </w:r>
      <w:r w:rsidRPr="00051B34">
        <w:rPr>
          <w:lang w:eastAsia="nl-NL"/>
        </w:rPr>
        <w:t>amarilleo y rizado de las hojas</w:t>
      </w:r>
    </w:p>
    <w:p w:rsidR="00926E8A" w:rsidRPr="00150CF2" w:rsidRDefault="00926E8A" w:rsidP="00926E8A">
      <w:pPr>
        <w:tabs>
          <w:tab w:val="left" w:leader="dot" w:pos="3402"/>
        </w:tabs>
        <w:ind w:left="3544" w:hanging="3544"/>
        <w:rPr>
          <w:lang w:val="es-ES"/>
        </w:rPr>
      </w:pPr>
      <w:r w:rsidRPr="00150CF2">
        <w:rPr>
          <w:lang w:val="es-ES" w:eastAsia="nl-NL"/>
        </w:rPr>
        <w:t xml:space="preserve">11.3 </w:t>
      </w:r>
      <w:r w:rsidRPr="00051B34">
        <w:rPr>
          <w:lang w:eastAsia="nl-NL"/>
        </w:rPr>
        <w:t>Validación del ensayo</w:t>
      </w:r>
      <w:r w:rsidRPr="00150CF2">
        <w:rPr>
          <w:lang w:val="es-ES" w:eastAsia="nl-NL"/>
        </w:rPr>
        <w:tab/>
      </w:r>
      <w:r w:rsidRPr="00051B34">
        <w:t>la evaluación de la resistencia de la variedad deberá calibrarse con los resultados de los controles resistentes y susceptibles</w:t>
      </w:r>
    </w:p>
    <w:p w:rsidR="00926E8A" w:rsidRPr="00150CF2" w:rsidRDefault="00926E8A" w:rsidP="00926E8A">
      <w:pPr>
        <w:tabs>
          <w:tab w:val="left" w:leader="dot" w:pos="3402"/>
        </w:tabs>
        <w:rPr>
          <w:lang w:val="es-ES" w:eastAsia="nl-NL"/>
        </w:rPr>
      </w:pPr>
      <w:r w:rsidRPr="00150CF2">
        <w:rPr>
          <w:lang w:val="es-ES" w:eastAsia="nl-NL"/>
        </w:rPr>
        <w:t xml:space="preserve">12. </w:t>
      </w:r>
      <w:r w:rsidRPr="00051B34">
        <w:rPr>
          <w:lang w:eastAsia="nl-NL"/>
        </w:rPr>
        <w:t>Interpretación de los datos en función de los niveles de los caracteres de la UPOV</w:t>
      </w:r>
    </w:p>
    <w:p w:rsidR="00926E8A" w:rsidRPr="00712F68" w:rsidRDefault="00926E8A" w:rsidP="00926E8A">
      <w:pPr>
        <w:tabs>
          <w:tab w:val="left" w:pos="3402"/>
        </w:tabs>
        <w:rPr>
          <w:lang w:val="pt-BR" w:eastAsia="nl-NL"/>
        </w:rPr>
      </w:pPr>
      <w:r w:rsidRPr="00150CF2">
        <w:rPr>
          <w:lang w:val="es-ES" w:eastAsia="nl-NL"/>
        </w:rPr>
        <w:t xml:space="preserve">               </w:t>
      </w:r>
      <w:r w:rsidRPr="00712F68">
        <w:rPr>
          <w:lang w:val="pt-BR" w:eastAsia="nl-NL"/>
        </w:rPr>
        <w:t>ausente</w:t>
      </w:r>
      <w:r w:rsidRPr="00712F68">
        <w:rPr>
          <w:lang w:val="pt-BR" w:eastAsia="nl-NL"/>
        </w:rPr>
        <w:tab/>
      </w:r>
      <w:r w:rsidRPr="00712F68">
        <w:rPr>
          <w:lang w:val="pt-BR" w:eastAsia="nl-NL"/>
        </w:rPr>
        <w:tab/>
        <w:t>[1]</w:t>
      </w:r>
      <w:r w:rsidRPr="00712F68">
        <w:rPr>
          <w:lang w:val="pt-BR" w:eastAsia="nl-NL"/>
        </w:rPr>
        <w:tab/>
        <w:t>síntomas intensos</w:t>
      </w:r>
    </w:p>
    <w:p w:rsidR="00926E8A" w:rsidRPr="00712F68" w:rsidRDefault="00926E8A" w:rsidP="00926E8A">
      <w:pPr>
        <w:tabs>
          <w:tab w:val="left" w:pos="3402"/>
        </w:tabs>
        <w:rPr>
          <w:lang w:val="pt-BR" w:eastAsia="nl-NL"/>
        </w:rPr>
      </w:pPr>
      <w:r w:rsidRPr="00712F68">
        <w:rPr>
          <w:lang w:val="pt-BR" w:eastAsia="nl-NL"/>
        </w:rPr>
        <w:t xml:space="preserve">               presente</w:t>
      </w:r>
      <w:r w:rsidRPr="00712F68">
        <w:rPr>
          <w:lang w:val="pt-BR" w:eastAsia="nl-NL"/>
        </w:rPr>
        <w:tab/>
      </w:r>
      <w:r w:rsidRPr="00712F68">
        <w:rPr>
          <w:lang w:val="pt-BR" w:eastAsia="nl-NL"/>
        </w:rPr>
        <w:tab/>
        <w:t>[9]</w:t>
      </w:r>
      <w:r w:rsidRPr="00712F68">
        <w:rPr>
          <w:lang w:val="pt-BR" w:eastAsia="nl-NL"/>
        </w:rPr>
        <w:tab/>
        <w:t>síntomas ausentes o leves</w:t>
      </w:r>
    </w:p>
    <w:p w:rsidR="00926E8A" w:rsidRPr="007917AA" w:rsidRDefault="00926E8A" w:rsidP="00926E8A">
      <w:pPr>
        <w:ind w:left="480" w:hanging="480"/>
        <w:rPr>
          <w:lang w:val="es-ES" w:eastAsia="nl-NL"/>
        </w:rPr>
      </w:pPr>
      <w:r w:rsidRPr="00150CF2">
        <w:rPr>
          <w:lang w:val="es-ES" w:eastAsia="nl-NL"/>
        </w:rPr>
        <w:t xml:space="preserve">13. </w:t>
      </w:r>
      <w:r w:rsidRPr="00051B34">
        <w:rPr>
          <w:lang w:eastAsia="nl-NL"/>
        </w:rPr>
        <w:t xml:space="preserve">Puntos de control </w:t>
      </w:r>
      <w:r w:rsidRPr="007917AA">
        <w:rPr>
          <w:lang w:eastAsia="nl-NL"/>
        </w:rPr>
        <w:t>esenciales:</w:t>
      </w:r>
    </w:p>
    <w:p w:rsidR="00926E8A" w:rsidRPr="007917AA" w:rsidRDefault="00926E8A" w:rsidP="00926E8A">
      <w:pPr>
        <w:autoSpaceDE w:val="0"/>
        <w:autoSpaceDN w:val="0"/>
        <w:adjustRightInd w:val="0"/>
        <w:rPr>
          <w:lang w:val="es-ES"/>
        </w:rPr>
      </w:pPr>
      <w:r w:rsidRPr="007917AA">
        <w:t>El TYLCV es endémico en muchas zonas tropicales y subtropicales y está sujeto a cuarentena en muchos países de clima templado.</w:t>
      </w:r>
    </w:p>
    <w:p w:rsidR="00926E8A" w:rsidRPr="007917AA" w:rsidRDefault="00926E8A" w:rsidP="00926E8A">
      <w:pPr>
        <w:autoSpaceDE w:val="0"/>
        <w:autoSpaceDN w:val="0"/>
        <w:adjustRightInd w:val="0"/>
        <w:rPr>
          <w:lang w:val="es-ES"/>
        </w:rPr>
      </w:pPr>
      <w:r w:rsidRPr="007917AA">
        <w:t>La cepa TYLCV-IL es la más extendida en todo el mundo.</w:t>
      </w:r>
      <w:r w:rsidRPr="007917AA">
        <w:rPr>
          <w:lang w:val="es-ES"/>
        </w:rPr>
        <w:t xml:space="preserve">  </w:t>
      </w:r>
      <w:r w:rsidRPr="007917AA">
        <w:t>Las variedades con Ty-1 o Ty-2 infectadas por esta cepa no presentan síntomas.</w:t>
      </w:r>
      <w:r w:rsidRPr="007917AA">
        <w:rPr>
          <w:lang w:val="es-ES"/>
        </w:rPr>
        <w:t xml:space="preserve"> </w:t>
      </w:r>
    </w:p>
    <w:p w:rsidR="00926E8A" w:rsidRPr="007917AA" w:rsidRDefault="00926E8A" w:rsidP="00926E8A">
      <w:pPr>
        <w:autoSpaceDE w:val="0"/>
        <w:autoSpaceDN w:val="0"/>
        <w:adjustRightInd w:val="0"/>
        <w:rPr>
          <w:lang w:val="es-ES"/>
        </w:rPr>
      </w:pPr>
      <w:r w:rsidRPr="007917AA">
        <w:t>Algunas variedades resistentes al TYLCV pueden ser susceptibles a otro virus estrechamente relacionado, el de la hoja en cuchara de Cerdeña (TYLCSV).</w:t>
      </w:r>
      <w:r w:rsidRPr="007917AA">
        <w:rPr>
          <w:lang w:val="es-ES"/>
        </w:rPr>
        <w:t xml:space="preserve"> </w:t>
      </w:r>
    </w:p>
    <w:p w:rsidR="00926E8A" w:rsidRPr="00150CF2" w:rsidRDefault="00926E8A" w:rsidP="00926E8A">
      <w:pPr>
        <w:tabs>
          <w:tab w:val="left" w:leader="dot" w:pos="3402"/>
        </w:tabs>
        <w:rPr>
          <w:lang w:val="es-ES" w:eastAsia="nl-NL"/>
        </w:rPr>
      </w:pPr>
      <w:r w:rsidRPr="007917AA">
        <w:t>Fuente del inóculo:</w:t>
      </w:r>
      <w:r w:rsidRPr="007917AA">
        <w:rPr>
          <w:lang w:val="es-ES" w:eastAsia="nl-NL"/>
        </w:rPr>
        <w:t xml:space="preserve">  IHSM</w:t>
      </w:r>
      <w:r w:rsidRPr="007917AA">
        <w:rPr>
          <w:lang w:val="es-ES" w:eastAsia="nl-NL"/>
        </w:rPr>
        <w:noBreakHyphen/>
        <w:t>UMA</w:t>
      </w:r>
      <w:r w:rsidRPr="007917AA">
        <w:rPr>
          <w:lang w:val="es-ES" w:eastAsia="nl-NL"/>
        </w:rPr>
        <w:noBreakHyphen/>
      </w:r>
      <w:r w:rsidRPr="007917AA">
        <w:rPr>
          <w:lang w:val="es-ES"/>
        </w:rPr>
        <w:t>CSIC</w:t>
      </w:r>
      <w:r w:rsidRPr="007917AA">
        <w:rPr>
          <w:lang w:val="es-ES" w:eastAsia="nl-NL"/>
        </w:rPr>
        <w:t xml:space="preserve"> (</w:t>
      </w:r>
      <w:hyperlink r:id="rId9" w:history="1">
        <w:r w:rsidRPr="007917AA">
          <w:rPr>
            <w:rStyle w:val="Hyperlink"/>
            <w:lang w:val="es-ES" w:eastAsia="nl-NL"/>
          </w:rPr>
          <w:t>guillamon@eelm.csic.es</w:t>
        </w:r>
      </w:hyperlink>
      <w:r w:rsidRPr="007917AA">
        <w:rPr>
          <w:lang w:val="es-ES" w:eastAsia="nl-NL"/>
        </w:rPr>
        <w:t xml:space="preserve">) o </w:t>
      </w:r>
      <w:r w:rsidRPr="007917AA">
        <w:rPr>
          <w:lang w:val="es-ES"/>
        </w:rPr>
        <w:t>INIA (</w:t>
      </w:r>
      <w:hyperlink r:id="rId10" w:history="1">
        <w:r w:rsidRPr="007917AA">
          <w:rPr>
            <w:rStyle w:val="Hyperlink"/>
            <w:lang w:val="es-ES"/>
          </w:rPr>
          <w:t>cardaba@inia.es</w:t>
        </w:r>
      </w:hyperlink>
      <w:r w:rsidRPr="007917AA">
        <w:rPr>
          <w:lang w:val="es-ES"/>
        </w:rPr>
        <w:t xml:space="preserve"> ).</w:t>
      </w:r>
    </w:p>
    <w:p w:rsidR="00926E8A" w:rsidRPr="00150CF2" w:rsidRDefault="00926E8A" w:rsidP="00926E8A">
      <w:pPr>
        <w:rPr>
          <w:lang w:val="es-ES"/>
        </w:rPr>
      </w:pP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w:t>
      </w:r>
      <w:r w:rsidR="000638A9">
        <w:t>Fin del documento</w:t>
      </w:r>
      <w:r w:rsidRPr="00C5280D">
        <w:t>]</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80A" w:rsidRDefault="00F6580A" w:rsidP="006655D3">
      <w:r>
        <w:separator/>
      </w:r>
    </w:p>
    <w:p w:rsidR="00F6580A" w:rsidRDefault="00F6580A" w:rsidP="006655D3"/>
    <w:p w:rsidR="00F6580A" w:rsidRDefault="00F6580A" w:rsidP="006655D3"/>
  </w:endnote>
  <w:endnote w:type="continuationSeparator" w:id="0">
    <w:p w:rsidR="00F6580A" w:rsidRDefault="00F6580A" w:rsidP="006655D3">
      <w:r>
        <w:separator/>
      </w:r>
    </w:p>
    <w:p w:rsidR="00F6580A" w:rsidRPr="00294751" w:rsidRDefault="00F6580A">
      <w:pPr>
        <w:pStyle w:val="Footer"/>
        <w:spacing w:after="60"/>
        <w:rPr>
          <w:sz w:val="18"/>
          <w:lang w:val="fr-FR"/>
        </w:rPr>
      </w:pPr>
      <w:r w:rsidRPr="00294751">
        <w:rPr>
          <w:sz w:val="18"/>
          <w:lang w:val="fr-FR"/>
        </w:rPr>
        <w:t>[Suite de la note de la page précédente]</w:t>
      </w:r>
    </w:p>
    <w:p w:rsidR="00F6580A" w:rsidRPr="00294751" w:rsidRDefault="00F6580A" w:rsidP="006655D3">
      <w:pPr>
        <w:rPr>
          <w:lang w:val="fr-FR"/>
        </w:rPr>
      </w:pPr>
    </w:p>
    <w:p w:rsidR="00F6580A" w:rsidRPr="00294751" w:rsidRDefault="00F6580A" w:rsidP="006655D3">
      <w:pPr>
        <w:rPr>
          <w:lang w:val="fr-FR"/>
        </w:rPr>
      </w:pPr>
    </w:p>
  </w:endnote>
  <w:endnote w:type="continuationNotice" w:id="1">
    <w:p w:rsidR="00F6580A" w:rsidRPr="00294751" w:rsidRDefault="00F6580A" w:rsidP="006655D3">
      <w:pPr>
        <w:rPr>
          <w:lang w:val="fr-FR"/>
        </w:rPr>
      </w:pPr>
      <w:r w:rsidRPr="00294751">
        <w:rPr>
          <w:lang w:val="fr-FR"/>
        </w:rPr>
        <w:t>[Suite de la note page suivante]</w:t>
      </w:r>
    </w:p>
    <w:p w:rsidR="00F6580A" w:rsidRPr="00294751" w:rsidRDefault="00F6580A" w:rsidP="006655D3">
      <w:pPr>
        <w:rPr>
          <w:lang w:val="fr-FR"/>
        </w:rPr>
      </w:pPr>
    </w:p>
    <w:p w:rsidR="00F6580A" w:rsidRPr="00294751" w:rsidRDefault="00F658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80A" w:rsidRDefault="00F6580A" w:rsidP="006655D3">
      <w:r>
        <w:separator/>
      </w:r>
    </w:p>
  </w:footnote>
  <w:footnote w:type="continuationSeparator" w:id="0">
    <w:p w:rsidR="00F6580A" w:rsidRDefault="00F6580A" w:rsidP="006655D3">
      <w:r>
        <w:separator/>
      </w:r>
    </w:p>
  </w:footnote>
  <w:footnote w:type="continuationNotice" w:id="1">
    <w:p w:rsidR="00F6580A" w:rsidRPr="00AB530F" w:rsidRDefault="00F6580A" w:rsidP="00AB530F">
      <w:pPr>
        <w:pStyle w:val="Footer"/>
      </w:pPr>
    </w:p>
  </w:footnote>
  <w:footnote w:id="2">
    <w:p w:rsidR="00926E8A" w:rsidRPr="00150CF2" w:rsidRDefault="00926E8A" w:rsidP="00926E8A">
      <w:pPr>
        <w:pStyle w:val="ListParagraph"/>
        <w:spacing w:after="200" w:line="280" w:lineRule="auto"/>
        <w:ind w:left="0"/>
        <w:rPr>
          <w:lang w:val="es-ES"/>
        </w:rPr>
      </w:pPr>
      <w:r w:rsidRPr="0072675C">
        <w:rPr>
          <w:rStyle w:val="FootnoteReference"/>
        </w:rPr>
        <w:footnoteRef/>
      </w:r>
      <w:r w:rsidRPr="00150CF2">
        <w:rPr>
          <w:lang w:val="es-ES"/>
        </w:rPr>
        <w:t xml:space="preserve"> </w:t>
      </w:r>
      <w:r w:rsidRPr="0072675C">
        <w:rPr>
          <w:lang w:val="es-ES_tradnl"/>
        </w:rPr>
        <w:t>Fuente del inóculo</w:t>
      </w:r>
      <w:proofErr w:type="gramStart"/>
      <w:r w:rsidRPr="0072675C">
        <w:rPr>
          <w:lang w:val="es-ES_tradnl"/>
        </w:rPr>
        <w:t>:</w:t>
      </w:r>
      <w:r w:rsidRPr="00150CF2">
        <w:rPr>
          <w:lang w:val="es-ES"/>
        </w:rPr>
        <w:t xml:space="preserve">  IHSM</w:t>
      </w:r>
      <w:proofErr w:type="gramEnd"/>
      <w:r w:rsidRPr="00150CF2">
        <w:rPr>
          <w:lang w:val="es-ES"/>
        </w:rPr>
        <w:noBreakHyphen/>
        <w:t>UMA</w:t>
      </w:r>
      <w:r w:rsidRPr="00150CF2">
        <w:rPr>
          <w:lang w:val="es-ES"/>
        </w:rPr>
        <w:noBreakHyphen/>
        <w:t>CSIC (</w:t>
      </w:r>
      <w:hyperlink r:id="rId1" w:history="1">
        <w:r w:rsidRPr="00150CF2">
          <w:rPr>
            <w:rStyle w:val="Hyperlink"/>
            <w:lang w:val="es-ES"/>
          </w:rPr>
          <w:t>edu_rodri@uma.es</w:t>
        </w:r>
      </w:hyperlink>
      <w:r w:rsidRPr="00150CF2">
        <w:rPr>
          <w:lang w:val="es-ES"/>
        </w:rPr>
        <w:t>);  INIA (</w:t>
      </w:r>
      <w:hyperlink r:id="rId2" w:history="1">
        <w:r w:rsidRPr="00150CF2">
          <w:rPr>
            <w:rStyle w:val="Hyperlink"/>
            <w:lang w:val="es-ES"/>
          </w:rPr>
          <w:t>cardaba@inia.es</w:t>
        </w:r>
      </w:hyperlink>
      <w:r w:rsidRPr="00150CF2">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C53EB3" w:rsidP="000A23DC">
    <w:pPr>
      <w:pStyle w:val="Header"/>
      <w:rPr>
        <w:rStyle w:val="PageNumber"/>
      </w:rPr>
    </w:pPr>
    <w:r w:rsidRPr="000A23DC">
      <w:rPr>
        <w:rStyle w:val="PageNumber"/>
      </w:rPr>
      <w:t>TC/53</w:t>
    </w:r>
    <w:r w:rsidR="00667404" w:rsidRPr="000A23DC">
      <w:rPr>
        <w:rStyle w:val="PageNumber"/>
      </w:rPr>
      <w:t>/</w:t>
    </w:r>
    <w:r w:rsidR="000C7E01">
      <w:rPr>
        <w:rStyle w:val="PageNumber"/>
      </w:rPr>
      <w:t>27</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9533F6">
      <w:rPr>
        <w:rStyle w:val="PageNumber"/>
        <w:noProof/>
        <w:lang w:val="de-DE"/>
      </w:rPr>
      <w:t>3</w:t>
    </w:r>
    <w:r w:rsidR="00182B99" w:rsidRPr="00202E38">
      <w:rPr>
        <w:rStyle w:val="PageNumber"/>
        <w:lang w:val="de-DE"/>
      </w:rPr>
      <w:fldChar w:fldCharType="end"/>
    </w:r>
  </w:p>
  <w:p w:rsidR="00182B99" w:rsidRPr="00202E38" w:rsidRDefault="00182B99"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60565"/>
    <w:multiLevelType w:val="hybridMultilevel"/>
    <w:tmpl w:val="590A6860"/>
    <w:lvl w:ilvl="0" w:tplc="54F0F066">
      <w:start w:val="1"/>
      <w:numFmt w:val="lowerRoman"/>
      <w:lvlText w:val="%1)"/>
      <w:lvlJc w:val="right"/>
      <w:pPr>
        <w:tabs>
          <w:tab w:val="num" w:pos="0"/>
        </w:tabs>
        <w:ind w:left="1854"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74C173A3"/>
    <w:multiLevelType w:val="hybridMultilevel"/>
    <w:tmpl w:val="C4EE7274"/>
    <w:lvl w:ilvl="0" w:tplc="C6AE7DA8">
      <w:start w:val="1"/>
      <w:numFmt w:val="lowerLetter"/>
      <w:lvlText w:val="%1)"/>
      <w:lvlJc w:val="left"/>
      <w:pPr>
        <w:tabs>
          <w:tab w:val="num" w:pos="0"/>
        </w:tabs>
        <w:ind w:left="1854" w:hanging="360"/>
      </w:pPr>
      <w:rPr>
        <w:rFonts w:hint="default"/>
      </w:rPr>
    </w:lvl>
    <w:lvl w:ilvl="1" w:tplc="E74CD570">
      <w:start w:val="1"/>
      <w:numFmt w:val="lowerRoman"/>
      <w:lvlText w:val="(%2)"/>
      <w:lvlJc w:val="right"/>
      <w:pPr>
        <w:ind w:left="2574" w:hanging="360"/>
      </w:pPr>
      <w:rPr>
        <w:rFonts w:hint="default"/>
      </w:r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0A"/>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C7E0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12F68"/>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68F6"/>
    <w:rsid w:val="008A743F"/>
    <w:rsid w:val="008B3D8D"/>
    <w:rsid w:val="008C0970"/>
    <w:rsid w:val="008D0BC5"/>
    <w:rsid w:val="008D2CF7"/>
    <w:rsid w:val="00900C26"/>
    <w:rsid w:val="0090197F"/>
    <w:rsid w:val="00906DDC"/>
    <w:rsid w:val="00926E8A"/>
    <w:rsid w:val="00934E09"/>
    <w:rsid w:val="00936253"/>
    <w:rsid w:val="00940D46"/>
    <w:rsid w:val="00952DD4"/>
    <w:rsid w:val="009533F6"/>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11A"/>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22652"/>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6580A"/>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uiPriority w:val="99"/>
    <w:rsid w:val="00926E8A"/>
    <w:rPr>
      <w:rFonts w:ascii="Arial" w:hAnsi="Arial"/>
      <w:u w:val="single"/>
    </w:rPr>
  </w:style>
  <w:style w:type="paragraph" w:customStyle="1" w:styleId="Normaltb">
    <w:name w:val="Normaltb"/>
    <w:basedOn w:val="Normalt"/>
    <w:uiPriority w:val="99"/>
    <w:rsid w:val="00926E8A"/>
    <w:pPr>
      <w:keepNext/>
    </w:pPr>
    <w:rPr>
      <w:b/>
      <w:bCs/>
    </w:rPr>
  </w:style>
  <w:style w:type="paragraph" w:customStyle="1" w:styleId="Normalt">
    <w:name w:val="Normalt"/>
    <w:basedOn w:val="Normal"/>
    <w:uiPriority w:val="99"/>
    <w:rsid w:val="00926E8A"/>
    <w:pPr>
      <w:spacing w:before="120" w:after="120"/>
      <w:jc w:val="left"/>
    </w:pPr>
    <w:rPr>
      <w:rFonts w:ascii="Times New Roman" w:hAnsi="Times New Roman"/>
      <w:noProof/>
      <w:lang w:val="en-US"/>
    </w:rPr>
  </w:style>
  <w:style w:type="paragraph" w:customStyle="1" w:styleId="Default">
    <w:name w:val="Default"/>
    <w:uiPriority w:val="99"/>
    <w:rsid w:val="00926E8A"/>
    <w:pPr>
      <w:widowControl w:val="0"/>
      <w:autoSpaceDE w:val="0"/>
      <w:autoSpaceDN w:val="0"/>
      <w:adjustRightInd w:val="0"/>
    </w:pPr>
    <w:rPr>
      <w:rFonts w:ascii="Arial" w:hAnsi="Arial" w:cs="Arial"/>
      <w:color w:val="000000"/>
      <w:sz w:val="24"/>
      <w:szCs w:val="24"/>
      <w:lang w:val="es-ES" w:eastAsia="es-ES"/>
    </w:rPr>
  </w:style>
  <w:style w:type="paragraph" w:styleId="ListParagraph">
    <w:name w:val="List Paragraph"/>
    <w:basedOn w:val="Normal"/>
    <w:uiPriority w:val="99"/>
    <w:qFormat/>
    <w:rsid w:val="00926E8A"/>
    <w:pPr>
      <w:ind w:left="720"/>
    </w:pPr>
    <w:rPr>
      <w:rFonts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uiPriority w:val="99"/>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uiPriority w:val="99"/>
    <w:rsid w:val="00926E8A"/>
    <w:rPr>
      <w:rFonts w:ascii="Arial" w:hAnsi="Arial"/>
      <w:u w:val="single"/>
    </w:rPr>
  </w:style>
  <w:style w:type="paragraph" w:customStyle="1" w:styleId="Normaltb">
    <w:name w:val="Normaltb"/>
    <w:basedOn w:val="Normalt"/>
    <w:uiPriority w:val="99"/>
    <w:rsid w:val="00926E8A"/>
    <w:pPr>
      <w:keepNext/>
    </w:pPr>
    <w:rPr>
      <w:b/>
      <w:bCs/>
    </w:rPr>
  </w:style>
  <w:style w:type="paragraph" w:customStyle="1" w:styleId="Normalt">
    <w:name w:val="Normalt"/>
    <w:basedOn w:val="Normal"/>
    <w:uiPriority w:val="99"/>
    <w:rsid w:val="00926E8A"/>
    <w:pPr>
      <w:spacing w:before="120" w:after="120"/>
      <w:jc w:val="left"/>
    </w:pPr>
    <w:rPr>
      <w:rFonts w:ascii="Times New Roman" w:hAnsi="Times New Roman"/>
      <w:noProof/>
      <w:lang w:val="en-US"/>
    </w:rPr>
  </w:style>
  <w:style w:type="paragraph" w:customStyle="1" w:styleId="Default">
    <w:name w:val="Default"/>
    <w:uiPriority w:val="99"/>
    <w:rsid w:val="00926E8A"/>
    <w:pPr>
      <w:widowControl w:val="0"/>
      <w:autoSpaceDE w:val="0"/>
      <w:autoSpaceDN w:val="0"/>
      <w:adjustRightInd w:val="0"/>
    </w:pPr>
    <w:rPr>
      <w:rFonts w:ascii="Arial" w:hAnsi="Arial" w:cs="Arial"/>
      <w:color w:val="000000"/>
      <w:sz w:val="24"/>
      <w:szCs w:val="24"/>
      <w:lang w:val="es-ES" w:eastAsia="es-ES"/>
    </w:rPr>
  </w:style>
  <w:style w:type="paragraph" w:styleId="ListParagraph">
    <w:name w:val="List Paragraph"/>
    <w:basedOn w:val="Normal"/>
    <w:uiPriority w:val="99"/>
    <w:qFormat/>
    <w:rsid w:val="00926E8A"/>
    <w:pPr>
      <w:ind w:left="720"/>
    </w:pPr>
    <w:rPr>
      <w:rFonts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daba@inia.es" TargetMode="External"/><Relationship Id="rId4" Type="http://schemas.openxmlformats.org/officeDocument/2006/relationships/settings" Target="settings.xml"/><Relationship Id="rId9" Type="http://schemas.openxmlformats.org/officeDocument/2006/relationships/hyperlink" Target="mailto:guillamon@eelm.csi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ardaba@inia.es" TargetMode="External"/><Relationship Id="rId1" Type="http://schemas.openxmlformats.org/officeDocument/2006/relationships/hyperlink" Target="mailto:edu_rodri@um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TC_53_ES</Template>
  <TotalTime>3</TotalTime>
  <Pages>5</Pages>
  <Words>1728</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OERTEL Romy</dc:creator>
  <cp:lastModifiedBy>GIACHINO Erika</cp:lastModifiedBy>
  <cp:revision>16</cp:revision>
  <cp:lastPrinted>2017-03-07T11:50:00Z</cp:lastPrinted>
  <dcterms:created xsi:type="dcterms:W3CDTF">2017-03-07T11:44:00Z</dcterms:created>
  <dcterms:modified xsi:type="dcterms:W3CDTF">2017-03-10T08:35:00Z</dcterms:modified>
</cp:coreProperties>
</file>