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54473" w:rsidRPr="00815738" w:rsidTr="00154473">
        <w:tc>
          <w:tcPr>
            <w:tcW w:w="6522" w:type="dxa"/>
          </w:tcPr>
          <w:p w:rsidR="00154473" w:rsidRPr="00AC2883" w:rsidRDefault="000D0C5B" w:rsidP="00154473">
            <w:r>
              <w:rPr>
                <w:noProof/>
                <w:lang w:val="en-US" w:eastAsia="en-US"/>
              </w:rPr>
              <w:drawing>
                <wp:inline distT="0" distB="0" distL="0" distR="0">
                  <wp:extent cx="949325" cy="246380"/>
                  <wp:effectExtent l="19050" t="0" r="317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949325" cy="246380"/>
                          </a:xfrm>
                          <a:prstGeom prst="rect">
                            <a:avLst/>
                          </a:prstGeom>
                          <a:noFill/>
                          <a:ln w="9525">
                            <a:noFill/>
                            <a:miter lim="800000"/>
                            <a:headEnd/>
                            <a:tailEnd/>
                          </a:ln>
                        </pic:spPr>
                      </pic:pic>
                    </a:graphicData>
                  </a:graphic>
                </wp:inline>
              </w:drawing>
            </w:r>
          </w:p>
        </w:tc>
        <w:tc>
          <w:tcPr>
            <w:tcW w:w="3117" w:type="dxa"/>
          </w:tcPr>
          <w:p w:rsidR="00154473" w:rsidRPr="007C1D92" w:rsidRDefault="00EA1EA5" w:rsidP="00154473">
            <w:pPr>
              <w:pStyle w:val="Lettrine"/>
            </w:pPr>
            <w:r>
              <w:t>S</w:t>
            </w:r>
          </w:p>
        </w:tc>
      </w:tr>
      <w:tr w:rsidR="00154473" w:rsidRPr="00DA4973" w:rsidTr="00154473">
        <w:trPr>
          <w:trHeight w:val="219"/>
        </w:trPr>
        <w:tc>
          <w:tcPr>
            <w:tcW w:w="6522" w:type="dxa"/>
          </w:tcPr>
          <w:p w:rsidR="00154473" w:rsidRPr="00AC2883" w:rsidRDefault="00EA1EA5" w:rsidP="00154473">
            <w:pPr>
              <w:pStyle w:val="upove"/>
            </w:pPr>
            <w:r>
              <w:t>Unión Internacional para la Protección de las Obtenciones Vegetales</w:t>
            </w:r>
          </w:p>
        </w:tc>
        <w:tc>
          <w:tcPr>
            <w:tcW w:w="3117" w:type="dxa"/>
          </w:tcPr>
          <w:p w:rsidR="00154473" w:rsidRPr="00DA4973" w:rsidRDefault="00154473" w:rsidP="00154473"/>
        </w:tc>
      </w:tr>
    </w:tbl>
    <w:p w:rsidR="00154473" w:rsidRDefault="00154473" w:rsidP="00154473"/>
    <w:p w:rsidR="00154473" w:rsidRPr="00365DC1" w:rsidRDefault="00154473" w:rsidP="0015447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54473" w:rsidRPr="00C5280D" w:rsidTr="00154473">
        <w:tc>
          <w:tcPr>
            <w:tcW w:w="6512" w:type="dxa"/>
          </w:tcPr>
          <w:p w:rsidR="00154473" w:rsidRPr="00AC2883" w:rsidRDefault="00EA1EA5" w:rsidP="00154473">
            <w:pPr>
              <w:pStyle w:val="Sessiontc"/>
              <w:spacing w:line="240" w:lineRule="auto"/>
            </w:pPr>
            <w:r>
              <w:t>Comité Técnico</w:t>
            </w:r>
          </w:p>
          <w:p w:rsidR="00154473" w:rsidRPr="00DC3802" w:rsidRDefault="00EA1EA5" w:rsidP="00154473">
            <w:pPr>
              <w:pStyle w:val="Sessiontcplacedate"/>
              <w:rPr>
                <w:sz w:val="22"/>
              </w:rPr>
            </w:pPr>
            <w:r>
              <w:t>Quincuagésima tercera sesión</w:t>
            </w:r>
            <w:r>
              <w:br/>
              <w:t>Ginebra, 3 a 5 de abril de 2017</w:t>
            </w:r>
          </w:p>
        </w:tc>
        <w:tc>
          <w:tcPr>
            <w:tcW w:w="3127" w:type="dxa"/>
          </w:tcPr>
          <w:p w:rsidR="00154473" w:rsidRPr="0084268C" w:rsidRDefault="00EA1EA5" w:rsidP="00154473">
            <w:pPr>
              <w:pStyle w:val="Doccode"/>
            </w:pPr>
            <w:r>
              <w:t>TC/53/23</w:t>
            </w:r>
          </w:p>
          <w:p w:rsidR="00154473" w:rsidRPr="003C7FBE" w:rsidRDefault="00EA1EA5" w:rsidP="00154473">
            <w:pPr>
              <w:pStyle w:val="Docoriginal"/>
            </w:pPr>
            <w:r>
              <w:t>Original:</w:t>
            </w:r>
            <w:r>
              <w:rPr>
                <w:b w:val="0"/>
                <w:spacing w:val="0"/>
              </w:rPr>
              <w:t xml:space="preserve">  Inglés</w:t>
            </w:r>
          </w:p>
          <w:p w:rsidR="00154473" w:rsidRPr="007C1D92" w:rsidRDefault="00EA1EA5" w:rsidP="00154473">
            <w:pPr>
              <w:pStyle w:val="Docoriginal"/>
            </w:pPr>
            <w:r>
              <w:t>Fecha:</w:t>
            </w:r>
            <w:r>
              <w:rPr>
                <w:b w:val="0"/>
                <w:spacing w:val="0"/>
              </w:rPr>
              <w:t xml:space="preserve">  </w:t>
            </w:r>
            <w:r w:rsidRPr="00415A17">
              <w:rPr>
                <w:b w:val="0"/>
                <w:spacing w:val="0"/>
              </w:rPr>
              <w:t>11 de febrero de 2017</w:t>
            </w:r>
          </w:p>
        </w:tc>
      </w:tr>
    </w:tbl>
    <w:p w:rsidR="00154473" w:rsidRPr="00975495" w:rsidRDefault="00EA1EA5" w:rsidP="00154473">
      <w:pPr>
        <w:pStyle w:val="Titleofdoc0"/>
        <w:spacing w:before="600"/>
        <w:rPr>
          <w:b/>
        </w:rPr>
      </w:pPr>
      <w:bookmarkStart w:id="0" w:name="TitleOfDoc"/>
      <w:bookmarkEnd w:id="0"/>
      <w:r>
        <w:rPr>
          <w:b/>
        </w:rPr>
        <w:t>Determinación de umbrales calculados para excluir las variedades notoriamente conocidas del segundo ciclo de cultivo cuando se emplea el COYD</w:t>
      </w:r>
    </w:p>
    <w:p w:rsidR="00154473" w:rsidRPr="006A644A" w:rsidRDefault="00EA1EA5" w:rsidP="00154473">
      <w:pPr>
        <w:pStyle w:val="preparedby1"/>
        <w:jc w:val="left"/>
      </w:pPr>
      <w:bookmarkStart w:id="1" w:name="Prepared"/>
      <w:bookmarkEnd w:id="1"/>
      <w:r>
        <w:t>Documento preparado por la Oficina de la Unión</w:t>
      </w:r>
    </w:p>
    <w:p w:rsidR="00154473" w:rsidRPr="006A644A" w:rsidRDefault="00EA1EA5" w:rsidP="00154473">
      <w:pPr>
        <w:pStyle w:val="Disclaimer"/>
        <w:spacing w:after="600"/>
      </w:pPr>
      <w:r>
        <w:t>Descargo de responsabilidad</w:t>
      </w:r>
      <w:proofErr w:type="gramStart"/>
      <w:r>
        <w:t>:  el</w:t>
      </w:r>
      <w:proofErr w:type="gramEnd"/>
      <w:r>
        <w:t xml:space="preserve"> presente documento no constituye un documento de política u orientación de la UPOV</w:t>
      </w:r>
    </w:p>
    <w:p w:rsidR="00154473" w:rsidRPr="00975495" w:rsidRDefault="00EA1EA5" w:rsidP="00415A17">
      <w:pPr>
        <w:pStyle w:val="Heading1"/>
      </w:pPr>
      <w:bookmarkStart w:id="2" w:name="_Toc475971606"/>
      <w:r>
        <w:t>RESUMEN</w:t>
      </w:r>
      <w:bookmarkEnd w:id="2"/>
    </w:p>
    <w:p w:rsidR="00154473" w:rsidRPr="00975495" w:rsidRDefault="00154473" w:rsidP="00154473"/>
    <w:p w:rsidR="00154473" w:rsidRPr="00975495" w:rsidRDefault="006118F3" w:rsidP="00154473">
      <w:r>
        <w:fldChar w:fldCharType="begin"/>
      </w:r>
      <w:r w:rsidR="00EA1EA5">
        <w:instrText xml:space="preserve"> AUTONUM  </w:instrText>
      </w:r>
      <w:r>
        <w:fldChar w:fldCharType="end"/>
      </w:r>
      <w:r w:rsidR="00EA1EA5">
        <w:tab/>
        <w:t>La finalidad de este documento es informar sobre las novedades que se han producido en relación con la determinación de umbrales calculados para excluir las variedades notoriamente conocidas del segundo ciclo de cultivo cuando se emplea el COYD.</w:t>
      </w:r>
    </w:p>
    <w:p w:rsidR="00154473" w:rsidRPr="00975495" w:rsidRDefault="00154473" w:rsidP="00154473"/>
    <w:p w:rsidR="00154473" w:rsidRPr="00975495" w:rsidRDefault="006118F3" w:rsidP="00154473">
      <w:pPr>
        <w:tabs>
          <w:tab w:val="left" w:pos="567"/>
          <w:tab w:val="left" w:pos="1134"/>
          <w:tab w:val="left" w:pos="5387"/>
        </w:tabs>
      </w:pPr>
      <w:r>
        <w:fldChar w:fldCharType="begin"/>
      </w:r>
      <w:r w:rsidR="00EA1EA5">
        <w:instrText xml:space="preserve"> AUTONUM  </w:instrText>
      </w:r>
      <w:r>
        <w:fldChar w:fldCharType="end"/>
      </w:r>
      <w:r w:rsidR="00EA1EA5">
        <w:tab/>
      </w:r>
      <w:r w:rsidR="00EA1EA5" w:rsidRPr="009B6ED7">
        <w:t>Se invita al TC a:</w:t>
      </w:r>
      <w:r w:rsidR="00415A17">
        <w:t xml:space="preserve">  </w:t>
      </w:r>
    </w:p>
    <w:p w:rsidR="00154473" w:rsidRPr="00975495" w:rsidRDefault="00154473" w:rsidP="00154473">
      <w:pPr>
        <w:tabs>
          <w:tab w:val="left" w:pos="567"/>
          <w:tab w:val="left" w:pos="1134"/>
        </w:tabs>
      </w:pPr>
    </w:p>
    <w:p w:rsidR="00154473" w:rsidRPr="00975495" w:rsidRDefault="00EA1EA5" w:rsidP="00154473">
      <w:pPr>
        <w:tabs>
          <w:tab w:val="left" w:pos="567"/>
          <w:tab w:val="left" w:pos="1134"/>
          <w:tab w:val="left" w:pos="5954"/>
        </w:tabs>
        <w:ind w:firstLine="567"/>
      </w:pPr>
      <w:r>
        <w:t>a)</w:t>
      </w:r>
      <w:r>
        <w:tab/>
        <w:t xml:space="preserve">examinar la información facilitada por los expertos del Reino Unido, que se reproduce en el Anexo del presente documento; </w:t>
      </w:r>
    </w:p>
    <w:p w:rsidR="00154473" w:rsidRPr="00975495" w:rsidRDefault="00154473" w:rsidP="00DC29BB">
      <w:pPr>
        <w:tabs>
          <w:tab w:val="left" w:pos="567"/>
          <w:tab w:val="left" w:pos="1134"/>
          <w:tab w:val="left" w:pos="5954"/>
        </w:tabs>
      </w:pPr>
    </w:p>
    <w:p w:rsidR="00154473" w:rsidRPr="00975495" w:rsidRDefault="00EA1EA5" w:rsidP="00154473">
      <w:pPr>
        <w:tabs>
          <w:tab w:val="left" w:pos="567"/>
          <w:tab w:val="left" w:pos="1134"/>
          <w:tab w:val="left" w:pos="5954"/>
        </w:tabs>
        <w:ind w:firstLine="567"/>
      </w:pPr>
      <w:r>
        <w:t>b)</w:t>
      </w:r>
      <w:r>
        <w:tab/>
        <w:t>tomar nota de que se propone que</w:t>
      </w:r>
      <w:r w:rsidR="009B6ED7">
        <w:t>,</w:t>
      </w:r>
      <w:r>
        <w:t xml:space="preserve"> en su trigésima quinta </w:t>
      </w:r>
      <w:r w:rsidR="009B6ED7">
        <w:t>reun</w:t>
      </w:r>
      <w:r>
        <w:t xml:space="preserve">ión, se notifiquen al TWC los nuevos avances </w:t>
      </w:r>
      <w:r w:rsidR="00154473">
        <w:t>producidos</w:t>
      </w:r>
      <w:r>
        <w:t xml:space="preserve"> en relación con la determinación de umbrales calculados para excluir las variedades notoriamente conocidas del segundo ciclo de cultivo cuando se emplea el COYD;  y</w:t>
      </w:r>
    </w:p>
    <w:p w:rsidR="00154473" w:rsidRPr="00975495" w:rsidRDefault="00154473" w:rsidP="00DC29BB">
      <w:pPr>
        <w:tabs>
          <w:tab w:val="left" w:pos="567"/>
          <w:tab w:val="left" w:pos="1134"/>
          <w:tab w:val="left" w:pos="5954"/>
        </w:tabs>
      </w:pPr>
    </w:p>
    <w:p w:rsidR="00154473" w:rsidRPr="00975495" w:rsidRDefault="00EA1EA5" w:rsidP="00154473">
      <w:pPr>
        <w:tabs>
          <w:tab w:val="left" w:pos="567"/>
          <w:tab w:val="left" w:pos="1134"/>
          <w:tab w:val="left" w:pos="5954"/>
        </w:tabs>
        <w:ind w:firstLine="567"/>
      </w:pPr>
      <w:r>
        <w:t>c)</w:t>
      </w:r>
      <w:r>
        <w:tab/>
        <w:t xml:space="preserve">tomar nota de que en la quincuagésima tercera sesión del Comité Técnico los expertos del Reino </w:t>
      </w:r>
      <w:r w:rsidR="00154473">
        <w:t xml:space="preserve">Unido </w:t>
      </w:r>
      <w:r>
        <w:t xml:space="preserve">presentarán una ponencia sobre la exclusión de las variedades notoriamente conocidas del segundo ciclo de cultivo cuando se utiliza el COYD. </w:t>
      </w:r>
    </w:p>
    <w:p w:rsidR="00154473" w:rsidRPr="00975495" w:rsidRDefault="00154473" w:rsidP="00DC29BB">
      <w:pPr>
        <w:rPr>
          <w:rFonts w:cs="Arial"/>
          <w:snapToGrid w:val="0"/>
        </w:rPr>
      </w:pPr>
    </w:p>
    <w:p w:rsidR="00154473" w:rsidRPr="00975495" w:rsidRDefault="006118F3" w:rsidP="00DC29BB">
      <w:pPr>
        <w:rPr>
          <w:rFonts w:cs="Arial"/>
          <w:snapToGrid w:val="0"/>
        </w:rPr>
      </w:pPr>
      <w:r>
        <w:fldChar w:fldCharType="begin"/>
      </w:r>
      <w:r w:rsidR="00EA1EA5">
        <w:instrText xml:space="preserve"> AUTONUM  </w:instrText>
      </w:r>
      <w:r>
        <w:fldChar w:fldCharType="end"/>
      </w:r>
      <w:r w:rsidR="00EA1EA5">
        <w:tab/>
        <w:t>El presente documento se estructura de la siguiente manera:</w:t>
      </w:r>
    </w:p>
    <w:p w:rsidR="00154473" w:rsidRPr="00975495" w:rsidRDefault="00154473" w:rsidP="00DC29BB">
      <w:pPr>
        <w:rPr>
          <w:rFonts w:cs="Arial"/>
          <w:snapToGrid w:val="0"/>
        </w:rPr>
      </w:pPr>
    </w:p>
    <w:bookmarkStart w:id="3" w:name="_GoBack"/>
    <w:bookmarkEnd w:id="3"/>
    <w:p w:rsidR="00C85E0D" w:rsidRDefault="006118F3">
      <w:pPr>
        <w:pStyle w:val="TOC1"/>
        <w:rPr>
          <w:rFonts w:asciiTheme="minorHAnsi" w:eastAsiaTheme="minorEastAsia" w:hAnsiTheme="minorHAnsi" w:cstheme="minorBidi"/>
          <w:caps w:val="0"/>
          <w:noProof/>
          <w:sz w:val="22"/>
          <w:szCs w:val="22"/>
          <w:lang w:val="en-US" w:eastAsia="en-US"/>
        </w:rPr>
      </w:pPr>
      <w:r>
        <w:rPr>
          <w:sz w:val="18"/>
          <w:highlight w:val="yellow"/>
        </w:rPr>
        <w:fldChar w:fldCharType="begin"/>
      </w:r>
      <w:r w:rsidR="00EA1EA5">
        <w:rPr>
          <w:sz w:val="18"/>
          <w:highlight w:val="yellow"/>
        </w:rPr>
        <w:instrText xml:space="preserve"> TOC \o "1-3" \h \z \u </w:instrText>
      </w:r>
      <w:r>
        <w:rPr>
          <w:sz w:val="18"/>
          <w:highlight w:val="yellow"/>
        </w:rPr>
        <w:fldChar w:fldCharType="separate"/>
      </w:r>
      <w:hyperlink w:anchor="_Toc475971606" w:history="1">
        <w:r w:rsidR="00C85E0D" w:rsidRPr="000E49CA">
          <w:rPr>
            <w:rStyle w:val="Hyperlink"/>
            <w:noProof/>
          </w:rPr>
          <w:t>RESUMEN</w:t>
        </w:r>
        <w:r w:rsidR="00C85E0D">
          <w:rPr>
            <w:noProof/>
            <w:webHidden/>
          </w:rPr>
          <w:tab/>
        </w:r>
        <w:r w:rsidR="00C85E0D">
          <w:rPr>
            <w:noProof/>
            <w:webHidden/>
          </w:rPr>
          <w:fldChar w:fldCharType="begin"/>
        </w:r>
        <w:r w:rsidR="00C85E0D">
          <w:rPr>
            <w:noProof/>
            <w:webHidden/>
          </w:rPr>
          <w:instrText xml:space="preserve"> PAGEREF _Toc475971606 \h </w:instrText>
        </w:r>
        <w:r w:rsidR="00C85E0D">
          <w:rPr>
            <w:noProof/>
            <w:webHidden/>
          </w:rPr>
        </w:r>
        <w:r w:rsidR="00C85E0D">
          <w:rPr>
            <w:noProof/>
            <w:webHidden/>
          </w:rPr>
          <w:fldChar w:fldCharType="separate"/>
        </w:r>
        <w:r w:rsidR="00C85E0D">
          <w:rPr>
            <w:noProof/>
            <w:webHidden/>
          </w:rPr>
          <w:t>1</w:t>
        </w:r>
        <w:r w:rsidR="00C85E0D">
          <w:rPr>
            <w:noProof/>
            <w:webHidden/>
          </w:rPr>
          <w:fldChar w:fldCharType="end"/>
        </w:r>
      </w:hyperlink>
    </w:p>
    <w:p w:rsidR="00C85E0D" w:rsidRDefault="00C85E0D">
      <w:pPr>
        <w:pStyle w:val="TOC1"/>
        <w:rPr>
          <w:rFonts w:asciiTheme="minorHAnsi" w:eastAsiaTheme="minorEastAsia" w:hAnsiTheme="minorHAnsi" w:cstheme="minorBidi"/>
          <w:caps w:val="0"/>
          <w:noProof/>
          <w:sz w:val="22"/>
          <w:szCs w:val="22"/>
          <w:lang w:val="en-US" w:eastAsia="en-US"/>
        </w:rPr>
      </w:pPr>
      <w:hyperlink w:anchor="_Toc475971607" w:history="1">
        <w:r w:rsidRPr="000E49CA">
          <w:rPr>
            <w:rStyle w:val="Hyperlink"/>
            <w:noProof/>
          </w:rPr>
          <w:t>Antecedentes</w:t>
        </w:r>
        <w:r>
          <w:rPr>
            <w:noProof/>
            <w:webHidden/>
          </w:rPr>
          <w:tab/>
        </w:r>
        <w:r>
          <w:rPr>
            <w:noProof/>
            <w:webHidden/>
          </w:rPr>
          <w:fldChar w:fldCharType="begin"/>
        </w:r>
        <w:r>
          <w:rPr>
            <w:noProof/>
            <w:webHidden/>
          </w:rPr>
          <w:instrText xml:space="preserve"> PAGEREF _Toc475971607 \h </w:instrText>
        </w:r>
        <w:r>
          <w:rPr>
            <w:noProof/>
            <w:webHidden/>
          </w:rPr>
        </w:r>
        <w:r>
          <w:rPr>
            <w:noProof/>
            <w:webHidden/>
          </w:rPr>
          <w:fldChar w:fldCharType="separate"/>
        </w:r>
        <w:r>
          <w:rPr>
            <w:noProof/>
            <w:webHidden/>
          </w:rPr>
          <w:t>2</w:t>
        </w:r>
        <w:r>
          <w:rPr>
            <w:noProof/>
            <w:webHidden/>
          </w:rPr>
          <w:fldChar w:fldCharType="end"/>
        </w:r>
      </w:hyperlink>
    </w:p>
    <w:p w:rsidR="00C85E0D" w:rsidRDefault="00C85E0D">
      <w:pPr>
        <w:pStyle w:val="TOC1"/>
        <w:rPr>
          <w:rFonts w:asciiTheme="minorHAnsi" w:eastAsiaTheme="minorEastAsia" w:hAnsiTheme="minorHAnsi" w:cstheme="minorBidi"/>
          <w:caps w:val="0"/>
          <w:noProof/>
          <w:sz w:val="22"/>
          <w:szCs w:val="22"/>
          <w:lang w:val="en-US" w:eastAsia="en-US"/>
        </w:rPr>
      </w:pPr>
      <w:hyperlink w:anchor="_Toc475971608" w:history="1">
        <w:r w:rsidRPr="000E49CA">
          <w:rPr>
            <w:rStyle w:val="Hyperlink"/>
            <w:noProof/>
          </w:rPr>
          <w:t>Grupo de Trabajo Técnico sobre Automatización y Programas Informáticos</w:t>
        </w:r>
        <w:r>
          <w:rPr>
            <w:noProof/>
            <w:webHidden/>
          </w:rPr>
          <w:tab/>
        </w:r>
        <w:r>
          <w:rPr>
            <w:noProof/>
            <w:webHidden/>
          </w:rPr>
          <w:fldChar w:fldCharType="begin"/>
        </w:r>
        <w:r>
          <w:rPr>
            <w:noProof/>
            <w:webHidden/>
          </w:rPr>
          <w:instrText xml:space="preserve"> PAGEREF _Toc475971608 \h </w:instrText>
        </w:r>
        <w:r>
          <w:rPr>
            <w:noProof/>
            <w:webHidden/>
          </w:rPr>
        </w:r>
        <w:r>
          <w:rPr>
            <w:noProof/>
            <w:webHidden/>
          </w:rPr>
          <w:fldChar w:fldCharType="separate"/>
        </w:r>
        <w:r>
          <w:rPr>
            <w:noProof/>
            <w:webHidden/>
          </w:rPr>
          <w:t>2</w:t>
        </w:r>
        <w:r>
          <w:rPr>
            <w:noProof/>
            <w:webHidden/>
          </w:rPr>
          <w:fldChar w:fldCharType="end"/>
        </w:r>
      </w:hyperlink>
    </w:p>
    <w:p w:rsidR="00415A17" w:rsidRDefault="006118F3" w:rsidP="00DC29BB">
      <w:pPr>
        <w:ind w:left="993" w:right="567" w:hanging="993"/>
        <w:rPr>
          <w:caps/>
        </w:rPr>
      </w:pPr>
      <w:r>
        <w:rPr>
          <w:caps/>
          <w:highlight w:val="yellow"/>
        </w:rPr>
        <w:fldChar w:fldCharType="end"/>
      </w:r>
    </w:p>
    <w:p w:rsidR="00154473" w:rsidRPr="00975495" w:rsidRDefault="00EA1EA5" w:rsidP="00DC29BB">
      <w:pPr>
        <w:ind w:left="993" w:right="567" w:hanging="993"/>
        <w:rPr>
          <w:snapToGrid w:val="0"/>
        </w:rPr>
      </w:pPr>
      <w:r>
        <w:rPr>
          <w:caps/>
        </w:rPr>
        <w:t>ANEXO</w:t>
      </w:r>
      <w:r>
        <w:rPr>
          <w:caps/>
        </w:rPr>
        <w:tab/>
      </w:r>
      <w:r w:rsidR="00C85E0D">
        <w:t>Exclusión de variedades notoriamente conocidas del segundo ciclo de cultivo cuando se utiliza el COYD</w:t>
      </w:r>
    </w:p>
    <w:p w:rsidR="00154473" w:rsidRPr="00975495" w:rsidRDefault="00154473" w:rsidP="00DC29BB">
      <w:pPr>
        <w:rPr>
          <w:snapToGrid w:val="0"/>
        </w:rPr>
      </w:pPr>
    </w:p>
    <w:p w:rsidR="00154473" w:rsidRPr="00975495" w:rsidRDefault="006118F3" w:rsidP="00DC29BB">
      <w:pPr>
        <w:rPr>
          <w:rFonts w:cs="Arial"/>
          <w:color w:val="000000"/>
        </w:rPr>
      </w:pPr>
      <w:r>
        <w:fldChar w:fldCharType="begin"/>
      </w:r>
      <w:r w:rsidR="00EA1EA5">
        <w:instrText xml:space="preserve"> AUTONUM  </w:instrText>
      </w:r>
      <w:r>
        <w:fldChar w:fldCharType="end"/>
      </w:r>
      <w:r w:rsidR="00EA1EA5">
        <w:tab/>
      </w:r>
      <w:r w:rsidR="00EA1EA5">
        <w:rPr>
          <w:color w:val="000000"/>
        </w:rPr>
        <w:t>En el presente documento se utilizan las abreviaturas siguientes:</w:t>
      </w:r>
    </w:p>
    <w:p w:rsidR="00154473" w:rsidRPr="0077223A" w:rsidRDefault="00154473" w:rsidP="00DC29BB">
      <w:pPr>
        <w:rPr>
          <w:rFonts w:cs="Arial"/>
          <w:color w:val="000000"/>
          <w:sz w:val="18"/>
        </w:rPr>
      </w:pPr>
    </w:p>
    <w:p w:rsidR="00154473" w:rsidRPr="00975495" w:rsidRDefault="00EA1EA5" w:rsidP="00DC29BB">
      <w:pPr>
        <w:rPr>
          <w:rFonts w:cs="Arial"/>
        </w:rPr>
      </w:pPr>
      <w:r>
        <w:tab/>
        <w:t>TC:</w:t>
      </w:r>
      <w:r>
        <w:tab/>
      </w:r>
      <w:r>
        <w:tab/>
        <w:t>Comité Técnico</w:t>
      </w:r>
    </w:p>
    <w:p w:rsidR="00154473" w:rsidRPr="00975495" w:rsidRDefault="00EA1EA5" w:rsidP="00DC29BB">
      <w:pPr>
        <w:rPr>
          <w:rFonts w:eastAsia="PMingLiU" w:cs="Arial"/>
          <w:szCs w:val="24"/>
        </w:rPr>
      </w:pPr>
      <w:r>
        <w:tab/>
        <w:t>TWA:</w:t>
      </w:r>
      <w:r>
        <w:tab/>
      </w:r>
      <w:r>
        <w:tab/>
        <w:t>Grupo de Trabajo Técnico sobre Plantas Agrícolas</w:t>
      </w:r>
    </w:p>
    <w:p w:rsidR="00154473" w:rsidRPr="00975495" w:rsidRDefault="00EA1EA5" w:rsidP="00DC29BB">
      <w:pPr>
        <w:rPr>
          <w:rFonts w:eastAsia="PMingLiU" w:cs="Arial"/>
          <w:szCs w:val="24"/>
        </w:rPr>
      </w:pPr>
      <w:r>
        <w:tab/>
        <w:t>TWC:</w:t>
      </w:r>
      <w:r>
        <w:tab/>
      </w:r>
      <w:r>
        <w:tab/>
        <w:t>Grupo de Trabajo Técnico sobre Automatización y Programas Informáticos</w:t>
      </w:r>
    </w:p>
    <w:p w:rsidR="00154473" w:rsidRPr="00975495" w:rsidRDefault="00EA1EA5" w:rsidP="00DC29BB">
      <w:pPr>
        <w:rPr>
          <w:rFonts w:eastAsia="PMingLiU" w:cs="Arial"/>
          <w:szCs w:val="24"/>
        </w:rPr>
      </w:pPr>
      <w:r>
        <w:tab/>
        <w:t xml:space="preserve">TWF: </w:t>
      </w:r>
      <w:r>
        <w:tab/>
      </w:r>
      <w:r>
        <w:tab/>
        <w:t>Grupo de Trabajo Técnico sobre Plantas Frutales</w:t>
      </w:r>
    </w:p>
    <w:p w:rsidR="00154473" w:rsidRPr="00975495" w:rsidRDefault="00EA1EA5" w:rsidP="00DC29BB">
      <w:pPr>
        <w:rPr>
          <w:rFonts w:eastAsia="PMingLiU" w:cs="Arial"/>
          <w:szCs w:val="24"/>
        </w:rPr>
      </w:pPr>
      <w:r>
        <w:tab/>
        <w:t>TWO:</w:t>
      </w:r>
      <w:r>
        <w:tab/>
      </w:r>
      <w:r>
        <w:tab/>
        <w:t>Grupo de Trabajo Técnico sobre Plantas Ornamentales y Árboles Forestales</w:t>
      </w:r>
    </w:p>
    <w:p w:rsidR="00154473" w:rsidRPr="00975495" w:rsidRDefault="00EA1EA5" w:rsidP="00DC29BB">
      <w:pPr>
        <w:rPr>
          <w:rFonts w:eastAsia="PMingLiU" w:cs="Arial"/>
          <w:szCs w:val="24"/>
        </w:rPr>
      </w:pPr>
      <w:r>
        <w:tab/>
        <w:t>TWP:</w:t>
      </w:r>
      <w:r>
        <w:tab/>
      </w:r>
      <w:r>
        <w:tab/>
        <w:t>Grupos de Trabajo Técnico</w:t>
      </w:r>
    </w:p>
    <w:p w:rsidR="00154473" w:rsidRPr="00975495" w:rsidRDefault="00EA1EA5" w:rsidP="00DC29BB">
      <w:pPr>
        <w:rPr>
          <w:rFonts w:cs="Arial"/>
          <w:szCs w:val="24"/>
        </w:rPr>
      </w:pPr>
      <w:r>
        <w:tab/>
        <w:t>TWV:</w:t>
      </w:r>
      <w:r>
        <w:tab/>
      </w:r>
      <w:r>
        <w:tab/>
        <w:t>Grupo de Trabajo Técnico sobre Hortalizas</w:t>
      </w:r>
    </w:p>
    <w:p w:rsidR="00154473" w:rsidRPr="00975495" w:rsidRDefault="00154473" w:rsidP="00DC29BB"/>
    <w:p w:rsidR="00154473" w:rsidRDefault="00EA1EA5" w:rsidP="00415A17">
      <w:pPr>
        <w:pStyle w:val="Heading1"/>
      </w:pPr>
      <w:bookmarkStart w:id="4" w:name="_Toc474402265"/>
      <w:bookmarkStart w:id="5" w:name="_Toc475971607"/>
      <w:r>
        <w:lastRenderedPageBreak/>
        <w:t>Antecedentes</w:t>
      </w:r>
      <w:bookmarkEnd w:id="4"/>
      <w:bookmarkEnd w:id="5"/>
    </w:p>
    <w:p w:rsidR="00154473" w:rsidRPr="0077223A" w:rsidRDefault="00154473" w:rsidP="00415A17">
      <w:pPr>
        <w:keepNext/>
        <w:tabs>
          <w:tab w:val="left" w:pos="567"/>
        </w:tabs>
        <w:autoSpaceDE w:val="0"/>
        <w:autoSpaceDN w:val="0"/>
        <w:adjustRightInd w:val="0"/>
        <w:rPr>
          <w:sz w:val="18"/>
        </w:rPr>
      </w:pPr>
    </w:p>
    <w:p w:rsidR="00154473" w:rsidRPr="00975495" w:rsidRDefault="006118F3" w:rsidP="00415A17">
      <w:pPr>
        <w:keepNext/>
        <w:keepLines/>
        <w:tabs>
          <w:tab w:val="left" w:pos="567"/>
        </w:tabs>
        <w:autoSpaceDE w:val="0"/>
        <w:autoSpaceDN w:val="0"/>
        <w:adjustRightInd w:val="0"/>
        <w:rPr>
          <w:rFonts w:cs="Arial"/>
        </w:rPr>
      </w:pPr>
      <w:r>
        <w:fldChar w:fldCharType="begin"/>
      </w:r>
      <w:r w:rsidR="00EA1EA5">
        <w:instrText xml:space="preserve"> AUTONUM  </w:instrText>
      </w:r>
      <w:r>
        <w:fldChar w:fldCharType="end"/>
      </w:r>
      <w:r w:rsidR="00EA1EA5">
        <w:tab/>
        <w:t>En su quincuagésima segunda sesión, celebrada en Ginebra del 14 al 16 de marzo de 2016, el Comité Técnico examinó el documento TC/52/3</w:t>
      </w:r>
      <w:r w:rsidR="00EA1EA5">
        <w:rPr>
          <w:rFonts w:cs="Arial"/>
          <w:cs/>
        </w:rPr>
        <w:t xml:space="preserve"> “</w:t>
      </w:r>
      <w:r w:rsidR="00EA1EA5">
        <w:t>Cuestiones planteadas por los Grupos de Trabajo Técnico</w:t>
      </w:r>
      <w:r w:rsidR="00EA1EA5">
        <w:rPr>
          <w:rFonts w:cs="Arial"/>
          <w:cs/>
        </w:rPr>
        <w:t xml:space="preserve">” </w:t>
      </w:r>
      <w:r w:rsidR="00EA1EA5">
        <w:t>y recibió un informe verbal del Presidente del Grupo de Trabajo Técnico sobre Automatización y Programas Informáticos (TWC) según el cual un experto del Reino Unido había presentado una ponencia titulada</w:t>
      </w:r>
      <w:r w:rsidR="00EA1EA5">
        <w:rPr>
          <w:rFonts w:cs="Arial"/>
          <w:cs/>
        </w:rPr>
        <w:t xml:space="preserve"> </w:t>
      </w:r>
      <w:r w:rsidR="003373E7">
        <w:rPr>
          <w:rFonts w:cs="Arial"/>
          <w:cs/>
        </w:rPr>
        <w:t>“</w:t>
      </w:r>
      <w:r w:rsidR="00EA1EA5">
        <w:t>Umbrales calculados para excluir las variedades notoriamente conocidas del segundo ciclo de cultivo cuando se emplea el COYD</w:t>
      </w:r>
      <w:r w:rsidR="003373E7">
        <w:rPr>
          <w:rFonts w:cs="Arial"/>
          <w:cs/>
        </w:rPr>
        <w:t>”</w:t>
      </w:r>
      <w:r w:rsidR="00EA1EA5">
        <w:t xml:space="preserve"> (documento TWC/33/20) y que el método propuesto podría ser adecuado para los caracteres cuantitativos y era una mejora de un método descrito previamente, ya que tenía en cuenta la variabilidad interanual en el criterio COYD.  El método se ilustró con un gran conjunto de datos sobre el guisante.  El experto pidió más conjuntos de datos que pudieran usarse como ejemplos para realizar más pruebas de los métodos (véase el párrafo 36 del documento TC/52/29 Rev. </w:t>
      </w:r>
      <w:r w:rsidR="00EA1EA5">
        <w:rPr>
          <w:rFonts w:cs="Arial"/>
          <w:cs/>
        </w:rPr>
        <w:t>“</w:t>
      </w:r>
      <w:r w:rsidR="00EA1EA5">
        <w:t>Informe revisado</w:t>
      </w:r>
      <w:r w:rsidR="00EA1EA5">
        <w:rPr>
          <w:rFonts w:cs="Arial"/>
          <w:cs/>
        </w:rPr>
        <w:t>”</w:t>
      </w:r>
      <w:r w:rsidR="00EA1EA5">
        <w:t>).</w:t>
      </w:r>
    </w:p>
    <w:p w:rsidR="00154473" w:rsidRPr="00975495" w:rsidRDefault="00154473" w:rsidP="00154473">
      <w:pPr>
        <w:tabs>
          <w:tab w:val="left" w:pos="567"/>
        </w:tabs>
        <w:autoSpaceDE w:val="0"/>
        <w:autoSpaceDN w:val="0"/>
        <w:adjustRightInd w:val="0"/>
        <w:rPr>
          <w:rFonts w:cs="Arial"/>
        </w:rPr>
      </w:pPr>
    </w:p>
    <w:p w:rsidR="00154473" w:rsidRPr="00975495" w:rsidRDefault="006118F3" w:rsidP="00154473">
      <w:pPr>
        <w:rPr>
          <w:b/>
        </w:rPr>
      </w:pPr>
      <w:r>
        <w:fldChar w:fldCharType="begin"/>
      </w:r>
      <w:r w:rsidR="00EA1EA5">
        <w:instrText xml:space="preserve"> AUTONUM  </w:instrText>
      </w:r>
      <w:r>
        <w:fldChar w:fldCharType="end"/>
      </w:r>
      <w:r w:rsidR="00EA1EA5">
        <w:tab/>
        <w:t>El TC convino en solicitar a expertos de los miembros de la UPOV que proporcionen datos al Reino Unido a fin de elaborar el método para excluir las variedades notoriamente conocidas del segundo ciclo de cultivo cuando se emplea el COYD, como se indica en el párrafo 6 del documento TC/52/3.  El TC señaló que la Oficina de la Unión emitiría una circular en la que se invitaría a proporcionar datos.</w:t>
      </w:r>
    </w:p>
    <w:p w:rsidR="00154473" w:rsidRPr="00975495" w:rsidRDefault="00154473" w:rsidP="00154473"/>
    <w:p w:rsidR="00154473" w:rsidRPr="00975495" w:rsidRDefault="006118F3" w:rsidP="00154473">
      <w:r>
        <w:fldChar w:fldCharType="begin"/>
      </w:r>
      <w:r w:rsidR="00EA1EA5">
        <w:instrText xml:space="preserve"> AUTONUM  </w:instrText>
      </w:r>
      <w:r>
        <w:fldChar w:fldCharType="end"/>
      </w:r>
      <w:r w:rsidR="00EA1EA5">
        <w:tab/>
        <w:t>El TC convino en incluir en el orden del día de la quincuagésima tercera sesión del TC la determinación de umbrales calculados para excluir las variedades notoriamente conocidas del segundo ciclo de cultivo cuando se emplea el COYD, sobre la base de un documento que elaborará el Reino Unido.</w:t>
      </w:r>
    </w:p>
    <w:p w:rsidR="00154473" w:rsidRPr="00975495" w:rsidRDefault="00154473" w:rsidP="00154473">
      <w:pPr>
        <w:tabs>
          <w:tab w:val="left" w:pos="567"/>
        </w:tabs>
        <w:autoSpaceDE w:val="0"/>
        <w:autoSpaceDN w:val="0"/>
        <w:adjustRightInd w:val="0"/>
        <w:rPr>
          <w:rFonts w:cs="Arial"/>
        </w:rPr>
      </w:pPr>
    </w:p>
    <w:p w:rsidR="00154473" w:rsidRPr="00975495" w:rsidRDefault="006118F3" w:rsidP="00154473">
      <w:r>
        <w:fldChar w:fldCharType="begin"/>
      </w:r>
      <w:r w:rsidR="00EA1EA5">
        <w:instrText xml:space="preserve"> AUTONUM  </w:instrText>
      </w:r>
      <w:r>
        <w:fldChar w:fldCharType="end"/>
      </w:r>
      <w:r w:rsidR="00EA1EA5">
        <w:tab/>
        <w:t>Por medio de una circular emitida el 13 de abril de 2016, se invitó a los miembros del TC y el TWP a facilitar los siguientes conjuntos de datos al Reino Unido a fin de elaborar el método para excluir las variedades notoriamente conocidas del segundo ciclo de cultivo cuando se emplea el COYD (véase la Circular E-16/098).</w:t>
      </w:r>
    </w:p>
    <w:p w:rsidR="00154473" w:rsidRPr="00975495" w:rsidRDefault="00154473" w:rsidP="00154473"/>
    <w:p w:rsidR="00154473" w:rsidRPr="005F2E0A" w:rsidRDefault="00EA1EA5" w:rsidP="00415A17">
      <w:pPr>
        <w:pStyle w:val="Heading1"/>
      </w:pPr>
      <w:bookmarkStart w:id="6" w:name="_Toc474402266"/>
      <w:bookmarkStart w:id="7" w:name="_Toc475971608"/>
      <w:r>
        <w:t>Grupo de Trabajo Técnico sobre Automatización y Programas Informáticos</w:t>
      </w:r>
      <w:bookmarkEnd w:id="6"/>
      <w:bookmarkEnd w:id="7"/>
    </w:p>
    <w:p w:rsidR="00154473" w:rsidRPr="00975495" w:rsidRDefault="00154473" w:rsidP="00154473"/>
    <w:p w:rsidR="00154473" w:rsidRPr="00975495" w:rsidRDefault="006118F3" w:rsidP="00154473">
      <w:r>
        <w:fldChar w:fldCharType="begin"/>
      </w:r>
      <w:r w:rsidR="00EA1EA5">
        <w:instrText xml:space="preserve"> AUTONUM  </w:instrText>
      </w:r>
      <w:r>
        <w:fldChar w:fldCharType="end"/>
      </w:r>
      <w:r w:rsidR="00EA1EA5">
        <w:tab/>
        <w:t xml:space="preserve">En su trigésima cuarta sesión, celebrada en </w:t>
      </w:r>
      <w:proofErr w:type="spellStart"/>
      <w:r w:rsidR="00EA1EA5">
        <w:t>Shanghai</w:t>
      </w:r>
      <w:proofErr w:type="spellEnd"/>
      <w:r w:rsidR="00EA1EA5">
        <w:t xml:space="preserve"> (China) del 6 al 10 de junio de 2016, el TWC tomó nota de la información presentada en el documento TWC/34/8</w:t>
      </w:r>
      <w:r w:rsidR="00EA1EA5">
        <w:rPr>
          <w:rFonts w:cs="Arial"/>
          <w:cs/>
        </w:rPr>
        <w:t xml:space="preserve"> “</w:t>
      </w:r>
      <w:proofErr w:type="spellStart"/>
      <w:r w:rsidR="00EA1EA5">
        <w:rPr>
          <w:i/>
        </w:rPr>
        <w:t>Excluding</w:t>
      </w:r>
      <w:proofErr w:type="spellEnd"/>
      <w:r w:rsidR="00EA1EA5">
        <w:rPr>
          <w:i/>
        </w:rPr>
        <w:t xml:space="preserve"> </w:t>
      </w:r>
      <w:proofErr w:type="spellStart"/>
      <w:r w:rsidR="00EA1EA5">
        <w:rPr>
          <w:i/>
        </w:rPr>
        <w:t>varieties</w:t>
      </w:r>
      <w:proofErr w:type="spellEnd"/>
      <w:r w:rsidR="00EA1EA5">
        <w:rPr>
          <w:i/>
        </w:rPr>
        <w:t xml:space="preserve"> of </w:t>
      </w:r>
      <w:proofErr w:type="spellStart"/>
      <w:r w:rsidR="00EA1EA5">
        <w:rPr>
          <w:i/>
        </w:rPr>
        <w:t>common</w:t>
      </w:r>
      <w:proofErr w:type="spellEnd"/>
      <w:r w:rsidR="00EA1EA5">
        <w:rPr>
          <w:i/>
        </w:rPr>
        <w:t xml:space="preserve"> </w:t>
      </w:r>
      <w:proofErr w:type="spellStart"/>
      <w:r w:rsidR="00EA1EA5">
        <w:rPr>
          <w:i/>
        </w:rPr>
        <w:t>knowledge</w:t>
      </w:r>
      <w:proofErr w:type="spellEnd"/>
      <w:r w:rsidR="00EA1EA5">
        <w:rPr>
          <w:i/>
        </w:rPr>
        <w:t xml:space="preserve"> </w:t>
      </w:r>
      <w:proofErr w:type="spellStart"/>
      <w:r w:rsidR="00EA1EA5">
        <w:rPr>
          <w:i/>
        </w:rPr>
        <w:t>from</w:t>
      </w:r>
      <w:proofErr w:type="spellEnd"/>
      <w:r w:rsidR="00EA1EA5">
        <w:rPr>
          <w:i/>
        </w:rPr>
        <w:t xml:space="preserve"> </w:t>
      </w:r>
      <w:proofErr w:type="spellStart"/>
      <w:r w:rsidR="00EA1EA5">
        <w:rPr>
          <w:i/>
        </w:rPr>
        <w:t>the</w:t>
      </w:r>
      <w:proofErr w:type="spellEnd"/>
      <w:r w:rsidR="00EA1EA5">
        <w:rPr>
          <w:i/>
        </w:rPr>
        <w:t xml:space="preserve"> </w:t>
      </w:r>
      <w:proofErr w:type="spellStart"/>
      <w:r w:rsidR="00EA1EA5">
        <w:rPr>
          <w:i/>
        </w:rPr>
        <w:t>second</w:t>
      </w:r>
      <w:proofErr w:type="spellEnd"/>
      <w:r w:rsidR="00EA1EA5">
        <w:rPr>
          <w:i/>
        </w:rPr>
        <w:t xml:space="preserve"> </w:t>
      </w:r>
      <w:proofErr w:type="spellStart"/>
      <w:r w:rsidR="00EA1EA5">
        <w:rPr>
          <w:i/>
        </w:rPr>
        <w:t>growing</w:t>
      </w:r>
      <w:proofErr w:type="spellEnd"/>
      <w:r w:rsidR="00EA1EA5">
        <w:rPr>
          <w:i/>
        </w:rPr>
        <w:t xml:space="preserve"> </w:t>
      </w:r>
      <w:proofErr w:type="spellStart"/>
      <w:r w:rsidR="00EA1EA5">
        <w:rPr>
          <w:i/>
        </w:rPr>
        <w:t>cycle</w:t>
      </w:r>
      <w:proofErr w:type="spellEnd"/>
      <w:r w:rsidR="00EA1EA5">
        <w:rPr>
          <w:i/>
        </w:rPr>
        <w:t xml:space="preserve"> </w:t>
      </w:r>
      <w:proofErr w:type="spellStart"/>
      <w:r w:rsidR="00EA1EA5">
        <w:rPr>
          <w:i/>
        </w:rPr>
        <w:t>when</w:t>
      </w:r>
      <w:proofErr w:type="spellEnd"/>
      <w:r w:rsidR="00EA1EA5">
        <w:rPr>
          <w:i/>
        </w:rPr>
        <w:t xml:space="preserve"> COYD </w:t>
      </w:r>
      <w:proofErr w:type="spellStart"/>
      <w:r w:rsidR="00EA1EA5">
        <w:rPr>
          <w:i/>
        </w:rPr>
        <w:t>is</w:t>
      </w:r>
      <w:proofErr w:type="spellEnd"/>
      <w:r w:rsidR="00EA1EA5">
        <w:rPr>
          <w:i/>
        </w:rPr>
        <w:t xml:space="preserve"> </w:t>
      </w:r>
      <w:proofErr w:type="spellStart"/>
      <w:r w:rsidR="00EA1EA5">
        <w:rPr>
          <w:i/>
        </w:rPr>
        <w:t>used</w:t>
      </w:r>
      <w:proofErr w:type="spellEnd"/>
      <w:r w:rsidR="00EA1EA5">
        <w:rPr>
          <w:rFonts w:cs="Arial"/>
          <w:cs/>
        </w:rPr>
        <w:t xml:space="preserve">” </w:t>
      </w:r>
      <w:r w:rsidR="00EA1EA5">
        <w:t>(Exclusión de las variedades notoriamente conocidas del segundo ciclo de cultivo cuando se utiliza el COYD) (véanse los párrafos 83 a 85 del documento TWC/34/32</w:t>
      </w:r>
      <w:r w:rsidR="00EA1EA5">
        <w:rPr>
          <w:rFonts w:cs="Arial"/>
          <w:cs/>
        </w:rPr>
        <w:t xml:space="preserve"> “</w:t>
      </w:r>
      <w:proofErr w:type="spellStart"/>
      <w:r w:rsidR="00EA1EA5">
        <w:rPr>
          <w:i/>
        </w:rPr>
        <w:t>Report</w:t>
      </w:r>
      <w:proofErr w:type="spellEnd"/>
      <w:r w:rsidR="00EA1EA5">
        <w:rPr>
          <w:rFonts w:cs="Arial"/>
          <w:cs/>
        </w:rPr>
        <w:t xml:space="preserve">” </w:t>
      </w:r>
      <w:r w:rsidR="00EA1EA5">
        <w:t>(Informe)).</w:t>
      </w:r>
    </w:p>
    <w:p w:rsidR="00154473" w:rsidRPr="00975495" w:rsidRDefault="00154473" w:rsidP="00154473"/>
    <w:p w:rsidR="00154473" w:rsidRPr="00975495" w:rsidRDefault="006118F3" w:rsidP="00154473">
      <w:r>
        <w:fldChar w:fldCharType="begin"/>
      </w:r>
      <w:r w:rsidR="00EA1EA5">
        <w:instrText xml:space="preserve"> AUTONUM  </w:instrText>
      </w:r>
      <w:r>
        <w:fldChar w:fldCharType="end"/>
      </w:r>
      <w:r w:rsidR="00EA1EA5">
        <w:tab/>
        <w:t xml:space="preserve">El TWC asistió a una ponencia de un experto del Reino Unido titulada </w:t>
      </w:r>
      <w:r w:rsidR="00EA1EA5">
        <w:rPr>
          <w:rFonts w:cs="Arial"/>
          <w:cs/>
        </w:rPr>
        <w:t>“</w:t>
      </w:r>
      <w:r w:rsidR="00EA1EA5">
        <w:t>Umbrales calculados para excluir las variedades notoriamente conocidas del segundo ciclo de cultivo cuando se emplea el COYD</w:t>
      </w:r>
      <w:r w:rsidR="00EA1EA5">
        <w:rPr>
          <w:rFonts w:cs="Arial"/>
          <w:cs/>
        </w:rPr>
        <w:t>”</w:t>
      </w:r>
      <w:r w:rsidR="00EA1EA5">
        <w:t xml:space="preserve">, que se reproduce en el Anexo del presente documento TWC/34/8 </w:t>
      </w:r>
      <w:proofErr w:type="spellStart"/>
      <w:r w:rsidR="00EA1EA5">
        <w:t>Add</w:t>
      </w:r>
      <w:proofErr w:type="spellEnd"/>
      <w:r w:rsidR="00EA1EA5">
        <w:t>.</w:t>
      </w:r>
    </w:p>
    <w:p w:rsidR="00154473" w:rsidRPr="00975495" w:rsidRDefault="00154473" w:rsidP="00154473"/>
    <w:p w:rsidR="00154473" w:rsidRPr="00975495" w:rsidRDefault="006118F3" w:rsidP="00154473">
      <w:r>
        <w:fldChar w:fldCharType="begin"/>
      </w:r>
      <w:r w:rsidR="00EA1EA5">
        <w:instrText xml:space="preserve"> AUTONUM  </w:instrText>
      </w:r>
      <w:r>
        <w:fldChar w:fldCharType="end"/>
      </w:r>
      <w:r w:rsidR="00EA1EA5">
        <w:tab/>
        <w:t>El TWC tomó nota de la solicitud de envío de conjuntos de datos de diferentes cultivos para elaborar el método y acogió con agrado el ofrecimiento de Alemania, Dinamarca, Eslovaquia y Finlandia de facilitar conjuntos de datos.  El TWC tomó nota de que se desarrollarían programas informáticos de determinación de umbrales calculados para excluir variedades, a fin de facilitar la aplicación del método, y se contemplaría la posibilidad de integrarlos al programa informático GAIA.</w:t>
      </w:r>
    </w:p>
    <w:p w:rsidR="00154473" w:rsidRPr="00975495" w:rsidRDefault="00154473" w:rsidP="00154473"/>
    <w:p w:rsidR="00154473" w:rsidRPr="00975495" w:rsidRDefault="006118F3" w:rsidP="00154473">
      <w:r>
        <w:fldChar w:fldCharType="begin"/>
      </w:r>
      <w:r w:rsidR="00EA1EA5">
        <w:instrText xml:space="preserve"> AUTONUM  </w:instrText>
      </w:r>
      <w:r>
        <w:fldChar w:fldCharType="end"/>
      </w:r>
      <w:r w:rsidR="00EA1EA5">
        <w:tab/>
        <w:t>El 26 de enero de 2017, el redactor del Reino Unido notificó a la Oficina de la Unión que se informaría de los nuevos avances al TWC en su trigésima quinta reunión que se celebrará en Buenos Aires del 14</w:t>
      </w:r>
      <w:r w:rsidR="00415A17">
        <w:t> </w:t>
      </w:r>
      <w:r w:rsidR="00EA1EA5">
        <w:t>al</w:t>
      </w:r>
      <w:r w:rsidR="00154473">
        <w:t> </w:t>
      </w:r>
      <w:r w:rsidR="00EA1EA5">
        <w:t xml:space="preserve">17 de noviembre de 2017. </w:t>
      </w:r>
    </w:p>
    <w:p w:rsidR="00154473" w:rsidRPr="00975495" w:rsidRDefault="00154473" w:rsidP="00154473"/>
    <w:p w:rsidR="00154473" w:rsidRPr="00975495" w:rsidRDefault="006118F3" w:rsidP="00154473">
      <w:r>
        <w:fldChar w:fldCharType="begin"/>
      </w:r>
      <w:r w:rsidR="00EA1EA5">
        <w:instrText xml:space="preserve"> AUTONUM  </w:instrText>
      </w:r>
      <w:r>
        <w:fldChar w:fldCharType="end"/>
      </w:r>
      <w:r w:rsidR="00EA1EA5">
        <w:tab/>
        <w:t>En la quincuagésima tercera sesión del Comité Técnico, q</w:t>
      </w:r>
      <w:r w:rsidR="00415A17">
        <w:t>ue se celebrará en Ginebra del 4 </w:t>
      </w:r>
      <w:r w:rsidR="00EA1EA5">
        <w:t>al</w:t>
      </w:r>
      <w:r w:rsidR="00415A17">
        <w:t> 6 </w:t>
      </w:r>
      <w:r w:rsidR="00EA1EA5">
        <w:t>de</w:t>
      </w:r>
      <w:r w:rsidR="00415A17">
        <w:t> </w:t>
      </w:r>
      <w:r w:rsidR="00EA1EA5">
        <w:t>abril de 2017, expertos del Reino Unido presentarán una ponencia sobre la exclusión de las variedades notoriamente conocidas del segundo ciclo de cultivo cuando se utiliza el COYD, la que se reproduce como adición al presente documento.</w:t>
      </w:r>
    </w:p>
    <w:p w:rsidR="00154473" w:rsidRPr="00975495" w:rsidRDefault="00154473" w:rsidP="00154473"/>
    <w:p w:rsidR="00154473" w:rsidRPr="00975495" w:rsidRDefault="006118F3" w:rsidP="00154473">
      <w:pPr>
        <w:tabs>
          <w:tab w:val="left" w:pos="5387"/>
        </w:tabs>
        <w:ind w:left="4820"/>
        <w:rPr>
          <w:i/>
        </w:rPr>
      </w:pPr>
      <w:r>
        <w:rPr>
          <w:i/>
        </w:rPr>
        <w:fldChar w:fldCharType="begin"/>
      </w:r>
      <w:r w:rsidR="00EA1EA5">
        <w:rPr>
          <w:i/>
        </w:rPr>
        <w:instrText xml:space="preserve"> AUTONUM  </w:instrText>
      </w:r>
      <w:r>
        <w:rPr>
          <w:i/>
        </w:rPr>
        <w:fldChar w:fldCharType="end"/>
      </w:r>
      <w:r w:rsidR="00EA1EA5">
        <w:rPr>
          <w:i/>
        </w:rPr>
        <w:tab/>
        <w:t>Se invita al TC a:</w:t>
      </w:r>
    </w:p>
    <w:p w:rsidR="00154473" w:rsidRPr="00975495" w:rsidRDefault="00154473" w:rsidP="00154473">
      <w:pPr>
        <w:ind w:left="4820"/>
        <w:rPr>
          <w:i/>
        </w:rPr>
      </w:pPr>
    </w:p>
    <w:p w:rsidR="00154473" w:rsidRPr="00975495" w:rsidRDefault="00EA1EA5" w:rsidP="00154473">
      <w:pPr>
        <w:tabs>
          <w:tab w:val="left" w:pos="5954"/>
        </w:tabs>
        <w:ind w:left="4820" w:firstLine="567"/>
        <w:rPr>
          <w:i/>
        </w:rPr>
      </w:pPr>
      <w:r>
        <w:rPr>
          <w:i/>
        </w:rPr>
        <w:t>a)</w:t>
      </w:r>
      <w:r>
        <w:rPr>
          <w:i/>
        </w:rPr>
        <w:tab/>
        <w:t xml:space="preserve">examinar la información facilitada por los expertos del Reino Unido, que se reproduce en el Anexo del presente documento; </w:t>
      </w:r>
    </w:p>
    <w:p w:rsidR="00154473" w:rsidRPr="00DC29BB" w:rsidRDefault="00154473" w:rsidP="00DC29BB">
      <w:pPr>
        <w:tabs>
          <w:tab w:val="left" w:pos="5954"/>
        </w:tabs>
      </w:pPr>
    </w:p>
    <w:p w:rsidR="00154473" w:rsidRPr="00975495" w:rsidRDefault="00EA1EA5" w:rsidP="00154473">
      <w:pPr>
        <w:tabs>
          <w:tab w:val="left" w:pos="5954"/>
        </w:tabs>
        <w:ind w:left="4820" w:firstLine="567"/>
        <w:rPr>
          <w:i/>
        </w:rPr>
      </w:pPr>
      <w:r>
        <w:rPr>
          <w:i/>
        </w:rPr>
        <w:t>b)</w:t>
      </w:r>
      <w:r>
        <w:rPr>
          <w:i/>
        </w:rPr>
        <w:tab/>
        <w:t xml:space="preserve">tomar nota de que, se propone que en su trigésima quinta sesión, se notifiquen al TWC los nuevos avances </w:t>
      </w:r>
      <w:r w:rsidR="00154473">
        <w:rPr>
          <w:i/>
        </w:rPr>
        <w:t>producidos</w:t>
      </w:r>
      <w:r>
        <w:rPr>
          <w:i/>
        </w:rPr>
        <w:t xml:space="preserve"> en relación con la </w:t>
      </w:r>
      <w:r>
        <w:rPr>
          <w:i/>
        </w:rPr>
        <w:lastRenderedPageBreak/>
        <w:t>determinación de umbrales calculados para excluir las variedades notoriamente conocidas del segundo ciclo de cultivo cuando se emplea el COYD;  y</w:t>
      </w:r>
    </w:p>
    <w:p w:rsidR="00154473" w:rsidRPr="00DC29BB" w:rsidRDefault="00154473" w:rsidP="00DC29BB">
      <w:pPr>
        <w:tabs>
          <w:tab w:val="left" w:pos="5954"/>
        </w:tabs>
      </w:pPr>
    </w:p>
    <w:p w:rsidR="00154473" w:rsidRPr="00975495" w:rsidRDefault="00EA1EA5" w:rsidP="00154473">
      <w:pPr>
        <w:tabs>
          <w:tab w:val="left" w:pos="5954"/>
        </w:tabs>
        <w:ind w:left="4820" w:firstLine="567"/>
        <w:rPr>
          <w:i/>
        </w:rPr>
      </w:pPr>
      <w:r>
        <w:rPr>
          <w:i/>
        </w:rPr>
        <w:t>c)</w:t>
      </w:r>
      <w:r>
        <w:rPr>
          <w:i/>
        </w:rPr>
        <w:tab/>
        <w:t>tomar nota de que en la quincuagésima tercera sesión del Comité Técnico los expertos del Reino</w:t>
      </w:r>
      <w:r w:rsidR="00154473">
        <w:rPr>
          <w:i/>
        </w:rPr>
        <w:t xml:space="preserve"> Unido</w:t>
      </w:r>
      <w:r>
        <w:rPr>
          <w:i/>
        </w:rPr>
        <w:t xml:space="preserve"> presentarán una ponencia sobre la exclusión de las variedades notoriamente conocidas del segundo ciclo de cultivo cuando se utiliza el</w:t>
      </w:r>
      <w:r w:rsidR="00154473">
        <w:rPr>
          <w:i/>
        </w:rPr>
        <w:t> </w:t>
      </w:r>
      <w:r>
        <w:rPr>
          <w:i/>
        </w:rPr>
        <w:t xml:space="preserve">COYD. </w:t>
      </w:r>
    </w:p>
    <w:p w:rsidR="00154473" w:rsidRPr="00975495" w:rsidRDefault="00154473" w:rsidP="00154473"/>
    <w:p w:rsidR="00154473" w:rsidRDefault="00154473">
      <w:pPr>
        <w:jc w:val="left"/>
      </w:pPr>
    </w:p>
    <w:p w:rsidR="00154473" w:rsidRPr="00975495" w:rsidRDefault="00154473">
      <w:pPr>
        <w:jc w:val="left"/>
      </w:pPr>
    </w:p>
    <w:p w:rsidR="00154473" w:rsidRDefault="00EA1EA5" w:rsidP="00154473">
      <w:pPr>
        <w:jc w:val="right"/>
      </w:pPr>
      <w:r>
        <w:t>[Sigue el Anexo]</w:t>
      </w:r>
    </w:p>
    <w:p w:rsidR="006118F3" w:rsidRDefault="006118F3" w:rsidP="00154473">
      <w:pPr>
        <w:jc w:val="left"/>
      </w:pPr>
    </w:p>
    <w:p w:rsidR="00DC29BB" w:rsidRDefault="00DC29BB" w:rsidP="00154473">
      <w:pPr>
        <w:jc w:val="left"/>
        <w:sectPr w:rsidR="00DC29BB" w:rsidSect="00154473">
          <w:headerReference w:type="default" r:id="rId9"/>
          <w:pgSz w:w="11907" w:h="16840" w:code="9"/>
          <w:pgMar w:top="510" w:right="1134" w:bottom="1134" w:left="1134" w:header="510" w:footer="680" w:gutter="0"/>
          <w:cols w:space="720"/>
          <w:titlePg/>
        </w:sectPr>
      </w:pPr>
    </w:p>
    <w:p w:rsidR="00154473" w:rsidRPr="0026215A" w:rsidRDefault="00EA1EA5" w:rsidP="00154473">
      <w:pPr>
        <w:jc w:val="center"/>
        <w:rPr>
          <w:caps/>
        </w:rPr>
      </w:pPr>
      <w:r>
        <w:rPr>
          <w:caps/>
        </w:rPr>
        <w:lastRenderedPageBreak/>
        <w:t xml:space="preserve">Exclusión de las variedades notoriamente conocidas del segundo ciclo de </w:t>
      </w:r>
      <w:r w:rsidR="00154473">
        <w:rPr>
          <w:caps/>
        </w:rPr>
        <w:t>CULTIVO</w:t>
      </w:r>
      <w:r>
        <w:rPr>
          <w:caps/>
        </w:rPr>
        <w:t xml:space="preserve"> cuando se utiliza el COYD</w:t>
      </w:r>
    </w:p>
    <w:p w:rsidR="00154473" w:rsidRPr="0026215A" w:rsidRDefault="00154473" w:rsidP="00154473"/>
    <w:p w:rsidR="00154473" w:rsidRPr="0026215A" w:rsidRDefault="00154473" w:rsidP="00154473"/>
    <w:p w:rsidR="00154473" w:rsidRPr="0026215A" w:rsidRDefault="00EA1EA5" w:rsidP="00154473">
      <w:pPr>
        <w:rPr>
          <w:caps/>
        </w:rPr>
      </w:pPr>
      <w:r>
        <w:rPr>
          <w:caps/>
        </w:rPr>
        <w:t>Introducción</w:t>
      </w:r>
    </w:p>
    <w:p w:rsidR="00154473" w:rsidRPr="0026215A" w:rsidRDefault="00154473" w:rsidP="00154473"/>
    <w:p w:rsidR="00154473" w:rsidRPr="0026215A" w:rsidRDefault="00EA1EA5" w:rsidP="00154473">
      <w:r>
        <w:t>1.</w:t>
      </w:r>
      <w:r>
        <w:tab/>
        <w:t>Cuando se llevan a cabo ensayos DHE durante dos o tres ciclo</w:t>
      </w:r>
      <w:r w:rsidR="00415A17">
        <w:t>s</w:t>
      </w:r>
      <w:r>
        <w:t xml:space="preserve"> de cultivo independientes, se puede analizar los resultados obtenidos tras el primer ciclo de ensayo a fin de excluir las variedades notoriamente conocidas que son claramente distintas de las variedades candidatas (véase el documento TGP/9</w:t>
      </w:r>
      <w:r>
        <w:rPr>
          <w:rFonts w:cs="Arial"/>
          <w:cs/>
        </w:rPr>
        <w:t xml:space="preserve"> “</w:t>
      </w:r>
      <w:r>
        <w:t>Examen de la distinción</w:t>
      </w:r>
      <w:r>
        <w:rPr>
          <w:rFonts w:cs="Arial"/>
          <w:cs/>
        </w:rPr>
        <w:t>”</w:t>
      </w:r>
      <w:r>
        <w:t xml:space="preserve">).  Cuando se utiliza el COYD para determinar la distinción de un carácter, puede ser difícil determinarla con eficacia basándose en la experiencia y no existe </w:t>
      </w:r>
      <w:r w:rsidR="004E7AA2">
        <w:t xml:space="preserve">todavía </w:t>
      </w:r>
      <w:r>
        <w:t>una descripción de un mecanismo formal para fundamentar esas primeras decisiones sobre la distinción.</w:t>
      </w:r>
    </w:p>
    <w:p w:rsidR="00154473" w:rsidRPr="0026215A" w:rsidRDefault="00154473" w:rsidP="00154473"/>
    <w:p w:rsidR="00154473" w:rsidRPr="0026215A" w:rsidRDefault="00EA1EA5" w:rsidP="00154473">
      <w:r>
        <w:t>2.</w:t>
      </w:r>
      <w:r>
        <w:tab/>
        <w:t xml:space="preserve">En el documento TWC/33/20 Rev., se propuso un método.  Este método se </w:t>
      </w:r>
      <w:r w:rsidR="004E7AA2">
        <w:t xml:space="preserve">ha </w:t>
      </w:r>
      <w:r>
        <w:t>mejor</w:t>
      </w:r>
      <w:r w:rsidR="004E7AA2">
        <w:t>ado</w:t>
      </w:r>
      <w:r>
        <w:t xml:space="preserve"> a partir de versiones anteriores haciendo menos restrictivo el supuesto de que la variación de la </w:t>
      </w:r>
      <w:r>
        <w:rPr>
          <w:rFonts w:cs="Arial"/>
          <w:cs/>
        </w:rPr>
        <w:t>“</w:t>
      </w:r>
      <w:r>
        <w:t>variedad x ciclo</w:t>
      </w:r>
      <w:r>
        <w:rPr>
          <w:rFonts w:cs="Arial"/>
          <w:cs/>
        </w:rPr>
        <w:t xml:space="preserve">” </w:t>
      </w:r>
      <w:r>
        <w:t xml:space="preserve">es constante de un ciclo a otro. </w:t>
      </w:r>
      <w:r w:rsidR="004E7AA2">
        <w:t xml:space="preserve"> </w:t>
      </w:r>
      <w:r>
        <w:t xml:space="preserve">Tiene en cuenta la variación del material observada con frecuencia entre un ciclo y el otro en el criterio COYD. </w:t>
      </w:r>
    </w:p>
    <w:p w:rsidR="00154473" w:rsidRPr="0026215A" w:rsidRDefault="00154473" w:rsidP="00154473"/>
    <w:p w:rsidR="00154473" w:rsidRPr="0026215A" w:rsidRDefault="00EA1EA5" w:rsidP="00154473">
      <w:r>
        <w:t>3.</w:t>
      </w:r>
      <w:r>
        <w:tab/>
        <w:t>En este documento se ilustra la aplicación del método a</w:t>
      </w:r>
      <w:r w:rsidR="004E7AA2">
        <w:t xml:space="preserve"> un</w:t>
      </w:r>
      <w:r>
        <w:t xml:space="preserve"> conjunto de datos de DHE del guisante forrajero y se muestra lo ventajoso que puede ser en la práctica.</w:t>
      </w:r>
    </w:p>
    <w:p w:rsidR="00154473" w:rsidRPr="0026215A" w:rsidRDefault="00154473" w:rsidP="00154473"/>
    <w:p w:rsidR="00154473" w:rsidRPr="0026215A" w:rsidRDefault="00154473" w:rsidP="00154473"/>
    <w:p w:rsidR="00154473" w:rsidRPr="0026215A" w:rsidRDefault="00EA1EA5" w:rsidP="00154473">
      <w:pPr>
        <w:rPr>
          <w:caps/>
        </w:rPr>
      </w:pPr>
      <w:r>
        <w:rPr>
          <w:caps/>
        </w:rPr>
        <w:t>Panorama general</w:t>
      </w:r>
    </w:p>
    <w:p w:rsidR="00154473" w:rsidRPr="0026215A" w:rsidRDefault="00154473" w:rsidP="00154473"/>
    <w:p w:rsidR="00154473" w:rsidRPr="0026215A" w:rsidRDefault="00EA1EA5" w:rsidP="00154473">
      <w:r>
        <w:t>4.</w:t>
      </w:r>
      <w:r>
        <w:tab/>
        <w:t xml:space="preserve">La finalidad de este método es detectar después del primer ciclo de cultivo aquellas variedades notoriamente conocidas que sean tan distintas de la candidata que hagan innecesaria su comparación en el segundo ciclo. </w:t>
      </w:r>
    </w:p>
    <w:p w:rsidR="00154473" w:rsidRPr="0026215A" w:rsidRDefault="00154473" w:rsidP="00154473"/>
    <w:p w:rsidR="00154473" w:rsidRPr="0026215A" w:rsidRDefault="00EA1EA5" w:rsidP="00154473">
      <w:r>
        <w:t>5.</w:t>
      </w:r>
      <w:r>
        <w:tab/>
        <w:t xml:space="preserve">Para lograrlo, estimamos la probabilidad de que una candidata sea diferente de determinada variedad notoriamente conocida, según el criterio COYD de 2 ciclos, teniendo en cuenta los resultados del primer ciclo de cultivo.  Si la probabilidad es satisfactoriamente alta, la candidata se declara diferente de esa variedad y no es necesario compararla en el segundo ciclo. </w:t>
      </w:r>
    </w:p>
    <w:p w:rsidR="00154473" w:rsidRPr="0026215A" w:rsidRDefault="00154473" w:rsidP="00154473"/>
    <w:p w:rsidR="00154473" w:rsidRPr="0026215A" w:rsidRDefault="00EA1EA5" w:rsidP="00154473">
      <w:r>
        <w:t>6.</w:t>
      </w:r>
      <w:r>
        <w:tab/>
        <w:t xml:space="preserve">El método se aplica carácter por carácter. </w:t>
      </w:r>
      <w:r w:rsidR="004E7AA2">
        <w:t xml:space="preserve"> </w:t>
      </w:r>
      <w:r>
        <w:t xml:space="preserve">A fin de valorar la variabilidad asociada a las mediciones de un determinado carácter, es necesario disponer de datos históricos.  El método se podría emplear junto con procesos como el GAIA a fin de obtener un umbral de </w:t>
      </w:r>
      <w:r>
        <w:rPr>
          <w:rFonts w:cs="Arial"/>
          <w:cs/>
        </w:rPr>
        <w:t>“</w:t>
      </w:r>
      <w:r>
        <w:t>distinción calificada</w:t>
      </w:r>
      <w:r>
        <w:rPr>
          <w:rFonts w:cs="Arial"/>
          <w:cs/>
        </w:rPr>
        <w:t xml:space="preserve">” </w:t>
      </w:r>
      <w:r>
        <w:t>(véase el documento TGP/8</w:t>
      </w:r>
      <w:r>
        <w:rPr>
          <w:rFonts w:cs="Arial"/>
          <w:cs/>
        </w:rPr>
        <w:t xml:space="preserve"> “</w:t>
      </w:r>
      <w:r>
        <w:t>Diseño de ensayos y técnicas utilizados en el examen de la distinción, la homogeneidad y la estabilidad</w:t>
      </w:r>
      <w:r>
        <w:rPr>
          <w:rFonts w:cs="Arial"/>
          <w:cs/>
        </w:rPr>
        <w:t>”</w:t>
      </w:r>
      <w:r>
        <w:t>, Parte II</w:t>
      </w:r>
      <w:proofErr w:type="gramStart"/>
      <w:r>
        <w:t xml:space="preserve">: </w:t>
      </w:r>
      <w:r w:rsidR="004E7AA2">
        <w:t xml:space="preserve"> </w:t>
      </w:r>
      <w:r>
        <w:t>Técnicas</w:t>
      </w:r>
      <w:proofErr w:type="gramEnd"/>
      <w:r>
        <w:t xml:space="preserve"> utilizadas en el examen DHE, 1</w:t>
      </w:r>
      <w:r>
        <w:rPr>
          <w:rFonts w:cs="Arial"/>
          <w:cs/>
        </w:rPr>
        <w:t xml:space="preserve"> “</w:t>
      </w:r>
      <w:r>
        <w:t>La metodología GAIA</w:t>
      </w:r>
      <w:r>
        <w:rPr>
          <w:rFonts w:cs="Arial"/>
          <w:cs/>
        </w:rPr>
        <w:t>”</w:t>
      </w:r>
      <w:r>
        <w:t>).</w:t>
      </w:r>
    </w:p>
    <w:p w:rsidR="00154473" w:rsidRPr="0026215A" w:rsidRDefault="00154473" w:rsidP="00154473">
      <w:pPr>
        <w:jc w:val="left"/>
        <w:rPr>
          <w:caps/>
        </w:rPr>
      </w:pPr>
    </w:p>
    <w:p w:rsidR="00154473" w:rsidRPr="0026215A" w:rsidRDefault="00154473" w:rsidP="00154473">
      <w:pPr>
        <w:jc w:val="left"/>
        <w:rPr>
          <w:caps/>
        </w:rPr>
      </w:pPr>
    </w:p>
    <w:p w:rsidR="00154473" w:rsidRPr="0026215A" w:rsidRDefault="00EA1EA5" w:rsidP="00154473">
      <w:pPr>
        <w:rPr>
          <w:caps/>
        </w:rPr>
      </w:pPr>
      <w:r>
        <w:rPr>
          <w:caps/>
        </w:rPr>
        <w:t>Síntesis del método</w:t>
      </w:r>
    </w:p>
    <w:p w:rsidR="00154473" w:rsidRPr="0026215A" w:rsidRDefault="00154473" w:rsidP="00154473"/>
    <w:p w:rsidR="00154473" w:rsidRPr="0026215A" w:rsidRDefault="00EA1EA5" w:rsidP="00154473">
      <w:r>
        <w:t>7.</w:t>
      </w:r>
      <w:r>
        <w:tab/>
        <w:t>Este método se basa en el cálculo de la probabilidad de que una candidata sea diferente (</w:t>
      </w:r>
      <w:proofErr w:type="spellStart"/>
      <w:r w:rsidRPr="001D0B00">
        <w:rPr>
          <w:i/>
        </w:rPr>
        <w:t>p</w:t>
      </w:r>
      <w:r w:rsidRPr="001D0B00">
        <w:rPr>
          <w:i/>
          <w:vertAlign w:val="subscript"/>
        </w:rPr>
        <w:t>D</w:t>
      </w:r>
      <w:proofErr w:type="spellEnd"/>
      <w:r>
        <w:t xml:space="preserve">) según el criterio COYD de 2 ciclos, teniendo en cuenta solo los datos del primer ciclo. </w:t>
      </w:r>
      <w:r w:rsidR="004E7AA2">
        <w:t xml:space="preserve"> </w:t>
      </w:r>
      <w:r>
        <w:t xml:space="preserve">Si la probabilidad es satisfactoriamente alta, la candidata se declara diferente de esa variedad y no es necesario compararla en el segundo ciclo de cultivo.  El proceso se puede invertir con la finalidad de precisar umbrales para determinadas probabilidades. </w:t>
      </w:r>
    </w:p>
    <w:p w:rsidR="00154473" w:rsidRPr="0026215A" w:rsidRDefault="00154473" w:rsidP="00154473"/>
    <w:p w:rsidR="00154473" w:rsidRPr="0026215A" w:rsidRDefault="00EA1EA5" w:rsidP="00154473">
      <w:r>
        <w:t>8.</w:t>
      </w:r>
      <w:r>
        <w:tab/>
        <w:t xml:space="preserve">Además de los datos del primer ciclo, para aplicar el método </w:t>
      </w:r>
      <w:r w:rsidR="00D543B1">
        <w:t>es preciso disponer de</w:t>
      </w:r>
      <w:r>
        <w:t xml:space="preserve"> datos históricos de ensayos DHE realizados en el pasado.</w:t>
      </w:r>
      <w:r w:rsidR="00D543B1">
        <w:t xml:space="preserve"> </w:t>
      </w:r>
      <w:r>
        <w:t xml:space="preserve"> Se necesitan como mínimo 10 ciclos de ensayos, cuantos más mejor. </w:t>
      </w:r>
      <w:r w:rsidR="00D543B1">
        <w:t xml:space="preserve"> </w:t>
      </w:r>
      <w:r>
        <w:t xml:space="preserve">Estos datos se utilizan para estimar la varianza de la </w:t>
      </w:r>
      <w:r>
        <w:rPr>
          <w:rFonts w:cs="Arial"/>
          <w:cs/>
        </w:rPr>
        <w:t>“</w:t>
      </w:r>
      <w:r>
        <w:t>variedad x ciclo</w:t>
      </w:r>
      <w:r>
        <w:rPr>
          <w:rFonts w:cs="Arial"/>
          <w:cs/>
        </w:rPr>
        <w:t xml:space="preserve">” </w:t>
      </w:r>
      <w:r>
        <w:t xml:space="preserve">de cada carácter y, lo que es importante, su variabilidad (o nivel de heterogeneidad). </w:t>
      </w:r>
      <w:r w:rsidR="00D543B1">
        <w:t xml:space="preserve"> </w:t>
      </w:r>
      <w:r>
        <w:t xml:space="preserve">La varianza de la </w:t>
      </w:r>
      <w:r>
        <w:rPr>
          <w:rFonts w:cs="Arial"/>
          <w:cs/>
        </w:rPr>
        <w:t>“</w:t>
      </w:r>
      <w:r>
        <w:t>variedad x ciclo</w:t>
      </w:r>
      <w:r>
        <w:rPr>
          <w:rFonts w:cs="Arial"/>
          <w:cs/>
        </w:rPr>
        <w:t xml:space="preserve">” </w:t>
      </w:r>
      <w:r>
        <w:t>es un componente fundamental del criterio COYD (véase el documento TGP/8</w:t>
      </w:r>
      <w:r>
        <w:rPr>
          <w:rFonts w:cs="Arial"/>
          <w:cs/>
        </w:rPr>
        <w:t xml:space="preserve"> “</w:t>
      </w:r>
      <w:r>
        <w:t>Diseño de ensayos y técnicas utilizados en el examen de la distinción, la homogeneidad y la estabilidad</w:t>
      </w:r>
      <w:r>
        <w:rPr>
          <w:rFonts w:cs="Arial"/>
          <w:cs/>
        </w:rPr>
        <w:t>”</w:t>
      </w:r>
      <w:r>
        <w:t>).</w:t>
      </w:r>
    </w:p>
    <w:p w:rsidR="00154473" w:rsidRPr="0026215A" w:rsidRDefault="00154473" w:rsidP="00154473"/>
    <w:p w:rsidR="00154473" w:rsidRPr="0026215A" w:rsidRDefault="00EA1EA5" w:rsidP="00154473">
      <w:r>
        <w:t>9.</w:t>
      </w:r>
      <w:r>
        <w:tab/>
        <w:t xml:space="preserve">En este momento el método exige el uso de un programa estadístico especializado que permita estimar la heterogeneidad de la varianza de la </w:t>
      </w:r>
      <w:r>
        <w:rPr>
          <w:rFonts w:cs="Arial"/>
          <w:cs/>
        </w:rPr>
        <w:t>“</w:t>
      </w:r>
      <w:r>
        <w:t>variedad x ciclo</w:t>
      </w:r>
      <w:r>
        <w:rPr>
          <w:rFonts w:cs="Arial"/>
          <w:cs/>
        </w:rPr>
        <w:t xml:space="preserve">” </w:t>
      </w:r>
      <w:r>
        <w:t>y los parámetros de una distribución gama.</w:t>
      </w:r>
      <w:r w:rsidR="002D2AEF">
        <w:t xml:space="preserve">  </w:t>
      </w:r>
      <w:r>
        <w:t xml:space="preserve">En este ejemplo hemos utilizado </w:t>
      </w:r>
      <w:proofErr w:type="spellStart"/>
      <w:r>
        <w:t>GenStat</w:t>
      </w:r>
      <w:proofErr w:type="spellEnd"/>
      <w:r>
        <w:t>, pero ASREML (tal vez combinado con R) también permite hacerlo y posiblemente también SAS.</w:t>
      </w:r>
    </w:p>
    <w:p w:rsidR="00154473" w:rsidRPr="0026215A" w:rsidRDefault="00154473" w:rsidP="00154473"/>
    <w:p w:rsidR="00154473" w:rsidRPr="0026215A" w:rsidRDefault="00EA1EA5" w:rsidP="00154473">
      <w:r>
        <w:t>10.</w:t>
      </w:r>
      <w:r>
        <w:tab/>
        <w:t>Aparte de eso, el método emplea una fórmula, que si bien es un poco compleja debe ser fácil de int</w:t>
      </w:r>
      <w:r w:rsidR="00D543B1">
        <w:t>egrar</w:t>
      </w:r>
      <w:r>
        <w:t xml:space="preserve"> en un programa. </w:t>
      </w:r>
      <w:r w:rsidR="00D543B1">
        <w:t xml:space="preserve"> </w:t>
      </w:r>
      <w:r>
        <w:t>En principio no es necesario actualizar los umbrales todos los años.</w:t>
      </w:r>
    </w:p>
    <w:p w:rsidR="00154473" w:rsidRPr="0026215A" w:rsidRDefault="00154473" w:rsidP="00154473"/>
    <w:p w:rsidR="00154473" w:rsidRPr="0026215A" w:rsidRDefault="00EA1EA5" w:rsidP="00154473">
      <w:r w:rsidRPr="00D543B1">
        <w:t>11.</w:t>
      </w:r>
      <w:r w:rsidRPr="00D543B1">
        <w:tab/>
      </w:r>
      <w:r w:rsidR="00D543B1" w:rsidRPr="00D543B1">
        <w:t xml:space="preserve">Se encontrará más información sobre el método en el documento TWC/33/20 Rev. </w:t>
      </w:r>
      <w:proofErr w:type="gramStart"/>
      <w:r w:rsidR="00D543B1" w:rsidRPr="00D543B1">
        <w:t>y</w:t>
      </w:r>
      <w:proofErr w:type="gramEnd"/>
      <w:r w:rsidR="00D543B1" w:rsidRPr="00D543B1">
        <w:t xml:space="preserve"> en un artículo </w:t>
      </w:r>
      <w:r w:rsidRPr="00D543B1">
        <w:t xml:space="preserve">(Roberts A.M.I., </w:t>
      </w:r>
      <w:proofErr w:type="spellStart"/>
      <w:r w:rsidRPr="00D543B1">
        <w:t>Nevison</w:t>
      </w:r>
      <w:proofErr w:type="spellEnd"/>
      <w:r w:rsidRPr="00D543B1">
        <w:t xml:space="preserve"> I.M., Christie T. (in </w:t>
      </w:r>
      <w:proofErr w:type="spellStart"/>
      <w:r w:rsidRPr="00D543B1">
        <w:t>press</w:t>
      </w:r>
      <w:proofErr w:type="spellEnd"/>
      <w:r w:rsidRPr="00D543B1">
        <w:t xml:space="preserve">) </w:t>
      </w:r>
      <w:proofErr w:type="spellStart"/>
      <w:r w:rsidRPr="00415A17">
        <w:rPr>
          <w:i/>
        </w:rPr>
        <w:t>Prediction</w:t>
      </w:r>
      <w:proofErr w:type="spellEnd"/>
      <w:r w:rsidRPr="00415A17">
        <w:rPr>
          <w:i/>
        </w:rPr>
        <w:t xml:space="preserve"> of </w:t>
      </w:r>
      <w:proofErr w:type="spellStart"/>
      <w:r w:rsidRPr="00415A17">
        <w:rPr>
          <w:i/>
        </w:rPr>
        <w:t>variety</w:t>
      </w:r>
      <w:proofErr w:type="spellEnd"/>
      <w:r w:rsidRPr="00415A17">
        <w:rPr>
          <w:i/>
        </w:rPr>
        <w:t xml:space="preserve"> </w:t>
      </w:r>
      <w:proofErr w:type="spellStart"/>
      <w:r w:rsidRPr="00415A17">
        <w:rPr>
          <w:i/>
        </w:rPr>
        <w:t>distinctness</w:t>
      </w:r>
      <w:proofErr w:type="spellEnd"/>
      <w:r w:rsidRPr="00415A17">
        <w:rPr>
          <w:i/>
        </w:rPr>
        <w:t xml:space="preserve"> </w:t>
      </w:r>
      <w:proofErr w:type="spellStart"/>
      <w:r w:rsidRPr="00415A17">
        <w:rPr>
          <w:i/>
        </w:rPr>
        <w:t>decisions</w:t>
      </w:r>
      <w:proofErr w:type="spellEnd"/>
      <w:r w:rsidRPr="00415A17">
        <w:rPr>
          <w:i/>
        </w:rPr>
        <w:t xml:space="preserve"> </w:t>
      </w:r>
      <w:proofErr w:type="spellStart"/>
      <w:r w:rsidRPr="00415A17">
        <w:rPr>
          <w:i/>
        </w:rPr>
        <w:t>under</w:t>
      </w:r>
      <w:proofErr w:type="spellEnd"/>
      <w:r w:rsidRPr="00415A17">
        <w:rPr>
          <w:i/>
        </w:rPr>
        <w:t xml:space="preserve"> </w:t>
      </w:r>
      <w:proofErr w:type="spellStart"/>
      <w:r w:rsidRPr="00415A17">
        <w:rPr>
          <w:i/>
        </w:rPr>
        <w:t>yearly</w:t>
      </w:r>
      <w:proofErr w:type="spellEnd"/>
      <w:r w:rsidRPr="00415A17">
        <w:rPr>
          <w:i/>
        </w:rPr>
        <w:t xml:space="preserve"> </w:t>
      </w:r>
      <w:proofErr w:type="spellStart"/>
      <w:r w:rsidRPr="00415A17">
        <w:rPr>
          <w:i/>
        </w:rPr>
        <w:t>heterogeneity</w:t>
      </w:r>
      <w:proofErr w:type="spellEnd"/>
      <w:r w:rsidRPr="00D543B1">
        <w:t xml:space="preserve">. </w:t>
      </w:r>
      <w:proofErr w:type="spellStart"/>
      <w:r w:rsidRPr="00D543B1">
        <w:rPr>
          <w:i/>
        </w:rPr>
        <w:t>Journal</w:t>
      </w:r>
      <w:proofErr w:type="spellEnd"/>
      <w:r w:rsidRPr="00D543B1">
        <w:rPr>
          <w:i/>
        </w:rPr>
        <w:t xml:space="preserve"> of </w:t>
      </w:r>
      <w:proofErr w:type="spellStart"/>
      <w:r w:rsidRPr="00D543B1">
        <w:rPr>
          <w:i/>
        </w:rPr>
        <w:t>Agricultural</w:t>
      </w:r>
      <w:proofErr w:type="spellEnd"/>
      <w:r w:rsidRPr="00D543B1">
        <w:rPr>
          <w:i/>
        </w:rPr>
        <w:t xml:space="preserve"> </w:t>
      </w:r>
      <w:proofErr w:type="spellStart"/>
      <w:r w:rsidRPr="00D543B1">
        <w:rPr>
          <w:i/>
        </w:rPr>
        <w:t>Science</w:t>
      </w:r>
      <w:proofErr w:type="spellEnd"/>
      <w:r>
        <w:t xml:space="preserve"> </w:t>
      </w:r>
      <w:proofErr w:type="spellStart"/>
      <w:r>
        <w:t>doi</w:t>
      </w:r>
      <w:proofErr w:type="spellEnd"/>
      <w:r>
        <w:t>: 10.1017/S0021859615001306).</w:t>
      </w:r>
    </w:p>
    <w:p w:rsidR="00154473" w:rsidRPr="0026215A" w:rsidRDefault="00154473" w:rsidP="00154473"/>
    <w:p w:rsidR="00154473" w:rsidRPr="0026215A" w:rsidRDefault="00EA1EA5" w:rsidP="00154473">
      <w:pPr>
        <w:rPr>
          <w:caps/>
        </w:rPr>
      </w:pPr>
      <w:r>
        <w:rPr>
          <w:caps/>
        </w:rPr>
        <w:t>ejemplo</w:t>
      </w:r>
    </w:p>
    <w:p w:rsidR="00154473" w:rsidRPr="0026215A" w:rsidRDefault="00154473" w:rsidP="00154473"/>
    <w:p w:rsidR="00154473" w:rsidRPr="0026215A" w:rsidRDefault="00EA1EA5" w:rsidP="00154473">
      <w:r>
        <w:t>12.</w:t>
      </w:r>
      <w:r>
        <w:tab/>
        <w:t xml:space="preserve">El método propuesto se ejemplifica con un conjunto de datos de los ensayos de distinción del guisante forrajero del Reino Unido llevados a cabo entre 1995 a 2013.  Se analizó el grupo de variedades </w:t>
      </w:r>
      <w:proofErr w:type="spellStart"/>
      <w:r>
        <w:t>semiáfilas</w:t>
      </w:r>
      <w:proofErr w:type="spellEnd"/>
      <w:r>
        <w:t xml:space="preserve">.  Los ensayos se llevaron a cabo en </w:t>
      </w:r>
      <w:proofErr w:type="spellStart"/>
      <w:r>
        <w:rPr>
          <w:i/>
        </w:rPr>
        <w:t>Science</w:t>
      </w:r>
      <w:proofErr w:type="spellEnd"/>
      <w:r>
        <w:rPr>
          <w:i/>
        </w:rPr>
        <w:t xml:space="preserve"> and </w:t>
      </w:r>
      <w:proofErr w:type="spellStart"/>
      <w:r>
        <w:rPr>
          <w:i/>
        </w:rPr>
        <w:t>Advice</w:t>
      </w:r>
      <w:proofErr w:type="spellEnd"/>
      <w:r>
        <w:rPr>
          <w:i/>
        </w:rPr>
        <w:t xml:space="preserve"> </w:t>
      </w:r>
      <w:proofErr w:type="spellStart"/>
      <w:r>
        <w:rPr>
          <w:i/>
        </w:rPr>
        <w:t>for</w:t>
      </w:r>
      <w:proofErr w:type="spellEnd"/>
      <w:r>
        <w:rPr>
          <w:i/>
        </w:rPr>
        <w:t xml:space="preserve"> Scottish </w:t>
      </w:r>
      <w:proofErr w:type="spellStart"/>
      <w:r>
        <w:rPr>
          <w:i/>
        </w:rPr>
        <w:t>Agriculture</w:t>
      </w:r>
      <w:proofErr w:type="spellEnd"/>
      <w:r>
        <w:t xml:space="preserve"> (SASA), cerca de Edimburgo.  Cada ensayo tuvo dos repeticiones y entre 129 y 290 variedades.  Se analizaron trece caracteres cuantitativos.  En este estudio solo se utilizaron las variedades con datos de seis o más ciclos, de manera que quedaron 222 variedades.  Para el COYD se empleó un nivel de probabilidad del 2%.</w:t>
      </w:r>
    </w:p>
    <w:p w:rsidR="00154473" w:rsidRPr="0026215A" w:rsidRDefault="00154473" w:rsidP="00154473"/>
    <w:p w:rsidR="00154473" w:rsidRPr="0026215A" w:rsidRDefault="00EA1EA5" w:rsidP="00154473">
      <w:r>
        <w:t>13.</w:t>
      </w:r>
      <w:r>
        <w:tab/>
        <w:t>En el cuadro 1 se presentan los caracteres analizados, junto con algunos estadísticos básicos para dar una idea de las escalas.  Téngase en cuenta que algunas son valoraciones de estos caracteres.  Se inclu</w:t>
      </w:r>
      <w:r w:rsidR="002D2AEF">
        <w:t>ye un índice de heterogeneidad,</w:t>
      </w:r>
      <w:r>
        <w:t xml:space="preserve"> basado en las variaciones de las sumas de cuadrados entre modelos con y sin la heterogeneidad a lo largo de los ciclos, divididas por el correspondiente cambio en los grados de libertad: </w:t>
      </w:r>
      <w:r w:rsidR="00221EE8">
        <w:t xml:space="preserve"> </w:t>
      </w:r>
      <w:r>
        <w:t xml:space="preserve">cuanto mayor es el índice, mayor es la importancia de la heterogeneidad.  La mayor heterogeneidad se encontró en los caracteres 5 y 28.  Cabe señalar que el nivel de heterogeneidad varietal de la varianza de la </w:t>
      </w:r>
      <w:r>
        <w:rPr>
          <w:rFonts w:cs="Arial"/>
          <w:cs/>
        </w:rPr>
        <w:t>“</w:t>
      </w:r>
      <w:r>
        <w:t>variedad x ciclo</w:t>
      </w:r>
      <w:r>
        <w:rPr>
          <w:rFonts w:cs="Arial"/>
          <w:cs/>
        </w:rPr>
        <w:t xml:space="preserve">” </w:t>
      </w:r>
      <w:r>
        <w:t>(no se muestra) fue muy inferior.</w:t>
      </w:r>
    </w:p>
    <w:p w:rsidR="00154473" w:rsidRPr="0026215A" w:rsidRDefault="00154473" w:rsidP="00154473"/>
    <w:p w:rsidR="00154473" w:rsidRDefault="00EA1EA5" w:rsidP="00154473">
      <w:r>
        <w:t>14.</w:t>
      </w:r>
      <w:r>
        <w:tab/>
        <w:t>En el cuadro 2 se presentan los umbrales del primer ciclo calculados para cada carácter, basados en probabilidades de distinción (</w:t>
      </w:r>
      <w:proofErr w:type="spellStart"/>
      <w:r w:rsidRPr="001D0B00">
        <w:rPr>
          <w:i/>
        </w:rPr>
        <w:t>p</w:t>
      </w:r>
      <w:r w:rsidRPr="001D0B00">
        <w:rPr>
          <w:i/>
          <w:vertAlign w:val="subscript"/>
        </w:rPr>
        <w:t>D</w:t>
      </w:r>
      <w:proofErr w:type="spellEnd"/>
      <w:r>
        <w:t>) del 90%, 95% y 99%.  Estas probabilidades se comparan con un criterio</w:t>
      </w:r>
      <w:r w:rsidR="00221EE8">
        <w:t> </w:t>
      </w:r>
      <w:r>
        <w:t xml:space="preserve">COYD promedio del examen de dos ciclos (a partir de datos de largo plazo y equivalente a la diferencia mínima significativa (DMS) de largo plazo).  También se comparan con las tolerancias basadas en la experiencia que se emplean actualmente en el Reino Unido para excluir variedades notoriamente conocidas después del primer ciclo. </w:t>
      </w:r>
    </w:p>
    <w:p w:rsidR="00154473" w:rsidRPr="0026215A" w:rsidRDefault="00154473" w:rsidP="00154473"/>
    <w:p w:rsidR="00154473" w:rsidRPr="0026215A" w:rsidRDefault="00154473" w:rsidP="00154473"/>
    <w:p w:rsidR="00154473" w:rsidRPr="00463A17" w:rsidRDefault="00EA1EA5" w:rsidP="00154473">
      <w:r>
        <w:t xml:space="preserve">Cuadro 1. </w:t>
      </w:r>
      <w:r w:rsidR="001D0B00">
        <w:t xml:space="preserve"> </w:t>
      </w:r>
      <w:r>
        <w:t xml:space="preserve">Caracteres considerados en el conjunto de datos del ejemplo y sus estadísticos </w:t>
      </w:r>
    </w:p>
    <w:p w:rsidR="00154473" w:rsidRPr="00BA2363" w:rsidRDefault="00154473" w:rsidP="00154473">
      <w:pPr>
        <w:rPr>
          <w:i/>
        </w:rPr>
      </w:pPr>
    </w:p>
    <w:tbl>
      <w:tblPr>
        <w:tblW w:w="9650" w:type="dxa"/>
        <w:tblInd w:w="108" w:type="dxa"/>
        <w:tblBorders>
          <w:top w:val="single" w:sz="4" w:space="0" w:color="auto"/>
          <w:bottom w:val="single" w:sz="4" w:space="0" w:color="auto"/>
        </w:tblBorders>
        <w:tblLayout w:type="fixed"/>
        <w:tblLook w:val="04A0" w:firstRow="1" w:lastRow="0" w:firstColumn="1" w:lastColumn="0" w:noHBand="0" w:noVBand="1"/>
      </w:tblPr>
      <w:tblGrid>
        <w:gridCol w:w="3969"/>
        <w:gridCol w:w="851"/>
        <w:gridCol w:w="1276"/>
        <w:gridCol w:w="992"/>
        <w:gridCol w:w="955"/>
        <w:gridCol w:w="1607"/>
      </w:tblGrid>
      <w:tr w:rsidR="00154473" w:rsidRPr="004950C9" w:rsidTr="0077223A">
        <w:tc>
          <w:tcPr>
            <w:tcW w:w="3969" w:type="dxa"/>
            <w:tcBorders>
              <w:top w:val="single" w:sz="4" w:space="0" w:color="auto"/>
              <w:bottom w:val="single" w:sz="4" w:space="0" w:color="auto"/>
            </w:tcBorders>
          </w:tcPr>
          <w:p w:rsidR="00154473" w:rsidRPr="00C5453F" w:rsidRDefault="00EA1EA5" w:rsidP="00154473">
            <w:r>
              <w:t>Caracteres (número de la UPOV)</w:t>
            </w:r>
          </w:p>
        </w:tc>
        <w:tc>
          <w:tcPr>
            <w:tcW w:w="851" w:type="dxa"/>
            <w:tcBorders>
              <w:top w:val="single" w:sz="4" w:space="0" w:color="auto"/>
              <w:bottom w:val="single" w:sz="4" w:space="0" w:color="auto"/>
            </w:tcBorders>
          </w:tcPr>
          <w:p w:rsidR="00154473" w:rsidRPr="00C5453F" w:rsidRDefault="00EA1EA5" w:rsidP="00154473">
            <w:pPr>
              <w:jc w:val="center"/>
            </w:pPr>
            <w:r>
              <w:t>Media</w:t>
            </w:r>
          </w:p>
        </w:tc>
        <w:tc>
          <w:tcPr>
            <w:tcW w:w="1276" w:type="dxa"/>
            <w:tcBorders>
              <w:top w:val="single" w:sz="4" w:space="0" w:color="auto"/>
              <w:bottom w:val="single" w:sz="4" w:space="0" w:color="auto"/>
            </w:tcBorders>
          </w:tcPr>
          <w:p w:rsidR="00154473" w:rsidRPr="00C5453F" w:rsidRDefault="00EA1EA5" w:rsidP="00154473">
            <w:pPr>
              <w:jc w:val="center"/>
            </w:pPr>
            <w:r>
              <w:t>Desviación típica</w:t>
            </w:r>
          </w:p>
        </w:tc>
        <w:tc>
          <w:tcPr>
            <w:tcW w:w="992" w:type="dxa"/>
            <w:tcBorders>
              <w:top w:val="single" w:sz="4" w:space="0" w:color="auto"/>
              <w:bottom w:val="single" w:sz="4" w:space="0" w:color="auto"/>
            </w:tcBorders>
          </w:tcPr>
          <w:p w:rsidR="00154473" w:rsidRPr="00C5453F" w:rsidRDefault="00EA1EA5" w:rsidP="00154473">
            <w:pPr>
              <w:jc w:val="center"/>
            </w:pPr>
            <w:r>
              <w:t>Mínimo</w:t>
            </w:r>
          </w:p>
        </w:tc>
        <w:tc>
          <w:tcPr>
            <w:tcW w:w="955" w:type="dxa"/>
            <w:tcBorders>
              <w:top w:val="single" w:sz="4" w:space="0" w:color="auto"/>
              <w:bottom w:val="single" w:sz="4" w:space="0" w:color="auto"/>
            </w:tcBorders>
          </w:tcPr>
          <w:p w:rsidR="00154473" w:rsidRPr="00C5453F" w:rsidRDefault="00EA1EA5" w:rsidP="00154473">
            <w:pPr>
              <w:jc w:val="center"/>
            </w:pPr>
            <w:r>
              <w:t>Máximo</w:t>
            </w:r>
          </w:p>
        </w:tc>
        <w:tc>
          <w:tcPr>
            <w:tcW w:w="1607" w:type="dxa"/>
            <w:tcBorders>
              <w:top w:val="single" w:sz="4" w:space="0" w:color="auto"/>
              <w:bottom w:val="single" w:sz="4" w:space="0" w:color="auto"/>
            </w:tcBorders>
          </w:tcPr>
          <w:p w:rsidR="00154473" w:rsidRPr="00C5453F" w:rsidRDefault="00EA1EA5" w:rsidP="00154473">
            <w:pPr>
              <w:jc w:val="center"/>
            </w:pPr>
            <w:r>
              <w:t>Índice de heterogeneidad entre ciclos</w:t>
            </w:r>
          </w:p>
        </w:tc>
      </w:tr>
      <w:tr w:rsidR="00154473" w:rsidRPr="004950C9" w:rsidTr="0077223A">
        <w:tc>
          <w:tcPr>
            <w:tcW w:w="3969" w:type="dxa"/>
            <w:tcBorders>
              <w:top w:val="single" w:sz="4" w:space="0" w:color="auto"/>
              <w:bottom w:val="nil"/>
            </w:tcBorders>
          </w:tcPr>
          <w:p w:rsidR="00154473" w:rsidRPr="00C5453F" w:rsidRDefault="00EA1EA5" w:rsidP="002D2AEF">
            <w:pPr>
              <w:ind w:left="459" w:hanging="425"/>
            </w:pPr>
            <w:r>
              <w:t>(5)</w:t>
            </w:r>
            <w:r>
              <w:rPr>
                <w:b/>
              </w:rPr>
              <w:t xml:space="preserve"> </w:t>
            </w:r>
            <w:r>
              <w:t>Tallo:</w:t>
            </w:r>
            <w:r w:rsidR="002D2AEF">
              <w:t>  </w:t>
            </w:r>
            <w:r>
              <w:t>número de nudos hasta el primer nudo fértil, con inclusión de este</w:t>
            </w:r>
          </w:p>
        </w:tc>
        <w:tc>
          <w:tcPr>
            <w:tcW w:w="851" w:type="dxa"/>
            <w:tcBorders>
              <w:top w:val="single" w:sz="4" w:space="0" w:color="auto"/>
              <w:bottom w:val="nil"/>
            </w:tcBorders>
          </w:tcPr>
          <w:p w:rsidR="00154473" w:rsidRPr="00C5453F" w:rsidRDefault="00EA1EA5" w:rsidP="00154473">
            <w:pPr>
              <w:tabs>
                <w:tab w:val="decimal" w:pos="423"/>
              </w:tabs>
              <w:jc w:val="left"/>
            </w:pPr>
            <w:r>
              <w:t>16,0</w:t>
            </w:r>
          </w:p>
        </w:tc>
        <w:tc>
          <w:tcPr>
            <w:tcW w:w="1276" w:type="dxa"/>
            <w:tcBorders>
              <w:top w:val="single" w:sz="4" w:space="0" w:color="auto"/>
              <w:bottom w:val="nil"/>
            </w:tcBorders>
          </w:tcPr>
          <w:p w:rsidR="00154473" w:rsidRPr="00C5453F" w:rsidRDefault="00EA1EA5" w:rsidP="00154473">
            <w:pPr>
              <w:tabs>
                <w:tab w:val="decimal" w:pos="423"/>
              </w:tabs>
              <w:jc w:val="left"/>
            </w:pPr>
            <w:r>
              <w:t>1,59</w:t>
            </w:r>
          </w:p>
        </w:tc>
        <w:tc>
          <w:tcPr>
            <w:tcW w:w="992" w:type="dxa"/>
            <w:tcBorders>
              <w:top w:val="single" w:sz="4" w:space="0" w:color="auto"/>
              <w:bottom w:val="nil"/>
            </w:tcBorders>
          </w:tcPr>
          <w:p w:rsidR="00154473" w:rsidRPr="00C5453F" w:rsidRDefault="00EA1EA5" w:rsidP="00154473">
            <w:pPr>
              <w:tabs>
                <w:tab w:val="decimal" w:pos="423"/>
              </w:tabs>
              <w:jc w:val="left"/>
            </w:pPr>
            <w:r>
              <w:t>9,6</w:t>
            </w:r>
          </w:p>
        </w:tc>
        <w:tc>
          <w:tcPr>
            <w:tcW w:w="955" w:type="dxa"/>
            <w:tcBorders>
              <w:top w:val="single" w:sz="4" w:space="0" w:color="auto"/>
              <w:bottom w:val="nil"/>
            </w:tcBorders>
          </w:tcPr>
          <w:p w:rsidR="00154473" w:rsidRPr="00C5453F" w:rsidRDefault="00EA1EA5" w:rsidP="00154473">
            <w:pPr>
              <w:tabs>
                <w:tab w:val="decimal" w:pos="593"/>
              </w:tabs>
              <w:jc w:val="left"/>
            </w:pPr>
            <w:r>
              <w:t>20,9</w:t>
            </w:r>
          </w:p>
        </w:tc>
        <w:tc>
          <w:tcPr>
            <w:tcW w:w="1607" w:type="dxa"/>
            <w:tcBorders>
              <w:top w:val="single" w:sz="4" w:space="0" w:color="auto"/>
              <w:bottom w:val="nil"/>
            </w:tcBorders>
          </w:tcPr>
          <w:p w:rsidR="00154473" w:rsidRPr="00C5453F" w:rsidRDefault="00EA1EA5" w:rsidP="00154473">
            <w:pPr>
              <w:widowControl w:val="0"/>
              <w:tabs>
                <w:tab w:val="decimal" w:pos="593"/>
              </w:tabs>
              <w:jc w:val="left"/>
              <w:rPr>
                <w:szCs w:val="24"/>
              </w:rPr>
            </w:pPr>
            <w:r>
              <w:t>13,0</w:t>
            </w:r>
          </w:p>
        </w:tc>
      </w:tr>
      <w:tr w:rsidR="00154473" w:rsidRPr="004950C9" w:rsidTr="0077223A">
        <w:tc>
          <w:tcPr>
            <w:tcW w:w="3969" w:type="dxa"/>
            <w:tcBorders>
              <w:top w:val="nil"/>
            </w:tcBorders>
          </w:tcPr>
          <w:p w:rsidR="00154473" w:rsidRPr="00C5453F" w:rsidRDefault="00EA1EA5" w:rsidP="002D2AEF">
            <w:pPr>
              <w:ind w:left="459" w:hanging="425"/>
            </w:pPr>
            <w:r>
              <w:t>(15) Estípula:  longitud (mm)</w:t>
            </w:r>
          </w:p>
        </w:tc>
        <w:tc>
          <w:tcPr>
            <w:tcW w:w="851" w:type="dxa"/>
            <w:tcBorders>
              <w:top w:val="nil"/>
            </w:tcBorders>
          </w:tcPr>
          <w:p w:rsidR="00154473" w:rsidRPr="00C5453F" w:rsidRDefault="00EA1EA5" w:rsidP="00154473">
            <w:pPr>
              <w:tabs>
                <w:tab w:val="decimal" w:pos="423"/>
              </w:tabs>
              <w:jc w:val="left"/>
            </w:pPr>
            <w:r>
              <w:t>82,3</w:t>
            </w:r>
          </w:p>
        </w:tc>
        <w:tc>
          <w:tcPr>
            <w:tcW w:w="1276" w:type="dxa"/>
            <w:tcBorders>
              <w:top w:val="nil"/>
            </w:tcBorders>
          </w:tcPr>
          <w:p w:rsidR="00154473" w:rsidRPr="00C5453F" w:rsidRDefault="00EA1EA5" w:rsidP="00154473">
            <w:pPr>
              <w:tabs>
                <w:tab w:val="decimal" w:pos="423"/>
              </w:tabs>
              <w:jc w:val="left"/>
            </w:pPr>
            <w:r>
              <w:t>13,48</w:t>
            </w:r>
          </w:p>
        </w:tc>
        <w:tc>
          <w:tcPr>
            <w:tcW w:w="992" w:type="dxa"/>
            <w:tcBorders>
              <w:top w:val="nil"/>
            </w:tcBorders>
          </w:tcPr>
          <w:p w:rsidR="00154473" w:rsidRPr="00C5453F" w:rsidRDefault="00EA1EA5" w:rsidP="00154473">
            <w:pPr>
              <w:tabs>
                <w:tab w:val="decimal" w:pos="423"/>
              </w:tabs>
              <w:jc w:val="left"/>
            </w:pPr>
            <w:r>
              <w:t>47,2</w:t>
            </w:r>
          </w:p>
        </w:tc>
        <w:tc>
          <w:tcPr>
            <w:tcW w:w="955" w:type="dxa"/>
            <w:tcBorders>
              <w:top w:val="nil"/>
            </w:tcBorders>
          </w:tcPr>
          <w:p w:rsidR="00154473" w:rsidRPr="00C5453F" w:rsidRDefault="00EA1EA5" w:rsidP="00154473">
            <w:pPr>
              <w:tabs>
                <w:tab w:val="decimal" w:pos="593"/>
              </w:tabs>
              <w:jc w:val="left"/>
            </w:pPr>
            <w:r>
              <w:t>121,5</w:t>
            </w:r>
          </w:p>
        </w:tc>
        <w:tc>
          <w:tcPr>
            <w:tcW w:w="1607" w:type="dxa"/>
            <w:tcBorders>
              <w:top w:val="nil"/>
            </w:tcBorders>
          </w:tcPr>
          <w:p w:rsidR="00154473" w:rsidRPr="00C5453F" w:rsidRDefault="00EA1EA5" w:rsidP="00154473">
            <w:pPr>
              <w:widowControl w:val="0"/>
              <w:tabs>
                <w:tab w:val="decimal" w:pos="593"/>
              </w:tabs>
              <w:jc w:val="left"/>
              <w:rPr>
                <w:szCs w:val="24"/>
              </w:rPr>
            </w:pPr>
            <w:r>
              <w:t>4,4</w:t>
            </w:r>
          </w:p>
        </w:tc>
      </w:tr>
      <w:tr w:rsidR="00154473" w:rsidRPr="004950C9" w:rsidTr="0077223A">
        <w:tc>
          <w:tcPr>
            <w:tcW w:w="3969" w:type="dxa"/>
            <w:tcBorders>
              <w:top w:val="nil"/>
            </w:tcBorders>
          </w:tcPr>
          <w:p w:rsidR="00154473" w:rsidRPr="00C5453F" w:rsidRDefault="00EA1EA5" w:rsidP="002D2AEF">
            <w:pPr>
              <w:ind w:left="459" w:hanging="425"/>
            </w:pPr>
            <w:r>
              <w:t>(16) Estípula:  anchura (mm)</w:t>
            </w:r>
          </w:p>
        </w:tc>
        <w:tc>
          <w:tcPr>
            <w:tcW w:w="851" w:type="dxa"/>
            <w:tcBorders>
              <w:top w:val="nil"/>
            </w:tcBorders>
          </w:tcPr>
          <w:p w:rsidR="00154473" w:rsidRPr="00C5453F" w:rsidRDefault="00EA1EA5" w:rsidP="00154473">
            <w:pPr>
              <w:tabs>
                <w:tab w:val="decimal" w:pos="423"/>
              </w:tabs>
              <w:jc w:val="left"/>
            </w:pPr>
            <w:r>
              <w:t>46,3</w:t>
            </w:r>
          </w:p>
        </w:tc>
        <w:tc>
          <w:tcPr>
            <w:tcW w:w="1276" w:type="dxa"/>
            <w:tcBorders>
              <w:top w:val="nil"/>
            </w:tcBorders>
          </w:tcPr>
          <w:p w:rsidR="00154473" w:rsidRPr="00C5453F" w:rsidRDefault="00EA1EA5" w:rsidP="00154473">
            <w:pPr>
              <w:tabs>
                <w:tab w:val="decimal" w:pos="423"/>
              </w:tabs>
              <w:jc w:val="left"/>
            </w:pPr>
            <w:r>
              <w:t>8,80</w:t>
            </w:r>
          </w:p>
        </w:tc>
        <w:tc>
          <w:tcPr>
            <w:tcW w:w="992" w:type="dxa"/>
            <w:tcBorders>
              <w:top w:val="nil"/>
            </w:tcBorders>
          </w:tcPr>
          <w:p w:rsidR="00154473" w:rsidRPr="00C5453F" w:rsidRDefault="00EA1EA5" w:rsidP="00154473">
            <w:pPr>
              <w:tabs>
                <w:tab w:val="decimal" w:pos="423"/>
              </w:tabs>
              <w:jc w:val="left"/>
            </w:pPr>
            <w:r>
              <w:t>23,7</w:t>
            </w:r>
          </w:p>
        </w:tc>
        <w:tc>
          <w:tcPr>
            <w:tcW w:w="955" w:type="dxa"/>
            <w:tcBorders>
              <w:top w:val="nil"/>
            </w:tcBorders>
          </w:tcPr>
          <w:p w:rsidR="00154473" w:rsidRPr="00C5453F" w:rsidRDefault="00EA1EA5" w:rsidP="00154473">
            <w:pPr>
              <w:tabs>
                <w:tab w:val="decimal" w:pos="593"/>
              </w:tabs>
              <w:jc w:val="left"/>
            </w:pPr>
            <w:r>
              <w:t>79,0</w:t>
            </w:r>
          </w:p>
        </w:tc>
        <w:tc>
          <w:tcPr>
            <w:tcW w:w="1607" w:type="dxa"/>
            <w:tcBorders>
              <w:top w:val="nil"/>
            </w:tcBorders>
          </w:tcPr>
          <w:p w:rsidR="00154473" w:rsidRPr="00C5453F" w:rsidRDefault="00EA1EA5" w:rsidP="00154473">
            <w:pPr>
              <w:widowControl w:val="0"/>
              <w:tabs>
                <w:tab w:val="decimal" w:pos="593"/>
              </w:tabs>
              <w:jc w:val="left"/>
              <w:rPr>
                <w:szCs w:val="24"/>
              </w:rPr>
            </w:pPr>
            <w:r>
              <w:t>4,1</w:t>
            </w:r>
          </w:p>
        </w:tc>
      </w:tr>
      <w:tr w:rsidR="00154473" w:rsidRPr="004950C9" w:rsidTr="0077223A">
        <w:tc>
          <w:tcPr>
            <w:tcW w:w="3969" w:type="dxa"/>
            <w:tcBorders>
              <w:top w:val="nil"/>
            </w:tcBorders>
          </w:tcPr>
          <w:p w:rsidR="00154473" w:rsidRPr="00C5453F" w:rsidRDefault="00EA1EA5" w:rsidP="002D2AEF">
            <w:pPr>
              <w:tabs>
                <w:tab w:val="left" w:pos="357"/>
              </w:tabs>
              <w:ind w:left="459" w:hanging="425"/>
            </w:pPr>
            <w:r>
              <w:t>(21)</w:t>
            </w:r>
            <w:r>
              <w:rPr>
                <w:vertAlign w:val="superscript"/>
              </w:rPr>
              <w:t>*</w:t>
            </w:r>
            <w:r w:rsidR="0077223A">
              <w:rPr>
                <w:lang w:val="en-GB"/>
              </w:rPr>
              <w:t> </w:t>
            </w:r>
            <w:r>
              <w:t>Estípula:</w:t>
            </w:r>
            <w:r w:rsidR="002D2AEF">
              <w:t>  </w:t>
            </w:r>
            <w:r>
              <w:t>densidad del moteado (1</w:t>
            </w:r>
            <w:r w:rsidR="002D2AEF">
              <w:noBreakHyphen/>
            </w:r>
            <w:r>
              <w:t>9)</w:t>
            </w:r>
          </w:p>
        </w:tc>
        <w:tc>
          <w:tcPr>
            <w:tcW w:w="851" w:type="dxa"/>
            <w:tcBorders>
              <w:top w:val="nil"/>
            </w:tcBorders>
          </w:tcPr>
          <w:p w:rsidR="00154473" w:rsidRPr="00C5453F" w:rsidRDefault="00EA1EA5" w:rsidP="00154473">
            <w:pPr>
              <w:tabs>
                <w:tab w:val="decimal" w:pos="423"/>
              </w:tabs>
              <w:jc w:val="left"/>
            </w:pPr>
            <w:r>
              <w:t>5,3</w:t>
            </w:r>
          </w:p>
        </w:tc>
        <w:tc>
          <w:tcPr>
            <w:tcW w:w="1276" w:type="dxa"/>
            <w:tcBorders>
              <w:top w:val="nil"/>
            </w:tcBorders>
          </w:tcPr>
          <w:p w:rsidR="00154473" w:rsidRPr="00C5453F" w:rsidRDefault="00EA1EA5" w:rsidP="00154473">
            <w:pPr>
              <w:tabs>
                <w:tab w:val="decimal" w:pos="423"/>
              </w:tabs>
              <w:jc w:val="left"/>
            </w:pPr>
            <w:r>
              <w:t>0,90</w:t>
            </w:r>
          </w:p>
        </w:tc>
        <w:tc>
          <w:tcPr>
            <w:tcW w:w="992" w:type="dxa"/>
            <w:tcBorders>
              <w:top w:val="nil"/>
            </w:tcBorders>
          </w:tcPr>
          <w:p w:rsidR="00154473" w:rsidRPr="00C5453F" w:rsidRDefault="00EA1EA5" w:rsidP="00154473">
            <w:pPr>
              <w:tabs>
                <w:tab w:val="decimal" w:pos="423"/>
              </w:tabs>
              <w:jc w:val="left"/>
              <w:rPr>
                <w:b/>
                <w:caps/>
                <w:kern w:val="28"/>
                <w:sz w:val="30"/>
              </w:rPr>
            </w:pPr>
            <w:r>
              <w:t>2,5</w:t>
            </w:r>
          </w:p>
        </w:tc>
        <w:tc>
          <w:tcPr>
            <w:tcW w:w="955" w:type="dxa"/>
            <w:tcBorders>
              <w:top w:val="nil"/>
            </w:tcBorders>
          </w:tcPr>
          <w:p w:rsidR="00154473" w:rsidRPr="00C5453F" w:rsidRDefault="00EA1EA5" w:rsidP="00154473">
            <w:pPr>
              <w:tabs>
                <w:tab w:val="decimal" w:pos="593"/>
              </w:tabs>
              <w:jc w:val="left"/>
              <w:rPr>
                <w:b/>
                <w:caps/>
                <w:kern w:val="28"/>
                <w:sz w:val="30"/>
              </w:rPr>
            </w:pPr>
            <w:r>
              <w:t>8,0</w:t>
            </w:r>
          </w:p>
        </w:tc>
        <w:tc>
          <w:tcPr>
            <w:tcW w:w="1607" w:type="dxa"/>
            <w:tcBorders>
              <w:top w:val="nil"/>
            </w:tcBorders>
          </w:tcPr>
          <w:p w:rsidR="00154473" w:rsidRPr="00C5453F" w:rsidRDefault="00EA1EA5" w:rsidP="00154473">
            <w:pPr>
              <w:widowControl w:val="0"/>
              <w:tabs>
                <w:tab w:val="decimal" w:pos="593"/>
              </w:tabs>
              <w:jc w:val="left"/>
              <w:rPr>
                <w:b/>
                <w:caps/>
                <w:kern w:val="28"/>
                <w:sz w:val="30"/>
                <w:szCs w:val="24"/>
              </w:rPr>
            </w:pPr>
            <w:r>
              <w:t>4,3</w:t>
            </w:r>
          </w:p>
        </w:tc>
      </w:tr>
      <w:tr w:rsidR="00154473" w:rsidRPr="004950C9" w:rsidTr="0077223A">
        <w:tc>
          <w:tcPr>
            <w:tcW w:w="3969" w:type="dxa"/>
            <w:tcBorders>
              <w:top w:val="nil"/>
            </w:tcBorders>
          </w:tcPr>
          <w:p w:rsidR="00154473" w:rsidRPr="00C5453F" w:rsidRDefault="00EA1EA5" w:rsidP="002D2AEF">
            <w:pPr>
              <w:ind w:left="459" w:hanging="425"/>
            </w:pPr>
            <w:r>
              <w:t>(22)</w:t>
            </w:r>
            <w:r w:rsidR="0077223A">
              <w:t> </w:t>
            </w:r>
            <w:r>
              <w:t>Pecíolo:</w:t>
            </w:r>
            <w:r w:rsidR="0077223A">
              <w:t>  </w:t>
            </w:r>
            <w:r>
              <w:t>longitud desde la axila hasta el primer folíolo o zarcillo (mm)</w:t>
            </w:r>
          </w:p>
        </w:tc>
        <w:tc>
          <w:tcPr>
            <w:tcW w:w="851" w:type="dxa"/>
            <w:tcBorders>
              <w:top w:val="nil"/>
            </w:tcBorders>
          </w:tcPr>
          <w:p w:rsidR="00154473" w:rsidRPr="00C5453F" w:rsidRDefault="00EA1EA5" w:rsidP="00154473">
            <w:pPr>
              <w:tabs>
                <w:tab w:val="decimal" w:pos="423"/>
              </w:tabs>
              <w:jc w:val="left"/>
              <w:rPr>
                <w:b/>
                <w:caps/>
                <w:kern w:val="28"/>
                <w:sz w:val="30"/>
              </w:rPr>
            </w:pPr>
            <w:r>
              <w:t>83,2</w:t>
            </w:r>
          </w:p>
        </w:tc>
        <w:tc>
          <w:tcPr>
            <w:tcW w:w="1276" w:type="dxa"/>
            <w:tcBorders>
              <w:top w:val="nil"/>
            </w:tcBorders>
          </w:tcPr>
          <w:p w:rsidR="00154473" w:rsidRPr="00C5453F" w:rsidRDefault="00EA1EA5" w:rsidP="00154473">
            <w:pPr>
              <w:tabs>
                <w:tab w:val="decimal" w:pos="423"/>
              </w:tabs>
              <w:jc w:val="left"/>
              <w:rPr>
                <w:b/>
                <w:caps/>
                <w:kern w:val="28"/>
                <w:sz w:val="30"/>
              </w:rPr>
            </w:pPr>
            <w:r>
              <w:t>13,34</w:t>
            </w:r>
          </w:p>
        </w:tc>
        <w:tc>
          <w:tcPr>
            <w:tcW w:w="992" w:type="dxa"/>
            <w:tcBorders>
              <w:top w:val="nil"/>
            </w:tcBorders>
          </w:tcPr>
          <w:p w:rsidR="00154473" w:rsidRPr="00C5453F" w:rsidRDefault="00EA1EA5" w:rsidP="00154473">
            <w:pPr>
              <w:tabs>
                <w:tab w:val="decimal" w:pos="423"/>
              </w:tabs>
              <w:jc w:val="left"/>
              <w:rPr>
                <w:b/>
                <w:caps/>
                <w:kern w:val="28"/>
                <w:sz w:val="30"/>
              </w:rPr>
            </w:pPr>
            <w:r>
              <w:t>34,8</w:t>
            </w:r>
          </w:p>
        </w:tc>
        <w:tc>
          <w:tcPr>
            <w:tcW w:w="955" w:type="dxa"/>
            <w:tcBorders>
              <w:top w:val="nil"/>
            </w:tcBorders>
          </w:tcPr>
          <w:p w:rsidR="00154473" w:rsidRPr="00C5453F" w:rsidRDefault="00EA1EA5" w:rsidP="00154473">
            <w:pPr>
              <w:tabs>
                <w:tab w:val="decimal" w:pos="593"/>
              </w:tabs>
              <w:jc w:val="left"/>
              <w:rPr>
                <w:b/>
                <w:caps/>
                <w:kern w:val="28"/>
                <w:sz w:val="30"/>
              </w:rPr>
            </w:pPr>
            <w:r>
              <w:t>128,6</w:t>
            </w:r>
          </w:p>
        </w:tc>
        <w:tc>
          <w:tcPr>
            <w:tcW w:w="1607" w:type="dxa"/>
            <w:tcBorders>
              <w:top w:val="nil"/>
            </w:tcBorders>
          </w:tcPr>
          <w:p w:rsidR="00154473" w:rsidRPr="00C5453F" w:rsidRDefault="00EA1EA5" w:rsidP="00154473">
            <w:pPr>
              <w:widowControl w:val="0"/>
              <w:tabs>
                <w:tab w:val="decimal" w:pos="593"/>
              </w:tabs>
              <w:jc w:val="left"/>
              <w:rPr>
                <w:b/>
                <w:caps/>
                <w:kern w:val="28"/>
                <w:sz w:val="30"/>
                <w:szCs w:val="24"/>
              </w:rPr>
            </w:pPr>
            <w:r>
              <w:t>5,8</w:t>
            </w:r>
          </w:p>
        </w:tc>
      </w:tr>
      <w:tr w:rsidR="00154473" w:rsidRPr="004950C9" w:rsidTr="0077223A">
        <w:tc>
          <w:tcPr>
            <w:tcW w:w="3969" w:type="dxa"/>
          </w:tcPr>
          <w:p w:rsidR="00154473" w:rsidRPr="00C5453F" w:rsidRDefault="00EA1EA5" w:rsidP="002D2AEF">
            <w:pPr>
              <w:ind w:left="459" w:hanging="425"/>
            </w:pPr>
            <w:r>
              <w:t>(28) Flor:  anchura del estandarte (mm)</w:t>
            </w:r>
          </w:p>
        </w:tc>
        <w:tc>
          <w:tcPr>
            <w:tcW w:w="851" w:type="dxa"/>
          </w:tcPr>
          <w:p w:rsidR="00154473" w:rsidRPr="00C5453F" w:rsidRDefault="00EA1EA5" w:rsidP="00154473">
            <w:pPr>
              <w:tabs>
                <w:tab w:val="decimal" w:pos="423"/>
              </w:tabs>
              <w:jc w:val="left"/>
              <w:rPr>
                <w:b/>
                <w:caps/>
                <w:kern w:val="28"/>
                <w:sz w:val="30"/>
              </w:rPr>
            </w:pPr>
            <w:r>
              <w:t>31,8</w:t>
            </w:r>
          </w:p>
        </w:tc>
        <w:tc>
          <w:tcPr>
            <w:tcW w:w="1276" w:type="dxa"/>
          </w:tcPr>
          <w:p w:rsidR="00154473" w:rsidRPr="00C5453F" w:rsidRDefault="00EA1EA5" w:rsidP="00154473">
            <w:pPr>
              <w:tabs>
                <w:tab w:val="decimal" w:pos="423"/>
              </w:tabs>
              <w:jc w:val="left"/>
              <w:rPr>
                <w:b/>
                <w:caps/>
                <w:kern w:val="28"/>
                <w:sz w:val="30"/>
              </w:rPr>
            </w:pPr>
            <w:r>
              <w:t>2,64</w:t>
            </w:r>
          </w:p>
        </w:tc>
        <w:tc>
          <w:tcPr>
            <w:tcW w:w="992" w:type="dxa"/>
          </w:tcPr>
          <w:p w:rsidR="00154473" w:rsidRPr="00C5453F" w:rsidRDefault="00EA1EA5" w:rsidP="00154473">
            <w:pPr>
              <w:tabs>
                <w:tab w:val="decimal" w:pos="423"/>
              </w:tabs>
              <w:jc w:val="left"/>
              <w:rPr>
                <w:b/>
                <w:caps/>
                <w:kern w:val="28"/>
                <w:sz w:val="30"/>
              </w:rPr>
            </w:pPr>
            <w:r>
              <w:t>23,3</w:t>
            </w:r>
          </w:p>
        </w:tc>
        <w:tc>
          <w:tcPr>
            <w:tcW w:w="955" w:type="dxa"/>
          </w:tcPr>
          <w:p w:rsidR="00154473" w:rsidRPr="00C5453F" w:rsidRDefault="00EA1EA5" w:rsidP="00154473">
            <w:pPr>
              <w:tabs>
                <w:tab w:val="decimal" w:pos="593"/>
              </w:tabs>
              <w:jc w:val="left"/>
              <w:rPr>
                <w:b/>
                <w:caps/>
                <w:kern w:val="28"/>
                <w:sz w:val="30"/>
              </w:rPr>
            </w:pPr>
            <w:r>
              <w:t>41,1</w:t>
            </w:r>
          </w:p>
        </w:tc>
        <w:tc>
          <w:tcPr>
            <w:tcW w:w="1607" w:type="dxa"/>
          </w:tcPr>
          <w:p w:rsidR="00154473" w:rsidRPr="00C5453F" w:rsidRDefault="00EA1EA5" w:rsidP="00154473">
            <w:pPr>
              <w:widowControl w:val="0"/>
              <w:tabs>
                <w:tab w:val="decimal" w:pos="593"/>
              </w:tabs>
              <w:jc w:val="left"/>
              <w:rPr>
                <w:b/>
                <w:caps/>
                <w:kern w:val="28"/>
                <w:sz w:val="30"/>
                <w:szCs w:val="24"/>
              </w:rPr>
            </w:pPr>
            <w:r>
              <w:t>9,1</w:t>
            </w:r>
          </w:p>
        </w:tc>
      </w:tr>
      <w:tr w:rsidR="00154473" w:rsidRPr="004950C9" w:rsidTr="0077223A">
        <w:tc>
          <w:tcPr>
            <w:tcW w:w="3969" w:type="dxa"/>
          </w:tcPr>
          <w:p w:rsidR="00154473" w:rsidRPr="00C5453F" w:rsidRDefault="00EA1EA5" w:rsidP="002D2AEF">
            <w:pPr>
              <w:ind w:left="459" w:hanging="425"/>
            </w:pPr>
            <w:r>
              <w:t>(29)</w:t>
            </w:r>
            <w:r>
              <w:rPr>
                <w:vertAlign w:val="superscript"/>
              </w:rPr>
              <w:t>*</w:t>
            </w:r>
            <w:r w:rsidR="0077223A">
              <w:t> </w:t>
            </w:r>
            <w:r>
              <w:t>Flor:</w:t>
            </w:r>
            <w:r w:rsidR="0077223A">
              <w:t>  </w:t>
            </w:r>
            <w:r>
              <w:t>forma de la base del</w:t>
            </w:r>
            <w:r w:rsidR="002D2AEF">
              <w:t xml:space="preserve"> </w:t>
            </w:r>
            <w:r>
              <w:t>estandarte</w:t>
            </w:r>
            <w:r w:rsidR="002D2AEF">
              <w:t xml:space="preserve"> </w:t>
            </w:r>
            <w:r>
              <w:t>(1-9)</w:t>
            </w:r>
          </w:p>
        </w:tc>
        <w:tc>
          <w:tcPr>
            <w:tcW w:w="851" w:type="dxa"/>
          </w:tcPr>
          <w:p w:rsidR="00154473" w:rsidRPr="00C5453F" w:rsidRDefault="00EA1EA5" w:rsidP="00154473">
            <w:pPr>
              <w:tabs>
                <w:tab w:val="decimal" w:pos="423"/>
              </w:tabs>
              <w:jc w:val="left"/>
              <w:rPr>
                <w:b/>
                <w:caps/>
                <w:kern w:val="28"/>
                <w:sz w:val="30"/>
              </w:rPr>
            </w:pPr>
            <w:r>
              <w:t>6,8</w:t>
            </w:r>
          </w:p>
        </w:tc>
        <w:tc>
          <w:tcPr>
            <w:tcW w:w="1276" w:type="dxa"/>
          </w:tcPr>
          <w:p w:rsidR="00154473" w:rsidRPr="00C5453F" w:rsidRDefault="00EA1EA5" w:rsidP="00154473">
            <w:pPr>
              <w:tabs>
                <w:tab w:val="decimal" w:pos="423"/>
              </w:tabs>
              <w:jc w:val="left"/>
              <w:rPr>
                <w:b/>
                <w:caps/>
                <w:kern w:val="28"/>
                <w:sz w:val="30"/>
              </w:rPr>
            </w:pPr>
            <w:r>
              <w:t>1,02</w:t>
            </w:r>
          </w:p>
        </w:tc>
        <w:tc>
          <w:tcPr>
            <w:tcW w:w="992" w:type="dxa"/>
          </w:tcPr>
          <w:p w:rsidR="00154473" w:rsidRPr="00C5453F" w:rsidRDefault="00EA1EA5" w:rsidP="00154473">
            <w:pPr>
              <w:tabs>
                <w:tab w:val="decimal" w:pos="423"/>
              </w:tabs>
              <w:jc w:val="left"/>
              <w:rPr>
                <w:b/>
                <w:caps/>
                <w:kern w:val="28"/>
                <w:sz w:val="30"/>
              </w:rPr>
            </w:pPr>
            <w:r>
              <w:t>4,0</w:t>
            </w:r>
          </w:p>
        </w:tc>
        <w:tc>
          <w:tcPr>
            <w:tcW w:w="955" w:type="dxa"/>
          </w:tcPr>
          <w:p w:rsidR="00154473" w:rsidRPr="00C5453F" w:rsidRDefault="00EA1EA5" w:rsidP="00154473">
            <w:pPr>
              <w:tabs>
                <w:tab w:val="decimal" w:pos="593"/>
              </w:tabs>
              <w:jc w:val="left"/>
              <w:rPr>
                <w:b/>
                <w:caps/>
                <w:kern w:val="28"/>
                <w:sz w:val="30"/>
              </w:rPr>
            </w:pPr>
            <w:r>
              <w:t>9,0</w:t>
            </w:r>
          </w:p>
        </w:tc>
        <w:tc>
          <w:tcPr>
            <w:tcW w:w="1607" w:type="dxa"/>
          </w:tcPr>
          <w:p w:rsidR="00154473" w:rsidRPr="00C5453F" w:rsidRDefault="00EA1EA5" w:rsidP="00154473">
            <w:pPr>
              <w:widowControl w:val="0"/>
              <w:tabs>
                <w:tab w:val="decimal" w:pos="593"/>
              </w:tabs>
              <w:jc w:val="left"/>
              <w:rPr>
                <w:b/>
                <w:caps/>
                <w:kern w:val="28"/>
                <w:sz w:val="30"/>
                <w:szCs w:val="24"/>
              </w:rPr>
            </w:pPr>
            <w:r>
              <w:t>3,8</w:t>
            </w:r>
          </w:p>
        </w:tc>
      </w:tr>
      <w:tr w:rsidR="00154473" w:rsidRPr="004950C9" w:rsidTr="0077223A">
        <w:tc>
          <w:tcPr>
            <w:tcW w:w="3969" w:type="dxa"/>
          </w:tcPr>
          <w:p w:rsidR="00154473" w:rsidRPr="00C5453F" w:rsidRDefault="00EA1EA5" w:rsidP="002D2AEF">
            <w:pPr>
              <w:ind w:left="459" w:hanging="425"/>
            </w:pPr>
            <w:r>
              <w:t>(34) Pedúnculo:</w:t>
            </w:r>
            <w:r w:rsidR="0077223A">
              <w:t>  </w:t>
            </w:r>
            <w:r>
              <w:t>longitud desde el tallo hasta la primera vaina (mm)</w:t>
            </w:r>
          </w:p>
        </w:tc>
        <w:tc>
          <w:tcPr>
            <w:tcW w:w="851" w:type="dxa"/>
          </w:tcPr>
          <w:p w:rsidR="00154473" w:rsidRPr="00C5453F" w:rsidRDefault="00EA1EA5" w:rsidP="00154473">
            <w:pPr>
              <w:tabs>
                <w:tab w:val="decimal" w:pos="423"/>
              </w:tabs>
              <w:jc w:val="left"/>
              <w:rPr>
                <w:b/>
                <w:caps/>
                <w:kern w:val="28"/>
                <w:sz w:val="30"/>
              </w:rPr>
            </w:pPr>
            <w:r>
              <w:t>72,9</w:t>
            </w:r>
          </w:p>
        </w:tc>
        <w:tc>
          <w:tcPr>
            <w:tcW w:w="1276" w:type="dxa"/>
          </w:tcPr>
          <w:p w:rsidR="00154473" w:rsidRPr="00C5453F" w:rsidRDefault="00EA1EA5" w:rsidP="00154473">
            <w:pPr>
              <w:tabs>
                <w:tab w:val="decimal" w:pos="423"/>
              </w:tabs>
              <w:jc w:val="left"/>
              <w:rPr>
                <w:b/>
                <w:caps/>
                <w:kern w:val="28"/>
                <w:sz w:val="30"/>
              </w:rPr>
            </w:pPr>
            <w:r>
              <w:t>24,41</w:t>
            </w:r>
          </w:p>
        </w:tc>
        <w:tc>
          <w:tcPr>
            <w:tcW w:w="992" w:type="dxa"/>
          </w:tcPr>
          <w:p w:rsidR="00154473" w:rsidRPr="00C5453F" w:rsidRDefault="00EA1EA5" w:rsidP="00154473">
            <w:pPr>
              <w:tabs>
                <w:tab w:val="decimal" w:pos="423"/>
              </w:tabs>
              <w:jc w:val="left"/>
              <w:rPr>
                <w:b/>
                <w:caps/>
                <w:kern w:val="28"/>
                <w:sz w:val="30"/>
              </w:rPr>
            </w:pPr>
            <w:r>
              <w:t>12,0</w:t>
            </w:r>
          </w:p>
        </w:tc>
        <w:tc>
          <w:tcPr>
            <w:tcW w:w="955" w:type="dxa"/>
          </w:tcPr>
          <w:p w:rsidR="00154473" w:rsidRPr="00C5453F" w:rsidRDefault="00EA1EA5" w:rsidP="00154473">
            <w:pPr>
              <w:tabs>
                <w:tab w:val="decimal" w:pos="593"/>
              </w:tabs>
              <w:jc w:val="left"/>
              <w:rPr>
                <w:b/>
                <w:caps/>
                <w:kern w:val="28"/>
                <w:sz w:val="30"/>
              </w:rPr>
            </w:pPr>
            <w:r>
              <w:t>145,7</w:t>
            </w:r>
          </w:p>
        </w:tc>
        <w:tc>
          <w:tcPr>
            <w:tcW w:w="1607" w:type="dxa"/>
          </w:tcPr>
          <w:p w:rsidR="00154473" w:rsidRPr="00C5453F" w:rsidRDefault="00EA1EA5" w:rsidP="00154473">
            <w:pPr>
              <w:widowControl w:val="0"/>
              <w:tabs>
                <w:tab w:val="decimal" w:pos="593"/>
              </w:tabs>
              <w:jc w:val="left"/>
              <w:rPr>
                <w:b/>
                <w:caps/>
                <w:kern w:val="28"/>
                <w:sz w:val="30"/>
                <w:szCs w:val="24"/>
              </w:rPr>
            </w:pPr>
            <w:r>
              <w:t>4,6</w:t>
            </w:r>
          </w:p>
        </w:tc>
      </w:tr>
      <w:tr w:rsidR="00154473" w:rsidRPr="004950C9" w:rsidTr="0077223A">
        <w:tc>
          <w:tcPr>
            <w:tcW w:w="3969" w:type="dxa"/>
          </w:tcPr>
          <w:p w:rsidR="00154473" w:rsidRPr="00C5453F" w:rsidRDefault="00EA1EA5" w:rsidP="002D2AEF">
            <w:pPr>
              <w:ind w:left="459" w:hanging="425"/>
            </w:pPr>
            <w:r>
              <w:t>(37) Vaina:  longitud (mm)</w:t>
            </w:r>
          </w:p>
        </w:tc>
        <w:tc>
          <w:tcPr>
            <w:tcW w:w="851" w:type="dxa"/>
          </w:tcPr>
          <w:p w:rsidR="00154473" w:rsidRPr="00C5453F" w:rsidRDefault="00EA1EA5" w:rsidP="00154473">
            <w:pPr>
              <w:tabs>
                <w:tab w:val="decimal" w:pos="423"/>
              </w:tabs>
              <w:jc w:val="left"/>
              <w:rPr>
                <w:b/>
                <w:caps/>
                <w:kern w:val="28"/>
                <w:sz w:val="30"/>
              </w:rPr>
            </w:pPr>
            <w:r>
              <w:t>79,1</w:t>
            </w:r>
          </w:p>
        </w:tc>
        <w:tc>
          <w:tcPr>
            <w:tcW w:w="1276" w:type="dxa"/>
          </w:tcPr>
          <w:p w:rsidR="00154473" w:rsidRPr="00C5453F" w:rsidRDefault="00EA1EA5" w:rsidP="00154473">
            <w:pPr>
              <w:tabs>
                <w:tab w:val="decimal" w:pos="423"/>
              </w:tabs>
              <w:jc w:val="left"/>
              <w:rPr>
                <w:b/>
                <w:caps/>
                <w:kern w:val="28"/>
                <w:sz w:val="30"/>
              </w:rPr>
            </w:pPr>
            <w:r>
              <w:t>6,24</w:t>
            </w:r>
          </w:p>
        </w:tc>
        <w:tc>
          <w:tcPr>
            <w:tcW w:w="992" w:type="dxa"/>
          </w:tcPr>
          <w:p w:rsidR="00154473" w:rsidRPr="00C5453F" w:rsidRDefault="00EA1EA5" w:rsidP="00154473">
            <w:pPr>
              <w:tabs>
                <w:tab w:val="decimal" w:pos="423"/>
              </w:tabs>
              <w:jc w:val="left"/>
              <w:rPr>
                <w:b/>
                <w:caps/>
                <w:kern w:val="28"/>
                <w:sz w:val="30"/>
              </w:rPr>
            </w:pPr>
            <w:r>
              <w:t>63,3</w:t>
            </w:r>
          </w:p>
        </w:tc>
        <w:tc>
          <w:tcPr>
            <w:tcW w:w="955" w:type="dxa"/>
          </w:tcPr>
          <w:p w:rsidR="00154473" w:rsidRPr="00C5453F" w:rsidRDefault="00EA1EA5" w:rsidP="00154473">
            <w:pPr>
              <w:tabs>
                <w:tab w:val="decimal" w:pos="593"/>
              </w:tabs>
              <w:jc w:val="left"/>
              <w:rPr>
                <w:b/>
                <w:caps/>
                <w:kern w:val="28"/>
                <w:sz w:val="30"/>
              </w:rPr>
            </w:pPr>
            <w:r>
              <w:t>105,6</w:t>
            </w:r>
          </w:p>
        </w:tc>
        <w:tc>
          <w:tcPr>
            <w:tcW w:w="1607" w:type="dxa"/>
          </w:tcPr>
          <w:p w:rsidR="00154473" w:rsidRPr="00C5453F" w:rsidRDefault="00EA1EA5" w:rsidP="00154473">
            <w:pPr>
              <w:widowControl w:val="0"/>
              <w:tabs>
                <w:tab w:val="decimal" w:pos="593"/>
              </w:tabs>
              <w:jc w:val="left"/>
              <w:rPr>
                <w:b/>
                <w:caps/>
                <w:kern w:val="28"/>
                <w:sz w:val="30"/>
                <w:szCs w:val="24"/>
              </w:rPr>
            </w:pPr>
            <w:r>
              <w:t>4,3</w:t>
            </w:r>
          </w:p>
        </w:tc>
      </w:tr>
      <w:tr w:rsidR="00154473" w:rsidRPr="004950C9" w:rsidTr="0077223A">
        <w:tc>
          <w:tcPr>
            <w:tcW w:w="3969" w:type="dxa"/>
          </w:tcPr>
          <w:p w:rsidR="00154473" w:rsidRPr="00C5453F" w:rsidRDefault="00EA1EA5" w:rsidP="002D2AEF">
            <w:pPr>
              <w:ind w:left="459" w:hanging="425"/>
            </w:pPr>
            <w:r>
              <w:t>(38) Vaina:  anchura (mm)</w:t>
            </w:r>
          </w:p>
        </w:tc>
        <w:tc>
          <w:tcPr>
            <w:tcW w:w="851" w:type="dxa"/>
          </w:tcPr>
          <w:p w:rsidR="00154473" w:rsidRPr="00C5453F" w:rsidRDefault="00EA1EA5" w:rsidP="00154473">
            <w:pPr>
              <w:tabs>
                <w:tab w:val="decimal" w:pos="423"/>
              </w:tabs>
              <w:jc w:val="left"/>
              <w:rPr>
                <w:b/>
                <w:caps/>
                <w:kern w:val="28"/>
                <w:sz w:val="30"/>
              </w:rPr>
            </w:pPr>
            <w:r>
              <w:t>13,9</w:t>
            </w:r>
          </w:p>
        </w:tc>
        <w:tc>
          <w:tcPr>
            <w:tcW w:w="1276" w:type="dxa"/>
          </w:tcPr>
          <w:p w:rsidR="00154473" w:rsidRPr="00C5453F" w:rsidRDefault="00EA1EA5" w:rsidP="00154473">
            <w:pPr>
              <w:tabs>
                <w:tab w:val="decimal" w:pos="423"/>
              </w:tabs>
              <w:jc w:val="left"/>
              <w:rPr>
                <w:b/>
                <w:caps/>
                <w:kern w:val="28"/>
                <w:sz w:val="30"/>
              </w:rPr>
            </w:pPr>
            <w:r>
              <w:t>1,22</w:t>
            </w:r>
          </w:p>
        </w:tc>
        <w:tc>
          <w:tcPr>
            <w:tcW w:w="992" w:type="dxa"/>
          </w:tcPr>
          <w:p w:rsidR="00154473" w:rsidRPr="00C5453F" w:rsidRDefault="00EA1EA5" w:rsidP="00154473">
            <w:pPr>
              <w:tabs>
                <w:tab w:val="decimal" w:pos="423"/>
              </w:tabs>
              <w:jc w:val="left"/>
              <w:rPr>
                <w:b/>
                <w:caps/>
                <w:kern w:val="28"/>
                <w:sz w:val="30"/>
              </w:rPr>
            </w:pPr>
            <w:r>
              <w:t>10,5</w:t>
            </w:r>
          </w:p>
        </w:tc>
        <w:tc>
          <w:tcPr>
            <w:tcW w:w="955" w:type="dxa"/>
          </w:tcPr>
          <w:p w:rsidR="00154473" w:rsidRPr="00C5453F" w:rsidRDefault="00EA1EA5" w:rsidP="00154473">
            <w:pPr>
              <w:tabs>
                <w:tab w:val="decimal" w:pos="593"/>
              </w:tabs>
              <w:jc w:val="left"/>
              <w:rPr>
                <w:b/>
                <w:caps/>
                <w:kern w:val="28"/>
                <w:sz w:val="30"/>
              </w:rPr>
            </w:pPr>
            <w:r>
              <w:t>18,6</w:t>
            </w:r>
          </w:p>
        </w:tc>
        <w:tc>
          <w:tcPr>
            <w:tcW w:w="1607" w:type="dxa"/>
          </w:tcPr>
          <w:p w:rsidR="00154473" w:rsidRPr="00C5453F" w:rsidRDefault="00EA1EA5" w:rsidP="00154473">
            <w:pPr>
              <w:widowControl w:val="0"/>
              <w:tabs>
                <w:tab w:val="decimal" w:pos="593"/>
              </w:tabs>
              <w:jc w:val="left"/>
              <w:rPr>
                <w:b/>
                <w:caps/>
                <w:kern w:val="28"/>
                <w:sz w:val="30"/>
                <w:szCs w:val="24"/>
              </w:rPr>
            </w:pPr>
            <w:r>
              <w:t>3,4</w:t>
            </w:r>
          </w:p>
        </w:tc>
      </w:tr>
      <w:tr w:rsidR="00154473" w:rsidRPr="004950C9" w:rsidTr="0077223A">
        <w:tc>
          <w:tcPr>
            <w:tcW w:w="3969" w:type="dxa"/>
          </w:tcPr>
          <w:p w:rsidR="00154473" w:rsidRPr="00C5453F" w:rsidRDefault="00EA1EA5" w:rsidP="002D2AEF">
            <w:pPr>
              <w:ind w:left="459" w:hanging="425"/>
            </w:pPr>
            <w:r>
              <w:t>(42)</w:t>
            </w:r>
            <w:r>
              <w:rPr>
                <w:vertAlign w:val="superscript"/>
              </w:rPr>
              <w:t>*</w:t>
            </w:r>
            <w:r>
              <w:t xml:space="preserve"> Vaina:  curvatura (1-9)</w:t>
            </w:r>
          </w:p>
        </w:tc>
        <w:tc>
          <w:tcPr>
            <w:tcW w:w="851" w:type="dxa"/>
          </w:tcPr>
          <w:p w:rsidR="00154473" w:rsidRPr="00C5453F" w:rsidRDefault="00EA1EA5" w:rsidP="00154473">
            <w:pPr>
              <w:tabs>
                <w:tab w:val="decimal" w:pos="423"/>
              </w:tabs>
              <w:jc w:val="left"/>
              <w:rPr>
                <w:b/>
                <w:caps/>
                <w:kern w:val="28"/>
                <w:sz w:val="30"/>
              </w:rPr>
            </w:pPr>
            <w:r>
              <w:t>2,4</w:t>
            </w:r>
          </w:p>
        </w:tc>
        <w:tc>
          <w:tcPr>
            <w:tcW w:w="1276" w:type="dxa"/>
          </w:tcPr>
          <w:p w:rsidR="00154473" w:rsidRPr="00C5453F" w:rsidRDefault="00EA1EA5" w:rsidP="00154473">
            <w:pPr>
              <w:tabs>
                <w:tab w:val="decimal" w:pos="423"/>
              </w:tabs>
              <w:jc w:val="left"/>
              <w:rPr>
                <w:b/>
                <w:caps/>
                <w:kern w:val="28"/>
                <w:sz w:val="30"/>
              </w:rPr>
            </w:pPr>
            <w:r>
              <w:t>0,58</w:t>
            </w:r>
          </w:p>
        </w:tc>
        <w:tc>
          <w:tcPr>
            <w:tcW w:w="992" w:type="dxa"/>
          </w:tcPr>
          <w:p w:rsidR="00154473" w:rsidRPr="00C5453F" w:rsidRDefault="00EA1EA5" w:rsidP="00154473">
            <w:pPr>
              <w:tabs>
                <w:tab w:val="decimal" w:pos="423"/>
              </w:tabs>
              <w:jc w:val="left"/>
              <w:rPr>
                <w:b/>
                <w:caps/>
                <w:kern w:val="28"/>
                <w:sz w:val="30"/>
              </w:rPr>
            </w:pPr>
            <w:r>
              <w:t>1,0</w:t>
            </w:r>
          </w:p>
        </w:tc>
        <w:tc>
          <w:tcPr>
            <w:tcW w:w="955" w:type="dxa"/>
          </w:tcPr>
          <w:p w:rsidR="00154473" w:rsidRPr="00C5453F" w:rsidRDefault="00EA1EA5" w:rsidP="00154473">
            <w:pPr>
              <w:tabs>
                <w:tab w:val="decimal" w:pos="593"/>
              </w:tabs>
              <w:jc w:val="left"/>
              <w:rPr>
                <w:b/>
                <w:caps/>
                <w:kern w:val="28"/>
                <w:sz w:val="30"/>
              </w:rPr>
            </w:pPr>
            <w:r>
              <w:t>5,5</w:t>
            </w:r>
          </w:p>
        </w:tc>
        <w:tc>
          <w:tcPr>
            <w:tcW w:w="1607" w:type="dxa"/>
          </w:tcPr>
          <w:p w:rsidR="00154473" w:rsidRPr="00C5453F" w:rsidRDefault="00EA1EA5" w:rsidP="00154473">
            <w:pPr>
              <w:widowControl w:val="0"/>
              <w:tabs>
                <w:tab w:val="decimal" w:pos="593"/>
              </w:tabs>
              <w:jc w:val="left"/>
              <w:rPr>
                <w:b/>
                <w:caps/>
                <w:kern w:val="28"/>
                <w:sz w:val="30"/>
                <w:szCs w:val="24"/>
              </w:rPr>
            </w:pPr>
            <w:r>
              <w:t>2,5</w:t>
            </w:r>
          </w:p>
        </w:tc>
      </w:tr>
      <w:tr w:rsidR="00154473" w:rsidRPr="004950C9" w:rsidTr="0077223A">
        <w:tc>
          <w:tcPr>
            <w:tcW w:w="3969" w:type="dxa"/>
          </w:tcPr>
          <w:p w:rsidR="00154473" w:rsidRPr="00C5453F" w:rsidRDefault="00EA1EA5" w:rsidP="002D2AEF">
            <w:pPr>
              <w:ind w:left="459" w:hanging="425"/>
            </w:pPr>
            <w:r>
              <w:t>(46) Vaina:  número de óvulos</w:t>
            </w:r>
          </w:p>
        </w:tc>
        <w:tc>
          <w:tcPr>
            <w:tcW w:w="851" w:type="dxa"/>
          </w:tcPr>
          <w:p w:rsidR="00154473" w:rsidRPr="00C5453F" w:rsidRDefault="00EA1EA5" w:rsidP="00154473">
            <w:pPr>
              <w:tabs>
                <w:tab w:val="decimal" w:pos="423"/>
              </w:tabs>
              <w:jc w:val="left"/>
              <w:rPr>
                <w:b/>
                <w:caps/>
                <w:kern w:val="28"/>
                <w:sz w:val="30"/>
              </w:rPr>
            </w:pPr>
            <w:r>
              <w:t>8,2</w:t>
            </w:r>
          </w:p>
        </w:tc>
        <w:tc>
          <w:tcPr>
            <w:tcW w:w="1276" w:type="dxa"/>
          </w:tcPr>
          <w:p w:rsidR="00154473" w:rsidRPr="00C5453F" w:rsidRDefault="00EA1EA5" w:rsidP="00154473">
            <w:pPr>
              <w:tabs>
                <w:tab w:val="decimal" w:pos="423"/>
              </w:tabs>
              <w:jc w:val="left"/>
              <w:rPr>
                <w:b/>
                <w:caps/>
                <w:kern w:val="28"/>
                <w:sz w:val="30"/>
              </w:rPr>
            </w:pPr>
            <w:r>
              <w:t>0,54</w:t>
            </w:r>
          </w:p>
        </w:tc>
        <w:tc>
          <w:tcPr>
            <w:tcW w:w="992" w:type="dxa"/>
          </w:tcPr>
          <w:p w:rsidR="00154473" w:rsidRPr="00C5453F" w:rsidRDefault="00EA1EA5" w:rsidP="00154473">
            <w:pPr>
              <w:tabs>
                <w:tab w:val="decimal" w:pos="423"/>
              </w:tabs>
              <w:jc w:val="left"/>
              <w:rPr>
                <w:b/>
                <w:caps/>
                <w:kern w:val="28"/>
                <w:sz w:val="30"/>
              </w:rPr>
            </w:pPr>
            <w:r>
              <w:t>6,0</w:t>
            </w:r>
          </w:p>
        </w:tc>
        <w:tc>
          <w:tcPr>
            <w:tcW w:w="955" w:type="dxa"/>
          </w:tcPr>
          <w:p w:rsidR="00154473" w:rsidRPr="00C5453F" w:rsidRDefault="00EA1EA5" w:rsidP="00154473">
            <w:pPr>
              <w:tabs>
                <w:tab w:val="decimal" w:pos="593"/>
              </w:tabs>
              <w:jc w:val="left"/>
              <w:rPr>
                <w:b/>
                <w:caps/>
                <w:kern w:val="28"/>
                <w:sz w:val="30"/>
              </w:rPr>
            </w:pPr>
            <w:r>
              <w:t>10,0</w:t>
            </w:r>
          </w:p>
        </w:tc>
        <w:tc>
          <w:tcPr>
            <w:tcW w:w="1607" w:type="dxa"/>
          </w:tcPr>
          <w:p w:rsidR="00154473" w:rsidRPr="00C5453F" w:rsidRDefault="00EA1EA5" w:rsidP="00154473">
            <w:pPr>
              <w:widowControl w:val="0"/>
              <w:tabs>
                <w:tab w:val="decimal" w:pos="593"/>
              </w:tabs>
              <w:jc w:val="left"/>
              <w:rPr>
                <w:b/>
                <w:caps/>
                <w:kern w:val="28"/>
                <w:sz w:val="30"/>
                <w:szCs w:val="24"/>
              </w:rPr>
            </w:pPr>
            <w:r>
              <w:t>7,5</w:t>
            </w:r>
          </w:p>
        </w:tc>
      </w:tr>
      <w:tr w:rsidR="00154473" w:rsidRPr="004950C9" w:rsidTr="0077223A">
        <w:tc>
          <w:tcPr>
            <w:tcW w:w="3969" w:type="dxa"/>
          </w:tcPr>
          <w:p w:rsidR="00154473" w:rsidRPr="00C5453F" w:rsidRDefault="00EA1EA5" w:rsidP="002D2AEF">
            <w:pPr>
              <w:ind w:left="459" w:hanging="425"/>
            </w:pPr>
            <w:r>
              <w:t>(57)</w:t>
            </w:r>
            <w:r>
              <w:rPr>
                <w:vertAlign w:val="superscript"/>
              </w:rPr>
              <w:t xml:space="preserve">* </w:t>
            </w:r>
            <w:r>
              <w:t>Semilla:  peso</w:t>
            </w:r>
          </w:p>
        </w:tc>
        <w:tc>
          <w:tcPr>
            <w:tcW w:w="851" w:type="dxa"/>
          </w:tcPr>
          <w:p w:rsidR="00154473" w:rsidRPr="00C5453F" w:rsidRDefault="00EA1EA5" w:rsidP="00154473">
            <w:pPr>
              <w:tabs>
                <w:tab w:val="decimal" w:pos="423"/>
              </w:tabs>
              <w:jc w:val="left"/>
              <w:rPr>
                <w:b/>
                <w:caps/>
                <w:kern w:val="28"/>
                <w:sz w:val="30"/>
              </w:rPr>
            </w:pPr>
            <w:r>
              <w:t>28,1</w:t>
            </w:r>
          </w:p>
        </w:tc>
        <w:tc>
          <w:tcPr>
            <w:tcW w:w="1276" w:type="dxa"/>
          </w:tcPr>
          <w:p w:rsidR="00154473" w:rsidRPr="00C5453F" w:rsidRDefault="00EA1EA5" w:rsidP="00154473">
            <w:pPr>
              <w:tabs>
                <w:tab w:val="decimal" w:pos="423"/>
              </w:tabs>
              <w:jc w:val="left"/>
              <w:rPr>
                <w:b/>
                <w:caps/>
                <w:kern w:val="28"/>
                <w:sz w:val="30"/>
              </w:rPr>
            </w:pPr>
            <w:r>
              <w:t>5,19</w:t>
            </w:r>
          </w:p>
        </w:tc>
        <w:tc>
          <w:tcPr>
            <w:tcW w:w="992" w:type="dxa"/>
          </w:tcPr>
          <w:p w:rsidR="00154473" w:rsidRPr="00C5453F" w:rsidRDefault="00EA1EA5" w:rsidP="00154473">
            <w:pPr>
              <w:tabs>
                <w:tab w:val="decimal" w:pos="423"/>
              </w:tabs>
              <w:jc w:val="left"/>
            </w:pPr>
            <w:r>
              <w:t>12,2</w:t>
            </w:r>
          </w:p>
        </w:tc>
        <w:tc>
          <w:tcPr>
            <w:tcW w:w="955" w:type="dxa"/>
          </w:tcPr>
          <w:p w:rsidR="00154473" w:rsidRPr="00C5453F" w:rsidRDefault="00EA1EA5" w:rsidP="00154473">
            <w:pPr>
              <w:tabs>
                <w:tab w:val="decimal" w:pos="593"/>
              </w:tabs>
              <w:jc w:val="left"/>
            </w:pPr>
            <w:r>
              <w:t>49,1</w:t>
            </w:r>
          </w:p>
        </w:tc>
        <w:tc>
          <w:tcPr>
            <w:tcW w:w="1607" w:type="dxa"/>
          </w:tcPr>
          <w:p w:rsidR="00154473" w:rsidRPr="00C5453F" w:rsidRDefault="00EA1EA5" w:rsidP="00154473">
            <w:pPr>
              <w:widowControl w:val="0"/>
              <w:tabs>
                <w:tab w:val="decimal" w:pos="593"/>
              </w:tabs>
              <w:jc w:val="left"/>
              <w:rPr>
                <w:szCs w:val="24"/>
              </w:rPr>
            </w:pPr>
            <w:r>
              <w:t>5,7</w:t>
            </w:r>
          </w:p>
        </w:tc>
      </w:tr>
    </w:tbl>
    <w:p w:rsidR="00154473" w:rsidRPr="002C601B" w:rsidRDefault="00EA1EA5" w:rsidP="00154473">
      <w:pPr>
        <w:spacing w:before="60"/>
      </w:pPr>
      <w:r>
        <w:rPr>
          <w:sz w:val="22"/>
          <w:vertAlign w:val="superscript"/>
        </w:rPr>
        <w:t xml:space="preserve">* </w:t>
      </w:r>
      <w:r>
        <w:rPr>
          <w:sz w:val="18"/>
        </w:rPr>
        <w:t>Estos caracteres se valoraron por VG/MG, de manera que es más correcto aplicar una tolerancia para números enteros</w:t>
      </w:r>
    </w:p>
    <w:p w:rsidR="00154473" w:rsidRDefault="00154473" w:rsidP="00154473"/>
    <w:p w:rsidR="00154473" w:rsidRDefault="00154473" w:rsidP="00154473"/>
    <w:p w:rsidR="00154473" w:rsidRDefault="00EA1EA5" w:rsidP="00154473">
      <w:pPr>
        <w:keepNext/>
      </w:pPr>
      <w:r>
        <w:lastRenderedPageBreak/>
        <w:t xml:space="preserve">Cuadro 2. </w:t>
      </w:r>
      <w:r w:rsidR="001D0B00">
        <w:t xml:space="preserve"> </w:t>
      </w:r>
      <w:r>
        <w:t xml:space="preserve">Umbrales del primer ciclo teniendo en cuenta la heterogeneidad entre ciclos.  Con fines comparativos, se incluye el criterio COYD a largo plazo con un nivel de probabilidad del 2%, las tolerancias para el primer ciclo que emplea en la actualidad el Reino Unido basadas en la experiencia y las nuevas tolerancias propuestas </w:t>
      </w:r>
    </w:p>
    <w:p w:rsidR="00154473" w:rsidRPr="00463A17" w:rsidRDefault="00154473" w:rsidP="00154473">
      <w:pPr>
        <w:keepNext/>
      </w:pPr>
    </w:p>
    <w:tbl>
      <w:tblPr>
        <w:tblW w:w="9180" w:type="dxa"/>
        <w:tblInd w:w="108" w:type="dxa"/>
        <w:tblBorders>
          <w:top w:val="single" w:sz="4" w:space="0" w:color="auto"/>
          <w:bottom w:val="single" w:sz="4" w:space="0" w:color="auto"/>
        </w:tblBorders>
        <w:tblLayout w:type="fixed"/>
        <w:tblLook w:val="04A0" w:firstRow="1" w:lastRow="0" w:firstColumn="1" w:lastColumn="0" w:noHBand="0" w:noVBand="1"/>
      </w:tblPr>
      <w:tblGrid>
        <w:gridCol w:w="1586"/>
        <w:gridCol w:w="1357"/>
        <w:gridCol w:w="1276"/>
        <w:gridCol w:w="1276"/>
        <w:gridCol w:w="1276"/>
        <w:gridCol w:w="1275"/>
        <w:gridCol w:w="1134"/>
      </w:tblGrid>
      <w:tr w:rsidR="00154473" w:rsidRPr="004950C9" w:rsidTr="00154473">
        <w:tc>
          <w:tcPr>
            <w:tcW w:w="1586" w:type="dxa"/>
            <w:tcBorders>
              <w:top w:val="single" w:sz="4" w:space="0" w:color="auto"/>
              <w:bottom w:val="single" w:sz="4" w:space="0" w:color="auto"/>
            </w:tcBorders>
          </w:tcPr>
          <w:p w:rsidR="00154473" w:rsidRPr="00C5453F" w:rsidRDefault="00EA1EA5" w:rsidP="00154473">
            <w:pPr>
              <w:keepNext/>
              <w:jc w:val="center"/>
            </w:pPr>
            <w:r>
              <w:t>Carácter</w:t>
            </w:r>
          </w:p>
        </w:tc>
        <w:tc>
          <w:tcPr>
            <w:tcW w:w="1357" w:type="dxa"/>
            <w:tcBorders>
              <w:top w:val="single" w:sz="4" w:space="0" w:color="auto"/>
              <w:bottom w:val="single" w:sz="4" w:space="0" w:color="auto"/>
            </w:tcBorders>
          </w:tcPr>
          <w:p w:rsidR="00154473" w:rsidRPr="00C5453F" w:rsidRDefault="00EA1EA5" w:rsidP="00154473">
            <w:pPr>
              <w:keepNext/>
              <w:jc w:val="center"/>
            </w:pPr>
            <w:r>
              <w:t>Criterio COYD de largo plazo</w:t>
            </w:r>
          </w:p>
        </w:tc>
        <w:tc>
          <w:tcPr>
            <w:tcW w:w="1276" w:type="dxa"/>
            <w:tcBorders>
              <w:top w:val="single" w:sz="4" w:space="0" w:color="auto"/>
              <w:bottom w:val="single" w:sz="4" w:space="0" w:color="auto"/>
            </w:tcBorders>
          </w:tcPr>
          <w:p w:rsidR="00154473" w:rsidRPr="00C5453F" w:rsidRDefault="00EA1EA5" w:rsidP="00154473">
            <w:pPr>
              <w:keepNext/>
              <w:jc w:val="center"/>
            </w:pPr>
            <w:r>
              <w:t xml:space="preserve">Umbral con una </w:t>
            </w:r>
            <w:proofErr w:type="spellStart"/>
            <w:r>
              <w:rPr>
                <w:i/>
              </w:rPr>
              <w:t>p</w:t>
            </w:r>
            <w:r>
              <w:rPr>
                <w:i/>
                <w:vertAlign w:val="subscript"/>
              </w:rPr>
              <w:t>D</w:t>
            </w:r>
            <w:proofErr w:type="spellEnd"/>
            <w:r>
              <w:t>= 0,99</w:t>
            </w:r>
          </w:p>
        </w:tc>
        <w:tc>
          <w:tcPr>
            <w:tcW w:w="1276" w:type="dxa"/>
            <w:tcBorders>
              <w:top w:val="single" w:sz="4" w:space="0" w:color="auto"/>
              <w:bottom w:val="single" w:sz="4" w:space="0" w:color="auto"/>
            </w:tcBorders>
          </w:tcPr>
          <w:p w:rsidR="00154473" w:rsidRPr="00C5453F" w:rsidRDefault="00EA1EA5" w:rsidP="00154473">
            <w:pPr>
              <w:keepNext/>
              <w:jc w:val="center"/>
            </w:pPr>
            <w:r>
              <w:t xml:space="preserve">Umbral con una </w:t>
            </w:r>
            <w:proofErr w:type="spellStart"/>
            <w:r>
              <w:rPr>
                <w:i/>
              </w:rPr>
              <w:t>p</w:t>
            </w:r>
            <w:r>
              <w:rPr>
                <w:i/>
                <w:vertAlign w:val="subscript"/>
              </w:rPr>
              <w:t>D</w:t>
            </w:r>
            <w:proofErr w:type="spellEnd"/>
            <w:r>
              <w:t>= 0,95</w:t>
            </w:r>
          </w:p>
        </w:tc>
        <w:tc>
          <w:tcPr>
            <w:tcW w:w="1276" w:type="dxa"/>
            <w:tcBorders>
              <w:top w:val="single" w:sz="4" w:space="0" w:color="auto"/>
              <w:bottom w:val="single" w:sz="4" w:space="0" w:color="auto"/>
            </w:tcBorders>
          </w:tcPr>
          <w:p w:rsidR="00154473" w:rsidRPr="00C5453F" w:rsidRDefault="00EA1EA5" w:rsidP="00154473">
            <w:pPr>
              <w:keepNext/>
              <w:jc w:val="center"/>
            </w:pPr>
            <w:r>
              <w:t xml:space="preserve">Umbral con una </w:t>
            </w:r>
            <w:proofErr w:type="spellStart"/>
            <w:r>
              <w:rPr>
                <w:i/>
              </w:rPr>
              <w:t>p</w:t>
            </w:r>
            <w:r>
              <w:rPr>
                <w:i/>
                <w:vertAlign w:val="subscript"/>
              </w:rPr>
              <w:t>D</w:t>
            </w:r>
            <w:proofErr w:type="spellEnd"/>
            <w:r>
              <w:t>= 0,9</w:t>
            </w:r>
          </w:p>
        </w:tc>
        <w:tc>
          <w:tcPr>
            <w:tcW w:w="1275" w:type="dxa"/>
            <w:tcBorders>
              <w:top w:val="single" w:sz="4" w:space="0" w:color="auto"/>
              <w:bottom w:val="single" w:sz="4" w:space="0" w:color="auto"/>
            </w:tcBorders>
          </w:tcPr>
          <w:p w:rsidR="00154473" w:rsidRPr="00C5453F" w:rsidRDefault="00EA1EA5" w:rsidP="00154473">
            <w:pPr>
              <w:keepNext/>
              <w:jc w:val="center"/>
            </w:pPr>
            <w:r>
              <w:t>Tolerancia actual del Reino Unido</w:t>
            </w:r>
          </w:p>
        </w:tc>
        <w:tc>
          <w:tcPr>
            <w:tcW w:w="1134" w:type="dxa"/>
            <w:tcBorders>
              <w:top w:val="single" w:sz="4" w:space="0" w:color="auto"/>
              <w:bottom w:val="single" w:sz="4" w:space="0" w:color="auto"/>
            </w:tcBorders>
          </w:tcPr>
          <w:p w:rsidR="00154473" w:rsidRPr="00C5453F" w:rsidRDefault="00EA1EA5" w:rsidP="00154473">
            <w:pPr>
              <w:keepNext/>
              <w:jc w:val="center"/>
            </w:pPr>
            <w:r>
              <w:t>Nueva tolerancia propuesta</w:t>
            </w:r>
          </w:p>
        </w:tc>
      </w:tr>
      <w:tr w:rsidR="00154473" w:rsidRPr="004950C9" w:rsidTr="00154473">
        <w:tc>
          <w:tcPr>
            <w:tcW w:w="1586" w:type="dxa"/>
            <w:tcBorders>
              <w:top w:val="single" w:sz="4" w:space="0" w:color="auto"/>
            </w:tcBorders>
          </w:tcPr>
          <w:p w:rsidR="00154473" w:rsidRPr="00C5453F" w:rsidRDefault="00EA1EA5" w:rsidP="00154473">
            <w:pPr>
              <w:keepNext/>
              <w:tabs>
                <w:tab w:val="decimal" w:pos="851"/>
              </w:tabs>
              <w:jc w:val="left"/>
            </w:pPr>
            <w:r>
              <w:t>5</w:t>
            </w:r>
          </w:p>
        </w:tc>
        <w:tc>
          <w:tcPr>
            <w:tcW w:w="1357" w:type="dxa"/>
            <w:tcBorders>
              <w:top w:val="single" w:sz="4" w:space="0" w:color="auto"/>
            </w:tcBorders>
          </w:tcPr>
          <w:p w:rsidR="00154473" w:rsidRPr="00C5453F" w:rsidRDefault="00EA1EA5" w:rsidP="00154473">
            <w:pPr>
              <w:keepNext/>
              <w:tabs>
                <w:tab w:val="decimal" w:pos="541"/>
              </w:tabs>
              <w:jc w:val="left"/>
            </w:pPr>
            <w:r>
              <w:t>0,93</w:t>
            </w:r>
          </w:p>
        </w:tc>
        <w:tc>
          <w:tcPr>
            <w:tcW w:w="1276" w:type="dxa"/>
            <w:tcBorders>
              <w:top w:val="single" w:sz="4" w:space="0" w:color="auto"/>
            </w:tcBorders>
          </w:tcPr>
          <w:p w:rsidR="00154473" w:rsidRPr="00C5453F" w:rsidRDefault="00EA1EA5" w:rsidP="00154473">
            <w:pPr>
              <w:keepNext/>
              <w:widowControl w:val="0"/>
              <w:jc w:val="right"/>
              <w:rPr>
                <w:szCs w:val="24"/>
              </w:rPr>
            </w:pPr>
            <w:r>
              <w:t>4,13</w:t>
            </w:r>
          </w:p>
        </w:tc>
        <w:tc>
          <w:tcPr>
            <w:tcW w:w="1276" w:type="dxa"/>
            <w:tcBorders>
              <w:top w:val="single" w:sz="4" w:space="0" w:color="auto"/>
            </w:tcBorders>
          </w:tcPr>
          <w:p w:rsidR="00154473" w:rsidRPr="00C5453F" w:rsidRDefault="00EA1EA5" w:rsidP="00154473">
            <w:pPr>
              <w:keepNext/>
              <w:widowControl w:val="0"/>
              <w:jc w:val="right"/>
              <w:rPr>
                <w:szCs w:val="24"/>
              </w:rPr>
            </w:pPr>
            <w:r>
              <w:t>1,81</w:t>
            </w:r>
          </w:p>
        </w:tc>
        <w:tc>
          <w:tcPr>
            <w:tcW w:w="1276" w:type="dxa"/>
            <w:tcBorders>
              <w:top w:val="single" w:sz="4" w:space="0" w:color="auto"/>
            </w:tcBorders>
          </w:tcPr>
          <w:p w:rsidR="00154473" w:rsidRPr="00C5453F" w:rsidRDefault="00EA1EA5" w:rsidP="00154473">
            <w:pPr>
              <w:keepNext/>
              <w:widowControl w:val="0"/>
              <w:jc w:val="right"/>
              <w:rPr>
                <w:szCs w:val="24"/>
              </w:rPr>
            </w:pPr>
            <w:r>
              <w:t>1,39</w:t>
            </w:r>
          </w:p>
        </w:tc>
        <w:tc>
          <w:tcPr>
            <w:tcW w:w="1275" w:type="dxa"/>
            <w:tcBorders>
              <w:top w:val="single" w:sz="4" w:space="0" w:color="auto"/>
            </w:tcBorders>
          </w:tcPr>
          <w:p w:rsidR="00154473" w:rsidRPr="00C5453F" w:rsidRDefault="00EA1EA5" w:rsidP="00154473">
            <w:pPr>
              <w:keepNext/>
              <w:tabs>
                <w:tab w:val="decimal" w:pos="666"/>
              </w:tabs>
              <w:jc w:val="right"/>
            </w:pPr>
            <w:r>
              <w:t>3</w:t>
            </w:r>
          </w:p>
        </w:tc>
        <w:tc>
          <w:tcPr>
            <w:tcW w:w="1134" w:type="dxa"/>
            <w:tcBorders>
              <w:top w:val="single" w:sz="4" w:space="0" w:color="auto"/>
            </w:tcBorders>
          </w:tcPr>
          <w:p w:rsidR="00154473" w:rsidRPr="00C5453F" w:rsidRDefault="00EA1EA5" w:rsidP="00154473">
            <w:pPr>
              <w:keepNext/>
              <w:tabs>
                <w:tab w:val="decimal" w:pos="459"/>
              </w:tabs>
              <w:jc w:val="right"/>
            </w:pPr>
            <w:r>
              <w:t>4,1</w:t>
            </w:r>
          </w:p>
        </w:tc>
      </w:tr>
      <w:tr w:rsidR="00154473" w:rsidRPr="004950C9" w:rsidTr="00154473">
        <w:tc>
          <w:tcPr>
            <w:tcW w:w="1586" w:type="dxa"/>
          </w:tcPr>
          <w:p w:rsidR="00154473" w:rsidRPr="00C5453F" w:rsidRDefault="00EA1EA5" w:rsidP="00154473">
            <w:pPr>
              <w:keepNext/>
              <w:tabs>
                <w:tab w:val="decimal" w:pos="851"/>
              </w:tabs>
              <w:jc w:val="left"/>
            </w:pPr>
            <w:r>
              <w:t>15</w:t>
            </w:r>
          </w:p>
        </w:tc>
        <w:tc>
          <w:tcPr>
            <w:tcW w:w="1357" w:type="dxa"/>
          </w:tcPr>
          <w:p w:rsidR="00154473" w:rsidRPr="00C5453F" w:rsidRDefault="00EA1EA5" w:rsidP="00154473">
            <w:pPr>
              <w:keepNext/>
              <w:tabs>
                <w:tab w:val="decimal" w:pos="541"/>
              </w:tabs>
              <w:jc w:val="left"/>
            </w:pPr>
            <w:r>
              <w:t>10,80</w:t>
            </w:r>
          </w:p>
        </w:tc>
        <w:tc>
          <w:tcPr>
            <w:tcW w:w="1276" w:type="dxa"/>
          </w:tcPr>
          <w:p w:rsidR="00154473" w:rsidRPr="00C5453F" w:rsidRDefault="00EA1EA5" w:rsidP="00154473">
            <w:pPr>
              <w:keepNext/>
              <w:widowControl w:val="0"/>
              <w:jc w:val="right"/>
              <w:rPr>
                <w:szCs w:val="24"/>
              </w:rPr>
            </w:pPr>
            <w:r>
              <w:t>23,38</w:t>
            </w:r>
          </w:p>
        </w:tc>
        <w:tc>
          <w:tcPr>
            <w:tcW w:w="1276" w:type="dxa"/>
          </w:tcPr>
          <w:p w:rsidR="00154473" w:rsidRPr="00C5453F" w:rsidRDefault="00EA1EA5" w:rsidP="00154473">
            <w:pPr>
              <w:keepNext/>
              <w:widowControl w:val="0"/>
              <w:jc w:val="right"/>
              <w:rPr>
                <w:szCs w:val="24"/>
              </w:rPr>
            </w:pPr>
            <w:r>
              <w:t>17,90</w:t>
            </w:r>
          </w:p>
        </w:tc>
        <w:tc>
          <w:tcPr>
            <w:tcW w:w="1276" w:type="dxa"/>
          </w:tcPr>
          <w:p w:rsidR="00154473" w:rsidRPr="00C5453F" w:rsidRDefault="00EA1EA5" w:rsidP="00154473">
            <w:pPr>
              <w:keepNext/>
              <w:widowControl w:val="0"/>
              <w:jc w:val="right"/>
              <w:rPr>
                <w:szCs w:val="24"/>
              </w:rPr>
            </w:pPr>
            <w:r>
              <w:t>15,70</w:t>
            </w:r>
          </w:p>
        </w:tc>
        <w:tc>
          <w:tcPr>
            <w:tcW w:w="1275" w:type="dxa"/>
          </w:tcPr>
          <w:p w:rsidR="00154473" w:rsidRPr="00C5453F" w:rsidRDefault="00EA1EA5" w:rsidP="00154473">
            <w:pPr>
              <w:keepNext/>
              <w:tabs>
                <w:tab w:val="decimal" w:pos="666"/>
              </w:tabs>
              <w:jc w:val="right"/>
            </w:pPr>
            <w:r>
              <w:t>25</w:t>
            </w:r>
          </w:p>
        </w:tc>
        <w:tc>
          <w:tcPr>
            <w:tcW w:w="1134" w:type="dxa"/>
          </w:tcPr>
          <w:p w:rsidR="00154473" w:rsidRPr="00C5453F" w:rsidRDefault="00EA1EA5" w:rsidP="00154473">
            <w:pPr>
              <w:keepNext/>
              <w:tabs>
                <w:tab w:val="decimal" w:pos="459"/>
              </w:tabs>
              <w:jc w:val="right"/>
            </w:pPr>
            <w:r>
              <w:t>23,4</w:t>
            </w:r>
          </w:p>
        </w:tc>
      </w:tr>
      <w:tr w:rsidR="00154473" w:rsidRPr="004950C9" w:rsidTr="00154473">
        <w:tc>
          <w:tcPr>
            <w:tcW w:w="1586" w:type="dxa"/>
          </w:tcPr>
          <w:p w:rsidR="00154473" w:rsidRPr="00C5453F" w:rsidRDefault="00EA1EA5" w:rsidP="00154473">
            <w:pPr>
              <w:keepNext/>
              <w:tabs>
                <w:tab w:val="decimal" w:pos="851"/>
              </w:tabs>
              <w:jc w:val="left"/>
            </w:pPr>
            <w:r>
              <w:t>16</w:t>
            </w:r>
          </w:p>
        </w:tc>
        <w:tc>
          <w:tcPr>
            <w:tcW w:w="1357" w:type="dxa"/>
          </w:tcPr>
          <w:p w:rsidR="00154473" w:rsidRPr="00C5453F" w:rsidRDefault="00EA1EA5" w:rsidP="00154473">
            <w:pPr>
              <w:keepNext/>
              <w:tabs>
                <w:tab w:val="decimal" w:pos="541"/>
              </w:tabs>
              <w:jc w:val="left"/>
            </w:pPr>
            <w:r>
              <w:t>6,95</w:t>
            </w:r>
          </w:p>
        </w:tc>
        <w:tc>
          <w:tcPr>
            <w:tcW w:w="1276" w:type="dxa"/>
          </w:tcPr>
          <w:p w:rsidR="00154473" w:rsidRPr="00C5453F" w:rsidRDefault="00EA1EA5" w:rsidP="00154473">
            <w:pPr>
              <w:keepNext/>
              <w:widowControl w:val="0"/>
              <w:jc w:val="right"/>
              <w:rPr>
                <w:szCs w:val="24"/>
              </w:rPr>
            </w:pPr>
            <w:r>
              <w:t>14,18</w:t>
            </w:r>
          </w:p>
        </w:tc>
        <w:tc>
          <w:tcPr>
            <w:tcW w:w="1276" w:type="dxa"/>
          </w:tcPr>
          <w:p w:rsidR="00154473" w:rsidRPr="00C5453F" w:rsidRDefault="00EA1EA5" w:rsidP="00154473">
            <w:pPr>
              <w:keepNext/>
              <w:widowControl w:val="0"/>
              <w:jc w:val="right"/>
              <w:rPr>
                <w:szCs w:val="24"/>
              </w:rPr>
            </w:pPr>
            <w:r>
              <w:t>11,15</w:t>
            </w:r>
          </w:p>
        </w:tc>
        <w:tc>
          <w:tcPr>
            <w:tcW w:w="1276" w:type="dxa"/>
          </w:tcPr>
          <w:p w:rsidR="00154473" w:rsidRPr="00C5453F" w:rsidRDefault="00EA1EA5" w:rsidP="00154473">
            <w:pPr>
              <w:keepNext/>
              <w:widowControl w:val="0"/>
              <w:jc w:val="right"/>
              <w:rPr>
                <w:szCs w:val="24"/>
              </w:rPr>
            </w:pPr>
            <w:r>
              <w:t>9,87</w:t>
            </w:r>
          </w:p>
        </w:tc>
        <w:tc>
          <w:tcPr>
            <w:tcW w:w="1275" w:type="dxa"/>
          </w:tcPr>
          <w:p w:rsidR="00154473" w:rsidRPr="00C5453F" w:rsidRDefault="00EA1EA5" w:rsidP="00154473">
            <w:pPr>
              <w:keepNext/>
              <w:tabs>
                <w:tab w:val="decimal" w:pos="666"/>
              </w:tabs>
              <w:jc w:val="right"/>
            </w:pPr>
            <w:r>
              <w:t>20</w:t>
            </w:r>
          </w:p>
        </w:tc>
        <w:tc>
          <w:tcPr>
            <w:tcW w:w="1134" w:type="dxa"/>
          </w:tcPr>
          <w:p w:rsidR="00154473" w:rsidRPr="00C5453F" w:rsidRDefault="00EA1EA5" w:rsidP="00154473">
            <w:pPr>
              <w:keepNext/>
              <w:tabs>
                <w:tab w:val="decimal" w:pos="459"/>
              </w:tabs>
              <w:jc w:val="right"/>
            </w:pPr>
            <w:r>
              <w:t>14,2</w:t>
            </w:r>
          </w:p>
        </w:tc>
      </w:tr>
      <w:tr w:rsidR="00154473" w:rsidRPr="004950C9" w:rsidTr="00154473">
        <w:tc>
          <w:tcPr>
            <w:tcW w:w="1586" w:type="dxa"/>
          </w:tcPr>
          <w:p w:rsidR="00154473" w:rsidRPr="00C5453F" w:rsidRDefault="00EA1EA5" w:rsidP="00154473">
            <w:pPr>
              <w:keepNext/>
              <w:tabs>
                <w:tab w:val="decimal" w:pos="851"/>
              </w:tabs>
              <w:jc w:val="left"/>
            </w:pPr>
            <w:r>
              <w:t>21*</w:t>
            </w:r>
          </w:p>
        </w:tc>
        <w:tc>
          <w:tcPr>
            <w:tcW w:w="1357" w:type="dxa"/>
          </w:tcPr>
          <w:p w:rsidR="00154473" w:rsidRPr="00C5453F" w:rsidRDefault="00EA1EA5" w:rsidP="00154473">
            <w:pPr>
              <w:keepNext/>
              <w:tabs>
                <w:tab w:val="decimal" w:pos="541"/>
              </w:tabs>
              <w:jc w:val="left"/>
            </w:pPr>
            <w:r>
              <w:t>0,95</w:t>
            </w:r>
          </w:p>
        </w:tc>
        <w:tc>
          <w:tcPr>
            <w:tcW w:w="1276" w:type="dxa"/>
          </w:tcPr>
          <w:p w:rsidR="00154473" w:rsidRPr="00C5453F" w:rsidRDefault="00EA1EA5" w:rsidP="00154473">
            <w:pPr>
              <w:keepNext/>
              <w:widowControl w:val="0"/>
              <w:jc w:val="right"/>
              <w:rPr>
                <w:szCs w:val="24"/>
              </w:rPr>
            </w:pPr>
            <w:r>
              <w:t>2,01</w:t>
            </w:r>
          </w:p>
        </w:tc>
        <w:tc>
          <w:tcPr>
            <w:tcW w:w="1276" w:type="dxa"/>
          </w:tcPr>
          <w:p w:rsidR="00154473" w:rsidRPr="00C5453F" w:rsidRDefault="00EA1EA5" w:rsidP="00154473">
            <w:pPr>
              <w:keepNext/>
              <w:widowControl w:val="0"/>
              <w:jc w:val="right"/>
              <w:rPr>
                <w:szCs w:val="24"/>
              </w:rPr>
            </w:pPr>
            <w:r>
              <w:t>1,56</w:t>
            </w:r>
          </w:p>
        </w:tc>
        <w:tc>
          <w:tcPr>
            <w:tcW w:w="1276" w:type="dxa"/>
          </w:tcPr>
          <w:p w:rsidR="00154473" w:rsidRPr="00C5453F" w:rsidRDefault="00EA1EA5" w:rsidP="00154473">
            <w:pPr>
              <w:keepNext/>
              <w:widowControl w:val="0"/>
              <w:jc w:val="right"/>
              <w:rPr>
                <w:szCs w:val="24"/>
              </w:rPr>
            </w:pPr>
            <w:r>
              <w:t>1,38</w:t>
            </w:r>
          </w:p>
        </w:tc>
        <w:tc>
          <w:tcPr>
            <w:tcW w:w="1275" w:type="dxa"/>
          </w:tcPr>
          <w:p w:rsidR="00154473" w:rsidRPr="00C5453F" w:rsidRDefault="00EA1EA5" w:rsidP="00154473">
            <w:pPr>
              <w:keepNext/>
              <w:tabs>
                <w:tab w:val="decimal" w:pos="666"/>
              </w:tabs>
              <w:jc w:val="right"/>
            </w:pPr>
            <w:r>
              <w:t>3</w:t>
            </w:r>
          </w:p>
        </w:tc>
        <w:tc>
          <w:tcPr>
            <w:tcW w:w="1134" w:type="dxa"/>
          </w:tcPr>
          <w:p w:rsidR="00154473" w:rsidRPr="00C5453F" w:rsidRDefault="00EA1EA5" w:rsidP="00154473">
            <w:pPr>
              <w:keepNext/>
              <w:tabs>
                <w:tab w:val="decimal" w:pos="459"/>
              </w:tabs>
              <w:jc w:val="right"/>
            </w:pPr>
            <w:r>
              <w:t xml:space="preserve">3 </w:t>
            </w:r>
          </w:p>
        </w:tc>
      </w:tr>
      <w:tr w:rsidR="00154473" w:rsidRPr="004950C9" w:rsidTr="00154473">
        <w:tc>
          <w:tcPr>
            <w:tcW w:w="1586" w:type="dxa"/>
          </w:tcPr>
          <w:p w:rsidR="00154473" w:rsidRPr="00C5453F" w:rsidRDefault="00EA1EA5" w:rsidP="00154473">
            <w:pPr>
              <w:keepNext/>
              <w:tabs>
                <w:tab w:val="decimal" w:pos="851"/>
              </w:tabs>
              <w:jc w:val="left"/>
            </w:pPr>
            <w:r>
              <w:t>22</w:t>
            </w:r>
          </w:p>
        </w:tc>
        <w:tc>
          <w:tcPr>
            <w:tcW w:w="1357" w:type="dxa"/>
          </w:tcPr>
          <w:p w:rsidR="00154473" w:rsidRPr="00C5453F" w:rsidRDefault="00EA1EA5" w:rsidP="00154473">
            <w:pPr>
              <w:keepNext/>
              <w:tabs>
                <w:tab w:val="decimal" w:pos="541"/>
              </w:tabs>
              <w:jc w:val="left"/>
            </w:pPr>
            <w:r>
              <w:t>12,61</w:t>
            </w:r>
          </w:p>
        </w:tc>
        <w:tc>
          <w:tcPr>
            <w:tcW w:w="1276" w:type="dxa"/>
          </w:tcPr>
          <w:p w:rsidR="00154473" w:rsidRPr="00C5453F" w:rsidRDefault="00EA1EA5" w:rsidP="00154473">
            <w:pPr>
              <w:keepNext/>
              <w:widowControl w:val="0"/>
              <w:jc w:val="right"/>
              <w:rPr>
                <w:szCs w:val="24"/>
              </w:rPr>
            </w:pPr>
            <w:r>
              <w:t>28,38</w:t>
            </w:r>
          </w:p>
        </w:tc>
        <w:tc>
          <w:tcPr>
            <w:tcW w:w="1276" w:type="dxa"/>
          </w:tcPr>
          <w:p w:rsidR="00154473" w:rsidRPr="00C5453F" w:rsidRDefault="00EA1EA5" w:rsidP="00154473">
            <w:pPr>
              <w:keepNext/>
              <w:widowControl w:val="0"/>
              <w:jc w:val="right"/>
              <w:rPr>
                <w:szCs w:val="24"/>
              </w:rPr>
            </w:pPr>
            <w:r>
              <w:t>21,31</w:t>
            </w:r>
          </w:p>
        </w:tc>
        <w:tc>
          <w:tcPr>
            <w:tcW w:w="1276" w:type="dxa"/>
          </w:tcPr>
          <w:p w:rsidR="00154473" w:rsidRPr="00C5453F" w:rsidRDefault="00EA1EA5" w:rsidP="00154473">
            <w:pPr>
              <w:keepNext/>
              <w:widowControl w:val="0"/>
              <w:jc w:val="right"/>
              <w:rPr>
                <w:szCs w:val="24"/>
              </w:rPr>
            </w:pPr>
            <w:r>
              <w:t>18,56</w:t>
            </w:r>
          </w:p>
        </w:tc>
        <w:tc>
          <w:tcPr>
            <w:tcW w:w="1275" w:type="dxa"/>
          </w:tcPr>
          <w:p w:rsidR="00154473" w:rsidRPr="00C5453F" w:rsidRDefault="00EA1EA5" w:rsidP="00154473">
            <w:pPr>
              <w:keepNext/>
              <w:tabs>
                <w:tab w:val="decimal" w:pos="666"/>
              </w:tabs>
              <w:jc w:val="right"/>
            </w:pPr>
            <w:r>
              <w:t>30</w:t>
            </w:r>
          </w:p>
        </w:tc>
        <w:tc>
          <w:tcPr>
            <w:tcW w:w="1134" w:type="dxa"/>
          </w:tcPr>
          <w:p w:rsidR="00154473" w:rsidRPr="00C5453F" w:rsidRDefault="00EA1EA5" w:rsidP="00154473">
            <w:pPr>
              <w:keepNext/>
              <w:tabs>
                <w:tab w:val="decimal" w:pos="459"/>
              </w:tabs>
              <w:jc w:val="right"/>
            </w:pPr>
            <w:r>
              <w:t>28,4</w:t>
            </w:r>
          </w:p>
        </w:tc>
      </w:tr>
      <w:tr w:rsidR="00154473" w:rsidRPr="004950C9" w:rsidTr="00154473">
        <w:tc>
          <w:tcPr>
            <w:tcW w:w="1586" w:type="dxa"/>
          </w:tcPr>
          <w:p w:rsidR="00154473" w:rsidRPr="00C5453F" w:rsidRDefault="00EA1EA5" w:rsidP="00154473">
            <w:pPr>
              <w:keepNext/>
              <w:tabs>
                <w:tab w:val="decimal" w:pos="851"/>
              </w:tabs>
              <w:jc w:val="left"/>
            </w:pPr>
            <w:r>
              <w:t>28</w:t>
            </w:r>
          </w:p>
        </w:tc>
        <w:tc>
          <w:tcPr>
            <w:tcW w:w="1357" w:type="dxa"/>
          </w:tcPr>
          <w:p w:rsidR="00154473" w:rsidRPr="00C5453F" w:rsidRDefault="00EA1EA5" w:rsidP="00154473">
            <w:pPr>
              <w:keepNext/>
              <w:tabs>
                <w:tab w:val="decimal" w:pos="541"/>
              </w:tabs>
              <w:jc w:val="left"/>
            </w:pPr>
            <w:r>
              <w:t>2,39</w:t>
            </w:r>
          </w:p>
        </w:tc>
        <w:tc>
          <w:tcPr>
            <w:tcW w:w="1276" w:type="dxa"/>
          </w:tcPr>
          <w:p w:rsidR="00154473" w:rsidRPr="00C5453F" w:rsidRDefault="00EA1EA5" w:rsidP="00154473">
            <w:pPr>
              <w:keepNext/>
              <w:widowControl w:val="0"/>
              <w:jc w:val="right"/>
              <w:rPr>
                <w:szCs w:val="24"/>
              </w:rPr>
            </w:pPr>
            <w:r>
              <w:t>5,99</w:t>
            </w:r>
          </w:p>
        </w:tc>
        <w:tc>
          <w:tcPr>
            <w:tcW w:w="1276" w:type="dxa"/>
          </w:tcPr>
          <w:p w:rsidR="00154473" w:rsidRPr="00C5453F" w:rsidRDefault="00EA1EA5" w:rsidP="00154473">
            <w:pPr>
              <w:keepNext/>
              <w:widowControl w:val="0"/>
              <w:jc w:val="right"/>
              <w:rPr>
                <w:szCs w:val="24"/>
              </w:rPr>
            </w:pPr>
            <w:r>
              <w:t>4,18</w:t>
            </w:r>
          </w:p>
        </w:tc>
        <w:tc>
          <w:tcPr>
            <w:tcW w:w="1276" w:type="dxa"/>
          </w:tcPr>
          <w:p w:rsidR="00154473" w:rsidRPr="00C5453F" w:rsidRDefault="00EA1EA5" w:rsidP="00154473">
            <w:pPr>
              <w:keepNext/>
              <w:widowControl w:val="0"/>
              <w:jc w:val="right"/>
              <w:rPr>
                <w:szCs w:val="24"/>
              </w:rPr>
            </w:pPr>
            <w:r>
              <w:t>3,56</w:t>
            </w:r>
          </w:p>
        </w:tc>
        <w:tc>
          <w:tcPr>
            <w:tcW w:w="1275" w:type="dxa"/>
          </w:tcPr>
          <w:p w:rsidR="00154473" w:rsidRPr="00C5453F" w:rsidRDefault="00EA1EA5" w:rsidP="00154473">
            <w:pPr>
              <w:keepNext/>
              <w:tabs>
                <w:tab w:val="decimal" w:pos="666"/>
              </w:tabs>
              <w:jc w:val="right"/>
            </w:pPr>
            <w:r>
              <w:t>12</w:t>
            </w:r>
          </w:p>
        </w:tc>
        <w:tc>
          <w:tcPr>
            <w:tcW w:w="1134" w:type="dxa"/>
          </w:tcPr>
          <w:p w:rsidR="00154473" w:rsidRPr="00C5453F" w:rsidRDefault="00EA1EA5" w:rsidP="00154473">
            <w:pPr>
              <w:keepNext/>
              <w:tabs>
                <w:tab w:val="decimal" w:pos="459"/>
              </w:tabs>
              <w:jc w:val="right"/>
            </w:pPr>
            <w:r>
              <w:t>6,0</w:t>
            </w:r>
          </w:p>
        </w:tc>
      </w:tr>
      <w:tr w:rsidR="00154473" w:rsidRPr="004950C9" w:rsidTr="00154473">
        <w:tc>
          <w:tcPr>
            <w:tcW w:w="1586" w:type="dxa"/>
          </w:tcPr>
          <w:p w:rsidR="00154473" w:rsidRPr="00C5453F" w:rsidRDefault="00EA1EA5" w:rsidP="00154473">
            <w:pPr>
              <w:keepNext/>
              <w:tabs>
                <w:tab w:val="decimal" w:pos="851"/>
              </w:tabs>
              <w:jc w:val="left"/>
            </w:pPr>
            <w:r>
              <w:t>29*</w:t>
            </w:r>
          </w:p>
        </w:tc>
        <w:tc>
          <w:tcPr>
            <w:tcW w:w="1357" w:type="dxa"/>
          </w:tcPr>
          <w:p w:rsidR="00154473" w:rsidRPr="00C5453F" w:rsidRDefault="00EA1EA5" w:rsidP="00154473">
            <w:pPr>
              <w:keepNext/>
              <w:tabs>
                <w:tab w:val="decimal" w:pos="541"/>
              </w:tabs>
              <w:jc w:val="left"/>
            </w:pPr>
            <w:r>
              <w:t>0,93</w:t>
            </w:r>
          </w:p>
        </w:tc>
        <w:tc>
          <w:tcPr>
            <w:tcW w:w="1276" w:type="dxa"/>
          </w:tcPr>
          <w:p w:rsidR="00154473" w:rsidRPr="00C5453F" w:rsidRDefault="00EA1EA5" w:rsidP="00154473">
            <w:pPr>
              <w:keepNext/>
              <w:widowControl w:val="0"/>
              <w:jc w:val="right"/>
              <w:rPr>
                <w:szCs w:val="24"/>
              </w:rPr>
            </w:pPr>
            <w:r>
              <w:t>1,96</w:t>
            </w:r>
          </w:p>
        </w:tc>
        <w:tc>
          <w:tcPr>
            <w:tcW w:w="1276" w:type="dxa"/>
          </w:tcPr>
          <w:p w:rsidR="00154473" w:rsidRPr="00C5453F" w:rsidRDefault="00EA1EA5" w:rsidP="00154473">
            <w:pPr>
              <w:keepNext/>
              <w:widowControl w:val="0"/>
              <w:jc w:val="right"/>
              <w:rPr>
                <w:szCs w:val="24"/>
              </w:rPr>
            </w:pPr>
            <w:r>
              <w:t>1,54</w:t>
            </w:r>
          </w:p>
        </w:tc>
        <w:tc>
          <w:tcPr>
            <w:tcW w:w="1276" w:type="dxa"/>
          </w:tcPr>
          <w:p w:rsidR="00154473" w:rsidRPr="00C5453F" w:rsidRDefault="00EA1EA5" w:rsidP="00154473">
            <w:pPr>
              <w:keepNext/>
              <w:widowControl w:val="0"/>
              <w:jc w:val="right"/>
              <w:rPr>
                <w:szCs w:val="24"/>
              </w:rPr>
            </w:pPr>
            <w:r>
              <w:t>1,37</w:t>
            </w:r>
          </w:p>
        </w:tc>
        <w:tc>
          <w:tcPr>
            <w:tcW w:w="1275" w:type="dxa"/>
          </w:tcPr>
          <w:p w:rsidR="00154473" w:rsidRPr="00C5453F" w:rsidRDefault="00EA1EA5" w:rsidP="00154473">
            <w:pPr>
              <w:keepNext/>
              <w:tabs>
                <w:tab w:val="decimal" w:pos="666"/>
              </w:tabs>
              <w:jc w:val="right"/>
            </w:pPr>
            <w:r>
              <w:t>2</w:t>
            </w:r>
          </w:p>
        </w:tc>
        <w:tc>
          <w:tcPr>
            <w:tcW w:w="1134" w:type="dxa"/>
          </w:tcPr>
          <w:p w:rsidR="00154473" w:rsidRPr="00C5453F" w:rsidRDefault="00EA1EA5" w:rsidP="00154473">
            <w:pPr>
              <w:keepNext/>
              <w:tabs>
                <w:tab w:val="decimal" w:pos="459"/>
              </w:tabs>
              <w:jc w:val="right"/>
            </w:pPr>
            <w:r>
              <w:t>2</w:t>
            </w:r>
          </w:p>
        </w:tc>
      </w:tr>
      <w:tr w:rsidR="00154473" w:rsidRPr="004950C9" w:rsidTr="00154473">
        <w:tc>
          <w:tcPr>
            <w:tcW w:w="1586" w:type="dxa"/>
          </w:tcPr>
          <w:p w:rsidR="00154473" w:rsidRPr="00C5453F" w:rsidRDefault="00EA1EA5" w:rsidP="00154473">
            <w:pPr>
              <w:keepNext/>
              <w:tabs>
                <w:tab w:val="decimal" w:pos="851"/>
              </w:tabs>
              <w:jc w:val="left"/>
            </w:pPr>
            <w:r>
              <w:t>34</w:t>
            </w:r>
          </w:p>
        </w:tc>
        <w:tc>
          <w:tcPr>
            <w:tcW w:w="1357" w:type="dxa"/>
          </w:tcPr>
          <w:p w:rsidR="00154473" w:rsidRPr="00C5453F" w:rsidRDefault="00EA1EA5" w:rsidP="00154473">
            <w:pPr>
              <w:keepNext/>
              <w:tabs>
                <w:tab w:val="decimal" w:pos="541"/>
              </w:tabs>
              <w:jc w:val="left"/>
            </w:pPr>
            <w:r>
              <w:t>19,61</w:t>
            </w:r>
          </w:p>
        </w:tc>
        <w:tc>
          <w:tcPr>
            <w:tcW w:w="1276" w:type="dxa"/>
          </w:tcPr>
          <w:p w:rsidR="00154473" w:rsidRPr="00C5453F" w:rsidRDefault="00EA1EA5" w:rsidP="00154473">
            <w:pPr>
              <w:keepNext/>
              <w:widowControl w:val="0"/>
              <w:jc w:val="right"/>
              <w:rPr>
                <w:szCs w:val="24"/>
              </w:rPr>
            </w:pPr>
            <w:r>
              <w:t>45,63</w:t>
            </w:r>
          </w:p>
        </w:tc>
        <w:tc>
          <w:tcPr>
            <w:tcW w:w="1276" w:type="dxa"/>
          </w:tcPr>
          <w:p w:rsidR="00154473" w:rsidRPr="00C5453F" w:rsidRDefault="00EA1EA5" w:rsidP="00154473">
            <w:pPr>
              <w:keepNext/>
              <w:widowControl w:val="0"/>
              <w:jc w:val="right"/>
              <w:rPr>
                <w:szCs w:val="24"/>
              </w:rPr>
            </w:pPr>
            <w:r>
              <w:t>33,46</w:t>
            </w:r>
          </w:p>
        </w:tc>
        <w:tc>
          <w:tcPr>
            <w:tcW w:w="1276" w:type="dxa"/>
          </w:tcPr>
          <w:p w:rsidR="00154473" w:rsidRPr="00C5453F" w:rsidRDefault="00EA1EA5" w:rsidP="00154473">
            <w:pPr>
              <w:keepNext/>
              <w:widowControl w:val="0"/>
              <w:jc w:val="right"/>
              <w:rPr>
                <w:szCs w:val="24"/>
              </w:rPr>
            </w:pPr>
            <w:r>
              <w:t>28,92</w:t>
            </w:r>
          </w:p>
        </w:tc>
        <w:tc>
          <w:tcPr>
            <w:tcW w:w="1275" w:type="dxa"/>
          </w:tcPr>
          <w:p w:rsidR="00154473" w:rsidRPr="00C5453F" w:rsidRDefault="00EA1EA5" w:rsidP="00154473">
            <w:pPr>
              <w:keepNext/>
              <w:tabs>
                <w:tab w:val="decimal" w:pos="666"/>
              </w:tabs>
              <w:jc w:val="right"/>
            </w:pPr>
            <w:r>
              <w:t>40</w:t>
            </w:r>
          </w:p>
        </w:tc>
        <w:tc>
          <w:tcPr>
            <w:tcW w:w="1134" w:type="dxa"/>
          </w:tcPr>
          <w:p w:rsidR="00154473" w:rsidRPr="00C5453F" w:rsidRDefault="00EA1EA5" w:rsidP="00154473">
            <w:pPr>
              <w:keepNext/>
              <w:tabs>
                <w:tab w:val="decimal" w:pos="459"/>
              </w:tabs>
              <w:jc w:val="right"/>
            </w:pPr>
            <w:r>
              <w:t>45,6</w:t>
            </w:r>
          </w:p>
        </w:tc>
      </w:tr>
      <w:tr w:rsidR="00154473" w:rsidRPr="004950C9" w:rsidTr="00154473">
        <w:tc>
          <w:tcPr>
            <w:tcW w:w="1586" w:type="dxa"/>
          </w:tcPr>
          <w:p w:rsidR="00154473" w:rsidRPr="00C5453F" w:rsidRDefault="00EA1EA5" w:rsidP="00154473">
            <w:pPr>
              <w:keepNext/>
              <w:tabs>
                <w:tab w:val="decimal" w:pos="851"/>
              </w:tabs>
              <w:jc w:val="left"/>
            </w:pPr>
            <w:r>
              <w:t>37</w:t>
            </w:r>
          </w:p>
        </w:tc>
        <w:tc>
          <w:tcPr>
            <w:tcW w:w="1357" w:type="dxa"/>
          </w:tcPr>
          <w:p w:rsidR="00154473" w:rsidRPr="00C5453F" w:rsidRDefault="00EA1EA5" w:rsidP="00154473">
            <w:pPr>
              <w:keepNext/>
              <w:tabs>
                <w:tab w:val="decimal" w:pos="541"/>
              </w:tabs>
              <w:jc w:val="left"/>
            </w:pPr>
            <w:r>
              <w:t>5,84</w:t>
            </w:r>
          </w:p>
        </w:tc>
        <w:tc>
          <w:tcPr>
            <w:tcW w:w="1276" w:type="dxa"/>
          </w:tcPr>
          <w:p w:rsidR="00154473" w:rsidRPr="00C5453F" w:rsidRDefault="00EA1EA5" w:rsidP="00154473">
            <w:pPr>
              <w:keepNext/>
              <w:widowControl w:val="0"/>
              <w:jc w:val="right"/>
              <w:rPr>
                <w:szCs w:val="24"/>
              </w:rPr>
            </w:pPr>
            <w:r>
              <w:t>12,56</w:t>
            </w:r>
          </w:p>
        </w:tc>
        <w:tc>
          <w:tcPr>
            <w:tcW w:w="1276" w:type="dxa"/>
          </w:tcPr>
          <w:p w:rsidR="00154473" w:rsidRPr="00C5453F" w:rsidRDefault="00EA1EA5" w:rsidP="00154473">
            <w:pPr>
              <w:keepNext/>
              <w:widowControl w:val="0"/>
              <w:jc w:val="right"/>
              <w:rPr>
                <w:szCs w:val="24"/>
              </w:rPr>
            </w:pPr>
            <w:r>
              <w:t>9,79</w:t>
            </w:r>
          </w:p>
        </w:tc>
        <w:tc>
          <w:tcPr>
            <w:tcW w:w="1276" w:type="dxa"/>
          </w:tcPr>
          <w:p w:rsidR="00154473" w:rsidRPr="00C5453F" w:rsidRDefault="00EA1EA5" w:rsidP="00154473">
            <w:pPr>
              <w:keepNext/>
              <w:widowControl w:val="0"/>
              <w:jc w:val="right"/>
              <w:rPr>
                <w:szCs w:val="24"/>
              </w:rPr>
            </w:pPr>
            <w:r>
              <w:t>8,64</w:t>
            </w:r>
          </w:p>
        </w:tc>
        <w:tc>
          <w:tcPr>
            <w:tcW w:w="1275" w:type="dxa"/>
          </w:tcPr>
          <w:p w:rsidR="00154473" w:rsidRPr="00C5453F" w:rsidRDefault="00EA1EA5" w:rsidP="00154473">
            <w:pPr>
              <w:keepNext/>
              <w:tabs>
                <w:tab w:val="decimal" w:pos="666"/>
              </w:tabs>
              <w:jc w:val="right"/>
            </w:pPr>
            <w:r>
              <w:t>20</w:t>
            </w:r>
          </w:p>
        </w:tc>
        <w:tc>
          <w:tcPr>
            <w:tcW w:w="1134" w:type="dxa"/>
          </w:tcPr>
          <w:p w:rsidR="00154473" w:rsidRPr="00C5453F" w:rsidRDefault="00EA1EA5" w:rsidP="00154473">
            <w:pPr>
              <w:keepNext/>
              <w:tabs>
                <w:tab w:val="decimal" w:pos="459"/>
              </w:tabs>
              <w:jc w:val="right"/>
            </w:pPr>
            <w:r>
              <w:t>12,6</w:t>
            </w:r>
          </w:p>
        </w:tc>
      </w:tr>
      <w:tr w:rsidR="00154473" w:rsidRPr="004950C9" w:rsidTr="00154473">
        <w:tc>
          <w:tcPr>
            <w:tcW w:w="1586" w:type="dxa"/>
          </w:tcPr>
          <w:p w:rsidR="00154473" w:rsidRPr="00C5453F" w:rsidRDefault="00EA1EA5" w:rsidP="00154473">
            <w:pPr>
              <w:keepNext/>
              <w:tabs>
                <w:tab w:val="decimal" w:pos="851"/>
              </w:tabs>
              <w:jc w:val="left"/>
            </w:pPr>
            <w:r>
              <w:t>38</w:t>
            </w:r>
          </w:p>
        </w:tc>
        <w:tc>
          <w:tcPr>
            <w:tcW w:w="1357" w:type="dxa"/>
          </w:tcPr>
          <w:p w:rsidR="00154473" w:rsidRPr="00C5453F" w:rsidRDefault="00EA1EA5" w:rsidP="00154473">
            <w:pPr>
              <w:keepNext/>
              <w:tabs>
                <w:tab w:val="decimal" w:pos="541"/>
              </w:tabs>
              <w:jc w:val="left"/>
            </w:pPr>
            <w:r>
              <w:t>0,97</w:t>
            </w:r>
          </w:p>
        </w:tc>
        <w:tc>
          <w:tcPr>
            <w:tcW w:w="1276" w:type="dxa"/>
          </w:tcPr>
          <w:p w:rsidR="00154473" w:rsidRPr="00C5453F" w:rsidRDefault="00EA1EA5" w:rsidP="00154473">
            <w:pPr>
              <w:keepNext/>
              <w:widowControl w:val="0"/>
              <w:jc w:val="right"/>
              <w:rPr>
                <w:szCs w:val="24"/>
              </w:rPr>
            </w:pPr>
            <w:r>
              <w:t>2,00</w:t>
            </w:r>
          </w:p>
        </w:tc>
        <w:tc>
          <w:tcPr>
            <w:tcW w:w="1276" w:type="dxa"/>
          </w:tcPr>
          <w:p w:rsidR="00154473" w:rsidRPr="00C5453F" w:rsidRDefault="00EA1EA5" w:rsidP="00154473">
            <w:pPr>
              <w:keepNext/>
              <w:widowControl w:val="0"/>
              <w:jc w:val="right"/>
              <w:rPr>
                <w:szCs w:val="24"/>
              </w:rPr>
            </w:pPr>
            <w:r>
              <w:t>1,59</w:t>
            </w:r>
          </w:p>
        </w:tc>
        <w:tc>
          <w:tcPr>
            <w:tcW w:w="1276" w:type="dxa"/>
          </w:tcPr>
          <w:p w:rsidR="00154473" w:rsidRPr="00C5453F" w:rsidRDefault="00EA1EA5" w:rsidP="00154473">
            <w:pPr>
              <w:keepNext/>
              <w:widowControl w:val="0"/>
              <w:jc w:val="right"/>
              <w:rPr>
                <w:szCs w:val="24"/>
              </w:rPr>
            </w:pPr>
            <w:r>
              <w:t>1,42</w:t>
            </w:r>
          </w:p>
        </w:tc>
        <w:tc>
          <w:tcPr>
            <w:tcW w:w="1275" w:type="dxa"/>
          </w:tcPr>
          <w:p w:rsidR="00154473" w:rsidRPr="00C5453F" w:rsidRDefault="00EA1EA5" w:rsidP="00154473">
            <w:pPr>
              <w:keepNext/>
              <w:tabs>
                <w:tab w:val="decimal" w:pos="666"/>
              </w:tabs>
              <w:jc w:val="right"/>
            </w:pPr>
            <w:r>
              <w:t>2</w:t>
            </w:r>
          </w:p>
        </w:tc>
        <w:tc>
          <w:tcPr>
            <w:tcW w:w="1134" w:type="dxa"/>
          </w:tcPr>
          <w:p w:rsidR="00154473" w:rsidRPr="00C5453F" w:rsidRDefault="00EA1EA5" w:rsidP="00154473">
            <w:pPr>
              <w:keepNext/>
              <w:tabs>
                <w:tab w:val="decimal" w:pos="459"/>
              </w:tabs>
              <w:jc w:val="right"/>
            </w:pPr>
            <w:r>
              <w:t>2,0</w:t>
            </w:r>
          </w:p>
        </w:tc>
      </w:tr>
      <w:tr w:rsidR="00154473" w:rsidRPr="004950C9" w:rsidTr="00154473">
        <w:tc>
          <w:tcPr>
            <w:tcW w:w="1586" w:type="dxa"/>
          </w:tcPr>
          <w:p w:rsidR="00154473" w:rsidRPr="00C5453F" w:rsidRDefault="00EA1EA5" w:rsidP="00154473">
            <w:pPr>
              <w:keepNext/>
              <w:tabs>
                <w:tab w:val="decimal" w:pos="851"/>
              </w:tabs>
              <w:jc w:val="left"/>
            </w:pPr>
            <w:r>
              <w:t>42*</w:t>
            </w:r>
          </w:p>
        </w:tc>
        <w:tc>
          <w:tcPr>
            <w:tcW w:w="1357" w:type="dxa"/>
          </w:tcPr>
          <w:p w:rsidR="00154473" w:rsidRPr="00C5453F" w:rsidRDefault="00EA1EA5" w:rsidP="00154473">
            <w:pPr>
              <w:keepNext/>
              <w:tabs>
                <w:tab w:val="decimal" w:pos="541"/>
              </w:tabs>
              <w:jc w:val="left"/>
            </w:pPr>
            <w:r>
              <w:t>0,83</w:t>
            </w:r>
          </w:p>
        </w:tc>
        <w:tc>
          <w:tcPr>
            <w:tcW w:w="1276" w:type="dxa"/>
          </w:tcPr>
          <w:p w:rsidR="00154473" w:rsidRPr="00C5453F" w:rsidRDefault="00EA1EA5" w:rsidP="00154473">
            <w:pPr>
              <w:keepNext/>
              <w:widowControl w:val="0"/>
              <w:jc w:val="right"/>
              <w:rPr>
                <w:szCs w:val="24"/>
              </w:rPr>
            </w:pPr>
            <w:r>
              <w:t>1,66</w:t>
            </w:r>
          </w:p>
        </w:tc>
        <w:tc>
          <w:tcPr>
            <w:tcW w:w="1276" w:type="dxa"/>
          </w:tcPr>
          <w:p w:rsidR="00154473" w:rsidRPr="00C5453F" w:rsidRDefault="00EA1EA5" w:rsidP="00154473">
            <w:pPr>
              <w:keepNext/>
              <w:widowControl w:val="0"/>
              <w:jc w:val="right"/>
              <w:rPr>
                <w:szCs w:val="24"/>
              </w:rPr>
            </w:pPr>
            <w:r>
              <w:t>1,31</w:t>
            </w:r>
          </w:p>
        </w:tc>
        <w:tc>
          <w:tcPr>
            <w:tcW w:w="1276" w:type="dxa"/>
          </w:tcPr>
          <w:p w:rsidR="00154473" w:rsidRPr="00C5453F" w:rsidRDefault="00EA1EA5" w:rsidP="00154473">
            <w:pPr>
              <w:keepNext/>
              <w:widowControl w:val="0"/>
              <w:jc w:val="right"/>
              <w:rPr>
                <w:szCs w:val="24"/>
              </w:rPr>
            </w:pPr>
            <w:r>
              <w:t>1,16</w:t>
            </w:r>
          </w:p>
        </w:tc>
        <w:tc>
          <w:tcPr>
            <w:tcW w:w="1275" w:type="dxa"/>
          </w:tcPr>
          <w:p w:rsidR="00154473" w:rsidRPr="00C5453F" w:rsidRDefault="00EA1EA5" w:rsidP="00154473">
            <w:pPr>
              <w:keepNext/>
              <w:tabs>
                <w:tab w:val="decimal" w:pos="666"/>
              </w:tabs>
              <w:jc w:val="right"/>
            </w:pPr>
            <w:r>
              <w:t>2</w:t>
            </w:r>
          </w:p>
        </w:tc>
        <w:tc>
          <w:tcPr>
            <w:tcW w:w="1134" w:type="dxa"/>
          </w:tcPr>
          <w:p w:rsidR="00154473" w:rsidRPr="00C5453F" w:rsidRDefault="00EA1EA5" w:rsidP="00154473">
            <w:pPr>
              <w:keepNext/>
              <w:tabs>
                <w:tab w:val="decimal" w:pos="459"/>
              </w:tabs>
              <w:jc w:val="right"/>
            </w:pPr>
            <w:r>
              <w:t>2</w:t>
            </w:r>
          </w:p>
        </w:tc>
      </w:tr>
      <w:tr w:rsidR="00154473" w:rsidRPr="004950C9" w:rsidTr="00154473">
        <w:tc>
          <w:tcPr>
            <w:tcW w:w="1586" w:type="dxa"/>
          </w:tcPr>
          <w:p w:rsidR="00154473" w:rsidRPr="00C5453F" w:rsidRDefault="00EA1EA5" w:rsidP="00154473">
            <w:pPr>
              <w:keepNext/>
              <w:tabs>
                <w:tab w:val="decimal" w:pos="851"/>
              </w:tabs>
              <w:jc w:val="left"/>
            </w:pPr>
            <w:r>
              <w:t>46</w:t>
            </w:r>
          </w:p>
        </w:tc>
        <w:tc>
          <w:tcPr>
            <w:tcW w:w="1357" w:type="dxa"/>
          </w:tcPr>
          <w:p w:rsidR="00154473" w:rsidRPr="00C5453F" w:rsidRDefault="00EA1EA5" w:rsidP="00154473">
            <w:pPr>
              <w:keepNext/>
              <w:tabs>
                <w:tab w:val="decimal" w:pos="541"/>
              </w:tabs>
              <w:jc w:val="left"/>
            </w:pPr>
            <w:r>
              <w:t>0,47</w:t>
            </w:r>
          </w:p>
        </w:tc>
        <w:tc>
          <w:tcPr>
            <w:tcW w:w="1276" w:type="dxa"/>
          </w:tcPr>
          <w:p w:rsidR="00154473" w:rsidRPr="00C5453F" w:rsidRDefault="00EA1EA5" w:rsidP="00154473">
            <w:pPr>
              <w:keepNext/>
              <w:widowControl w:val="0"/>
              <w:jc w:val="right"/>
              <w:rPr>
                <w:szCs w:val="24"/>
              </w:rPr>
            </w:pPr>
            <w:r>
              <w:t>1,03</w:t>
            </w:r>
          </w:p>
        </w:tc>
        <w:tc>
          <w:tcPr>
            <w:tcW w:w="1276" w:type="dxa"/>
          </w:tcPr>
          <w:p w:rsidR="00154473" w:rsidRPr="00C5453F" w:rsidRDefault="00EA1EA5" w:rsidP="00154473">
            <w:pPr>
              <w:keepNext/>
              <w:widowControl w:val="0"/>
              <w:jc w:val="right"/>
              <w:rPr>
                <w:szCs w:val="24"/>
              </w:rPr>
            </w:pPr>
            <w:r>
              <w:t>0,77</w:t>
            </w:r>
          </w:p>
        </w:tc>
        <w:tc>
          <w:tcPr>
            <w:tcW w:w="1276" w:type="dxa"/>
          </w:tcPr>
          <w:p w:rsidR="00154473" w:rsidRPr="00C5453F" w:rsidRDefault="00EA1EA5" w:rsidP="00154473">
            <w:pPr>
              <w:keepNext/>
              <w:widowControl w:val="0"/>
              <w:jc w:val="right"/>
              <w:rPr>
                <w:szCs w:val="24"/>
              </w:rPr>
            </w:pPr>
            <w:r>
              <w:t>0,67</w:t>
            </w:r>
          </w:p>
        </w:tc>
        <w:tc>
          <w:tcPr>
            <w:tcW w:w="1275" w:type="dxa"/>
          </w:tcPr>
          <w:p w:rsidR="00154473" w:rsidRPr="00C5453F" w:rsidRDefault="00EA1EA5" w:rsidP="00154473">
            <w:pPr>
              <w:keepNext/>
              <w:tabs>
                <w:tab w:val="decimal" w:pos="666"/>
              </w:tabs>
              <w:jc w:val="right"/>
            </w:pPr>
            <w:r>
              <w:t>2</w:t>
            </w:r>
          </w:p>
        </w:tc>
        <w:tc>
          <w:tcPr>
            <w:tcW w:w="1134" w:type="dxa"/>
          </w:tcPr>
          <w:p w:rsidR="00154473" w:rsidRPr="00C5453F" w:rsidRDefault="00EA1EA5" w:rsidP="00154473">
            <w:pPr>
              <w:keepNext/>
              <w:tabs>
                <w:tab w:val="decimal" w:pos="459"/>
              </w:tabs>
              <w:jc w:val="right"/>
            </w:pPr>
            <w:r>
              <w:t>1,0</w:t>
            </w:r>
          </w:p>
        </w:tc>
      </w:tr>
      <w:tr w:rsidR="00154473" w:rsidRPr="004950C9" w:rsidTr="00154473">
        <w:tc>
          <w:tcPr>
            <w:tcW w:w="1586" w:type="dxa"/>
          </w:tcPr>
          <w:p w:rsidR="00154473" w:rsidRPr="00C5453F" w:rsidRDefault="00EA1EA5" w:rsidP="00154473">
            <w:pPr>
              <w:keepNext/>
              <w:tabs>
                <w:tab w:val="decimal" w:pos="851"/>
              </w:tabs>
              <w:jc w:val="left"/>
            </w:pPr>
            <w:r>
              <w:t>57</w:t>
            </w:r>
          </w:p>
        </w:tc>
        <w:tc>
          <w:tcPr>
            <w:tcW w:w="1357" w:type="dxa"/>
          </w:tcPr>
          <w:p w:rsidR="00154473" w:rsidRPr="00C5453F" w:rsidRDefault="00EA1EA5" w:rsidP="00154473">
            <w:pPr>
              <w:keepNext/>
              <w:tabs>
                <w:tab w:val="decimal" w:pos="541"/>
              </w:tabs>
              <w:jc w:val="left"/>
            </w:pPr>
            <w:r>
              <w:t>4,03</w:t>
            </w:r>
          </w:p>
        </w:tc>
        <w:tc>
          <w:tcPr>
            <w:tcW w:w="1276" w:type="dxa"/>
          </w:tcPr>
          <w:p w:rsidR="00154473" w:rsidRPr="00C5453F" w:rsidRDefault="00EA1EA5" w:rsidP="00154473">
            <w:pPr>
              <w:keepNext/>
              <w:widowControl w:val="0"/>
              <w:jc w:val="right"/>
              <w:rPr>
                <w:szCs w:val="24"/>
              </w:rPr>
            </w:pPr>
            <w:r>
              <w:t>9,70</w:t>
            </w:r>
          </w:p>
        </w:tc>
        <w:tc>
          <w:tcPr>
            <w:tcW w:w="1276" w:type="dxa"/>
          </w:tcPr>
          <w:p w:rsidR="00154473" w:rsidRPr="00C5453F" w:rsidRDefault="00EA1EA5" w:rsidP="00154473">
            <w:pPr>
              <w:keepNext/>
              <w:widowControl w:val="0"/>
              <w:jc w:val="right"/>
              <w:rPr>
                <w:szCs w:val="24"/>
              </w:rPr>
            </w:pPr>
            <w:r>
              <w:t>7,01</w:t>
            </w:r>
          </w:p>
        </w:tc>
        <w:tc>
          <w:tcPr>
            <w:tcW w:w="1276" w:type="dxa"/>
          </w:tcPr>
          <w:p w:rsidR="00154473" w:rsidRPr="00C5453F" w:rsidRDefault="00EA1EA5" w:rsidP="00154473">
            <w:pPr>
              <w:keepNext/>
              <w:widowControl w:val="0"/>
              <w:jc w:val="right"/>
              <w:rPr>
                <w:szCs w:val="24"/>
              </w:rPr>
            </w:pPr>
            <w:r>
              <w:t>6,02</w:t>
            </w:r>
          </w:p>
        </w:tc>
        <w:tc>
          <w:tcPr>
            <w:tcW w:w="1275" w:type="dxa"/>
          </w:tcPr>
          <w:p w:rsidR="00154473" w:rsidRPr="00C5453F" w:rsidRDefault="00EA1EA5" w:rsidP="00154473">
            <w:pPr>
              <w:keepNext/>
              <w:tabs>
                <w:tab w:val="decimal" w:pos="666"/>
              </w:tabs>
              <w:jc w:val="right"/>
            </w:pPr>
            <w:r>
              <w:t>8</w:t>
            </w:r>
          </w:p>
        </w:tc>
        <w:tc>
          <w:tcPr>
            <w:tcW w:w="1134" w:type="dxa"/>
          </w:tcPr>
          <w:p w:rsidR="00154473" w:rsidRPr="00C5453F" w:rsidRDefault="00EA1EA5" w:rsidP="00154473">
            <w:pPr>
              <w:keepNext/>
              <w:tabs>
                <w:tab w:val="decimal" w:pos="459"/>
              </w:tabs>
              <w:jc w:val="right"/>
            </w:pPr>
            <w:r>
              <w:t>9,7</w:t>
            </w:r>
          </w:p>
        </w:tc>
      </w:tr>
    </w:tbl>
    <w:p w:rsidR="00154473" w:rsidRPr="002C601B" w:rsidRDefault="00EA1EA5" w:rsidP="00154473">
      <w:pPr>
        <w:keepNext/>
        <w:spacing w:before="60"/>
      </w:pPr>
      <w:r>
        <w:rPr>
          <w:sz w:val="22"/>
          <w:vertAlign w:val="superscript"/>
        </w:rPr>
        <w:t xml:space="preserve">* </w:t>
      </w:r>
      <w:r>
        <w:rPr>
          <w:sz w:val="18"/>
        </w:rPr>
        <w:t>Estos caracteres se valoraron por VG/MG, de manera que es más correcto aplicar una tolerancia para números enteros</w:t>
      </w:r>
    </w:p>
    <w:p w:rsidR="00154473" w:rsidRPr="00463A17" w:rsidRDefault="00154473" w:rsidP="00154473"/>
    <w:p w:rsidR="00154473" w:rsidRPr="0026215A" w:rsidRDefault="00154473" w:rsidP="00154473"/>
    <w:p w:rsidR="00154473" w:rsidRDefault="006118F3" w:rsidP="00154473">
      <w:r>
        <w:fldChar w:fldCharType="begin"/>
      </w:r>
      <w:r w:rsidR="00EA1EA5">
        <w:instrText xml:space="preserve"> AUTONUM  </w:instrText>
      </w:r>
      <w:r>
        <w:fldChar w:fldCharType="end"/>
      </w:r>
      <w:r w:rsidR="00EA1EA5">
        <w:tab/>
        <w:t xml:space="preserve">Los umbrales del primer ciclo siempre son mayores que el criterio COYD.  En qué medida lo son depende del grado de heterogeneidad presente, en especial para valores mayores de </w:t>
      </w:r>
      <w:proofErr w:type="spellStart"/>
      <w:r w:rsidR="00EA1EA5" w:rsidRPr="001D0B00">
        <w:rPr>
          <w:i/>
        </w:rPr>
        <w:t>p</w:t>
      </w:r>
      <w:r w:rsidR="00EA1EA5" w:rsidRPr="001D0B00">
        <w:rPr>
          <w:i/>
          <w:vertAlign w:val="subscript"/>
        </w:rPr>
        <w:t>D</w:t>
      </w:r>
      <w:proofErr w:type="spellEnd"/>
      <w:r w:rsidR="00EA1EA5">
        <w:t>.</w:t>
      </w:r>
    </w:p>
    <w:p w:rsidR="00154473" w:rsidRPr="00FD5B01" w:rsidRDefault="00154473" w:rsidP="00154473"/>
    <w:p w:rsidR="00154473" w:rsidRDefault="006118F3" w:rsidP="00154473">
      <w:r>
        <w:fldChar w:fldCharType="begin"/>
      </w:r>
      <w:r w:rsidR="00EA1EA5">
        <w:instrText xml:space="preserve"> AUTONUM  </w:instrText>
      </w:r>
      <w:r>
        <w:fldChar w:fldCharType="end"/>
      </w:r>
      <w:r w:rsidR="00EA1EA5">
        <w:tab/>
        <w:t>Los resultados presentados supra son una actualización de los presentados en el documento TWC/33/20 Rev.  A fin de determinar el efecto de las tolerancias empleadas, se ha utilizado el conjunto de datos de guisante para estudiar el efecto de las decisiones del primer año basadas en las tolerancias existentes y calculadas.</w:t>
      </w:r>
    </w:p>
    <w:p w:rsidR="00154473" w:rsidRPr="0026215A" w:rsidRDefault="00154473" w:rsidP="00154473"/>
    <w:p w:rsidR="00154473" w:rsidRDefault="006118F3" w:rsidP="00154473">
      <w:r>
        <w:fldChar w:fldCharType="begin"/>
      </w:r>
      <w:r w:rsidR="00EA1EA5">
        <w:instrText xml:space="preserve"> AUTONUM  </w:instrText>
      </w:r>
      <w:r>
        <w:fldChar w:fldCharType="end"/>
      </w:r>
      <w:r w:rsidR="00EA1EA5">
        <w:tab/>
        <w:t>Las decisiones del primer año se compararon con las decisiones tomadas con el COYD en pares de años consecutivos (1995-96, 1996-97, 1997-98 etc.) para cada carácter.  A fin de evaluar los diferentes umbrales, se calcularon las tasas de error:</w:t>
      </w:r>
    </w:p>
    <w:p w:rsidR="00154473" w:rsidRPr="00FD5B01" w:rsidRDefault="00154473" w:rsidP="00154473"/>
    <w:p w:rsidR="00154473" w:rsidRDefault="00EA1EA5" w:rsidP="00154473">
      <w:pPr>
        <w:ind w:left="1134" w:hanging="567"/>
      </w:pPr>
      <w:r>
        <w:rPr>
          <w:rFonts w:cs="Arial"/>
          <w:cs/>
        </w:rPr>
        <w:t>•</w:t>
      </w:r>
      <w:r>
        <w:tab/>
        <w:t xml:space="preserve">Tasa de falsos positivos:  es la proporción de veces (para cada carácter) en que el umbral del primer año indicaría que una variedad es diferente de otra variedad </w:t>
      </w:r>
      <w:r w:rsidR="00C64A29">
        <w:t>mientras que</w:t>
      </w:r>
      <w:r>
        <w:t xml:space="preserve"> la siguiente decisión</w:t>
      </w:r>
      <w:r w:rsidR="00221EE8">
        <w:t xml:space="preserve"> (</w:t>
      </w:r>
      <w:r>
        <w:t>el segundo año</w:t>
      </w:r>
      <w:r w:rsidR="00221EE8">
        <w:t>)</w:t>
      </w:r>
      <w:r>
        <w:t>, fue que no era diferente.  Esta tasa indica la desventaja de tomar decisiones al principio</w:t>
      </w:r>
      <w:proofErr w:type="gramStart"/>
      <w:r>
        <w:t>:  algunas</w:t>
      </w:r>
      <w:proofErr w:type="gramEnd"/>
      <w:r>
        <w:t xml:space="preserve"> veces un par de variedades podría declararse diferente el primer año y más tarde podría encontrarse </w:t>
      </w:r>
      <w:r w:rsidR="00221EE8">
        <w:t>que no</w:t>
      </w:r>
      <w:r>
        <w:t xml:space="preserve"> lo son.  La tasa de falsos positivos es menor para umbrales más altos.</w:t>
      </w:r>
    </w:p>
    <w:p w:rsidR="00154473" w:rsidRPr="00FD5B01" w:rsidRDefault="00154473" w:rsidP="00154473">
      <w:pPr>
        <w:ind w:left="1134" w:hanging="567"/>
      </w:pPr>
    </w:p>
    <w:p w:rsidR="00154473" w:rsidRPr="00FD5B01" w:rsidRDefault="00EA1EA5" w:rsidP="00154473">
      <w:pPr>
        <w:ind w:left="1134" w:hanging="567"/>
      </w:pPr>
      <w:r>
        <w:rPr>
          <w:rFonts w:cs="Arial"/>
          <w:cs/>
        </w:rPr>
        <w:t>•</w:t>
      </w:r>
      <w:r w:rsidR="00221EE8">
        <w:tab/>
        <w:t>T</w:t>
      </w:r>
      <w:r>
        <w:t xml:space="preserve">asa de falsos negativos:  es la proporción de veces en que la decisión del primer año fue que las variedades no eran diferentes </w:t>
      </w:r>
      <w:r w:rsidR="00C64A29">
        <w:t>mientras que</w:t>
      </w:r>
      <w:r>
        <w:t xml:space="preserve"> la decisión del segundo año fue que </w:t>
      </w:r>
      <w:r w:rsidR="00C64A29">
        <w:t xml:space="preserve">sí </w:t>
      </w:r>
      <w:r>
        <w:t xml:space="preserve">lo eran.  Es indicativa de la utilidad que el umbral puede tener en la práctica y las tasas bajas indican que después del primer año se encontraría que más pares de variedades son distintas.  </w:t>
      </w:r>
    </w:p>
    <w:p w:rsidR="00154473" w:rsidRPr="00FD5B01" w:rsidRDefault="00154473" w:rsidP="00154473"/>
    <w:p w:rsidR="00154473" w:rsidRPr="00FD5B01" w:rsidRDefault="006118F3" w:rsidP="00154473">
      <w:r>
        <w:fldChar w:fldCharType="begin"/>
      </w:r>
      <w:r w:rsidR="00EA1EA5">
        <w:instrText xml:space="preserve"> AUTONUM  </w:instrText>
      </w:r>
      <w:r>
        <w:fldChar w:fldCharType="end"/>
      </w:r>
      <w:r w:rsidR="00EA1EA5">
        <w:tab/>
        <w:t>En los cuadros 3 y 4 se encuentran los resultados de este estudio.  Estos resultados se deben interpretar con precaución dado que las variedades de referencia típicas que fueron claramente diferentes de la candidata al menos en un carácter después del primer año se eliminan de las comparaciones posteriores.  Sin embargo, el efecto de esta selección sería dar una visión pesimista de la eficacia de los umbrales calculados (tasas de falsos negativos).</w:t>
      </w:r>
    </w:p>
    <w:p w:rsidR="00154473" w:rsidRPr="00FD5B01" w:rsidRDefault="00154473" w:rsidP="00154473"/>
    <w:p w:rsidR="00154473" w:rsidRPr="00FD5B01" w:rsidRDefault="006118F3" w:rsidP="00154473">
      <w:r>
        <w:fldChar w:fldCharType="begin"/>
      </w:r>
      <w:r w:rsidR="00EA1EA5">
        <w:instrText xml:space="preserve"> AUTONUM  </w:instrText>
      </w:r>
      <w:r>
        <w:fldChar w:fldCharType="end"/>
      </w:r>
      <w:r w:rsidR="00EA1EA5">
        <w:tab/>
        <w:t xml:space="preserve">La tasa de falsos positivos fue muy baja, en especial con la tolerancia existente del Reino Unido y con el umbral calculado con una </w:t>
      </w:r>
      <w:proofErr w:type="spellStart"/>
      <w:r w:rsidR="00EA1EA5" w:rsidRPr="001D0B00">
        <w:rPr>
          <w:i/>
        </w:rPr>
        <w:t>p</w:t>
      </w:r>
      <w:r w:rsidR="00EA1EA5" w:rsidRPr="001D0B00">
        <w:rPr>
          <w:i/>
          <w:vertAlign w:val="subscript"/>
        </w:rPr>
        <w:t>D</w:t>
      </w:r>
      <w:proofErr w:type="spellEnd"/>
      <w:r w:rsidR="00EA1EA5">
        <w:t xml:space="preserve"> fue de 0,99.  Cabe señalar que es difícil obtener una tasa de falsos positivos del 0% simplemente porque el criterio COYD de dos años está en sí mismo sujeto a variabilidad.</w:t>
      </w:r>
    </w:p>
    <w:p w:rsidR="00154473" w:rsidRPr="00FD5B01" w:rsidRDefault="00154473" w:rsidP="00154473"/>
    <w:p w:rsidR="00154473" w:rsidRDefault="006118F3" w:rsidP="00154473">
      <w:r>
        <w:fldChar w:fldCharType="begin"/>
      </w:r>
      <w:r w:rsidR="00EA1EA5">
        <w:instrText xml:space="preserve"> AUTONUM  </w:instrText>
      </w:r>
      <w:r>
        <w:fldChar w:fldCharType="end"/>
      </w:r>
      <w:r w:rsidR="00EA1EA5">
        <w:tab/>
        <w:t xml:space="preserve">Las tasas de falsos negativos representan la utilidad de las tolerancias.  Las tolerancias calculadas con valores inferiores de </w:t>
      </w:r>
      <w:proofErr w:type="spellStart"/>
      <w:r w:rsidR="00EA1EA5" w:rsidRPr="001D0B00">
        <w:rPr>
          <w:i/>
        </w:rPr>
        <w:t>p</w:t>
      </w:r>
      <w:r w:rsidR="00EA1EA5" w:rsidRPr="001D0B00">
        <w:rPr>
          <w:i/>
          <w:vertAlign w:val="subscript"/>
        </w:rPr>
        <w:t>D</w:t>
      </w:r>
      <w:proofErr w:type="spellEnd"/>
      <w:r w:rsidR="00EA1EA5">
        <w:t xml:space="preserve"> hacen que más pares de variedades se consideren diferentes el primer año.  </w:t>
      </w:r>
      <w:r w:rsidR="00EA1EA5">
        <w:lastRenderedPageBreak/>
        <w:t>La</w:t>
      </w:r>
      <w:r w:rsidR="00415A17">
        <w:t> </w:t>
      </w:r>
      <w:r w:rsidR="00EA1EA5">
        <w:t xml:space="preserve">eficacia varía mucho con el carácter, por ejemplo los caracteres 29, 46 y 57 tienen tasas de falsos negativos bajas, aun con una </w:t>
      </w:r>
      <w:proofErr w:type="spellStart"/>
      <w:r w:rsidR="00EA1EA5" w:rsidRPr="001D0B00">
        <w:rPr>
          <w:i/>
        </w:rPr>
        <w:t>p</w:t>
      </w:r>
      <w:r w:rsidR="00EA1EA5" w:rsidRPr="001D0B00">
        <w:rPr>
          <w:i/>
          <w:vertAlign w:val="subscript"/>
        </w:rPr>
        <w:t>D</w:t>
      </w:r>
      <w:proofErr w:type="spellEnd"/>
      <w:r w:rsidR="00EA1EA5">
        <w:t xml:space="preserve"> de 0,99.  Es conveniente recordar que probablemente estas tasas sean pesimistas debido a la </w:t>
      </w:r>
      <w:r w:rsidR="008E0A60">
        <w:t>s</w:t>
      </w:r>
      <w:r w:rsidR="00EA1EA5">
        <w:t>elección llevada a cabo en el conjunto de datos de</w:t>
      </w:r>
      <w:r w:rsidR="008E0A60">
        <w:t>l</w:t>
      </w:r>
      <w:r w:rsidR="00EA1EA5">
        <w:t xml:space="preserve"> ejemplo.</w:t>
      </w:r>
    </w:p>
    <w:p w:rsidR="00154473" w:rsidRPr="00FD5B01" w:rsidRDefault="00154473" w:rsidP="00154473"/>
    <w:p w:rsidR="00154473" w:rsidRPr="00FD5B01" w:rsidRDefault="006118F3" w:rsidP="00154473">
      <w:r>
        <w:fldChar w:fldCharType="begin"/>
      </w:r>
      <w:r w:rsidR="00EA1EA5">
        <w:instrText xml:space="preserve"> AUTONUM  </w:instrText>
      </w:r>
      <w:r>
        <w:fldChar w:fldCharType="end"/>
      </w:r>
      <w:r w:rsidR="00EA1EA5">
        <w:tab/>
        <w:t xml:space="preserve">La elección de un valor de </w:t>
      </w:r>
      <w:proofErr w:type="spellStart"/>
      <w:r w:rsidR="00EA1EA5" w:rsidRPr="001D0B00">
        <w:rPr>
          <w:i/>
        </w:rPr>
        <w:t>p</w:t>
      </w:r>
      <w:r w:rsidR="00EA1EA5" w:rsidRPr="001D0B00">
        <w:rPr>
          <w:i/>
          <w:vertAlign w:val="subscript"/>
        </w:rPr>
        <w:t>D</w:t>
      </w:r>
      <w:proofErr w:type="spellEnd"/>
      <w:r w:rsidR="00EA1EA5">
        <w:t xml:space="preserve"> adecuado para establecer las tolerancias implica compensar los riesgos asociados a los falsos positivos y los falsos negativos.  En el caso del Reino Unido, se ha tomado un enfoque conservador.  Los umbrales calculados con una probabilidad de distinción fijada en 0,99 tuvieron niveles razonables de falsos positivos y falsos negativos.  De manera que, teniendo en cuenta los umbrales calculados con una </w:t>
      </w:r>
      <w:proofErr w:type="spellStart"/>
      <w:r w:rsidR="00EA1EA5" w:rsidRPr="001D0B00">
        <w:rPr>
          <w:i/>
        </w:rPr>
        <w:t>p</w:t>
      </w:r>
      <w:r w:rsidR="00EA1EA5" w:rsidRPr="001D0B00">
        <w:rPr>
          <w:i/>
          <w:vertAlign w:val="subscript"/>
        </w:rPr>
        <w:t>D</w:t>
      </w:r>
      <w:proofErr w:type="spellEnd"/>
      <w:r w:rsidR="00EA1EA5">
        <w:t xml:space="preserve"> del 99%, el experto en el cultivo ha propuesto que en el Reino Unido se utilicen las nuevas tolerancias del primer año en el examen DHE del guisante forrajero con variedades </w:t>
      </w:r>
      <w:proofErr w:type="spellStart"/>
      <w:r w:rsidR="00EA1EA5">
        <w:t>semiáfilas</w:t>
      </w:r>
      <w:proofErr w:type="spellEnd"/>
      <w:r w:rsidR="00EA1EA5">
        <w:t xml:space="preserve"> (cuadro 2).  Téngase en cuenta que en el caso de los caracteres valorados por MG/VG (21, 29 y 42) las tolerancias no se basan en el umbral calculado. No obstante, estos cálculos dan confianza en las tolerancias que se utilizan actualmente.</w:t>
      </w:r>
    </w:p>
    <w:p w:rsidR="00154473" w:rsidRPr="0026215A" w:rsidRDefault="00154473" w:rsidP="00154473"/>
    <w:p w:rsidR="00154473" w:rsidRPr="0026215A" w:rsidRDefault="00154473" w:rsidP="00154473"/>
    <w:p w:rsidR="00154473" w:rsidRPr="0026215A" w:rsidRDefault="00EA1EA5" w:rsidP="00154473">
      <w:pPr>
        <w:widowControl w:val="0"/>
        <w:rPr>
          <w:szCs w:val="24"/>
        </w:rPr>
      </w:pPr>
      <w:r>
        <w:t>Cuadro 3.</w:t>
      </w:r>
      <w:r w:rsidR="001D0B00">
        <w:t xml:space="preserve"> </w:t>
      </w:r>
      <w:r>
        <w:t xml:space="preserve"> Proporción de veces en que los umbrales del primer año indicaron que una variedad era diferente de otra variedad y que la decisión posterior con el COYD fue que no eran diferentes (falso positivo), en el conjunto de datos de guisante forrajero del Reino Unido </w:t>
      </w:r>
    </w:p>
    <w:p w:rsidR="00154473" w:rsidRPr="0026215A" w:rsidRDefault="00154473" w:rsidP="00154473">
      <w:pPr>
        <w:widowControl w:val="0"/>
        <w:rPr>
          <w:i/>
          <w:szCs w:val="24"/>
        </w:rPr>
      </w:pP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1618"/>
        <w:gridCol w:w="1621"/>
        <w:gridCol w:w="1689"/>
        <w:gridCol w:w="1701"/>
        <w:gridCol w:w="1417"/>
      </w:tblGrid>
      <w:tr w:rsidR="00154473" w:rsidRPr="0026215A" w:rsidTr="00154473">
        <w:tc>
          <w:tcPr>
            <w:tcW w:w="1618" w:type="dxa"/>
            <w:tcBorders>
              <w:top w:val="single" w:sz="4" w:space="0" w:color="auto"/>
              <w:bottom w:val="single" w:sz="4" w:space="0" w:color="auto"/>
            </w:tcBorders>
          </w:tcPr>
          <w:p w:rsidR="00154473" w:rsidRPr="00C5453F" w:rsidRDefault="00EA1EA5" w:rsidP="00154473">
            <w:pPr>
              <w:widowControl w:val="0"/>
              <w:jc w:val="center"/>
              <w:rPr>
                <w:szCs w:val="24"/>
              </w:rPr>
            </w:pPr>
            <w:r>
              <w:t>Carácter</w:t>
            </w:r>
          </w:p>
        </w:tc>
        <w:tc>
          <w:tcPr>
            <w:tcW w:w="1621" w:type="dxa"/>
            <w:tcBorders>
              <w:top w:val="single" w:sz="4" w:space="0" w:color="auto"/>
              <w:bottom w:val="single" w:sz="4" w:space="0" w:color="auto"/>
            </w:tcBorders>
          </w:tcPr>
          <w:p w:rsidR="00154473" w:rsidRPr="00C5453F" w:rsidRDefault="00EA1EA5" w:rsidP="00154473">
            <w:pPr>
              <w:widowControl w:val="0"/>
              <w:jc w:val="center"/>
              <w:rPr>
                <w:szCs w:val="24"/>
              </w:rPr>
            </w:pPr>
            <w:r>
              <w:t xml:space="preserve">Umbral calculado con una </w:t>
            </w:r>
            <w:proofErr w:type="spellStart"/>
            <w:r>
              <w:rPr>
                <w:i/>
              </w:rPr>
              <w:t>p</w:t>
            </w:r>
            <w:r>
              <w:rPr>
                <w:i/>
                <w:vertAlign w:val="subscript"/>
              </w:rPr>
              <w:t>D</w:t>
            </w:r>
            <w:proofErr w:type="spellEnd"/>
            <w:r>
              <w:t>= 0,99</w:t>
            </w:r>
          </w:p>
        </w:tc>
        <w:tc>
          <w:tcPr>
            <w:tcW w:w="1689" w:type="dxa"/>
            <w:tcBorders>
              <w:top w:val="single" w:sz="4" w:space="0" w:color="auto"/>
              <w:bottom w:val="single" w:sz="4" w:space="0" w:color="auto"/>
            </w:tcBorders>
          </w:tcPr>
          <w:p w:rsidR="00154473" w:rsidRPr="00C5453F" w:rsidRDefault="00EA1EA5" w:rsidP="00154473">
            <w:pPr>
              <w:widowControl w:val="0"/>
              <w:jc w:val="center"/>
              <w:rPr>
                <w:szCs w:val="24"/>
              </w:rPr>
            </w:pPr>
            <w:r>
              <w:t xml:space="preserve">Umbral calculado con una </w:t>
            </w:r>
            <w:proofErr w:type="spellStart"/>
            <w:r>
              <w:rPr>
                <w:i/>
              </w:rPr>
              <w:t>p</w:t>
            </w:r>
            <w:r>
              <w:rPr>
                <w:i/>
                <w:vertAlign w:val="subscript"/>
              </w:rPr>
              <w:t>D</w:t>
            </w:r>
            <w:proofErr w:type="spellEnd"/>
            <w:r>
              <w:t>= 0,95</w:t>
            </w:r>
          </w:p>
        </w:tc>
        <w:tc>
          <w:tcPr>
            <w:tcW w:w="1701" w:type="dxa"/>
            <w:tcBorders>
              <w:top w:val="single" w:sz="4" w:space="0" w:color="auto"/>
              <w:bottom w:val="single" w:sz="4" w:space="0" w:color="auto"/>
            </w:tcBorders>
          </w:tcPr>
          <w:p w:rsidR="00154473" w:rsidRPr="00C5453F" w:rsidRDefault="00EA1EA5" w:rsidP="00154473">
            <w:pPr>
              <w:widowControl w:val="0"/>
              <w:jc w:val="center"/>
              <w:rPr>
                <w:szCs w:val="24"/>
              </w:rPr>
            </w:pPr>
            <w:r>
              <w:t xml:space="preserve">Umbral calculado con una </w:t>
            </w:r>
            <w:proofErr w:type="spellStart"/>
            <w:r>
              <w:rPr>
                <w:i/>
              </w:rPr>
              <w:t>p</w:t>
            </w:r>
            <w:r>
              <w:rPr>
                <w:i/>
                <w:vertAlign w:val="subscript"/>
              </w:rPr>
              <w:t>D</w:t>
            </w:r>
            <w:proofErr w:type="spellEnd"/>
            <w:r>
              <w:t>= 0,9</w:t>
            </w:r>
          </w:p>
        </w:tc>
        <w:tc>
          <w:tcPr>
            <w:tcW w:w="1417" w:type="dxa"/>
            <w:tcBorders>
              <w:top w:val="single" w:sz="4" w:space="0" w:color="auto"/>
              <w:bottom w:val="single" w:sz="4" w:space="0" w:color="auto"/>
            </w:tcBorders>
          </w:tcPr>
          <w:p w:rsidR="00154473" w:rsidRPr="00C5453F" w:rsidRDefault="00EA1EA5" w:rsidP="00154473">
            <w:pPr>
              <w:widowControl w:val="0"/>
              <w:jc w:val="center"/>
              <w:rPr>
                <w:szCs w:val="24"/>
              </w:rPr>
            </w:pPr>
            <w:r>
              <w:t>Tolerancia actual del Reino Unido</w:t>
            </w:r>
          </w:p>
        </w:tc>
      </w:tr>
      <w:tr w:rsidR="00154473" w:rsidRPr="00B92EC9" w:rsidTr="00154473">
        <w:tc>
          <w:tcPr>
            <w:tcW w:w="1618" w:type="dxa"/>
            <w:tcBorders>
              <w:top w:val="single" w:sz="4" w:space="0" w:color="auto"/>
            </w:tcBorders>
          </w:tcPr>
          <w:p w:rsidR="00154473" w:rsidRPr="00C5453F" w:rsidRDefault="00EA1EA5" w:rsidP="00154473">
            <w:pPr>
              <w:widowControl w:val="0"/>
              <w:jc w:val="center"/>
              <w:rPr>
                <w:szCs w:val="24"/>
              </w:rPr>
            </w:pPr>
            <w:r>
              <w:t>5</w:t>
            </w:r>
          </w:p>
        </w:tc>
        <w:tc>
          <w:tcPr>
            <w:tcW w:w="1621" w:type="dxa"/>
            <w:tcBorders>
              <w:top w:val="single" w:sz="4" w:space="0" w:color="auto"/>
            </w:tcBorders>
          </w:tcPr>
          <w:p w:rsidR="00154473" w:rsidRPr="00C5453F" w:rsidRDefault="00EA1EA5" w:rsidP="00154473">
            <w:pPr>
              <w:widowControl w:val="0"/>
              <w:jc w:val="center"/>
              <w:rPr>
                <w:szCs w:val="24"/>
              </w:rPr>
            </w:pPr>
            <w:r>
              <w:t>0,00%</w:t>
            </w:r>
          </w:p>
        </w:tc>
        <w:tc>
          <w:tcPr>
            <w:tcW w:w="1689" w:type="dxa"/>
            <w:tcBorders>
              <w:top w:val="single" w:sz="4" w:space="0" w:color="auto"/>
            </w:tcBorders>
          </w:tcPr>
          <w:p w:rsidR="00154473" w:rsidRPr="00C5453F" w:rsidRDefault="00EA1EA5" w:rsidP="00154473">
            <w:pPr>
              <w:widowControl w:val="0"/>
              <w:jc w:val="center"/>
              <w:rPr>
                <w:szCs w:val="24"/>
              </w:rPr>
            </w:pPr>
            <w:r>
              <w:t>0,05%</w:t>
            </w:r>
          </w:p>
        </w:tc>
        <w:tc>
          <w:tcPr>
            <w:tcW w:w="1701" w:type="dxa"/>
            <w:tcBorders>
              <w:top w:val="single" w:sz="4" w:space="0" w:color="auto"/>
            </w:tcBorders>
          </w:tcPr>
          <w:p w:rsidR="00154473" w:rsidRPr="00C5453F" w:rsidRDefault="00EA1EA5" w:rsidP="00154473">
            <w:pPr>
              <w:widowControl w:val="0"/>
              <w:jc w:val="center"/>
              <w:rPr>
                <w:szCs w:val="24"/>
              </w:rPr>
            </w:pPr>
            <w:r>
              <w:t>0,40%</w:t>
            </w:r>
          </w:p>
        </w:tc>
        <w:tc>
          <w:tcPr>
            <w:tcW w:w="1417" w:type="dxa"/>
            <w:tcBorders>
              <w:top w:val="single" w:sz="4" w:space="0" w:color="auto"/>
            </w:tcBorders>
          </w:tcPr>
          <w:p w:rsidR="00154473" w:rsidRPr="00C5453F" w:rsidRDefault="00EA1EA5" w:rsidP="00154473">
            <w:pPr>
              <w:widowControl w:val="0"/>
              <w:jc w:val="center"/>
              <w:rPr>
                <w:szCs w:val="24"/>
              </w:rPr>
            </w:pPr>
            <w:r>
              <w:t>0,00%</w:t>
            </w:r>
          </w:p>
        </w:tc>
      </w:tr>
      <w:tr w:rsidR="00154473" w:rsidRPr="00B92EC9" w:rsidTr="00154473">
        <w:tc>
          <w:tcPr>
            <w:tcW w:w="1618" w:type="dxa"/>
          </w:tcPr>
          <w:p w:rsidR="00154473" w:rsidRPr="00C5453F" w:rsidRDefault="00EA1EA5" w:rsidP="00154473">
            <w:pPr>
              <w:widowControl w:val="0"/>
              <w:jc w:val="center"/>
              <w:rPr>
                <w:szCs w:val="24"/>
              </w:rPr>
            </w:pPr>
            <w:r>
              <w:t>15</w:t>
            </w:r>
          </w:p>
        </w:tc>
        <w:tc>
          <w:tcPr>
            <w:tcW w:w="1621" w:type="dxa"/>
          </w:tcPr>
          <w:p w:rsidR="00154473" w:rsidRPr="00C5453F" w:rsidRDefault="00EA1EA5" w:rsidP="00154473">
            <w:pPr>
              <w:widowControl w:val="0"/>
              <w:jc w:val="center"/>
              <w:rPr>
                <w:szCs w:val="24"/>
              </w:rPr>
            </w:pPr>
            <w:r>
              <w:t>0,07%</w:t>
            </w:r>
          </w:p>
        </w:tc>
        <w:tc>
          <w:tcPr>
            <w:tcW w:w="1689" w:type="dxa"/>
          </w:tcPr>
          <w:p w:rsidR="00154473" w:rsidRPr="00C5453F" w:rsidRDefault="00EA1EA5" w:rsidP="00154473">
            <w:pPr>
              <w:widowControl w:val="0"/>
              <w:jc w:val="center"/>
              <w:rPr>
                <w:szCs w:val="24"/>
              </w:rPr>
            </w:pPr>
            <w:r>
              <w:t>0,62%</w:t>
            </w:r>
          </w:p>
        </w:tc>
        <w:tc>
          <w:tcPr>
            <w:tcW w:w="1701" w:type="dxa"/>
          </w:tcPr>
          <w:p w:rsidR="00154473" w:rsidRPr="00C5453F" w:rsidRDefault="00EA1EA5" w:rsidP="00154473">
            <w:pPr>
              <w:widowControl w:val="0"/>
              <w:jc w:val="center"/>
              <w:rPr>
                <w:szCs w:val="24"/>
              </w:rPr>
            </w:pPr>
            <w:r>
              <w:t>1,34%</w:t>
            </w:r>
          </w:p>
        </w:tc>
        <w:tc>
          <w:tcPr>
            <w:tcW w:w="1417" w:type="dxa"/>
          </w:tcPr>
          <w:p w:rsidR="00154473" w:rsidRPr="00C5453F" w:rsidRDefault="00EA1EA5" w:rsidP="00154473">
            <w:pPr>
              <w:widowControl w:val="0"/>
              <w:jc w:val="center"/>
              <w:rPr>
                <w:szCs w:val="24"/>
              </w:rPr>
            </w:pPr>
            <w:r>
              <w:t>0,04%</w:t>
            </w:r>
          </w:p>
        </w:tc>
      </w:tr>
      <w:tr w:rsidR="00154473" w:rsidRPr="00B92EC9" w:rsidTr="00154473">
        <w:tc>
          <w:tcPr>
            <w:tcW w:w="1618" w:type="dxa"/>
          </w:tcPr>
          <w:p w:rsidR="00154473" w:rsidRPr="00C5453F" w:rsidRDefault="00EA1EA5" w:rsidP="00154473">
            <w:pPr>
              <w:widowControl w:val="0"/>
              <w:jc w:val="center"/>
              <w:rPr>
                <w:szCs w:val="24"/>
              </w:rPr>
            </w:pPr>
            <w:r>
              <w:t>16</w:t>
            </w:r>
          </w:p>
        </w:tc>
        <w:tc>
          <w:tcPr>
            <w:tcW w:w="1621" w:type="dxa"/>
          </w:tcPr>
          <w:p w:rsidR="00154473" w:rsidRPr="00C5453F" w:rsidRDefault="00EA1EA5" w:rsidP="00154473">
            <w:pPr>
              <w:widowControl w:val="0"/>
              <w:jc w:val="center"/>
              <w:rPr>
                <w:szCs w:val="24"/>
              </w:rPr>
            </w:pPr>
            <w:r>
              <w:t>0,17%</w:t>
            </w:r>
          </w:p>
        </w:tc>
        <w:tc>
          <w:tcPr>
            <w:tcW w:w="1689" w:type="dxa"/>
          </w:tcPr>
          <w:p w:rsidR="00154473" w:rsidRPr="00C5453F" w:rsidRDefault="00EA1EA5" w:rsidP="00154473">
            <w:pPr>
              <w:widowControl w:val="0"/>
              <w:jc w:val="center"/>
              <w:rPr>
                <w:szCs w:val="24"/>
              </w:rPr>
            </w:pPr>
            <w:r>
              <w:t>0,79%</w:t>
            </w:r>
          </w:p>
        </w:tc>
        <w:tc>
          <w:tcPr>
            <w:tcW w:w="1701" w:type="dxa"/>
          </w:tcPr>
          <w:p w:rsidR="00154473" w:rsidRPr="00C5453F" w:rsidRDefault="00EA1EA5" w:rsidP="00154473">
            <w:pPr>
              <w:widowControl w:val="0"/>
              <w:jc w:val="center"/>
              <w:rPr>
                <w:szCs w:val="24"/>
              </w:rPr>
            </w:pPr>
            <w:r>
              <w:t>1,59%</w:t>
            </w:r>
          </w:p>
        </w:tc>
        <w:tc>
          <w:tcPr>
            <w:tcW w:w="1417" w:type="dxa"/>
          </w:tcPr>
          <w:p w:rsidR="00154473" w:rsidRPr="00C5453F" w:rsidRDefault="00EA1EA5" w:rsidP="00154473">
            <w:pPr>
              <w:widowControl w:val="0"/>
              <w:jc w:val="center"/>
              <w:rPr>
                <w:szCs w:val="24"/>
              </w:rPr>
            </w:pPr>
            <w:r>
              <w:t>0,00%</w:t>
            </w:r>
          </w:p>
        </w:tc>
      </w:tr>
      <w:tr w:rsidR="00154473" w:rsidRPr="00B92EC9" w:rsidTr="00154473">
        <w:tc>
          <w:tcPr>
            <w:tcW w:w="1618" w:type="dxa"/>
          </w:tcPr>
          <w:p w:rsidR="00154473" w:rsidRPr="00C5453F" w:rsidRDefault="00EA1EA5" w:rsidP="00154473">
            <w:pPr>
              <w:widowControl w:val="0"/>
              <w:jc w:val="center"/>
              <w:rPr>
                <w:szCs w:val="24"/>
              </w:rPr>
            </w:pPr>
            <w:r>
              <w:t>21</w:t>
            </w:r>
          </w:p>
        </w:tc>
        <w:tc>
          <w:tcPr>
            <w:tcW w:w="1621" w:type="dxa"/>
          </w:tcPr>
          <w:p w:rsidR="00154473" w:rsidRPr="00C5453F" w:rsidRDefault="00EA1EA5" w:rsidP="00154473">
            <w:pPr>
              <w:widowControl w:val="0"/>
              <w:jc w:val="center"/>
              <w:rPr>
                <w:szCs w:val="24"/>
              </w:rPr>
            </w:pPr>
            <w:r>
              <w:t>0,01%</w:t>
            </w:r>
          </w:p>
        </w:tc>
        <w:tc>
          <w:tcPr>
            <w:tcW w:w="1689" w:type="dxa"/>
          </w:tcPr>
          <w:p w:rsidR="00154473" w:rsidRPr="00C5453F" w:rsidRDefault="00EA1EA5" w:rsidP="00154473">
            <w:pPr>
              <w:widowControl w:val="0"/>
              <w:jc w:val="center"/>
              <w:rPr>
                <w:szCs w:val="24"/>
              </w:rPr>
            </w:pPr>
            <w:r>
              <w:t>0,18%</w:t>
            </w:r>
          </w:p>
        </w:tc>
        <w:tc>
          <w:tcPr>
            <w:tcW w:w="1701" w:type="dxa"/>
          </w:tcPr>
          <w:p w:rsidR="00154473" w:rsidRPr="00C5453F" w:rsidRDefault="00EA1EA5" w:rsidP="00154473">
            <w:pPr>
              <w:widowControl w:val="0"/>
              <w:jc w:val="center"/>
              <w:rPr>
                <w:szCs w:val="24"/>
              </w:rPr>
            </w:pPr>
            <w:r>
              <w:t>1,34%</w:t>
            </w:r>
          </w:p>
        </w:tc>
        <w:tc>
          <w:tcPr>
            <w:tcW w:w="1417" w:type="dxa"/>
          </w:tcPr>
          <w:p w:rsidR="00154473" w:rsidRPr="00C5453F" w:rsidRDefault="00EA1EA5" w:rsidP="00154473">
            <w:pPr>
              <w:widowControl w:val="0"/>
              <w:jc w:val="center"/>
              <w:rPr>
                <w:szCs w:val="24"/>
              </w:rPr>
            </w:pPr>
            <w:r>
              <w:t>0,00%</w:t>
            </w:r>
          </w:p>
        </w:tc>
      </w:tr>
      <w:tr w:rsidR="00154473" w:rsidRPr="00B92EC9" w:rsidTr="00154473">
        <w:tc>
          <w:tcPr>
            <w:tcW w:w="1618" w:type="dxa"/>
          </w:tcPr>
          <w:p w:rsidR="00154473" w:rsidRPr="00C5453F" w:rsidRDefault="00EA1EA5" w:rsidP="00154473">
            <w:pPr>
              <w:widowControl w:val="0"/>
              <w:jc w:val="center"/>
              <w:rPr>
                <w:szCs w:val="24"/>
              </w:rPr>
            </w:pPr>
            <w:r>
              <w:t>22</w:t>
            </w:r>
          </w:p>
        </w:tc>
        <w:tc>
          <w:tcPr>
            <w:tcW w:w="1621" w:type="dxa"/>
          </w:tcPr>
          <w:p w:rsidR="00154473" w:rsidRPr="00C5453F" w:rsidRDefault="00EA1EA5" w:rsidP="00154473">
            <w:pPr>
              <w:widowControl w:val="0"/>
              <w:jc w:val="center"/>
              <w:rPr>
                <w:szCs w:val="24"/>
              </w:rPr>
            </w:pPr>
            <w:r>
              <w:t>0,05%</w:t>
            </w:r>
          </w:p>
        </w:tc>
        <w:tc>
          <w:tcPr>
            <w:tcW w:w="1689" w:type="dxa"/>
          </w:tcPr>
          <w:p w:rsidR="00154473" w:rsidRPr="00C5453F" w:rsidRDefault="00EA1EA5" w:rsidP="00154473">
            <w:pPr>
              <w:widowControl w:val="0"/>
              <w:jc w:val="center"/>
              <w:rPr>
                <w:szCs w:val="24"/>
              </w:rPr>
            </w:pPr>
            <w:r>
              <w:t>0,41%</w:t>
            </w:r>
          </w:p>
        </w:tc>
        <w:tc>
          <w:tcPr>
            <w:tcW w:w="1701" w:type="dxa"/>
          </w:tcPr>
          <w:p w:rsidR="00154473" w:rsidRPr="00C5453F" w:rsidRDefault="00EA1EA5" w:rsidP="00154473">
            <w:pPr>
              <w:widowControl w:val="0"/>
              <w:jc w:val="center"/>
              <w:rPr>
                <w:szCs w:val="24"/>
              </w:rPr>
            </w:pPr>
            <w:r>
              <w:t>0,96%</w:t>
            </w:r>
          </w:p>
        </w:tc>
        <w:tc>
          <w:tcPr>
            <w:tcW w:w="1417" w:type="dxa"/>
          </w:tcPr>
          <w:p w:rsidR="00154473" w:rsidRPr="00C5453F" w:rsidRDefault="00EA1EA5" w:rsidP="00154473">
            <w:pPr>
              <w:widowControl w:val="0"/>
              <w:jc w:val="center"/>
              <w:rPr>
                <w:szCs w:val="24"/>
              </w:rPr>
            </w:pPr>
            <w:r>
              <w:t>0,03%</w:t>
            </w:r>
          </w:p>
        </w:tc>
      </w:tr>
      <w:tr w:rsidR="00154473" w:rsidRPr="00B92EC9" w:rsidTr="00154473">
        <w:tc>
          <w:tcPr>
            <w:tcW w:w="1618" w:type="dxa"/>
          </w:tcPr>
          <w:p w:rsidR="00154473" w:rsidRPr="00C5453F" w:rsidRDefault="00EA1EA5" w:rsidP="00154473">
            <w:pPr>
              <w:widowControl w:val="0"/>
              <w:jc w:val="center"/>
              <w:rPr>
                <w:szCs w:val="24"/>
              </w:rPr>
            </w:pPr>
            <w:r>
              <w:t>28</w:t>
            </w:r>
          </w:p>
        </w:tc>
        <w:tc>
          <w:tcPr>
            <w:tcW w:w="1621" w:type="dxa"/>
          </w:tcPr>
          <w:p w:rsidR="00154473" w:rsidRPr="00C5453F" w:rsidRDefault="00EA1EA5" w:rsidP="00154473">
            <w:pPr>
              <w:widowControl w:val="0"/>
              <w:jc w:val="center"/>
              <w:rPr>
                <w:szCs w:val="24"/>
              </w:rPr>
            </w:pPr>
            <w:r>
              <w:t>0,04%</w:t>
            </w:r>
          </w:p>
        </w:tc>
        <w:tc>
          <w:tcPr>
            <w:tcW w:w="1689" w:type="dxa"/>
          </w:tcPr>
          <w:p w:rsidR="00154473" w:rsidRPr="00C5453F" w:rsidRDefault="00EA1EA5" w:rsidP="00154473">
            <w:pPr>
              <w:widowControl w:val="0"/>
              <w:jc w:val="center"/>
              <w:rPr>
                <w:szCs w:val="24"/>
              </w:rPr>
            </w:pPr>
            <w:r>
              <w:t>0,54%</w:t>
            </w:r>
          </w:p>
        </w:tc>
        <w:tc>
          <w:tcPr>
            <w:tcW w:w="1701" w:type="dxa"/>
          </w:tcPr>
          <w:p w:rsidR="00154473" w:rsidRPr="00C5453F" w:rsidRDefault="00EA1EA5" w:rsidP="00154473">
            <w:pPr>
              <w:widowControl w:val="0"/>
              <w:jc w:val="center"/>
              <w:rPr>
                <w:szCs w:val="24"/>
              </w:rPr>
            </w:pPr>
            <w:r>
              <w:t>1,17%</w:t>
            </w:r>
          </w:p>
        </w:tc>
        <w:tc>
          <w:tcPr>
            <w:tcW w:w="1417" w:type="dxa"/>
          </w:tcPr>
          <w:p w:rsidR="00154473" w:rsidRPr="00C5453F" w:rsidRDefault="00EA1EA5" w:rsidP="00154473">
            <w:pPr>
              <w:widowControl w:val="0"/>
              <w:jc w:val="center"/>
              <w:rPr>
                <w:szCs w:val="24"/>
              </w:rPr>
            </w:pPr>
            <w:r>
              <w:t>0,00%</w:t>
            </w:r>
          </w:p>
        </w:tc>
      </w:tr>
      <w:tr w:rsidR="00154473" w:rsidRPr="00B92EC9" w:rsidTr="00154473">
        <w:tc>
          <w:tcPr>
            <w:tcW w:w="1618" w:type="dxa"/>
          </w:tcPr>
          <w:p w:rsidR="00154473" w:rsidRPr="00C5453F" w:rsidRDefault="00EA1EA5" w:rsidP="00154473">
            <w:pPr>
              <w:widowControl w:val="0"/>
              <w:jc w:val="center"/>
              <w:rPr>
                <w:szCs w:val="24"/>
              </w:rPr>
            </w:pPr>
            <w:r>
              <w:t>29</w:t>
            </w:r>
          </w:p>
        </w:tc>
        <w:tc>
          <w:tcPr>
            <w:tcW w:w="1621" w:type="dxa"/>
          </w:tcPr>
          <w:p w:rsidR="00154473" w:rsidRPr="00C5453F" w:rsidRDefault="00EA1EA5" w:rsidP="00154473">
            <w:pPr>
              <w:widowControl w:val="0"/>
              <w:jc w:val="center"/>
              <w:rPr>
                <w:szCs w:val="24"/>
              </w:rPr>
            </w:pPr>
            <w:r>
              <w:t>0,15%</w:t>
            </w:r>
          </w:p>
        </w:tc>
        <w:tc>
          <w:tcPr>
            <w:tcW w:w="1689" w:type="dxa"/>
          </w:tcPr>
          <w:p w:rsidR="00154473" w:rsidRPr="00C5453F" w:rsidRDefault="00EA1EA5" w:rsidP="00154473">
            <w:pPr>
              <w:widowControl w:val="0"/>
              <w:jc w:val="center"/>
              <w:rPr>
                <w:szCs w:val="24"/>
              </w:rPr>
            </w:pPr>
            <w:r>
              <w:t>0,15%</w:t>
            </w:r>
          </w:p>
        </w:tc>
        <w:tc>
          <w:tcPr>
            <w:tcW w:w="1701" w:type="dxa"/>
          </w:tcPr>
          <w:p w:rsidR="00154473" w:rsidRPr="00C5453F" w:rsidRDefault="00EA1EA5" w:rsidP="00154473">
            <w:pPr>
              <w:widowControl w:val="0"/>
              <w:jc w:val="center"/>
              <w:rPr>
                <w:szCs w:val="24"/>
              </w:rPr>
            </w:pPr>
            <w:r>
              <w:t>0,99%</w:t>
            </w:r>
          </w:p>
        </w:tc>
        <w:tc>
          <w:tcPr>
            <w:tcW w:w="1417" w:type="dxa"/>
          </w:tcPr>
          <w:p w:rsidR="00154473" w:rsidRPr="00C5453F" w:rsidRDefault="00EA1EA5" w:rsidP="00154473">
            <w:pPr>
              <w:widowControl w:val="0"/>
              <w:jc w:val="center"/>
              <w:rPr>
                <w:szCs w:val="24"/>
              </w:rPr>
            </w:pPr>
            <w:r>
              <w:t>0,15%</w:t>
            </w:r>
          </w:p>
        </w:tc>
      </w:tr>
      <w:tr w:rsidR="00154473" w:rsidRPr="00B92EC9" w:rsidTr="00154473">
        <w:tc>
          <w:tcPr>
            <w:tcW w:w="1618" w:type="dxa"/>
          </w:tcPr>
          <w:p w:rsidR="00154473" w:rsidRPr="00C5453F" w:rsidRDefault="00EA1EA5" w:rsidP="00154473">
            <w:pPr>
              <w:widowControl w:val="0"/>
              <w:jc w:val="center"/>
              <w:rPr>
                <w:szCs w:val="24"/>
              </w:rPr>
            </w:pPr>
            <w:r>
              <w:t>34</w:t>
            </w:r>
          </w:p>
        </w:tc>
        <w:tc>
          <w:tcPr>
            <w:tcW w:w="1621" w:type="dxa"/>
          </w:tcPr>
          <w:p w:rsidR="00154473" w:rsidRPr="00C5453F" w:rsidRDefault="00EA1EA5" w:rsidP="00154473">
            <w:pPr>
              <w:widowControl w:val="0"/>
              <w:jc w:val="center"/>
              <w:rPr>
                <w:szCs w:val="24"/>
              </w:rPr>
            </w:pPr>
            <w:r>
              <w:t>0,03%</w:t>
            </w:r>
          </w:p>
        </w:tc>
        <w:tc>
          <w:tcPr>
            <w:tcW w:w="1689" w:type="dxa"/>
          </w:tcPr>
          <w:p w:rsidR="00154473" w:rsidRPr="00C5453F" w:rsidRDefault="00EA1EA5" w:rsidP="00154473">
            <w:pPr>
              <w:widowControl w:val="0"/>
              <w:jc w:val="center"/>
              <w:rPr>
                <w:szCs w:val="24"/>
              </w:rPr>
            </w:pPr>
            <w:r>
              <w:t>0,40%</w:t>
            </w:r>
          </w:p>
        </w:tc>
        <w:tc>
          <w:tcPr>
            <w:tcW w:w="1701" w:type="dxa"/>
          </w:tcPr>
          <w:p w:rsidR="00154473" w:rsidRPr="00C5453F" w:rsidRDefault="00EA1EA5" w:rsidP="00154473">
            <w:pPr>
              <w:widowControl w:val="0"/>
              <w:jc w:val="center"/>
              <w:rPr>
                <w:szCs w:val="24"/>
              </w:rPr>
            </w:pPr>
            <w:r>
              <w:t>1,05%</w:t>
            </w:r>
          </w:p>
        </w:tc>
        <w:tc>
          <w:tcPr>
            <w:tcW w:w="1417" w:type="dxa"/>
          </w:tcPr>
          <w:p w:rsidR="00154473" w:rsidRPr="00C5453F" w:rsidRDefault="00EA1EA5" w:rsidP="00154473">
            <w:pPr>
              <w:widowControl w:val="0"/>
              <w:jc w:val="center"/>
              <w:rPr>
                <w:szCs w:val="24"/>
              </w:rPr>
            </w:pPr>
            <w:r>
              <w:t>0,07%</w:t>
            </w:r>
          </w:p>
        </w:tc>
      </w:tr>
      <w:tr w:rsidR="00154473" w:rsidRPr="00B92EC9" w:rsidTr="00154473">
        <w:tc>
          <w:tcPr>
            <w:tcW w:w="1618" w:type="dxa"/>
          </w:tcPr>
          <w:p w:rsidR="00154473" w:rsidRPr="00C5453F" w:rsidRDefault="00EA1EA5" w:rsidP="00154473">
            <w:pPr>
              <w:widowControl w:val="0"/>
              <w:jc w:val="center"/>
              <w:rPr>
                <w:szCs w:val="24"/>
              </w:rPr>
            </w:pPr>
            <w:r>
              <w:t>37</w:t>
            </w:r>
          </w:p>
        </w:tc>
        <w:tc>
          <w:tcPr>
            <w:tcW w:w="1621" w:type="dxa"/>
          </w:tcPr>
          <w:p w:rsidR="00154473" w:rsidRPr="00C5453F" w:rsidRDefault="00EA1EA5" w:rsidP="00154473">
            <w:pPr>
              <w:widowControl w:val="0"/>
              <w:jc w:val="center"/>
              <w:rPr>
                <w:szCs w:val="24"/>
              </w:rPr>
            </w:pPr>
            <w:r>
              <w:t>0,02%</w:t>
            </w:r>
          </w:p>
        </w:tc>
        <w:tc>
          <w:tcPr>
            <w:tcW w:w="1689" w:type="dxa"/>
          </w:tcPr>
          <w:p w:rsidR="00154473" w:rsidRPr="00C5453F" w:rsidRDefault="00EA1EA5" w:rsidP="00154473">
            <w:pPr>
              <w:widowControl w:val="0"/>
              <w:jc w:val="center"/>
              <w:rPr>
                <w:szCs w:val="24"/>
              </w:rPr>
            </w:pPr>
            <w:r>
              <w:t>0,23%</w:t>
            </w:r>
          </w:p>
        </w:tc>
        <w:tc>
          <w:tcPr>
            <w:tcW w:w="1701" w:type="dxa"/>
          </w:tcPr>
          <w:p w:rsidR="00154473" w:rsidRPr="00C5453F" w:rsidRDefault="00EA1EA5" w:rsidP="00154473">
            <w:pPr>
              <w:widowControl w:val="0"/>
              <w:jc w:val="center"/>
              <w:rPr>
                <w:szCs w:val="24"/>
              </w:rPr>
            </w:pPr>
            <w:r>
              <w:t>0,57%</w:t>
            </w:r>
          </w:p>
        </w:tc>
        <w:tc>
          <w:tcPr>
            <w:tcW w:w="1417" w:type="dxa"/>
          </w:tcPr>
          <w:p w:rsidR="00154473" w:rsidRPr="00C5453F" w:rsidRDefault="00EA1EA5" w:rsidP="00154473">
            <w:pPr>
              <w:widowControl w:val="0"/>
              <w:jc w:val="center"/>
              <w:rPr>
                <w:szCs w:val="24"/>
              </w:rPr>
            </w:pPr>
            <w:r>
              <w:t>0,00%</w:t>
            </w:r>
          </w:p>
        </w:tc>
      </w:tr>
      <w:tr w:rsidR="00154473" w:rsidRPr="00B92EC9" w:rsidTr="00154473">
        <w:tc>
          <w:tcPr>
            <w:tcW w:w="1618" w:type="dxa"/>
          </w:tcPr>
          <w:p w:rsidR="00154473" w:rsidRPr="00C5453F" w:rsidRDefault="00EA1EA5" w:rsidP="00154473">
            <w:pPr>
              <w:widowControl w:val="0"/>
              <w:jc w:val="center"/>
              <w:rPr>
                <w:szCs w:val="24"/>
              </w:rPr>
            </w:pPr>
            <w:r>
              <w:t>38</w:t>
            </w:r>
          </w:p>
        </w:tc>
        <w:tc>
          <w:tcPr>
            <w:tcW w:w="1621" w:type="dxa"/>
          </w:tcPr>
          <w:p w:rsidR="00154473" w:rsidRPr="00C5453F" w:rsidRDefault="00EA1EA5" w:rsidP="00154473">
            <w:pPr>
              <w:widowControl w:val="0"/>
              <w:jc w:val="center"/>
              <w:rPr>
                <w:szCs w:val="24"/>
              </w:rPr>
            </w:pPr>
            <w:r>
              <w:t>0,04%</w:t>
            </w:r>
          </w:p>
        </w:tc>
        <w:tc>
          <w:tcPr>
            <w:tcW w:w="1689" w:type="dxa"/>
          </w:tcPr>
          <w:p w:rsidR="00154473" w:rsidRPr="00C5453F" w:rsidRDefault="00EA1EA5" w:rsidP="00154473">
            <w:pPr>
              <w:widowControl w:val="0"/>
              <w:jc w:val="center"/>
              <w:rPr>
                <w:szCs w:val="24"/>
              </w:rPr>
            </w:pPr>
            <w:r>
              <w:t>0,58%</w:t>
            </w:r>
          </w:p>
        </w:tc>
        <w:tc>
          <w:tcPr>
            <w:tcW w:w="1701" w:type="dxa"/>
          </w:tcPr>
          <w:p w:rsidR="00154473" w:rsidRPr="00C5453F" w:rsidRDefault="00EA1EA5" w:rsidP="00154473">
            <w:pPr>
              <w:widowControl w:val="0"/>
              <w:jc w:val="center"/>
              <w:rPr>
                <w:szCs w:val="24"/>
              </w:rPr>
            </w:pPr>
            <w:r>
              <w:t>1,17%</w:t>
            </w:r>
          </w:p>
        </w:tc>
        <w:tc>
          <w:tcPr>
            <w:tcW w:w="1417" w:type="dxa"/>
          </w:tcPr>
          <w:p w:rsidR="00154473" w:rsidRPr="00C5453F" w:rsidRDefault="00EA1EA5" w:rsidP="00154473">
            <w:pPr>
              <w:widowControl w:val="0"/>
              <w:jc w:val="center"/>
              <w:rPr>
                <w:szCs w:val="24"/>
              </w:rPr>
            </w:pPr>
            <w:r>
              <w:t>0,05%</w:t>
            </w:r>
          </w:p>
        </w:tc>
      </w:tr>
      <w:tr w:rsidR="00154473" w:rsidRPr="00B92EC9" w:rsidTr="00154473">
        <w:tc>
          <w:tcPr>
            <w:tcW w:w="1618" w:type="dxa"/>
          </w:tcPr>
          <w:p w:rsidR="00154473" w:rsidRPr="00C5453F" w:rsidRDefault="00EA1EA5" w:rsidP="00154473">
            <w:pPr>
              <w:widowControl w:val="0"/>
              <w:jc w:val="center"/>
              <w:rPr>
                <w:szCs w:val="24"/>
              </w:rPr>
            </w:pPr>
            <w:r>
              <w:t>42</w:t>
            </w:r>
          </w:p>
        </w:tc>
        <w:tc>
          <w:tcPr>
            <w:tcW w:w="1621" w:type="dxa"/>
          </w:tcPr>
          <w:p w:rsidR="00154473" w:rsidRPr="00C5453F" w:rsidRDefault="00EA1EA5" w:rsidP="00154473">
            <w:pPr>
              <w:widowControl w:val="0"/>
              <w:jc w:val="center"/>
              <w:rPr>
                <w:szCs w:val="24"/>
              </w:rPr>
            </w:pPr>
            <w:r>
              <w:t>0,04%</w:t>
            </w:r>
          </w:p>
        </w:tc>
        <w:tc>
          <w:tcPr>
            <w:tcW w:w="1689" w:type="dxa"/>
          </w:tcPr>
          <w:p w:rsidR="00154473" w:rsidRPr="00C5453F" w:rsidRDefault="00EA1EA5" w:rsidP="00154473">
            <w:pPr>
              <w:widowControl w:val="0"/>
              <w:jc w:val="center"/>
              <w:rPr>
                <w:szCs w:val="24"/>
              </w:rPr>
            </w:pPr>
            <w:r>
              <w:t>0,56%</w:t>
            </w:r>
          </w:p>
        </w:tc>
        <w:tc>
          <w:tcPr>
            <w:tcW w:w="1701" w:type="dxa"/>
          </w:tcPr>
          <w:p w:rsidR="00154473" w:rsidRPr="00C5453F" w:rsidRDefault="00EA1EA5" w:rsidP="00154473">
            <w:pPr>
              <w:widowControl w:val="0"/>
              <w:jc w:val="center"/>
              <w:rPr>
                <w:szCs w:val="24"/>
              </w:rPr>
            </w:pPr>
            <w:r>
              <w:t>0,56%</w:t>
            </w:r>
          </w:p>
        </w:tc>
        <w:tc>
          <w:tcPr>
            <w:tcW w:w="1417" w:type="dxa"/>
          </w:tcPr>
          <w:p w:rsidR="00154473" w:rsidRPr="00C5453F" w:rsidRDefault="00EA1EA5" w:rsidP="00154473">
            <w:pPr>
              <w:widowControl w:val="0"/>
              <w:jc w:val="center"/>
              <w:rPr>
                <w:szCs w:val="24"/>
              </w:rPr>
            </w:pPr>
            <w:r>
              <w:t>0,04%</w:t>
            </w:r>
          </w:p>
        </w:tc>
      </w:tr>
      <w:tr w:rsidR="00154473" w:rsidRPr="00B92EC9" w:rsidTr="00154473">
        <w:tc>
          <w:tcPr>
            <w:tcW w:w="1618" w:type="dxa"/>
          </w:tcPr>
          <w:p w:rsidR="00154473" w:rsidRPr="00C5453F" w:rsidRDefault="00EA1EA5" w:rsidP="00154473">
            <w:pPr>
              <w:widowControl w:val="0"/>
              <w:jc w:val="center"/>
              <w:rPr>
                <w:szCs w:val="24"/>
              </w:rPr>
            </w:pPr>
            <w:r>
              <w:t>46</w:t>
            </w:r>
          </w:p>
        </w:tc>
        <w:tc>
          <w:tcPr>
            <w:tcW w:w="1621" w:type="dxa"/>
          </w:tcPr>
          <w:p w:rsidR="00154473" w:rsidRPr="00C5453F" w:rsidRDefault="00EA1EA5" w:rsidP="00154473">
            <w:pPr>
              <w:widowControl w:val="0"/>
              <w:jc w:val="center"/>
              <w:rPr>
                <w:szCs w:val="24"/>
              </w:rPr>
            </w:pPr>
            <w:r>
              <w:t>0,03%</w:t>
            </w:r>
          </w:p>
        </w:tc>
        <w:tc>
          <w:tcPr>
            <w:tcW w:w="1689" w:type="dxa"/>
          </w:tcPr>
          <w:p w:rsidR="00154473" w:rsidRPr="00C5453F" w:rsidRDefault="00EA1EA5" w:rsidP="00154473">
            <w:pPr>
              <w:widowControl w:val="0"/>
              <w:jc w:val="center"/>
              <w:rPr>
                <w:szCs w:val="24"/>
              </w:rPr>
            </w:pPr>
            <w:r>
              <w:t>0,33%</w:t>
            </w:r>
          </w:p>
        </w:tc>
        <w:tc>
          <w:tcPr>
            <w:tcW w:w="1701" w:type="dxa"/>
          </w:tcPr>
          <w:p w:rsidR="00154473" w:rsidRPr="00C5453F" w:rsidRDefault="00EA1EA5" w:rsidP="00154473">
            <w:pPr>
              <w:widowControl w:val="0"/>
              <w:jc w:val="center"/>
              <w:rPr>
                <w:szCs w:val="24"/>
              </w:rPr>
            </w:pPr>
            <w:r>
              <w:t>0,82%</w:t>
            </w:r>
          </w:p>
        </w:tc>
        <w:tc>
          <w:tcPr>
            <w:tcW w:w="1417" w:type="dxa"/>
          </w:tcPr>
          <w:p w:rsidR="00154473" w:rsidRPr="00C5453F" w:rsidRDefault="00EA1EA5" w:rsidP="00154473">
            <w:pPr>
              <w:widowControl w:val="0"/>
              <w:jc w:val="center"/>
              <w:rPr>
                <w:szCs w:val="24"/>
              </w:rPr>
            </w:pPr>
            <w:r>
              <w:t>0,00%</w:t>
            </w:r>
          </w:p>
        </w:tc>
      </w:tr>
      <w:tr w:rsidR="00154473" w:rsidRPr="00B92EC9" w:rsidTr="00154473">
        <w:tc>
          <w:tcPr>
            <w:tcW w:w="1618" w:type="dxa"/>
          </w:tcPr>
          <w:p w:rsidR="00154473" w:rsidRPr="00C5453F" w:rsidRDefault="00EA1EA5" w:rsidP="00154473">
            <w:pPr>
              <w:widowControl w:val="0"/>
              <w:jc w:val="center"/>
              <w:rPr>
                <w:szCs w:val="24"/>
              </w:rPr>
            </w:pPr>
            <w:r>
              <w:t>57</w:t>
            </w:r>
          </w:p>
        </w:tc>
        <w:tc>
          <w:tcPr>
            <w:tcW w:w="1621" w:type="dxa"/>
          </w:tcPr>
          <w:p w:rsidR="00154473" w:rsidRPr="00C5453F" w:rsidRDefault="00EA1EA5" w:rsidP="00154473">
            <w:pPr>
              <w:widowControl w:val="0"/>
              <w:jc w:val="center"/>
              <w:rPr>
                <w:szCs w:val="24"/>
              </w:rPr>
            </w:pPr>
            <w:r>
              <w:t>0,00%</w:t>
            </w:r>
          </w:p>
        </w:tc>
        <w:tc>
          <w:tcPr>
            <w:tcW w:w="1689" w:type="dxa"/>
          </w:tcPr>
          <w:p w:rsidR="00154473" w:rsidRPr="00C5453F" w:rsidRDefault="00EA1EA5" w:rsidP="00154473">
            <w:pPr>
              <w:widowControl w:val="0"/>
              <w:jc w:val="center"/>
              <w:rPr>
                <w:szCs w:val="24"/>
              </w:rPr>
            </w:pPr>
            <w:r>
              <w:t>0,23%</w:t>
            </w:r>
          </w:p>
        </w:tc>
        <w:tc>
          <w:tcPr>
            <w:tcW w:w="1701" w:type="dxa"/>
          </w:tcPr>
          <w:p w:rsidR="00154473" w:rsidRPr="00C5453F" w:rsidRDefault="00EA1EA5" w:rsidP="00154473">
            <w:pPr>
              <w:widowControl w:val="0"/>
              <w:jc w:val="center"/>
              <w:rPr>
                <w:szCs w:val="24"/>
              </w:rPr>
            </w:pPr>
            <w:r>
              <w:t>0,72%</w:t>
            </w:r>
          </w:p>
        </w:tc>
        <w:tc>
          <w:tcPr>
            <w:tcW w:w="1417" w:type="dxa"/>
          </w:tcPr>
          <w:p w:rsidR="00154473" w:rsidRPr="00C5453F" w:rsidRDefault="00EA1EA5" w:rsidP="00154473">
            <w:pPr>
              <w:widowControl w:val="0"/>
              <w:jc w:val="center"/>
              <w:rPr>
                <w:szCs w:val="24"/>
              </w:rPr>
            </w:pPr>
            <w:r>
              <w:t>0,08%</w:t>
            </w:r>
          </w:p>
        </w:tc>
      </w:tr>
    </w:tbl>
    <w:p w:rsidR="00154473" w:rsidRPr="00B92EC9" w:rsidRDefault="00154473" w:rsidP="00154473">
      <w:pPr>
        <w:widowControl w:val="0"/>
        <w:rPr>
          <w:i/>
          <w:szCs w:val="24"/>
        </w:rPr>
      </w:pPr>
    </w:p>
    <w:p w:rsidR="00154473" w:rsidRPr="00B92EC9" w:rsidRDefault="00154473" w:rsidP="00154473">
      <w:pPr>
        <w:jc w:val="left"/>
        <w:rPr>
          <w:szCs w:val="24"/>
        </w:rPr>
      </w:pPr>
    </w:p>
    <w:p w:rsidR="00154473" w:rsidRPr="0026215A" w:rsidRDefault="00EA1EA5" w:rsidP="00154473">
      <w:pPr>
        <w:widowControl w:val="0"/>
        <w:rPr>
          <w:szCs w:val="24"/>
        </w:rPr>
      </w:pPr>
      <w:r>
        <w:t>Cuadro 4.</w:t>
      </w:r>
      <w:r w:rsidR="001D0B00">
        <w:t xml:space="preserve"> </w:t>
      </w:r>
      <w:r>
        <w:t xml:space="preserve"> Proporción de veces en que los umbrales del primer año indicaron que una variedad candidata no era diferente de otra variedad y que la decisión del segundo año fue que sí eran diferentes (falso negativo), en el conjunto de datos de guisante forrajero del Reino Unido </w:t>
      </w:r>
    </w:p>
    <w:p w:rsidR="00154473" w:rsidRPr="0026215A" w:rsidRDefault="00154473" w:rsidP="00154473">
      <w:pPr>
        <w:widowControl w:val="0"/>
        <w:rPr>
          <w:i/>
          <w:szCs w:val="24"/>
        </w:rPr>
      </w:pPr>
    </w:p>
    <w:tbl>
      <w:tblPr>
        <w:tblW w:w="8472" w:type="dxa"/>
        <w:tblInd w:w="108" w:type="dxa"/>
        <w:tblBorders>
          <w:top w:val="single" w:sz="4" w:space="0" w:color="auto"/>
          <w:bottom w:val="single" w:sz="4" w:space="0" w:color="auto"/>
        </w:tblBorders>
        <w:tblLook w:val="04A0" w:firstRow="1" w:lastRow="0" w:firstColumn="1" w:lastColumn="0" w:noHBand="0" w:noVBand="1"/>
      </w:tblPr>
      <w:tblGrid>
        <w:gridCol w:w="1618"/>
        <w:gridCol w:w="1621"/>
        <w:gridCol w:w="1792"/>
        <w:gridCol w:w="1456"/>
        <w:gridCol w:w="1985"/>
      </w:tblGrid>
      <w:tr w:rsidR="00154473" w:rsidRPr="0026215A" w:rsidTr="00154473">
        <w:tc>
          <w:tcPr>
            <w:tcW w:w="1618" w:type="dxa"/>
            <w:tcBorders>
              <w:top w:val="single" w:sz="4" w:space="0" w:color="auto"/>
              <w:bottom w:val="single" w:sz="4" w:space="0" w:color="auto"/>
            </w:tcBorders>
          </w:tcPr>
          <w:p w:rsidR="00154473" w:rsidRPr="00C5453F" w:rsidRDefault="00EA1EA5" w:rsidP="00154473">
            <w:pPr>
              <w:widowControl w:val="0"/>
              <w:jc w:val="center"/>
              <w:rPr>
                <w:szCs w:val="24"/>
              </w:rPr>
            </w:pPr>
            <w:r>
              <w:t>Carácter</w:t>
            </w:r>
          </w:p>
        </w:tc>
        <w:tc>
          <w:tcPr>
            <w:tcW w:w="1621" w:type="dxa"/>
            <w:tcBorders>
              <w:top w:val="single" w:sz="4" w:space="0" w:color="auto"/>
              <w:bottom w:val="single" w:sz="4" w:space="0" w:color="auto"/>
            </w:tcBorders>
          </w:tcPr>
          <w:p w:rsidR="00154473" w:rsidRPr="00C5453F" w:rsidRDefault="00EA1EA5" w:rsidP="00154473">
            <w:pPr>
              <w:widowControl w:val="0"/>
              <w:jc w:val="center"/>
              <w:rPr>
                <w:szCs w:val="24"/>
              </w:rPr>
            </w:pPr>
            <w:r>
              <w:t xml:space="preserve">Umbral calculado con una </w:t>
            </w:r>
            <w:proofErr w:type="spellStart"/>
            <w:r>
              <w:rPr>
                <w:i/>
              </w:rPr>
              <w:t>p</w:t>
            </w:r>
            <w:r>
              <w:rPr>
                <w:i/>
                <w:vertAlign w:val="subscript"/>
              </w:rPr>
              <w:t>D</w:t>
            </w:r>
            <w:proofErr w:type="spellEnd"/>
            <w:r>
              <w:t>= 0,99</w:t>
            </w:r>
          </w:p>
        </w:tc>
        <w:tc>
          <w:tcPr>
            <w:tcW w:w="1792" w:type="dxa"/>
            <w:tcBorders>
              <w:top w:val="single" w:sz="4" w:space="0" w:color="auto"/>
              <w:bottom w:val="single" w:sz="4" w:space="0" w:color="auto"/>
            </w:tcBorders>
          </w:tcPr>
          <w:p w:rsidR="00154473" w:rsidRPr="00C5453F" w:rsidRDefault="00EA1EA5" w:rsidP="00154473">
            <w:pPr>
              <w:widowControl w:val="0"/>
              <w:jc w:val="center"/>
              <w:rPr>
                <w:szCs w:val="24"/>
              </w:rPr>
            </w:pPr>
            <w:r>
              <w:t xml:space="preserve">Umbral calculado con una </w:t>
            </w:r>
            <w:proofErr w:type="spellStart"/>
            <w:r>
              <w:rPr>
                <w:i/>
              </w:rPr>
              <w:t>p</w:t>
            </w:r>
            <w:r>
              <w:rPr>
                <w:i/>
                <w:vertAlign w:val="subscript"/>
              </w:rPr>
              <w:t>D</w:t>
            </w:r>
            <w:proofErr w:type="spellEnd"/>
            <w:r>
              <w:t>= 0,95</w:t>
            </w:r>
          </w:p>
        </w:tc>
        <w:tc>
          <w:tcPr>
            <w:tcW w:w="1456" w:type="dxa"/>
            <w:tcBorders>
              <w:top w:val="single" w:sz="4" w:space="0" w:color="auto"/>
              <w:bottom w:val="single" w:sz="4" w:space="0" w:color="auto"/>
            </w:tcBorders>
          </w:tcPr>
          <w:p w:rsidR="00154473" w:rsidRPr="00C5453F" w:rsidRDefault="00EA1EA5" w:rsidP="00154473">
            <w:pPr>
              <w:widowControl w:val="0"/>
              <w:jc w:val="center"/>
              <w:rPr>
                <w:szCs w:val="24"/>
              </w:rPr>
            </w:pPr>
            <w:r>
              <w:t xml:space="preserve">Umbral calculado con una </w:t>
            </w:r>
            <w:proofErr w:type="spellStart"/>
            <w:r>
              <w:rPr>
                <w:i/>
              </w:rPr>
              <w:t>p</w:t>
            </w:r>
            <w:r>
              <w:rPr>
                <w:i/>
                <w:vertAlign w:val="subscript"/>
              </w:rPr>
              <w:t>D</w:t>
            </w:r>
            <w:proofErr w:type="spellEnd"/>
            <w:r>
              <w:t>= 0,9</w:t>
            </w:r>
          </w:p>
        </w:tc>
        <w:tc>
          <w:tcPr>
            <w:tcW w:w="1985" w:type="dxa"/>
            <w:tcBorders>
              <w:top w:val="single" w:sz="4" w:space="0" w:color="auto"/>
              <w:bottom w:val="single" w:sz="4" w:space="0" w:color="auto"/>
            </w:tcBorders>
          </w:tcPr>
          <w:p w:rsidR="00154473" w:rsidRPr="00C5453F" w:rsidRDefault="00EA1EA5" w:rsidP="00154473">
            <w:pPr>
              <w:widowControl w:val="0"/>
              <w:jc w:val="center"/>
              <w:rPr>
                <w:szCs w:val="24"/>
              </w:rPr>
            </w:pPr>
            <w:r>
              <w:t>Tolerancia actual del Reino Unido</w:t>
            </w:r>
          </w:p>
        </w:tc>
      </w:tr>
      <w:tr w:rsidR="00154473" w:rsidRPr="00B92EC9" w:rsidTr="00154473">
        <w:tc>
          <w:tcPr>
            <w:tcW w:w="1618" w:type="dxa"/>
            <w:tcBorders>
              <w:top w:val="single" w:sz="4" w:space="0" w:color="auto"/>
            </w:tcBorders>
          </w:tcPr>
          <w:p w:rsidR="00154473" w:rsidRPr="00C5453F" w:rsidRDefault="00EA1EA5" w:rsidP="00154473">
            <w:pPr>
              <w:widowControl w:val="0"/>
              <w:jc w:val="center"/>
              <w:rPr>
                <w:szCs w:val="24"/>
              </w:rPr>
            </w:pPr>
            <w:r>
              <w:t>5</w:t>
            </w:r>
          </w:p>
        </w:tc>
        <w:tc>
          <w:tcPr>
            <w:tcW w:w="1621" w:type="dxa"/>
            <w:tcBorders>
              <w:top w:val="single" w:sz="4" w:space="0" w:color="auto"/>
            </w:tcBorders>
          </w:tcPr>
          <w:p w:rsidR="00154473" w:rsidRPr="00C5453F" w:rsidRDefault="00EA1EA5" w:rsidP="00154473">
            <w:pPr>
              <w:widowControl w:val="0"/>
              <w:jc w:val="center"/>
              <w:rPr>
                <w:szCs w:val="24"/>
              </w:rPr>
            </w:pPr>
            <w:r>
              <w:t>82,8%</w:t>
            </w:r>
          </w:p>
        </w:tc>
        <w:tc>
          <w:tcPr>
            <w:tcW w:w="1792" w:type="dxa"/>
            <w:tcBorders>
              <w:top w:val="single" w:sz="4" w:space="0" w:color="auto"/>
            </w:tcBorders>
          </w:tcPr>
          <w:p w:rsidR="00154473" w:rsidRPr="00C5453F" w:rsidRDefault="00EA1EA5" w:rsidP="00154473">
            <w:pPr>
              <w:widowControl w:val="0"/>
              <w:jc w:val="center"/>
              <w:rPr>
                <w:szCs w:val="24"/>
              </w:rPr>
            </w:pPr>
            <w:r>
              <w:t>39,4%</w:t>
            </w:r>
          </w:p>
        </w:tc>
        <w:tc>
          <w:tcPr>
            <w:tcW w:w="1456" w:type="dxa"/>
            <w:tcBorders>
              <w:top w:val="single" w:sz="4" w:space="0" w:color="auto"/>
            </w:tcBorders>
          </w:tcPr>
          <w:p w:rsidR="00154473" w:rsidRPr="00C5453F" w:rsidRDefault="00EA1EA5" w:rsidP="00154473">
            <w:pPr>
              <w:widowControl w:val="0"/>
              <w:jc w:val="center"/>
              <w:rPr>
                <w:szCs w:val="24"/>
              </w:rPr>
            </w:pPr>
            <w:r>
              <w:t>24,5%</w:t>
            </w:r>
          </w:p>
        </w:tc>
        <w:tc>
          <w:tcPr>
            <w:tcW w:w="1985" w:type="dxa"/>
            <w:tcBorders>
              <w:top w:val="single" w:sz="4" w:space="0" w:color="auto"/>
            </w:tcBorders>
          </w:tcPr>
          <w:p w:rsidR="00154473" w:rsidRPr="00C5453F" w:rsidRDefault="00EA1EA5" w:rsidP="00154473">
            <w:pPr>
              <w:widowControl w:val="0"/>
              <w:jc w:val="center"/>
              <w:rPr>
                <w:szCs w:val="24"/>
              </w:rPr>
            </w:pPr>
            <w:r>
              <w:t>67,6%</w:t>
            </w:r>
          </w:p>
        </w:tc>
      </w:tr>
      <w:tr w:rsidR="00154473" w:rsidRPr="00B92EC9" w:rsidTr="00154473">
        <w:tc>
          <w:tcPr>
            <w:tcW w:w="1618" w:type="dxa"/>
          </w:tcPr>
          <w:p w:rsidR="00154473" w:rsidRPr="00C5453F" w:rsidRDefault="00EA1EA5" w:rsidP="00154473">
            <w:pPr>
              <w:widowControl w:val="0"/>
              <w:jc w:val="center"/>
              <w:rPr>
                <w:szCs w:val="24"/>
              </w:rPr>
            </w:pPr>
            <w:r>
              <w:t>15</w:t>
            </w:r>
          </w:p>
        </w:tc>
        <w:tc>
          <w:tcPr>
            <w:tcW w:w="1621" w:type="dxa"/>
          </w:tcPr>
          <w:p w:rsidR="00154473" w:rsidRPr="00C5453F" w:rsidRDefault="00EA1EA5" w:rsidP="00154473">
            <w:pPr>
              <w:widowControl w:val="0"/>
              <w:jc w:val="center"/>
              <w:rPr>
                <w:szCs w:val="24"/>
              </w:rPr>
            </w:pPr>
            <w:r>
              <w:t>86,8%</w:t>
            </w:r>
          </w:p>
        </w:tc>
        <w:tc>
          <w:tcPr>
            <w:tcW w:w="1792" w:type="dxa"/>
          </w:tcPr>
          <w:p w:rsidR="00154473" w:rsidRPr="00C5453F" w:rsidRDefault="00EA1EA5" w:rsidP="00154473">
            <w:pPr>
              <w:widowControl w:val="0"/>
              <w:jc w:val="center"/>
              <w:rPr>
                <w:szCs w:val="24"/>
              </w:rPr>
            </w:pPr>
            <w:r>
              <w:t>66,6%</w:t>
            </w:r>
          </w:p>
        </w:tc>
        <w:tc>
          <w:tcPr>
            <w:tcW w:w="1456" w:type="dxa"/>
          </w:tcPr>
          <w:p w:rsidR="00154473" w:rsidRPr="00C5453F" w:rsidRDefault="00EA1EA5" w:rsidP="00154473">
            <w:pPr>
              <w:widowControl w:val="0"/>
              <w:jc w:val="center"/>
              <w:rPr>
                <w:szCs w:val="24"/>
              </w:rPr>
            </w:pPr>
            <w:r>
              <w:t>54,3%</w:t>
            </w:r>
          </w:p>
        </w:tc>
        <w:tc>
          <w:tcPr>
            <w:tcW w:w="1985" w:type="dxa"/>
          </w:tcPr>
          <w:p w:rsidR="00154473" w:rsidRPr="00C5453F" w:rsidRDefault="00EA1EA5" w:rsidP="00154473">
            <w:pPr>
              <w:widowControl w:val="0"/>
              <w:jc w:val="center"/>
              <w:rPr>
                <w:szCs w:val="24"/>
              </w:rPr>
            </w:pPr>
            <w:r>
              <w:t>90,1%</w:t>
            </w:r>
          </w:p>
        </w:tc>
      </w:tr>
      <w:tr w:rsidR="00154473" w:rsidRPr="00B92EC9" w:rsidTr="00154473">
        <w:tc>
          <w:tcPr>
            <w:tcW w:w="1618" w:type="dxa"/>
          </w:tcPr>
          <w:p w:rsidR="00154473" w:rsidRPr="00C5453F" w:rsidRDefault="00EA1EA5" w:rsidP="00154473">
            <w:pPr>
              <w:widowControl w:val="0"/>
              <w:jc w:val="center"/>
              <w:rPr>
                <w:szCs w:val="24"/>
              </w:rPr>
            </w:pPr>
            <w:r>
              <w:t>16</w:t>
            </w:r>
          </w:p>
        </w:tc>
        <w:tc>
          <w:tcPr>
            <w:tcW w:w="1621" w:type="dxa"/>
          </w:tcPr>
          <w:p w:rsidR="00154473" w:rsidRPr="00C5453F" w:rsidRDefault="00EA1EA5" w:rsidP="00154473">
            <w:pPr>
              <w:widowControl w:val="0"/>
              <w:jc w:val="center"/>
              <w:rPr>
                <w:szCs w:val="24"/>
              </w:rPr>
            </w:pPr>
            <w:r>
              <w:t>76,8%</w:t>
            </w:r>
          </w:p>
        </w:tc>
        <w:tc>
          <w:tcPr>
            <w:tcW w:w="1792" w:type="dxa"/>
          </w:tcPr>
          <w:p w:rsidR="00154473" w:rsidRPr="00C5453F" w:rsidRDefault="00EA1EA5" w:rsidP="00154473">
            <w:pPr>
              <w:widowControl w:val="0"/>
              <w:jc w:val="center"/>
              <w:rPr>
                <w:szCs w:val="24"/>
              </w:rPr>
            </w:pPr>
            <w:r>
              <w:t>56,6%</w:t>
            </w:r>
          </w:p>
        </w:tc>
        <w:tc>
          <w:tcPr>
            <w:tcW w:w="1456" w:type="dxa"/>
          </w:tcPr>
          <w:p w:rsidR="00154473" w:rsidRPr="00C5453F" w:rsidRDefault="00EA1EA5" w:rsidP="00154473">
            <w:pPr>
              <w:widowControl w:val="0"/>
              <w:jc w:val="center"/>
              <w:rPr>
                <w:szCs w:val="24"/>
              </w:rPr>
            </w:pPr>
            <w:r>
              <w:t>46,2%</w:t>
            </w:r>
          </w:p>
        </w:tc>
        <w:tc>
          <w:tcPr>
            <w:tcW w:w="1985" w:type="dxa"/>
          </w:tcPr>
          <w:p w:rsidR="00154473" w:rsidRPr="00C5453F" w:rsidRDefault="00EA1EA5" w:rsidP="00154473">
            <w:pPr>
              <w:widowControl w:val="0"/>
              <w:jc w:val="center"/>
              <w:rPr>
                <w:szCs w:val="24"/>
              </w:rPr>
            </w:pPr>
            <w:r>
              <w:t>94,6%</w:t>
            </w:r>
          </w:p>
        </w:tc>
      </w:tr>
      <w:tr w:rsidR="00154473" w:rsidRPr="00B92EC9" w:rsidTr="00154473">
        <w:tc>
          <w:tcPr>
            <w:tcW w:w="1618" w:type="dxa"/>
          </w:tcPr>
          <w:p w:rsidR="00154473" w:rsidRPr="00C5453F" w:rsidRDefault="00EA1EA5" w:rsidP="00154473">
            <w:pPr>
              <w:widowControl w:val="0"/>
              <w:jc w:val="center"/>
              <w:rPr>
                <w:szCs w:val="24"/>
              </w:rPr>
            </w:pPr>
            <w:r>
              <w:t>21</w:t>
            </w:r>
          </w:p>
        </w:tc>
        <w:tc>
          <w:tcPr>
            <w:tcW w:w="1621" w:type="dxa"/>
          </w:tcPr>
          <w:p w:rsidR="00154473" w:rsidRPr="00C5453F" w:rsidRDefault="00EA1EA5" w:rsidP="00154473">
            <w:pPr>
              <w:widowControl w:val="0"/>
              <w:jc w:val="center"/>
              <w:rPr>
                <w:szCs w:val="24"/>
              </w:rPr>
            </w:pPr>
            <w:r>
              <w:t>81,0%</w:t>
            </w:r>
          </w:p>
        </w:tc>
        <w:tc>
          <w:tcPr>
            <w:tcW w:w="1792" w:type="dxa"/>
          </w:tcPr>
          <w:p w:rsidR="00154473" w:rsidRPr="00C5453F" w:rsidRDefault="00EA1EA5" w:rsidP="00154473">
            <w:pPr>
              <w:widowControl w:val="0"/>
              <w:jc w:val="center"/>
              <w:rPr>
                <w:szCs w:val="24"/>
              </w:rPr>
            </w:pPr>
            <w:r>
              <w:t>60,8%</w:t>
            </w:r>
          </w:p>
        </w:tc>
        <w:tc>
          <w:tcPr>
            <w:tcW w:w="1456" w:type="dxa"/>
          </w:tcPr>
          <w:p w:rsidR="00154473" w:rsidRPr="00C5453F" w:rsidRDefault="00EA1EA5" w:rsidP="00154473">
            <w:pPr>
              <w:widowControl w:val="0"/>
              <w:jc w:val="center"/>
              <w:rPr>
                <w:szCs w:val="24"/>
              </w:rPr>
            </w:pPr>
            <w:r>
              <w:t>34,6%</w:t>
            </w:r>
          </w:p>
        </w:tc>
        <w:tc>
          <w:tcPr>
            <w:tcW w:w="1985" w:type="dxa"/>
          </w:tcPr>
          <w:p w:rsidR="00154473" w:rsidRPr="00C5453F" w:rsidRDefault="00EA1EA5" w:rsidP="00154473">
            <w:pPr>
              <w:widowControl w:val="0"/>
              <w:jc w:val="center"/>
              <w:rPr>
                <w:szCs w:val="24"/>
              </w:rPr>
            </w:pPr>
            <w:r>
              <w:t>88,8%</w:t>
            </w:r>
          </w:p>
        </w:tc>
      </w:tr>
      <w:tr w:rsidR="00154473" w:rsidRPr="00B92EC9" w:rsidTr="00154473">
        <w:tc>
          <w:tcPr>
            <w:tcW w:w="1618" w:type="dxa"/>
          </w:tcPr>
          <w:p w:rsidR="00154473" w:rsidRPr="00C5453F" w:rsidRDefault="00EA1EA5" w:rsidP="00154473">
            <w:pPr>
              <w:widowControl w:val="0"/>
              <w:jc w:val="center"/>
              <w:rPr>
                <w:szCs w:val="24"/>
              </w:rPr>
            </w:pPr>
            <w:r>
              <w:t>22</w:t>
            </w:r>
          </w:p>
        </w:tc>
        <w:tc>
          <w:tcPr>
            <w:tcW w:w="1621" w:type="dxa"/>
          </w:tcPr>
          <w:p w:rsidR="00154473" w:rsidRPr="00C5453F" w:rsidRDefault="00EA1EA5" w:rsidP="00154473">
            <w:pPr>
              <w:widowControl w:val="0"/>
              <w:jc w:val="center"/>
              <w:rPr>
                <w:szCs w:val="24"/>
              </w:rPr>
            </w:pPr>
            <w:r>
              <w:t>88,5%</w:t>
            </w:r>
          </w:p>
        </w:tc>
        <w:tc>
          <w:tcPr>
            <w:tcW w:w="1792" w:type="dxa"/>
          </w:tcPr>
          <w:p w:rsidR="00154473" w:rsidRPr="00C5453F" w:rsidRDefault="00EA1EA5" w:rsidP="00154473">
            <w:pPr>
              <w:widowControl w:val="0"/>
              <w:jc w:val="center"/>
              <w:rPr>
                <w:szCs w:val="24"/>
              </w:rPr>
            </w:pPr>
            <w:r>
              <w:t>67,5%</w:t>
            </w:r>
          </w:p>
        </w:tc>
        <w:tc>
          <w:tcPr>
            <w:tcW w:w="1456" w:type="dxa"/>
          </w:tcPr>
          <w:p w:rsidR="00154473" w:rsidRPr="00C5453F" w:rsidRDefault="00EA1EA5" w:rsidP="00154473">
            <w:pPr>
              <w:widowControl w:val="0"/>
              <w:jc w:val="center"/>
              <w:rPr>
                <w:szCs w:val="24"/>
              </w:rPr>
            </w:pPr>
            <w:r>
              <w:t>54,2%</w:t>
            </w:r>
          </w:p>
        </w:tc>
        <w:tc>
          <w:tcPr>
            <w:tcW w:w="1985" w:type="dxa"/>
          </w:tcPr>
          <w:p w:rsidR="00154473" w:rsidRPr="00C5453F" w:rsidRDefault="00EA1EA5" w:rsidP="00154473">
            <w:pPr>
              <w:widowControl w:val="0"/>
              <w:jc w:val="center"/>
              <w:rPr>
                <w:szCs w:val="24"/>
              </w:rPr>
            </w:pPr>
            <w:r>
              <w:t>91,3%</w:t>
            </w:r>
          </w:p>
        </w:tc>
      </w:tr>
      <w:tr w:rsidR="00154473" w:rsidRPr="00B92EC9" w:rsidTr="00154473">
        <w:tc>
          <w:tcPr>
            <w:tcW w:w="1618" w:type="dxa"/>
          </w:tcPr>
          <w:p w:rsidR="00154473" w:rsidRPr="00C5453F" w:rsidRDefault="00EA1EA5" w:rsidP="00154473">
            <w:pPr>
              <w:widowControl w:val="0"/>
              <w:jc w:val="center"/>
              <w:rPr>
                <w:szCs w:val="24"/>
              </w:rPr>
            </w:pPr>
            <w:r>
              <w:t>28</w:t>
            </w:r>
          </w:p>
        </w:tc>
        <w:tc>
          <w:tcPr>
            <w:tcW w:w="1621" w:type="dxa"/>
          </w:tcPr>
          <w:p w:rsidR="00154473" w:rsidRPr="00C5453F" w:rsidRDefault="00EA1EA5" w:rsidP="00154473">
            <w:pPr>
              <w:widowControl w:val="0"/>
              <w:jc w:val="center"/>
              <w:rPr>
                <w:szCs w:val="24"/>
              </w:rPr>
            </w:pPr>
            <w:r>
              <w:t>89,3%</w:t>
            </w:r>
          </w:p>
        </w:tc>
        <w:tc>
          <w:tcPr>
            <w:tcW w:w="1792" w:type="dxa"/>
          </w:tcPr>
          <w:p w:rsidR="00154473" w:rsidRPr="00C5453F" w:rsidRDefault="00EA1EA5" w:rsidP="00154473">
            <w:pPr>
              <w:widowControl w:val="0"/>
              <w:jc w:val="center"/>
              <w:rPr>
                <w:szCs w:val="24"/>
              </w:rPr>
            </w:pPr>
            <w:r>
              <w:t>65,4%</w:t>
            </w:r>
          </w:p>
        </w:tc>
        <w:tc>
          <w:tcPr>
            <w:tcW w:w="1456" w:type="dxa"/>
          </w:tcPr>
          <w:p w:rsidR="00154473" w:rsidRPr="00C5453F" w:rsidRDefault="00EA1EA5" w:rsidP="00154473">
            <w:pPr>
              <w:widowControl w:val="0"/>
              <w:jc w:val="center"/>
              <w:rPr>
                <w:szCs w:val="24"/>
              </w:rPr>
            </w:pPr>
            <w:r>
              <w:t>51,7%</w:t>
            </w:r>
          </w:p>
        </w:tc>
        <w:tc>
          <w:tcPr>
            <w:tcW w:w="1985" w:type="dxa"/>
          </w:tcPr>
          <w:p w:rsidR="00154473" w:rsidRPr="00C5453F" w:rsidRDefault="00EA1EA5" w:rsidP="00154473">
            <w:pPr>
              <w:widowControl w:val="0"/>
              <w:jc w:val="center"/>
              <w:rPr>
                <w:szCs w:val="24"/>
              </w:rPr>
            </w:pPr>
            <w:r>
              <w:t>99,9%</w:t>
            </w:r>
          </w:p>
        </w:tc>
      </w:tr>
      <w:tr w:rsidR="00154473" w:rsidRPr="00B92EC9" w:rsidTr="00154473">
        <w:tc>
          <w:tcPr>
            <w:tcW w:w="1618" w:type="dxa"/>
          </w:tcPr>
          <w:p w:rsidR="00154473" w:rsidRPr="00C5453F" w:rsidRDefault="00EA1EA5" w:rsidP="00154473">
            <w:pPr>
              <w:widowControl w:val="0"/>
              <w:jc w:val="center"/>
              <w:rPr>
                <w:szCs w:val="24"/>
              </w:rPr>
            </w:pPr>
            <w:r>
              <w:t>29</w:t>
            </w:r>
          </w:p>
        </w:tc>
        <w:tc>
          <w:tcPr>
            <w:tcW w:w="1621" w:type="dxa"/>
          </w:tcPr>
          <w:p w:rsidR="00154473" w:rsidRPr="00C5453F" w:rsidRDefault="00EA1EA5" w:rsidP="00154473">
            <w:pPr>
              <w:widowControl w:val="0"/>
              <w:jc w:val="center"/>
              <w:rPr>
                <w:szCs w:val="24"/>
              </w:rPr>
            </w:pPr>
            <w:r>
              <w:t>57,3%</w:t>
            </w:r>
          </w:p>
        </w:tc>
        <w:tc>
          <w:tcPr>
            <w:tcW w:w="1792" w:type="dxa"/>
          </w:tcPr>
          <w:p w:rsidR="00154473" w:rsidRPr="00C5453F" w:rsidRDefault="00EA1EA5" w:rsidP="00154473">
            <w:pPr>
              <w:widowControl w:val="0"/>
              <w:jc w:val="center"/>
              <w:rPr>
                <w:szCs w:val="24"/>
              </w:rPr>
            </w:pPr>
            <w:r>
              <w:t>57,3%</w:t>
            </w:r>
          </w:p>
        </w:tc>
        <w:tc>
          <w:tcPr>
            <w:tcW w:w="1456" w:type="dxa"/>
          </w:tcPr>
          <w:p w:rsidR="00154473" w:rsidRPr="00C5453F" w:rsidRDefault="00EA1EA5" w:rsidP="00154473">
            <w:pPr>
              <w:widowControl w:val="0"/>
              <w:jc w:val="center"/>
              <w:rPr>
                <w:szCs w:val="24"/>
              </w:rPr>
            </w:pPr>
            <w:r>
              <w:t>34,4%</w:t>
            </w:r>
          </w:p>
        </w:tc>
        <w:tc>
          <w:tcPr>
            <w:tcW w:w="1985" w:type="dxa"/>
          </w:tcPr>
          <w:p w:rsidR="00154473" w:rsidRPr="00C5453F" w:rsidRDefault="00EA1EA5" w:rsidP="00154473">
            <w:pPr>
              <w:widowControl w:val="0"/>
              <w:jc w:val="center"/>
              <w:rPr>
                <w:szCs w:val="24"/>
              </w:rPr>
            </w:pPr>
            <w:r>
              <w:t>57,4%</w:t>
            </w:r>
          </w:p>
        </w:tc>
      </w:tr>
      <w:tr w:rsidR="00154473" w:rsidRPr="00B92EC9" w:rsidTr="00154473">
        <w:tc>
          <w:tcPr>
            <w:tcW w:w="1618" w:type="dxa"/>
          </w:tcPr>
          <w:p w:rsidR="00154473" w:rsidRPr="00C5453F" w:rsidRDefault="00EA1EA5" w:rsidP="00154473">
            <w:pPr>
              <w:widowControl w:val="0"/>
              <w:jc w:val="center"/>
              <w:rPr>
                <w:szCs w:val="24"/>
              </w:rPr>
            </w:pPr>
            <w:r>
              <w:t>34</w:t>
            </w:r>
          </w:p>
        </w:tc>
        <w:tc>
          <w:tcPr>
            <w:tcW w:w="1621" w:type="dxa"/>
          </w:tcPr>
          <w:p w:rsidR="00154473" w:rsidRPr="00C5453F" w:rsidRDefault="00EA1EA5" w:rsidP="00154473">
            <w:pPr>
              <w:widowControl w:val="0"/>
              <w:jc w:val="center"/>
              <w:rPr>
                <w:szCs w:val="24"/>
              </w:rPr>
            </w:pPr>
            <w:r>
              <w:t>84,7%</w:t>
            </w:r>
          </w:p>
        </w:tc>
        <w:tc>
          <w:tcPr>
            <w:tcW w:w="1792" w:type="dxa"/>
          </w:tcPr>
          <w:p w:rsidR="00154473" w:rsidRPr="00C5453F" w:rsidRDefault="00EA1EA5" w:rsidP="00154473">
            <w:pPr>
              <w:widowControl w:val="0"/>
              <w:jc w:val="center"/>
              <w:rPr>
                <w:szCs w:val="24"/>
              </w:rPr>
            </w:pPr>
            <w:r>
              <w:t>59,4%</w:t>
            </w:r>
          </w:p>
        </w:tc>
        <w:tc>
          <w:tcPr>
            <w:tcW w:w="1456" w:type="dxa"/>
          </w:tcPr>
          <w:p w:rsidR="00154473" w:rsidRPr="00C5453F" w:rsidRDefault="00EA1EA5" w:rsidP="00154473">
            <w:pPr>
              <w:widowControl w:val="0"/>
              <w:jc w:val="center"/>
              <w:rPr>
                <w:szCs w:val="24"/>
              </w:rPr>
            </w:pPr>
            <w:r>
              <w:t>46,2%</w:t>
            </w:r>
          </w:p>
        </w:tc>
        <w:tc>
          <w:tcPr>
            <w:tcW w:w="1985" w:type="dxa"/>
          </w:tcPr>
          <w:p w:rsidR="00154473" w:rsidRPr="00C5453F" w:rsidRDefault="00EA1EA5" w:rsidP="00154473">
            <w:pPr>
              <w:widowControl w:val="0"/>
              <w:jc w:val="center"/>
              <w:rPr>
                <w:szCs w:val="24"/>
              </w:rPr>
            </w:pPr>
            <w:r>
              <w:t>75,6%</w:t>
            </w:r>
          </w:p>
        </w:tc>
      </w:tr>
      <w:tr w:rsidR="00154473" w:rsidRPr="00B92EC9" w:rsidTr="00154473">
        <w:tc>
          <w:tcPr>
            <w:tcW w:w="1618" w:type="dxa"/>
          </w:tcPr>
          <w:p w:rsidR="00154473" w:rsidRPr="00C5453F" w:rsidRDefault="00EA1EA5" w:rsidP="00154473">
            <w:pPr>
              <w:widowControl w:val="0"/>
              <w:jc w:val="center"/>
              <w:rPr>
                <w:szCs w:val="24"/>
              </w:rPr>
            </w:pPr>
            <w:r>
              <w:t>37</w:t>
            </w:r>
          </w:p>
        </w:tc>
        <w:tc>
          <w:tcPr>
            <w:tcW w:w="1621" w:type="dxa"/>
          </w:tcPr>
          <w:p w:rsidR="00154473" w:rsidRPr="00C5453F" w:rsidRDefault="00EA1EA5" w:rsidP="00154473">
            <w:pPr>
              <w:widowControl w:val="0"/>
              <w:jc w:val="center"/>
              <w:rPr>
                <w:szCs w:val="24"/>
              </w:rPr>
            </w:pPr>
            <w:r>
              <w:t>81,2%</w:t>
            </w:r>
          </w:p>
        </w:tc>
        <w:tc>
          <w:tcPr>
            <w:tcW w:w="1792" w:type="dxa"/>
          </w:tcPr>
          <w:p w:rsidR="00154473" w:rsidRPr="00C5453F" w:rsidRDefault="00EA1EA5" w:rsidP="00154473">
            <w:pPr>
              <w:widowControl w:val="0"/>
              <w:jc w:val="center"/>
              <w:rPr>
                <w:szCs w:val="24"/>
              </w:rPr>
            </w:pPr>
            <w:r>
              <w:t>65,1%</w:t>
            </w:r>
          </w:p>
        </w:tc>
        <w:tc>
          <w:tcPr>
            <w:tcW w:w="1456" w:type="dxa"/>
          </w:tcPr>
          <w:p w:rsidR="00154473" w:rsidRPr="00C5453F" w:rsidRDefault="00EA1EA5" w:rsidP="00154473">
            <w:pPr>
              <w:widowControl w:val="0"/>
              <w:jc w:val="center"/>
              <w:rPr>
                <w:szCs w:val="24"/>
              </w:rPr>
            </w:pPr>
            <w:r>
              <w:t>54,4%</w:t>
            </w:r>
          </w:p>
        </w:tc>
        <w:tc>
          <w:tcPr>
            <w:tcW w:w="1985" w:type="dxa"/>
          </w:tcPr>
          <w:p w:rsidR="00154473" w:rsidRPr="00C5453F" w:rsidRDefault="00EA1EA5" w:rsidP="00154473">
            <w:pPr>
              <w:widowControl w:val="0"/>
              <w:jc w:val="center"/>
              <w:rPr>
                <w:szCs w:val="24"/>
              </w:rPr>
            </w:pPr>
            <w:r>
              <w:t>96,5%</w:t>
            </w:r>
          </w:p>
        </w:tc>
      </w:tr>
      <w:tr w:rsidR="00154473" w:rsidRPr="00B92EC9" w:rsidTr="00154473">
        <w:tc>
          <w:tcPr>
            <w:tcW w:w="1618" w:type="dxa"/>
          </w:tcPr>
          <w:p w:rsidR="00154473" w:rsidRPr="00C5453F" w:rsidRDefault="00EA1EA5" w:rsidP="00154473">
            <w:pPr>
              <w:widowControl w:val="0"/>
              <w:jc w:val="center"/>
              <w:rPr>
                <w:szCs w:val="24"/>
              </w:rPr>
            </w:pPr>
            <w:r>
              <w:t>38</w:t>
            </w:r>
          </w:p>
        </w:tc>
        <w:tc>
          <w:tcPr>
            <w:tcW w:w="1621" w:type="dxa"/>
          </w:tcPr>
          <w:p w:rsidR="00154473" w:rsidRPr="00C5453F" w:rsidRDefault="00EA1EA5" w:rsidP="00154473">
            <w:pPr>
              <w:widowControl w:val="0"/>
              <w:jc w:val="center"/>
              <w:rPr>
                <w:szCs w:val="24"/>
              </w:rPr>
            </w:pPr>
            <w:r>
              <w:t>77,1%</w:t>
            </w:r>
          </w:p>
        </w:tc>
        <w:tc>
          <w:tcPr>
            <w:tcW w:w="1792" w:type="dxa"/>
          </w:tcPr>
          <w:p w:rsidR="00154473" w:rsidRPr="00C5453F" w:rsidRDefault="00EA1EA5" w:rsidP="00154473">
            <w:pPr>
              <w:widowControl w:val="0"/>
              <w:jc w:val="center"/>
              <w:rPr>
                <w:szCs w:val="24"/>
              </w:rPr>
            </w:pPr>
            <w:r>
              <w:t>57,1%</w:t>
            </w:r>
          </w:p>
        </w:tc>
        <w:tc>
          <w:tcPr>
            <w:tcW w:w="1456" w:type="dxa"/>
          </w:tcPr>
          <w:p w:rsidR="00154473" w:rsidRPr="00C5453F" w:rsidRDefault="00EA1EA5" w:rsidP="00154473">
            <w:pPr>
              <w:widowControl w:val="0"/>
              <w:jc w:val="center"/>
              <w:rPr>
                <w:szCs w:val="24"/>
              </w:rPr>
            </w:pPr>
            <w:r>
              <w:t>47,4%</w:t>
            </w:r>
          </w:p>
        </w:tc>
        <w:tc>
          <w:tcPr>
            <w:tcW w:w="1985" w:type="dxa"/>
          </w:tcPr>
          <w:p w:rsidR="00154473" w:rsidRPr="00C5453F" w:rsidRDefault="00EA1EA5" w:rsidP="00154473">
            <w:pPr>
              <w:widowControl w:val="0"/>
              <w:jc w:val="center"/>
              <w:rPr>
                <w:szCs w:val="24"/>
              </w:rPr>
            </w:pPr>
            <w:r>
              <w:t>76,2%</w:t>
            </w:r>
          </w:p>
        </w:tc>
      </w:tr>
      <w:tr w:rsidR="00154473" w:rsidRPr="00B92EC9" w:rsidTr="00154473">
        <w:tc>
          <w:tcPr>
            <w:tcW w:w="1618" w:type="dxa"/>
          </w:tcPr>
          <w:p w:rsidR="00154473" w:rsidRPr="00C5453F" w:rsidRDefault="00EA1EA5" w:rsidP="00154473">
            <w:pPr>
              <w:widowControl w:val="0"/>
              <w:jc w:val="center"/>
              <w:rPr>
                <w:szCs w:val="24"/>
              </w:rPr>
            </w:pPr>
            <w:r>
              <w:t>42</w:t>
            </w:r>
          </w:p>
        </w:tc>
        <w:tc>
          <w:tcPr>
            <w:tcW w:w="1621" w:type="dxa"/>
          </w:tcPr>
          <w:p w:rsidR="00154473" w:rsidRPr="00C5453F" w:rsidRDefault="00EA1EA5" w:rsidP="00154473">
            <w:pPr>
              <w:widowControl w:val="0"/>
              <w:jc w:val="center"/>
              <w:rPr>
                <w:szCs w:val="24"/>
              </w:rPr>
            </w:pPr>
            <w:r>
              <w:t>80,9%</w:t>
            </w:r>
          </w:p>
        </w:tc>
        <w:tc>
          <w:tcPr>
            <w:tcW w:w="1792" w:type="dxa"/>
          </w:tcPr>
          <w:p w:rsidR="00154473" w:rsidRPr="00C5453F" w:rsidRDefault="00EA1EA5" w:rsidP="00154473">
            <w:pPr>
              <w:widowControl w:val="0"/>
              <w:jc w:val="center"/>
              <w:rPr>
                <w:szCs w:val="24"/>
              </w:rPr>
            </w:pPr>
            <w:r>
              <w:t>58,2%</w:t>
            </w:r>
          </w:p>
        </w:tc>
        <w:tc>
          <w:tcPr>
            <w:tcW w:w="1456" w:type="dxa"/>
          </w:tcPr>
          <w:p w:rsidR="00154473" w:rsidRPr="00C5453F" w:rsidRDefault="00EA1EA5" w:rsidP="00154473">
            <w:pPr>
              <w:widowControl w:val="0"/>
              <w:jc w:val="center"/>
              <w:rPr>
                <w:szCs w:val="24"/>
              </w:rPr>
            </w:pPr>
            <w:r>
              <w:t>58,2%</w:t>
            </w:r>
          </w:p>
        </w:tc>
        <w:tc>
          <w:tcPr>
            <w:tcW w:w="1985" w:type="dxa"/>
          </w:tcPr>
          <w:p w:rsidR="00154473" w:rsidRPr="00C5453F" w:rsidRDefault="00EA1EA5" w:rsidP="00154473">
            <w:pPr>
              <w:widowControl w:val="0"/>
              <w:jc w:val="center"/>
              <w:rPr>
                <w:szCs w:val="24"/>
              </w:rPr>
            </w:pPr>
            <w:r>
              <w:t>81,1%</w:t>
            </w:r>
          </w:p>
        </w:tc>
      </w:tr>
      <w:tr w:rsidR="00154473" w:rsidRPr="00B92EC9" w:rsidTr="00154473">
        <w:tc>
          <w:tcPr>
            <w:tcW w:w="1618" w:type="dxa"/>
          </w:tcPr>
          <w:p w:rsidR="00154473" w:rsidRPr="00C5453F" w:rsidRDefault="00EA1EA5" w:rsidP="00154473">
            <w:pPr>
              <w:widowControl w:val="0"/>
              <w:jc w:val="center"/>
              <w:rPr>
                <w:szCs w:val="24"/>
              </w:rPr>
            </w:pPr>
            <w:r>
              <w:t>46</w:t>
            </w:r>
          </w:p>
        </w:tc>
        <w:tc>
          <w:tcPr>
            <w:tcW w:w="1621" w:type="dxa"/>
          </w:tcPr>
          <w:p w:rsidR="00154473" w:rsidRPr="00C5453F" w:rsidRDefault="00EA1EA5" w:rsidP="00154473">
            <w:pPr>
              <w:widowControl w:val="0"/>
              <w:jc w:val="center"/>
              <w:rPr>
                <w:szCs w:val="24"/>
              </w:rPr>
            </w:pPr>
            <w:r>
              <w:t>66,7%</w:t>
            </w:r>
          </w:p>
        </w:tc>
        <w:tc>
          <w:tcPr>
            <w:tcW w:w="1792" w:type="dxa"/>
          </w:tcPr>
          <w:p w:rsidR="00154473" w:rsidRPr="00C5453F" w:rsidRDefault="00EA1EA5" w:rsidP="00154473">
            <w:pPr>
              <w:widowControl w:val="0"/>
              <w:jc w:val="center"/>
              <w:rPr>
                <w:szCs w:val="24"/>
              </w:rPr>
            </w:pPr>
            <w:r>
              <w:t>44,1%</w:t>
            </w:r>
          </w:p>
        </w:tc>
        <w:tc>
          <w:tcPr>
            <w:tcW w:w="1456" w:type="dxa"/>
          </w:tcPr>
          <w:p w:rsidR="00154473" w:rsidRPr="00C5453F" w:rsidRDefault="00EA1EA5" w:rsidP="00154473">
            <w:pPr>
              <w:widowControl w:val="0"/>
              <w:jc w:val="center"/>
              <w:rPr>
                <w:szCs w:val="24"/>
              </w:rPr>
            </w:pPr>
            <w:r>
              <w:t>34,2%</w:t>
            </w:r>
          </w:p>
        </w:tc>
        <w:tc>
          <w:tcPr>
            <w:tcW w:w="1985" w:type="dxa"/>
          </w:tcPr>
          <w:p w:rsidR="00154473" w:rsidRPr="00C5453F" w:rsidRDefault="00EA1EA5" w:rsidP="00154473">
            <w:pPr>
              <w:widowControl w:val="0"/>
              <w:jc w:val="center"/>
              <w:rPr>
                <w:szCs w:val="24"/>
              </w:rPr>
            </w:pPr>
            <w:r>
              <w:t>97,5%</w:t>
            </w:r>
          </w:p>
        </w:tc>
      </w:tr>
      <w:tr w:rsidR="00154473" w:rsidRPr="00B92EC9" w:rsidTr="00154473">
        <w:tc>
          <w:tcPr>
            <w:tcW w:w="1618" w:type="dxa"/>
          </w:tcPr>
          <w:p w:rsidR="00154473" w:rsidRPr="00C5453F" w:rsidRDefault="00EA1EA5" w:rsidP="00154473">
            <w:pPr>
              <w:widowControl w:val="0"/>
              <w:jc w:val="center"/>
              <w:rPr>
                <w:szCs w:val="24"/>
              </w:rPr>
            </w:pPr>
            <w:r>
              <w:t>57</w:t>
            </w:r>
          </w:p>
        </w:tc>
        <w:tc>
          <w:tcPr>
            <w:tcW w:w="1621" w:type="dxa"/>
          </w:tcPr>
          <w:p w:rsidR="00154473" w:rsidRPr="00C5453F" w:rsidRDefault="00EA1EA5" w:rsidP="00154473">
            <w:pPr>
              <w:widowControl w:val="0"/>
              <w:jc w:val="center"/>
              <w:rPr>
                <w:szCs w:val="24"/>
              </w:rPr>
            </w:pPr>
            <w:r>
              <w:t>58,5%</w:t>
            </w:r>
          </w:p>
        </w:tc>
        <w:tc>
          <w:tcPr>
            <w:tcW w:w="1792" w:type="dxa"/>
          </w:tcPr>
          <w:p w:rsidR="00154473" w:rsidRPr="00C5453F" w:rsidRDefault="00EA1EA5" w:rsidP="00154473">
            <w:pPr>
              <w:widowControl w:val="0"/>
              <w:jc w:val="center"/>
              <w:rPr>
                <w:szCs w:val="24"/>
              </w:rPr>
            </w:pPr>
            <w:r>
              <w:t>34,6%</w:t>
            </w:r>
          </w:p>
        </w:tc>
        <w:tc>
          <w:tcPr>
            <w:tcW w:w="1456" w:type="dxa"/>
          </w:tcPr>
          <w:p w:rsidR="00154473" w:rsidRPr="00C5453F" w:rsidRDefault="00EA1EA5" w:rsidP="00154473">
            <w:pPr>
              <w:widowControl w:val="0"/>
              <w:jc w:val="center"/>
              <w:rPr>
                <w:szCs w:val="24"/>
              </w:rPr>
            </w:pPr>
            <w:r>
              <w:t>25,2%</w:t>
            </w:r>
          </w:p>
        </w:tc>
        <w:tc>
          <w:tcPr>
            <w:tcW w:w="1985" w:type="dxa"/>
          </w:tcPr>
          <w:p w:rsidR="00154473" w:rsidRPr="00C5453F" w:rsidRDefault="00EA1EA5" w:rsidP="00154473">
            <w:pPr>
              <w:widowControl w:val="0"/>
              <w:jc w:val="center"/>
              <w:rPr>
                <w:szCs w:val="24"/>
              </w:rPr>
            </w:pPr>
            <w:r>
              <w:t>43,7%</w:t>
            </w:r>
          </w:p>
        </w:tc>
      </w:tr>
    </w:tbl>
    <w:p w:rsidR="00154473" w:rsidRDefault="00154473" w:rsidP="00154473"/>
    <w:p w:rsidR="00154473" w:rsidRDefault="00EA1EA5" w:rsidP="00154473">
      <w:pPr>
        <w:jc w:val="left"/>
        <w:rPr>
          <w:caps/>
        </w:rPr>
      </w:pPr>
      <w:r>
        <w:br w:type="page"/>
      </w:r>
    </w:p>
    <w:p w:rsidR="00154473" w:rsidRPr="0042059A" w:rsidRDefault="00EA1EA5" w:rsidP="00154473">
      <w:pPr>
        <w:rPr>
          <w:caps/>
        </w:rPr>
      </w:pPr>
      <w:r>
        <w:rPr>
          <w:caps/>
        </w:rPr>
        <w:lastRenderedPageBreak/>
        <w:t>Conclusiones y tarea prevista</w:t>
      </w:r>
    </w:p>
    <w:p w:rsidR="00154473" w:rsidRPr="00FD5B01" w:rsidRDefault="00154473" w:rsidP="00154473"/>
    <w:p w:rsidR="00154473" w:rsidRDefault="006118F3" w:rsidP="00154473">
      <w:r>
        <w:fldChar w:fldCharType="begin"/>
      </w:r>
      <w:r w:rsidR="00EA1EA5">
        <w:instrText xml:space="preserve"> AUTONUM  </w:instrText>
      </w:r>
      <w:r>
        <w:fldChar w:fldCharType="end"/>
      </w:r>
      <w:r w:rsidR="00EA1EA5">
        <w:tab/>
        <w:t xml:space="preserve">Se ha aplicado el método propuesto en TWC/33/20 Rev. </w:t>
      </w:r>
      <w:proofErr w:type="gramStart"/>
      <w:r w:rsidR="00EA1EA5">
        <w:t>a</w:t>
      </w:r>
      <w:proofErr w:type="gramEnd"/>
      <w:r w:rsidR="008E0A60">
        <w:t xml:space="preserve"> un</w:t>
      </w:r>
      <w:r w:rsidR="00EA1EA5">
        <w:t xml:space="preserve"> conjunto de datos de guisante forrajero del Reino Unido y se ha evaluado su eficacia.  Los resultados muestran la manera en que se pueden compensar los diferentes riesgos a fin de elegir un valor de </w:t>
      </w:r>
      <w:proofErr w:type="spellStart"/>
      <w:r w:rsidR="00EA1EA5" w:rsidRPr="001D0B00">
        <w:rPr>
          <w:i/>
        </w:rPr>
        <w:t>p</w:t>
      </w:r>
      <w:r w:rsidR="00EA1EA5" w:rsidRPr="001D0B00">
        <w:rPr>
          <w:i/>
          <w:vertAlign w:val="subscript"/>
        </w:rPr>
        <w:t>D</w:t>
      </w:r>
      <w:proofErr w:type="spellEnd"/>
      <w:r w:rsidR="00EA1EA5">
        <w:t xml:space="preserve"> adecuado para calcular los umbrales.  Teniendo en cuenta estos resultados, el Reino Unido ha actualizado las tolerancias que emplea el primer año para el guisante, de manera que ahora las tolerancias tienen un fundamento más claro que antes.  En</w:t>
      </w:r>
      <w:r w:rsidR="00415A17">
        <w:t> </w:t>
      </w:r>
      <w:r w:rsidR="00EA1EA5">
        <w:t xml:space="preserve">este informe hemos examinado la eficacia del método carácter por carácter. </w:t>
      </w:r>
      <w:r w:rsidR="008E0A60">
        <w:t xml:space="preserve"> </w:t>
      </w:r>
      <w:r w:rsidR="00EA1EA5">
        <w:t xml:space="preserve">En el futuro tenemos la intención de examinar el efecto en </w:t>
      </w:r>
      <w:r w:rsidR="008E0A60">
        <w:t xml:space="preserve">las </w:t>
      </w:r>
      <w:r w:rsidR="00EA1EA5">
        <w:t>decisiones sobre variedades individuales.</w:t>
      </w:r>
    </w:p>
    <w:p w:rsidR="00154473" w:rsidRPr="00FD5B01" w:rsidRDefault="00154473" w:rsidP="00154473"/>
    <w:p w:rsidR="00154473" w:rsidRPr="00FD5B01" w:rsidRDefault="006118F3" w:rsidP="00154473">
      <w:r>
        <w:fldChar w:fldCharType="begin"/>
      </w:r>
      <w:r w:rsidR="00EA1EA5">
        <w:instrText xml:space="preserve"> AUTONUM  </w:instrText>
      </w:r>
      <w:r>
        <w:fldChar w:fldCharType="end"/>
      </w:r>
      <w:r w:rsidR="00EA1EA5">
        <w:tab/>
        <w:t>El método también se puede modificar a fin de que dé una indicación temprana de si una variedad candidata puede tener problemas de distinción, además de una orientación sobre las variedade</w:t>
      </w:r>
      <w:r w:rsidR="002D2AEF">
        <w:t xml:space="preserve">s de referencia más parecidas. </w:t>
      </w:r>
      <w:r w:rsidR="008E0A60">
        <w:t xml:space="preserve"> </w:t>
      </w:r>
      <w:r w:rsidR="00EA1EA5">
        <w:t xml:space="preserve">Ambos aspectos serían ventajosos para los usuarios del COYD. </w:t>
      </w:r>
    </w:p>
    <w:p w:rsidR="00154473" w:rsidRPr="00FD5B01" w:rsidRDefault="00154473" w:rsidP="00154473"/>
    <w:p w:rsidR="00154473" w:rsidRPr="00FD5B01" w:rsidRDefault="006118F3" w:rsidP="00154473">
      <w:r>
        <w:fldChar w:fldCharType="begin"/>
      </w:r>
      <w:r w:rsidR="00EA1EA5">
        <w:instrText xml:space="preserve"> AUTONUM  </w:instrText>
      </w:r>
      <w:r>
        <w:fldChar w:fldCharType="end"/>
      </w:r>
      <w:r w:rsidR="00EA1EA5">
        <w:tab/>
        <w:t>Agradeceríamos que se nos remitiera otros conjuntos de datos de ejemplo para poder probar el nuevo método en otros cultivos.  También tenemos previsto estudiar posibilidades en cuanto a programas informáticos que faciliten la aplicación del método.</w:t>
      </w:r>
    </w:p>
    <w:p w:rsidR="00154473" w:rsidRPr="00FD5B01" w:rsidRDefault="00154473" w:rsidP="00154473"/>
    <w:p w:rsidR="00154473" w:rsidRPr="00FD5B01" w:rsidRDefault="00154473" w:rsidP="00154473"/>
    <w:p w:rsidR="00154473" w:rsidRPr="0026215A" w:rsidRDefault="00154473" w:rsidP="00154473"/>
    <w:p w:rsidR="00154473" w:rsidRPr="0026215A" w:rsidRDefault="00EA1EA5" w:rsidP="00DC29BB">
      <w:pPr>
        <w:jc w:val="right"/>
      </w:pPr>
      <w:r>
        <w:t>[Fin del Anexo y del documento]</w:t>
      </w:r>
    </w:p>
    <w:sectPr w:rsidR="00154473" w:rsidRPr="0026215A" w:rsidSect="00154473">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9C7" w:rsidRDefault="004459C7" w:rsidP="00154473">
      <w:r>
        <w:separator/>
      </w:r>
    </w:p>
    <w:p w:rsidR="004459C7" w:rsidRDefault="004459C7" w:rsidP="00154473"/>
    <w:p w:rsidR="004459C7" w:rsidRDefault="004459C7" w:rsidP="00154473"/>
  </w:endnote>
  <w:endnote w:type="continuationSeparator" w:id="0">
    <w:p w:rsidR="004459C7" w:rsidRDefault="004459C7" w:rsidP="00154473">
      <w:r>
        <w:separator/>
      </w:r>
    </w:p>
    <w:p w:rsidR="004459C7" w:rsidRPr="0077223A" w:rsidRDefault="004459C7">
      <w:pPr>
        <w:pStyle w:val="Footer"/>
        <w:spacing w:after="60"/>
        <w:rPr>
          <w:sz w:val="18"/>
          <w:lang w:val="fr-FR"/>
        </w:rPr>
      </w:pPr>
      <w:r w:rsidRPr="0077223A">
        <w:rPr>
          <w:sz w:val="18"/>
          <w:lang w:val="fr-FR"/>
        </w:rPr>
        <w:t>[Suite de la note de la page précédente]</w:t>
      </w:r>
    </w:p>
    <w:p w:rsidR="004459C7" w:rsidRPr="0077223A" w:rsidRDefault="004459C7" w:rsidP="00154473">
      <w:pPr>
        <w:rPr>
          <w:lang w:val="fr-FR"/>
        </w:rPr>
      </w:pPr>
    </w:p>
    <w:p w:rsidR="004459C7" w:rsidRPr="0077223A" w:rsidRDefault="004459C7" w:rsidP="00154473">
      <w:pPr>
        <w:rPr>
          <w:lang w:val="fr-FR"/>
        </w:rPr>
      </w:pPr>
    </w:p>
  </w:endnote>
  <w:endnote w:type="continuationNotice" w:id="1">
    <w:p w:rsidR="004459C7" w:rsidRPr="0077223A" w:rsidRDefault="004459C7" w:rsidP="00154473">
      <w:pPr>
        <w:rPr>
          <w:lang w:val="fr-FR"/>
        </w:rPr>
      </w:pPr>
      <w:r w:rsidRPr="0077223A">
        <w:rPr>
          <w:lang w:val="fr-FR"/>
        </w:rPr>
        <w:t>[Suite de la note page suivante]</w:t>
      </w:r>
    </w:p>
    <w:p w:rsidR="004459C7" w:rsidRPr="0077223A" w:rsidRDefault="004459C7" w:rsidP="00154473">
      <w:pPr>
        <w:rPr>
          <w:lang w:val="fr-FR"/>
        </w:rPr>
      </w:pPr>
    </w:p>
    <w:p w:rsidR="004459C7" w:rsidRPr="0077223A" w:rsidRDefault="004459C7" w:rsidP="0015447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9C7" w:rsidRDefault="004459C7" w:rsidP="00154473">
      <w:r>
        <w:separator/>
      </w:r>
    </w:p>
  </w:footnote>
  <w:footnote w:type="continuationSeparator" w:id="0">
    <w:p w:rsidR="004459C7" w:rsidRDefault="004459C7" w:rsidP="00154473">
      <w:r>
        <w:separator/>
      </w:r>
    </w:p>
  </w:footnote>
  <w:footnote w:type="continuationNotice" w:id="1">
    <w:p w:rsidR="004459C7" w:rsidRPr="00AB530F" w:rsidRDefault="004459C7" w:rsidP="00154473">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73" w:rsidRPr="000A23DC" w:rsidRDefault="00154473" w:rsidP="00154473">
    <w:pPr>
      <w:pStyle w:val="Header"/>
      <w:rPr>
        <w:rStyle w:val="PageNumber"/>
      </w:rPr>
    </w:pPr>
    <w:r>
      <w:rPr>
        <w:rStyle w:val="PageNumber"/>
      </w:rPr>
      <w:t>TC/53/23</w:t>
    </w:r>
  </w:p>
  <w:p w:rsidR="00154473" w:rsidRPr="00202E38" w:rsidRDefault="00154473" w:rsidP="00154473">
    <w:pPr>
      <w:pStyle w:val="Header"/>
    </w:pPr>
    <w:proofErr w:type="gramStart"/>
    <w:r>
      <w:t>página</w:t>
    </w:r>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C85E0D">
      <w:rPr>
        <w:rStyle w:val="PageNumber"/>
        <w:noProof/>
      </w:rPr>
      <w:t>2</w:t>
    </w:r>
    <w:r>
      <w:rPr>
        <w:rStyle w:val="PageNumber"/>
      </w:rPr>
      <w:fldChar w:fldCharType="end"/>
    </w:r>
  </w:p>
  <w:p w:rsidR="00154473" w:rsidRPr="00202E38" w:rsidRDefault="00154473" w:rsidP="001544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73" w:rsidRPr="00C5280D" w:rsidRDefault="00154473" w:rsidP="00154473">
    <w:pPr>
      <w:pStyle w:val="Header"/>
      <w:rPr>
        <w:rStyle w:val="PageNumber"/>
      </w:rPr>
    </w:pPr>
    <w:r>
      <w:rPr>
        <w:rStyle w:val="PageNumber"/>
      </w:rPr>
      <w:t>TC/53/23</w:t>
    </w:r>
  </w:p>
  <w:p w:rsidR="00154473" w:rsidRPr="00C5280D" w:rsidRDefault="00154473" w:rsidP="00154473">
    <w:pPr>
      <w:pStyle w:val="Header"/>
    </w:pPr>
    <w:r>
      <w:t xml:space="preserve">Anexo, página </w:t>
    </w:r>
    <w:r>
      <w:rPr>
        <w:rStyle w:val="PageNumber"/>
      </w:rPr>
      <w:fldChar w:fldCharType="begin"/>
    </w:r>
    <w:r>
      <w:rPr>
        <w:rStyle w:val="PageNumber"/>
      </w:rPr>
      <w:instrText xml:space="preserve"> PAGE </w:instrText>
    </w:r>
    <w:r>
      <w:rPr>
        <w:rStyle w:val="PageNumber"/>
      </w:rPr>
      <w:fldChar w:fldCharType="separate"/>
    </w:r>
    <w:r w:rsidR="00C85E0D">
      <w:rPr>
        <w:rStyle w:val="PageNumber"/>
        <w:noProof/>
      </w:rPr>
      <w:t>5</w:t>
    </w:r>
    <w:r>
      <w:rPr>
        <w:rStyle w:val="PageNumber"/>
      </w:rPr>
      <w:fldChar w:fldCharType="end"/>
    </w:r>
  </w:p>
  <w:p w:rsidR="00154473" w:rsidRPr="00C5280D" w:rsidRDefault="00154473" w:rsidP="00DC29BB">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4473" w:rsidRPr="00C5280D" w:rsidRDefault="00154473" w:rsidP="00154473">
    <w:pPr>
      <w:pStyle w:val="Header"/>
      <w:rPr>
        <w:rStyle w:val="PageNumber"/>
      </w:rPr>
    </w:pPr>
    <w:r>
      <w:rPr>
        <w:rStyle w:val="PageNumber"/>
      </w:rPr>
      <w:t>TC/53/23</w:t>
    </w:r>
  </w:p>
  <w:p w:rsidR="00154473" w:rsidRDefault="00154473" w:rsidP="00154473">
    <w:pPr>
      <w:pStyle w:val="Header"/>
    </w:pPr>
  </w:p>
  <w:p w:rsidR="00154473" w:rsidRDefault="00154473" w:rsidP="00154473">
    <w:pPr>
      <w:pStyle w:val="Header"/>
    </w:pPr>
    <w:r>
      <w:t>ANEXO</w:t>
    </w:r>
  </w:p>
  <w:p w:rsidR="00154473" w:rsidRDefault="00154473" w:rsidP="001544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68C"/>
    <w:rsid w:val="0006423A"/>
    <w:rsid w:val="000D0C5B"/>
    <w:rsid w:val="00154473"/>
    <w:rsid w:val="001D0B00"/>
    <w:rsid w:val="00221EE8"/>
    <w:rsid w:val="0023635A"/>
    <w:rsid w:val="002D2AEF"/>
    <w:rsid w:val="003373E7"/>
    <w:rsid w:val="00415A17"/>
    <w:rsid w:val="004459C7"/>
    <w:rsid w:val="004E7AA2"/>
    <w:rsid w:val="006118F3"/>
    <w:rsid w:val="0077223A"/>
    <w:rsid w:val="007F16FB"/>
    <w:rsid w:val="0084268C"/>
    <w:rsid w:val="008E0A60"/>
    <w:rsid w:val="00927549"/>
    <w:rsid w:val="009B6ED7"/>
    <w:rsid w:val="00B47B48"/>
    <w:rsid w:val="00C64A29"/>
    <w:rsid w:val="00C85E0D"/>
    <w:rsid w:val="00D543B1"/>
    <w:rsid w:val="00DC29BB"/>
    <w:rsid w:val="00EA1EA5"/>
    <w:rsid w:val="00EB5329"/>
    <w:rsid w:val="00F94CA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rPr>
  </w:style>
  <w:style w:type="paragraph" w:styleId="Heading1">
    <w:name w:val="heading 1"/>
    <w:next w:val="Normal"/>
    <w:link w:val="Heading1Char"/>
    <w:autoRedefine/>
    <w:qFormat/>
    <w:rsid w:val="00415A17"/>
    <w:pPr>
      <w:keepNext/>
      <w:keepLines/>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lang w:val="es-ES" w:eastAsia="es-ES"/>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lang w:val="es-ES" w:eastAsia="es-ES"/>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eastAsia="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0638A9"/>
    <w:pPr>
      <w:spacing w:after="1200"/>
    </w:pPr>
    <w:rPr>
      <w:rFonts w:ascii="Arial" w:hAnsi="Arial"/>
      <w:i/>
      <w:iCs/>
      <w:color w:val="A6A6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lang w:val="es-ES" w:eastAsia="es-ES"/>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644A"/>
    <w:pPr>
      <w:spacing w:after="240"/>
      <w:jc w:val="left"/>
    </w:p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lang w:val="es-ES" w:eastAsia="es-ES"/>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415A17"/>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lang w:val="es-ES" w:eastAsia="es-ES"/>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415A17"/>
    <w:rPr>
      <w:rFonts w:ascii="Arial" w:hAnsi="Arial"/>
      <w:caps/>
    </w:rPr>
  </w:style>
  <w:style w:type="table" w:styleId="TableGrid">
    <w:name w:val="Table Grid"/>
    <w:basedOn w:val="TableNormal"/>
    <w:rsid w:val="00262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rPr>
  </w:style>
  <w:style w:type="paragraph" w:styleId="Heading1">
    <w:name w:val="heading 1"/>
    <w:next w:val="Normal"/>
    <w:link w:val="Heading1Char"/>
    <w:autoRedefine/>
    <w:qFormat/>
    <w:rsid w:val="00415A17"/>
    <w:pPr>
      <w:keepNext/>
      <w:keepLines/>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lang w:val="es-ES" w:eastAsia="es-ES"/>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lang w:val="es-ES" w:eastAsia="es-ES"/>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eastAsia="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0638A9"/>
    <w:pPr>
      <w:spacing w:after="1200"/>
    </w:pPr>
    <w:rPr>
      <w:rFonts w:ascii="Arial" w:hAnsi="Arial"/>
      <w:i/>
      <w:iCs/>
      <w:color w:val="A6A6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lang w:val="es-ES" w:eastAsia="es-ES"/>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644A"/>
    <w:pPr>
      <w:spacing w:after="240"/>
      <w:jc w:val="left"/>
    </w:p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lang w:val="es-ES" w:eastAsia="es-ES"/>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415A17"/>
    <w:pPr>
      <w:tabs>
        <w:tab w:val="right" w:leader="dot" w:pos="9639"/>
      </w:tabs>
      <w:spacing w:before="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lang w:val="es-ES" w:eastAsia="es-ES"/>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415A17"/>
    <w:rPr>
      <w:rFonts w:ascii="Arial" w:hAnsi="Arial"/>
      <w:caps/>
    </w:rPr>
  </w:style>
  <w:style w:type="table" w:styleId="TableGrid">
    <w:name w:val="Table Grid"/>
    <w:basedOn w:val="TableNormal"/>
    <w:rsid w:val="00262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2FB95-3F26-4D8D-BA3B-94E864B63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3565</Words>
  <Characters>18635</Characters>
  <Application>Microsoft Office Word</Application>
  <DocSecurity>0</DocSecurity>
  <Lines>155</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TC/53/23</vt:lpstr>
      <vt:lpstr>TC/53/23</vt:lpstr>
    </vt:vector>
  </TitlesOfParts>
  <Company>UPOV</Company>
  <LinksUpToDate>false</LinksUpToDate>
  <CharactersWithSpaces>22156</CharactersWithSpaces>
  <SharedDoc>false</SharedDoc>
  <HLinks>
    <vt:vector size="12" baseType="variant">
      <vt:variant>
        <vt:i4>1048626</vt:i4>
      </vt:variant>
      <vt:variant>
        <vt:i4>14</vt:i4>
      </vt:variant>
      <vt:variant>
        <vt:i4>0</vt:i4>
      </vt:variant>
      <vt:variant>
        <vt:i4>5</vt:i4>
      </vt:variant>
      <vt:variant>
        <vt:lpwstr/>
      </vt:variant>
      <vt:variant>
        <vt:lpwstr>_Toc474402266</vt:lpwstr>
      </vt:variant>
      <vt:variant>
        <vt:i4>1048626</vt:i4>
      </vt:variant>
      <vt:variant>
        <vt:i4>8</vt:i4>
      </vt:variant>
      <vt:variant>
        <vt:i4>0</vt:i4>
      </vt:variant>
      <vt:variant>
        <vt:i4>5</vt:i4>
      </vt:variant>
      <vt:variant>
        <vt:lpwstr/>
      </vt:variant>
      <vt:variant>
        <vt:lpwstr>_Toc474402265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TC/53/23</dc:title>
  <dc:creator>CEVALLOS DUQUE Nilo</dc:creator>
  <dc:description>DG (trad. ext.) - 13.2.2017</dc:description>
  <cp:lastModifiedBy>GIACHINO Erika</cp:lastModifiedBy>
  <cp:revision>4</cp:revision>
  <cp:lastPrinted>2016-11-22T15:41:00Z</cp:lastPrinted>
  <dcterms:created xsi:type="dcterms:W3CDTF">2017-02-24T16:26:00Z</dcterms:created>
  <dcterms:modified xsi:type="dcterms:W3CDTF">2017-02-27T14:11:00Z</dcterms:modified>
</cp:coreProperties>
</file>