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F1D76" w:rsidTr="00EB4E9C">
        <w:tc>
          <w:tcPr>
            <w:tcW w:w="6522" w:type="dxa"/>
          </w:tcPr>
          <w:p w:rsidR="00DC3802" w:rsidRPr="006F1D76" w:rsidRDefault="00DC3802" w:rsidP="00AC2883">
            <w:r w:rsidRPr="006F1D76">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6F1D76" w:rsidRDefault="002E5944" w:rsidP="00AC2883">
            <w:pPr>
              <w:pStyle w:val="Lettrine"/>
            </w:pPr>
            <w:r w:rsidRPr="006F1D76">
              <w:t>S</w:t>
            </w:r>
          </w:p>
        </w:tc>
      </w:tr>
      <w:tr w:rsidR="00DC3802" w:rsidRPr="006F1D76" w:rsidTr="00645CA8">
        <w:trPr>
          <w:trHeight w:val="219"/>
        </w:trPr>
        <w:tc>
          <w:tcPr>
            <w:tcW w:w="6522" w:type="dxa"/>
          </w:tcPr>
          <w:p w:rsidR="00DC3802" w:rsidRPr="006F1D76" w:rsidRDefault="002E5944" w:rsidP="00BC0BD4">
            <w:pPr>
              <w:pStyle w:val="upove"/>
            </w:pPr>
            <w:r w:rsidRPr="006F1D76">
              <w:t>Unión Internacional para la Protección de las Obtenciones Vegetales</w:t>
            </w:r>
          </w:p>
        </w:tc>
        <w:tc>
          <w:tcPr>
            <w:tcW w:w="3117" w:type="dxa"/>
          </w:tcPr>
          <w:p w:rsidR="00DC3802" w:rsidRPr="006F1D76" w:rsidRDefault="00DC3802" w:rsidP="00DA4973"/>
        </w:tc>
      </w:tr>
    </w:tbl>
    <w:p w:rsidR="00DC3802" w:rsidRPr="006F1D76" w:rsidRDefault="00DC3802" w:rsidP="00DC3802"/>
    <w:p w:rsidR="00DA4973" w:rsidRPr="006F1D76"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F1D76" w:rsidTr="00EB4E9C">
        <w:tc>
          <w:tcPr>
            <w:tcW w:w="6512" w:type="dxa"/>
          </w:tcPr>
          <w:p w:rsidR="00EB4E9C" w:rsidRPr="006F1D76" w:rsidRDefault="002E5944" w:rsidP="00AC2883">
            <w:pPr>
              <w:pStyle w:val="Sessiontc"/>
              <w:spacing w:line="240" w:lineRule="auto"/>
            </w:pPr>
            <w:r w:rsidRPr="006F1D76">
              <w:t>Comité Técnico</w:t>
            </w:r>
          </w:p>
          <w:p w:rsidR="00EB4E9C" w:rsidRPr="006F1D76" w:rsidRDefault="002E5944" w:rsidP="002E5944">
            <w:pPr>
              <w:pStyle w:val="Sessiontcplacedate"/>
              <w:rPr>
                <w:sz w:val="22"/>
              </w:rPr>
            </w:pPr>
            <w:r w:rsidRPr="006F1D76">
              <w:t>Quincuagésima tercera sesión</w:t>
            </w:r>
            <w:r w:rsidR="00EB4E9C" w:rsidRPr="006F1D76">
              <w:br/>
            </w:r>
            <w:r w:rsidRPr="006F1D76">
              <w:t>Ginebra</w:t>
            </w:r>
            <w:r w:rsidR="00EB4E9C" w:rsidRPr="006F1D76">
              <w:t xml:space="preserve">, </w:t>
            </w:r>
            <w:r w:rsidR="00A706D3" w:rsidRPr="006F1D76">
              <w:t>3</w:t>
            </w:r>
            <w:r w:rsidR="00BC0BD4" w:rsidRPr="006F1D76">
              <w:t xml:space="preserve"> </w:t>
            </w:r>
            <w:r w:rsidRPr="006F1D76">
              <w:t>a</w:t>
            </w:r>
            <w:r w:rsidR="00BC0BD4" w:rsidRPr="006F1D76">
              <w:t xml:space="preserve"> </w:t>
            </w:r>
            <w:r w:rsidR="00A706D3" w:rsidRPr="006F1D76">
              <w:t xml:space="preserve">5 </w:t>
            </w:r>
            <w:r w:rsidRPr="006F1D76">
              <w:t>de abril de</w:t>
            </w:r>
            <w:r w:rsidR="00A706D3" w:rsidRPr="006F1D76">
              <w:t xml:space="preserve"> </w:t>
            </w:r>
            <w:r w:rsidR="00EB4E9C" w:rsidRPr="006F1D76">
              <w:t>2017</w:t>
            </w:r>
          </w:p>
        </w:tc>
        <w:tc>
          <w:tcPr>
            <w:tcW w:w="3127" w:type="dxa"/>
          </w:tcPr>
          <w:p w:rsidR="00EB4E9C" w:rsidRPr="006F1D76" w:rsidRDefault="00EB4E9C" w:rsidP="003C7FBE">
            <w:pPr>
              <w:pStyle w:val="Doccode"/>
              <w:rPr>
                <w:lang w:val="es-ES_tradnl"/>
              </w:rPr>
            </w:pPr>
            <w:r w:rsidRPr="006F1D76">
              <w:rPr>
                <w:lang w:val="es-ES_tradnl"/>
              </w:rPr>
              <w:t>TC/53/</w:t>
            </w:r>
            <w:r w:rsidR="000B52E4" w:rsidRPr="006F1D76">
              <w:rPr>
                <w:lang w:val="es-ES_tradnl"/>
              </w:rPr>
              <w:t>22</w:t>
            </w:r>
          </w:p>
          <w:p w:rsidR="00EB4E9C" w:rsidRPr="006F1D76" w:rsidRDefault="00EB4E9C" w:rsidP="003C7FBE">
            <w:pPr>
              <w:pStyle w:val="Docoriginal"/>
            </w:pPr>
            <w:r w:rsidRPr="006F1D76">
              <w:t>Original:</w:t>
            </w:r>
            <w:r w:rsidRPr="006F1D76">
              <w:rPr>
                <w:b w:val="0"/>
                <w:spacing w:val="0"/>
              </w:rPr>
              <w:t xml:space="preserve">  </w:t>
            </w:r>
            <w:r w:rsidR="002E5944" w:rsidRPr="006F1D76">
              <w:rPr>
                <w:b w:val="0"/>
                <w:spacing w:val="0"/>
              </w:rPr>
              <w:t>Inglés</w:t>
            </w:r>
          </w:p>
          <w:p w:rsidR="00EB4E9C" w:rsidRPr="006F1D76" w:rsidRDefault="002E5944" w:rsidP="000B52E4">
            <w:pPr>
              <w:pStyle w:val="Docoriginal"/>
            </w:pPr>
            <w:r w:rsidRPr="006F1D76">
              <w:t>Fecha</w:t>
            </w:r>
            <w:r w:rsidR="00EB4E9C" w:rsidRPr="006F1D76">
              <w:t>:</w:t>
            </w:r>
            <w:r w:rsidR="00EB4E9C" w:rsidRPr="006F1D76">
              <w:rPr>
                <w:b w:val="0"/>
                <w:spacing w:val="0"/>
              </w:rPr>
              <w:t xml:space="preserve">  </w:t>
            </w:r>
            <w:r w:rsidR="00855B0E" w:rsidRPr="00855B0E">
              <w:rPr>
                <w:b w:val="0"/>
                <w:spacing w:val="0"/>
              </w:rPr>
              <w:t>22</w:t>
            </w:r>
            <w:r w:rsidR="000B52E4" w:rsidRPr="00855B0E">
              <w:rPr>
                <w:b w:val="0"/>
                <w:spacing w:val="0"/>
              </w:rPr>
              <w:t xml:space="preserve"> de febrero</w:t>
            </w:r>
            <w:r w:rsidR="00EB4E9C" w:rsidRPr="00855B0E">
              <w:rPr>
                <w:b w:val="0"/>
                <w:spacing w:val="0"/>
              </w:rPr>
              <w:t xml:space="preserve"> </w:t>
            </w:r>
            <w:r w:rsidRPr="00855B0E">
              <w:rPr>
                <w:b w:val="0"/>
                <w:spacing w:val="0"/>
              </w:rPr>
              <w:t>de</w:t>
            </w:r>
            <w:r w:rsidRPr="006F1D76">
              <w:rPr>
                <w:b w:val="0"/>
                <w:spacing w:val="0"/>
              </w:rPr>
              <w:t xml:space="preserve"> </w:t>
            </w:r>
            <w:r w:rsidR="00EB4E9C" w:rsidRPr="006F1D76">
              <w:rPr>
                <w:b w:val="0"/>
                <w:spacing w:val="0"/>
              </w:rPr>
              <w:t>2017</w:t>
            </w:r>
          </w:p>
        </w:tc>
      </w:tr>
    </w:tbl>
    <w:p w:rsidR="000D7780" w:rsidRPr="006F1D76" w:rsidRDefault="002A3DF1" w:rsidP="000B52E4">
      <w:pPr>
        <w:pStyle w:val="Titleofdoc0"/>
        <w:spacing w:before="600"/>
        <w:rPr>
          <w:b/>
        </w:rPr>
      </w:pPr>
      <w:bookmarkStart w:id="0" w:name="TitleOfDoc"/>
      <w:bookmarkEnd w:id="0"/>
      <w:r w:rsidRPr="006F1D76">
        <w:rPr>
          <w:b/>
        </w:rPr>
        <w:t>asuntos relativos a las descripciones de variedades</w:t>
      </w:r>
    </w:p>
    <w:p w:rsidR="006A644A" w:rsidRPr="006F1D76" w:rsidRDefault="000638A9" w:rsidP="006A644A">
      <w:pPr>
        <w:pStyle w:val="preparedby1"/>
        <w:jc w:val="left"/>
      </w:pPr>
      <w:bookmarkStart w:id="1" w:name="Prepared"/>
      <w:bookmarkEnd w:id="1"/>
      <w:r w:rsidRPr="006F1D76">
        <w:t>Documento preparado por la Oficina de la Unión</w:t>
      </w:r>
    </w:p>
    <w:p w:rsidR="00050E16" w:rsidRPr="006F1D76" w:rsidRDefault="000638A9" w:rsidP="000B52E4">
      <w:pPr>
        <w:pStyle w:val="Disclaimer"/>
        <w:spacing w:after="600"/>
      </w:pPr>
      <w:r w:rsidRPr="006F1D76">
        <w:t>Descargo de responsabilidad</w:t>
      </w:r>
      <w:proofErr w:type="gramStart"/>
      <w:r w:rsidR="004E7F2F">
        <w:t xml:space="preserve">:  </w:t>
      </w:r>
      <w:r w:rsidRPr="006F1D76">
        <w:t>el</w:t>
      </w:r>
      <w:proofErr w:type="gramEnd"/>
      <w:r w:rsidRPr="006F1D76">
        <w:t xml:space="preserve"> presente documento no constituye un documento de política u orientación de la UPOV</w:t>
      </w:r>
    </w:p>
    <w:p w:rsidR="00DE5D38" w:rsidRPr="0066678B" w:rsidRDefault="002A3DF1" w:rsidP="00855B0E">
      <w:pPr>
        <w:pStyle w:val="Heading1"/>
        <w:rPr>
          <w:lang w:val="es-ES"/>
        </w:rPr>
      </w:pPr>
      <w:bookmarkStart w:id="2" w:name="_Toc418531189"/>
      <w:bookmarkStart w:id="3" w:name="_Toc475970850"/>
      <w:r w:rsidRPr="0066678B">
        <w:rPr>
          <w:lang w:val="es-ES"/>
        </w:rPr>
        <w:t>RESUMEN</w:t>
      </w:r>
      <w:bookmarkEnd w:id="3"/>
    </w:p>
    <w:p w:rsidR="00DE5D38" w:rsidRPr="006F1D76" w:rsidRDefault="00DE5D38" w:rsidP="00DE5D38"/>
    <w:p w:rsidR="00DE5D38" w:rsidRPr="006F1D76" w:rsidRDefault="008A4AF9" w:rsidP="00DE5D38">
      <w:pPr>
        <w:rPr>
          <w:snapToGrid w:val="0"/>
        </w:rPr>
      </w:pPr>
      <w:r w:rsidRPr="006F1D76">
        <w:rPr>
          <w:snapToGrid w:val="0"/>
        </w:rPr>
        <w:fldChar w:fldCharType="begin"/>
      </w:r>
      <w:r w:rsidR="00DE5D38" w:rsidRPr="006F1D76">
        <w:rPr>
          <w:snapToGrid w:val="0"/>
        </w:rPr>
        <w:instrText xml:space="preserve"> AUTONUM  </w:instrText>
      </w:r>
      <w:r w:rsidRPr="006F1D76">
        <w:rPr>
          <w:snapToGrid w:val="0"/>
        </w:rPr>
        <w:fldChar w:fldCharType="end"/>
      </w:r>
      <w:r w:rsidR="00DE5D38" w:rsidRPr="006F1D76">
        <w:rPr>
          <w:snapToGrid w:val="0"/>
        </w:rPr>
        <w:tab/>
      </w:r>
      <w:r w:rsidR="002A3DF1" w:rsidRPr="006F1D76">
        <w:rPr>
          <w:snapToGrid w:val="0"/>
        </w:rPr>
        <w:t>El presente documento tiene por objeto examinar los asuntos referidos a la verificación de la conformidad del mantenimiento de la variedad y a las descripciones de variedades, que el Comité Administrativo y Jurídico remitió al Comité Técnico, y analizar la función del material vegetal utilizado como base para el examen DHE respecto de esos asuntos</w:t>
      </w:r>
      <w:r w:rsidR="00DE5D38" w:rsidRPr="006F1D76">
        <w:rPr>
          <w:snapToGrid w:val="0"/>
        </w:rPr>
        <w:t>.</w:t>
      </w:r>
    </w:p>
    <w:p w:rsidR="00DE5D38" w:rsidRPr="006F1D76" w:rsidRDefault="00DE5D38" w:rsidP="00DE5D38">
      <w:pPr>
        <w:rPr>
          <w:snapToGrid w:val="0"/>
        </w:rPr>
      </w:pPr>
    </w:p>
    <w:p w:rsidR="00DE5D38" w:rsidRPr="006F1D76" w:rsidRDefault="008A4AF9" w:rsidP="00DE5D38">
      <w:pPr>
        <w:pStyle w:val="DecisionParagraphs"/>
        <w:tabs>
          <w:tab w:val="left" w:pos="567"/>
          <w:tab w:val="left" w:pos="5954"/>
          <w:tab w:val="left" w:pos="6521"/>
        </w:tabs>
        <w:ind w:left="0"/>
        <w:rPr>
          <w:rFonts w:eastAsia="SimSun"/>
          <w:i w:val="0"/>
        </w:rPr>
      </w:pPr>
      <w:r w:rsidRPr="006F1D76">
        <w:rPr>
          <w:i w:val="0"/>
        </w:rPr>
        <w:fldChar w:fldCharType="begin"/>
      </w:r>
      <w:r w:rsidR="00DE5D38" w:rsidRPr="006F1D76">
        <w:rPr>
          <w:i w:val="0"/>
        </w:rPr>
        <w:instrText xml:space="preserve"> AUTONUM  </w:instrText>
      </w:r>
      <w:r w:rsidRPr="006F1D76">
        <w:rPr>
          <w:i w:val="0"/>
        </w:rPr>
        <w:fldChar w:fldCharType="end"/>
      </w:r>
      <w:r w:rsidR="00DE5D38" w:rsidRPr="006F1D76">
        <w:rPr>
          <w:i w:val="0"/>
        </w:rPr>
        <w:tab/>
      </w:r>
      <w:r w:rsidR="002A3DF1" w:rsidRPr="006F1D76">
        <w:rPr>
          <w:i w:val="0"/>
        </w:rPr>
        <w:t>Se invita al TC a considerar si es necesario redactar una nueva orientación sobre el papel de la descripción de las variedades y el material vegetal, teniendo en cuenta los elementos presentados en el párrafo 20 del presente documento</w:t>
      </w:r>
      <w:r w:rsidR="00DE5D38" w:rsidRPr="006F1D76">
        <w:rPr>
          <w:i w:val="0"/>
        </w:rPr>
        <w:t>.</w:t>
      </w:r>
    </w:p>
    <w:p w:rsidR="00DE5D38" w:rsidRPr="006F1D76" w:rsidRDefault="00DE5D38" w:rsidP="00DE5D38">
      <w:pPr>
        <w:tabs>
          <w:tab w:val="left" w:pos="567"/>
        </w:tabs>
        <w:rPr>
          <w:rFonts w:cs="Arial"/>
        </w:rPr>
      </w:pPr>
    </w:p>
    <w:p w:rsidR="00DE5D38" w:rsidRPr="006F1D76" w:rsidRDefault="008A4AF9" w:rsidP="00DE5D38">
      <w:pPr>
        <w:rPr>
          <w:rFonts w:cs="Arial"/>
        </w:rPr>
      </w:pPr>
      <w:r w:rsidRPr="006F1D76">
        <w:rPr>
          <w:rFonts w:cs="Arial"/>
        </w:rPr>
        <w:fldChar w:fldCharType="begin"/>
      </w:r>
      <w:r w:rsidR="00DE5D38" w:rsidRPr="006F1D76">
        <w:rPr>
          <w:rFonts w:cs="Arial"/>
        </w:rPr>
        <w:instrText xml:space="preserve"> AUTONUM  </w:instrText>
      </w:r>
      <w:r w:rsidRPr="006F1D76">
        <w:rPr>
          <w:rFonts w:cs="Arial"/>
        </w:rPr>
        <w:fldChar w:fldCharType="end"/>
      </w:r>
      <w:r w:rsidR="00DE5D38" w:rsidRPr="006F1D76">
        <w:rPr>
          <w:rFonts w:cs="Arial"/>
        </w:rPr>
        <w:tab/>
      </w:r>
      <w:r w:rsidR="002A3DF1" w:rsidRPr="006F1D76">
        <w:rPr>
          <w:rFonts w:cs="Arial"/>
        </w:rPr>
        <w:t>En el presente documento se utilizan las siguientes abreviaturas</w:t>
      </w:r>
      <w:r w:rsidR="00DE5D38" w:rsidRPr="006F1D76">
        <w:rPr>
          <w:rFonts w:cs="Arial"/>
        </w:rPr>
        <w:t>:</w:t>
      </w:r>
    </w:p>
    <w:p w:rsidR="00DE5D38" w:rsidRPr="006F1D76" w:rsidRDefault="00DE5D38" w:rsidP="00DE5D38">
      <w:pPr>
        <w:ind w:left="1701" w:hanging="1134"/>
        <w:rPr>
          <w:rFonts w:cs="Arial"/>
        </w:rPr>
      </w:pPr>
    </w:p>
    <w:p w:rsidR="00DE5D38" w:rsidRPr="006F1D76" w:rsidRDefault="00DE5D38" w:rsidP="00DE5D38">
      <w:pPr>
        <w:ind w:left="1701" w:hanging="1134"/>
        <w:rPr>
          <w:rFonts w:cs="Arial"/>
        </w:rPr>
      </w:pPr>
      <w:r w:rsidRPr="006F1D76">
        <w:rPr>
          <w:rFonts w:cs="Arial"/>
        </w:rPr>
        <w:t xml:space="preserve">CAJ:  </w:t>
      </w:r>
      <w:r w:rsidRPr="006F1D76">
        <w:rPr>
          <w:rFonts w:cs="Arial"/>
        </w:rPr>
        <w:tab/>
      </w:r>
      <w:r w:rsidR="002A3DF1" w:rsidRPr="006F1D76">
        <w:rPr>
          <w:rFonts w:cs="Arial"/>
        </w:rPr>
        <w:t>Comité Administrativo y Jurídico</w:t>
      </w:r>
    </w:p>
    <w:p w:rsidR="00DE5D38" w:rsidRPr="006F1D76" w:rsidRDefault="00DE5D38" w:rsidP="00DE5D38">
      <w:pPr>
        <w:ind w:left="1701" w:hanging="1134"/>
        <w:rPr>
          <w:rFonts w:cs="Arial"/>
        </w:rPr>
      </w:pPr>
      <w:r w:rsidRPr="006F1D76">
        <w:rPr>
          <w:rFonts w:cs="Arial"/>
        </w:rPr>
        <w:t xml:space="preserve">TC:  </w:t>
      </w:r>
      <w:r w:rsidRPr="006F1D76">
        <w:rPr>
          <w:rFonts w:cs="Arial"/>
        </w:rPr>
        <w:tab/>
      </w:r>
      <w:r w:rsidR="002A3DF1" w:rsidRPr="006F1D76">
        <w:rPr>
          <w:rFonts w:cs="Arial"/>
        </w:rPr>
        <w:t>Comité Técnico</w:t>
      </w:r>
    </w:p>
    <w:p w:rsidR="00DE5D38" w:rsidRPr="006F1D76" w:rsidRDefault="00DE5D38" w:rsidP="00DE5D38">
      <w:pPr>
        <w:ind w:left="1701" w:hanging="1134"/>
        <w:rPr>
          <w:rFonts w:cs="Arial"/>
        </w:rPr>
      </w:pPr>
      <w:r w:rsidRPr="006F1D76">
        <w:rPr>
          <w:rFonts w:cs="Arial"/>
        </w:rPr>
        <w:t xml:space="preserve">TC-EDC:  </w:t>
      </w:r>
      <w:r w:rsidRPr="006F1D76">
        <w:rPr>
          <w:rFonts w:cs="Arial"/>
        </w:rPr>
        <w:tab/>
      </w:r>
      <w:r w:rsidR="002A3DF1" w:rsidRPr="006F1D76">
        <w:rPr>
          <w:rFonts w:cs="Arial"/>
        </w:rPr>
        <w:t>Comité de Redacción Ampliado</w:t>
      </w:r>
    </w:p>
    <w:p w:rsidR="00DE5D38" w:rsidRPr="006F1D76" w:rsidRDefault="00DE5D38" w:rsidP="00DE5D38">
      <w:pPr>
        <w:ind w:left="1701" w:hanging="1134"/>
        <w:rPr>
          <w:rFonts w:cs="Arial"/>
        </w:rPr>
      </w:pPr>
      <w:r w:rsidRPr="006F1D76">
        <w:rPr>
          <w:rFonts w:cs="Arial"/>
        </w:rPr>
        <w:t xml:space="preserve">TWA:  </w:t>
      </w:r>
      <w:r w:rsidRPr="006F1D76">
        <w:rPr>
          <w:rFonts w:cs="Arial"/>
        </w:rPr>
        <w:tab/>
      </w:r>
      <w:r w:rsidR="002A3DF1" w:rsidRPr="006F1D76">
        <w:rPr>
          <w:rFonts w:cs="Arial"/>
        </w:rPr>
        <w:t>Grupo de Trabajo Técnico sobre Plantas Agrícolas</w:t>
      </w:r>
    </w:p>
    <w:p w:rsidR="00DE5D38" w:rsidRPr="006F1D76" w:rsidRDefault="00DE5D38" w:rsidP="00DE5D38">
      <w:pPr>
        <w:ind w:left="1701" w:hanging="1134"/>
        <w:rPr>
          <w:rFonts w:cs="Arial"/>
        </w:rPr>
      </w:pPr>
      <w:r w:rsidRPr="006F1D76">
        <w:rPr>
          <w:rFonts w:cs="Arial"/>
        </w:rPr>
        <w:t xml:space="preserve">TWC:  </w:t>
      </w:r>
      <w:r w:rsidRPr="006F1D76">
        <w:rPr>
          <w:rFonts w:cs="Arial"/>
        </w:rPr>
        <w:tab/>
      </w:r>
      <w:r w:rsidR="002A3DF1" w:rsidRPr="006F1D76">
        <w:rPr>
          <w:rFonts w:cs="Arial"/>
        </w:rPr>
        <w:t>Grupo de Trabajo Técnico sobre Automatización y Programas Informáticos</w:t>
      </w:r>
    </w:p>
    <w:p w:rsidR="00DE5D38" w:rsidRPr="006F1D76" w:rsidRDefault="00DE5D38" w:rsidP="00DE5D38">
      <w:pPr>
        <w:ind w:left="1701" w:hanging="1134"/>
        <w:rPr>
          <w:rFonts w:cs="Arial"/>
        </w:rPr>
      </w:pPr>
      <w:r w:rsidRPr="006F1D76">
        <w:rPr>
          <w:rFonts w:cs="Arial"/>
        </w:rPr>
        <w:t xml:space="preserve">TWF:  </w:t>
      </w:r>
      <w:r w:rsidRPr="006F1D76">
        <w:rPr>
          <w:rFonts w:cs="Arial"/>
        </w:rPr>
        <w:tab/>
      </w:r>
      <w:r w:rsidR="002A3DF1" w:rsidRPr="006F1D76">
        <w:rPr>
          <w:rFonts w:cs="Arial"/>
        </w:rPr>
        <w:t>Grupo de Trabajo Técnico sobre Plantas Frutales</w:t>
      </w:r>
    </w:p>
    <w:p w:rsidR="00DE5D38" w:rsidRPr="006F1D76" w:rsidRDefault="00DE5D38" w:rsidP="00DE5D38">
      <w:pPr>
        <w:ind w:left="1701" w:hanging="1134"/>
        <w:rPr>
          <w:rFonts w:cs="Arial"/>
        </w:rPr>
      </w:pPr>
      <w:r w:rsidRPr="006F1D76">
        <w:rPr>
          <w:rFonts w:cs="Arial"/>
        </w:rPr>
        <w:t xml:space="preserve">TWO:  </w:t>
      </w:r>
      <w:r w:rsidRPr="006F1D76">
        <w:rPr>
          <w:rFonts w:cs="Arial"/>
        </w:rPr>
        <w:tab/>
      </w:r>
      <w:r w:rsidR="002A3DF1" w:rsidRPr="006F1D76">
        <w:rPr>
          <w:rFonts w:cs="Arial"/>
        </w:rPr>
        <w:t>Grupo de Trabajo Técnico sobre Plantas Ornamentales y Árboles Forestales</w:t>
      </w:r>
      <w:r w:rsidRPr="006F1D76">
        <w:rPr>
          <w:rFonts w:cs="Arial"/>
        </w:rPr>
        <w:t xml:space="preserve"> </w:t>
      </w:r>
    </w:p>
    <w:p w:rsidR="00DE5D38" w:rsidRPr="006F1D76" w:rsidRDefault="00DE5D38" w:rsidP="00DE5D38">
      <w:pPr>
        <w:ind w:left="1701" w:hanging="1134"/>
        <w:rPr>
          <w:rFonts w:cs="Arial"/>
        </w:rPr>
      </w:pPr>
      <w:r w:rsidRPr="006F1D76">
        <w:rPr>
          <w:rFonts w:cs="Arial"/>
        </w:rPr>
        <w:t xml:space="preserve">TWV:  </w:t>
      </w:r>
      <w:r w:rsidRPr="006F1D76">
        <w:rPr>
          <w:rFonts w:cs="Arial"/>
        </w:rPr>
        <w:tab/>
      </w:r>
      <w:r w:rsidR="002A3DF1" w:rsidRPr="006F1D76">
        <w:rPr>
          <w:rFonts w:cs="Arial"/>
        </w:rPr>
        <w:t>Grupo de Trabajo Técnico sobre Hortalizas</w:t>
      </w:r>
    </w:p>
    <w:p w:rsidR="00DE5D38" w:rsidRPr="006F1D76" w:rsidRDefault="002A3DF1" w:rsidP="00DE5D38">
      <w:pPr>
        <w:ind w:firstLine="567"/>
        <w:rPr>
          <w:rFonts w:cs="Arial"/>
          <w:color w:val="000000"/>
        </w:rPr>
      </w:pPr>
      <w:r w:rsidRPr="006F1D76">
        <w:rPr>
          <w:rFonts w:cs="Arial"/>
          <w:color w:val="000000"/>
        </w:rPr>
        <w:t>TWP</w:t>
      </w:r>
      <w:r w:rsidR="00DE5D38" w:rsidRPr="006F1D76">
        <w:rPr>
          <w:rFonts w:cs="Arial"/>
          <w:color w:val="000000"/>
        </w:rPr>
        <w:t>:</w:t>
      </w:r>
      <w:r w:rsidRPr="006F1D76">
        <w:rPr>
          <w:rFonts w:cs="Arial"/>
          <w:color w:val="000000"/>
        </w:rPr>
        <w:tab/>
      </w:r>
      <w:r w:rsidRPr="006F1D76">
        <w:rPr>
          <w:rFonts w:cs="Arial"/>
          <w:color w:val="000000"/>
        </w:rPr>
        <w:tab/>
        <w:t>Grupos de Trabajo Técnico</w:t>
      </w:r>
    </w:p>
    <w:p w:rsidR="00DE5D38" w:rsidRPr="006F1D76" w:rsidRDefault="00DE5D38" w:rsidP="00DE5D38">
      <w:pPr>
        <w:pStyle w:val="DecisionParagraphs"/>
        <w:tabs>
          <w:tab w:val="clear" w:pos="5387"/>
          <w:tab w:val="left" w:pos="567"/>
          <w:tab w:val="left" w:pos="1134"/>
          <w:tab w:val="left" w:pos="12333"/>
        </w:tabs>
        <w:ind w:left="0"/>
        <w:rPr>
          <w:rFonts w:eastAsia="SimSun"/>
          <w:i w:val="0"/>
        </w:rPr>
      </w:pPr>
    </w:p>
    <w:p w:rsidR="00DE5D38" w:rsidRPr="006F1D76" w:rsidRDefault="008A4AF9" w:rsidP="00DE5D38">
      <w:pPr>
        <w:rPr>
          <w:snapToGrid w:val="0"/>
        </w:rPr>
      </w:pPr>
      <w:r w:rsidRPr="006F1D76">
        <w:fldChar w:fldCharType="begin"/>
      </w:r>
      <w:r w:rsidR="00DE5D38" w:rsidRPr="006F1D76">
        <w:instrText xml:space="preserve"> AUTONUM  </w:instrText>
      </w:r>
      <w:r w:rsidRPr="006F1D76">
        <w:fldChar w:fldCharType="end"/>
      </w:r>
      <w:r w:rsidR="00DE5D38" w:rsidRPr="006F1D76">
        <w:tab/>
      </w:r>
      <w:r w:rsidR="006F1D76" w:rsidRPr="006F1D76">
        <w:t>El presente documento se estructura del modo siguiente</w:t>
      </w:r>
      <w:r w:rsidR="00DE5D38" w:rsidRPr="006F1D76">
        <w:rPr>
          <w:snapToGrid w:val="0"/>
        </w:rPr>
        <w:t>:</w:t>
      </w:r>
    </w:p>
    <w:p w:rsidR="00DE5D38" w:rsidRPr="006F1D76" w:rsidRDefault="00DE5D38" w:rsidP="00DE5D38">
      <w:pPr>
        <w:rPr>
          <w:highlight w:val="yellow"/>
        </w:rPr>
      </w:pPr>
    </w:p>
    <w:bookmarkStart w:id="4" w:name="_GoBack"/>
    <w:bookmarkEnd w:id="4"/>
    <w:p w:rsidR="0066678B" w:rsidRDefault="008A4AF9">
      <w:pPr>
        <w:pStyle w:val="TOC1"/>
        <w:rPr>
          <w:rFonts w:asciiTheme="minorHAnsi" w:eastAsiaTheme="minorEastAsia" w:hAnsiTheme="minorHAnsi" w:cstheme="minorBidi"/>
          <w:caps w:val="0"/>
          <w:noProof/>
          <w:sz w:val="22"/>
          <w:szCs w:val="22"/>
        </w:rPr>
      </w:pPr>
      <w:r w:rsidRPr="006F1D76">
        <w:rPr>
          <w:noProof/>
          <w:highlight w:val="yellow"/>
          <w:lang w:val="es-ES_tradnl"/>
        </w:rPr>
        <w:fldChar w:fldCharType="begin"/>
      </w:r>
      <w:r w:rsidR="00DE5D38" w:rsidRPr="006F1D76">
        <w:rPr>
          <w:highlight w:val="yellow"/>
          <w:lang w:val="es-ES_tradnl"/>
        </w:rPr>
        <w:instrText xml:space="preserve"> TOC \o "1-3" \h \z \u </w:instrText>
      </w:r>
      <w:r w:rsidRPr="006F1D76">
        <w:rPr>
          <w:noProof/>
          <w:highlight w:val="yellow"/>
          <w:lang w:val="es-ES_tradnl"/>
        </w:rPr>
        <w:fldChar w:fldCharType="separate"/>
      </w:r>
      <w:r w:rsidR="0066678B" w:rsidRPr="00BA3DB7">
        <w:rPr>
          <w:rStyle w:val="Hyperlink"/>
          <w:noProof/>
        </w:rPr>
        <w:fldChar w:fldCharType="begin"/>
      </w:r>
      <w:r w:rsidR="0066678B" w:rsidRPr="00BA3DB7">
        <w:rPr>
          <w:rStyle w:val="Hyperlink"/>
          <w:noProof/>
        </w:rPr>
        <w:instrText xml:space="preserve"> </w:instrText>
      </w:r>
      <w:r w:rsidR="0066678B">
        <w:rPr>
          <w:noProof/>
        </w:rPr>
        <w:instrText>HYPERLINK \l "_Toc475970850"</w:instrText>
      </w:r>
      <w:r w:rsidR="0066678B" w:rsidRPr="00BA3DB7">
        <w:rPr>
          <w:rStyle w:val="Hyperlink"/>
          <w:noProof/>
        </w:rPr>
        <w:instrText xml:space="preserve"> </w:instrText>
      </w:r>
      <w:r w:rsidR="0066678B" w:rsidRPr="00BA3DB7">
        <w:rPr>
          <w:rStyle w:val="Hyperlink"/>
          <w:noProof/>
        </w:rPr>
      </w:r>
      <w:r w:rsidR="0066678B" w:rsidRPr="00BA3DB7">
        <w:rPr>
          <w:rStyle w:val="Hyperlink"/>
          <w:noProof/>
        </w:rPr>
        <w:fldChar w:fldCharType="separate"/>
      </w:r>
      <w:r w:rsidR="0066678B" w:rsidRPr="00BA3DB7">
        <w:rPr>
          <w:rStyle w:val="Hyperlink"/>
          <w:noProof/>
        </w:rPr>
        <w:t>RESUMEN</w:t>
      </w:r>
      <w:r w:rsidR="0066678B">
        <w:rPr>
          <w:noProof/>
          <w:webHidden/>
        </w:rPr>
        <w:tab/>
      </w:r>
      <w:r w:rsidR="0066678B">
        <w:rPr>
          <w:noProof/>
          <w:webHidden/>
        </w:rPr>
        <w:fldChar w:fldCharType="begin"/>
      </w:r>
      <w:r w:rsidR="0066678B">
        <w:rPr>
          <w:noProof/>
          <w:webHidden/>
        </w:rPr>
        <w:instrText xml:space="preserve"> PAGEREF _Toc475970850 \h </w:instrText>
      </w:r>
      <w:r w:rsidR="0066678B">
        <w:rPr>
          <w:noProof/>
          <w:webHidden/>
        </w:rPr>
      </w:r>
      <w:r w:rsidR="0066678B">
        <w:rPr>
          <w:noProof/>
          <w:webHidden/>
        </w:rPr>
        <w:fldChar w:fldCharType="separate"/>
      </w:r>
      <w:r w:rsidR="0066678B">
        <w:rPr>
          <w:noProof/>
          <w:webHidden/>
        </w:rPr>
        <w:t>1</w:t>
      </w:r>
      <w:r w:rsidR="0066678B">
        <w:rPr>
          <w:noProof/>
          <w:webHidden/>
        </w:rPr>
        <w:fldChar w:fldCharType="end"/>
      </w:r>
      <w:r w:rsidR="0066678B" w:rsidRPr="00BA3DB7">
        <w:rPr>
          <w:rStyle w:val="Hyperlink"/>
          <w:noProof/>
        </w:rPr>
        <w:fldChar w:fldCharType="end"/>
      </w:r>
    </w:p>
    <w:p w:rsidR="0066678B" w:rsidRDefault="0066678B">
      <w:pPr>
        <w:pStyle w:val="TOC1"/>
        <w:rPr>
          <w:rFonts w:asciiTheme="minorHAnsi" w:eastAsiaTheme="minorEastAsia" w:hAnsiTheme="minorHAnsi" w:cstheme="minorBidi"/>
          <w:caps w:val="0"/>
          <w:noProof/>
          <w:sz w:val="22"/>
          <w:szCs w:val="22"/>
        </w:rPr>
      </w:pPr>
      <w:hyperlink w:anchor="_Toc475970851" w:history="1">
        <w:r w:rsidRPr="00BA3DB7">
          <w:rPr>
            <w:rStyle w:val="Hyperlink"/>
            <w:noProof/>
            <w:lang w:val="es-ES_tradnl"/>
          </w:rPr>
          <w:t>antecedentes</w:t>
        </w:r>
        <w:r>
          <w:rPr>
            <w:noProof/>
            <w:webHidden/>
          </w:rPr>
          <w:tab/>
        </w:r>
        <w:r>
          <w:rPr>
            <w:noProof/>
            <w:webHidden/>
          </w:rPr>
          <w:fldChar w:fldCharType="begin"/>
        </w:r>
        <w:r>
          <w:rPr>
            <w:noProof/>
            <w:webHidden/>
          </w:rPr>
          <w:instrText xml:space="preserve"> PAGEREF _Toc475970851 \h </w:instrText>
        </w:r>
        <w:r>
          <w:rPr>
            <w:noProof/>
            <w:webHidden/>
          </w:rPr>
        </w:r>
        <w:r>
          <w:rPr>
            <w:noProof/>
            <w:webHidden/>
          </w:rPr>
          <w:fldChar w:fldCharType="separate"/>
        </w:r>
        <w:r>
          <w:rPr>
            <w:noProof/>
            <w:webHidden/>
          </w:rPr>
          <w:t>2</w:t>
        </w:r>
        <w:r>
          <w:rPr>
            <w:noProof/>
            <w:webHidden/>
          </w:rPr>
          <w:fldChar w:fldCharType="end"/>
        </w:r>
      </w:hyperlink>
    </w:p>
    <w:p w:rsidR="0066678B" w:rsidRDefault="0066678B">
      <w:pPr>
        <w:pStyle w:val="TOC1"/>
        <w:rPr>
          <w:rFonts w:asciiTheme="minorHAnsi" w:eastAsiaTheme="minorEastAsia" w:hAnsiTheme="minorHAnsi" w:cstheme="minorBidi"/>
          <w:caps w:val="0"/>
          <w:noProof/>
          <w:sz w:val="22"/>
          <w:szCs w:val="22"/>
        </w:rPr>
      </w:pPr>
      <w:hyperlink w:anchor="_Toc475970852" w:history="1">
        <w:r w:rsidRPr="00BA3DB7">
          <w:rPr>
            <w:rStyle w:val="Hyperlink"/>
            <w:noProof/>
            <w:lang w:val="es-ES_tradnl"/>
          </w:rPr>
          <w:t>OBSERVACIONES EFECTUADAS POR LOS GRUPOS DE TRABAJO TÉCNICO</w:t>
        </w:r>
        <w:r>
          <w:rPr>
            <w:noProof/>
            <w:webHidden/>
          </w:rPr>
          <w:tab/>
        </w:r>
        <w:r>
          <w:rPr>
            <w:noProof/>
            <w:webHidden/>
          </w:rPr>
          <w:fldChar w:fldCharType="begin"/>
        </w:r>
        <w:r>
          <w:rPr>
            <w:noProof/>
            <w:webHidden/>
          </w:rPr>
          <w:instrText xml:space="preserve"> PAGEREF _Toc475970852 \h </w:instrText>
        </w:r>
        <w:r>
          <w:rPr>
            <w:noProof/>
            <w:webHidden/>
          </w:rPr>
        </w:r>
        <w:r>
          <w:rPr>
            <w:noProof/>
            <w:webHidden/>
          </w:rPr>
          <w:fldChar w:fldCharType="separate"/>
        </w:r>
        <w:r>
          <w:rPr>
            <w:noProof/>
            <w:webHidden/>
          </w:rPr>
          <w:t>2</w:t>
        </w:r>
        <w:r>
          <w:rPr>
            <w:noProof/>
            <w:webHidden/>
          </w:rPr>
          <w:fldChar w:fldCharType="end"/>
        </w:r>
      </w:hyperlink>
    </w:p>
    <w:p w:rsidR="0066678B" w:rsidRDefault="0066678B">
      <w:pPr>
        <w:pStyle w:val="TOC2"/>
        <w:rPr>
          <w:rFonts w:asciiTheme="minorHAnsi" w:eastAsiaTheme="minorEastAsia" w:hAnsiTheme="minorHAnsi" w:cstheme="minorBidi"/>
          <w:smallCaps w:val="0"/>
          <w:noProof/>
          <w:sz w:val="22"/>
          <w:szCs w:val="22"/>
        </w:rPr>
      </w:pPr>
      <w:hyperlink w:anchor="_Toc475970853" w:history="1">
        <w:r w:rsidRPr="00BA3DB7">
          <w:rPr>
            <w:rStyle w:val="Hyperlink"/>
            <w:noProof/>
            <w:lang w:val="es-ES_tradnl"/>
          </w:rPr>
          <w:t>Grupo de Trabajo Técnico sobre Plantas Ornamentales</w:t>
        </w:r>
        <w:r>
          <w:rPr>
            <w:noProof/>
            <w:webHidden/>
          </w:rPr>
          <w:tab/>
        </w:r>
        <w:r>
          <w:rPr>
            <w:noProof/>
            <w:webHidden/>
          </w:rPr>
          <w:fldChar w:fldCharType="begin"/>
        </w:r>
        <w:r>
          <w:rPr>
            <w:noProof/>
            <w:webHidden/>
          </w:rPr>
          <w:instrText xml:space="preserve"> PAGEREF _Toc475970853 \h </w:instrText>
        </w:r>
        <w:r>
          <w:rPr>
            <w:noProof/>
            <w:webHidden/>
          </w:rPr>
        </w:r>
        <w:r>
          <w:rPr>
            <w:noProof/>
            <w:webHidden/>
          </w:rPr>
          <w:fldChar w:fldCharType="separate"/>
        </w:r>
        <w:r>
          <w:rPr>
            <w:noProof/>
            <w:webHidden/>
          </w:rPr>
          <w:t>3</w:t>
        </w:r>
        <w:r>
          <w:rPr>
            <w:noProof/>
            <w:webHidden/>
          </w:rPr>
          <w:fldChar w:fldCharType="end"/>
        </w:r>
      </w:hyperlink>
    </w:p>
    <w:p w:rsidR="0066678B" w:rsidRDefault="0066678B">
      <w:pPr>
        <w:pStyle w:val="TOC2"/>
        <w:rPr>
          <w:rFonts w:asciiTheme="minorHAnsi" w:eastAsiaTheme="minorEastAsia" w:hAnsiTheme="minorHAnsi" w:cstheme="minorBidi"/>
          <w:smallCaps w:val="0"/>
          <w:noProof/>
          <w:sz w:val="22"/>
          <w:szCs w:val="22"/>
        </w:rPr>
      </w:pPr>
      <w:hyperlink w:anchor="_Toc475970854" w:history="1">
        <w:r w:rsidRPr="00BA3DB7">
          <w:rPr>
            <w:rStyle w:val="Hyperlink"/>
            <w:noProof/>
            <w:lang w:val="es-ES_tradnl"/>
          </w:rPr>
          <w:t>Grupo de Trabajo Técnico sobre Hortalizas</w:t>
        </w:r>
        <w:r>
          <w:rPr>
            <w:noProof/>
            <w:webHidden/>
          </w:rPr>
          <w:tab/>
        </w:r>
        <w:r>
          <w:rPr>
            <w:noProof/>
            <w:webHidden/>
          </w:rPr>
          <w:fldChar w:fldCharType="begin"/>
        </w:r>
        <w:r>
          <w:rPr>
            <w:noProof/>
            <w:webHidden/>
          </w:rPr>
          <w:instrText xml:space="preserve"> PAGEREF _Toc475970854 \h </w:instrText>
        </w:r>
        <w:r>
          <w:rPr>
            <w:noProof/>
            <w:webHidden/>
          </w:rPr>
        </w:r>
        <w:r>
          <w:rPr>
            <w:noProof/>
            <w:webHidden/>
          </w:rPr>
          <w:fldChar w:fldCharType="separate"/>
        </w:r>
        <w:r>
          <w:rPr>
            <w:noProof/>
            <w:webHidden/>
          </w:rPr>
          <w:t>3</w:t>
        </w:r>
        <w:r>
          <w:rPr>
            <w:noProof/>
            <w:webHidden/>
          </w:rPr>
          <w:fldChar w:fldCharType="end"/>
        </w:r>
      </w:hyperlink>
    </w:p>
    <w:p w:rsidR="0066678B" w:rsidRDefault="0066678B">
      <w:pPr>
        <w:pStyle w:val="TOC2"/>
        <w:rPr>
          <w:rFonts w:asciiTheme="minorHAnsi" w:eastAsiaTheme="minorEastAsia" w:hAnsiTheme="minorHAnsi" w:cstheme="minorBidi"/>
          <w:smallCaps w:val="0"/>
          <w:noProof/>
          <w:sz w:val="22"/>
          <w:szCs w:val="22"/>
        </w:rPr>
      </w:pPr>
      <w:hyperlink w:anchor="_Toc475970855" w:history="1">
        <w:r w:rsidRPr="00BA3DB7">
          <w:rPr>
            <w:rStyle w:val="Hyperlink"/>
            <w:noProof/>
            <w:lang w:val="es-ES_tradnl"/>
          </w:rPr>
          <w:t>Grupo de Trabajo Técnico sobre Plantas Agrícolas</w:t>
        </w:r>
        <w:r>
          <w:rPr>
            <w:noProof/>
            <w:webHidden/>
          </w:rPr>
          <w:tab/>
        </w:r>
        <w:r>
          <w:rPr>
            <w:noProof/>
            <w:webHidden/>
          </w:rPr>
          <w:fldChar w:fldCharType="begin"/>
        </w:r>
        <w:r>
          <w:rPr>
            <w:noProof/>
            <w:webHidden/>
          </w:rPr>
          <w:instrText xml:space="preserve"> PAGEREF _Toc475970855 \h </w:instrText>
        </w:r>
        <w:r>
          <w:rPr>
            <w:noProof/>
            <w:webHidden/>
          </w:rPr>
        </w:r>
        <w:r>
          <w:rPr>
            <w:noProof/>
            <w:webHidden/>
          </w:rPr>
          <w:fldChar w:fldCharType="separate"/>
        </w:r>
        <w:r>
          <w:rPr>
            <w:noProof/>
            <w:webHidden/>
          </w:rPr>
          <w:t>3</w:t>
        </w:r>
        <w:r>
          <w:rPr>
            <w:noProof/>
            <w:webHidden/>
          </w:rPr>
          <w:fldChar w:fldCharType="end"/>
        </w:r>
      </w:hyperlink>
    </w:p>
    <w:p w:rsidR="0066678B" w:rsidRDefault="0066678B">
      <w:pPr>
        <w:pStyle w:val="TOC2"/>
        <w:rPr>
          <w:rFonts w:asciiTheme="minorHAnsi" w:eastAsiaTheme="minorEastAsia" w:hAnsiTheme="minorHAnsi" w:cstheme="minorBidi"/>
          <w:smallCaps w:val="0"/>
          <w:noProof/>
          <w:sz w:val="22"/>
          <w:szCs w:val="22"/>
        </w:rPr>
      </w:pPr>
      <w:hyperlink w:anchor="_Toc475970856" w:history="1">
        <w:r w:rsidRPr="00BA3DB7">
          <w:rPr>
            <w:rStyle w:val="Hyperlink"/>
            <w:noProof/>
            <w:lang w:val="es-ES_tradnl"/>
          </w:rPr>
          <w:t>Grupo de Trabajo Técnico sobre Plantas Frutales</w:t>
        </w:r>
        <w:r>
          <w:rPr>
            <w:noProof/>
            <w:webHidden/>
          </w:rPr>
          <w:tab/>
        </w:r>
        <w:r>
          <w:rPr>
            <w:noProof/>
            <w:webHidden/>
          </w:rPr>
          <w:fldChar w:fldCharType="begin"/>
        </w:r>
        <w:r>
          <w:rPr>
            <w:noProof/>
            <w:webHidden/>
          </w:rPr>
          <w:instrText xml:space="preserve"> PAGEREF _Toc475970856 \h </w:instrText>
        </w:r>
        <w:r>
          <w:rPr>
            <w:noProof/>
            <w:webHidden/>
          </w:rPr>
        </w:r>
        <w:r>
          <w:rPr>
            <w:noProof/>
            <w:webHidden/>
          </w:rPr>
          <w:fldChar w:fldCharType="separate"/>
        </w:r>
        <w:r>
          <w:rPr>
            <w:noProof/>
            <w:webHidden/>
          </w:rPr>
          <w:t>4</w:t>
        </w:r>
        <w:r>
          <w:rPr>
            <w:noProof/>
            <w:webHidden/>
          </w:rPr>
          <w:fldChar w:fldCharType="end"/>
        </w:r>
      </w:hyperlink>
    </w:p>
    <w:p w:rsidR="0066678B" w:rsidRDefault="0066678B">
      <w:pPr>
        <w:pStyle w:val="TOC1"/>
        <w:rPr>
          <w:rFonts w:asciiTheme="minorHAnsi" w:eastAsiaTheme="minorEastAsia" w:hAnsiTheme="minorHAnsi" w:cstheme="minorBidi"/>
          <w:caps w:val="0"/>
          <w:noProof/>
          <w:sz w:val="22"/>
          <w:szCs w:val="22"/>
        </w:rPr>
      </w:pPr>
      <w:hyperlink w:anchor="_Toc475970857" w:history="1">
        <w:r w:rsidRPr="00BA3DB7">
          <w:rPr>
            <w:rStyle w:val="Hyperlink"/>
            <w:noProof/>
            <w:lang w:val="es-ES_tradnl" w:eastAsia="ja-JP"/>
          </w:rPr>
          <w:t>PROpuesta</w:t>
        </w:r>
        <w:r>
          <w:rPr>
            <w:noProof/>
            <w:webHidden/>
          </w:rPr>
          <w:tab/>
        </w:r>
        <w:r>
          <w:rPr>
            <w:noProof/>
            <w:webHidden/>
          </w:rPr>
          <w:fldChar w:fldCharType="begin"/>
        </w:r>
        <w:r>
          <w:rPr>
            <w:noProof/>
            <w:webHidden/>
          </w:rPr>
          <w:instrText xml:space="preserve"> PAGEREF _Toc475970857 \h </w:instrText>
        </w:r>
        <w:r>
          <w:rPr>
            <w:noProof/>
            <w:webHidden/>
          </w:rPr>
        </w:r>
        <w:r>
          <w:rPr>
            <w:noProof/>
            <w:webHidden/>
          </w:rPr>
          <w:fldChar w:fldCharType="separate"/>
        </w:r>
        <w:r>
          <w:rPr>
            <w:noProof/>
            <w:webHidden/>
          </w:rPr>
          <w:t>4</w:t>
        </w:r>
        <w:r>
          <w:rPr>
            <w:noProof/>
            <w:webHidden/>
          </w:rPr>
          <w:fldChar w:fldCharType="end"/>
        </w:r>
      </w:hyperlink>
    </w:p>
    <w:p w:rsidR="00DE5D38" w:rsidRPr="006F1D76" w:rsidRDefault="008A4AF9" w:rsidP="00DE5D38">
      <w:pPr>
        <w:ind w:left="851" w:hanging="851"/>
      </w:pPr>
      <w:r w:rsidRPr="006F1D76">
        <w:rPr>
          <w:highlight w:val="yellow"/>
        </w:rPr>
        <w:fldChar w:fldCharType="end"/>
      </w:r>
    </w:p>
    <w:p w:rsidR="00DE5D38" w:rsidRPr="006F1D76" w:rsidRDefault="00DE5D38" w:rsidP="00DE5D38">
      <w:pPr>
        <w:ind w:left="1134" w:hanging="1134"/>
      </w:pPr>
      <w:r w:rsidRPr="006F1D76">
        <w:t>ANEX</w:t>
      </w:r>
      <w:r w:rsidR="002A3DF1" w:rsidRPr="006F1D76">
        <w:t>O</w:t>
      </w:r>
      <w:r w:rsidRPr="006F1D76">
        <w:tab/>
      </w:r>
      <w:r w:rsidR="00855B0E">
        <w:t>F</w:t>
      </w:r>
      <w:r w:rsidR="00855B0E" w:rsidRPr="006F1D76">
        <w:t>inalidad de la descripción de la variedad elaborada en el momento en que se concede el derecho de obtentor y situación de la descripción original de la variedad en lo referente a la comprobación de que el material vegetal corresponde a una variedad protegida a los efectos de la defensa del derecho de obtentor</w:t>
      </w:r>
    </w:p>
    <w:p w:rsidR="00DE5D38" w:rsidRPr="006F1D76" w:rsidRDefault="00DE5D38" w:rsidP="00DE5D38">
      <w:pPr>
        <w:jc w:val="left"/>
      </w:pPr>
      <w:r w:rsidRPr="006F1D76">
        <w:br w:type="page"/>
      </w:r>
    </w:p>
    <w:p w:rsidR="00DE5D38" w:rsidRPr="006F1D76" w:rsidRDefault="002A3DF1" w:rsidP="00DE5D38">
      <w:pPr>
        <w:pStyle w:val="Heading1"/>
        <w:rPr>
          <w:lang w:val="es-ES_tradnl"/>
        </w:rPr>
      </w:pPr>
      <w:bookmarkStart w:id="5" w:name="_Toc418531190"/>
      <w:bookmarkStart w:id="6" w:name="_Toc475970851"/>
      <w:bookmarkEnd w:id="2"/>
      <w:r w:rsidRPr="006F1D76">
        <w:rPr>
          <w:lang w:val="es-ES_tradnl"/>
        </w:rPr>
        <w:lastRenderedPageBreak/>
        <w:t>antecedentes</w:t>
      </w:r>
      <w:bookmarkEnd w:id="6"/>
    </w:p>
    <w:p w:rsidR="00DE5D38" w:rsidRPr="006F1D76" w:rsidRDefault="00DE5D38" w:rsidP="00DE5D38"/>
    <w:bookmarkStart w:id="7" w:name="_Toc440377316"/>
    <w:bookmarkEnd w:id="5"/>
    <w:p w:rsidR="00DE5D38" w:rsidRPr="006F1D76" w:rsidRDefault="008A4AF9" w:rsidP="00DE5D38">
      <w:r w:rsidRPr="006F1D76">
        <w:rPr>
          <w:rFonts w:cs="Arial"/>
        </w:rPr>
        <w:fldChar w:fldCharType="begin"/>
      </w:r>
      <w:r w:rsidR="00DE5D38" w:rsidRPr="006F1D76">
        <w:rPr>
          <w:rFonts w:cs="Arial"/>
        </w:rPr>
        <w:instrText xml:space="preserve"> AUTONUM  </w:instrText>
      </w:r>
      <w:r w:rsidRPr="006F1D76">
        <w:rPr>
          <w:rFonts w:cs="Arial"/>
        </w:rPr>
        <w:fldChar w:fldCharType="end"/>
      </w:r>
      <w:r w:rsidR="00DE5D38" w:rsidRPr="006F1D76">
        <w:rPr>
          <w:rFonts w:cs="Arial"/>
        </w:rPr>
        <w:tab/>
      </w:r>
      <w:r w:rsidR="002A3DF1" w:rsidRPr="006F1D76">
        <w:rPr>
          <w:rFonts w:cs="Arial"/>
        </w:rPr>
        <w:t>T</w:t>
      </w:r>
      <w:r w:rsidR="002A3DF1" w:rsidRPr="006F1D76">
        <w:rPr>
          <w:szCs w:val="24"/>
        </w:rPr>
        <w:t>odos los antecedentes de esta cuestión se facilitan en el documento TC/52/21 “Asuntos relativos a las descripciones de variedades”</w:t>
      </w:r>
      <w:r w:rsidR="00DE5D38" w:rsidRPr="006F1D76">
        <w:t>.</w:t>
      </w:r>
    </w:p>
    <w:bookmarkEnd w:id="7"/>
    <w:p w:rsidR="00DE5D38" w:rsidRPr="006F1D76" w:rsidRDefault="00DE5D38" w:rsidP="00DE5D38">
      <w:pPr>
        <w:rPr>
          <w:rFonts w:cs="Arial"/>
        </w:rPr>
      </w:pPr>
    </w:p>
    <w:p w:rsidR="00DE5D38" w:rsidRPr="006F1D76" w:rsidRDefault="008A4AF9" w:rsidP="00DE5D38">
      <w:r w:rsidRPr="006F1D76">
        <w:fldChar w:fldCharType="begin"/>
      </w:r>
      <w:r w:rsidR="00DE5D38" w:rsidRPr="006F1D76">
        <w:instrText xml:space="preserve"> AUTONUM  </w:instrText>
      </w:r>
      <w:r w:rsidRPr="006F1D76">
        <w:fldChar w:fldCharType="end"/>
      </w:r>
      <w:r w:rsidR="00DE5D38" w:rsidRPr="006F1D76">
        <w:tab/>
      </w:r>
      <w:r w:rsidR="002A3DF1" w:rsidRPr="006F1D76">
        <w:t>En su quincuagésima segunda sesión, celebrada en Ginebra del 14 al 16 de marzo de 2016, el TC convino en invitar a expertos a presentar ante los TWP, en sus reuniones de 2016, sus experiencias relativas a la función del material vegetal utilizado como base para el examen DHE respecto de los asuntos enumerados a continuación (véase el párrafo 142 del documento TC/52/29 Rev. “Informe revisado”)</w:t>
      </w:r>
      <w:r w:rsidR="00DE5D38" w:rsidRPr="006F1D76">
        <w:t>:</w:t>
      </w:r>
    </w:p>
    <w:p w:rsidR="00DE5D38" w:rsidRPr="006F1D76" w:rsidRDefault="00DE5D38" w:rsidP="00DE5D38"/>
    <w:p w:rsidR="00DE5D38" w:rsidRPr="006F1D76" w:rsidRDefault="002A3DF1" w:rsidP="00DE5D38">
      <w:pPr>
        <w:rPr>
          <w:rFonts w:cs="Arial"/>
        </w:rPr>
      </w:pPr>
      <w:r w:rsidRPr="006F1D76">
        <w:rPr>
          <w:rFonts w:cs="Arial"/>
        </w:rPr>
        <w:tab/>
        <w:t>a)</w:t>
      </w:r>
      <w:r w:rsidRPr="006F1D76">
        <w:rPr>
          <w:rFonts w:cs="Arial"/>
        </w:rPr>
        <w:tab/>
        <w:t>el uso de informaciones, documentos o material proporcionados por el obtentor para controlar el mantenimiento de la variedad, conforme al párrafo 15 del documento CAJ-AG/13/8/4 “Asuntos relativos a la caducidad del derecho de obtentor”, indicando que las informaciones, los documentos o el material pueden conservarse en otro país</w:t>
      </w:r>
      <w:r w:rsidR="00DE5D38" w:rsidRPr="006F1D76">
        <w:rPr>
          <w:rFonts w:cs="Arial"/>
        </w:rPr>
        <w:t xml:space="preserve">;  </w:t>
      </w:r>
    </w:p>
    <w:p w:rsidR="00DE5D38" w:rsidRPr="006F1D76" w:rsidRDefault="00DE5D38" w:rsidP="00DE5D38">
      <w:pPr>
        <w:tabs>
          <w:tab w:val="left" w:pos="7500"/>
        </w:tabs>
        <w:rPr>
          <w:rFonts w:cs="Arial"/>
        </w:rPr>
      </w:pPr>
    </w:p>
    <w:p w:rsidR="00DE5D38" w:rsidRPr="006F1D76" w:rsidRDefault="00DE5D38" w:rsidP="00DE5D38">
      <w:pPr>
        <w:rPr>
          <w:rFonts w:cs="Arial"/>
        </w:rPr>
      </w:pPr>
      <w:r w:rsidRPr="006F1D76">
        <w:rPr>
          <w:rFonts w:cs="Arial"/>
        </w:rPr>
        <w:tab/>
      </w:r>
      <w:r w:rsidR="002A3DF1" w:rsidRPr="006F1D76">
        <w:rPr>
          <w:rFonts w:cs="Arial"/>
        </w:rPr>
        <w:t>b)</w:t>
      </w:r>
      <w:r w:rsidR="002A3DF1" w:rsidRPr="006F1D76">
        <w:rPr>
          <w:rFonts w:cs="Arial"/>
        </w:rPr>
        <w:tab/>
        <w:t>el uso de directrices de examen diferentes de las empleadas en el examen de la distinción, la homogeneidad y la estabilidad (DHE) para controlar el mantenimiento de la variedad;</w:t>
      </w:r>
    </w:p>
    <w:p w:rsidR="00DE5D38" w:rsidRPr="006F1D76" w:rsidRDefault="00DE5D38" w:rsidP="00DE5D38">
      <w:pPr>
        <w:ind w:left="567" w:right="567"/>
      </w:pPr>
    </w:p>
    <w:p w:rsidR="00DE5D38" w:rsidRPr="006F1D76" w:rsidRDefault="002A3DF1" w:rsidP="00DE5D38">
      <w:pPr>
        <w:ind w:firstLine="567"/>
      </w:pPr>
      <w:r w:rsidRPr="006F1D76">
        <w:t>c)</w:t>
      </w:r>
      <w:r w:rsidRPr="006F1D76">
        <w:tab/>
        <w:t>la situación de la descripción original de la variedad en lo referente a la comprobación de que el material vegetal corresponde a una variedad protegida a los fines de</w:t>
      </w:r>
      <w:r w:rsidR="00DE5D38" w:rsidRPr="006F1D76">
        <w:t>:</w:t>
      </w:r>
    </w:p>
    <w:p w:rsidR="00DE5D38" w:rsidRPr="006F1D76" w:rsidRDefault="00DE5D38" w:rsidP="00DE5D38">
      <w:pPr>
        <w:ind w:firstLine="567"/>
      </w:pPr>
    </w:p>
    <w:p w:rsidR="002A3DF1" w:rsidRPr="006F1D76" w:rsidRDefault="002A3DF1" w:rsidP="002A3DF1">
      <w:pPr>
        <w:spacing w:after="60"/>
        <w:ind w:left="1701" w:hanging="567"/>
      </w:pPr>
      <w:r w:rsidRPr="006F1D76">
        <w:t>i)</w:t>
      </w:r>
      <w:r w:rsidRPr="006F1D76">
        <w:tab/>
        <w:t>controlar el mantenimiento de la variedad (Artículo 22 del Acta de 1991, Artículo 10 del Acta de 1978);</w:t>
      </w:r>
    </w:p>
    <w:p w:rsidR="00DE5D38" w:rsidRPr="006F1D76" w:rsidRDefault="002A3DF1" w:rsidP="00855B0E">
      <w:pPr>
        <w:ind w:left="1701" w:hanging="567"/>
      </w:pPr>
      <w:r w:rsidRPr="006F1D76">
        <w:t>ii)</w:t>
      </w:r>
      <w:r w:rsidRPr="006F1D76">
        <w:tab/>
        <w:t>el examen de la distinción, la homogeneidad y la estabilidad (DHE) de las variedades candidatas;</w:t>
      </w:r>
    </w:p>
    <w:p w:rsidR="00DE5D38" w:rsidRPr="006F1D76" w:rsidRDefault="00DE5D38" w:rsidP="00DE5D38">
      <w:pPr>
        <w:ind w:left="567" w:right="567"/>
      </w:pPr>
    </w:p>
    <w:p w:rsidR="00DE5D38" w:rsidRPr="006F1D76" w:rsidRDefault="002A3DF1" w:rsidP="00DE5D38">
      <w:pPr>
        <w:ind w:right="567" w:firstLine="567"/>
      </w:pPr>
      <w:r w:rsidRPr="006F1D76">
        <w:t>d)</w:t>
      </w:r>
      <w:r w:rsidRPr="006F1D76">
        <w:tab/>
        <w:t>la situación de una descripción modificada de la variedad elaborada, por ejemplo, como consecuencia de</w:t>
      </w:r>
      <w:r w:rsidR="00DE5D38" w:rsidRPr="006F1D76">
        <w:t>:</w:t>
      </w:r>
    </w:p>
    <w:p w:rsidR="00DE5D38" w:rsidRPr="006F1D76" w:rsidRDefault="00DE5D38" w:rsidP="00DE5D38">
      <w:pPr>
        <w:ind w:right="567" w:firstLine="567"/>
      </w:pPr>
    </w:p>
    <w:p w:rsidR="002A3DF1" w:rsidRPr="006F1D76" w:rsidRDefault="002A3DF1" w:rsidP="002A3DF1">
      <w:pPr>
        <w:spacing w:after="60"/>
        <w:ind w:left="1701" w:hanging="567"/>
      </w:pPr>
      <w:r w:rsidRPr="006F1D76">
        <w:t>i)</w:t>
      </w:r>
      <w:r w:rsidRPr="006F1D76">
        <w:tab/>
        <w:t xml:space="preserve">una </w:t>
      </w:r>
      <w:proofErr w:type="spellStart"/>
      <w:r w:rsidRPr="006F1D76">
        <w:t>recalibración</w:t>
      </w:r>
      <w:proofErr w:type="spellEnd"/>
      <w:r w:rsidRPr="006F1D76">
        <w:t xml:space="preserve"> de la escala en las directrices de examen (especialmente para los caracteres no señalados con asterisco);</w:t>
      </w:r>
    </w:p>
    <w:p w:rsidR="002A3DF1" w:rsidRPr="006F1D76" w:rsidRDefault="002A3DF1" w:rsidP="002A3DF1">
      <w:pPr>
        <w:spacing w:after="60"/>
        <w:ind w:left="1701" w:hanging="567"/>
      </w:pPr>
      <w:r w:rsidRPr="006F1D76">
        <w:t>ii)</w:t>
      </w:r>
      <w:r w:rsidRPr="006F1D76">
        <w:tab/>
        <w:t>una variación resultante de las condiciones medioambientales en los años de ensayo de los caracteres que están influenciados por el medio ambiente;</w:t>
      </w:r>
    </w:p>
    <w:p w:rsidR="002A3DF1" w:rsidRPr="006F1D76" w:rsidRDefault="002A3DF1" w:rsidP="002A3DF1">
      <w:pPr>
        <w:spacing w:after="60"/>
        <w:ind w:left="1701" w:hanging="567"/>
      </w:pPr>
      <w:r w:rsidRPr="006F1D76">
        <w:t>iii)</w:t>
      </w:r>
      <w:r w:rsidRPr="006F1D76">
        <w:tab/>
        <w:t>una variación resultante de las observaciones realizadas por distintos expertos</w:t>
      </w:r>
      <w:r w:rsidR="004E7F2F">
        <w:t xml:space="preserve">;  </w:t>
      </w:r>
      <w:r w:rsidRPr="006F1D76">
        <w:t>o</w:t>
      </w:r>
    </w:p>
    <w:p w:rsidR="00DE5D38" w:rsidRPr="006F1D76" w:rsidRDefault="002A3DF1" w:rsidP="002A3DF1">
      <w:pPr>
        <w:spacing w:after="60"/>
        <w:ind w:left="1701" w:hanging="567"/>
      </w:pPr>
      <w:r w:rsidRPr="006F1D76">
        <w:t>iv)</w:t>
      </w:r>
      <w:r w:rsidRPr="006F1D76">
        <w:tab/>
        <w:t>la utilización de diferentes versiones de escalas (por ejemplo, diferentes versiones de la Carta de Colores RHS)</w:t>
      </w:r>
      <w:r w:rsidR="004E7F2F">
        <w:t xml:space="preserve">;  </w:t>
      </w:r>
      <w:r w:rsidRPr="006F1D76">
        <w:t>y</w:t>
      </w:r>
    </w:p>
    <w:p w:rsidR="00DE5D38" w:rsidRPr="006F1D76" w:rsidRDefault="002A3DF1" w:rsidP="00855B0E">
      <w:pPr>
        <w:ind w:right="567" w:firstLine="567"/>
      </w:pPr>
      <w:r w:rsidRPr="006F1D76">
        <w:t>e)</w:t>
      </w:r>
      <w:r w:rsidRPr="006F1D76">
        <w:tab/>
        <w:t>situaciones en las que con posterioridad se detecta un error en la descripción inicial de la variedad.</w:t>
      </w:r>
    </w:p>
    <w:p w:rsidR="002A3DF1" w:rsidRPr="006F1D76" w:rsidRDefault="002A3DF1" w:rsidP="00DE5D38"/>
    <w:p w:rsidR="00DE5D38" w:rsidRPr="006F1D76" w:rsidRDefault="008A4AF9" w:rsidP="00DE5D38">
      <w:r w:rsidRPr="006F1D76">
        <w:fldChar w:fldCharType="begin"/>
      </w:r>
      <w:r w:rsidR="00DE5D38" w:rsidRPr="006F1D76">
        <w:instrText xml:space="preserve"> AUTONUM  </w:instrText>
      </w:r>
      <w:r w:rsidRPr="006F1D76">
        <w:fldChar w:fldCharType="end"/>
      </w:r>
      <w:r w:rsidR="00DE5D38" w:rsidRPr="006F1D76">
        <w:tab/>
      </w:r>
      <w:r w:rsidR="002A3DF1" w:rsidRPr="006F1D76">
        <w:t>El 12 de abril de 2016, por medio de la Circular E</w:t>
      </w:r>
      <w:r w:rsidR="002A3DF1" w:rsidRPr="006F1D76">
        <w:rPr>
          <w:rFonts w:ascii="Cambria Math" w:hAnsi="Cambria Math" w:cs="Cambria Math"/>
        </w:rPr>
        <w:t>‑</w:t>
      </w:r>
      <w:r w:rsidR="002A3DF1" w:rsidRPr="006F1D76">
        <w:rPr>
          <w:rFonts w:cs="Arial"/>
        </w:rPr>
        <w:t xml:space="preserve">16/095, se invitó a los expertos del TC </w:t>
      </w:r>
      <w:r w:rsidR="002A3DF1" w:rsidRPr="006F1D76">
        <w:t>y los TWP a presentar ponencias ante los TWP, en sus sesiones de 2016,</w:t>
      </w:r>
      <w:r w:rsidR="00E7671D">
        <w:t xml:space="preserve"> </w:t>
      </w:r>
      <w:r w:rsidR="002A3DF1" w:rsidRPr="006F1D76">
        <w:t>sobre sus experiencias relativas a la función del material vegetal utilizado como base para el examen DHE respecto de los asuntos enumerados en el párrafo 6 del presente documento</w:t>
      </w:r>
      <w:r w:rsidR="00DE5D38" w:rsidRPr="006F1D76">
        <w:t>.</w:t>
      </w:r>
    </w:p>
    <w:p w:rsidR="00DE5D38" w:rsidRPr="006F1D76" w:rsidRDefault="00DE5D38" w:rsidP="00DE5D38">
      <w:pPr>
        <w:rPr>
          <w:rFonts w:cs="Arial"/>
        </w:rPr>
      </w:pPr>
    </w:p>
    <w:p w:rsidR="00DE5D38" w:rsidRPr="006F1D76" w:rsidRDefault="00DE5D38" w:rsidP="00DE5D38">
      <w:pPr>
        <w:rPr>
          <w:rFonts w:cs="Arial"/>
        </w:rPr>
      </w:pPr>
    </w:p>
    <w:p w:rsidR="00DE5D38" w:rsidRPr="006F1D76" w:rsidRDefault="002A3DF1" w:rsidP="00DE5D38">
      <w:pPr>
        <w:pStyle w:val="Heading1"/>
        <w:rPr>
          <w:lang w:val="es-ES_tradnl"/>
        </w:rPr>
      </w:pPr>
      <w:bookmarkStart w:id="8" w:name="_Toc475970852"/>
      <w:r w:rsidRPr="006F1D76">
        <w:rPr>
          <w:lang w:val="es-ES_tradnl"/>
        </w:rPr>
        <w:t>OBSERVACIONES EFECTUADAS POR LOS GRUPOS DE TRABAJO TÉCNICO</w:t>
      </w:r>
      <w:bookmarkEnd w:id="8"/>
    </w:p>
    <w:p w:rsidR="00DE5D38" w:rsidRPr="006F1D76" w:rsidRDefault="00DE5D38" w:rsidP="00DE5D38"/>
    <w:p w:rsidR="00DE5D38" w:rsidRPr="006F1D76" w:rsidRDefault="008A4AF9" w:rsidP="00DE5D38">
      <w:pPr>
        <w:autoSpaceDE w:val="0"/>
        <w:autoSpaceDN w:val="0"/>
        <w:adjustRightInd w:val="0"/>
        <w:rPr>
          <w:snapToGrid w:val="0"/>
        </w:rPr>
      </w:pPr>
      <w:r w:rsidRPr="006F1D76">
        <w:rPr>
          <w:snapToGrid w:val="0"/>
        </w:rPr>
        <w:fldChar w:fldCharType="begin"/>
      </w:r>
      <w:r w:rsidR="00DE5D38" w:rsidRPr="006F1D76">
        <w:rPr>
          <w:snapToGrid w:val="0"/>
        </w:rPr>
        <w:instrText xml:space="preserve"> AUTONUM  </w:instrText>
      </w:r>
      <w:r w:rsidRPr="006F1D76">
        <w:rPr>
          <w:snapToGrid w:val="0"/>
        </w:rPr>
        <w:fldChar w:fldCharType="end"/>
      </w:r>
      <w:r w:rsidR="00DE5D38" w:rsidRPr="006F1D76">
        <w:rPr>
          <w:snapToGrid w:val="0"/>
        </w:rPr>
        <w:tab/>
      </w:r>
      <w:r w:rsidR="002A3DF1" w:rsidRPr="006F1D76">
        <w:rPr>
          <w:snapToGrid w:val="0"/>
        </w:rPr>
        <w:t xml:space="preserve">En sus sesiones de 2016, el TWC, el TWO, el TWV, el TWA y el TWF examinaron, respectivamente, los documentos TWC/34/14; TWO/49/14 y TWO/49/14 </w:t>
      </w:r>
      <w:proofErr w:type="spellStart"/>
      <w:r w:rsidR="002A3DF1" w:rsidRPr="006F1D76">
        <w:rPr>
          <w:snapToGrid w:val="0"/>
        </w:rPr>
        <w:t>Add</w:t>
      </w:r>
      <w:proofErr w:type="spellEnd"/>
      <w:r w:rsidR="002A3DF1" w:rsidRPr="006F1D76">
        <w:rPr>
          <w:snapToGrid w:val="0"/>
        </w:rPr>
        <w:t xml:space="preserve">.; TWV/50/14 y TWV/50/14 </w:t>
      </w:r>
      <w:proofErr w:type="spellStart"/>
      <w:r w:rsidR="002A3DF1" w:rsidRPr="006F1D76">
        <w:rPr>
          <w:snapToGrid w:val="0"/>
        </w:rPr>
        <w:t>Add</w:t>
      </w:r>
      <w:proofErr w:type="spellEnd"/>
      <w:r w:rsidR="002A3DF1" w:rsidRPr="006F1D76">
        <w:rPr>
          <w:snapToGrid w:val="0"/>
        </w:rPr>
        <w:t xml:space="preserve">.; TWA/45/14, TWA/45/14 </w:t>
      </w:r>
      <w:proofErr w:type="spellStart"/>
      <w:r w:rsidR="002A3DF1" w:rsidRPr="006F1D76">
        <w:rPr>
          <w:snapToGrid w:val="0"/>
        </w:rPr>
        <w:t>Add</w:t>
      </w:r>
      <w:proofErr w:type="spellEnd"/>
      <w:r w:rsidR="002A3DF1" w:rsidRPr="006F1D76">
        <w:rPr>
          <w:snapToGrid w:val="0"/>
        </w:rPr>
        <w:t xml:space="preserve">. </w:t>
      </w:r>
      <w:proofErr w:type="gramStart"/>
      <w:r w:rsidR="002A3DF1" w:rsidRPr="006F1D76">
        <w:rPr>
          <w:snapToGrid w:val="0"/>
        </w:rPr>
        <w:t>y</w:t>
      </w:r>
      <w:proofErr w:type="gramEnd"/>
      <w:r w:rsidR="002A3DF1" w:rsidRPr="006F1D76">
        <w:rPr>
          <w:snapToGrid w:val="0"/>
        </w:rPr>
        <w:t> TWA/45/14 Add.2; y TWF/47/14 “</w:t>
      </w:r>
      <w:proofErr w:type="spellStart"/>
      <w:r w:rsidR="002A3DF1" w:rsidRPr="006F1D76">
        <w:rPr>
          <w:i/>
          <w:snapToGrid w:val="0"/>
        </w:rPr>
        <w:t>Matters</w:t>
      </w:r>
      <w:proofErr w:type="spellEnd"/>
      <w:r w:rsidR="002A3DF1" w:rsidRPr="006F1D76">
        <w:rPr>
          <w:i/>
          <w:snapToGrid w:val="0"/>
        </w:rPr>
        <w:t xml:space="preserve"> </w:t>
      </w:r>
      <w:proofErr w:type="spellStart"/>
      <w:r w:rsidR="002A3DF1" w:rsidRPr="006F1D76">
        <w:rPr>
          <w:i/>
          <w:snapToGrid w:val="0"/>
        </w:rPr>
        <w:t>concerning</w:t>
      </w:r>
      <w:proofErr w:type="spellEnd"/>
      <w:r w:rsidR="002A3DF1" w:rsidRPr="006F1D76">
        <w:rPr>
          <w:i/>
          <w:snapToGrid w:val="0"/>
        </w:rPr>
        <w:t xml:space="preserve"> </w:t>
      </w:r>
      <w:proofErr w:type="spellStart"/>
      <w:r w:rsidR="002A3DF1" w:rsidRPr="006F1D76">
        <w:rPr>
          <w:i/>
          <w:snapToGrid w:val="0"/>
        </w:rPr>
        <w:t>variety</w:t>
      </w:r>
      <w:proofErr w:type="spellEnd"/>
      <w:r w:rsidR="002A3DF1" w:rsidRPr="006F1D76">
        <w:rPr>
          <w:i/>
          <w:snapToGrid w:val="0"/>
        </w:rPr>
        <w:t xml:space="preserve"> </w:t>
      </w:r>
      <w:proofErr w:type="spellStart"/>
      <w:r w:rsidR="002A3DF1" w:rsidRPr="006F1D76">
        <w:rPr>
          <w:i/>
          <w:snapToGrid w:val="0"/>
        </w:rPr>
        <w:t>descriptions</w:t>
      </w:r>
      <w:proofErr w:type="spellEnd"/>
      <w:r w:rsidR="002A3DF1" w:rsidRPr="006F1D76">
        <w:rPr>
          <w:snapToGrid w:val="0"/>
        </w:rPr>
        <w:t>” (Asuntos relativos a las descripciones de variedades) (véanse los párrafos 102 a 105 del documento TWC/34/32 “</w:t>
      </w:r>
      <w:proofErr w:type="spellStart"/>
      <w:r w:rsidR="002A3DF1" w:rsidRPr="006F1D76">
        <w:rPr>
          <w:i/>
          <w:snapToGrid w:val="0"/>
        </w:rPr>
        <w:t>Report</w:t>
      </w:r>
      <w:proofErr w:type="spellEnd"/>
      <w:r w:rsidR="002A3DF1" w:rsidRPr="006F1D76">
        <w:rPr>
          <w:snapToGrid w:val="0"/>
        </w:rPr>
        <w:t xml:space="preserve"> (Informe)”</w:t>
      </w:r>
      <w:r w:rsidR="004E7F2F">
        <w:rPr>
          <w:snapToGrid w:val="0"/>
        </w:rPr>
        <w:t xml:space="preserve">;  </w:t>
      </w:r>
      <w:r w:rsidR="002A3DF1" w:rsidRPr="006F1D76">
        <w:rPr>
          <w:snapToGrid w:val="0"/>
        </w:rPr>
        <w:t>los párrafos 47 a 52 del documento TWO/49/25 Rev. “</w:t>
      </w:r>
      <w:proofErr w:type="spellStart"/>
      <w:r w:rsidR="002A3DF1" w:rsidRPr="006F1D76">
        <w:rPr>
          <w:i/>
          <w:snapToGrid w:val="0"/>
        </w:rPr>
        <w:t>Revised</w:t>
      </w:r>
      <w:proofErr w:type="spellEnd"/>
      <w:r w:rsidR="002A3DF1" w:rsidRPr="006F1D76">
        <w:rPr>
          <w:i/>
          <w:snapToGrid w:val="0"/>
        </w:rPr>
        <w:t xml:space="preserve"> </w:t>
      </w:r>
      <w:proofErr w:type="spellStart"/>
      <w:r w:rsidR="002A3DF1" w:rsidRPr="006F1D76">
        <w:rPr>
          <w:i/>
          <w:snapToGrid w:val="0"/>
        </w:rPr>
        <w:t>report</w:t>
      </w:r>
      <w:proofErr w:type="spellEnd"/>
      <w:r w:rsidR="002A3DF1" w:rsidRPr="006F1D76">
        <w:rPr>
          <w:snapToGrid w:val="0"/>
        </w:rPr>
        <w:t>” (Informe revisado)</w:t>
      </w:r>
      <w:r w:rsidR="004E7F2F">
        <w:rPr>
          <w:snapToGrid w:val="0"/>
        </w:rPr>
        <w:t xml:space="preserve">;  </w:t>
      </w:r>
      <w:r w:rsidR="002A3DF1" w:rsidRPr="006F1D76">
        <w:rPr>
          <w:snapToGrid w:val="0"/>
        </w:rPr>
        <w:t>los párrafos 68 a 75 del documento TWA/50/25 “</w:t>
      </w:r>
      <w:proofErr w:type="spellStart"/>
      <w:r w:rsidR="002A3DF1" w:rsidRPr="006F1D76">
        <w:rPr>
          <w:i/>
          <w:snapToGrid w:val="0"/>
        </w:rPr>
        <w:t>Report</w:t>
      </w:r>
      <w:proofErr w:type="spellEnd"/>
      <w:r w:rsidR="002A3DF1" w:rsidRPr="006F1D76">
        <w:rPr>
          <w:snapToGrid w:val="0"/>
        </w:rPr>
        <w:t>”</w:t>
      </w:r>
      <w:r w:rsidR="004E7F2F">
        <w:rPr>
          <w:snapToGrid w:val="0"/>
        </w:rPr>
        <w:t xml:space="preserve">;  </w:t>
      </w:r>
      <w:r w:rsidR="002A3DF1" w:rsidRPr="006F1D76">
        <w:rPr>
          <w:snapToGrid w:val="0"/>
        </w:rPr>
        <w:t>los párrafos 52 a 58 del documento TWA/45/25 “</w:t>
      </w:r>
      <w:proofErr w:type="spellStart"/>
      <w:r w:rsidR="002A3DF1" w:rsidRPr="006F1D76">
        <w:rPr>
          <w:i/>
          <w:snapToGrid w:val="0"/>
        </w:rPr>
        <w:t>Report</w:t>
      </w:r>
      <w:proofErr w:type="spellEnd"/>
      <w:r w:rsidR="002A3DF1" w:rsidRPr="006F1D76">
        <w:rPr>
          <w:snapToGrid w:val="0"/>
        </w:rPr>
        <w:t>”</w:t>
      </w:r>
      <w:r w:rsidR="004E7F2F">
        <w:rPr>
          <w:snapToGrid w:val="0"/>
        </w:rPr>
        <w:t xml:space="preserve">;  </w:t>
      </w:r>
      <w:r w:rsidR="002A3DF1" w:rsidRPr="006F1D76">
        <w:rPr>
          <w:snapToGrid w:val="0"/>
        </w:rPr>
        <w:t>y los párrafos 56 a 62 del documento TWF/47/25 “</w:t>
      </w:r>
      <w:proofErr w:type="spellStart"/>
      <w:r w:rsidR="002A3DF1" w:rsidRPr="006F1D76">
        <w:rPr>
          <w:i/>
          <w:snapToGrid w:val="0"/>
        </w:rPr>
        <w:t>Report</w:t>
      </w:r>
      <w:proofErr w:type="spellEnd"/>
      <w:r w:rsidR="002A3DF1" w:rsidRPr="006F1D76">
        <w:rPr>
          <w:snapToGrid w:val="0"/>
        </w:rPr>
        <w:t>”)</w:t>
      </w:r>
      <w:r w:rsidR="00DE5D38" w:rsidRPr="006F1D76">
        <w:rPr>
          <w:snapToGrid w:val="0"/>
        </w:rPr>
        <w:t>.</w:t>
      </w:r>
    </w:p>
    <w:p w:rsidR="00855B0E" w:rsidRDefault="00855B0E" w:rsidP="00DE5D38">
      <w:r>
        <w:br w:type="page"/>
      </w:r>
    </w:p>
    <w:p w:rsidR="00DE5D38" w:rsidRPr="006F1D76" w:rsidRDefault="00D31C82" w:rsidP="00DE5D38">
      <w:pPr>
        <w:pStyle w:val="Heading2"/>
        <w:rPr>
          <w:lang w:val="es-ES_tradnl"/>
        </w:rPr>
      </w:pPr>
      <w:bookmarkStart w:id="9" w:name="_Toc475970853"/>
      <w:r w:rsidRPr="006F1D76">
        <w:rPr>
          <w:lang w:val="es-ES_tradnl"/>
        </w:rPr>
        <w:lastRenderedPageBreak/>
        <w:t>Grupo de Trabajo Técnico sobre Plantas Ornamentales</w:t>
      </w:r>
      <w:bookmarkEnd w:id="9"/>
    </w:p>
    <w:p w:rsidR="00DE5D38" w:rsidRPr="006F1D76" w:rsidRDefault="00DE5D38" w:rsidP="00DE5D38"/>
    <w:p w:rsidR="00DE5D38" w:rsidRPr="006F1D76" w:rsidRDefault="008A4AF9" w:rsidP="00DE5D38">
      <w:r w:rsidRPr="006F1D76">
        <w:rPr>
          <w:snapToGrid w:val="0"/>
          <w:lang w:eastAsia="ja-JP"/>
        </w:rPr>
        <w:fldChar w:fldCharType="begin"/>
      </w:r>
      <w:r w:rsidR="00DE5D38" w:rsidRPr="006F1D76">
        <w:rPr>
          <w:snapToGrid w:val="0"/>
          <w:lang w:eastAsia="ja-JP"/>
        </w:rPr>
        <w:instrText xml:space="preserve"> AUTONUM  </w:instrText>
      </w:r>
      <w:r w:rsidRPr="006F1D76">
        <w:rPr>
          <w:snapToGrid w:val="0"/>
          <w:lang w:eastAsia="ja-JP"/>
        </w:rPr>
        <w:fldChar w:fldCharType="end"/>
      </w:r>
      <w:r w:rsidR="00DE5D38" w:rsidRPr="006F1D76">
        <w:rPr>
          <w:snapToGrid w:val="0"/>
          <w:lang w:eastAsia="ja-JP"/>
        </w:rPr>
        <w:tab/>
      </w:r>
      <w:r w:rsidR="00D31C82" w:rsidRPr="006F1D76">
        <w:rPr>
          <w:snapToGrid w:val="0"/>
          <w:lang w:eastAsia="ja-JP"/>
        </w:rPr>
        <w:t xml:space="preserve">En su cuadragésima novena sesión celebrada en </w:t>
      </w:r>
      <w:proofErr w:type="spellStart"/>
      <w:r w:rsidR="00D31C82" w:rsidRPr="006F1D76">
        <w:rPr>
          <w:snapToGrid w:val="0"/>
          <w:lang w:eastAsia="ja-JP"/>
        </w:rPr>
        <w:t>Gimcheon</w:t>
      </w:r>
      <w:proofErr w:type="spellEnd"/>
      <w:r w:rsidR="00D31C82" w:rsidRPr="006F1D76">
        <w:rPr>
          <w:snapToGrid w:val="0"/>
          <w:lang w:eastAsia="ja-JP"/>
        </w:rPr>
        <w:t xml:space="preserve"> (República de Corea), el TWO, tomó nota de las siguientes ponencias presentadas por expertos sobre sus experiencias relativas a la función del material vegetal utilizado como base para el examen DHE respecto de los asuntos enumerados en el párrafo 6 del presente documento (por orden alfabético)</w:t>
      </w:r>
      <w:r w:rsidR="00DE5D38" w:rsidRPr="006F1D76">
        <w:t>:</w:t>
      </w:r>
    </w:p>
    <w:p w:rsidR="00DE5D38" w:rsidRPr="006F1D76" w:rsidRDefault="00DE5D38" w:rsidP="00DE5D38"/>
    <w:tbl>
      <w:tblPr>
        <w:tblStyle w:val="TableGrid"/>
        <w:tblW w:w="962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111"/>
      </w:tblGrid>
      <w:tr w:rsidR="00D31C82" w:rsidRPr="006F1D76" w:rsidTr="004A0FCA">
        <w:tc>
          <w:tcPr>
            <w:tcW w:w="2518" w:type="dxa"/>
          </w:tcPr>
          <w:p w:rsidR="00D31C82" w:rsidRPr="006F1D76" w:rsidRDefault="00D31C82" w:rsidP="00AB58A5">
            <w:pPr>
              <w:rPr>
                <w:rFonts w:eastAsia="SimSun"/>
              </w:rPr>
            </w:pPr>
            <w:r w:rsidRPr="006F1D76">
              <w:rPr>
                <w:rFonts w:eastAsia="SimSun"/>
              </w:rPr>
              <w:t>Alemania</w:t>
            </w:r>
          </w:p>
        </w:tc>
        <w:tc>
          <w:tcPr>
            <w:tcW w:w="7111" w:type="dxa"/>
          </w:tcPr>
          <w:p w:rsidR="00D31C82" w:rsidRPr="006F1D76" w:rsidRDefault="00D31C82" w:rsidP="00AB58A5">
            <w:pPr>
              <w:rPr>
                <w:rFonts w:eastAsia="SimSun"/>
              </w:rPr>
            </w:pPr>
            <w:r w:rsidRPr="006F1D76">
              <w:rPr>
                <w:rFonts w:eastAsia="SimSun"/>
              </w:rPr>
              <w:t>La función del material vegetal utilizado como base para el examen DHE</w:t>
            </w:r>
          </w:p>
        </w:tc>
      </w:tr>
      <w:tr w:rsidR="00DE5D38" w:rsidRPr="006F1D76" w:rsidTr="004A0FCA">
        <w:tc>
          <w:tcPr>
            <w:tcW w:w="2518" w:type="dxa"/>
          </w:tcPr>
          <w:p w:rsidR="00DE5D38" w:rsidRPr="006F1D76" w:rsidRDefault="00DE5D38" w:rsidP="004A0FCA">
            <w:pPr>
              <w:rPr>
                <w:rFonts w:eastAsia="SimSun"/>
              </w:rPr>
            </w:pPr>
            <w:r w:rsidRPr="006F1D76">
              <w:rPr>
                <w:rFonts w:eastAsia="SimSun"/>
              </w:rPr>
              <w:t>Australia</w:t>
            </w:r>
          </w:p>
        </w:tc>
        <w:tc>
          <w:tcPr>
            <w:tcW w:w="7111" w:type="dxa"/>
          </w:tcPr>
          <w:p w:rsidR="00DE5D38" w:rsidRPr="006F1D76" w:rsidRDefault="00D31C82" w:rsidP="004A0FCA">
            <w:pPr>
              <w:rPr>
                <w:rFonts w:eastAsia="SimSun"/>
              </w:rPr>
            </w:pPr>
            <w:r w:rsidRPr="006F1D76">
              <w:rPr>
                <w:rFonts w:eastAsia="SimSun"/>
              </w:rPr>
              <w:t>El papel y la función de las descripciones de variedades en Australia</w:t>
            </w:r>
          </w:p>
        </w:tc>
      </w:tr>
      <w:tr w:rsidR="00DE5D38" w:rsidRPr="006F1D76" w:rsidTr="004A0FCA">
        <w:tc>
          <w:tcPr>
            <w:tcW w:w="2518" w:type="dxa"/>
          </w:tcPr>
          <w:p w:rsidR="00DE5D38" w:rsidRPr="006F1D76" w:rsidRDefault="00D31C82" w:rsidP="004A0FCA">
            <w:pPr>
              <w:rPr>
                <w:rFonts w:eastAsia="SimSun"/>
              </w:rPr>
            </w:pPr>
            <w:r w:rsidRPr="006F1D76">
              <w:rPr>
                <w:rFonts w:eastAsia="SimSun"/>
              </w:rPr>
              <w:t>Unión Europea</w:t>
            </w:r>
          </w:p>
        </w:tc>
        <w:tc>
          <w:tcPr>
            <w:tcW w:w="7111" w:type="dxa"/>
          </w:tcPr>
          <w:p w:rsidR="00DE5D38" w:rsidRPr="006F1D76" w:rsidRDefault="00D31C82" w:rsidP="004A0FCA">
            <w:pPr>
              <w:rPr>
                <w:rFonts w:eastAsia="SimSun"/>
              </w:rPr>
            </w:pPr>
            <w:r w:rsidRPr="006F1D76">
              <w:rPr>
                <w:rFonts w:eastAsia="SimSun"/>
              </w:rPr>
              <w:t>Actualización de las descripciones de variedades</w:t>
            </w:r>
            <w:r w:rsidR="004E7F2F">
              <w:rPr>
                <w:rFonts w:eastAsia="SimSun"/>
              </w:rPr>
              <w:t xml:space="preserve">:  </w:t>
            </w:r>
            <w:r w:rsidRPr="006F1D76">
              <w:rPr>
                <w:rFonts w:eastAsia="SimSun"/>
              </w:rPr>
              <w:t>resultado del estudio</w:t>
            </w:r>
          </w:p>
        </w:tc>
      </w:tr>
    </w:tbl>
    <w:p w:rsidR="00855B0E" w:rsidRDefault="00855B0E" w:rsidP="00D31C82">
      <w:pPr>
        <w:rPr>
          <w:snapToGrid w:val="0"/>
          <w:lang w:eastAsia="ja-JP"/>
        </w:rPr>
      </w:pPr>
    </w:p>
    <w:p w:rsidR="00DE5D38" w:rsidRPr="006F1D76" w:rsidRDefault="008A4AF9" w:rsidP="00D31C82">
      <w:pPr>
        <w:rPr>
          <w:lang w:eastAsia="en-GB"/>
        </w:rPr>
      </w:pPr>
      <w:r w:rsidRPr="006F1D76">
        <w:rPr>
          <w:snapToGrid w:val="0"/>
          <w:lang w:eastAsia="ja-JP"/>
        </w:rPr>
        <w:fldChar w:fldCharType="begin"/>
      </w:r>
      <w:r w:rsidR="00DE5D38" w:rsidRPr="006F1D76">
        <w:rPr>
          <w:snapToGrid w:val="0"/>
          <w:lang w:eastAsia="ja-JP"/>
        </w:rPr>
        <w:instrText xml:space="preserve"> AUTONUM  </w:instrText>
      </w:r>
      <w:r w:rsidRPr="006F1D76">
        <w:rPr>
          <w:snapToGrid w:val="0"/>
          <w:lang w:eastAsia="ja-JP"/>
        </w:rPr>
        <w:fldChar w:fldCharType="end"/>
      </w:r>
      <w:r w:rsidR="00DE5D38" w:rsidRPr="006F1D76">
        <w:rPr>
          <w:snapToGrid w:val="0"/>
          <w:lang w:eastAsia="ja-JP"/>
        </w:rPr>
        <w:tab/>
      </w:r>
      <w:r w:rsidR="00D31C82" w:rsidRPr="006F1D76">
        <w:rPr>
          <w:snapToGrid w:val="0"/>
          <w:lang w:eastAsia="ja-JP"/>
        </w:rPr>
        <w:t>El TWO tomó nota de que las ponencias presentadas por los expertos de la Unión Europea y Alemania figuraban en los Anexos I y II del documento TWO/49/14 </w:t>
      </w:r>
      <w:proofErr w:type="spellStart"/>
      <w:r w:rsidR="00D31C82" w:rsidRPr="006F1D76">
        <w:rPr>
          <w:snapToGrid w:val="0"/>
          <w:lang w:eastAsia="ja-JP"/>
        </w:rPr>
        <w:t>Add</w:t>
      </w:r>
      <w:proofErr w:type="spellEnd"/>
      <w:r w:rsidR="00D31C82" w:rsidRPr="006F1D76">
        <w:rPr>
          <w:snapToGrid w:val="0"/>
          <w:lang w:eastAsia="ja-JP"/>
        </w:rPr>
        <w:t>.  El TWO tomó nota de que la ponencia presentada por el experto de Australia se pondría a disposición en el documento TWO/49/14 </w:t>
      </w:r>
      <w:proofErr w:type="spellStart"/>
      <w:r w:rsidR="00D31C82" w:rsidRPr="006F1D76">
        <w:rPr>
          <w:snapToGrid w:val="0"/>
          <w:lang w:eastAsia="ja-JP"/>
        </w:rPr>
        <w:t>Add</w:t>
      </w:r>
      <w:proofErr w:type="spellEnd"/>
      <w:r w:rsidR="00D31C82" w:rsidRPr="006F1D76">
        <w:rPr>
          <w:snapToGrid w:val="0"/>
          <w:lang w:eastAsia="ja-JP"/>
        </w:rPr>
        <w:t>. 2</w:t>
      </w:r>
      <w:r w:rsidR="00DE5D38" w:rsidRPr="006F1D76">
        <w:rPr>
          <w:lang w:eastAsia="en-GB"/>
        </w:rPr>
        <w:t>.</w:t>
      </w:r>
    </w:p>
    <w:p w:rsidR="00DE5D38" w:rsidRPr="006F1D76" w:rsidRDefault="00DE5D38" w:rsidP="00DE5D38"/>
    <w:p w:rsidR="00DE5D38" w:rsidRPr="006F1D76" w:rsidRDefault="00D31C82" w:rsidP="00DE5D38">
      <w:pPr>
        <w:pStyle w:val="Heading2"/>
        <w:rPr>
          <w:rStyle w:val="Emphasis"/>
          <w:i w:val="0"/>
          <w:iCs w:val="0"/>
          <w:lang w:val="es-ES_tradnl"/>
        </w:rPr>
      </w:pPr>
      <w:bookmarkStart w:id="10" w:name="_Toc475970854"/>
      <w:r w:rsidRPr="006F1D76">
        <w:rPr>
          <w:rStyle w:val="Emphasis"/>
          <w:i w:val="0"/>
          <w:iCs w:val="0"/>
          <w:lang w:val="es-ES_tradnl"/>
        </w:rPr>
        <w:t>Grupo de Trabajo Técnico sobre Hortalizas</w:t>
      </w:r>
      <w:bookmarkEnd w:id="10"/>
    </w:p>
    <w:p w:rsidR="00DE5D38" w:rsidRPr="006F1D76" w:rsidRDefault="00DE5D38" w:rsidP="00DE5D38"/>
    <w:p w:rsidR="00DE5D38" w:rsidRPr="006F1D76" w:rsidRDefault="008A4AF9" w:rsidP="00DE5D38">
      <w:r w:rsidRPr="006F1D76">
        <w:fldChar w:fldCharType="begin"/>
      </w:r>
      <w:r w:rsidR="00DE5D38" w:rsidRPr="006F1D76">
        <w:instrText xml:space="preserve"> AUTONUM  </w:instrText>
      </w:r>
      <w:r w:rsidRPr="006F1D76">
        <w:fldChar w:fldCharType="end"/>
      </w:r>
      <w:r w:rsidR="00DE5D38" w:rsidRPr="006F1D76">
        <w:tab/>
      </w:r>
      <w:r w:rsidR="00A35282" w:rsidRPr="006F1D76">
        <w:t xml:space="preserve">En su quincuagésima sesión celebrada en </w:t>
      </w:r>
      <w:proofErr w:type="spellStart"/>
      <w:r w:rsidR="00A35282" w:rsidRPr="006F1D76">
        <w:t>Brno</w:t>
      </w:r>
      <w:proofErr w:type="spellEnd"/>
      <w:r w:rsidR="00A35282" w:rsidRPr="006F1D76">
        <w:t xml:space="preserve"> (República Checa), el TWV examinó las siguientes  ponencias presentadas por expertos sobre sus experiencias relativas a la función del material vegetal utilizado como base para el examen DHE respecto de los asuntos enumerados en el párrafo 6 del presente documento</w:t>
      </w:r>
      <w:r w:rsidR="00DE5D38" w:rsidRPr="006F1D76">
        <w:t>:</w:t>
      </w:r>
    </w:p>
    <w:p w:rsidR="00DE5D38" w:rsidRPr="006F1D76" w:rsidRDefault="00DE5D38" w:rsidP="00DE5D38"/>
    <w:tbl>
      <w:tblPr>
        <w:tblStyle w:val="TableGrid"/>
        <w:tblW w:w="962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111"/>
      </w:tblGrid>
      <w:tr w:rsidR="00DE5D38" w:rsidRPr="006F1D76" w:rsidTr="004A0FCA">
        <w:tc>
          <w:tcPr>
            <w:tcW w:w="2518" w:type="dxa"/>
          </w:tcPr>
          <w:p w:rsidR="00DE5D38" w:rsidRPr="006F1D76" w:rsidRDefault="00A35282" w:rsidP="004A0FCA">
            <w:pPr>
              <w:rPr>
                <w:rFonts w:eastAsia="SimSun"/>
              </w:rPr>
            </w:pPr>
            <w:r w:rsidRPr="006F1D76">
              <w:rPr>
                <w:rFonts w:eastAsia="SimSun"/>
              </w:rPr>
              <w:t>Unión Europea</w:t>
            </w:r>
          </w:p>
        </w:tc>
        <w:tc>
          <w:tcPr>
            <w:tcW w:w="7111" w:type="dxa"/>
          </w:tcPr>
          <w:p w:rsidR="00DE5D38" w:rsidRPr="006F1D76" w:rsidRDefault="00A35282" w:rsidP="004A0FCA">
            <w:pPr>
              <w:rPr>
                <w:rFonts w:eastAsia="SimSun"/>
              </w:rPr>
            </w:pPr>
            <w:r w:rsidRPr="006F1D76">
              <w:rPr>
                <w:rFonts w:eastAsia="SimSun"/>
              </w:rPr>
              <w:t>Actualización de las descripciones de variedades:  resultado del estudio</w:t>
            </w:r>
          </w:p>
        </w:tc>
      </w:tr>
      <w:tr w:rsidR="00DE5D38" w:rsidRPr="006F1D76" w:rsidTr="004A0FCA">
        <w:tc>
          <w:tcPr>
            <w:tcW w:w="2518" w:type="dxa"/>
          </w:tcPr>
          <w:p w:rsidR="00DE5D38" w:rsidRPr="006F1D76" w:rsidRDefault="00DE5D38" w:rsidP="00A35282">
            <w:pPr>
              <w:rPr>
                <w:rFonts w:eastAsia="SimSun"/>
              </w:rPr>
            </w:pPr>
            <w:r w:rsidRPr="006F1D76">
              <w:rPr>
                <w:rFonts w:eastAsia="SimSun"/>
              </w:rPr>
              <w:t>Franc</w:t>
            </w:r>
            <w:r w:rsidR="00A35282" w:rsidRPr="006F1D76">
              <w:rPr>
                <w:rFonts w:eastAsia="SimSun"/>
              </w:rPr>
              <w:t>ia</w:t>
            </w:r>
            <w:r w:rsidRPr="006F1D76">
              <w:rPr>
                <w:rFonts w:eastAsia="SimSun"/>
              </w:rPr>
              <w:t xml:space="preserve"> </w:t>
            </w:r>
          </w:p>
        </w:tc>
        <w:tc>
          <w:tcPr>
            <w:tcW w:w="7111" w:type="dxa"/>
          </w:tcPr>
          <w:p w:rsidR="00DE5D38" w:rsidRPr="006F1D76" w:rsidRDefault="00A35282" w:rsidP="004A0FCA">
            <w:pPr>
              <w:rPr>
                <w:rFonts w:eastAsia="SimSun"/>
              </w:rPr>
            </w:pPr>
            <w:r w:rsidRPr="006F1D76">
              <w:t>Descripción de variedades:  papel del material vegetal en el examen DHE</w:t>
            </w:r>
          </w:p>
        </w:tc>
      </w:tr>
    </w:tbl>
    <w:p w:rsidR="00DE5D38" w:rsidRPr="006F1D76" w:rsidRDefault="00DE5D38" w:rsidP="00DE5D38"/>
    <w:p w:rsidR="00DE5D38" w:rsidRPr="006F1D76" w:rsidRDefault="008A4AF9" w:rsidP="00DE5D38">
      <w:r w:rsidRPr="006F1D76">
        <w:rPr>
          <w:szCs w:val="24"/>
        </w:rPr>
        <w:fldChar w:fldCharType="begin"/>
      </w:r>
      <w:r w:rsidR="00DE5D38" w:rsidRPr="006F1D76">
        <w:rPr>
          <w:szCs w:val="24"/>
        </w:rPr>
        <w:instrText xml:space="preserve"> AUTONUM  </w:instrText>
      </w:r>
      <w:r w:rsidRPr="006F1D76">
        <w:rPr>
          <w:szCs w:val="24"/>
        </w:rPr>
        <w:fldChar w:fldCharType="end"/>
      </w:r>
      <w:r w:rsidR="00DE5D38" w:rsidRPr="006F1D76">
        <w:rPr>
          <w:szCs w:val="24"/>
        </w:rPr>
        <w:tab/>
      </w:r>
      <w:r w:rsidR="00A35282" w:rsidRPr="006F1D76">
        <w:t>El TWV tomó nota de que en el documento TWV/50/14 </w:t>
      </w:r>
      <w:proofErr w:type="spellStart"/>
      <w:r w:rsidR="00A35282" w:rsidRPr="006F1D76">
        <w:t>Add</w:t>
      </w:r>
      <w:proofErr w:type="spellEnd"/>
      <w:r w:rsidR="00A35282" w:rsidRPr="006F1D76">
        <w:t xml:space="preserve">. </w:t>
      </w:r>
      <w:proofErr w:type="gramStart"/>
      <w:r w:rsidR="00A35282" w:rsidRPr="006F1D76">
        <w:t>se</w:t>
      </w:r>
      <w:proofErr w:type="gramEnd"/>
      <w:r w:rsidR="00A35282" w:rsidRPr="006F1D76">
        <w:t xml:space="preserve"> facilitaban copias de las ponencias presentadas por los expertos de la Unión Europea y Francia</w:t>
      </w:r>
      <w:r w:rsidR="00DE5D38" w:rsidRPr="006F1D76">
        <w:t>.</w:t>
      </w:r>
      <w:r w:rsidR="00A35282" w:rsidRPr="006F1D76">
        <w:t xml:space="preserve">  El TWV convino en que, a los fines de la identificación, era preferible una muestra estándar, ya que la descripción de una variedad solo es una fuente de información que se podría actualizar internamente.</w:t>
      </w:r>
    </w:p>
    <w:p w:rsidR="00DE5D38" w:rsidRPr="006F1D76" w:rsidRDefault="00DE5D38" w:rsidP="00DE5D38"/>
    <w:p w:rsidR="00DE5D38" w:rsidRPr="006F1D76" w:rsidRDefault="008A4AF9" w:rsidP="00DE5D38">
      <w:r w:rsidRPr="006F1D76">
        <w:rPr>
          <w:szCs w:val="24"/>
        </w:rPr>
        <w:fldChar w:fldCharType="begin"/>
      </w:r>
      <w:r w:rsidR="00DE5D38" w:rsidRPr="006F1D76">
        <w:rPr>
          <w:szCs w:val="24"/>
        </w:rPr>
        <w:instrText xml:space="preserve"> AUTONUM  </w:instrText>
      </w:r>
      <w:r w:rsidRPr="006F1D76">
        <w:rPr>
          <w:szCs w:val="24"/>
        </w:rPr>
        <w:fldChar w:fldCharType="end"/>
      </w:r>
      <w:r w:rsidR="00DE5D38" w:rsidRPr="006F1D76">
        <w:rPr>
          <w:szCs w:val="24"/>
        </w:rPr>
        <w:tab/>
      </w:r>
      <w:r w:rsidR="00A35282" w:rsidRPr="006F1D76">
        <w:t xml:space="preserve">El TWV convino en que </w:t>
      </w:r>
      <w:r w:rsidR="00E7671D" w:rsidRPr="006F1D76">
        <w:t xml:space="preserve">sería útil </w:t>
      </w:r>
      <w:r w:rsidR="00E7671D">
        <w:t>una</w:t>
      </w:r>
      <w:r w:rsidR="00A35282" w:rsidRPr="006F1D76">
        <w:t xml:space="preserve"> orientación para la descripciones de variedades y tomó nota de que la información que figura en el párrafo 28 del documento </w:t>
      </w:r>
      <w:r w:rsidR="004E7F2F">
        <w:t>T</w:t>
      </w:r>
      <w:r w:rsidR="00A35282" w:rsidRPr="006F1D76">
        <w:t xml:space="preserve">WV/50/14, de la que se reproduce una copia en el Anexo del presente documento, y las conclusiones facilitadas por el experto de la Unión Europea en el Anexo II, diapositiva 19, del documento TWV/50/14 </w:t>
      </w:r>
      <w:proofErr w:type="spellStart"/>
      <w:r w:rsidR="00A35282" w:rsidRPr="006F1D76">
        <w:t>Add</w:t>
      </w:r>
      <w:proofErr w:type="spellEnd"/>
      <w:r w:rsidR="00A35282" w:rsidRPr="006F1D76">
        <w:t>., que se transcribe a continuación,  podrían ser un buen punto de partida</w:t>
      </w:r>
      <w:r w:rsidR="00DE5D38" w:rsidRPr="006F1D76">
        <w:t xml:space="preserve">. </w:t>
      </w:r>
    </w:p>
    <w:p w:rsidR="00DE5D38" w:rsidRPr="006F1D76" w:rsidRDefault="00DE5D38" w:rsidP="00DE5D38"/>
    <w:p w:rsidR="00A35282" w:rsidRPr="006F1D76" w:rsidRDefault="00A35282" w:rsidP="00A35282">
      <w:pPr>
        <w:pStyle w:val="ListParagraph"/>
        <w:numPr>
          <w:ilvl w:val="0"/>
          <w:numId w:val="1"/>
        </w:numPr>
        <w:rPr>
          <w:lang w:val="es-ES_tradnl"/>
        </w:rPr>
      </w:pPr>
      <w:r w:rsidRPr="006F1D76">
        <w:rPr>
          <w:lang w:val="es-ES_tradnl"/>
        </w:rPr>
        <w:t>Las notas de las variedades similares provendrán del mismo ensayo de cultivo que las de la variedad candidata</w:t>
      </w:r>
    </w:p>
    <w:p w:rsidR="00A35282" w:rsidRPr="006F1D76" w:rsidRDefault="00A35282" w:rsidP="00A35282">
      <w:pPr>
        <w:pStyle w:val="ListParagraph"/>
        <w:numPr>
          <w:ilvl w:val="0"/>
          <w:numId w:val="1"/>
        </w:numPr>
        <w:rPr>
          <w:lang w:val="es-ES_tradnl"/>
        </w:rPr>
      </w:pPr>
      <w:r w:rsidRPr="006F1D76">
        <w:rPr>
          <w:lang w:val="es-ES_tradnl"/>
        </w:rPr>
        <w:t>Informar a las partes interesadas de las modificaciones de la descripción oficial de la variedad</w:t>
      </w:r>
    </w:p>
    <w:p w:rsidR="00DE5D38" w:rsidRPr="006F1D76" w:rsidRDefault="00A35282" w:rsidP="00A35282">
      <w:pPr>
        <w:pStyle w:val="ListParagraph"/>
        <w:numPr>
          <w:ilvl w:val="0"/>
          <w:numId w:val="1"/>
        </w:numPr>
        <w:rPr>
          <w:lang w:val="es-ES_tradnl"/>
        </w:rPr>
      </w:pPr>
      <w:r w:rsidRPr="006F1D76">
        <w:rPr>
          <w:lang w:val="es-ES_tradnl"/>
        </w:rPr>
        <w:t xml:space="preserve">Acuerdo sobre los datos proporcionados a las bases de datos compartidas </w:t>
      </w:r>
    </w:p>
    <w:p w:rsidR="00A35282" w:rsidRPr="006F1D76" w:rsidRDefault="00A35282" w:rsidP="00A35282">
      <w:pPr>
        <w:ind w:left="360"/>
      </w:pPr>
    </w:p>
    <w:p w:rsidR="00DE5D38" w:rsidRPr="006F1D76" w:rsidRDefault="008A4AF9" w:rsidP="00DE5D38">
      <w:r w:rsidRPr="006F1D76">
        <w:rPr>
          <w:szCs w:val="24"/>
        </w:rPr>
        <w:fldChar w:fldCharType="begin"/>
      </w:r>
      <w:r w:rsidR="00DE5D38" w:rsidRPr="006F1D76">
        <w:rPr>
          <w:szCs w:val="24"/>
        </w:rPr>
        <w:instrText xml:space="preserve"> AUTONUM  </w:instrText>
      </w:r>
      <w:r w:rsidRPr="006F1D76">
        <w:rPr>
          <w:szCs w:val="24"/>
        </w:rPr>
        <w:fldChar w:fldCharType="end"/>
      </w:r>
      <w:r w:rsidR="00DE5D38" w:rsidRPr="006F1D76">
        <w:rPr>
          <w:szCs w:val="24"/>
        </w:rPr>
        <w:tab/>
      </w:r>
      <w:r w:rsidR="00A35282" w:rsidRPr="006F1D76">
        <w:t>El TWV recomendó al TC que examinara la orientación disponible sobre la descripción de variedades y que considerara si era necesario redactar una nueva orientación sobre el papel de la descripción de las variedades y el material vegetal</w:t>
      </w:r>
      <w:r w:rsidR="00DE5D38" w:rsidRPr="006F1D76">
        <w:t xml:space="preserve">. </w:t>
      </w:r>
    </w:p>
    <w:p w:rsidR="00DE5D38" w:rsidRPr="006F1D76" w:rsidRDefault="00DE5D38" w:rsidP="00DE5D38"/>
    <w:p w:rsidR="00DE5D38" w:rsidRPr="006F1D76" w:rsidRDefault="00A35282" w:rsidP="00DE5D38">
      <w:pPr>
        <w:pStyle w:val="Heading2"/>
        <w:rPr>
          <w:lang w:val="es-ES_tradnl"/>
        </w:rPr>
      </w:pPr>
      <w:bookmarkStart w:id="11" w:name="_Toc475970855"/>
      <w:r w:rsidRPr="006F1D76">
        <w:rPr>
          <w:lang w:val="es-ES_tradnl"/>
        </w:rPr>
        <w:t>Grupo de Trabajo Técnico sobre Plantas Agrícolas</w:t>
      </w:r>
      <w:bookmarkEnd w:id="11"/>
    </w:p>
    <w:p w:rsidR="00DE5D38" w:rsidRPr="006F1D76" w:rsidRDefault="00DE5D38" w:rsidP="00DE5D38"/>
    <w:p w:rsidR="00DE5D38" w:rsidRPr="006F1D76" w:rsidRDefault="008A4AF9" w:rsidP="00DE5D38">
      <w:r w:rsidRPr="006F1D76">
        <w:rPr>
          <w:snapToGrid w:val="0"/>
          <w:lang w:eastAsia="ja-JP"/>
        </w:rPr>
        <w:fldChar w:fldCharType="begin"/>
      </w:r>
      <w:r w:rsidR="00DE5D38" w:rsidRPr="006F1D76">
        <w:rPr>
          <w:snapToGrid w:val="0"/>
          <w:lang w:eastAsia="ja-JP"/>
        </w:rPr>
        <w:instrText xml:space="preserve"> AUTONUM  </w:instrText>
      </w:r>
      <w:r w:rsidRPr="006F1D76">
        <w:rPr>
          <w:snapToGrid w:val="0"/>
          <w:lang w:eastAsia="ja-JP"/>
        </w:rPr>
        <w:fldChar w:fldCharType="end"/>
      </w:r>
      <w:r w:rsidR="00DE5D38" w:rsidRPr="006F1D76">
        <w:rPr>
          <w:snapToGrid w:val="0"/>
          <w:lang w:eastAsia="ja-JP"/>
        </w:rPr>
        <w:tab/>
      </w:r>
      <w:r w:rsidR="00A35282" w:rsidRPr="006F1D76">
        <w:rPr>
          <w:snapToGrid w:val="0"/>
          <w:lang w:eastAsia="ja-JP"/>
        </w:rPr>
        <w:t xml:space="preserve">En su cuadragésima quinta reunión, celebrada en Ciudad de México, el TWA </w:t>
      </w:r>
      <w:r w:rsidR="004E7F2F" w:rsidRPr="006F1D76">
        <w:rPr>
          <w:snapToGrid w:val="0"/>
          <w:lang w:eastAsia="ja-JP"/>
        </w:rPr>
        <w:t>convino en</w:t>
      </w:r>
      <w:r w:rsidR="00A35282" w:rsidRPr="006F1D76">
        <w:rPr>
          <w:snapToGrid w:val="0"/>
          <w:lang w:eastAsia="ja-JP"/>
        </w:rPr>
        <w:t xml:space="preserve"> que la descripción de una variedad vegetal tenía limitaciones debido a su relación con las circunstancias del examen DHE</w:t>
      </w:r>
      <w:r w:rsidR="004E7F2F">
        <w:rPr>
          <w:snapToGrid w:val="0"/>
          <w:lang w:eastAsia="ja-JP"/>
        </w:rPr>
        <w:t xml:space="preserve">;  </w:t>
      </w:r>
      <w:r w:rsidR="00A35282" w:rsidRPr="006F1D76">
        <w:rPr>
          <w:snapToGrid w:val="0"/>
          <w:lang w:eastAsia="ja-JP"/>
        </w:rPr>
        <w:t>pero estuvo de acuerdo en que era un elemento importante de</w:t>
      </w:r>
      <w:r w:rsidR="00E7671D">
        <w:rPr>
          <w:snapToGrid w:val="0"/>
          <w:lang w:eastAsia="ja-JP"/>
        </w:rPr>
        <w:t>l</w:t>
      </w:r>
      <w:r w:rsidR="00A35282" w:rsidRPr="006F1D76">
        <w:rPr>
          <w:snapToGrid w:val="0"/>
          <w:lang w:eastAsia="ja-JP"/>
        </w:rPr>
        <w:t xml:space="preserve"> sistema de protección de variedades</w:t>
      </w:r>
      <w:r w:rsidR="00DE5D38" w:rsidRPr="006F1D76">
        <w:t>.</w:t>
      </w:r>
    </w:p>
    <w:p w:rsidR="00DE5D38" w:rsidRPr="006F1D76" w:rsidRDefault="00DE5D38" w:rsidP="00DE5D38"/>
    <w:p w:rsidR="00DE5D38" w:rsidRPr="006F1D76" w:rsidRDefault="008A4AF9" w:rsidP="00DE5D38">
      <w:r w:rsidRPr="006F1D76">
        <w:rPr>
          <w:snapToGrid w:val="0"/>
          <w:lang w:eastAsia="ja-JP"/>
        </w:rPr>
        <w:fldChar w:fldCharType="begin"/>
      </w:r>
      <w:r w:rsidR="00DE5D38" w:rsidRPr="006F1D76">
        <w:rPr>
          <w:snapToGrid w:val="0"/>
          <w:lang w:eastAsia="ja-JP"/>
        </w:rPr>
        <w:instrText xml:space="preserve"> AUTONUM  </w:instrText>
      </w:r>
      <w:r w:rsidRPr="006F1D76">
        <w:rPr>
          <w:snapToGrid w:val="0"/>
          <w:lang w:eastAsia="ja-JP"/>
        </w:rPr>
        <w:fldChar w:fldCharType="end"/>
      </w:r>
      <w:r w:rsidR="00DE5D38" w:rsidRPr="006F1D76">
        <w:rPr>
          <w:snapToGrid w:val="0"/>
          <w:lang w:eastAsia="ja-JP"/>
        </w:rPr>
        <w:tab/>
      </w:r>
      <w:r w:rsidR="00A35282" w:rsidRPr="006F1D76">
        <w:rPr>
          <w:snapToGrid w:val="0"/>
          <w:lang w:eastAsia="ja-JP"/>
        </w:rPr>
        <w:t>El TC convino en invitar a expertos a presentar ante los TWP, en sus reuniones de 2016, sus experiencias relativas a la función del material vegetal utilizado como base para el examen DHE respecto de los asuntos enumerados en el párrafo 6 del presente documento (por orden alfabético)</w:t>
      </w:r>
      <w:r w:rsidR="00DE5D38" w:rsidRPr="006F1D76">
        <w:t>:</w:t>
      </w:r>
    </w:p>
    <w:p w:rsidR="00DE5D38" w:rsidRPr="006F1D76" w:rsidRDefault="00DE5D38" w:rsidP="00DE5D38"/>
    <w:tbl>
      <w:tblPr>
        <w:tblStyle w:val="TableGrid"/>
        <w:tblW w:w="903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520"/>
      </w:tblGrid>
      <w:tr w:rsidR="00A35282" w:rsidRPr="006F1D76" w:rsidTr="004A0FCA">
        <w:tc>
          <w:tcPr>
            <w:tcW w:w="2518" w:type="dxa"/>
          </w:tcPr>
          <w:p w:rsidR="00A35282" w:rsidRPr="006F1D76" w:rsidRDefault="00A35282" w:rsidP="00AB58A5">
            <w:pPr>
              <w:rPr>
                <w:rFonts w:eastAsia="SimSun"/>
              </w:rPr>
            </w:pPr>
            <w:r w:rsidRPr="006F1D76">
              <w:rPr>
                <w:rFonts w:eastAsia="SimSun"/>
              </w:rPr>
              <w:t>Alemania</w:t>
            </w:r>
          </w:p>
        </w:tc>
        <w:tc>
          <w:tcPr>
            <w:tcW w:w="6520" w:type="dxa"/>
          </w:tcPr>
          <w:p w:rsidR="00A35282" w:rsidRPr="006F1D76" w:rsidRDefault="00A35282" w:rsidP="004A0FCA">
            <w:pPr>
              <w:rPr>
                <w:rFonts w:eastAsia="SimSun"/>
              </w:rPr>
            </w:pPr>
            <w:r w:rsidRPr="006F1D76">
              <w:rPr>
                <w:rFonts w:eastAsia="SimSun"/>
              </w:rPr>
              <w:t>La elaboración y utilización de descripciones de variedades</w:t>
            </w:r>
          </w:p>
        </w:tc>
      </w:tr>
      <w:tr w:rsidR="00A35282" w:rsidRPr="006F1D76" w:rsidTr="004A0FCA">
        <w:tc>
          <w:tcPr>
            <w:tcW w:w="2518" w:type="dxa"/>
          </w:tcPr>
          <w:p w:rsidR="00A35282" w:rsidRPr="006F1D76" w:rsidRDefault="00A35282" w:rsidP="00AB58A5">
            <w:pPr>
              <w:rPr>
                <w:rFonts w:eastAsia="SimSun"/>
              </w:rPr>
            </w:pPr>
            <w:r w:rsidRPr="006F1D76">
              <w:rPr>
                <w:rFonts w:eastAsia="SimSun"/>
              </w:rPr>
              <w:t>Australia</w:t>
            </w:r>
          </w:p>
        </w:tc>
        <w:tc>
          <w:tcPr>
            <w:tcW w:w="6520" w:type="dxa"/>
          </w:tcPr>
          <w:p w:rsidR="00A35282" w:rsidRPr="006F1D76" w:rsidRDefault="00A35282" w:rsidP="004A0FCA">
            <w:pPr>
              <w:rPr>
                <w:rFonts w:eastAsia="SimSun"/>
              </w:rPr>
            </w:pPr>
            <w:r w:rsidRPr="006F1D76">
              <w:rPr>
                <w:rFonts w:eastAsia="SimSun"/>
              </w:rPr>
              <w:t>Descripciones de variedades en Australia</w:t>
            </w:r>
          </w:p>
        </w:tc>
      </w:tr>
      <w:tr w:rsidR="00A35282" w:rsidRPr="006F1D76" w:rsidTr="004A0FCA">
        <w:tc>
          <w:tcPr>
            <w:tcW w:w="2518" w:type="dxa"/>
          </w:tcPr>
          <w:p w:rsidR="00A35282" w:rsidRPr="006F1D76" w:rsidRDefault="00A35282" w:rsidP="00AB58A5">
            <w:pPr>
              <w:rPr>
                <w:rFonts w:eastAsia="SimSun"/>
              </w:rPr>
            </w:pPr>
            <w:r w:rsidRPr="006F1D76">
              <w:rPr>
                <w:rFonts w:eastAsia="SimSun"/>
              </w:rPr>
              <w:t>Unión Europea</w:t>
            </w:r>
          </w:p>
        </w:tc>
        <w:tc>
          <w:tcPr>
            <w:tcW w:w="6520" w:type="dxa"/>
          </w:tcPr>
          <w:p w:rsidR="00A35282" w:rsidRPr="006F1D76" w:rsidRDefault="00A35282" w:rsidP="00A35282">
            <w:pPr>
              <w:rPr>
                <w:rFonts w:eastAsia="SimSun"/>
              </w:rPr>
            </w:pPr>
            <w:r w:rsidRPr="006F1D76">
              <w:rPr>
                <w:rFonts w:eastAsia="SimSun"/>
              </w:rPr>
              <w:t>Actualización de las descripciones de variedades</w:t>
            </w:r>
            <w:r w:rsidR="004E7F2F">
              <w:rPr>
                <w:rFonts w:eastAsia="SimSun"/>
              </w:rPr>
              <w:t xml:space="preserve">:  </w:t>
            </w:r>
            <w:r w:rsidRPr="006F1D76">
              <w:rPr>
                <w:rFonts w:eastAsia="SimSun"/>
              </w:rPr>
              <w:t>resultado del estudio</w:t>
            </w:r>
          </w:p>
        </w:tc>
      </w:tr>
    </w:tbl>
    <w:p w:rsidR="00DE5D38" w:rsidRPr="006F1D76" w:rsidRDefault="00DE5D38" w:rsidP="00DE5D38"/>
    <w:p w:rsidR="00DE5D38" w:rsidRPr="006F1D76" w:rsidRDefault="008A4AF9" w:rsidP="00DE5D38">
      <w:pPr>
        <w:pStyle w:val="ListParagraph"/>
        <w:ind w:left="0"/>
        <w:rPr>
          <w:lang w:val="es-ES_tradnl" w:eastAsia="en-GB"/>
        </w:rPr>
      </w:pPr>
      <w:r w:rsidRPr="006F1D76">
        <w:rPr>
          <w:snapToGrid w:val="0"/>
          <w:lang w:val="es-ES_tradnl" w:eastAsia="ja-JP"/>
        </w:rPr>
        <w:lastRenderedPageBreak/>
        <w:fldChar w:fldCharType="begin"/>
      </w:r>
      <w:r w:rsidR="00DE5D38" w:rsidRPr="006F1D76">
        <w:rPr>
          <w:snapToGrid w:val="0"/>
          <w:lang w:val="es-ES_tradnl" w:eastAsia="ja-JP"/>
        </w:rPr>
        <w:instrText xml:space="preserve"> AUTONUM  </w:instrText>
      </w:r>
      <w:r w:rsidRPr="006F1D76">
        <w:rPr>
          <w:snapToGrid w:val="0"/>
          <w:lang w:val="es-ES_tradnl" w:eastAsia="ja-JP"/>
        </w:rPr>
        <w:fldChar w:fldCharType="end"/>
      </w:r>
      <w:r w:rsidR="00DE5D38" w:rsidRPr="006F1D76">
        <w:rPr>
          <w:snapToGrid w:val="0"/>
          <w:lang w:val="es-ES_tradnl" w:eastAsia="ja-JP"/>
        </w:rPr>
        <w:tab/>
      </w:r>
      <w:r w:rsidR="00A35282" w:rsidRPr="006F1D76">
        <w:rPr>
          <w:snapToGrid w:val="0"/>
          <w:lang w:val="es-ES_tradnl" w:eastAsia="ja-JP"/>
        </w:rPr>
        <w:t xml:space="preserve">El TWA tomó nota de que las ponencias presentadas por los expertos de la Unión Europea y Alemania figuran en los Anexos I y II del documento TWA/45/14 </w:t>
      </w:r>
      <w:proofErr w:type="spellStart"/>
      <w:r w:rsidR="00A35282" w:rsidRPr="006F1D76">
        <w:rPr>
          <w:snapToGrid w:val="0"/>
          <w:lang w:val="es-ES_tradnl" w:eastAsia="ja-JP"/>
        </w:rPr>
        <w:t>Add</w:t>
      </w:r>
      <w:proofErr w:type="spellEnd"/>
      <w:r w:rsidR="00A35282" w:rsidRPr="006F1D76">
        <w:rPr>
          <w:snapToGrid w:val="0"/>
          <w:lang w:val="es-ES_tradnl" w:eastAsia="ja-JP"/>
        </w:rPr>
        <w:t xml:space="preserve">., y de que la ponencia presentada por el experto de Australia figura en el Anexo del documento TWA/45/14 </w:t>
      </w:r>
      <w:proofErr w:type="spellStart"/>
      <w:r w:rsidR="00A35282" w:rsidRPr="006F1D76">
        <w:rPr>
          <w:snapToGrid w:val="0"/>
          <w:lang w:val="es-ES_tradnl" w:eastAsia="ja-JP"/>
        </w:rPr>
        <w:t>Add</w:t>
      </w:r>
      <w:proofErr w:type="spellEnd"/>
      <w:r w:rsidR="00A35282" w:rsidRPr="006F1D76">
        <w:rPr>
          <w:snapToGrid w:val="0"/>
          <w:lang w:val="es-ES_tradnl" w:eastAsia="ja-JP"/>
        </w:rPr>
        <w:t>. 2</w:t>
      </w:r>
      <w:r w:rsidR="00DE5D38" w:rsidRPr="006F1D76">
        <w:rPr>
          <w:lang w:val="es-ES_tradnl" w:eastAsia="en-GB"/>
        </w:rPr>
        <w:t>.</w:t>
      </w:r>
    </w:p>
    <w:p w:rsidR="00DE5D38" w:rsidRPr="006F1D76" w:rsidRDefault="00DE5D38" w:rsidP="00DE5D38"/>
    <w:p w:rsidR="00DE5D38" w:rsidRPr="006F1D76" w:rsidRDefault="00A35282" w:rsidP="00DE5D38">
      <w:pPr>
        <w:pStyle w:val="Heading2"/>
        <w:rPr>
          <w:lang w:val="es-ES_tradnl"/>
        </w:rPr>
      </w:pPr>
      <w:bookmarkStart w:id="12" w:name="_Toc475970856"/>
      <w:r w:rsidRPr="006F1D76">
        <w:rPr>
          <w:lang w:val="es-ES_tradnl"/>
        </w:rPr>
        <w:t>Grupo de Trabajo Técnico sobre Plantas Frutales</w:t>
      </w:r>
      <w:bookmarkEnd w:id="12"/>
    </w:p>
    <w:p w:rsidR="00DE5D38" w:rsidRPr="006F1D76" w:rsidRDefault="00DE5D38" w:rsidP="00DE5D38">
      <w:pPr>
        <w:keepNext/>
      </w:pPr>
    </w:p>
    <w:p w:rsidR="00DE5D38" w:rsidRPr="006F1D76" w:rsidRDefault="008A4AF9" w:rsidP="00DE5D38">
      <w:r w:rsidRPr="006F1D76">
        <w:fldChar w:fldCharType="begin"/>
      </w:r>
      <w:r w:rsidR="00DE5D38" w:rsidRPr="006F1D76">
        <w:instrText xml:space="preserve"> AUTONUM  </w:instrText>
      </w:r>
      <w:r w:rsidRPr="006F1D76">
        <w:fldChar w:fldCharType="end"/>
      </w:r>
      <w:r w:rsidR="00DE5D38" w:rsidRPr="006F1D76">
        <w:tab/>
      </w:r>
      <w:r w:rsidR="00A35282" w:rsidRPr="006F1D76">
        <w:t>En su cuadragésima séptima sesión, celebrada en Angers (Francia), el TWF tomó nota de las siguientes ponencias presentadas por expertos sobre sus experiencias relativas a la función del material vegetal utilizado como base para el examen DHE respecto de los asuntos enumerados en el párrafo 6 del presente documento</w:t>
      </w:r>
      <w:r w:rsidR="00DE5D38" w:rsidRPr="006F1D76">
        <w:t>:</w:t>
      </w:r>
    </w:p>
    <w:p w:rsidR="00DE5D38" w:rsidRPr="006F1D76" w:rsidRDefault="00DE5D38" w:rsidP="00DE5D38"/>
    <w:tbl>
      <w:tblPr>
        <w:tblStyle w:val="TableGrid"/>
        <w:tblW w:w="903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520"/>
      </w:tblGrid>
      <w:tr w:rsidR="00DE5D38" w:rsidRPr="006F1D76" w:rsidTr="004A0FCA">
        <w:tc>
          <w:tcPr>
            <w:tcW w:w="2518" w:type="dxa"/>
          </w:tcPr>
          <w:p w:rsidR="00DE5D38" w:rsidRPr="006F1D76" w:rsidRDefault="00791A49" w:rsidP="004A0FCA">
            <w:pPr>
              <w:rPr>
                <w:rFonts w:eastAsia="SimSun"/>
              </w:rPr>
            </w:pPr>
            <w:r w:rsidRPr="006F1D76">
              <w:rPr>
                <w:rFonts w:eastAsia="SimSun"/>
              </w:rPr>
              <w:t>Unión Europea</w:t>
            </w:r>
          </w:p>
        </w:tc>
        <w:tc>
          <w:tcPr>
            <w:tcW w:w="6520" w:type="dxa"/>
          </w:tcPr>
          <w:p w:rsidR="00DE5D38" w:rsidRPr="006F1D76" w:rsidRDefault="00791A49" w:rsidP="004A0FCA">
            <w:pPr>
              <w:rPr>
                <w:rFonts w:eastAsia="SimSun"/>
              </w:rPr>
            </w:pPr>
            <w:r w:rsidRPr="006F1D76">
              <w:rPr>
                <w:rFonts w:eastAsia="SimSun"/>
              </w:rPr>
              <w:t>Actualización de las descripciones de variedades</w:t>
            </w:r>
            <w:r w:rsidR="004E7F2F">
              <w:rPr>
                <w:rFonts w:eastAsia="SimSun"/>
              </w:rPr>
              <w:t xml:space="preserve">:  </w:t>
            </w:r>
            <w:r w:rsidRPr="006F1D76">
              <w:rPr>
                <w:rFonts w:eastAsia="SimSun"/>
              </w:rPr>
              <w:t>resultado del estudio</w:t>
            </w:r>
          </w:p>
        </w:tc>
      </w:tr>
      <w:tr w:rsidR="00DE5D38" w:rsidRPr="006F1D76" w:rsidTr="004A0FCA">
        <w:tc>
          <w:tcPr>
            <w:tcW w:w="2518" w:type="dxa"/>
          </w:tcPr>
          <w:p w:rsidR="00DE5D38" w:rsidRPr="006F1D76" w:rsidRDefault="00DE5D38" w:rsidP="00791A49">
            <w:pPr>
              <w:rPr>
                <w:rFonts w:eastAsia="SimSun"/>
              </w:rPr>
            </w:pPr>
            <w:r w:rsidRPr="006F1D76">
              <w:rPr>
                <w:rFonts w:eastAsia="SimSun"/>
              </w:rPr>
              <w:t>Franc</w:t>
            </w:r>
            <w:r w:rsidR="00791A49" w:rsidRPr="006F1D76">
              <w:rPr>
                <w:rFonts w:eastAsia="SimSun"/>
              </w:rPr>
              <w:t>ia</w:t>
            </w:r>
            <w:r w:rsidRPr="006F1D76">
              <w:rPr>
                <w:rFonts w:eastAsia="SimSun"/>
              </w:rPr>
              <w:t xml:space="preserve"> </w:t>
            </w:r>
          </w:p>
        </w:tc>
        <w:tc>
          <w:tcPr>
            <w:tcW w:w="6520" w:type="dxa"/>
          </w:tcPr>
          <w:p w:rsidR="00DE5D38" w:rsidRPr="006F1D76" w:rsidRDefault="00791A49" w:rsidP="004A0FCA">
            <w:pPr>
              <w:rPr>
                <w:rFonts w:eastAsia="SimSun"/>
              </w:rPr>
            </w:pPr>
            <w:r w:rsidRPr="006F1D76">
              <w:t>La función del material vegetal utilizado como base para el examen DHE de especies frutales</w:t>
            </w:r>
          </w:p>
        </w:tc>
      </w:tr>
    </w:tbl>
    <w:p w:rsidR="00DE5D38" w:rsidRPr="006F1D76" w:rsidRDefault="00DE5D38" w:rsidP="00DE5D38"/>
    <w:p w:rsidR="00DE5D38" w:rsidRPr="006F1D76" w:rsidRDefault="008A4AF9" w:rsidP="00DE5D38">
      <w:pPr>
        <w:rPr>
          <w:rFonts w:eastAsiaTheme="minorEastAsia"/>
          <w:lang w:eastAsia="ja-JP"/>
        </w:rPr>
      </w:pPr>
      <w:r w:rsidRPr="006F1D76">
        <w:fldChar w:fldCharType="begin"/>
      </w:r>
      <w:r w:rsidR="00DE5D38" w:rsidRPr="006F1D76">
        <w:instrText xml:space="preserve"> AUTONUM  </w:instrText>
      </w:r>
      <w:r w:rsidRPr="006F1D76">
        <w:fldChar w:fldCharType="end"/>
      </w:r>
      <w:r w:rsidR="00DE5D38" w:rsidRPr="006F1D76">
        <w:tab/>
      </w:r>
      <w:r w:rsidR="00791A49" w:rsidRPr="006F1D76">
        <w:t xml:space="preserve">El TWF tomó nota de que se facilitan copias de las </w:t>
      </w:r>
      <w:r w:rsidR="00E7671D">
        <w:t>ponencias</w:t>
      </w:r>
      <w:r w:rsidR="00791A49" w:rsidRPr="006F1D76">
        <w:t xml:space="preserve"> en los anexos del documento TWF/47/14 </w:t>
      </w:r>
      <w:proofErr w:type="spellStart"/>
      <w:r w:rsidR="00791A49" w:rsidRPr="006F1D76">
        <w:t>Add</w:t>
      </w:r>
      <w:proofErr w:type="spellEnd"/>
      <w:r w:rsidR="00791A49" w:rsidRPr="006F1D76">
        <w:t>.</w:t>
      </w:r>
    </w:p>
    <w:p w:rsidR="00DE5D38" w:rsidRPr="006F1D76" w:rsidRDefault="00DE5D38" w:rsidP="00DE5D38">
      <w:pPr>
        <w:rPr>
          <w:rFonts w:eastAsiaTheme="minorEastAsia"/>
          <w:lang w:eastAsia="ja-JP"/>
        </w:rPr>
      </w:pPr>
    </w:p>
    <w:p w:rsidR="00DE5D38" w:rsidRPr="006F1D76" w:rsidRDefault="00DE5D38" w:rsidP="00DE5D38">
      <w:pPr>
        <w:rPr>
          <w:rFonts w:eastAsiaTheme="minorEastAsia"/>
          <w:lang w:eastAsia="ja-JP"/>
        </w:rPr>
      </w:pPr>
    </w:p>
    <w:p w:rsidR="00DE5D38" w:rsidRPr="006F1D76" w:rsidRDefault="00DE5D38" w:rsidP="00DE5D38">
      <w:pPr>
        <w:pStyle w:val="Heading1"/>
        <w:rPr>
          <w:rFonts w:eastAsiaTheme="minorEastAsia"/>
          <w:lang w:val="es-ES_tradnl" w:eastAsia="ja-JP"/>
        </w:rPr>
      </w:pPr>
      <w:bookmarkStart w:id="13" w:name="_Toc475970857"/>
      <w:r w:rsidRPr="006F1D76">
        <w:rPr>
          <w:rFonts w:eastAsiaTheme="minorEastAsia"/>
          <w:lang w:val="es-ES_tradnl" w:eastAsia="ja-JP"/>
        </w:rPr>
        <w:t>PRO</w:t>
      </w:r>
      <w:r w:rsidR="00791A49" w:rsidRPr="006F1D76">
        <w:rPr>
          <w:rFonts w:eastAsiaTheme="minorEastAsia"/>
          <w:lang w:val="es-ES_tradnl" w:eastAsia="ja-JP"/>
        </w:rPr>
        <w:t>puesta</w:t>
      </w:r>
      <w:bookmarkEnd w:id="13"/>
    </w:p>
    <w:p w:rsidR="00DE5D38" w:rsidRPr="006F1D76" w:rsidRDefault="00DE5D38" w:rsidP="00DE5D38">
      <w:pPr>
        <w:rPr>
          <w:rFonts w:cs="Arial"/>
        </w:rPr>
      </w:pPr>
    </w:p>
    <w:p w:rsidR="00DE5D38" w:rsidRPr="006F1D76" w:rsidRDefault="008A4AF9" w:rsidP="00DE5D38">
      <w:pPr>
        <w:rPr>
          <w:rFonts w:cs="Arial"/>
        </w:rPr>
      </w:pPr>
      <w:r w:rsidRPr="006F1D76">
        <w:rPr>
          <w:rFonts w:cs="Arial"/>
        </w:rPr>
        <w:fldChar w:fldCharType="begin"/>
      </w:r>
      <w:r w:rsidR="00DE5D38" w:rsidRPr="006F1D76">
        <w:rPr>
          <w:rFonts w:cs="Arial"/>
        </w:rPr>
        <w:instrText xml:space="preserve"> AUTONUM  </w:instrText>
      </w:r>
      <w:r w:rsidRPr="006F1D76">
        <w:rPr>
          <w:rFonts w:cs="Arial"/>
        </w:rPr>
        <w:fldChar w:fldCharType="end"/>
      </w:r>
      <w:r w:rsidR="00DE5D38" w:rsidRPr="006F1D76">
        <w:rPr>
          <w:rFonts w:cs="Arial"/>
        </w:rPr>
        <w:tab/>
      </w:r>
      <w:r w:rsidR="00791A49" w:rsidRPr="006F1D76">
        <w:rPr>
          <w:rFonts w:cs="Arial"/>
        </w:rPr>
        <w:t>Teniendo en cuenta los comentarios que los TWP realizaron en sus reuniones de 2016,</w:t>
      </w:r>
      <w:r w:rsidR="00E7671D">
        <w:rPr>
          <w:rFonts w:cs="Arial"/>
        </w:rPr>
        <w:t xml:space="preserve"> se propone que el TC consider</w:t>
      </w:r>
      <w:r w:rsidR="00791A49" w:rsidRPr="006F1D76">
        <w:rPr>
          <w:rFonts w:cs="Arial"/>
        </w:rPr>
        <w:t>e si es necesario redactar una nueva orientación sobre el papel de la descripción de las variedades y el material vegetal, teniendo en cuenta</w:t>
      </w:r>
      <w:r w:rsidR="00E7671D">
        <w:rPr>
          <w:rFonts w:cs="Arial"/>
        </w:rPr>
        <w:t xml:space="preserve">: </w:t>
      </w:r>
      <w:r w:rsidR="00791A49" w:rsidRPr="006F1D76">
        <w:rPr>
          <w:rFonts w:cs="Arial"/>
        </w:rPr>
        <w:t xml:space="preserve"> 1) la finalidad de la descripción de la variedad elaborada en el momento en que se concede el derecho de obtentor; </w:t>
      </w:r>
      <w:r w:rsidR="00E7671D">
        <w:rPr>
          <w:rFonts w:cs="Arial"/>
        </w:rPr>
        <w:t xml:space="preserve"> </w:t>
      </w:r>
      <w:r w:rsidR="00791A49" w:rsidRPr="006F1D76">
        <w:rPr>
          <w:rFonts w:cs="Arial"/>
        </w:rPr>
        <w:t>2) la situación de la descripción original de la variedad con respecto a la comprobación de que el material vegetal corresponde a una variedad protegida a efectos de la defensa del derecho de obtentor</w:t>
      </w:r>
      <w:r w:rsidR="004E7F2F">
        <w:rPr>
          <w:rFonts w:cs="Arial"/>
        </w:rPr>
        <w:t xml:space="preserve">;  </w:t>
      </w:r>
      <w:r w:rsidR="00791A49" w:rsidRPr="006F1D76">
        <w:rPr>
          <w:rFonts w:cs="Arial"/>
        </w:rPr>
        <w:t>y 3) las siguientes conclusiones facilitadas por el experto de la Unión Europea en el Anexo II, diapositiva 19, del documento TWV/50/14 </w:t>
      </w:r>
      <w:proofErr w:type="spellStart"/>
      <w:r w:rsidR="00791A49" w:rsidRPr="006F1D76">
        <w:rPr>
          <w:rFonts w:cs="Arial"/>
        </w:rPr>
        <w:t>Add</w:t>
      </w:r>
      <w:proofErr w:type="spellEnd"/>
      <w:r w:rsidR="00791A49" w:rsidRPr="006F1D76">
        <w:rPr>
          <w:rFonts w:cs="Arial"/>
        </w:rPr>
        <w:t>.</w:t>
      </w:r>
      <w:r w:rsidR="00DE5D38" w:rsidRPr="006F1D76">
        <w:t>:</w:t>
      </w:r>
    </w:p>
    <w:p w:rsidR="00DE5D38" w:rsidRPr="006F1D76" w:rsidRDefault="00DE5D38" w:rsidP="00DE5D38"/>
    <w:p w:rsidR="001A35EF" w:rsidRPr="006F1D76" w:rsidRDefault="001A35EF" w:rsidP="001A35EF">
      <w:pPr>
        <w:pStyle w:val="ListParagraph"/>
        <w:numPr>
          <w:ilvl w:val="0"/>
          <w:numId w:val="1"/>
        </w:numPr>
        <w:rPr>
          <w:lang w:val="es-ES_tradnl"/>
        </w:rPr>
      </w:pPr>
      <w:r w:rsidRPr="006F1D76">
        <w:rPr>
          <w:lang w:val="es-ES_tradnl"/>
        </w:rPr>
        <w:t>Las notas de las variedades similares provendrán del mismo ensayo de cultivo que las de la variedad candidata</w:t>
      </w:r>
    </w:p>
    <w:p w:rsidR="001A35EF" w:rsidRPr="006F1D76" w:rsidRDefault="001A35EF" w:rsidP="001A35EF">
      <w:pPr>
        <w:pStyle w:val="ListParagraph"/>
        <w:numPr>
          <w:ilvl w:val="0"/>
          <w:numId w:val="1"/>
        </w:numPr>
        <w:rPr>
          <w:lang w:val="es-ES_tradnl"/>
        </w:rPr>
      </w:pPr>
      <w:r w:rsidRPr="006F1D76">
        <w:rPr>
          <w:lang w:val="es-ES_tradnl"/>
        </w:rPr>
        <w:t>Informar a las partes interesadas de las modificaciones de la descripción oficial de la variedad</w:t>
      </w:r>
    </w:p>
    <w:p w:rsidR="00DE5D38" w:rsidRPr="006F1D76" w:rsidRDefault="001A35EF" w:rsidP="001A35EF">
      <w:pPr>
        <w:pStyle w:val="ListParagraph"/>
        <w:numPr>
          <w:ilvl w:val="0"/>
          <w:numId w:val="1"/>
        </w:numPr>
        <w:rPr>
          <w:lang w:val="es-ES_tradnl"/>
        </w:rPr>
      </w:pPr>
      <w:r w:rsidRPr="006F1D76">
        <w:rPr>
          <w:lang w:val="es-ES_tradnl"/>
        </w:rPr>
        <w:t>Acuerdo sobre los datos proporcionados a las bases de datos compartidas.</w:t>
      </w:r>
    </w:p>
    <w:p w:rsidR="001A35EF" w:rsidRPr="006F1D76" w:rsidRDefault="001A35EF" w:rsidP="001A35EF">
      <w:pPr>
        <w:rPr>
          <w:rFonts w:cs="Arial"/>
        </w:rPr>
      </w:pPr>
    </w:p>
    <w:p w:rsidR="00DE5D38" w:rsidRPr="006F1D76" w:rsidRDefault="008A4AF9" w:rsidP="00DE5D38">
      <w:pPr>
        <w:pStyle w:val="DecisionParagraphs"/>
        <w:tabs>
          <w:tab w:val="left" w:pos="5954"/>
          <w:tab w:val="left" w:pos="6521"/>
        </w:tabs>
        <w:rPr>
          <w:rFonts w:eastAsia="SimSun"/>
        </w:rPr>
      </w:pPr>
      <w:r w:rsidRPr="006F1D76">
        <w:fldChar w:fldCharType="begin"/>
      </w:r>
      <w:r w:rsidR="00DE5D38" w:rsidRPr="006F1D76">
        <w:instrText xml:space="preserve"> AUTONUM  </w:instrText>
      </w:r>
      <w:r w:rsidRPr="006F1D76">
        <w:fldChar w:fldCharType="end"/>
      </w:r>
      <w:r w:rsidR="00DE5D38" w:rsidRPr="006F1D76">
        <w:tab/>
      </w:r>
      <w:r w:rsidR="001A35EF" w:rsidRPr="006F1D76">
        <w:t>Se invita al TC a considerar si es necesario redactar una nueva orientación sobre el papel de la descripción de las variedades y el material vegetal, teniendo en cuenta los elementos presentados en el párrafo 20 del presente documento</w:t>
      </w:r>
      <w:r w:rsidR="00DE5D38" w:rsidRPr="006F1D76">
        <w:t>.</w:t>
      </w:r>
    </w:p>
    <w:p w:rsidR="00DE5D38" w:rsidRPr="006F1D76" w:rsidRDefault="00DE5D38" w:rsidP="00DE5D38"/>
    <w:p w:rsidR="00DE5D38" w:rsidRPr="006F1D76" w:rsidRDefault="00DE5D38" w:rsidP="00DE5D38">
      <w:pPr>
        <w:jc w:val="left"/>
      </w:pPr>
    </w:p>
    <w:p w:rsidR="00DE5D38" w:rsidRPr="006F1D76" w:rsidRDefault="00DE5D38" w:rsidP="00DE5D38"/>
    <w:p w:rsidR="00050E16" w:rsidRPr="006F1D76" w:rsidRDefault="00DE5D38" w:rsidP="00DE5D38">
      <w:pPr>
        <w:jc w:val="right"/>
      </w:pPr>
      <w:r w:rsidRPr="006F1D76">
        <w:t>[Sigue el Anexo]</w:t>
      </w:r>
    </w:p>
    <w:p w:rsidR="00DE5D38" w:rsidRPr="006F1D76" w:rsidRDefault="00DE5D38" w:rsidP="00DE5D38">
      <w:pPr>
        <w:jc w:val="left"/>
        <w:sectPr w:rsidR="00DE5D38" w:rsidRPr="006F1D76" w:rsidSect="00906DDC">
          <w:headerReference w:type="default" r:id="rId9"/>
          <w:pgSz w:w="11907" w:h="16840" w:code="9"/>
          <w:pgMar w:top="510" w:right="1134" w:bottom="1134" w:left="1134" w:header="510" w:footer="680" w:gutter="0"/>
          <w:cols w:space="720"/>
          <w:titlePg/>
        </w:sectPr>
      </w:pPr>
    </w:p>
    <w:p w:rsidR="00BA1895" w:rsidRPr="006F1D76" w:rsidRDefault="001A35EF" w:rsidP="001A35EF">
      <w:pPr>
        <w:jc w:val="center"/>
      </w:pPr>
      <w:r w:rsidRPr="006F1D76">
        <w:lastRenderedPageBreak/>
        <w:t>FINALIDAD DE LA DESCRIPCIÓN DE LA VARIEDAD ELABORADA EN EL MOMENTO EN QUE SE CONCEDE EL DERECHO DE OBTENTOR Y SITUACIÓN DE LA DESCRIPCIÓN ORIGINAL DE LA VARIEDAD EN LO REFERENTE A LA COMPROBACIÓN DE QUE EL MATERIAL VEGETAL CORRESPONDE A UNA VARIEDAD PROTEGIDA A LOS EFECTOS DE LA DEFENSA DEL DERECHO DE OBTENTOR</w:t>
      </w:r>
    </w:p>
    <w:p w:rsidR="001A35EF" w:rsidRPr="006F1D76" w:rsidRDefault="001A35EF" w:rsidP="00BA1895"/>
    <w:p w:rsidR="00BA1895" w:rsidRPr="006F1D76" w:rsidRDefault="001A35EF" w:rsidP="00BA1895">
      <w:r w:rsidRPr="006F1D76">
        <w:t>En su septuagésima primera sesión, el CAJ respaldó la conclusión extraída por el CAJ-AG en su novena sesión, sobre</w:t>
      </w:r>
      <w:r w:rsidR="00BA1895" w:rsidRPr="006F1D76">
        <w:t>:</w:t>
      </w:r>
    </w:p>
    <w:p w:rsidR="00BA1895" w:rsidRPr="006F1D76" w:rsidRDefault="00BA1895" w:rsidP="00BA1895"/>
    <w:p w:rsidR="00BA1895" w:rsidRPr="006F1D76" w:rsidRDefault="00BA1895" w:rsidP="00BA1895">
      <w:r w:rsidRPr="006F1D76">
        <w:tab/>
      </w:r>
      <w:r w:rsidR="001A35EF" w:rsidRPr="006F1D76">
        <w:t>i)</w:t>
      </w:r>
      <w:r w:rsidR="001A35EF" w:rsidRPr="006F1D76">
        <w:tab/>
        <w:t>la(s) finalidad(es) de la descripción de la variedad elaborada en el momento en que se concede el derecho de obtentor (descripción original de la variedad), conforme se indica a continuación</w:t>
      </w:r>
      <w:r w:rsidRPr="006F1D76">
        <w:t>:</w:t>
      </w:r>
    </w:p>
    <w:p w:rsidR="00BA1895" w:rsidRPr="006F1D76" w:rsidRDefault="00BA1895" w:rsidP="00BA1895"/>
    <w:p w:rsidR="00BA1895" w:rsidRPr="006F1D76" w:rsidRDefault="001A35EF" w:rsidP="00BA1895">
      <w:r w:rsidRPr="006F1D76">
        <w:t>El CAJ-AG convino en que, de conformidad con la sección 6 “Informe de la UPOV sobre el examen técnico y sobre la descripción de variedades” del documento TGP/5 “Experiencia y cooperación en el examen DHE”, las finalidades de la descripción de la variedad que se elaboró cuando se concedió el derecho de obtentor (descripción original de la variedad) pueden resumirse como</w:t>
      </w:r>
      <w:r w:rsidR="00BA1895" w:rsidRPr="006F1D76">
        <w:t>:</w:t>
      </w:r>
    </w:p>
    <w:p w:rsidR="00BA1895" w:rsidRPr="006F1D76" w:rsidRDefault="00BA1895" w:rsidP="00BA1895">
      <w:pPr>
        <w:ind w:left="567" w:right="567"/>
      </w:pPr>
    </w:p>
    <w:p w:rsidR="001A35EF" w:rsidRPr="006F1D76" w:rsidRDefault="001A35EF" w:rsidP="001A35EF">
      <w:pPr>
        <w:ind w:left="1134" w:right="567"/>
      </w:pPr>
      <w:r w:rsidRPr="006F1D76">
        <w:t>a)</w:t>
      </w:r>
      <w:r w:rsidRPr="006F1D76">
        <w:tab/>
        <w:t>describir los caracteres de la variedad, e</w:t>
      </w:r>
    </w:p>
    <w:p w:rsidR="00BA1895" w:rsidRPr="006F1D76" w:rsidRDefault="001A35EF" w:rsidP="001A35EF">
      <w:pPr>
        <w:ind w:left="1701" w:right="567" w:hanging="567"/>
      </w:pPr>
      <w:r w:rsidRPr="006F1D76">
        <w:t>b)</w:t>
      </w:r>
      <w:r w:rsidRPr="006F1D76">
        <w:tab/>
        <w:t>identificar y enumerar las variedades similares y las diferencias con respecto a esas variedades</w:t>
      </w:r>
      <w:r w:rsidR="00BA1895" w:rsidRPr="006F1D76">
        <w:t xml:space="preserve">; </w:t>
      </w:r>
    </w:p>
    <w:p w:rsidR="00BA1895" w:rsidRPr="006F1D76" w:rsidRDefault="001A35EF" w:rsidP="00BA1895">
      <w:pPr>
        <w:ind w:left="2835" w:right="567" w:hanging="1134"/>
      </w:pPr>
      <w:proofErr w:type="gramStart"/>
      <w:r w:rsidRPr="006F1D76">
        <w:t>junto</w:t>
      </w:r>
      <w:proofErr w:type="gramEnd"/>
      <w:r w:rsidRPr="006F1D76">
        <w:t xml:space="preserve"> con la siguiente información basada en a) y b)</w:t>
      </w:r>
      <w:r w:rsidR="00BA1895" w:rsidRPr="006F1D76">
        <w:t>:</w:t>
      </w:r>
    </w:p>
    <w:p w:rsidR="001A35EF" w:rsidRPr="006F1D76" w:rsidRDefault="00BA1895" w:rsidP="001A35EF">
      <w:pPr>
        <w:ind w:left="1701" w:right="567"/>
      </w:pPr>
      <w:r w:rsidRPr="006F1D76">
        <w:rPr>
          <w:rFonts w:cs="Arial"/>
        </w:rPr>
        <w:t>▪</w:t>
      </w:r>
      <w:r w:rsidRPr="006F1D76">
        <w:tab/>
      </w:r>
      <w:r w:rsidR="000F6320">
        <w:t>F</w:t>
      </w:r>
      <w:r w:rsidR="001A35EF" w:rsidRPr="006F1D76">
        <w:t>echa y número de documento de las Directrices de Examen de la UPOV;</w:t>
      </w:r>
    </w:p>
    <w:p w:rsidR="001A35EF" w:rsidRPr="006F1D76" w:rsidRDefault="001A35EF" w:rsidP="00855B0E">
      <w:pPr>
        <w:ind w:left="2268" w:right="567" w:hanging="567"/>
      </w:pPr>
      <w:r w:rsidRPr="006F1D76">
        <w:t>▪</w:t>
      </w:r>
      <w:r w:rsidRPr="006F1D76">
        <w:tab/>
        <w:t>Fecha y/o número de documento de las directrices de examen de la autoridad informante;</w:t>
      </w:r>
    </w:p>
    <w:p w:rsidR="001A35EF" w:rsidRPr="006F1D76" w:rsidRDefault="001A35EF" w:rsidP="001A35EF">
      <w:pPr>
        <w:ind w:left="1701" w:right="567"/>
      </w:pPr>
      <w:r w:rsidRPr="006F1D76">
        <w:t>▪</w:t>
      </w:r>
      <w:r w:rsidRPr="006F1D76">
        <w:tab/>
        <w:t>Autoridad informante;</w:t>
      </w:r>
    </w:p>
    <w:p w:rsidR="001A35EF" w:rsidRPr="006F1D76" w:rsidRDefault="001A35EF" w:rsidP="001A35EF">
      <w:pPr>
        <w:ind w:left="1701" w:right="567"/>
      </w:pPr>
      <w:r w:rsidRPr="006F1D76">
        <w:t>▪</w:t>
      </w:r>
      <w:r w:rsidRPr="006F1D76">
        <w:tab/>
        <w:t>Estación(es) y lugar(es) del examen;</w:t>
      </w:r>
    </w:p>
    <w:p w:rsidR="001A35EF" w:rsidRPr="006F1D76" w:rsidRDefault="001A35EF" w:rsidP="001A35EF">
      <w:pPr>
        <w:ind w:left="1701" w:right="567"/>
      </w:pPr>
      <w:r w:rsidRPr="006F1D76">
        <w:t>▪</w:t>
      </w:r>
      <w:r w:rsidRPr="006F1D76">
        <w:tab/>
        <w:t>Período de realización del examen;</w:t>
      </w:r>
    </w:p>
    <w:p w:rsidR="001A35EF" w:rsidRPr="006F1D76" w:rsidRDefault="001A35EF" w:rsidP="001A35EF">
      <w:pPr>
        <w:ind w:left="1701" w:right="567"/>
      </w:pPr>
      <w:r w:rsidRPr="006F1D76">
        <w:t>▪</w:t>
      </w:r>
      <w:r w:rsidRPr="006F1D76">
        <w:tab/>
        <w:t>Fecha y lugar de emisión del documento;</w:t>
      </w:r>
    </w:p>
    <w:p w:rsidR="001A35EF" w:rsidRPr="006F1D76" w:rsidRDefault="001A35EF" w:rsidP="00855B0E">
      <w:pPr>
        <w:ind w:left="2268" w:right="567" w:hanging="567"/>
      </w:pPr>
      <w:r w:rsidRPr="006F1D76">
        <w:t>▪</w:t>
      </w:r>
      <w:r w:rsidRPr="006F1D76">
        <w:tab/>
        <w:t>Grupo</w:t>
      </w:r>
      <w:proofErr w:type="gramStart"/>
      <w:r w:rsidR="004E7F2F">
        <w:t xml:space="preserve">:  </w:t>
      </w:r>
      <w:r w:rsidR="00BA1895" w:rsidRPr="006F1D76">
        <w:t>(</w:t>
      </w:r>
      <w:proofErr w:type="gramEnd"/>
      <w:r w:rsidRPr="006F1D76">
        <w:t>Cuadro</w:t>
      </w:r>
      <w:r w:rsidR="004E7F2F">
        <w:t xml:space="preserve">:  </w:t>
      </w:r>
      <w:r w:rsidRPr="006F1D76">
        <w:t>Caracteres</w:t>
      </w:r>
      <w:r w:rsidR="004E7F2F">
        <w:t xml:space="preserve">;  </w:t>
      </w:r>
      <w:r w:rsidRPr="006F1D76">
        <w:t>Niveles de expresión</w:t>
      </w:r>
      <w:r w:rsidR="004E7F2F">
        <w:t xml:space="preserve">;  </w:t>
      </w:r>
      <w:r w:rsidRPr="006F1D76">
        <w:t>Nota</w:t>
      </w:r>
      <w:r w:rsidR="004E7F2F">
        <w:t xml:space="preserve">;  </w:t>
      </w:r>
      <w:r w:rsidRPr="006F1D76">
        <w:t>Observaciones);</w:t>
      </w:r>
    </w:p>
    <w:p w:rsidR="00BA1895" w:rsidRPr="006F1D76" w:rsidRDefault="001A35EF" w:rsidP="001A35EF">
      <w:pPr>
        <w:ind w:left="1701" w:right="567"/>
      </w:pPr>
      <w:r w:rsidRPr="006F1D76">
        <w:t>▪</w:t>
      </w:r>
      <w:r w:rsidRPr="006F1D76">
        <w:tab/>
        <w:t>Información adicional:</w:t>
      </w:r>
    </w:p>
    <w:p w:rsidR="001A35EF" w:rsidRPr="006F1D76" w:rsidRDefault="001A35EF" w:rsidP="001A35EF">
      <w:pPr>
        <w:tabs>
          <w:tab w:val="left" w:pos="2268"/>
          <w:tab w:val="left" w:pos="2835"/>
        </w:tabs>
        <w:ind w:left="2268" w:right="567"/>
      </w:pPr>
      <w:r w:rsidRPr="006F1D76">
        <w:t>a)</w:t>
      </w:r>
      <w:r w:rsidRPr="006F1D76">
        <w:tab/>
        <w:t>datos adicionales</w:t>
      </w:r>
    </w:p>
    <w:p w:rsidR="001A35EF" w:rsidRPr="006F1D76" w:rsidRDefault="001A35EF" w:rsidP="001A35EF">
      <w:pPr>
        <w:tabs>
          <w:tab w:val="left" w:pos="2268"/>
          <w:tab w:val="left" w:pos="2835"/>
        </w:tabs>
        <w:ind w:left="2268" w:right="567"/>
      </w:pPr>
      <w:r w:rsidRPr="006F1D76">
        <w:t>b)</w:t>
      </w:r>
      <w:r w:rsidRPr="006F1D76">
        <w:tab/>
        <w:t>fotografía (si procede)</w:t>
      </w:r>
    </w:p>
    <w:p w:rsidR="001A35EF" w:rsidRPr="006F1D76" w:rsidRDefault="001A35EF" w:rsidP="001A35EF">
      <w:pPr>
        <w:tabs>
          <w:tab w:val="left" w:pos="2268"/>
          <w:tab w:val="left" w:pos="2835"/>
        </w:tabs>
        <w:ind w:left="2268" w:right="567"/>
      </w:pPr>
      <w:r w:rsidRPr="006F1D76">
        <w:t>c)</w:t>
      </w:r>
      <w:r w:rsidRPr="006F1D76">
        <w:tab/>
        <w:t>versión de la Carta de Colores RHS empleada (cuando proceda)</w:t>
      </w:r>
    </w:p>
    <w:p w:rsidR="00BA1895" w:rsidRPr="006F1D76" w:rsidRDefault="001A35EF" w:rsidP="001A35EF">
      <w:pPr>
        <w:tabs>
          <w:tab w:val="left" w:pos="2268"/>
          <w:tab w:val="left" w:pos="2835"/>
        </w:tabs>
        <w:ind w:left="2268" w:right="567"/>
      </w:pPr>
      <w:r w:rsidRPr="006F1D76">
        <w:t>d)</w:t>
      </w:r>
      <w:r w:rsidRPr="006F1D76">
        <w:tab/>
      </w:r>
      <w:proofErr w:type="gramStart"/>
      <w:r w:rsidRPr="006F1D76">
        <w:t>observaciones</w:t>
      </w:r>
      <w:proofErr w:type="gramEnd"/>
      <w:r w:rsidRPr="006F1D76">
        <w:t>.”</w:t>
      </w:r>
    </w:p>
    <w:p w:rsidR="00BA1895" w:rsidRPr="006F1D76" w:rsidRDefault="001A35EF" w:rsidP="00BA1895">
      <w:pPr>
        <w:ind w:left="567"/>
      </w:pPr>
      <w:proofErr w:type="gramStart"/>
      <w:r w:rsidRPr="006F1D76">
        <w:t>y</w:t>
      </w:r>
      <w:proofErr w:type="gramEnd"/>
    </w:p>
    <w:p w:rsidR="00BA1895" w:rsidRPr="006F1D76" w:rsidRDefault="00BA1895" w:rsidP="00BA1895"/>
    <w:p w:rsidR="00BA1895" w:rsidRPr="006F1D76" w:rsidRDefault="00BA1895" w:rsidP="00BA1895">
      <w:r w:rsidRPr="006F1D76">
        <w:tab/>
      </w:r>
      <w:r w:rsidR="001A35EF" w:rsidRPr="006F1D76">
        <w:t>ii)</w:t>
      </w:r>
      <w:r w:rsidR="001A35EF" w:rsidRPr="006F1D76">
        <w:tab/>
      </w:r>
      <w:r w:rsidR="00855B0E">
        <w:t>l</w:t>
      </w:r>
      <w:r w:rsidR="001A35EF" w:rsidRPr="006F1D76">
        <w:t>a situación de la descripción original de la variedad con respecto a la comprobación del material vegetal de una variedad protegida a efectos de la defensa del derecho de obtentor, conforme se indica a continuación:</w:t>
      </w:r>
    </w:p>
    <w:p w:rsidR="00BA1895" w:rsidRPr="006F1D76" w:rsidRDefault="00BA1895" w:rsidP="00BA1895"/>
    <w:p w:rsidR="00BA1895" w:rsidRPr="006F1D76" w:rsidRDefault="00013574" w:rsidP="00BA1895">
      <w:pPr>
        <w:rPr>
          <w:snapToGrid w:val="0"/>
          <w:spacing w:val="-2"/>
          <w:szCs w:val="18"/>
        </w:rPr>
      </w:pPr>
      <w:r w:rsidRPr="006F1D76">
        <w:rPr>
          <w:snapToGrid w:val="0"/>
          <w:spacing w:val="-2"/>
          <w:szCs w:val="18"/>
        </w:rPr>
        <w:t>El CAJ-AG examinó la situación de la descripción original de la variedad con respecto a la comprobación del material vegetal de una variedad protegida a efectos de la defensa del derecho de obtentor y señaló que en las orientaciones de la UPOV relativas a la observancia de los derechos de los obtentores que figuran en el documento UPOV/EXN/ENF/1 “Notas explicativas sobre la defensa de los derechos del obtentor con arreglo al Convenio de la UPOV” se ofrece la siguiente explicación</w:t>
      </w:r>
      <w:r w:rsidR="00BA1895" w:rsidRPr="006F1D76">
        <w:rPr>
          <w:snapToGrid w:val="0"/>
          <w:spacing w:val="-2"/>
          <w:szCs w:val="18"/>
        </w:rPr>
        <w:t xml:space="preserve">: </w:t>
      </w:r>
    </w:p>
    <w:p w:rsidR="00BA1895" w:rsidRPr="006F1D76" w:rsidRDefault="00BA1895" w:rsidP="00BA1895">
      <w:pPr>
        <w:pStyle w:val="ListParagraph"/>
        <w:ind w:left="0"/>
        <w:rPr>
          <w:snapToGrid w:val="0"/>
          <w:szCs w:val="18"/>
          <w:lang w:val="es-ES_tradnl"/>
        </w:rPr>
      </w:pPr>
    </w:p>
    <w:p w:rsidR="00BA1895" w:rsidRPr="006F1D76" w:rsidRDefault="00BA1895" w:rsidP="00BA1895">
      <w:pPr>
        <w:pStyle w:val="ListParagraph"/>
        <w:ind w:left="567" w:right="567"/>
        <w:rPr>
          <w:rFonts w:cs="Arial"/>
          <w:snapToGrid w:val="0"/>
          <w:szCs w:val="18"/>
          <w:lang w:val="es-ES_tradnl"/>
        </w:rPr>
      </w:pPr>
      <w:r w:rsidRPr="006F1D76">
        <w:rPr>
          <w:rFonts w:cs="Arial"/>
          <w:snapToGrid w:val="0"/>
          <w:szCs w:val="18"/>
          <w:lang w:val="es-ES_tradnl"/>
        </w:rPr>
        <w:t>“</w:t>
      </w:r>
      <w:r w:rsidR="00013574" w:rsidRPr="006F1D76">
        <w:rPr>
          <w:rFonts w:cs="Arial"/>
          <w:snapToGrid w:val="0"/>
          <w:szCs w:val="18"/>
          <w:lang w:val="es-ES_tradnl"/>
        </w:rPr>
        <w:t xml:space="preserve">SECCIÓN </w:t>
      </w:r>
      <w:r w:rsidRPr="006F1D76">
        <w:rPr>
          <w:rFonts w:cs="Arial"/>
          <w:snapToGrid w:val="0"/>
          <w:szCs w:val="18"/>
          <w:lang w:val="es-ES_tradnl"/>
        </w:rPr>
        <w:t>II</w:t>
      </w:r>
      <w:proofErr w:type="gramStart"/>
      <w:r w:rsidRPr="006F1D76">
        <w:rPr>
          <w:rFonts w:cs="Arial"/>
          <w:snapToGrid w:val="0"/>
          <w:szCs w:val="18"/>
          <w:lang w:val="es-ES_tradnl"/>
        </w:rPr>
        <w:t xml:space="preserve">: </w:t>
      </w:r>
      <w:r w:rsidR="00013574" w:rsidRPr="006F1D76">
        <w:rPr>
          <w:rFonts w:cs="Arial"/>
          <w:snapToGrid w:val="0"/>
          <w:szCs w:val="18"/>
          <w:lang w:val="es-ES_tradnl"/>
        </w:rPr>
        <w:t xml:space="preserve"> Algunas</w:t>
      </w:r>
      <w:proofErr w:type="gramEnd"/>
      <w:r w:rsidR="00013574" w:rsidRPr="006F1D76">
        <w:rPr>
          <w:rFonts w:cs="Arial"/>
          <w:snapToGrid w:val="0"/>
          <w:szCs w:val="18"/>
          <w:lang w:val="es-ES_tradnl"/>
        </w:rPr>
        <w:t xml:space="preserve"> medidas posibles para la defensa de los derechos de obtentor</w:t>
      </w:r>
      <w:r w:rsidRPr="006F1D76">
        <w:rPr>
          <w:rFonts w:cs="Arial"/>
          <w:snapToGrid w:val="0"/>
          <w:szCs w:val="18"/>
          <w:lang w:val="es-ES_tradnl"/>
        </w:rPr>
        <w:t xml:space="preserve"> </w:t>
      </w:r>
    </w:p>
    <w:p w:rsidR="00BA1895" w:rsidRPr="006F1D76" w:rsidRDefault="00BA1895" w:rsidP="00BA1895">
      <w:pPr>
        <w:pStyle w:val="ListParagraph"/>
        <w:ind w:left="567" w:right="567"/>
        <w:rPr>
          <w:rFonts w:cs="Arial"/>
          <w:snapToGrid w:val="0"/>
          <w:szCs w:val="18"/>
          <w:lang w:val="es-ES_tradnl"/>
        </w:rPr>
      </w:pPr>
    </w:p>
    <w:p w:rsidR="00BA1895" w:rsidRPr="006F1D76" w:rsidRDefault="00BA1895" w:rsidP="00BA1895">
      <w:pPr>
        <w:pStyle w:val="ListParagraph"/>
        <w:ind w:left="567" w:right="567"/>
        <w:rPr>
          <w:rFonts w:cs="Arial"/>
          <w:snapToGrid w:val="0"/>
          <w:szCs w:val="18"/>
          <w:lang w:val="es-ES_tradnl"/>
        </w:rPr>
      </w:pPr>
      <w:r w:rsidRPr="006F1D76">
        <w:rPr>
          <w:rFonts w:cs="Arial"/>
          <w:snapToGrid w:val="0"/>
          <w:szCs w:val="18"/>
          <w:lang w:val="es-ES_tradnl"/>
        </w:rPr>
        <w:t>“</w:t>
      </w:r>
      <w:r w:rsidR="00013574" w:rsidRPr="006F1D76">
        <w:rPr>
          <w:rFonts w:cs="Arial"/>
          <w:snapToGrid w:val="0"/>
          <w:szCs w:val="18"/>
          <w:lang w:val="es-ES_tradnl"/>
        </w:rPr>
        <w:t>Si bien el Convenio de la UPOV exige a los miembros de la Unión que prevean los recursos legales apropiados que permitan defender eficazmente los derechos de obtentor, corresponde a los obtentores la defensa de sus derechos</w:t>
      </w:r>
      <w:r w:rsidRPr="006F1D76">
        <w:rPr>
          <w:rFonts w:cs="Arial"/>
          <w:snapToGrid w:val="0"/>
          <w:szCs w:val="18"/>
          <w:lang w:val="es-ES_tradnl"/>
        </w:rPr>
        <w:t>.”</w:t>
      </w:r>
    </w:p>
    <w:p w:rsidR="00BA1895" w:rsidRPr="006F1D76" w:rsidRDefault="00BA1895" w:rsidP="00BA1895">
      <w:pPr>
        <w:pStyle w:val="ListParagraph"/>
        <w:ind w:left="0"/>
        <w:rPr>
          <w:rFonts w:cs="Arial"/>
          <w:snapToGrid w:val="0"/>
          <w:szCs w:val="18"/>
          <w:lang w:val="es-ES_tradnl"/>
        </w:rPr>
      </w:pPr>
    </w:p>
    <w:p w:rsidR="00BA1895" w:rsidRPr="006F1D76" w:rsidRDefault="00013574" w:rsidP="00BA1895">
      <w:pPr>
        <w:rPr>
          <w:rFonts w:cs="Arial"/>
          <w:snapToGrid w:val="0"/>
          <w:szCs w:val="18"/>
        </w:rPr>
      </w:pPr>
      <w:r w:rsidRPr="006F1D76">
        <w:rPr>
          <w:rFonts w:cs="Arial"/>
          <w:snapToGrid w:val="0"/>
          <w:szCs w:val="18"/>
        </w:rPr>
        <w:t>El CAJ-AG convino en que, en relación con el uso de la descripción original de la variedad, debía recordarse que la descripción de los caracteres de la variedad y la base para la distinción respecto de la variedad más similar están vinculadas a las circunstancias del examen DHE, según se expone en el párrafo 10.c) de este documento, a saber</w:t>
      </w:r>
      <w:r w:rsidR="00BA1895" w:rsidRPr="006F1D76">
        <w:rPr>
          <w:rFonts w:cs="Arial"/>
          <w:snapToGrid w:val="0"/>
          <w:szCs w:val="18"/>
        </w:rPr>
        <w:t>:</w:t>
      </w:r>
    </w:p>
    <w:p w:rsidR="00BA1895" w:rsidRPr="006F1D76" w:rsidRDefault="00BA1895" w:rsidP="00BA1895">
      <w:pPr>
        <w:ind w:left="567" w:right="567"/>
        <w:rPr>
          <w:rFonts w:cs="Arial"/>
          <w:snapToGrid w:val="0"/>
          <w:szCs w:val="18"/>
        </w:rPr>
      </w:pPr>
    </w:p>
    <w:p w:rsidR="00013574" w:rsidRPr="006F1D76" w:rsidRDefault="00013574" w:rsidP="00013574">
      <w:pPr>
        <w:pStyle w:val="ListParagraph"/>
        <w:keepNext/>
        <w:numPr>
          <w:ilvl w:val="2"/>
          <w:numId w:val="2"/>
        </w:numPr>
        <w:tabs>
          <w:tab w:val="left" w:pos="1134"/>
          <w:tab w:val="left" w:pos="1701"/>
        </w:tabs>
        <w:spacing w:line="276" w:lineRule="auto"/>
        <w:ind w:left="1134" w:right="567" w:firstLine="0"/>
        <w:rPr>
          <w:rFonts w:cs="Arial"/>
          <w:szCs w:val="18"/>
          <w:lang w:val="es-ES_tradnl"/>
        </w:rPr>
      </w:pPr>
      <w:r w:rsidRPr="006F1D76">
        <w:rPr>
          <w:rFonts w:cs="Arial"/>
          <w:szCs w:val="18"/>
          <w:lang w:val="es-ES_tradnl"/>
        </w:rPr>
        <w:lastRenderedPageBreak/>
        <w:t>Fecha y número de documento de las Directrices de Examen de la UPOV;</w:t>
      </w:r>
    </w:p>
    <w:p w:rsidR="00013574" w:rsidRPr="006F1D76" w:rsidRDefault="00013574" w:rsidP="00855B0E">
      <w:pPr>
        <w:pStyle w:val="ListParagraph"/>
        <w:keepNext/>
        <w:numPr>
          <w:ilvl w:val="2"/>
          <w:numId w:val="2"/>
        </w:numPr>
        <w:tabs>
          <w:tab w:val="left" w:pos="1701"/>
        </w:tabs>
        <w:spacing w:line="276" w:lineRule="auto"/>
        <w:ind w:left="1701" w:right="567" w:hanging="567"/>
        <w:rPr>
          <w:rFonts w:cs="Arial"/>
          <w:szCs w:val="18"/>
          <w:lang w:val="es-ES_tradnl"/>
        </w:rPr>
      </w:pPr>
      <w:r w:rsidRPr="006F1D76">
        <w:rPr>
          <w:rFonts w:cs="Arial"/>
          <w:szCs w:val="18"/>
          <w:lang w:val="es-ES_tradnl"/>
        </w:rPr>
        <w:t>Fecha y/o número de documento de las directrices de examen de la autoridad informante;</w:t>
      </w:r>
    </w:p>
    <w:p w:rsidR="00013574" w:rsidRPr="006F1D76" w:rsidRDefault="00013574" w:rsidP="00013574">
      <w:pPr>
        <w:pStyle w:val="ListParagraph"/>
        <w:keepNext/>
        <w:numPr>
          <w:ilvl w:val="2"/>
          <w:numId w:val="2"/>
        </w:numPr>
        <w:tabs>
          <w:tab w:val="left" w:pos="1134"/>
          <w:tab w:val="left" w:pos="1701"/>
        </w:tabs>
        <w:spacing w:line="276" w:lineRule="auto"/>
        <w:ind w:left="1134" w:right="567" w:firstLine="0"/>
        <w:rPr>
          <w:rFonts w:cs="Arial"/>
          <w:szCs w:val="18"/>
          <w:lang w:val="es-ES_tradnl"/>
        </w:rPr>
      </w:pPr>
      <w:r w:rsidRPr="006F1D76">
        <w:rPr>
          <w:rFonts w:cs="Arial"/>
          <w:szCs w:val="18"/>
          <w:lang w:val="es-ES_tradnl"/>
        </w:rPr>
        <w:t>Autoridad informante;</w:t>
      </w:r>
    </w:p>
    <w:p w:rsidR="00013574" w:rsidRPr="006F1D76" w:rsidRDefault="00013574" w:rsidP="00013574">
      <w:pPr>
        <w:pStyle w:val="ListParagraph"/>
        <w:keepNext/>
        <w:numPr>
          <w:ilvl w:val="2"/>
          <w:numId w:val="2"/>
        </w:numPr>
        <w:tabs>
          <w:tab w:val="left" w:pos="1134"/>
          <w:tab w:val="left" w:pos="1701"/>
        </w:tabs>
        <w:spacing w:line="276" w:lineRule="auto"/>
        <w:ind w:left="1134" w:right="567" w:firstLine="0"/>
        <w:rPr>
          <w:rFonts w:cs="Arial"/>
          <w:szCs w:val="18"/>
          <w:lang w:val="es-ES_tradnl"/>
        </w:rPr>
      </w:pPr>
      <w:r w:rsidRPr="006F1D76">
        <w:rPr>
          <w:rFonts w:cs="Arial"/>
          <w:szCs w:val="18"/>
          <w:lang w:val="es-ES_tradnl"/>
        </w:rPr>
        <w:t>Estación(es) y lugar(es) del examen;</w:t>
      </w:r>
    </w:p>
    <w:p w:rsidR="00013574" w:rsidRPr="006F1D76" w:rsidRDefault="00013574" w:rsidP="00013574">
      <w:pPr>
        <w:pStyle w:val="ListParagraph"/>
        <w:keepNext/>
        <w:numPr>
          <w:ilvl w:val="2"/>
          <w:numId w:val="2"/>
        </w:numPr>
        <w:tabs>
          <w:tab w:val="left" w:pos="1134"/>
          <w:tab w:val="left" w:pos="1701"/>
        </w:tabs>
        <w:spacing w:line="276" w:lineRule="auto"/>
        <w:ind w:left="1134" w:right="567" w:firstLine="0"/>
        <w:rPr>
          <w:rFonts w:cs="Arial"/>
          <w:szCs w:val="18"/>
          <w:lang w:val="es-ES_tradnl"/>
        </w:rPr>
      </w:pPr>
      <w:r w:rsidRPr="006F1D76">
        <w:rPr>
          <w:rFonts w:cs="Arial"/>
          <w:szCs w:val="18"/>
          <w:lang w:val="es-ES_tradnl"/>
        </w:rPr>
        <w:t>Período de realización del examen;</w:t>
      </w:r>
    </w:p>
    <w:p w:rsidR="00013574" w:rsidRPr="006F1D76" w:rsidRDefault="00013574" w:rsidP="00013574">
      <w:pPr>
        <w:pStyle w:val="ListParagraph"/>
        <w:keepNext/>
        <w:numPr>
          <w:ilvl w:val="2"/>
          <w:numId w:val="2"/>
        </w:numPr>
        <w:tabs>
          <w:tab w:val="left" w:pos="1134"/>
          <w:tab w:val="left" w:pos="1701"/>
        </w:tabs>
        <w:spacing w:line="276" w:lineRule="auto"/>
        <w:ind w:left="1134" w:right="567" w:firstLine="0"/>
        <w:rPr>
          <w:rFonts w:cs="Arial"/>
          <w:szCs w:val="18"/>
          <w:lang w:val="es-ES_tradnl"/>
        </w:rPr>
      </w:pPr>
      <w:r w:rsidRPr="006F1D76">
        <w:rPr>
          <w:rFonts w:cs="Arial"/>
          <w:szCs w:val="18"/>
          <w:lang w:val="es-ES_tradnl"/>
        </w:rPr>
        <w:t>Fecha y lugar de emisión del documento;</w:t>
      </w:r>
    </w:p>
    <w:p w:rsidR="00013574" w:rsidRPr="006F1D76" w:rsidRDefault="00013574" w:rsidP="00013574">
      <w:pPr>
        <w:pStyle w:val="ListParagraph"/>
        <w:keepNext/>
        <w:numPr>
          <w:ilvl w:val="2"/>
          <w:numId w:val="2"/>
        </w:numPr>
        <w:tabs>
          <w:tab w:val="left" w:pos="1134"/>
          <w:tab w:val="left" w:pos="1701"/>
        </w:tabs>
        <w:spacing w:line="276" w:lineRule="auto"/>
        <w:ind w:left="1134" w:right="567" w:firstLine="0"/>
        <w:rPr>
          <w:rFonts w:cs="Arial"/>
          <w:szCs w:val="18"/>
          <w:lang w:val="es-ES_tradnl"/>
        </w:rPr>
      </w:pPr>
      <w:r w:rsidRPr="006F1D76">
        <w:rPr>
          <w:rFonts w:cs="Arial"/>
          <w:szCs w:val="18"/>
          <w:lang w:val="es-ES_tradnl"/>
        </w:rPr>
        <w:t>Grupo</w:t>
      </w:r>
      <w:r w:rsidR="004E7F2F">
        <w:rPr>
          <w:rFonts w:cs="Arial"/>
          <w:szCs w:val="18"/>
          <w:lang w:val="es-ES_tradnl"/>
        </w:rPr>
        <w:t xml:space="preserve">:  </w:t>
      </w:r>
      <w:r w:rsidRPr="006F1D76">
        <w:rPr>
          <w:rFonts w:cs="Arial"/>
          <w:szCs w:val="18"/>
          <w:lang w:val="es-ES_tradnl"/>
        </w:rPr>
        <w:t>(Cuadro:  Caracteres</w:t>
      </w:r>
      <w:r w:rsidR="004E7F2F">
        <w:rPr>
          <w:rFonts w:cs="Arial"/>
          <w:szCs w:val="18"/>
          <w:lang w:val="es-ES_tradnl"/>
        </w:rPr>
        <w:t xml:space="preserve">;  </w:t>
      </w:r>
      <w:r w:rsidRPr="006F1D76">
        <w:rPr>
          <w:rFonts w:cs="Arial"/>
          <w:szCs w:val="18"/>
          <w:lang w:val="es-ES_tradnl"/>
        </w:rPr>
        <w:t>Niveles de expresión</w:t>
      </w:r>
      <w:r w:rsidR="004E7F2F">
        <w:rPr>
          <w:rFonts w:cs="Arial"/>
          <w:szCs w:val="18"/>
          <w:lang w:val="es-ES_tradnl"/>
        </w:rPr>
        <w:t xml:space="preserve">;  </w:t>
      </w:r>
      <w:r w:rsidRPr="006F1D76">
        <w:rPr>
          <w:rFonts w:cs="Arial"/>
          <w:szCs w:val="18"/>
          <w:lang w:val="es-ES_tradnl"/>
        </w:rPr>
        <w:t>Nota</w:t>
      </w:r>
      <w:r w:rsidR="004E7F2F">
        <w:rPr>
          <w:rFonts w:cs="Arial"/>
          <w:szCs w:val="18"/>
          <w:lang w:val="es-ES_tradnl"/>
        </w:rPr>
        <w:t xml:space="preserve">;  </w:t>
      </w:r>
      <w:r w:rsidRPr="006F1D76">
        <w:rPr>
          <w:rFonts w:cs="Arial"/>
          <w:szCs w:val="18"/>
          <w:lang w:val="es-ES_tradnl"/>
        </w:rPr>
        <w:t>Observaciones);</w:t>
      </w:r>
    </w:p>
    <w:p w:rsidR="00BA1895" w:rsidRPr="006F1D76" w:rsidRDefault="00013574" w:rsidP="00013574">
      <w:pPr>
        <w:pStyle w:val="ListParagraph"/>
        <w:keepNext/>
        <w:numPr>
          <w:ilvl w:val="2"/>
          <w:numId w:val="2"/>
        </w:numPr>
        <w:tabs>
          <w:tab w:val="left" w:pos="1134"/>
          <w:tab w:val="left" w:pos="1701"/>
        </w:tabs>
        <w:spacing w:line="276" w:lineRule="auto"/>
        <w:ind w:left="1134" w:right="567" w:firstLine="0"/>
        <w:rPr>
          <w:rFonts w:cs="Arial"/>
          <w:szCs w:val="18"/>
          <w:lang w:val="es-ES_tradnl"/>
        </w:rPr>
      </w:pPr>
      <w:r w:rsidRPr="006F1D76">
        <w:rPr>
          <w:rFonts w:cs="Arial"/>
          <w:szCs w:val="18"/>
          <w:lang w:val="es-ES_tradnl"/>
        </w:rPr>
        <w:t>Información adicional</w:t>
      </w:r>
      <w:r w:rsidR="00BA1895" w:rsidRPr="006F1D76">
        <w:rPr>
          <w:rFonts w:cs="Arial"/>
          <w:szCs w:val="18"/>
          <w:lang w:val="es-ES_tradnl"/>
        </w:rPr>
        <w:t>:</w:t>
      </w:r>
    </w:p>
    <w:p w:rsidR="00013574" w:rsidRPr="006F1D76" w:rsidRDefault="00BA1895" w:rsidP="00013574">
      <w:pPr>
        <w:keepNext/>
        <w:tabs>
          <w:tab w:val="left" w:pos="1134"/>
          <w:tab w:val="left" w:pos="1701"/>
          <w:tab w:val="left" w:pos="2268"/>
          <w:tab w:val="left" w:pos="2835"/>
        </w:tabs>
        <w:spacing w:line="276" w:lineRule="auto"/>
        <w:ind w:left="1134" w:right="567"/>
        <w:rPr>
          <w:rFonts w:cs="Arial"/>
          <w:color w:val="000000"/>
          <w:szCs w:val="18"/>
        </w:rPr>
      </w:pPr>
      <w:r w:rsidRPr="006F1D76">
        <w:rPr>
          <w:rFonts w:cs="Arial"/>
          <w:szCs w:val="18"/>
        </w:rPr>
        <w:tab/>
      </w:r>
      <w:r w:rsidR="00013574" w:rsidRPr="006F1D76">
        <w:rPr>
          <w:rFonts w:cs="Arial"/>
          <w:color w:val="000000"/>
          <w:szCs w:val="18"/>
        </w:rPr>
        <w:t>a)</w:t>
      </w:r>
      <w:r w:rsidR="00013574" w:rsidRPr="006F1D76">
        <w:rPr>
          <w:rFonts w:cs="Arial"/>
          <w:color w:val="000000"/>
          <w:szCs w:val="18"/>
        </w:rPr>
        <w:tab/>
        <w:t>datos adicionales</w:t>
      </w:r>
    </w:p>
    <w:p w:rsidR="00013574" w:rsidRPr="006F1D76" w:rsidRDefault="00013574" w:rsidP="00013574">
      <w:pPr>
        <w:keepNext/>
        <w:tabs>
          <w:tab w:val="left" w:pos="1134"/>
          <w:tab w:val="left" w:pos="1701"/>
          <w:tab w:val="left" w:pos="2268"/>
          <w:tab w:val="left" w:pos="2835"/>
        </w:tabs>
        <w:spacing w:line="276" w:lineRule="auto"/>
        <w:ind w:left="1134" w:right="567"/>
        <w:rPr>
          <w:rFonts w:cs="Arial"/>
          <w:szCs w:val="18"/>
        </w:rPr>
      </w:pPr>
      <w:r w:rsidRPr="006F1D76">
        <w:rPr>
          <w:rFonts w:cs="Arial"/>
          <w:szCs w:val="18"/>
        </w:rPr>
        <w:tab/>
        <w:t>b)</w:t>
      </w:r>
      <w:r w:rsidRPr="006F1D76">
        <w:rPr>
          <w:rFonts w:cs="Arial"/>
          <w:szCs w:val="18"/>
        </w:rPr>
        <w:tab/>
        <w:t>fotografía (si procede)</w:t>
      </w:r>
    </w:p>
    <w:p w:rsidR="00013574" w:rsidRPr="006F1D76" w:rsidRDefault="00013574" w:rsidP="00013574">
      <w:pPr>
        <w:keepNext/>
        <w:tabs>
          <w:tab w:val="left" w:pos="1134"/>
          <w:tab w:val="left" w:pos="1701"/>
          <w:tab w:val="left" w:pos="2268"/>
          <w:tab w:val="left" w:pos="2835"/>
        </w:tabs>
        <w:spacing w:line="276" w:lineRule="auto"/>
        <w:ind w:left="1134" w:right="567"/>
        <w:rPr>
          <w:rFonts w:cs="Arial"/>
          <w:szCs w:val="18"/>
        </w:rPr>
      </w:pPr>
      <w:r w:rsidRPr="006F1D76">
        <w:rPr>
          <w:rFonts w:cs="Arial"/>
          <w:szCs w:val="18"/>
        </w:rPr>
        <w:tab/>
        <w:t>c)</w:t>
      </w:r>
      <w:r w:rsidRPr="006F1D76">
        <w:rPr>
          <w:rFonts w:cs="Arial"/>
          <w:szCs w:val="18"/>
        </w:rPr>
        <w:tab/>
        <w:t>versión de la Carta de Colores RHS empleada (cuando proceda)</w:t>
      </w:r>
    </w:p>
    <w:p w:rsidR="00BA1895" w:rsidRPr="006F1D76" w:rsidRDefault="00013574" w:rsidP="00013574">
      <w:pPr>
        <w:keepNext/>
        <w:tabs>
          <w:tab w:val="left" w:pos="1134"/>
          <w:tab w:val="left" w:pos="1701"/>
          <w:tab w:val="left" w:pos="2268"/>
          <w:tab w:val="left" w:pos="2835"/>
        </w:tabs>
        <w:spacing w:line="276" w:lineRule="auto"/>
        <w:ind w:left="1134" w:right="567"/>
        <w:rPr>
          <w:rFonts w:cs="Arial"/>
          <w:szCs w:val="18"/>
        </w:rPr>
      </w:pPr>
      <w:r w:rsidRPr="006F1D76">
        <w:rPr>
          <w:rFonts w:cs="Arial"/>
          <w:szCs w:val="18"/>
        </w:rPr>
        <w:tab/>
        <w:t>d)</w:t>
      </w:r>
      <w:r w:rsidRPr="006F1D76">
        <w:rPr>
          <w:rFonts w:cs="Arial"/>
          <w:szCs w:val="18"/>
        </w:rPr>
        <w:tab/>
        <w:t>observaciones</w:t>
      </w:r>
    </w:p>
    <w:p w:rsidR="00050E16" w:rsidRPr="006F1D76" w:rsidRDefault="00050E16" w:rsidP="00050E16"/>
    <w:p w:rsidR="00544581" w:rsidRPr="006F1D76" w:rsidRDefault="00544581">
      <w:pPr>
        <w:jc w:val="left"/>
      </w:pPr>
    </w:p>
    <w:p w:rsidR="00050E16" w:rsidRPr="006F1D76" w:rsidRDefault="00050E16" w:rsidP="00050E16"/>
    <w:p w:rsidR="009B440E" w:rsidRPr="006F1D76" w:rsidRDefault="00050E16" w:rsidP="00050E16">
      <w:pPr>
        <w:jc w:val="right"/>
      </w:pPr>
      <w:r w:rsidRPr="006F1D76">
        <w:t>[</w:t>
      </w:r>
      <w:r w:rsidR="000638A9" w:rsidRPr="006F1D76">
        <w:t xml:space="preserve">Fin del </w:t>
      </w:r>
      <w:r w:rsidR="00BA1895" w:rsidRPr="006F1D76">
        <w:t xml:space="preserve">Anexo y del </w:t>
      </w:r>
      <w:r w:rsidR="000638A9" w:rsidRPr="006F1D76">
        <w:t>documento</w:t>
      </w:r>
      <w:r w:rsidRPr="006F1D76">
        <w:t>]</w:t>
      </w:r>
    </w:p>
    <w:p w:rsidR="00202E38" w:rsidRPr="006F1D76" w:rsidRDefault="00202E38">
      <w:pPr>
        <w:jc w:val="left"/>
      </w:pPr>
    </w:p>
    <w:p w:rsidR="008B3D8D" w:rsidRPr="006F1D76" w:rsidRDefault="008B3D8D">
      <w:pPr>
        <w:jc w:val="left"/>
      </w:pPr>
    </w:p>
    <w:p w:rsidR="00050E16" w:rsidRPr="006F1D76" w:rsidRDefault="00050E16" w:rsidP="009B440E">
      <w:pPr>
        <w:jc w:val="left"/>
      </w:pPr>
    </w:p>
    <w:sectPr w:rsidR="00050E16" w:rsidRPr="006F1D76" w:rsidSect="00DE5D38">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88D" w:rsidRDefault="00A3588D" w:rsidP="006655D3">
      <w:r>
        <w:separator/>
      </w:r>
    </w:p>
    <w:p w:rsidR="00A3588D" w:rsidRDefault="00A3588D" w:rsidP="006655D3"/>
    <w:p w:rsidR="00A3588D" w:rsidRDefault="00A3588D" w:rsidP="006655D3"/>
  </w:endnote>
  <w:endnote w:type="continuationSeparator" w:id="0">
    <w:p w:rsidR="00A3588D" w:rsidRDefault="00A3588D" w:rsidP="006655D3">
      <w:r>
        <w:separator/>
      </w:r>
    </w:p>
    <w:p w:rsidR="00A3588D" w:rsidRPr="00294751" w:rsidRDefault="00A3588D">
      <w:pPr>
        <w:pStyle w:val="Footer"/>
        <w:spacing w:after="60"/>
        <w:rPr>
          <w:sz w:val="18"/>
          <w:lang w:val="fr-FR"/>
        </w:rPr>
      </w:pPr>
      <w:r w:rsidRPr="00294751">
        <w:rPr>
          <w:sz w:val="18"/>
          <w:lang w:val="fr-FR"/>
        </w:rPr>
        <w:t>[Suite de la note de la page précédente]</w:t>
      </w:r>
    </w:p>
    <w:p w:rsidR="00A3588D" w:rsidRPr="00294751" w:rsidRDefault="00A3588D" w:rsidP="006655D3">
      <w:pPr>
        <w:rPr>
          <w:lang w:val="fr-FR"/>
        </w:rPr>
      </w:pPr>
    </w:p>
    <w:p w:rsidR="00A3588D" w:rsidRPr="00294751" w:rsidRDefault="00A3588D" w:rsidP="006655D3">
      <w:pPr>
        <w:rPr>
          <w:lang w:val="fr-FR"/>
        </w:rPr>
      </w:pPr>
    </w:p>
  </w:endnote>
  <w:endnote w:type="continuationNotice" w:id="1">
    <w:p w:rsidR="00A3588D" w:rsidRPr="00294751" w:rsidRDefault="00A3588D" w:rsidP="006655D3">
      <w:pPr>
        <w:rPr>
          <w:lang w:val="fr-FR"/>
        </w:rPr>
      </w:pPr>
      <w:r w:rsidRPr="00294751">
        <w:rPr>
          <w:lang w:val="fr-FR"/>
        </w:rPr>
        <w:t>[Suite de la note page suivante]</w:t>
      </w:r>
    </w:p>
    <w:p w:rsidR="00A3588D" w:rsidRPr="00294751" w:rsidRDefault="00A3588D" w:rsidP="006655D3">
      <w:pPr>
        <w:rPr>
          <w:lang w:val="fr-FR"/>
        </w:rPr>
      </w:pPr>
    </w:p>
    <w:p w:rsidR="00A3588D" w:rsidRPr="00294751" w:rsidRDefault="00A3588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88D" w:rsidRDefault="00A3588D" w:rsidP="006655D3">
      <w:r>
        <w:separator/>
      </w:r>
    </w:p>
  </w:footnote>
  <w:footnote w:type="continuationSeparator" w:id="0">
    <w:p w:rsidR="00A3588D" w:rsidRDefault="00A3588D" w:rsidP="006655D3">
      <w:r>
        <w:separator/>
      </w:r>
    </w:p>
  </w:footnote>
  <w:footnote w:type="continuationNotice" w:id="1">
    <w:p w:rsidR="00A3588D" w:rsidRPr="00AB530F" w:rsidRDefault="00A3588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0A23DC" w:rsidRDefault="00C53EB3" w:rsidP="000A23DC">
    <w:pPr>
      <w:pStyle w:val="Header"/>
      <w:rPr>
        <w:rStyle w:val="PageNumber"/>
      </w:rPr>
    </w:pPr>
    <w:r w:rsidRPr="000A23DC">
      <w:rPr>
        <w:rStyle w:val="PageNumber"/>
      </w:rPr>
      <w:t>TC/53</w:t>
    </w:r>
    <w:r w:rsidR="00667404" w:rsidRPr="000A23DC">
      <w:rPr>
        <w:rStyle w:val="PageNumber"/>
      </w:rPr>
      <w:t>/</w:t>
    </w:r>
    <w:r w:rsidR="00B33E83">
      <w:rPr>
        <w:rStyle w:val="PageNumber"/>
      </w:rPr>
      <w:t>22</w:t>
    </w:r>
  </w:p>
  <w:p w:rsidR="00182B99" w:rsidRPr="00202E38" w:rsidRDefault="008B3D8D" w:rsidP="008B3D8D">
    <w:pPr>
      <w:pStyle w:val="Header"/>
      <w:rPr>
        <w:lang w:val="de-DE"/>
      </w:rPr>
    </w:pPr>
    <w:proofErr w:type="gramStart"/>
    <w:r w:rsidRPr="008B3D8D">
      <w:t>página</w:t>
    </w:r>
    <w:proofErr w:type="gramEnd"/>
    <w:r w:rsidR="00182B99" w:rsidRPr="00202E38">
      <w:rPr>
        <w:lang w:val="de-DE"/>
      </w:rPr>
      <w:t xml:space="preserve"> </w:t>
    </w:r>
    <w:r w:rsidR="008A4AF9" w:rsidRPr="00202E38">
      <w:rPr>
        <w:rStyle w:val="PageNumber"/>
        <w:lang w:val="de-DE"/>
      </w:rPr>
      <w:fldChar w:fldCharType="begin"/>
    </w:r>
    <w:r w:rsidR="00182B99" w:rsidRPr="00202E38">
      <w:rPr>
        <w:rStyle w:val="PageNumber"/>
        <w:lang w:val="de-DE"/>
      </w:rPr>
      <w:instrText xml:space="preserve"> PAGE </w:instrText>
    </w:r>
    <w:r w:rsidR="008A4AF9" w:rsidRPr="00202E38">
      <w:rPr>
        <w:rStyle w:val="PageNumber"/>
        <w:lang w:val="de-DE"/>
      </w:rPr>
      <w:fldChar w:fldCharType="separate"/>
    </w:r>
    <w:r w:rsidR="0066678B">
      <w:rPr>
        <w:rStyle w:val="PageNumber"/>
        <w:noProof/>
        <w:lang w:val="de-DE"/>
      </w:rPr>
      <w:t>4</w:t>
    </w:r>
    <w:r w:rsidR="008A4AF9" w:rsidRPr="00202E38">
      <w:rPr>
        <w:rStyle w:val="PageNumber"/>
        <w:lang w:val="de-DE"/>
      </w:rPr>
      <w:fldChar w:fldCharType="end"/>
    </w:r>
  </w:p>
  <w:p w:rsidR="00182B99" w:rsidRPr="00202E38" w:rsidRDefault="00182B99" w:rsidP="006655D3">
    <w:pPr>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D38" w:rsidRPr="000A23DC" w:rsidRDefault="00DE5D38" w:rsidP="000A23DC">
    <w:pPr>
      <w:pStyle w:val="Header"/>
      <w:rPr>
        <w:rStyle w:val="PageNumber"/>
      </w:rPr>
    </w:pPr>
    <w:r w:rsidRPr="000A23DC">
      <w:rPr>
        <w:rStyle w:val="PageNumber"/>
      </w:rPr>
      <w:t>TC/53/</w:t>
    </w:r>
    <w:r>
      <w:rPr>
        <w:rStyle w:val="PageNumber"/>
      </w:rPr>
      <w:t>22</w:t>
    </w:r>
  </w:p>
  <w:p w:rsidR="00DE5D38" w:rsidRPr="00202E38" w:rsidRDefault="00DE5D38" w:rsidP="008B3D8D">
    <w:pPr>
      <w:pStyle w:val="Header"/>
      <w:rPr>
        <w:lang w:val="de-DE"/>
      </w:rPr>
    </w:pPr>
    <w:r>
      <w:t xml:space="preserve">Anexo, </w:t>
    </w:r>
    <w:r w:rsidRPr="008B3D8D">
      <w:t>página</w:t>
    </w:r>
    <w:r w:rsidRPr="00202E38">
      <w:rPr>
        <w:lang w:val="de-DE"/>
      </w:rPr>
      <w:t xml:space="preserve"> </w:t>
    </w:r>
    <w:r w:rsidR="008A4AF9" w:rsidRPr="00202E38">
      <w:rPr>
        <w:rStyle w:val="PageNumber"/>
        <w:lang w:val="de-DE"/>
      </w:rPr>
      <w:fldChar w:fldCharType="begin"/>
    </w:r>
    <w:r w:rsidRPr="00202E38">
      <w:rPr>
        <w:rStyle w:val="PageNumber"/>
        <w:lang w:val="de-DE"/>
      </w:rPr>
      <w:instrText xml:space="preserve"> PAGE </w:instrText>
    </w:r>
    <w:r w:rsidR="008A4AF9" w:rsidRPr="00202E38">
      <w:rPr>
        <w:rStyle w:val="PageNumber"/>
        <w:lang w:val="de-DE"/>
      </w:rPr>
      <w:fldChar w:fldCharType="separate"/>
    </w:r>
    <w:r w:rsidR="0066678B">
      <w:rPr>
        <w:rStyle w:val="PageNumber"/>
        <w:noProof/>
        <w:lang w:val="de-DE"/>
      </w:rPr>
      <w:t>2</w:t>
    </w:r>
    <w:r w:rsidR="008A4AF9" w:rsidRPr="00202E38">
      <w:rPr>
        <w:rStyle w:val="PageNumber"/>
        <w:lang w:val="de-DE"/>
      </w:rPr>
      <w:fldChar w:fldCharType="end"/>
    </w:r>
  </w:p>
  <w:p w:rsidR="00DE5D38" w:rsidRPr="00202E38" w:rsidRDefault="00DE5D38" w:rsidP="006655D3">
    <w:pPr>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D38" w:rsidRDefault="00DE5D38">
    <w:pPr>
      <w:pStyle w:val="Header"/>
    </w:pPr>
    <w:r>
      <w:t>TC/53/22</w:t>
    </w:r>
  </w:p>
  <w:p w:rsidR="00DE5D38" w:rsidRDefault="00DE5D38">
    <w:pPr>
      <w:pStyle w:val="Header"/>
    </w:pPr>
  </w:p>
  <w:p w:rsidR="00DE5D38" w:rsidRDefault="00DE5D38">
    <w:pPr>
      <w:pStyle w:val="Header"/>
    </w:pPr>
    <w:r>
      <w:t>ANEXO</w:t>
    </w:r>
  </w:p>
  <w:p w:rsidR="00DE5D38" w:rsidRDefault="00DE5D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38F6"/>
    <w:multiLevelType w:val="hybridMultilevel"/>
    <w:tmpl w:val="0194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F0"/>
    <w:rsid w:val="00010CF3"/>
    <w:rsid w:val="00011E27"/>
    <w:rsid w:val="00013574"/>
    <w:rsid w:val="000148BC"/>
    <w:rsid w:val="00024AB8"/>
    <w:rsid w:val="00030854"/>
    <w:rsid w:val="00036028"/>
    <w:rsid w:val="00044642"/>
    <w:rsid w:val="000446B9"/>
    <w:rsid w:val="00047E21"/>
    <w:rsid w:val="00050E16"/>
    <w:rsid w:val="000638A9"/>
    <w:rsid w:val="00085505"/>
    <w:rsid w:val="000A23DC"/>
    <w:rsid w:val="000B52E4"/>
    <w:rsid w:val="000C4E25"/>
    <w:rsid w:val="000C7021"/>
    <w:rsid w:val="000D6BBC"/>
    <w:rsid w:val="000D7780"/>
    <w:rsid w:val="000E636A"/>
    <w:rsid w:val="000F2F11"/>
    <w:rsid w:val="000F6320"/>
    <w:rsid w:val="00105929"/>
    <w:rsid w:val="00110C36"/>
    <w:rsid w:val="001131D5"/>
    <w:rsid w:val="001150CC"/>
    <w:rsid w:val="00115404"/>
    <w:rsid w:val="00141DB8"/>
    <w:rsid w:val="00172084"/>
    <w:rsid w:val="0017474A"/>
    <w:rsid w:val="001758C6"/>
    <w:rsid w:val="00182B99"/>
    <w:rsid w:val="001A35EF"/>
    <w:rsid w:val="001F64BF"/>
    <w:rsid w:val="00202E38"/>
    <w:rsid w:val="0021332C"/>
    <w:rsid w:val="00213982"/>
    <w:rsid w:val="0024416D"/>
    <w:rsid w:val="002464A3"/>
    <w:rsid w:val="00271911"/>
    <w:rsid w:val="002800A0"/>
    <w:rsid w:val="002801B3"/>
    <w:rsid w:val="00281060"/>
    <w:rsid w:val="002940E8"/>
    <w:rsid w:val="00294751"/>
    <w:rsid w:val="002A3DF1"/>
    <w:rsid w:val="002A6E50"/>
    <w:rsid w:val="002B4298"/>
    <w:rsid w:val="002C256A"/>
    <w:rsid w:val="002E5944"/>
    <w:rsid w:val="00305A7F"/>
    <w:rsid w:val="003152FE"/>
    <w:rsid w:val="00327436"/>
    <w:rsid w:val="00344BD6"/>
    <w:rsid w:val="0035528D"/>
    <w:rsid w:val="00361821"/>
    <w:rsid w:val="00361E9E"/>
    <w:rsid w:val="003B031A"/>
    <w:rsid w:val="003C7FBE"/>
    <w:rsid w:val="003D227C"/>
    <w:rsid w:val="003D2B4D"/>
    <w:rsid w:val="0040557F"/>
    <w:rsid w:val="00444A88"/>
    <w:rsid w:val="00474DA4"/>
    <w:rsid w:val="00476B4D"/>
    <w:rsid w:val="004805FA"/>
    <w:rsid w:val="004935D2"/>
    <w:rsid w:val="004B1215"/>
    <w:rsid w:val="004D047D"/>
    <w:rsid w:val="004E7F2F"/>
    <w:rsid w:val="004F1E9E"/>
    <w:rsid w:val="004F305A"/>
    <w:rsid w:val="004F7EDB"/>
    <w:rsid w:val="00512164"/>
    <w:rsid w:val="00520297"/>
    <w:rsid w:val="005338F9"/>
    <w:rsid w:val="0054281C"/>
    <w:rsid w:val="00544581"/>
    <w:rsid w:val="00545E42"/>
    <w:rsid w:val="0055268D"/>
    <w:rsid w:val="00576BE4"/>
    <w:rsid w:val="005A400A"/>
    <w:rsid w:val="005F7B92"/>
    <w:rsid w:val="00612379"/>
    <w:rsid w:val="006153B6"/>
    <w:rsid w:val="0061555F"/>
    <w:rsid w:val="00636CA6"/>
    <w:rsid w:val="00637EDD"/>
    <w:rsid w:val="00641200"/>
    <w:rsid w:val="00645CA8"/>
    <w:rsid w:val="006655D3"/>
    <w:rsid w:val="0066678B"/>
    <w:rsid w:val="00667404"/>
    <w:rsid w:val="00687EB4"/>
    <w:rsid w:val="00695C56"/>
    <w:rsid w:val="006A5CDE"/>
    <w:rsid w:val="006A644A"/>
    <w:rsid w:val="006B17D2"/>
    <w:rsid w:val="006C224E"/>
    <w:rsid w:val="006D780A"/>
    <w:rsid w:val="006F1D76"/>
    <w:rsid w:val="0071271E"/>
    <w:rsid w:val="00732DEC"/>
    <w:rsid w:val="00735BD5"/>
    <w:rsid w:val="00751613"/>
    <w:rsid w:val="007556F6"/>
    <w:rsid w:val="00760EEF"/>
    <w:rsid w:val="007702F0"/>
    <w:rsid w:val="00777EE5"/>
    <w:rsid w:val="00783722"/>
    <w:rsid w:val="00784836"/>
    <w:rsid w:val="0079023E"/>
    <w:rsid w:val="00791A49"/>
    <w:rsid w:val="007A2854"/>
    <w:rsid w:val="007C1D92"/>
    <w:rsid w:val="007C4CB9"/>
    <w:rsid w:val="007D0B9D"/>
    <w:rsid w:val="007D19B0"/>
    <w:rsid w:val="007F498F"/>
    <w:rsid w:val="0080679D"/>
    <w:rsid w:val="008108B0"/>
    <w:rsid w:val="00811B20"/>
    <w:rsid w:val="008211B5"/>
    <w:rsid w:val="0082296E"/>
    <w:rsid w:val="00824099"/>
    <w:rsid w:val="008357BF"/>
    <w:rsid w:val="00846D7C"/>
    <w:rsid w:val="00855B0E"/>
    <w:rsid w:val="00856685"/>
    <w:rsid w:val="00864C55"/>
    <w:rsid w:val="00867AC1"/>
    <w:rsid w:val="00890DF8"/>
    <w:rsid w:val="008A4AF9"/>
    <w:rsid w:val="008A743F"/>
    <w:rsid w:val="008B3D8D"/>
    <w:rsid w:val="008C0970"/>
    <w:rsid w:val="008D0BC5"/>
    <w:rsid w:val="008D2CF7"/>
    <w:rsid w:val="008E167C"/>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690D"/>
    <w:rsid w:val="009E65B6"/>
    <w:rsid w:val="00A24C10"/>
    <w:rsid w:val="00A35282"/>
    <w:rsid w:val="00A3588D"/>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33E83"/>
    <w:rsid w:val="00B46575"/>
    <w:rsid w:val="00B61777"/>
    <w:rsid w:val="00B84BBD"/>
    <w:rsid w:val="00BA1895"/>
    <w:rsid w:val="00BA43FB"/>
    <w:rsid w:val="00BC0BD4"/>
    <w:rsid w:val="00BC127D"/>
    <w:rsid w:val="00BC1FE6"/>
    <w:rsid w:val="00BF56A4"/>
    <w:rsid w:val="00C061B6"/>
    <w:rsid w:val="00C2446C"/>
    <w:rsid w:val="00C36AE5"/>
    <w:rsid w:val="00C41F17"/>
    <w:rsid w:val="00C527FA"/>
    <w:rsid w:val="00C5280D"/>
    <w:rsid w:val="00C53EB3"/>
    <w:rsid w:val="00C5791C"/>
    <w:rsid w:val="00C66290"/>
    <w:rsid w:val="00C72B7A"/>
    <w:rsid w:val="00C8410A"/>
    <w:rsid w:val="00C973F2"/>
    <w:rsid w:val="00CA304C"/>
    <w:rsid w:val="00CA774A"/>
    <w:rsid w:val="00CC11B0"/>
    <w:rsid w:val="00CC2841"/>
    <w:rsid w:val="00CF1330"/>
    <w:rsid w:val="00CF7E36"/>
    <w:rsid w:val="00D31C82"/>
    <w:rsid w:val="00D3708D"/>
    <w:rsid w:val="00D40426"/>
    <w:rsid w:val="00D57C96"/>
    <w:rsid w:val="00D57D18"/>
    <w:rsid w:val="00D91203"/>
    <w:rsid w:val="00D95174"/>
    <w:rsid w:val="00DA4973"/>
    <w:rsid w:val="00DA6F36"/>
    <w:rsid w:val="00DB596E"/>
    <w:rsid w:val="00DB7773"/>
    <w:rsid w:val="00DC00EA"/>
    <w:rsid w:val="00DC3802"/>
    <w:rsid w:val="00DE5D38"/>
    <w:rsid w:val="00E07D87"/>
    <w:rsid w:val="00E32F7E"/>
    <w:rsid w:val="00E5267B"/>
    <w:rsid w:val="00E63C0E"/>
    <w:rsid w:val="00E72D49"/>
    <w:rsid w:val="00E7593C"/>
    <w:rsid w:val="00E7671D"/>
    <w:rsid w:val="00E7678A"/>
    <w:rsid w:val="00E870C7"/>
    <w:rsid w:val="00E935F1"/>
    <w:rsid w:val="00E94A81"/>
    <w:rsid w:val="00EA1FFB"/>
    <w:rsid w:val="00EA7D94"/>
    <w:rsid w:val="00EB048E"/>
    <w:rsid w:val="00EB4E9C"/>
    <w:rsid w:val="00EC2265"/>
    <w:rsid w:val="00EE34DF"/>
    <w:rsid w:val="00EF2F89"/>
    <w:rsid w:val="00F03E98"/>
    <w:rsid w:val="00F1237A"/>
    <w:rsid w:val="00F22CBD"/>
    <w:rsid w:val="00F272F1"/>
    <w:rsid w:val="00F45372"/>
    <w:rsid w:val="00F477D4"/>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0638A9"/>
    <w:pPr>
      <w:spacing w:after="12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55B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DE5D38"/>
    <w:rPr>
      <w:rFonts w:ascii="Arial" w:hAnsi="Arial"/>
      <w:caps/>
    </w:rPr>
  </w:style>
  <w:style w:type="paragraph" w:styleId="ListParagraph">
    <w:name w:val="List Paragraph"/>
    <w:basedOn w:val="Normal"/>
    <w:uiPriority w:val="34"/>
    <w:qFormat/>
    <w:rsid w:val="00DE5D38"/>
    <w:pPr>
      <w:ind w:left="720"/>
      <w:contextualSpacing/>
    </w:pPr>
    <w:rPr>
      <w:lang w:val="en-US"/>
    </w:rPr>
  </w:style>
  <w:style w:type="character" w:styleId="Emphasis">
    <w:name w:val="Emphasis"/>
    <w:basedOn w:val="DefaultParagraphFont"/>
    <w:qFormat/>
    <w:rsid w:val="00DE5D38"/>
    <w:rPr>
      <w:i/>
      <w:iCs/>
    </w:rPr>
  </w:style>
  <w:style w:type="table" w:styleId="TableGrid">
    <w:name w:val="Table Grid"/>
    <w:basedOn w:val="TableNormal"/>
    <w:rsid w:val="00DE5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0638A9"/>
    <w:pPr>
      <w:spacing w:after="12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55B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DE5D38"/>
    <w:rPr>
      <w:rFonts w:ascii="Arial" w:hAnsi="Arial"/>
      <w:caps/>
    </w:rPr>
  </w:style>
  <w:style w:type="paragraph" w:styleId="ListParagraph">
    <w:name w:val="List Paragraph"/>
    <w:basedOn w:val="Normal"/>
    <w:uiPriority w:val="34"/>
    <w:qFormat/>
    <w:rsid w:val="00DE5D38"/>
    <w:pPr>
      <w:ind w:left="720"/>
      <w:contextualSpacing/>
    </w:pPr>
    <w:rPr>
      <w:lang w:val="en-US"/>
    </w:rPr>
  </w:style>
  <w:style w:type="character" w:styleId="Emphasis">
    <w:name w:val="Emphasis"/>
    <w:basedOn w:val="DefaultParagraphFont"/>
    <w:qFormat/>
    <w:rsid w:val="00DE5D38"/>
    <w:rPr>
      <w:i/>
      <w:iCs/>
    </w:rPr>
  </w:style>
  <w:style w:type="table" w:styleId="TableGrid">
    <w:name w:val="Table Grid"/>
    <w:basedOn w:val="TableNormal"/>
    <w:rsid w:val="00DE5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evallos\AppData\Local\Microsoft\Windows\Temporary%20Internet%20Files\Content.MSO\D761E57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D761E57D</Template>
  <TotalTime>7</TotalTime>
  <Pages>6</Pages>
  <Words>2401</Words>
  <Characters>13383</Characters>
  <Application>Microsoft Office Word</Application>
  <DocSecurity>0</DocSecurity>
  <Lines>111</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TC/53/22</vt:lpstr>
      <vt:lpstr>TC/53/22</vt:lpstr>
    </vt:vector>
  </TitlesOfParts>
  <Company>UPOV</Company>
  <LinksUpToDate>false</LinksUpToDate>
  <CharactersWithSpaces>15753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TC/53/22</dc:title>
  <dc:creator>CEVALLOS DUQUE Nilo</dc:creator>
  <cp:lastModifiedBy>GIACHINO Erika</cp:lastModifiedBy>
  <cp:revision>4</cp:revision>
  <cp:lastPrinted>2016-11-22T15:41:00Z</cp:lastPrinted>
  <dcterms:created xsi:type="dcterms:W3CDTF">2017-02-22T09:03:00Z</dcterms:created>
  <dcterms:modified xsi:type="dcterms:W3CDTF">2017-02-27T13:58:00Z</dcterms:modified>
</cp:coreProperties>
</file>