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C1B78" w:rsidTr="00EB4E9C">
        <w:tc>
          <w:tcPr>
            <w:tcW w:w="6522" w:type="dxa"/>
          </w:tcPr>
          <w:p w:rsidR="00DC3802" w:rsidRPr="004C1B78" w:rsidRDefault="00DC3802" w:rsidP="00AC2883">
            <w:pPr>
              <w:rPr>
                <w:color w:val="000000" w:themeColor="text1"/>
              </w:rPr>
            </w:pPr>
            <w:r w:rsidRPr="004C1B78">
              <w:rPr>
                <w:noProof/>
                <w:color w:val="000000" w:themeColor="text1"/>
                <w:lang w:val="en-US"/>
              </w:rPr>
              <w:drawing>
                <wp:inline distT="0" distB="0" distL="0" distR="0">
                  <wp:extent cx="952031" cy="244054"/>
                  <wp:effectExtent l="0" t="0" r="635"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C1B78" w:rsidRDefault="002E5944" w:rsidP="00AC2883">
            <w:pPr>
              <w:pStyle w:val="Lettrine"/>
              <w:rPr>
                <w:color w:val="000000" w:themeColor="text1"/>
              </w:rPr>
            </w:pPr>
            <w:r w:rsidRPr="004C1B78">
              <w:rPr>
                <w:color w:val="000000" w:themeColor="text1"/>
              </w:rPr>
              <w:t>S</w:t>
            </w:r>
          </w:p>
        </w:tc>
      </w:tr>
      <w:tr w:rsidR="00DC3802" w:rsidRPr="004C1B78" w:rsidTr="00645CA8">
        <w:trPr>
          <w:trHeight w:val="219"/>
        </w:trPr>
        <w:tc>
          <w:tcPr>
            <w:tcW w:w="6522" w:type="dxa"/>
          </w:tcPr>
          <w:p w:rsidR="00DC3802" w:rsidRPr="004C1B78" w:rsidRDefault="002E5944" w:rsidP="00BC0BD4">
            <w:pPr>
              <w:pStyle w:val="upove"/>
              <w:rPr>
                <w:color w:val="000000" w:themeColor="text1"/>
              </w:rPr>
            </w:pPr>
            <w:r w:rsidRPr="004C1B78">
              <w:rPr>
                <w:color w:val="000000" w:themeColor="text1"/>
              </w:rPr>
              <w:t>Unión Internacional para la Protección de las Obtenciones Vegetales</w:t>
            </w:r>
          </w:p>
        </w:tc>
        <w:tc>
          <w:tcPr>
            <w:tcW w:w="3117" w:type="dxa"/>
          </w:tcPr>
          <w:p w:rsidR="00DC3802" w:rsidRPr="004C1B78" w:rsidRDefault="00DC3802" w:rsidP="00DA4973">
            <w:pPr>
              <w:rPr>
                <w:color w:val="000000" w:themeColor="text1"/>
              </w:rPr>
            </w:pPr>
          </w:p>
        </w:tc>
      </w:tr>
    </w:tbl>
    <w:p w:rsidR="00DC3802" w:rsidRPr="004C1B78" w:rsidRDefault="00DC3802" w:rsidP="00DC3802">
      <w:pPr>
        <w:rPr>
          <w:color w:val="000000" w:themeColor="text1"/>
        </w:rPr>
      </w:pPr>
    </w:p>
    <w:p w:rsidR="00DA4973" w:rsidRPr="004C1B78" w:rsidRDefault="00DA4973" w:rsidP="00DC3802">
      <w:pPr>
        <w:rPr>
          <w:color w:val="000000" w:themeColor="text1"/>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C1B78" w:rsidTr="00EB4E9C">
        <w:tc>
          <w:tcPr>
            <w:tcW w:w="6512" w:type="dxa"/>
          </w:tcPr>
          <w:p w:rsidR="00EB4E9C" w:rsidRPr="004C1B78" w:rsidRDefault="002E5944" w:rsidP="00AC2883">
            <w:pPr>
              <w:pStyle w:val="Sessiontc"/>
              <w:spacing w:line="240" w:lineRule="auto"/>
              <w:rPr>
                <w:color w:val="000000" w:themeColor="text1"/>
              </w:rPr>
            </w:pPr>
            <w:r w:rsidRPr="004C1B78">
              <w:rPr>
                <w:color w:val="000000" w:themeColor="text1"/>
              </w:rPr>
              <w:t>Comité Técnico</w:t>
            </w:r>
          </w:p>
          <w:p w:rsidR="00EB4E9C" w:rsidRPr="004C1B78" w:rsidRDefault="002E5944" w:rsidP="002E5944">
            <w:pPr>
              <w:pStyle w:val="Sessiontcplacedate"/>
              <w:rPr>
                <w:color w:val="000000" w:themeColor="text1"/>
                <w:sz w:val="22"/>
              </w:rPr>
            </w:pPr>
            <w:r w:rsidRPr="004C1B78">
              <w:rPr>
                <w:color w:val="000000" w:themeColor="text1"/>
              </w:rPr>
              <w:t>Quincuagésima tercera sesión</w:t>
            </w:r>
            <w:r w:rsidRPr="004C1B78">
              <w:rPr>
                <w:color w:val="000000" w:themeColor="text1"/>
              </w:rPr>
              <w:br/>
              <w:t>Ginebra, 3 a 5 de abril de 2017</w:t>
            </w:r>
          </w:p>
        </w:tc>
        <w:tc>
          <w:tcPr>
            <w:tcW w:w="3127" w:type="dxa"/>
          </w:tcPr>
          <w:p w:rsidR="00EB4E9C" w:rsidRPr="00F65C0A" w:rsidRDefault="00EB4E9C" w:rsidP="003C7FBE">
            <w:pPr>
              <w:pStyle w:val="Doccode"/>
              <w:rPr>
                <w:color w:val="000000" w:themeColor="text1"/>
                <w:lang w:val="es-ES"/>
              </w:rPr>
            </w:pPr>
            <w:r w:rsidRPr="00F65C0A">
              <w:rPr>
                <w:color w:val="000000" w:themeColor="text1"/>
                <w:lang w:val="es-ES"/>
              </w:rPr>
              <w:t>TC/53/19</w:t>
            </w:r>
          </w:p>
          <w:p w:rsidR="00EB4E9C" w:rsidRPr="004C1B78" w:rsidRDefault="00EB4E9C" w:rsidP="003C7FBE">
            <w:pPr>
              <w:pStyle w:val="Docoriginal"/>
              <w:rPr>
                <w:color w:val="000000" w:themeColor="text1"/>
              </w:rPr>
            </w:pPr>
            <w:r w:rsidRPr="004C1B78">
              <w:rPr>
                <w:color w:val="000000" w:themeColor="text1"/>
              </w:rPr>
              <w:t>Original:</w:t>
            </w:r>
            <w:r w:rsidRPr="004C1B78">
              <w:rPr>
                <w:b w:val="0"/>
                <w:color w:val="000000" w:themeColor="text1"/>
                <w:spacing w:val="0"/>
              </w:rPr>
              <w:t xml:space="preserve">  Inglés</w:t>
            </w:r>
          </w:p>
          <w:p w:rsidR="00EB4E9C" w:rsidRPr="004C1B78" w:rsidRDefault="002E5944" w:rsidP="00AB3E91">
            <w:pPr>
              <w:pStyle w:val="Docoriginal"/>
              <w:rPr>
                <w:color w:val="000000" w:themeColor="text1"/>
              </w:rPr>
            </w:pPr>
            <w:r w:rsidRPr="004C1B78">
              <w:rPr>
                <w:color w:val="000000" w:themeColor="text1"/>
              </w:rPr>
              <w:t>Fech</w:t>
            </w:r>
            <w:r w:rsidRPr="00AB3E91">
              <w:rPr>
                <w:color w:val="000000" w:themeColor="text1"/>
              </w:rPr>
              <w:t>a:</w:t>
            </w:r>
            <w:r w:rsidRPr="00AB3E91">
              <w:rPr>
                <w:b w:val="0"/>
                <w:color w:val="000000" w:themeColor="text1"/>
                <w:spacing w:val="0"/>
              </w:rPr>
              <w:t xml:space="preserve">  </w:t>
            </w:r>
            <w:r w:rsidR="00AB3E91" w:rsidRPr="00AB3E91">
              <w:rPr>
                <w:b w:val="0"/>
                <w:color w:val="000000" w:themeColor="text1"/>
                <w:spacing w:val="0"/>
              </w:rPr>
              <w:t>10</w:t>
            </w:r>
            <w:r w:rsidRPr="00AB3E91">
              <w:rPr>
                <w:b w:val="0"/>
                <w:color w:val="000000" w:themeColor="text1"/>
                <w:spacing w:val="0"/>
              </w:rPr>
              <w:t xml:space="preserve"> de febrero de 2</w:t>
            </w:r>
            <w:r w:rsidRPr="004C1B78">
              <w:rPr>
                <w:b w:val="0"/>
                <w:color w:val="000000" w:themeColor="text1"/>
                <w:spacing w:val="0"/>
              </w:rPr>
              <w:t>017</w:t>
            </w:r>
          </w:p>
        </w:tc>
      </w:tr>
    </w:tbl>
    <w:p w:rsidR="00314F48" w:rsidRPr="004C1B78" w:rsidRDefault="00314F48" w:rsidP="00C94B92">
      <w:pPr>
        <w:pStyle w:val="Titleofdoc0"/>
        <w:tabs>
          <w:tab w:val="left" w:pos="5760"/>
        </w:tabs>
        <w:rPr>
          <w:b w:val="0"/>
          <w:color w:val="000000" w:themeColor="text1"/>
        </w:rPr>
      </w:pPr>
      <w:bookmarkStart w:id="0" w:name="TitleOfDoc"/>
      <w:bookmarkEnd w:id="0"/>
      <w:r w:rsidRPr="004C1B78">
        <w:rPr>
          <w:color w:val="000000" w:themeColor="text1"/>
        </w:rPr>
        <w:t xml:space="preserve">Revisión del documento TGP/10: </w:t>
      </w:r>
      <w:r w:rsidR="00E056C2" w:rsidRPr="004C1B78">
        <w:rPr>
          <w:color w:val="000000" w:themeColor="text1"/>
        </w:rPr>
        <w:t xml:space="preserve"> </w:t>
      </w:r>
      <w:r w:rsidRPr="004C1B78">
        <w:rPr>
          <w:color w:val="000000" w:themeColor="text1"/>
        </w:rPr>
        <w:t xml:space="preserve">Nueva sección: </w:t>
      </w:r>
      <w:r w:rsidR="00E056C2" w:rsidRPr="004C1B78">
        <w:rPr>
          <w:color w:val="000000" w:themeColor="text1"/>
        </w:rPr>
        <w:t xml:space="preserve"> </w:t>
      </w:r>
      <w:r w:rsidRPr="004C1B78">
        <w:rPr>
          <w:color w:val="000000" w:themeColor="text1"/>
        </w:rPr>
        <w:t>Evaluación de la homogeneidad de las plantas fuera de tipo mediante la observación de más de un ciclo de cultivo o mediante la observación de submuestras</w:t>
      </w:r>
    </w:p>
    <w:p w:rsidR="00314F48" w:rsidRPr="004C1B78" w:rsidRDefault="00314F48" w:rsidP="00314F48">
      <w:pPr>
        <w:pStyle w:val="preparedby1"/>
        <w:jc w:val="left"/>
        <w:rPr>
          <w:color w:val="000000" w:themeColor="text1"/>
        </w:rPr>
      </w:pPr>
      <w:bookmarkStart w:id="1" w:name="Prepared"/>
      <w:bookmarkEnd w:id="1"/>
      <w:r w:rsidRPr="004C1B78">
        <w:rPr>
          <w:color w:val="000000" w:themeColor="text1"/>
        </w:rPr>
        <w:t>Documento preparado por la Oficina de la Unión</w:t>
      </w:r>
    </w:p>
    <w:p w:rsidR="00314F48" w:rsidRPr="007B434E" w:rsidRDefault="00314F48" w:rsidP="00C94B92">
      <w:pPr>
        <w:pStyle w:val="Disclaimer"/>
        <w:rPr>
          <w:lang w:val="es-ES"/>
        </w:rPr>
      </w:pPr>
      <w:r w:rsidRPr="007B434E">
        <w:rPr>
          <w:lang w:val="es-ES"/>
        </w:rPr>
        <w:t>Descargo de responsabilidad</w:t>
      </w:r>
      <w:proofErr w:type="gramStart"/>
      <w:r w:rsidRPr="007B434E">
        <w:rPr>
          <w:lang w:val="es-ES"/>
        </w:rPr>
        <w:t>:  el</w:t>
      </w:r>
      <w:proofErr w:type="gramEnd"/>
      <w:r w:rsidRPr="007B434E">
        <w:rPr>
          <w:lang w:val="es-ES"/>
        </w:rPr>
        <w:t xml:space="preserve"> presente documento no constituye</w:t>
      </w:r>
      <w:r w:rsidR="00BA3922" w:rsidRPr="007B434E">
        <w:rPr>
          <w:lang w:val="es-ES"/>
        </w:rPr>
        <w:t xml:space="preserve"> </w:t>
      </w:r>
      <w:r w:rsidRPr="007B434E">
        <w:rPr>
          <w:lang w:val="es-ES"/>
        </w:rPr>
        <w:t>un documento de política u orientación de la UPOV</w:t>
      </w:r>
    </w:p>
    <w:p w:rsidR="00314F48" w:rsidRPr="004C1B78" w:rsidRDefault="00314F48" w:rsidP="00F249C7">
      <w:pPr>
        <w:pStyle w:val="Heading1"/>
        <w:rPr>
          <w:szCs w:val="24"/>
        </w:rPr>
      </w:pPr>
      <w:bookmarkStart w:id="2" w:name="_Toc474915996"/>
      <w:r w:rsidRPr="004C1B78">
        <w:t>RESUMEN</w:t>
      </w:r>
      <w:bookmarkEnd w:id="2"/>
    </w:p>
    <w:p w:rsidR="00314F48" w:rsidRPr="004C1B78" w:rsidRDefault="00314F48" w:rsidP="00314F48">
      <w:pPr>
        <w:autoSpaceDE w:val="0"/>
        <w:autoSpaceDN w:val="0"/>
        <w:adjustRightInd w:val="0"/>
        <w:rPr>
          <w:color w:val="000000" w:themeColor="text1"/>
          <w:szCs w:val="24"/>
        </w:rPr>
      </w:pPr>
    </w:p>
    <w:p w:rsidR="00314F48" w:rsidRPr="004C1B78" w:rsidRDefault="00A20752" w:rsidP="00314F48">
      <w:pPr>
        <w:autoSpaceDE w:val="0"/>
        <w:autoSpaceDN w:val="0"/>
        <w:adjustRightInd w:val="0"/>
        <w:rPr>
          <w:rFonts w:eastAsia="MS Mincho"/>
          <w:color w:val="000000" w:themeColor="text1"/>
          <w:szCs w:val="24"/>
        </w:rPr>
      </w:pPr>
      <w:r w:rsidRPr="004C1B78">
        <w:rPr>
          <w:color w:val="000000" w:themeColor="text1"/>
          <w:szCs w:val="24"/>
        </w:rPr>
        <w:fldChar w:fldCharType="begin"/>
      </w:r>
      <w:r w:rsidR="00314F48" w:rsidRPr="004C1B78">
        <w:rPr>
          <w:color w:val="000000" w:themeColor="text1"/>
          <w:szCs w:val="24"/>
        </w:rPr>
        <w:instrText xml:space="preserve"> AUTONUM  </w:instrText>
      </w:r>
      <w:r w:rsidRPr="004C1B78">
        <w:rPr>
          <w:color w:val="000000" w:themeColor="text1"/>
          <w:szCs w:val="24"/>
        </w:rPr>
        <w:fldChar w:fldCharType="end"/>
      </w:r>
      <w:r w:rsidR="00314F48" w:rsidRPr="004C1B78">
        <w:rPr>
          <w:color w:val="000000" w:themeColor="text1"/>
        </w:rPr>
        <w:tab/>
        <w:t xml:space="preserve">El presente documento tiene por objeto presentar una propuesta de revisión del documento TGP/10 “Examen de la homogeneidad” para ofrecer orientación sobre la evaluación de la homogeneidad de las plantas fuera de tipo mediante la observación de más de un ciclo de cultivo o mediante la observación de </w:t>
      </w:r>
      <w:proofErr w:type="spellStart"/>
      <w:r w:rsidR="00314F48" w:rsidRPr="004C1B78">
        <w:rPr>
          <w:color w:val="000000" w:themeColor="text1"/>
        </w:rPr>
        <w:t>submuestras</w:t>
      </w:r>
      <w:proofErr w:type="spellEnd"/>
      <w:r w:rsidR="00314F48" w:rsidRPr="004C1B78">
        <w:rPr>
          <w:color w:val="000000" w:themeColor="text1"/>
        </w:rPr>
        <w:t xml:space="preserve">.  </w:t>
      </w:r>
    </w:p>
    <w:p w:rsidR="00314F48" w:rsidRPr="004C1B78" w:rsidRDefault="00314F48" w:rsidP="00314F48">
      <w:pPr>
        <w:autoSpaceDE w:val="0"/>
        <w:autoSpaceDN w:val="0"/>
        <w:adjustRightInd w:val="0"/>
        <w:rPr>
          <w:rFonts w:eastAsia="MS Mincho"/>
          <w:color w:val="000000" w:themeColor="text1"/>
          <w:szCs w:val="24"/>
        </w:rPr>
      </w:pPr>
    </w:p>
    <w:p w:rsidR="00314F48" w:rsidRPr="00C127A0" w:rsidRDefault="00A20752" w:rsidP="00314F48">
      <w:pPr>
        <w:pStyle w:val="DecisionParagraphs"/>
        <w:tabs>
          <w:tab w:val="left" w:pos="567"/>
          <w:tab w:val="left" w:pos="1134"/>
        </w:tabs>
        <w:ind w:left="0"/>
        <w:rPr>
          <w:i w:val="0"/>
          <w:color w:val="000000" w:themeColor="text1"/>
        </w:rPr>
      </w:pPr>
      <w:r w:rsidRPr="004C1B78">
        <w:rPr>
          <w:i w:val="0"/>
          <w:color w:val="000000" w:themeColor="text1"/>
        </w:rPr>
        <w:fldChar w:fldCharType="begin"/>
      </w:r>
      <w:r w:rsidR="00314F48" w:rsidRPr="004C1B78">
        <w:rPr>
          <w:i w:val="0"/>
          <w:color w:val="000000" w:themeColor="text1"/>
        </w:rPr>
        <w:instrText xml:space="preserve"> AUTONUM  </w:instrText>
      </w:r>
      <w:r w:rsidRPr="004C1B78">
        <w:rPr>
          <w:i w:val="0"/>
          <w:color w:val="000000" w:themeColor="text1"/>
        </w:rPr>
        <w:fldChar w:fldCharType="end"/>
      </w:r>
      <w:r w:rsidR="00314F48" w:rsidRPr="004C1B78">
        <w:rPr>
          <w:color w:val="000000" w:themeColor="text1"/>
        </w:rPr>
        <w:tab/>
      </w:r>
      <w:r w:rsidR="00314F48" w:rsidRPr="00C127A0">
        <w:rPr>
          <w:i w:val="0"/>
          <w:color w:val="000000" w:themeColor="text1"/>
        </w:rPr>
        <w:t xml:space="preserve">Se invita al TC a: </w:t>
      </w: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p>
    <w:p w:rsidR="00314F48" w:rsidRPr="00C127A0" w:rsidRDefault="00314F48" w:rsidP="00314F48">
      <w:pPr>
        <w:pStyle w:val="DecisionParagraphs"/>
        <w:keepLines/>
        <w:tabs>
          <w:tab w:val="clear" w:pos="5387"/>
          <w:tab w:val="left" w:pos="567"/>
          <w:tab w:val="left" w:pos="1134"/>
          <w:tab w:val="left" w:pos="5954"/>
        </w:tabs>
        <w:ind w:left="0" w:firstLine="567"/>
        <w:rPr>
          <w:rFonts w:cs="Arial"/>
          <w:i w:val="0"/>
          <w:color w:val="000000" w:themeColor="text1"/>
        </w:rPr>
      </w:pPr>
      <w:r w:rsidRPr="00C127A0">
        <w:rPr>
          <w:i w:val="0"/>
          <w:color w:val="000000" w:themeColor="text1"/>
        </w:rPr>
        <w:t>a)</w:t>
      </w:r>
      <w:r w:rsidRPr="00C127A0">
        <w:rPr>
          <w:i w:val="0"/>
          <w:color w:val="000000" w:themeColor="text1"/>
        </w:rPr>
        <w:tab/>
        <w:t>considerar si procede invitar a expertos a las reuniones de los TWP de 2017, a fin de que faciliten información sobre los criterios de elección del método más adecuado para evaluar las plantas fuera de tipo en diferentes tipos de cultivo;</w:t>
      </w: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r w:rsidRPr="00C127A0">
        <w:rPr>
          <w:i w:val="0"/>
          <w:color w:val="000000" w:themeColor="text1"/>
        </w:rPr>
        <w:t>b)</w:t>
      </w:r>
      <w:r w:rsidRPr="00C127A0">
        <w:rPr>
          <w:i w:val="0"/>
          <w:color w:val="000000" w:themeColor="text1"/>
        </w:rPr>
        <w:tab/>
        <w:t>tomar nota de los ofrecimientos de Alemania, los Países Bajos y el Reino Uni</w:t>
      </w:r>
      <w:r w:rsidR="00BA3922" w:rsidRPr="00C127A0">
        <w:rPr>
          <w:i w:val="0"/>
          <w:color w:val="000000" w:themeColor="text1"/>
        </w:rPr>
        <w:t>do de facilitar ejemplos al TWC</w:t>
      </w:r>
      <w:r w:rsidRPr="00C127A0">
        <w:rPr>
          <w:i w:val="0"/>
          <w:color w:val="000000" w:themeColor="text1"/>
        </w:rPr>
        <w:t xml:space="preserve"> en su reunión de 2017, sobre la elección del método más adecuado para evaluar las plantas fuera de tipo; </w:t>
      </w: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r w:rsidRPr="00C127A0">
        <w:rPr>
          <w:i w:val="0"/>
          <w:color w:val="000000" w:themeColor="text1"/>
        </w:rPr>
        <w:t>c)</w:t>
      </w:r>
      <w:r w:rsidRPr="00C127A0">
        <w:rPr>
          <w:i w:val="0"/>
          <w:color w:val="000000" w:themeColor="text1"/>
        </w:rPr>
        <w:tab/>
        <w:t>tomar nota de que Francia y el Reino Unido presentaron ponencias ante el TWC, TWV y TWA, en sus reuniones de 2016;</w:t>
      </w: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p>
    <w:p w:rsidR="00314F48" w:rsidRPr="00C127A0" w:rsidRDefault="00314F48" w:rsidP="00314F48">
      <w:pPr>
        <w:pStyle w:val="DecisionParagraphs"/>
        <w:keepLines/>
        <w:tabs>
          <w:tab w:val="clear" w:pos="5387"/>
          <w:tab w:val="left" w:pos="567"/>
          <w:tab w:val="left" w:pos="1134"/>
          <w:tab w:val="left" w:pos="5954"/>
        </w:tabs>
        <w:ind w:left="0" w:firstLine="567"/>
        <w:rPr>
          <w:i w:val="0"/>
          <w:snapToGrid w:val="0"/>
          <w:color w:val="000000" w:themeColor="text1"/>
        </w:rPr>
      </w:pPr>
      <w:r w:rsidRPr="00C127A0">
        <w:rPr>
          <w:i w:val="0"/>
          <w:color w:val="000000" w:themeColor="text1"/>
        </w:rPr>
        <w:t>d)</w:t>
      </w:r>
      <w:r w:rsidRPr="00C127A0">
        <w:rPr>
          <w:i w:val="0"/>
          <w:color w:val="000000" w:themeColor="text1"/>
        </w:rPr>
        <w:tab/>
        <w:t xml:space="preserve">tomar nota de que, en el documento TC/53/5 “Documentos TGP”; </w:t>
      </w:r>
      <w:r w:rsidR="00E056C2" w:rsidRPr="00C127A0">
        <w:rPr>
          <w:i w:val="0"/>
          <w:color w:val="000000" w:themeColor="text1"/>
        </w:rPr>
        <w:t xml:space="preserve"> </w:t>
      </w:r>
      <w:r w:rsidRPr="00C127A0">
        <w:rPr>
          <w:i w:val="0"/>
          <w:color w:val="000000" w:themeColor="text1"/>
        </w:rPr>
        <w:t>se examinará una propuesta de revisión de la orientación que figura en el documento </w:t>
      </w:r>
      <w:r w:rsidRPr="00C127A0">
        <w:rPr>
          <w:i w:val="0"/>
          <w:snapToGrid w:val="0"/>
          <w:color w:val="000000" w:themeColor="text1"/>
        </w:rPr>
        <w:t>TGP/8/2</w:t>
      </w:r>
      <w:proofErr w:type="gramStart"/>
      <w:r w:rsidRPr="00C127A0">
        <w:rPr>
          <w:i w:val="0"/>
          <w:snapToGrid w:val="0"/>
          <w:color w:val="000000" w:themeColor="text1"/>
        </w:rPr>
        <w:t>:</w:t>
      </w:r>
      <w:r w:rsidR="00E056C2" w:rsidRPr="00C127A0">
        <w:rPr>
          <w:i w:val="0"/>
          <w:snapToGrid w:val="0"/>
          <w:color w:val="000000" w:themeColor="text1"/>
        </w:rPr>
        <w:t xml:space="preserve"> </w:t>
      </w:r>
      <w:r w:rsidRPr="00C127A0">
        <w:rPr>
          <w:i w:val="0"/>
          <w:snapToGrid w:val="0"/>
          <w:color w:val="000000" w:themeColor="text1"/>
        </w:rPr>
        <w:t xml:space="preserve"> Parte</w:t>
      </w:r>
      <w:proofErr w:type="gramEnd"/>
      <w:r w:rsidRPr="00C127A0">
        <w:rPr>
          <w:i w:val="0"/>
          <w:snapToGrid w:val="0"/>
          <w:color w:val="000000" w:themeColor="text1"/>
        </w:rPr>
        <w:t xml:space="preserve"> II:</w:t>
      </w:r>
      <w:r w:rsidR="00E056C2" w:rsidRPr="00C127A0">
        <w:rPr>
          <w:i w:val="0"/>
          <w:snapToGrid w:val="0"/>
          <w:color w:val="000000" w:themeColor="text1"/>
        </w:rPr>
        <w:t xml:space="preserve"> </w:t>
      </w:r>
      <w:r w:rsidRPr="00C127A0">
        <w:rPr>
          <w:i w:val="0"/>
          <w:snapToGrid w:val="0"/>
          <w:color w:val="000000" w:themeColor="text1"/>
        </w:rPr>
        <w:t xml:space="preserve"> 8: </w:t>
      </w:r>
      <w:r w:rsidR="00E056C2" w:rsidRPr="00C127A0">
        <w:rPr>
          <w:i w:val="0"/>
          <w:snapToGrid w:val="0"/>
          <w:color w:val="000000" w:themeColor="text1"/>
        </w:rPr>
        <w:t xml:space="preserve"> </w:t>
      </w:r>
      <w:r w:rsidRPr="00C127A0">
        <w:rPr>
          <w:i w:val="0"/>
          <w:snapToGrid w:val="0"/>
          <w:color w:val="000000" w:themeColor="text1"/>
        </w:rPr>
        <w:t>“El método de evaluación de la homogeneidad sobre la base de las plantas fuera de tipo”;</w:t>
      </w:r>
    </w:p>
    <w:p w:rsidR="00314F48" w:rsidRPr="00C127A0" w:rsidRDefault="00314F48" w:rsidP="00314F48">
      <w:pPr>
        <w:pStyle w:val="DecisionParagraphs"/>
        <w:keepLines/>
        <w:tabs>
          <w:tab w:val="clear" w:pos="5387"/>
          <w:tab w:val="left" w:pos="567"/>
          <w:tab w:val="left" w:pos="1134"/>
          <w:tab w:val="left" w:pos="5954"/>
        </w:tabs>
        <w:ind w:left="0" w:firstLine="567"/>
        <w:rPr>
          <w:i w:val="0"/>
          <w:snapToGrid w:val="0"/>
          <w:color w:val="000000" w:themeColor="text1"/>
        </w:rPr>
      </w:pPr>
    </w:p>
    <w:p w:rsidR="00314F48" w:rsidRPr="00C127A0" w:rsidRDefault="00314F48" w:rsidP="00314F48">
      <w:pPr>
        <w:pStyle w:val="DecisionParagraphs"/>
        <w:keepLines/>
        <w:tabs>
          <w:tab w:val="clear" w:pos="5387"/>
          <w:tab w:val="left" w:pos="567"/>
          <w:tab w:val="left" w:pos="1134"/>
          <w:tab w:val="left" w:pos="5954"/>
        </w:tabs>
        <w:ind w:left="0" w:firstLine="567"/>
        <w:rPr>
          <w:rFonts w:cs="Arial"/>
          <w:i w:val="0"/>
          <w:color w:val="000000" w:themeColor="text1"/>
        </w:rPr>
      </w:pPr>
      <w:r w:rsidRPr="00C127A0">
        <w:rPr>
          <w:i w:val="0"/>
          <w:snapToGrid w:val="0"/>
          <w:color w:val="000000" w:themeColor="text1"/>
        </w:rPr>
        <w:t>e)</w:t>
      </w:r>
      <w:r w:rsidRPr="00C127A0">
        <w:rPr>
          <w:i w:val="0"/>
          <w:color w:val="000000" w:themeColor="text1"/>
        </w:rPr>
        <w:tab/>
      </w:r>
      <w:r w:rsidRPr="00C127A0">
        <w:rPr>
          <w:i w:val="0"/>
          <w:snapToGrid w:val="0"/>
          <w:color w:val="000000" w:themeColor="text1"/>
        </w:rPr>
        <w:t xml:space="preserve">tomar nota </w:t>
      </w:r>
      <w:r w:rsidRPr="00C127A0">
        <w:rPr>
          <w:i w:val="0"/>
          <w:color w:val="000000" w:themeColor="text1"/>
        </w:rPr>
        <w:t xml:space="preserve">de los ofrecimientos de Francia, Alemania, los Países Bajos y el Reino Unido de proporcionar ejemplos en los que se compare el efecto </w:t>
      </w:r>
      <w:r w:rsidR="007F1A94" w:rsidRPr="00C127A0">
        <w:rPr>
          <w:i w:val="0"/>
          <w:color w:val="000000" w:themeColor="text1"/>
        </w:rPr>
        <w:t xml:space="preserve">que </w:t>
      </w:r>
      <w:r w:rsidRPr="00C127A0">
        <w:rPr>
          <w:i w:val="0"/>
          <w:color w:val="000000" w:themeColor="text1"/>
        </w:rPr>
        <w:t xml:space="preserve">el método 3 y otros métodos </w:t>
      </w:r>
      <w:r w:rsidR="007F1A94" w:rsidRPr="00C127A0">
        <w:rPr>
          <w:i w:val="0"/>
          <w:color w:val="000000" w:themeColor="text1"/>
        </w:rPr>
        <w:t xml:space="preserve">puedan tener </w:t>
      </w:r>
      <w:r w:rsidRPr="00C127A0">
        <w:rPr>
          <w:i w:val="0"/>
          <w:color w:val="000000" w:themeColor="text1"/>
        </w:rPr>
        <w:t>sobre las decisiones de homogeneidad, que se presentarán ante el TWA en su cuadragésima sexta reunión;  y</w:t>
      </w:r>
    </w:p>
    <w:p w:rsidR="00314F48" w:rsidRPr="00C127A0" w:rsidRDefault="00314F48" w:rsidP="00314F48">
      <w:pPr>
        <w:pStyle w:val="DecisionParagraphs"/>
        <w:keepLines/>
        <w:tabs>
          <w:tab w:val="clear" w:pos="5387"/>
          <w:tab w:val="left" w:pos="567"/>
          <w:tab w:val="left" w:pos="1134"/>
          <w:tab w:val="left" w:pos="5954"/>
        </w:tabs>
        <w:ind w:left="0" w:firstLine="567"/>
        <w:rPr>
          <w:i w:val="0"/>
          <w:color w:val="000000" w:themeColor="text1"/>
        </w:rPr>
      </w:pPr>
    </w:p>
    <w:p w:rsidR="00314F48" w:rsidRPr="00C127A0" w:rsidRDefault="00C127A0" w:rsidP="00314F48">
      <w:pPr>
        <w:pStyle w:val="DecisionParagraphs"/>
        <w:keepLines/>
        <w:tabs>
          <w:tab w:val="clear" w:pos="5387"/>
          <w:tab w:val="left" w:pos="567"/>
          <w:tab w:val="left" w:pos="1134"/>
          <w:tab w:val="left" w:pos="5954"/>
        </w:tabs>
        <w:ind w:left="0" w:firstLine="567"/>
        <w:rPr>
          <w:i w:val="0"/>
          <w:color w:val="000000" w:themeColor="text1"/>
        </w:rPr>
      </w:pPr>
      <w:r>
        <w:rPr>
          <w:i w:val="0"/>
          <w:color w:val="000000" w:themeColor="text1"/>
        </w:rPr>
        <w:t>f</w:t>
      </w:r>
      <w:r w:rsidR="00314F48" w:rsidRPr="00C127A0">
        <w:rPr>
          <w:i w:val="0"/>
          <w:color w:val="000000" w:themeColor="text1"/>
        </w:rPr>
        <w:t>)</w:t>
      </w:r>
      <w:r w:rsidR="00314F48" w:rsidRPr="00C127A0">
        <w:rPr>
          <w:i w:val="0"/>
          <w:color w:val="000000" w:themeColor="text1"/>
        </w:rPr>
        <w:tab/>
        <w:t>examinar el proyecto de orientación que figura en los Anexos I y II modificado por los TWP en sus reuniones de 2016, con miras a incluirlo en una futura revisión del documento TGP/10.</w:t>
      </w:r>
    </w:p>
    <w:p w:rsidR="00314F48" w:rsidRPr="004C1B78" w:rsidRDefault="00314F48" w:rsidP="00314F48">
      <w:pPr>
        <w:tabs>
          <w:tab w:val="left" w:pos="567"/>
          <w:tab w:val="left" w:pos="1134"/>
          <w:tab w:val="left" w:pos="1701"/>
        </w:tabs>
        <w:autoSpaceDE w:val="0"/>
        <w:autoSpaceDN w:val="0"/>
        <w:adjustRightInd w:val="0"/>
        <w:ind w:hanging="1276"/>
        <w:jc w:val="left"/>
        <w:rPr>
          <w:rFonts w:eastAsia="MS Mincho"/>
          <w:color w:val="000000" w:themeColor="text1"/>
          <w:szCs w:val="24"/>
        </w:rPr>
      </w:pPr>
    </w:p>
    <w:p w:rsidR="00314F48" w:rsidRPr="004C1B78" w:rsidRDefault="00A20752" w:rsidP="00314F48">
      <w:pPr>
        <w:autoSpaceDE w:val="0"/>
        <w:autoSpaceDN w:val="0"/>
        <w:adjustRightInd w:val="0"/>
        <w:rPr>
          <w:rFonts w:eastAsia="MS Mincho"/>
          <w:color w:val="000000" w:themeColor="text1"/>
          <w:szCs w:val="24"/>
        </w:rPr>
      </w:pPr>
      <w:r w:rsidRPr="004C1B78">
        <w:rPr>
          <w:rFonts w:eastAsia="MS Mincho"/>
          <w:color w:val="000000" w:themeColor="text1"/>
          <w:szCs w:val="24"/>
        </w:rPr>
        <w:fldChar w:fldCharType="begin"/>
      </w:r>
      <w:r w:rsidR="00314F48" w:rsidRPr="004C1B78">
        <w:rPr>
          <w:rFonts w:eastAsia="MS Mincho"/>
          <w:color w:val="000000" w:themeColor="text1"/>
          <w:szCs w:val="24"/>
        </w:rPr>
        <w:instrText xml:space="preserve"> AUTONUM  </w:instrText>
      </w:r>
      <w:r w:rsidRPr="004C1B78">
        <w:rPr>
          <w:rFonts w:eastAsia="MS Mincho"/>
          <w:color w:val="000000" w:themeColor="text1"/>
          <w:szCs w:val="24"/>
        </w:rPr>
        <w:fldChar w:fldCharType="end"/>
      </w:r>
      <w:r w:rsidR="00314F48" w:rsidRPr="004C1B78">
        <w:rPr>
          <w:color w:val="000000" w:themeColor="text1"/>
        </w:rPr>
        <w:tab/>
        <w:t>El presente documento se estructura del modo siguiente:</w:t>
      </w:r>
    </w:p>
    <w:p w:rsidR="00F249C7" w:rsidRDefault="00BA3922">
      <w:pPr>
        <w:pStyle w:val="TOC1"/>
        <w:rPr>
          <w:rFonts w:asciiTheme="minorHAnsi" w:eastAsiaTheme="minorEastAsia" w:hAnsiTheme="minorHAnsi" w:cstheme="minorBidi"/>
          <w:caps w:val="0"/>
          <w:noProof/>
          <w:sz w:val="22"/>
          <w:szCs w:val="22"/>
        </w:rPr>
      </w:pPr>
      <w:r w:rsidRPr="004C1B78">
        <w:rPr>
          <w:noProof/>
          <w:snapToGrid w:val="0"/>
        </w:rPr>
        <w:fldChar w:fldCharType="begin"/>
      </w:r>
      <w:r w:rsidRPr="004C1B78">
        <w:rPr>
          <w:snapToGrid w:val="0"/>
        </w:rPr>
        <w:instrText xml:space="preserve"> TOC \o "1-3" \h \z \u </w:instrText>
      </w:r>
      <w:r w:rsidRPr="004C1B78">
        <w:rPr>
          <w:noProof/>
          <w:snapToGrid w:val="0"/>
        </w:rPr>
        <w:fldChar w:fldCharType="separate"/>
      </w:r>
      <w:hyperlink w:anchor="_Toc474915996" w:history="1">
        <w:r w:rsidR="00F249C7" w:rsidRPr="006216F1">
          <w:rPr>
            <w:rStyle w:val="Hyperlink"/>
            <w:noProof/>
          </w:rPr>
          <w:t>RESUMEN</w:t>
        </w:r>
        <w:r w:rsidR="00F249C7">
          <w:rPr>
            <w:noProof/>
            <w:webHidden/>
          </w:rPr>
          <w:tab/>
        </w:r>
        <w:r w:rsidR="00F249C7">
          <w:rPr>
            <w:noProof/>
            <w:webHidden/>
          </w:rPr>
          <w:fldChar w:fldCharType="begin"/>
        </w:r>
        <w:r w:rsidR="00F249C7">
          <w:rPr>
            <w:noProof/>
            <w:webHidden/>
          </w:rPr>
          <w:instrText xml:space="preserve"> PAGEREF _Toc474915996 \h </w:instrText>
        </w:r>
        <w:r w:rsidR="00F249C7">
          <w:rPr>
            <w:noProof/>
            <w:webHidden/>
          </w:rPr>
        </w:r>
        <w:r w:rsidR="00F249C7">
          <w:rPr>
            <w:noProof/>
            <w:webHidden/>
          </w:rPr>
          <w:fldChar w:fldCharType="separate"/>
        </w:r>
        <w:r w:rsidR="00E23FEF">
          <w:rPr>
            <w:noProof/>
            <w:webHidden/>
          </w:rPr>
          <w:t>1</w:t>
        </w:r>
        <w:r w:rsidR="00F249C7">
          <w:rPr>
            <w:noProof/>
            <w:webHidden/>
          </w:rPr>
          <w:fldChar w:fldCharType="end"/>
        </w:r>
      </w:hyperlink>
    </w:p>
    <w:p w:rsidR="00F249C7" w:rsidRDefault="00BB2942">
      <w:pPr>
        <w:pStyle w:val="TOC1"/>
        <w:rPr>
          <w:rFonts w:asciiTheme="minorHAnsi" w:eastAsiaTheme="minorEastAsia" w:hAnsiTheme="minorHAnsi" w:cstheme="minorBidi"/>
          <w:caps w:val="0"/>
          <w:noProof/>
          <w:sz w:val="22"/>
          <w:szCs w:val="22"/>
        </w:rPr>
      </w:pPr>
      <w:hyperlink w:anchor="_Toc474915997" w:history="1">
        <w:r w:rsidR="00F249C7" w:rsidRPr="006216F1">
          <w:rPr>
            <w:rStyle w:val="Hyperlink"/>
            <w:noProof/>
          </w:rPr>
          <w:t>ANTECEDENTES</w:t>
        </w:r>
        <w:r w:rsidR="00F249C7">
          <w:rPr>
            <w:noProof/>
            <w:webHidden/>
          </w:rPr>
          <w:tab/>
        </w:r>
        <w:r w:rsidR="00F249C7">
          <w:rPr>
            <w:noProof/>
            <w:webHidden/>
          </w:rPr>
          <w:fldChar w:fldCharType="begin"/>
        </w:r>
        <w:r w:rsidR="00F249C7">
          <w:rPr>
            <w:noProof/>
            <w:webHidden/>
          </w:rPr>
          <w:instrText xml:space="preserve"> PAGEREF _Toc474915997 \h </w:instrText>
        </w:r>
        <w:r w:rsidR="00F249C7">
          <w:rPr>
            <w:noProof/>
            <w:webHidden/>
          </w:rPr>
        </w:r>
        <w:r w:rsidR="00F249C7">
          <w:rPr>
            <w:noProof/>
            <w:webHidden/>
          </w:rPr>
          <w:fldChar w:fldCharType="separate"/>
        </w:r>
        <w:r w:rsidR="00E23FEF">
          <w:rPr>
            <w:noProof/>
            <w:webHidden/>
          </w:rPr>
          <w:t>2</w:t>
        </w:r>
        <w:r w:rsidR="00F249C7">
          <w:rPr>
            <w:noProof/>
            <w:webHidden/>
          </w:rPr>
          <w:fldChar w:fldCharType="end"/>
        </w:r>
      </w:hyperlink>
    </w:p>
    <w:p w:rsidR="00F249C7" w:rsidRDefault="00BB2942">
      <w:pPr>
        <w:pStyle w:val="TOC1"/>
        <w:rPr>
          <w:rFonts w:asciiTheme="minorHAnsi" w:eastAsiaTheme="minorEastAsia" w:hAnsiTheme="minorHAnsi" w:cstheme="minorBidi"/>
          <w:caps w:val="0"/>
          <w:noProof/>
          <w:sz w:val="22"/>
          <w:szCs w:val="22"/>
        </w:rPr>
      </w:pPr>
      <w:hyperlink w:anchor="_Toc474915998" w:history="1">
        <w:r w:rsidR="00F249C7" w:rsidRPr="006216F1">
          <w:rPr>
            <w:rStyle w:val="Hyperlink"/>
            <w:noProof/>
            <w:lang w:val="es-ES"/>
          </w:rPr>
          <w:t>NOVEDADES ACAECIDAS EN 2016</w:t>
        </w:r>
        <w:r w:rsidR="00F249C7">
          <w:rPr>
            <w:noProof/>
            <w:webHidden/>
          </w:rPr>
          <w:tab/>
        </w:r>
        <w:r w:rsidR="00F249C7">
          <w:rPr>
            <w:noProof/>
            <w:webHidden/>
          </w:rPr>
          <w:fldChar w:fldCharType="begin"/>
        </w:r>
        <w:r w:rsidR="00F249C7">
          <w:rPr>
            <w:noProof/>
            <w:webHidden/>
          </w:rPr>
          <w:instrText xml:space="preserve"> PAGEREF _Toc474915998 \h </w:instrText>
        </w:r>
        <w:r w:rsidR="00F249C7">
          <w:rPr>
            <w:noProof/>
            <w:webHidden/>
          </w:rPr>
        </w:r>
        <w:r w:rsidR="00F249C7">
          <w:rPr>
            <w:noProof/>
            <w:webHidden/>
          </w:rPr>
          <w:fldChar w:fldCharType="separate"/>
        </w:r>
        <w:r w:rsidR="00E23FEF">
          <w:rPr>
            <w:noProof/>
            <w:webHidden/>
          </w:rPr>
          <w:t>2</w:t>
        </w:r>
        <w:r w:rsidR="00F249C7">
          <w:rPr>
            <w:noProof/>
            <w:webHidden/>
          </w:rPr>
          <w:fldChar w:fldCharType="end"/>
        </w:r>
      </w:hyperlink>
    </w:p>
    <w:p w:rsidR="00F249C7" w:rsidRDefault="00BB2942">
      <w:pPr>
        <w:pStyle w:val="TOC2"/>
        <w:rPr>
          <w:rFonts w:asciiTheme="minorHAnsi" w:eastAsiaTheme="minorEastAsia" w:hAnsiTheme="minorHAnsi" w:cstheme="minorBidi"/>
          <w:smallCaps w:val="0"/>
          <w:noProof/>
          <w:sz w:val="22"/>
          <w:szCs w:val="22"/>
        </w:rPr>
      </w:pPr>
      <w:hyperlink w:anchor="_Toc474915999" w:history="1">
        <w:r w:rsidR="00F249C7" w:rsidRPr="006216F1">
          <w:rPr>
            <w:rStyle w:val="Hyperlink"/>
            <w:noProof/>
            <w:lang w:val="es-ES"/>
          </w:rPr>
          <w:t>Comité Técnico</w:t>
        </w:r>
        <w:r w:rsidR="00F249C7">
          <w:rPr>
            <w:noProof/>
            <w:webHidden/>
          </w:rPr>
          <w:tab/>
        </w:r>
        <w:r w:rsidR="00F249C7">
          <w:rPr>
            <w:noProof/>
            <w:webHidden/>
          </w:rPr>
          <w:fldChar w:fldCharType="begin"/>
        </w:r>
        <w:r w:rsidR="00F249C7">
          <w:rPr>
            <w:noProof/>
            <w:webHidden/>
          </w:rPr>
          <w:instrText xml:space="preserve"> PAGEREF _Toc474915999 \h </w:instrText>
        </w:r>
        <w:r w:rsidR="00F249C7">
          <w:rPr>
            <w:noProof/>
            <w:webHidden/>
          </w:rPr>
        </w:r>
        <w:r w:rsidR="00F249C7">
          <w:rPr>
            <w:noProof/>
            <w:webHidden/>
          </w:rPr>
          <w:fldChar w:fldCharType="separate"/>
        </w:r>
        <w:r w:rsidR="00E23FEF">
          <w:rPr>
            <w:noProof/>
            <w:webHidden/>
          </w:rPr>
          <w:t>2</w:t>
        </w:r>
        <w:r w:rsidR="00F249C7">
          <w:rPr>
            <w:noProof/>
            <w:webHidden/>
          </w:rPr>
          <w:fldChar w:fldCharType="end"/>
        </w:r>
      </w:hyperlink>
    </w:p>
    <w:p w:rsidR="00F249C7" w:rsidRDefault="00BB2942">
      <w:pPr>
        <w:pStyle w:val="TOC2"/>
        <w:rPr>
          <w:rFonts w:asciiTheme="minorHAnsi" w:eastAsiaTheme="minorEastAsia" w:hAnsiTheme="minorHAnsi" w:cstheme="minorBidi"/>
          <w:smallCaps w:val="0"/>
          <w:noProof/>
          <w:sz w:val="22"/>
          <w:szCs w:val="22"/>
        </w:rPr>
      </w:pPr>
      <w:hyperlink w:anchor="_Toc474916000" w:history="1">
        <w:r w:rsidR="00F249C7" w:rsidRPr="006216F1">
          <w:rPr>
            <w:rStyle w:val="Hyperlink"/>
            <w:noProof/>
            <w:snapToGrid w:val="0"/>
            <w:lang w:val="es-ES"/>
          </w:rPr>
          <w:t>Grupos de Trabajo Técnico</w:t>
        </w:r>
        <w:r w:rsidR="00F249C7">
          <w:rPr>
            <w:noProof/>
            <w:webHidden/>
          </w:rPr>
          <w:tab/>
        </w:r>
        <w:r w:rsidR="00F249C7">
          <w:rPr>
            <w:noProof/>
            <w:webHidden/>
          </w:rPr>
          <w:fldChar w:fldCharType="begin"/>
        </w:r>
        <w:r w:rsidR="00F249C7">
          <w:rPr>
            <w:noProof/>
            <w:webHidden/>
          </w:rPr>
          <w:instrText xml:space="preserve"> PAGEREF _Toc474916000 \h </w:instrText>
        </w:r>
        <w:r w:rsidR="00F249C7">
          <w:rPr>
            <w:noProof/>
            <w:webHidden/>
          </w:rPr>
        </w:r>
        <w:r w:rsidR="00F249C7">
          <w:rPr>
            <w:noProof/>
            <w:webHidden/>
          </w:rPr>
          <w:fldChar w:fldCharType="separate"/>
        </w:r>
        <w:r w:rsidR="00E23FEF">
          <w:rPr>
            <w:noProof/>
            <w:webHidden/>
          </w:rPr>
          <w:t>2</w:t>
        </w:r>
        <w:r w:rsidR="00F249C7">
          <w:rPr>
            <w:noProof/>
            <w:webHidden/>
          </w:rPr>
          <w:fldChar w:fldCharType="end"/>
        </w:r>
      </w:hyperlink>
    </w:p>
    <w:p w:rsidR="00F249C7" w:rsidRDefault="00BB2942">
      <w:pPr>
        <w:pStyle w:val="TOC3"/>
        <w:rPr>
          <w:rFonts w:asciiTheme="minorHAnsi" w:eastAsiaTheme="minorEastAsia" w:hAnsiTheme="minorHAnsi" w:cstheme="minorBidi"/>
          <w:noProof/>
          <w:sz w:val="22"/>
          <w:szCs w:val="22"/>
          <w:lang w:val="en-US"/>
        </w:rPr>
      </w:pPr>
      <w:hyperlink w:anchor="_Toc474916001" w:history="1">
        <w:r w:rsidR="00F249C7" w:rsidRPr="006216F1">
          <w:rPr>
            <w:rStyle w:val="Hyperlink"/>
            <w:noProof/>
            <w:lang w:val="es-ES"/>
          </w:rPr>
          <w:t>Grupo de Trabajo Técnico sobre Automatización y Programas Informáticos</w:t>
        </w:r>
        <w:r w:rsidR="00F249C7">
          <w:rPr>
            <w:noProof/>
            <w:webHidden/>
          </w:rPr>
          <w:tab/>
        </w:r>
        <w:r w:rsidR="00F249C7">
          <w:rPr>
            <w:noProof/>
            <w:webHidden/>
          </w:rPr>
          <w:fldChar w:fldCharType="begin"/>
        </w:r>
        <w:r w:rsidR="00F249C7">
          <w:rPr>
            <w:noProof/>
            <w:webHidden/>
          </w:rPr>
          <w:instrText xml:space="preserve"> PAGEREF _Toc474916001 \h </w:instrText>
        </w:r>
        <w:r w:rsidR="00F249C7">
          <w:rPr>
            <w:noProof/>
            <w:webHidden/>
          </w:rPr>
        </w:r>
        <w:r w:rsidR="00F249C7">
          <w:rPr>
            <w:noProof/>
            <w:webHidden/>
          </w:rPr>
          <w:fldChar w:fldCharType="separate"/>
        </w:r>
        <w:r w:rsidR="00E23FEF">
          <w:rPr>
            <w:noProof/>
            <w:webHidden/>
          </w:rPr>
          <w:t>2</w:t>
        </w:r>
        <w:r w:rsidR="00F249C7">
          <w:rPr>
            <w:noProof/>
            <w:webHidden/>
          </w:rPr>
          <w:fldChar w:fldCharType="end"/>
        </w:r>
      </w:hyperlink>
    </w:p>
    <w:p w:rsidR="00F249C7" w:rsidRDefault="00BB2942">
      <w:pPr>
        <w:pStyle w:val="TOC3"/>
        <w:rPr>
          <w:rFonts w:asciiTheme="minorHAnsi" w:eastAsiaTheme="minorEastAsia" w:hAnsiTheme="minorHAnsi" w:cstheme="minorBidi"/>
          <w:noProof/>
          <w:sz w:val="22"/>
          <w:szCs w:val="22"/>
          <w:lang w:val="en-US"/>
        </w:rPr>
      </w:pPr>
      <w:hyperlink w:anchor="_Toc474916002" w:history="1">
        <w:r w:rsidR="00F249C7" w:rsidRPr="006216F1">
          <w:rPr>
            <w:rStyle w:val="Hyperlink"/>
            <w:noProof/>
            <w:lang w:val="es-ES"/>
          </w:rPr>
          <w:t>Grupo de Trabajo Técnico sobre Plantas Ornamentales</w:t>
        </w:r>
        <w:r w:rsidR="00F249C7">
          <w:rPr>
            <w:noProof/>
            <w:webHidden/>
          </w:rPr>
          <w:tab/>
        </w:r>
        <w:r w:rsidR="00F249C7">
          <w:rPr>
            <w:noProof/>
            <w:webHidden/>
          </w:rPr>
          <w:fldChar w:fldCharType="begin"/>
        </w:r>
        <w:r w:rsidR="00F249C7">
          <w:rPr>
            <w:noProof/>
            <w:webHidden/>
          </w:rPr>
          <w:instrText xml:space="preserve"> PAGEREF _Toc474916002 \h </w:instrText>
        </w:r>
        <w:r w:rsidR="00F249C7">
          <w:rPr>
            <w:noProof/>
            <w:webHidden/>
          </w:rPr>
        </w:r>
        <w:r w:rsidR="00F249C7">
          <w:rPr>
            <w:noProof/>
            <w:webHidden/>
          </w:rPr>
          <w:fldChar w:fldCharType="separate"/>
        </w:r>
        <w:r w:rsidR="00E23FEF">
          <w:rPr>
            <w:noProof/>
            <w:webHidden/>
          </w:rPr>
          <w:t>3</w:t>
        </w:r>
        <w:r w:rsidR="00F249C7">
          <w:rPr>
            <w:noProof/>
            <w:webHidden/>
          </w:rPr>
          <w:fldChar w:fldCharType="end"/>
        </w:r>
      </w:hyperlink>
    </w:p>
    <w:p w:rsidR="00F249C7" w:rsidRDefault="00BB2942">
      <w:pPr>
        <w:pStyle w:val="TOC3"/>
        <w:rPr>
          <w:rFonts w:asciiTheme="minorHAnsi" w:eastAsiaTheme="minorEastAsia" w:hAnsiTheme="minorHAnsi" w:cstheme="minorBidi"/>
          <w:noProof/>
          <w:sz w:val="22"/>
          <w:szCs w:val="22"/>
          <w:lang w:val="en-US"/>
        </w:rPr>
      </w:pPr>
      <w:hyperlink w:anchor="_Toc474916003" w:history="1">
        <w:r w:rsidR="00F249C7" w:rsidRPr="006216F1">
          <w:rPr>
            <w:rStyle w:val="Hyperlink"/>
            <w:noProof/>
            <w:snapToGrid w:val="0"/>
          </w:rPr>
          <w:t>Grupo de Trabajo Técnico sobre Hortalizas</w:t>
        </w:r>
        <w:r w:rsidR="00F249C7">
          <w:rPr>
            <w:noProof/>
            <w:webHidden/>
          </w:rPr>
          <w:tab/>
        </w:r>
        <w:r w:rsidR="00F249C7">
          <w:rPr>
            <w:noProof/>
            <w:webHidden/>
          </w:rPr>
          <w:fldChar w:fldCharType="begin"/>
        </w:r>
        <w:r w:rsidR="00F249C7">
          <w:rPr>
            <w:noProof/>
            <w:webHidden/>
          </w:rPr>
          <w:instrText xml:space="preserve"> PAGEREF _Toc474916003 \h </w:instrText>
        </w:r>
        <w:r w:rsidR="00F249C7">
          <w:rPr>
            <w:noProof/>
            <w:webHidden/>
          </w:rPr>
        </w:r>
        <w:r w:rsidR="00F249C7">
          <w:rPr>
            <w:noProof/>
            <w:webHidden/>
          </w:rPr>
          <w:fldChar w:fldCharType="separate"/>
        </w:r>
        <w:r w:rsidR="00E23FEF">
          <w:rPr>
            <w:noProof/>
            <w:webHidden/>
          </w:rPr>
          <w:t>4</w:t>
        </w:r>
        <w:r w:rsidR="00F249C7">
          <w:rPr>
            <w:noProof/>
            <w:webHidden/>
          </w:rPr>
          <w:fldChar w:fldCharType="end"/>
        </w:r>
      </w:hyperlink>
    </w:p>
    <w:p w:rsidR="00F249C7" w:rsidRDefault="00BB2942">
      <w:pPr>
        <w:pStyle w:val="TOC3"/>
        <w:rPr>
          <w:rFonts w:asciiTheme="minorHAnsi" w:eastAsiaTheme="minorEastAsia" w:hAnsiTheme="minorHAnsi" w:cstheme="minorBidi"/>
          <w:noProof/>
          <w:sz w:val="22"/>
          <w:szCs w:val="22"/>
          <w:lang w:val="en-US"/>
        </w:rPr>
      </w:pPr>
      <w:hyperlink w:anchor="_Toc474916004" w:history="1">
        <w:r w:rsidR="00F249C7" w:rsidRPr="006216F1">
          <w:rPr>
            <w:rStyle w:val="Hyperlink"/>
            <w:noProof/>
          </w:rPr>
          <w:t>Grupo de Trabajo Técnico sobre Plantas Agrícolas</w:t>
        </w:r>
        <w:r w:rsidR="00F249C7">
          <w:rPr>
            <w:noProof/>
            <w:webHidden/>
          </w:rPr>
          <w:tab/>
        </w:r>
        <w:r w:rsidR="00F249C7">
          <w:rPr>
            <w:noProof/>
            <w:webHidden/>
          </w:rPr>
          <w:fldChar w:fldCharType="begin"/>
        </w:r>
        <w:r w:rsidR="00F249C7">
          <w:rPr>
            <w:noProof/>
            <w:webHidden/>
          </w:rPr>
          <w:instrText xml:space="preserve"> PAGEREF _Toc474916004 \h </w:instrText>
        </w:r>
        <w:r w:rsidR="00F249C7">
          <w:rPr>
            <w:noProof/>
            <w:webHidden/>
          </w:rPr>
        </w:r>
        <w:r w:rsidR="00F249C7">
          <w:rPr>
            <w:noProof/>
            <w:webHidden/>
          </w:rPr>
          <w:fldChar w:fldCharType="separate"/>
        </w:r>
        <w:r w:rsidR="00E23FEF">
          <w:rPr>
            <w:noProof/>
            <w:webHidden/>
          </w:rPr>
          <w:t>4</w:t>
        </w:r>
        <w:r w:rsidR="00F249C7">
          <w:rPr>
            <w:noProof/>
            <w:webHidden/>
          </w:rPr>
          <w:fldChar w:fldCharType="end"/>
        </w:r>
      </w:hyperlink>
    </w:p>
    <w:p w:rsidR="00F249C7" w:rsidRDefault="00BB2942">
      <w:pPr>
        <w:pStyle w:val="TOC3"/>
        <w:rPr>
          <w:rFonts w:asciiTheme="minorHAnsi" w:eastAsiaTheme="minorEastAsia" w:hAnsiTheme="minorHAnsi" w:cstheme="minorBidi"/>
          <w:noProof/>
          <w:sz w:val="22"/>
          <w:szCs w:val="22"/>
          <w:lang w:val="en-US"/>
        </w:rPr>
      </w:pPr>
      <w:hyperlink w:anchor="_Toc474916005" w:history="1">
        <w:r w:rsidR="00F249C7" w:rsidRPr="006216F1">
          <w:rPr>
            <w:rStyle w:val="Hyperlink"/>
            <w:noProof/>
            <w:lang w:val="es-ES"/>
          </w:rPr>
          <w:t>Grupo de Trabajo Técnico sobre Plantas Frutales</w:t>
        </w:r>
        <w:r w:rsidR="00F249C7">
          <w:rPr>
            <w:noProof/>
            <w:webHidden/>
          </w:rPr>
          <w:tab/>
        </w:r>
        <w:r w:rsidR="00F249C7">
          <w:rPr>
            <w:noProof/>
            <w:webHidden/>
          </w:rPr>
          <w:fldChar w:fldCharType="begin"/>
        </w:r>
        <w:r w:rsidR="00F249C7">
          <w:rPr>
            <w:noProof/>
            <w:webHidden/>
          </w:rPr>
          <w:instrText xml:space="preserve"> PAGEREF _Toc474916005 \h </w:instrText>
        </w:r>
        <w:r w:rsidR="00F249C7">
          <w:rPr>
            <w:noProof/>
            <w:webHidden/>
          </w:rPr>
        </w:r>
        <w:r w:rsidR="00F249C7">
          <w:rPr>
            <w:noProof/>
            <w:webHidden/>
          </w:rPr>
          <w:fldChar w:fldCharType="separate"/>
        </w:r>
        <w:r w:rsidR="00E23FEF">
          <w:rPr>
            <w:noProof/>
            <w:webHidden/>
          </w:rPr>
          <w:t>5</w:t>
        </w:r>
        <w:r w:rsidR="00F249C7">
          <w:rPr>
            <w:noProof/>
            <w:webHidden/>
          </w:rPr>
          <w:fldChar w:fldCharType="end"/>
        </w:r>
      </w:hyperlink>
    </w:p>
    <w:p w:rsidR="00F249C7" w:rsidRDefault="00BB2942">
      <w:pPr>
        <w:pStyle w:val="TOC1"/>
        <w:rPr>
          <w:rFonts w:asciiTheme="minorHAnsi" w:eastAsiaTheme="minorEastAsia" w:hAnsiTheme="minorHAnsi" w:cstheme="minorBidi"/>
          <w:caps w:val="0"/>
          <w:noProof/>
          <w:sz w:val="22"/>
          <w:szCs w:val="22"/>
        </w:rPr>
      </w:pPr>
      <w:hyperlink w:anchor="_Toc474916006" w:history="1">
        <w:r w:rsidR="00F249C7" w:rsidRPr="006216F1">
          <w:rPr>
            <w:rStyle w:val="Hyperlink"/>
            <w:noProof/>
            <w:lang w:val="es-ES"/>
          </w:rPr>
          <w:t>Resumen de los métodos</w:t>
        </w:r>
        <w:r w:rsidR="00F249C7">
          <w:rPr>
            <w:noProof/>
            <w:webHidden/>
          </w:rPr>
          <w:tab/>
        </w:r>
        <w:r w:rsidR="00F249C7">
          <w:rPr>
            <w:noProof/>
            <w:webHidden/>
          </w:rPr>
          <w:fldChar w:fldCharType="begin"/>
        </w:r>
        <w:r w:rsidR="00F249C7">
          <w:rPr>
            <w:noProof/>
            <w:webHidden/>
          </w:rPr>
          <w:instrText xml:space="preserve"> PAGEREF _Toc474916006 \h </w:instrText>
        </w:r>
        <w:r w:rsidR="00F249C7">
          <w:rPr>
            <w:noProof/>
            <w:webHidden/>
          </w:rPr>
        </w:r>
        <w:r w:rsidR="00F249C7">
          <w:rPr>
            <w:noProof/>
            <w:webHidden/>
          </w:rPr>
          <w:fldChar w:fldCharType="separate"/>
        </w:r>
        <w:r w:rsidR="00E23FEF">
          <w:rPr>
            <w:noProof/>
            <w:webHidden/>
          </w:rPr>
          <w:t>6</w:t>
        </w:r>
        <w:r w:rsidR="00F249C7">
          <w:rPr>
            <w:noProof/>
            <w:webHidden/>
          </w:rPr>
          <w:fldChar w:fldCharType="end"/>
        </w:r>
      </w:hyperlink>
    </w:p>
    <w:p w:rsidR="001E6CB1" w:rsidRPr="004C1B78" w:rsidRDefault="00BA3922" w:rsidP="00F65C0A">
      <w:pPr>
        <w:pStyle w:val="TOC1"/>
        <w:rPr>
          <w:snapToGrid w:val="0"/>
        </w:rPr>
      </w:pPr>
      <w:r w:rsidRPr="004C1B78">
        <w:rPr>
          <w:snapToGrid w:val="0"/>
        </w:rPr>
        <w:fldChar w:fldCharType="end"/>
      </w:r>
    </w:p>
    <w:p w:rsidR="00314F48" w:rsidRPr="004C1B78" w:rsidRDefault="00314F48" w:rsidP="00C127A0">
      <w:pPr>
        <w:autoSpaceDE w:val="0"/>
        <w:autoSpaceDN w:val="0"/>
        <w:adjustRightInd w:val="0"/>
        <w:ind w:left="1276" w:hanging="1276"/>
        <w:rPr>
          <w:rFonts w:asciiTheme="minorHAnsi" w:eastAsiaTheme="minorEastAsia" w:hAnsiTheme="minorHAnsi" w:cstheme="minorBidi"/>
          <w:noProof/>
          <w:color w:val="000000" w:themeColor="text1"/>
          <w:sz w:val="22"/>
          <w:szCs w:val="22"/>
        </w:rPr>
      </w:pPr>
      <w:r w:rsidRPr="008D6B0E">
        <w:rPr>
          <w:rFonts w:eastAsia="MS Mincho"/>
          <w:caps/>
          <w:color w:val="000000" w:themeColor="text1"/>
          <w:szCs w:val="24"/>
          <w:lang w:eastAsia="ja-JP"/>
        </w:rPr>
        <w:t>ANEXO</w:t>
      </w:r>
      <w:r w:rsidR="00C127A0">
        <w:rPr>
          <w:rFonts w:eastAsia="MS Mincho"/>
          <w:caps/>
          <w:color w:val="000000" w:themeColor="text1"/>
          <w:szCs w:val="24"/>
          <w:lang w:eastAsia="ja-JP"/>
        </w:rPr>
        <w:t xml:space="preserve"> </w:t>
      </w:r>
      <w:r w:rsidRPr="008D6B0E">
        <w:rPr>
          <w:rFonts w:eastAsia="MS Mincho"/>
          <w:caps/>
          <w:color w:val="000000" w:themeColor="text1"/>
          <w:szCs w:val="24"/>
          <w:lang w:eastAsia="ja-JP"/>
        </w:rPr>
        <w:t xml:space="preserve">I: </w:t>
      </w:r>
      <w:r w:rsidRPr="008D6B0E">
        <w:rPr>
          <w:rFonts w:eastAsia="MS Mincho"/>
          <w:caps/>
          <w:color w:val="000000" w:themeColor="text1"/>
          <w:szCs w:val="24"/>
          <w:lang w:eastAsia="ja-JP"/>
        </w:rPr>
        <w:tab/>
      </w:r>
      <w:r w:rsidRPr="004C1B78">
        <w:rPr>
          <w:color w:val="000000" w:themeColor="text1"/>
        </w:rPr>
        <w:t>Evaluación de la homogeneidad de las plantas fuera de tipo mediante la observación de más de un ciclo de cultivo</w:t>
      </w:r>
    </w:p>
    <w:p w:rsidR="00314F48" w:rsidRPr="004C1B78" w:rsidRDefault="00314F48" w:rsidP="00314F48">
      <w:pPr>
        <w:tabs>
          <w:tab w:val="left" w:pos="1701"/>
        </w:tabs>
        <w:autoSpaceDE w:val="0"/>
        <w:autoSpaceDN w:val="0"/>
        <w:adjustRightInd w:val="0"/>
        <w:ind w:left="1276" w:hanging="1276"/>
        <w:rPr>
          <w:rFonts w:eastAsia="MS Mincho"/>
          <w:color w:val="000000" w:themeColor="text1"/>
          <w:szCs w:val="24"/>
        </w:rPr>
      </w:pPr>
    </w:p>
    <w:p w:rsidR="00314F48" w:rsidRPr="004C1B78" w:rsidRDefault="00314F48" w:rsidP="00314F48">
      <w:pPr>
        <w:tabs>
          <w:tab w:val="left" w:pos="1701"/>
        </w:tabs>
        <w:autoSpaceDE w:val="0"/>
        <w:autoSpaceDN w:val="0"/>
        <w:adjustRightInd w:val="0"/>
        <w:ind w:left="1276" w:hanging="1276"/>
        <w:rPr>
          <w:rFonts w:eastAsia="MS Mincho"/>
          <w:color w:val="000000" w:themeColor="text1"/>
          <w:szCs w:val="24"/>
        </w:rPr>
      </w:pPr>
      <w:r w:rsidRPr="004C1B78">
        <w:rPr>
          <w:color w:val="000000" w:themeColor="text1"/>
        </w:rPr>
        <w:t>ANEXO II:</w:t>
      </w:r>
      <w:r w:rsidRPr="004C1B78">
        <w:rPr>
          <w:color w:val="000000" w:themeColor="text1"/>
        </w:rPr>
        <w:tab/>
        <w:t xml:space="preserve">Evaluación de la homogeneidad de las plantas fuera de tipo mediante la observación de </w:t>
      </w:r>
      <w:proofErr w:type="spellStart"/>
      <w:r w:rsidRPr="004C1B78">
        <w:rPr>
          <w:color w:val="000000" w:themeColor="text1"/>
        </w:rPr>
        <w:t>submuestras</w:t>
      </w:r>
      <w:proofErr w:type="spellEnd"/>
      <w:r w:rsidRPr="004C1B78">
        <w:rPr>
          <w:color w:val="000000" w:themeColor="text1"/>
        </w:rPr>
        <w:t xml:space="preserve"> en un único examen o ensayo</w:t>
      </w:r>
    </w:p>
    <w:p w:rsidR="00314F48" w:rsidRPr="004C1B78" w:rsidRDefault="00314F48" w:rsidP="00314F48">
      <w:pPr>
        <w:tabs>
          <w:tab w:val="left" w:pos="1701"/>
        </w:tabs>
        <w:autoSpaceDE w:val="0"/>
        <w:autoSpaceDN w:val="0"/>
        <w:adjustRightInd w:val="0"/>
        <w:ind w:left="1276" w:hanging="1276"/>
        <w:jc w:val="left"/>
        <w:rPr>
          <w:color w:val="000000" w:themeColor="text1"/>
        </w:rPr>
      </w:pPr>
      <w:bookmarkStart w:id="3" w:name="_Toc380150989"/>
    </w:p>
    <w:p w:rsidR="00314F48" w:rsidRPr="004C1B78" w:rsidRDefault="00A20752" w:rsidP="00C94B92">
      <w:pPr>
        <w:keepNext/>
        <w:autoSpaceDE w:val="0"/>
        <w:autoSpaceDN w:val="0"/>
        <w:adjustRightInd w:val="0"/>
        <w:ind w:left="567" w:hanging="567"/>
        <w:rPr>
          <w:rFonts w:cs="Arial"/>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En el presente documento se utilizan las siguientes abreviaturas:</w:t>
      </w:r>
    </w:p>
    <w:p w:rsidR="00314F48" w:rsidRPr="004C1B78" w:rsidRDefault="00314F48" w:rsidP="00C94B92">
      <w:pPr>
        <w:keepNext/>
        <w:rPr>
          <w:rFonts w:cs="Arial"/>
          <w:color w:val="000000" w:themeColor="text1"/>
        </w:rPr>
      </w:pPr>
    </w:p>
    <w:p w:rsidR="00314F48" w:rsidRPr="004C1B78" w:rsidRDefault="00314F48" w:rsidP="00C94B92">
      <w:pPr>
        <w:keepNext/>
        <w:rPr>
          <w:rFonts w:cs="Arial"/>
          <w:color w:val="000000" w:themeColor="text1"/>
        </w:rPr>
      </w:pPr>
      <w:r w:rsidRPr="004C1B78">
        <w:rPr>
          <w:color w:val="000000" w:themeColor="text1"/>
        </w:rPr>
        <w:tab/>
        <w:t>TC:</w:t>
      </w:r>
      <w:r w:rsidRPr="004C1B78">
        <w:rPr>
          <w:color w:val="000000" w:themeColor="text1"/>
        </w:rPr>
        <w:tab/>
      </w:r>
      <w:r w:rsidRPr="004C1B78">
        <w:rPr>
          <w:color w:val="000000" w:themeColor="text1"/>
        </w:rPr>
        <w:tab/>
        <w:t>Comité Técnico</w:t>
      </w:r>
    </w:p>
    <w:p w:rsidR="00314F48" w:rsidRPr="004C1B78" w:rsidRDefault="00314F48" w:rsidP="00314F48">
      <w:pPr>
        <w:rPr>
          <w:rFonts w:eastAsia="PMingLiU" w:cs="Arial"/>
          <w:color w:val="000000" w:themeColor="text1"/>
          <w:szCs w:val="24"/>
        </w:rPr>
      </w:pPr>
      <w:r w:rsidRPr="004C1B78">
        <w:rPr>
          <w:color w:val="000000" w:themeColor="text1"/>
        </w:rPr>
        <w:tab/>
        <w:t>TC-EDC:</w:t>
      </w:r>
      <w:r w:rsidRPr="004C1B78">
        <w:rPr>
          <w:color w:val="000000" w:themeColor="text1"/>
        </w:rPr>
        <w:tab/>
        <w:t>Comité de Redacción Ampliado</w:t>
      </w:r>
    </w:p>
    <w:p w:rsidR="00314F48" w:rsidRPr="004C1B78" w:rsidRDefault="00314F48" w:rsidP="00314F48">
      <w:pPr>
        <w:rPr>
          <w:rFonts w:eastAsia="PMingLiU" w:cs="Arial"/>
          <w:color w:val="000000" w:themeColor="text1"/>
          <w:szCs w:val="24"/>
        </w:rPr>
      </w:pPr>
      <w:r w:rsidRPr="004C1B78">
        <w:rPr>
          <w:color w:val="000000" w:themeColor="text1"/>
        </w:rPr>
        <w:tab/>
        <w:t>TWA:</w:t>
      </w:r>
      <w:r w:rsidRPr="004C1B78">
        <w:rPr>
          <w:color w:val="000000" w:themeColor="text1"/>
        </w:rPr>
        <w:tab/>
      </w:r>
      <w:r w:rsidRPr="004C1B78">
        <w:rPr>
          <w:color w:val="000000" w:themeColor="text1"/>
        </w:rPr>
        <w:tab/>
        <w:t>Grupo de Trabajo Técnico sobre Plantas Agrícolas</w:t>
      </w:r>
    </w:p>
    <w:p w:rsidR="00314F48" w:rsidRPr="004C1B78" w:rsidRDefault="00314F48" w:rsidP="00314F48">
      <w:pPr>
        <w:rPr>
          <w:rFonts w:eastAsia="PMingLiU" w:cs="Arial"/>
          <w:color w:val="000000" w:themeColor="text1"/>
          <w:szCs w:val="24"/>
        </w:rPr>
      </w:pPr>
      <w:r w:rsidRPr="004C1B78">
        <w:rPr>
          <w:color w:val="000000" w:themeColor="text1"/>
        </w:rPr>
        <w:tab/>
        <w:t>TWC:</w:t>
      </w:r>
      <w:r w:rsidRPr="004C1B78">
        <w:rPr>
          <w:color w:val="000000" w:themeColor="text1"/>
        </w:rPr>
        <w:tab/>
      </w:r>
      <w:r w:rsidRPr="004C1B78">
        <w:rPr>
          <w:color w:val="000000" w:themeColor="text1"/>
        </w:rPr>
        <w:tab/>
        <w:t>Grupo de Trabajo Técnico sobre Automatización y Programas Informáticos</w:t>
      </w:r>
    </w:p>
    <w:p w:rsidR="00314F48" w:rsidRPr="004C1B78" w:rsidRDefault="00314F48" w:rsidP="00314F48">
      <w:pPr>
        <w:rPr>
          <w:rFonts w:eastAsia="PMingLiU" w:cs="Arial"/>
          <w:color w:val="000000" w:themeColor="text1"/>
          <w:szCs w:val="24"/>
        </w:rPr>
      </w:pPr>
      <w:r w:rsidRPr="004C1B78">
        <w:rPr>
          <w:color w:val="000000" w:themeColor="text1"/>
        </w:rPr>
        <w:tab/>
        <w:t xml:space="preserve">TWF: </w:t>
      </w:r>
      <w:r w:rsidRPr="004C1B78">
        <w:rPr>
          <w:color w:val="000000" w:themeColor="text1"/>
        </w:rPr>
        <w:tab/>
      </w:r>
      <w:r w:rsidRPr="004C1B78">
        <w:rPr>
          <w:color w:val="000000" w:themeColor="text1"/>
        </w:rPr>
        <w:tab/>
        <w:t>Grupo de Trabajo Técnico sobre Plantas Frutales</w:t>
      </w:r>
    </w:p>
    <w:p w:rsidR="00314F48" w:rsidRPr="004C1B78" w:rsidRDefault="00314F48" w:rsidP="00314F48">
      <w:pPr>
        <w:rPr>
          <w:rFonts w:eastAsia="PMingLiU" w:cs="Arial"/>
          <w:color w:val="000000" w:themeColor="text1"/>
          <w:szCs w:val="24"/>
        </w:rPr>
      </w:pPr>
      <w:r w:rsidRPr="004C1B78">
        <w:rPr>
          <w:color w:val="000000" w:themeColor="text1"/>
        </w:rPr>
        <w:tab/>
        <w:t>TWO:</w:t>
      </w:r>
      <w:r w:rsidRPr="004C1B78">
        <w:rPr>
          <w:color w:val="000000" w:themeColor="text1"/>
        </w:rPr>
        <w:tab/>
      </w:r>
      <w:r w:rsidRPr="004C1B78">
        <w:rPr>
          <w:color w:val="000000" w:themeColor="text1"/>
        </w:rPr>
        <w:tab/>
        <w:t>Grupo de Trabajo Técnico sobre Plantas Ornamentales y Árboles Forestales</w:t>
      </w:r>
    </w:p>
    <w:p w:rsidR="00314F48" w:rsidRPr="004C1B78" w:rsidRDefault="00314F48" w:rsidP="00314F48">
      <w:pPr>
        <w:rPr>
          <w:rFonts w:eastAsia="PMingLiU" w:cs="Arial"/>
          <w:color w:val="000000" w:themeColor="text1"/>
          <w:szCs w:val="24"/>
        </w:rPr>
      </w:pPr>
      <w:r w:rsidRPr="004C1B78">
        <w:rPr>
          <w:color w:val="000000" w:themeColor="text1"/>
        </w:rPr>
        <w:tab/>
        <w:t>TWP:</w:t>
      </w:r>
      <w:r w:rsidRPr="004C1B78">
        <w:rPr>
          <w:color w:val="000000" w:themeColor="text1"/>
        </w:rPr>
        <w:tab/>
      </w:r>
      <w:r w:rsidR="001E6CB1" w:rsidRPr="004C1B78">
        <w:rPr>
          <w:color w:val="000000" w:themeColor="text1"/>
        </w:rPr>
        <w:tab/>
      </w:r>
      <w:r w:rsidRPr="004C1B78">
        <w:rPr>
          <w:color w:val="000000" w:themeColor="text1"/>
        </w:rPr>
        <w:t>Grupos de Trabajo Técnico</w:t>
      </w:r>
    </w:p>
    <w:p w:rsidR="00314F48" w:rsidRPr="004C1B78" w:rsidRDefault="00314F48" w:rsidP="00314F48">
      <w:pPr>
        <w:rPr>
          <w:rFonts w:eastAsia="PMingLiU" w:cs="Arial"/>
          <w:color w:val="000000" w:themeColor="text1"/>
          <w:szCs w:val="24"/>
        </w:rPr>
      </w:pPr>
      <w:r w:rsidRPr="004C1B78">
        <w:rPr>
          <w:color w:val="000000" w:themeColor="text1"/>
        </w:rPr>
        <w:tab/>
        <w:t>TWV:</w:t>
      </w:r>
      <w:r w:rsidRPr="004C1B78">
        <w:rPr>
          <w:color w:val="000000" w:themeColor="text1"/>
        </w:rPr>
        <w:tab/>
      </w:r>
      <w:r w:rsidRPr="004C1B78">
        <w:rPr>
          <w:color w:val="000000" w:themeColor="text1"/>
        </w:rPr>
        <w:tab/>
        <w:t>Grupo de Trabajo Técnico sobre Hortalizas</w:t>
      </w:r>
    </w:p>
    <w:p w:rsidR="00314F48" w:rsidRPr="004C1B78" w:rsidRDefault="00314F48" w:rsidP="00314F48">
      <w:pPr>
        <w:autoSpaceDE w:val="0"/>
        <w:autoSpaceDN w:val="0"/>
        <w:adjustRightInd w:val="0"/>
        <w:rPr>
          <w:color w:val="000000" w:themeColor="text1"/>
        </w:rPr>
      </w:pPr>
    </w:p>
    <w:p w:rsidR="00314F48" w:rsidRPr="004C1B78" w:rsidRDefault="00314F48" w:rsidP="00314F48">
      <w:pPr>
        <w:rPr>
          <w:color w:val="000000" w:themeColor="text1"/>
        </w:rPr>
      </w:pPr>
    </w:p>
    <w:p w:rsidR="00314F48" w:rsidRPr="004C1B78" w:rsidRDefault="00314F48" w:rsidP="00F249C7">
      <w:pPr>
        <w:pStyle w:val="Heading1"/>
        <w:rPr>
          <w:rFonts w:eastAsia="MS Mincho"/>
        </w:rPr>
      </w:pPr>
      <w:bookmarkStart w:id="4" w:name="_Toc474915997"/>
      <w:r w:rsidRPr="004C1B78">
        <w:t>ANTECEDENTES</w:t>
      </w:r>
      <w:bookmarkEnd w:id="3"/>
      <w:bookmarkEnd w:id="4"/>
    </w:p>
    <w:p w:rsidR="00314F48" w:rsidRPr="004C1B78" w:rsidRDefault="00314F48" w:rsidP="00314F48">
      <w:pPr>
        <w:rPr>
          <w:rFonts w:eastAsia="MS Mincho"/>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Los antecedent</w:t>
      </w:r>
      <w:r w:rsidR="00C127A0">
        <w:rPr>
          <w:color w:val="000000" w:themeColor="text1"/>
        </w:rPr>
        <w:t>es de esta cuestión figuran en el</w:t>
      </w:r>
      <w:r w:rsidR="00314F48" w:rsidRPr="004C1B78">
        <w:rPr>
          <w:color w:val="000000" w:themeColor="text1"/>
        </w:rPr>
        <w:t xml:space="preserve"> documento T</w:t>
      </w:r>
      <w:r w:rsidR="00C127A0">
        <w:rPr>
          <w:color w:val="000000" w:themeColor="text1"/>
        </w:rPr>
        <w:t>C/52/20</w:t>
      </w:r>
      <w:r w:rsidR="00314F48" w:rsidRPr="004C1B78">
        <w:rPr>
          <w:color w:val="000000" w:themeColor="text1"/>
        </w:rPr>
        <w:t xml:space="preserve"> “</w:t>
      </w:r>
      <w:r w:rsidR="007F34EF" w:rsidRPr="00B26559">
        <w:t xml:space="preserve">Evaluación de la homogeneidad de las plantas fuera de tipo mediante la observación de más de un ciclo de cultivo o mediante la observación de </w:t>
      </w:r>
      <w:proofErr w:type="spellStart"/>
      <w:r w:rsidR="007F34EF" w:rsidRPr="00B26559">
        <w:t>submuestras</w:t>
      </w:r>
      <w:proofErr w:type="spellEnd"/>
      <w:r w:rsidR="00314F48" w:rsidRPr="004C1B78">
        <w:rPr>
          <w:color w:val="000000" w:themeColor="text1"/>
        </w:rPr>
        <w:t xml:space="preserve">” y TC/52/20 </w:t>
      </w:r>
      <w:proofErr w:type="spellStart"/>
      <w:r w:rsidR="00314F48" w:rsidRPr="004C1B78">
        <w:rPr>
          <w:color w:val="000000" w:themeColor="text1"/>
        </w:rPr>
        <w:t>Add</w:t>
      </w:r>
      <w:proofErr w:type="spellEnd"/>
      <w:r w:rsidR="00314F48" w:rsidRPr="004C1B78">
        <w:rPr>
          <w:color w:val="000000" w:themeColor="text1"/>
        </w:rPr>
        <w:t>. “</w:t>
      </w:r>
      <w:proofErr w:type="spellStart"/>
      <w:r w:rsidR="00314F48" w:rsidRPr="004C1B78">
        <w:rPr>
          <w:i/>
          <w:color w:val="000000" w:themeColor="text1"/>
        </w:rPr>
        <w:t>Addendum</w:t>
      </w:r>
      <w:proofErr w:type="spellEnd"/>
      <w:r w:rsidR="00314F48" w:rsidRPr="004C1B78">
        <w:rPr>
          <w:i/>
          <w:color w:val="000000" w:themeColor="text1"/>
        </w:rPr>
        <w:t xml:space="preserve"> to </w:t>
      </w:r>
      <w:proofErr w:type="spellStart"/>
      <w:r w:rsidR="00314F48" w:rsidRPr="004C1B78">
        <w:rPr>
          <w:i/>
          <w:color w:val="000000" w:themeColor="text1"/>
        </w:rPr>
        <w:t>document</w:t>
      </w:r>
      <w:proofErr w:type="spellEnd"/>
      <w:r w:rsidR="00314F48" w:rsidRPr="004C1B78">
        <w:rPr>
          <w:i/>
          <w:color w:val="000000" w:themeColor="text1"/>
        </w:rPr>
        <w:t> TC/52/20</w:t>
      </w:r>
      <w:r w:rsidR="00314F48" w:rsidRPr="004C1B78">
        <w:rPr>
          <w:color w:val="000000" w:themeColor="text1"/>
        </w:rPr>
        <w:t>” (Adición al documento TC/52/20).</w:t>
      </w:r>
    </w:p>
    <w:p w:rsidR="00314F48" w:rsidRPr="004C1B78" w:rsidRDefault="00314F48" w:rsidP="00314F48">
      <w:pPr>
        <w:rPr>
          <w:color w:val="000000" w:themeColor="text1"/>
        </w:rPr>
      </w:pPr>
      <w:bookmarkStart w:id="5" w:name="_Toc380151005"/>
    </w:p>
    <w:p w:rsidR="00314F48" w:rsidRPr="004C1B78" w:rsidRDefault="00314F48" w:rsidP="00314F48">
      <w:pPr>
        <w:rPr>
          <w:color w:val="000000" w:themeColor="text1"/>
        </w:rPr>
      </w:pPr>
    </w:p>
    <w:p w:rsidR="00314F48" w:rsidRPr="00F65C0A" w:rsidRDefault="00314F48" w:rsidP="00314F48">
      <w:pPr>
        <w:pStyle w:val="Heading1"/>
        <w:rPr>
          <w:color w:val="000000" w:themeColor="text1"/>
          <w:lang w:val="es-ES"/>
        </w:rPr>
      </w:pPr>
      <w:bookmarkStart w:id="6" w:name="_Toc449715857"/>
      <w:bookmarkStart w:id="7" w:name="_Toc474915998"/>
      <w:r w:rsidRPr="00F65C0A">
        <w:rPr>
          <w:color w:val="000000" w:themeColor="text1"/>
          <w:lang w:val="es-ES"/>
        </w:rPr>
        <w:t>NOVEDADES ACAECIDAS EN 2016</w:t>
      </w:r>
      <w:bookmarkEnd w:id="6"/>
      <w:bookmarkEnd w:id="7"/>
    </w:p>
    <w:p w:rsidR="00314F48" w:rsidRPr="004C1B78" w:rsidRDefault="00314F48" w:rsidP="00314F48">
      <w:pPr>
        <w:rPr>
          <w:color w:val="000000" w:themeColor="text1"/>
        </w:rPr>
      </w:pPr>
    </w:p>
    <w:p w:rsidR="00314F48" w:rsidRPr="00F65C0A" w:rsidRDefault="00314F48" w:rsidP="00314F48">
      <w:pPr>
        <w:pStyle w:val="Heading2"/>
        <w:rPr>
          <w:color w:val="000000" w:themeColor="text1"/>
          <w:lang w:val="es-ES"/>
        </w:rPr>
      </w:pPr>
      <w:bookmarkStart w:id="8" w:name="_Toc449715858"/>
      <w:bookmarkStart w:id="9" w:name="_Toc474915999"/>
      <w:r w:rsidRPr="00F65C0A">
        <w:rPr>
          <w:color w:val="000000" w:themeColor="text1"/>
          <w:lang w:val="es-ES"/>
        </w:rPr>
        <w:t>Comité Técnico</w:t>
      </w:r>
      <w:bookmarkEnd w:id="8"/>
      <w:bookmarkEnd w:id="9"/>
    </w:p>
    <w:p w:rsidR="00314F48" w:rsidRPr="004C1B78" w:rsidRDefault="00314F48" w:rsidP="00314F48">
      <w:pPr>
        <w:rPr>
          <w:color w:val="000000" w:themeColor="text1"/>
        </w:rPr>
      </w:pPr>
    </w:p>
    <w:p w:rsidR="00314F48" w:rsidRPr="004C1B78" w:rsidRDefault="00A20752" w:rsidP="00314F48">
      <w:pPr>
        <w:keepNext/>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En su quincuagésima segunda sesión, celebrada en Ginebra del 14 al 16 de marzo de 2016, el TC examinó el documento TC/52/20 y escuchó una ponencia de un</w:t>
      </w:r>
      <w:r w:rsidR="00314F48" w:rsidRPr="004C1B78">
        <w:rPr>
          <w:color w:val="000000" w:themeColor="text1"/>
          <w:sz w:val="19"/>
        </w:rPr>
        <w:t xml:space="preserve"> </w:t>
      </w:r>
      <w:r w:rsidR="00314F48" w:rsidRPr="004C1B78">
        <w:rPr>
          <w:rFonts w:hint="eastAsia"/>
          <w:color w:val="000000" w:themeColor="text1"/>
        </w:rPr>
        <w:t>experto del Reino</w:t>
      </w:r>
      <w:r w:rsidR="00314F48" w:rsidRPr="004C1B78">
        <w:rPr>
          <w:color w:val="000000" w:themeColor="text1"/>
        </w:rPr>
        <w:t xml:space="preserve"> Unido sobre </w:t>
      </w:r>
      <w:r w:rsidR="00314F48" w:rsidRPr="004C1B78">
        <w:rPr>
          <w:rFonts w:hint="eastAsia"/>
          <w:color w:val="000000" w:themeColor="text1"/>
        </w:rPr>
        <w:t>la</w:t>
      </w:r>
      <w:r w:rsidR="00314F48" w:rsidRPr="004C1B78">
        <w:rPr>
          <w:color w:val="000000" w:themeColor="text1"/>
          <w:sz w:val="19"/>
        </w:rPr>
        <w:t xml:space="preserve"> </w:t>
      </w:r>
      <w:r w:rsidR="00314F48" w:rsidRPr="004C1B78">
        <w:rPr>
          <w:color w:val="000000" w:themeColor="text1"/>
        </w:rPr>
        <w:t>evaluación de la homogeneidad de las plantas fuera de tipo mediante la observación de más de un ciclo de cultivo, de la que figura una copia en el Anexo I del presente documento</w:t>
      </w:r>
      <w:r w:rsidR="00D82083" w:rsidRPr="004C1B78">
        <w:rPr>
          <w:color w:val="000000" w:themeColor="text1"/>
        </w:rPr>
        <w:t xml:space="preserve"> </w:t>
      </w:r>
      <w:r w:rsidR="00314F48" w:rsidRPr="004C1B78">
        <w:rPr>
          <w:color w:val="000000" w:themeColor="text1"/>
        </w:rPr>
        <w:t>(véanse los párrafos 118 a 121 del documento TC/52/29 Rev. “Informe revisado”).</w:t>
      </w:r>
    </w:p>
    <w:p w:rsidR="00314F48" w:rsidRPr="004C1B78" w:rsidRDefault="00314F48" w:rsidP="00314F48">
      <w:pPr>
        <w:rPr>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TC convino en que los TWP debían examinar, en sus sesiones de 2016, el nuevo “Método 3</w:t>
      </w:r>
      <w:proofErr w:type="gramStart"/>
      <w:r w:rsidR="00314F48" w:rsidRPr="004C1B78">
        <w:rPr>
          <w:color w:val="000000" w:themeColor="text1"/>
        </w:rPr>
        <w:t xml:space="preserve">: </w:t>
      </w:r>
      <w:r w:rsidR="00E056C2" w:rsidRPr="004C1B78">
        <w:rPr>
          <w:color w:val="000000" w:themeColor="text1"/>
        </w:rPr>
        <w:t xml:space="preserve"> </w:t>
      </w:r>
      <w:r w:rsidR="00314F48" w:rsidRPr="004C1B78">
        <w:rPr>
          <w:color w:val="000000" w:themeColor="text1"/>
        </w:rPr>
        <w:t>Combinar</w:t>
      </w:r>
      <w:proofErr w:type="gramEnd"/>
      <w:r w:rsidR="00314F48" w:rsidRPr="004C1B78">
        <w:rPr>
          <w:color w:val="000000" w:themeColor="text1"/>
        </w:rPr>
        <w:t xml:space="preserve"> los resultados de dos ciclos de cultivo” propuesto para evaluar la homogeneidad de las plantas fuera de tipo, que figura en el Anexo I del documento TC/52/20.</w:t>
      </w:r>
    </w:p>
    <w:p w:rsidR="00314F48" w:rsidRPr="004C1B78" w:rsidRDefault="00314F48" w:rsidP="00314F48">
      <w:pPr>
        <w:rPr>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TC tomó nota de que el TWA había convenido en solicitar una conexión por video con los expertos del TWC para debatir el nuevo método propuesto, el “Método 3</w:t>
      </w:r>
      <w:proofErr w:type="gramStart"/>
      <w:r w:rsidR="00314F48" w:rsidRPr="004C1B78">
        <w:rPr>
          <w:color w:val="000000" w:themeColor="text1"/>
        </w:rPr>
        <w:t xml:space="preserve">: </w:t>
      </w:r>
      <w:r w:rsidR="00E056C2" w:rsidRPr="004C1B78">
        <w:rPr>
          <w:color w:val="000000" w:themeColor="text1"/>
        </w:rPr>
        <w:t xml:space="preserve"> </w:t>
      </w:r>
      <w:r w:rsidR="00314F48" w:rsidRPr="004C1B78">
        <w:rPr>
          <w:color w:val="000000" w:themeColor="text1"/>
        </w:rPr>
        <w:t>Combinar</w:t>
      </w:r>
      <w:proofErr w:type="gramEnd"/>
      <w:r w:rsidR="00314F48" w:rsidRPr="004C1B78">
        <w:rPr>
          <w:color w:val="000000" w:themeColor="text1"/>
        </w:rPr>
        <w:t xml:space="preserve"> los resultados de dos ciclos de cultivo”, en su cuadragésima quinta sesión que se celebraría en 2016, y convino en que la conexión por video debía estar abierta a todos los expertos interesados.</w:t>
      </w:r>
    </w:p>
    <w:p w:rsidR="00314F48" w:rsidRPr="004C1B78" w:rsidRDefault="00314F48" w:rsidP="00314F48">
      <w:pPr>
        <w:rPr>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TC convino en aclarar que el uso previsto de la orientación que figura en el Anexo I del presente documento no es la evaluación de la homogeneidad de las plantas fuera de tipo en las mismas plantas en dos ciclos de cultivo, ya que las mismas plantas fuera de tipo observadas en el primer ciclo de cultivo seguirían siendo plantas fuera de tipo en el segundo ciclo de cultivo.</w:t>
      </w:r>
    </w:p>
    <w:p w:rsidR="00314F48" w:rsidRPr="004C1B78" w:rsidRDefault="00314F48" w:rsidP="00314F48">
      <w:pPr>
        <w:rPr>
          <w:color w:val="000000" w:themeColor="text1"/>
        </w:rPr>
      </w:pPr>
    </w:p>
    <w:p w:rsidR="00314F48" w:rsidRPr="00F65C0A" w:rsidRDefault="00314F48" w:rsidP="00314F48">
      <w:pPr>
        <w:pStyle w:val="Heading2"/>
        <w:rPr>
          <w:snapToGrid w:val="0"/>
          <w:color w:val="000000" w:themeColor="text1"/>
          <w:lang w:val="es-ES"/>
        </w:rPr>
      </w:pPr>
      <w:bookmarkStart w:id="10" w:name="_Toc474916000"/>
      <w:r w:rsidRPr="00F65C0A">
        <w:rPr>
          <w:snapToGrid w:val="0"/>
          <w:color w:val="000000" w:themeColor="text1"/>
          <w:lang w:val="es-ES"/>
        </w:rPr>
        <w:t>Grupos de Trabajo Técnico</w:t>
      </w:r>
      <w:bookmarkEnd w:id="10"/>
    </w:p>
    <w:p w:rsidR="00314F48" w:rsidRPr="004C1B78" w:rsidRDefault="00314F48" w:rsidP="00314F48">
      <w:pPr>
        <w:ind w:firstLine="567"/>
        <w:rPr>
          <w:color w:val="000000" w:themeColor="text1"/>
        </w:rPr>
      </w:pPr>
    </w:p>
    <w:p w:rsidR="00314F48" w:rsidRPr="00F65C0A" w:rsidRDefault="00314F48" w:rsidP="00314F48">
      <w:pPr>
        <w:pStyle w:val="Heading3"/>
        <w:rPr>
          <w:rFonts w:eastAsia="PMingLiU"/>
          <w:color w:val="000000" w:themeColor="text1"/>
          <w:lang w:val="es-ES"/>
        </w:rPr>
      </w:pPr>
      <w:bookmarkStart w:id="11" w:name="_Toc440299522"/>
      <w:bookmarkStart w:id="12" w:name="_Toc474916001"/>
      <w:r w:rsidRPr="00F65C0A">
        <w:rPr>
          <w:color w:val="000000" w:themeColor="text1"/>
          <w:lang w:val="es-ES"/>
        </w:rPr>
        <w:t>Grupo de Trabajo Técnico sobre Automatización y Programas Informáticos</w:t>
      </w:r>
      <w:bookmarkEnd w:id="11"/>
      <w:bookmarkEnd w:id="12"/>
    </w:p>
    <w:p w:rsidR="00314F48" w:rsidRPr="004C1B78" w:rsidRDefault="00314F48" w:rsidP="00314F48">
      <w:pPr>
        <w:rPr>
          <w:rFonts w:eastAsia="PMingLiU"/>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TWC examinó los documentos TWC/34/13 y TWC/34/27 (véanse los párrafos 44 y 51 del </w:t>
      </w:r>
      <w:r w:rsidR="00314F48" w:rsidRPr="004C1B78">
        <w:rPr>
          <w:color w:val="000000" w:themeColor="text1"/>
        </w:rPr>
        <w:t>documento </w:t>
      </w:r>
      <w:r w:rsidR="00314F48" w:rsidRPr="004C1B78">
        <w:rPr>
          <w:snapToGrid w:val="0"/>
          <w:color w:val="000000" w:themeColor="text1"/>
        </w:rPr>
        <w:t>TWC/34/</w:t>
      </w:r>
      <w:r w:rsidR="00314F48" w:rsidRPr="004C1B78">
        <w:rPr>
          <w:color w:val="000000" w:themeColor="text1"/>
        </w:rPr>
        <w:t>32 “</w:t>
      </w:r>
      <w:proofErr w:type="spellStart"/>
      <w:r w:rsidR="00314F48" w:rsidRPr="004C1B78">
        <w:rPr>
          <w:i/>
          <w:color w:val="000000" w:themeColor="text1"/>
        </w:rPr>
        <w:t>Report</w:t>
      </w:r>
      <w:proofErr w:type="spellEnd"/>
      <w:r w:rsidR="00314F48" w:rsidRPr="004C1B78">
        <w:rPr>
          <w:color w:val="000000" w:themeColor="text1"/>
        </w:rPr>
        <w:t>” (Informe))</w:t>
      </w:r>
      <w:r w:rsidR="00314F48" w:rsidRPr="004C1B78">
        <w:rPr>
          <w:snapToGrid w:val="0"/>
          <w:color w:val="000000" w:themeColor="text1"/>
        </w:rPr>
        <w:t>.</w:t>
      </w:r>
    </w:p>
    <w:p w:rsidR="00314F48" w:rsidRPr="004C1B78" w:rsidRDefault="00314F48" w:rsidP="00314F48">
      <w:pPr>
        <w:rPr>
          <w:snapToGrid w:val="0"/>
          <w:color w:val="000000" w:themeColor="text1"/>
        </w:rPr>
      </w:pPr>
    </w:p>
    <w:p w:rsidR="00314F48" w:rsidRPr="004C1B78" w:rsidRDefault="00A20752" w:rsidP="00314F48">
      <w:pPr>
        <w:rPr>
          <w:color w:val="000000" w:themeColor="text1"/>
        </w:rPr>
      </w:pPr>
      <w:r w:rsidRPr="004C1B78">
        <w:rPr>
          <w:rFonts w:cs="Arial"/>
          <w:color w:val="000000" w:themeColor="text1"/>
        </w:rPr>
        <w:lastRenderedPageBreak/>
        <w:fldChar w:fldCharType="begin"/>
      </w:r>
      <w:r w:rsidR="00314F48" w:rsidRPr="004C1B78">
        <w:rPr>
          <w:rFonts w:cs="Arial"/>
          <w:color w:val="000000" w:themeColor="text1"/>
        </w:rPr>
        <w:instrText xml:space="preserve"> AUTONUM  </w:instrText>
      </w:r>
      <w:r w:rsidRPr="004C1B78">
        <w:rPr>
          <w:rFonts w:cs="Arial"/>
          <w:color w:val="000000" w:themeColor="text1"/>
        </w:rPr>
        <w:fldChar w:fldCharType="end"/>
      </w:r>
      <w:r w:rsidR="00314F48" w:rsidRPr="004C1B78">
        <w:rPr>
          <w:color w:val="000000" w:themeColor="text1"/>
        </w:rPr>
        <w:tab/>
        <w:t>El TWC tomó nota de que el TWA había convenido en solicitar una conexión por video con los expertos del TWC para debatir el nuevo método propuesto, el “Método 3</w:t>
      </w:r>
      <w:proofErr w:type="gramStart"/>
      <w:r w:rsidR="00314F48" w:rsidRPr="004C1B78">
        <w:rPr>
          <w:color w:val="000000" w:themeColor="text1"/>
        </w:rPr>
        <w:t xml:space="preserve">: </w:t>
      </w:r>
      <w:r w:rsidR="00E056C2" w:rsidRPr="004C1B78">
        <w:rPr>
          <w:color w:val="000000" w:themeColor="text1"/>
        </w:rPr>
        <w:t xml:space="preserve"> </w:t>
      </w:r>
      <w:r w:rsidR="00314F48" w:rsidRPr="004C1B78">
        <w:rPr>
          <w:color w:val="000000" w:themeColor="text1"/>
        </w:rPr>
        <w:t>Combinar</w:t>
      </w:r>
      <w:proofErr w:type="gramEnd"/>
      <w:r w:rsidR="00314F48" w:rsidRPr="004C1B78">
        <w:rPr>
          <w:color w:val="000000" w:themeColor="text1"/>
        </w:rPr>
        <w:t xml:space="preserve"> los resultados de dos ciclos de cultivo”, en su cuadragésima quinta sesión que se celebraría en 2016;</w:t>
      </w:r>
    </w:p>
    <w:p w:rsidR="00314F48" w:rsidRPr="004C1B78" w:rsidRDefault="00314F48" w:rsidP="00314F48">
      <w:pPr>
        <w:rPr>
          <w:color w:val="000000" w:themeColor="text1"/>
        </w:rPr>
      </w:pPr>
    </w:p>
    <w:p w:rsidR="00314F48" w:rsidRPr="004C1B78" w:rsidRDefault="00A20752" w:rsidP="00314F48">
      <w:pPr>
        <w:rPr>
          <w:rFonts w:cs="Arial"/>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TWC examinó el proyecto de orientación que figura en los Anexos I y II del documento TWC/34/13, con miras a incluirlo en una futura revisión del documento TGP/10, y convino en que el costo de los ensayos, la coherencia de los resultados, el tiempo necesario para tomar decisiones y los aspectos técnicos de cada método pueden tener influencia en la elección del método más adecuado para cada situación.</w:t>
      </w:r>
    </w:p>
    <w:p w:rsidR="00314F48" w:rsidRPr="004C1B78" w:rsidRDefault="00314F48" w:rsidP="00314F48">
      <w:pPr>
        <w:rPr>
          <w:rFonts w:cs="Arial"/>
          <w:color w:val="000000" w:themeColor="text1"/>
        </w:rPr>
      </w:pPr>
    </w:p>
    <w:p w:rsidR="00314F48" w:rsidRPr="004C1B78" w:rsidRDefault="00A20752" w:rsidP="00314F48">
      <w:pPr>
        <w:rPr>
          <w:rFonts w:cs="Arial"/>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TWC convino en que la futura orientación debe proporcionar criterios de decisión sobre el método más adecuado, basados en la experiencia de los miembros, y acordó solicitar ejemplos de diferentes tipos de cultivos y criterios de selección del método empleado para evaluar las plantas fuera de tipo.  El TWC acogió con agrado los ofrecimientos de Alemania, los Países Bajos y el Reino Unido de facilitar ejemplos que han de presentarse en su trigésima quinta reunión.</w:t>
      </w:r>
    </w:p>
    <w:p w:rsidR="00314F48" w:rsidRPr="004C1B78" w:rsidRDefault="00314F48" w:rsidP="00314F48">
      <w:pPr>
        <w:rPr>
          <w:rFonts w:cs="Arial"/>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 xml:space="preserve">El TWC tomó nota de la importancia de determinar si las diferencias entre ciclos en cuanto al número de plantas fuera de tipo se deben a motivos biológicos o a las variaciones en la toma de muestras y convino en que </w:t>
      </w:r>
      <w:r w:rsidR="00314F48" w:rsidRPr="004C1B78">
        <w:rPr>
          <w:rFonts w:hint="eastAsia"/>
          <w:color w:val="000000" w:themeColor="text1"/>
        </w:rPr>
        <w:t xml:space="preserve">es preciso modificar la parte pertinente de los métodos 2 y 3 del </w:t>
      </w:r>
      <w:r w:rsidR="00314F48" w:rsidRPr="004C1B78">
        <w:rPr>
          <w:color w:val="000000" w:themeColor="text1"/>
        </w:rPr>
        <w:t>proyecto de orientación a fin de que la redacción sea la siguiente</w:t>
      </w:r>
      <w:r w:rsidR="00314F48" w:rsidRPr="004C1B78">
        <w:rPr>
          <w:rFonts w:hint="eastAsia"/>
          <w:color w:val="000000" w:themeColor="text1"/>
        </w:rPr>
        <w:t>, respectivamente</w:t>
      </w:r>
      <w:r w:rsidR="00314F48" w:rsidRPr="004C1B78">
        <w:rPr>
          <w:color w:val="000000" w:themeColor="text1"/>
        </w:rPr>
        <w:t>:</w:t>
      </w:r>
    </w:p>
    <w:p w:rsidR="00314F48" w:rsidRPr="004C1B78" w:rsidRDefault="00314F48" w:rsidP="00314F48">
      <w:pPr>
        <w:rPr>
          <w:color w:val="000000" w:themeColor="text1"/>
        </w:rPr>
      </w:pPr>
    </w:p>
    <w:p w:rsidR="00314F48" w:rsidRPr="004C1B78" w:rsidRDefault="00314F48" w:rsidP="00314F48">
      <w:pPr>
        <w:ind w:left="567" w:right="567"/>
        <w:rPr>
          <w:color w:val="000000" w:themeColor="text1"/>
          <w:sz w:val="18"/>
        </w:rPr>
      </w:pPr>
      <w:r w:rsidRPr="004C1B78">
        <w:rPr>
          <w:color w:val="000000" w:themeColor="text1"/>
          <w:sz w:val="18"/>
        </w:rPr>
        <w:t xml:space="preserve">“Es preciso poner cuidado al examinar resultados que son muy diferentes en cada uno de los ciclos de cultivo, por ejemplo cuando se observa una gran abundancia de plantas fuera de tipo en un ciclo de cultivo y su ausencia en otro ciclo. </w:t>
      </w:r>
      <w:r w:rsidR="00E056C2" w:rsidRPr="004C1B78">
        <w:rPr>
          <w:color w:val="000000" w:themeColor="text1"/>
          <w:sz w:val="18"/>
        </w:rPr>
        <w:t xml:space="preserve"> </w:t>
      </w:r>
      <w:r w:rsidRPr="004C1B78">
        <w:rPr>
          <w:color w:val="000000" w:themeColor="text1"/>
          <w:sz w:val="18"/>
          <w:highlight w:val="lightGray"/>
          <w:u w:val="single"/>
        </w:rPr>
        <w:t>Cuando corresponda se debe llevar a cabo una prueba estadística para verificar la coherencia</w:t>
      </w:r>
      <w:r w:rsidRPr="004C1B78">
        <w:rPr>
          <w:color w:val="000000" w:themeColor="text1"/>
          <w:sz w:val="18"/>
        </w:rPr>
        <w:t>.”</w:t>
      </w:r>
    </w:p>
    <w:p w:rsidR="00314F48" w:rsidRPr="004C1B78" w:rsidRDefault="00314F48" w:rsidP="00314F48">
      <w:pPr>
        <w:rPr>
          <w:color w:val="000000" w:themeColor="text1"/>
        </w:rPr>
      </w:pPr>
    </w:p>
    <w:p w:rsidR="00314F48" w:rsidRPr="004C1B78" w:rsidRDefault="00314F48" w:rsidP="00314F48">
      <w:pPr>
        <w:ind w:left="567" w:right="567"/>
        <w:rPr>
          <w:color w:val="000000" w:themeColor="text1"/>
          <w:sz w:val="18"/>
        </w:rPr>
      </w:pPr>
      <w:r w:rsidRPr="004C1B78">
        <w:rPr>
          <w:color w:val="000000" w:themeColor="text1"/>
          <w:sz w:val="18"/>
        </w:rPr>
        <w:t>“Es preciso poner cuidado al examinar resultados que son muy diferentes en cada uno de los ciclos de cultivo, por ejemplo cuando se observa una gran abundancia de plantas fuera de tipo en un ciclo de cultivo y su ausencia en otro ciclo.</w:t>
      </w:r>
      <w:r w:rsidR="00E056C2" w:rsidRPr="004C1B78">
        <w:rPr>
          <w:color w:val="000000" w:themeColor="text1"/>
          <w:sz w:val="18"/>
        </w:rPr>
        <w:t xml:space="preserve"> </w:t>
      </w:r>
      <w:r w:rsidRPr="004C1B78">
        <w:rPr>
          <w:color w:val="000000" w:themeColor="text1"/>
          <w:sz w:val="18"/>
        </w:rPr>
        <w:t xml:space="preserve"> </w:t>
      </w:r>
      <w:r w:rsidRPr="004C1B78">
        <w:rPr>
          <w:color w:val="000000" w:themeColor="text1"/>
          <w:sz w:val="18"/>
          <w:highlight w:val="lightGray"/>
          <w:u w:val="single"/>
        </w:rPr>
        <w:t>Cuando corresponda se debe</w:t>
      </w:r>
      <w:r w:rsidRPr="004C1B78">
        <w:rPr>
          <w:color w:val="000000" w:themeColor="text1"/>
          <w:sz w:val="18"/>
        </w:rPr>
        <w:t xml:space="preserve"> </w:t>
      </w:r>
      <w:r w:rsidRPr="004C1B78">
        <w:rPr>
          <w:strike/>
          <w:color w:val="000000" w:themeColor="text1"/>
          <w:sz w:val="18"/>
          <w:highlight w:val="lightGray"/>
        </w:rPr>
        <w:t>Se puede</w:t>
      </w:r>
      <w:r w:rsidRPr="004C1B78">
        <w:rPr>
          <w:color w:val="000000" w:themeColor="text1"/>
          <w:sz w:val="18"/>
        </w:rPr>
        <w:t xml:space="preserve"> </w:t>
      </w:r>
      <w:r w:rsidRPr="004C1B78">
        <w:rPr>
          <w:color w:val="000000" w:themeColor="text1"/>
          <w:sz w:val="18"/>
          <w:highlight w:val="lightGray"/>
          <w:u w:val="single"/>
        </w:rPr>
        <w:t>llevar a cabo</w:t>
      </w:r>
      <w:r w:rsidRPr="004C1B78">
        <w:rPr>
          <w:color w:val="000000" w:themeColor="text1"/>
          <w:sz w:val="18"/>
        </w:rPr>
        <w:t xml:space="preserve"> una prueba estadística para verificar la coherencia.”</w:t>
      </w:r>
    </w:p>
    <w:p w:rsidR="00314F48" w:rsidRPr="004C1B78" w:rsidRDefault="00314F48" w:rsidP="00314F48">
      <w:pPr>
        <w:rPr>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TWC examinó el documento TWC/34/27 “</w:t>
      </w:r>
      <w:proofErr w:type="spellStart"/>
      <w:r w:rsidR="00314F48" w:rsidRPr="004C1B78">
        <w:rPr>
          <w:i/>
          <w:color w:val="000000" w:themeColor="text1"/>
        </w:rPr>
        <w:t>Practical</w:t>
      </w:r>
      <w:proofErr w:type="spellEnd"/>
      <w:r w:rsidR="00314F48" w:rsidRPr="004C1B78">
        <w:rPr>
          <w:i/>
          <w:color w:val="000000" w:themeColor="text1"/>
        </w:rPr>
        <w:t xml:space="preserve"> </w:t>
      </w:r>
      <w:proofErr w:type="spellStart"/>
      <w:r w:rsidR="00314F48" w:rsidRPr="004C1B78">
        <w:rPr>
          <w:i/>
          <w:color w:val="000000" w:themeColor="text1"/>
        </w:rPr>
        <w:t>experience</w:t>
      </w:r>
      <w:proofErr w:type="spellEnd"/>
      <w:r w:rsidR="00314F48" w:rsidRPr="004C1B78">
        <w:rPr>
          <w:i/>
          <w:color w:val="000000" w:themeColor="text1"/>
        </w:rPr>
        <w:t xml:space="preserve"> of </w:t>
      </w:r>
      <w:proofErr w:type="spellStart"/>
      <w:r w:rsidR="00314F48" w:rsidRPr="004C1B78">
        <w:rPr>
          <w:i/>
          <w:color w:val="000000" w:themeColor="text1"/>
        </w:rPr>
        <w:t>assessing</w:t>
      </w:r>
      <w:proofErr w:type="spellEnd"/>
      <w:r w:rsidR="00314F48" w:rsidRPr="004C1B78">
        <w:rPr>
          <w:i/>
          <w:color w:val="000000" w:themeColor="text1"/>
        </w:rPr>
        <w:t xml:space="preserve"> </w:t>
      </w:r>
      <w:proofErr w:type="spellStart"/>
      <w:r w:rsidR="00314F48" w:rsidRPr="004C1B78">
        <w:rPr>
          <w:i/>
          <w:color w:val="000000" w:themeColor="text1"/>
        </w:rPr>
        <w:t>uniformity</w:t>
      </w:r>
      <w:proofErr w:type="spellEnd"/>
      <w:r w:rsidR="00314F48" w:rsidRPr="004C1B78">
        <w:rPr>
          <w:i/>
          <w:color w:val="000000" w:themeColor="text1"/>
        </w:rPr>
        <w:t xml:space="preserve"> </w:t>
      </w:r>
      <w:proofErr w:type="spellStart"/>
      <w:r w:rsidR="00314F48" w:rsidRPr="004C1B78">
        <w:rPr>
          <w:i/>
          <w:color w:val="000000" w:themeColor="text1"/>
        </w:rPr>
        <w:t>by</w:t>
      </w:r>
      <w:proofErr w:type="spellEnd"/>
      <w:r w:rsidR="00314F48" w:rsidRPr="004C1B78">
        <w:rPr>
          <w:i/>
          <w:color w:val="000000" w:themeColor="text1"/>
        </w:rPr>
        <w:t xml:space="preserve"> off-</w:t>
      </w:r>
      <w:proofErr w:type="spellStart"/>
      <w:r w:rsidR="00314F48" w:rsidRPr="004C1B78">
        <w:rPr>
          <w:i/>
          <w:color w:val="000000" w:themeColor="text1"/>
        </w:rPr>
        <w:t>types</w:t>
      </w:r>
      <w:proofErr w:type="spellEnd"/>
      <w:r w:rsidR="00314F48" w:rsidRPr="004C1B78">
        <w:rPr>
          <w:i/>
          <w:color w:val="000000" w:themeColor="text1"/>
        </w:rPr>
        <w:t xml:space="preserve"> </w:t>
      </w:r>
      <w:proofErr w:type="spellStart"/>
      <w:r w:rsidR="00314F48" w:rsidRPr="004C1B78">
        <w:rPr>
          <w:i/>
          <w:color w:val="000000" w:themeColor="text1"/>
        </w:rPr>
        <w:t>on</w:t>
      </w:r>
      <w:proofErr w:type="spellEnd"/>
      <w:r w:rsidR="00314F48" w:rsidRPr="004C1B78">
        <w:rPr>
          <w:i/>
          <w:color w:val="000000" w:themeColor="text1"/>
        </w:rPr>
        <w:t xml:space="preserve"> </w:t>
      </w:r>
      <w:proofErr w:type="spellStart"/>
      <w:r w:rsidR="00314F48" w:rsidRPr="004C1B78">
        <w:rPr>
          <w:i/>
          <w:color w:val="000000" w:themeColor="text1"/>
        </w:rPr>
        <w:t>oilseed</w:t>
      </w:r>
      <w:proofErr w:type="spellEnd"/>
      <w:r w:rsidR="00314F48" w:rsidRPr="004C1B78">
        <w:rPr>
          <w:i/>
          <w:color w:val="000000" w:themeColor="text1"/>
        </w:rPr>
        <w:t xml:space="preserve"> rape and </w:t>
      </w:r>
      <w:proofErr w:type="spellStart"/>
      <w:r w:rsidR="00314F48" w:rsidRPr="004C1B78">
        <w:rPr>
          <w:i/>
          <w:color w:val="000000" w:themeColor="text1"/>
        </w:rPr>
        <w:t>cauliflower</w:t>
      </w:r>
      <w:proofErr w:type="spellEnd"/>
      <w:r w:rsidR="00314F48" w:rsidRPr="004C1B78">
        <w:rPr>
          <w:color w:val="000000" w:themeColor="text1"/>
        </w:rPr>
        <w:t>” (Experiencia práctica en la evaluación de la homogeneidad de las plantas fuera de tipo en colza oleaginosa y coliflor) y asistió a una ponencia de un experto de Francia, de la que figura una copia en el Anexo del documento TWC/34/27.</w:t>
      </w:r>
    </w:p>
    <w:p w:rsidR="00314F48" w:rsidRPr="004C1B78" w:rsidRDefault="00314F48" w:rsidP="00314F48">
      <w:pPr>
        <w:rPr>
          <w:color w:val="000000" w:themeColor="text1"/>
        </w:rPr>
      </w:pPr>
    </w:p>
    <w:p w:rsidR="00314F48" w:rsidRPr="004C1B78" w:rsidRDefault="00A20752" w:rsidP="00314F48">
      <w:pPr>
        <w:rPr>
          <w:rFonts w:cs="Arial"/>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 xml:space="preserve">El TWC tomó nota de la simulación de decisiones mediante los métodos 1 y 3 en diferentes cultivos y convino en la utilidad de los ejemplos prácticos.  El TWC tomó nota de que no son frecuentes los casos de resultados divergentes entre 2 ciclos de cultivo, dado que la mayoría de las variedades cumplen o </w:t>
      </w:r>
      <w:r w:rsidR="00704812" w:rsidRPr="004C1B78">
        <w:rPr>
          <w:color w:val="000000" w:themeColor="text1"/>
        </w:rPr>
        <w:t>incumplen</w:t>
      </w:r>
      <w:r w:rsidR="00314F48" w:rsidRPr="004C1B78">
        <w:rPr>
          <w:color w:val="000000" w:themeColor="text1"/>
        </w:rPr>
        <w:t xml:space="preserve"> los requisitos en ambos ciclos.  </w:t>
      </w:r>
    </w:p>
    <w:p w:rsidR="00314F48" w:rsidRPr="004C1B78" w:rsidRDefault="00314F48" w:rsidP="00314F48">
      <w:pPr>
        <w:rPr>
          <w:rFonts w:cs="Arial"/>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r>
      <w:r w:rsidR="00314F48" w:rsidRPr="004C1B78">
        <w:rPr>
          <w:rFonts w:hint="eastAsia"/>
          <w:color w:val="000000" w:themeColor="text1"/>
        </w:rPr>
        <w:t xml:space="preserve"> El T</w:t>
      </w:r>
      <w:r w:rsidR="00314F48" w:rsidRPr="004C1B78">
        <w:rPr>
          <w:color w:val="000000" w:themeColor="text1"/>
        </w:rPr>
        <w:t>W</w:t>
      </w:r>
      <w:r w:rsidR="00314F48" w:rsidRPr="004C1B78">
        <w:rPr>
          <w:rFonts w:hint="eastAsia"/>
          <w:color w:val="000000" w:themeColor="text1"/>
        </w:rPr>
        <w:t xml:space="preserve">C tomó nota de la explicación que un experto de Francia dio </w:t>
      </w:r>
      <w:r w:rsidR="00314F48" w:rsidRPr="004C1B78">
        <w:rPr>
          <w:color w:val="000000" w:themeColor="text1"/>
        </w:rPr>
        <w:t xml:space="preserve">de </w:t>
      </w:r>
      <w:r w:rsidR="00314F48" w:rsidRPr="004C1B78">
        <w:rPr>
          <w:rFonts w:hint="eastAsia"/>
          <w:color w:val="000000" w:themeColor="text1"/>
        </w:rPr>
        <w:t>la necesidad de un </w:t>
      </w:r>
      <w:r w:rsidR="00314F48" w:rsidRPr="004C1B78">
        <w:rPr>
          <w:color w:val="000000" w:themeColor="text1"/>
        </w:rPr>
        <w:t>“ciclo de</w:t>
      </w:r>
      <w:r w:rsidR="00314F48" w:rsidRPr="004C1B78">
        <w:rPr>
          <w:rFonts w:hint="eastAsia"/>
          <w:color w:val="000000" w:themeColor="text1"/>
        </w:rPr>
        <w:t xml:space="preserve"> cultivo independiente</w:t>
      </w:r>
      <w:r w:rsidR="00314F48" w:rsidRPr="004C1B78">
        <w:rPr>
          <w:color w:val="000000" w:themeColor="text1"/>
        </w:rPr>
        <w:t>”</w:t>
      </w:r>
      <w:r w:rsidR="00314F48" w:rsidRPr="004C1B78">
        <w:rPr>
          <w:rFonts w:hint="eastAsia"/>
          <w:color w:val="000000" w:themeColor="text1"/>
        </w:rPr>
        <w:t xml:space="preserve"> y </w:t>
      </w:r>
      <w:r w:rsidR="00314F48" w:rsidRPr="004C1B78">
        <w:rPr>
          <w:color w:val="000000" w:themeColor="text1"/>
        </w:rPr>
        <w:t>de que se prefiere optar por un tercer ciclo de cultivo para aumentar la fiabilidad de las observaciones</w:t>
      </w:r>
      <w:r w:rsidR="00314F48" w:rsidRPr="004C1B78">
        <w:rPr>
          <w:rFonts w:hint="eastAsia"/>
          <w:color w:val="000000" w:themeColor="text1"/>
        </w:rPr>
        <w:t>, tal como se expone en la página 4 del Anexo del documento</w:t>
      </w:r>
      <w:r w:rsidR="00314F48" w:rsidRPr="004C1B78">
        <w:rPr>
          <w:color w:val="000000" w:themeColor="text1"/>
        </w:rPr>
        <w:t> </w:t>
      </w:r>
      <w:r w:rsidR="00314F48" w:rsidRPr="004C1B78">
        <w:rPr>
          <w:rFonts w:hint="eastAsia"/>
          <w:color w:val="000000" w:themeColor="text1"/>
        </w:rPr>
        <w:t xml:space="preserve">TWC/34/27.  </w:t>
      </w:r>
    </w:p>
    <w:p w:rsidR="00314F48" w:rsidRDefault="00314F48" w:rsidP="00314F48">
      <w:pPr>
        <w:pStyle w:val="Style1"/>
        <w:tabs>
          <w:tab w:val="clear" w:pos="907"/>
          <w:tab w:val="clear" w:pos="1077"/>
        </w:tabs>
        <w:rPr>
          <w:rFonts w:ascii="Arial" w:eastAsia="MS Mincho" w:hAnsi="Arial" w:cs="Arial"/>
          <w:color w:val="000000" w:themeColor="text1"/>
          <w:sz w:val="20"/>
          <w:szCs w:val="20"/>
        </w:rPr>
      </w:pPr>
    </w:p>
    <w:p w:rsidR="00E95C60" w:rsidRPr="004C1B78" w:rsidRDefault="00E95C60" w:rsidP="00314F48">
      <w:pPr>
        <w:pStyle w:val="Style1"/>
        <w:tabs>
          <w:tab w:val="clear" w:pos="907"/>
          <w:tab w:val="clear" w:pos="1077"/>
        </w:tabs>
        <w:rPr>
          <w:rFonts w:ascii="Arial" w:eastAsia="MS Mincho" w:hAnsi="Arial" w:cs="Arial"/>
          <w:color w:val="000000" w:themeColor="text1"/>
          <w:sz w:val="20"/>
          <w:szCs w:val="20"/>
        </w:rPr>
      </w:pPr>
    </w:p>
    <w:p w:rsidR="00314F48" w:rsidRPr="00F65C0A" w:rsidRDefault="00314F48" w:rsidP="00314F48">
      <w:pPr>
        <w:pStyle w:val="Heading3"/>
        <w:rPr>
          <w:color w:val="000000" w:themeColor="text1"/>
          <w:lang w:val="es-ES"/>
        </w:rPr>
      </w:pPr>
      <w:bookmarkStart w:id="13" w:name="_Toc440299525"/>
      <w:bookmarkStart w:id="14" w:name="_Toc474916002"/>
      <w:r w:rsidRPr="00F65C0A">
        <w:rPr>
          <w:color w:val="000000" w:themeColor="text1"/>
          <w:lang w:val="es-ES"/>
        </w:rPr>
        <w:t>Grupo de Trabajo Técnico sobre Plantas Ornamentales</w:t>
      </w:r>
      <w:bookmarkEnd w:id="13"/>
      <w:bookmarkEnd w:id="14"/>
    </w:p>
    <w:p w:rsidR="00314F48" w:rsidRPr="004C1B78" w:rsidRDefault="00314F48" w:rsidP="00314F48">
      <w:pPr>
        <w:rPr>
          <w:color w:val="000000" w:themeColor="text1"/>
        </w:rPr>
      </w:pPr>
    </w:p>
    <w:p w:rsidR="00314F48" w:rsidRPr="004C1B78" w:rsidRDefault="00A20752" w:rsidP="00314F48">
      <w:pPr>
        <w:keepNext/>
        <w:rPr>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TWO </w:t>
      </w:r>
      <w:r w:rsidR="00314F48" w:rsidRPr="004C1B78">
        <w:rPr>
          <w:color w:val="000000" w:themeColor="text1"/>
        </w:rPr>
        <w:t>examinó el documento TWO/49/13 (véanse los párrafos 37 a 40 del documento TWO/49/25</w:t>
      </w:r>
      <w:r w:rsidR="007F34EF">
        <w:rPr>
          <w:color w:val="000000" w:themeColor="text1"/>
        </w:rPr>
        <w:t> </w:t>
      </w:r>
      <w:r w:rsidR="00314F48" w:rsidRPr="004C1B78">
        <w:rPr>
          <w:color w:val="000000" w:themeColor="text1"/>
        </w:rPr>
        <w:t>Rev. “</w:t>
      </w:r>
      <w:proofErr w:type="spellStart"/>
      <w:r w:rsidR="00314F48" w:rsidRPr="004C1B78">
        <w:rPr>
          <w:i/>
          <w:color w:val="000000" w:themeColor="text1"/>
        </w:rPr>
        <w:t>Revised</w:t>
      </w:r>
      <w:proofErr w:type="spellEnd"/>
      <w:r w:rsidR="00314F48" w:rsidRPr="004C1B78">
        <w:rPr>
          <w:i/>
          <w:color w:val="000000" w:themeColor="text1"/>
        </w:rPr>
        <w:t xml:space="preserve"> </w:t>
      </w:r>
      <w:proofErr w:type="spellStart"/>
      <w:r w:rsidR="00314F48" w:rsidRPr="004C1B78">
        <w:rPr>
          <w:i/>
          <w:color w:val="000000" w:themeColor="text1"/>
        </w:rPr>
        <w:t>Report</w:t>
      </w:r>
      <w:proofErr w:type="spellEnd"/>
      <w:r w:rsidR="00314F48" w:rsidRPr="004C1B78">
        <w:rPr>
          <w:color w:val="000000" w:themeColor="text1"/>
        </w:rPr>
        <w:t>” (Informe revisado)).</w:t>
      </w:r>
    </w:p>
    <w:p w:rsidR="00314F48" w:rsidRPr="004C1B78" w:rsidRDefault="00314F48" w:rsidP="00314F48">
      <w:pPr>
        <w:keepNext/>
        <w:rPr>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 xml:space="preserve">El TWO tomó nota de que el Grupo de Trabajo Técnico sobre Plantas Agrícolas (TWA) había convenido en solicitar una conexión por video con los expertos del TWC para debatir el nuevo método propuesto, el “Método 3: </w:t>
      </w:r>
      <w:r w:rsidR="00E056C2" w:rsidRPr="004C1B78">
        <w:rPr>
          <w:color w:val="000000" w:themeColor="text1"/>
        </w:rPr>
        <w:t xml:space="preserve"> </w:t>
      </w:r>
      <w:r w:rsidR="00314F48" w:rsidRPr="004C1B78">
        <w:rPr>
          <w:color w:val="000000" w:themeColor="text1"/>
        </w:rPr>
        <w:t>Combinar los resultados de dos ciclos de cultivo”, en su cuadragésima quinta sesión que se celebraría en 2016;</w:t>
      </w:r>
    </w:p>
    <w:p w:rsidR="00314F48" w:rsidRPr="004C1B78" w:rsidRDefault="00314F48" w:rsidP="00314F48">
      <w:pPr>
        <w:rPr>
          <w:color w:val="000000" w:themeColor="text1"/>
        </w:rPr>
      </w:pPr>
    </w:p>
    <w:p w:rsidR="00314F48" w:rsidRPr="004C1B78" w:rsidRDefault="00A20752" w:rsidP="00314F48">
      <w:pPr>
        <w:rPr>
          <w:rFonts w:eastAsia="SimSun"/>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El TWO</w:t>
      </w:r>
      <w:r w:rsidR="00314F48" w:rsidRPr="004C1B78">
        <w:rPr>
          <w:color w:val="000000" w:themeColor="text1"/>
        </w:rPr>
        <w:t xml:space="preserve"> examinó el proyecto de orientación presentado en el Anexo I del documento TWO/49/13 y convino en que se debe aclarar el término “evidente” </w:t>
      </w:r>
      <w:r w:rsidR="00B456D0" w:rsidRPr="004C1B78">
        <w:rPr>
          <w:color w:val="000000" w:themeColor="text1"/>
        </w:rPr>
        <w:t>(</w:t>
      </w:r>
      <w:proofErr w:type="spellStart"/>
      <w:r w:rsidR="00B456D0" w:rsidRPr="004C1B78">
        <w:rPr>
          <w:i/>
          <w:color w:val="000000" w:themeColor="text1"/>
        </w:rPr>
        <w:t>clear</w:t>
      </w:r>
      <w:proofErr w:type="spellEnd"/>
      <w:r w:rsidR="00B456D0" w:rsidRPr="004C1B78">
        <w:rPr>
          <w:color w:val="000000" w:themeColor="text1"/>
        </w:rPr>
        <w:t xml:space="preserve">) </w:t>
      </w:r>
      <w:r w:rsidR="00314F48" w:rsidRPr="004C1B78">
        <w:rPr>
          <w:color w:val="000000" w:themeColor="text1"/>
        </w:rPr>
        <w:t xml:space="preserve">en la frase: “Además, es posible rechazar una variedad tras un único ciclo de cultivo debido a una falta evidente de homogeneidad”.  El TWO convino en proponer la siguiente redacción para la frase de los métodos 1 y 2: </w:t>
      </w:r>
    </w:p>
    <w:p w:rsidR="00314F48" w:rsidRPr="004C1B78" w:rsidRDefault="00314F48" w:rsidP="00314F48">
      <w:pPr>
        <w:rPr>
          <w:rFonts w:eastAsia="SimSun"/>
          <w:color w:val="000000" w:themeColor="text1"/>
        </w:rPr>
      </w:pPr>
    </w:p>
    <w:p w:rsidR="00314F48" w:rsidRPr="004C1B78" w:rsidRDefault="00314F48" w:rsidP="00314F48">
      <w:pPr>
        <w:ind w:left="567" w:right="567"/>
        <w:rPr>
          <w:rFonts w:eastAsia="SimSun"/>
          <w:color w:val="000000" w:themeColor="text1"/>
          <w:sz w:val="18"/>
          <w:szCs w:val="24"/>
        </w:rPr>
      </w:pPr>
      <w:r w:rsidRPr="004C1B78">
        <w:rPr>
          <w:color w:val="000000" w:themeColor="text1"/>
          <w:sz w:val="18"/>
        </w:rPr>
        <w:t>“Además, si una variedad supera en el primer ciclo de cultivo el número de plantas fuera de tipo permitido en dos ciclos de cultivo, podrá rechazarse la variedad tras un único ciclo de cultivo”.</w:t>
      </w:r>
    </w:p>
    <w:p w:rsidR="00314F48" w:rsidRPr="004C1B78" w:rsidRDefault="00314F48" w:rsidP="00314F48">
      <w:pPr>
        <w:rPr>
          <w:rFonts w:eastAsia="SimSun"/>
          <w:color w:val="000000" w:themeColor="text1"/>
          <w:szCs w:val="24"/>
        </w:rPr>
      </w:pPr>
    </w:p>
    <w:p w:rsidR="00314F48" w:rsidRPr="004C1B78" w:rsidRDefault="00A20752" w:rsidP="00314F48">
      <w:pPr>
        <w:rPr>
          <w:rFonts w:eastAsia="SimSun"/>
          <w:color w:val="000000" w:themeColor="text1"/>
          <w:szCs w:val="24"/>
        </w:rPr>
      </w:pPr>
      <w:r w:rsidRPr="004C1B78">
        <w:rPr>
          <w:snapToGrid w:val="0"/>
          <w:color w:val="000000" w:themeColor="text1"/>
        </w:rPr>
        <w:lastRenderedPageBreak/>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t>El TWO convino en que se debe aclarar en el proyecto de orientación si se supone que se evaluarán dos ciclos de cultivo con el material de una sola presentación realizada por el obtentor (p. ej. semillas del mismo lote).</w:t>
      </w:r>
    </w:p>
    <w:p w:rsidR="00314F48" w:rsidRPr="004C1B78" w:rsidRDefault="00314F48" w:rsidP="00314F48">
      <w:pPr>
        <w:rPr>
          <w:color w:val="000000" w:themeColor="text1"/>
        </w:rPr>
      </w:pPr>
    </w:p>
    <w:p w:rsidR="00314F48" w:rsidRPr="004C1B78" w:rsidRDefault="00314F48" w:rsidP="00314F48">
      <w:pPr>
        <w:rPr>
          <w:color w:val="000000" w:themeColor="text1"/>
        </w:rPr>
      </w:pPr>
    </w:p>
    <w:p w:rsidR="00314F48" w:rsidRPr="004C1B78" w:rsidRDefault="00314F48" w:rsidP="00314F48">
      <w:pPr>
        <w:pStyle w:val="Heading3"/>
        <w:rPr>
          <w:snapToGrid w:val="0"/>
          <w:color w:val="000000" w:themeColor="text1"/>
        </w:rPr>
      </w:pPr>
      <w:bookmarkStart w:id="15" w:name="_Toc440299521"/>
      <w:bookmarkStart w:id="16" w:name="_Toc474916003"/>
      <w:r w:rsidRPr="004C1B78">
        <w:rPr>
          <w:snapToGrid w:val="0"/>
          <w:color w:val="000000" w:themeColor="text1"/>
        </w:rPr>
        <w:t>Grupo de Trabajo Técnico sobre Hortalizas</w:t>
      </w:r>
      <w:bookmarkEnd w:id="15"/>
      <w:bookmarkEnd w:id="16"/>
    </w:p>
    <w:p w:rsidR="00314F48" w:rsidRPr="004C1B78" w:rsidRDefault="00314F48" w:rsidP="00F65C0A">
      <w:pPr>
        <w:keepNext/>
        <w:keepLines/>
        <w:rPr>
          <w:rFonts w:eastAsia="PMingLiU"/>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 xml:space="preserve">El TWV examinó los documentos TWV/50/13 y TWV/50/13 </w:t>
      </w:r>
      <w:proofErr w:type="spellStart"/>
      <w:r w:rsidR="00314F48" w:rsidRPr="004C1B78">
        <w:rPr>
          <w:color w:val="000000" w:themeColor="text1"/>
        </w:rPr>
        <w:t>Add</w:t>
      </w:r>
      <w:proofErr w:type="spellEnd"/>
      <w:r w:rsidR="00314F48" w:rsidRPr="004C1B78">
        <w:rPr>
          <w:color w:val="000000" w:themeColor="text1"/>
        </w:rPr>
        <w:t>. (</w:t>
      </w:r>
      <w:proofErr w:type="gramStart"/>
      <w:r w:rsidR="00314F48" w:rsidRPr="004C1B78">
        <w:rPr>
          <w:color w:val="000000" w:themeColor="text1"/>
        </w:rPr>
        <w:t>véanse</w:t>
      </w:r>
      <w:proofErr w:type="gramEnd"/>
      <w:r w:rsidR="00314F48" w:rsidRPr="004C1B78">
        <w:rPr>
          <w:color w:val="000000" w:themeColor="text1"/>
        </w:rPr>
        <w:t xml:space="preserve"> los párrafos 42 a 48 del documento </w:t>
      </w:r>
      <w:r w:rsidR="00314F48" w:rsidRPr="004C1B78">
        <w:rPr>
          <w:snapToGrid w:val="0"/>
          <w:color w:val="000000" w:themeColor="text1"/>
        </w:rPr>
        <w:t>TWV/50/</w:t>
      </w:r>
      <w:r w:rsidR="00314F48" w:rsidRPr="004C1B78">
        <w:rPr>
          <w:color w:val="000000" w:themeColor="text1"/>
        </w:rPr>
        <w:t>25 “</w:t>
      </w:r>
      <w:proofErr w:type="spellStart"/>
      <w:r w:rsidR="00314F48" w:rsidRPr="004C1B78">
        <w:rPr>
          <w:i/>
          <w:color w:val="000000" w:themeColor="text1"/>
        </w:rPr>
        <w:t>Report</w:t>
      </w:r>
      <w:proofErr w:type="spellEnd"/>
      <w:r w:rsidR="00314F48" w:rsidRPr="004C1B78">
        <w:rPr>
          <w:color w:val="000000" w:themeColor="text1"/>
        </w:rPr>
        <w:t>” (Informe)).</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E056C2" w:rsidRPr="004C1B78">
        <w:rPr>
          <w:snapToGrid w:val="0"/>
          <w:color w:val="000000" w:themeColor="text1"/>
        </w:rPr>
        <w:t xml:space="preserve">El TWV asistió </w:t>
      </w:r>
      <w:r w:rsidR="00314F48" w:rsidRPr="004C1B78">
        <w:rPr>
          <w:snapToGrid w:val="0"/>
          <w:color w:val="000000" w:themeColor="text1"/>
        </w:rPr>
        <w:t xml:space="preserve">a una ponencia sobre </w:t>
      </w:r>
      <w:r w:rsidR="00B456D0" w:rsidRPr="004C1B78">
        <w:rPr>
          <w:snapToGrid w:val="0"/>
          <w:color w:val="000000" w:themeColor="text1"/>
        </w:rPr>
        <w:t xml:space="preserve">la </w:t>
      </w:r>
      <w:r w:rsidR="00314F48" w:rsidRPr="004C1B78">
        <w:rPr>
          <w:color w:val="000000" w:themeColor="text1"/>
        </w:rPr>
        <w:t>“Experiencia práctica en la evaluación de la homogeneidad de las plantas fuera de tipo</w:t>
      </w:r>
      <w:proofErr w:type="gramStart"/>
      <w:r w:rsidR="00314F48" w:rsidRPr="004C1B78">
        <w:rPr>
          <w:color w:val="000000" w:themeColor="text1"/>
        </w:rPr>
        <w:t>:  rechazo</w:t>
      </w:r>
      <w:proofErr w:type="gramEnd"/>
      <w:r w:rsidR="00314F48" w:rsidRPr="004C1B78">
        <w:rPr>
          <w:color w:val="000000" w:themeColor="text1"/>
        </w:rPr>
        <w:t xml:space="preserve"> después del primer ciclo de cultivo a partir del lote de semilla del examen</w:t>
      </w:r>
      <w:r w:rsidR="00B456D0" w:rsidRPr="004C1B78">
        <w:rPr>
          <w:color w:val="000000" w:themeColor="text1"/>
        </w:rPr>
        <w:t> </w:t>
      </w:r>
      <w:r w:rsidR="00314F48" w:rsidRPr="004C1B78">
        <w:rPr>
          <w:color w:val="000000" w:themeColor="text1"/>
        </w:rPr>
        <w:t>DHE oficial”</w:t>
      </w:r>
      <w:r w:rsidR="00314F48" w:rsidRPr="004C1B78">
        <w:rPr>
          <w:rFonts w:eastAsiaTheme="minorEastAsia" w:hint="eastAsia"/>
          <w:color w:val="000000" w:themeColor="text1"/>
        </w:rPr>
        <w:t xml:space="preserve">, </w:t>
      </w:r>
      <w:r w:rsidR="00314F48" w:rsidRPr="004C1B78">
        <w:rPr>
          <w:color w:val="000000" w:themeColor="text1"/>
        </w:rPr>
        <w:t>a cargo de un experto de Francia.  Se proporciona una copia de esta ponencia en el documento TWV/50/13 </w:t>
      </w:r>
      <w:proofErr w:type="spellStart"/>
      <w:r w:rsidR="00314F48" w:rsidRPr="004C1B78">
        <w:rPr>
          <w:color w:val="000000" w:themeColor="text1"/>
        </w:rPr>
        <w:t>Add</w:t>
      </w:r>
      <w:proofErr w:type="spellEnd"/>
      <w:r w:rsidR="00314F48" w:rsidRPr="004C1B78">
        <w:rPr>
          <w:color w:val="000000" w:themeColor="text1"/>
        </w:rPr>
        <w:t>. Rev.</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El TWV tomó nota de que el TWA había convenido en solicitar una conexión por video con los expertos del TWC para debatir el nuevo método propuesto, el “Método 3</w:t>
      </w:r>
      <w:proofErr w:type="gramStart"/>
      <w:r w:rsidR="00314F48" w:rsidRPr="004C1B78">
        <w:rPr>
          <w:snapToGrid w:val="0"/>
          <w:color w:val="000000" w:themeColor="text1"/>
        </w:rPr>
        <w:t xml:space="preserve">: </w:t>
      </w:r>
      <w:r w:rsidR="00E056C2" w:rsidRPr="004C1B78">
        <w:rPr>
          <w:snapToGrid w:val="0"/>
          <w:color w:val="000000" w:themeColor="text1"/>
        </w:rPr>
        <w:t xml:space="preserve"> </w:t>
      </w:r>
      <w:r w:rsidR="00314F48" w:rsidRPr="004C1B78">
        <w:rPr>
          <w:snapToGrid w:val="0"/>
          <w:color w:val="000000" w:themeColor="text1"/>
        </w:rPr>
        <w:t>Combinar</w:t>
      </w:r>
      <w:proofErr w:type="gramEnd"/>
      <w:r w:rsidR="00314F48" w:rsidRPr="004C1B78">
        <w:rPr>
          <w:snapToGrid w:val="0"/>
          <w:color w:val="000000" w:themeColor="text1"/>
        </w:rPr>
        <w:t xml:space="preserve"> los resultados de dos ciclos de cultivo”, en su cuadragésima quinta sesión que se celebraría en 201</w:t>
      </w:r>
      <w:r w:rsidR="008F269C">
        <w:rPr>
          <w:snapToGrid w:val="0"/>
          <w:color w:val="000000" w:themeColor="text1"/>
        </w:rPr>
        <w:t>6.</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El TWV examinó el proyecto de orientación que figura en los Anexos I y II del</w:t>
      </w:r>
      <w:r w:rsidR="00314F48" w:rsidRPr="004C1B78">
        <w:rPr>
          <w:color w:val="000000" w:themeColor="text1"/>
        </w:rPr>
        <w:t xml:space="preserve"> documento TWV/50/13</w:t>
      </w:r>
      <w:r w:rsidR="00314F48" w:rsidRPr="004C1B78">
        <w:rPr>
          <w:snapToGrid w:val="0"/>
          <w:color w:val="000000" w:themeColor="text1"/>
        </w:rPr>
        <w:t xml:space="preserve"> con miras a incluirlo en una futura revisión del documento TGP/10.</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TWV tomó nota de la preocupación expresada por los representantes de la ESA y </w:t>
      </w:r>
      <w:proofErr w:type="spellStart"/>
      <w:r w:rsidR="00314F48" w:rsidRPr="004C1B78">
        <w:rPr>
          <w:snapToGrid w:val="0"/>
          <w:color w:val="000000" w:themeColor="text1"/>
        </w:rPr>
        <w:t>CropLife</w:t>
      </w:r>
      <w:proofErr w:type="spellEnd"/>
      <w:r w:rsidR="00314F48" w:rsidRPr="004C1B78">
        <w:rPr>
          <w:snapToGrid w:val="0"/>
          <w:color w:val="000000" w:themeColor="text1"/>
        </w:rPr>
        <w:t xml:space="preserve"> en relación con el método 3 y observó la importancia que estos otorgaron a la coherencia entre los resultados de la evaluación de homogeneidad obtenidos en todos los miembros de la Unión.</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TWV examinó los diferentes métodos y tomó nota de que en el sector hortícola, el método 1 es el empleado con mayor frecuencia. </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TWV convino en que, junto con la revisión del documento TGP/10:  Evaluación de la homogeneidad de las plantas fuera de tipo mediante la observación de más de un ciclo de cultivo o mediante la observación de </w:t>
      </w:r>
      <w:proofErr w:type="spellStart"/>
      <w:r w:rsidR="00314F48" w:rsidRPr="004C1B78">
        <w:rPr>
          <w:snapToGrid w:val="0"/>
          <w:color w:val="000000" w:themeColor="text1"/>
        </w:rPr>
        <w:t>submuestras</w:t>
      </w:r>
      <w:proofErr w:type="spellEnd"/>
      <w:r w:rsidR="00314F48" w:rsidRPr="004C1B78">
        <w:rPr>
          <w:snapToGrid w:val="0"/>
          <w:color w:val="000000" w:themeColor="text1"/>
        </w:rPr>
        <w:t xml:space="preserve">, sería importante examinar la orientación que figura en el documento TGP/8/2: </w:t>
      </w:r>
      <w:r w:rsidR="00B456D0" w:rsidRPr="004C1B78">
        <w:rPr>
          <w:snapToGrid w:val="0"/>
          <w:color w:val="000000" w:themeColor="text1"/>
        </w:rPr>
        <w:t xml:space="preserve"> </w:t>
      </w:r>
      <w:r w:rsidR="00314F48" w:rsidRPr="004C1B78">
        <w:rPr>
          <w:snapToGrid w:val="0"/>
          <w:color w:val="000000" w:themeColor="text1"/>
        </w:rPr>
        <w:t xml:space="preserve">Parte II: </w:t>
      </w:r>
      <w:r w:rsidR="00B456D0" w:rsidRPr="004C1B78">
        <w:rPr>
          <w:snapToGrid w:val="0"/>
          <w:color w:val="000000" w:themeColor="text1"/>
        </w:rPr>
        <w:t xml:space="preserve"> </w:t>
      </w:r>
      <w:r w:rsidR="00314F48" w:rsidRPr="004C1B78">
        <w:rPr>
          <w:snapToGrid w:val="0"/>
          <w:color w:val="000000" w:themeColor="text1"/>
        </w:rPr>
        <w:t>8:</w:t>
      </w:r>
      <w:r w:rsidR="00B456D0" w:rsidRPr="004C1B78">
        <w:rPr>
          <w:snapToGrid w:val="0"/>
          <w:color w:val="000000" w:themeColor="text1"/>
        </w:rPr>
        <w:t xml:space="preserve"> </w:t>
      </w:r>
      <w:r w:rsidR="00314F48" w:rsidRPr="004C1B78">
        <w:rPr>
          <w:snapToGrid w:val="0"/>
          <w:color w:val="000000" w:themeColor="text1"/>
        </w:rPr>
        <w:t xml:space="preserve"> “El método de evaluación de la homogeneidad sobre la base de las plantas fuera de tipo”, dado que esta no se corresponde con la práctica en los miembros de la Unión.  Actualmente el documento TGP/8/2 dice lo siguiente: </w:t>
      </w:r>
    </w:p>
    <w:p w:rsidR="00314F48" w:rsidRPr="004C1B78" w:rsidRDefault="00314F48" w:rsidP="00314F48">
      <w:pPr>
        <w:rPr>
          <w:snapToGrid w:val="0"/>
          <w:color w:val="000000" w:themeColor="text1"/>
        </w:rPr>
      </w:pPr>
    </w:p>
    <w:p w:rsidR="00314F48" w:rsidRPr="004C1B78" w:rsidRDefault="00314F48" w:rsidP="00BB2942">
      <w:pPr>
        <w:keepNext/>
        <w:ind w:left="567" w:right="567"/>
        <w:rPr>
          <w:snapToGrid w:val="0"/>
          <w:color w:val="000000" w:themeColor="text1"/>
          <w:sz w:val="18"/>
        </w:rPr>
      </w:pPr>
      <w:r w:rsidRPr="004C1B78">
        <w:rPr>
          <w:snapToGrid w:val="0"/>
          <w:color w:val="000000" w:themeColor="text1"/>
          <w:sz w:val="18"/>
        </w:rPr>
        <w:t>“8.1.7 Método aplicado a más de un examen único (anual)</w:t>
      </w:r>
    </w:p>
    <w:p w:rsidR="00314F48" w:rsidRPr="004C1B78" w:rsidRDefault="00314F48" w:rsidP="00BB2942">
      <w:pPr>
        <w:keepNext/>
        <w:ind w:left="567" w:right="567"/>
        <w:rPr>
          <w:snapToGrid w:val="0"/>
          <w:color w:val="000000" w:themeColor="text1"/>
          <w:sz w:val="18"/>
        </w:rPr>
      </w:pPr>
    </w:p>
    <w:p w:rsidR="00314F48" w:rsidRPr="004C1B78" w:rsidRDefault="00314F48" w:rsidP="00BB2942">
      <w:pPr>
        <w:keepNext/>
        <w:ind w:left="567" w:right="567" w:firstLine="567"/>
        <w:rPr>
          <w:snapToGrid w:val="0"/>
          <w:color w:val="000000" w:themeColor="text1"/>
          <w:sz w:val="18"/>
        </w:rPr>
      </w:pPr>
      <w:r w:rsidRPr="004C1B78">
        <w:rPr>
          <w:snapToGrid w:val="0"/>
          <w:color w:val="000000" w:themeColor="text1"/>
          <w:sz w:val="18"/>
        </w:rPr>
        <w:t>“8.1.7.1 Introducción</w:t>
      </w:r>
    </w:p>
    <w:p w:rsidR="00314F48" w:rsidRPr="004C1B78" w:rsidRDefault="00314F48" w:rsidP="00BB2942">
      <w:pPr>
        <w:ind w:left="567" w:right="567"/>
        <w:rPr>
          <w:snapToGrid w:val="0"/>
          <w:color w:val="000000" w:themeColor="text1"/>
          <w:sz w:val="18"/>
        </w:rPr>
      </w:pPr>
    </w:p>
    <w:p w:rsidR="00314F48" w:rsidRPr="004C1B78" w:rsidRDefault="00314F48" w:rsidP="00BB2942">
      <w:pPr>
        <w:ind w:left="567" w:right="567"/>
        <w:rPr>
          <w:snapToGrid w:val="0"/>
          <w:color w:val="000000" w:themeColor="text1"/>
          <w:sz w:val="18"/>
        </w:rPr>
      </w:pPr>
      <w:r w:rsidRPr="004C1B78">
        <w:rPr>
          <w:snapToGrid w:val="0"/>
          <w:color w:val="000000" w:themeColor="text1"/>
          <w:sz w:val="18"/>
        </w:rPr>
        <w:t xml:space="preserve">“8.1.7.1.1 Con frecuencia, una variedad candidata se cultiva en dos (o tres años). </w:t>
      </w:r>
      <w:r w:rsidR="00E056C2" w:rsidRPr="004C1B78">
        <w:rPr>
          <w:snapToGrid w:val="0"/>
          <w:color w:val="000000" w:themeColor="text1"/>
          <w:sz w:val="18"/>
        </w:rPr>
        <w:t xml:space="preserve"> </w:t>
      </w:r>
      <w:r w:rsidRPr="004C1B78">
        <w:rPr>
          <w:snapToGrid w:val="0"/>
          <w:color w:val="000000" w:themeColor="text1"/>
          <w:sz w:val="18"/>
        </w:rPr>
        <w:t xml:space="preserve">En esos casos, se plantea la cuestión de cómo combinar la información sobre la homogeneidad de cada uno de los años. </w:t>
      </w:r>
      <w:r w:rsidR="00E056C2" w:rsidRPr="004C1B78">
        <w:rPr>
          <w:snapToGrid w:val="0"/>
          <w:color w:val="000000" w:themeColor="text1"/>
          <w:sz w:val="18"/>
        </w:rPr>
        <w:t xml:space="preserve"> </w:t>
      </w:r>
      <w:r w:rsidRPr="004C1B78">
        <w:rPr>
          <w:snapToGrid w:val="0"/>
          <w:color w:val="000000" w:themeColor="text1"/>
          <w:sz w:val="18"/>
        </w:rPr>
        <w:t>Se describen dos métodos:</w:t>
      </w:r>
    </w:p>
    <w:p w:rsidR="00314F48" w:rsidRPr="004C1B78" w:rsidRDefault="00314F48" w:rsidP="00BB2942">
      <w:pPr>
        <w:ind w:left="567" w:right="567"/>
        <w:rPr>
          <w:snapToGrid w:val="0"/>
          <w:color w:val="000000" w:themeColor="text1"/>
          <w:sz w:val="18"/>
        </w:rPr>
      </w:pPr>
    </w:p>
    <w:p w:rsidR="00314F48" w:rsidRPr="004C1B78" w:rsidRDefault="00314F48" w:rsidP="00BB2942">
      <w:pPr>
        <w:pStyle w:val="ListParagraph"/>
        <w:numPr>
          <w:ilvl w:val="0"/>
          <w:numId w:val="1"/>
        </w:numPr>
        <w:ind w:left="1134" w:right="567" w:firstLine="0"/>
        <w:rPr>
          <w:snapToGrid w:val="0"/>
          <w:color w:val="000000" w:themeColor="text1"/>
          <w:sz w:val="18"/>
        </w:rPr>
      </w:pPr>
      <w:r w:rsidRPr="004C1B78">
        <w:rPr>
          <w:snapToGrid w:val="0"/>
          <w:color w:val="000000" w:themeColor="text1"/>
          <w:sz w:val="18"/>
        </w:rPr>
        <w:t>“Adoptar la decisión d</w:t>
      </w:r>
      <w:bookmarkStart w:id="17" w:name="_GoBack"/>
      <w:bookmarkEnd w:id="17"/>
      <w:r w:rsidRPr="004C1B78">
        <w:rPr>
          <w:snapToGrid w:val="0"/>
          <w:color w:val="000000" w:themeColor="text1"/>
          <w:sz w:val="18"/>
        </w:rPr>
        <w:t>espués de dos (o tres) años sobre la base del número de plantas examinadas y del número de plantas fuera de tipo registradas (examen combinado).</w:t>
      </w:r>
    </w:p>
    <w:p w:rsidR="00314F48" w:rsidRPr="004C1B78" w:rsidRDefault="00314F48" w:rsidP="00BB2942">
      <w:pPr>
        <w:pStyle w:val="ListParagraph"/>
        <w:ind w:left="1134" w:right="567"/>
        <w:rPr>
          <w:snapToGrid w:val="0"/>
          <w:color w:val="000000" w:themeColor="text1"/>
          <w:sz w:val="18"/>
        </w:rPr>
      </w:pPr>
    </w:p>
    <w:p w:rsidR="00314F48" w:rsidRPr="004C1B78" w:rsidRDefault="00314F48" w:rsidP="00BB2942">
      <w:pPr>
        <w:pStyle w:val="ListParagraph"/>
        <w:numPr>
          <w:ilvl w:val="0"/>
          <w:numId w:val="1"/>
        </w:numPr>
        <w:ind w:left="1134" w:right="567" w:firstLine="0"/>
        <w:rPr>
          <w:snapToGrid w:val="0"/>
          <w:color w:val="000000" w:themeColor="text1"/>
          <w:sz w:val="18"/>
        </w:rPr>
      </w:pPr>
      <w:r w:rsidRPr="004C1B78">
        <w:rPr>
          <w:snapToGrid w:val="0"/>
          <w:color w:val="000000" w:themeColor="text1"/>
          <w:sz w:val="18"/>
        </w:rPr>
        <w:t xml:space="preserve">“Examinar el resultado del primer año para comprobar si los datos sustentan una decisión clara (rechazo o aceptación). </w:t>
      </w:r>
      <w:r w:rsidR="00E056C2" w:rsidRPr="004C1B78">
        <w:rPr>
          <w:snapToGrid w:val="0"/>
          <w:color w:val="000000" w:themeColor="text1"/>
          <w:sz w:val="18"/>
        </w:rPr>
        <w:t xml:space="preserve"> </w:t>
      </w:r>
      <w:r w:rsidRPr="004C1B78">
        <w:rPr>
          <w:snapToGrid w:val="0"/>
          <w:color w:val="000000" w:themeColor="text1"/>
          <w:sz w:val="18"/>
        </w:rPr>
        <w:t>Si la decisión no es clara, se procederá a realizar el segundo año del examen y se decidirá tras el segundo año (examen en dos etapas).</w:t>
      </w:r>
    </w:p>
    <w:p w:rsidR="00314F48" w:rsidRPr="004C1B78" w:rsidRDefault="00314F48" w:rsidP="00BB2942">
      <w:pPr>
        <w:ind w:left="1134" w:right="567"/>
        <w:rPr>
          <w:snapToGrid w:val="0"/>
          <w:color w:val="000000" w:themeColor="text1"/>
          <w:sz w:val="18"/>
        </w:rPr>
      </w:pPr>
    </w:p>
    <w:p w:rsidR="00314F48" w:rsidRPr="004C1B78" w:rsidRDefault="00314F48" w:rsidP="00BB2942">
      <w:pPr>
        <w:ind w:left="567" w:right="567"/>
        <w:rPr>
          <w:snapToGrid w:val="0"/>
          <w:color w:val="000000" w:themeColor="text1"/>
          <w:sz w:val="18"/>
        </w:rPr>
      </w:pPr>
      <w:r w:rsidRPr="004C1B78">
        <w:rPr>
          <w:snapToGrid w:val="0"/>
          <w:color w:val="000000" w:themeColor="text1"/>
          <w:sz w:val="18"/>
        </w:rPr>
        <w:t xml:space="preserve">“8.1.7.1.2 Sin embargo, existen otras posibilidades (por ejemplo, adoptar una decisión cada año y tomar la decisión final de rechazar la variedad candidata si ésta presenta demasiadas plantas fuera de tipo en los dos años, o en dos de los tres años). </w:t>
      </w:r>
      <w:r w:rsidR="00E056C2" w:rsidRPr="004C1B78">
        <w:rPr>
          <w:snapToGrid w:val="0"/>
          <w:color w:val="000000" w:themeColor="text1"/>
          <w:sz w:val="18"/>
        </w:rPr>
        <w:t xml:space="preserve"> </w:t>
      </w:r>
      <w:r w:rsidRPr="004C1B78">
        <w:rPr>
          <w:snapToGrid w:val="0"/>
          <w:color w:val="000000" w:themeColor="text1"/>
          <w:sz w:val="18"/>
        </w:rPr>
        <w:t xml:space="preserve">Además, surgen ciertas complicaciones cuando se efectúa un examen de más de un año. </w:t>
      </w:r>
      <w:r w:rsidR="00E056C2" w:rsidRPr="004C1B78">
        <w:rPr>
          <w:snapToGrid w:val="0"/>
          <w:color w:val="000000" w:themeColor="text1"/>
          <w:sz w:val="18"/>
        </w:rPr>
        <w:t xml:space="preserve"> </w:t>
      </w:r>
      <w:r w:rsidRPr="004C1B78">
        <w:rPr>
          <w:snapToGrid w:val="0"/>
          <w:color w:val="000000" w:themeColor="text1"/>
          <w:sz w:val="18"/>
        </w:rPr>
        <w:t>Por ello, se recomienda consultar a un experto en estadística cuando se han de efectuar exámenes de dos (o más) años.”</w:t>
      </w:r>
    </w:p>
    <w:p w:rsidR="00314F48" w:rsidRPr="004C1B78" w:rsidRDefault="00314F48" w:rsidP="00BB2942">
      <w:pPr>
        <w:ind w:left="567" w:right="567"/>
        <w:rPr>
          <w:rFonts w:eastAsia="PMingLiU"/>
          <w:color w:val="000000" w:themeColor="text1"/>
        </w:rPr>
      </w:pPr>
    </w:p>
    <w:p w:rsidR="00314F48" w:rsidRPr="004C1B78" w:rsidRDefault="00314F48" w:rsidP="00314F48">
      <w:pPr>
        <w:rPr>
          <w:rFonts w:eastAsia="PMingLiU"/>
          <w:color w:val="000000" w:themeColor="text1"/>
        </w:rPr>
      </w:pPr>
    </w:p>
    <w:p w:rsidR="00314F48" w:rsidRPr="004C1B78" w:rsidRDefault="00314F48" w:rsidP="00314F48">
      <w:pPr>
        <w:pStyle w:val="Heading3"/>
        <w:rPr>
          <w:color w:val="000000" w:themeColor="text1"/>
        </w:rPr>
      </w:pPr>
      <w:bookmarkStart w:id="18" w:name="_Toc440299523"/>
      <w:bookmarkStart w:id="19" w:name="_Toc474916004"/>
      <w:r w:rsidRPr="004C1B78">
        <w:rPr>
          <w:color w:val="000000" w:themeColor="text1"/>
        </w:rPr>
        <w:t>Grupo de Trabajo Técnico sobre Plantas Agrícolas</w:t>
      </w:r>
      <w:bookmarkEnd w:id="18"/>
      <w:bookmarkEnd w:id="19"/>
    </w:p>
    <w:p w:rsidR="00314F48" w:rsidRPr="004C1B78" w:rsidRDefault="00314F48" w:rsidP="00314F48">
      <w:pPr>
        <w:ind w:firstLine="567"/>
        <w:rPr>
          <w:color w:val="000000" w:themeColor="text1"/>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El TWA examinó los documentos TWA/45/13, TWA/45/13 </w:t>
      </w:r>
      <w:proofErr w:type="spellStart"/>
      <w:r w:rsidR="00314F48" w:rsidRPr="004C1B78">
        <w:rPr>
          <w:color w:val="000000" w:themeColor="text1"/>
        </w:rPr>
        <w:t>Add</w:t>
      </w:r>
      <w:proofErr w:type="spellEnd"/>
      <w:r w:rsidR="00314F48" w:rsidRPr="004C1B78">
        <w:rPr>
          <w:color w:val="000000" w:themeColor="text1"/>
        </w:rPr>
        <w:t xml:space="preserve">. </w:t>
      </w:r>
      <w:proofErr w:type="gramStart"/>
      <w:r w:rsidR="00314F48" w:rsidRPr="004C1B78">
        <w:rPr>
          <w:color w:val="000000" w:themeColor="text1"/>
        </w:rPr>
        <w:t>y</w:t>
      </w:r>
      <w:proofErr w:type="gramEnd"/>
      <w:r w:rsidR="00314F48" w:rsidRPr="004C1B78">
        <w:rPr>
          <w:color w:val="000000" w:themeColor="text1"/>
        </w:rPr>
        <w:t xml:space="preserve"> TWA/45/13 </w:t>
      </w:r>
      <w:proofErr w:type="spellStart"/>
      <w:r w:rsidR="00314F48" w:rsidRPr="004C1B78">
        <w:rPr>
          <w:color w:val="000000" w:themeColor="text1"/>
        </w:rPr>
        <w:t>Add</w:t>
      </w:r>
      <w:proofErr w:type="spellEnd"/>
      <w:r w:rsidR="00314F48" w:rsidRPr="004C1B78">
        <w:rPr>
          <w:color w:val="000000" w:themeColor="text1"/>
        </w:rPr>
        <w:t>. 2 (véanse los párrafos 43 a 51 del documento TWA/45/25 “</w:t>
      </w:r>
      <w:proofErr w:type="spellStart"/>
      <w:r w:rsidR="00314F48" w:rsidRPr="004C1B78">
        <w:rPr>
          <w:i/>
          <w:color w:val="000000" w:themeColor="text1"/>
        </w:rPr>
        <w:t>Report</w:t>
      </w:r>
      <w:proofErr w:type="spellEnd"/>
      <w:r w:rsidR="00314F48" w:rsidRPr="004C1B78">
        <w:rPr>
          <w:color w:val="000000" w:themeColor="text1"/>
        </w:rPr>
        <w:t>” (Informe)).</w:t>
      </w:r>
    </w:p>
    <w:p w:rsidR="00314F48" w:rsidRDefault="00A20752" w:rsidP="00314F48">
      <w:pPr>
        <w:rPr>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TWA escuchó una ponencia sobre la </w:t>
      </w:r>
      <w:r w:rsidR="00314F48" w:rsidRPr="004C1B78">
        <w:rPr>
          <w:color w:val="000000" w:themeColor="text1"/>
        </w:rPr>
        <w:t xml:space="preserve">“Evaluación de la homogeneidad de las plantas fuera de tipo mediante la observación de más de un ciclo de cultivo.  Preparación de orientaciones”, a cargo de expertos </w:t>
      </w:r>
      <w:r w:rsidR="00314F48" w:rsidRPr="004C1B78">
        <w:rPr>
          <w:color w:val="000000" w:themeColor="text1"/>
        </w:rPr>
        <w:lastRenderedPageBreak/>
        <w:t>de Alemania y el Reino Unido llevada a cabo por medios electrónicos.  Se proporciona una copia de esta ponencia en el documento TWA/45/13 </w:t>
      </w:r>
      <w:proofErr w:type="spellStart"/>
      <w:r w:rsidR="00314F48" w:rsidRPr="004C1B78">
        <w:rPr>
          <w:color w:val="000000" w:themeColor="text1"/>
        </w:rPr>
        <w:t>Add</w:t>
      </w:r>
      <w:proofErr w:type="spellEnd"/>
      <w:r w:rsidR="00314F48" w:rsidRPr="004C1B78">
        <w:rPr>
          <w:color w:val="000000" w:themeColor="text1"/>
        </w:rPr>
        <w:t>.</w:t>
      </w:r>
    </w:p>
    <w:p w:rsidR="00F249C7" w:rsidRPr="004C1B78" w:rsidRDefault="00F249C7" w:rsidP="00314F48">
      <w:pPr>
        <w:rPr>
          <w:color w:val="000000" w:themeColor="text1"/>
        </w:rPr>
      </w:pPr>
    </w:p>
    <w:p w:rsidR="00314F48" w:rsidRPr="004C1B78" w:rsidRDefault="00A20752" w:rsidP="00314F48">
      <w:pPr>
        <w:rPr>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TWA también asistió a una ponencia sobre la </w:t>
      </w:r>
      <w:r w:rsidR="00314F48" w:rsidRPr="004C1B78">
        <w:rPr>
          <w:color w:val="000000" w:themeColor="text1"/>
        </w:rPr>
        <w:t>“Experiencia práctica en la evaluación de la homogeneidad de las plantas fuera de tipo en colza oleaginosa</w:t>
      </w:r>
      <w:r w:rsidR="00314F48" w:rsidRPr="004C1B78">
        <w:rPr>
          <w:rFonts w:hint="eastAsia"/>
          <w:color w:val="000000" w:themeColor="text1"/>
        </w:rPr>
        <w:t xml:space="preserve"> y coliflor</w:t>
      </w:r>
      <w:r w:rsidR="00314F48" w:rsidRPr="004C1B78">
        <w:rPr>
          <w:color w:val="000000" w:themeColor="text1"/>
        </w:rPr>
        <w:t>” a cargo de un experto de Francia.  Se proporciona una copia de esta ponencia en el documento TWA/45/13 </w:t>
      </w:r>
      <w:proofErr w:type="spellStart"/>
      <w:r w:rsidR="00314F48" w:rsidRPr="004C1B78">
        <w:rPr>
          <w:color w:val="000000" w:themeColor="text1"/>
        </w:rPr>
        <w:t>Add</w:t>
      </w:r>
      <w:proofErr w:type="spellEnd"/>
      <w:r w:rsidR="00314F48" w:rsidRPr="004C1B78">
        <w:rPr>
          <w:color w:val="000000" w:themeColor="text1"/>
        </w:rPr>
        <w:t>. 2.</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TWA, junto con expertos del TWC por medio de una conexión por video, examinaron el proyecto de orientación presentado en los Anexos I y II del </w:t>
      </w:r>
      <w:r w:rsidR="00314F48" w:rsidRPr="004C1B78">
        <w:rPr>
          <w:color w:val="000000" w:themeColor="text1"/>
        </w:rPr>
        <w:t>documento TWA/45/13</w:t>
      </w:r>
      <w:r w:rsidR="00314F48" w:rsidRPr="004C1B78">
        <w:rPr>
          <w:snapToGrid w:val="0"/>
          <w:color w:val="000000" w:themeColor="text1"/>
        </w:rPr>
        <w:t>, para su inclusión en una futura revisión del documento TGP/10, sin olvidar el nuevo método propuesto, el “Método 3</w:t>
      </w:r>
      <w:proofErr w:type="gramStart"/>
      <w:r w:rsidR="00314F48" w:rsidRPr="004C1B78">
        <w:rPr>
          <w:snapToGrid w:val="0"/>
          <w:color w:val="000000" w:themeColor="text1"/>
        </w:rPr>
        <w:t xml:space="preserve">: </w:t>
      </w:r>
      <w:r w:rsidR="00E056C2" w:rsidRPr="004C1B78">
        <w:rPr>
          <w:snapToGrid w:val="0"/>
          <w:color w:val="000000" w:themeColor="text1"/>
        </w:rPr>
        <w:t xml:space="preserve"> </w:t>
      </w:r>
      <w:r w:rsidR="00314F48" w:rsidRPr="004C1B78">
        <w:rPr>
          <w:snapToGrid w:val="0"/>
          <w:color w:val="000000" w:themeColor="text1"/>
        </w:rPr>
        <w:t>Combinar</w:t>
      </w:r>
      <w:proofErr w:type="gramEnd"/>
      <w:r w:rsidR="00314F48" w:rsidRPr="004C1B78">
        <w:rPr>
          <w:snapToGrid w:val="0"/>
          <w:color w:val="000000" w:themeColor="text1"/>
        </w:rPr>
        <w:t xml:space="preserve"> los resultados de dos ciclos de cultivo”.</w:t>
      </w:r>
    </w:p>
    <w:p w:rsidR="00314F48" w:rsidRPr="004C1B78" w:rsidRDefault="00314F48" w:rsidP="00314F48">
      <w:pPr>
        <w:rPr>
          <w:snapToGrid w:val="0"/>
          <w:color w:val="000000" w:themeColor="text1"/>
        </w:rPr>
      </w:pPr>
    </w:p>
    <w:p w:rsidR="00314F48" w:rsidRPr="004C1B78" w:rsidRDefault="00A20752" w:rsidP="00314F48">
      <w:pPr>
        <w:rPr>
          <w:rFonts w:cs="Arial"/>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t xml:space="preserve">El TWA convino con el TWC en que la orientación debe proporcionar criterios de decisión sobre el método más adecuado, basados en la experiencia de los miembros.  El TWA convino en facilitar ejemplos en los que se compare el efecto </w:t>
      </w:r>
      <w:r w:rsidR="007F1A94" w:rsidRPr="004C1B78">
        <w:rPr>
          <w:color w:val="000000" w:themeColor="text1"/>
        </w:rPr>
        <w:t xml:space="preserve">que </w:t>
      </w:r>
      <w:r w:rsidR="00314F48" w:rsidRPr="004C1B78">
        <w:rPr>
          <w:color w:val="000000" w:themeColor="text1"/>
        </w:rPr>
        <w:t xml:space="preserve">el método 3 y otros métodos </w:t>
      </w:r>
      <w:r w:rsidR="007F1A94" w:rsidRPr="004C1B78">
        <w:rPr>
          <w:color w:val="000000" w:themeColor="text1"/>
        </w:rPr>
        <w:t xml:space="preserve">puedan tener </w:t>
      </w:r>
      <w:r w:rsidR="00314F48" w:rsidRPr="004C1B78">
        <w:rPr>
          <w:color w:val="000000" w:themeColor="text1"/>
        </w:rPr>
        <w:t>sobre las decisiones de homogeneidad.  El TWA acogió con agrado los ofrecimientos de Alemania, Francia, los Países Bajos, Polonia y el Reino Unido de facilitar ejemplos que han de presentarse en su cuadragésima sexta reunión.</w:t>
      </w:r>
    </w:p>
    <w:p w:rsidR="00314F48" w:rsidRPr="004C1B78" w:rsidRDefault="00314F48" w:rsidP="00314F48">
      <w:pPr>
        <w:rPr>
          <w:rFonts w:cs="Arial"/>
          <w:color w:val="000000" w:themeColor="text1"/>
        </w:rPr>
      </w:pPr>
    </w:p>
    <w:p w:rsidR="00314F48" w:rsidRPr="004C1B78" w:rsidRDefault="00A20752" w:rsidP="00314F48">
      <w:pPr>
        <w:rPr>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t>El TWA convino con el TWC en la importancia de determinar si las diferencias entre ciclos en cuanto al número de plantas fuera de tipo se deben a motivos biológicos o a las variaciones en la toma de muestras y convino en que no se deben combinar los resultados de los ciclos de cultivo en los que se utilicen diferentes lotes de material vegetal.</w:t>
      </w:r>
    </w:p>
    <w:p w:rsidR="00314F48" w:rsidRPr="004C1B78" w:rsidRDefault="00314F48" w:rsidP="00314F48">
      <w:pPr>
        <w:rPr>
          <w:snapToGrid w:val="0"/>
          <w:color w:val="000000" w:themeColor="text1"/>
        </w:rPr>
      </w:pPr>
    </w:p>
    <w:p w:rsidR="00314F48" w:rsidRPr="004C1B78" w:rsidRDefault="00A20752" w:rsidP="00314F48">
      <w:pPr>
        <w:keepLines/>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E056C2" w:rsidRPr="004C1B78">
        <w:rPr>
          <w:color w:val="000000" w:themeColor="text1"/>
        </w:rPr>
        <w:tab/>
        <w:t>El TWA</w:t>
      </w:r>
      <w:r w:rsidR="00314F48" w:rsidRPr="004C1B78">
        <w:rPr>
          <w:color w:val="000000" w:themeColor="text1"/>
        </w:rPr>
        <w:t xml:space="preserve"> tomó nota de la preocupación expresada por ciertos miembros en el sentido de que es posible que la evaluación de la homogeneidad basada en la combinación de diferentes ciclos de cultivo no sea compatible con la orientación que figura actualmente en la sección 1.2.2 y en especial en la sección</w:t>
      </w:r>
      <w:r w:rsidR="006D585E" w:rsidRPr="004C1B78">
        <w:rPr>
          <w:color w:val="000000" w:themeColor="text1"/>
        </w:rPr>
        <w:t> </w:t>
      </w:r>
      <w:r w:rsidR="00314F48" w:rsidRPr="004C1B78">
        <w:rPr>
          <w:color w:val="000000" w:themeColor="text1"/>
        </w:rPr>
        <w:t>1.2.2.7</w:t>
      </w:r>
      <w:r w:rsidR="00E056C2" w:rsidRPr="004C1B78">
        <w:rPr>
          <w:color w:val="000000" w:themeColor="text1"/>
        </w:rPr>
        <w:t xml:space="preserve"> del documento TGP/8, Parte I, </w:t>
      </w:r>
      <w:r w:rsidR="00314F48" w:rsidRPr="004C1B78">
        <w:rPr>
          <w:color w:val="000000" w:themeColor="text1"/>
        </w:rPr>
        <w:t xml:space="preserve">sobre ciclos de cultivo independientes y convinieron en continuar examinando la cuestión teniendo en cuenta los ejemplos proporcionados en su cuadragésima sexta reunión. </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t xml:space="preserve">El TWA </w:t>
      </w:r>
      <w:r w:rsidR="00314F48" w:rsidRPr="004C1B78">
        <w:rPr>
          <w:snapToGrid w:val="0"/>
          <w:color w:val="000000" w:themeColor="text1"/>
        </w:rPr>
        <w:t xml:space="preserve">convino con el TWV que, junto con la revisión del documento TGP/10 sobre “Evaluación de la homogeneidad de las plantas fuera de tipo mediante la observación de más de un ciclo de cultivo o mediante la observación de </w:t>
      </w:r>
      <w:proofErr w:type="spellStart"/>
      <w:r w:rsidR="00314F48" w:rsidRPr="004C1B78">
        <w:rPr>
          <w:snapToGrid w:val="0"/>
          <w:color w:val="000000" w:themeColor="text1"/>
        </w:rPr>
        <w:t>submuestras</w:t>
      </w:r>
      <w:proofErr w:type="spellEnd"/>
      <w:r w:rsidR="00314F48" w:rsidRPr="004C1B78">
        <w:rPr>
          <w:snapToGrid w:val="0"/>
          <w:color w:val="000000" w:themeColor="text1"/>
        </w:rPr>
        <w:t xml:space="preserve">”, sería importante revisar la orientación que figura en el documento TGP/8: </w:t>
      </w:r>
      <w:r w:rsidR="00E056C2" w:rsidRPr="004C1B78">
        <w:rPr>
          <w:snapToGrid w:val="0"/>
          <w:color w:val="000000" w:themeColor="text1"/>
        </w:rPr>
        <w:t xml:space="preserve"> </w:t>
      </w:r>
      <w:r w:rsidR="00314F48" w:rsidRPr="004C1B78">
        <w:rPr>
          <w:snapToGrid w:val="0"/>
          <w:color w:val="000000" w:themeColor="text1"/>
        </w:rPr>
        <w:t xml:space="preserve">Parte II: </w:t>
      </w:r>
      <w:r w:rsidR="00E056C2" w:rsidRPr="004C1B78">
        <w:rPr>
          <w:snapToGrid w:val="0"/>
          <w:color w:val="000000" w:themeColor="text1"/>
        </w:rPr>
        <w:t xml:space="preserve"> </w:t>
      </w:r>
      <w:r w:rsidR="00314F48" w:rsidRPr="004C1B78">
        <w:rPr>
          <w:snapToGrid w:val="0"/>
          <w:color w:val="000000" w:themeColor="text1"/>
        </w:rPr>
        <w:t xml:space="preserve">8: </w:t>
      </w:r>
      <w:r w:rsidR="00E056C2" w:rsidRPr="004C1B78">
        <w:rPr>
          <w:snapToGrid w:val="0"/>
          <w:color w:val="000000" w:themeColor="text1"/>
        </w:rPr>
        <w:t xml:space="preserve"> </w:t>
      </w:r>
      <w:r w:rsidR="00314F48" w:rsidRPr="004C1B78">
        <w:rPr>
          <w:snapToGrid w:val="0"/>
          <w:color w:val="000000" w:themeColor="text1"/>
        </w:rPr>
        <w:t>“El método de evaluación de la homogeneidad sobre la base de las plantas fuera de tipo”, Sección 8.1.7 “Método aplicado a más de un examen único (anual)”, porque no se corresponde con la práctica en los miembros de la Unión.</w:t>
      </w:r>
    </w:p>
    <w:p w:rsidR="00314F48" w:rsidRPr="004C1B78" w:rsidRDefault="00314F48" w:rsidP="00314F48">
      <w:pPr>
        <w:rPr>
          <w:snapToGrid w:val="0"/>
          <w:color w:val="000000" w:themeColor="text1"/>
        </w:rPr>
      </w:pPr>
    </w:p>
    <w:p w:rsidR="00314F48" w:rsidRPr="004C1B78" w:rsidRDefault="00A20752" w:rsidP="00314F48">
      <w:pPr>
        <w:rPr>
          <w:snapToGrid w:val="0"/>
          <w:color w:val="000000" w:themeColor="text1"/>
        </w:rPr>
      </w:pPr>
      <w:r w:rsidRPr="004C1B78">
        <w:rPr>
          <w:snapToGrid w:val="0"/>
          <w:color w:val="000000" w:themeColor="text1"/>
        </w:rPr>
        <w:fldChar w:fldCharType="begin"/>
      </w:r>
      <w:r w:rsidR="00314F48" w:rsidRPr="004C1B78">
        <w:rPr>
          <w:snapToGrid w:val="0"/>
          <w:color w:val="000000" w:themeColor="text1"/>
        </w:rPr>
        <w:instrText xml:space="preserve"> AUTONUM  </w:instrText>
      </w:r>
      <w:r w:rsidRPr="004C1B78">
        <w:rPr>
          <w:snapToGrid w:val="0"/>
          <w:color w:val="000000" w:themeColor="text1"/>
        </w:rPr>
        <w:fldChar w:fldCharType="end"/>
      </w:r>
      <w:r w:rsidR="00314F48" w:rsidRPr="004C1B78">
        <w:rPr>
          <w:color w:val="000000" w:themeColor="text1"/>
        </w:rPr>
        <w:tab/>
      </w:r>
      <w:r w:rsidR="00314F48" w:rsidRPr="004C1B78">
        <w:rPr>
          <w:snapToGrid w:val="0"/>
          <w:color w:val="000000" w:themeColor="text1"/>
        </w:rPr>
        <w:t xml:space="preserve">El TWA tomó nota de la preocupación expresada por los representantes de la ESA y </w:t>
      </w:r>
      <w:proofErr w:type="spellStart"/>
      <w:r w:rsidR="00314F48" w:rsidRPr="004C1B78">
        <w:rPr>
          <w:snapToGrid w:val="0"/>
          <w:color w:val="000000" w:themeColor="text1"/>
        </w:rPr>
        <w:t>CropLife</w:t>
      </w:r>
      <w:proofErr w:type="spellEnd"/>
      <w:r w:rsidR="00314F48" w:rsidRPr="004C1B78">
        <w:rPr>
          <w:snapToGrid w:val="0"/>
          <w:color w:val="000000" w:themeColor="text1"/>
        </w:rPr>
        <w:t xml:space="preserve"> en relación con el método 3 y observó la importancia que estos otorgaron a la coherencia entre los métodos de evaluación de homogeneidad obtenidos en todos los miembros de la Unión.</w:t>
      </w:r>
    </w:p>
    <w:p w:rsidR="00314F48" w:rsidRPr="004C1B78" w:rsidRDefault="00314F48" w:rsidP="00314F48">
      <w:pPr>
        <w:rPr>
          <w:color w:val="000000" w:themeColor="text1"/>
        </w:rPr>
      </w:pPr>
    </w:p>
    <w:p w:rsidR="00314F48" w:rsidRPr="004C1B78" w:rsidRDefault="00314F48" w:rsidP="00314F48">
      <w:pPr>
        <w:rPr>
          <w:color w:val="000000" w:themeColor="text1"/>
        </w:rPr>
      </w:pPr>
    </w:p>
    <w:p w:rsidR="00314F48" w:rsidRPr="00F65C0A" w:rsidRDefault="00314F48" w:rsidP="00314F48">
      <w:pPr>
        <w:pStyle w:val="Heading3"/>
        <w:rPr>
          <w:color w:val="000000" w:themeColor="text1"/>
          <w:lang w:val="es-ES"/>
        </w:rPr>
      </w:pPr>
      <w:bookmarkStart w:id="20" w:name="_Toc440299524"/>
      <w:bookmarkStart w:id="21" w:name="_Toc474916005"/>
      <w:r w:rsidRPr="00F65C0A">
        <w:rPr>
          <w:color w:val="000000" w:themeColor="text1"/>
          <w:lang w:val="es-ES"/>
        </w:rPr>
        <w:t>Grupo de Trabajo Técnico sobre Plantas Frutales</w:t>
      </w:r>
      <w:bookmarkEnd w:id="20"/>
      <w:bookmarkEnd w:id="21"/>
    </w:p>
    <w:p w:rsidR="00314F48" w:rsidRPr="004C1B78" w:rsidRDefault="00314F48" w:rsidP="00314F48">
      <w:pPr>
        <w:ind w:firstLine="567"/>
        <w:rPr>
          <w:color w:val="000000" w:themeColor="text1"/>
        </w:rPr>
      </w:pPr>
    </w:p>
    <w:p w:rsidR="00314F48" w:rsidRPr="004C1B78" w:rsidRDefault="00A20752" w:rsidP="00314F48">
      <w:pPr>
        <w:rPr>
          <w:rFonts w:eastAsia="SimSun"/>
          <w:color w:val="000000" w:themeColor="text1"/>
        </w:rPr>
      </w:pPr>
      <w:r w:rsidRPr="004C1B78">
        <w:rPr>
          <w:rFonts w:eastAsia="SimSun"/>
          <w:color w:val="000000" w:themeColor="text1"/>
        </w:rPr>
        <w:fldChar w:fldCharType="begin"/>
      </w:r>
      <w:r w:rsidR="00314F48" w:rsidRPr="004C1B78">
        <w:rPr>
          <w:rFonts w:eastAsia="SimSun"/>
          <w:color w:val="000000" w:themeColor="text1"/>
        </w:rPr>
        <w:instrText xml:space="preserve"> AUTONUM  </w:instrText>
      </w:r>
      <w:r w:rsidRPr="004C1B78">
        <w:rPr>
          <w:rFonts w:eastAsia="SimSun"/>
          <w:color w:val="000000" w:themeColor="text1"/>
        </w:rPr>
        <w:fldChar w:fldCharType="end"/>
      </w:r>
      <w:r w:rsidR="00314F48" w:rsidRPr="004C1B78">
        <w:rPr>
          <w:color w:val="000000" w:themeColor="text1"/>
        </w:rPr>
        <w:tab/>
        <w:t>El TWF examinó el documento TWF/47/13 (véanse los párrafos 37 a 39 del documento TWF/47/25 “</w:t>
      </w:r>
      <w:proofErr w:type="spellStart"/>
      <w:r w:rsidR="00314F48" w:rsidRPr="004C1B78">
        <w:rPr>
          <w:i/>
          <w:color w:val="000000" w:themeColor="text1"/>
        </w:rPr>
        <w:t>Report</w:t>
      </w:r>
      <w:proofErr w:type="spellEnd"/>
      <w:r w:rsidR="00314F48" w:rsidRPr="004C1B78">
        <w:rPr>
          <w:color w:val="000000" w:themeColor="text1"/>
        </w:rPr>
        <w:t>” (Informe)).</w:t>
      </w:r>
    </w:p>
    <w:p w:rsidR="00314F48" w:rsidRPr="004C1B78" w:rsidRDefault="00314F48" w:rsidP="00314F48">
      <w:pPr>
        <w:rPr>
          <w:rFonts w:eastAsia="SimSun"/>
          <w:color w:val="000000" w:themeColor="text1"/>
        </w:rPr>
      </w:pPr>
    </w:p>
    <w:p w:rsidR="00314F48" w:rsidRPr="004C1B78" w:rsidRDefault="00A20752" w:rsidP="00314F48">
      <w:pPr>
        <w:rPr>
          <w:rFonts w:eastAsia="SimSun"/>
          <w:color w:val="000000" w:themeColor="text1"/>
        </w:rPr>
      </w:pPr>
      <w:r w:rsidRPr="004C1B78">
        <w:rPr>
          <w:rFonts w:eastAsia="SimSun"/>
          <w:color w:val="000000" w:themeColor="text1"/>
        </w:rPr>
        <w:fldChar w:fldCharType="begin"/>
      </w:r>
      <w:r w:rsidR="00314F48" w:rsidRPr="004C1B78">
        <w:rPr>
          <w:rFonts w:eastAsia="SimSun"/>
          <w:color w:val="000000" w:themeColor="text1"/>
        </w:rPr>
        <w:instrText xml:space="preserve"> AUTONUM  </w:instrText>
      </w:r>
      <w:r w:rsidRPr="004C1B78">
        <w:rPr>
          <w:rFonts w:eastAsia="SimSun"/>
          <w:color w:val="000000" w:themeColor="text1"/>
        </w:rPr>
        <w:fldChar w:fldCharType="end"/>
      </w:r>
      <w:r w:rsidR="00314F48" w:rsidRPr="004C1B78">
        <w:rPr>
          <w:color w:val="000000" w:themeColor="text1"/>
        </w:rPr>
        <w:tab/>
        <w:t>El TWF examinó el proyecto de orientación que figura en los Anexos I y II con miras a incluirlo en una futura revisión del documento TGP/10 y convino que en el caso de los frutales, el examen DHE se lleva a cabo normalmente en el mismo material vegetal (excepto en la fresa) y la homogeneidad se evalúa en un único ciclo de cultivo.  En algunos casos es necesario un segundo ciclo de cultivo (p. ej. en mutantes de manzano), pero los resultados de los dos ciclos se tratan de forma independiente y nunca se combinan.</w:t>
      </w:r>
    </w:p>
    <w:p w:rsidR="00314F48" w:rsidRPr="004C1B78" w:rsidRDefault="00314F48" w:rsidP="00314F48">
      <w:pPr>
        <w:rPr>
          <w:rFonts w:eastAsia="SimSun"/>
          <w:color w:val="000000" w:themeColor="text1"/>
        </w:rPr>
      </w:pPr>
    </w:p>
    <w:p w:rsidR="00314F48" w:rsidRPr="004C1B78" w:rsidRDefault="00A20752" w:rsidP="00314F48">
      <w:pPr>
        <w:rPr>
          <w:rFonts w:eastAsia="SimSun"/>
          <w:color w:val="000000" w:themeColor="text1"/>
        </w:rPr>
      </w:pPr>
      <w:r w:rsidRPr="004C1B78">
        <w:rPr>
          <w:rFonts w:eastAsia="SimSun"/>
          <w:color w:val="000000" w:themeColor="text1"/>
        </w:rPr>
        <w:fldChar w:fldCharType="begin"/>
      </w:r>
      <w:r w:rsidR="00314F48" w:rsidRPr="004C1B78">
        <w:rPr>
          <w:rFonts w:eastAsia="SimSun"/>
          <w:color w:val="000000" w:themeColor="text1"/>
        </w:rPr>
        <w:instrText xml:space="preserve"> AUTONUM  </w:instrText>
      </w:r>
      <w:r w:rsidRPr="004C1B78">
        <w:rPr>
          <w:rFonts w:eastAsia="SimSun"/>
          <w:color w:val="000000" w:themeColor="text1"/>
        </w:rPr>
        <w:fldChar w:fldCharType="end"/>
      </w:r>
      <w:r w:rsidR="00314F48" w:rsidRPr="004C1B78">
        <w:rPr>
          <w:color w:val="000000" w:themeColor="text1"/>
        </w:rPr>
        <w:tab/>
        <w:t xml:space="preserve">El TWF convino con que el TWO en que se debe aclarar el término “evidente” </w:t>
      </w:r>
      <w:r w:rsidR="00B456D0" w:rsidRPr="004C1B78">
        <w:rPr>
          <w:color w:val="000000" w:themeColor="text1"/>
        </w:rPr>
        <w:t>(</w:t>
      </w:r>
      <w:proofErr w:type="spellStart"/>
      <w:r w:rsidR="00B456D0" w:rsidRPr="004C1B78">
        <w:rPr>
          <w:i/>
          <w:color w:val="000000" w:themeColor="text1"/>
        </w:rPr>
        <w:t>clear</w:t>
      </w:r>
      <w:proofErr w:type="spellEnd"/>
      <w:r w:rsidR="00B456D0" w:rsidRPr="004C1B78">
        <w:rPr>
          <w:color w:val="000000" w:themeColor="text1"/>
        </w:rPr>
        <w:t xml:space="preserve">) </w:t>
      </w:r>
      <w:r w:rsidR="00314F48" w:rsidRPr="004C1B78">
        <w:rPr>
          <w:color w:val="000000" w:themeColor="text1"/>
        </w:rPr>
        <w:t xml:space="preserve">en la frase: “Además, es posible rechazar una variedad tras un único ciclo de cultivo debido a una falta evidente de homogeneidad”.  </w:t>
      </w:r>
      <w:r w:rsidR="007F1A94" w:rsidRPr="004C1B78">
        <w:rPr>
          <w:color w:val="000000" w:themeColor="text1"/>
        </w:rPr>
        <w:t>A su vez,</w:t>
      </w:r>
      <w:r w:rsidR="00314F48" w:rsidRPr="004C1B78">
        <w:rPr>
          <w:color w:val="000000" w:themeColor="text1"/>
        </w:rPr>
        <w:t xml:space="preserve"> convino en proponer la siguiente redacción para la frase de los métodos</w:t>
      </w:r>
      <w:r w:rsidR="006D585E" w:rsidRPr="004C1B78">
        <w:rPr>
          <w:color w:val="000000" w:themeColor="text1"/>
        </w:rPr>
        <w:t> </w:t>
      </w:r>
      <w:r w:rsidR="00314F48" w:rsidRPr="004C1B78">
        <w:rPr>
          <w:color w:val="000000" w:themeColor="text1"/>
        </w:rPr>
        <w:t xml:space="preserve">1 y 2: </w:t>
      </w:r>
    </w:p>
    <w:p w:rsidR="00314F48" w:rsidRPr="004C1B78" w:rsidRDefault="00314F48" w:rsidP="00314F48">
      <w:pPr>
        <w:rPr>
          <w:rFonts w:eastAsia="SimSun"/>
          <w:color w:val="000000" w:themeColor="text1"/>
        </w:rPr>
      </w:pPr>
    </w:p>
    <w:p w:rsidR="00314F48" w:rsidRPr="004C1B78" w:rsidRDefault="00314F48" w:rsidP="00314F48">
      <w:pPr>
        <w:ind w:left="426" w:right="425"/>
        <w:rPr>
          <w:rFonts w:eastAsia="SimSun"/>
          <w:color w:val="000000" w:themeColor="text1"/>
          <w:sz w:val="18"/>
        </w:rPr>
      </w:pPr>
      <w:r w:rsidRPr="004C1B78">
        <w:rPr>
          <w:color w:val="000000" w:themeColor="text1"/>
          <w:sz w:val="18"/>
        </w:rPr>
        <w:t>“Además, si una variedad supera en el primer ciclo de cultivo el número de plantas fuera de tipo permitido en dos ciclos de cultivo, podrá rechazarse la variedad tras un único ciclo de cultivo”.</w:t>
      </w:r>
    </w:p>
    <w:p w:rsidR="00314F48" w:rsidRPr="004C1B78" w:rsidRDefault="00314F48" w:rsidP="00314F48">
      <w:pPr>
        <w:ind w:firstLine="567"/>
        <w:rPr>
          <w:color w:val="000000" w:themeColor="text1"/>
        </w:rPr>
      </w:pPr>
    </w:p>
    <w:p w:rsidR="00314F48" w:rsidRPr="004C1B78" w:rsidRDefault="00314F48" w:rsidP="00314F48">
      <w:pPr>
        <w:ind w:firstLine="567"/>
        <w:rPr>
          <w:color w:val="000000" w:themeColor="text1"/>
        </w:rPr>
      </w:pPr>
    </w:p>
    <w:p w:rsidR="00314F48" w:rsidRPr="00F65C0A" w:rsidRDefault="00314F48" w:rsidP="007C49F0">
      <w:pPr>
        <w:pStyle w:val="Heading1"/>
        <w:keepLines/>
        <w:rPr>
          <w:color w:val="000000" w:themeColor="text1"/>
          <w:lang w:val="es-ES"/>
        </w:rPr>
      </w:pPr>
      <w:bookmarkStart w:id="22" w:name="_Toc474916006"/>
      <w:r w:rsidRPr="00F65C0A">
        <w:rPr>
          <w:color w:val="000000" w:themeColor="text1"/>
          <w:lang w:val="es-ES"/>
        </w:rPr>
        <w:lastRenderedPageBreak/>
        <w:t>Resumen de los métodos</w:t>
      </w:r>
      <w:bookmarkEnd w:id="5"/>
      <w:bookmarkEnd w:id="22"/>
    </w:p>
    <w:p w:rsidR="00314F48" w:rsidRPr="004C1B78" w:rsidRDefault="00314F48" w:rsidP="007C49F0">
      <w:pPr>
        <w:keepNext/>
        <w:keepLines/>
        <w:rPr>
          <w:rFonts w:cs="Arial"/>
          <w:caps/>
          <w:snapToGrid w:val="0"/>
          <w:color w:val="000000" w:themeColor="text1"/>
        </w:rPr>
      </w:pPr>
    </w:p>
    <w:p w:rsidR="00314F48" w:rsidRPr="004C1B78" w:rsidRDefault="00A20752" w:rsidP="007C49F0">
      <w:pPr>
        <w:keepNext/>
        <w:keepLines/>
        <w:rPr>
          <w:color w:val="000000" w:themeColor="text1"/>
          <w:szCs w:val="24"/>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En los Anexos I y II del presente documento se resumen diferentes situaciones en las que se combinan diferentes muestras para obtener una evaluación global de la homogeneidad de una variedad de conformidad con las conclusiones del TC</w:t>
      </w:r>
      <w:r w:rsidR="007F1A94" w:rsidRPr="004C1B78">
        <w:rPr>
          <w:color w:val="000000" w:themeColor="text1"/>
        </w:rPr>
        <w:t xml:space="preserve">, en su quincuagésima segunda </w:t>
      </w:r>
      <w:r w:rsidR="00314F48" w:rsidRPr="004C1B78">
        <w:rPr>
          <w:color w:val="000000" w:themeColor="text1"/>
        </w:rPr>
        <w:t>sesión y basadas en las propuestas formuladas por los TWP en sus sesiones de 2016, conforme se indica a continuación:</w:t>
      </w:r>
    </w:p>
    <w:p w:rsidR="00314F48" w:rsidRPr="004C1B78" w:rsidRDefault="00314F48" w:rsidP="00314F48">
      <w:pPr>
        <w:jc w:val="left"/>
        <w:rPr>
          <w:color w:val="000000" w:themeColor="text1"/>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314F48" w:rsidRPr="004C1B78" w:rsidTr="00BA3922">
        <w:trPr>
          <w:cantSplit/>
          <w:trHeight w:val="1414"/>
          <w:jc w:val="center"/>
        </w:trPr>
        <w:tc>
          <w:tcPr>
            <w:tcW w:w="6664" w:type="dxa"/>
            <w:shd w:val="clear" w:color="auto" w:fill="E6E6E6"/>
          </w:tcPr>
          <w:p w:rsidR="00314F48" w:rsidRPr="004C1B78" w:rsidRDefault="00314F48" w:rsidP="00BA3922">
            <w:pPr>
              <w:jc w:val="center"/>
              <w:rPr>
                <w:rFonts w:cs="Arial"/>
                <w:color w:val="000000" w:themeColor="text1"/>
                <w:sz w:val="18"/>
                <w:szCs w:val="22"/>
                <w:u w:val="single"/>
              </w:rPr>
            </w:pPr>
            <w:r w:rsidRPr="004C1B78">
              <w:rPr>
                <w:color w:val="000000" w:themeColor="text1"/>
                <w:sz w:val="18"/>
                <w:u w:val="single"/>
              </w:rPr>
              <w:t>Nota sobre las revisiones del Anexo I</w:t>
            </w:r>
          </w:p>
          <w:p w:rsidR="00314F48" w:rsidRPr="004C1B78" w:rsidRDefault="00314F48" w:rsidP="00BA3922">
            <w:pPr>
              <w:rPr>
                <w:rFonts w:cs="Arial"/>
                <w:color w:val="000000" w:themeColor="text1"/>
                <w:sz w:val="18"/>
                <w:szCs w:val="22"/>
                <w:u w:val="single"/>
              </w:rPr>
            </w:pPr>
          </w:p>
          <w:p w:rsidR="00314F48" w:rsidRPr="004C1B78" w:rsidRDefault="00314F48" w:rsidP="00BA3922">
            <w:pPr>
              <w:rPr>
                <w:rFonts w:cs="Arial"/>
                <w:color w:val="000000" w:themeColor="text1"/>
                <w:sz w:val="18"/>
                <w:szCs w:val="22"/>
              </w:rPr>
            </w:pPr>
            <w:r w:rsidRPr="004C1B78">
              <w:rPr>
                <w:color w:val="000000" w:themeColor="text1"/>
              </w:rPr>
              <w:t xml:space="preserve">Se indica con </w:t>
            </w:r>
            <w:r w:rsidRPr="004C1B78">
              <w:rPr>
                <w:b/>
                <w:strike/>
                <w:color w:val="000000" w:themeColor="text1"/>
                <w:sz w:val="18"/>
              </w:rPr>
              <w:t>tachado</w:t>
            </w:r>
            <w:r w:rsidRPr="004C1B78">
              <w:rPr>
                <w:color w:val="000000" w:themeColor="text1"/>
              </w:rPr>
              <w:t xml:space="preserve"> </w:t>
            </w:r>
            <w:r w:rsidRPr="004C1B78">
              <w:rPr>
                <w:b/>
                <w:color w:val="000000" w:themeColor="text1"/>
                <w:sz w:val="18"/>
              </w:rPr>
              <w:t>(sombreado)</w:t>
            </w:r>
            <w:r w:rsidRPr="004C1B78">
              <w:rPr>
                <w:color w:val="000000" w:themeColor="text1"/>
              </w:rPr>
              <w:t xml:space="preserve"> el texto que se propone suprimir según las modificaciones propuestas por los TWP en sus sesiones de 2016.</w:t>
            </w:r>
          </w:p>
          <w:p w:rsidR="00314F48" w:rsidRPr="004C1B78" w:rsidRDefault="00314F48" w:rsidP="00BA3922">
            <w:pPr>
              <w:rPr>
                <w:rFonts w:cs="Arial"/>
                <w:color w:val="000000" w:themeColor="text1"/>
                <w:sz w:val="18"/>
                <w:szCs w:val="22"/>
              </w:rPr>
            </w:pPr>
          </w:p>
          <w:p w:rsidR="00314F48" w:rsidRPr="004C1B78" w:rsidRDefault="00314F48" w:rsidP="00BA3922">
            <w:pPr>
              <w:rPr>
                <w:rFonts w:cs="Arial"/>
                <w:color w:val="000000" w:themeColor="text1"/>
                <w:sz w:val="18"/>
                <w:szCs w:val="22"/>
              </w:rPr>
            </w:pPr>
            <w:r w:rsidRPr="004C1B78">
              <w:rPr>
                <w:color w:val="000000" w:themeColor="text1"/>
              </w:rPr>
              <w:t xml:space="preserve">Se indica con </w:t>
            </w:r>
            <w:r w:rsidRPr="004C1B78">
              <w:rPr>
                <w:b/>
                <w:color w:val="000000" w:themeColor="text1"/>
                <w:sz w:val="18"/>
                <w:u w:val="single"/>
              </w:rPr>
              <w:t>subrayado</w:t>
            </w:r>
            <w:r w:rsidRPr="004C1B78">
              <w:rPr>
                <w:color w:val="000000" w:themeColor="text1"/>
              </w:rPr>
              <w:t xml:space="preserve"> </w:t>
            </w:r>
            <w:r w:rsidRPr="004C1B78">
              <w:rPr>
                <w:b/>
                <w:color w:val="000000" w:themeColor="text1"/>
                <w:sz w:val="18"/>
              </w:rPr>
              <w:t>(sombreado)</w:t>
            </w:r>
            <w:r w:rsidRPr="004C1B78">
              <w:rPr>
                <w:color w:val="000000" w:themeColor="text1"/>
              </w:rPr>
              <w:t xml:space="preserve"> el texto que se propone añadir según las modificaciones propuestas por los TWP en sus sesiones de 2016.</w:t>
            </w:r>
          </w:p>
        </w:tc>
      </w:tr>
    </w:tbl>
    <w:p w:rsidR="00314F48" w:rsidRPr="004C1B78" w:rsidRDefault="00314F48" w:rsidP="00314F48">
      <w:pPr>
        <w:rPr>
          <w:rFonts w:cs="Arial"/>
          <w:color w:val="000000" w:themeColor="text1"/>
          <w:sz w:val="18"/>
          <w:szCs w:val="22"/>
          <w:u w:val="single"/>
        </w:rPr>
      </w:pPr>
    </w:p>
    <w:p w:rsidR="00314F48" w:rsidRPr="004C1B78" w:rsidRDefault="00A20752" w:rsidP="00314F48">
      <w:pPr>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 xml:space="preserve">El resumen de los Anexos I y II atañe únicamente a situaciones en que más de una muestra, o una </w:t>
      </w:r>
      <w:proofErr w:type="spellStart"/>
      <w:r w:rsidR="00314F48" w:rsidRPr="004C1B78">
        <w:rPr>
          <w:color w:val="000000" w:themeColor="text1"/>
        </w:rPr>
        <w:t>submuestra</w:t>
      </w:r>
      <w:proofErr w:type="spellEnd"/>
      <w:r w:rsidR="00314F48" w:rsidRPr="004C1B78">
        <w:rPr>
          <w:color w:val="000000" w:themeColor="text1"/>
        </w:rPr>
        <w:t xml:space="preserve">, corresponden al examen del mismo carácter.  En el caso de diferentes muestras o </w:t>
      </w:r>
      <w:proofErr w:type="spellStart"/>
      <w:r w:rsidR="00314F48" w:rsidRPr="004C1B78">
        <w:rPr>
          <w:color w:val="000000" w:themeColor="text1"/>
        </w:rPr>
        <w:t>submuestras</w:t>
      </w:r>
      <w:proofErr w:type="spellEnd"/>
      <w:r w:rsidR="00314F48" w:rsidRPr="004C1B78">
        <w:rPr>
          <w:color w:val="000000" w:themeColor="text1"/>
        </w:rPr>
        <w:t xml:space="preserve"> (por ejemplo, un ensayo especial), para examinar un carácter diferente no se exige combinar los resultados, ya que una variedad debe ser homogénea para todos los caracteres pertinentes.</w:t>
      </w:r>
    </w:p>
    <w:p w:rsidR="00314F48" w:rsidRPr="004C1B78" w:rsidRDefault="00314F48" w:rsidP="00314F48">
      <w:pPr>
        <w:jc w:val="left"/>
        <w:rPr>
          <w:color w:val="000000" w:themeColor="text1"/>
          <w:szCs w:val="24"/>
        </w:rPr>
      </w:pPr>
    </w:p>
    <w:p w:rsidR="00314F48" w:rsidRPr="004C1B78" w:rsidRDefault="00A20752" w:rsidP="00314F48">
      <w:pPr>
        <w:pStyle w:val="DecisionParagraphs"/>
        <w:keepNext/>
        <w:rPr>
          <w:color w:val="000000" w:themeColor="text1"/>
        </w:rPr>
      </w:pPr>
      <w:r w:rsidRPr="004C1B78">
        <w:rPr>
          <w:color w:val="000000" w:themeColor="text1"/>
        </w:rPr>
        <w:fldChar w:fldCharType="begin"/>
      </w:r>
      <w:r w:rsidR="00314F48" w:rsidRPr="004C1B78">
        <w:rPr>
          <w:color w:val="000000" w:themeColor="text1"/>
        </w:rPr>
        <w:instrText xml:space="preserve"> AUTONUM  </w:instrText>
      </w:r>
      <w:r w:rsidRPr="004C1B78">
        <w:rPr>
          <w:color w:val="000000" w:themeColor="text1"/>
        </w:rPr>
        <w:fldChar w:fldCharType="end"/>
      </w:r>
      <w:r w:rsidR="00314F48" w:rsidRPr="004C1B78">
        <w:rPr>
          <w:color w:val="000000" w:themeColor="text1"/>
        </w:rPr>
        <w:tab/>
        <w:t xml:space="preserve">Se invita al TC a: </w:t>
      </w:r>
    </w:p>
    <w:p w:rsidR="00314F48" w:rsidRPr="004C1B78" w:rsidRDefault="00314F48" w:rsidP="00314F48">
      <w:pPr>
        <w:pStyle w:val="DecisionParagraphs"/>
        <w:keepNext/>
        <w:keepLines/>
        <w:tabs>
          <w:tab w:val="clear" w:pos="5387"/>
          <w:tab w:val="left" w:pos="5954"/>
        </w:tabs>
        <w:ind w:firstLine="567"/>
        <w:rPr>
          <w:color w:val="000000" w:themeColor="text1"/>
        </w:rPr>
      </w:pPr>
    </w:p>
    <w:p w:rsidR="00314F48" w:rsidRPr="004C1B78" w:rsidRDefault="00314F48" w:rsidP="00314F48">
      <w:pPr>
        <w:pStyle w:val="DecisionParagraphs"/>
        <w:keepNext/>
        <w:keepLines/>
        <w:tabs>
          <w:tab w:val="clear" w:pos="5387"/>
          <w:tab w:val="left" w:pos="5954"/>
        </w:tabs>
        <w:ind w:firstLine="567"/>
        <w:rPr>
          <w:rFonts w:cs="Arial"/>
          <w:color w:val="000000" w:themeColor="text1"/>
        </w:rPr>
      </w:pPr>
      <w:r w:rsidRPr="004C1B78">
        <w:rPr>
          <w:color w:val="000000" w:themeColor="text1"/>
        </w:rPr>
        <w:t>a)</w:t>
      </w:r>
      <w:r w:rsidRPr="004C1B78">
        <w:rPr>
          <w:color w:val="000000" w:themeColor="text1"/>
        </w:rPr>
        <w:tab/>
        <w:t>considerar si procede invitar a expertos a las reuniones de los TWP de 2017, a fin de que faciliten información sobre los criterios de elección del método más adecuado para evaluar las plantas fuera de tipo en diferentes tipos de cultivo;</w:t>
      </w:r>
    </w:p>
    <w:p w:rsidR="00314F48" w:rsidRPr="004C1B78" w:rsidRDefault="00314F48" w:rsidP="00314F48">
      <w:pPr>
        <w:pStyle w:val="DecisionParagraphs"/>
        <w:keepNext/>
        <w:keepLines/>
        <w:tabs>
          <w:tab w:val="clear" w:pos="5387"/>
          <w:tab w:val="left" w:pos="5954"/>
        </w:tabs>
        <w:ind w:firstLine="567"/>
        <w:rPr>
          <w:color w:val="000000" w:themeColor="text1"/>
        </w:rPr>
      </w:pPr>
    </w:p>
    <w:p w:rsidR="00314F48" w:rsidRPr="004C1B78" w:rsidRDefault="00314F48" w:rsidP="00314F48">
      <w:pPr>
        <w:pStyle w:val="DecisionParagraphs"/>
        <w:keepLines/>
        <w:tabs>
          <w:tab w:val="clear" w:pos="5387"/>
          <w:tab w:val="left" w:pos="5954"/>
        </w:tabs>
        <w:ind w:firstLine="567"/>
        <w:rPr>
          <w:color w:val="000000" w:themeColor="text1"/>
        </w:rPr>
      </w:pPr>
      <w:r w:rsidRPr="004C1B78">
        <w:rPr>
          <w:color w:val="000000" w:themeColor="text1"/>
        </w:rPr>
        <w:t>b)</w:t>
      </w:r>
      <w:r w:rsidRPr="004C1B78">
        <w:rPr>
          <w:color w:val="000000" w:themeColor="text1"/>
        </w:rPr>
        <w:tab/>
        <w:t xml:space="preserve">tomar nota de los ofrecimientos de Alemania, los Países Bajos y el Reino Unido de facilitar ejemplos al TWC, en su reunión de 2017, sobre la elección del método más adecuado para evaluar las plantas fuera de tipo; </w:t>
      </w:r>
    </w:p>
    <w:p w:rsidR="00314F48" w:rsidRPr="004C1B78" w:rsidRDefault="00314F48" w:rsidP="00314F48">
      <w:pPr>
        <w:pStyle w:val="DecisionParagraphs"/>
        <w:keepLines/>
        <w:tabs>
          <w:tab w:val="clear" w:pos="5387"/>
          <w:tab w:val="left" w:pos="5954"/>
        </w:tabs>
        <w:ind w:firstLine="567"/>
        <w:rPr>
          <w:color w:val="000000" w:themeColor="text1"/>
        </w:rPr>
      </w:pPr>
    </w:p>
    <w:p w:rsidR="00314F48" w:rsidRPr="004C1B78" w:rsidRDefault="00314F48" w:rsidP="00314F48">
      <w:pPr>
        <w:pStyle w:val="DecisionParagraphs"/>
        <w:keepLines/>
        <w:tabs>
          <w:tab w:val="clear" w:pos="5387"/>
          <w:tab w:val="left" w:pos="5954"/>
        </w:tabs>
        <w:ind w:firstLine="567"/>
        <w:rPr>
          <w:color w:val="000000" w:themeColor="text1"/>
        </w:rPr>
      </w:pPr>
      <w:r w:rsidRPr="004C1B78">
        <w:rPr>
          <w:color w:val="000000" w:themeColor="text1"/>
        </w:rPr>
        <w:t>c)</w:t>
      </w:r>
      <w:r w:rsidRPr="004C1B78">
        <w:rPr>
          <w:color w:val="000000" w:themeColor="text1"/>
        </w:rPr>
        <w:tab/>
        <w:t>tomar nota de que Francia y el Reino Unido presentaron ponencias ante el TWC, TWV y TWA, en sus reuniones de 2016;</w:t>
      </w:r>
    </w:p>
    <w:p w:rsidR="00314F48" w:rsidRPr="004C1B78" w:rsidRDefault="00314F48" w:rsidP="00314F48">
      <w:pPr>
        <w:pStyle w:val="DecisionParagraphs"/>
        <w:keepLines/>
        <w:tabs>
          <w:tab w:val="clear" w:pos="5387"/>
          <w:tab w:val="left" w:pos="5954"/>
        </w:tabs>
        <w:ind w:firstLine="567"/>
        <w:rPr>
          <w:color w:val="000000" w:themeColor="text1"/>
        </w:rPr>
      </w:pPr>
    </w:p>
    <w:p w:rsidR="00314F48" w:rsidRPr="004C1B78" w:rsidRDefault="00314F48" w:rsidP="00314F48">
      <w:pPr>
        <w:pStyle w:val="DecisionParagraphs"/>
        <w:keepLines/>
        <w:tabs>
          <w:tab w:val="clear" w:pos="5387"/>
          <w:tab w:val="left" w:pos="5954"/>
        </w:tabs>
        <w:ind w:firstLine="567"/>
        <w:rPr>
          <w:snapToGrid w:val="0"/>
          <w:color w:val="000000" w:themeColor="text1"/>
        </w:rPr>
      </w:pPr>
      <w:r w:rsidRPr="004C1B78">
        <w:rPr>
          <w:color w:val="000000" w:themeColor="text1"/>
        </w:rPr>
        <w:t>d)</w:t>
      </w:r>
      <w:r w:rsidRPr="004C1B78">
        <w:rPr>
          <w:color w:val="000000" w:themeColor="text1"/>
        </w:rPr>
        <w:tab/>
        <w:t xml:space="preserve">tomar nota de que, en el documento TC/53/5 “Documentos TGP”; </w:t>
      </w:r>
      <w:r w:rsidR="00E056C2" w:rsidRPr="004C1B78">
        <w:rPr>
          <w:color w:val="000000" w:themeColor="text1"/>
        </w:rPr>
        <w:t xml:space="preserve"> </w:t>
      </w:r>
      <w:r w:rsidRPr="004C1B78">
        <w:rPr>
          <w:color w:val="000000" w:themeColor="text1"/>
        </w:rPr>
        <w:t>se examinará una propuesta de revisión de la orientación que figura en el documento </w:t>
      </w:r>
      <w:r w:rsidRPr="004C1B78">
        <w:rPr>
          <w:snapToGrid w:val="0"/>
          <w:color w:val="000000" w:themeColor="text1"/>
        </w:rPr>
        <w:t>TGP/8/2</w:t>
      </w:r>
      <w:proofErr w:type="gramStart"/>
      <w:r w:rsidRPr="004C1B78">
        <w:rPr>
          <w:snapToGrid w:val="0"/>
          <w:color w:val="000000" w:themeColor="text1"/>
        </w:rPr>
        <w:t xml:space="preserve">: </w:t>
      </w:r>
      <w:r w:rsidR="00E056C2" w:rsidRPr="004C1B78">
        <w:rPr>
          <w:snapToGrid w:val="0"/>
          <w:color w:val="000000" w:themeColor="text1"/>
        </w:rPr>
        <w:t xml:space="preserve"> </w:t>
      </w:r>
      <w:r w:rsidRPr="004C1B78">
        <w:rPr>
          <w:snapToGrid w:val="0"/>
          <w:color w:val="000000" w:themeColor="text1"/>
        </w:rPr>
        <w:t>Parte</w:t>
      </w:r>
      <w:proofErr w:type="gramEnd"/>
      <w:r w:rsidRPr="004C1B78">
        <w:rPr>
          <w:snapToGrid w:val="0"/>
          <w:color w:val="000000" w:themeColor="text1"/>
        </w:rPr>
        <w:t xml:space="preserve"> II:</w:t>
      </w:r>
      <w:r w:rsidR="00E056C2" w:rsidRPr="004C1B78">
        <w:rPr>
          <w:snapToGrid w:val="0"/>
          <w:color w:val="000000" w:themeColor="text1"/>
        </w:rPr>
        <w:t xml:space="preserve"> </w:t>
      </w:r>
      <w:r w:rsidRPr="004C1B78">
        <w:rPr>
          <w:snapToGrid w:val="0"/>
          <w:color w:val="000000" w:themeColor="text1"/>
        </w:rPr>
        <w:t xml:space="preserve"> 8:</w:t>
      </w:r>
      <w:r w:rsidR="00E056C2" w:rsidRPr="004C1B78">
        <w:rPr>
          <w:snapToGrid w:val="0"/>
          <w:color w:val="000000" w:themeColor="text1"/>
        </w:rPr>
        <w:t xml:space="preserve"> </w:t>
      </w:r>
      <w:r w:rsidRPr="004C1B78">
        <w:rPr>
          <w:snapToGrid w:val="0"/>
          <w:color w:val="000000" w:themeColor="text1"/>
        </w:rPr>
        <w:t xml:space="preserve"> “El método de evaluación de la homogeneidad sobre la base de las plantas fuera de tipo”; </w:t>
      </w:r>
    </w:p>
    <w:p w:rsidR="00314F48" w:rsidRPr="004C1B78" w:rsidRDefault="00314F48" w:rsidP="00314F48">
      <w:pPr>
        <w:pStyle w:val="DecisionParagraphs"/>
        <w:keepLines/>
        <w:tabs>
          <w:tab w:val="clear" w:pos="5387"/>
          <w:tab w:val="left" w:pos="5954"/>
        </w:tabs>
        <w:ind w:firstLine="567"/>
        <w:rPr>
          <w:snapToGrid w:val="0"/>
          <w:color w:val="000000" w:themeColor="text1"/>
        </w:rPr>
      </w:pPr>
    </w:p>
    <w:p w:rsidR="00314F48" w:rsidRPr="004C1B78" w:rsidRDefault="00314F48" w:rsidP="00314F48">
      <w:pPr>
        <w:pStyle w:val="DecisionParagraphs"/>
        <w:keepLines/>
        <w:tabs>
          <w:tab w:val="clear" w:pos="5387"/>
          <w:tab w:val="left" w:pos="5954"/>
        </w:tabs>
        <w:ind w:firstLine="567"/>
        <w:rPr>
          <w:rFonts w:cs="Arial"/>
          <w:color w:val="000000" w:themeColor="text1"/>
        </w:rPr>
      </w:pPr>
      <w:r w:rsidRPr="004C1B78">
        <w:rPr>
          <w:snapToGrid w:val="0"/>
          <w:color w:val="000000" w:themeColor="text1"/>
        </w:rPr>
        <w:t>e)</w:t>
      </w:r>
      <w:r w:rsidRPr="004C1B78">
        <w:rPr>
          <w:color w:val="000000" w:themeColor="text1"/>
        </w:rPr>
        <w:tab/>
      </w:r>
      <w:r w:rsidRPr="004C1B78">
        <w:rPr>
          <w:snapToGrid w:val="0"/>
          <w:color w:val="000000" w:themeColor="text1"/>
        </w:rPr>
        <w:t xml:space="preserve">tomar nota </w:t>
      </w:r>
      <w:r w:rsidRPr="004C1B78">
        <w:rPr>
          <w:color w:val="000000" w:themeColor="text1"/>
        </w:rPr>
        <w:t xml:space="preserve">de los ofrecimientos de Francia, Alemania, los Países Bajos y el Reino Unido de proporcionar ejemplos en los que se compare el efecto </w:t>
      </w:r>
      <w:r w:rsidR="007F1A94" w:rsidRPr="004C1B78">
        <w:rPr>
          <w:color w:val="000000" w:themeColor="text1"/>
        </w:rPr>
        <w:t xml:space="preserve">que </w:t>
      </w:r>
      <w:r w:rsidRPr="004C1B78">
        <w:rPr>
          <w:color w:val="000000" w:themeColor="text1"/>
        </w:rPr>
        <w:t xml:space="preserve">el método 3 y otros métodos </w:t>
      </w:r>
      <w:r w:rsidR="007F1A94" w:rsidRPr="004C1B78">
        <w:rPr>
          <w:color w:val="000000" w:themeColor="text1"/>
        </w:rPr>
        <w:t xml:space="preserve">puedan tener </w:t>
      </w:r>
      <w:r w:rsidRPr="004C1B78">
        <w:rPr>
          <w:color w:val="000000" w:themeColor="text1"/>
        </w:rPr>
        <w:t>sobre las decisiones de homogeneidad, que se presentarán ante el TWA en su cuadragésima sexta reunión;  y</w:t>
      </w:r>
    </w:p>
    <w:p w:rsidR="00314F48" w:rsidRPr="004C1B78" w:rsidRDefault="00314F48" w:rsidP="00314F48">
      <w:pPr>
        <w:pStyle w:val="DecisionParagraphs"/>
        <w:keepLines/>
        <w:tabs>
          <w:tab w:val="clear" w:pos="5387"/>
          <w:tab w:val="left" w:pos="5954"/>
        </w:tabs>
        <w:ind w:firstLine="567"/>
        <w:rPr>
          <w:color w:val="000000" w:themeColor="text1"/>
        </w:rPr>
      </w:pPr>
    </w:p>
    <w:p w:rsidR="00314F48" w:rsidRPr="004C1B78" w:rsidRDefault="009363FA" w:rsidP="00314F48">
      <w:pPr>
        <w:pStyle w:val="DecisionParagraphs"/>
        <w:keepLines/>
        <w:tabs>
          <w:tab w:val="clear" w:pos="5387"/>
          <w:tab w:val="left" w:pos="5954"/>
        </w:tabs>
        <w:ind w:firstLine="567"/>
        <w:rPr>
          <w:color w:val="000000" w:themeColor="text1"/>
        </w:rPr>
      </w:pPr>
      <w:r>
        <w:rPr>
          <w:color w:val="000000" w:themeColor="text1"/>
        </w:rPr>
        <w:t>f</w:t>
      </w:r>
      <w:r w:rsidR="00314F48" w:rsidRPr="004C1B78">
        <w:rPr>
          <w:color w:val="000000" w:themeColor="text1"/>
        </w:rPr>
        <w:t>)</w:t>
      </w:r>
      <w:r w:rsidR="00314F48" w:rsidRPr="004C1B78">
        <w:rPr>
          <w:color w:val="000000" w:themeColor="text1"/>
        </w:rPr>
        <w:tab/>
        <w:t>examinar el proyecto de orientación que figura en los Anexos I y II modificado por los TWP en sus reuniones de 2016, con miras a incluirlo en una futura revisión del documento TGP/10.</w:t>
      </w:r>
    </w:p>
    <w:p w:rsidR="00314F48" w:rsidRDefault="00314F48" w:rsidP="00314F48">
      <w:pPr>
        <w:pStyle w:val="DecisionParagraphs"/>
        <w:keepLines/>
        <w:tabs>
          <w:tab w:val="clear" w:pos="5387"/>
          <w:tab w:val="left" w:pos="5954"/>
        </w:tabs>
        <w:ind w:left="4536" w:firstLine="567"/>
        <w:rPr>
          <w:color w:val="000000" w:themeColor="text1"/>
        </w:rPr>
      </w:pPr>
    </w:p>
    <w:p w:rsidR="00051180" w:rsidRPr="004C1B78" w:rsidRDefault="00051180" w:rsidP="00314F48">
      <w:pPr>
        <w:pStyle w:val="DecisionParagraphs"/>
        <w:keepLines/>
        <w:tabs>
          <w:tab w:val="clear" w:pos="5387"/>
          <w:tab w:val="left" w:pos="5954"/>
        </w:tabs>
        <w:ind w:left="4536" w:firstLine="567"/>
        <w:rPr>
          <w:color w:val="000000" w:themeColor="text1"/>
        </w:rPr>
      </w:pPr>
    </w:p>
    <w:p w:rsidR="00544581" w:rsidRPr="004C1B78" w:rsidRDefault="00314F48" w:rsidP="00051180">
      <w:pPr>
        <w:jc w:val="right"/>
        <w:rPr>
          <w:color w:val="000000" w:themeColor="text1"/>
        </w:rPr>
      </w:pPr>
      <w:r w:rsidRPr="004C1B78">
        <w:rPr>
          <w:color w:val="000000" w:themeColor="text1"/>
        </w:rPr>
        <w:t>[Siguen los Anexos]</w:t>
      </w:r>
    </w:p>
    <w:p w:rsidR="00BC36CE" w:rsidRPr="004C1B78" w:rsidRDefault="00BC36CE" w:rsidP="00050E16">
      <w:pPr>
        <w:rPr>
          <w:color w:val="000000" w:themeColor="text1"/>
        </w:rPr>
        <w:sectPr w:rsidR="00BC36CE" w:rsidRPr="004C1B78" w:rsidSect="00906DDC">
          <w:headerReference w:type="default" r:id="rId10"/>
          <w:footerReference w:type="default" r:id="rId11"/>
          <w:pgSz w:w="11907" w:h="16840" w:code="9"/>
          <w:pgMar w:top="510" w:right="1134" w:bottom="1134" w:left="1134" w:header="510" w:footer="680" w:gutter="0"/>
          <w:cols w:space="720"/>
          <w:titlePg/>
        </w:sect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781"/>
      </w:tblGrid>
      <w:tr w:rsidR="00BC36CE" w:rsidRPr="004C1B78" w:rsidTr="00D12E9C">
        <w:trPr>
          <w:trHeight w:val="350"/>
        </w:trPr>
        <w:tc>
          <w:tcPr>
            <w:tcW w:w="9781" w:type="dxa"/>
          </w:tcPr>
          <w:p w:rsidR="00BC36CE" w:rsidRPr="004C1B78" w:rsidRDefault="00BC36CE" w:rsidP="00BA3922">
            <w:pPr>
              <w:autoSpaceDE w:val="0"/>
              <w:autoSpaceDN w:val="0"/>
              <w:adjustRightInd w:val="0"/>
              <w:jc w:val="center"/>
              <w:rPr>
                <w:rFonts w:eastAsia="SimSun"/>
                <w:color w:val="000000" w:themeColor="text1"/>
                <w:szCs w:val="24"/>
              </w:rPr>
            </w:pPr>
          </w:p>
          <w:p w:rsidR="00BC36CE" w:rsidRPr="004C1B78" w:rsidRDefault="00BC36CE" w:rsidP="00BA3922">
            <w:pPr>
              <w:autoSpaceDE w:val="0"/>
              <w:autoSpaceDN w:val="0"/>
              <w:adjustRightInd w:val="0"/>
              <w:jc w:val="center"/>
              <w:rPr>
                <w:rFonts w:eastAsia="SimSun"/>
                <w:color w:val="000000" w:themeColor="text1"/>
                <w:szCs w:val="24"/>
              </w:rPr>
            </w:pPr>
            <w:r w:rsidRPr="004C1B78">
              <w:rPr>
                <w:color w:val="000000" w:themeColor="text1"/>
              </w:rPr>
              <w:t xml:space="preserve">EVALUACIÓN DE LA HOMOGENEIDAD DE LAS PLANTAS FUERA DE TIPO MEDIANTE LA OBSERVACIÓN DE MÁS DE UN CICLO DE CULTIVO </w:t>
            </w:r>
          </w:p>
          <w:p w:rsidR="00BC36CE" w:rsidRPr="004C1B78" w:rsidRDefault="00BC36CE" w:rsidP="00BA3922">
            <w:pPr>
              <w:autoSpaceDE w:val="0"/>
              <w:autoSpaceDN w:val="0"/>
              <w:adjustRightInd w:val="0"/>
              <w:jc w:val="center"/>
              <w:rPr>
                <w:rFonts w:eastAsia="SimSun"/>
                <w:color w:val="000000" w:themeColor="text1"/>
                <w:szCs w:val="24"/>
              </w:rPr>
            </w:pPr>
          </w:p>
        </w:tc>
      </w:tr>
      <w:tr w:rsidR="00BC36CE" w:rsidRPr="004C1B78" w:rsidTr="00D12E9C">
        <w:trPr>
          <w:trHeight w:val="5687"/>
        </w:trPr>
        <w:tc>
          <w:tcPr>
            <w:tcW w:w="9781" w:type="dxa"/>
          </w:tcPr>
          <w:p w:rsidR="00BC36CE" w:rsidRPr="004C1B78" w:rsidRDefault="00BC36CE" w:rsidP="00BA3922">
            <w:pPr>
              <w:rPr>
                <w:color w:val="000000" w:themeColor="text1"/>
                <w:szCs w:val="24"/>
              </w:rPr>
            </w:pPr>
            <w:r w:rsidRPr="004C1B78">
              <w:rPr>
                <w:color w:val="000000" w:themeColor="text1"/>
              </w:rPr>
              <w:t>Podrían desarrollarse dos ciclos de cultivo independientes en un único lugar en diferentes años o en diferentes lugares en el mismo año, según se indica en las secciones 1.2 y 1.3 de la Parte I del documento TGP/8.</w:t>
            </w:r>
          </w:p>
          <w:p w:rsidR="00BC36CE" w:rsidRPr="004C1B78" w:rsidRDefault="00BC36CE" w:rsidP="00BA3922">
            <w:pPr>
              <w:rPr>
                <w:color w:val="000000" w:themeColor="text1"/>
                <w:szCs w:val="24"/>
              </w:rPr>
            </w:pPr>
          </w:p>
          <w:p w:rsidR="00BC36CE" w:rsidRPr="004C1B78" w:rsidRDefault="00BC36CE" w:rsidP="00BA3922">
            <w:pPr>
              <w:rPr>
                <w:color w:val="000000" w:themeColor="text1"/>
                <w:szCs w:val="24"/>
                <w:u w:val="single"/>
              </w:rPr>
            </w:pPr>
            <w:r w:rsidRPr="004C1B78">
              <w:rPr>
                <w:color w:val="000000" w:themeColor="text1"/>
              </w:rPr>
              <w:t xml:space="preserve">El uso previsto de la siguiente orientación no es la evaluación de la homogeneidad de las plantas fuera de tipo en las mismas plantas en dos ciclos de cultivo.  </w:t>
            </w:r>
            <w:r w:rsidRPr="004C1B78">
              <w:rPr>
                <w:color w:val="000000" w:themeColor="text1"/>
                <w:highlight w:val="lightGray"/>
                <w:u w:val="single"/>
              </w:rPr>
              <w:t>No se deben combinar los resultados de ciclos de cultivo en los que se utilicen diferentes lotes de material vegetal.</w:t>
            </w:r>
          </w:p>
          <w:p w:rsidR="00BC36CE" w:rsidRPr="004C1B78" w:rsidRDefault="00BC36CE" w:rsidP="00BA3922">
            <w:pPr>
              <w:rPr>
                <w:color w:val="000000" w:themeColor="text1"/>
                <w:szCs w:val="24"/>
              </w:rPr>
            </w:pPr>
          </w:p>
          <w:p w:rsidR="00BC36CE" w:rsidRPr="004C1B78" w:rsidRDefault="00BC36CE" w:rsidP="00BA3922">
            <w:pPr>
              <w:rPr>
                <w:b/>
                <w:color w:val="000000" w:themeColor="text1"/>
                <w:szCs w:val="24"/>
              </w:rPr>
            </w:pPr>
            <w:r w:rsidRPr="004C1B78">
              <w:rPr>
                <w:b/>
                <w:color w:val="000000" w:themeColor="text1"/>
              </w:rPr>
              <w:t xml:space="preserve">Método 1:  Tercer ciclo de cultivo en el caso de resultados contradictorios </w:t>
            </w:r>
          </w:p>
          <w:p w:rsidR="00BC36CE" w:rsidRPr="004C1B78" w:rsidRDefault="00BC36CE" w:rsidP="00BA3922">
            <w:pPr>
              <w:jc w:val="center"/>
              <w:rPr>
                <w:b/>
                <w:color w:val="000000" w:themeColor="text1"/>
                <w:szCs w:val="24"/>
              </w:rPr>
            </w:pPr>
          </w:p>
          <w:p w:rsidR="00BC36CE" w:rsidRPr="004C1B78" w:rsidRDefault="00BC36CE" w:rsidP="00BA3922">
            <w:pPr>
              <w:rPr>
                <w:rFonts w:eastAsia="SimSun"/>
                <w:color w:val="000000" w:themeColor="text1"/>
                <w:szCs w:val="24"/>
              </w:rPr>
            </w:pPr>
            <w:r w:rsidRPr="004C1B78">
              <w:rPr>
                <w:color w:val="000000" w:themeColor="text1"/>
              </w:rPr>
              <w:t>Se considera que una variedad es homogénea si cumple el estándar de homogeneidad en ambos ciclos de cultivo.</w:t>
            </w:r>
          </w:p>
          <w:p w:rsidR="00BC36CE" w:rsidRPr="004C1B78" w:rsidRDefault="00BC36CE" w:rsidP="00BA3922">
            <w:pPr>
              <w:rPr>
                <w:rFonts w:eastAsia="SimSun"/>
                <w:color w:val="000000" w:themeColor="text1"/>
                <w:szCs w:val="24"/>
              </w:rPr>
            </w:pPr>
          </w:p>
          <w:p w:rsidR="00BC36CE" w:rsidRPr="004C1B78" w:rsidRDefault="00BC36CE" w:rsidP="00BA3922">
            <w:pPr>
              <w:rPr>
                <w:rFonts w:eastAsia="SimSun"/>
                <w:color w:val="000000" w:themeColor="text1"/>
                <w:szCs w:val="24"/>
              </w:rPr>
            </w:pPr>
            <w:r w:rsidRPr="004C1B78">
              <w:rPr>
                <w:color w:val="000000" w:themeColor="text1"/>
              </w:rPr>
              <w:t>Se considera que una variedad no es homogénea si no cumple el estándar de homogeneidad en ambos ciclos de cultivo.</w:t>
            </w:r>
          </w:p>
          <w:p w:rsidR="00BC36CE" w:rsidRPr="004C1B78" w:rsidRDefault="00BC36CE" w:rsidP="00BA3922">
            <w:pPr>
              <w:rPr>
                <w:rFonts w:eastAsia="SimSun"/>
                <w:color w:val="000000" w:themeColor="text1"/>
                <w:szCs w:val="24"/>
              </w:rPr>
            </w:pPr>
          </w:p>
          <w:p w:rsidR="00BC36CE" w:rsidRPr="004C1B78" w:rsidRDefault="00BC36CE" w:rsidP="00BA3922">
            <w:pPr>
              <w:keepNext/>
              <w:keepLines/>
              <w:rPr>
                <w:rFonts w:eastAsia="SimSun"/>
                <w:color w:val="000000" w:themeColor="text1"/>
                <w:szCs w:val="24"/>
              </w:rPr>
            </w:pPr>
            <w:r w:rsidRPr="004C1B78">
              <w:rPr>
                <w:color w:val="000000" w:themeColor="text1"/>
              </w:rPr>
              <w:t>Si al término de los dos ciclos de cultivo la variedad cumple el estándar de homogeneidad en un ciclo de cultivo pero no lo cumple en el otro ciclo de cultivo, se evalúa la homogeneidad en un tercer ciclo de cultivo.  Si en el tercer ciclo de cultivo la variedad cumple el estándar de homogeneidad, la variedad se considerará homogénea.  Si al término del tercer ciclo de cultivo la variedad no cumple el estándar de homogeneidad, la variedad se considerará no homogénea.</w:t>
            </w:r>
          </w:p>
          <w:p w:rsidR="00BC36CE" w:rsidRPr="004C1B78" w:rsidRDefault="00BC36CE" w:rsidP="00BA3922">
            <w:pPr>
              <w:keepNext/>
              <w:keepLines/>
              <w:rPr>
                <w:color w:val="000000" w:themeColor="text1"/>
                <w:szCs w:val="24"/>
              </w:rPr>
            </w:pPr>
          </w:p>
          <w:p w:rsidR="00BC36CE" w:rsidRPr="004C1B78" w:rsidRDefault="00BC36CE" w:rsidP="00BA3922">
            <w:pPr>
              <w:keepNext/>
              <w:keepLines/>
              <w:rPr>
                <w:rFonts w:eastAsia="SimSun"/>
                <w:color w:val="000000" w:themeColor="text1"/>
                <w:szCs w:val="24"/>
              </w:rPr>
            </w:pPr>
            <w:r w:rsidRPr="004C1B78">
              <w:rPr>
                <w:color w:val="000000" w:themeColor="text1"/>
              </w:rPr>
              <w:t xml:space="preserve">Es preciso poner cuidado al examinar resultados que sean muy diferentes en cada uno de los ciclos de cultivo, por ejemplo cuando se observe una gran abundancia de plantas fuera de tipo en un ciclo de cultivo y su ausencia en otro ciclo.  </w:t>
            </w:r>
            <w:r w:rsidRPr="004C1B78">
              <w:rPr>
                <w:color w:val="000000" w:themeColor="text1"/>
                <w:highlight w:val="lightGray"/>
                <w:u w:val="single"/>
              </w:rPr>
              <w:t xml:space="preserve">Es importante determinar si las diferencias entre ciclos en cuanto al número de plantas fuera de tipo se deben a motivos biológicos o a las variaciones en la toma de muestras.  </w:t>
            </w:r>
            <w:r w:rsidRPr="004C1B78">
              <w:rPr>
                <w:color w:val="000000" w:themeColor="text1"/>
              </w:rPr>
              <w:t xml:space="preserve">Además, </w:t>
            </w:r>
            <w:r w:rsidRPr="004C1B78">
              <w:rPr>
                <w:color w:val="000000" w:themeColor="text1"/>
                <w:highlight w:val="lightGray"/>
              </w:rPr>
              <w:t>si</w:t>
            </w:r>
            <w:r w:rsidRPr="004C1B78">
              <w:rPr>
                <w:color w:val="000000" w:themeColor="text1"/>
              </w:rPr>
              <w:t xml:space="preserve"> una variedad </w:t>
            </w:r>
            <w:r w:rsidRPr="004C1B78">
              <w:rPr>
                <w:color w:val="000000" w:themeColor="text1"/>
                <w:highlight w:val="lightGray"/>
              </w:rPr>
              <w:t>supera en el primer ciclo de cultivo el número de plantas fuera de tipo permitido en dos ciclos de cultivo,</w:t>
            </w:r>
            <w:r w:rsidRPr="004C1B78">
              <w:rPr>
                <w:color w:val="000000" w:themeColor="text1"/>
              </w:rPr>
              <w:t xml:space="preserve"> podrá rechazarse la variedad tras un único ciclo de cultivo debido a una falta evidente de homogeneidad.</w:t>
            </w:r>
          </w:p>
          <w:p w:rsidR="00BC36CE" w:rsidRPr="004C1B78" w:rsidRDefault="00BC36CE" w:rsidP="00BA3922">
            <w:pPr>
              <w:keepNext/>
              <w:keepLines/>
              <w:rPr>
                <w:rFonts w:eastAsia="SimSun"/>
                <w:color w:val="000000" w:themeColor="text1"/>
                <w:szCs w:val="24"/>
              </w:rPr>
            </w:pPr>
          </w:p>
          <w:p w:rsidR="00BC36CE" w:rsidRPr="004C1B78" w:rsidRDefault="00BC36CE" w:rsidP="00BA3922">
            <w:pPr>
              <w:rPr>
                <w:b/>
                <w:color w:val="000000" w:themeColor="text1"/>
                <w:szCs w:val="24"/>
              </w:rPr>
            </w:pPr>
            <w:r w:rsidRPr="004C1B78">
              <w:rPr>
                <w:b/>
                <w:color w:val="000000" w:themeColor="text1"/>
              </w:rPr>
              <w:t>Método 2:  Combinar los resultados de dos ciclos de cultivo en el caso de resultados contradictorios</w:t>
            </w:r>
          </w:p>
          <w:p w:rsidR="00BC36CE" w:rsidRPr="004C1B78" w:rsidRDefault="00BC36CE" w:rsidP="00BA3922">
            <w:pPr>
              <w:keepNext/>
              <w:keepLines/>
              <w:rPr>
                <w:rFonts w:eastAsia="MS Mincho"/>
                <w:color w:val="000000" w:themeColor="text1"/>
              </w:rPr>
            </w:pPr>
          </w:p>
          <w:p w:rsidR="00BC36CE" w:rsidRPr="004C1B78" w:rsidRDefault="00BC36CE" w:rsidP="00BA3922">
            <w:pPr>
              <w:rPr>
                <w:rFonts w:eastAsia="SimSun"/>
                <w:color w:val="000000" w:themeColor="text1"/>
              </w:rPr>
            </w:pPr>
            <w:r w:rsidRPr="004C1B78">
              <w:rPr>
                <w:color w:val="000000" w:themeColor="text1"/>
              </w:rPr>
              <w:t>Se considera que una variedad es homogénea si cumple el estándar de homogeneidad en ambos ciclos de cultivo.</w:t>
            </w:r>
          </w:p>
          <w:p w:rsidR="00BC36CE" w:rsidRPr="004C1B78" w:rsidRDefault="00BC36CE" w:rsidP="00BA3922">
            <w:pPr>
              <w:rPr>
                <w:rFonts w:eastAsia="SimSun"/>
                <w:color w:val="000000" w:themeColor="text1"/>
              </w:rPr>
            </w:pPr>
          </w:p>
          <w:p w:rsidR="00BC36CE" w:rsidRPr="004C1B78" w:rsidRDefault="00BC36CE" w:rsidP="00BA3922">
            <w:pPr>
              <w:rPr>
                <w:rFonts w:eastAsia="SimSun"/>
                <w:color w:val="000000" w:themeColor="text1"/>
              </w:rPr>
            </w:pPr>
            <w:r w:rsidRPr="004C1B78">
              <w:rPr>
                <w:color w:val="000000" w:themeColor="text1"/>
              </w:rPr>
              <w:t>Se considera que una variedad no es homogénea si no cumple el estándar de homogeneidad en ambos ciclos de cultivo.</w:t>
            </w:r>
          </w:p>
          <w:p w:rsidR="00BC36CE" w:rsidRPr="004C1B78" w:rsidRDefault="00BC36CE" w:rsidP="00BA3922">
            <w:pPr>
              <w:rPr>
                <w:rFonts w:eastAsia="SimSun"/>
                <w:color w:val="000000" w:themeColor="text1"/>
              </w:rPr>
            </w:pPr>
          </w:p>
          <w:p w:rsidR="00BC36CE" w:rsidRPr="004C1B78" w:rsidRDefault="00BC36CE" w:rsidP="00BA3922">
            <w:pPr>
              <w:keepNext/>
              <w:keepLines/>
              <w:rPr>
                <w:rFonts w:eastAsia="SimSun"/>
                <w:color w:val="000000" w:themeColor="text1"/>
              </w:rPr>
            </w:pPr>
            <w:r w:rsidRPr="004C1B78">
              <w:rPr>
                <w:color w:val="000000" w:themeColor="text1"/>
              </w:rP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el tamaño de muestra de los ciclos de cultivo 1 y 2 combinados.</w:t>
            </w:r>
          </w:p>
          <w:p w:rsidR="00BC36CE" w:rsidRPr="004C1B78" w:rsidRDefault="00BC36CE" w:rsidP="00BA3922">
            <w:pPr>
              <w:keepNext/>
              <w:keepLines/>
              <w:ind w:right="459"/>
              <w:rPr>
                <w:rFonts w:eastAsia="SimSun"/>
                <w:color w:val="000000" w:themeColor="text1"/>
              </w:rPr>
            </w:pPr>
          </w:p>
          <w:p w:rsidR="00BC36CE" w:rsidRPr="004C1B78" w:rsidRDefault="00BC36CE" w:rsidP="00BA3922">
            <w:pPr>
              <w:keepNext/>
              <w:keepLines/>
              <w:rPr>
                <w:rFonts w:eastAsia="SimSun"/>
                <w:color w:val="000000" w:themeColor="text1"/>
                <w:szCs w:val="24"/>
              </w:rPr>
            </w:pPr>
            <w:r w:rsidRPr="004C1B78">
              <w:rPr>
                <w:color w:val="000000" w:themeColor="text1"/>
              </w:rPr>
              <w:t xml:space="preserve">Es preciso poner cuidado al examinar resultados que sean muy diferentes en cada uno de los ciclos de cultivo, por ejemplo cuando se observe una gran abundancia de plantas fuera de tipo en un ciclo de cultivo y su ausencia en otro ciclo.  </w:t>
            </w:r>
            <w:r w:rsidRPr="004C1B78">
              <w:rPr>
                <w:color w:val="000000" w:themeColor="text1"/>
                <w:highlight w:val="lightGray"/>
                <w:u w:val="single"/>
              </w:rPr>
              <w:t>Cuando corresponda se debe llevar a cabo una prueba estadística para verificar la coherencia.</w:t>
            </w:r>
            <w:r w:rsidRPr="004C1B78">
              <w:rPr>
                <w:color w:val="000000" w:themeColor="text1"/>
                <w:u w:val="single"/>
              </w:rPr>
              <w:t xml:space="preserve">  </w:t>
            </w:r>
            <w:r w:rsidRPr="004C1B78">
              <w:rPr>
                <w:color w:val="000000" w:themeColor="text1"/>
                <w:highlight w:val="lightGray"/>
                <w:u w:val="single"/>
              </w:rPr>
              <w:t xml:space="preserve">Es importante determinar si las diferencias entre ciclos en cuanto al número de plantas fuera de tipo se deben a motivos biológicos o a las variaciones en la toma de muestras.  </w:t>
            </w:r>
            <w:r w:rsidR="00E056C2" w:rsidRPr="004C1B78">
              <w:rPr>
                <w:color w:val="000000" w:themeColor="text1"/>
              </w:rPr>
              <w:t xml:space="preserve">Además, </w:t>
            </w:r>
            <w:r w:rsidRPr="004C1B78">
              <w:rPr>
                <w:color w:val="000000" w:themeColor="text1"/>
              </w:rPr>
              <w:t>si una variedad supera en el primer ciclo de cultivo el número de plantas fuera de tipo permitido en dos ciclos de cultivo, podrá rechazarse la variedad tras un único ciclo de cultivo debido a una falta evidente de homogeneidad.</w:t>
            </w:r>
          </w:p>
          <w:p w:rsidR="00BC36CE" w:rsidRPr="004C1B78" w:rsidRDefault="00BC36CE" w:rsidP="00BA3922">
            <w:pPr>
              <w:keepNext/>
              <w:keepLines/>
              <w:rPr>
                <w:rFonts w:eastAsia="SimSun"/>
                <w:color w:val="000000" w:themeColor="text1"/>
                <w:szCs w:val="24"/>
              </w:rPr>
            </w:pPr>
          </w:p>
          <w:p w:rsidR="00BC36CE" w:rsidRPr="004C1B78" w:rsidRDefault="00BC36CE" w:rsidP="00BA3922">
            <w:pPr>
              <w:keepNext/>
              <w:ind w:left="34"/>
              <w:rPr>
                <w:b/>
                <w:bCs/>
                <w:color w:val="000000" w:themeColor="text1"/>
              </w:rPr>
            </w:pPr>
            <w:r w:rsidRPr="004C1B78">
              <w:rPr>
                <w:b/>
                <w:color w:val="000000" w:themeColor="text1"/>
              </w:rPr>
              <w:t>Método 3:  Combinar los resultados de dos ciclos de cultivo</w:t>
            </w:r>
          </w:p>
          <w:p w:rsidR="00BC36CE" w:rsidRPr="004C1B78" w:rsidRDefault="00BC36CE" w:rsidP="00BA3922">
            <w:pPr>
              <w:keepNext/>
              <w:ind w:left="34"/>
              <w:rPr>
                <w:color w:val="000000" w:themeColor="text1"/>
              </w:rPr>
            </w:pPr>
          </w:p>
          <w:p w:rsidR="00BC36CE" w:rsidRPr="004C1B78" w:rsidRDefault="00BC36CE" w:rsidP="00BA3922">
            <w:pPr>
              <w:ind w:left="34"/>
              <w:rPr>
                <w:color w:val="000000" w:themeColor="text1"/>
              </w:rPr>
            </w:pPr>
            <w:r w:rsidRPr="004C1B78">
              <w:rPr>
                <w:color w:val="000000" w:themeColor="text1"/>
              </w:rPr>
              <w:t>Se considera que una variedad es homogénea si el número total de plantas fuera de tipo al término de los dos ciclos de cultivo no supera el número permitido de plantas fuera de tipo en una muestra combinada.</w:t>
            </w:r>
          </w:p>
          <w:p w:rsidR="00BC36CE" w:rsidRPr="004C1B78" w:rsidRDefault="00BC36CE" w:rsidP="00BA3922">
            <w:pPr>
              <w:ind w:left="34"/>
              <w:rPr>
                <w:color w:val="000000" w:themeColor="text1"/>
              </w:rPr>
            </w:pPr>
          </w:p>
          <w:p w:rsidR="00BC36CE" w:rsidRPr="004C1B78" w:rsidRDefault="00BC36CE" w:rsidP="00BA3922">
            <w:pPr>
              <w:ind w:left="34"/>
              <w:rPr>
                <w:color w:val="000000" w:themeColor="text1"/>
              </w:rPr>
            </w:pPr>
            <w:r w:rsidRPr="004C1B78">
              <w:rPr>
                <w:color w:val="000000" w:themeColor="text1"/>
              </w:rPr>
              <w:t>Se considera que una variedad no es homogénea si el número total de plantas fuera de tipo al término de los dos ciclos de cultivo supera el número permitido de plantas fuera de tipo en una muestra combinada.</w:t>
            </w:r>
          </w:p>
          <w:p w:rsidR="00BC36CE" w:rsidRPr="004C1B78" w:rsidRDefault="00BC36CE" w:rsidP="00BA3922">
            <w:pPr>
              <w:ind w:left="34"/>
              <w:rPr>
                <w:color w:val="000000" w:themeColor="text1"/>
              </w:rPr>
            </w:pPr>
          </w:p>
          <w:p w:rsidR="00BC36CE" w:rsidRPr="004C1B78" w:rsidRDefault="00BC36CE" w:rsidP="00BA3922">
            <w:pPr>
              <w:ind w:left="34"/>
              <w:rPr>
                <w:color w:val="000000" w:themeColor="text1"/>
              </w:rPr>
            </w:pPr>
            <w:r w:rsidRPr="004C1B78">
              <w:rPr>
                <w:color w:val="000000" w:themeColor="text1"/>
              </w:rPr>
              <w:t>Podrá rechazarse una variedad tras un único ciclo de cultivo, si el número de plantas fuera de tipo supera el número permitido de plantas fuera de tipo en una muestra combinada (en dos ciclos de cultivo).</w:t>
            </w:r>
          </w:p>
          <w:p w:rsidR="00BC36CE" w:rsidRPr="004C1B78" w:rsidRDefault="00BC36CE" w:rsidP="00BA3922">
            <w:pPr>
              <w:keepNext/>
              <w:keepLines/>
              <w:ind w:left="34"/>
              <w:rPr>
                <w:color w:val="000000" w:themeColor="text1"/>
              </w:rPr>
            </w:pPr>
          </w:p>
          <w:p w:rsidR="00BC36CE" w:rsidRPr="004C1B78" w:rsidRDefault="00BC36CE" w:rsidP="00BA3922">
            <w:pPr>
              <w:keepNext/>
              <w:ind w:left="34"/>
              <w:rPr>
                <w:rFonts w:eastAsia="SimSun"/>
                <w:color w:val="000000" w:themeColor="text1"/>
                <w:szCs w:val="24"/>
              </w:rPr>
            </w:pPr>
            <w:r w:rsidRPr="004C1B78">
              <w:rPr>
                <w:color w:val="000000" w:themeColor="text1"/>
              </w:rPr>
              <w:t>Es preciso poner cuidado al examinar resultados que son muy diferentes en cada uno de los ciclos de cultivo, por ejemplo cuando se observa una gran abundancia de plantas fuera de tipo en un ciclo de cultivo y su ausencia en otro ciclo.</w:t>
            </w:r>
            <w:r w:rsidR="00E056C2" w:rsidRPr="004C1B78">
              <w:rPr>
                <w:color w:val="000000" w:themeColor="text1"/>
              </w:rPr>
              <w:t xml:space="preserve"> </w:t>
            </w:r>
            <w:r w:rsidRPr="004C1B78">
              <w:rPr>
                <w:color w:val="000000" w:themeColor="text1"/>
              </w:rPr>
              <w:t xml:space="preserve"> </w:t>
            </w:r>
            <w:r w:rsidRPr="004C1B78">
              <w:rPr>
                <w:color w:val="000000" w:themeColor="text1"/>
                <w:highlight w:val="lightGray"/>
                <w:u w:val="single"/>
              </w:rPr>
              <w:t>Cuando corresponda se debe</w:t>
            </w:r>
            <w:r w:rsidRPr="004C1B78">
              <w:rPr>
                <w:color w:val="000000" w:themeColor="text1"/>
              </w:rPr>
              <w:t xml:space="preserve"> </w:t>
            </w:r>
            <w:r w:rsidRPr="004C1B78">
              <w:rPr>
                <w:strike/>
                <w:color w:val="000000" w:themeColor="text1"/>
                <w:highlight w:val="lightGray"/>
              </w:rPr>
              <w:t>Se puede</w:t>
            </w:r>
            <w:r w:rsidR="00E056C2" w:rsidRPr="004C1B78">
              <w:rPr>
                <w:color w:val="000000" w:themeColor="text1"/>
              </w:rPr>
              <w:t xml:space="preserve"> </w:t>
            </w:r>
            <w:r w:rsidRPr="004C1B78">
              <w:rPr>
                <w:color w:val="000000" w:themeColor="text1"/>
                <w:highlight w:val="lightGray"/>
                <w:u w:val="single"/>
              </w:rPr>
              <w:t>llevar a cabo</w:t>
            </w:r>
            <w:r w:rsidRPr="004C1B78">
              <w:rPr>
                <w:color w:val="000000" w:themeColor="text1"/>
              </w:rPr>
              <w:t xml:space="preserve"> una prueba estadística para verificar la coherencia.  </w:t>
            </w:r>
            <w:r w:rsidRPr="004C1B78">
              <w:rPr>
                <w:color w:val="000000" w:themeColor="text1"/>
                <w:highlight w:val="lightGray"/>
                <w:u w:val="single"/>
              </w:rPr>
              <w:t xml:space="preserve">Es importante determinar si las diferencias entre ciclos en cuanto al número de plantas fuera de tipo se deben a motivos biológicos o a las variaciones en la toma de muestras. </w:t>
            </w:r>
          </w:p>
          <w:p w:rsidR="00BC36CE" w:rsidRPr="004C1B78" w:rsidRDefault="00BC36CE" w:rsidP="00BA3922">
            <w:pPr>
              <w:keepNext/>
              <w:keepLines/>
              <w:rPr>
                <w:rFonts w:eastAsia="SimSun"/>
                <w:color w:val="000000" w:themeColor="text1"/>
                <w:szCs w:val="24"/>
              </w:rPr>
            </w:pPr>
          </w:p>
          <w:p w:rsidR="00BC36CE" w:rsidRPr="004C1B78" w:rsidRDefault="00BC36CE" w:rsidP="00BA3922">
            <w:pPr>
              <w:keepNext/>
              <w:keepLines/>
              <w:jc w:val="left"/>
              <w:rPr>
                <w:color w:val="000000" w:themeColor="text1"/>
                <w:szCs w:val="24"/>
              </w:rPr>
            </w:pPr>
          </w:p>
          <w:p w:rsidR="00BC36CE" w:rsidRPr="004C1B78" w:rsidRDefault="00BC36CE" w:rsidP="00BA3922">
            <w:pPr>
              <w:keepNext/>
              <w:keepLines/>
              <w:jc w:val="left"/>
              <w:rPr>
                <w:color w:val="000000" w:themeColor="text1"/>
                <w:szCs w:val="24"/>
              </w:rPr>
            </w:pPr>
            <w:r w:rsidRPr="004C1B78">
              <w:rPr>
                <w:color w:val="000000" w:themeColor="text1"/>
              </w:rPr>
              <w:t>Ejemplo:</w:t>
            </w:r>
          </w:p>
          <w:p w:rsidR="00BC36CE" w:rsidRPr="004C1B78" w:rsidRDefault="00BC36CE" w:rsidP="00BA3922">
            <w:pPr>
              <w:keepNext/>
              <w:keepLines/>
              <w:jc w:val="left"/>
              <w:rPr>
                <w:color w:val="000000" w:themeColor="text1"/>
                <w:szCs w:val="24"/>
              </w:rPr>
            </w:pPr>
          </w:p>
          <w:tbl>
            <w:tblPr>
              <w:tblW w:w="9124" w:type="dxa"/>
              <w:tblInd w:w="600" w:type="dxa"/>
              <w:tblLayout w:type="fixed"/>
              <w:tblLook w:val="04A0" w:firstRow="1" w:lastRow="0" w:firstColumn="1" w:lastColumn="0" w:noHBand="0" w:noVBand="1"/>
            </w:tblPr>
            <w:tblGrid>
              <w:gridCol w:w="424"/>
              <w:gridCol w:w="696"/>
              <w:gridCol w:w="1134"/>
              <w:gridCol w:w="180"/>
              <w:gridCol w:w="954"/>
              <w:gridCol w:w="1807"/>
              <w:gridCol w:w="320"/>
              <w:gridCol w:w="1985"/>
              <w:gridCol w:w="1624"/>
            </w:tblGrid>
            <w:tr w:rsidR="00BC36CE" w:rsidRPr="004C1B78" w:rsidTr="00BA3922">
              <w:trPr>
                <w:gridAfter w:val="1"/>
                <w:wAfter w:w="1624" w:type="dxa"/>
                <w:trHeight w:val="255"/>
              </w:trPr>
              <w:tc>
                <w:tcPr>
                  <w:tcW w:w="1120" w:type="dxa"/>
                  <w:gridSpan w:val="2"/>
                  <w:tcBorders>
                    <w:top w:val="nil"/>
                    <w:left w:val="nil"/>
                    <w:bottom w:val="nil"/>
                  </w:tcBorders>
                  <w:shd w:val="clear" w:color="auto" w:fill="auto"/>
                  <w:noWrap/>
                  <w:vAlign w:val="bottom"/>
                </w:tcPr>
                <w:p w:rsidR="00BC36CE" w:rsidRPr="004C1B78" w:rsidRDefault="00BC36CE" w:rsidP="00BA3922">
                  <w:pPr>
                    <w:jc w:val="left"/>
                    <w:rPr>
                      <w:rFonts w:cs="Arial"/>
                      <w:color w:val="000000" w:themeColor="text1"/>
                    </w:rPr>
                  </w:pPr>
                </w:p>
              </w:tc>
              <w:tc>
                <w:tcPr>
                  <w:tcW w:w="6380" w:type="dxa"/>
                  <w:gridSpan w:val="6"/>
                  <w:tcBorders>
                    <w:top w:val="nil"/>
                  </w:tcBorders>
                  <w:shd w:val="clear" w:color="auto" w:fill="auto"/>
                  <w:vAlign w:val="bottom"/>
                </w:tcPr>
                <w:p w:rsidR="00BC36CE" w:rsidRPr="004C1B78" w:rsidRDefault="00BC36CE" w:rsidP="00BA3922">
                  <w:pPr>
                    <w:jc w:val="left"/>
                    <w:rPr>
                      <w:rFonts w:cs="Arial"/>
                      <w:color w:val="000000" w:themeColor="text1"/>
                    </w:rPr>
                  </w:pPr>
                  <w:r w:rsidRPr="004C1B78">
                    <w:rPr>
                      <w:color w:val="000000" w:themeColor="text1"/>
                    </w:rPr>
                    <w:t xml:space="preserve">Población estándar = 1% </w:t>
                  </w:r>
                </w:p>
              </w:tc>
            </w:tr>
            <w:tr w:rsidR="00BC36CE" w:rsidRPr="004C1B78" w:rsidTr="00BA3922">
              <w:trPr>
                <w:gridAfter w:val="1"/>
                <w:wAfter w:w="1624" w:type="dxa"/>
                <w:trHeight w:val="270"/>
              </w:trPr>
              <w:tc>
                <w:tcPr>
                  <w:tcW w:w="1120" w:type="dxa"/>
                  <w:gridSpan w:val="2"/>
                  <w:tcBorders>
                    <w:top w:val="nil"/>
                    <w:left w:val="nil"/>
                    <w:bottom w:val="nil"/>
                  </w:tcBorders>
                  <w:shd w:val="clear" w:color="auto" w:fill="auto"/>
                  <w:noWrap/>
                  <w:vAlign w:val="bottom"/>
                  <w:hideMark/>
                </w:tcPr>
                <w:p w:rsidR="00BC36CE" w:rsidRPr="004C1B78" w:rsidRDefault="00BC36CE" w:rsidP="00BA3922">
                  <w:pPr>
                    <w:jc w:val="left"/>
                    <w:rPr>
                      <w:rFonts w:cs="Arial"/>
                      <w:color w:val="000000" w:themeColor="text1"/>
                    </w:rPr>
                  </w:pPr>
                </w:p>
              </w:tc>
              <w:tc>
                <w:tcPr>
                  <w:tcW w:w="6380" w:type="dxa"/>
                  <w:gridSpan w:val="6"/>
                  <w:tcBorders>
                    <w:top w:val="nil"/>
                    <w:bottom w:val="single" w:sz="4" w:space="0" w:color="auto"/>
                  </w:tcBorders>
                  <w:shd w:val="clear" w:color="auto" w:fill="auto"/>
                  <w:vAlign w:val="bottom"/>
                </w:tcPr>
                <w:p w:rsidR="00BC36CE" w:rsidRPr="004C1B78" w:rsidRDefault="00BC36CE" w:rsidP="00BA3922">
                  <w:pPr>
                    <w:jc w:val="left"/>
                    <w:rPr>
                      <w:rFonts w:cs="Arial"/>
                      <w:color w:val="000000" w:themeColor="text1"/>
                    </w:rPr>
                  </w:pPr>
                  <w:r w:rsidRPr="004C1B78">
                    <w:rPr>
                      <w:color w:val="000000" w:themeColor="text1"/>
                    </w:rPr>
                    <w:t>Probabilidad de aceptación ≥ 95%</w:t>
                  </w:r>
                </w:p>
              </w:tc>
            </w:tr>
            <w:tr w:rsidR="00BC36CE" w:rsidRPr="004C1B78" w:rsidTr="00BA3922">
              <w:trPr>
                <w:gridBefore w:val="2"/>
                <w:gridAfter w:val="1"/>
                <w:wBefore w:w="1120"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BC36CE" w:rsidRPr="004C1B78" w:rsidRDefault="00BC36CE" w:rsidP="00BA3922">
                  <w:pPr>
                    <w:jc w:val="left"/>
                    <w:rPr>
                      <w:rFonts w:cs="Arial"/>
                      <w:color w:val="000000" w:themeColor="text1"/>
                    </w:rPr>
                  </w:pPr>
                  <w:r w:rsidRPr="004C1B78">
                    <w:rPr>
                      <w:color w:val="000000" w:themeColor="text1"/>
                    </w:rPr>
                    <w:t>Tamaño de la muestra en cada uno de los ciclos de cultivo 1 y 2 = 50</w:t>
                  </w:r>
                </w:p>
              </w:tc>
            </w:tr>
            <w:tr w:rsidR="00BC36CE" w:rsidRPr="004C1B78" w:rsidTr="00BA3922">
              <w:trPr>
                <w:gridBefore w:val="2"/>
                <w:gridAfter w:val="1"/>
                <w:wBefore w:w="1120"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BC36CE" w:rsidRPr="004C1B78" w:rsidRDefault="00BC36CE" w:rsidP="00BA3922">
                  <w:pPr>
                    <w:jc w:val="left"/>
                    <w:rPr>
                      <w:rFonts w:cs="Arial"/>
                      <w:color w:val="000000" w:themeColor="text1"/>
                    </w:rPr>
                  </w:pPr>
                  <w:r w:rsidRPr="004C1B78">
                    <w:rPr>
                      <w:color w:val="000000" w:themeColor="text1"/>
                    </w:rPr>
                    <w:t>Número máximo de plantas fuera de tipo = 2</w:t>
                  </w:r>
                </w:p>
              </w:tc>
            </w:tr>
            <w:tr w:rsidR="00BC36CE" w:rsidRPr="004C1B78" w:rsidTr="00BA3922">
              <w:trPr>
                <w:gridBefore w:val="2"/>
                <w:gridAfter w:val="1"/>
                <w:wBefore w:w="1120"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BC36CE" w:rsidRPr="004C1B78" w:rsidRDefault="00BC36CE" w:rsidP="00D12E9C">
                  <w:pPr>
                    <w:jc w:val="left"/>
                    <w:rPr>
                      <w:rFonts w:cs="Arial"/>
                      <w:color w:val="000000" w:themeColor="text1"/>
                    </w:rPr>
                  </w:pPr>
                  <w:r w:rsidRPr="004C1B78">
                    <w:rPr>
                      <w:color w:val="000000" w:themeColor="text1"/>
                    </w:rPr>
                    <w:t>Tamaño de la muestra en los ciclos de cultivo 1 y 2 combinados =</w:t>
                  </w:r>
                  <w:r w:rsidR="00D12E9C" w:rsidRPr="004C1B78">
                    <w:rPr>
                      <w:color w:val="000000" w:themeColor="text1"/>
                    </w:rPr>
                    <w:t> </w:t>
                  </w:r>
                  <w:r w:rsidRPr="004C1B78">
                    <w:rPr>
                      <w:color w:val="000000" w:themeColor="text1"/>
                    </w:rPr>
                    <w:t>100</w:t>
                  </w:r>
                </w:p>
              </w:tc>
            </w:tr>
            <w:tr w:rsidR="00BC36CE" w:rsidRPr="004C1B78" w:rsidTr="00BA3922">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BC36CE" w:rsidRPr="004C1B78" w:rsidRDefault="00BC36CE" w:rsidP="00BA3922">
                  <w:pPr>
                    <w:jc w:val="left"/>
                    <w:rPr>
                      <w:rFonts w:cs="Arial"/>
                      <w:color w:val="000000" w:themeColor="text1"/>
                    </w:rPr>
                  </w:pPr>
                  <w:r w:rsidRPr="004C1B78">
                    <w:rPr>
                      <w:color w:val="000000" w:themeColor="text1"/>
                    </w:rPr>
                    <w:t>Número máximo de plantas fuera de tipo = 3</w:t>
                  </w:r>
                </w:p>
              </w:tc>
            </w:tr>
            <w:tr w:rsidR="00BC36CE" w:rsidRPr="004C1B78" w:rsidTr="00BA3922">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C36CE" w:rsidRPr="004C1B78" w:rsidRDefault="00BC36CE" w:rsidP="00BA3922">
                  <w:pPr>
                    <w:jc w:val="left"/>
                    <w:rPr>
                      <w:rFonts w:cs="Arial"/>
                      <w:color w:val="000000" w:themeColor="text1"/>
                    </w:rPr>
                  </w:pPr>
                  <w:r w:rsidRPr="004C1B78">
                    <w:rPr>
                      <w:color w:val="000000" w:themeColor="text1"/>
                    </w:rPr>
                    <w:t> </w:t>
                  </w:r>
                </w:p>
              </w:tc>
              <w:tc>
                <w:tcPr>
                  <w:tcW w:w="954" w:type="dxa"/>
                  <w:tcBorders>
                    <w:top w:val="nil"/>
                    <w:left w:val="nil"/>
                    <w:bottom w:val="single" w:sz="4" w:space="0" w:color="auto"/>
                    <w:right w:val="nil"/>
                  </w:tcBorders>
                  <w:shd w:val="clear" w:color="auto" w:fill="auto"/>
                  <w:noWrap/>
                  <w:vAlign w:val="bottom"/>
                  <w:hideMark/>
                </w:tcPr>
                <w:p w:rsidR="00BC36CE" w:rsidRPr="004C1B78" w:rsidRDefault="00BC36CE" w:rsidP="00BA3922">
                  <w:pPr>
                    <w:jc w:val="left"/>
                    <w:rPr>
                      <w:rFonts w:cs="Arial"/>
                      <w:color w:val="000000" w:themeColor="text1"/>
                    </w:rPr>
                  </w:pPr>
                  <w:r w:rsidRPr="004C1B78">
                    <w:rPr>
                      <w:color w:val="000000" w:themeColor="text1"/>
                    </w:rPr>
                    <w:t> </w:t>
                  </w:r>
                </w:p>
              </w:tc>
              <w:tc>
                <w:tcPr>
                  <w:tcW w:w="1807" w:type="dxa"/>
                  <w:tcBorders>
                    <w:top w:val="nil"/>
                    <w:left w:val="nil"/>
                    <w:bottom w:val="single" w:sz="4" w:space="0" w:color="auto"/>
                    <w:right w:val="nil"/>
                  </w:tcBorders>
                  <w:shd w:val="clear" w:color="auto" w:fill="auto"/>
                  <w:noWrap/>
                  <w:vAlign w:val="bottom"/>
                  <w:hideMark/>
                </w:tcPr>
                <w:p w:rsidR="00BC36CE" w:rsidRPr="004C1B78" w:rsidRDefault="00BC36CE" w:rsidP="00BA3922">
                  <w:pPr>
                    <w:jc w:val="left"/>
                    <w:rPr>
                      <w:rFonts w:cs="Arial"/>
                      <w:color w:val="000000" w:themeColor="text1"/>
                    </w:rPr>
                  </w:pPr>
                  <w:r w:rsidRPr="004C1B78">
                    <w:rPr>
                      <w:color w:val="000000" w:themeColor="text1"/>
                    </w:rPr>
                    <w:t> </w:t>
                  </w:r>
                </w:p>
              </w:tc>
              <w:tc>
                <w:tcPr>
                  <w:tcW w:w="2305" w:type="dxa"/>
                  <w:gridSpan w:val="2"/>
                  <w:tcBorders>
                    <w:top w:val="nil"/>
                    <w:left w:val="nil"/>
                    <w:bottom w:val="single" w:sz="4" w:space="0" w:color="auto"/>
                  </w:tcBorders>
                  <w:shd w:val="clear" w:color="auto" w:fill="auto"/>
                  <w:noWrap/>
                  <w:vAlign w:val="bottom"/>
                  <w:hideMark/>
                </w:tcPr>
                <w:p w:rsidR="00BC36CE" w:rsidRPr="004C1B78" w:rsidRDefault="00BC36CE" w:rsidP="00BA3922">
                  <w:pPr>
                    <w:jc w:val="left"/>
                    <w:rPr>
                      <w:rFonts w:cs="Arial"/>
                      <w:color w:val="000000" w:themeColor="text1"/>
                    </w:rPr>
                  </w:pPr>
                  <w:r w:rsidRPr="004C1B78">
                    <w:rPr>
                      <w:color w:val="000000" w:themeColor="text1"/>
                    </w:rPr>
                    <w:t> </w:t>
                  </w:r>
                </w:p>
              </w:tc>
            </w:tr>
            <w:tr w:rsidR="00BC36CE" w:rsidRPr="004C1B78" w:rsidTr="00BA3922">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BC36CE" w:rsidRPr="004C1B78" w:rsidRDefault="00BC36CE" w:rsidP="00BA3922">
                  <w:pPr>
                    <w:jc w:val="left"/>
                    <w:rPr>
                      <w:rFonts w:cs="Arial"/>
                      <w:color w:val="000000" w:themeColor="text1"/>
                    </w:rPr>
                  </w:pPr>
                  <w:r w:rsidRPr="004C1B78">
                    <w:rPr>
                      <w:color w:val="000000" w:themeColor="text1"/>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Ciclo de cultivo</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BC36CE" w:rsidRPr="004C1B78" w:rsidRDefault="00BC36CE" w:rsidP="00BA3922">
                  <w:pPr>
                    <w:jc w:val="center"/>
                    <w:rPr>
                      <w:color w:val="000000" w:themeColor="text1"/>
                    </w:rPr>
                  </w:pPr>
                  <w:r w:rsidRPr="004C1B78">
                    <w:rPr>
                      <w:color w:val="000000" w:themeColor="text1"/>
                    </w:rPr>
                    <w:t>Decisión</w:t>
                  </w:r>
                </w:p>
              </w:tc>
            </w:tr>
            <w:tr w:rsidR="00BC36CE" w:rsidRPr="004C1B78" w:rsidTr="00BA3922">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BC36CE" w:rsidRPr="004C1B78" w:rsidRDefault="00BC36CE" w:rsidP="00BA3922">
                  <w:pPr>
                    <w:jc w:val="left"/>
                    <w:rPr>
                      <w:rFonts w:cs="Arial"/>
                      <w:color w:val="000000" w:themeColor="text1"/>
                    </w:rPr>
                  </w:pPr>
                  <w:r w:rsidRPr="004C1B78">
                    <w:rPr>
                      <w:color w:val="000000" w:themeColor="text1"/>
                    </w:rPr>
                    <w:t> </w:t>
                  </w:r>
                </w:p>
              </w:tc>
              <w:tc>
                <w:tcPr>
                  <w:tcW w:w="1134" w:type="dxa"/>
                  <w:tcBorders>
                    <w:top w:val="nil"/>
                    <w:left w:val="nil"/>
                    <w:bottom w:val="single" w:sz="4" w:space="0" w:color="auto"/>
                    <w:right w:val="single" w:sz="4" w:space="0" w:color="auto"/>
                  </w:tcBorders>
                  <w:shd w:val="clear" w:color="auto" w:fill="auto"/>
                  <w:noWrap/>
                  <w:vAlign w:val="bottom"/>
                  <w:hideMark/>
                </w:tcPr>
                <w:p w:rsidR="00BC36CE" w:rsidRPr="004C1B78" w:rsidRDefault="00BC36CE" w:rsidP="00BA3922">
                  <w:pPr>
                    <w:spacing w:after="100" w:afterAutospacing="1"/>
                    <w:jc w:val="center"/>
                    <w:rPr>
                      <w:rFonts w:cs="Arial"/>
                      <w:color w:val="000000" w:themeColor="text1"/>
                    </w:rPr>
                  </w:pPr>
                  <w:r w:rsidRPr="004C1B78">
                    <w:rPr>
                      <w:color w:val="000000" w:themeColor="text1"/>
                    </w:rPr>
                    <w:t>Primero</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Segundo</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Método 1</w:t>
                  </w:r>
                </w:p>
              </w:tc>
              <w:tc>
                <w:tcPr>
                  <w:tcW w:w="1985" w:type="dxa"/>
                  <w:tcBorders>
                    <w:top w:val="nil"/>
                    <w:left w:val="nil"/>
                    <w:bottom w:val="single" w:sz="4" w:space="0" w:color="auto"/>
                    <w:right w:val="single" w:sz="4"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Método 2</w:t>
                  </w:r>
                </w:p>
              </w:tc>
              <w:tc>
                <w:tcPr>
                  <w:tcW w:w="1624" w:type="dxa"/>
                  <w:tcBorders>
                    <w:top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Método 3</w:t>
                  </w:r>
                </w:p>
              </w:tc>
            </w:tr>
            <w:tr w:rsidR="00BC36CE" w:rsidRPr="004C1B78" w:rsidTr="00BA3922">
              <w:trPr>
                <w:gridBefore w:val="1"/>
                <w:wBefore w:w="424" w:type="dxa"/>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BC36CE" w:rsidRPr="004C1B78" w:rsidRDefault="00BC36CE" w:rsidP="00BA3922">
                  <w:pPr>
                    <w:jc w:val="center"/>
                    <w:rPr>
                      <w:rFonts w:cs="Arial"/>
                      <w:color w:val="000000" w:themeColor="text1"/>
                    </w:rPr>
                  </w:pPr>
                  <w:r w:rsidRPr="004C1B78">
                    <w:rPr>
                      <w:color w:val="000000" w:themeColor="text1"/>
                    </w:rPr>
                    <w:t>Número de plantas  fuera de tipo</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BC36CE" w:rsidRPr="004C1B78" w:rsidRDefault="00BC36CE" w:rsidP="00BA3922">
                  <w:pPr>
                    <w:jc w:val="center"/>
                    <w:rPr>
                      <w:rFonts w:cs="Arial"/>
                      <w:color w:val="000000" w:themeColor="text1"/>
                    </w:rPr>
                  </w:pPr>
                  <w:r w:rsidRPr="004C1B78">
                    <w:rPr>
                      <w:color w:val="000000" w:themeColor="text1"/>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BC36CE" w:rsidRPr="004C1B78" w:rsidRDefault="00BC36CE" w:rsidP="00BA3922">
                  <w:pPr>
                    <w:jc w:val="center"/>
                    <w:rPr>
                      <w:rFonts w:cs="Arial"/>
                      <w:color w:val="000000" w:themeColor="text1"/>
                    </w:rPr>
                  </w:pPr>
                  <w:r w:rsidRPr="004C1B78">
                    <w:rPr>
                      <w:color w:val="000000" w:themeColor="text1"/>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BC36CE" w:rsidRPr="004C1B78" w:rsidRDefault="00BC36CE" w:rsidP="00BA3922">
                  <w:pPr>
                    <w:jc w:val="center"/>
                    <w:rPr>
                      <w:rFonts w:cs="Arial"/>
                      <w:color w:val="000000" w:themeColor="text1"/>
                    </w:rPr>
                  </w:pPr>
                  <w:r w:rsidRPr="004C1B78">
                    <w:rPr>
                      <w:color w:val="000000" w:themeColor="text1"/>
                    </w:rPr>
                    <w:t>homogénea</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BC36CE" w:rsidRPr="004C1B78" w:rsidRDefault="00BC36CE" w:rsidP="00BA3922">
                  <w:pPr>
                    <w:jc w:val="center"/>
                    <w:rPr>
                      <w:rFonts w:cs="Arial"/>
                      <w:color w:val="000000" w:themeColor="text1"/>
                    </w:rPr>
                  </w:pPr>
                  <w:r w:rsidRPr="004C1B78">
                    <w:rPr>
                      <w:color w:val="000000" w:themeColor="text1"/>
                    </w:rPr>
                    <w:t>homogénea</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homogénea</w:t>
                  </w:r>
                </w:p>
              </w:tc>
            </w:tr>
            <w:tr w:rsidR="00BC36CE" w:rsidRPr="004C1B78" w:rsidTr="00BA3922">
              <w:trPr>
                <w:gridBefore w:val="1"/>
                <w:wBefore w:w="424" w:type="dxa"/>
                <w:trHeight w:val="240"/>
              </w:trPr>
              <w:tc>
                <w:tcPr>
                  <w:tcW w:w="696" w:type="dxa"/>
                  <w:vMerge/>
                  <w:tcBorders>
                    <w:left w:val="single" w:sz="4" w:space="0" w:color="auto"/>
                    <w:right w:val="single" w:sz="4" w:space="0" w:color="auto"/>
                  </w:tcBorders>
                  <w:shd w:val="clear" w:color="auto" w:fill="auto"/>
                  <w:textDirection w:val="btLr"/>
                  <w:vAlign w:val="center"/>
                  <w:hideMark/>
                </w:tcPr>
                <w:p w:rsidR="00BC36CE" w:rsidRPr="004C1B78" w:rsidRDefault="00BC36CE" w:rsidP="00BA3922">
                  <w:pPr>
                    <w:jc w:val="center"/>
                    <w:rPr>
                      <w:rFonts w:cs="Arial"/>
                      <w:color w:val="000000" w:themeColor="text1"/>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homogénea</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homogénea</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no homogénea</w:t>
                  </w:r>
                </w:p>
              </w:tc>
            </w:tr>
            <w:tr w:rsidR="00BC36CE" w:rsidRPr="004C1B78" w:rsidTr="00BA3922">
              <w:trPr>
                <w:gridBefore w:val="1"/>
                <w:wBefore w:w="424" w:type="dxa"/>
                <w:trHeight w:val="273"/>
              </w:trPr>
              <w:tc>
                <w:tcPr>
                  <w:tcW w:w="696" w:type="dxa"/>
                  <w:vMerge/>
                  <w:tcBorders>
                    <w:left w:val="single" w:sz="4" w:space="0" w:color="auto"/>
                    <w:right w:val="single" w:sz="4" w:space="0" w:color="000000"/>
                  </w:tcBorders>
                  <w:vAlign w:val="center"/>
                  <w:hideMark/>
                </w:tcPr>
                <w:p w:rsidR="00BC36CE" w:rsidRPr="004C1B78" w:rsidRDefault="00BC36CE" w:rsidP="00BA3922">
                  <w:pPr>
                    <w:jc w:val="left"/>
                    <w:rPr>
                      <w:rFonts w:cs="Arial"/>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C36CE" w:rsidRPr="004C1B78" w:rsidRDefault="00BC36CE" w:rsidP="00BA3922">
                  <w:pPr>
                    <w:rPr>
                      <w:rFonts w:cs="Arial"/>
                      <w:color w:val="000000" w:themeColor="text1"/>
                    </w:rPr>
                  </w:pPr>
                  <w:r w:rsidRPr="004C1B78">
                    <w:rPr>
                      <w:color w:val="000000" w:themeColor="text1"/>
                    </w:rPr>
                    <w:t>tercer ciclo de cultivo*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homogénea*</w:t>
                  </w:r>
                </w:p>
              </w:tc>
              <w:tc>
                <w:tcPr>
                  <w:tcW w:w="1624" w:type="dxa"/>
                  <w:tcBorders>
                    <w:top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homogénea*</w:t>
                  </w:r>
                </w:p>
              </w:tc>
            </w:tr>
            <w:tr w:rsidR="00BC36CE" w:rsidRPr="004C1B78" w:rsidTr="00BA3922">
              <w:trPr>
                <w:gridBefore w:val="1"/>
                <w:wBefore w:w="424" w:type="dxa"/>
                <w:trHeight w:val="248"/>
              </w:trPr>
              <w:tc>
                <w:tcPr>
                  <w:tcW w:w="696" w:type="dxa"/>
                  <w:vMerge/>
                  <w:tcBorders>
                    <w:left w:val="single" w:sz="4" w:space="0" w:color="auto"/>
                    <w:right w:val="single" w:sz="4" w:space="0" w:color="auto"/>
                  </w:tcBorders>
                  <w:vAlign w:val="center"/>
                  <w:hideMark/>
                </w:tcPr>
                <w:p w:rsidR="00BC36CE" w:rsidRPr="004C1B78" w:rsidRDefault="00BC36CE" w:rsidP="00BA3922">
                  <w:pPr>
                    <w:jc w:val="left"/>
                    <w:rPr>
                      <w:rFonts w:cs="Arial"/>
                      <w:color w:val="000000" w:themeColor="text1"/>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BC36CE" w:rsidRPr="004C1B78" w:rsidRDefault="00BC36CE" w:rsidP="00BA3922">
                  <w:pPr>
                    <w:rPr>
                      <w:rFonts w:cs="Arial"/>
                      <w:color w:val="000000" w:themeColor="text1"/>
                    </w:rPr>
                  </w:pPr>
                  <w:r w:rsidRPr="004C1B78">
                    <w:rPr>
                      <w:color w:val="000000" w:themeColor="text1"/>
                    </w:rPr>
                    <w:t>tercer ciclo de cultivo*</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no homogénea*</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no homogénea*</w:t>
                  </w:r>
                </w:p>
              </w:tc>
            </w:tr>
            <w:tr w:rsidR="00BC36CE" w:rsidRPr="004C1B78" w:rsidTr="00BA3922">
              <w:trPr>
                <w:gridBefore w:val="1"/>
                <w:wBefore w:w="424" w:type="dxa"/>
                <w:trHeight w:val="267"/>
              </w:trPr>
              <w:tc>
                <w:tcPr>
                  <w:tcW w:w="696" w:type="dxa"/>
                  <w:vMerge/>
                  <w:tcBorders>
                    <w:left w:val="single" w:sz="4" w:space="0" w:color="auto"/>
                    <w:right w:val="single" w:sz="4" w:space="0" w:color="000000"/>
                  </w:tcBorders>
                  <w:vAlign w:val="center"/>
                  <w:hideMark/>
                </w:tcPr>
                <w:p w:rsidR="00BC36CE" w:rsidRPr="004C1B78" w:rsidRDefault="00BC36CE" w:rsidP="00BA3922">
                  <w:pPr>
                    <w:jc w:val="left"/>
                    <w:rPr>
                      <w:rFonts w:cs="Arial"/>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C36CE" w:rsidRPr="004C1B78" w:rsidRDefault="00BC36CE" w:rsidP="00BA3922">
                  <w:pPr>
                    <w:ind w:left="49"/>
                    <w:jc w:val="center"/>
                    <w:rPr>
                      <w:rFonts w:cs="Arial"/>
                      <w:color w:val="000000" w:themeColor="text1"/>
                    </w:rPr>
                  </w:pPr>
                  <w:r w:rsidRPr="004C1B78">
                    <w:rPr>
                      <w:color w:val="000000" w:themeColor="text1"/>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BC36CE" w:rsidRPr="004C1B78" w:rsidRDefault="00BC36CE" w:rsidP="00BA3922">
                  <w:pPr>
                    <w:rPr>
                      <w:rFonts w:cs="Arial"/>
                      <w:color w:val="000000" w:themeColor="text1"/>
                    </w:rPr>
                  </w:pPr>
                  <w:r w:rsidRPr="004C1B78">
                    <w:rPr>
                      <w:color w:val="000000" w:themeColor="text1"/>
                    </w:rPr>
                    <w:t>tercer ciclo de cultivo*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C36CE" w:rsidRPr="004C1B78" w:rsidRDefault="00BC36CE" w:rsidP="00BA3922">
                  <w:pPr>
                    <w:jc w:val="center"/>
                    <w:rPr>
                      <w:rFonts w:cs="Arial"/>
                      <w:color w:val="000000" w:themeColor="text1"/>
                    </w:rPr>
                  </w:pPr>
                  <w:r w:rsidRPr="004C1B78">
                    <w:rPr>
                      <w:color w:val="000000" w:themeColor="text1"/>
                    </w:rPr>
                    <w:t>no homogénea*</w:t>
                  </w:r>
                </w:p>
              </w:tc>
              <w:tc>
                <w:tcPr>
                  <w:tcW w:w="1624" w:type="dxa"/>
                  <w:tcBorders>
                    <w:top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no homogénea*</w:t>
                  </w:r>
                </w:p>
              </w:tc>
            </w:tr>
            <w:tr w:rsidR="00BC36CE" w:rsidRPr="004C1B78" w:rsidTr="00BA3922">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BC36CE" w:rsidRPr="004C1B78" w:rsidRDefault="00BC36CE" w:rsidP="00BA3922">
                  <w:pPr>
                    <w:jc w:val="left"/>
                    <w:rPr>
                      <w:rFonts w:cs="Arial"/>
                      <w:color w:val="000000" w:themeColor="text1"/>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BC36CE" w:rsidRPr="004C1B78" w:rsidRDefault="00BC36CE" w:rsidP="00BA3922">
                  <w:pPr>
                    <w:ind w:left="49"/>
                    <w:jc w:val="center"/>
                    <w:rPr>
                      <w:rFonts w:cs="Arial"/>
                      <w:color w:val="000000" w:themeColor="text1"/>
                    </w:rPr>
                  </w:pPr>
                  <w:r w:rsidRPr="004C1B78">
                    <w:rPr>
                      <w:color w:val="000000" w:themeColor="text1"/>
                    </w:rPr>
                    <w:t>4</w:t>
                  </w:r>
                  <w:r w:rsidRPr="004C1B78">
                    <w:rPr>
                      <w:color w:val="000000" w:themeColor="text1"/>
                      <w:highlight w:val="lightGray"/>
                      <w:u w:val="single"/>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BC36CE" w:rsidRPr="004C1B78" w:rsidRDefault="00BC36CE" w:rsidP="00BA3922">
                  <w:pPr>
                    <w:ind w:right="-123"/>
                    <w:jc w:val="center"/>
                    <w:rPr>
                      <w:rFonts w:cs="Arial"/>
                      <w:color w:val="000000" w:themeColor="text1"/>
                    </w:rPr>
                  </w:pPr>
                  <w:r w:rsidRPr="004C1B78">
                    <w:rPr>
                      <w:color w:val="000000" w:themeColor="text1"/>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BC36CE" w:rsidRPr="004C1B78" w:rsidRDefault="00BC36CE" w:rsidP="00E056C2">
                  <w:pPr>
                    <w:ind w:right="-122"/>
                    <w:rPr>
                      <w:rFonts w:cs="Arial"/>
                      <w:color w:val="000000" w:themeColor="text1"/>
                    </w:rPr>
                  </w:pPr>
                  <w:r w:rsidRPr="004C1B78">
                    <w:rPr>
                      <w:color w:val="000000" w:themeColor="text1"/>
                    </w:rPr>
                    <w:t>tercer ciclo de cultivo*</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BC36CE" w:rsidRPr="004C1B78" w:rsidRDefault="00BC36CE" w:rsidP="00BA3922">
                  <w:pPr>
                    <w:jc w:val="center"/>
                    <w:rPr>
                      <w:rFonts w:cs="Arial"/>
                      <w:color w:val="000000" w:themeColor="text1"/>
                    </w:rPr>
                  </w:pPr>
                  <w:r w:rsidRPr="004C1B78">
                    <w:rPr>
                      <w:color w:val="000000" w:themeColor="text1"/>
                    </w:rPr>
                    <w:t>no homogénea*</w:t>
                  </w:r>
                </w:p>
              </w:tc>
              <w:tc>
                <w:tcPr>
                  <w:tcW w:w="1624" w:type="dxa"/>
                  <w:tcBorders>
                    <w:top w:val="single" w:sz="4" w:space="0" w:color="auto"/>
                    <w:bottom w:val="single" w:sz="4" w:space="0" w:color="auto"/>
                    <w:right w:val="single" w:sz="4" w:space="0" w:color="auto"/>
                  </w:tcBorders>
                  <w:shd w:val="clear" w:color="auto" w:fill="auto"/>
                </w:tcPr>
                <w:p w:rsidR="00BC36CE" w:rsidRPr="004C1B78" w:rsidRDefault="00BC36CE" w:rsidP="00BA3922">
                  <w:pPr>
                    <w:jc w:val="center"/>
                    <w:rPr>
                      <w:color w:val="000000" w:themeColor="text1"/>
                    </w:rPr>
                  </w:pPr>
                  <w:r w:rsidRPr="004C1B78">
                    <w:rPr>
                      <w:color w:val="000000" w:themeColor="text1"/>
                    </w:rPr>
                    <w:t>no homogénea*</w:t>
                  </w:r>
                </w:p>
              </w:tc>
            </w:tr>
          </w:tbl>
          <w:p w:rsidR="00BC36CE" w:rsidRPr="004C1B78" w:rsidRDefault="00BC36CE" w:rsidP="00BA3922">
            <w:pPr>
              <w:pStyle w:val="Titleofdoc0"/>
              <w:spacing w:before="0"/>
              <w:jc w:val="both"/>
              <w:rPr>
                <w:color w:val="000000" w:themeColor="text1"/>
                <w:sz w:val="12"/>
                <w:szCs w:val="24"/>
              </w:rPr>
            </w:pPr>
          </w:p>
          <w:p w:rsidR="00BC36CE" w:rsidRPr="004C1B78" w:rsidRDefault="00BC36CE" w:rsidP="00BA3922">
            <w:pPr>
              <w:keepNext/>
              <w:keepLines/>
              <w:ind w:left="34"/>
              <w:rPr>
                <w:color w:val="000000" w:themeColor="text1"/>
                <w:sz w:val="18"/>
                <w:u w:val="single"/>
              </w:rPr>
            </w:pPr>
            <w:r w:rsidRPr="004C1B78">
              <w:rPr>
                <w:color w:val="000000" w:themeColor="text1"/>
                <w:sz w:val="18"/>
              </w:rPr>
              <w:t xml:space="preserve">* Es preciso poner cuidado al examinar resultados que sean muy diferentes en cada uno de los ciclos de cultivo, por ejemplo cuando se observe una gran abundancia de plantas fuera de tipo en un ciclo de cultivo y su ausencia en otro ciclo.  </w:t>
            </w:r>
            <w:r w:rsidRPr="004C1B78">
              <w:rPr>
                <w:color w:val="000000" w:themeColor="text1"/>
                <w:sz w:val="18"/>
                <w:highlight w:val="lightGray"/>
                <w:u w:val="single"/>
              </w:rPr>
              <w:t>Cuando corresponda se debe llevar a cabo una prueba estadística para verificar la coherencia.</w:t>
            </w:r>
            <w:r w:rsidRPr="004C1B78">
              <w:rPr>
                <w:color w:val="000000" w:themeColor="text1"/>
                <w:sz w:val="18"/>
                <w:u w:val="single"/>
              </w:rPr>
              <w:t xml:space="preserve">  </w:t>
            </w:r>
            <w:r w:rsidRPr="004C1B78">
              <w:rPr>
                <w:color w:val="000000" w:themeColor="text1"/>
                <w:sz w:val="18"/>
                <w:highlight w:val="lightGray"/>
                <w:u w:val="single"/>
              </w:rPr>
              <w:t>Es importante determinar si las diferencias entre ciclos en cuanto al número de plantas fuera de tipo se deben a motivos biológicos o a las variaciones en la toma de muestras.</w:t>
            </w:r>
          </w:p>
          <w:p w:rsidR="00BC36CE" w:rsidRPr="004C1B78" w:rsidRDefault="00BC36CE" w:rsidP="00BA3922">
            <w:pPr>
              <w:keepNext/>
              <w:keepLines/>
              <w:ind w:left="34"/>
              <w:rPr>
                <w:color w:val="000000" w:themeColor="text1"/>
                <w:sz w:val="18"/>
                <w:u w:val="single"/>
              </w:rPr>
            </w:pPr>
          </w:p>
          <w:p w:rsidR="00BC36CE" w:rsidRPr="004C1B78" w:rsidRDefault="00BC36CE" w:rsidP="00BA3922">
            <w:pPr>
              <w:keepNext/>
              <w:keepLines/>
              <w:ind w:left="34"/>
              <w:rPr>
                <w:rFonts w:eastAsia="SimSun"/>
                <w:color w:val="000000" w:themeColor="text1"/>
                <w:sz w:val="18"/>
              </w:rPr>
            </w:pPr>
            <w:r w:rsidRPr="004C1B78">
              <w:rPr>
                <w:color w:val="000000" w:themeColor="text1"/>
                <w:sz w:val="18"/>
                <w:highlight w:val="lightGray"/>
                <w:u w:val="single"/>
              </w:rPr>
              <w:t>** Si una variedad supera en el primer ciclo de cultivo el número de plantas fuera de tipo permitido en dos ciclos de cultivo, podrá rechazarse la variedad tras un único ciclo de cultivo.</w:t>
            </w:r>
          </w:p>
        </w:tc>
      </w:tr>
    </w:tbl>
    <w:p w:rsidR="00BC36CE" w:rsidRPr="004C1B78" w:rsidRDefault="00BC36CE" w:rsidP="00BC36CE">
      <w:pPr>
        <w:jc w:val="left"/>
        <w:rPr>
          <w:color w:val="000000" w:themeColor="text1"/>
        </w:rPr>
      </w:pPr>
    </w:p>
    <w:p w:rsidR="00BC36CE" w:rsidRPr="004C1B78" w:rsidRDefault="00BC36CE" w:rsidP="00BC36CE">
      <w:pPr>
        <w:jc w:val="left"/>
        <w:rPr>
          <w:color w:val="000000" w:themeColor="text1"/>
        </w:rPr>
      </w:pPr>
    </w:p>
    <w:p w:rsidR="00BC36CE" w:rsidRPr="004C1B78" w:rsidRDefault="00BC36CE" w:rsidP="00BC36CE">
      <w:pPr>
        <w:jc w:val="left"/>
        <w:rPr>
          <w:color w:val="000000" w:themeColor="text1"/>
        </w:rPr>
      </w:pPr>
    </w:p>
    <w:p w:rsidR="00BC36CE" w:rsidRPr="004C1B78" w:rsidRDefault="00E95C60" w:rsidP="00BC36CE">
      <w:pPr>
        <w:jc w:val="right"/>
        <w:rPr>
          <w:rFonts w:eastAsia="MS Mincho"/>
          <w:color w:val="000000" w:themeColor="text1"/>
        </w:rPr>
      </w:pPr>
      <w:r>
        <w:rPr>
          <w:color w:val="000000" w:themeColor="text1"/>
        </w:rPr>
        <w:t>[</w:t>
      </w:r>
      <w:r w:rsidR="00BC36CE" w:rsidRPr="004C1B78">
        <w:rPr>
          <w:color w:val="000000" w:themeColor="text1"/>
        </w:rPr>
        <w:t>Sigue el Anexo II]</w:t>
      </w:r>
    </w:p>
    <w:p w:rsidR="00BC36CE" w:rsidRPr="004C1B78" w:rsidRDefault="00BC36CE" w:rsidP="00BC36CE">
      <w:pPr>
        <w:jc w:val="right"/>
        <w:rPr>
          <w:rFonts w:eastAsia="MS Mincho"/>
          <w:color w:val="000000" w:themeColor="text1"/>
        </w:rPr>
      </w:pPr>
    </w:p>
    <w:p w:rsidR="00BC36CE" w:rsidRPr="004C1B78" w:rsidRDefault="00BC36CE" w:rsidP="00BC36CE">
      <w:pPr>
        <w:jc w:val="left"/>
        <w:rPr>
          <w:color w:val="000000" w:themeColor="text1"/>
        </w:rPr>
      </w:pPr>
    </w:p>
    <w:p w:rsidR="00BC36CE" w:rsidRPr="004C1B78" w:rsidRDefault="00BC36CE" w:rsidP="00BC36CE">
      <w:pPr>
        <w:jc w:val="right"/>
        <w:rPr>
          <w:color w:val="000000" w:themeColor="text1"/>
        </w:rPr>
        <w:sectPr w:rsidR="00BC36CE" w:rsidRPr="004C1B78" w:rsidSect="00BA3922">
          <w:headerReference w:type="default" r:id="rId12"/>
          <w:headerReference w:type="first" r:id="rId13"/>
          <w:pgSz w:w="11907" w:h="16840" w:code="9"/>
          <w:pgMar w:top="510" w:right="1134" w:bottom="993"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C36CE" w:rsidRPr="004C1B78" w:rsidTr="00BA3922">
        <w:trPr>
          <w:trHeight w:val="350"/>
        </w:trPr>
        <w:tc>
          <w:tcPr>
            <w:tcW w:w="9639" w:type="dxa"/>
          </w:tcPr>
          <w:p w:rsidR="00BC36CE" w:rsidRPr="004C1B78" w:rsidRDefault="00BC36CE" w:rsidP="00BA3922">
            <w:pPr>
              <w:autoSpaceDE w:val="0"/>
              <w:autoSpaceDN w:val="0"/>
              <w:adjustRightInd w:val="0"/>
              <w:jc w:val="center"/>
              <w:rPr>
                <w:rFonts w:eastAsia="SimSun"/>
                <w:color w:val="000000" w:themeColor="text1"/>
                <w:szCs w:val="24"/>
              </w:rPr>
            </w:pPr>
          </w:p>
          <w:p w:rsidR="00BC36CE" w:rsidRPr="004C1B78" w:rsidRDefault="00BC36CE" w:rsidP="00BA3922">
            <w:pPr>
              <w:autoSpaceDE w:val="0"/>
              <w:autoSpaceDN w:val="0"/>
              <w:adjustRightInd w:val="0"/>
              <w:jc w:val="center"/>
              <w:rPr>
                <w:color w:val="000000" w:themeColor="text1"/>
                <w:szCs w:val="24"/>
              </w:rPr>
            </w:pPr>
            <w:r w:rsidRPr="004C1B78">
              <w:rPr>
                <w:color w:val="000000" w:themeColor="text1"/>
              </w:rPr>
              <w:t>SITUACIÓN:  EVALUACIÓN DE LA HOMOGENEIDAD DE LAS PLANTAS FUERA DE TIPO MEDIANTE LA OBSERVACIÓN DE SUBMUESTRAS EN UN ÚNICO EXAMEN O ENSAYO</w:t>
            </w:r>
          </w:p>
          <w:p w:rsidR="00BC36CE" w:rsidRPr="004C1B78" w:rsidRDefault="00BC36CE" w:rsidP="00BA3922">
            <w:pPr>
              <w:autoSpaceDE w:val="0"/>
              <w:autoSpaceDN w:val="0"/>
              <w:adjustRightInd w:val="0"/>
              <w:jc w:val="center"/>
              <w:rPr>
                <w:rFonts w:eastAsia="SimSun"/>
                <w:color w:val="000000" w:themeColor="text1"/>
                <w:szCs w:val="24"/>
              </w:rPr>
            </w:pPr>
          </w:p>
        </w:tc>
      </w:tr>
      <w:tr w:rsidR="00BC36CE" w:rsidRPr="004C1B78" w:rsidTr="00BA3922">
        <w:trPr>
          <w:trHeight w:val="6949"/>
        </w:trPr>
        <w:tc>
          <w:tcPr>
            <w:tcW w:w="9639" w:type="dxa"/>
          </w:tcPr>
          <w:p w:rsidR="00BC36CE" w:rsidRPr="004C1B78" w:rsidRDefault="00BC36CE" w:rsidP="00BA3922">
            <w:pPr>
              <w:rPr>
                <w:color w:val="000000" w:themeColor="text1"/>
              </w:rPr>
            </w:pPr>
          </w:p>
          <w:p w:rsidR="00BC36CE" w:rsidRPr="004C1B78" w:rsidRDefault="00BC36CE" w:rsidP="00BA3922">
            <w:pPr>
              <w:rPr>
                <w:b/>
                <w:color w:val="000000" w:themeColor="text1"/>
              </w:rPr>
            </w:pPr>
            <w:r w:rsidRPr="004C1B78">
              <w:rPr>
                <w:b/>
                <w:color w:val="000000" w:themeColor="text1"/>
              </w:rPr>
              <w:t xml:space="preserve">Método:  Utilización de una </w:t>
            </w:r>
            <w:proofErr w:type="spellStart"/>
            <w:r w:rsidRPr="004C1B78">
              <w:rPr>
                <w:b/>
                <w:color w:val="000000" w:themeColor="text1"/>
              </w:rPr>
              <w:t>submuestra</w:t>
            </w:r>
            <w:proofErr w:type="spellEnd"/>
            <w:r w:rsidRPr="004C1B78">
              <w:rPr>
                <w:b/>
                <w:color w:val="000000" w:themeColor="text1"/>
              </w:rPr>
              <w:t xml:space="preserve"> como primera etapa de la evaluación</w:t>
            </w:r>
          </w:p>
          <w:p w:rsidR="00BC36CE" w:rsidRPr="004C1B78" w:rsidRDefault="00BC36CE" w:rsidP="00BA3922">
            <w:pPr>
              <w:rPr>
                <w:b/>
                <w:color w:val="000000" w:themeColor="text1"/>
              </w:rPr>
            </w:pPr>
          </w:p>
          <w:p w:rsidR="00BC36CE" w:rsidRPr="004C1B78" w:rsidRDefault="00BC36CE" w:rsidP="00BA3922">
            <w:pPr>
              <w:rPr>
                <w:color w:val="000000" w:themeColor="text1"/>
              </w:rPr>
            </w:pPr>
            <w:r w:rsidRPr="004C1B78">
              <w:rPr>
                <w:color w:val="000000" w:themeColor="text1"/>
              </w:rPr>
              <w:t xml:space="preserve">Una variedad se considera homogénea si el número de plantas fuera de tipo en la </w:t>
            </w:r>
            <w:proofErr w:type="spellStart"/>
            <w:r w:rsidRPr="004C1B78">
              <w:rPr>
                <w:color w:val="000000" w:themeColor="text1"/>
              </w:rPr>
              <w:t>submuestra</w:t>
            </w:r>
            <w:proofErr w:type="spellEnd"/>
            <w:r w:rsidRPr="004C1B78">
              <w:rPr>
                <w:color w:val="000000" w:themeColor="text1"/>
              </w:rPr>
              <w:t xml:space="preserve"> no supera un límite inferior predefinido.</w:t>
            </w:r>
          </w:p>
          <w:p w:rsidR="00BC36CE" w:rsidRPr="004C1B78" w:rsidRDefault="00BC36CE" w:rsidP="00BA3922">
            <w:pPr>
              <w:rPr>
                <w:color w:val="000000" w:themeColor="text1"/>
              </w:rPr>
            </w:pPr>
          </w:p>
          <w:p w:rsidR="00BC36CE" w:rsidRPr="004C1B78" w:rsidRDefault="00BC36CE" w:rsidP="00BA3922">
            <w:pPr>
              <w:rPr>
                <w:color w:val="000000" w:themeColor="text1"/>
              </w:rPr>
            </w:pPr>
            <w:r w:rsidRPr="004C1B78">
              <w:rPr>
                <w:color w:val="000000" w:themeColor="text1"/>
              </w:rPr>
              <w:t xml:space="preserve">Una variedad se considera no homogénea si el número de plantas fuera de tipo en la </w:t>
            </w:r>
            <w:proofErr w:type="spellStart"/>
            <w:r w:rsidRPr="004C1B78">
              <w:rPr>
                <w:color w:val="000000" w:themeColor="text1"/>
              </w:rPr>
              <w:t>submuestra</w:t>
            </w:r>
            <w:proofErr w:type="spellEnd"/>
            <w:r w:rsidRPr="004C1B78">
              <w:rPr>
                <w:color w:val="000000" w:themeColor="text1"/>
              </w:rPr>
              <w:t xml:space="preserve"> supera un límite superior predefinido.</w:t>
            </w:r>
          </w:p>
          <w:p w:rsidR="00BC36CE" w:rsidRPr="004C1B78" w:rsidRDefault="00BC36CE" w:rsidP="00BA3922">
            <w:pPr>
              <w:rPr>
                <w:color w:val="000000" w:themeColor="text1"/>
              </w:rPr>
            </w:pPr>
          </w:p>
          <w:p w:rsidR="00BC36CE" w:rsidRPr="004C1B78" w:rsidRDefault="00BC36CE" w:rsidP="00BA3922">
            <w:pPr>
              <w:rPr>
                <w:color w:val="000000" w:themeColor="text1"/>
              </w:rPr>
            </w:pPr>
            <w:r w:rsidRPr="004C1B78">
              <w:rPr>
                <w:color w:val="000000" w:themeColor="text1"/>
              </w:rPr>
              <w:t xml:space="preserve">Si el número de plantas fuera de tipo está entre el límite inferior y el límite superior predefinidos, se evalúa toda la muestra. </w:t>
            </w:r>
            <w:r w:rsidR="00E056C2" w:rsidRPr="004C1B78">
              <w:rPr>
                <w:color w:val="000000" w:themeColor="text1"/>
              </w:rPr>
              <w:t xml:space="preserve"> </w:t>
            </w:r>
            <w:r w:rsidRPr="004C1B78">
              <w:rPr>
                <w:color w:val="000000" w:themeColor="text1"/>
              </w:rPr>
              <w:t xml:space="preserve">Los límites inferior y superior deben fijarse teniendo en cuenta errores de tipo I y de tipo II similares en la </w:t>
            </w:r>
            <w:proofErr w:type="spellStart"/>
            <w:r w:rsidRPr="004C1B78">
              <w:rPr>
                <w:color w:val="000000" w:themeColor="text1"/>
              </w:rPr>
              <w:t>submuestra</w:t>
            </w:r>
            <w:proofErr w:type="spellEnd"/>
            <w:r w:rsidRPr="004C1B78">
              <w:rPr>
                <w:color w:val="000000" w:themeColor="text1"/>
              </w:rPr>
              <w:t xml:space="preserve"> y en toda la muestra.</w:t>
            </w:r>
          </w:p>
          <w:p w:rsidR="00BC36CE" w:rsidRPr="004C1B78" w:rsidRDefault="00BB2942" w:rsidP="00BA3922">
            <w:pPr>
              <w:rPr>
                <w:color w:val="000000" w:themeColor="text1"/>
              </w:rPr>
            </w:pPr>
            <w:r>
              <w:rPr>
                <w:rFonts w:eastAsia="SimSun"/>
                <w:color w:val="000000" w:themeColor="text1"/>
                <w:szCs w:val="24"/>
              </w:rPr>
              <w:pict>
                <v:rect id="_x0000_i1025" style="width:0;height:1.5pt" o:hralign="center" o:hrstd="t" o:hr="t" fillcolor="#a0a0a0" stroked="f"/>
              </w:pict>
            </w:r>
          </w:p>
          <w:p w:rsidR="00BC36CE" w:rsidRPr="004C1B78" w:rsidRDefault="00BC36CE" w:rsidP="00BA3922">
            <w:pPr>
              <w:rPr>
                <w:color w:val="000000" w:themeColor="text1"/>
                <w:szCs w:val="24"/>
              </w:rPr>
            </w:pPr>
          </w:p>
          <w:p w:rsidR="00BC36CE" w:rsidRPr="004C1B78" w:rsidRDefault="00BC36CE" w:rsidP="00BA3922">
            <w:pPr>
              <w:rPr>
                <w:color w:val="000000" w:themeColor="text1"/>
                <w:szCs w:val="24"/>
              </w:rPr>
            </w:pPr>
            <w:r w:rsidRPr="004C1B78">
              <w:rPr>
                <w:color w:val="000000" w:themeColor="text1"/>
              </w:rPr>
              <w:t>Ejemplo:</w:t>
            </w:r>
          </w:p>
          <w:p w:rsidR="00BC36CE" w:rsidRPr="004C1B78" w:rsidRDefault="00BC36CE" w:rsidP="00BA3922">
            <w:pPr>
              <w:rPr>
                <w:color w:val="000000" w:themeColor="text1"/>
                <w:szCs w:val="24"/>
              </w:rPr>
            </w:pPr>
          </w:p>
          <w:p w:rsidR="00BC36CE" w:rsidRPr="004C1B78" w:rsidRDefault="00BC36CE" w:rsidP="00BA3922">
            <w:pPr>
              <w:autoSpaceDE w:val="0"/>
              <w:autoSpaceDN w:val="0"/>
              <w:adjustRightInd w:val="0"/>
              <w:rPr>
                <w:color w:val="000000" w:themeColor="text1"/>
                <w:szCs w:val="24"/>
              </w:rPr>
            </w:pPr>
            <w:r w:rsidRPr="004C1B78">
              <w:rPr>
                <w:color w:val="000000" w:themeColor="text1"/>
              </w:rPr>
              <w:t>En el caso de una muestra de 100 plantas, el número aceptable de plantas fuera de tipo es 3 (aplicando una población estándar del 1% y una probabilidad de aceptación del 95% como mínimo).</w:t>
            </w:r>
          </w:p>
          <w:p w:rsidR="00BC36CE" w:rsidRPr="004C1B78" w:rsidRDefault="00BC36CE" w:rsidP="00BA3922">
            <w:pPr>
              <w:autoSpaceDE w:val="0"/>
              <w:autoSpaceDN w:val="0"/>
              <w:adjustRightInd w:val="0"/>
              <w:rPr>
                <w:color w:val="000000" w:themeColor="text1"/>
                <w:szCs w:val="24"/>
              </w:rPr>
            </w:pPr>
          </w:p>
          <w:p w:rsidR="00BC36CE" w:rsidRPr="004C1B78" w:rsidRDefault="00BC36CE" w:rsidP="00BA3922">
            <w:pPr>
              <w:autoSpaceDE w:val="0"/>
              <w:autoSpaceDN w:val="0"/>
              <w:adjustRightInd w:val="0"/>
              <w:rPr>
                <w:color w:val="000000" w:themeColor="text1"/>
                <w:szCs w:val="24"/>
              </w:rPr>
            </w:pPr>
            <w:r w:rsidRPr="004C1B78">
              <w:rPr>
                <w:color w:val="000000" w:themeColor="text1"/>
              </w:rPr>
              <w:t xml:space="preserve">En una </w:t>
            </w:r>
            <w:proofErr w:type="spellStart"/>
            <w:r w:rsidRPr="004C1B78">
              <w:rPr>
                <w:color w:val="000000" w:themeColor="text1"/>
              </w:rPr>
              <w:t>submuestra</w:t>
            </w:r>
            <w:proofErr w:type="spellEnd"/>
            <w:r w:rsidRPr="004C1B78">
              <w:rPr>
                <w:color w:val="000000" w:themeColor="text1"/>
              </w:rPr>
              <w:t xml:space="preserve"> de 20 plantas utilizada en el contexto de la antedicha muestra de 100 plantas:</w:t>
            </w:r>
          </w:p>
          <w:p w:rsidR="00BC36CE" w:rsidRPr="004C1B78" w:rsidRDefault="00BC36CE" w:rsidP="00BA3922">
            <w:pPr>
              <w:autoSpaceDE w:val="0"/>
              <w:autoSpaceDN w:val="0"/>
              <w:adjustRightInd w:val="0"/>
              <w:rPr>
                <w:color w:val="000000" w:themeColor="text1"/>
                <w:szCs w:val="24"/>
              </w:rPr>
            </w:pPr>
          </w:p>
          <w:p w:rsidR="00BC36CE" w:rsidRPr="004C1B78" w:rsidRDefault="00BC36CE" w:rsidP="00BA3922">
            <w:pPr>
              <w:ind w:left="567"/>
              <w:rPr>
                <w:color w:val="000000" w:themeColor="text1"/>
              </w:rPr>
            </w:pPr>
            <w:r w:rsidRPr="004C1B78">
              <w:rPr>
                <w:color w:val="000000" w:themeColor="text1"/>
              </w:rPr>
              <w:t xml:space="preserve">Se considera que una variedad es homogénea si no se observan plantas fuera de tipo en la </w:t>
            </w:r>
            <w:proofErr w:type="spellStart"/>
            <w:r w:rsidRPr="004C1B78">
              <w:rPr>
                <w:color w:val="000000" w:themeColor="text1"/>
              </w:rPr>
              <w:t>submuestra</w:t>
            </w:r>
            <w:proofErr w:type="spellEnd"/>
            <w:r w:rsidRPr="004C1B78">
              <w:rPr>
                <w:color w:val="000000" w:themeColor="text1"/>
              </w:rPr>
              <w:t>.</w:t>
            </w:r>
          </w:p>
          <w:p w:rsidR="00BC36CE" w:rsidRPr="004C1B78" w:rsidRDefault="00BC36CE" w:rsidP="00BA3922">
            <w:pPr>
              <w:rPr>
                <w:color w:val="000000" w:themeColor="text1"/>
              </w:rPr>
            </w:pPr>
          </w:p>
          <w:p w:rsidR="00BC36CE" w:rsidRPr="004C1B78" w:rsidRDefault="00BC36CE" w:rsidP="00BA3922">
            <w:pPr>
              <w:ind w:left="567"/>
              <w:rPr>
                <w:color w:val="000000" w:themeColor="text1"/>
              </w:rPr>
            </w:pPr>
            <w:r w:rsidRPr="004C1B78">
              <w:rPr>
                <w:color w:val="000000" w:themeColor="text1"/>
              </w:rPr>
              <w:t xml:space="preserve">Se considera que una variedad no es homogénea si el número de plantas fuera de tipo en la </w:t>
            </w:r>
            <w:proofErr w:type="spellStart"/>
            <w:r w:rsidRPr="004C1B78">
              <w:rPr>
                <w:color w:val="000000" w:themeColor="text1"/>
              </w:rPr>
              <w:t>submuestra</w:t>
            </w:r>
            <w:proofErr w:type="spellEnd"/>
            <w:r w:rsidRPr="004C1B78">
              <w:rPr>
                <w:color w:val="000000" w:themeColor="text1"/>
              </w:rPr>
              <w:t xml:space="preserve"> es mayor de 3.</w:t>
            </w:r>
          </w:p>
          <w:p w:rsidR="00BC36CE" w:rsidRPr="004C1B78" w:rsidRDefault="00BC36CE" w:rsidP="00BA3922">
            <w:pPr>
              <w:rPr>
                <w:color w:val="000000" w:themeColor="text1"/>
              </w:rPr>
            </w:pPr>
          </w:p>
          <w:p w:rsidR="00BC36CE" w:rsidRPr="004C1B78" w:rsidRDefault="00BC36CE" w:rsidP="00BA3922">
            <w:pPr>
              <w:ind w:left="567"/>
              <w:rPr>
                <w:color w:val="000000" w:themeColor="text1"/>
              </w:rPr>
            </w:pPr>
            <w:r w:rsidRPr="004C1B78">
              <w:rPr>
                <w:color w:val="000000" w:themeColor="text1"/>
              </w:rPr>
              <w:t>Si el número de plantas fuera de tipo está entre 1 y 3, se evalúa toda la muestra de 100 plantas.</w:t>
            </w:r>
          </w:p>
          <w:p w:rsidR="00BC36CE" w:rsidRPr="004C1B78" w:rsidRDefault="00BC36CE" w:rsidP="00BA3922">
            <w:pPr>
              <w:ind w:left="567"/>
              <w:rPr>
                <w:color w:val="000000" w:themeColor="text1"/>
              </w:rPr>
            </w:pPr>
          </w:p>
          <w:p w:rsidR="00BC36CE" w:rsidRPr="004C1B78" w:rsidRDefault="00BC36CE" w:rsidP="00BA3922">
            <w:pPr>
              <w:ind w:left="567"/>
              <w:rPr>
                <w:color w:val="000000" w:themeColor="text1"/>
              </w:rPr>
            </w:pPr>
            <w:r w:rsidRPr="004C1B78">
              <w:rPr>
                <w:color w:val="000000" w:themeColor="text1"/>
              </w:rPr>
              <w:t>Si el número de plantas fuera de tipo de la muestra de 100 plantas es mayor que 3, se considera que la variedad no es homogénea.</w:t>
            </w:r>
          </w:p>
          <w:p w:rsidR="00BC36CE" w:rsidRPr="004C1B78" w:rsidRDefault="00BC36CE" w:rsidP="00BA3922">
            <w:pPr>
              <w:ind w:left="34" w:right="600"/>
              <w:rPr>
                <w:color w:val="000000" w:themeColor="text1"/>
              </w:rPr>
            </w:pPr>
          </w:p>
          <w:p w:rsidR="00BC36CE" w:rsidRPr="004C1B78" w:rsidRDefault="00BC36CE" w:rsidP="00BA3922">
            <w:pPr>
              <w:ind w:left="34" w:right="600"/>
              <w:rPr>
                <w:color w:val="000000" w:themeColor="text1"/>
                <w:szCs w:val="24"/>
              </w:rPr>
            </w:pPr>
            <w:r w:rsidRPr="004C1B78">
              <w:rPr>
                <w:color w:val="000000" w:themeColor="text1"/>
              </w:rPr>
              <w:t>Las bases estadísticas de este método se describen exhaustivamente en el Anexo V del documento TWC/32/9.</w:t>
            </w:r>
          </w:p>
          <w:p w:rsidR="00BC36CE" w:rsidRPr="004C1B78" w:rsidRDefault="00BC36CE" w:rsidP="00BA3922">
            <w:pPr>
              <w:ind w:left="34" w:right="600"/>
              <w:rPr>
                <w:color w:val="000000" w:themeColor="text1"/>
                <w:szCs w:val="24"/>
              </w:rPr>
            </w:pPr>
          </w:p>
        </w:tc>
      </w:tr>
    </w:tbl>
    <w:p w:rsidR="00BC36CE" w:rsidRPr="004C1B78" w:rsidRDefault="00BC36CE" w:rsidP="00BC36CE">
      <w:pPr>
        <w:rPr>
          <w:color w:val="000000" w:themeColor="text1"/>
        </w:rPr>
      </w:pPr>
    </w:p>
    <w:p w:rsidR="00BC36CE" w:rsidRPr="004C1B78" w:rsidRDefault="00BC36CE" w:rsidP="00BC36CE">
      <w:pPr>
        <w:rPr>
          <w:color w:val="000000" w:themeColor="text1"/>
        </w:rPr>
      </w:pPr>
    </w:p>
    <w:p w:rsidR="00050E16" w:rsidRPr="004C1B78" w:rsidRDefault="00050E16" w:rsidP="00050E16">
      <w:pPr>
        <w:rPr>
          <w:color w:val="000000" w:themeColor="text1"/>
        </w:rPr>
      </w:pPr>
    </w:p>
    <w:p w:rsidR="009B440E" w:rsidRPr="004C1B78" w:rsidRDefault="00050E16" w:rsidP="00050E16">
      <w:pPr>
        <w:jc w:val="right"/>
        <w:rPr>
          <w:color w:val="000000" w:themeColor="text1"/>
        </w:rPr>
      </w:pPr>
      <w:r w:rsidRPr="004C1B78">
        <w:rPr>
          <w:color w:val="000000" w:themeColor="text1"/>
        </w:rPr>
        <w:t>[Fin del Anexo II y del documento]</w:t>
      </w:r>
    </w:p>
    <w:p w:rsidR="00202E38" w:rsidRPr="004C1B78" w:rsidRDefault="00202E38">
      <w:pPr>
        <w:jc w:val="left"/>
        <w:rPr>
          <w:color w:val="000000" w:themeColor="text1"/>
        </w:rPr>
      </w:pPr>
    </w:p>
    <w:p w:rsidR="008B3D8D" w:rsidRPr="004C1B78" w:rsidRDefault="008B3D8D">
      <w:pPr>
        <w:jc w:val="left"/>
        <w:rPr>
          <w:color w:val="000000" w:themeColor="text1"/>
        </w:rPr>
      </w:pPr>
    </w:p>
    <w:p w:rsidR="00050E16" w:rsidRPr="004C1B78" w:rsidRDefault="00050E16" w:rsidP="009B440E">
      <w:pPr>
        <w:jc w:val="left"/>
        <w:rPr>
          <w:color w:val="000000" w:themeColor="text1"/>
        </w:rPr>
      </w:pPr>
    </w:p>
    <w:sectPr w:rsidR="00050E16" w:rsidRPr="004C1B78" w:rsidSect="00906DDC">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AA" w:rsidRDefault="006E14AA" w:rsidP="006655D3">
      <w:r>
        <w:separator/>
      </w:r>
    </w:p>
    <w:p w:rsidR="006E14AA" w:rsidRDefault="006E14AA" w:rsidP="006655D3"/>
    <w:p w:rsidR="006E14AA" w:rsidRDefault="006E14AA" w:rsidP="006655D3"/>
  </w:endnote>
  <w:endnote w:type="continuationSeparator" w:id="0">
    <w:p w:rsidR="006E14AA" w:rsidRDefault="006E14AA" w:rsidP="006655D3">
      <w:r>
        <w:separator/>
      </w:r>
    </w:p>
    <w:p w:rsidR="006E14AA" w:rsidRPr="00294751" w:rsidRDefault="006E14AA">
      <w:pPr>
        <w:pStyle w:val="Footer"/>
        <w:spacing w:after="60"/>
        <w:rPr>
          <w:sz w:val="18"/>
          <w:lang w:val="fr-FR"/>
        </w:rPr>
      </w:pPr>
      <w:r w:rsidRPr="00294751">
        <w:rPr>
          <w:sz w:val="18"/>
          <w:lang w:val="fr-FR"/>
        </w:rPr>
        <w:t>[Suite de la note de la page précédente]</w:t>
      </w:r>
    </w:p>
    <w:p w:rsidR="006E14AA" w:rsidRPr="00294751" w:rsidRDefault="006E14AA" w:rsidP="006655D3">
      <w:pPr>
        <w:rPr>
          <w:lang w:val="fr-FR"/>
        </w:rPr>
      </w:pPr>
    </w:p>
    <w:p w:rsidR="006E14AA" w:rsidRPr="00294751" w:rsidRDefault="006E14AA" w:rsidP="006655D3">
      <w:pPr>
        <w:rPr>
          <w:lang w:val="fr-FR"/>
        </w:rPr>
      </w:pPr>
    </w:p>
  </w:endnote>
  <w:endnote w:type="continuationNotice" w:id="1">
    <w:p w:rsidR="006E14AA" w:rsidRPr="00294751" w:rsidRDefault="006E14AA" w:rsidP="006655D3">
      <w:pPr>
        <w:rPr>
          <w:lang w:val="fr-FR"/>
        </w:rPr>
      </w:pPr>
      <w:r w:rsidRPr="00294751">
        <w:rPr>
          <w:lang w:val="fr-FR"/>
        </w:rPr>
        <w:t>[Suite de la note page suivante]</w:t>
      </w:r>
    </w:p>
    <w:p w:rsidR="006E14AA" w:rsidRPr="00294751" w:rsidRDefault="006E14AA" w:rsidP="006655D3">
      <w:pPr>
        <w:rPr>
          <w:lang w:val="fr-FR"/>
        </w:rPr>
      </w:pPr>
    </w:p>
    <w:p w:rsidR="006E14AA" w:rsidRPr="00294751" w:rsidRDefault="006E14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22" w:rsidRDefault="00BA39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AA" w:rsidRDefault="006E14AA" w:rsidP="006655D3">
      <w:r>
        <w:separator/>
      </w:r>
    </w:p>
  </w:footnote>
  <w:footnote w:type="continuationSeparator" w:id="0">
    <w:p w:rsidR="006E14AA" w:rsidRDefault="006E14AA" w:rsidP="006655D3">
      <w:r>
        <w:separator/>
      </w:r>
    </w:p>
  </w:footnote>
  <w:footnote w:type="continuationNotice" w:id="1">
    <w:p w:rsidR="006E14AA" w:rsidRPr="00AB530F" w:rsidRDefault="006E14A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22" w:rsidRPr="000A23DC" w:rsidRDefault="00BA3922" w:rsidP="000A23DC">
    <w:pPr>
      <w:pStyle w:val="Header"/>
      <w:rPr>
        <w:rStyle w:val="PageNumber"/>
      </w:rPr>
    </w:pPr>
    <w:r>
      <w:rPr>
        <w:rStyle w:val="PageNumber"/>
      </w:rPr>
      <w:t>TC/53/19</w:t>
    </w:r>
  </w:p>
  <w:p w:rsidR="00BA3922" w:rsidRPr="00202E38" w:rsidRDefault="00BA3922" w:rsidP="008B3D8D">
    <w:pPr>
      <w:pStyle w:val="Header"/>
    </w:pPr>
    <w:proofErr w:type="gramStart"/>
    <w:r>
      <w:t>página</w:t>
    </w:r>
    <w:proofErr w:type="gramEnd"/>
    <w:r>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BB2942">
      <w:rPr>
        <w:rStyle w:val="PageNumber"/>
        <w:noProof/>
      </w:rPr>
      <w:t>4</w:t>
    </w:r>
    <w:r w:rsidRPr="00202E38">
      <w:rPr>
        <w:rStyle w:val="PageNumber"/>
      </w:rPr>
      <w:fldChar w:fldCharType="end"/>
    </w:r>
  </w:p>
  <w:p w:rsidR="00BA3922" w:rsidRPr="00202E38" w:rsidRDefault="00BA392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22" w:rsidRPr="00C5280D" w:rsidRDefault="00BA3922" w:rsidP="00EB048E">
    <w:pPr>
      <w:pStyle w:val="Header"/>
      <w:rPr>
        <w:rStyle w:val="PageNumber"/>
      </w:rPr>
    </w:pPr>
    <w:r>
      <w:rPr>
        <w:rStyle w:val="PageNumber"/>
      </w:rPr>
      <w:t>TC/53/19</w:t>
    </w:r>
  </w:p>
  <w:p w:rsidR="00BA3922" w:rsidRPr="00C5280D" w:rsidRDefault="00BA3922"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B2942">
      <w:rPr>
        <w:rStyle w:val="PageNumber"/>
        <w:noProof/>
      </w:rPr>
      <w:t>2</w:t>
    </w:r>
    <w:r w:rsidRPr="00C5280D">
      <w:rPr>
        <w:rStyle w:val="PageNumber"/>
      </w:rPr>
      <w:fldChar w:fldCharType="end"/>
    </w:r>
  </w:p>
  <w:p w:rsidR="00BA3922" w:rsidRPr="00C5280D" w:rsidRDefault="00BA392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22" w:rsidRDefault="00BA3922">
    <w:pPr>
      <w:pStyle w:val="Header"/>
    </w:pPr>
    <w:r>
      <w:t>TC/53/19</w:t>
    </w:r>
  </w:p>
  <w:p w:rsidR="00BA3922" w:rsidRDefault="00BA3922">
    <w:pPr>
      <w:pStyle w:val="Header"/>
    </w:pPr>
  </w:p>
  <w:p w:rsidR="00BA3922" w:rsidRDefault="00BA3922">
    <w:pPr>
      <w:pStyle w:val="Header"/>
    </w:pPr>
    <w:r>
      <w:t>ANEXO I</w:t>
    </w:r>
  </w:p>
  <w:p w:rsidR="00BA3922" w:rsidRDefault="00BA39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922" w:rsidRDefault="00BA3922">
    <w:pPr>
      <w:pStyle w:val="Header"/>
    </w:pPr>
    <w:r>
      <w:t>TC/53/19</w:t>
    </w:r>
  </w:p>
  <w:p w:rsidR="00BA3922" w:rsidRDefault="00BA3922">
    <w:pPr>
      <w:pStyle w:val="Header"/>
    </w:pPr>
  </w:p>
  <w:p w:rsidR="00BA3922" w:rsidRDefault="00BA3922">
    <w:pPr>
      <w:pStyle w:val="Header"/>
    </w:pPr>
    <w:r>
      <w:t>ANEXO II</w:t>
    </w:r>
  </w:p>
  <w:p w:rsidR="00BA3922" w:rsidRDefault="00BA39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5215"/>
    <w:multiLevelType w:val="hybridMultilevel"/>
    <w:tmpl w:val="054EFA2C"/>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EC"/>
    <w:rsid w:val="00010CF3"/>
    <w:rsid w:val="00011E27"/>
    <w:rsid w:val="000148BC"/>
    <w:rsid w:val="00024AB8"/>
    <w:rsid w:val="00030854"/>
    <w:rsid w:val="00036028"/>
    <w:rsid w:val="00044642"/>
    <w:rsid w:val="000446B9"/>
    <w:rsid w:val="00047E21"/>
    <w:rsid w:val="00050E16"/>
    <w:rsid w:val="00051180"/>
    <w:rsid w:val="000638A9"/>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E6CB1"/>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D29EC"/>
    <w:rsid w:val="002E5944"/>
    <w:rsid w:val="00305A7F"/>
    <w:rsid w:val="00314F48"/>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82A82"/>
    <w:rsid w:val="004935D2"/>
    <w:rsid w:val="004B1215"/>
    <w:rsid w:val="004C1B78"/>
    <w:rsid w:val="004D047D"/>
    <w:rsid w:val="004F1E9E"/>
    <w:rsid w:val="004F305A"/>
    <w:rsid w:val="00512164"/>
    <w:rsid w:val="00520297"/>
    <w:rsid w:val="005338F9"/>
    <w:rsid w:val="005339A4"/>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585E"/>
    <w:rsid w:val="006D780A"/>
    <w:rsid w:val="006E14AA"/>
    <w:rsid w:val="00704812"/>
    <w:rsid w:val="0071271E"/>
    <w:rsid w:val="00732DEC"/>
    <w:rsid w:val="00735BD5"/>
    <w:rsid w:val="00751613"/>
    <w:rsid w:val="007556F6"/>
    <w:rsid w:val="00760EEF"/>
    <w:rsid w:val="007657C5"/>
    <w:rsid w:val="00777EE5"/>
    <w:rsid w:val="00783722"/>
    <w:rsid w:val="00784836"/>
    <w:rsid w:val="0079023E"/>
    <w:rsid w:val="007A2854"/>
    <w:rsid w:val="007B434E"/>
    <w:rsid w:val="007C193E"/>
    <w:rsid w:val="007C1D92"/>
    <w:rsid w:val="007C49F0"/>
    <w:rsid w:val="007C4CB9"/>
    <w:rsid w:val="007D0B9D"/>
    <w:rsid w:val="007D19B0"/>
    <w:rsid w:val="007F1A94"/>
    <w:rsid w:val="007F34EF"/>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8D6B0E"/>
    <w:rsid w:val="008F269C"/>
    <w:rsid w:val="00900C26"/>
    <w:rsid w:val="0090197F"/>
    <w:rsid w:val="00906DDC"/>
    <w:rsid w:val="00934E09"/>
    <w:rsid w:val="00936253"/>
    <w:rsid w:val="009363FA"/>
    <w:rsid w:val="00940D46"/>
    <w:rsid w:val="00952DD4"/>
    <w:rsid w:val="0096175D"/>
    <w:rsid w:val="00965AE7"/>
    <w:rsid w:val="00970FED"/>
    <w:rsid w:val="00992D82"/>
    <w:rsid w:val="00997029"/>
    <w:rsid w:val="009A7339"/>
    <w:rsid w:val="009B440E"/>
    <w:rsid w:val="009D690D"/>
    <w:rsid w:val="009E65B6"/>
    <w:rsid w:val="00A20752"/>
    <w:rsid w:val="00A24C10"/>
    <w:rsid w:val="00A42AC3"/>
    <w:rsid w:val="00A430CF"/>
    <w:rsid w:val="00A54309"/>
    <w:rsid w:val="00A706D3"/>
    <w:rsid w:val="00AB2B93"/>
    <w:rsid w:val="00AB3E91"/>
    <w:rsid w:val="00AB530F"/>
    <w:rsid w:val="00AB7E5B"/>
    <w:rsid w:val="00AC2883"/>
    <w:rsid w:val="00AE0EF1"/>
    <w:rsid w:val="00AE2937"/>
    <w:rsid w:val="00B07301"/>
    <w:rsid w:val="00B11F3E"/>
    <w:rsid w:val="00B224DE"/>
    <w:rsid w:val="00B324D4"/>
    <w:rsid w:val="00B456D0"/>
    <w:rsid w:val="00B46575"/>
    <w:rsid w:val="00B524A9"/>
    <w:rsid w:val="00B61777"/>
    <w:rsid w:val="00B84BBD"/>
    <w:rsid w:val="00BA3922"/>
    <w:rsid w:val="00BA43FB"/>
    <w:rsid w:val="00BB2942"/>
    <w:rsid w:val="00BC0BD4"/>
    <w:rsid w:val="00BC127D"/>
    <w:rsid w:val="00BC1FE6"/>
    <w:rsid w:val="00BC36CE"/>
    <w:rsid w:val="00C061B6"/>
    <w:rsid w:val="00C127A0"/>
    <w:rsid w:val="00C2446C"/>
    <w:rsid w:val="00C36AE5"/>
    <w:rsid w:val="00C41F17"/>
    <w:rsid w:val="00C527FA"/>
    <w:rsid w:val="00C5280D"/>
    <w:rsid w:val="00C53EB3"/>
    <w:rsid w:val="00C5791C"/>
    <w:rsid w:val="00C648A4"/>
    <w:rsid w:val="00C66290"/>
    <w:rsid w:val="00C72B7A"/>
    <w:rsid w:val="00C94B92"/>
    <w:rsid w:val="00C973F2"/>
    <w:rsid w:val="00CA304C"/>
    <w:rsid w:val="00CA774A"/>
    <w:rsid w:val="00CB246B"/>
    <w:rsid w:val="00CC11B0"/>
    <w:rsid w:val="00CC2841"/>
    <w:rsid w:val="00CF1330"/>
    <w:rsid w:val="00CF7E36"/>
    <w:rsid w:val="00D12E9C"/>
    <w:rsid w:val="00D27E45"/>
    <w:rsid w:val="00D3708D"/>
    <w:rsid w:val="00D40426"/>
    <w:rsid w:val="00D57C96"/>
    <w:rsid w:val="00D57D18"/>
    <w:rsid w:val="00D82083"/>
    <w:rsid w:val="00D91203"/>
    <w:rsid w:val="00D95174"/>
    <w:rsid w:val="00DA4973"/>
    <w:rsid w:val="00DA6F36"/>
    <w:rsid w:val="00DB596E"/>
    <w:rsid w:val="00DB7773"/>
    <w:rsid w:val="00DC00EA"/>
    <w:rsid w:val="00DC3802"/>
    <w:rsid w:val="00E056C2"/>
    <w:rsid w:val="00E07D87"/>
    <w:rsid w:val="00E23FEF"/>
    <w:rsid w:val="00E26390"/>
    <w:rsid w:val="00E32F7E"/>
    <w:rsid w:val="00E5267B"/>
    <w:rsid w:val="00E63C0E"/>
    <w:rsid w:val="00E72D49"/>
    <w:rsid w:val="00E73A31"/>
    <w:rsid w:val="00E7593C"/>
    <w:rsid w:val="00E7678A"/>
    <w:rsid w:val="00E935F1"/>
    <w:rsid w:val="00E94A81"/>
    <w:rsid w:val="00E95C60"/>
    <w:rsid w:val="00EA1FFB"/>
    <w:rsid w:val="00EB048E"/>
    <w:rsid w:val="00EB4E9C"/>
    <w:rsid w:val="00EC2265"/>
    <w:rsid w:val="00EC3599"/>
    <w:rsid w:val="00EE34DF"/>
    <w:rsid w:val="00EF2F89"/>
    <w:rsid w:val="00F03E98"/>
    <w:rsid w:val="00F1237A"/>
    <w:rsid w:val="00F22CBD"/>
    <w:rsid w:val="00F249C7"/>
    <w:rsid w:val="00F272F1"/>
    <w:rsid w:val="00F45372"/>
    <w:rsid w:val="00F560F7"/>
    <w:rsid w:val="00F565F3"/>
    <w:rsid w:val="00F6334D"/>
    <w:rsid w:val="00F65C0A"/>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7A0"/>
    <w:pPr>
      <w:jc w:val="both"/>
    </w:pPr>
    <w:rPr>
      <w:rFonts w:ascii="Arial" w:hAnsi="Arial"/>
      <w:lang w:val="es-ES_tradnl" w:eastAsia="en-US" w:bidi="ar-SA"/>
    </w:rPr>
  </w:style>
  <w:style w:type="paragraph" w:styleId="Heading1">
    <w:name w:val="heading 1"/>
    <w:next w:val="Normal"/>
    <w:link w:val="Heading1Char"/>
    <w:autoRedefine/>
    <w:qFormat/>
    <w:rsid w:val="00C127A0"/>
    <w:pPr>
      <w:keepNext/>
      <w:jc w:val="both"/>
      <w:outlineLvl w:val="0"/>
    </w:pPr>
    <w:rPr>
      <w:rFonts w:ascii="Arial" w:hAnsi="Arial"/>
      <w:caps/>
      <w:lang w:val="en-US" w:eastAsia="en-US" w:bidi="ar-SA"/>
    </w:rPr>
  </w:style>
  <w:style w:type="paragraph" w:styleId="Heading2">
    <w:name w:val="heading 2"/>
    <w:next w:val="Normal"/>
    <w:autoRedefine/>
    <w:qFormat/>
    <w:rsid w:val="00C127A0"/>
    <w:pPr>
      <w:keepNext/>
      <w:jc w:val="both"/>
      <w:outlineLvl w:val="1"/>
    </w:pPr>
    <w:rPr>
      <w:rFonts w:ascii="Arial" w:hAnsi="Arial"/>
      <w:u w:val="single"/>
      <w:lang w:val="en-US" w:eastAsia="en-US" w:bidi="ar-SA"/>
    </w:rPr>
  </w:style>
  <w:style w:type="paragraph" w:styleId="Heading3">
    <w:name w:val="heading 3"/>
    <w:next w:val="Normal"/>
    <w:autoRedefine/>
    <w:qFormat/>
    <w:rsid w:val="00C127A0"/>
    <w:pPr>
      <w:keepNext/>
      <w:jc w:val="both"/>
      <w:outlineLvl w:val="2"/>
    </w:pPr>
    <w:rPr>
      <w:rFonts w:ascii="Arial" w:hAnsi="Arial"/>
      <w:i/>
      <w:lang w:val="en-US" w:eastAsia="en-US" w:bidi="ar-SA"/>
    </w:rPr>
  </w:style>
  <w:style w:type="paragraph" w:styleId="Heading4">
    <w:name w:val="heading 4"/>
    <w:next w:val="Normal"/>
    <w:autoRedefine/>
    <w:qFormat/>
    <w:rsid w:val="00C127A0"/>
    <w:pPr>
      <w:keepNext/>
      <w:ind w:left="567"/>
      <w:jc w:val="both"/>
      <w:outlineLvl w:val="3"/>
    </w:pPr>
    <w:rPr>
      <w:rFonts w:ascii="Arial" w:hAnsi="Arial"/>
      <w:u w:val="single"/>
      <w:lang w:val="fr-FR" w:eastAsia="en-US" w:bidi="ar-SA"/>
    </w:rPr>
  </w:style>
  <w:style w:type="paragraph" w:styleId="Heading5">
    <w:name w:val="heading 5"/>
    <w:next w:val="Normal"/>
    <w:autoRedefine/>
    <w:qFormat/>
    <w:rsid w:val="00C127A0"/>
    <w:pPr>
      <w:keepNext/>
      <w:ind w:left="1134" w:hanging="567"/>
      <w:jc w:val="both"/>
      <w:outlineLvl w:val="4"/>
    </w:pPr>
    <w:rPr>
      <w:rFonts w:ascii="Arial" w:hAnsi="Arial"/>
      <w:i/>
      <w:lang w:val="en-US" w:eastAsia="en-US" w:bidi="ar-SA"/>
    </w:rPr>
  </w:style>
  <w:style w:type="paragraph" w:styleId="Heading9">
    <w:name w:val="heading 9"/>
    <w:basedOn w:val="Normal"/>
    <w:next w:val="Normal"/>
    <w:qFormat/>
    <w:rsid w:val="00C127A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127A0"/>
    <w:pPr>
      <w:jc w:val="center"/>
    </w:pPr>
    <w:rPr>
      <w:rFonts w:ascii="Arial" w:hAnsi="Arial"/>
      <w:lang w:val="es-ES_tradnl" w:eastAsia="en-US" w:bidi="ar-SA"/>
    </w:rPr>
  </w:style>
  <w:style w:type="paragraph" w:styleId="Footer">
    <w:name w:val="footer"/>
    <w:aliases w:val="doc_path_name"/>
    <w:autoRedefine/>
    <w:rsid w:val="00C127A0"/>
    <w:pPr>
      <w:jc w:val="both"/>
    </w:pPr>
    <w:rPr>
      <w:rFonts w:ascii="Arial" w:hAnsi="Arial"/>
      <w:sz w:val="14"/>
      <w:lang w:val="en-US" w:eastAsia="en-US" w:bidi="ar-SA"/>
    </w:rPr>
  </w:style>
  <w:style w:type="character" w:styleId="PageNumber">
    <w:name w:val="page number"/>
    <w:basedOn w:val="DefaultParagraphFont"/>
    <w:rsid w:val="00C127A0"/>
    <w:rPr>
      <w:rFonts w:ascii="Arial" w:hAnsi="Arial"/>
      <w:sz w:val="20"/>
    </w:rPr>
  </w:style>
  <w:style w:type="paragraph" w:styleId="Title">
    <w:name w:val="Title"/>
    <w:basedOn w:val="Normal"/>
    <w:qFormat/>
    <w:rsid w:val="00C127A0"/>
    <w:pPr>
      <w:spacing w:after="300"/>
      <w:jc w:val="center"/>
    </w:pPr>
    <w:rPr>
      <w:b/>
      <w:caps/>
      <w:kern w:val="28"/>
      <w:sz w:val="30"/>
    </w:rPr>
  </w:style>
  <w:style w:type="paragraph" w:customStyle="1" w:styleId="preparedby">
    <w:name w:val="preparedby"/>
    <w:basedOn w:val="Normal"/>
    <w:next w:val="Normal"/>
    <w:semiHidden/>
    <w:rsid w:val="00C127A0"/>
    <w:pPr>
      <w:spacing w:after="600"/>
      <w:jc w:val="center"/>
    </w:pPr>
    <w:rPr>
      <w:i/>
    </w:rPr>
  </w:style>
  <w:style w:type="paragraph" w:customStyle="1" w:styleId="Docoriginal">
    <w:name w:val="Doc_original"/>
    <w:basedOn w:val="Code"/>
    <w:link w:val="DocoriginalChar"/>
    <w:rsid w:val="00C127A0"/>
    <w:pPr>
      <w:spacing w:before="240" w:line="240" w:lineRule="exact"/>
      <w:ind w:left="0"/>
      <w:contextualSpacing/>
      <w:jc w:val="left"/>
    </w:pPr>
    <w:rPr>
      <w:sz w:val="18"/>
    </w:rPr>
  </w:style>
  <w:style w:type="paragraph" w:customStyle="1" w:styleId="DecisionParagraphs">
    <w:name w:val="DecisionParagraphs"/>
    <w:basedOn w:val="Normal"/>
    <w:rsid w:val="00C127A0"/>
    <w:pPr>
      <w:tabs>
        <w:tab w:val="left" w:pos="5387"/>
      </w:tabs>
      <w:ind w:left="4820"/>
    </w:pPr>
    <w:rPr>
      <w:i/>
    </w:rPr>
  </w:style>
  <w:style w:type="paragraph" w:styleId="FootnoteText">
    <w:name w:val="footnote text"/>
    <w:autoRedefine/>
    <w:rsid w:val="00C127A0"/>
    <w:pPr>
      <w:spacing w:before="60"/>
      <w:ind w:left="567" w:hanging="567"/>
      <w:jc w:val="both"/>
    </w:pPr>
    <w:rPr>
      <w:rFonts w:ascii="Arial" w:hAnsi="Arial"/>
      <w:sz w:val="16"/>
      <w:lang w:val="es-ES_tradnl" w:eastAsia="en-US" w:bidi="ar-SA"/>
    </w:rPr>
  </w:style>
  <w:style w:type="character" w:styleId="FootnoteReference">
    <w:name w:val="footnote reference"/>
    <w:basedOn w:val="DefaultParagraphFont"/>
    <w:semiHidden/>
    <w:rsid w:val="00C127A0"/>
    <w:rPr>
      <w:vertAlign w:val="superscript"/>
    </w:rPr>
  </w:style>
  <w:style w:type="paragraph" w:styleId="Closing">
    <w:name w:val="Closing"/>
    <w:basedOn w:val="Normal"/>
    <w:rsid w:val="00C127A0"/>
    <w:pPr>
      <w:ind w:left="4536"/>
      <w:jc w:val="center"/>
    </w:pPr>
  </w:style>
  <w:style w:type="paragraph" w:styleId="Index1">
    <w:name w:val="index 1"/>
    <w:basedOn w:val="Normal"/>
    <w:next w:val="Normal"/>
    <w:semiHidden/>
    <w:rsid w:val="00C127A0"/>
    <w:pPr>
      <w:tabs>
        <w:tab w:val="right" w:leader="dot" w:pos="9071"/>
      </w:tabs>
      <w:ind w:left="284" w:hanging="284"/>
    </w:pPr>
    <w:rPr>
      <w:sz w:val="24"/>
    </w:rPr>
  </w:style>
  <w:style w:type="paragraph" w:styleId="Index2">
    <w:name w:val="index 2"/>
    <w:basedOn w:val="Normal"/>
    <w:next w:val="Normal"/>
    <w:semiHidden/>
    <w:rsid w:val="00C127A0"/>
    <w:pPr>
      <w:tabs>
        <w:tab w:val="right" w:leader="dot" w:pos="9071"/>
      </w:tabs>
      <w:ind w:left="568" w:hanging="284"/>
    </w:pPr>
    <w:rPr>
      <w:sz w:val="24"/>
    </w:rPr>
  </w:style>
  <w:style w:type="paragraph" w:styleId="Index3">
    <w:name w:val="index 3"/>
    <w:basedOn w:val="Normal"/>
    <w:next w:val="Normal"/>
    <w:semiHidden/>
    <w:rsid w:val="00C127A0"/>
    <w:pPr>
      <w:tabs>
        <w:tab w:val="right" w:leader="dot" w:pos="9071"/>
      </w:tabs>
      <w:ind w:left="851" w:hanging="284"/>
    </w:pPr>
    <w:rPr>
      <w:sz w:val="24"/>
    </w:rPr>
  </w:style>
  <w:style w:type="paragraph" w:styleId="MacroText">
    <w:name w:val="macro"/>
    <w:semiHidden/>
    <w:rsid w:val="00C127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bidi="ar-SA"/>
    </w:rPr>
  </w:style>
  <w:style w:type="paragraph" w:styleId="Signature">
    <w:name w:val="Signature"/>
    <w:basedOn w:val="Normal"/>
    <w:rsid w:val="00C127A0"/>
    <w:pPr>
      <w:ind w:left="4536"/>
      <w:jc w:val="center"/>
    </w:pPr>
  </w:style>
  <w:style w:type="character" w:customStyle="1" w:styleId="Doclang">
    <w:name w:val="Doc_lang"/>
    <w:basedOn w:val="DefaultParagraphFont"/>
    <w:rsid w:val="00C127A0"/>
    <w:rPr>
      <w:rFonts w:ascii="Arial" w:hAnsi="Arial"/>
      <w:sz w:val="20"/>
      <w:lang w:val="en-US"/>
    </w:rPr>
  </w:style>
  <w:style w:type="paragraph" w:customStyle="1" w:styleId="Session">
    <w:name w:val="Session"/>
    <w:basedOn w:val="Normal"/>
    <w:semiHidden/>
    <w:rsid w:val="00C127A0"/>
    <w:pPr>
      <w:spacing w:before="60"/>
      <w:jc w:val="center"/>
    </w:pPr>
    <w:rPr>
      <w:b/>
    </w:rPr>
  </w:style>
  <w:style w:type="paragraph" w:customStyle="1" w:styleId="Organizer">
    <w:name w:val="Organizer"/>
    <w:basedOn w:val="Normal"/>
    <w:semiHidden/>
    <w:rsid w:val="00C127A0"/>
    <w:pPr>
      <w:spacing w:after="600"/>
      <w:ind w:left="-993" w:right="-994"/>
      <w:jc w:val="center"/>
    </w:pPr>
    <w:rPr>
      <w:b/>
      <w:caps/>
      <w:kern w:val="26"/>
      <w:sz w:val="26"/>
    </w:rPr>
  </w:style>
  <w:style w:type="paragraph" w:styleId="BodyText">
    <w:name w:val="Body Text"/>
    <w:basedOn w:val="Normal"/>
    <w:rsid w:val="00C127A0"/>
  </w:style>
  <w:style w:type="paragraph" w:customStyle="1" w:styleId="Disclaimer">
    <w:name w:val="Disclaimer"/>
    <w:next w:val="Normal"/>
    <w:qFormat/>
    <w:rsid w:val="00C127A0"/>
    <w:pPr>
      <w:spacing w:after="600"/>
    </w:pPr>
    <w:rPr>
      <w:rFonts w:ascii="Arial" w:hAnsi="Arial"/>
      <w:i/>
      <w:iCs/>
      <w:color w:val="A6A6A6" w:themeColor="background1" w:themeShade="A6"/>
      <w:lang w:val="es-ES_tradnl" w:eastAsia="en-US" w:bidi="ar-SA"/>
    </w:rPr>
  </w:style>
  <w:style w:type="paragraph" w:customStyle="1" w:styleId="upove">
    <w:name w:val="upov_e"/>
    <w:basedOn w:val="Normal"/>
    <w:rsid w:val="00C127A0"/>
    <w:pPr>
      <w:spacing w:before="120"/>
    </w:pPr>
    <w:rPr>
      <w:sz w:val="16"/>
    </w:rPr>
  </w:style>
  <w:style w:type="paragraph" w:customStyle="1" w:styleId="TitleofDoc">
    <w:name w:val="Title of Doc"/>
    <w:basedOn w:val="Normal"/>
    <w:semiHidden/>
    <w:rsid w:val="00C127A0"/>
    <w:pPr>
      <w:spacing w:before="1200"/>
      <w:jc w:val="center"/>
    </w:pPr>
    <w:rPr>
      <w:caps/>
    </w:rPr>
  </w:style>
  <w:style w:type="paragraph" w:customStyle="1" w:styleId="preparedby0">
    <w:name w:val="prepared by"/>
    <w:basedOn w:val="Normal"/>
    <w:semiHidden/>
    <w:rsid w:val="00C127A0"/>
    <w:pPr>
      <w:spacing w:before="600" w:after="600"/>
      <w:jc w:val="center"/>
    </w:pPr>
    <w:rPr>
      <w:i/>
    </w:rPr>
  </w:style>
  <w:style w:type="paragraph" w:customStyle="1" w:styleId="PlaceAndDate">
    <w:name w:val="PlaceAndDate"/>
    <w:basedOn w:val="Session"/>
    <w:semiHidden/>
    <w:rsid w:val="00C127A0"/>
  </w:style>
  <w:style w:type="paragraph" w:styleId="EndnoteText">
    <w:name w:val="endnote text"/>
    <w:basedOn w:val="Normal"/>
    <w:semiHidden/>
    <w:rsid w:val="00C127A0"/>
  </w:style>
  <w:style w:type="character" w:styleId="EndnoteReference">
    <w:name w:val="endnote reference"/>
    <w:basedOn w:val="DefaultParagraphFont"/>
    <w:semiHidden/>
    <w:rsid w:val="00C127A0"/>
    <w:rPr>
      <w:vertAlign w:val="superscript"/>
    </w:rPr>
  </w:style>
  <w:style w:type="paragraph" w:customStyle="1" w:styleId="SessionMeetingPlace">
    <w:name w:val="Session_MeetingPlace"/>
    <w:basedOn w:val="Normal"/>
    <w:semiHidden/>
    <w:rsid w:val="00C127A0"/>
    <w:pPr>
      <w:spacing w:before="480"/>
      <w:jc w:val="center"/>
    </w:pPr>
    <w:rPr>
      <w:b/>
      <w:bCs/>
      <w:kern w:val="28"/>
      <w:sz w:val="24"/>
    </w:rPr>
  </w:style>
  <w:style w:type="paragraph" w:customStyle="1" w:styleId="Original">
    <w:name w:val="Original"/>
    <w:basedOn w:val="Normal"/>
    <w:semiHidden/>
    <w:rsid w:val="00C127A0"/>
    <w:pPr>
      <w:spacing w:before="60"/>
      <w:ind w:left="1276"/>
    </w:pPr>
    <w:rPr>
      <w:b/>
      <w:sz w:val="22"/>
    </w:rPr>
  </w:style>
  <w:style w:type="paragraph" w:styleId="Date">
    <w:name w:val="Date"/>
    <w:basedOn w:val="Normal"/>
    <w:semiHidden/>
    <w:rsid w:val="00C127A0"/>
    <w:pPr>
      <w:spacing w:line="340" w:lineRule="exact"/>
      <w:ind w:left="1276"/>
    </w:pPr>
    <w:rPr>
      <w:b/>
      <w:sz w:val="22"/>
    </w:rPr>
  </w:style>
  <w:style w:type="paragraph" w:customStyle="1" w:styleId="Code">
    <w:name w:val="Code"/>
    <w:basedOn w:val="Normal"/>
    <w:link w:val="CodeChar"/>
    <w:semiHidden/>
    <w:rsid w:val="00C127A0"/>
    <w:pPr>
      <w:spacing w:line="340" w:lineRule="atLeast"/>
      <w:ind w:left="1276"/>
    </w:pPr>
    <w:rPr>
      <w:b/>
      <w:bCs/>
      <w:spacing w:val="10"/>
    </w:rPr>
  </w:style>
  <w:style w:type="paragraph" w:customStyle="1" w:styleId="Country">
    <w:name w:val="Country"/>
    <w:basedOn w:val="Normal"/>
    <w:semiHidden/>
    <w:rsid w:val="00C127A0"/>
    <w:pPr>
      <w:spacing w:before="60" w:after="480"/>
      <w:jc w:val="center"/>
    </w:pPr>
  </w:style>
  <w:style w:type="paragraph" w:customStyle="1" w:styleId="Lettrine">
    <w:name w:val="Lettrine"/>
    <w:basedOn w:val="Normal"/>
    <w:rsid w:val="00C127A0"/>
    <w:pPr>
      <w:spacing w:line="340" w:lineRule="atLeast"/>
      <w:jc w:val="right"/>
    </w:pPr>
    <w:rPr>
      <w:b/>
      <w:bCs/>
      <w:sz w:val="36"/>
    </w:rPr>
  </w:style>
  <w:style w:type="paragraph" w:customStyle="1" w:styleId="LogoUPOV">
    <w:name w:val="LogoUPOV"/>
    <w:basedOn w:val="Normal"/>
    <w:rsid w:val="00C127A0"/>
    <w:pPr>
      <w:spacing w:before="600" w:after="80"/>
      <w:jc w:val="center"/>
    </w:pPr>
    <w:rPr>
      <w:snapToGrid w:val="0"/>
    </w:rPr>
  </w:style>
  <w:style w:type="paragraph" w:customStyle="1" w:styleId="Sessiontc">
    <w:name w:val="Session_tc"/>
    <w:basedOn w:val="StyleSessionAllcaps"/>
    <w:rsid w:val="00C127A0"/>
    <w:pPr>
      <w:spacing w:before="0" w:line="280" w:lineRule="exact"/>
      <w:jc w:val="left"/>
    </w:pPr>
    <w:rPr>
      <w:caps w:val="0"/>
      <w:sz w:val="20"/>
    </w:rPr>
  </w:style>
  <w:style w:type="paragraph" w:customStyle="1" w:styleId="TitreUpov">
    <w:name w:val="TitreUpov"/>
    <w:basedOn w:val="Normal"/>
    <w:semiHidden/>
    <w:rsid w:val="00C127A0"/>
    <w:pPr>
      <w:spacing w:before="60"/>
      <w:jc w:val="center"/>
    </w:pPr>
    <w:rPr>
      <w:b/>
      <w:sz w:val="24"/>
    </w:rPr>
  </w:style>
  <w:style w:type="paragraph" w:customStyle="1" w:styleId="StyleSessionAllcaps">
    <w:name w:val="Style Session + All caps"/>
    <w:basedOn w:val="Session"/>
    <w:semiHidden/>
    <w:rsid w:val="00C127A0"/>
    <w:pPr>
      <w:spacing w:before="480"/>
    </w:pPr>
    <w:rPr>
      <w:bCs/>
      <w:caps/>
      <w:kern w:val="28"/>
      <w:sz w:val="24"/>
    </w:rPr>
  </w:style>
  <w:style w:type="paragraph" w:customStyle="1" w:styleId="plcountry">
    <w:name w:val="plcountry"/>
    <w:basedOn w:val="Normal"/>
    <w:rsid w:val="00C127A0"/>
    <w:pPr>
      <w:keepNext/>
      <w:keepLines/>
      <w:spacing w:before="180" w:after="120"/>
      <w:jc w:val="left"/>
    </w:pPr>
    <w:rPr>
      <w:caps/>
      <w:noProof/>
      <w:snapToGrid w:val="0"/>
      <w:u w:val="single"/>
    </w:rPr>
  </w:style>
  <w:style w:type="paragraph" w:customStyle="1" w:styleId="pldetails">
    <w:name w:val="pldetails"/>
    <w:basedOn w:val="Normal"/>
    <w:rsid w:val="00C127A0"/>
    <w:pPr>
      <w:keepLines/>
      <w:spacing w:before="60" w:after="60"/>
      <w:jc w:val="left"/>
    </w:pPr>
    <w:rPr>
      <w:noProof/>
      <w:snapToGrid w:val="0"/>
    </w:rPr>
  </w:style>
  <w:style w:type="paragraph" w:customStyle="1" w:styleId="plheading">
    <w:name w:val="plheading"/>
    <w:basedOn w:val="Normal"/>
    <w:rsid w:val="00C127A0"/>
    <w:pPr>
      <w:keepNext/>
      <w:spacing w:before="480" w:after="120"/>
      <w:jc w:val="center"/>
    </w:pPr>
    <w:rPr>
      <w:caps/>
      <w:snapToGrid w:val="0"/>
      <w:u w:val="single"/>
    </w:rPr>
  </w:style>
  <w:style w:type="paragraph" w:customStyle="1" w:styleId="Sessiontcplacedate">
    <w:name w:val="Session_tc_place_date"/>
    <w:basedOn w:val="SessionMeetingPlace"/>
    <w:rsid w:val="00C127A0"/>
    <w:pPr>
      <w:spacing w:before="240"/>
      <w:contextualSpacing/>
      <w:jc w:val="left"/>
    </w:pPr>
    <w:rPr>
      <w:sz w:val="20"/>
    </w:rPr>
  </w:style>
  <w:style w:type="paragraph" w:customStyle="1" w:styleId="Titleofdoc0">
    <w:name w:val="Title_of_doc"/>
    <w:basedOn w:val="TitleofDoc"/>
    <w:rsid w:val="00C127A0"/>
    <w:pPr>
      <w:spacing w:before="600" w:after="240"/>
      <w:jc w:val="left"/>
    </w:pPr>
    <w:rPr>
      <w:b/>
    </w:rPr>
  </w:style>
  <w:style w:type="paragraph" w:customStyle="1" w:styleId="preparedby1">
    <w:name w:val="prepared_by"/>
    <w:basedOn w:val="preparedby0"/>
    <w:rsid w:val="00C127A0"/>
    <w:pPr>
      <w:spacing w:before="0" w:after="240"/>
    </w:pPr>
    <w:rPr>
      <w:iCs/>
    </w:rPr>
  </w:style>
  <w:style w:type="character" w:customStyle="1" w:styleId="CodeChar">
    <w:name w:val="Code Char"/>
    <w:basedOn w:val="DefaultParagraphFont"/>
    <w:link w:val="Code"/>
    <w:semiHidden/>
    <w:rsid w:val="00C127A0"/>
    <w:rPr>
      <w:rFonts w:ascii="Arial" w:hAnsi="Arial"/>
      <w:b/>
      <w:bCs/>
      <w:spacing w:val="10"/>
      <w:lang w:val="es-ES_tradnl" w:eastAsia="en-US" w:bidi="ar-SA"/>
    </w:rPr>
  </w:style>
  <w:style w:type="paragraph" w:customStyle="1" w:styleId="endofdoc">
    <w:name w:val="end_of_doc"/>
    <w:next w:val="Header"/>
    <w:autoRedefine/>
    <w:rsid w:val="00C127A0"/>
    <w:pPr>
      <w:spacing w:before="480"/>
      <w:ind w:left="567" w:hanging="567"/>
      <w:jc w:val="right"/>
    </w:pPr>
    <w:rPr>
      <w:rFonts w:ascii="Arial" w:hAnsi="Arial"/>
      <w:lang w:val="en-US" w:eastAsia="en-US" w:bidi="ar-SA"/>
    </w:rPr>
  </w:style>
  <w:style w:type="character" w:customStyle="1" w:styleId="DocoriginalChar">
    <w:name w:val="Doc_original Char"/>
    <w:basedOn w:val="CodeChar"/>
    <w:link w:val="Docoriginal"/>
    <w:rsid w:val="00C127A0"/>
    <w:rPr>
      <w:rFonts w:ascii="Arial" w:hAnsi="Arial"/>
      <w:b/>
      <w:bCs/>
      <w:spacing w:val="10"/>
      <w:sz w:val="18"/>
      <w:lang w:val="es-ES_tradnl" w:eastAsia="en-US" w:bidi="ar-SA"/>
    </w:rPr>
  </w:style>
  <w:style w:type="paragraph" w:styleId="TOC2">
    <w:name w:val="toc 2"/>
    <w:next w:val="Normal"/>
    <w:autoRedefine/>
    <w:uiPriority w:val="39"/>
    <w:rsid w:val="00C127A0"/>
    <w:pPr>
      <w:tabs>
        <w:tab w:val="right" w:leader="dot" w:pos="9639"/>
      </w:tabs>
      <w:spacing w:before="120"/>
      <w:ind w:left="454" w:right="851" w:hanging="284"/>
      <w:contextualSpacing/>
    </w:pPr>
    <w:rPr>
      <w:rFonts w:ascii="Arial" w:hAnsi="Arial"/>
      <w:smallCaps/>
      <w:lang w:val="en-US" w:eastAsia="en-US" w:bidi="ar-SA"/>
    </w:rPr>
  </w:style>
  <w:style w:type="paragraph" w:styleId="TOC3">
    <w:name w:val="toc 3"/>
    <w:next w:val="Normal"/>
    <w:autoRedefine/>
    <w:uiPriority w:val="39"/>
    <w:rsid w:val="00C127A0"/>
    <w:pPr>
      <w:tabs>
        <w:tab w:val="right" w:leader="dot" w:pos="9639"/>
      </w:tabs>
      <w:spacing w:before="60"/>
      <w:ind w:left="568" w:right="851" w:hanging="284"/>
      <w:contextualSpacing/>
    </w:pPr>
    <w:rPr>
      <w:rFonts w:ascii="Arial" w:hAnsi="Arial"/>
      <w:sz w:val="18"/>
      <w:lang w:val="fr-FR" w:eastAsia="en-US" w:bidi="ar-SA"/>
    </w:rPr>
  </w:style>
  <w:style w:type="character" w:styleId="Hyperlink">
    <w:name w:val="Hyperlink"/>
    <w:basedOn w:val="DefaultParagraphFont"/>
    <w:uiPriority w:val="99"/>
    <w:rsid w:val="00C127A0"/>
    <w:rPr>
      <w:rFonts w:ascii="Arial" w:hAnsi="Arial"/>
      <w:color w:val="0000FF"/>
      <w:u w:val="single"/>
    </w:rPr>
  </w:style>
  <w:style w:type="paragraph" w:styleId="TOC4">
    <w:name w:val="toc 4"/>
    <w:next w:val="Normal"/>
    <w:autoRedefine/>
    <w:semiHidden/>
    <w:rsid w:val="00C127A0"/>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uiPriority w:val="39"/>
    <w:rsid w:val="00F249C7"/>
    <w:pPr>
      <w:tabs>
        <w:tab w:val="right" w:leader="dot" w:pos="9639"/>
      </w:tabs>
      <w:spacing w:before="120"/>
      <w:jc w:val="center"/>
    </w:pPr>
    <w:rPr>
      <w:rFonts w:ascii="Arial" w:hAnsi="Arial"/>
      <w:caps/>
      <w:lang w:val="en-US" w:eastAsia="en-US" w:bidi="ar-SA"/>
    </w:rPr>
  </w:style>
  <w:style w:type="paragraph" w:styleId="TOC5">
    <w:name w:val="toc 5"/>
    <w:next w:val="Normal"/>
    <w:autoRedefine/>
    <w:semiHidden/>
    <w:rsid w:val="00C127A0"/>
    <w:pPr>
      <w:tabs>
        <w:tab w:val="right" w:leader="dot" w:pos="9639"/>
      </w:tabs>
      <w:ind w:left="567" w:right="851" w:firstLine="284"/>
      <w:jc w:val="both"/>
    </w:pPr>
    <w:rPr>
      <w:rFonts w:ascii="Arial" w:hAnsi="Arial"/>
      <w:sz w:val="16"/>
      <w:lang w:val="fr-FR" w:eastAsia="en-US" w:bidi="ar-SA"/>
    </w:rPr>
  </w:style>
  <w:style w:type="paragraph" w:styleId="BalloonText">
    <w:name w:val="Balloon Text"/>
    <w:basedOn w:val="Normal"/>
    <w:link w:val="BalloonTextChar"/>
    <w:rsid w:val="00C127A0"/>
    <w:rPr>
      <w:rFonts w:ascii="Tahoma" w:hAnsi="Tahoma" w:cs="Tahoma"/>
      <w:sz w:val="16"/>
      <w:szCs w:val="16"/>
    </w:rPr>
  </w:style>
  <w:style w:type="character" w:customStyle="1" w:styleId="BalloonTextChar">
    <w:name w:val="Balloon Text Char"/>
    <w:basedOn w:val="DefaultParagraphFont"/>
    <w:link w:val="BalloonText"/>
    <w:rsid w:val="00C127A0"/>
    <w:rPr>
      <w:rFonts w:ascii="Tahoma" w:hAnsi="Tahoma" w:cs="Tahoma"/>
      <w:sz w:val="16"/>
      <w:szCs w:val="16"/>
      <w:lang w:val="es-ES_tradnl" w:eastAsia="en-US" w:bidi="ar-SA"/>
    </w:rPr>
  </w:style>
  <w:style w:type="paragraph" w:customStyle="1" w:styleId="Doccode">
    <w:name w:val="Doc_code"/>
    <w:qFormat/>
    <w:rsid w:val="00C127A0"/>
    <w:rPr>
      <w:rFonts w:ascii="Arial" w:hAnsi="Arial"/>
      <w:b/>
      <w:bCs/>
      <w:spacing w:val="10"/>
      <w:sz w:val="18"/>
      <w:lang w:val="en-US" w:eastAsia="en-US" w:bidi="ar-SA"/>
    </w:rPr>
  </w:style>
  <w:style w:type="character" w:customStyle="1" w:styleId="Heading1Char">
    <w:name w:val="Heading 1 Char"/>
    <w:basedOn w:val="DefaultParagraphFont"/>
    <w:link w:val="Heading1"/>
    <w:rsid w:val="00314F48"/>
    <w:rPr>
      <w:rFonts w:ascii="Arial" w:hAnsi="Arial"/>
      <w:caps/>
      <w:lang w:val="en-US" w:eastAsia="en-US" w:bidi="ar-SA"/>
    </w:rPr>
  </w:style>
  <w:style w:type="paragraph" w:customStyle="1" w:styleId="Style1">
    <w:name w:val="Style1"/>
    <w:basedOn w:val="Normal"/>
    <w:rsid w:val="00314F48"/>
    <w:pPr>
      <w:tabs>
        <w:tab w:val="decimal" w:pos="907"/>
        <w:tab w:val="left" w:pos="1077"/>
      </w:tabs>
    </w:pPr>
    <w:rPr>
      <w:rFonts w:ascii="Times New Roman" w:hAnsi="Times New Roman"/>
      <w:sz w:val="24"/>
      <w:szCs w:val="24"/>
    </w:rPr>
  </w:style>
  <w:style w:type="paragraph" w:styleId="ListParagraph">
    <w:name w:val="List Paragraph"/>
    <w:basedOn w:val="Normal"/>
    <w:uiPriority w:val="34"/>
    <w:qFormat/>
    <w:rsid w:val="00314F48"/>
    <w:pPr>
      <w:ind w:left="720"/>
      <w:contextualSpacing/>
    </w:pPr>
    <w:rPr>
      <w:rFonts w:eastAsiaTheme="minorEastAsia"/>
    </w:rPr>
  </w:style>
  <w:style w:type="table" w:styleId="TableGrid">
    <w:name w:val="Table Grid"/>
    <w:basedOn w:val="TableNormal"/>
    <w:rsid w:val="00314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7A0"/>
    <w:pPr>
      <w:jc w:val="both"/>
    </w:pPr>
    <w:rPr>
      <w:rFonts w:ascii="Arial" w:hAnsi="Arial"/>
      <w:lang w:val="es-ES_tradnl" w:eastAsia="en-US" w:bidi="ar-SA"/>
    </w:rPr>
  </w:style>
  <w:style w:type="paragraph" w:styleId="Heading1">
    <w:name w:val="heading 1"/>
    <w:next w:val="Normal"/>
    <w:link w:val="Heading1Char"/>
    <w:autoRedefine/>
    <w:qFormat/>
    <w:rsid w:val="00C127A0"/>
    <w:pPr>
      <w:keepNext/>
      <w:jc w:val="both"/>
      <w:outlineLvl w:val="0"/>
    </w:pPr>
    <w:rPr>
      <w:rFonts w:ascii="Arial" w:hAnsi="Arial"/>
      <w:caps/>
      <w:lang w:val="en-US" w:eastAsia="en-US" w:bidi="ar-SA"/>
    </w:rPr>
  </w:style>
  <w:style w:type="paragraph" w:styleId="Heading2">
    <w:name w:val="heading 2"/>
    <w:next w:val="Normal"/>
    <w:autoRedefine/>
    <w:qFormat/>
    <w:rsid w:val="00C127A0"/>
    <w:pPr>
      <w:keepNext/>
      <w:jc w:val="both"/>
      <w:outlineLvl w:val="1"/>
    </w:pPr>
    <w:rPr>
      <w:rFonts w:ascii="Arial" w:hAnsi="Arial"/>
      <w:u w:val="single"/>
      <w:lang w:val="en-US" w:eastAsia="en-US" w:bidi="ar-SA"/>
    </w:rPr>
  </w:style>
  <w:style w:type="paragraph" w:styleId="Heading3">
    <w:name w:val="heading 3"/>
    <w:next w:val="Normal"/>
    <w:autoRedefine/>
    <w:qFormat/>
    <w:rsid w:val="00C127A0"/>
    <w:pPr>
      <w:keepNext/>
      <w:jc w:val="both"/>
      <w:outlineLvl w:val="2"/>
    </w:pPr>
    <w:rPr>
      <w:rFonts w:ascii="Arial" w:hAnsi="Arial"/>
      <w:i/>
      <w:lang w:val="en-US" w:eastAsia="en-US" w:bidi="ar-SA"/>
    </w:rPr>
  </w:style>
  <w:style w:type="paragraph" w:styleId="Heading4">
    <w:name w:val="heading 4"/>
    <w:next w:val="Normal"/>
    <w:autoRedefine/>
    <w:qFormat/>
    <w:rsid w:val="00C127A0"/>
    <w:pPr>
      <w:keepNext/>
      <w:ind w:left="567"/>
      <w:jc w:val="both"/>
      <w:outlineLvl w:val="3"/>
    </w:pPr>
    <w:rPr>
      <w:rFonts w:ascii="Arial" w:hAnsi="Arial"/>
      <w:u w:val="single"/>
      <w:lang w:val="fr-FR" w:eastAsia="en-US" w:bidi="ar-SA"/>
    </w:rPr>
  </w:style>
  <w:style w:type="paragraph" w:styleId="Heading5">
    <w:name w:val="heading 5"/>
    <w:next w:val="Normal"/>
    <w:autoRedefine/>
    <w:qFormat/>
    <w:rsid w:val="00C127A0"/>
    <w:pPr>
      <w:keepNext/>
      <w:ind w:left="1134" w:hanging="567"/>
      <w:jc w:val="both"/>
      <w:outlineLvl w:val="4"/>
    </w:pPr>
    <w:rPr>
      <w:rFonts w:ascii="Arial" w:hAnsi="Arial"/>
      <w:i/>
      <w:lang w:val="en-US" w:eastAsia="en-US" w:bidi="ar-SA"/>
    </w:rPr>
  </w:style>
  <w:style w:type="paragraph" w:styleId="Heading9">
    <w:name w:val="heading 9"/>
    <w:basedOn w:val="Normal"/>
    <w:next w:val="Normal"/>
    <w:qFormat/>
    <w:rsid w:val="00C127A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127A0"/>
    <w:pPr>
      <w:jc w:val="center"/>
    </w:pPr>
    <w:rPr>
      <w:rFonts w:ascii="Arial" w:hAnsi="Arial"/>
      <w:lang w:val="es-ES_tradnl" w:eastAsia="en-US" w:bidi="ar-SA"/>
    </w:rPr>
  </w:style>
  <w:style w:type="paragraph" w:styleId="Footer">
    <w:name w:val="footer"/>
    <w:aliases w:val="doc_path_name"/>
    <w:autoRedefine/>
    <w:rsid w:val="00C127A0"/>
    <w:pPr>
      <w:jc w:val="both"/>
    </w:pPr>
    <w:rPr>
      <w:rFonts w:ascii="Arial" w:hAnsi="Arial"/>
      <w:sz w:val="14"/>
      <w:lang w:val="en-US" w:eastAsia="en-US" w:bidi="ar-SA"/>
    </w:rPr>
  </w:style>
  <w:style w:type="character" w:styleId="PageNumber">
    <w:name w:val="page number"/>
    <w:basedOn w:val="DefaultParagraphFont"/>
    <w:rsid w:val="00C127A0"/>
    <w:rPr>
      <w:rFonts w:ascii="Arial" w:hAnsi="Arial"/>
      <w:sz w:val="20"/>
    </w:rPr>
  </w:style>
  <w:style w:type="paragraph" w:styleId="Title">
    <w:name w:val="Title"/>
    <w:basedOn w:val="Normal"/>
    <w:qFormat/>
    <w:rsid w:val="00C127A0"/>
    <w:pPr>
      <w:spacing w:after="300"/>
      <w:jc w:val="center"/>
    </w:pPr>
    <w:rPr>
      <w:b/>
      <w:caps/>
      <w:kern w:val="28"/>
      <w:sz w:val="30"/>
    </w:rPr>
  </w:style>
  <w:style w:type="paragraph" w:customStyle="1" w:styleId="preparedby">
    <w:name w:val="preparedby"/>
    <w:basedOn w:val="Normal"/>
    <w:next w:val="Normal"/>
    <w:semiHidden/>
    <w:rsid w:val="00C127A0"/>
    <w:pPr>
      <w:spacing w:after="600"/>
      <w:jc w:val="center"/>
    </w:pPr>
    <w:rPr>
      <w:i/>
    </w:rPr>
  </w:style>
  <w:style w:type="paragraph" w:customStyle="1" w:styleId="Docoriginal">
    <w:name w:val="Doc_original"/>
    <w:basedOn w:val="Code"/>
    <w:link w:val="DocoriginalChar"/>
    <w:rsid w:val="00C127A0"/>
    <w:pPr>
      <w:spacing w:before="240" w:line="240" w:lineRule="exact"/>
      <w:ind w:left="0"/>
      <w:contextualSpacing/>
      <w:jc w:val="left"/>
    </w:pPr>
    <w:rPr>
      <w:sz w:val="18"/>
    </w:rPr>
  </w:style>
  <w:style w:type="paragraph" w:customStyle="1" w:styleId="DecisionParagraphs">
    <w:name w:val="DecisionParagraphs"/>
    <w:basedOn w:val="Normal"/>
    <w:rsid w:val="00C127A0"/>
    <w:pPr>
      <w:tabs>
        <w:tab w:val="left" w:pos="5387"/>
      </w:tabs>
      <w:ind w:left="4820"/>
    </w:pPr>
    <w:rPr>
      <w:i/>
    </w:rPr>
  </w:style>
  <w:style w:type="paragraph" w:styleId="FootnoteText">
    <w:name w:val="footnote text"/>
    <w:autoRedefine/>
    <w:rsid w:val="00C127A0"/>
    <w:pPr>
      <w:spacing w:before="60"/>
      <w:ind w:left="567" w:hanging="567"/>
      <w:jc w:val="both"/>
    </w:pPr>
    <w:rPr>
      <w:rFonts w:ascii="Arial" w:hAnsi="Arial"/>
      <w:sz w:val="16"/>
      <w:lang w:val="es-ES_tradnl" w:eastAsia="en-US" w:bidi="ar-SA"/>
    </w:rPr>
  </w:style>
  <w:style w:type="character" w:styleId="FootnoteReference">
    <w:name w:val="footnote reference"/>
    <w:basedOn w:val="DefaultParagraphFont"/>
    <w:semiHidden/>
    <w:rsid w:val="00C127A0"/>
    <w:rPr>
      <w:vertAlign w:val="superscript"/>
    </w:rPr>
  </w:style>
  <w:style w:type="paragraph" w:styleId="Closing">
    <w:name w:val="Closing"/>
    <w:basedOn w:val="Normal"/>
    <w:rsid w:val="00C127A0"/>
    <w:pPr>
      <w:ind w:left="4536"/>
      <w:jc w:val="center"/>
    </w:pPr>
  </w:style>
  <w:style w:type="paragraph" w:styleId="Index1">
    <w:name w:val="index 1"/>
    <w:basedOn w:val="Normal"/>
    <w:next w:val="Normal"/>
    <w:semiHidden/>
    <w:rsid w:val="00C127A0"/>
    <w:pPr>
      <w:tabs>
        <w:tab w:val="right" w:leader="dot" w:pos="9071"/>
      </w:tabs>
      <w:ind w:left="284" w:hanging="284"/>
    </w:pPr>
    <w:rPr>
      <w:sz w:val="24"/>
    </w:rPr>
  </w:style>
  <w:style w:type="paragraph" w:styleId="Index2">
    <w:name w:val="index 2"/>
    <w:basedOn w:val="Normal"/>
    <w:next w:val="Normal"/>
    <w:semiHidden/>
    <w:rsid w:val="00C127A0"/>
    <w:pPr>
      <w:tabs>
        <w:tab w:val="right" w:leader="dot" w:pos="9071"/>
      </w:tabs>
      <w:ind w:left="568" w:hanging="284"/>
    </w:pPr>
    <w:rPr>
      <w:sz w:val="24"/>
    </w:rPr>
  </w:style>
  <w:style w:type="paragraph" w:styleId="Index3">
    <w:name w:val="index 3"/>
    <w:basedOn w:val="Normal"/>
    <w:next w:val="Normal"/>
    <w:semiHidden/>
    <w:rsid w:val="00C127A0"/>
    <w:pPr>
      <w:tabs>
        <w:tab w:val="right" w:leader="dot" w:pos="9071"/>
      </w:tabs>
      <w:ind w:left="851" w:hanging="284"/>
    </w:pPr>
    <w:rPr>
      <w:sz w:val="24"/>
    </w:rPr>
  </w:style>
  <w:style w:type="paragraph" w:styleId="MacroText">
    <w:name w:val="macro"/>
    <w:semiHidden/>
    <w:rsid w:val="00C127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bidi="ar-SA"/>
    </w:rPr>
  </w:style>
  <w:style w:type="paragraph" w:styleId="Signature">
    <w:name w:val="Signature"/>
    <w:basedOn w:val="Normal"/>
    <w:rsid w:val="00C127A0"/>
    <w:pPr>
      <w:ind w:left="4536"/>
      <w:jc w:val="center"/>
    </w:pPr>
  </w:style>
  <w:style w:type="character" w:customStyle="1" w:styleId="Doclang">
    <w:name w:val="Doc_lang"/>
    <w:basedOn w:val="DefaultParagraphFont"/>
    <w:rsid w:val="00C127A0"/>
    <w:rPr>
      <w:rFonts w:ascii="Arial" w:hAnsi="Arial"/>
      <w:sz w:val="20"/>
      <w:lang w:val="en-US"/>
    </w:rPr>
  </w:style>
  <w:style w:type="paragraph" w:customStyle="1" w:styleId="Session">
    <w:name w:val="Session"/>
    <w:basedOn w:val="Normal"/>
    <w:semiHidden/>
    <w:rsid w:val="00C127A0"/>
    <w:pPr>
      <w:spacing w:before="60"/>
      <w:jc w:val="center"/>
    </w:pPr>
    <w:rPr>
      <w:b/>
    </w:rPr>
  </w:style>
  <w:style w:type="paragraph" w:customStyle="1" w:styleId="Organizer">
    <w:name w:val="Organizer"/>
    <w:basedOn w:val="Normal"/>
    <w:semiHidden/>
    <w:rsid w:val="00C127A0"/>
    <w:pPr>
      <w:spacing w:after="600"/>
      <w:ind w:left="-993" w:right="-994"/>
      <w:jc w:val="center"/>
    </w:pPr>
    <w:rPr>
      <w:b/>
      <w:caps/>
      <w:kern w:val="26"/>
      <w:sz w:val="26"/>
    </w:rPr>
  </w:style>
  <w:style w:type="paragraph" w:styleId="BodyText">
    <w:name w:val="Body Text"/>
    <w:basedOn w:val="Normal"/>
    <w:rsid w:val="00C127A0"/>
  </w:style>
  <w:style w:type="paragraph" w:customStyle="1" w:styleId="Disclaimer">
    <w:name w:val="Disclaimer"/>
    <w:next w:val="Normal"/>
    <w:qFormat/>
    <w:rsid w:val="00C127A0"/>
    <w:pPr>
      <w:spacing w:after="600"/>
    </w:pPr>
    <w:rPr>
      <w:rFonts w:ascii="Arial" w:hAnsi="Arial"/>
      <w:i/>
      <w:iCs/>
      <w:color w:val="A6A6A6" w:themeColor="background1" w:themeShade="A6"/>
      <w:lang w:val="es-ES_tradnl" w:eastAsia="en-US" w:bidi="ar-SA"/>
    </w:rPr>
  </w:style>
  <w:style w:type="paragraph" w:customStyle="1" w:styleId="upove">
    <w:name w:val="upov_e"/>
    <w:basedOn w:val="Normal"/>
    <w:rsid w:val="00C127A0"/>
    <w:pPr>
      <w:spacing w:before="120"/>
    </w:pPr>
    <w:rPr>
      <w:sz w:val="16"/>
    </w:rPr>
  </w:style>
  <w:style w:type="paragraph" w:customStyle="1" w:styleId="TitleofDoc">
    <w:name w:val="Title of Doc"/>
    <w:basedOn w:val="Normal"/>
    <w:semiHidden/>
    <w:rsid w:val="00C127A0"/>
    <w:pPr>
      <w:spacing w:before="1200"/>
      <w:jc w:val="center"/>
    </w:pPr>
    <w:rPr>
      <w:caps/>
    </w:rPr>
  </w:style>
  <w:style w:type="paragraph" w:customStyle="1" w:styleId="preparedby0">
    <w:name w:val="prepared by"/>
    <w:basedOn w:val="Normal"/>
    <w:semiHidden/>
    <w:rsid w:val="00C127A0"/>
    <w:pPr>
      <w:spacing w:before="600" w:after="600"/>
      <w:jc w:val="center"/>
    </w:pPr>
    <w:rPr>
      <w:i/>
    </w:rPr>
  </w:style>
  <w:style w:type="paragraph" w:customStyle="1" w:styleId="PlaceAndDate">
    <w:name w:val="PlaceAndDate"/>
    <w:basedOn w:val="Session"/>
    <w:semiHidden/>
    <w:rsid w:val="00C127A0"/>
  </w:style>
  <w:style w:type="paragraph" w:styleId="EndnoteText">
    <w:name w:val="endnote text"/>
    <w:basedOn w:val="Normal"/>
    <w:semiHidden/>
    <w:rsid w:val="00C127A0"/>
  </w:style>
  <w:style w:type="character" w:styleId="EndnoteReference">
    <w:name w:val="endnote reference"/>
    <w:basedOn w:val="DefaultParagraphFont"/>
    <w:semiHidden/>
    <w:rsid w:val="00C127A0"/>
    <w:rPr>
      <w:vertAlign w:val="superscript"/>
    </w:rPr>
  </w:style>
  <w:style w:type="paragraph" w:customStyle="1" w:styleId="SessionMeetingPlace">
    <w:name w:val="Session_MeetingPlace"/>
    <w:basedOn w:val="Normal"/>
    <w:semiHidden/>
    <w:rsid w:val="00C127A0"/>
    <w:pPr>
      <w:spacing w:before="480"/>
      <w:jc w:val="center"/>
    </w:pPr>
    <w:rPr>
      <w:b/>
      <w:bCs/>
      <w:kern w:val="28"/>
      <w:sz w:val="24"/>
    </w:rPr>
  </w:style>
  <w:style w:type="paragraph" w:customStyle="1" w:styleId="Original">
    <w:name w:val="Original"/>
    <w:basedOn w:val="Normal"/>
    <w:semiHidden/>
    <w:rsid w:val="00C127A0"/>
    <w:pPr>
      <w:spacing w:before="60"/>
      <w:ind w:left="1276"/>
    </w:pPr>
    <w:rPr>
      <w:b/>
      <w:sz w:val="22"/>
    </w:rPr>
  </w:style>
  <w:style w:type="paragraph" w:styleId="Date">
    <w:name w:val="Date"/>
    <w:basedOn w:val="Normal"/>
    <w:semiHidden/>
    <w:rsid w:val="00C127A0"/>
    <w:pPr>
      <w:spacing w:line="340" w:lineRule="exact"/>
      <w:ind w:left="1276"/>
    </w:pPr>
    <w:rPr>
      <w:b/>
      <w:sz w:val="22"/>
    </w:rPr>
  </w:style>
  <w:style w:type="paragraph" w:customStyle="1" w:styleId="Code">
    <w:name w:val="Code"/>
    <w:basedOn w:val="Normal"/>
    <w:link w:val="CodeChar"/>
    <w:semiHidden/>
    <w:rsid w:val="00C127A0"/>
    <w:pPr>
      <w:spacing w:line="340" w:lineRule="atLeast"/>
      <w:ind w:left="1276"/>
    </w:pPr>
    <w:rPr>
      <w:b/>
      <w:bCs/>
      <w:spacing w:val="10"/>
    </w:rPr>
  </w:style>
  <w:style w:type="paragraph" w:customStyle="1" w:styleId="Country">
    <w:name w:val="Country"/>
    <w:basedOn w:val="Normal"/>
    <w:semiHidden/>
    <w:rsid w:val="00C127A0"/>
    <w:pPr>
      <w:spacing w:before="60" w:after="480"/>
      <w:jc w:val="center"/>
    </w:pPr>
  </w:style>
  <w:style w:type="paragraph" w:customStyle="1" w:styleId="Lettrine">
    <w:name w:val="Lettrine"/>
    <w:basedOn w:val="Normal"/>
    <w:rsid w:val="00C127A0"/>
    <w:pPr>
      <w:spacing w:line="340" w:lineRule="atLeast"/>
      <w:jc w:val="right"/>
    </w:pPr>
    <w:rPr>
      <w:b/>
      <w:bCs/>
      <w:sz w:val="36"/>
    </w:rPr>
  </w:style>
  <w:style w:type="paragraph" w:customStyle="1" w:styleId="LogoUPOV">
    <w:name w:val="LogoUPOV"/>
    <w:basedOn w:val="Normal"/>
    <w:rsid w:val="00C127A0"/>
    <w:pPr>
      <w:spacing w:before="600" w:after="80"/>
      <w:jc w:val="center"/>
    </w:pPr>
    <w:rPr>
      <w:snapToGrid w:val="0"/>
    </w:rPr>
  </w:style>
  <w:style w:type="paragraph" w:customStyle="1" w:styleId="Sessiontc">
    <w:name w:val="Session_tc"/>
    <w:basedOn w:val="StyleSessionAllcaps"/>
    <w:rsid w:val="00C127A0"/>
    <w:pPr>
      <w:spacing w:before="0" w:line="280" w:lineRule="exact"/>
      <w:jc w:val="left"/>
    </w:pPr>
    <w:rPr>
      <w:caps w:val="0"/>
      <w:sz w:val="20"/>
    </w:rPr>
  </w:style>
  <w:style w:type="paragraph" w:customStyle="1" w:styleId="TitreUpov">
    <w:name w:val="TitreUpov"/>
    <w:basedOn w:val="Normal"/>
    <w:semiHidden/>
    <w:rsid w:val="00C127A0"/>
    <w:pPr>
      <w:spacing w:before="60"/>
      <w:jc w:val="center"/>
    </w:pPr>
    <w:rPr>
      <w:b/>
      <w:sz w:val="24"/>
    </w:rPr>
  </w:style>
  <w:style w:type="paragraph" w:customStyle="1" w:styleId="StyleSessionAllcaps">
    <w:name w:val="Style Session + All caps"/>
    <w:basedOn w:val="Session"/>
    <w:semiHidden/>
    <w:rsid w:val="00C127A0"/>
    <w:pPr>
      <w:spacing w:before="480"/>
    </w:pPr>
    <w:rPr>
      <w:bCs/>
      <w:caps/>
      <w:kern w:val="28"/>
      <w:sz w:val="24"/>
    </w:rPr>
  </w:style>
  <w:style w:type="paragraph" w:customStyle="1" w:styleId="plcountry">
    <w:name w:val="plcountry"/>
    <w:basedOn w:val="Normal"/>
    <w:rsid w:val="00C127A0"/>
    <w:pPr>
      <w:keepNext/>
      <w:keepLines/>
      <w:spacing w:before="180" w:after="120"/>
      <w:jc w:val="left"/>
    </w:pPr>
    <w:rPr>
      <w:caps/>
      <w:noProof/>
      <w:snapToGrid w:val="0"/>
      <w:u w:val="single"/>
    </w:rPr>
  </w:style>
  <w:style w:type="paragraph" w:customStyle="1" w:styleId="pldetails">
    <w:name w:val="pldetails"/>
    <w:basedOn w:val="Normal"/>
    <w:rsid w:val="00C127A0"/>
    <w:pPr>
      <w:keepLines/>
      <w:spacing w:before="60" w:after="60"/>
      <w:jc w:val="left"/>
    </w:pPr>
    <w:rPr>
      <w:noProof/>
      <w:snapToGrid w:val="0"/>
    </w:rPr>
  </w:style>
  <w:style w:type="paragraph" w:customStyle="1" w:styleId="plheading">
    <w:name w:val="plheading"/>
    <w:basedOn w:val="Normal"/>
    <w:rsid w:val="00C127A0"/>
    <w:pPr>
      <w:keepNext/>
      <w:spacing w:before="480" w:after="120"/>
      <w:jc w:val="center"/>
    </w:pPr>
    <w:rPr>
      <w:caps/>
      <w:snapToGrid w:val="0"/>
      <w:u w:val="single"/>
    </w:rPr>
  </w:style>
  <w:style w:type="paragraph" w:customStyle="1" w:styleId="Sessiontcplacedate">
    <w:name w:val="Session_tc_place_date"/>
    <w:basedOn w:val="SessionMeetingPlace"/>
    <w:rsid w:val="00C127A0"/>
    <w:pPr>
      <w:spacing w:before="240"/>
      <w:contextualSpacing/>
      <w:jc w:val="left"/>
    </w:pPr>
    <w:rPr>
      <w:sz w:val="20"/>
    </w:rPr>
  </w:style>
  <w:style w:type="paragraph" w:customStyle="1" w:styleId="Titleofdoc0">
    <w:name w:val="Title_of_doc"/>
    <w:basedOn w:val="TitleofDoc"/>
    <w:rsid w:val="00C127A0"/>
    <w:pPr>
      <w:spacing w:before="600" w:after="240"/>
      <w:jc w:val="left"/>
    </w:pPr>
    <w:rPr>
      <w:b/>
    </w:rPr>
  </w:style>
  <w:style w:type="paragraph" w:customStyle="1" w:styleId="preparedby1">
    <w:name w:val="prepared_by"/>
    <w:basedOn w:val="preparedby0"/>
    <w:rsid w:val="00C127A0"/>
    <w:pPr>
      <w:spacing w:before="0" w:after="240"/>
    </w:pPr>
    <w:rPr>
      <w:iCs/>
    </w:rPr>
  </w:style>
  <w:style w:type="character" w:customStyle="1" w:styleId="CodeChar">
    <w:name w:val="Code Char"/>
    <w:basedOn w:val="DefaultParagraphFont"/>
    <w:link w:val="Code"/>
    <w:semiHidden/>
    <w:rsid w:val="00C127A0"/>
    <w:rPr>
      <w:rFonts w:ascii="Arial" w:hAnsi="Arial"/>
      <w:b/>
      <w:bCs/>
      <w:spacing w:val="10"/>
      <w:lang w:val="es-ES_tradnl" w:eastAsia="en-US" w:bidi="ar-SA"/>
    </w:rPr>
  </w:style>
  <w:style w:type="paragraph" w:customStyle="1" w:styleId="endofdoc">
    <w:name w:val="end_of_doc"/>
    <w:next w:val="Header"/>
    <w:autoRedefine/>
    <w:rsid w:val="00C127A0"/>
    <w:pPr>
      <w:spacing w:before="480"/>
      <w:ind w:left="567" w:hanging="567"/>
      <w:jc w:val="right"/>
    </w:pPr>
    <w:rPr>
      <w:rFonts w:ascii="Arial" w:hAnsi="Arial"/>
      <w:lang w:val="en-US" w:eastAsia="en-US" w:bidi="ar-SA"/>
    </w:rPr>
  </w:style>
  <w:style w:type="character" w:customStyle="1" w:styleId="DocoriginalChar">
    <w:name w:val="Doc_original Char"/>
    <w:basedOn w:val="CodeChar"/>
    <w:link w:val="Docoriginal"/>
    <w:rsid w:val="00C127A0"/>
    <w:rPr>
      <w:rFonts w:ascii="Arial" w:hAnsi="Arial"/>
      <w:b/>
      <w:bCs/>
      <w:spacing w:val="10"/>
      <w:sz w:val="18"/>
      <w:lang w:val="es-ES_tradnl" w:eastAsia="en-US" w:bidi="ar-SA"/>
    </w:rPr>
  </w:style>
  <w:style w:type="paragraph" w:styleId="TOC2">
    <w:name w:val="toc 2"/>
    <w:next w:val="Normal"/>
    <w:autoRedefine/>
    <w:uiPriority w:val="39"/>
    <w:rsid w:val="00C127A0"/>
    <w:pPr>
      <w:tabs>
        <w:tab w:val="right" w:leader="dot" w:pos="9639"/>
      </w:tabs>
      <w:spacing w:before="120"/>
      <w:ind w:left="454" w:right="851" w:hanging="284"/>
      <w:contextualSpacing/>
    </w:pPr>
    <w:rPr>
      <w:rFonts w:ascii="Arial" w:hAnsi="Arial"/>
      <w:smallCaps/>
      <w:lang w:val="en-US" w:eastAsia="en-US" w:bidi="ar-SA"/>
    </w:rPr>
  </w:style>
  <w:style w:type="paragraph" w:styleId="TOC3">
    <w:name w:val="toc 3"/>
    <w:next w:val="Normal"/>
    <w:autoRedefine/>
    <w:uiPriority w:val="39"/>
    <w:rsid w:val="00C127A0"/>
    <w:pPr>
      <w:tabs>
        <w:tab w:val="right" w:leader="dot" w:pos="9639"/>
      </w:tabs>
      <w:spacing w:before="60"/>
      <w:ind w:left="568" w:right="851" w:hanging="284"/>
      <w:contextualSpacing/>
    </w:pPr>
    <w:rPr>
      <w:rFonts w:ascii="Arial" w:hAnsi="Arial"/>
      <w:sz w:val="18"/>
      <w:lang w:val="fr-FR" w:eastAsia="en-US" w:bidi="ar-SA"/>
    </w:rPr>
  </w:style>
  <w:style w:type="character" w:styleId="Hyperlink">
    <w:name w:val="Hyperlink"/>
    <w:basedOn w:val="DefaultParagraphFont"/>
    <w:uiPriority w:val="99"/>
    <w:rsid w:val="00C127A0"/>
    <w:rPr>
      <w:rFonts w:ascii="Arial" w:hAnsi="Arial"/>
      <w:color w:val="0000FF"/>
      <w:u w:val="single"/>
    </w:rPr>
  </w:style>
  <w:style w:type="paragraph" w:styleId="TOC4">
    <w:name w:val="toc 4"/>
    <w:next w:val="Normal"/>
    <w:autoRedefine/>
    <w:semiHidden/>
    <w:rsid w:val="00C127A0"/>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uiPriority w:val="39"/>
    <w:rsid w:val="00F249C7"/>
    <w:pPr>
      <w:tabs>
        <w:tab w:val="right" w:leader="dot" w:pos="9639"/>
      </w:tabs>
      <w:spacing w:before="120"/>
      <w:jc w:val="center"/>
    </w:pPr>
    <w:rPr>
      <w:rFonts w:ascii="Arial" w:hAnsi="Arial"/>
      <w:caps/>
      <w:lang w:val="en-US" w:eastAsia="en-US" w:bidi="ar-SA"/>
    </w:rPr>
  </w:style>
  <w:style w:type="paragraph" w:styleId="TOC5">
    <w:name w:val="toc 5"/>
    <w:next w:val="Normal"/>
    <w:autoRedefine/>
    <w:semiHidden/>
    <w:rsid w:val="00C127A0"/>
    <w:pPr>
      <w:tabs>
        <w:tab w:val="right" w:leader="dot" w:pos="9639"/>
      </w:tabs>
      <w:ind w:left="567" w:right="851" w:firstLine="284"/>
      <w:jc w:val="both"/>
    </w:pPr>
    <w:rPr>
      <w:rFonts w:ascii="Arial" w:hAnsi="Arial"/>
      <w:sz w:val="16"/>
      <w:lang w:val="fr-FR" w:eastAsia="en-US" w:bidi="ar-SA"/>
    </w:rPr>
  </w:style>
  <w:style w:type="paragraph" w:styleId="BalloonText">
    <w:name w:val="Balloon Text"/>
    <w:basedOn w:val="Normal"/>
    <w:link w:val="BalloonTextChar"/>
    <w:rsid w:val="00C127A0"/>
    <w:rPr>
      <w:rFonts w:ascii="Tahoma" w:hAnsi="Tahoma" w:cs="Tahoma"/>
      <w:sz w:val="16"/>
      <w:szCs w:val="16"/>
    </w:rPr>
  </w:style>
  <w:style w:type="character" w:customStyle="1" w:styleId="BalloonTextChar">
    <w:name w:val="Balloon Text Char"/>
    <w:basedOn w:val="DefaultParagraphFont"/>
    <w:link w:val="BalloonText"/>
    <w:rsid w:val="00C127A0"/>
    <w:rPr>
      <w:rFonts w:ascii="Tahoma" w:hAnsi="Tahoma" w:cs="Tahoma"/>
      <w:sz w:val="16"/>
      <w:szCs w:val="16"/>
      <w:lang w:val="es-ES_tradnl" w:eastAsia="en-US" w:bidi="ar-SA"/>
    </w:rPr>
  </w:style>
  <w:style w:type="paragraph" w:customStyle="1" w:styleId="Doccode">
    <w:name w:val="Doc_code"/>
    <w:qFormat/>
    <w:rsid w:val="00C127A0"/>
    <w:rPr>
      <w:rFonts w:ascii="Arial" w:hAnsi="Arial"/>
      <w:b/>
      <w:bCs/>
      <w:spacing w:val="10"/>
      <w:sz w:val="18"/>
      <w:lang w:val="en-US" w:eastAsia="en-US" w:bidi="ar-SA"/>
    </w:rPr>
  </w:style>
  <w:style w:type="character" w:customStyle="1" w:styleId="Heading1Char">
    <w:name w:val="Heading 1 Char"/>
    <w:basedOn w:val="DefaultParagraphFont"/>
    <w:link w:val="Heading1"/>
    <w:rsid w:val="00314F48"/>
    <w:rPr>
      <w:rFonts w:ascii="Arial" w:hAnsi="Arial"/>
      <w:caps/>
      <w:lang w:val="en-US" w:eastAsia="en-US" w:bidi="ar-SA"/>
    </w:rPr>
  </w:style>
  <w:style w:type="paragraph" w:customStyle="1" w:styleId="Style1">
    <w:name w:val="Style1"/>
    <w:basedOn w:val="Normal"/>
    <w:rsid w:val="00314F48"/>
    <w:pPr>
      <w:tabs>
        <w:tab w:val="decimal" w:pos="907"/>
        <w:tab w:val="left" w:pos="1077"/>
      </w:tabs>
    </w:pPr>
    <w:rPr>
      <w:rFonts w:ascii="Times New Roman" w:hAnsi="Times New Roman"/>
      <w:sz w:val="24"/>
      <w:szCs w:val="24"/>
    </w:rPr>
  </w:style>
  <w:style w:type="paragraph" w:styleId="ListParagraph">
    <w:name w:val="List Paragraph"/>
    <w:basedOn w:val="Normal"/>
    <w:uiPriority w:val="34"/>
    <w:qFormat/>
    <w:rsid w:val="00314F48"/>
    <w:pPr>
      <w:ind w:left="720"/>
      <w:contextualSpacing/>
    </w:pPr>
    <w:rPr>
      <w:rFonts w:eastAsiaTheme="minorEastAsia"/>
    </w:rPr>
  </w:style>
  <w:style w:type="table" w:styleId="TableGrid">
    <w:name w:val="Table Grid"/>
    <w:basedOn w:val="TableNormal"/>
    <w:rsid w:val="00314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43D8-EB2F-426C-856D-CF9A67E5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4817</Words>
  <Characters>24469</Characters>
  <Application>Microsoft Office Word</Application>
  <DocSecurity>0</DocSecurity>
  <Lines>203</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TC/53/19</vt:lpstr>
      <vt:lpstr>TC/53/19</vt:lpstr>
    </vt:vector>
  </TitlesOfParts>
  <Company>UPOV</Company>
  <LinksUpToDate>false</LinksUpToDate>
  <CharactersWithSpaces>29228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TC/53/19</dc:title>
  <dc:creator>CEVALLOS DUQUE Nilo</dc:creator>
  <cp:lastModifiedBy>GIACHINO Erika</cp:lastModifiedBy>
  <cp:revision>7</cp:revision>
  <cp:lastPrinted>2016-11-22T15:41:00Z</cp:lastPrinted>
  <dcterms:created xsi:type="dcterms:W3CDTF">2017-02-14T16:08:00Z</dcterms:created>
  <dcterms:modified xsi:type="dcterms:W3CDTF">2017-02-17T11:00:00Z</dcterms:modified>
</cp:coreProperties>
</file>