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2" w:type="dxa"/>
        <w:tblLayout w:type="fixed"/>
        <w:tblCellMar>
          <w:left w:w="0" w:type="dxa"/>
          <w:right w:w="0" w:type="dxa"/>
        </w:tblCellMar>
        <w:tblLook w:val="0000" w:firstRow="0" w:lastRow="0" w:firstColumn="0" w:lastColumn="0" w:noHBand="0" w:noVBand="0"/>
      </w:tblPr>
      <w:tblGrid>
        <w:gridCol w:w="6522"/>
        <w:gridCol w:w="3117"/>
      </w:tblGrid>
      <w:tr w:rsidR="00EB2111" w:rsidRPr="00647DFF">
        <w:tc>
          <w:tcPr>
            <w:tcW w:w="6522" w:type="dxa"/>
          </w:tcPr>
          <w:p w:rsidR="00EB2111" w:rsidRPr="00647DFF" w:rsidRDefault="000B1676" w:rsidP="00D165EA">
            <w:r>
              <w:rPr>
                <w:noProof/>
              </w:rPr>
              <w:drawing>
                <wp:inline distT="0" distB="0" distL="0" distR="0">
                  <wp:extent cx="952500" cy="2381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c>
          <w:tcPr>
            <w:tcW w:w="3117" w:type="dxa"/>
          </w:tcPr>
          <w:p w:rsidR="00EB2111" w:rsidRPr="00647DFF" w:rsidRDefault="00EB2111" w:rsidP="00D165EA">
            <w:pPr>
              <w:pStyle w:val="Lettrine"/>
            </w:pPr>
            <w:r w:rsidRPr="00647DFF">
              <w:t>S</w:t>
            </w:r>
          </w:p>
        </w:tc>
      </w:tr>
      <w:tr w:rsidR="00EB2111" w:rsidRPr="00A42442">
        <w:trPr>
          <w:trHeight w:val="219"/>
        </w:trPr>
        <w:tc>
          <w:tcPr>
            <w:tcW w:w="6522" w:type="dxa"/>
          </w:tcPr>
          <w:p w:rsidR="00EB2111" w:rsidRPr="00647DFF" w:rsidRDefault="00EB2111" w:rsidP="00D165EA">
            <w:pPr>
              <w:pStyle w:val="upove"/>
            </w:pPr>
            <w:r w:rsidRPr="00647DFF">
              <w:t>Unión Internacional para la Protección de las Obtenciones Vegetales</w:t>
            </w:r>
          </w:p>
        </w:tc>
        <w:tc>
          <w:tcPr>
            <w:tcW w:w="3117" w:type="dxa"/>
          </w:tcPr>
          <w:p w:rsidR="00EB2111" w:rsidRPr="000B1676" w:rsidRDefault="00EB2111" w:rsidP="00D165EA">
            <w:pPr>
              <w:rPr>
                <w:lang w:val="es-ES"/>
              </w:rPr>
            </w:pPr>
          </w:p>
        </w:tc>
      </w:tr>
    </w:tbl>
    <w:p w:rsidR="00EB2111" w:rsidRPr="000B1676" w:rsidRDefault="00EB2111" w:rsidP="00DC3802">
      <w:pPr>
        <w:rPr>
          <w:lang w:val="es-ES"/>
        </w:rPr>
      </w:pPr>
    </w:p>
    <w:p w:rsidR="00EB2111" w:rsidRPr="000B1676" w:rsidRDefault="00EB2111" w:rsidP="00DC3802">
      <w:pPr>
        <w:rPr>
          <w:lang w:val="es-ES"/>
        </w:rPr>
      </w:pPr>
    </w:p>
    <w:tbl>
      <w:tblPr>
        <w:tblW w:w="5000" w:type="pct"/>
        <w:tblInd w:w="2" w:type="dxa"/>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2111" w:rsidRPr="00A42442">
        <w:tc>
          <w:tcPr>
            <w:tcW w:w="6512" w:type="dxa"/>
            <w:tcBorders>
              <w:bottom w:val="single" w:sz="4" w:space="0" w:color="auto"/>
            </w:tcBorders>
          </w:tcPr>
          <w:p w:rsidR="00EB2111" w:rsidRPr="00647DFF" w:rsidRDefault="00EB2111" w:rsidP="00D165EA">
            <w:pPr>
              <w:pStyle w:val="Sessiontc"/>
              <w:spacing w:line="240" w:lineRule="auto"/>
            </w:pPr>
            <w:r w:rsidRPr="00647DFF">
              <w:t>Comité Técnico</w:t>
            </w:r>
          </w:p>
          <w:p w:rsidR="00EB2111" w:rsidRPr="00647DFF" w:rsidRDefault="00EB2111" w:rsidP="00D165EA">
            <w:pPr>
              <w:pStyle w:val="Sessiontcplacedate"/>
              <w:rPr>
                <w:sz w:val="22"/>
                <w:szCs w:val="22"/>
              </w:rPr>
            </w:pPr>
            <w:r w:rsidRPr="00647DFF">
              <w:t>Quincuagésima tercera sesión</w:t>
            </w:r>
            <w:r w:rsidRPr="00647DFF">
              <w:br/>
              <w:t>Ginebra, 3 a 5 de abril de 2017</w:t>
            </w:r>
          </w:p>
        </w:tc>
        <w:tc>
          <w:tcPr>
            <w:tcW w:w="3127" w:type="dxa"/>
            <w:tcBorders>
              <w:bottom w:val="single" w:sz="4" w:space="0" w:color="auto"/>
            </w:tcBorders>
          </w:tcPr>
          <w:p w:rsidR="00EB2111" w:rsidRPr="00647DFF" w:rsidRDefault="00EB2111" w:rsidP="00F6376E">
            <w:pPr>
              <w:pStyle w:val="Doccode"/>
              <w:rPr>
                <w:lang w:val="es-ES_tradnl"/>
              </w:rPr>
            </w:pPr>
            <w:r w:rsidRPr="00647DFF">
              <w:rPr>
                <w:lang w:val="es-ES_tradnl"/>
              </w:rPr>
              <w:t>TC/53/11</w:t>
            </w:r>
          </w:p>
          <w:p w:rsidR="00EB2111" w:rsidRPr="00647DFF" w:rsidRDefault="00EB2111" w:rsidP="00F6376E">
            <w:pPr>
              <w:pStyle w:val="Docoriginal"/>
            </w:pPr>
            <w:r w:rsidRPr="00647DFF">
              <w:t xml:space="preserve">Original:  </w:t>
            </w:r>
            <w:r w:rsidRPr="00647DFF">
              <w:rPr>
                <w:b w:val="0"/>
                <w:bCs w:val="0"/>
                <w:spacing w:val="0"/>
              </w:rPr>
              <w:t>Inglés</w:t>
            </w:r>
          </w:p>
          <w:p w:rsidR="00EB2111" w:rsidRPr="00647DFF" w:rsidRDefault="00EB2111" w:rsidP="003E6D92">
            <w:pPr>
              <w:pStyle w:val="Docoriginal"/>
            </w:pPr>
            <w:r w:rsidRPr="00647DFF">
              <w:t xml:space="preserve">Fecha:  </w:t>
            </w:r>
            <w:r w:rsidRPr="00647DFF">
              <w:rPr>
                <w:b w:val="0"/>
                <w:bCs w:val="0"/>
                <w:spacing w:val="0"/>
                <w:lang w:eastAsia="ja-JP"/>
              </w:rPr>
              <w:t>8 de marzo de 2017</w:t>
            </w:r>
          </w:p>
        </w:tc>
      </w:tr>
    </w:tbl>
    <w:p w:rsidR="00EB2111" w:rsidRPr="00647DFF" w:rsidRDefault="00EB2111" w:rsidP="00CA0F22">
      <w:pPr>
        <w:pStyle w:val="Titleofdoc0"/>
        <w:rPr>
          <w:b w:val="0"/>
          <w:bCs/>
        </w:rPr>
      </w:pPr>
      <w:bookmarkStart w:id="0" w:name="TitleOfDoc"/>
      <w:bookmarkEnd w:id="0"/>
      <w:r w:rsidRPr="00647DFF">
        <w:rPr>
          <w:b w:val="0"/>
          <w:snapToGrid w:val="0"/>
        </w:rPr>
        <w:t>TÉCNICAS MOLECULARES</w:t>
      </w:r>
    </w:p>
    <w:p w:rsidR="00EB2111" w:rsidRPr="00647DFF" w:rsidRDefault="00EB2111" w:rsidP="00CA0F22">
      <w:pPr>
        <w:pStyle w:val="preparedby1"/>
        <w:jc w:val="left"/>
      </w:pPr>
      <w:bookmarkStart w:id="1" w:name="Prepared"/>
      <w:bookmarkEnd w:id="1"/>
      <w:r w:rsidRPr="00647DFF">
        <w:t>Documento preparado por la Oficina de la Unión</w:t>
      </w:r>
    </w:p>
    <w:p w:rsidR="00EB2111" w:rsidRPr="00647DFF" w:rsidRDefault="00EB2111" w:rsidP="00CA0F22">
      <w:pPr>
        <w:pStyle w:val="Disclaimer"/>
      </w:pPr>
      <w:r w:rsidRPr="00647DFF">
        <w:t>Descargo de responsabilidad: el presente documento no constituye un documento de política u orientación de la UPOV</w:t>
      </w:r>
    </w:p>
    <w:p w:rsidR="00EB2111" w:rsidRPr="00647DFF" w:rsidRDefault="00EB2111" w:rsidP="00CA0F22">
      <w:pPr>
        <w:pStyle w:val="Heading1"/>
        <w:rPr>
          <w:lang w:val="es-ES" w:eastAsia="ja-JP"/>
        </w:rPr>
      </w:pPr>
      <w:bookmarkStart w:id="2" w:name="_Toc475634775"/>
      <w:bookmarkStart w:id="3" w:name="_Toc477531083"/>
      <w:r w:rsidRPr="00647DFF">
        <w:rPr>
          <w:lang w:val="es-ES_tradnl" w:eastAsia="ja-JP"/>
        </w:rPr>
        <w:t>RESUMEN</w:t>
      </w:r>
      <w:bookmarkEnd w:id="2"/>
      <w:bookmarkEnd w:id="3"/>
    </w:p>
    <w:p w:rsidR="00EB2111" w:rsidRPr="000B1676" w:rsidRDefault="00EB2111" w:rsidP="00FE318A">
      <w:pPr>
        <w:rPr>
          <w:lang w:val="es-ES" w:eastAsia="ja-JP"/>
        </w:rPr>
      </w:pPr>
    </w:p>
    <w:p w:rsidR="00EB2111" w:rsidRPr="00647DFF" w:rsidRDefault="00EB2111" w:rsidP="00FE318A">
      <w:r w:rsidRPr="00647DFF">
        <w:fldChar w:fldCharType="begin"/>
      </w:r>
      <w:r w:rsidRPr="000B1676">
        <w:rPr>
          <w:lang w:val="es-ES"/>
        </w:rPr>
        <w:instrText xml:space="preserve"> AUTONUM  </w:instrText>
      </w:r>
      <w:r w:rsidRPr="00647DFF">
        <w:fldChar w:fldCharType="end"/>
      </w:r>
      <w:r w:rsidRPr="000B1676">
        <w:rPr>
          <w:lang w:val="es-ES"/>
        </w:rPr>
        <w:tab/>
      </w:r>
      <w:r w:rsidRPr="00647DFF">
        <w:t>El propósito del presente documento es informar acerca de las novedades que se han producido en el ámbito de las técnicas moleculares en relación con los Grupos de Trabajo Técnico y el Taller conjunto entre la OCDE, la UPOV y la ISTA sobre técnicas moleculares, y examinar una propuesta de pregunta y respuesta relativa a la información sobre la situación en la UPOV en lo que respecta al uso de técnicas moleculares, para un público más amplio, que incluya al público en general.</w:t>
      </w:r>
    </w:p>
    <w:p w:rsidR="00EB2111" w:rsidRPr="00647DFF" w:rsidRDefault="00EB2111" w:rsidP="00FE318A">
      <w:pPr>
        <w:rPr>
          <w:lang w:eastAsia="ja-JP"/>
        </w:rPr>
      </w:pPr>
    </w:p>
    <w:p w:rsidR="00EB2111" w:rsidRPr="00647DFF" w:rsidRDefault="00EB2111" w:rsidP="00FE318A">
      <w:pPr>
        <w:rPr>
          <w:lang w:eastAsia="ja-JP"/>
        </w:rPr>
      </w:pPr>
      <w:r w:rsidRPr="00647DFF">
        <w:fldChar w:fldCharType="begin"/>
      </w:r>
      <w:r w:rsidRPr="00647DFF">
        <w:instrText xml:space="preserve"> AUTONUM  </w:instrText>
      </w:r>
      <w:r w:rsidRPr="00647DFF">
        <w:fldChar w:fldCharType="end"/>
      </w:r>
      <w:r w:rsidRPr="00647DFF">
        <w:tab/>
      </w:r>
      <w:r w:rsidRPr="00647DFF">
        <w:rPr>
          <w:lang w:eastAsia="ja-JP"/>
        </w:rPr>
        <w:t>Se invita al TC a:</w:t>
      </w:r>
    </w:p>
    <w:p w:rsidR="00EB2111" w:rsidRPr="00647DFF" w:rsidRDefault="00EB2111" w:rsidP="00FE318A">
      <w:pPr>
        <w:ind w:left="540" w:hanging="540"/>
        <w:rPr>
          <w:lang w:eastAsia="ja-JP"/>
        </w:rPr>
      </w:pPr>
    </w:p>
    <w:p w:rsidR="00EB2111" w:rsidRPr="00A03BC0" w:rsidRDefault="00EB2111" w:rsidP="00B27EC9">
      <w:pPr>
        <w:ind w:firstLine="567"/>
      </w:pPr>
      <w:r w:rsidRPr="00647DFF">
        <w:t>a)</w:t>
      </w:r>
      <w:r w:rsidRPr="00647DFF">
        <w:tab/>
        <w:t>tomar nota del informe sobre las novedades que se han producido en los TWP y el BMT, según se expone en los párrafos 5 a </w:t>
      </w:r>
      <w:r w:rsidR="00A03BC0" w:rsidRPr="00A03BC0">
        <w:t>24</w:t>
      </w:r>
      <w:r w:rsidRPr="00A03BC0">
        <w:t xml:space="preserve"> del presente documento;</w:t>
      </w:r>
    </w:p>
    <w:p w:rsidR="00EB2111" w:rsidRPr="00A03BC0" w:rsidRDefault="00EB2111" w:rsidP="00B27EC9">
      <w:pPr>
        <w:ind w:firstLine="567"/>
      </w:pPr>
    </w:p>
    <w:p w:rsidR="00EB2111" w:rsidRPr="00A03BC0" w:rsidRDefault="00EB2111" w:rsidP="00E42FCA">
      <w:pPr>
        <w:ind w:firstLine="567"/>
      </w:pPr>
      <w:r w:rsidRPr="00A03BC0">
        <w:t>b)</w:t>
      </w:r>
      <w:r w:rsidRPr="00A03BC0">
        <w:tab/>
        <w:t>tomar nota de que la elaboración de un documento conjunto en el que se expliquen las características principales de los sistemas de la OCDE, la UPOV y la ISTA no puede dar comienzo hasta que la OCDE y la ISTA hayan dado su conformidad;</w:t>
      </w:r>
    </w:p>
    <w:p w:rsidR="00EB2111" w:rsidRPr="00A03BC0" w:rsidRDefault="00EB2111" w:rsidP="000B5E93"/>
    <w:p w:rsidR="00EB2111" w:rsidRPr="00A03BC0" w:rsidRDefault="00EB2111" w:rsidP="00E42FCA">
      <w:pPr>
        <w:ind w:firstLine="567"/>
      </w:pPr>
      <w:r w:rsidRPr="00A03BC0">
        <w:t>c)</w:t>
      </w:r>
      <w:r w:rsidRPr="00A03BC0">
        <w:tab/>
        <w:t>tomar nota de que la elaboración de un documento conjunto de la UPOV, la OCDE y la ISTA que contenga un inventario sobre la utilización de técnicas basadas en marcadores moleculares, por cultivos, no puede dar comienzo hasta que la OCDE y la ISTA hayan dado su conformidad;</w:t>
      </w:r>
    </w:p>
    <w:p w:rsidR="00EB2111" w:rsidRPr="00A03BC0" w:rsidRDefault="00EB2111" w:rsidP="000B5E93"/>
    <w:p w:rsidR="00EB2111" w:rsidRPr="00647DFF" w:rsidRDefault="00EB2111" w:rsidP="00E42FCA">
      <w:pPr>
        <w:ind w:firstLine="567"/>
      </w:pPr>
      <w:r w:rsidRPr="00A03BC0">
        <w:t>d)</w:t>
      </w:r>
      <w:r w:rsidRPr="00A03BC0">
        <w:tab/>
        <w:t>considerar si procede analizar en qué circunstancias la OCDE, la ISTA y la UPOV podrían emplear las mismas técnicas y la misma información, teniendo en cuenta que los objetivos de estas organizaciones son diferentes, según se expone en el párrafo 14 del presente documento;</w:t>
      </w:r>
    </w:p>
    <w:p w:rsidR="00EB2111" w:rsidRPr="00647DFF" w:rsidRDefault="00EB2111" w:rsidP="000B5E93">
      <w:pPr>
        <w:rPr>
          <w:lang w:eastAsia="ja-JP"/>
        </w:rPr>
      </w:pPr>
    </w:p>
    <w:p w:rsidR="00EB2111" w:rsidRPr="00647DFF" w:rsidRDefault="00EB2111" w:rsidP="00E42FCA">
      <w:pPr>
        <w:ind w:firstLine="567"/>
      </w:pPr>
      <w:r w:rsidRPr="00647DFF">
        <w:rPr>
          <w:lang w:eastAsia="ja-JP"/>
        </w:rPr>
        <w:t>e</w:t>
      </w:r>
      <w:r w:rsidRPr="00647DFF">
        <w:t>)</w:t>
      </w:r>
      <w:r w:rsidRPr="00647DFF">
        <w:tab/>
        <w:t>considerar si la eventual colaboración entre la UPOV, la OCDE y la ISTA en el futuro podría, previo acuerdo de dichas organizaciones, incluir la armonización de los términos y métodos empleados en distintos cultivos y la elaboración de normas;</w:t>
      </w:r>
    </w:p>
    <w:p w:rsidR="00EB2111" w:rsidRPr="00647DFF" w:rsidRDefault="00EB2111" w:rsidP="00E42FCA"/>
    <w:p w:rsidR="00EB2111" w:rsidRPr="00647DFF" w:rsidRDefault="00EB2111" w:rsidP="006F4843">
      <w:pPr>
        <w:ind w:firstLine="567"/>
      </w:pPr>
      <w:r w:rsidRPr="00647DFF">
        <w:rPr>
          <w:lang w:eastAsia="ja-JP"/>
        </w:rPr>
        <w:t>f</w:t>
      </w:r>
      <w:r w:rsidRPr="00647DFF">
        <w:t>)</w:t>
      </w:r>
      <w:r w:rsidRPr="00647DFF">
        <w:tab/>
        <w:t>tomar nota de que el Naktuinbouw organizará en Roelofarendsveen (Países Bajos), del 8 al 10 de mayo de 2017, un taller práctico para determinar modos eficientes de aplicación de las técnicas moleculares a los fines de la UPOV, la OCDE y la ISTA;</w:t>
      </w:r>
    </w:p>
    <w:p w:rsidR="00EB2111" w:rsidRPr="00647DFF" w:rsidRDefault="00EB2111" w:rsidP="000B5E93"/>
    <w:p w:rsidR="00EB2111" w:rsidRPr="00647DFF" w:rsidRDefault="00EB2111" w:rsidP="006F4843">
      <w:pPr>
        <w:ind w:firstLine="567"/>
      </w:pPr>
      <w:r w:rsidRPr="00647DFF">
        <w:t>g)</w:t>
      </w:r>
      <w:r w:rsidRPr="00647DFF">
        <w:tab/>
        <w:t>tomar nota del ofrecimiento de los Países Bajos de informar al TWC sobre los proyectos relativos al uso de técnicas moleculares en el examen DHE;</w:t>
      </w:r>
    </w:p>
    <w:p w:rsidR="00EB2111" w:rsidRPr="00647DFF" w:rsidRDefault="00EB2111" w:rsidP="000B5E93"/>
    <w:p w:rsidR="00EB2111" w:rsidRPr="00647DFF" w:rsidRDefault="00EB2111" w:rsidP="00E42FCA">
      <w:pPr>
        <w:ind w:firstLine="567"/>
      </w:pPr>
      <w:r w:rsidRPr="00647DFF">
        <w:t>h)</w:t>
      </w:r>
      <w:r w:rsidRPr="00647DFF">
        <w:tab/>
        <w:t>tomar nota del ofrecimiento de China de informar al TWC sobre su experiencia respecto del uso de bases de datos de ADN de maíz, arroz y trigo con objeto de seleccionar variedades similares para el examen de la distinción;</w:t>
      </w:r>
    </w:p>
    <w:p w:rsidR="00EB2111" w:rsidRPr="00647DFF" w:rsidRDefault="00EB2111" w:rsidP="000B5E93"/>
    <w:p w:rsidR="00EB2111" w:rsidRPr="00647DFF" w:rsidRDefault="00EB2111" w:rsidP="00E42FCA">
      <w:pPr>
        <w:ind w:firstLine="567"/>
      </w:pPr>
      <w:r w:rsidRPr="00647DFF">
        <w:t>i)</w:t>
      </w:r>
      <w:r w:rsidRPr="00647DFF">
        <w:tab/>
        <w:t>tomar nota de que el TWC convino en invitar a los miembros a que presenten ponencias sobre los aspectos estadísticos del uso de marcadores moleculares en el examen DHE, en particular la selección de variedades similares y la organización de ensayos en cultivo;</w:t>
      </w:r>
    </w:p>
    <w:p w:rsidR="00EB2111" w:rsidRPr="00647DFF" w:rsidRDefault="00EB2111" w:rsidP="000B5E93"/>
    <w:p w:rsidR="00EB2111" w:rsidRPr="00647DFF" w:rsidRDefault="00EB2111" w:rsidP="00E42FCA">
      <w:pPr>
        <w:ind w:firstLine="567"/>
      </w:pPr>
      <w:r w:rsidRPr="00647DFF">
        <w:t>j)</w:t>
      </w:r>
      <w:r w:rsidRPr="00647DFF">
        <w:tab/>
        <w:t>tomar nota del ofrecimiento de Francia de presentar, en la trigésima quinta reunión del TWC, una ponencia sobre la labor en curso con bases de datos que contienen información molecular y de cálculo de distancias moleculares mediante el programa informático GAIA;</w:t>
      </w:r>
    </w:p>
    <w:p w:rsidR="00EB2111" w:rsidRPr="00647DFF" w:rsidRDefault="00EB2111" w:rsidP="000B5E93"/>
    <w:p w:rsidR="00EB2111" w:rsidRPr="00647DFF" w:rsidRDefault="00EB2111" w:rsidP="00E42FCA">
      <w:pPr>
        <w:ind w:firstLine="567"/>
      </w:pPr>
      <w:r w:rsidRPr="00647DFF">
        <w:t>k)</w:t>
      </w:r>
      <w:r w:rsidRPr="00647DFF">
        <w:tab/>
        <w:t>tomar nota de que el TWC convino en que los programas informáticos y las bases de datos, así como los métodos estadísticos asociados, son elementos fundamentales del examen DHE, de una importancia cada vez mayor para la protección de las obtenciones vegetales, y en que su Presidente debe informar al TC sobre estos elementos concretos de la labor de dicho Grupo de Trabajo Técnico;</w:t>
      </w:r>
    </w:p>
    <w:p w:rsidR="00EB2111" w:rsidRPr="00647DFF" w:rsidRDefault="00EB2111" w:rsidP="000B5E93"/>
    <w:p w:rsidR="00EB2111" w:rsidRPr="00647DFF" w:rsidRDefault="00EB2111" w:rsidP="00E42FCA">
      <w:pPr>
        <w:ind w:firstLine="567"/>
      </w:pPr>
      <w:r w:rsidRPr="00647DFF">
        <w:t>l)</w:t>
      </w:r>
      <w:r w:rsidRPr="00647DFF">
        <w:tab/>
        <w:t>tomar nota de que el 8 de junio de 2016 tuvo lugar en París (Francia) un Taller conjunto entre la OCDE, la UPOV, la ISTA y la AOSA sobre técnicas bioquímicas y moleculares, y de que los Sistemas de semillas de la OCDE, en su reunión anual celebrada en París los días 9 y 10 de junio de 2016, aprobaron las recomendaciones formuladas en dicho taller conjunto, que se reproducen en el párrafo </w:t>
      </w:r>
      <w:r>
        <w:t>25</w:t>
      </w:r>
      <w:r w:rsidRPr="00647DFF">
        <w:t xml:space="preserve"> del presente documento;  y</w:t>
      </w:r>
    </w:p>
    <w:p w:rsidR="00EB2111" w:rsidRPr="00647DFF" w:rsidRDefault="00EB2111" w:rsidP="000B5E93"/>
    <w:p w:rsidR="00EB2111" w:rsidRPr="00647DFF" w:rsidRDefault="00EB2111" w:rsidP="00E42FCA">
      <w:pPr>
        <w:ind w:firstLine="567"/>
        <w:rPr>
          <w:lang w:eastAsia="ja-JP"/>
        </w:rPr>
      </w:pPr>
      <w:r w:rsidRPr="00647DFF">
        <w:t>m)</w:t>
      </w:r>
      <w:r w:rsidRPr="00647DFF">
        <w:tab/>
        <w:t>tomar nota de que el Consejo, en su quincuagésima sesión, aprobó la pregunta y la respuesta relativas a la información sobre la situación en la UPOV en lo que respecta al uso de técnicas moleculares, para un público más amplio, que incluya al público en general.</w:t>
      </w:r>
    </w:p>
    <w:p w:rsidR="00EB2111" w:rsidRPr="00647DFF" w:rsidRDefault="00EB2111" w:rsidP="00E42FCA">
      <w:pPr>
        <w:rPr>
          <w:lang w:eastAsia="ja-JP"/>
        </w:rPr>
      </w:pPr>
    </w:p>
    <w:p w:rsidR="00EB2111" w:rsidRPr="00647DFF" w:rsidRDefault="00EB2111" w:rsidP="00FE318A">
      <w:r w:rsidRPr="00647DFF">
        <w:fldChar w:fldCharType="begin"/>
      </w:r>
      <w:r w:rsidRPr="00647DFF">
        <w:instrText xml:space="preserve"> AUTONUM  </w:instrText>
      </w:r>
      <w:r w:rsidRPr="00647DFF">
        <w:fldChar w:fldCharType="end"/>
      </w:r>
      <w:r w:rsidRPr="00647DFF">
        <w:tab/>
        <w:t>En el presente documento se utilizan las abreviaturas siguientes:</w:t>
      </w:r>
    </w:p>
    <w:p w:rsidR="00EB2111" w:rsidRPr="00647DFF" w:rsidRDefault="00EB2111" w:rsidP="00FE318A">
      <w:pPr>
        <w:keepNext/>
        <w:ind w:left="1692" w:hanging="1125"/>
        <w:jc w:val="left"/>
        <w:rPr>
          <w:color w:val="000000"/>
        </w:rPr>
      </w:pPr>
    </w:p>
    <w:p w:rsidR="00EB2111" w:rsidRPr="00647DFF" w:rsidRDefault="00EB2111" w:rsidP="00FE318A">
      <w:pPr>
        <w:keepNext/>
        <w:tabs>
          <w:tab w:val="left" w:pos="567"/>
        </w:tabs>
        <w:ind w:left="1560" w:hanging="993"/>
      </w:pPr>
      <w:r w:rsidRPr="00647DFF">
        <w:t>BMT:</w:t>
      </w:r>
      <w:r w:rsidRPr="00647DFF">
        <w:tab/>
        <w:t xml:space="preserve">Grupo de Trabajo sobre Técnicas Bioquímicas y Moleculares, y Perfiles de ADN en particular </w:t>
      </w:r>
    </w:p>
    <w:p w:rsidR="00EB2111" w:rsidRPr="00647DFF" w:rsidRDefault="00EB2111" w:rsidP="00FE318A">
      <w:pPr>
        <w:keepNext/>
        <w:tabs>
          <w:tab w:val="left" w:pos="567"/>
        </w:tabs>
        <w:ind w:left="1560" w:hanging="993"/>
      </w:pPr>
      <w:r w:rsidRPr="00647DFF">
        <w:t>CAJ:</w:t>
      </w:r>
      <w:r w:rsidRPr="00647DFF">
        <w:tab/>
        <w:t>Comité Administrativo y Jurídico</w:t>
      </w:r>
    </w:p>
    <w:p w:rsidR="00EB2111" w:rsidRPr="00647DFF" w:rsidRDefault="00EB2111" w:rsidP="00FE318A">
      <w:pPr>
        <w:keepNext/>
        <w:tabs>
          <w:tab w:val="left" w:pos="567"/>
        </w:tabs>
        <w:ind w:left="1560" w:hanging="993"/>
      </w:pPr>
      <w:r w:rsidRPr="00647DFF">
        <w:t>TC:</w:t>
      </w:r>
      <w:r w:rsidRPr="00647DFF">
        <w:tab/>
        <w:t>Comité Técnico</w:t>
      </w:r>
    </w:p>
    <w:p w:rsidR="00EB2111" w:rsidRPr="00647DFF" w:rsidRDefault="00EB2111" w:rsidP="00FE318A">
      <w:pPr>
        <w:ind w:left="1560" w:hanging="993"/>
        <w:rPr>
          <w:rFonts w:eastAsia="PMingLiU"/>
        </w:rPr>
      </w:pPr>
      <w:r w:rsidRPr="00647DFF">
        <w:rPr>
          <w:rFonts w:eastAsia="PMingLiU"/>
        </w:rPr>
        <w:t>TWA:</w:t>
      </w:r>
      <w:r w:rsidRPr="00647DFF">
        <w:rPr>
          <w:rFonts w:eastAsia="PMingLiU"/>
        </w:rPr>
        <w:tab/>
        <w:t>Grupo de Trabajo Técnico sobre Plantas Agrícolas</w:t>
      </w:r>
    </w:p>
    <w:p w:rsidR="00EB2111" w:rsidRPr="00647DFF" w:rsidRDefault="00EB2111" w:rsidP="00FE318A">
      <w:pPr>
        <w:ind w:left="1560" w:hanging="993"/>
        <w:rPr>
          <w:rFonts w:eastAsia="PMingLiU"/>
        </w:rPr>
      </w:pPr>
      <w:r w:rsidRPr="00647DFF">
        <w:rPr>
          <w:rFonts w:eastAsia="PMingLiU"/>
        </w:rPr>
        <w:t>TWC:</w:t>
      </w:r>
      <w:r w:rsidRPr="00647DFF">
        <w:rPr>
          <w:rFonts w:eastAsia="PMingLiU"/>
        </w:rPr>
        <w:tab/>
        <w:t>Grupo de Trabajo Técnico sobre Automatización y Programas Informáticos</w:t>
      </w:r>
    </w:p>
    <w:p w:rsidR="00EB2111" w:rsidRPr="00647DFF" w:rsidRDefault="00EB2111" w:rsidP="00FE318A">
      <w:pPr>
        <w:ind w:left="1560" w:hanging="993"/>
        <w:rPr>
          <w:rFonts w:eastAsia="PMingLiU"/>
        </w:rPr>
      </w:pPr>
      <w:r w:rsidRPr="00647DFF">
        <w:rPr>
          <w:rFonts w:eastAsia="PMingLiU"/>
        </w:rPr>
        <w:t xml:space="preserve">TWF: </w:t>
      </w:r>
      <w:r w:rsidRPr="00647DFF">
        <w:rPr>
          <w:rFonts w:eastAsia="PMingLiU"/>
        </w:rPr>
        <w:tab/>
        <w:t>Grupo de Trabajo Técnico sobre Plantas Frutales</w:t>
      </w:r>
    </w:p>
    <w:p w:rsidR="00EB2111" w:rsidRPr="00647DFF" w:rsidRDefault="00EB2111" w:rsidP="00FE318A">
      <w:pPr>
        <w:ind w:left="1560" w:hanging="993"/>
        <w:rPr>
          <w:rFonts w:eastAsia="PMingLiU"/>
        </w:rPr>
      </w:pPr>
      <w:r w:rsidRPr="00647DFF">
        <w:rPr>
          <w:rFonts w:eastAsia="PMingLiU"/>
        </w:rPr>
        <w:t>TWO:</w:t>
      </w:r>
      <w:r w:rsidRPr="00647DFF">
        <w:rPr>
          <w:rFonts w:eastAsia="PMingLiU"/>
        </w:rPr>
        <w:tab/>
        <w:t>Grupo de Trabajo Técnico sobre Plantas Ornamentales y Árboles Forestales</w:t>
      </w:r>
    </w:p>
    <w:p w:rsidR="00EB2111" w:rsidRPr="00647DFF" w:rsidRDefault="00EB2111" w:rsidP="00FE318A">
      <w:pPr>
        <w:ind w:left="1560" w:hanging="993"/>
        <w:rPr>
          <w:rFonts w:eastAsia="PMingLiU"/>
        </w:rPr>
      </w:pPr>
      <w:r w:rsidRPr="00647DFF">
        <w:rPr>
          <w:rFonts w:eastAsia="PMingLiU"/>
        </w:rPr>
        <w:t>TWP:</w:t>
      </w:r>
      <w:r w:rsidRPr="00647DFF">
        <w:rPr>
          <w:rFonts w:eastAsia="PMingLiU"/>
        </w:rPr>
        <w:tab/>
        <w:t>Grupos de Trabajo Técnico</w:t>
      </w:r>
    </w:p>
    <w:p w:rsidR="00EB2111" w:rsidRPr="00647DFF" w:rsidRDefault="00EB2111" w:rsidP="00FE318A">
      <w:pPr>
        <w:ind w:left="1560" w:hanging="993"/>
        <w:rPr>
          <w:rFonts w:eastAsia="PMingLiU"/>
        </w:rPr>
      </w:pPr>
      <w:r w:rsidRPr="00647DFF">
        <w:rPr>
          <w:rFonts w:eastAsia="PMingLiU"/>
        </w:rPr>
        <w:t>TWV:</w:t>
      </w:r>
      <w:r w:rsidRPr="00647DFF">
        <w:rPr>
          <w:rFonts w:eastAsia="PMingLiU"/>
        </w:rPr>
        <w:tab/>
        <w:t>Grupo de Trabajo Técnico sobre Hortalizas</w:t>
      </w:r>
    </w:p>
    <w:p w:rsidR="00EB2111" w:rsidRPr="00647DFF" w:rsidRDefault="00EB2111" w:rsidP="00FE318A">
      <w:pPr>
        <w:ind w:left="1560" w:hanging="993"/>
        <w:rPr>
          <w:rFonts w:eastAsia="PMingLiU"/>
          <w:snapToGrid w:val="0"/>
        </w:rPr>
      </w:pPr>
      <w:r w:rsidRPr="00647DFF">
        <w:rPr>
          <w:rFonts w:eastAsia="PMingLiU"/>
        </w:rPr>
        <w:t>OCDE:</w:t>
      </w:r>
      <w:r w:rsidRPr="00647DFF">
        <w:rPr>
          <w:rFonts w:eastAsia="PMingLiU"/>
        </w:rPr>
        <w:tab/>
      </w:r>
      <w:r w:rsidRPr="00647DFF">
        <w:rPr>
          <w:rFonts w:eastAsia="PMingLiU"/>
          <w:snapToGrid w:val="0"/>
        </w:rPr>
        <w:t>Organización de Cooperación y Desarrollo Económicos</w:t>
      </w:r>
    </w:p>
    <w:p w:rsidR="00EB2111" w:rsidRPr="00647DFF" w:rsidRDefault="00EB2111" w:rsidP="00FE318A">
      <w:pPr>
        <w:ind w:left="1560" w:hanging="993"/>
        <w:rPr>
          <w:lang w:eastAsia="ja-JP"/>
        </w:rPr>
      </w:pPr>
      <w:r w:rsidRPr="00647DFF">
        <w:rPr>
          <w:snapToGrid w:val="0"/>
          <w:lang w:eastAsia="ja-JP"/>
        </w:rPr>
        <w:t>AOSA:</w:t>
      </w:r>
      <w:r w:rsidRPr="00647DFF">
        <w:rPr>
          <w:snapToGrid w:val="0"/>
          <w:lang w:eastAsia="ja-JP"/>
        </w:rPr>
        <w:tab/>
      </w:r>
      <w:r w:rsidRPr="00647DFF">
        <w:rPr>
          <w:lang w:eastAsia="ja-JP"/>
        </w:rPr>
        <w:t>Asociación de Analistas Oficiales de Semillas</w:t>
      </w:r>
    </w:p>
    <w:p w:rsidR="00EB2111" w:rsidRPr="00647DFF" w:rsidRDefault="00EB2111" w:rsidP="007B39D6">
      <w:pPr>
        <w:ind w:left="1560" w:hanging="993"/>
        <w:rPr>
          <w:snapToGrid w:val="0"/>
          <w:lang w:eastAsia="ja-JP"/>
        </w:rPr>
      </w:pPr>
      <w:r w:rsidRPr="00647DFF">
        <w:rPr>
          <w:rFonts w:eastAsia="PMingLiU"/>
          <w:snapToGrid w:val="0"/>
          <w:lang w:eastAsia="fr-FR"/>
        </w:rPr>
        <w:t xml:space="preserve">ISTA: </w:t>
      </w:r>
      <w:r w:rsidRPr="00647DFF">
        <w:rPr>
          <w:rFonts w:eastAsia="PMingLiU"/>
          <w:snapToGrid w:val="0"/>
          <w:lang w:eastAsia="fr-FR"/>
        </w:rPr>
        <w:tab/>
        <w:t>Asociación Internacional para el Ensayo de Semillas</w:t>
      </w:r>
    </w:p>
    <w:p w:rsidR="00EB2111" w:rsidRPr="00647DFF" w:rsidRDefault="00EB2111" w:rsidP="00FE318A"/>
    <w:p w:rsidR="00EB2111" w:rsidRDefault="00EB2111" w:rsidP="00FE318A">
      <w:pPr>
        <w:keepNext/>
      </w:pPr>
      <w:r w:rsidRPr="00647DFF">
        <w:fldChar w:fldCharType="begin"/>
      </w:r>
      <w:r w:rsidRPr="00647DFF">
        <w:instrText xml:space="preserve"> AUTONUM  </w:instrText>
      </w:r>
      <w:r w:rsidRPr="00647DFF">
        <w:fldChar w:fldCharType="end"/>
      </w:r>
      <w:r w:rsidRPr="00647DFF">
        <w:tab/>
        <w:t>El presente documento se estructura del modo siguiente:</w:t>
      </w:r>
    </w:p>
    <w:p w:rsidR="007D3454" w:rsidRPr="000B1676" w:rsidRDefault="007D3454" w:rsidP="00FE318A">
      <w:pPr>
        <w:keepNext/>
        <w:rPr>
          <w:lang w:val="es-ES"/>
        </w:rPr>
      </w:pPr>
    </w:p>
    <w:p w:rsidR="007D3454" w:rsidRDefault="00EB2111">
      <w:pPr>
        <w:pStyle w:val="TOC1"/>
        <w:rPr>
          <w:rFonts w:asciiTheme="minorHAnsi" w:eastAsiaTheme="minorEastAsia" w:hAnsiTheme="minorHAnsi" w:cstheme="minorBidi"/>
          <w:caps w:val="0"/>
          <w:noProof/>
          <w:sz w:val="22"/>
          <w:szCs w:val="22"/>
        </w:rPr>
      </w:pPr>
      <w:r w:rsidRPr="00647DFF">
        <w:rPr>
          <w:noProof/>
        </w:rPr>
        <w:fldChar w:fldCharType="begin"/>
      </w:r>
      <w:r w:rsidRPr="00647DFF">
        <w:instrText xml:space="preserve"> TOC \o "1-3" \h \z \u </w:instrText>
      </w:r>
      <w:r w:rsidRPr="00647DFF">
        <w:rPr>
          <w:noProof/>
        </w:rPr>
        <w:fldChar w:fldCharType="separate"/>
      </w:r>
      <w:hyperlink w:anchor="_Toc477531083" w:history="1">
        <w:r w:rsidR="007D3454" w:rsidRPr="007549FD">
          <w:rPr>
            <w:rStyle w:val="Hyperlink"/>
            <w:noProof/>
            <w:lang w:val="es-ES_tradnl" w:eastAsia="ja-JP"/>
          </w:rPr>
          <w:t>RESUMEN</w:t>
        </w:r>
        <w:r w:rsidR="007D3454">
          <w:rPr>
            <w:noProof/>
            <w:webHidden/>
          </w:rPr>
          <w:tab/>
        </w:r>
        <w:r w:rsidR="007D3454">
          <w:rPr>
            <w:noProof/>
            <w:webHidden/>
          </w:rPr>
          <w:fldChar w:fldCharType="begin"/>
        </w:r>
        <w:r w:rsidR="007D3454">
          <w:rPr>
            <w:noProof/>
            <w:webHidden/>
          </w:rPr>
          <w:instrText xml:space="preserve"> PAGEREF _Toc477531083 \h </w:instrText>
        </w:r>
        <w:r w:rsidR="007D3454">
          <w:rPr>
            <w:noProof/>
            <w:webHidden/>
          </w:rPr>
        </w:r>
        <w:r w:rsidR="007D3454">
          <w:rPr>
            <w:noProof/>
            <w:webHidden/>
          </w:rPr>
          <w:fldChar w:fldCharType="separate"/>
        </w:r>
        <w:r w:rsidR="007D3454">
          <w:rPr>
            <w:noProof/>
            <w:webHidden/>
          </w:rPr>
          <w:t>1</w:t>
        </w:r>
        <w:r w:rsidR="007D3454">
          <w:rPr>
            <w:noProof/>
            <w:webHidden/>
          </w:rPr>
          <w:fldChar w:fldCharType="end"/>
        </w:r>
      </w:hyperlink>
    </w:p>
    <w:p w:rsidR="007D3454" w:rsidRDefault="007D3454" w:rsidP="007D3454">
      <w:pPr>
        <w:pStyle w:val="TOC1"/>
        <w:jc w:val="both"/>
        <w:rPr>
          <w:rFonts w:asciiTheme="minorHAnsi" w:eastAsiaTheme="minorEastAsia" w:hAnsiTheme="minorHAnsi" w:cstheme="minorBidi"/>
          <w:caps w:val="0"/>
          <w:noProof/>
          <w:sz w:val="22"/>
          <w:szCs w:val="22"/>
        </w:rPr>
      </w:pPr>
      <w:hyperlink w:anchor="_Toc477531084" w:history="1">
        <w:r w:rsidRPr="007549FD">
          <w:rPr>
            <w:rStyle w:val="Hyperlink"/>
            <w:noProof/>
            <w:lang w:val="es-ES_tradnl"/>
          </w:rPr>
          <w:t>NOVEDADES ACAECIDAS EN LA DECIMOQUINTA REUNIÓN DEL GRUPO DE TRABAJO SOBRE TÉCNICAS BIOQUÍMICAS Y MOLECULARES, Y PERFILES DE ADN EN PARTICULAR (BMT)</w:t>
        </w:r>
        <w:r>
          <w:rPr>
            <w:noProof/>
            <w:webHidden/>
          </w:rPr>
          <w:tab/>
        </w:r>
        <w:r>
          <w:rPr>
            <w:noProof/>
            <w:webHidden/>
          </w:rPr>
          <w:fldChar w:fldCharType="begin"/>
        </w:r>
        <w:r>
          <w:rPr>
            <w:noProof/>
            <w:webHidden/>
          </w:rPr>
          <w:instrText xml:space="preserve"> PAGEREF _Toc477531084 \h </w:instrText>
        </w:r>
        <w:r>
          <w:rPr>
            <w:noProof/>
            <w:webHidden/>
          </w:rPr>
        </w:r>
        <w:r>
          <w:rPr>
            <w:noProof/>
            <w:webHidden/>
          </w:rPr>
          <w:fldChar w:fldCharType="separate"/>
        </w:r>
        <w:r>
          <w:rPr>
            <w:noProof/>
            <w:webHidden/>
          </w:rPr>
          <w:t>2</w:t>
        </w:r>
        <w:r>
          <w:rPr>
            <w:noProof/>
            <w:webHidden/>
          </w:rPr>
          <w:fldChar w:fldCharType="end"/>
        </w:r>
      </w:hyperlink>
    </w:p>
    <w:p w:rsidR="007D3454" w:rsidRDefault="007D3454">
      <w:pPr>
        <w:pStyle w:val="TOC2"/>
        <w:rPr>
          <w:rFonts w:asciiTheme="minorHAnsi" w:eastAsiaTheme="minorEastAsia" w:hAnsiTheme="minorHAnsi" w:cstheme="minorBidi"/>
          <w:smallCaps w:val="0"/>
          <w:noProof/>
          <w:sz w:val="22"/>
          <w:szCs w:val="22"/>
        </w:rPr>
      </w:pPr>
      <w:hyperlink w:anchor="_Toc477531085" w:history="1">
        <w:r w:rsidRPr="007549FD">
          <w:rPr>
            <w:rStyle w:val="Hyperlink"/>
            <w:noProof/>
            <w:lang w:val="es-ES_tradnl" w:eastAsia="ja-JP"/>
          </w:rPr>
          <w:t>Documentos presentados en la decimoquinta reunión del BMT</w:t>
        </w:r>
        <w:r>
          <w:rPr>
            <w:noProof/>
            <w:webHidden/>
          </w:rPr>
          <w:tab/>
        </w:r>
        <w:r>
          <w:rPr>
            <w:noProof/>
            <w:webHidden/>
          </w:rPr>
          <w:fldChar w:fldCharType="begin"/>
        </w:r>
        <w:r>
          <w:rPr>
            <w:noProof/>
            <w:webHidden/>
          </w:rPr>
          <w:instrText xml:space="preserve"> PAGEREF _Toc477531085 \h </w:instrText>
        </w:r>
        <w:r>
          <w:rPr>
            <w:noProof/>
            <w:webHidden/>
          </w:rPr>
        </w:r>
        <w:r>
          <w:rPr>
            <w:noProof/>
            <w:webHidden/>
          </w:rPr>
          <w:fldChar w:fldCharType="separate"/>
        </w:r>
        <w:r>
          <w:rPr>
            <w:noProof/>
            <w:webHidden/>
          </w:rPr>
          <w:t>3</w:t>
        </w:r>
        <w:r>
          <w:rPr>
            <w:noProof/>
            <w:webHidden/>
          </w:rPr>
          <w:fldChar w:fldCharType="end"/>
        </w:r>
      </w:hyperlink>
    </w:p>
    <w:p w:rsidR="007D3454" w:rsidRDefault="007D3454">
      <w:pPr>
        <w:pStyle w:val="TOC2"/>
        <w:rPr>
          <w:rFonts w:asciiTheme="minorHAnsi" w:eastAsiaTheme="minorEastAsia" w:hAnsiTheme="minorHAnsi" w:cstheme="minorBidi"/>
          <w:smallCaps w:val="0"/>
          <w:noProof/>
          <w:sz w:val="22"/>
          <w:szCs w:val="22"/>
        </w:rPr>
      </w:pPr>
      <w:hyperlink w:anchor="_Toc477531086" w:history="1">
        <w:r w:rsidRPr="007549FD">
          <w:rPr>
            <w:rStyle w:val="Hyperlink"/>
            <w:noProof/>
            <w:lang w:val="es-ES_tradnl" w:eastAsia="ja-JP"/>
          </w:rPr>
          <w:t>Cooperación entre la OCDE, la UPOV, la ISTA y la ISO</w:t>
        </w:r>
        <w:r>
          <w:rPr>
            <w:noProof/>
            <w:webHidden/>
          </w:rPr>
          <w:tab/>
        </w:r>
        <w:r>
          <w:rPr>
            <w:noProof/>
            <w:webHidden/>
          </w:rPr>
          <w:fldChar w:fldCharType="begin"/>
        </w:r>
        <w:r>
          <w:rPr>
            <w:noProof/>
            <w:webHidden/>
          </w:rPr>
          <w:instrText xml:space="preserve"> PAGEREF _Toc477531086 \h </w:instrText>
        </w:r>
        <w:r>
          <w:rPr>
            <w:noProof/>
            <w:webHidden/>
          </w:rPr>
        </w:r>
        <w:r>
          <w:rPr>
            <w:noProof/>
            <w:webHidden/>
          </w:rPr>
          <w:fldChar w:fldCharType="separate"/>
        </w:r>
        <w:r>
          <w:rPr>
            <w:noProof/>
            <w:webHidden/>
          </w:rPr>
          <w:t>4</w:t>
        </w:r>
        <w:r>
          <w:rPr>
            <w:noProof/>
            <w:webHidden/>
          </w:rPr>
          <w:fldChar w:fldCharType="end"/>
        </w:r>
      </w:hyperlink>
    </w:p>
    <w:p w:rsidR="007D3454" w:rsidRDefault="007D3454">
      <w:pPr>
        <w:pStyle w:val="TOC2"/>
        <w:rPr>
          <w:rFonts w:asciiTheme="minorHAnsi" w:eastAsiaTheme="minorEastAsia" w:hAnsiTheme="minorHAnsi" w:cstheme="minorBidi"/>
          <w:smallCaps w:val="0"/>
          <w:noProof/>
          <w:sz w:val="22"/>
          <w:szCs w:val="22"/>
        </w:rPr>
      </w:pPr>
      <w:hyperlink w:anchor="_Toc477531087" w:history="1">
        <w:r w:rsidRPr="007549FD">
          <w:rPr>
            <w:rStyle w:val="Hyperlink"/>
            <w:noProof/>
            <w:snapToGrid w:val="0"/>
            <w:lang w:val="es-ES_tradnl" w:eastAsia="ja-JP"/>
          </w:rPr>
          <w:t>Futuro programa</w:t>
        </w:r>
        <w:r>
          <w:rPr>
            <w:noProof/>
            <w:webHidden/>
          </w:rPr>
          <w:tab/>
        </w:r>
        <w:r>
          <w:rPr>
            <w:noProof/>
            <w:webHidden/>
          </w:rPr>
          <w:fldChar w:fldCharType="begin"/>
        </w:r>
        <w:r>
          <w:rPr>
            <w:noProof/>
            <w:webHidden/>
          </w:rPr>
          <w:instrText xml:space="preserve"> PAGEREF _Toc477531087 \h </w:instrText>
        </w:r>
        <w:r>
          <w:rPr>
            <w:noProof/>
            <w:webHidden/>
          </w:rPr>
        </w:r>
        <w:r>
          <w:rPr>
            <w:noProof/>
            <w:webHidden/>
          </w:rPr>
          <w:fldChar w:fldCharType="separate"/>
        </w:r>
        <w:r>
          <w:rPr>
            <w:noProof/>
            <w:webHidden/>
          </w:rPr>
          <w:t>5</w:t>
        </w:r>
        <w:r>
          <w:rPr>
            <w:noProof/>
            <w:webHidden/>
          </w:rPr>
          <w:fldChar w:fldCharType="end"/>
        </w:r>
      </w:hyperlink>
    </w:p>
    <w:p w:rsidR="007D3454" w:rsidRDefault="007D3454">
      <w:pPr>
        <w:pStyle w:val="TOC1"/>
        <w:rPr>
          <w:rFonts w:asciiTheme="minorHAnsi" w:eastAsiaTheme="minorEastAsia" w:hAnsiTheme="minorHAnsi" w:cstheme="minorBidi"/>
          <w:caps w:val="0"/>
          <w:noProof/>
          <w:sz w:val="22"/>
          <w:szCs w:val="22"/>
        </w:rPr>
      </w:pPr>
      <w:hyperlink w:anchor="_Toc477531088" w:history="1">
        <w:r w:rsidRPr="007549FD">
          <w:rPr>
            <w:rStyle w:val="Hyperlink"/>
            <w:noProof/>
            <w:snapToGrid w:val="0"/>
            <w:lang w:val="es-ES_tradnl"/>
          </w:rPr>
          <w:t>NOVEDADES ACAECIDAS EN LOS GRUPOS DE TRABAJO TÉCNICO</w:t>
        </w:r>
        <w:r>
          <w:rPr>
            <w:noProof/>
            <w:webHidden/>
          </w:rPr>
          <w:tab/>
        </w:r>
        <w:r>
          <w:rPr>
            <w:noProof/>
            <w:webHidden/>
          </w:rPr>
          <w:fldChar w:fldCharType="begin"/>
        </w:r>
        <w:r>
          <w:rPr>
            <w:noProof/>
            <w:webHidden/>
          </w:rPr>
          <w:instrText xml:space="preserve"> PAGEREF _Toc477531088 \h </w:instrText>
        </w:r>
        <w:r>
          <w:rPr>
            <w:noProof/>
            <w:webHidden/>
          </w:rPr>
        </w:r>
        <w:r>
          <w:rPr>
            <w:noProof/>
            <w:webHidden/>
          </w:rPr>
          <w:fldChar w:fldCharType="separate"/>
        </w:r>
        <w:r>
          <w:rPr>
            <w:noProof/>
            <w:webHidden/>
          </w:rPr>
          <w:t>6</w:t>
        </w:r>
        <w:r>
          <w:rPr>
            <w:noProof/>
            <w:webHidden/>
          </w:rPr>
          <w:fldChar w:fldCharType="end"/>
        </w:r>
      </w:hyperlink>
    </w:p>
    <w:p w:rsidR="007D3454" w:rsidRDefault="007D3454">
      <w:pPr>
        <w:pStyle w:val="TOC1"/>
        <w:rPr>
          <w:rFonts w:asciiTheme="minorHAnsi" w:eastAsiaTheme="minorEastAsia" w:hAnsiTheme="minorHAnsi" w:cstheme="minorBidi"/>
          <w:caps w:val="0"/>
          <w:noProof/>
          <w:sz w:val="22"/>
          <w:szCs w:val="22"/>
        </w:rPr>
      </w:pPr>
      <w:hyperlink w:anchor="_Toc477531089" w:history="1">
        <w:r w:rsidRPr="007549FD">
          <w:rPr>
            <w:rStyle w:val="Hyperlink"/>
            <w:noProof/>
            <w:lang w:val="es-ES_tradnl" w:eastAsia="ja-JP"/>
          </w:rPr>
          <w:t>TALLER CONJUNTO ENTRE LA OCDE, LA UPOV Y LA ISTA SOBRE TÉCNICAS MOLECULARES</w:t>
        </w:r>
        <w:r>
          <w:rPr>
            <w:noProof/>
            <w:webHidden/>
          </w:rPr>
          <w:tab/>
        </w:r>
        <w:r>
          <w:rPr>
            <w:noProof/>
            <w:webHidden/>
          </w:rPr>
          <w:fldChar w:fldCharType="begin"/>
        </w:r>
        <w:r>
          <w:rPr>
            <w:noProof/>
            <w:webHidden/>
          </w:rPr>
          <w:instrText xml:space="preserve"> PAGEREF _Toc477531089 \h </w:instrText>
        </w:r>
        <w:r>
          <w:rPr>
            <w:noProof/>
            <w:webHidden/>
          </w:rPr>
        </w:r>
        <w:r>
          <w:rPr>
            <w:noProof/>
            <w:webHidden/>
          </w:rPr>
          <w:fldChar w:fldCharType="separate"/>
        </w:r>
        <w:r>
          <w:rPr>
            <w:noProof/>
            <w:webHidden/>
          </w:rPr>
          <w:t>6</w:t>
        </w:r>
        <w:r>
          <w:rPr>
            <w:noProof/>
            <w:webHidden/>
          </w:rPr>
          <w:fldChar w:fldCharType="end"/>
        </w:r>
      </w:hyperlink>
    </w:p>
    <w:p w:rsidR="007D3454" w:rsidRDefault="007D3454" w:rsidP="007D3454">
      <w:pPr>
        <w:pStyle w:val="TOC1"/>
        <w:jc w:val="both"/>
        <w:rPr>
          <w:rFonts w:asciiTheme="minorHAnsi" w:eastAsiaTheme="minorEastAsia" w:hAnsiTheme="minorHAnsi" w:cstheme="minorBidi"/>
          <w:caps w:val="0"/>
          <w:noProof/>
          <w:sz w:val="22"/>
          <w:szCs w:val="22"/>
        </w:rPr>
      </w:pPr>
      <w:hyperlink w:anchor="_Toc477531090" w:history="1">
        <w:r w:rsidRPr="007549FD">
          <w:rPr>
            <w:rStyle w:val="Hyperlink"/>
            <w:noProof/>
            <w:lang w:val="es-ES_tradnl" w:eastAsia="ja-JP"/>
          </w:rPr>
          <w:t>PRESENTACIÓN DE INFORMACIÓN SOBRE LA SITUACIÓN EN LA UPOV EN LO QUE RESPECTA AL USO DE TÉCNICAS MOLECULARES</w:t>
        </w:r>
        <w:r>
          <w:rPr>
            <w:noProof/>
            <w:webHidden/>
          </w:rPr>
          <w:tab/>
        </w:r>
        <w:r>
          <w:rPr>
            <w:noProof/>
            <w:webHidden/>
          </w:rPr>
          <w:fldChar w:fldCharType="begin"/>
        </w:r>
        <w:r>
          <w:rPr>
            <w:noProof/>
            <w:webHidden/>
          </w:rPr>
          <w:instrText xml:space="preserve"> PAGEREF _Toc477531090 \h </w:instrText>
        </w:r>
        <w:r>
          <w:rPr>
            <w:noProof/>
            <w:webHidden/>
          </w:rPr>
        </w:r>
        <w:r>
          <w:rPr>
            <w:noProof/>
            <w:webHidden/>
          </w:rPr>
          <w:fldChar w:fldCharType="separate"/>
        </w:r>
        <w:r>
          <w:rPr>
            <w:noProof/>
            <w:webHidden/>
          </w:rPr>
          <w:t>7</w:t>
        </w:r>
        <w:r>
          <w:rPr>
            <w:noProof/>
            <w:webHidden/>
          </w:rPr>
          <w:fldChar w:fldCharType="end"/>
        </w:r>
      </w:hyperlink>
    </w:p>
    <w:p w:rsidR="00EB2111" w:rsidRPr="00647DFF" w:rsidRDefault="00EB2111" w:rsidP="000536A2">
      <w:pPr>
        <w:tabs>
          <w:tab w:val="right" w:leader="dot" w:pos="9639"/>
        </w:tabs>
        <w:spacing w:before="60" w:after="60"/>
        <w:ind w:right="1134"/>
        <w:rPr>
          <w:b/>
          <w:bCs/>
          <w:noProof/>
          <w:sz w:val="18"/>
          <w:szCs w:val="18"/>
        </w:rPr>
      </w:pPr>
      <w:r w:rsidRPr="00647DFF">
        <w:fldChar w:fldCharType="end"/>
      </w:r>
    </w:p>
    <w:p w:rsidR="00EB2111" w:rsidRPr="00647DFF" w:rsidRDefault="00EB2111" w:rsidP="007165FB">
      <w:pPr>
        <w:pStyle w:val="Heading1"/>
        <w:rPr>
          <w:lang w:eastAsia="ja-JP"/>
        </w:rPr>
      </w:pPr>
      <w:bookmarkStart w:id="4" w:name="_Toc460313637"/>
      <w:bookmarkStart w:id="5" w:name="_Toc410822402"/>
      <w:bookmarkStart w:id="6" w:name="_Toc410822806"/>
      <w:bookmarkStart w:id="7" w:name="_Toc410823313"/>
      <w:bookmarkStart w:id="8" w:name="_Toc410899581"/>
    </w:p>
    <w:p w:rsidR="00EB2111" w:rsidRPr="000B1676" w:rsidRDefault="00EB2111" w:rsidP="007165FB">
      <w:pPr>
        <w:pStyle w:val="Heading1"/>
        <w:rPr>
          <w:lang w:val="es-ES"/>
        </w:rPr>
      </w:pPr>
      <w:bookmarkStart w:id="9" w:name="_Toc477531084"/>
      <w:bookmarkEnd w:id="4"/>
      <w:r w:rsidRPr="00647DFF">
        <w:rPr>
          <w:lang w:val="es-ES_tradnl"/>
        </w:rPr>
        <w:t>NOVEDADES ACAECIDAS EN LA DECIMOQUINTA REUNIÓN DEL GRUPO DE TRABAJO SOBRE TÉCNICAS BIOQUÍMICAS Y MOLECULARES, Y PERFILES DE ADN EN PARTICULAR (BMT)</w:t>
      </w:r>
      <w:bookmarkEnd w:id="9"/>
    </w:p>
    <w:p w:rsidR="00EB2111" w:rsidRPr="000B1676" w:rsidRDefault="00EB2111" w:rsidP="007165FB">
      <w:pPr>
        <w:keepNext/>
        <w:rPr>
          <w:lang w:val="es-ES" w:eastAsia="ja-JP"/>
        </w:rPr>
      </w:pPr>
      <w:bookmarkStart w:id="10" w:name="_GoBack"/>
      <w:bookmarkEnd w:id="10"/>
    </w:p>
    <w:p w:rsidR="00EB2111" w:rsidRPr="000B1676" w:rsidRDefault="00EB2111" w:rsidP="00FE318A">
      <w:pPr>
        <w:rPr>
          <w:lang w:val="es-ES" w:eastAsia="ja-JP"/>
        </w:rPr>
      </w:pPr>
      <w:r w:rsidRPr="00647DFF">
        <w:fldChar w:fldCharType="begin"/>
      </w:r>
      <w:r w:rsidRPr="000B1676">
        <w:rPr>
          <w:lang w:val="es-ES"/>
        </w:rPr>
        <w:instrText xml:space="preserve"> AUTONUM  </w:instrText>
      </w:r>
      <w:r w:rsidRPr="00647DFF">
        <w:fldChar w:fldCharType="end"/>
      </w:r>
      <w:r w:rsidRPr="000B1676">
        <w:rPr>
          <w:lang w:val="es-ES"/>
        </w:rPr>
        <w:tab/>
      </w:r>
      <w:r w:rsidRPr="00647DFF">
        <w:t>La función del BMT se reproduce en el Anexo del presente documento.</w:t>
      </w:r>
    </w:p>
    <w:p w:rsidR="00EB2111" w:rsidRPr="000B1676" w:rsidRDefault="00EB2111" w:rsidP="00FE318A">
      <w:pPr>
        <w:rPr>
          <w:lang w:val="es-ES" w:eastAsia="ja-JP"/>
        </w:rPr>
      </w:pPr>
    </w:p>
    <w:p w:rsidR="00EB2111" w:rsidRPr="000B1676" w:rsidRDefault="00EB2111" w:rsidP="00164CBF">
      <w:pPr>
        <w:rPr>
          <w:lang w:val="es-ES" w:eastAsia="ja-JP"/>
        </w:rPr>
      </w:pPr>
      <w:r w:rsidRPr="00647DFF">
        <w:fldChar w:fldCharType="begin"/>
      </w:r>
      <w:r w:rsidRPr="000B1676">
        <w:rPr>
          <w:lang w:val="es-ES"/>
        </w:rPr>
        <w:instrText xml:space="preserve"> AUTONUM  </w:instrText>
      </w:r>
      <w:r w:rsidRPr="00647DFF">
        <w:fldChar w:fldCharType="end"/>
      </w:r>
      <w:r w:rsidRPr="000B1676">
        <w:rPr>
          <w:lang w:val="es-ES"/>
        </w:rPr>
        <w:tab/>
      </w:r>
      <w:r w:rsidRPr="00647DFF">
        <w:t xml:space="preserve">En su quincuagésima segunda sesión, celebrada en Ginebra del 14 al 16 de marzo de 2016, el TC señaló que el punto 5 del orden del día, “Informe sobre la labor relativa a las técnicas moleculares en </w:t>
      </w:r>
      <w:r w:rsidRPr="00647DFF">
        <w:lastRenderedPageBreak/>
        <w:t>relación con el examen DHE”, de la decimoquinta reunión del BMT ofrecería a los miembros de la UPOV la oportunidad de informar sobre las novedades más recientes relacionadas con la utilización de técnicas moleculares en el examen DHE, y que podría servir de base para proponer nuevos modelos de aplicación para su inclusión en el documento TGP/15 “Orientación sobre el uso de marcadores bioquímicos y moleculares en el examen de la distinción, la homogeneidad y la estabilidad (DHE)” (véase el párrafo 132 del documento TC/52/29 Rev. “Informe revisado”).</w:t>
      </w:r>
    </w:p>
    <w:p w:rsidR="00EB2111" w:rsidRPr="000B1676" w:rsidRDefault="00EB2111" w:rsidP="00164CBF">
      <w:pPr>
        <w:rPr>
          <w:lang w:val="es-ES" w:eastAsia="ja-JP"/>
        </w:rPr>
      </w:pPr>
    </w:p>
    <w:p w:rsidR="00EB2111" w:rsidRPr="000B1676" w:rsidRDefault="00EB2111" w:rsidP="00FE318A">
      <w:pPr>
        <w:rPr>
          <w:lang w:val="es-ES" w:eastAsia="ja-JP"/>
        </w:rPr>
      </w:pPr>
      <w:r w:rsidRPr="00647DFF">
        <w:rPr>
          <w:color w:val="000000"/>
        </w:rPr>
        <w:fldChar w:fldCharType="begin"/>
      </w:r>
      <w:r w:rsidRPr="000B1676">
        <w:rPr>
          <w:color w:val="000000"/>
          <w:lang w:val="es-ES"/>
        </w:rPr>
        <w:instrText xml:space="preserve"> AUTONUM  </w:instrText>
      </w:r>
      <w:r w:rsidRPr="00647DFF">
        <w:rPr>
          <w:color w:val="000000"/>
        </w:rPr>
        <w:fldChar w:fldCharType="end"/>
      </w:r>
      <w:r w:rsidRPr="000B1676">
        <w:rPr>
          <w:color w:val="000000"/>
          <w:lang w:val="es-ES"/>
        </w:rPr>
        <w:tab/>
      </w:r>
      <w:r w:rsidRPr="00647DFF">
        <w:t>La decimoquinta reunión del BMT se celebró en Moscú (Federación de Rusia) del 24 al 27 de mayo de 2016, y el taller preparatorio, el 23 de mayo de 2016.</w:t>
      </w:r>
      <w:r w:rsidRPr="000B1676">
        <w:rPr>
          <w:lang w:val="es-ES" w:eastAsia="ja-JP"/>
        </w:rPr>
        <w:t xml:space="preserve"> </w:t>
      </w:r>
      <w:r w:rsidRPr="000B1676">
        <w:rPr>
          <w:lang w:val="es-ES"/>
        </w:rPr>
        <w:t xml:space="preserve"> </w:t>
      </w:r>
      <w:r w:rsidRPr="00647DFF">
        <w:t>El día específico dedicado a los puntos del orden del día “Informe sobre la labor relativa a las técnicas moleculares en relación con el examen DHE” y “La utilización de técnicas moleculares en la identificación de variedades” (el “Día del obtentor”) fue el 25</w:t>
      </w:r>
      <w:r w:rsidR="00017456">
        <w:t> </w:t>
      </w:r>
      <w:r w:rsidRPr="00647DFF">
        <w:t>de</w:t>
      </w:r>
      <w:r w:rsidR="00017456">
        <w:t> </w:t>
      </w:r>
      <w:r w:rsidRPr="00647DFF">
        <w:t>mayo de 2016.</w:t>
      </w:r>
    </w:p>
    <w:p w:rsidR="00EB2111" w:rsidRPr="000B1676" w:rsidRDefault="00EB2111" w:rsidP="00FE318A">
      <w:pPr>
        <w:rPr>
          <w:noProof/>
          <w:lang w:val="es-ES" w:eastAsia="ja-JP"/>
        </w:rPr>
      </w:pPr>
    </w:p>
    <w:p w:rsidR="00EB2111" w:rsidRPr="000B1676" w:rsidRDefault="00EB2111" w:rsidP="00FE318A">
      <w:pPr>
        <w:rPr>
          <w:noProof/>
          <w:lang w:val="es-ES" w:eastAsia="ja-JP"/>
        </w:rPr>
      </w:pPr>
    </w:p>
    <w:p w:rsidR="00EB2111" w:rsidRPr="000B1676" w:rsidRDefault="00EB2111" w:rsidP="002C537B">
      <w:pPr>
        <w:pStyle w:val="Heading2"/>
        <w:rPr>
          <w:lang w:val="es-ES" w:eastAsia="ja-JP"/>
        </w:rPr>
      </w:pPr>
      <w:bookmarkStart w:id="11" w:name="_Toc477531085"/>
      <w:r w:rsidRPr="00647DFF">
        <w:rPr>
          <w:lang w:val="es-ES_tradnl" w:eastAsia="ja-JP"/>
        </w:rPr>
        <w:t>Documentos presentados en la decimoquinta reunión del BMT</w:t>
      </w:r>
      <w:bookmarkEnd w:id="11"/>
    </w:p>
    <w:p w:rsidR="00EB2111" w:rsidRPr="000B1676" w:rsidRDefault="00EB2111" w:rsidP="00FE318A">
      <w:pPr>
        <w:rPr>
          <w:lang w:val="es-ES"/>
        </w:rPr>
      </w:pPr>
    </w:p>
    <w:p w:rsidR="00EB2111" w:rsidRPr="000B1676" w:rsidRDefault="00EB2111" w:rsidP="00FE318A">
      <w:pPr>
        <w:autoSpaceDE w:val="0"/>
        <w:autoSpaceDN w:val="0"/>
        <w:adjustRightInd w:val="0"/>
        <w:rPr>
          <w:lang w:val="es-ES" w:eastAsia="ja-JP"/>
        </w:rPr>
      </w:pPr>
      <w:r w:rsidRPr="00647DFF">
        <w:rPr>
          <w:lang w:eastAsia="ja-JP"/>
        </w:rPr>
        <w:fldChar w:fldCharType="begin"/>
      </w:r>
      <w:r w:rsidRPr="000B1676">
        <w:rPr>
          <w:lang w:val="es-ES" w:eastAsia="ja-JP"/>
        </w:rPr>
        <w:instrText xml:space="preserve"> AUTONUM  </w:instrText>
      </w:r>
      <w:r w:rsidRPr="00647DFF">
        <w:rPr>
          <w:lang w:eastAsia="ja-JP"/>
        </w:rPr>
        <w:fldChar w:fldCharType="end"/>
      </w:r>
      <w:r w:rsidRPr="000B1676">
        <w:rPr>
          <w:lang w:val="es-ES" w:eastAsia="ja-JP"/>
        </w:rPr>
        <w:tab/>
      </w:r>
      <w:r w:rsidRPr="00647DFF">
        <w:rPr>
          <w:lang w:eastAsia="ja-JP"/>
        </w:rPr>
        <w:t>A continuación se indican los documentos presentados en cada uno de los puntos del orden del día de la decimoquinta reunión del BMT:</w:t>
      </w:r>
    </w:p>
    <w:p w:rsidR="00EB2111" w:rsidRPr="000B1676" w:rsidRDefault="00EB2111" w:rsidP="00FE318A">
      <w:pPr>
        <w:autoSpaceDE w:val="0"/>
        <w:autoSpaceDN w:val="0"/>
        <w:adjustRightInd w:val="0"/>
        <w:rPr>
          <w:lang w:val="es-ES" w:eastAsia="ja-JP"/>
        </w:rPr>
      </w:pPr>
    </w:p>
    <w:p w:rsidR="00EB2111" w:rsidRPr="000B1676" w:rsidRDefault="00EB2111" w:rsidP="00FE318A">
      <w:pPr>
        <w:autoSpaceDE w:val="0"/>
        <w:autoSpaceDN w:val="0"/>
        <w:adjustRightInd w:val="0"/>
        <w:ind w:left="540"/>
        <w:rPr>
          <w:lang w:val="es-ES" w:eastAsia="ja-JP"/>
        </w:rPr>
      </w:pPr>
      <w:r w:rsidRPr="00647DFF">
        <w:rPr>
          <w:lang w:eastAsia="ja-JP"/>
        </w:rPr>
        <w:t>Breves ponencias sobre los avances en las técnicas bioquímicas y moleculares a cargo de expertos en el examen DHE, especialistas en técnicas bioquímicas y moleculares, y obtentores y organizaciones internacionales pertinentes</w:t>
      </w:r>
    </w:p>
    <w:p w:rsidR="00EB2111" w:rsidRPr="000B1676" w:rsidRDefault="00EB2111" w:rsidP="00FE318A">
      <w:pPr>
        <w:autoSpaceDE w:val="0"/>
        <w:autoSpaceDN w:val="0"/>
        <w:adjustRightInd w:val="0"/>
        <w:ind w:left="54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Informe de la OCVV dirigido al BMT de la UPOV (documento BMT/15/27)</w:t>
      </w:r>
    </w:p>
    <w:p w:rsidR="00EB2111" w:rsidRPr="000B1676" w:rsidRDefault="00EB2111" w:rsidP="00FE318A">
      <w:pPr>
        <w:autoSpaceDE w:val="0"/>
        <w:autoSpaceDN w:val="0"/>
        <w:adjustRightInd w:val="0"/>
        <w:ind w:left="540"/>
        <w:rPr>
          <w:i/>
          <w:iCs/>
          <w:lang w:val="es-ES" w:eastAsia="ja-JP"/>
        </w:rPr>
      </w:pPr>
    </w:p>
    <w:p w:rsidR="00EB2111" w:rsidRPr="000B1676" w:rsidRDefault="00EB2111" w:rsidP="00FE318A">
      <w:pPr>
        <w:autoSpaceDE w:val="0"/>
        <w:autoSpaceDN w:val="0"/>
        <w:adjustRightInd w:val="0"/>
        <w:ind w:left="540"/>
        <w:rPr>
          <w:lang w:val="es-ES" w:eastAsia="ja-JP"/>
        </w:rPr>
      </w:pPr>
      <w:r w:rsidRPr="00647DFF">
        <w:rPr>
          <w:lang w:eastAsia="ja-JP"/>
        </w:rPr>
        <w:t>Informe sobre la labor relativa a las técnicas moleculares en relación con el examen DHE</w:t>
      </w:r>
    </w:p>
    <w:p w:rsidR="00EB2111" w:rsidRPr="000B1676" w:rsidRDefault="00EB2111" w:rsidP="00FE318A">
      <w:pPr>
        <w:autoSpaceDE w:val="0"/>
        <w:autoSpaceDN w:val="0"/>
        <w:adjustRightInd w:val="0"/>
        <w:ind w:left="54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Labor sobre las técnicas moleculares aplicadas al examen DHE de diferentes especies frutales (documento BMT/15/11)</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Utilización de marcadores moleculares en el proceso de solicitud de derechos de obtentor:  un proyecto conjunto de la Oficina de Protección de las Obtenciones Vegetales de los Estados Unidos de América y la Asociación Estadounidense de Comercio de Semillas (ASTA) (documento BMT/15/12)</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Evaluación de marcadores moleculares de la soja de uso público para su posible aplicación en la protección de las obtenciones vegetales (documento BMT/15/13)</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Comparación de datos genotípicos y fenotípicos para determinar la distinción de líneas endógamas de maíz a efectos de la concesión de derechos de obtentor (documento BMT/15/14)</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Un eficiente examen DHE de la judía común gracias al empleo de datos moleculares (documento BMT/15/21)</w:t>
      </w:r>
    </w:p>
    <w:p w:rsidR="00EB2111" w:rsidRPr="000B1676" w:rsidRDefault="00EB2111" w:rsidP="00FE318A">
      <w:pPr>
        <w:autoSpaceDE w:val="0"/>
        <w:autoSpaceDN w:val="0"/>
        <w:adjustRightInd w:val="0"/>
        <w:ind w:left="1080"/>
        <w:rPr>
          <w:i/>
          <w:iCs/>
          <w:lang w:val="es-ES" w:eastAsia="ja-JP"/>
        </w:rPr>
      </w:pPr>
    </w:p>
    <w:p w:rsidR="00EB2111" w:rsidRPr="00647DFF" w:rsidRDefault="00EB2111" w:rsidP="00FE318A">
      <w:pPr>
        <w:autoSpaceDE w:val="0"/>
        <w:autoSpaceDN w:val="0"/>
        <w:adjustRightInd w:val="0"/>
        <w:ind w:left="1080"/>
        <w:rPr>
          <w:i/>
          <w:iCs/>
          <w:lang w:val="fr-FR"/>
        </w:rPr>
      </w:pPr>
      <w:r w:rsidRPr="00647DFF">
        <w:rPr>
          <w:i/>
          <w:iCs/>
          <w:lang w:eastAsia="ja-JP"/>
        </w:rPr>
        <w:t>¿Puede utilizarse la distancia molecular como un carácter?</w:t>
      </w:r>
      <w:r w:rsidRPr="000B1676">
        <w:rPr>
          <w:i/>
          <w:iCs/>
          <w:lang w:val="es-ES" w:eastAsia="ja-JP"/>
        </w:rPr>
        <w:t xml:space="preserve"> </w:t>
      </w:r>
      <w:r w:rsidRPr="00647DFF">
        <w:rPr>
          <w:i/>
          <w:iCs/>
        </w:rPr>
        <w:t>(documento BMT/15/22)</w:t>
      </w:r>
    </w:p>
    <w:p w:rsidR="00EB2111" w:rsidRPr="00647DFF" w:rsidRDefault="00EB2111" w:rsidP="00FE318A">
      <w:pPr>
        <w:autoSpaceDE w:val="0"/>
        <w:autoSpaceDN w:val="0"/>
        <w:adjustRightInd w:val="0"/>
        <w:ind w:left="1080"/>
        <w:rPr>
          <w:i/>
          <w:iCs/>
          <w:lang w:val="fr-FR"/>
        </w:rPr>
      </w:pPr>
    </w:p>
    <w:p w:rsidR="00EB2111" w:rsidRPr="000B1676" w:rsidRDefault="00EB2111" w:rsidP="00FE318A">
      <w:pPr>
        <w:autoSpaceDE w:val="0"/>
        <w:autoSpaceDN w:val="0"/>
        <w:adjustRightInd w:val="0"/>
        <w:ind w:left="540"/>
        <w:rPr>
          <w:lang w:val="es-ES"/>
        </w:rPr>
      </w:pPr>
      <w:r w:rsidRPr="00647DFF">
        <w:t>Directrices internacionales sobre metodologías moleculares (documento BMT/15/3 Rev.)</w:t>
      </w:r>
    </w:p>
    <w:p w:rsidR="00EB2111" w:rsidRPr="000B1676" w:rsidRDefault="00EB2111" w:rsidP="00FE318A">
      <w:pPr>
        <w:autoSpaceDE w:val="0"/>
        <w:autoSpaceDN w:val="0"/>
        <w:adjustRightInd w:val="0"/>
        <w:ind w:left="540"/>
        <w:rPr>
          <w:i/>
          <w:iCs/>
          <w:lang w:val="es-ES"/>
        </w:rPr>
      </w:pPr>
    </w:p>
    <w:p w:rsidR="00EB2111" w:rsidRPr="000B1676" w:rsidRDefault="00EB2111" w:rsidP="00FE318A">
      <w:pPr>
        <w:autoSpaceDE w:val="0"/>
        <w:autoSpaceDN w:val="0"/>
        <w:adjustRightInd w:val="0"/>
        <w:ind w:left="1080"/>
        <w:rPr>
          <w:i/>
          <w:iCs/>
          <w:lang w:val="es-ES" w:eastAsia="ja-JP"/>
        </w:rPr>
      </w:pPr>
      <w:r w:rsidRPr="00647DFF">
        <w:rPr>
          <w:i/>
          <w:iCs/>
          <w:lang w:eastAsia="ja-JP"/>
        </w:rPr>
        <w:t>La UPOV y el TC 34/SC 16 de la ISO (administrado por el Grupo Asesor Técnico (TAG) de los Estados Unidos de América y el ANSI)</w:t>
      </w:r>
      <w:proofErr w:type="gramStart"/>
      <w:r w:rsidRPr="00647DFF">
        <w:rPr>
          <w:i/>
          <w:iCs/>
          <w:lang w:eastAsia="ja-JP"/>
        </w:rPr>
        <w:t>:  Productos</w:t>
      </w:r>
      <w:proofErr w:type="gramEnd"/>
      <w:r w:rsidRPr="00647DFF">
        <w:rPr>
          <w:i/>
          <w:iCs/>
          <w:lang w:eastAsia="ja-JP"/>
        </w:rPr>
        <w:t xml:space="preserve"> alimenticios;  métodos horizontales para el análisis de biomarcadores moleculares (documento BMT/16/7)</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Método de examen de variedades basado en el ADN</w:t>
      </w:r>
      <w:proofErr w:type="gramStart"/>
      <w:r w:rsidRPr="00647DFF">
        <w:rPr>
          <w:i/>
          <w:iCs/>
          <w:lang w:eastAsia="ja-JP"/>
        </w:rPr>
        <w:t>:</w:t>
      </w:r>
      <w:r w:rsidRPr="000B1676">
        <w:rPr>
          <w:i/>
          <w:iCs/>
          <w:lang w:val="es-ES" w:eastAsia="ja-JP"/>
        </w:rPr>
        <w:t xml:space="preserve">  </w:t>
      </w:r>
      <w:r w:rsidRPr="00647DFF">
        <w:rPr>
          <w:i/>
          <w:iCs/>
          <w:lang w:eastAsia="ja-JP"/>
        </w:rPr>
        <w:t>el</w:t>
      </w:r>
      <w:proofErr w:type="gramEnd"/>
      <w:r w:rsidRPr="00647DFF">
        <w:rPr>
          <w:i/>
          <w:iCs/>
          <w:lang w:eastAsia="ja-JP"/>
        </w:rPr>
        <w:t xml:space="preserve"> enfoque de la ISTA (documento</w:t>
      </w:r>
      <w:r w:rsidR="00017456">
        <w:rPr>
          <w:i/>
          <w:iCs/>
          <w:lang w:eastAsia="ja-JP"/>
        </w:rPr>
        <w:t> </w:t>
      </w:r>
      <w:r w:rsidRPr="00647DFF">
        <w:rPr>
          <w:i/>
          <w:iCs/>
          <w:lang w:eastAsia="ja-JP"/>
        </w:rPr>
        <w:t>BMT/15/19)</w:t>
      </w:r>
    </w:p>
    <w:p w:rsidR="00EB2111" w:rsidRPr="000B1676" w:rsidRDefault="00EB2111" w:rsidP="00FE318A">
      <w:pPr>
        <w:autoSpaceDE w:val="0"/>
        <w:autoSpaceDN w:val="0"/>
        <w:adjustRightInd w:val="0"/>
        <w:ind w:left="540"/>
        <w:rPr>
          <w:i/>
          <w:iCs/>
          <w:lang w:val="es-ES" w:eastAsia="ja-JP"/>
        </w:rPr>
      </w:pPr>
    </w:p>
    <w:p w:rsidR="00EB2111" w:rsidRPr="000B1676" w:rsidRDefault="00EB2111" w:rsidP="00FE318A">
      <w:pPr>
        <w:autoSpaceDE w:val="0"/>
        <w:autoSpaceDN w:val="0"/>
        <w:adjustRightInd w:val="0"/>
        <w:ind w:left="540"/>
        <w:rPr>
          <w:lang w:val="es-ES" w:eastAsia="ja-JP"/>
        </w:rPr>
      </w:pPr>
      <w:r w:rsidRPr="00647DFF">
        <w:rPr>
          <w:lang w:eastAsia="ja-JP"/>
        </w:rPr>
        <w:t>Métodos de análisis de datos moleculares</w:t>
      </w:r>
    </w:p>
    <w:p w:rsidR="00EB2111" w:rsidRPr="000B1676" w:rsidRDefault="00EB2111" w:rsidP="00FE318A">
      <w:pPr>
        <w:autoSpaceDE w:val="0"/>
        <w:autoSpaceDN w:val="0"/>
        <w:adjustRightInd w:val="0"/>
        <w:ind w:left="54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Capacidad de análisis de datos moleculares (documento BMT/15/10)</w:t>
      </w:r>
    </w:p>
    <w:p w:rsidR="00EB2111" w:rsidRPr="000B1676" w:rsidRDefault="00EB2111" w:rsidP="00FE318A">
      <w:pPr>
        <w:autoSpaceDE w:val="0"/>
        <w:autoSpaceDN w:val="0"/>
        <w:adjustRightInd w:val="0"/>
        <w:ind w:left="540"/>
        <w:rPr>
          <w:i/>
          <w:iCs/>
          <w:lang w:val="es-ES" w:eastAsia="ja-JP"/>
        </w:rPr>
      </w:pPr>
    </w:p>
    <w:p w:rsidR="00EB2111" w:rsidRPr="000B1676" w:rsidRDefault="00EB2111" w:rsidP="00FE416D">
      <w:pPr>
        <w:keepNext/>
        <w:autoSpaceDE w:val="0"/>
        <w:autoSpaceDN w:val="0"/>
        <w:adjustRightInd w:val="0"/>
        <w:ind w:left="539"/>
        <w:rPr>
          <w:lang w:val="es-ES" w:eastAsia="ja-JP"/>
        </w:rPr>
      </w:pPr>
      <w:r w:rsidRPr="00647DFF">
        <w:rPr>
          <w:lang w:eastAsia="ja-JP"/>
        </w:rPr>
        <w:lastRenderedPageBreak/>
        <w:t>La utilización de técnicas moleculares en la identificación de variedades</w:t>
      </w:r>
    </w:p>
    <w:p w:rsidR="00EB2111" w:rsidRPr="000B1676" w:rsidRDefault="00EB2111" w:rsidP="00FE416D">
      <w:pPr>
        <w:keepNext/>
        <w:autoSpaceDE w:val="0"/>
        <w:autoSpaceDN w:val="0"/>
        <w:adjustRightInd w:val="0"/>
        <w:ind w:left="539"/>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Identificación de variedades de cebada mediante genotipificación por KASP (documento BMT/15/6)</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Detección e identificación rápidas, en una sola etapa, de múltiples agentes fitopatógenos y organismos modificados genéticamente mediante la técnica de matrices de PCR en tiempo real (documento BMT/15/9)</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Avances producidos en Belarús en materia de técnicas bioquímicas y moleculares (documento BMT/15/15)</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Modificación de genes y del genoma con CRISPR-cas9 (documento BMT/15/17)</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Uso de técnicas basadas en marcadores de ADN para la identificación de variedades y la determinación del perfil de los recursos genéticos de plantas frutales y la vid (documento BMT/15/18)</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Botánica forense</w:t>
      </w:r>
      <w:proofErr w:type="gramStart"/>
      <w:r w:rsidRPr="00647DFF">
        <w:rPr>
          <w:i/>
          <w:iCs/>
          <w:lang w:eastAsia="ja-JP"/>
        </w:rPr>
        <w:t>:</w:t>
      </w:r>
      <w:r w:rsidRPr="000B1676">
        <w:rPr>
          <w:i/>
          <w:iCs/>
          <w:lang w:val="es-ES" w:eastAsia="ja-JP"/>
        </w:rPr>
        <w:t xml:space="preserve">  </w:t>
      </w:r>
      <w:r w:rsidRPr="00647DFF">
        <w:rPr>
          <w:i/>
          <w:iCs/>
          <w:lang w:eastAsia="ja-JP"/>
        </w:rPr>
        <w:t>la</w:t>
      </w:r>
      <w:proofErr w:type="gramEnd"/>
      <w:r w:rsidRPr="00647DFF">
        <w:rPr>
          <w:i/>
          <w:iCs/>
          <w:lang w:eastAsia="ja-JP"/>
        </w:rPr>
        <w:t xml:space="preserve"> secuenciación del genoma completo en la defensa del derecho de obtentor (documento BMT/15/23)</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Aplicación de las tecnologías de marcadores de ADN en el fitomejoramiento de hortalizas (documento BMT/15/24)</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Control analítico de las semillas de variedades de cebada (documento BMT/15/25)</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Evaluación y clasificación de accesiones de obtenciones de hortalizas mediante marcadores de ADN (documento BMT/15/26)</w:t>
      </w:r>
    </w:p>
    <w:p w:rsidR="00EB2111" w:rsidRPr="000B1676" w:rsidRDefault="00EB2111" w:rsidP="00FE318A">
      <w:pPr>
        <w:autoSpaceDE w:val="0"/>
        <w:autoSpaceDN w:val="0"/>
        <w:adjustRightInd w:val="0"/>
        <w:ind w:left="540"/>
        <w:rPr>
          <w:i/>
          <w:iCs/>
          <w:lang w:val="es-ES" w:eastAsia="ja-JP"/>
        </w:rPr>
      </w:pPr>
    </w:p>
    <w:p w:rsidR="00EB2111" w:rsidRPr="000B1676" w:rsidRDefault="00EB2111" w:rsidP="00FE318A">
      <w:pPr>
        <w:autoSpaceDE w:val="0"/>
        <w:autoSpaceDN w:val="0"/>
        <w:adjustRightInd w:val="0"/>
        <w:ind w:left="540"/>
        <w:rPr>
          <w:lang w:val="es-ES" w:eastAsia="ja-JP"/>
        </w:rPr>
      </w:pPr>
      <w:r w:rsidRPr="00647DFF">
        <w:rPr>
          <w:lang w:eastAsia="ja-JP"/>
        </w:rPr>
        <w:t>Bases de datos con información molecular</w:t>
      </w:r>
    </w:p>
    <w:p w:rsidR="00EB2111" w:rsidRPr="000B1676" w:rsidRDefault="00EB2111" w:rsidP="00FE318A">
      <w:pPr>
        <w:autoSpaceDE w:val="0"/>
        <w:autoSpaceDN w:val="0"/>
        <w:adjustRightInd w:val="0"/>
        <w:ind w:left="54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Creación de bases permanentes de datos de ADN que sirvan de apoyo al examen DHE (documento BMT/15/16)</w:t>
      </w:r>
    </w:p>
    <w:p w:rsidR="00EB2111" w:rsidRPr="000B1676" w:rsidRDefault="00EB2111" w:rsidP="00FE318A">
      <w:pPr>
        <w:autoSpaceDE w:val="0"/>
        <w:autoSpaceDN w:val="0"/>
        <w:adjustRightInd w:val="0"/>
        <w:ind w:left="1080"/>
        <w:rPr>
          <w:i/>
          <w:iCs/>
          <w:lang w:val="es-ES" w:eastAsia="ja-JP"/>
        </w:rPr>
      </w:pPr>
    </w:p>
    <w:p w:rsidR="00EB2111" w:rsidRPr="000B1676" w:rsidRDefault="00EB2111" w:rsidP="00FE318A">
      <w:pPr>
        <w:autoSpaceDE w:val="0"/>
        <w:autoSpaceDN w:val="0"/>
        <w:adjustRightInd w:val="0"/>
        <w:ind w:left="1080"/>
        <w:rPr>
          <w:i/>
          <w:iCs/>
          <w:lang w:val="es-ES" w:eastAsia="ja-JP"/>
        </w:rPr>
      </w:pPr>
      <w:r w:rsidRPr="00647DFF">
        <w:rPr>
          <w:i/>
          <w:iCs/>
          <w:lang w:eastAsia="ja-JP"/>
        </w:rPr>
        <w:t>Avances en la elaboración y la aplicación de una base de datos de perfiles de ADN del maíz (documento BMT/15/20)</w:t>
      </w:r>
    </w:p>
    <w:p w:rsidR="00EB2111" w:rsidRPr="000B1676" w:rsidRDefault="00EB2111" w:rsidP="00FE318A">
      <w:pPr>
        <w:keepNext/>
        <w:rPr>
          <w:snapToGrid w:val="0"/>
          <w:lang w:val="es-ES" w:eastAsia="ja-JP"/>
        </w:rPr>
      </w:pPr>
    </w:p>
    <w:p w:rsidR="00EB2111" w:rsidRPr="000B1676" w:rsidRDefault="00EB2111" w:rsidP="00FE318A">
      <w:pPr>
        <w:keepNext/>
        <w:rPr>
          <w:snapToGrid w:val="0"/>
          <w:lang w:val="es-ES" w:eastAsia="ja-JP"/>
        </w:rPr>
      </w:pPr>
    </w:p>
    <w:p w:rsidR="00EB2111" w:rsidRPr="000B1676" w:rsidRDefault="00EB2111" w:rsidP="00AF3694">
      <w:pPr>
        <w:pStyle w:val="Heading2"/>
        <w:rPr>
          <w:lang w:val="es-ES" w:eastAsia="ja-JP"/>
        </w:rPr>
      </w:pPr>
      <w:bookmarkStart w:id="12" w:name="_Toc477531086"/>
      <w:r w:rsidRPr="00647DFF">
        <w:rPr>
          <w:lang w:val="es-ES_tradnl" w:eastAsia="ja-JP"/>
        </w:rPr>
        <w:t>Cooperación entre la OCDE, la UPOV, la ISTA y la ISO</w:t>
      </w:r>
      <w:bookmarkEnd w:id="12"/>
    </w:p>
    <w:p w:rsidR="00EB2111" w:rsidRPr="000B1676" w:rsidRDefault="00EB2111" w:rsidP="00FE318A">
      <w:pPr>
        <w:keepNext/>
        <w:rPr>
          <w:snapToGrid w:val="0"/>
          <w:lang w:val="es-ES" w:eastAsia="ja-JP"/>
        </w:rPr>
      </w:pPr>
    </w:p>
    <w:p w:rsidR="00EB2111" w:rsidRPr="000B1676" w:rsidRDefault="00EB2111" w:rsidP="00AF3694">
      <w:pPr>
        <w:rPr>
          <w:lang w:val="es-ES"/>
        </w:rPr>
      </w:pPr>
      <w:r w:rsidRPr="00647DFF">
        <w:fldChar w:fldCharType="begin"/>
      </w:r>
      <w:r w:rsidRPr="000B1676">
        <w:rPr>
          <w:lang w:val="es-ES"/>
        </w:rPr>
        <w:instrText xml:space="preserve"> AUTONUM  </w:instrText>
      </w:r>
      <w:r w:rsidRPr="00647DFF">
        <w:fldChar w:fldCharType="end"/>
      </w:r>
      <w:r w:rsidRPr="000B1676">
        <w:rPr>
          <w:lang w:val="es-ES"/>
        </w:rPr>
        <w:tab/>
      </w:r>
      <w:r w:rsidRPr="00647DFF">
        <w:t>En su quincuagésima segunda sesión, el TC señaló que, en su quincuagésima primera sesión, había acordado (véase el párrafo 129 del documento TC/52/29 Rev. “Informe revisado”):</w:t>
      </w:r>
    </w:p>
    <w:p w:rsidR="00EB2111" w:rsidRPr="000B1676" w:rsidRDefault="00EB2111" w:rsidP="00AF3694">
      <w:pPr>
        <w:rPr>
          <w:lang w:val="es-ES"/>
        </w:rPr>
      </w:pPr>
    </w:p>
    <w:p w:rsidR="00EB2111" w:rsidRPr="000B1676" w:rsidRDefault="00EB2111" w:rsidP="00182B6A">
      <w:pPr>
        <w:spacing w:after="120"/>
        <w:ind w:left="1134" w:hanging="567"/>
        <w:rPr>
          <w:lang w:val="es-ES" w:eastAsia="ja-JP"/>
        </w:rPr>
      </w:pPr>
      <w:r w:rsidRPr="000B1676">
        <w:rPr>
          <w:lang w:val="es-ES" w:eastAsia="ja-JP"/>
        </w:rPr>
        <w:t>a)</w:t>
      </w:r>
      <w:r w:rsidRPr="000B1676">
        <w:rPr>
          <w:lang w:val="es-ES" w:eastAsia="ja-JP"/>
        </w:rPr>
        <w:tab/>
      </w:r>
      <w:r w:rsidRPr="00647DFF">
        <w:rPr>
          <w:lang w:eastAsia="ja-JP"/>
        </w:rPr>
        <w:t>elaborar un documento conjunto en el que se expliquen las características principales de los sistemas de la OCDE, la UPOV y la ISTA;</w:t>
      </w:r>
    </w:p>
    <w:p w:rsidR="00EB2111" w:rsidRPr="000B1676" w:rsidRDefault="00EB2111" w:rsidP="00182B6A">
      <w:pPr>
        <w:spacing w:after="120"/>
        <w:ind w:left="1134" w:hanging="567"/>
        <w:rPr>
          <w:sz w:val="18"/>
          <w:szCs w:val="18"/>
          <w:lang w:val="es-ES" w:eastAsia="ja-JP"/>
        </w:rPr>
      </w:pPr>
      <w:r w:rsidRPr="000B1676">
        <w:rPr>
          <w:lang w:val="es-ES" w:eastAsia="ja-JP"/>
        </w:rPr>
        <w:t>b)</w:t>
      </w:r>
      <w:r w:rsidRPr="000B1676">
        <w:rPr>
          <w:lang w:val="es-ES" w:eastAsia="ja-JP"/>
        </w:rPr>
        <w:tab/>
      </w:r>
      <w:r w:rsidRPr="00647DFF">
        <w:rPr>
          <w:lang w:eastAsia="ja-JP"/>
        </w:rPr>
        <w:t>realizar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 con sujeción a la aprobación por el Consejo y en coordinación con la OCDE y la ISTA;</w:t>
      </w:r>
      <w:r w:rsidRPr="000B1676">
        <w:rPr>
          <w:lang w:val="es-ES" w:eastAsia="ja-JP"/>
        </w:rPr>
        <w:t xml:space="preserve">  </w:t>
      </w:r>
      <w:r w:rsidRPr="00647DFF">
        <w:rPr>
          <w:lang w:eastAsia="ja-JP"/>
        </w:rPr>
        <w:t>y</w:t>
      </w:r>
      <w:r w:rsidRPr="000B1676">
        <w:rPr>
          <w:lang w:val="es-ES" w:eastAsia="ja-JP"/>
        </w:rPr>
        <w:t xml:space="preserve"> </w:t>
      </w:r>
    </w:p>
    <w:p w:rsidR="00EB2111" w:rsidRPr="000B1676" w:rsidRDefault="00EB2111" w:rsidP="00AF3694">
      <w:pPr>
        <w:ind w:left="1134" w:hanging="567"/>
        <w:rPr>
          <w:lang w:val="es-ES" w:eastAsia="ja-JP"/>
        </w:rPr>
      </w:pPr>
      <w:r w:rsidRPr="000B1676">
        <w:rPr>
          <w:lang w:val="es-ES" w:eastAsia="ja-JP"/>
        </w:rPr>
        <w:t>c)</w:t>
      </w:r>
      <w:r w:rsidRPr="000B1676">
        <w:rPr>
          <w:lang w:val="es-ES" w:eastAsia="ja-JP"/>
        </w:rPr>
        <w:tab/>
      </w:r>
      <w:r w:rsidRPr="00647DFF">
        <w:rPr>
          <w:lang w:eastAsia="ja-JP"/>
        </w:rPr>
        <w:t>aprobar la propuesta de que, en su decimoquinta reunión, el BMT elabore listas de posibles iniciativas conjuntas con la OCDE y la ISTA relacionadas con las técnicas moleculares a fin de que las examine el TC, las cuales se presentarán al TC en su quincuagésima tercera sesión</w:t>
      </w:r>
      <w:r>
        <w:rPr>
          <w:lang w:eastAsia="ja-JP"/>
        </w:rPr>
        <w:t>.</w:t>
      </w:r>
    </w:p>
    <w:p w:rsidR="00EB2111" w:rsidRPr="000B1676" w:rsidRDefault="00EB2111" w:rsidP="00AF3694">
      <w:pPr>
        <w:rPr>
          <w:lang w:val="es-ES" w:eastAsia="ja-JP"/>
        </w:rPr>
      </w:pPr>
    </w:p>
    <w:p w:rsidR="00EB2111" w:rsidRPr="000B1676" w:rsidRDefault="00EB2111" w:rsidP="00AF3694">
      <w:pPr>
        <w:rPr>
          <w:lang w:val="es-ES"/>
        </w:rPr>
      </w:pPr>
      <w:r w:rsidRPr="00647DFF">
        <w:fldChar w:fldCharType="begin"/>
      </w:r>
      <w:r w:rsidRPr="000B1676">
        <w:rPr>
          <w:lang w:val="es-ES"/>
        </w:rPr>
        <w:instrText xml:space="preserve"> AUTONUM  </w:instrText>
      </w:r>
      <w:r w:rsidRPr="00647DFF">
        <w:fldChar w:fldCharType="end"/>
      </w:r>
      <w:r w:rsidRPr="000B1676">
        <w:rPr>
          <w:lang w:val="es-ES"/>
        </w:rPr>
        <w:tab/>
      </w:r>
      <w:r w:rsidRPr="00647DFF">
        <w:t>El TC convino en que el BMT deberá incluir la elaboración de una relación de la terminología (definiciones) utilizada por la UPOV, la OCDE y la ISTA en la lista de iniciativas conjuntas relacionadas con las técnicas moleculares, a fin de que las examine el TC en su quincuagésima tercera sesión (véase el párrafo 130 del documento TC/52/29 Rev. “Informe revisado”).</w:t>
      </w:r>
    </w:p>
    <w:p w:rsidR="00EB2111" w:rsidRPr="000B1676" w:rsidRDefault="00EB2111" w:rsidP="00FE318A">
      <w:pPr>
        <w:keepNext/>
        <w:rPr>
          <w:snapToGrid w:val="0"/>
          <w:lang w:val="es-ES" w:eastAsia="ja-JP"/>
        </w:rPr>
      </w:pPr>
    </w:p>
    <w:p w:rsidR="00EB2111" w:rsidRPr="000B1676" w:rsidRDefault="00EB2111" w:rsidP="002C537B">
      <w:pPr>
        <w:rPr>
          <w:lang w:val="es-ES"/>
        </w:rPr>
      </w:pPr>
      <w:r w:rsidRPr="00647DFF">
        <w:fldChar w:fldCharType="begin"/>
      </w:r>
      <w:r w:rsidRPr="000B1676">
        <w:rPr>
          <w:lang w:val="es-ES"/>
        </w:rPr>
        <w:instrText xml:space="preserve"> AUTONUM  </w:instrText>
      </w:r>
      <w:r w:rsidRPr="00647DFF">
        <w:fldChar w:fldCharType="end"/>
      </w:r>
      <w:r w:rsidRPr="000B1676">
        <w:rPr>
          <w:lang w:val="es-ES"/>
        </w:rPr>
        <w:tab/>
      </w:r>
      <w:r w:rsidRPr="00647DFF">
        <w:t xml:space="preserve">En su decimoquinta reunión, el BMT asistió a una ponencia de la Oficina de la Unión sobre la cooperación entre la OCDE, la UPOV, la ISTA y la ISO, basada en el documento BMT/15/5 “La cooperación </w:t>
      </w:r>
      <w:r w:rsidRPr="00647DFF">
        <w:lastRenderedPageBreak/>
        <w:t>entre la OCDE, la UPOV, la ISTA y la ISO” (véase el párrafo 38 del documento BMT/15/28 “Informe revisado”).</w:t>
      </w:r>
    </w:p>
    <w:p w:rsidR="00EB2111" w:rsidRPr="000B1676" w:rsidRDefault="00EB2111" w:rsidP="002C537B">
      <w:pPr>
        <w:rPr>
          <w:lang w:val="es-ES" w:eastAsia="ja-JP"/>
        </w:rPr>
      </w:pPr>
    </w:p>
    <w:p w:rsidR="00EB2111" w:rsidRPr="000B1676" w:rsidRDefault="00EB2111" w:rsidP="00182B6A">
      <w:pPr>
        <w:spacing w:after="240"/>
        <w:rPr>
          <w:lang w:val="es-ES" w:eastAsia="ja-JP"/>
        </w:rPr>
      </w:pPr>
      <w:r w:rsidRPr="00647DFF">
        <w:fldChar w:fldCharType="begin"/>
      </w:r>
      <w:r w:rsidRPr="000B1676">
        <w:rPr>
          <w:lang w:val="es-ES"/>
        </w:rPr>
        <w:instrText xml:space="preserve"> AUTONUM  </w:instrText>
      </w:r>
      <w:r w:rsidRPr="00647DFF">
        <w:fldChar w:fldCharType="end"/>
      </w:r>
      <w:r w:rsidRPr="000B1676">
        <w:rPr>
          <w:lang w:val="es-ES"/>
        </w:rPr>
        <w:tab/>
      </w:r>
      <w:r w:rsidRPr="00647DFF">
        <w:rPr>
          <w:lang w:eastAsia="ja-JP"/>
        </w:rPr>
        <w:t>El BMT observó que la elaboración de un documento conjunto en el que se expliquen las características principales de los sistemas de la OCDE, la UPOV y la ISTA no podrá dar comienzo hasta que la OCDE y la ISTA hayan dado su conformidad (véase el párrafo 39 del documento BMT/15/28).</w:t>
      </w:r>
    </w:p>
    <w:p w:rsidR="00EB2111" w:rsidRPr="000B1676" w:rsidRDefault="00EB2111" w:rsidP="002C537B">
      <w:pPr>
        <w:rPr>
          <w:lang w:val="es-ES" w:eastAsia="ja-JP"/>
        </w:rPr>
      </w:pPr>
      <w:r w:rsidRPr="00647DFF">
        <w:fldChar w:fldCharType="begin"/>
      </w:r>
      <w:r w:rsidRPr="000B1676">
        <w:rPr>
          <w:lang w:val="es-ES"/>
        </w:rPr>
        <w:instrText xml:space="preserve"> AUTONUM  </w:instrText>
      </w:r>
      <w:r w:rsidRPr="00647DFF">
        <w:fldChar w:fldCharType="end"/>
      </w:r>
      <w:r w:rsidRPr="000B1676">
        <w:rPr>
          <w:lang w:val="es-ES"/>
        </w:rPr>
        <w:tab/>
      </w:r>
      <w:r w:rsidRPr="00647DFF">
        <w:rPr>
          <w:lang w:eastAsia="ja-JP"/>
        </w:rPr>
        <w:t>El BMT observó que la elaboración de un documento conjunto de la UPOV, la OCDE y la ISTA que contenga un inventario sobre la utilización de técnicas basadas en marcadores moleculares, por cultivos, no podrá dar comienzo hasta que la OCDE y la ISTA hayan dado su conformidad (véase el párrafo 40 del documento BMT/15/28).</w:t>
      </w:r>
    </w:p>
    <w:p w:rsidR="00EB2111" w:rsidRPr="000B1676" w:rsidRDefault="00EB2111" w:rsidP="002C537B">
      <w:pPr>
        <w:rPr>
          <w:lang w:val="es-ES" w:eastAsia="ja-JP"/>
        </w:rPr>
      </w:pPr>
    </w:p>
    <w:p w:rsidR="00EB2111" w:rsidRPr="000B1676" w:rsidRDefault="00EB2111" w:rsidP="002C537B">
      <w:pPr>
        <w:rPr>
          <w:lang w:val="es-ES" w:eastAsia="ja-JP"/>
        </w:rPr>
      </w:pPr>
      <w:r w:rsidRPr="00647DFF">
        <w:fldChar w:fldCharType="begin"/>
      </w:r>
      <w:r w:rsidRPr="000B1676">
        <w:rPr>
          <w:lang w:val="es-ES"/>
        </w:rPr>
        <w:instrText xml:space="preserve"> AUTONUM  </w:instrText>
      </w:r>
      <w:r w:rsidRPr="00647DFF">
        <w:fldChar w:fldCharType="end"/>
      </w:r>
      <w:r w:rsidRPr="000B1676">
        <w:rPr>
          <w:lang w:val="es-ES"/>
        </w:rPr>
        <w:tab/>
      </w:r>
      <w:r w:rsidRPr="00647DFF">
        <w:rPr>
          <w:lang w:eastAsia="ja-JP"/>
        </w:rPr>
        <w:t>El BMT señaló que los objetivos de la UPOV, la OCDE y la ISTA son diferentes, lo cual ha de reflejarse en la cooperación entre estas organizaciones respecto del uso de técnicas moleculares.</w:t>
      </w:r>
      <w:r w:rsidRPr="000B1676">
        <w:rPr>
          <w:lang w:val="es-ES" w:eastAsia="ja-JP"/>
        </w:rPr>
        <w:t xml:space="preserve">  </w:t>
      </w:r>
      <w:r w:rsidRPr="00647DFF">
        <w:rPr>
          <w:lang w:eastAsia="ja-JP"/>
        </w:rPr>
        <w:t>El BMT convino en que, no obstante, es importante analizar en qué circunstancias podrían emplearse las mismas técnicas y la misma información.</w:t>
      </w:r>
      <w:r w:rsidRPr="000B1676">
        <w:rPr>
          <w:lang w:val="es-ES" w:eastAsia="ja-JP"/>
        </w:rPr>
        <w:t xml:space="preserve">  </w:t>
      </w:r>
      <w:r w:rsidRPr="00647DFF">
        <w:rPr>
          <w:lang w:eastAsia="ja-JP"/>
        </w:rPr>
        <w:t>Convino asimismo en que resultaría más eficaz examinar primeramente esta posibilidad a partir de situaciones reales que hacerlo en el ámbito teórico e institucional (véase el párrafo 41 del documento BMT/15/28).</w:t>
      </w:r>
    </w:p>
    <w:p w:rsidR="00EB2111" w:rsidRPr="000B1676" w:rsidRDefault="00EB2111" w:rsidP="002C537B">
      <w:pPr>
        <w:rPr>
          <w:lang w:val="es-ES" w:eastAsia="ja-JP"/>
        </w:rPr>
      </w:pPr>
    </w:p>
    <w:p w:rsidR="00EB2111" w:rsidRPr="001F7F7F" w:rsidRDefault="00EB2111" w:rsidP="002C537B">
      <w:pPr>
        <w:rPr>
          <w:lang w:eastAsia="ja-JP"/>
        </w:rPr>
      </w:pPr>
      <w:r w:rsidRPr="00647DFF">
        <w:fldChar w:fldCharType="begin"/>
      </w:r>
      <w:r w:rsidRPr="000B1676">
        <w:rPr>
          <w:lang w:val="es-ES"/>
        </w:rPr>
        <w:instrText xml:space="preserve"> AUTONUM  </w:instrText>
      </w:r>
      <w:r w:rsidRPr="00647DFF">
        <w:fldChar w:fldCharType="end"/>
      </w:r>
      <w:r w:rsidRPr="000B1676">
        <w:rPr>
          <w:lang w:val="es-ES"/>
        </w:rPr>
        <w:tab/>
      </w:r>
      <w:r w:rsidRPr="00647DFF">
        <w:rPr>
          <w:rFonts w:eastAsia="Arial Unicode MS"/>
        </w:rPr>
        <w:t>El BMT acogió con satisfacción la propuesta de los Países Bajos de organizar, con el apoyo de la UPOV, la OCDE y la ISTA, un taller práctico en 2017 para determinar modos eficientes de aplicación de las técnicas moleculares a los fines de dichas organizaciones</w:t>
      </w:r>
      <w:r w:rsidRPr="00647DFF">
        <w:rPr>
          <w:rStyle w:val="FootnoteReference"/>
          <w:lang w:eastAsia="ja-JP"/>
        </w:rPr>
        <w:footnoteReference w:id="2"/>
      </w:r>
      <w:r w:rsidRPr="00647DFF">
        <w:rPr>
          <w:lang w:eastAsia="ja-JP"/>
        </w:rPr>
        <w:t xml:space="preserve"> (</w:t>
      </w:r>
      <w:r w:rsidRPr="00647DFF">
        <w:rPr>
          <w:rFonts w:eastAsia="Arial Unicode MS"/>
        </w:rPr>
        <w:t>véase el párrafo 42 del documento BMT/15/28</w:t>
      </w:r>
      <w:r w:rsidRPr="00647DFF">
        <w:rPr>
          <w:lang w:eastAsia="ja-JP"/>
        </w:rPr>
        <w:t>)</w:t>
      </w:r>
      <w:r w:rsidRPr="00647DFF">
        <w:rPr>
          <w:rFonts w:eastAsia="Arial Unicode MS"/>
        </w:rPr>
        <w:t>.</w:t>
      </w:r>
    </w:p>
    <w:p w:rsidR="00EB2111" w:rsidRPr="000B1676" w:rsidRDefault="00EB2111" w:rsidP="002C537B">
      <w:pPr>
        <w:rPr>
          <w:lang w:val="es-ES" w:eastAsia="ja-JP"/>
        </w:rPr>
      </w:pPr>
    </w:p>
    <w:p w:rsidR="00EB2111" w:rsidRPr="000B1676" w:rsidRDefault="00EB2111" w:rsidP="002C537B">
      <w:pPr>
        <w:rPr>
          <w:lang w:val="es-ES" w:eastAsia="ja-JP"/>
        </w:rPr>
      </w:pPr>
      <w:r w:rsidRPr="00647DFF">
        <w:fldChar w:fldCharType="begin"/>
      </w:r>
      <w:r w:rsidRPr="000B1676">
        <w:rPr>
          <w:lang w:val="es-ES"/>
        </w:rPr>
        <w:instrText xml:space="preserve"> AUTONUM  </w:instrText>
      </w:r>
      <w:r w:rsidRPr="00647DFF">
        <w:fldChar w:fldCharType="end"/>
      </w:r>
      <w:r w:rsidRPr="000B1676">
        <w:rPr>
          <w:lang w:val="es-ES"/>
        </w:rPr>
        <w:tab/>
      </w:r>
      <w:r w:rsidRPr="00647DFF">
        <w:rPr>
          <w:lang w:eastAsia="ja-JP"/>
        </w:rPr>
        <w:t>El BMT convino en que la eventual colaboración entre la UPOV, la OCDE y la ISTA en el futuro podría incluir, previo acuerdo de dichas organizaciones, la armonización de los términos y métodos empleados en distintos cultivos y la elaboración de normas (véase el párrafo 43 del documento BMT/15/28).</w:t>
      </w:r>
    </w:p>
    <w:p w:rsidR="00EB2111" w:rsidRPr="000B1676" w:rsidRDefault="00EB2111" w:rsidP="002C537B">
      <w:pPr>
        <w:rPr>
          <w:lang w:val="es-ES" w:eastAsia="ja-JP"/>
        </w:rPr>
      </w:pPr>
    </w:p>
    <w:p w:rsidR="00EB2111" w:rsidRPr="000B1676" w:rsidRDefault="00EB2111" w:rsidP="002C537B">
      <w:pPr>
        <w:rPr>
          <w:lang w:val="es-ES" w:eastAsia="ja-JP"/>
        </w:rPr>
      </w:pPr>
    </w:p>
    <w:p w:rsidR="00EB2111" w:rsidRPr="000B1676" w:rsidRDefault="00EB2111" w:rsidP="00115ED5">
      <w:pPr>
        <w:pStyle w:val="Heading2"/>
        <w:rPr>
          <w:snapToGrid w:val="0"/>
          <w:lang w:val="es-ES" w:eastAsia="ja-JP"/>
        </w:rPr>
      </w:pPr>
      <w:bookmarkStart w:id="13" w:name="_Toc477531087"/>
      <w:r w:rsidRPr="00647DFF">
        <w:rPr>
          <w:snapToGrid w:val="0"/>
          <w:lang w:val="es-ES_tradnl" w:eastAsia="ja-JP"/>
        </w:rPr>
        <w:t>Futuro programa</w:t>
      </w:r>
      <w:bookmarkEnd w:id="13"/>
    </w:p>
    <w:p w:rsidR="00EB2111" w:rsidRPr="000B1676" w:rsidRDefault="00EB2111" w:rsidP="00FE318A">
      <w:pPr>
        <w:rPr>
          <w:snapToGrid w:val="0"/>
          <w:lang w:val="es-ES" w:eastAsia="ja-JP"/>
        </w:rPr>
      </w:pPr>
    </w:p>
    <w:p w:rsidR="00EB2111" w:rsidRPr="000B1676" w:rsidRDefault="00EB2111" w:rsidP="00FE318A">
      <w:pPr>
        <w:rPr>
          <w:lang w:val="es-ES"/>
        </w:rPr>
      </w:pPr>
      <w:r w:rsidRPr="00647DFF">
        <w:rPr>
          <w:snapToGrid w:val="0"/>
        </w:rPr>
        <w:fldChar w:fldCharType="begin"/>
      </w:r>
      <w:r w:rsidRPr="000B1676">
        <w:rPr>
          <w:snapToGrid w:val="0"/>
          <w:lang w:val="es-ES"/>
        </w:rPr>
        <w:instrText xml:space="preserve"> AUTONUM  </w:instrText>
      </w:r>
      <w:r w:rsidRPr="00647DFF">
        <w:rPr>
          <w:snapToGrid w:val="0"/>
        </w:rPr>
        <w:fldChar w:fldCharType="end"/>
      </w:r>
      <w:r w:rsidRPr="000B1676">
        <w:rPr>
          <w:snapToGrid w:val="0"/>
          <w:lang w:val="es-ES"/>
        </w:rPr>
        <w:tab/>
      </w:r>
      <w:r w:rsidRPr="00647DFF">
        <w:rPr>
          <w:snapToGrid w:val="0"/>
        </w:rPr>
        <w:t>El BMT aceptó la invitación de Francia de celebrar en ese país su decimosexta reunión a finales de septiembre o principios de octubre de 2017, con un taller preparatorio que tendrá lugar un día antes de la reunión del BMT.</w:t>
      </w:r>
      <w:r w:rsidRPr="000B1676">
        <w:rPr>
          <w:snapToGrid w:val="0"/>
          <w:lang w:val="es-ES"/>
        </w:rPr>
        <w:t xml:space="preserve">  </w:t>
      </w:r>
      <w:r w:rsidRPr="00647DFF">
        <w:rPr>
          <w:snapToGrid w:val="0"/>
        </w:rPr>
        <w:t>El BMT tiene previsto examinar los asuntos siguientes (véase el párrafo 48 del documento BMT/15/28):</w:t>
      </w:r>
    </w:p>
    <w:p w:rsidR="00EB2111" w:rsidRPr="000B1676" w:rsidRDefault="00EB2111" w:rsidP="00FE318A">
      <w:pPr>
        <w:rPr>
          <w:lang w:val="es-ES"/>
        </w:rPr>
      </w:pPr>
    </w:p>
    <w:p w:rsidR="00EB2111" w:rsidRPr="000B1676" w:rsidRDefault="00EB2111" w:rsidP="00FE318A">
      <w:pPr>
        <w:pStyle w:val="BodyTextIndent"/>
        <w:spacing w:after="0"/>
        <w:ind w:left="1134" w:hanging="587"/>
        <w:rPr>
          <w:lang w:val="es-ES"/>
        </w:rPr>
      </w:pPr>
      <w:r w:rsidRPr="000B1676">
        <w:rPr>
          <w:lang w:val="es-ES"/>
        </w:rPr>
        <w:t>1.</w:t>
      </w:r>
      <w:r w:rsidRPr="000B1676">
        <w:rPr>
          <w:lang w:val="es-ES"/>
        </w:rPr>
        <w:tab/>
      </w:r>
      <w:r w:rsidRPr="00647DFF">
        <w:t>Apertura de la reunión</w:t>
      </w:r>
    </w:p>
    <w:p w:rsidR="00EB2111" w:rsidRPr="000B1676" w:rsidRDefault="00EB2111" w:rsidP="00FE318A">
      <w:pPr>
        <w:pStyle w:val="BodyTextIndent"/>
        <w:spacing w:after="0"/>
        <w:ind w:left="1134" w:hanging="587"/>
        <w:rPr>
          <w:lang w:val="es-ES"/>
        </w:rPr>
      </w:pPr>
    </w:p>
    <w:p w:rsidR="00EB2111" w:rsidRPr="000B1676" w:rsidRDefault="00EB2111" w:rsidP="00FE318A">
      <w:pPr>
        <w:pStyle w:val="BodyTextIndent"/>
        <w:spacing w:after="0"/>
        <w:ind w:left="1134" w:hanging="587"/>
        <w:rPr>
          <w:lang w:val="es-ES"/>
        </w:rPr>
      </w:pPr>
      <w:r w:rsidRPr="000B1676">
        <w:rPr>
          <w:lang w:val="es-ES"/>
        </w:rPr>
        <w:t>2.</w:t>
      </w:r>
      <w:r w:rsidRPr="000B1676">
        <w:rPr>
          <w:lang w:val="es-ES"/>
        </w:rPr>
        <w:tab/>
      </w:r>
      <w:r w:rsidRPr="00647DFF">
        <w:t>Aprobación del orden del día</w:t>
      </w:r>
    </w:p>
    <w:p w:rsidR="00EB2111" w:rsidRPr="000B1676" w:rsidRDefault="00EB2111" w:rsidP="00FE318A">
      <w:pPr>
        <w:pStyle w:val="BodyTextIndent"/>
        <w:spacing w:after="0"/>
        <w:ind w:left="1134" w:hanging="587"/>
        <w:rPr>
          <w:lang w:val="es-ES"/>
        </w:rPr>
      </w:pPr>
    </w:p>
    <w:p w:rsidR="00EB2111" w:rsidRPr="000B1676" w:rsidRDefault="00EB2111" w:rsidP="00FE318A">
      <w:pPr>
        <w:pStyle w:val="BodyTextIndent"/>
        <w:spacing w:after="0"/>
        <w:ind w:left="1134" w:hanging="587"/>
        <w:rPr>
          <w:lang w:val="es-ES"/>
        </w:rPr>
      </w:pPr>
      <w:r w:rsidRPr="000B1676">
        <w:rPr>
          <w:lang w:val="es-ES"/>
        </w:rPr>
        <w:t>3.</w:t>
      </w:r>
      <w:r w:rsidRPr="000B1676">
        <w:rPr>
          <w:lang w:val="es-ES"/>
        </w:rPr>
        <w:tab/>
      </w:r>
      <w:r w:rsidRPr="00647DFF">
        <w:t>Informes sobre las novedades acaecidas en la UPOV en relación con las técnicas bioquímicas y moleculares (documento que elaborará la Oficina de la Unión)</w:t>
      </w:r>
    </w:p>
    <w:p w:rsidR="00EB2111" w:rsidRPr="000B1676" w:rsidRDefault="00EB2111" w:rsidP="00FE318A">
      <w:pPr>
        <w:pStyle w:val="BodyTextIndent"/>
        <w:spacing w:after="0"/>
        <w:ind w:left="1134" w:hanging="587"/>
        <w:rPr>
          <w:lang w:val="es-ES"/>
        </w:rPr>
      </w:pPr>
    </w:p>
    <w:p w:rsidR="00EB2111" w:rsidRPr="000B1676" w:rsidRDefault="00EB2111" w:rsidP="00FE318A">
      <w:pPr>
        <w:pStyle w:val="BodyTextIndent"/>
        <w:spacing w:after="0"/>
        <w:ind w:left="1134" w:hanging="587"/>
        <w:rPr>
          <w:lang w:val="es-ES"/>
        </w:rPr>
      </w:pPr>
      <w:r w:rsidRPr="000B1676">
        <w:rPr>
          <w:lang w:val="es-ES"/>
        </w:rPr>
        <w:t>4.</w:t>
      </w:r>
      <w:r w:rsidRPr="000B1676">
        <w:rPr>
          <w:lang w:val="es-ES"/>
        </w:rPr>
        <w:tab/>
      </w:r>
      <w:r w:rsidRPr="00647DFF">
        <w:t>Breves ponencias sobre los avances en las técnicas bioquímicas y moleculares a cargo de expertos en el examen DHE, especialistas en técnicas bioquímicas y moleculares, y obtentores y organizaciones internacionales pertinentes (informes verbales de los participantes)</w:t>
      </w:r>
    </w:p>
    <w:p w:rsidR="00EB2111" w:rsidRPr="000B1676" w:rsidRDefault="00EB2111" w:rsidP="00FE318A">
      <w:pPr>
        <w:pStyle w:val="BodyTextIndent"/>
        <w:spacing w:after="0"/>
        <w:ind w:left="1134" w:hanging="587"/>
        <w:rPr>
          <w:lang w:val="es-ES"/>
        </w:rPr>
      </w:pPr>
    </w:p>
    <w:p w:rsidR="00EB2111" w:rsidRPr="000B1676" w:rsidRDefault="00EB2111" w:rsidP="00FE318A">
      <w:pPr>
        <w:pStyle w:val="BodyTextIndent"/>
        <w:spacing w:after="0"/>
        <w:ind w:left="1134" w:hanging="587"/>
        <w:rPr>
          <w:lang w:val="es-ES"/>
        </w:rPr>
      </w:pPr>
      <w:r w:rsidRPr="000B1676">
        <w:rPr>
          <w:lang w:val="es-ES"/>
        </w:rPr>
        <w:t>5.</w:t>
      </w:r>
      <w:r w:rsidRPr="000B1676">
        <w:rPr>
          <w:lang w:val="es-ES"/>
        </w:rPr>
        <w:tab/>
      </w:r>
      <w:r w:rsidRPr="00647DFF">
        <w:t>Informe sobre la labor relativa a las técnicas moleculares en relación con el examen DHE (se</w:t>
      </w:r>
      <w:r w:rsidR="00017456">
        <w:t> </w:t>
      </w:r>
      <w:r w:rsidRPr="00647DFF">
        <w:t>solicitan ponencias)</w:t>
      </w:r>
    </w:p>
    <w:p w:rsidR="00EB2111" w:rsidRPr="000B1676" w:rsidRDefault="00EB2111" w:rsidP="00FE318A">
      <w:pPr>
        <w:pStyle w:val="BodyTextIndent"/>
        <w:spacing w:after="0"/>
        <w:ind w:left="1134" w:hanging="587"/>
        <w:rPr>
          <w:lang w:val="es-ES"/>
        </w:rPr>
      </w:pPr>
    </w:p>
    <w:p w:rsidR="00EB2111" w:rsidRPr="000B1676" w:rsidRDefault="00EB2111" w:rsidP="00FE318A">
      <w:pPr>
        <w:pStyle w:val="BodyTextIndent"/>
        <w:spacing w:after="0"/>
        <w:ind w:left="1134" w:hanging="587"/>
        <w:rPr>
          <w:lang w:val="es-ES"/>
        </w:rPr>
      </w:pPr>
      <w:r w:rsidRPr="000B1676">
        <w:rPr>
          <w:lang w:val="es-ES"/>
        </w:rPr>
        <w:t>6.</w:t>
      </w:r>
      <w:r w:rsidRPr="000B1676">
        <w:rPr>
          <w:lang w:val="es-ES"/>
        </w:rPr>
        <w:tab/>
      </w:r>
      <w:r w:rsidRPr="00647DFF">
        <w:t>Directrices internacionales sobre metodologías moleculares en el marco de la cooperación entre la OCDE, la UPOV, la ISTA y la ISO (documento que elaborará la Oficina de la Unión)</w:t>
      </w:r>
    </w:p>
    <w:p w:rsidR="00EB2111" w:rsidRPr="000B1676" w:rsidRDefault="00EB2111" w:rsidP="00FE318A">
      <w:pPr>
        <w:pStyle w:val="BodyTextIndent"/>
        <w:spacing w:after="0"/>
        <w:ind w:left="1134" w:hanging="587"/>
        <w:rPr>
          <w:lang w:val="es-ES"/>
        </w:rPr>
      </w:pPr>
    </w:p>
    <w:p w:rsidR="00EB2111" w:rsidRPr="000B1676" w:rsidRDefault="00EB2111" w:rsidP="00FE318A">
      <w:pPr>
        <w:pStyle w:val="BodyTextIndent"/>
        <w:spacing w:after="0"/>
        <w:ind w:left="1134" w:hanging="587"/>
        <w:rPr>
          <w:lang w:val="es-ES"/>
        </w:rPr>
      </w:pPr>
      <w:r w:rsidRPr="000B1676">
        <w:rPr>
          <w:lang w:val="es-ES"/>
        </w:rPr>
        <w:t>7.</w:t>
      </w:r>
      <w:r w:rsidRPr="000B1676">
        <w:rPr>
          <w:lang w:val="es-ES"/>
        </w:rPr>
        <w:tab/>
      </w:r>
      <w:r w:rsidRPr="00647DFF">
        <w:t>Bases de datos de descripciones de variedades, en particular las que contienen datos moleculares (se solicitan ponencias)</w:t>
      </w:r>
    </w:p>
    <w:p w:rsidR="00EB2111" w:rsidRPr="000B1676" w:rsidRDefault="00EB2111" w:rsidP="00FE318A">
      <w:pPr>
        <w:pStyle w:val="BodyTextIndent"/>
        <w:spacing w:after="0"/>
        <w:ind w:left="1134" w:hanging="587"/>
        <w:rPr>
          <w:lang w:val="es-ES"/>
        </w:rPr>
      </w:pPr>
    </w:p>
    <w:p w:rsidR="00EB2111" w:rsidRPr="000B1676" w:rsidRDefault="00EB2111" w:rsidP="00FE318A">
      <w:pPr>
        <w:pStyle w:val="BodyTextIndent"/>
        <w:spacing w:after="0"/>
        <w:ind w:left="1134" w:hanging="587"/>
        <w:rPr>
          <w:lang w:val="es-ES"/>
        </w:rPr>
      </w:pPr>
      <w:r w:rsidRPr="000B1676">
        <w:rPr>
          <w:lang w:val="es-ES"/>
        </w:rPr>
        <w:t>8.</w:t>
      </w:r>
      <w:r w:rsidRPr="000B1676">
        <w:rPr>
          <w:lang w:val="es-ES"/>
        </w:rPr>
        <w:tab/>
      </w:r>
      <w:r w:rsidRPr="00647DFF">
        <w:t>Métodos de análisis de datos moleculares (se solicitan ponencias)</w:t>
      </w:r>
    </w:p>
    <w:p w:rsidR="00EB2111" w:rsidRPr="000B1676" w:rsidRDefault="00EB2111" w:rsidP="00FE318A">
      <w:pPr>
        <w:pStyle w:val="BodyTextIndent"/>
        <w:spacing w:after="0"/>
        <w:ind w:left="1134" w:hanging="587"/>
        <w:rPr>
          <w:lang w:val="es-ES"/>
        </w:rPr>
      </w:pPr>
    </w:p>
    <w:p w:rsidR="00EB2111" w:rsidRPr="000B1676" w:rsidRDefault="00EB2111" w:rsidP="00FE318A">
      <w:pPr>
        <w:pStyle w:val="BodyTextIndent"/>
        <w:spacing w:after="0"/>
        <w:ind w:left="1134" w:hanging="587"/>
        <w:rPr>
          <w:lang w:val="es-ES"/>
        </w:rPr>
      </w:pPr>
      <w:r w:rsidRPr="000B1676">
        <w:rPr>
          <w:lang w:val="es-ES"/>
        </w:rPr>
        <w:lastRenderedPageBreak/>
        <w:t>9.</w:t>
      </w:r>
      <w:r w:rsidRPr="000B1676">
        <w:rPr>
          <w:lang w:val="es-ES"/>
        </w:rPr>
        <w:tab/>
      </w:r>
      <w:r w:rsidRPr="00647DFF">
        <w:t>La utilización de técnicas moleculares en el examen de las variedades esencialmente derivadas (se solicitan ponencias)</w:t>
      </w:r>
      <w:r w:rsidRPr="00647DFF">
        <w:rPr>
          <w:rStyle w:val="FootnoteReference"/>
        </w:rPr>
        <w:footnoteReference w:id="3"/>
      </w:r>
    </w:p>
    <w:p w:rsidR="00EB2111" w:rsidRPr="000B1676" w:rsidRDefault="00EB2111" w:rsidP="00FE318A">
      <w:pPr>
        <w:pStyle w:val="BodyTextIndent"/>
        <w:spacing w:after="0"/>
        <w:ind w:left="1134" w:hanging="587"/>
        <w:rPr>
          <w:lang w:val="es-ES"/>
        </w:rPr>
      </w:pPr>
    </w:p>
    <w:p w:rsidR="00EB2111" w:rsidRPr="000B1676" w:rsidRDefault="00EB2111" w:rsidP="00FE318A">
      <w:pPr>
        <w:pStyle w:val="BodyTextIndent"/>
        <w:spacing w:after="0"/>
        <w:ind w:left="1134" w:hanging="587"/>
        <w:rPr>
          <w:lang w:val="es-ES" w:eastAsia="ja-JP"/>
        </w:rPr>
      </w:pPr>
      <w:r w:rsidRPr="000B1676">
        <w:rPr>
          <w:lang w:val="es-ES"/>
        </w:rPr>
        <w:t>10.</w:t>
      </w:r>
      <w:r w:rsidRPr="000B1676">
        <w:rPr>
          <w:lang w:val="es-ES"/>
        </w:rPr>
        <w:tab/>
      </w:r>
      <w:r w:rsidRPr="00647DFF">
        <w:t>La utilización de técnicas moleculares en la identificación de variedades (se solicitan ponencias)</w:t>
      </w:r>
      <w:r w:rsidRPr="000B1676">
        <w:rPr>
          <w:vertAlign w:val="superscript"/>
          <w:lang w:val="es-ES" w:eastAsia="ja-JP"/>
        </w:rPr>
        <w:t>2</w:t>
      </w:r>
    </w:p>
    <w:p w:rsidR="00EB2111" w:rsidRPr="000B1676" w:rsidRDefault="00EB2111" w:rsidP="00FE318A">
      <w:pPr>
        <w:pStyle w:val="BodyTextIndent"/>
        <w:spacing w:after="0"/>
        <w:ind w:left="1134" w:hanging="587"/>
        <w:rPr>
          <w:lang w:val="es-ES"/>
        </w:rPr>
      </w:pPr>
    </w:p>
    <w:p w:rsidR="00EB2111" w:rsidRPr="000B1676" w:rsidRDefault="00EB2111" w:rsidP="00FE318A">
      <w:pPr>
        <w:pStyle w:val="BodyTextIndent"/>
        <w:spacing w:after="0"/>
        <w:ind w:left="1134" w:hanging="587"/>
        <w:rPr>
          <w:lang w:val="es-ES"/>
        </w:rPr>
      </w:pPr>
      <w:r w:rsidRPr="000B1676">
        <w:rPr>
          <w:lang w:val="es-ES"/>
        </w:rPr>
        <w:t>11.</w:t>
      </w:r>
      <w:r w:rsidRPr="000B1676">
        <w:rPr>
          <w:lang w:val="es-ES"/>
        </w:rPr>
        <w:tab/>
      </w:r>
      <w:r w:rsidRPr="00647DFF">
        <w:t>Revisión del documento UPOV/INF/17 “Directrices para los perfiles de ADN</w:t>
      </w:r>
      <w:proofErr w:type="gramStart"/>
      <w:r w:rsidRPr="00647DFF">
        <w:t>:</w:t>
      </w:r>
      <w:r w:rsidRPr="000B1676">
        <w:rPr>
          <w:lang w:val="es-ES" w:eastAsia="ja-JP"/>
        </w:rPr>
        <w:t xml:space="preserve">  </w:t>
      </w:r>
      <w:r w:rsidRPr="00647DFF">
        <w:rPr>
          <w:lang w:eastAsia="ja-JP"/>
        </w:rPr>
        <w:t>selección</w:t>
      </w:r>
      <w:proofErr w:type="gramEnd"/>
      <w:r w:rsidRPr="00647DFF">
        <w:rPr>
          <w:lang w:eastAsia="ja-JP"/>
        </w:rPr>
        <w:t xml:space="preserve"> de marcadores moleculares y creación de una base de datos (“Directrices BMT”)”</w:t>
      </w:r>
      <w:r w:rsidRPr="000B1676">
        <w:rPr>
          <w:lang w:val="es-ES"/>
        </w:rPr>
        <w:t xml:space="preserve"> </w:t>
      </w:r>
    </w:p>
    <w:p w:rsidR="00EB2111" w:rsidRPr="000B1676" w:rsidRDefault="00EB2111" w:rsidP="00FE318A">
      <w:pPr>
        <w:pStyle w:val="BodyTextIndent"/>
        <w:spacing w:after="0"/>
        <w:ind w:left="1134" w:hanging="587"/>
        <w:rPr>
          <w:lang w:val="es-ES" w:eastAsia="ja-JP"/>
        </w:rPr>
      </w:pPr>
    </w:p>
    <w:p w:rsidR="00EB2111" w:rsidRPr="000B1676" w:rsidRDefault="00EB2111" w:rsidP="00A47E6B">
      <w:pPr>
        <w:pStyle w:val="BodyTextIndent"/>
        <w:spacing w:after="240"/>
        <w:ind w:left="1134" w:hanging="590"/>
        <w:rPr>
          <w:lang w:val="es-ES"/>
        </w:rPr>
      </w:pPr>
      <w:r w:rsidRPr="000B1676">
        <w:rPr>
          <w:lang w:val="es-ES"/>
        </w:rPr>
        <w:t>1</w:t>
      </w:r>
      <w:r w:rsidRPr="000B1676">
        <w:rPr>
          <w:lang w:val="es-ES" w:eastAsia="ja-JP"/>
        </w:rPr>
        <w:t>2</w:t>
      </w:r>
      <w:r w:rsidRPr="000B1676">
        <w:rPr>
          <w:lang w:val="es-ES"/>
        </w:rPr>
        <w:t>.</w:t>
      </w:r>
      <w:r w:rsidRPr="000B1676">
        <w:rPr>
          <w:lang w:val="es-ES"/>
        </w:rPr>
        <w:tab/>
      </w:r>
      <w:r w:rsidRPr="00647DFF">
        <w:t>Fecha y lugar de la siguiente reunión</w:t>
      </w:r>
    </w:p>
    <w:p w:rsidR="00EB2111" w:rsidRPr="000B1676" w:rsidRDefault="00EB2111" w:rsidP="00FE318A">
      <w:pPr>
        <w:pStyle w:val="BodyTextIndent"/>
        <w:spacing w:after="0"/>
        <w:ind w:left="1134" w:hanging="587"/>
        <w:rPr>
          <w:lang w:val="es-ES"/>
        </w:rPr>
      </w:pPr>
      <w:r w:rsidRPr="000B1676">
        <w:rPr>
          <w:lang w:val="es-ES"/>
        </w:rPr>
        <w:t>1</w:t>
      </w:r>
      <w:r w:rsidRPr="000B1676">
        <w:rPr>
          <w:lang w:val="es-ES" w:eastAsia="ja-JP"/>
        </w:rPr>
        <w:t>3</w:t>
      </w:r>
      <w:r w:rsidRPr="000B1676">
        <w:rPr>
          <w:lang w:val="es-ES"/>
        </w:rPr>
        <w:t>.</w:t>
      </w:r>
      <w:r w:rsidRPr="000B1676">
        <w:rPr>
          <w:lang w:val="es-ES"/>
        </w:rPr>
        <w:tab/>
      </w:r>
      <w:r w:rsidRPr="00647DFF">
        <w:t>Futuro programa</w:t>
      </w:r>
    </w:p>
    <w:p w:rsidR="00EB2111" w:rsidRPr="000B1676" w:rsidRDefault="00EB2111" w:rsidP="00FE318A">
      <w:pPr>
        <w:pStyle w:val="BodyTextIndent"/>
        <w:spacing w:after="0"/>
        <w:ind w:left="1134" w:hanging="587"/>
        <w:rPr>
          <w:lang w:val="es-ES"/>
        </w:rPr>
      </w:pPr>
    </w:p>
    <w:p w:rsidR="00EB2111" w:rsidRPr="000B1676" w:rsidRDefault="00EB2111" w:rsidP="00FE318A">
      <w:pPr>
        <w:pStyle w:val="BodyTextIndent"/>
        <w:spacing w:after="0"/>
        <w:ind w:left="1134" w:hanging="587"/>
        <w:rPr>
          <w:lang w:val="es-ES"/>
        </w:rPr>
      </w:pPr>
      <w:r w:rsidRPr="000B1676">
        <w:rPr>
          <w:lang w:val="es-ES"/>
        </w:rPr>
        <w:t>1</w:t>
      </w:r>
      <w:r w:rsidRPr="000B1676">
        <w:rPr>
          <w:lang w:val="es-ES" w:eastAsia="ja-JP"/>
        </w:rPr>
        <w:t>4</w:t>
      </w:r>
      <w:r w:rsidRPr="000B1676">
        <w:rPr>
          <w:lang w:val="es-ES"/>
        </w:rPr>
        <w:t>.</w:t>
      </w:r>
      <w:r w:rsidRPr="000B1676">
        <w:rPr>
          <w:lang w:val="es-ES"/>
        </w:rPr>
        <w:tab/>
      </w:r>
      <w:r w:rsidRPr="00647DFF">
        <w:t>Informe de la reunión (si se dispone de tiempo)</w:t>
      </w:r>
    </w:p>
    <w:p w:rsidR="00EB2111" w:rsidRPr="000B1676" w:rsidRDefault="00EB2111" w:rsidP="00FE318A">
      <w:pPr>
        <w:pStyle w:val="BodyTextIndent"/>
        <w:spacing w:after="0"/>
        <w:ind w:left="1134" w:hanging="587"/>
        <w:rPr>
          <w:lang w:val="es-ES"/>
        </w:rPr>
      </w:pPr>
    </w:p>
    <w:p w:rsidR="00EB2111" w:rsidRPr="000B1676" w:rsidRDefault="00EB2111" w:rsidP="00FE318A">
      <w:pPr>
        <w:pStyle w:val="BodyTextIndent"/>
        <w:spacing w:after="0"/>
        <w:ind w:left="547"/>
        <w:rPr>
          <w:lang w:val="es-ES"/>
        </w:rPr>
      </w:pPr>
      <w:r w:rsidRPr="000B1676">
        <w:rPr>
          <w:lang w:val="es-ES"/>
        </w:rPr>
        <w:t>1</w:t>
      </w:r>
      <w:r w:rsidRPr="000B1676">
        <w:rPr>
          <w:lang w:val="es-ES" w:eastAsia="ja-JP"/>
        </w:rPr>
        <w:t>5</w:t>
      </w:r>
      <w:r w:rsidRPr="000B1676">
        <w:rPr>
          <w:lang w:val="es-ES"/>
        </w:rPr>
        <w:t>.</w:t>
      </w:r>
      <w:r w:rsidRPr="000B1676">
        <w:rPr>
          <w:lang w:val="es-ES"/>
        </w:rPr>
        <w:tab/>
      </w:r>
      <w:r w:rsidRPr="00647DFF">
        <w:t>Clausura de la reunión</w:t>
      </w:r>
    </w:p>
    <w:p w:rsidR="00EB2111" w:rsidRPr="000B1676" w:rsidRDefault="00EB2111" w:rsidP="00FE318A">
      <w:pPr>
        <w:rPr>
          <w:lang w:val="es-ES" w:eastAsia="ja-JP"/>
        </w:rPr>
      </w:pPr>
    </w:p>
    <w:p w:rsidR="00EB2111" w:rsidRPr="000B1676" w:rsidRDefault="00EB2111" w:rsidP="00FE318A">
      <w:pPr>
        <w:rPr>
          <w:lang w:val="es-ES" w:eastAsia="ja-JP"/>
        </w:rPr>
      </w:pPr>
      <w:r w:rsidRPr="00647DFF">
        <w:rPr>
          <w:snapToGrid w:val="0"/>
        </w:rPr>
        <w:fldChar w:fldCharType="begin"/>
      </w:r>
      <w:r w:rsidRPr="000B1676">
        <w:rPr>
          <w:snapToGrid w:val="0"/>
          <w:lang w:val="es-ES"/>
        </w:rPr>
        <w:instrText xml:space="preserve"> AUTONUM  </w:instrText>
      </w:r>
      <w:r w:rsidRPr="00647DFF">
        <w:rPr>
          <w:snapToGrid w:val="0"/>
        </w:rPr>
        <w:fldChar w:fldCharType="end"/>
      </w:r>
      <w:r w:rsidRPr="000B1676">
        <w:rPr>
          <w:snapToGrid w:val="0"/>
          <w:lang w:val="es-ES"/>
        </w:rPr>
        <w:tab/>
      </w:r>
      <w:r w:rsidRPr="00647DFF">
        <w:rPr>
          <w:snapToGrid w:val="0"/>
          <w:lang w:eastAsia="ja-JP"/>
        </w:rPr>
        <w:t>El 31 de octubre, la Oficina de la Unión recibió la propuesta de Francia de celebrar la decimosexta reunión del BMT en La Rochelle (Francia) del 7 al 10 de noviembre de 2017, con un taller preparatorio que tendría lugar el 6 de noviembre de 2017</w:t>
      </w:r>
      <w:r>
        <w:rPr>
          <w:snapToGrid w:val="0"/>
          <w:lang w:eastAsia="ja-JP"/>
        </w:rPr>
        <w:t>.</w:t>
      </w:r>
    </w:p>
    <w:p w:rsidR="00EB2111" w:rsidRPr="000B1676" w:rsidRDefault="00EB2111" w:rsidP="00FE318A">
      <w:pPr>
        <w:rPr>
          <w:lang w:val="es-ES" w:eastAsia="ja-JP"/>
        </w:rPr>
      </w:pPr>
    </w:p>
    <w:p w:rsidR="00EB2111" w:rsidRPr="000B1676" w:rsidRDefault="00EB2111" w:rsidP="00FE318A">
      <w:pPr>
        <w:rPr>
          <w:lang w:val="es-ES" w:eastAsia="ja-JP"/>
        </w:rPr>
      </w:pPr>
    </w:p>
    <w:p w:rsidR="00EB2111" w:rsidRPr="000B1676" w:rsidRDefault="00EB2111" w:rsidP="00FE318A">
      <w:pPr>
        <w:rPr>
          <w:lang w:val="es-ES" w:eastAsia="ja-JP"/>
        </w:rPr>
      </w:pPr>
    </w:p>
    <w:p w:rsidR="00EB2111" w:rsidRPr="000B1676" w:rsidRDefault="00EB2111" w:rsidP="007165FB">
      <w:pPr>
        <w:pStyle w:val="Heading1"/>
        <w:rPr>
          <w:snapToGrid w:val="0"/>
          <w:lang w:val="es-ES"/>
        </w:rPr>
      </w:pPr>
      <w:bookmarkStart w:id="14" w:name="_Toc477531088"/>
      <w:bookmarkEnd w:id="5"/>
      <w:bookmarkEnd w:id="6"/>
      <w:bookmarkEnd w:id="7"/>
      <w:bookmarkEnd w:id="8"/>
      <w:r w:rsidRPr="00647DFF">
        <w:rPr>
          <w:snapToGrid w:val="0"/>
          <w:lang w:val="es-ES_tradnl"/>
        </w:rPr>
        <w:t>NOVEDADES ACAECIDAS EN LOS GRUPOS DE TRABAJO TÉCNICO</w:t>
      </w:r>
      <w:bookmarkEnd w:id="14"/>
    </w:p>
    <w:p w:rsidR="00EB2111" w:rsidRPr="000B1676" w:rsidRDefault="00EB2111" w:rsidP="00FE318A">
      <w:pPr>
        <w:keepNext/>
        <w:rPr>
          <w:snapToGrid w:val="0"/>
          <w:lang w:val="es-ES" w:eastAsia="ja-JP"/>
        </w:rPr>
      </w:pPr>
    </w:p>
    <w:p w:rsidR="00EB2111" w:rsidRPr="000B1676" w:rsidRDefault="00EB2111" w:rsidP="00FE318A">
      <w:pPr>
        <w:rPr>
          <w:snapToGrid w:val="0"/>
          <w:color w:val="000000"/>
          <w:lang w:val="es-ES" w:eastAsia="ja-JP"/>
        </w:rPr>
      </w:pPr>
      <w:r w:rsidRPr="00647DFF">
        <w:fldChar w:fldCharType="begin"/>
      </w:r>
      <w:r w:rsidRPr="000B1676">
        <w:rPr>
          <w:lang w:val="es-ES"/>
        </w:rPr>
        <w:instrText xml:space="preserve"> AUTONUM  </w:instrText>
      </w:r>
      <w:r w:rsidRPr="00647DFF">
        <w:fldChar w:fldCharType="end"/>
      </w:r>
      <w:r w:rsidRPr="000B1676">
        <w:rPr>
          <w:lang w:val="es-ES"/>
        </w:rPr>
        <w:tab/>
      </w:r>
      <w:r w:rsidRPr="00647DFF">
        <w:rPr>
          <w:color w:val="000000"/>
          <w:lang w:eastAsia="ja-JP"/>
        </w:rPr>
        <w:t>En sus reuniones de 2016, el TWC, el TWO, el TWV, el TWA y el TWF examinaron respectivamente los documentos TWC/34/2, TWO/49/2, TWV/50/2, TWA/25/2 y TWF/47/2 “Técnicas moleculares”.</w:t>
      </w:r>
    </w:p>
    <w:p w:rsidR="00EB2111" w:rsidRPr="000B1676" w:rsidRDefault="00EB2111" w:rsidP="00FE318A">
      <w:pPr>
        <w:rPr>
          <w:color w:val="000000"/>
          <w:lang w:val="es-ES" w:eastAsia="ja-JP"/>
        </w:rPr>
      </w:pPr>
    </w:p>
    <w:p w:rsidR="00EB2111" w:rsidRPr="000B1676" w:rsidRDefault="00EB2111" w:rsidP="00FE318A">
      <w:pPr>
        <w:pStyle w:val="Style1"/>
        <w:tabs>
          <w:tab w:val="clear" w:pos="907"/>
          <w:tab w:val="clear" w:pos="1077"/>
        </w:tabs>
        <w:rPr>
          <w:rFonts w:ascii="Arial" w:hAnsi="Arial" w:cs="Arial"/>
          <w:sz w:val="20"/>
          <w:szCs w:val="20"/>
          <w:lang w:val="es-ES"/>
        </w:rPr>
      </w:pPr>
      <w:r w:rsidRPr="00647DFF">
        <w:rPr>
          <w:rFonts w:ascii="Arial" w:hAnsi="Arial" w:cs="Arial"/>
          <w:sz w:val="20"/>
          <w:szCs w:val="20"/>
        </w:rPr>
        <w:fldChar w:fldCharType="begin"/>
      </w:r>
      <w:r w:rsidRPr="000B1676">
        <w:rPr>
          <w:rFonts w:ascii="Arial" w:hAnsi="Arial" w:cs="Arial"/>
          <w:sz w:val="20"/>
          <w:szCs w:val="20"/>
          <w:lang w:val="es-ES"/>
        </w:rPr>
        <w:instrText xml:space="preserve"> AUTONUM  </w:instrText>
      </w:r>
      <w:r w:rsidRPr="00647DFF">
        <w:rPr>
          <w:rFonts w:ascii="Arial" w:hAnsi="Arial" w:cs="Arial"/>
          <w:sz w:val="20"/>
          <w:szCs w:val="20"/>
        </w:rPr>
        <w:fldChar w:fldCharType="end"/>
      </w:r>
      <w:r w:rsidRPr="000B1676">
        <w:rPr>
          <w:rFonts w:ascii="Arial" w:hAnsi="Arial" w:cs="Arial"/>
          <w:sz w:val="20"/>
          <w:szCs w:val="20"/>
          <w:lang w:val="es-ES"/>
        </w:rPr>
        <w:tab/>
      </w:r>
      <w:r w:rsidRPr="00647DFF">
        <w:rPr>
          <w:rFonts w:ascii="Arial" w:hAnsi="Arial" w:cs="Arial"/>
          <w:sz w:val="20"/>
          <w:szCs w:val="20"/>
        </w:rPr>
        <w:t>El TWC, en su trigésima cuarta reunión, celebrada en Shanghái (China) del 7 al 10 de junio de 2016, escuchó un informe verbal del Sr. Kees van Ettekoven (Países Bajos), Presidente del BMT (véase el párrafo 7 del documento TWC/34/32 “Informe”).</w:t>
      </w:r>
    </w:p>
    <w:p w:rsidR="00EB2111" w:rsidRPr="000B1676" w:rsidRDefault="00EB2111" w:rsidP="00FE318A">
      <w:pPr>
        <w:pStyle w:val="Style1"/>
        <w:rPr>
          <w:rFonts w:ascii="Arial" w:hAnsi="Arial" w:cs="Arial"/>
          <w:sz w:val="20"/>
          <w:szCs w:val="20"/>
          <w:lang w:val="es-ES"/>
        </w:rPr>
      </w:pPr>
    </w:p>
    <w:p w:rsidR="00EB2111" w:rsidRPr="000B1676" w:rsidRDefault="00EB2111" w:rsidP="00FE318A">
      <w:pPr>
        <w:pStyle w:val="Style1"/>
        <w:tabs>
          <w:tab w:val="clear" w:pos="907"/>
          <w:tab w:val="clear" w:pos="1077"/>
        </w:tabs>
        <w:rPr>
          <w:rFonts w:ascii="Arial" w:hAnsi="Arial" w:cs="Arial"/>
          <w:sz w:val="20"/>
          <w:szCs w:val="20"/>
          <w:lang w:val="es-ES"/>
        </w:rPr>
      </w:pPr>
      <w:r w:rsidRPr="00647DFF">
        <w:rPr>
          <w:rFonts w:ascii="Arial" w:hAnsi="Arial" w:cs="Arial"/>
          <w:sz w:val="20"/>
          <w:szCs w:val="20"/>
        </w:rPr>
        <w:fldChar w:fldCharType="begin"/>
      </w:r>
      <w:r w:rsidRPr="000B1676">
        <w:rPr>
          <w:rFonts w:ascii="Arial" w:hAnsi="Arial" w:cs="Arial"/>
          <w:sz w:val="20"/>
          <w:szCs w:val="20"/>
          <w:lang w:val="es-ES"/>
        </w:rPr>
        <w:instrText xml:space="preserve"> AUTONUM  </w:instrText>
      </w:r>
      <w:r w:rsidRPr="00647DFF">
        <w:rPr>
          <w:rFonts w:ascii="Arial" w:hAnsi="Arial" w:cs="Arial"/>
          <w:sz w:val="20"/>
          <w:szCs w:val="20"/>
        </w:rPr>
        <w:fldChar w:fldCharType="end"/>
      </w:r>
      <w:r w:rsidRPr="000B1676">
        <w:rPr>
          <w:rFonts w:ascii="Arial" w:hAnsi="Arial" w:cs="Arial"/>
          <w:sz w:val="20"/>
          <w:szCs w:val="20"/>
          <w:lang w:val="es-ES"/>
        </w:rPr>
        <w:tab/>
      </w:r>
      <w:r w:rsidRPr="00647DFF">
        <w:rPr>
          <w:rFonts w:ascii="Arial" w:hAnsi="Arial" w:cs="Arial"/>
          <w:sz w:val="20"/>
          <w:szCs w:val="20"/>
        </w:rPr>
        <w:t>El TWC acogió favorablemente el ofrecimiento de los Países Bajos de informar sobre los proyectos relativos al uso de técnicas moleculares en el examen DHE en la trigésima quinta reunión del TWC (véanse los documentos BMT/15/21 “Un eficiente examen DHE de la judía común gracias al empleo de datos moleculares” y BMT/15/22 “¿Puede utilizarse la distancia molecular como un carácter?”)</w:t>
      </w:r>
      <w:r w:rsidRPr="000B1676">
        <w:rPr>
          <w:rFonts w:ascii="Arial" w:hAnsi="Arial" w:cs="Arial"/>
          <w:sz w:val="20"/>
          <w:szCs w:val="20"/>
          <w:lang w:val="es-ES"/>
        </w:rPr>
        <w:t xml:space="preserve"> </w:t>
      </w:r>
      <w:r w:rsidRPr="00647DFF">
        <w:rPr>
          <w:rFonts w:ascii="Arial" w:hAnsi="Arial" w:cs="Arial"/>
          <w:sz w:val="20"/>
          <w:szCs w:val="20"/>
        </w:rPr>
        <w:t>(</w:t>
      </w:r>
      <w:proofErr w:type="gramStart"/>
      <w:r w:rsidRPr="00647DFF">
        <w:rPr>
          <w:rFonts w:ascii="Arial" w:hAnsi="Arial" w:cs="Arial"/>
          <w:sz w:val="20"/>
          <w:szCs w:val="20"/>
        </w:rPr>
        <w:t>véase</w:t>
      </w:r>
      <w:proofErr w:type="gramEnd"/>
      <w:r w:rsidRPr="00647DFF">
        <w:rPr>
          <w:rFonts w:ascii="Arial" w:hAnsi="Arial" w:cs="Arial"/>
          <w:sz w:val="20"/>
          <w:szCs w:val="20"/>
        </w:rPr>
        <w:t xml:space="preserve"> el párrafo 11 del documento TWC/34/32 “Informe”).</w:t>
      </w:r>
    </w:p>
    <w:p w:rsidR="00EB2111" w:rsidRPr="000B1676" w:rsidRDefault="00EB2111" w:rsidP="00FE318A">
      <w:pPr>
        <w:pStyle w:val="Style1"/>
        <w:tabs>
          <w:tab w:val="clear" w:pos="907"/>
          <w:tab w:val="clear" w:pos="1077"/>
        </w:tabs>
        <w:rPr>
          <w:rFonts w:ascii="Arial" w:hAnsi="Arial" w:cs="Arial"/>
          <w:sz w:val="20"/>
          <w:szCs w:val="20"/>
          <w:lang w:val="es-ES"/>
        </w:rPr>
      </w:pPr>
    </w:p>
    <w:p w:rsidR="00EB2111" w:rsidRPr="000B1676" w:rsidRDefault="00EB2111" w:rsidP="00FE318A">
      <w:pPr>
        <w:pStyle w:val="Style1"/>
        <w:tabs>
          <w:tab w:val="clear" w:pos="907"/>
          <w:tab w:val="clear" w:pos="1077"/>
        </w:tabs>
        <w:rPr>
          <w:rFonts w:ascii="Arial" w:hAnsi="Arial" w:cs="Arial"/>
          <w:sz w:val="20"/>
          <w:szCs w:val="20"/>
          <w:lang w:val="es-ES"/>
        </w:rPr>
      </w:pPr>
      <w:r w:rsidRPr="00647DFF">
        <w:rPr>
          <w:rFonts w:ascii="Arial" w:hAnsi="Arial" w:cs="Arial"/>
          <w:sz w:val="20"/>
          <w:szCs w:val="20"/>
        </w:rPr>
        <w:fldChar w:fldCharType="begin"/>
      </w:r>
      <w:r w:rsidRPr="000B1676">
        <w:rPr>
          <w:rFonts w:ascii="Arial" w:hAnsi="Arial" w:cs="Arial"/>
          <w:sz w:val="20"/>
          <w:szCs w:val="20"/>
          <w:lang w:val="es-ES"/>
        </w:rPr>
        <w:instrText xml:space="preserve"> AUTONUM  </w:instrText>
      </w:r>
      <w:r w:rsidRPr="00647DFF">
        <w:rPr>
          <w:rFonts w:ascii="Arial" w:hAnsi="Arial" w:cs="Arial"/>
          <w:sz w:val="20"/>
          <w:szCs w:val="20"/>
        </w:rPr>
        <w:fldChar w:fldCharType="end"/>
      </w:r>
      <w:r w:rsidRPr="000B1676">
        <w:rPr>
          <w:rFonts w:ascii="Arial" w:hAnsi="Arial" w:cs="Arial"/>
          <w:sz w:val="20"/>
          <w:szCs w:val="20"/>
          <w:lang w:val="es-ES"/>
        </w:rPr>
        <w:tab/>
      </w:r>
      <w:r w:rsidRPr="00647DFF">
        <w:rPr>
          <w:rFonts w:ascii="Arial" w:hAnsi="Arial" w:cs="Arial"/>
          <w:sz w:val="20"/>
          <w:szCs w:val="20"/>
        </w:rPr>
        <w:t>El TWC acogió con agrado el ofrecimiento de China de informar sobre su experiencia respecto del uso de bases de datos de ADN de maíz, arroz y trigo con objeto de seleccionar variedades similares para el examen de la distinción (véase el párrafo 12 del documento TWC/34/32 “Informe”).</w:t>
      </w:r>
    </w:p>
    <w:p w:rsidR="00EB2111" w:rsidRPr="000B1676" w:rsidRDefault="00EB2111" w:rsidP="00FE318A">
      <w:pPr>
        <w:pStyle w:val="Style1"/>
        <w:tabs>
          <w:tab w:val="clear" w:pos="907"/>
          <w:tab w:val="clear" w:pos="1077"/>
        </w:tabs>
        <w:rPr>
          <w:rFonts w:ascii="Arial" w:hAnsi="Arial" w:cs="Arial"/>
          <w:sz w:val="20"/>
          <w:szCs w:val="20"/>
          <w:lang w:val="es-ES"/>
        </w:rPr>
      </w:pPr>
    </w:p>
    <w:p w:rsidR="00EB2111" w:rsidRPr="000B1676" w:rsidRDefault="00EB2111" w:rsidP="00FE318A">
      <w:pPr>
        <w:pStyle w:val="Style1"/>
        <w:tabs>
          <w:tab w:val="clear" w:pos="907"/>
          <w:tab w:val="clear" w:pos="1077"/>
        </w:tabs>
        <w:rPr>
          <w:rFonts w:ascii="Arial" w:hAnsi="Arial" w:cs="Arial"/>
          <w:sz w:val="20"/>
          <w:szCs w:val="20"/>
          <w:lang w:val="es-ES"/>
        </w:rPr>
      </w:pPr>
      <w:r w:rsidRPr="00647DFF">
        <w:rPr>
          <w:rFonts w:ascii="Arial" w:hAnsi="Arial" w:cs="Arial"/>
          <w:sz w:val="20"/>
          <w:szCs w:val="20"/>
        </w:rPr>
        <w:fldChar w:fldCharType="begin"/>
      </w:r>
      <w:r w:rsidRPr="000B1676">
        <w:rPr>
          <w:rFonts w:ascii="Arial" w:hAnsi="Arial" w:cs="Arial"/>
          <w:sz w:val="20"/>
          <w:szCs w:val="20"/>
          <w:lang w:val="es-ES"/>
        </w:rPr>
        <w:instrText xml:space="preserve"> AUTONUM  </w:instrText>
      </w:r>
      <w:r w:rsidRPr="00647DFF">
        <w:rPr>
          <w:rFonts w:ascii="Arial" w:hAnsi="Arial" w:cs="Arial"/>
          <w:sz w:val="20"/>
          <w:szCs w:val="20"/>
        </w:rPr>
        <w:fldChar w:fldCharType="end"/>
      </w:r>
      <w:r w:rsidRPr="000B1676">
        <w:rPr>
          <w:rFonts w:ascii="Arial" w:hAnsi="Arial" w:cs="Arial"/>
          <w:sz w:val="20"/>
          <w:szCs w:val="20"/>
          <w:lang w:val="es-ES"/>
        </w:rPr>
        <w:tab/>
      </w:r>
      <w:r w:rsidRPr="00647DFF">
        <w:rPr>
          <w:rFonts w:ascii="Arial" w:hAnsi="Arial" w:cs="Arial"/>
          <w:sz w:val="20"/>
          <w:szCs w:val="20"/>
        </w:rPr>
        <w:t>El TWC convino en invitar a los miembros a que presenten ponencias sobre los aspectos estadísticos del uso de marcadores moleculares en el examen DHE, en particular la selección de variedades similares y la organización de ensayos en cultivo.</w:t>
      </w:r>
      <w:r w:rsidRPr="000B1676">
        <w:rPr>
          <w:rFonts w:ascii="Arial" w:hAnsi="Arial" w:cs="Arial"/>
          <w:sz w:val="20"/>
          <w:szCs w:val="20"/>
          <w:lang w:val="es-ES"/>
        </w:rPr>
        <w:t xml:space="preserve">  </w:t>
      </w:r>
      <w:r w:rsidRPr="00647DFF">
        <w:rPr>
          <w:rFonts w:ascii="Arial" w:hAnsi="Arial" w:cs="Arial"/>
          <w:sz w:val="20"/>
          <w:szCs w:val="20"/>
        </w:rPr>
        <w:t>El TWC acogió con satisfacción el ofrecimiento de Francia de presentar una ponencia sobre la labor en curso con bases de datos que contienen información molecular y de cálculo de distancias moleculares mediante el programa informático GAIA (véase el párrafo 13 del documento TWC/34/32 “Informe”).</w:t>
      </w:r>
    </w:p>
    <w:p w:rsidR="00EB2111" w:rsidRPr="000B1676" w:rsidRDefault="00EB2111" w:rsidP="00FE318A">
      <w:pPr>
        <w:pStyle w:val="Style1"/>
        <w:tabs>
          <w:tab w:val="clear" w:pos="907"/>
          <w:tab w:val="clear" w:pos="1077"/>
        </w:tabs>
        <w:rPr>
          <w:rFonts w:ascii="Arial" w:hAnsi="Arial" w:cs="Arial"/>
          <w:sz w:val="20"/>
          <w:szCs w:val="20"/>
          <w:lang w:val="es-ES"/>
        </w:rPr>
      </w:pPr>
    </w:p>
    <w:p w:rsidR="00EB2111" w:rsidRPr="000B1676" w:rsidRDefault="00EB2111" w:rsidP="00FE318A">
      <w:pPr>
        <w:pStyle w:val="Style1"/>
        <w:tabs>
          <w:tab w:val="left" w:pos="540"/>
        </w:tabs>
        <w:rPr>
          <w:rFonts w:ascii="Arial" w:hAnsi="Arial" w:cs="Arial"/>
          <w:sz w:val="20"/>
          <w:szCs w:val="20"/>
          <w:lang w:val="es-ES"/>
        </w:rPr>
      </w:pPr>
      <w:r w:rsidRPr="00647DFF">
        <w:rPr>
          <w:rFonts w:ascii="Arial" w:hAnsi="Arial" w:cs="Arial"/>
          <w:sz w:val="20"/>
          <w:szCs w:val="20"/>
        </w:rPr>
        <w:fldChar w:fldCharType="begin"/>
      </w:r>
      <w:r w:rsidRPr="000B1676">
        <w:rPr>
          <w:rFonts w:ascii="Arial" w:hAnsi="Arial" w:cs="Arial"/>
          <w:sz w:val="20"/>
          <w:szCs w:val="20"/>
          <w:lang w:val="es-ES"/>
        </w:rPr>
        <w:instrText xml:space="preserve"> AUTONUM  </w:instrText>
      </w:r>
      <w:r w:rsidRPr="00647DFF">
        <w:rPr>
          <w:rFonts w:ascii="Arial" w:hAnsi="Arial" w:cs="Arial"/>
          <w:sz w:val="20"/>
          <w:szCs w:val="20"/>
        </w:rPr>
        <w:fldChar w:fldCharType="end"/>
      </w:r>
      <w:r w:rsidRPr="000B1676">
        <w:rPr>
          <w:rFonts w:ascii="Arial" w:hAnsi="Arial" w:cs="Arial"/>
          <w:sz w:val="20"/>
          <w:szCs w:val="20"/>
          <w:lang w:val="es-ES"/>
        </w:rPr>
        <w:tab/>
      </w:r>
      <w:r w:rsidRPr="00647DFF">
        <w:rPr>
          <w:rFonts w:ascii="Arial" w:hAnsi="Arial" w:cs="Arial"/>
          <w:sz w:val="20"/>
          <w:szCs w:val="20"/>
        </w:rPr>
        <w:t>El TWC convino en que los programas informáticos y las bases de datos, así como los métodos estadísticos asociados, son elementos fundamentales del examen DHE, de una importancia cada vez mayor para la protección de las obtenciones vegetales.</w:t>
      </w:r>
      <w:r w:rsidRPr="000B1676">
        <w:rPr>
          <w:rFonts w:ascii="Arial" w:hAnsi="Arial" w:cs="Arial"/>
          <w:sz w:val="20"/>
          <w:szCs w:val="20"/>
          <w:lang w:val="es-ES"/>
        </w:rPr>
        <w:t xml:space="preserve">  </w:t>
      </w:r>
      <w:r w:rsidRPr="00647DFF">
        <w:rPr>
          <w:rFonts w:ascii="Arial" w:hAnsi="Arial" w:cs="Arial"/>
          <w:sz w:val="20"/>
          <w:szCs w:val="20"/>
        </w:rPr>
        <w:t>El TWC convino en que su Presidente debe informar al TC sobre estos elementos concretos de la labor de dicho Grupo de Trabajo Técnico (véase el párrafo 14 del documento TWC/34/32 “Informe”).</w:t>
      </w:r>
    </w:p>
    <w:p w:rsidR="00EB2111" w:rsidRPr="000B1676" w:rsidRDefault="00EB2111" w:rsidP="00FE318A">
      <w:pPr>
        <w:pStyle w:val="Style1"/>
        <w:rPr>
          <w:rFonts w:ascii="Arial" w:hAnsi="Arial" w:cs="Arial"/>
          <w:sz w:val="20"/>
          <w:szCs w:val="20"/>
          <w:lang w:val="es-ES"/>
        </w:rPr>
      </w:pPr>
    </w:p>
    <w:p w:rsidR="00EB2111" w:rsidRPr="000B1676" w:rsidRDefault="00EB2111" w:rsidP="00FE318A">
      <w:pPr>
        <w:pStyle w:val="Style1"/>
        <w:rPr>
          <w:rFonts w:ascii="Arial" w:hAnsi="Arial" w:cs="Arial"/>
          <w:sz w:val="20"/>
          <w:szCs w:val="20"/>
          <w:lang w:val="es-ES"/>
        </w:rPr>
      </w:pPr>
    </w:p>
    <w:p w:rsidR="00EB2111" w:rsidRPr="000B1676" w:rsidRDefault="00EB2111" w:rsidP="00FE318A">
      <w:pPr>
        <w:pStyle w:val="Style1"/>
        <w:rPr>
          <w:rFonts w:ascii="Arial" w:hAnsi="Arial" w:cs="Arial"/>
          <w:sz w:val="20"/>
          <w:szCs w:val="20"/>
          <w:lang w:val="es-ES"/>
        </w:rPr>
      </w:pPr>
    </w:p>
    <w:p w:rsidR="00EB2111" w:rsidRPr="000B1676" w:rsidRDefault="00EB2111" w:rsidP="007165FB">
      <w:pPr>
        <w:pStyle w:val="Heading1"/>
        <w:rPr>
          <w:lang w:val="es-ES" w:eastAsia="ja-JP"/>
        </w:rPr>
      </w:pPr>
      <w:bookmarkStart w:id="15" w:name="_Toc477531089"/>
      <w:r w:rsidRPr="00647DFF">
        <w:rPr>
          <w:lang w:val="es-ES_tradnl" w:eastAsia="ja-JP"/>
        </w:rPr>
        <w:lastRenderedPageBreak/>
        <w:t>TALLER CONJUNTO ENTRE LA OCDE, LA UPOV Y LA ISTA SOBRE TÉCNICAS MOLECULARES</w:t>
      </w:r>
      <w:bookmarkEnd w:id="15"/>
    </w:p>
    <w:p w:rsidR="00EB2111" w:rsidRPr="000B1676" w:rsidRDefault="00EB2111" w:rsidP="007165FB">
      <w:pPr>
        <w:keepNext/>
        <w:rPr>
          <w:i/>
          <w:iCs/>
          <w:lang w:val="es-ES" w:eastAsia="ja-JP"/>
        </w:rPr>
      </w:pPr>
    </w:p>
    <w:p w:rsidR="00EB2111" w:rsidRPr="000B1676" w:rsidRDefault="00EB2111" w:rsidP="00FE318A">
      <w:pPr>
        <w:rPr>
          <w:lang w:val="es-ES" w:eastAsia="ja-JP"/>
        </w:rPr>
      </w:pPr>
      <w:r w:rsidRPr="00647DFF">
        <w:fldChar w:fldCharType="begin"/>
      </w:r>
      <w:r w:rsidRPr="000B1676">
        <w:rPr>
          <w:lang w:val="es-ES"/>
        </w:rPr>
        <w:instrText xml:space="preserve"> AUTONUM  </w:instrText>
      </w:r>
      <w:r w:rsidRPr="00647DFF">
        <w:fldChar w:fldCharType="end"/>
      </w:r>
      <w:r w:rsidRPr="000B1676">
        <w:rPr>
          <w:lang w:val="es-ES" w:eastAsia="ja-JP"/>
        </w:rPr>
        <w:tab/>
      </w:r>
      <w:r w:rsidRPr="00647DFF">
        <w:rPr>
          <w:color w:val="000000"/>
          <w:lang w:eastAsia="ja-JP"/>
        </w:rPr>
        <w:t>El 8 de junio de 2016 tuvo lugar en París (Francia) un Taller conjunto entre la OCDE, la UPOV, la ISTA y la AOSA sobre técnicas bioquímicas y moleculares, y los Sistemas de semillas de la OCDE, en su reunión anual celebrada en París los días 9 y 10 de junio de 2016, aprobaron las recomendaciones formuladas en dicho taller conjunto, que se reproducen a continuación:</w:t>
      </w:r>
    </w:p>
    <w:p w:rsidR="00EB2111" w:rsidRPr="000B1676" w:rsidRDefault="00EB2111" w:rsidP="00FE318A">
      <w:pPr>
        <w:rPr>
          <w:lang w:val="es-ES" w:eastAsia="ja-JP"/>
        </w:rPr>
      </w:pPr>
    </w:p>
    <w:p w:rsidR="00EB2111" w:rsidRPr="000B1676" w:rsidRDefault="00EB2111" w:rsidP="002273B2">
      <w:pPr>
        <w:pStyle w:val="ListParagraph"/>
        <w:numPr>
          <w:ilvl w:val="0"/>
          <w:numId w:val="3"/>
        </w:numPr>
        <w:tabs>
          <w:tab w:val="clear" w:pos="0"/>
          <w:tab w:val="left" w:pos="1276"/>
        </w:tabs>
        <w:spacing w:after="240"/>
        <w:ind w:right="567"/>
        <w:rPr>
          <w:lang w:val="es-ES" w:eastAsia="ja-JP"/>
        </w:rPr>
      </w:pPr>
      <w:r w:rsidRPr="00647DFF">
        <w:rPr>
          <w:lang w:eastAsia="ja-JP"/>
        </w:rPr>
        <w:t>Elaborar un documento conjunto en el que se expliquen las características principales de los sistemas de la OCDE, la UPOV, la AOSA y la ISTA (por ejemplo, DHE, identificación de las variedades, pureza de las variedades, etcétera) y, para la comprensión mutua, repetir el taller conjunto en las reuniones pertinentes de la OCDE y la ISTA;</w:t>
      </w:r>
    </w:p>
    <w:p w:rsidR="00EB2111" w:rsidRPr="000B1676" w:rsidRDefault="00EB2111" w:rsidP="002273B2">
      <w:pPr>
        <w:pStyle w:val="ListParagraph"/>
        <w:numPr>
          <w:ilvl w:val="0"/>
          <w:numId w:val="3"/>
        </w:numPr>
        <w:tabs>
          <w:tab w:val="clear" w:pos="0"/>
          <w:tab w:val="left" w:pos="1276"/>
        </w:tabs>
        <w:spacing w:after="240"/>
        <w:ind w:right="567"/>
        <w:rPr>
          <w:lang w:val="es-ES" w:eastAsia="ja-JP"/>
        </w:rPr>
      </w:pPr>
      <w:r w:rsidRPr="00647DFF">
        <w:rPr>
          <w:lang w:eastAsia="ja-JP"/>
        </w:rPr>
        <w:t>Realizar un inventario conjunto de la UPOV, la OCDE, la AOSA y la ISTA sobre la utilización de técnicas basadas en marcadores moleculares, por cultivos, con objeto de elaborar un documento en el que figure dicha información;</w:t>
      </w:r>
      <w:r w:rsidRPr="000B1676">
        <w:rPr>
          <w:lang w:val="es-ES" w:eastAsia="ja-JP"/>
        </w:rPr>
        <w:t xml:space="preserve"> </w:t>
      </w:r>
      <w:r w:rsidRPr="00647DFF">
        <w:rPr>
          <w:lang w:eastAsia="ja-JP"/>
        </w:rPr>
        <w:t>La OCDE contribuirá al documento aportando la lista de las técnicas moleculares empleadas por las autoridades nacionales designadas, que la Secretaría mantiene actualizada;</w:t>
      </w:r>
    </w:p>
    <w:p w:rsidR="00EB2111" w:rsidRPr="000B1676" w:rsidRDefault="00EB2111" w:rsidP="002273B2">
      <w:pPr>
        <w:pStyle w:val="ListParagraph"/>
        <w:numPr>
          <w:ilvl w:val="0"/>
          <w:numId w:val="3"/>
        </w:numPr>
        <w:tabs>
          <w:tab w:val="clear" w:pos="0"/>
          <w:tab w:val="left" w:pos="1276"/>
        </w:tabs>
        <w:spacing w:after="240"/>
        <w:ind w:right="567"/>
        <w:rPr>
          <w:lang w:val="es-ES" w:eastAsia="ja-JP"/>
        </w:rPr>
      </w:pPr>
      <w:r w:rsidRPr="00647DFF">
        <w:rPr>
          <w:lang w:eastAsia="ja-JP"/>
        </w:rPr>
        <w:t>Elaborar una lista de términos utilizados por la OCDE, la UPOV, la AOSA y la ISTA, con sus correspondientes definiciones, y tratar de armonizarlos;</w:t>
      </w:r>
    </w:p>
    <w:p w:rsidR="00EB2111" w:rsidRPr="000B1676" w:rsidRDefault="00EB2111" w:rsidP="002273B2">
      <w:pPr>
        <w:pStyle w:val="ListParagraph"/>
        <w:numPr>
          <w:ilvl w:val="0"/>
          <w:numId w:val="3"/>
        </w:numPr>
        <w:tabs>
          <w:tab w:val="clear" w:pos="0"/>
          <w:tab w:val="left" w:pos="1276"/>
        </w:tabs>
        <w:spacing w:after="240"/>
        <w:ind w:right="567"/>
        <w:rPr>
          <w:lang w:val="es-ES" w:eastAsia="ja-JP"/>
        </w:rPr>
      </w:pPr>
      <w:r w:rsidRPr="00647DFF">
        <w:rPr>
          <w:lang w:eastAsia="ja-JP"/>
        </w:rPr>
        <w:t>Considerar la posibilidad de organizar otro taller similar dentro de tres años;</w:t>
      </w:r>
      <w:r w:rsidRPr="000B1676">
        <w:rPr>
          <w:lang w:val="es-ES" w:eastAsia="ja-JP"/>
        </w:rPr>
        <w:t xml:space="preserve">  </w:t>
      </w:r>
      <w:r w:rsidRPr="00647DFF">
        <w:rPr>
          <w:lang w:eastAsia="ja-JP"/>
        </w:rPr>
        <w:t>y</w:t>
      </w:r>
    </w:p>
    <w:p w:rsidR="00EB2111" w:rsidRPr="000B1676" w:rsidRDefault="00EB2111" w:rsidP="002273B2">
      <w:pPr>
        <w:pStyle w:val="ListParagraph"/>
        <w:numPr>
          <w:ilvl w:val="0"/>
          <w:numId w:val="3"/>
        </w:numPr>
        <w:tabs>
          <w:tab w:val="clear" w:pos="0"/>
          <w:tab w:val="left" w:pos="1276"/>
        </w:tabs>
        <w:spacing w:after="240"/>
        <w:ind w:right="567"/>
        <w:rPr>
          <w:lang w:val="es-ES" w:eastAsia="ja-JP"/>
        </w:rPr>
      </w:pPr>
      <w:r w:rsidRPr="00647DFF">
        <w:rPr>
          <w:lang w:eastAsia="ja-JP"/>
        </w:rPr>
        <w:t>Considerar la conveniencia de sustituir la expresión “validada internacionalmente”, empleada en los Sistemas de semillas de la OCDE en referencia a las técnicas basadas en el ADN, por otra como “armonizada internacionalmente”.</w:t>
      </w:r>
    </w:p>
    <w:p w:rsidR="00EB2111" w:rsidRPr="000B1676" w:rsidRDefault="00EB2111" w:rsidP="00FE318A">
      <w:pPr>
        <w:rPr>
          <w:lang w:val="es-ES" w:eastAsia="ja-JP"/>
        </w:rPr>
      </w:pPr>
    </w:p>
    <w:p w:rsidR="00EB2111" w:rsidRPr="000B1676" w:rsidRDefault="00EB2111" w:rsidP="00FE318A">
      <w:pPr>
        <w:rPr>
          <w:lang w:val="es-ES" w:eastAsia="ja-JP"/>
        </w:rPr>
      </w:pPr>
      <w:r w:rsidRPr="00647DFF">
        <w:rPr>
          <w:lang w:eastAsia="ja-JP"/>
        </w:rPr>
        <w:fldChar w:fldCharType="begin"/>
      </w:r>
      <w:r w:rsidRPr="000B1676">
        <w:rPr>
          <w:lang w:val="es-ES" w:eastAsia="ja-JP"/>
        </w:rPr>
        <w:instrText xml:space="preserve"> AUTONUM  </w:instrText>
      </w:r>
      <w:r w:rsidRPr="00647DFF">
        <w:rPr>
          <w:lang w:eastAsia="ja-JP"/>
        </w:rPr>
        <w:fldChar w:fldCharType="end"/>
      </w:r>
      <w:r w:rsidRPr="000B1676">
        <w:rPr>
          <w:lang w:val="es-ES" w:eastAsia="ja-JP"/>
        </w:rPr>
        <w:tab/>
      </w:r>
      <w:r w:rsidRPr="00647DFF">
        <w:rPr>
          <w:lang w:eastAsia="ja-JP"/>
        </w:rPr>
        <w:t>En su reunión anual, los Sistemas de semillas de la OCDE suscribieron la propuesta de los Países Bajos de organizar, con el apoyo de la UPOV, la OCDE y la ISTA, un taller práctico en 2017 para determinar modos eficientes de aplicación de las técnicas moleculares a los fines de dichas organizaciones.</w:t>
      </w:r>
    </w:p>
    <w:p w:rsidR="00EB2111" w:rsidRPr="000B1676" w:rsidRDefault="00EB2111" w:rsidP="002D7F66">
      <w:pPr>
        <w:rPr>
          <w:lang w:val="es-ES" w:eastAsia="ja-JP"/>
        </w:rPr>
      </w:pPr>
    </w:p>
    <w:p w:rsidR="00EB2111" w:rsidRPr="000B1676" w:rsidRDefault="00EB2111" w:rsidP="002D7F66">
      <w:pPr>
        <w:rPr>
          <w:lang w:val="es-ES" w:eastAsia="ja-JP"/>
        </w:rPr>
      </w:pPr>
    </w:p>
    <w:p w:rsidR="00EB2111" w:rsidRPr="000B1676" w:rsidRDefault="00EB2111" w:rsidP="002D7F66">
      <w:pPr>
        <w:rPr>
          <w:lang w:val="es-ES" w:eastAsia="ja-JP"/>
        </w:rPr>
      </w:pPr>
    </w:p>
    <w:p w:rsidR="00EB2111" w:rsidRPr="000B1676" w:rsidRDefault="00EB2111" w:rsidP="007165FB">
      <w:pPr>
        <w:pStyle w:val="Heading1"/>
        <w:rPr>
          <w:lang w:val="es-ES" w:eastAsia="ja-JP"/>
        </w:rPr>
      </w:pPr>
      <w:bookmarkStart w:id="16" w:name="_Toc477531090"/>
      <w:r w:rsidRPr="00647DFF">
        <w:rPr>
          <w:lang w:val="es-ES_tradnl" w:eastAsia="ja-JP"/>
        </w:rPr>
        <w:t>PRESENTACIÓN DE INFORMACIÓN SOBRE LA SITUACIÓN EN LA UPOV EN LO QUE RESPECTA AL USO DE TÉCNICAS MOLECULARES</w:t>
      </w:r>
      <w:bookmarkEnd w:id="16"/>
    </w:p>
    <w:p w:rsidR="00EB2111" w:rsidRPr="000B1676" w:rsidRDefault="00EB2111" w:rsidP="007165FB">
      <w:pPr>
        <w:keepNext/>
        <w:rPr>
          <w:lang w:val="es-ES" w:eastAsia="ja-JP"/>
        </w:rPr>
      </w:pPr>
    </w:p>
    <w:p w:rsidR="00EB2111" w:rsidRPr="000B1676" w:rsidRDefault="00EB2111" w:rsidP="00AF3694">
      <w:pPr>
        <w:rPr>
          <w:lang w:val="es-ES"/>
        </w:rPr>
      </w:pPr>
      <w:r w:rsidRPr="00647DFF">
        <w:fldChar w:fldCharType="begin"/>
      </w:r>
      <w:r w:rsidRPr="000B1676">
        <w:rPr>
          <w:lang w:val="es-ES"/>
        </w:rPr>
        <w:instrText xml:space="preserve"> AUTONUM  </w:instrText>
      </w:r>
      <w:r w:rsidRPr="00647DFF">
        <w:fldChar w:fldCharType="end"/>
      </w:r>
      <w:r w:rsidRPr="000B1676">
        <w:rPr>
          <w:lang w:val="es-ES"/>
        </w:rPr>
        <w:tab/>
      </w:r>
      <w:r w:rsidRPr="00647DFF">
        <w:t>En su quincuagésima segunda sesión, el TC acordó una propuesta de pregunta y respuesta relativa a la información sobre la situación en la UPOV en lo que respecta al uso de técnicas moleculares, para un público más amplio, que incluya al público en general (véase el párrafo 131 del documento TC/52/29 Rev. “Informe revisado”).</w:t>
      </w:r>
      <w:r w:rsidRPr="000B1676">
        <w:rPr>
          <w:lang w:val="es-ES" w:eastAsia="ja-JP"/>
        </w:rPr>
        <w:t xml:space="preserve">  </w:t>
      </w:r>
      <w:r w:rsidRPr="00647DFF">
        <w:rPr>
          <w:lang w:eastAsia="ja-JP"/>
        </w:rPr>
        <w:t>El Consejo, en su quincuagésima sesión, celebrada en Ginebra el 28 de octubre de 2016, aprobó dicha propuesta sin modificaciones, tal como se reproduce en el párrafo </w:t>
      </w:r>
      <w:r>
        <w:rPr>
          <w:lang w:eastAsia="ja-JP"/>
        </w:rPr>
        <w:t>29</w:t>
      </w:r>
      <w:r w:rsidRPr="00647DFF">
        <w:rPr>
          <w:lang w:eastAsia="ja-JP"/>
        </w:rPr>
        <w:t xml:space="preserve"> del presente documento.</w:t>
      </w:r>
    </w:p>
    <w:p w:rsidR="00EB2111" w:rsidRPr="000B1676" w:rsidRDefault="00EB2111" w:rsidP="00FE318A">
      <w:pPr>
        <w:rPr>
          <w:snapToGrid w:val="0"/>
          <w:lang w:val="es-ES" w:eastAsia="ja-JP"/>
        </w:rPr>
      </w:pPr>
    </w:p>
    <w:p w:rsidR="00EB2111" w:rsidRPr="000B1676" w:rsidRDefault="00EB2111" w:rsidP="00FE318A">
      <w:pPr>
        <w:rPr>
          <w:lang w:val="es-ES" w:eastAsia="ja-JP"/>
        </w:rPr>
      </w:pPr>
      <w:r w:rsidRPr="00647DFF">
        <w:rPr>
          <w:snapToGrid w:val="0"/>
        </w:rPr>
        <w:fldChar w:fldCharType="begin"/>
      </w:r>
      <w:r w:rsidRPr="000B1676">
        <w:rPr>
          <w:snapToGrid w:val="0"/>
          <w:lang w:val="es-ES"/>
        </w:rPr>
        <w:instrText xml:space="preserve"> AUTONUM  </w:instrText>
      </w:r>
      <w:r w:rsidRPr="00647DFF">
        <w:rPr>
          <w:snapToGrid w:val="0"/>
        </w:rPr>
        <w:fldChar w:fldCharType="end"/>
      </w:r>
      <w:r w:rsidRPr="000B1676">
        <w:rPr>
          <w:lang w:val="es-ES"/>
        </w:rPr>
        <w:tab/>
      </w:r>
      <w:r w:rsidRPr="00647DFF">
        <w:t>El CAJ, en su septuagésima tercera sesión, celebrada en Ginebra el 25 de octubre de 2016, aprobó la propuesta de pregunta y respuesta relativa a la información sobre la situación en la UPOV en lo que respecta al uso de técnicas moleculares, para un público más amplio, que incluya al público en general, acordada por el TC en su quincuagésima segunda sesión (véase el párrafo 57 del documento CAJ/73/10 “Informe sobre las conclusiones”).</w:t>
      </w:r>
    </w:p>
    <w:p w:rsidR="00EB2111" w:rsidRPr="000B1676" w:rsidRDefault="00EB2111" w:rsidP="00FE318A">
      <w:pPr>
        <w:rPr>
          <w:snapToGrid w:val="0"/>
          <w:lang w:val="es-ES" w:eastAsia="ja-JP"/>
        </w:rPr>
      </w:pPr>
    </w:p>
    <w:p w:rsidR="00EB2111" w:rsidRPr="000B1676" w:rsidRDefault="00EB2111" w:rsidP="007165FB">
      <w:pPr>
        <w:keepLines/>
        <w:rPr>
          <w:color w:val="000000"/>
          <w:lang w:val="es-ES" w:eastAsia="ja-JP"/>
        </w:rPr>
      </w:pPr>
      <w:r w:rsidRPr="00647DFF">
        <w:rPr>
          <w:snapToGrid w:val="0"/>
        </w:rPr>
        <w:fldChar w:fldCharType="begin"/>
      </w:r>
      <w:r w:rsidRPr="000B1676">
        <w:rPr>
          <w:snapToGrid w:val="0"/>
          <w:lang w:val="es-ES"/>
        </w:rPr>
        <w:instrText xml:space="preserve"> AUTONUM  </w:instrText>
      </w:r>
      <w:r w:rsidRPr="00647DFF">
        <w:rPr>
          <w:snapToGrid w:val="0"/>
        </w:rPr>
        <w:fldChar w:fldCharType="end"/>
      </w:r>
      <w:r w:rsidRPr="000B1676">
        <w:rPr>
          <w:lang w:val="es-ES"/>
        </w:rPr>
        <w:tab/>
      </w:r>
      <w:r w:rsidRPr="00647DFF">
        <w:rPr>
          <w:lang w:eastAsia="ja-JP"/>
        </w:rPr>
        <w:t xml:space="preserve">El Consejo, en su quincuagésima sesión, aprobó la siguiente pregunta frecuente relativa a la información sobre la situación en la UPOV en lo que respecta al uso de técnicas moleculares, para un público más amplio </w:t>
      </w:r>
      <w:r w:rsidRPr="00647DFF">
        <w:rPr>
          <w:color w:val="000000"/>
          <w:lang w:eastAsia="ja-JP"/>
        </w:rPr>
        <w:t>(</w:t>
      </w:r>
      <w:r w:rsidRPr="00647DFF">
        <w:rPr>
          <w:lang w:eastAsia="ja-JP"/>
        </w:rPr>
        <w:t xml:space="preserve">“pregunta frecuente relativa a las técnicas moleculares”), que incluya al público en general </w:t>
      </w:r>
      <w:r w:rsidRPr="00647DFF">
        <w:rPr>
          <w:color w:val="000000"/>
          <w:lang w:eastAsia="ja-JP"/>
        </w:rPr>
        <w:t>(</w:t>
      </w:r>
      <w:r w:rsidRPr="00647DFF">
        <w:rPr>
          <w:lang w:eastAsia="ja-JP"/>
        </w:rPr>
        <w:t>véase el párrafo 11 del documento C/50/19 “Informe sobre las decisiones”;</w:t>
      </w:r>
      <w:r w:rsidRPr="000B1676">
        <w:rPr>
          <w:color w:val="000000"/>
          <w:lang w:val="es-ES" w:eastAsia="ja-JP"/>
        </w:rPr>
        <w:t xml:space="preserve">  </w:t>
      </w:r>
      <w:r w:rsidRPr="00647DFF">
        <w:rPr>
          <w:color w:val="000000"/>
          <w:lang w:eastAsia="ja-JP"/>
        </w:rPr>
        <w:t>la pregunta frecuente se encuentra en la dirección</w:t>
      </w:r>
      <w:r w:rsidRPr="000B1676">
        <w:rPr>
          <w:color w:val="000000"/>
          <w:lang w:val="es-ES" w:eastAsia="ja-JP"/>
        </w:rPr>
        <w:t xml:space="preserve"> </w:t>
      </w:r>
      <w:hyperlink r:id="rId9" w:anchor="QG121" w:history="1">
        <w:r w:rsidRPr="000B1676">
          <w:rPr>
            <w:rStyle w:val="Hyperlink"/>
            <w:lang w:val="es-ES" w:eastAsia="ja-JP"/>
          </w:rPr>
          <w:t>http://www.upov.int/about/es/faq.html#QG121</w:t>
        </w:r>
      </w:hyperlink>
      <w:r w:rsidRPr="000B1676">
        <w:rPr>
          <w:color w:val="000000"/>
          <w:lang w:val="es-ES" w:eastAsia="ja-JP"/>
        </w:rPr>
        <w:t>):</w:t>
      </w:r>
    </w:p>
    <w:p w:rsidR="00EB2111" w:rsidRPr="000B1676" w:rsidRDefault="00EB2111" w:rsidP="00612E42">
      <w:pPr>
        <w:rPr>
          <w:lang w:val="es-ES"/>
        </w:rPr>
      </w:pPr>
    </w:p>
    <w:p w:rsidR="00EB2111" w:rsidRPr="000B1676" w:rsidRDefault="00EB2111" w:rsidP="00612E42">
      <w:pPr>
        <w:ind w:left="567"/>
        <w:rPr>
          <w:sz w:val="18"/>
          <w:szCs w:val="18"/>
          <w:lang w:val="es-ES"/>
        </w:rPr>
      </w:pPr>
      <w:r w:rsidRPr="000B1676">
        <w:rPr>
          <w:sz w:val="18"/>
          <w:szCs w:val="18"/>
          <w:lang w:val="es-ES"/>
        </w:rPr>
        <w:t>“</w:t>
      </w:r>
      <w:r w:rsidRPr="00647DFF">
        <w:rPr>
          <w:sz w:val="18"/>
          <w:szCs w:val="18"/>
        </w:rPr>
        <w:t>¿Es posible obtener la protección de una variedad sobre la base de su perfil de ADN?</w:t>
      </w:r>
    </w:p>
    <w:p w:rsidR="00EB2111" w:rsidRPr="000B1676" w:rsidRDefault="00EB2111" w:rsidP="00612E42">
      <w:pPr>
        <w:ind w:left="567" w:right="567"/>
        <w:rPr>
          <w:sz w:val="18"/>
          <w:szCs w:val="18"/>
          <w:lang w:val="es-ES"/>
        </w:rPr>
      </w:pPr>
    </w:p>
    <w:p w:rsidR="00EB2111" w:rsidRPr="000B1676" w:rsidRDefault="00EB2111" w:rsidP="00612E42">
      <w:pPr>
        <w:ind w:left="567" w:right="567"/>
        <w:rPr>
          <w:sz w:val="18"/>
          <w:szCs w:val="18"/>
          <w:lang w:val="es-ES"/>
        </w:rPr>
      </w:pPr>
      <w:r w:rsidRPr="00647DFF">
        <w:rPr>
          <w:sz w:val="18"/>
          <w:szCs w:val="18"/>
        </w:rPr>
        <w:t>Para obtener protección, una variedad ha de poder distinguirse claramente de todas las variedades existentes, sobre la base de caracteres que se expresan físicamente, por ejemplo, altura de la planta, época de floración, color del fruto, resistencia a las enfermedades, etcétera.</w:t>
      </w:r>
      <w:r w:rsidRPr="000B1676">
        <w:rPr>
          <w:sz w:val="18"/>
          <w:szCs w:val="18"/>
          <w:lang w:val="es-ES"/>
        </w:rPr>
        <w:t xml:space="preserve">  </w:t>
      </w:r>
      <w:r w:rsidRPr="00647DFF">
        <w:rPr>
          <w:sz w:val="18"/>
          <w:szCs w:val="18"/>
        </w:rPr>
        <w:t xml:space="preserve">El perfil de ADN no es la </w:t>
      </w:r>
      <w:r w:rsidRPr="00647DFF">
        <w:rPr>
          <w:sz w:val="18"/>
          <w:szCs w:val="18"/>
        </w:rPr>
        <w:lastRenderedPageBreak/>
        <w:t>base para obtener la protección de una variedad, aunque esta información puede utilizarse como información complementaria.</w:t>
      </w:r>
    </w:p>
    <w:p w:rsidR="00EB2111" w:rsidRPr="000B1676" w:rsidRDefault="00EB2111" w:rsidP="00612E42">
      <w:pPr>
        <w:ind w:left="567" w:right="567"/>
        <w:rPr>
          <w:sz w:val="18"/>
          <w:szCs w:val="18"/>
          <w:lang w:val="es-ES"/>
        </w:rPr>
      </w:pPr>
    </w:p>
    <w:p w:rsidR="00EB2111" w:rsidRPr="000B1676" w:rsidRDefault="00EB2111" w:rsidP="00612E42">
      <w:pPr>
        <w:ind w:left="567" w:right="567"/>
        <w:rPr>
          <w:sz w:val="18"/>
          <w:szCs w:val="18"/>
          <w:lang w:val="es-ES"/>
        </w:rPr>
      </w:pPr>
      <w:r w:rsidRPr="00647DFF">
        <w:rPr>
          <w:sz w:val="18"/>
          <w:szCs w:val="18"/>
        </w:rPr>
        <w:t>En la pregunta frecuente “¿Permite la UPOV la utilización de técnicas moleculares (perfiles de ADN) en el examen de la distinción, la homogeneidad y la estabilidad (“DHE”)?” figura una explicación más detallada.</w:t>
      </w:r>
    </w:p>
    <w:p w:rsidR="00EB2111" w:rsidRPr="000B1676" w:rsidRDefault="00EB2111" w:rsidP="00612E42">
      <w:pPr>
        <w:ind w:left="567" w:right="567"/>
        <w:rPr>
          <w:sz w:val="18"/>
          <w:szCs w:val="18"/>
          <w:lang w:val="es-ES"/>
        </w:rPr>
      </w:pPr>
    </w:p>
    <w:p w:rsidR="00EB2111" w:rsidRPr="000B1676" w:rsidRDefault="00EB2111" w:rsidP="00612E42">
      <w:pPr>
        <w:ind w:left="567" w:right="567"/>
        <w:rPr>
          <w:sz w:val="18"/>
          <w:szCs w:val="18"/>
          <w:lang w:val="es-ES"/>
        </w:rPr>
      </w:pPr>
      <w:r w:rsidRPr="00647DFF">
        <w:rPr>
          <w:sz w:val="18"/>
          <w:szCs w:val="18"/>
        </w:rPr>
        <w:t>Véase también:</w:t>
      </w:r>
    </w:p>
    <w:p w:rsidR="00EB2111" w:rsidRPr="000B1676" w:rsidRDefault="00EB2111" w:rsidP="00612E42">
      <w:pPr>
        <w:ind w:left="567" w:right="567"/>
        <w:rPr>
          <w:sz w:val="18"/>
          <w:szCs w:val="18"/>
          <w:lang w:val="es-ES" w:eastAsia="ja-JP"/>
        </w:rPr>
      </w:pPr>
      <w:r w:rsidRPr="00647DFF">
        <w:rPr>
          <w:sz w:val="18"/>
          <w:szCs w:val="18"/>
        </w:rPr>
        <w:t>¿Qué requisitos ha de cumplir una obtención vegetal para recibir protección?</w:t>
      </w:r>
      <w:r w:rsidRPr="000B1676">
        <w:rPr>
          <w:sz w:val="18"/>
          <w:szCs w:val="18"/>
          <w:lang w:val="es-ES"/>
        </w:rPr>
        <w:t>”</w:t>
      </w:r>
    </w:p>
    <w:p w:rsidR="00EB2111" w:rsidRPr="000B1676" w:rsidRDefault="00EB2111" w:rsidP="007165FB">
      <w:pPr>
        <w:keepLines/>
        <w:rPr>
          <w:color w:val="000000"/>
          <w:lang w:val="es-ES" w:eastAsia="ja-JP"/>
        </w:rPr>
      </w:pPr>
      <w:r w:rsidRPr="000B1676">
        <w:rPr>
          <w:color w:val="000000"/>
          <w:lang w:val="es-ES" w:eastAsia="ja-JP"/>
        </w:rPr>
        <w:t>.</w:t>
      </w:r>
    </w:p>
    <w:p w:rsidR="00EB2111" w:rsidRPr="000B1676" w:rsidRDefault="00EB2111" w:rsidP="00FE318A">
      <w:pPr>
        <w:rPr>
          <w:snapToGrid w:val="0"/>
          <w:color w:val="000000"/>
          <w:lang w:val="es-ES" w:eastAsia="ja-JP"/>
        </w:rPr>
      </w:pPr>
    </w:p>
    <w:p w:rsidR="00EB2111" w:rsidRPr="000B1676" w:rsidRDefault="00EB2111" w:rsidP="00FE318A">
      <w:pPr>
        <w:pStyle w:val="DecisionParagraphs"/>
        <w:tabs>
          <w:tab w:val="clear" w:pos="5387"/>
          <w:tab w:val="left" w:pos="5103"/>
        </w:tabs>
        <w:ind w:left="4536"/>
        <w:rPr>
          <w:lang w:val="es-ES"/>
        </w:rPr>
      </w:pPr>
      <w:r w:rsidRPr="00647DFF">
        <w:fldChar w:fldCharType="begin"/>
      </w:r>
      <w:r w:rsidRPr="000B1676">
        <w:rPr>
          <w:lang w:val="es-ES"/>
        </w:rPr>
        <w:instrText xml:space="preserve"> AUTONUM  </w:instrText>
      </w:r>
      <w:r w:rsidRPr="00647DFF">
        <w:fldChar w:fldCharType="end"/>
      </w:r>
      <w:r w:rsidRPr="000B1676">
        <w:rPr>
          <w:lang w:val="es-ES"/>
        </w:rPr>
        <w:tab/>
      </w:r>
      <w:r w:rsidRPr="00647DFF">
        <w:t>Se invita al TC a:</w:t>
      </w:r>
    </w:p>
    <w:p w:rsidR="00EB2111" w:rsidRPr="000B1676" w:rsidRDefault="00EB2111" w:rsidP="00FE318A">
      <w:pPr>
        <w:pStyle w:val="DecisionParagraphs"/>
        <w:ind w:left="4536"/>
        <w:rPr>
          <w:lang w:val="es-ES"/>
        </w:rPr>
      </w:pPr>
    </w:p>
    <w:p w:rsidR="00EB2111" w:rsidRPr="000B1676" w:rsidRDefault="00EB2111" w:rsidP="00FE318A">
      <w:pPr>
        <w:pStyle w:val="DecisionParagraphs"/>
        <w:tabs>
          <w:tab w:val="clear" w:pos="5387"/>
          <w:tab w:val="left" w:pos="5103"/>
          <w:tab w:val="left" w:pos="5670"/>
        </w:tabs>
        <w:ind w:left="4536" w:firstLine="567"/>
        <w:rPr>
          <w:lang w:val="es-ES" w:eastAsia="ja-JP"/>
        </w:rPr>
      </w:pPr>
      <w:r w:rsidRPr="000B1676">
        <w:rPr>
          <w:snapToGrid w:val="0"/>
          <w:lang w:val="es-ES"/>
        </w:rPr>
        <w:t>a)</w:t>
      </w:r>
      <w:r w:rsidRPr="000B1676">
        <w:rPr>
          <w:snapToGrid w:val="0"/>
          <w:lang w:val="es-ES"/>
        </w:rPr>
        <w:tab/>
      </w:r>
      <w:r w:rsidRPr="00647DFF">
        <w:rPr>
          <w:snapToGrid w:val="0"/>
          <w:lang w:eastAsia="ja-JP"/>
        </w:rPr>
        <w:t>tomar nota del informe sobre las novedades que se han producido en los TWP y el BMT, según se expone en los párrafos 5 a </w:t>
      </w:r>
      <w:r>
        <w:rPr>
          <w:snapToGrid w:val="0"/>
          <w:lang w:eastAsia="ja-JP"/>
        </w:rPr>
        <w:t>24</w:t>
      </w:r>
      <w:r w:rsidRPr="00647DFF">
        <w:rPr>
          <w:snapToGrid w:val="0"/>
          <w:lang w:eastAsia="ja-JP"/>
        </w:rPr>
        <w:t xml:space="preserve"> del presente documento;</w:t>
      </w: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E318A">
      <w:pPr>
        <w:pStyle w:val="DecisionParagraphs"/>
        <w:tabs>
          <w:tab w:val="clear" w:pos="5387"/>
          <w:tab w:val="left" w:pos="5103"/>
          <w:tab w:val="left" w:pos="5670"/>
        </w:tabs>
        <w:ind w:left="4536" w:firstLine="567"/>
        <w:rPr>
          <w:lang w:val="es-ES" w:eastAsia="ja-JP"/>
        </w:rPr>
      </w:pPr>
      <w:r w:rsidRPr="000B1676">
        <w:rPr>
          <w:lang w:val="es-ES" w:eastAsia="ja-JP"/>
        </w:rPr>
        <w:t>b)</w:t>
      </w:r>
      <w:r w:rsidRPr="000B1676">
        <w:rPr>
          <w:lang w:val="es-ES" w:eastAsia="ja-JP"/>
        </w:rPr>
        <w:tab/>
      </w:r>
      <w:r w:rsidRPr="00647DFF">
        <w:rPr>
          <w:lang w:eastAsia="ja-JP"/>
        </w:rPr>
        <w:t>tomar nota de que la elaboración de un documento conjunto en el que se expliquen las características principales de los sistemas de la OCDE, la UPOV y la ISTA no puede dar comienzo hasta que la OCDE y la ISTA hayan dado su conformidad;</w:t>
      </w: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E318A">
      <w:pPr>
        <w:pStyle w:val="DecisionParagraphs"/>
        <w:tabs>
          <w:tab w:val="clear" w:pos="5387"/>
          <w:tab w:val="left" w:pos="5103"/>
          <w:tab w:val="left" w:pos="5670"/>
        </w:tabs>
        <w:ind w:left="4536" w:firstLine="567"/>
        <w:rPr>
          <w:lang w:val="es-ES" w:eastAsia="ja-JP"/>
        </w:rPr>
      </w:pPr>
      <w:r w:rsidRPr="000B1676">
        <w:rPr>
          <w:lang w:val="es-ES" w:eastAsia="ja-JP"/>
        </w:rPr>
        <w:t>c)</w:t>
      </w:r>
      <w:r w:rsidRPr="000B1676">
        <w:rPr>
          <w:lang w:val="es-ES" w:eastAsia="ja-JP"/>
        </w:rPr>
        <w:tab/>
      </w:r>
      <w:r w:rsidRPr="00647DFF">
        <w:rPr>
          <w:lang w:eastAsia="ja-JP"/>
        </w:rPr>
        <w:t>tomar nota de que la elaboración de un documento conjunto de la UPOV, la OCDE y la ISTA que contenga un inventario sobre la utilización de técnicas basadas en marcadores moleculares, por cultivos, no puede dar comienzo hasta que la OCDE y la ISTA hayan dado su conformidad;</w:t>
      </w: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A280D">
      <w:pPr>
        <w:pStyle w:val="DecisionParagraphs"/>
        <w:tabs>
          <w:tab w:val="clear" w:pos="5387"/>
          <w:tab w:val="left" w:pos="5103"/>
          <w:tab w:val="left" w:pos="5670"/>
        </w:tabs>
        <w:spacing w:after="240"/>
        <w:ind w:left="4536" w:firstLine="567"/>
        <w:rPr>
          <w:lang w:val="es-ES" w:eastAsia="ja-JP"/>
        </w:rPr>
      </w:pPr>
      <w:r w:rsidRPr="000B1676">
        <w:rPr>
          <w:lang w:val="es-ES" w:eastAsia="ja-JP"/>
        </w:rPr>
        <w:t>d)</w:t>
      </w:r>
      <w:r w:rsidRPr="000B1676">
        <w:rPr>
          <w:lang w:val="es-ES" w:eastAsia="ja-JP"/>
        </w:rPr>
        <w:tab/>
      </w:r>
      <w:r w:rsidRPr="00647DFF">
        <w:rPr>
          <w:lang w:eastAsia="ja-JP"/>
        </w:rPr>
        <w:t>considerar si procede analizar en qué circunstancias la OCDE, la ISTA y la UPOV podrían emplear las mismas técnicas y la misma información, teniendo en cuenta que los objetivos de estas organizaciones son diferentes, según se expone en el párrafo </w:t>
      </w:r>
      <w:r>
        <w:rPr>
          <w:lang w:eastAsia="ja-JP"/>
        </w:rPr>
        <w:t>14</w:t>
      </w:r>
      <w:r w:rsidRPr="00647DFF">
        <w:rPr>
          <w:lang w:eastAsia="ja-JP"/>
        </w:rPr>
        <w:t xml:space="preserve"> del presente documento;</w:t>
      </w:r>
    </w:p>
    <w:p w:rsidR="00EB2111" w:rsidRPr="000B1676" w:rsidRDefault="00EB2111" w:rsidP="006F4843">
      <w:pPr>
        <w:pStyle w:val="DecisionParagraphs"/>
        <w:tabs>
          <w:tab w:val="clear" w:pos="5387"/>
          <w:tab w:val="left" w:pos="5103"/>
          <w:tab w:val="left" w:pos="5670"/>
        </w:tabs>
        <w:ind w:left="4536" w:firstLine="567"/>
        <w:rPr>
          <w:lang w:val="es-ES" w:eastAsia="ja-JP"/>
        </w:rPr>
      </w:pPr>
      <w:r w:rsidRPr="000B1676">
        <w:rPr>
          <w:lang w:val="es-ES" w:eastAsia="ja-JP"/>
        </w:rPr>
        <w:t>e)</w:t>
      </w:r>
      <w:r w:rsidRPr="000B1676">
        <w:rPr>
          <w:lang w:val="es-ES" w:eastAsia="ja-JP"/>
        </w:rPr>
        <w:tab/>
      </w:r>
      <w:r w:rsidRPr="00647DFF">
        <w:rPr>
          <w:lang w:eastAsia="ja-JP"/>
        </w:rPr>
        <w:t>considerar si la eventual colaboración entre la UPOV, la OCDE y la ISTA en el futuro podría, previo acuerdo de dichas organizaciones, incluir la armonización de los términos y métodos empleados en distintos cultivos y la elaboración de normas;</w:t>
      </w: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E318A">
      <w:pPr>
        <w:pStyle w:val="DecisionParagraphs"/>
        <w:tabs>
          <w:tab w:val="clear" w:pos="5387"/>
          <w:tab w:val="left" w:pos="5103"/>
          <w:tab w:val="left" w:pos="5670"/>
        </w:tabs>
        <w:ind w:left="4536" w:firstLine="567"/>
        <w:rPr>
          <w:lang w:val="es-ES" w:eastAsia="ja-JP"/>
        </w:rPr>
      </w:pPr>
      <w:r w:rsidRPr="000B1676">
        <w:rPr>
          <w:lang w:val="es-ES" w:eastAsia="ja-JP"/>
        </w:rPr>
        <w:t>f)</w:t>
      </w:r>
      <w:r w:rsidRPr="000B1676">
        <w:rPr>
          <w:lang w:val="es-ES" w:eastAsia="ja-JP"/>
        </w:rPr>
        <w:tab/>
      </w:r>
      <w:r w:rsidRPr="00647DFF">
        <w:rPr>
          <w:lang w:eastAsia="ja-JP"/>
        </w:rPr>
        <w:t>tomar nota de que el Naktuinbouw organizará en Roelofarendsveen (Países Bajos), del 8</w:t>
      </w:r>
      <w:r w:rsidR="00017456">
        <w:rPr>
          <w:lang w:eastAsia="ja-JP"/>
        </w:rPr>
        <w:t> </w:t>
      </w:r>
      <w:r w:rsidRPr="00647DFF">
        <w:rPr>
          <w:lang w:eastAsia="ja-JP"/>
        </w:rPr>
        <w:t>al 10 de mayo de 2017, un taller práctico para determinar modos eficientes de aplicación de las técnicas moleculares a los fines de la UPOV, la OCDE y la ISTA;</w:t>
      </w: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E318A">
      <w:pPr>
        <w:pStyle w:val="DecisionParagraphs"/>
        <w:tabs>
          <w:tab w:val="clear" w:pos="5387"/>
          <w:tab w:val="left" w:pos="5103"/>
          <w:tab w:val="left" w:pos="5670"/>
        </w:tabs>
        <w:ind w:left="4536" w:firstLine="567"/>
        <w:rPr>
          <w:lang w:val="es-ES" w:eastAsia="ja-JP"/>
        </w:rPr>
      </w:pPr>
      <w:r w:rsidRPr="000B1676">
        <w:rPr>
          <w:lang w:val="es-ES" w:eastAsia="ja-JP"/>
        </w:rPr>
        <w:t>g)</w:t>
      </w:r>
      <w:r w:rsidRPr="000B1676">
        <w:rPr>
          <w:lang w:val="es-ES" w:eastAsia="ja-JP"/>
        </w:rPr>
        <w:tab/>
      </w:r>
      <w:r w:rsidRPr="00647DFF">
        <w:rPr>
          <w:lang w:eastAsia="ja-JP"/>
        </w:rPr>
        <w:t>tomar nota del ofrecimiento de los Países Bajos de informar al TWC sobre los proyectos relativos al uso de técnicas moleculares en el examen DHE;</w:t>
      </w: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E318A">
      <w:pPr>
        <w:pStyle w:val="DecisionParagraphs"/>
        <w:tabs>
          <w:tab w:val="clear" w:pos="5387"/>
          <w:tab w:val="left" w:pos="5103"/>
          <w:tab w:val="left" w:pos="5670"/>
        </w:tabs>
        <w:ind w:left="4536" w:firstLine="567"/>
        <w:rPr>
          <w:lang w:val="es-ES" w:eastAsia="ja-JP"/>
        </w:rPr>
      </w:pPr>
      <w:r w:rsidRPr="000B1676">
        <w:rPr>
          <w:lang w:val="es-ES" w:eastAsia="ja-JP"/>
        </w:rPr>
        <w:t>h)</w:t>
      </w:r>
      <w:r w:rsidRPr="000B1676">
        <w:rPr>
          <w:lang w:val="es-ES" w:eastAsia="ja-JP"/>
        </w:rPr>
        <w:tab/>
      </w:r>
      <w:r w:rsidRPr="00647DFF">
        <w:rPr>
          <w:lang w:eastAsia="ja-JP"/>
        </w:rPr>
        <w:t>tomar nota del ofrecimiento de China de informar al TWC sobre su experiencia respecto del uso de bases de datos de ADN de maíz, arroz y trigo con objeto de seleccionar variedades similares para el examen de la distinción;</w:t>
      </w: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E318A">
      <w:pPr>
        <w:pStyle w:val="DecisionParagraphs"/>
        <w:tabs>
          <w:tab w:val="clear" w:pos="5387"/>
          <w:tab w:val="left" w:pos="5103"/>
          <w:tab w:val="left" w:pos="5670"/>
        </w:tabs>
        <w:ind w:left="4536" w:firstLine="567"/>
        <w:rPr>
          <w:lang w:val="es-ES" w:eastAsia="ja-JP"/>
        </w:rPr>
      </w:pPr>
      <w:r w:rsidRPr="000B1676">
        <w:rPr>
          <w:lang w:val="es-ES" w:eastAsia="ja-JP"/>
        </w:rPr>
        <w:t>i)</w:t>
      </w:r>
      <w:r w:rsidRPr="000B1676">
        <w:rPr>
          <w:lang w:val="es-ES" w:eastAsia="ja-JP"/>
        </w:rPr>
        <w:tab/>
      </w:r>
      <w:r w:rsidRPr="00647DFF">
        <w:rPr>
          <w:lang w:eastAsia="ja-JP"/>
        </w:rPr>
        <w:t xml:space="preserve">tomar nota de que el TWC convino en invitar a los miembros a que presenten ponencias sobre los aspectos estadísticos del uso de marcadores moleculares en el examen DHE, en particular la </w:t>
      </w:r>
      <w:r w:rsidRPr="00647DFF">
        <w:rPr>
          <w:lang w:eastAsia="ja-JP"/>
        </w:rPr>
        <w:lastRenderedPageBreak/>
        <w:t>selección de variedades similares y la organización de ensayos en cultivo;</w:t>
      </w: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E318A">
      <w:pPr>
        <w:pStyle w:val="DecisionParagraphs"/>
        <w:tabs>
          <w:tab w:val="clear" w:pos="5387"/>
          <w:tab w:val="left" w:pos="5103"/>
          <w:tab w:val="left" w:pos="5670"/>
        </w:tabs>
        <w:ind w:left="4536" w:firstLine="567"/>
        <w:rPr>
          <w:lang w:val="es-ES" w:eastAsia="ja-JP"/>
        </w:rPr>
      </w:pPr>
      <w:r w:rsidRPr="000B1676">
        <w:rPr>
          <w:lang w:val="es-ES" w:eastAsia="ja-JP"/>
        </w:rPr>
        <w:t>j)</w:t>
      </w:r>
      <w:r w:rsidRPr="000B1676">
        <w:rPr>
          <w:lang w:val="es-ES" w:eastAsia="ja-JP"/>
        </w:rPr>
        <w:tab/>
      </w:r>
      <w:r w:rsidRPr="00647DFF">
        <w:rPr>
          <w:lang w:eastAsia="ja-JP"/>
        </w:rPr>
        <w:t>tomar nota del ofrecimiento de Francia de presentar, en la trigésima quinta reunión del TWC, una ponencia sobre la labor en curso con bases de datos que contienen información molecular y de cálculo de distancias moleculares mediante el programa informático GAIA;</w:t>
      </w: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E318A">
      <w:pPr>
        <w:pStyle w:val="DecisionParagraphs"/>
        <w:tabs>
          <w:tab w:val="clear" w:pos="5387"/>
          <w:tab w:val="left" w:pos="5103"/>
          <w:tab w:val="left" w:pos="5670"/>
        </w:tabs>
        <w:ind w:left="4536" w:firstLine="567"/>
        <w:rPr>
          <w:lang w:val="es-ES" w:eastAsia="ja-JP"/>
        </w:rPr>
      </w:pPr>
      <w:r w:rsidRPr="000B1676">
        <w:rPr>
          <w:lang w:val="es-ES" w:eastAsia="ja-JP"/>
        </w:rPr>
        <w:t>k)</w:t>
      </w:r>
      <w:r w:rsidRPr="000B1676">
        <w:rPr>
          <w:lang w:val="es-ES" w:eastAsia="ja-JP"/>
        </w:rPr>
        <w:tab/>
      </w:r>
      <w:r w:rsidRPr="00647DFF">
        <w:rPr>
          <w:lang w:eastAsia="ja-JP"/>
        </w:rPr>
        <w:t>tomar nota de que el TWC convino en que los programas informáticos y las bases de datos, así como los métodos estadísticos asociados, son elementos fundamentales del examen DHE, de una importancia cada vez mayor para la protección de las obtenciones vegetales, y en que su Presidente debe informar al TC sobre estos elementos concretos de la labor de dicho Grupo de Trabajo Técnico;</w:t>
      </w: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E318A">
      <w:pPr>
        <w:pStyle w:val="DecisionParagraphs"/>
        <w:tabs>
          <w:tab w:val="clear" w:pos="5387"/>
          <w:tab w:val="left" w:pos="5103"/>
          <w:tab w:val="left" w:pos="5670"/>
        </w:tabs>
        <w:ind w:left="4536" w:firstLine="567"/>
        <w:rPr>
          <w:lang w:val="es-ES" w:eastAsia="ja-JP"/>
        </w:rPr>
      </w:pPr>
      <w:r w:rsidRPr="000B1676">
        <w:rPr>
          <w:lang w:val="es-ES" w:eastAsia="ja-JP"/>
        </w:rPr>
        <w:t>l)</w:t>
      </w:r>
      <w:r w:rsidRPr="000B1676">
        <w:rPr>
          <w:lang w:val="es-ES" w:eastAsia="ja-JP"/>
        </w:rPr>
        <w:tab/>
      </w:r>
      <w:r w:rsidRPr="00647DFF">
        <w:rPr>
          <w:lang w:eastAsia="ja-JP"/>
        </w:rPr>
        <w:t>tomar nota de que el 8 de junio de 2016 tuvo lugar en París (Francia) un Taller conjunto entre la OCDE, la UPOV, la ISTA y la AOSA sobre técnicas bioquímicas y moleculares, y de que los Sistemas de semillas de la OCDE, en su reunión anual celebrada en París los días 9 y 10 de junio de 2016, aprobaron las recomendaciones formuladas en dicho taller conjunto, que se reproducen en el párrafo </w:t>
      </w:r>
      <w:r>
        <w:rPr>
          <w:lang w:eastAsia="ja-JP"/>
        </w:rPr>
        <w:t>25</w:t>
      </w:r>
      <w:r w:rsidRPr="00647DFF">
        <w:rPr>
          <w:lang w:eastAsia="ja-JP"/>
        </w:rPr>
        <w:t xml:space="preserve"> del presente documento;</w:t>
      </w:r>
      <w:r w:rsidRPr="000B1676">
        <w:rPr>
          <w:lang w:val="es-ES" w:eastAsia="ja-JP"/>
        </w:rPr>
        <w:t xml:space="preserve">  </w:t>
      </w:r>
      <w:r w:rsidRPr="00647DFF">
        <w:rPr>
          <w:lang w:eastAsia="ja-JP"/>
        </w:rPr>
        <w:t>y</w:t>
      </w: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E318A">
      <w:pPr>
        <w:pStyle w:val="DecisionParagraphs"/>
        <w:tabs>
          <w:tab w:val="clear" w:pos="5387"/>
          <w:tab w:val="left" w:pos="5103"/>
          <w:tab w:val="left" w:pos="5670"/>
        </w:tabs>
        <w:ind w:left="4536" w:firstLine="567"/>
        <w:rPr>
          <w:lang w:val="es-ES" w:eastAsia="ja-JP"/>
        </w:rPr>
      </w:pPr>
      <w:r w:rsidRPr="000B1676">
        <w:rPr>
          <w:lang w:val="es-ES" w:eastAsia="ja-JP"/>
        </w:rPr>
        <w:t>m)</w:t>
      </w:r>
      <w:r w:rsidRPr="000B1676">
        <w:rPr>
          <w:lang w:val="es-ES" w:eastAsia="ja-JP"/>
        </w:rPr>
        <w:tab/>
      </w:r>
      <w:r w:rsidRPr="00647DFF">
        <w:rPr>
          <w:lang w:eastAsia="ja-JP"/>
        </w:rPr>
        <w:t>tomar nota de que el Consejo, en su quincuagésima sesión, aprobó la pregunta y la respuesta relativas a la información sobre la situación en la UPOV en lo que respecta al uso de técnicas moleculares, para un público más amplio, que incluya al público en general.</w:t>
      </w: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E318A">
      <w:pPr>
        <w:pStyle w:val="DecisionParagraphs"/>
        <w:tabs>
          <w:tab w:val="clear" w:pos="5387"/>
          <w:tab w:val="left" w:pos="5103"/>
          <w:tab w:val="left" w:pos="5670"/>
        </w:tabs>
        <w:ind w:left="4536" w:firstLine="567"/>
        <w:rPr>
          <w:lang w:val="es-ES" w:eastAsia="ja-JP"/>
        </w:rPr>
      </w:pPr>
    </w:p>
    <w:p w:rsidR="00EB2111" w:rsidRPr="000B1676" w:rsidRDefault="00EB2111" w:rsidP="00FE318A">
      <w:pPr>
        <w:pStyle w:val="DecisionParagraphs"/>
        <w:tabs>
          <w:tab w:val="clear" w:pos="5387"/>
          <w:tab w:val="left" w:pos="5103"/>
          <w:tab w:val="left" w:pos="5670"/>
        </w:tabs>
        <w:ind w:left="4536" w:firstLine="567"/>
        <w:jc w:val="right"/>
        <w:rPr>
          <w:lang w:val="es-ES"/>
        </w:rPr>
      </w:pPr>
      <w:r w:rsidRPr="00647DFF">
        <w:rPr>
          <w:i w:val="0"/>
          <w:lang w:eastAsia="ja-JP"/>
        </w:rPr>
        <w:t>[Sigue el Anexo]</w:t>
      </w:r>
    </w:p>
    <w:p w:rsidR="00EB2111" w:rsidRPr="000B1676" w:rsidRDefault="00EB2111" w:rsidP="00FE318A">
      <w:pPr>
        <w:pStyle w:val="Header"/>
        <w:jc w:val="left"/>
        <w:rPr>
          <w:lang w:val="es-ES"/>
        </w:rPr>
        <w:sectPr w:rsidR="00EB2111" w:rsidRPr="000B1676" w:rsidSect="00E71894">
          <w:headerReference w:type="default" r:id="rId10"/>
          <w:pgSz w:w="11907" w:h="16840" w:code="9"/>
          <w:pgMar w:top="510" w:right="1134" w:bottom="1134" w:left="1134" w:header="510" w:footer="680" w:gutter="0"/>
          <w:cols w:space="720"/>
          <w:titlePg/>
        </w:sectPr>
      </w:pPr>
    </w:p>
    <w:p w:rsidR="00EB2111" w:rsidRPr="000B1676" w:rsidRDefault="00EB2111" w:rsidP="00FE318A">
      <w:pPr>
        <w:pStyle w:val="Header"/>
        <w:rPr>
          <w:rStyle w:val="PageNumber"/>
          <w:lang w:val="es-ES" w:eastAsia="ja-JP"/>
        </w:rPr>
      </w:pPr>
      <w:r w:rsidRPr="000B1676">
        <w:rPr>
          <w:rStyle w:val="PageNumber"/>
          <w:lang w:val="es-ES"/>
        </w:rPr>
        <w:lastRenderedPageBreak/>
        <w:t>TC/5</w:t>
      </w:r>
      <w:r w:rsidRPr="000B1676">
        <w:rPr>
          <w:rStyle w:val="PageNumber"/>
          <w:lang w:val="es-ES" w:eastAsia="ja-JP"/>
        </w:rPr>
        <w:t>3</w:t>
      </w:r>
      <w:r w:rsidRPr="000B1676">
        <w:rPr>
          <w:rStyle w:val="PageNumber"/>
          <w:lang w:val="es-ES"/>
        </w:rPr>
        <w:t>/</w:t>
      </w:r>
      <w:r w:rsidRPr="000B1676">
        <w:rPr>
          <w:rStyle w:val="PageNumber"/>
          <w:lang w:val="es-ES" w:eastAsia="ja-JP"/>
        </w:rPr>
        <w:t>11</w:t>
      </w:r>
    </w:p>
    <w:p w:rsidR="00EB2111" w:rsidRPr="000B1676" w:rsidRDefault="00EB2111" w:rsidP="00FE318A">
      <w:pPr>
        <w:pStyle w:val="Header"/>
        <w:rPr>
          <w:lang w:val="es-ES"/>
        </w:rPr>
      </w:pPr>
    </w:p>
    <w:p w:rsidR="00EB2111" w:rsidRPr="000B1676" w:rsidRDefault="00EB2111" w:rsidP="00FE318A">
      <w:pPr>
        <w:pStyle w:val="Header"/>
        <w:rPr>
          <w:lang w:val="es-ES"/>
        </w:rPr>
      </w:pPr>
      <w:r w:rsidRPr="00647DFF">
        <w:t>ANEXO</w:t>
      </w:r>
    </w:p>
    <w:p w:rsidR="00EB2111" w:rsidRPr="000B1676" w:rsidRDefault="00EB2111" w:rsidP="00FE318A">
      <w:pPr>
        <w:pStyle w:val="Header"/>
        <w:jc w:val="left"/>
        <w:rPr>
          <w:lang w:val="es-ES"/>
        </w:rPr>
      </w:pPr>
    </w:p>
    <w:p w:rsidR="00EB2111" w:rsidRPr="000B1676" w:rsidRDefault="00EB2111" w:rsidP="00FE318A">
      <w:pPr>
        <w:pStyle w:val="Header"/>
        <w:jc w:val="left"/>
        <w:rPr>
          <w:lang w:val="es-ES"/>
        </w:rPr>
      </w:pPr>
    </w:p>
    <w:p w:rsidR="00EB2111" w:rsidRPr="00647DFF" w:rsidRDefault="00EB2111" w:rsidP="008E7EB3">
      <w:pPr>
        <w:spacing w:before="60" w:after="120"/>
        <w:jc w:val="center"/>
      </w:pPr>
      <w:r w:rsidRPr="00647DFF">
        <w:t xml:space="preserve">FUNCIÓN DEL GRUPO DE TRABAJO SOBRE TÉCNICAS BIOQUÍMICAS Y MOLECULARES, </w:t>
      </w:r>
      <w:r w:rsidRPr="00647DFF">
        <w:br/>
        <w:t>Y PERFILES DE ADN EN PARTICULAR (BMT)</w:t>
      </w:r>
    </w:p>
    <w:p w:rsidR="00EB2111" w:rsidRPr="00647DFF" w:rsidRDefault="00EB2111" w:rsidP="008E7EB3">
      <w:pPr>
        <w:spacing w:before="60" w:after="120"/>
        <w:jc w:val="center"/>
        <w:rPr>
          <w:i/>
          <w:iCs/>
        </w:rPr>
      </w:pPr>
      <w:r w:rsidRPr="00647DFF">
        <w:rPr>
          <w:i/>
          <w:iCs/>
        </w:rPr>
        <w:t xml:space="preserve">(Tal como acordó el Comité Técnico en su trigésima octava sesión, celebrada en Ginebra </w:t>
      </w:r>
      <w:r w:rsidRPr="00647DFF">
        <w:rPr>
          <w:i/>
          <w:iCs/>
        </w:rPr>
        <w:br/>
        <w:t>del 15 al 17 de abril de 2002 (véase el documento TC/38/16, párrafo 204))</w:t>
      </w:r>
    </w:p>
    <w:p w:rsidR="00EB2111" w:rsidRPr="00647DFF" w:rsidRDefault="00EB2111" w:rsidP="008E7EB3">
      <w:pPr>
        <w:spacing w:before="60" w:after="60"/>
      </w:pPr>
    </w:p>
    <w:p w:rsidR="00EB2111" w:rsidRPr="00647DFF" w:rsidRDefault="00EB2111" w:rsidP="008E7EB3">
      <w:pPr>
        <w:spacing w:before="60" w:after="60"/>
      </w:pPr>
      <w:r w:rsidRPr="00647DFF">
        <w:t xml:space="preserve">El BMT es un grupo compuesto por expertos en el examen DHE, especialistas en técnicas bioquímicas y moleculares y </w:t>
      </w:r>
      <w:proofErr w:type="gramStart"/>
      <w:r w:rsidRPr="00647DFF">
        <w:t>obtentores</w:t>
      </w:r>
      <w:proofErr w:type="gramEnd"/>
      <w:r w:rsidRPr="00647DFF">
        <w:t xml:space="preserve"> cuya función consiste en:</w:t>
      </w:r>
    </w:p>
    <w:p w:rsidR="00EB2111" w:rsidRPr="00647DFF" w:rsidRDefault="00EB2111" w:rsidP="008E7EB3">
      <w:pPr>
        <w:spacing w:before="60" w:after="60"/>
      </w:pPr>
    </w:p>
    <w:p w:rsidR="00EB2111" w:rsidRPr="00647DFF" w:rsidRDefault="00EB2111" w:rsidP="008E7EB3">
      <w:pPr>
        <w:pStyle w:val="ListParagraph"/>
        <w:numPr>
          <w:ilvl w:val="0"/>
          <w:numId w:val="4"/>
        </w:numPr>
        <w:tabs>
          <w:tab w:val="left" w:pos="1134"/>
        </w:tabs>
        <w:spacing w:before="60" w:after="60"/>
        <w:ind w:left="1134" w:hanging="850"/>
      </w:pPr>
      <w:r w:rsidRPr="00647DFF">
        <w:t>examinar la evolución general de las técnicas bioquímicas y moleculares;</w:t>
      </w:r>
    </w:p>
    <w:p w:rsidR="00EB2111" w:rsidRPr="00647DFF" w:rsidRDefault="00EB2111" w:rsidP="008E7EB3">
      <w:pPr>
        <w:pStyle w:val="ListParagraph"/>
        <w:tabs>
          <w:tab w:val="left" w:pos="1134"/>
        </w:tabs>
        <w:spacing w:before="60" w:after="60"/>
        <w:ind w:left="1134" w:hanging="850"/>
      </w:pPr>
    </w:p>
    <w:p w:rsidR="00EB2111" w:rsidRPr="00647DFF" w:rsidRDefault="00EB2111" w:rsidP="008E7EB3">
      <w:pPr>
        <w:pStyle w:val="ListParagraph"/>
        <w:numPr>
          <w:ilvl w:val="0"/>
          <w:numId w:val="4"/>
        </w:numPr>
        <w:tabs>
          <w:tab w:val="left" w:pos="1134"/>
        </w:tabs>
        <w:spacing w:before="60" w:after="60"/>
        <w:ind w:left="1134" w:hanging="850"/>
      </w:pPr>
      <w:r w:rsidRPr="00647DFF">
        <w:t xml:space="preserve">informar acerca de las aplicaciones pertinentes de las técnicas bioquímicas y moleculares al fitomejoramiento; </w:t>
      </w:r>
    </w:p>
    <w:p w:rsidR="00EB2111" w:rsidRPr="00647DFF" w:rsidRDefault="00EB2111" w:rsidP="008E7EB3">
      <w:pPr>
        <w:pStyle w:val="ListParagraph"/>
        <w:tabs>
          <w:tab w:val="left" w:pos="1134"/>
        </w:tabs>
        <w:ind w:left="1134" w:hanging="850"/>
      </w:pPr>
    </w:p>
    <w:p w:rsidR="00EB2111" w:rsidRPr="00647DFF" w:rsidRDefault="00EB2111" w:rsidP="008E7EB3">
      <w:pPr>
        <w:pStyle w:val="ListParagraph"/>
        <w:numPr>
          <w:ilvl w:val="0"/>
          <w:numId w:val="4"/>
        </w:numPr>
        <w:tabs>
          <w:tab w:val="left" w:pos="1134"/>
        </w:tabs>
        <w:spacing w:before="60" w:after="60"/>
        <w:ind w:left="1134" w:hanging="850"/>
      </w:pPr>
      <w:r w:rsidRPr="00647DFF">
        <w:t>estudiar la posible aplicación de técnicas bioquímicas y moleculares al examen DHE e informar sobre sus conclusiones al Comité Técnico;</w:t>
      </w:r>
    </w:p>
    <w:p w:rsidR="00EB2111" w:rsidRPr="00647DFF" w:rsidRDefault="00EB2111" w:rsidP="008E7EB3">
      <w:pPr>
        <w:pStyle w:val="ListParagraph"/>
        <w:tabs>
          <w:tab w:val="left" w:pos="1134"/>
        </w:tabs>
        <w:spacing w:before="60" w:after="60"/>
        <w:ind w:left="1134" w:hanging="850"/>
      </w:pPr>
    </w:p>
    <w:p w:rsidR="00EB2111" w:rsidRPr="00647DFF" w:rsidRDefault="00EB2111" w:rsidP="008E7EB3">
      <w:pPr>
        <w:pStyle w:val="ListParagraph"/>
        <w:numPr>
          <w:ilvl w:val="0"/>
          <w:numId w:val="4"/>
        </w:numPr>
        <w:tabs>
          <w:tab w:val="left" w:pos="1134"/>
        </w:tabs>
        <w:spacing w:before="60" w:after="60"/>
        <w:ind w:left="1134" w:hanging="850"/>
      </w:pPr>
      <w:r w:rsidRPr="00647DFF">
        <w:t xml:space="preserve">si procede, elaborar directrices para metodologías bioquímicas y moleculares y su armonización y, en particular, contribuir a la elaboración del documento TGP/15, “Nuevos tipos de caracteres.”  Estas directrices se elaborarán en colaboración con los Grupos de Trabajo Técnico; </w:t>
      </w:r>
    </w:p>
    <w:p w:rsidR="00EB2111" w:rsidRPr="00647DFF" w:rsidRDefault="00EB2111" w:rsidP="008E7EB3">
      <w:pPr>
        <w:tabs>
          <w:tab w:val="left" w:pos="1134"/>
        </w:tabs>
        <w:spacing w:before="60" w:after="60"/>
        <w:ind w:left="1134" w:hanging="850"/>
      </w:pPr>
    </w:p>
    <w:p w:rsidR="00EB2111" w:rsidRPr="00647DFF" w:rsidRDefault="00EB2111" w:rsidP="008E7EB3">
      <w:pPr>
        <w:pStyle w:val="ListParagraph"/>
        <w:numPr>
          <w:ilvl w:val="0"/>
          <w:numId w:val="4"/>
        </w:numPr>
        <w:tabs>
          <w:tab w:val="left" w:pos="1134"/>
        </w:tabs>
        <w:spacing w:before="60" w:after="60"/>
        <w:ind w:left="1134" w:hanging="850"/>
      </w:pPr>
      <w:r w:rsidRPr="00647DFF">
        <w:t>examinar las iniciativas de los TWP sobre el establecimiento de subgrupos sobre cultivos específicos, tomando en consideración la información disponible y la necesidad de métodos bioquímicos y moleculares;</w:t>
      </w:r>
    </w:p>
    <w:p w:rsidR="00EB2111" w:rsidRPr="00647DFF" w:rsidRDefault="00EB2111" w:rsidP="008E7EB3">
      <w:pPr>
        <w:pStyle w:val="ListParagraph"/>
        <w:tabs>
          <w:tab w:val="left" w:pos="1134"/>
        </w:tabs>
        <w:ind w:left="1134" w:hanging="850"/>
      </w:pPr>
    </w:p>
    <w:p w:rsidR="00EB2111" w:rsidRPr="00647DFF" w:rsidRDefault="00EB2111" w:rsidP="008E7EB3">
      <w:pPr>
        <w:pStyle w:val="ListParagraph"/>
        <w:numPr>
          <w:ilvl w:val="0"/>
          <w:numId w:val="4"/>
        </w:numPr>
        <w:tabs>
          <w:tab w:val="left" w:pos="1134"/>
        </w:tabs>
        <w:spacing w:before="60" w:after="60"/>
        <w:ind w:left="1134" w:hanging="850"/>
      </w:pPr>
      <w:r w:rsidRPr="00647DFF">
        <w:t>elaborar directrices en relación con la gestión y la armonización de bases de datos sobre información bioquímica y molecular, en colaboración con el TWC;</w:t>
      </w:r>
    </w:p>
    <w:p w:rsidR="00EB2111" w:rsidRPr="00647DFF" w:rsidRDefault="00EB2111" w:rsidP="008E7EB3">
      <w:pPr>
        <w:pStyle w:val="ListParagraph"/>
        <w:tabs>
          <w:tab w:val="left" w:pos="1134"/>
        </w:tabs>
        <w:spacing w:before="60" w:after="60"/>
        <w:ind w:left="1134" w:hanging="850"/>
      </w:pPr>
    </w:p>
    <w:p w:rsidR="00EB2111" w:rsidRPr="00647DFF" w:rsidRDefault="00EB2111" w:rsidP="008E7EB3">
      <w:pPr>
        <w:pStyle w:val="ListParagraph"/>
        <w:numPr>
          <w:ilvl w:val="0"/>
          <w:numId w:val="4"/>
        </w:numPr>
        <w:tabs>
          <w:tab w:val="left" w:pos="1134"/>
        </w:tabs>
        <w:spacing w:before="60" w:after="60"/>
        <w:ind w:left="1134" w:hanging="850"/>
      </w:pPr>
      <w:r w:rsidRPr="00647DFF">
        <w:t>recibir informes de los Subgrupos sobre Cultivos y del Grupo de Consulta del BMT;</w:t>
      </w:r>
    </w:p>
    <w:p w:rsidR="00EB2111" w:rsidRPr="00647DFF" w:rsidRDefault="00EB2111" w:rsidP="008E7EB3">
      <w:pPr>
        <w:tabs>
          <w:tab w:val="left" w:pos="1134"/>
        </w:tabs>
        <w:spacing w:before="60" w:after="60"/>
        <w:ind w:left="1134" w:hanging="850"/>
      </w:pPr>
    </w:p>
    <w:p w:rsidR="00EB2111" w:rsidRPr="00647DFF" w:rsidRDefault="00EB2111" w:rsidP="008E7EB3">
      <w:pPr>
        <w:pStyle w:val="ListParagraph"/>
        <w:numPr>
          <w:ilvl w:val="0"/>
          <w:numId w:val="4"/>
        </w:numPr>
        <w:tabs>
          <w:tab w:val="left" w:pos="1134"/>
        </w:tabs>
        <w:spacing w:before="60" w:after="60"/>
        <w:ind w:left="1134" w:hanging="850"/>
      </w:pPr>
      <w:r w:rsidRPr="00647DFF">
        <w:t>constituir un foro para debatir la utilización de técnicas bioquímicas y moleculares en el examen de las variedades esencialmente derivadas y la identificación de variedades.</w:t>
      </w:r>
    </w:p>
    <w:p w:rsidR="00EB2111" w:rsidRPr="00647DFF" w:rsidRDefault="00EB2111" w:rsidP="008E7EB3"/>
    <w:p w:rsidR="00EB2111" w:rsidRPr="00647DFF" w:rsidRDefault="00EB2111" w:rsidP="008E7EB3">
      <w:pPr>
        <w:ind w:right="-1"/>
      </w:pPr>
    </w:p>
    <w:p w:rsidR="00EB2111" w:rsidRPr="00647DFF" w:rsidRDefault="00EB2111" w:rsidP="008E7EB3">
      <w:pPr>
        <w:ind w:right="369"/>
        <w:jc w:val="left"/>
      </w:pPr>
    </w:p>
    <w:p w:rsidR="00EB2111" w:rsidRPr="00647DFF" w:rsidRDefault="00EB2111" w:rsidP="008E7EB3">
      <w:pPr>
        <w:jc w:val="right"/>
        <w:rPr>
          <w:snapToGrid w:val="0"/>
        </w:rPr>
      </w:pPr>
      <w:r w:rsidRPr="00647DFF">
        <w:rPr>
          <w:snapToGrid w:val="0"/>
        </w:rPr>
        <w:t>[Fin del Anexo y del documento]</w:t>
      </w:r>
    </w:p>
    <w:p w:rsidR="00EB2111" w:rsidRPr="000B1676" w:rsidRDefault="00EB2111" w:rsidP="00FE318A">
      <w:pPr>
        <w:rPr>
          <w:lang w:val="es-ES"/>
        </w:rPr>
      </w:pPr>
    </w:p>
    <w:sectPr w:rsidR="00EB2111" w:rsidRPr="000B1676" w:rsidSect="00906DDC">
      <w:headerReference w:type="default" r:id="rId11"/>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111" w:rsidRDefault="00EB2111" w:rsidP="006655D3">
      <w:r>
        <w:separator/>
      </w:r>
    </w:p>
    <w:p w:rsidR="00EB2111" w:rsidRDefault="00EB2111" w:rsidP="006655D3"/>
    <w:p w:rsidR="00EB2111" w:rsidRDefault="00EB2111" w:rsidP="006655D3"/>
  </w:endnote>
  <w:endnote w:type="continuationSeparator" w:id="0">
    <w:p w:rsidR="00EB2111" w:rsidRDefault="00EB2111" w:rsidP="006655D3">
      <w:r>
        <w:separator/>
      </w:r>
    </w:p>
    <w:p w:rsidR="00EB2111" w:rsidRPr="00294751" w:rsidRDefault="00EB2111">
      <w:pPr>
        <w:pStyle w:val="Footer"/>
        <w:spacing w:after="60"/>
        <w:rPr>
          <w:sz w:val="18"/>
          <w:szCs w:val="18"/>
          <w:lang w:val="fr-FR"/>
        </w:rPr>
      </w:pPr>
      <w:r w:rsidRPr="00294751">
        <w:rPr>
          <w:sz w:val="18"/>
          <w:szCs w:val="18"/>
          <w:lang w:val="fr-FR"/>
        </w:rPr>
        <w:t>[Suite de la note de la page précédente]</w:t>
      </w:r>
    </w:p>
    <w:p w:rsidR="00EB2111" w:rsidRPr="00294751" w:rsidRDefault="00EB2111" w:rsidP="006655D3">
      <w:pPr>
        <w:rPr>
          <w:lang w:val="fr-FR"/>
        </w:rPr>
      </w:pPr>
    </w:p>
    <w:p w:rsidR="00EB2111" w:rsidRPr="00294751" w:rsidRDefault="00EB2111" w:rsidP="006655D3">
      <w:pPr>
        <w:rPr>
          <w:lang w:val="fr-FR"/>
        </w:rPr>
      </w:pPr>
    </w:p>
  </w:endnote>
  <w:endnote w:type="continuationNotice" w:id="1">
    <w:p w:rsidR="00EB2111" w:rsidRPr="00294751" w:rsidRDefault="00EB2111" w:rsidP="006655D3">
      <w:pPr>
        <w:rPr>
          <w:lang w:val="fr-FR"/>
        </w:rPr>
      </w:pPr>
      <w:r w:rsidRPr="00294751">
        <w:rPr>
          <w:lang w:val="fr-FR"/>
        </w:rPr>
        <w:t>[Suite de la note page suivante]</w:t>
      </w:r>
    </w:p>
    <w:p w:rsidR="00EB2111" w:rsidRPr="00294751" w:rsidRDefault="00EB2111" w:rsidP="006655D3">
      <w:pPr>
        <w:rPr>
          <w:lang w:val="fr-FR"/>
        </w:rPr>
      </w:pPr>
    </w:p>
    <w:p w:rsidR="00EB2111" w:rsidRPr="00294751" w:rsidRDefault="00EB211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111" w:rsidRDefault="00EB2111" w:rsidP="006655D3">
      <w:r>
        <w:separator/>
      </w:r>
    </w:p>
  </w:footnote>
  <w:footnote w:type="continuationSeparator" w:id="0">
    <w:p w:rsidR="00EB2111" w:rsidRDefault="00EB2111" w:rsidP="006655D3">
      <w:r>
        <w:separator/>
      </w:r>
    </w:p>
  </w:footnote>
  <w:footnote w:type="continuationNotice" w:id="1">
    <w:p w:rsidR="00EB2111" w:rsidRPr="00AB530F" w:rsidRDefault="00EB2111" w:rsidP="00AB530F">
      <w:pPr>
        <w:pStyle w:val="Footer"/>
      </w:pPr>
    </w:p>
  </w:footnote>
  <w:footnote w:id="2">
    <w:p w:rsidR="00EB2111" w:rsidRPr="000B1676" w:rsidRDefault="00EB2111" w:rsidP="00703FDB">
      <w:pPr>
        <w:pStyle w:val="FootnoteText"/>
        <w:rPr>
          <w:lang w:val="es-ES"/>
        </w:rPr>
      </w:pPr>
      <w:r>
        <w:rPr>
          <w:rStyle w:val="FootnoteReference"/>
        </w:rPr>
        <w:footnoteRef/>
      </w:r>
      <w:r w:rsidRPr="000B1676">
        <w:rPr>
          <w:lang w:val="es-ES"/>
        </w:rPr>
        <w:t xml:space="preserve"> </w:t>
      </w:r>
      <w:r w:rsidRPr="000B1676">
        <w:rPr>
          <w:lang w:val="es-ES"/>
        </w:rPr>
        <w:tab/>
      </w:r>
      <w:r w:rsidRPr="00703FDB">
        <w:t>En relación con el ofrecimiento de los Países Bajos de organizar</w:t>
      </w:r>
      <w:r>
        <w:t xml:space="preserve">, </w:t>
      </w:r>
      <w:r w:rsidRPr="00703FDB">
        <w:t>con el apoyo de la UPOV</w:t>
      </w:r>
      <w:r>
        <w:t xml:space="preserve">, </w:t>
      </w:r>
      <w:r w:rsidRPr="00703FDB">
        <w:t>la OCDE y la ISTA</w:t>
      </w:r>
      <w:r>
        <w:t xml:space="preserve">, </w:t>
      </w:r>
      <w:r w:rsidRPr="00703FDB">
        <w:t>un taller práctico en 2017 para determinar modos eficientes de aplicación de las técnicas moleculares a los fines de dichas organizaciones (véase el párrafo 15 del presente documento)</w:t>
      </w:r>
      <w:r>
        <w:t xml:space="preserve">, </w:t>
      </w:r>
      <w:r w:rsidRPr="00703FDB">
        <w:t>la Oficina de la Unión ha comunicado que el Naktuinbouw organizará en Roelofarendsveen (Países Bajos)</w:t>
      </w:r>
      <w:r>
        <w:t xml:space="preserve">, </w:t>
      </w:r>
      <w:r w:rsidRPr="00703FDB">
        <w:t>del 8 al 10 de mayo de 2017</w:t>
      </w:r>
      <w:r>
        <w:t xml:space="preserve">, </w:t>
      </w:r>
      <w:r w:rsidRPr="00703FDB">
        <w:t>el taller titulado “Técnicas de ADN e identificación de variedades” (véase la circular E</w:t>
      </w:r>
      <w:r w:rsidRPr="00703FDB">
        <w:noBreakHyphen/>
        <w:t>17/015 de la UPOV</w:t>
      </w:r>
      <w:r>
        <w:t xml:space="preserve">, </w:t>
      </w:r>
      <w:r w:rsidRPr="00703FDB">
        <w:t>de 23 de enero de 2017).</w:t>
      </w:r>
    </w:p>
  </w:footnote>
  <w:footnote w:id="3">
    <w:p w:rsidR="00EB2111" w:rsidRDefault="00EB2111" w:rsidP="00324AD5">
      <w:pPr>
        <w:pStyle w:val="FootnoteText"/>
      </w:pPr>
      <w:r>
        <w:rPr>
          <w:rStyle w:val="FootnoteReference"/>
        </w:rPr>
        <w:footnoteRef/>
      </w:r>
      <w:r>
        <w:t xml:space="preserve"> </w:t>
      </w:r>
      <w:r>
        <w:rPr>
          <w:lang w:eastAsia="ja-JP"/>
        </w:rPr>
        <w:tab/>
      </w:r>
      <w:r w:rsidRPr="00324AD5">
        <w:rPr>
          <w:lang w:eastAsia="ja-JP"/>
        </w:rPr>
        <w:t>“Día del obtentor”.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11" w:rsidRPr="00C5280D" w:rsidRDefault="00EB2111" w:rsidP="00EB048E">
    <w:pPr>
      <w:pStyle w:val="Header"/>
      <w:rPr>
        <w:rStyle w:val="PageNumber"/>
        <w:lang w:val="en-US" w:eastAsia="ja-JP"/>
      </w:rPr>
    </w:pPr>
    <w:r>
      <w:rPr>
        <w:rStyle w:val="PageNumber"/>
        <w:lang w:val="en-US"/>
      </w:rPr>
      <w:t>TC/5</w:t>
    </w:r>
    <w:r>
      <w:rPr>
        <w:rStyle w:val="PageNumber"/>
        <w:lang w:val="en-US" w:eastAsia="ja-JP"/>
      </w:rPr>
      <w:t>3</w:t>
    </w:r>
    <w:r>
      <w:rPr>
        <w:rStyle w:val="PageNumber"/>
        <w:lang w:val="en-US"/>
      </w:rPr>
      <w:t>/</w:t>
    </w:r>
    <w:r>
      <w:rPr>
        <w:rStyle w:val="PageNumber"/>
        <w:lang w:val="en-US" w:eastAsia="ja-JP"/>
      </w:rPr>
      <w:t>11</w:t>
    </w:r>
  </w:p>
  <w:p w:rsidR="00EB2111" w:rsidRPr="00587322" w:rsidRDefault="00EB2111" w:rsidP="00EB048E">
    <w:pPr>
      <w:pStyle w:val="Header"/>
    </w:pPr>
    <w:proofErr w:type="gramStart"/>
    <w:r w:rsidRPr="00587322">
      <w:t>página</w:t>
    </w:r>
    <w:proofErr w:type="gramEnd"/>
    <w:r w:rsidRPr="00587322">
      <w:t xml:space="preserve"> </w:t>
    </w:r>
    <w:r w:rsidRPr="00587322">
      <w:rPr>
        <w:rStyle w:val="PageNumber"/>
      </w:rPr>
      <w:fldChar w:fldCharType="begin"/>
    </w:r>
    <w:r w:rsidRPr="00587322">
      <w:rPr>
        <w:rStyle w:val="PageNumber"/>
      </w:rPr>
      <w:instrText xml:space="preserve"> PAGE </w:instrText>
    </w:r>
    <w:r w:rsidRPr="00587322">
      <w:rPr>
        <w:rStyle w:val="PageNumber"/>
      </w:rPr>
      <w:fldChar w:fldCharType="separate"/>
    </w:r>
    <w:r w:rsidR="007D3454">
      <w:rPr>
        <w:rStyle w:val="PageNumber"/>
        <w:noProof/>
      </w:rPr>
      <w:t>3</w:t>
    </w:r>
    <w:r w:rsidRPr="00587322">
      <w:rPr>
        <w:rStyle w:val="PageNumber"/>
      </w:rPr>
      <w:fldChar w:fldCharType="end"/>
    </w:r>
    <w:bookmarkStart w:id="17" w:name="_Toc410822398"/>
    <w:bookmarkStart w:id="18" w:name="_Toc410822802"/>
  </w:p>
  <w:p w:rsidR="00EB2111" w:rsidRPr="00C5280D" w:rsidRDefault="00EB2111" w:rsidP="006655D3">
    <w:bookmarkStart w:id="19" w:name="_Toc441145847"/>
    <w:bookmarkStart w:id="20" w:name="_Toc374716168"/>
    <w:bookmarkEnd w:id="17"/>
    <w:bookmarkEnd w:id="18"/>
    <w:bookmarkEnd w:id="19"/>
    <w:bookmarkEnd w:id="2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11" w:rsidRPr="00C5280D" w:rsidRDefault="00EB2111" w:rsidP="00EB048E">
    <w:pPr>
      <w:pStyle w:val="Header"/>
      <w:rPr>
        <w:rStyle w:val="PageNumber"/>
        <w:lang w:val="en-US"/>
      </w:rPr>
    </w:pPr>
    <w:r>
      <w:rPr>
        <w:rStyle w:val="PageNumber"/>
        <w:lang w:val="en-US"/>
      </w:rPr>
      <w:t>TC/53/11</w:t>
    </w:r>
  </w:p>
  <w:p w:rsidR="00EB2111" w:rsidRPr="00C5280D" w:rsidRDefault="00EB211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rsidR="00EB2111" w:rsidRPr="00C5280D" w:rsidRDefault="00EB211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2D87"/>
    <w:multiLevelType w:val="hybridMultilevel"/>
    <w:tmpl w:val="A78C16D4"/>
    <w:lvl w:ilvl="0" w:tplc="BDFE3134">
      <w:start w:val="1"/>
      <w:numFmt w:val="lowerRoman"/>
      <w:lvlText w:val="%1)"/>
      <w:lvlJc w:val="left"/>
      <w:pPr>
        <w:tabs>
          <w:tab w:val="num" w:pos="237"/>
        </w:tabs>
        <w:ind w:left="1647" w:hanging="72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
    <w:nsid w:val="29DA435A"/>
    <w:multiLevelType w:val="hybridMultilevel"/>
    <w:tmpl w:val="B7942398"/>
    <w:lvl w:ilvl="0" w:tplc="04090001">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2">
    <w:nsid w:val="2CD23DA3"/>
    <w:multiLevelType w:val="hybridMultilevel"/>
    <w:tmpl w:val="B33483A2"/>
    <w:lvl w:ilvl="0" w:tplc="8210023A">
      <w:start w:val="1"/>
      <w:numFmt w:val="lowerRoman"/>
      <w:lvlText w:val="(%1)"/>
      <w:lvlJc w:val="left"/>
      <w:pPr>
        <w:ind w:left="1410" w:hanging="720"/>
      </w:pPr>
      <w:rPr>
        <w:rFonts w:hint="default"/>
      </w:r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3">
    <w:nsid w:val="6F9025C4"/>
    <w:multiLevelType w:val="multilevel"/>
    <w:tmpl w:val="5B880656"/>
    <w:lvl w:ilvl="0">
      <w:start w:val="1"/>
      <w:numFmt w:val="lowerLetter"/>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nsid w:val="7ED03910"/>
    <w:multiLevelType w:val="hybridMultilevel"/>
    <w:tmpl w:val="23CC8CEE"/>
    <w:lvl w:ilvl="0" w:tplc="8B3AD6C4">
      <w:start w:val="1"/>
      <w:numFmt w:val="lowerLetter"/>
      <w:lvlText w:val="%1)"/>
      <w:lvlJc w:val="left"/>
      <w:pPr>
        <w:tabs>
          <w:tab w:val="num" w:pos="0"/>
        </w:tabs>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1"/>
  </w:docVars>
  <w:rsids>
    <w:rsidRoot w:val="00486612"/>
    <w:rsid w:val="00006004"/>
    <w:rsid w:val="00010CF3"/>
    <w:rsid w:val="00011E27"/>
    <w:rsid w:val="000148BC"/>
    <w:rsid w:val="00017456"/>
    <w:rsid w:val="00024AB8"/>
    <w:rsid w:val="00026CEF"/>
    <w:rsid w:val="00030854"/>
    <w:rsid w:val="00036028"/>
    <w:rsid w:val="00041D2D"/>
    <w:rsid w:val="00044642"/>
    <w:rsid w:val="000446B9"/>
    <w:rsid w:val="000475EC"/>
    <w:rsid w:val="00047E21"/>
    <w:rsid w:val="00050E16"/>
    <w:rsid w:val="000536A2"/>
    <w:rsid w:val="00062898"/>
    <w:rsid w:val="00065B1D"/>
    <w:rsid w:val="000845EF"/>
    <w:rsid w:val="00085505"/>
    <w:rsid w:val="00086129"/>
    <w:rsid w:val="000A128F"/>
    <w:rsid w:val="000B1676"/>
    <w:rsid w:val="000B5E93"/>
    <w:rsid w:val="000C4E25"/>
    <w:rsid w:val="000C7021"/>
    <w:rsid w:val="000D6BBC"/>
    <w:rsid w:val="000D7780"/>
    <w:rsid w:val="000E595D"/>
    <w:rsid w:val="000E636A"/>
    <w:rsid w:val="000F2F11"/>
    <w:rsid w:val="00105929"/>
    <w:rsid w:val="00110C36"/>
    <w:rsid w:val="001131D5"/>
    <w:rsid w:val="00115ED5"/>
    <w:rsid w:val="00136AD0"/>
    <w:rsid w:val="00141DB8"/>
    <w:rsid w:val="001558EB"/>
    <w:rsid w:val="00160F18"/>
    <w:rsid w:val="00164539"/>
    <w:rsid w:val="00164CBF"/>
    <w:rsid w:val="00172084"/>
    <w:rsid w:val="0017474A"/>
    <w:rsid w:val="001758C6"/>
    <w:rsid w:val="00175C34"/>
    <w:rsid w:val="00182B6A"/>
    <w:rsid w:val="00182B99"/>
    <w:rsid w:val="00196D1C"/>
    <w:rsid w:val="001B4000"/>
    <w:rsid w:val="001B519B"/>
    <w:rsid w:val="001F7F7F"/>
    <w:rsid w:val="0021332C"/>
    <w:rsid w:val="00213982"/>
    <w:rsid w:val="00217FD9"/>
    <w:rsid w:val="00221383"/>
    <w:rsid w:val="002273B2"/>
    <w:rsid w:val="0023099D"/>
    <w:rsid w:val="0024416D"/>
    <w:rsid w:val="00252F58"/>
    <w:rsid w:val="00265C66"/>
    <w:rsid w:val="00271911"/>
    <w:rsid w:val="0027618D"/>
    <w:rsid w:val="002800A0"/>
    <w:rsid w:val="002801B3"/>
    <w:rsid w:val="00281060"/>
    <w:rsid w:val="00291817"/>
    <w:rsid w:val="002940E8"/>
    <w:rsid w:val="00294751"/>
    <w:rsid w:val="002A61FE"/>
    <w:rsid w:val="002A6E50"/>
    <w:rsid w:val="002B4298"/>
    <w:rsid w:val="002B5B89"/>
    <w:rsid w:val="002C175F"/>
    <w:rsid w:val="002C23B7"/>
    <w:rsid w:val="002C256A"/>
    <w:rsid w:val="002C537B"/>
    <w:rsid w:val="002C6AC7"/>
    <w:rsid w:val="002D4200"/>
    <w:rsid w:val="002D7F66"/>
    <w:rsid w:val="002E480E"/>
    <w:rsid w:val="00303077"/>
    <w:rsid w:val="00304827"/>
    <w:rsid w:val="00305A7F"/>
    <w:rsid w:val="003152FE"/>
    <w:rsid w:val="00324AD5"/>
    <w:rsid w:val="00327436"/>
    <w:rsid w:val="00335806"/>
    <w:rsid w:val="00337523"/>
    <w:rsid w:val="00340C7C"/>
    <w:rsid w:val="00344BD6"/>
    <w:rsid w:val="0035528D"/>
    <w:rsid w:val="00361821"/>
    <w:rsid w:val="00361E9E"/>
    <w:rsid w:val="00365DC1"/>
    <w:rsid w:val="003726FC"/>
    <w:rsid w:val="00374ECC"/>
    <w:rsid w:val="003757CE"/>
    <w:rsid w:val="00375910"/>
    <w:rsid w:val="003B02E6"/>
    <w:rsid w:val="003B2A90"/>
    <w:rsid w:val="003B5400"/>
    <w:rsid w:val="003C7FBE"/>
    <w:rsid w:val="003D227C"/>
    <w:rsid w:val="003D2B4D"/>
    <w:rsid w:val="003D4382"/>
    <w:rsid w:val="003E6D92"/>
    <w:rsid w:val="00417A9C"/>
    <w:rsid w:val="00442879"/>
    <w:rsid w:val="00442FF0"/>
    <w:rsid w:val="00444A88"/>
    <w:rsid w:val="00463966"/>
    <w:rsid w:val="00474DA4"/>
    <w:rsid w:val="00476B4D"/>
    <w:rsid w:val="004805FA"/>
    <w:rsid w:val="00480793"/>
    <w:rsid w:val="00486612"/>
    <w:rsid w:val="004935D2"/>
    <w:rsid w:val="004B1215"/>
    <w:rsid w:val="004B2B8C"/>
    <w:rsid w:val="004D047D"/>
    <w:rsid w:val="004D330A"/>
    <w:rsid w:val="004E4E6B"/>
    <w:rsid w:val="004F1E9E"/>
    <w:rsid w:val="004F305A"/>
    <w:rsid w:val="004F4F87"/>
    <w:rsid w:val="00512164"/>
    <w:rsid w:val="00520297"/>
    <w:rsid w:val="005338F9"/>
    <w:rsid w:val="0054281C"/>
    <w:rsid w:val="00544581"/>
    <w:rsid w:val="00550581"/>
    <w:rsid w:val="0055268D"/>
    <w:rsid w:val="00554D3E"/>
    <w:rsid w:val="00576BE4"/>
    <w:rsid w:val="00583B4F"/>
    <w:rsid w:val="00587322"/>
    <w:rsid w:val="005A400A"/>
    <w:rsid w:val="005A56EC"/>
    <w:rsid w:val="005C7223"/>
    <w:rsid w:val="005C7C50"/>
    <w:rsid w:val="005E4F51"/>
    <w:rsid w:val="005E6817"/>
    <w:rsid w:val="005F1E87"/>
    <w:rsid w:val="005F7B92"/>
    <w:rsid w:val="00611881"/>
    <w:rsid w:val="00612379"/>
    <w:rsid w:val="00612E42"/>
    <w:rsid w:val="006153B6"/>
    <w:rsid w:val="0061555F"/>
    <w:rsid w:val="0062613D"/>
    <w:rsid w:val="00636CA6"/>
    <w:rsid w:val="00641200"/>
    <w:rsid w:val="00642939"/>
    <w:rsid w:val="00645CA8"/>
    <w:rsid w:val="00647DFF"/>
    <w:rsid w:val="00652D25"/>
    <w:rsid w:val="006604F7"/>
    <w:rsid w:val="006655D3"/>
    <w:rsid w:val="00667404"/>
    <w:rsid w:val="0067243A"/>
    <w:rsid w:val="006833DE"/>
    <w:rsid w:val="00687EB4"/>
    <w:rsid w:val="00690624"/>
    <w:rsid w:val="00695C56"/>
    <w:rsid w:val="006A5CDE"/>
    <w:rsid w:val="006A644A"/>
    <w:rsid w:val="006B17D2"/>
    <w:rsid w:val="006C224E"/>
    <w:rsid w:val="006D5C91"/>
    <w:rsid w:val="006D780A"/>
    <w:rsid w:val="006E0816"/>
    <w:rsid w:val="006E164A"/>
    <w:rsid w:val="006F4843"/>
    <w:rsid w:val="00703FDB"/>
    <w:rsid w:val="0071271E"/>
    <w:rsid w:val="007165FB"/>
    <w:rsid w:val="00732557"/>
    <w:rsid w:val="00732DEC"/>
    <w:rsid w:val="00735491"/>
    <w:rsid w:val="00735BD5"/>
    <w:rsid w:val="00743E19"/>
    <w:rsid w:val="0074496A"/>
    <w:rsid w:val="0075090C"/>
    <w:rsid w:val="00751613"/>
    <w:rsid w:val="00752BF1"/>
    <w:rsid w:val="007556F6"/>
    <w:rsid w:val="007557AA"/>
    <w:rsid w:val="00760994"/>
    <w:rsid w:val="00760EEF"/>
    <w:rsid w:val="007659E5"/>
    <w:rsid w:val="00775FBD"/>
    <w:rsid w:val="00777EE5"/>
    <w:rsid w:val="00784836"/>
    <w:rsid w:val="007872EB"/>
    <w:rsid w:val="0079023E"/>
    <w:rsid w:val="00797A40"/>
    <w:rsid w:val="007A2854"/>
    <w:rsid w:val="007B39D6"/>
    <w:rsid w:val="007B72FA"/>
    <w:rsid w:val="007B7770"/>
    <w:rsid w:val="007C1D92"/>
    <w:rsid w:val="007C25BD"/>
    <w:rsid w:val="007C4CB9"/>
    <w:rsid w:val="007D0B9D"/>
    <w:rsid w:val="007D19B0"/>
    <w:rsid w:val="007D3454"/>
    <w:rsid w:val="007F429A"/>
    <w:rsid w:val="007F498F"/>
    <w:rsid w:val="007F6AE6"/>
    <w:rsid w:val="0080679D"/>
    <w:rsid w:val="008108B0"/>
    <w:rsid w:val="00811B20"/>
    <w:rsid w:val="00811D93"/>
    <w:rsid w:val="00817D14"/>
    <w:rsid w:val="008211B5"/>
    <w:rsid w:val="0082296E"/>
    <w:rsid w:val="00824099"/>
    <w:rsid w:val="0082465C"/>
    <w:rsid w:val="00846D7C"/>
    <w:rsid w:val="00867AC1"/>
    <w:rsid w:val="00890DF8"/>
    <w:rsid w:val="0089754D"/>
    <w:rsid w:val="008A7069"/>
    <w:rsid w:val="008A743F"/>
    <w:rsid w:val="008B703B"/>
    <w:rsid w:val="008C0970"/>
    <w:rsid w:val="008D0BC5"/>
    <w:rsid w:val="008D2CF7"/>
    <w:rsid w:val="008E6C3D"/>
    <w:rsid w:val="008E7EB3"/>
    <w:rsid w:val="00900C26"/>
    <w:rsid w:val="0090197F"/>
    <w:rsid w:val="00906DDC"/>
    <w:rsid w:val="0092726C"/>
    <w:rsid w:val="00932556"/>
    <w:rsid w:val="00934E09"/>
    <w:rsid w:val="00936253"/>
    <w:rsid w:val="00940D46"/>
    <w:rsid w:val="00940E50"/>
    <w:rsid w:val="00952DD4"/>
    <w:rsid w:val="00965AE7"/>
    <w:rsid w:val="00970FED"/>
    <w:rsid w:val="009765A5"/>
    <w:rsid w:val="00990B2A"/>
    <w:rsid w:val="009918F5"/>
    <w:rsid w:val="00992D82"/>
    <w:rsid w:val="00997029"/>
    <w:rsid w:val="009A7339"/>
    <w:rsid w:val="009B440E"/>
    <w:rsid w:val="009B48EB"/>
    <w:rsid w:val="009B5065"/>
    <w:rsid w:val="009D690D"/>
    <w:rsid w:val="009E65B6"/>
    <w:rsid w:val="009F4B37"/>
    <w:rsid w:val="00A03BC0"/>
    <w:rsid w:val="00A04EDF"/>
    <w:rsid w:val="00A24C10"/>
    <w:rsid w:val="00A42442"/>
    <w:rsid w:val="00A42AC3"/>
    <w:rsid w:val="00A430CF"/>
    <w:rsid w:val="00A47E6B"/>
    <w:rsid w:val="00A54309"/>
    <w:rsid w:val="00A72BBD"/>
    <w:rsid w:val="00A814C9"/>
    <w:rsid w:val="00A905C7"/>
    <w:rsid w:val="00A912C1"/>
    <w:rsid w:val="00AB2B93"/>
    <w:rsid w:val="00AB530F"/>
    <w:rsid w:val="00AB7E20"/>
    <w:rsid w:val="00AB7E5B"/>
    <w:rsid w:val="00AC2883"/>
    <w:rsid w:val="00AC4AD1"/>
    <w:rsid w:val="00AC6984"/>
    <w:rsid w:val="00AD75BD"/>
    <w:rsid w:val="00AE0EF1"/>
    <w:rsid w:val="00AE2937"/>
    <w:rsid w:val="00AE4C19"/>
    <w:rsid w:val="00AF3694"/>
    <w:rsid w:val="00B07301"/>
    <w:rsid w:val="00B11F3E"/>
    <w:rsid w:val="00B224DE"/>
    <w:rsid w:val="00B27EC9"/>
    <w:rsid w:val="00B30D9A"/>
    <w:rsid w:val="00B324D4"/>
    <w:rsid w:val="00B41381"/>
    <w:rsid w:val="00B46575"/>
    <w:rsid w:val="00B61777"/>
    <w:rsid w:val="00B62D53"/>
    <w:rsid w:val="00B63FF2"/>
    <w:rsid w:val="00B84BBD"/>
    <w:rsid w:val="00BA09FC"/>
    <w:rsid w:val="00BA43FB"/>
    <w:rsid w:val="00BB7708"/>
    <w:rsid w:val="00BC127D"/>
    <w:rsid w:val="00BC1FE6"/>
    <w:rsid w:val="00C043A5"/>
    <w:rsid w:val="00C061B6"/>
    <w:rsid w:val="00C2446C"/>
    <w:rsid w:val="00C345BB"/>
    <w:rsid w:val="00C36AE5"/>
    <w:rsid w:val="00C41F17"/>
    <w:rsid w:val="00C45719"/>
    <w:rsid w:val="00C519B9"/>
    <w:rsid w:val="00C527FA"/>
    <w:rsid w:val="00C5280D"/>
    <w:rsid w:val="00C53EB3"/>
    <w:rsid w:val="00C5791C"/>
    <w:rsid w:val="00C66290"/>
    <w:rsid w:val="00C71373"/>
    <w:rsid w:val="00C72B7A"/>
    <w:rsid w:val="00C86D83"/>
    <w:rsid w:val="00C9099D"/>
    <w:rsid w:val="00C91CC2"/>
    <w:rsid w:val="00C973F2"/>
    <w:rsid w:val="00CA0F22"/>
    <w:rsid w:val="00CA304C"/>
    <w:rsid w:val="00CA4686"/>
    <w:rsid w:val="00CA6CB7"/>
    <w:rsid w:val="00CA774A"/>
    <w:rsid w:val="00CC11B0"/>
    <w:rsid w:val="00CC2841"/>
    <w:rsid w:val="00CD7561"/>
    <w:rsid w:val="00CE38A5"/>
    <w:rsid w:val="00CE3A40"/>
    <w:rsid w:val="00CF1330"/>
    <w:rsid w:val="00CF1B94"/>
    <w:rsid w:val="00CF7E36"/>
    <w:rsid w:val="00D10599"/>
    <w:rsid w:val="00D165EA"/>
    <w:rsid w:val="00D2120C"/>
    <w:rsid w:val="00D22DB2"/>
    <w:rsid w:val="00D22F74"/>
    <w:rsid w:val="00D275E4"/>
    <w:rsid w:val="00D27E1B"/>
    <w:rsid w:val="00D337BE"/>
    <w:rsid w:val="00D3708D"/>
    <w:rsid w:val="00D40426"/>
    <w:rsid w:val="00D42D90"/>
    <w:rsid w:val="00D4351A"/>
    <w:rsid w:val="00D4527D"/>
    <w:rsid w:val="00D52263"/>
    <w:rsid w:val="00D57C96"/>
    <w:rsid w:val="00D57D18"/>
    <w:rsid w:val="00D64D26"/>
    <w:rsid w:val="00D77006"/>
    <w:rsid w:val="00D81EFF"/>
    <w:rsid w:val="00D91203"/>
    <w:rsid w:val="00D95174"/>
    <w:rsid w:val="00DA1496"/>
    <w:rsid w:val="00DA4973"/>
    <w:rsid w:val="00DA6F36"/>
    <w:rsid w:val="00DB596E"/>
    <w:rsid w:val="00DB7773"/>
    <w:rsid w:val="00DC00EA"/>
    <w:rsid w:val="00DC3802"/>
    <w:rsid w:val="00DE22A7"/>
    <w:rsid w:val="00DE31D4"/>
    <w:rsid w:val="00E07D87"/>
    <w:rsid w:val="00E16F8A"/>
    <w:rsid w:val="00E32F7E"/>
    <w:rsid w:val="00E42FCA"/>
    <w:rsid w:val="00E5267B"/>
    <w:rsid w:val="00E55EF8"/>
    <w:rsid w:val="00E57922"/>
    <w:rsid w:val="00E63C0E"/>
    <w:rsid w:val="00E71894"/>
    <w:rsid w:val="00E72D49"/>
    <w:rsid w:val="00E744B2"/>
    <w:rsid w:val="00E7593C"/>
    <w:rsid w:val="00E7678A"/>
    <w:rsid w:val="00E935F1"/>
    <w:rsid w:val="00E94A81"/>
    <w:rsid w:val="00EA1FFB"/>
    <w:rsid w:val="00EA5EBE"/>
    <w:rsid w:val="00EB048E"/>
    <w:rsid w:val="00EB2111"/>
    <w:rsid w:val="00EB4E9C"/>
    <w:rsid w:val="00EB5927"/>
    <w:rsid w:val="00ED0D7B"/>
    <w:rsid w:val="00ED3A0B"/>
    <w:rsid w:val="00ED5F6E"/>
    <w:rsid w:val="00EE34DF"/>
    <w:rsid w:val="00EF2F89"/>
    <w:rsid w:val="00F030B4"/>
    <w:rsid w:val="00F03E98"/>
    <w:rsid w:val="00F11BFD"/>
    <w:rsid w:val="00F1237A"/>
    <w:rsid w:val="00F22CBD"/>
    <w:rsid w:val="00F272F1"/>
    <w:rsid w:val="00F45372"/>
    <w:rsid w:val="00F46251"/>
    <w:rsid w:val="00F502F3"/>
    <w:rsid w:val="00F560F7"/>
    <w:rsid w:val="00F6334D"/>
    <w:rsid w:val="00F6376E"/>
    <w:rsid w:val="00F85960"/>
    <w:rsid w:val="00F90D73"/>
    <w:rsid w:val="00F96F0C"/>
    <w:rsid w:val="00FA280D"/>
    <w:rsid w:val="00FA49AB"/>
    <w:rsid w:val="00FE318A"/>
    <w:rsid w:val="00FE39C7"/>
    <w:rsid w:val="00FE416D"/>
    <w:rsid w:val="00FF4D0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index 1" w:uiPriority="0"/>
    <w:lsdException w:name="index 2" w:uiPriority="0"/>
    <w:lsdException w:name="index 3" w:uiPriority="0"/>
    <w:lsdException w:name="toc 1" w:locked="1" w:semiHidden="0" w:uiPriority="39" w:unhideWhenUsed="0"/>
    <w:lsdException w:name="toc 2" w:locked="1" w:semiHidden="0" w:uiPriority="39" w:unhideWhenUsed="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uiPriority="0"/>
    <w:lsdException w:name="caption" w:locked="1" w:uiPriority="0" w:qFormat="1"/>
    <w:lsdException w:name="footnote reference" w:locked="1" w:semiHidden="0" w:uiPriority="0" w:unhideWhenUsed="0"/>
    <w:lsdException w:name="page number" w:uiPriority="0"/>
    <w:lsdException w:name="endnote reference" w:uiPriority="0"/>
    <w:lsdException w:name="endnote text" w:uiPriority="0"/>
    <w:lsdException w:name="macro" w:uiPriority="0"/>
    <w:lsdException w:name="Title" w:locked="1" w:semiHidden="0" w:uiPriority="0" w:unhideWhenUsed="0" w:qFormat="1"/>
    <w:lsdException w:name="Closing" w:uiPriority="0"/>
    <w:lsdException w:name="Signature" w:uiPriority="0"/>
    <w:lsdException w:name="Default Paragraph Font" w:locked="1" w:semiHidden="0" w:uiPriority="1" w:unhideWhenUsed="0"/>
    <w:lsdException w:name="Body Text" w:uiPriority="0"/>
    <w:lsdException w:name="Subtitle" w:locked="1" w:semiHidden="0" w:uiPriority="0" w:unhideWhenUsed="0" w:qFormat="1"/>
    <w:lsdException w:name="Date"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442"/>
    <w:pPr>
      <w:jc w:val="both"/>
    </w:pPr>
    <w:rPr>
      <w:rFonts w:ascii="Arial" w:eastAsia="Times New Roman" w:hAnsi="Arial"/>
      <w:sz w:val="20"/>
      <w:szCs w:val="20"/>
      <w:lang w:eastAsia="en-US"/>
    </w:rPr>
  </w:style>
  <w:style w:type="paragraph" w:styleId="Heading1">
    <w:name w:val="heading 1"/>
    <w:next w:val="Normal"/>
    <w:link w:val="Heading1Char"/>
    <w:autoRedefine/>
    <w:qFormat/>
    <w:rsid w:val="00A42442"/>
    <w:pPr>
      <w:keepNext/>
      <w:jc w:val="both"/>
      <w:outlineLvl w:val="0"/>
    </w:pPr>
    <w:rPr>
      <w:rFonts w:ascii="Arial" w:eastAsia="Times New Roman" w:hAnsi="Arial"/>
      <w:caps/>
      <w:sz w:val="20"/>
      <w:szCs w:val="20"/>
      <w:lang w:val="en-US" w:eastAsia="en-US"/>
    </w:rPr>
  </w:style>
  <w:style w:type="paragraph" w:styleId="Heading2">
    <w:name w:val="heading 2"/>
    <w:next w:val="Normal"/>
    <w:link w:val="Heading2Char"/>
    <w:autoRedefine/>
    <w:qFormat/>
    <w:rsid w:val="00A42442"/>
    <w:pPr>
      <w:keepNext/>
      <w:jc w:val="both"/>
      <w:outlineLvl w:val="1"/>
    </w:pPr>
    <w:rPr>
      <w:rFonts w:ascii="Arial" w:eastAsia="Times New Roman" w:hAnsi="Arial"/>
      <w:sz w:val="20"/>
      <w:szCs w:val="20"/>
      <w:u w:val="single"/>
      <w:lang w:val="en-US" w:eastAsia="en-US"/>
    </w:rPr>
  </w:style>
  <w:style w:type="paragraph" w:styleId="Heading3">
    <w:name w:val="heading 3"/>
    <w:next w:val="Normal"/>
    <w:link w:val="Heading3Char"/>
    <w:autoRedefine/>
    <w:qFormat/>
    <w:rsid w:val="00A42442"/>
    <w:pPr>
      <w:keepNext/>
      <w:jc w:val="both"/>
      <w:outlineLvl w:val="2"/>
    </w:pPr>
    <w:rPr>
      <w:rFonts w:ascii="Arial" w:eastAsia="Times New Roman" w:hAnsi="Arial"/>
      <w:i/>
      <w:sz w:val="20"/>
      <w:szCs w:val="20"/>
      <w:lang w:val="en-US" w:eastAsia="en-US"/>
    </w:rPr>
  </w:style>
  <w:style w:type="paragraph" w:styleId="Heading4">
    <w:name w:val="heading 4"/>
    <w:next w:val="Normal"/>
    <w:link w:val="Heading4Char"/>
    <w:autoRedefine/>
    <w:qFormat/>
    <w:rsid w:val="00A42442"/>
    <w:pPr>
      <w:keepNext/>
      <w:ind w:left="567"/>
      <w:jc w:val="both"/>
      <w:outlineLvl w:val="3"/>
    </w:pPr>
    <w:rPr>
      <w:rFonts w:ascii="Arial" w:eastAsia="Times New Roman" w:hAnsi="Arial"/>
      <w:sz w:val="20"/>
      <w:szCs w:val="20"/>
      <w:u w:val="single"/>
      <w:lang w:val="fr-FR" w:eastAsia="en-US"/>
    </w:rPr>
  </w:style>
  <w:style w:type="paragraph" w:styleId="Heading5">
    <w:name w:val="heading 5"/>
    <w:next w:val="Normal"/>
    <w:link w:val="Heading5Char"/>
    <w:autoRedefine/>
    <w:qFormat/>
    <w:rsid w:val="00A42442"/>
    <w:pPr>
      <w:keepNext/>
      <w:ind w:left="1134" w:hanging="567"/>
      <w:jc w:val="both"/>
      <w:outlineLvl w:val="4"/>
    </w:pPr>
    <w:rPr>
      <w:rFonts w:ascii="Arial" w:eastAsia="Times New Roman" w:hAnsi="Arial"/>
      <w:i/>
      <w:sz w:val="20"/>
      <w:szCs w:val="20"/>
      <w:lang w:val="en-US" w:eastAsia="en-US"/>
    </w:rPr>
  </w:style>
  <w:style w:type="paragraph" w:styleId="Heading9">
    <w:name w:val="heading 9"/>
    <w:basedOn w:val="Normal"/>
    <w:next w:val="Normal"/>
    <w:link w:val="Heading9Char"/>
    <w:qFormat/>
    <w:rsid w:val="00A42442"/>
    <w:pPr>
      <w:spacing w:before="240" w:after="60"/>
      <w:outlineLvl w:val="8"/>
    </w:pPr>
    <w:rPr>
      <w:i/>
      <w:sz w:val="18"/>
    </w:rPr>
  </w:style>
  <w:style w:type="character" w:default="1" w:styleId="DefaultParagraphFont">
    <w:name w:val="Default Paragraph Font"/>
    <w:uiPriority w:val="1"/>
    <w:semiHidden/>
    <w:unhideWhenUsed/>
    <w:rsid w:val="00A424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2442"/>
  </w:style>
  <w:style w:type="character" w:customStyle="1" w:styleId="Heading1Char">
    <w:name w:val="Heading 1 Char"/>
    <w:basedOn w:val="DefaultParagraphFont"/>
    <w:link w:val="Heading1"/>
    <w:locked/>
    <w:rsid w:val="007165FB"/>
    <w:rPr>
      <w:rFonts w:ascii="Arial" w:eastAsia="Times New Roman" w:hAnsi="Arial"/>
      <w:caps/>
      <w:sz w:val="20"/>
      <w:szCs w:val="20"/>
      <w:lang w:val="en-US" w:eastAsia="en-US"/>
    </w:rPr>
  </w:style>
  <w:style w:type="character" w:customStyle="1" w:styleId="Heading2Char">
    <w:name w:val="Heading 2 Char"/>
    <w:basedOn w:val="DefaultParagraphFont"/>
    <w:link w:val="Heading2"/>
    <w:rsid w:val="00FF5E23"/>
    <w:rPr>
      <w:rFonts w:ascii="Arial" w:eastAsia="Times New Roman" w:hAnsi="Arial"/>
      <w:sz w:val="20"/>
      <w:szCs w:val="20"/>
      <w:u w:val="single"/>
      <w:lang w:val="en-US" w:eastAsia="en-US"/>
    </w:rPr>
  </w:style>
  <w:style w:type="character" w:customStyle="1" w:styleId="Heading3Char">
    <w:name w:val="Heading 3 Char"/>
    <w:basedOn w:val="DefaultParagraphFont"/>
    <w:link w:val="Heading3"/>
    <w:rsid w:val="00FF5E23"/>
    <w:rPr>
      <w:rFonts w:ascii="Arial" w:eastAsia="Times New Roman" w:hAnsi="Arial"/>
      <w:i/>
      <w:sz w:val="20"/>
      <w:szCs w:val="20"/>
      <w:lang w:val="en-US" w:eastAsia="en-US"/>
    </w:rPr>
  </w:style>
  <w:style w:type="character" w:customStyle="1" w:styleId="Heading4Char">
    <w:name w:val="Heading 4 Char"/>
    <w:basedOn w:val="DefaultParagraphFont"/>
    <w:link w:val="Heading4"/>
    <w:rsid w:val="00FF5E23"/>
    <w:rPr>
      <w:rFonts w:ascii="Arial" w:eastAsia="Times New Roman" w:hAnsi="Arial"/>
      <w:sz w:val="20"/>
      <w:szCs w:val="20"/>
      <w:u w:val="single"/>
      <w:lang w:val="fr-FR" w:eastAsia="en-US"/>
    </w:rPr>
  </w:style>
  <w:style w:type="character" w:customStyle="1" w:styleId="Heading5Char">
    <w:name w:val="Heading 5 Char"/>
    <w:basedOn w:val="DefaultParagraphFont"/>
    <w:link w:val="Heading5"/>
    <w:rsid w:val="00FF5E23"/>
    <w:rPr>
      <w:rFonts w:ascii="Arial" w:eastAsia="Times New Roman" w:hAnsi="Arial"/>
      <w:i/>
      <w:sz w:val="20"/>
      <w:szCs w:val="20"/>
      <w:lang w:val="en-US" w:eastAsia="en-US"/>
    </w:rPr>
  </w:style>
  <w:style w:type="character" w:customStyle="1" w:styleId="Heading9Char">
    <w:name w:val="Heading 9 Char"/>
    <w:basedOn w:val="DefaultParagraphFont"/>
    <w:link w:val="Heading9"/>
    <w:locked/>
    <w:rsid w:val="00F6376E"/>
    <w:rPr>
      <w:rFonts w:ascii="Arial" w:eastAsia="Times New Roman" w:hAnsi="Arial"/>
      <w:i/>
      <w:sz w:val="18"/>
      <w:szCs w:val="20"/>
      <w:lang w:eastAsia="en-US"/>
    </w:rPr>
  </w:style>
  <w:style w:type="paragraph" w:styleId="Header">
    <w:name w:val="header"/>
    <w:link w:val="HeaderChar"/>
    <w:rsid w:val="00A42442"/>
    <w:pPr>
      <w:jc w:val="center"/>
    </w:pPr>
    <w:rPr>
      <w:rFonts w:ascii="Arial" w:eastAsia="Times New Roman" w:hAnsi="Arial"/>
      <w:sz w:val="20"/>
      <w:szCs w:val="20"/>
      <w:lang w:eastAsia="en-US"/>
    </w:rPr>
  </w:style>
  <w:style w:type="character" w:customStyle="1" w:styleId="HeaderChar">
    <w:name w:val="Header Char"/>
    <w:basedOn w:val="DefaultParagraphFont"/>
    <w:link w:val="Header"/>
    <w:locked/>
    <w:rsid w:val="00FE318A"/>
    <w:rPr>
      <w:rFonts w:ascii="Arial" w:eastAsia="Times New Roman" w:hAnsi="Arial"/>
      <w:sz w:val="20"/>
      <w:szCs w:val="20"/>
      <w:lang w:eastAsia="en-US"/>
    </w:rPr>
  </w:style>
  <w:style w:type="paragraph" w:styleId="Footer">
    <w:name w:val="footer"/>
    <w:aliases w:val="doc_path_name"/>
    <w:link w:val="FooterChar"/>
    <w:autoRedefine/>
    <w:rsid w:val="00A42442"/>
    <w:pPr>
      <w:jc w:val="both"/>
    </w:pPr>
    <w:rPr>
      <w:rFonts w:ascii="Arial" w:eastAsia="Times New Roman" w:hAnsi="Arial"/>
      <w:sz w:val="14"/>
      <w:szCs w:val="20"/>
      <w:lang w:val="en-US" w:eastAsia="en-US"/>
    </w:rPr>
  </w:style>
  <w:style w:type="character" w:customStyle="1" w:styleId="FooterChar">
    <w:name w:val="Footer Char"/>
    <w:aliases w:val="doc_path_name Char"/>
    <w:basedOn w:val="DefaultParagraphFont"/>
    <w:link w:val="Footer"/>
    <w:rsid w:val="00FF5E23"/>
    <w:rPr>
      <w:rFonts w:ascii="Arial" w:eastAsia="Times New Roman" w:hAnsi="Arial"/>
      <w:sz w:val="14"/>
      <w:szCs w:val="20"/>
      <w:lang w:val="en-US" w:eastAsia="en-US"/>
    </w:rPr>
  </w:style>
  <w:style w:type="character" w:styleId="PageNumber">
    <w:name w:val="page number"/>
    <w:basedOn w:val="DefaultParagraphFont"/>
    <w:rsid w:val="00A42442"/>
    <w:rPr>
      <w:rFonts w:ascii="Arial" w:hAnsi="Arial"/>
      <w:sz w:val="20"/>
    </w:rPr>
  </w:style>
  <w:style w:type="paragraph" w:styleId="Title">
    <w:name w:val="Title"/>
    <w:basedOn w:val="Normal"/>
    <w:link w:val="TitleChar"/>
    <w:qFormat/>
    <w:rsid w:val="00A42442"/>
    <w:pPr>
      <w:spacing w:after="300"/>
      <w:jc w:val="center"/>
    </w:pPr>
    <w:rPr>
      <w:b/>
      <w:caps/>
      <w:kern w:val="28"/>
      <w:sz w:val="30"/>
    </w:rPr>
  </w:style>
  <w:style w:type="character" w:customStyle="1" w:styleId="TitleChar">
    <w:name w:val="Title Char"/>
    <w:basedOn w:val="DefaultParagraphFont"/>
    <w:link w:val="Title"/>
    <w:rsid w:val="00FF5E23"/>
    <w:rPr>
      <w:rFonts w:ascii="Arial" w:eastAsia="Times New Roman" w:hAnsi="Arial"/>
      <w:b/>
      <w:caps/>
      <w:kern w:val="28"/>
      <w:sz w:val="30"/>
      <w:szCs w:val="20"/>
      <w:lang w:eastAsia="en-US"/>
    </w:rPr>
  </w:style>
  <w:style w:type="paragraph" w:customStyle="1" w:styleId="preparedby">
    <w:name w:val="preparedby"/>
    <w:basedOn w:val="Normal"/>
    <w:next w:val="Normal"/>
    <w:semiHidden/>
    <w:rsid w:val="00A42442"/>
    <w:pPr>
      <w:spacing w:after="600"/>
      <w:jc w:val="center"/>
    </w:pPr>
    <w:rPr>
      <w:i/>
    </w:rPr>
  </w:style>
  <w:style w:type="paragraph" w:customStyle="1" w:styleId="Docoriginal">
    <w:name w:val="Doc_original"/>
    <w:basedOn w:val="Code"/>
    <w:link w:val="DocoriginalChar"/>
    <w:rsid w:val="00A42442"/>
    <w:pPr>
      <w:spacing w:before="240" w:line="240" w:lineRule="exact"/>
      <w:ind w:left="0"/>
      <w:contextualSpacing/>
      <w:jc w:val="left"/>
    </w:pPr>
    <w:rPr>
      <w:sz w:val="18"/>
    </w:rPr>
  </w:style>
  <w:style w:type="paragraph" w:customStyle="1" w:styleId="DecisionParagraphs">
    <w:name w:val="DecisionParagraphs"/>
    <w:basedOn w:val="Normal"/>
    <w:rsid w:val="00A42442"/>
    <w:pPr>
      <w:tabs>
        <w:tab w:val="left" w:pos="5387"/>
      </w:tabs>
      <w:ind w:left="4820"/>
    </w:pPr>
    <w:rPr>
      <w:i/>
    </w:rPr>
  </w:style>
  <w:style w:type="paragraph" w:styleId="FootnoteText">
    <w:name w:val="footnote text"/>
    <w:link w:val="FootnoteTextChar"/>
    <w:autoRedefine/>
    <w:rsid w:val="00A42442"/>
    <w:pPr>
      <w:spacing w:before="60"/>
      <w:ind w:left="567" w:hanging="567"/>
      <w:jc w:val="both"/>
    </w:pPr>
    <w:rPr>
      <w:rFonts w:ascii="Arial" w:eastAsia="Times New Roman" w:hAnsi="Arial"/>
      <w:sz w:val="16"/>
      <w:szCs w:val="20"/>
      <w:lang w:eastAsia="en-US"/>
    </w:rPr>
  </w:style>
  <w:style w:type="character" w:customStyle="1" w:styleId="FootnoteTextChar">
    <w:name w:val="Footnote Text Char"/>
    <w:basedOn w:val="DefaultParagraphFont"/>
    <w:link w:val="FootnoteText"/>
    <w:locked/>
    <w:rsid w:val="00FE318A"/>
    <w:rPr>
      <w:rFonts w:ascii="Arial" w:eastAsia="Times New Roman" w:hAnsi="Arial"/>
      <w:sz w:val="16"/>
      <w:szCs w:val="20"/>
      <w:lang w:eastAsia="en-US"/>
    </w:rPr>
  </w:style>
  <w:style w:type="character" w:styleId="FootnoteReference">
    <w:name w:val="footnote reference"/>
    <w:basedOn w:val="DefaultParagraphFont"/>
    <w:semiHidden/>
    <w:rsid w:val="00A42442"/>
    <w:rPr>
      <w:vertAlign w:val="superscript"/>
    </w:rPr>
  </w:style>
  <w:style w:type="paragraph" w:styleId="Closing">
    <w:name w:val="Closing"/>
    <w:basedOn w:val="Normal"/>
    <w:link w:val="ClosingChar"/>
    <w:rsid w:val="00A42442"/>
    <w:pPr>
      <w:ind w:left="4536"/>
      <w:jc w:val="center"/>
    </w:pPr>
  </w:style>
  <w:style w:type="character" w:customStyle="1" w:styleId="ClosingChar">
    <w:name w:val="Closing Char"/>
    <w:basedOn w:val="DefaultParagraphFont"/>
    <w:link w:val="Closing"/>
    <w:rsid w:val="00FF5E23"/>
    <w:rPr>
      <w:rFonts w:ascii="Arial" w:eastAsia="Times New Roman" w:hAnsi="Arial"/>
      <w:sz w:val="20"/>
      <w:szCs w:val="20"/>
      <w:lang w:eastAsia="en-US"/>
    </w:rPr>
  </w:style>
  <w:style w:type="paragraph" w:styleId="Index1">
    <w:name w:val="index 1"/>
    <w:basedOn w:val="Normal"/>
    <w:next w:val="Normal"/>
    <w:semiHidden/>
    <w:rsid w:val="00A42442"/>
    <w:pPr>
      <w:tabs>
        <w:tab w:val="right" w:leader="dot" w:pos="9071"/>
      </w:tabs>
      <w:ind w:left="284" w:hanging="284"/>
    </w:pPr>
    <w:rPr>
      <w:sz w:val="24"/>
    </w:rPr>
  </w:style>
  <w:style w:type="paragraph" w:styleId="Index2">
    <w:name w:val="index 2"/>
    <w:basedOn w:val="Normal"/>
    <w:next w:val="Normal"/>
    <w:semiHidden/>
    <w:rsid w:val="00A42442"/>
    <w:pPr>
      <w:tabs>
        <w:tab w:val="right" w:leader="dot" w:pos="9071"/>
      </w:tabs>
      <w:ind w:left="568" w:hanging="284"/>
    </w:pPr>
    <w:rPr>
      <w:sz w:val="24"/>
    </w:rPr>
  </w:style>
  <w:style w:type="paragraph" w:styleId="Index3">
    <w:name w:val="index 3"/>
    <w:basedOn w:val="Normal"/>
    <w:next w:val="Normal"/>
    <w:semiHidden/>
    <w:rsid w:val="00A42442"/>
    <w:pPr>
      <w:tabs>
        <w:tab w:val="right" w:leader="dot" w:pos="9071"/>
      </w:tabs>
      <w:ind w:left="851" w:hanging="284"/>
    </w:pPr>
    <w:rPr>
      <w:sz w:val="24"/>
    </w:rPr>
  </w:style>
  <w:style w:type="paragraph" w:styleId="MacroText">
    <w:name w:val="macro"/>
    <w:link w:val="MacroTextChar"/>
    <w:semiHidden/>
    <w:rsid w:val="00A4244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szCs w:val="20"/>
      <w:lang w:val="en-US" w:eastAsia="en-US"/>
    </w:rPr>
  </w:style>
  <w:style w:type="character" w:customStyle="1" w:styleId="MacroTextChar">
    <w:name w:val="Macro Text Char"/>
    <w:basedOn w:val="DefaultParagraphFont"/>
    <w:link w:val="MacroText"/>
    <w:semiHidden/>
    <w:rsid w:val="00FF5E23"/>
    <w:rPr>
      <w:rFonts w:ascii="Courier New" w:eastAsia="Times New Roman" w:hAnsi="Courier New"/>
      <w:sz w:val="16"/>
      <w:szCs w:val="20"/>
      <w:lang w:val="en-US" w:eastAsia="en-US"/>
    </w:rPr>
  </w:style>
  <w:style w:type="paragraph" w:styleId="Signature">
    <w:name w:val="Signature"/>
    <w:basedOn w:val="Normal"/>
    <w:link w:val="SignatureChar"/>
    <w:rsid w:val="00A42442"/>
    <w:pPr>
      <w:ind w:left="4536"/>
      <w:jc w:val="center"/>
    </w:pPr>
  </w:style>
  <w:style w:type="character" w:customStyle="1" w:styleId="SignatureChar">
    <w:name w:val="Signature Char"/>
    <w:basedOn w:val="DefaultParagraphFont"/>
    <w:link w:val="Signature"/>
    <w:rsid w:val="00FF5E23"/>
    <w:rPr>
      <w:rFonts w:ascii="Arial" w:eastAsia="Times New Roman" w:hAnsi="Arial"/>
      <w:sz w:val="20"/>
      <w:szCs w:val="20"/>
      <w:lang w:eastAsia="en-US"/>
    </w:rPr>
  </w:style>
  <w:style w:type="character" w:customStyle="1" w:styleId="Doclang">
    <w:name w:val="Doc_lang"/>
    <w:basedOn w:val="DefaultParagraphFont"/>
    <w:rsid w:val="00A42442"/>
    <w:rPr>
      <w:rFonts w:ascii="Arial" w:hAnsi="Arial"/>
      <w:sz w:val="20"/>
      <w:lang w:val="en-US"/>
    </w:rPr>
  </w:style>
  <w:style w:type="paragraph" w:customStyle="1" w:styleId="Session">
    <w:name w:val="Session"/>
    <w:basedOn w:val="Normal"/>
    <w:semiHidden/>
    <w:rsid w:val="00A42442"/>
    <w:pPr>
      <w:spacing w:before="60"/>
      <w:jc w:val="center"/>
    </w:pPr>
    <w:rPr>
      <w:b/>
    </w:rPr>
  </w:style>
  <w:style w:type="paragraph" w:customStyle="1" w:styleId="Organizer">
    <w:name w:val="Organizer"/>
    <w:basedOn w:val="Normal"/>
    <w:semiHidden/>
    <w:rsid w:val="00A42442"/>
    <w:pPr>
      <w:spacing w:after="600"/>
      <w:ind w:left="-993" w:right="-994"/>
      <w:jc w:val="center"/>
    </w:pPr>
    <w:rPr>
      <w:b/>
      <w:caps/>
      <w:kern w:val="26"/>
      <w:sz w:val="26"/>
    </w:rPr>
  </w:style>
  <w:style w:type="paragraph" w:styleId="BodyText">
    <w:name w:val="Body Text"/>
    <w:basedOn w:val="Normal"/>
    <w:link w:val="BodyTextChar"/>
    <w:rsid w:val="00A42442"/>
  </w:style>
  <w:style w:type="character" w:customStyle="1" w:styleId="BodyTextChar">
    <w:name w:val="Body Text Char"/>
    <w:basedOn w:val="DefaultParagraphFont"/>
    <w:link w:val="BodyText"/>
    <w:rsid w:val="00FF5E23"/>
    <w:rPr>
      <w:rFonts w:ascii="Arial" w:eastAsia="Times New Roman" w:hAnsi="Arial"/>
      <w:sz w:val="20"/>
      <w:szCs w:val="20"/>
      <w:lang w:eastAsia="en-US"/>
    </w:rPr>
  </w:style>
  <w:style w:type="paragraph" w:customStyle="1" w:styleId="Disclaimer">
    <w:name w:val="Disclaimer"/>
    <w:next w:val="Normal"/>
    <w:qFormat/>
    <w:rsid w:val="00A42442"/>
    <w:pPr>
      <w:spacing w:after="600"/>
    </w:pPr>
    <w:rPr>
      <w:rFonts w:ascii="Arial" w:eastAsia="Times New Roman" w:hAnsi="Arial"/>
      <w:i/>
      <w:iCs/>
      <w:color w:val="A6A6A6" w:themeColor="background1" w:themeShade="A6"/>
      <w:sz w:val="20"/>
      <w:szCs w:val="20"/>
      <w:lang w:eastAsia="en-US"/>
    </w:rPr>
  </w:style>
  <w:style w:type="paragraph" w:customStyle="1" w:styleId="upove">
    <w:name w:val="upov_e"/>
    <w:basedOn w:val="Normal"/>
    <w:rsid w:val="00A42442"/>
    <w:pPr>
      <w:spacing w:before="120"/>
    </w:pPr>
    <w:rPr>
      <w:sz w:val="16"/>
    </w:rPr>
  </w:style>
  <w:style w:type="paragraph" w:customStyle="1" w:styleId="TitleofDoc">
    <w:name w:val="Title of Doc"/>
    <w:basedOn w:val="Normal"/>
    <w:semiHidden/>
    <w:rsid w:val="00A42442"/>
    <w:pPr>
      <w:spacing w:before="1200"/>
      <w:jc w:val="center"/>
    </w:pPr>
    <w:rPr>
      <w:caps/>
    </w:rPr>
  </w:style>
  <w:style w:type="paragraph" w:customStyle="1" w:styleId="preparedby0">
    <w:name w:val="prepared by"/>
    <w:basedOn w:val="Normal"/>
    <w:semiHidden/>
    <w:rsid w:val="00A42442"/>
    <w:pPr>
      <w:spacing w:before="600" w:after="600"/>
      <w:jc w:val="center"/>
    </w:pPr>
    <w:rPr>
      <w:i/>
    </w:rPr>
  </w:style>
  <w:style w:type="paragraph" w:customStyle="1" w:styleId="PlaceAndDate">
    <w:name w:val="PlaceAndDate"/>
    <w:basedOn w:val="Session"/>
    <w:semiHidden/>
    <w:rsid w:val="00A42442"/>
  </w:style>
  <w:style w:type="paragraph" w:styleId="EndnoteText">
    <w:name w:val="endnote text"/>
    <w:basedOn w:val="Normal"/>
    <w:link w:val="EndnoteTextChar"/>
    <w:semiHidden/>
    <w:rsid w:val="00A42442"/>
  </w:style>
  <w:style w:type="character" w:customStyle="1" w:styleId="EndnoteTextChar">
    <w:name w:val="Endnote Text Char"/>
    <w:basedOn w:val="DefaultParagraphFont"/>
    <w:link w:val="EndnoteText"/>
    <w:semiHidden/>
    <w:rsid w:val="00FF5E23"/>
    <w:rPr>
      <w:rFonts w:ascii="Arial" w:eastAsia="Times New Roman" w:hAnsi="Arial"/>
      <w:sz w:val="20"/>
      <w:szCs w:val="20"/>
      <w:lang w:eastAsia="en-US"/>
    </w:rPr>
  </w:style>
  <w:style w:type="character" w:styleId="EndnoteReference">
    <w:name w:val="endnote reference"/>
    <w:basedOn w:val="DefaultParagraphFont"/>
    <w:semiHidden/>
    <w:rsid w:val="00A42442"/>
    <w:rPr>
      <w:vertAlign w:val="superscript"/>
    </w:rPr>
  </w:style>
  <w:style w:type="paragraph" w:customStyle="1" w:styleId="SessionMeetingPlace">
    <w:name w:val="Session_MeetingPlace"/>
    <w:basedOn w:val="Normal"/>
    <w:semiHidden/>
    <w:rsid w:val="00A42442"/>
    <w:pPr>
      <w:spacing w:before="480"/>
      <w:jc w:val="center"/>
    </w:pPr>
    <w:rPr>
      <w:b/>
      <w:bCs/>
      <w:kern w:val="28"/>
      <w:sz w:val="24"/>
    </w:rPr>
  </w:style>
  <w:style w:type="paragraph" w:customStyle="1" w:styleId="Original">
    <w:name w:val="Original"/>
    <w:basedOn w:val="Normal"/>
    <w:semiHidden/>
    <w:rsid w:val="00A42442"/>
    <w:pPr>
      <w:spacing w:before="60"/>
      <w:ind w:left="1276"/>
    </w:pPr>
    <w:rPr>
      <w:b/>
      <w:sz w:val="22"/>
    </w:rPr>
  </w:style>
  <w:style w:type="paragraph" w:styleId="Date">
    <w:name w:val="Date"/>
    <w:basedOn w:val="Normal"/>
    <w:link w:val="DateChar"/>
    <w:semiHidden/>
    <w:rsid w:val="00A42442"/>
    <w:pPr>
      <w:spacing w:line="340" w:lineRule="exact"/>
      <w:ind w:left="1276"/>
    </w:pPr>
    <w:rPr>
      <w:b/>
      <w:sz w:val="22"/>
    </w:rPr>
  </w:style>
  <w:style w:type="character" w:customStyle="1" w:styleId="DateChar">
    <w:name w:val="Date Char"/>
    <w:basedOn w:val="DefaultParagraphFont"/>
    <w:link w:val="Date"/>
    <w:semiHidden/>
    <w:rsid w:val="00FF5E23"/>
    <w:rPr>
      <w:rFonts w:ascii="Arial" w:eastAsia="Times New Roman" w:hAnsi="Arial"/>
      <w:b/>
      <w:szCs w:val="20"/>
      <w:lang w:eastAsia="en-US"/>
    </w:rPr>
  </w:style>
  <w:style w:type="paragraph" w:customStyle="1" w:styleId="Code">
    <w:name w:val="Code"/>
    <w:basedOn w:val="Normal"/>
    <w:link w:val="CodeChar"/>
    <w:semiHidden/>
    <w:rsid w:val="00A42442"/>
    <w:pPr>
      <w:spacing w:line="340" w:lineRule="atLeast"/>
      <w:ind w:left="1276"/>
    </w:pPr>
    <w:rPr>
      <w:b/>
      <w:bCs/>
      <w:spacing w:val="10"/>
    </w:rPr>
  </w:style>
  <w:style w:type="paragraph" w:customStyle="1" w:styleId="Country">
    <w:name w:val="Country"/>
    <w:basedOn w:val="Normal"/>
    <w:semiHidden/>
    <w:rsid w:val="00A42442"/>
    <w:pPr>
      <w:spacing w:before="60" w:after="480"/>
      <w:jc w:val="center"/>
    </w:pPr>
  </w:style>
  <w:style w:type="paragraph" w:customStyle="1" w:styleId="Lettrine">
    <w:name w:val="Lettrine"/>
    <w:basedOn w:val="Normal"/>
    <w:rsid w:val="00A42442"/>
    <w:pPr>
      <w:spacing w:line="340" w:lineRule="atLeast"/>
      <w:jc w:val="right"/>
    </w:pPr>
    <w:rPr>
      <w:b/>
      <w:bCs/>
      <w:sz w:val="36"/>
    </w:rPr>
  </w:style>
  <w:style w:type="paragraph" w:customStyle="1" w:styleId="LogoUPOV">
    <w:name w:val="LogoUPOV"/>
    <w:basedOn w:val="Normal"/>
    <w:rsid w:val="00A42442"/>
    <w:pPr>
      <w:spacing w:before="600" w:after="80"/>
      <w:jc w:val="center"/>
    </w:pPr>
    <w:rPr>
      <w:snapToGrid w:val="0"/>
    </w:rPr>
  </w:style>
  <w:style w:type="paragraph" w:customStyle="1" w:styleId="Sessiontc">
    <w:name w:val="Session_tc"/>
    <w:basedOn w:val="StyleSessionAllcaps"/>
    <w:rsid w:val="00A42442"/>
    <w:pPr>
      <w:spacing w:before="0" w:line="280" w:lineRule="exact"/>
      <w:jc w:val="left"/>
    </w:pPr>
    <w:rPr>
      <w:caps w:val="0"/>
      <w:sz w:val="20"/>
    </w:rPr>
  </w:style>
  <w:style w:type="paragraph" w:customStyle="1" w:styleId="TitreUpov">
    <w:name w:val="TitreUpov"/>
    <w:basedOn w:val="Normal"/>
    <w:semiHidden/>
    <w:rsid w:val="00A42442"/>
    <w:pPr>
      <w:spacing w:before="60"/>
      <w:jc w:val="center"/>
    </w:pPr>
    <w:rPr>
      <w:b/>
      <w:sz w:val="24"/>
    </w:rPr>
  </w:style>
  <w:style w:type="paragraph" w:customStyle="1" w:styleId="StyleSessionAllcaps">
    <w:name w:val="Style Session + All caps"/>
    <w:basedOn w:val="Session"/>
    <w:semiHidden/>
    <w:rsid w:val="00A42442"/>
    <w:pPr>
      <w:spacing w:before="480"/>
    </w:pPr>
    <w:rPr>
      <w:bCs/>
      <w:caps/>
      <w:kern w:val="28"/>
      <w:sz w:val="24"/>
    </w:rPr>
  </w:style>
  <w:style w:type="paragraph" w:customStyle="1" w:styleId="plcountry">
    <w:name w:val="plcountry"/>
    <w:basedOn w:val="Normal"/>
    <w:rsid w:val="00A42442"/>
    <w:pPr>
      <w:keepNext/>
      <w:keepLines/>
      <w:spacing w:before="180" w:after="120"/>
      <w:jc w:val="left"/>
    </w:pPr>
    <w:rPr>
      <w:caps/>
      <w:noProof/>
      <w:snapToGrid w:val="0"/>
      <w:u w:val="single"/>
    </w:rPr>
  </w:style>
  <w:style w:type="paragraph" w:customStyle="1" w:styleId="pldetails">
    <w:name w:val="pldetails"/>
    <w:basedOn w:val="Normal"/>
    <w:rsid w:val="00A42442"/>
    <w:pPr>
      <w:keepLines/>
      <w:spacing w:before="60" w:after="60"/>
      <w:jc w:val="left"/>
    </w:pPr>
    <w:rPr>
      <w:noProof/>
      <w:snapToGrid w:val="0"/>
    </w:rPr>
  </w:style>
  <w:style w:type="paragraph" w:customStyle="1" w:styleId="plheading">
    <w:name w:val="plheading"/>
    <w:basedOn w:val="Normal"/>
    <w:rsid w:val="00A42442"/>
    <w:pPr>
      <w:keepNext/>
      <w:spacing w:before="480" w:after="120"/>
      <w:jc w:val="center"/>
    </w:pPr>
    <w:rPr>
      <w:caps/>
      <w:snapToGrid w:val="0"/>
      <w:u w:val="single"/>
    </w:rPr>
  </w:style>
  <w:style w:type="paragraph" w:customStyle="1" w:styleId="Sessiontcplacedate">
    <w:name w:val="Session_tc_place_date"/>
    <w:basedOn w:val="SessionMeetingPlace"/>
    <w:rsid w:val="00A42442"/>
    <w:pPr>
      <w:spacing w:before="240"/>
      <w:contextualSpacing/>
      <w:jc w:val="left"/>
    </w:pPr>
    <w:rPr>
      <w:sz w:val="20"/>
    </w:rPr>
  </w:style>
  <w:style w:type="paragraph" w:customStyle="1" w:styleId="Titleofdoc0">
    <w:name w:val="Title_of_doc"/>
    <w:basedOn w:val="TitleofDoc"/>
    <w:rsid w:val="00A42442"/>
    <w:pPr>
      <w:spacing w:before="600" w:after="240"/>
      <w:jc w:val="left"/>
    </w:pPr>
    <w:rPr>
      <w:b/>
    </w:rPr>
  </w:style>
  <w:style w:type="paragraph" w:customStyle="1" w:styleId="preparedby1">
    <w:name w:val="prepared_by"/>
    <w:basedOn w:val="preparedby0"/>
    <w:rsid w:val="00A42442"/>
    <w:pPr>
      <w:spacing w:before="0" w:after="240"/>
    </w:pPr>
    <w:rPr>
      <w:iCs/>
    </w:rPr>
  </w:style>
  <w:style w:type="character" w:customStyle="1" w:styleId="CodeChar">
    <w:name w:val="Code Char"/>
    <w:basedOn w:val="DefaultParagraphFont"/>
    <w:link w:val="Code"/>
    <w:semiHidden/>
    <w:locked/>
    <w:rsid w:val="00A42442"/>
    <w:rPr>
      <w:rFonts w:ascii="Arial" w:eastAsia="Times New Roman" w:hAnsi="Arial"/>
      <w:b/>
      <w:bCs/>
      <w:spacing w:val="10"/>
      <w:sz w:val="20"/>
      <w:szCs w:val="20"/>
      <w:lang w:eastAsia="en-US"/>
    </w:rPr>
  </w:style>
  <w:style w:type="paragraph" w:customStyle="1" w:styleId="endofdoc">
    <w:name w:val="end_of_doc"/>
    <w:next w:val="Header"/>
    <w:autoRedefine/>
    <w:rsid w:val="00A42442"/>
    <w:pPr>
      <w:spacing w:before="480"/>
      <w:ind w:left="567" w:hanging="567"/>
      <w:jc w:val="right"/>
    </w:pPr>
    <w:rPr>
      <w:rFonts w:ascii="Arial" w:eastAsia="Times New Roman" w:hAnsi="Arial"/>
      <w:sz w:val="20"/>
      <w:szCs w:val="20"/>
      <w:lang w:val="en-US" w:eastAsia="en-US"/>
    </w:rPr>
  </w:style>
  <w:style w:type="character" w:customStyle="1" w:styleId="DocoriginalChar">
    <w:name w:val="Doc_original Char"/>
    <w:basedOn w:val="CodeChar"/>
    <w:link w:val="Docoriginal"/>
    <w:locked/>
    <w:rsid w:val="00A42442"/>
    <w:rPr>
      <w:rFonts w:ascii="Arial" w:eastAsia="Times New Roman" w:hAnsi="Arial"/>
      <w:b/>
      <w:bCs/>
      <w:spacing w:val="10"/>
      <w:sz w:val="18"/>
      <w:szCs w:val="20"/>
      <w:lang w:eastAsia="en-US"/>
    </w:rPr>
  </w:style>
  <w:style w:type="paragraph" w:styleId="TOC2">
    <w:name w:val="toc 2"/>
    <w:next w:val="Normal"/>
    <w:autoRedefine/>
    <w:uiPriority w:val="39"/>
    <w:rsid w:val="00A42442"/>
    <w:pPr>
      <w:tabs>
        <w:tab w:val="right" w:leader="dot" w:pos="9639"/>
      </w:tabs>
      <w:spacing w:before="120"/>
      <w:ind w:left="454" w:right="851" w:hanging="284"/>
      <w:contextualSpacing/>
    </w:pPr>
    <w:rPr>
      <w:rFonts w:ascii="Arial" w:eastAsia="Times New Roman" w:hAnsi="Arial"/>
      <w:smallCaps/>
      <w:sz w:val="20"/>
      <w:szCs w:val="20"/>
      <w:lang w:val="en-US" w:eastAsia="en-US"/>
    </w:rPr>
  </w:style>
  <w:style w:type="paragraph" w:styleId="TOC3">
    <w:name w:val="toc 3"/>
    <w:next w:val="Normal"/>
    <w:autoRedefine/>
    <w:semiHidden/>
    <w:rsid w:val="00A42442"/>
    <w:pPr>
      <w:tabs>
        <w:tab w:val="right" w:leader="dot" w:pos="9639"/>
      </w:tabs>
      <w:spacing w:before="120"/>
      <w:ind w:left="568" w:right="851" w:hanging="284"/>
      <w:contextualSpacing/>
    </w:pPr>
    <w:rPr>
      <w:rFonts w:ascii="Arial" w:eastAsia="Times New Roman" w:hAnsi="Arial"/>
      <w:sz w:val="18"/>
      <w:szCs w:val="20"/>
      <w:lang w:val="fr-FR" w:eastAsia="en-US"/>
    </w:rPr>
  </w:style>
  <w:style w:type="character" w:styleId="Hyperlink">
    <w:name w:val="Hyperlink"/>
    <w:basedOn w:val="DefaultParagraphFont"/>
    <w:uiPriority w:val="99"/>
    <w:rsid w:val="00A42442"/>
    <w:rPr>
      <w:rFonts w:ascii="Arial" w:hAnsi="Arial"/>
      <w:color w:val="0000FF"/>
      <w:u w:val="single"/>
    </w:rPr>
  </w:style>
  <w:style w:type="paragraph" w:styleId="TOC4">
    <w:name w:val="toc 4"/>
    <w:next w:val="Normal"/>
    <w:autoRedefine/>
    <w:semiHidden/>
    <w:rsid w:val="00A42442"/>
    <w:pPr>
      <w:tabs>
        <w:tab w:val="right" w:leader="dot" w:pos="9639"/>
      </w:tabs>
      <w:spacing w:before="120"/>
      <w:ind w:left="738" w:right="851" w:hanging="284"/>
    </w:pPr>
    <w:rPr>
      <w:rFonts w:ascii="Arial" w:eastAsia="Times New Roman" w:hAnsi="Arial"/>
      <w:i/>
      <w:sz w:val="18"/>
      <w:szCs w:val="20"/>
      <w:lang w:val="fr-FR" w:eastAsia="en-US"/>
    </w:rPr>
  </w:style>
  <w:style w:type="paragraph" w:styleId="TOC1">
    <w:name w:val="toc 1"/>
    <w:next w:val="Normal"/>
    <w:autoRedefine/>
    <w:uiPriority w:val="39"/>
    <w:rsid w:val="007D3454"/>
    <w:pPr>
      <w:tabs>
        <w:tab w:val="right" w:leader="dot" w:pos="9639"/>
      </w:tabs>
      <w:spacing w:before="120"/>
      <w:jc w:val="center"/>
    </w:pPr>
    <w:rPr>
      <w:rFonts w:ascii="Arial" w:eastAsia="Times New Roman" w:hAnsi="Arial"/>
      <w:caps/>
      <w:sz w:val="20"/>
      <w:szCs w:val="20"/>
      <w:lang w:val="en-US" w:eastAsia="en-US"/>
    </w:rPr>
  </w:style>
  <w:style w:type="paragraph" w:styleId="TOC5">
    <w:name w:val="toc 5"/>
    <w:next w:val="Normal"/>
    <w:autoRedefine/>
    <w:semiHidden/>
    <w:rsid w:val="00A42442"/>
    <w:pPr>
      <w:tabs>
        <w:tab w:val="right" w:leader="dot" w:pos="9639"/>
      </w:tabs>
      <w:ind w:left="567" w:right="851" w:firstLine="284"/>
      <w:jc w:val="both"/>
    </w:pPr>
    <w:rPr>
      <w:rFonts w:ascii="Arial" w:eastAsia="Times New Roman" w:hAnsi="Arial"/>
      <w:sz w:val="16"/>
      <w:szCs w:val="20"/>
      <w:lang w:val="fr-FR" w:eastAsia="en-US"/>
    </w:rPr>
  </w:style>
  <w:style w:type="paragraph" w:styleId="BalloonText">
    <w:name w:val="Balloon Text"/>
    <w:basedOn w:val="Normal"/>
    <w:link w:val="BalloonTextChar"/>
    <w:rsid w:val="00A42442"/>
    <w:rPr>
      <w:rFonts w:ascii="Tahoma" w:hAnsi="Tahoma" w:cs="Tahoma"/>
      <w:sz w:val="16"/>
      <w:szCs w:val="16"/>
    </w:rPr>
  </w:style>
  <w:style w:type="character" w:customStyle="1" w:styleId="BalloonTextChar">
    <w:name w:val="Balloon Text Char"/>
    <w:basedOn w:val="DefaultParagraphFont"/>
    <w:link w:val="BalloonText"/>
    <w:locked/>
    <w:rsid w:val="00A42442"/>
    <w:rPr>
      <w:rFonts w:ascii="Tahoma" w:eastAsia="Times New Roman" w:hAnsi="Tahoma" w:cs="Tahoma"/>
      <w:sz w:val="16"/>
      <w:szCs w:val="16"/>
      <w:lang w:eastAsia="en-US"/>
    </w:rPr>
  </w:style>
  <w:style w:type="paragraph" w:customStyle="1" w:styleId="Doccode">
    <w:name w:val="Doc_code"/>
    <w:qFormat/>
    <w:rsid w:val="00A42442"/>
    <w:rPr>
      <w:rFonts w:ascii="Arial" w:eastAsia="Times New Roman" w:hAnsi="Arial"/>
      <w:b/>
      <w:bCs/>
      <w:spacing w:val="10"/>
      <w:sz w:val="18"/>
      <w:szCs w:val="20"/>
      <w:lang w:val="en-US" w:eastAsia="en-US"/>
    </w:rPr>
  </w:style>
  <w:style w:type="paragraph" w:styleId="ListParagraph">
    <w:name w:val="List Paragraph"/>
    <w:basedOn w:val="Normal"/>
    <w:uiPriority w:val="99"/>
    <w:qFormat/>
    <w:rsid w:val="00FE318A"/>
    <w:pPr>
      <w:ind w:left="720"/>
    </w:pPr>
  </w:style>
  <w:style w:type="paragraph" w:styleId="BodyTextIndent">
    <w:name w:val="Body Text Indent"/>
    <w:basedOn w:val="Normal"/>
    <w:link w:val="BodyTextIndentChar"/>
    <w:uiPriority w:val="99"/>
    <w:rsid w:val="00FE318A"/>
    <w:pPr>
      <w:spacing w:after="120"/>
      <w:ind w:left="283"/>
    </w:pPr>
  </w:style>
  <w:style w:type="character" w:customStyle="1" w:styleId="BodyTextIndentChar">
    <w:name w:val="Body Text Indent Char"/>
    <w:basedOn w:val="DefaultParagraphFont"/>
    <w:link w:val="BodyTextIndent"/>
    <w:uiPriority w:val="99"/>
    <w:locked/>
    <w:rsid w:val="00FE318A"/>
    <w:rPr>
      <w:rFonts w:ascii="Arial" w:eastAsia="MS Mincho" w:hAnsi="Arial" w:cs="Arial"/>
    </w:rPr>
  </w:style>
  <w:style w:type="paragraph" w:customStyle="1" w:styleId="Style1">
    <w:name w:val="Style1"/>
    <w:basedOn w:val="Normal"/>
    <w:uiPriority w:val="99"/>
    <w:rsid w:val="00FE318A"/>
    <w:pPr>
      <w:tabs>
        <w:tab w:val="decimal" w:pos="907"/>
        <w:tab w:val="left" w:pos="1077"/>
      </w:tabs>
    </w:pPr>
    <w:rPr>
      <w:rFonts w:ascii="Times New Roman" w:hAnsi="Times New Roman"/>
      <w:sz w:val="24"/>
      <w:szCs w:val="24"/>
      <w:lang w:eastAsia="ja-JP"/>
    </w:rPr>
  </w:style>
  <w:style w:type="character" w:styleId="FollowedHyperlink">
    <w:name w:val="FollowedHyperlink"/>
    <w:basedOn w:val="DefaultParagraphFont"/>
    <w:uiPriority w:val="99"/>
    <w:rsid w:val="00ED3A0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index 1" w:uiPriority="0"/>
    <w:lsdException w:name="index 2" w:uiPriority="0"/>
    <w:lsdException w:name="index 3" w:uiPriority="0"/>
    <w:lsdException w:name="toc 1" w:locked="1" w:semiHidden="0" w:uiPriority="39" w:unhideWhenUsed="0"/>
    <w:lsdException w:name="toc 2" w:locked="1" w:semiHidden="0" w:uiPriority="39" w:unhideWhenUsed="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uiPriority="0"/>
    <w:lsdException w:name="caption" w:locked="1" w:uiPriority="0" w:qFormat="1"/>
    <w:lsdException w:name="footnote reference" w:locked="1" w:semiHidden="0" w:uiPriority="0" w:unhideWhenUsed="0"/>
    <w:lsdException w:name="page number" w:uiPriority="0"/>
    <w:lsdException w:name="endnote reference" w:uiPriority="0"/>
    <w:lsdException w:name="endnote text" w:uiPriority="0"/>
    <w:lsdException w:name="macro" w:uiPriority="0"/>
    <w:lsdException w:name="Title" w:locked="1" w:semiHidden="0" w:uiPriority="0" w:unhideWhenUsed="0" w:qFormat="1"/>
    <w:lsdException w:name="Closing" w:uiPriority="0"/>
    <w:lsdException w:name="Signature" w:uiPriority="0"/>
    <w:lsdException w:name="Default Paragraph Font" w:locked="1" w:semiHidden="0" w:uiPriority="1" w:unhideWhenUsed="0"/>
    <w:lsdException w:name="Body Text" w:uiPriority="0"/>
    <w:lsdException w:name="Subtitle" w:locked="1" w:semiHidden="0" w:uiPriority="0" w:unhideWhenUsed="0" w:qFormat="1"/>
    <w:lsdException w:name="Date" w:uiPriority="0"/>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442"/>
    <w:pPr>
      <w:jc w:val="both"/>
    </w:pPr>
    <w:rPr>
      <w:rFonts w:ascii="Arial" w:eastAsia="Times New Roman" w:hAnsi="Arial"/>
      <w:sz w:val="20"/>
      <w:szCs w:val="20"/>
      <w:lang w:eastAsia="en-US"/>
    </w:rPr>
  </w:style>
  <w:style w:type="paragraph" w:styleId="Heading1">
    <w:name w:val="heading 1"/>
    <w:next w:val="Normal"/>
    <w:link w:val="Heading1Char"/>
    <w:autoRedefine/>
    <w:qFormat/>
    <w:rsid w:val="00A42442"/>
    <w:pPr>
      <w:keepNext/>
      <w:jc w:val="both"/>
      <w:outlineLvl w:val="0"/>
    </w:pPr>
    <w:rPr>
      <w:rFonts w:ascii="Arial" w:eastAsia="Times New Roman" w:hAnsi="Arial"/>
      <w:caps/>
      <w:sz w:val="20"/>
      <w:szCs w:val="20"/>
      <w:lang w:val="en-US" w:eastAsia="en-US"/>
    </w:rPr>
  </w:style>
  <w:style w:type="paragraph" w:styleId="Heading2">
    <w:name w:val="heading 2"/>
    <w:next w:val="Normal"/>
    <w:link w:val="Heading2Char"/>
    <w:autoRedefine/>
    <w:qFormat/>
    <w:rsid w:val="00A42442"/>
    <w:pPr>
      <w:keepNext/>
      <w:jc w:val="both"/>
      <w:outlineLvl w:val="1"/>
    </w:pPr>
    <w:rPr>
      <w:rFonts w:ascii="Arial" w:eastAsia="Times New Roman" w:hAnsi="Arial"/>
      <w:sz w:val="20"/>
      <w:szCs w:val="20"/>
      <w:u w:val="single"/>
      <w:lang w:val="en-US" w:eastAsia="en-US"/>
    </w:rPr>
  </w:style>
  <w:style w:type="paragraph" w:styleId="Heading3">
    <w:name w:val="heading 3"/>
    <w:next w:val="Normal"/>
    <w:link w:val="Heading3Char"/>
    <w:autoRedefine/>
    <w:qFormat/>
    <w:rsid w:val="00A42442"/>
    <w:pPr>
      <w:keepNext/>
      <w:jc w:val="both"/>
      <w:outlineLvl w:val="2"/>
    </w:pPr>
    <w:rPr>
      <w:rFonts w:ascii="Arial" w:eastAsia="Times New Roman" w:hAnsi="Arial"/>
      <w:i/>
      <w:sz w:val="20"/>
      <w:szCs w:val="20"/>
      <w:lang w:val="en-US" w:eastAsia="en-US"/>
    </w:rPr>
  </w:style>
  <w:style w:type="paragraph" w:styleId="Heading4">
    <w:name w:val="heading 4"/>
    <w:next w:val="Normal"/>
    <w:link w:val="Heading4Char"/>
    <w:autoRedefine/>
    <w:qFormat/>
    <w:rsid w:val="00A42442"/>
    <w:pPr>
      <w:keepNext/>
      <w:ind w:left="567"/>
      <w:jc w:val="both"/>
      <w:outlineLvl w:val="3"/>
    </w:pPr>
    <w:rPr>
      <w:rFonts w:ascii="Arial" w:eastAsia="Times New Roman" w:hAnsi="Arial"/>
      <w:sz w:val="20"/>
      <w:szCs w:val="20"/>
      <w:u w:val="single"/>
      <w:lang w:val="fr-FR" w:eastAsia="en-US"/>
    </w:rPr>
  </w:style>
  <w:style w:type="paragraph" w:styleId="Heading5">
    <w:name w:val="heading 5"/>
    <w:next w:val="Normal"/>
    <w:link w:val="Heading5Char"/>
    <w:autoRedefine/>
    <w:qFormat/>
    <w:rsid w:val="00A42442"/>
    <w:pPr>
      <w:keepNext/>
      <w:ind w:left="1134" w:hanging="567"/>
      <w:jc w:val="both"/>
      <w:outlineLvl w:val="4"/>
    </w:pPr>
    <w:rPr>
      <w:rFonts w:ascii="Arial" w:eastAsia="Times New Roman" w:hAnsi="Arial"/>
      <w:i/>
      <w:sz w:val="20"/>
      <w:szCs w:val="20"/>
      <w:lang w:val="en-US" w:eastAsia="en-US"/>
    </w:rPr>
  </w:style>
  <w:style w:type="paragraph" w:styleId="Heading9">
    <w:name w:val="heading 9"/>
    <w:basedOn w:val="Normal"/>
    <w:next w:val="Normal"/>
    <w:link w:val="Heading9Char"/>
    <w:qFormat/>
    <w:rsid w:val="00A42442"/>
    <w:pPr>
      <w:spacing w:before="240" w:after="60"/>
      <w:outlineLvl w:val="8"/>
    </w:pPr>
    <w:rPr>
      <w:i/>
      <w:sz w:val="18"/>
    </w:rPr>
  </w:style>
  <w:style w:type="character" w:default="1" w:styleId="DefaultParagraphFont">
    <w:name w:val="Default Paragraph Font"/>
    <w:uiPriority w:val="1"/>
    <w:semiHidden/>
    <w:unhideWhenUsed/>
    <w:rsid w:val="00A424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2442"/>
  </w:style>
  <w:style w:type="character" w:customStyle="1" w:styleId="Heading1Char">
    <w:name w:val="Heading 1 Char"/>
    <w:basedOn w:val="DefaultParagraphFont"/>
    <w:link w:val="Heading1"/>
    <w:locked/>
    <w:rsid w:val="007165FB"/>
    <w:rPr>
      <w:rFonts w:ascii="Arial" w:eastAsia="Times New Roman" w:hAnsi="Arial"/>
      <w:caps/>
      <w:sz w:val="20"/>
      <w:szCs w:val="20"/>
      <w:lang w:val="en-US" w:eastAsia="en-US"/>
    </w:rPr>
  </w:style>
  <w:style w:type="character" w:customStyle="1" w:styleId="Heading2Char">
    <w:name w:val="Heading 2 Char"/>
    <w:basedOn w:val="DefaultParagraphFont"/>
    <w:link w:val="Heading2"/>
    <w:rsid w:val="00FF5E23"/>
    <w:rPr>
      <w:rFonts w:ascii="Arial" w:eastAsia="Times New Roman" w:hAnsi="Arial"/>
      <w:sz w:val="20"/>
      <w:szCs w:val="20"/>
      <w:u w:val="single"/>
      <w:lang w:val="en-US" w:eastAsia="en-US"/>
    </w:rPr>
  </w:style>
  <w:style w:type="character" w:customStyle="1" w:styleId="Heading3Char">
    <w:name w:val="Heading 3 Char"/>
    <w:basedOn w:val="DefaultParagraphFont"/>
    <w:link w:val="Heading3"/>
    <w:rsid w:val="00FF5E23"/>
    <w:rPr>
      <w:rFonts w:ascii="Arial" w:eastAsia="Times New Roman" w:hAnsi="Arial"/>
      <w:i/>
      <w:sz w:val="20"/>
      <w:szCs w:val="20"/>
      <w:lang w:val="en-US" w:eastAsia="en-US"/>
    </w:rPr>
  </w:style>
  <w:style w:type="character" w:customStyle="1" w:styleId="Heading4Char">
    <w:name w:val="Heading 4 Char"/>
    <w:basedOn w:val="DefaultParagraphFont"/>
    <w:link w:val="Heading4"/>
    <w:rsid w:val="00FF5E23"/>
    <w:rPr>
      <w:rFonts w:ascii="Arial" w:eastAsia="Times New Roman" w:hAnsi="Arial"/>
      <w:sz w:val="20"/>
      <w:szCs w:val="20"/>
      <w:u w:val="single"/>
      <w:lang w:val="fr-FR" w:eastAsia="en-US"/>
    </w:rPr>
  </w:style>
  <w:style w:type="character" w:customStyle="1" w:styleId="Heading5Char">
    <w:name w:val="Heading 5 Char"/>
    <w:basedOn w:val="DefaultParagraphFont"/>
    <w:link w:val="Heading5"/>
    <w:rsid w:val="00FF5E23"/>
    <w:rPr>
      <w:rFonts w:ascii="Arial" w:eastAsia="Times New Roman" w:hAnsi="Arial"/>
      <w:i/>
      <w:sz w:val="20"/>
      <w:szCs w:val="20"/>
      <w:lang w:val="en-US" w:eastAsia="en-US"/>
    </w:rPr>
  </w:style>
  <w:style w:type="character" w:customStyle="1" w:styleId="Heading9Char">
    <w:name w:val="Heading 9 Char"/>
    <w:basedOn w:val="DefaultParagraphFont"/>
    <w:link w:val="Heading9"/>
    <w:locked/>
    <w:rsid w:val="00F6376E"/>
    <w:rPr>
      <w:rFonts w:ascii="Arial" w:eastAsia="Times New Roman" w:hAnsi="Arial"/>
      <w:i/>
      <w:sz w:val="18"/>
      <w:szCs w:val="20"/>
      <w:lang w:eastAsia="en-US"/>
    </w:rPr>
  </w:style>
  <w:style w:type="paragraph" w:styleId="Header">
    <w:name w:val="header"/>
    <w:link w:val="HeaderChar"/>
    <w:rsid w:val="00A42442"/>
    <w:pPr>
      <w:jc w:val="center"/>
    </w:pPr>
    <w:rPr>
      <w:rFonts w:ascii="Arial" w:eastAsia="Times New Roman" w:hAnsi="Arial"/>
      <w:sz w:val="20"/>
      <w:szCs w:val="20"/>
      <w:lang w:eastAsia="en-US"/>
    </w:rPr>
  </w:style>
  <w:style w:type="character" w:customStyle="1" w:styleId="HeaderChar">
    <w:name w:val="Header Char"/>
    <w:basedOn w:val="DefaultParagraphFont"/>
    <w:link w:val="Header"/>
    <w:locked/>
    <w:rsid w:val="00FE318A"/>
    <w:rPr>
      <w:rFonts w:ascii="Arial" w:eastAsia="Times New Roman" w:hAnsi="Arial"/>
      <w:sz w:val="20"/>
      <w:szCs w:val="20"/>
      <w:lang w:eastAsia="en-US"/>
    </w:rPr>
  </w:style>
  <w:style w:type="paragraph" w:styleId="Footer">
    <w:name w:val="footer"/>
    <w:aliases w:val="doc_path_name"/>
    <w:link w:val="FooterChar"/>
    <w:autoRedefine/>
    <w:rsid w:val="00A42442"/>
    <w:pPr>
      <w:jc w:val="both"/>
    </w:pPr>
    <w:rPr>
      <w:rFonts w:ascii="Arial" w:eastAsia="Times New Roman" w:hAnsi="Arial"/>
      <w:sz w:val="14"/>
      <w:szCs w:val="20"/>
      <w:lang w:val="en-US" w:eastAsia="en-US"/>
    </w:rPr>
  </w:style>
  <w:style w:type="character" w:customStyle="1" w:styleId="FooterChar">
    <w:name w:val="Footer Char"/>
    <w:aliases w:val="doc_path_name Char"/>
    <w:basedOn w:val="DefaultParagraphFont"/>
    <w:link w:val="Footer"/>
    <w:rsid w:val="00FF5E23"/>
    <w:rPr>
      <w:rFonts w:ascii="Arial" w:eastAsia="Times New Roman" w:hAnsi="Arial"/>
      <w:sz w:val="14"/>
      <w:szCs w:val="20"/>
      <w:lang w:val="en-US" w:eastAsia="en-US"/>
    </w:rPr>
  </w:style>
  <w:style w:type="character" w:styleId="PageNumber">
    <w:name w:val="page number"/>
    <w:basedOn w:val="DefaultParagraphFont"/>
    <w:rsid w:val="00A42442"/>
    <w:rPr>
      <w:rFonts w:ascii="Arial" w:hAnsi="Arial"/>
      <w:sz w:val="20"/>
    </w:rPr>
  </w:style>
  <w:style w:type="paragraph" w:styleId="Title">
    <w:name w:val="Title"/>
    <w:basedOn w:val="Normal"/>
    <w:link w:val="TitleChar"/>
    <w:qFormat/>
    <w:rsid w:val="00A42442"/>
    <w:pPr>
      <w:spacing w:after="300"/>
      <w:jc w:val="center"/>
    </w:pPr>
    <w:rPr>
      <w:b/>
      <w:caps/>
      <w:kern w:val="28"/>
      <w:sz w:val="30"/>
    </w:rPr>
  </w:style>
  <w:style w:type="character" w:customStyle="1" w:styleId="TitleChar">
    <w:name w:val="Title Char"/>
    <w:basedOn w:val="DefaultParagraphFont"/>
    <w:link w:val="Title"/>
    <w:rsid w:val="00FF5E23"/>
    <w:rPr>
      <w:rFonts w:ascii="Arial" w:eastAsia="Times New Roman" w:hAnsi="Arial"/>
      <w:b/>
      <w:caps/>
      <w:kern w:val="28"/>
      <w:sz w:val="30"/>
      <w:szCs w:val="20"/>
      <w:lang w:eastAsia="en-US"/>
    </w:rPr>
  </w:style>
  <w:style w:type="paragraph" w:customStyle="1" w:styleId="preparedby">
    <w:name w:val="preparedby"/>
    <w:basedOn w:val="Normal"/>
    <w:next w:val="Normal"/>
    <w:semiHidden/>
    <w:rsid w:val="00A42442"/>
    <w:pPr>
      <w:spacing w:after="600"/>
      <w:jc w:val="center"/>
    </w:pPr>
    <w:rPr>
      <w:i/>
    </w:rPr>
  </w:style>
  <w:style w:type="paragraph" w:customStyle="1" w:styleId="Docoriginal">
    <w:name w:val="Doc_original"/>
    <w:basedOn w:val="Code"/>
    <w:link w:val="DocoriginalChar"/>
    <w:rsid w:val="00A42442"/>
    <w:pPr>
      <w:spacing w:before="240" w:line="240" w:lineRule="exact"/>
      <w:ind w:left="0"/>
      <w:contextualSpacing/>
      <w:jc w:val="left"/>
    </w:pPr>
    <w:rPr>
      <w:sz w:val="18"/>
    </w:rPr>
  </w:style>
  <w:style w:type="paragraph" w:customStyle="1" w:styleId="DecisionParagraphs">
    <w:name w:val="DecisionParagraphs"/>
    <w:basedOn w:val="Normal"/>
    <w:rsid w:val="00A42442"/>
    <w:pPr>
      <w:tabs>
        <w:tab w:val="left" w:pos="5387"/>
      </w:tabs>
      <w:ind w:left="4820"/>
    </w:pPr>
    <w:rPr>
      <w:i/>
    </w:rPr>
  </w:style>
  <w:style w:type="paragraph" w:styleId="FootnoteText">
    <w:name w:val="footnote text"/>
    <w:link w:val="FootnoteTextChar"/>
    <w:autoRedefine/>
    <w:rsid w:val="00A42442"/>
    <w:pPr>
      <w:spacing w:before="60"/>
      <w:ind w:left="567" w:hanging="567"/>
      <w:jc w:val="both"/>
    </w:pPr>
    <w:rPr>
      <w:rFonts w:ascii="Arial" w:eastAsia="Times New Roman" w:hAnsi="Arial"/>
      <w:sz w:val="16"/>
      <w:szCs w:val="20"/>
      <w:lang w:eastAsia="en-US"/>
    </w:rPr>
  </w:style>
  <w:style w:type="character" w:customStyle="1" w:styleId="FootnoteTextChar">
    <w:name w:val="Footnote Text Char"/>
    <w:basedOn w:val="DefaultParagraphFont"/>
    <w:link w:val="FootnoteText"/>
    <w:locked/>
    <w:rsid w:val="00FE318A"/>
    <w:rPr>
      <w:rFonts w:ascii="Arial" w:eastAsia="Times New Roman" w:hAnsi="Arial"/>
      <w:sz w:val="16"/>
      <w:szCs w:val="20"/>
      <w:lang w:eastAsia="en-US"/>
    </w:rPr>
  </w:style>
  <w:style w:type="character" w:styleId="FootnoteReference">
    <w:name w:val="footnote reference"/>
    <w:basedOn w:val="DefaultParagraphFont"/>
    <w:semiHidden/>
    <w:rsid w:val="00A42442"/>
    <w:rPr>
      <w:vertAlign w:val="superscript"/>
    </w:rPr>
  </w:style>
  <w:style w:type="paragraph" w:styleId="Closing">
    <w:name w:val="Closing"/>
    <w:basedOn w:val="Normal"/>
    <w:link w:val="ClosingChar"/>
    <w:rsid w:val="00A42442"/>
    <w:pPr>
      <w:ind w:left="4536"/>
      <w:jc w:val="center"/>
    </w:pPr>
  </w:style>
  <w:style w:type="character" w:customStyle="1" w:styleId="ClosingChar">
    <w:name w:val="Closing Char"/>
    <w:basedOn w:val="DefaultParagraphFont"/>
    <w:link w:val="Closing"/>
    <w:rsid w:val="00FF5E23"/>
    <w:rPr>
      <w:rFonts w:ascii="Arial" w:eastAsia="Times New Roman" w:hAnsi="Arial"/>
      <w:sz w:val="20"/>
      <w:szCs w:val="20"/>
      <w:lang w:eastAsia="en-US"/>
    </w:rPr>
  </w:style>
  <w:style w:type="paragraph" w:styleId="Index1">
    <w:name w:val="index 1"/>
    <w:basedOn w:val="Normal"/>
    <w:next w:val="Normal"/>
    <w:semiHidden/>
    <w:rsid w:val="00A42442"/>
    <w:pPr>
      <w:tabs>
        <w:tab w:val="right" w:leader="dot" w:pos="9071"/>
      </w:tabs>
      <w:ind w:left="284" w:hanging="284"/>
    </w:pPr>
    <w:rPr>
      <w:sz w:val="24"/>
    </w:rPr>
  </w:style>
  <w:style w:type="paragraph" w:styleId="Index2">
    <w:name w:val="index 2"/>
    <w:basedOn w:val="Normal"/>
    <w:next w:val="Normal"/>
    <w:semiHidden/>
    <w:rsid w:val="00A42442"/>
    <w:pPr>
      <w:tabs>
        <w:tab w:val="right" w:leader="dot" w:pos="9071"/>
      </w:tabs>
      <w:ind w:left="568" w:hanging="284"/>
    </w:pPr>
    <w:rPr>
      <w:sz w:val="24"/>
    </w:rPr>
  </w:style>
  <w:style w:type="paragraph" w:styleId="Index3">
    <w:name w:val="index 3"/>
    <w:basedOn w:val="Normal"/>
    <w:next w:val="Normal"/>
    <w:semiHidden/>
    <w:rsid w:val="00A42442"/>
    <w:pPr>
      <w:tabs>
        <w:tab w:val="right" w:leader="dot" w:pos="9071"/>
      </w:tabs>
      <w:ind w:left="851" w:hanging="284"/>
    </w:pPr>
    <w:rPr>
      <w:sz w:val="24"/>
    </w:rPr>
  </w:style>
  <w:style w:type="paragraph" w:styleId="MacroText">
    <w:name w:val="macro"/>
    <w:link w:val="MacroTextChar"/>
    <w:semiHidden/>
    <w:rsid w:val="00A4244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szCs w:val="20"/>
      <w:lang w:val="en-US" w:eastAsia="en-US"/>
    </w:rPr>
  </w:style>
  <w:style w:type="character" w:customStyle="1" w:styleId="MacroTextChar">
    <w:name w:val="Macro Text Char"/>
    <w:basedOn w:val="DefaultParagraphFont"/>
    <w:link w:val="MacroText"/>
    <w:semiHidden/>
    <w:rsid w:val="00FF5E23"/>
    <w:rPr>
      <w:rFonts w:ascii="Courier New" w:eastAsia="Times New Roman" w:hAnsi="Courier New"/>
      <w:sz w:val="16"/>
      <w:szCs w:val="20"/>
      <w:lang w:val="en-US" w:eastAsia="en-US"/>
    </w:rPr>
  </w:style>
  <w:style w:type="paragraph" w:styleId="Signature">
    <w:name w:val="Signature"/>
    <w:basedOn w:val="Normal"/>
    <w:link w:val="SignatureChar"/>
    <w:rsid w:val="00A42442"/>
    <w:pPr>
      <w:ind w:left="4536"/>
      <w:jc w:val="center"/>
    </w:pPr>
  </w:style>
  <w:style w:type="character" w:customStyle="1" w:styleId="SignatureChar">
    <w:name w:val="Signature Char"/>
    <w:basedOn w:val="DefaultParagraphFont"/>
    <w:link w:val="Signature"/>
    <w:rsid w:val="00FF5E23"/>
    <w:rPr>
      <w:rFonts w:ascii="Arial" w:eastAsia="Times New Roman" w:hAnsi="Arial"/>
      <w:sz w:val="20"/>
      <w:szCs w:val="20"/>
      <w:lang w:eastAsia="en-US"/>
    </w:rPr>
  </w:style>
  <w:style w:type="character" w:customStyle="1" w:styleId="Doclang">
    <w:name w:val="Doc_lang"/>
    <w:basedOn w:val="DefaultParagraphFont"/>
    <w:rsid w:val="00A42442"/>
    <w:rPr>
      <w:rFonts w:ascii="Arial" w:hAnsi="Arial"/>
      <w:sz w:val="20"/>
      <w:lang w:val="en-US"/>
    </w:rPr>
  </w:style>
  <w:style w:type="paragraph" w:customStyle="1" w:styleId="Session">
    <w:name w:val="Session"/>
    <w:basedOn w:val="Normal"/>
    <w:semiHidden/>
    <w:rsid w:val="00A42442"/>
    <w:pPr>
      <w:spacing w:before="60"/>
      <w:jc w:val="center"/>
    </w:pPr>
    <w:rPr>
      <w:b/>
    </w:rPr>
  </w:style>
  <w:style w:type="paragraph" w:customStyle="1" w:styleId="Organizer">
    <w:name w:val="Organizer"/>
    <w:basedOn w:val="Normal"/>
    <w:semiHidden/>
    <w:rsid w:val="00A42442"/>
    <w:pPr>
      <w:spacing w:after="600"/>
      <w:ind w:left="-993" w:right="-994"/>
      <w:jc w:val="center"/>
    </w:pPr>
    <w:rPr>
      <w:b/>
      <w:caps/>
      <w:kern w:val="26"/>
      <w:sz w:val="26"/>
    </w:rPr>
  </w:style>
  <w:style w:type="paragraph" w:styleId="BodyText">
    <w:name w:val="Body Text"/>
    <w:basedOn w:val="Normal"/>
    <w:link w:val="BodyTextChar"/>
    <w:rsid w:val="00A42442"/>
  </w:style>
  <w:style w:type="character" w:customStyle="1" w:styleId="BodyTextChar">
    <w:name w:val="Body Text Char"/>
    <w:basedOn w:val="DefaultParagraphFont"/>
    <w:link w:val="BodyText"/>
    <w:rsid w:val="00FF5E23"/>
    <w:rPr>
      <w:rFonts w:ascii="Arial" w:eastAsia="Times New Roman" w:hAnsi="Arial"/>
      <w:sz w:val="20"/>
      <w:szCs w:val="20"/>
      <w:lang w:eastAsia="en-US"/>
    </w:rPr>
  </w:style>
  <w:style w:type="paragraph" w:customStyle="1" w:styleId="Disclaimer">
    <w:name w:val="Disclaimer"/>
    <w:next w:val="Normal"/>
    <w:qFormat/>
    <w:rsid w:val="00A42442"/>
    <w:pPr>
      <w:spacing w:after="600"/>
    </w:pPr>
    <w:rPr>
      <w:rFonts w:ascii="Arial" w:eastAsia="Times New Roman" w:hAnsi="Arial"/>
      <w:i/>
      <w:iCs/>
      <w:color w:val="A6A6A6" w:themeColor="background1" w:themeShade="A6"/>
      <w:sz w:val="20"/>
      <w:szCs w:val="20"/>
      <w:lang w:eastAsia="en-US"/>
    </w:rPr>
  </w:style>
  <w:style w:type="paragraph" w:customStyle="1" w:styleId="upove">
    <w:name w:val="upov_e"/>
    <w:basedOn w:val="Normal"/>
    <w:rsid w:val="00A42442"/>
    <w:pPr>
      <w:spacing w:before="120"/>
    </w:pPr>
    <w:rPr>
      <w:sz w:val="16"/>
    </w:rPr>
  </w:style>
  <w:style w:type="paragraph" w:customStyle="1" w:styleId="TitleofDoc">
    <w:name w:val="Title of Doc"/>
    <w:basedOn w:val="Normal"/>
    <w:semiHidden/>
    <w:rsid w:val="00A42442"/>
    <w:pPr>
      <w:spacing w:before="1200"/>
      <w:jc w:val="center"/>
    </w:pPr>
    <w:rPr>
      <w:caps/>
    </w:rPr>
  </w:style>
  <w:style w:type="paragraph" w:customStyle="1" w:styleId="preparedby0">
    <w:name w:val="prepared by"/>
    <w:basedOn w:val="Normal"/>
    <w:semiHidden/>
    <w:rsid w:val="00A42442"/>
    <w:pPr>
      <w:spacing w:before="600" w:after="600"/>
      <w:jc w:val="center"/>
    </w:pPr>
    <w:rPr>
      <w:i/>
    </w:rPr>
  </w:style>
  <w:style w:type="paragraph" w:customStyle="1" w:styleId="PlaceAndDate">
    <w:name w:val="PlaceAndDate"/>
    <w:basedOn w:val="Session"/>
    <w:semiHidden/>
    <w:rsid w:val="00A42442"/>
  </w:style>
  <w:style w:type="paragraph" w:styleId="EndnoteText">
    <w:name w:val="endnote text"/>
    <w:basedOn w:val="Normal"/>
    <w:link w:val="EndnoteTextChar"/>
    <w:semiHidden/>
    <w:rsid w:val="00A42442"/>
  </w:style>
  <w:style w:type="character" w:customStyle="1" w:styleId="EndnoteTextChar">
    <w:name w:val="Endnote Text Char"/>
    <w:basedOn w:val="DefaultParagraphFont"/>
    <w:link w:val="EndnoteText"/>
    <w:semiHidden/>
    <w:rsid w:val="00FF5E23"/>
    <w:rPr>
      <w:rFonts w:ascii="Arial" w:eastAsia="Times New Roman" w:hAnsi="Arial"/>
      <w:sz w:val="20"/>
      <w:szCs w:val="20"/>
      <w:lang w:eastAsia="en-US"/>
    </w:rPr>
  </w:style>
  <w:style w:type="character" w:styleId="EndnoteReference">
    <w:name w:val="endnote reference"/>
    <w:basedOn w:val="DefaultParagraphFont"/>
    <w:semiHidden/>
    <w:rsid w:val="00A42442"/>
    <w:rPr>
      <w:vertAlign w:val="superscript"/>
    </w:rPr>
  </w:style>
  <w:style w:type="paragraph" w:customStyle="1" w:styleId="SessionMeetingPlace">
    <w:name w:val="Session_MeetingPlace"/>
    <w:basedOn w:val="Normal"/>
    <w:semiHidden/>
    <w:rsid w:val="00A42442"/>
    <w:pPr>
      <w:spacing w:before="480"/>
      <w:jc w:val="center"/>
    </w:pPr>
    <w:rPr>
      <w:b/>
      <w:bCs/>
      <w:kern w:val="28"/>
      <w:sz w:val="24"/>
    </w:rPr>
  </w:style>
  <w:style w:type="paragraph" w:customStyle="1" w:styleId="Original">
    <w:name w:val="Original"/>
    <w:basedOn w:val="Normal"/>
    <w:semiHidden/>
    <w:rsid w:val="00A42442"/>
    <w:pPr>
      <w:spacing w:before="60"/>
      <w:ind w:left="1276"/>
    </w:pPr>
    <w:rPr>
      <w:b/>
      <w:sz w:val="22"/>
    </w:rPr>
  </w:style>
  <w:style w:type="paragraph" w:styleId="Date">
    <w:name w:val="Date"/>
    <w:basedOn w:val="Normal"/>
    <w:link w:val="DateChar"/>
    <w:semiHidden/>
    <w:rsid w:val="00A42442"/>
    <w:pPr>
      <w:spacing w:line="340" w:lineRule="exact"/>
      <w:ind w:left="1276"/>
    </w:pPr>
    <w:rPr>
      <w:b/>
      <w:sz w:val="22"/>
    </w:rPr>
  </w:style>
  <w:style w:type="character" w:customStyle="1" w:styleId="DateChar">
    <w:name w:val="Date Char"/>
    <w:basedOn w:val="DefaultParagraphFont"/>
    <w:link w:val="Date"/>
    <w:semiHidden/>
    <w:rsid w:val="00FF5E23"/>
    <w:rPr>
      <w:rFonts w:ascii="Arial" w:eastAsia="Times New Roman" w:hAnsi="Arial"/>
      <w:b/>
      <w:szCs w:val="20"/>
      <w:lang w:eastAsia="en-US"/>
    </w:rPr>
  </w:style>
  <w:style w:type="paragraph" w:customStyle="1" w:styleId="Code">
    <w:name w:val="Code"/>
    <w:basedOn w:val="Normal"/>
    <w:link w:val="CodeChar"/>
    <w:semiHidden/>
    <w:rsid w:val="00A42442"/>
    <w:pPr>
      <w:spacing w:line="340" w:lineRule="atLeast"/>
      <w:ind w:left="1276"/>
    </w:pPr>
    <w:rPr>
      <w:b/>
      <w:bCs/>
      <w:spacing w:val="10"/>
    </w:rPr>
  </w:style>
  <w:style w:type="paragraph" w:customStyle="1" w:styleId="Country">
    <w:name w:val="Country"/>
    <w:basedOn w:val="Normal"/>
    <w:semiHidden/>
    <w:rsid w:val="00A42442"/>
    <w:pPr>
      <w:spacing w:before="60" w:after="480"/>
      <w:jc w:val="center"/>
    </w:pPr>
  </w:style>
  <w:style w:type="paragraph" w:customStyle="1" w:styleId="Lettrine">
    <w:name w:val="Lettrine"/>
    <w:basedOn w:val="Normal"/>
    <w:rsid w:val="00A42442"/>
    <w:pPr>
      <w:spacing w:line="340" w:lineRule="atLeast"/>
      <w:jc w:val="right"/>
    </w:pPr>
    <w:rPr>
      <w:b/>
      <w:bCs/>
      <w:sz w:val="36"/>
    </w:rPr>
  </w:style>
  <w:style w:type="paragraph" w:customStyle="1" w:styleId="LogoUPOV">
    <w:name w:val="LogoUPOV"/>
    <w:basedOn w:val="Normal"/>
    <w:rsid w:val="00A42442"/>
    <w:pPr>
      <w:spacing w:before="600" w:after="80"/>
      <w:jc w:val="center"/>
    </w:pPr>
    <w:rPr>
      <w:snapToGrid w:val="0"/>
    </w:rPr>
  </w:style>
  <w:style w:type="paragraph" w:customStyle="1" w:styleId="Sessiontc">
    <w:name w:val="Session_tc"/>
    <w:basedOn w:val="StyleSessionAllcaps"/>
    <w:rsid w:val="00A42442"/>
    <w:pPr>
      <w:spacing w:before="0" w:line="280" w:lineRule="exact"/>
      <w:jc w:val="left"/>
    </w:pPr>
    <w:rPr>
      <w:caps w:val="0"/>
      <w:sz w:val="20"/>
    </w:rPr>
  </w:style>
  <w:style w:type="paragraph" w:customStyle="1" w:styleId="TitreUpov">
    <w:name w:val="TitreUpov"/>
    <w:basedOn w:val="Normal"/>
    <w:semiHidden/>
    <w:rsid w:val="00A42442"/>
    <w:pPr>
      <w:spacing w:before="60"/>
      <w:jc w:val="center"/>
    </w:pPr>
    <w:rPr>
      <w:b/>
      <w:sz w:val="24"/>
    </w:rPr>
  </w:style>
  <w:style w:type="paragraph" w:customStyle="1" w:styleId="StyleSessionAllcaps">
    <w:name w:val="Style Session + All caps"/>
    <w:basedOn w:val="Session"/>
    <w:semiHidden/>
    <w:rsid w:val="00A42442"/>
    <w:pPr>
      <w:spacing w:before="480"/>
    </w:pPr>
    <w:rPr>
      <w:bCs/>
      <w:caps/>
      <w:kern w:val="28"/>
      <w:sz w:val="24"/>
    </w:rPr>
  </w:style>
  <w:style w:type="paragraph" w:customStyle="1" w:styleId="plcountry">
    <w:name w:val="plcountry"/>
    <w:basedOn w:val="Normal"/>
    <w:rsid w:val="00A42442"/>
    <w:pPr>
      <w:keepNext/>
      <w:keepLines/>
      <w:spacing w:before="180" w:after="120"/>
      <w:jc w:val="left"/>
    </w:pPr>
    <w:rPr>
      <w:caps/>
      <w:noProof/>
      <w:snapToGrid w:val="0"/>
      <w:u w:val="single"/>
    </w:rPr>
  </w:style>
  <w:style w:type="paragraph" w:customStyle="1" w:styleId="pldetails">
    <w:name w:val="pldetails"/>
    <w:basedOn w:val="Normal"/>
    <w:rsid w:val="00A42442"/>
    <w:pPr>
      <w:keepLines/>
      <w:spacing w:before="60" w:after="60"/>
      <w:jc w:val="left"/>
    </w:pPr>
    <w:rPr>
      <w:noProof/>
      <w:snapToGrid w:val="0"/>
    </w:rPr>
  </w:style>
  <w:style w:type="paragraph" w:customStyle="1" w:styleId="plheading">
    <w:name w:val="plheading"/>
    <w:basedOn w:val="Normal"/>
    <w:rsid w:val="00A42442"/>
    <w:pPr>
      <w:keepNext/>
      <w:spacing w:before="480" w:after="120"/>
      <w:jc w:val="center"/>
    </w:pPr>
    <w:rPr>
      <w:caps/>
      <w:snapToGrid w:val="0"/>
      <w:u w:val="single"/>
    </w:rPr>
  </w:style>
  <w:style w:type="paragraph" w:customStyle="1" w:styleId="Sessiontcplacedate">
    <w:name w:val="Session_tc_place_date"/>
    <w:basedOn w:val="SessionMeetingPlace"/>
    <w:rsid w:val="00A42442"/>
    <w:pPr>
      <w:spacing w:before="240"/>
      <w:contextualSpacing/>
      <w:jc w:val="left"/>
    </w:pPr>
    <w:rPr>
      <w:sz w:val="20"/>
    </w:rPr>
  </w:style>
  <w:style w:type="paragraph" w:customStyle="1" w:styleId="Titleofdoc0">
    <w:name w:val="Title_of_doc"/>
    <w:basedOn w:val="TitleofDoc"/>
    <w:rsid w:val="00A42442"/>
    <w:pPr>
      <w:spacing w:before="600" w:after="240"/>
      <w:jc w:val="left"/>
    </w:pPr>
    <w:rPr>
      <w:b/>
    </w:rPr>
  </w:style>
  <w:style w:type="paragraph" w:customStyle="1" w:styleId="preparedby1">
    <w:name w:val="prepared_by"/>
    <w:basedOn w:val="preparedby0"/>
    <w:rsid w:val="00A42442"/>
    <w:pPr>
      <w:spacing w:before="0" w:after="240"/>
    </w:pPr>
    <w:rPr>
      <w:iCs/>
    </w:rPr>
  </w:style>
  <w:style w:type="character" w:customStyle="1" w:styleId="CodeChar">
    <w:name w:val="Code Char"/>
    <w:basedOn w:val="DefaultParagraphFont"/>
    <w:link w:val="Code"/>
    <w:semiHidden/>
    <w:locked/>
    <w:rsid w:val="00A42442"/>
    <w:rPr>
      <w:rFonts w:ascii="Arial" w:eastAsia="Times New Roman" w:hAnsi="Arial"/>
      <w:b/>
      <w:bCs/>
      <w:spacing w:val="10"/>
      <w:sz w:val="20"/>
      <w:szCs w:val="20"/>
      <w:lang w:eastAsia="en-US"/>
    </w:rPr>
  </w:style>
  <w:style w:type="paragraph" w:customStyle="1" w:styleId="endofdoc">
    <w:name w:val="end_of_doc"/>
    <w:next w:val="Header"/>
    <w:autoRedefine/>
    <w:rsid w:val="00A42442"/>
    <w:pPr>
      <w:spacing w:before="480"/>
      <w:ind w:left="567" w:hanging="567"/>
      <w:jc w:val="right"/>
    </w:pPr>
    <w:rPr>
      <w:rFonts w:ascii="Arial" w:eastAsia="Times New Roman" w:hAnsi="Arial"/>
      <w:sz w:val="20"/>
      <w:szCs w:val="20"/>
      <w:lang w:val="en-US" w:eastAsia="en-US"/>
    </w:rPr>
  </w:style>
  <w:style w:type="character" w:customStyle="1" w:styleId="DocoriginalChar">
    <w:name w:val="Doc_original Char"/>
    <w:basedOn w:val="CodeChar"/>
    <w:link w:val="Docoriginal"/>
    <w:locked/>
    <w:rsid w:val="00A42442"/>
    <w:rPr>
      <w:rFonts w:ascii="Arial" w:eastAsia="Times New Roman" w:hAnsi="Arial"/>
      <w:b/>
      <w:bCs/>
      <w:spacing w:val="10"/>
      <w:sz w:val="18"/>
      <w:szCs w:val="20"/>
      <w:lang w:eastAsia="en-US"/>
    </w:rPr>
  </w:style>
  <w:style w:type="paragraph" w:styleId="TOC2">
    <w:name w:val="toc 2"/>
    <w:next w:val="Normal"/>
    <w:autoRedefine/>
    <w:uiPriority w:val="39"/>
    <w:rsid w:val="00A42442"/>
    <w:pPr>
      <w:tabs>
        <w:tab w:val="right" w:leader="dot" w:pos="9639"/>
      </w:tabs>
      <w:spacing w:before="120"/>
      <w:ind w:left="454" w:right="851" w:hanging="284"/>
      <w:contextualSpacing/>
    </w:pPr>
    <w:rPr>
      <w:rFonts w:ascii="Arial" w:eastAsia="Times New Roman" w:hAnsi="Arial"/>
      <w:smallCaps/>
      <w:sz w:val="20"/>
      <w:szCs w:val="20"/>
      <w:lang w:val="en-US" w:eastAsia="en-US"/>
    </w:rPr>
  </w:style>
  <w:style w:type="paragraph" w:styleId="TOC3">
    <w:name w:val="toc 3"/>
    <w:next w:val="Normal"/>
    <w:autoRedefine/>
    <w:semiHidden/>
    <w:rsid w:val="00A42442"/>
    <w:pPr>
      <w:tabs>
        <w:tab w:val="right" w:leader="dot" w:pos="9639"/>
      </w:tabs>
      <w:spacing w:before="120"/>
      <w:ind w:left="568" w:right="851" w:hanging="284"/>
      <w:contextualSpacing/>
    </w:pPr>
    <w:rPr>
      <w:rFonts w:ascii="Arial" w:eastAsia="Times New Roman" w:hAnsi="Arial"/>
      <w:sz w:val="18"/>
      <w:szCs w:val="20"/>
      <w:lang w:val="fr-FR" w:eastAsia="en-US"/>
    </w:rPr>
  </w:style>
  <w:style w:type="character" w:styleId="Hyperlink">
    <w:name w:val="Hyperlink"/>
    <w:basedOn w:val="DefaultParagraphFont"/>
    <w:uiPriority w:val="99"/>
    <w:rsid w:val="00A42442"/>
    <w:rPr>
      <w:rFonts w:ascii="Arial" w:hAnsi="Arial"/>
      <w:color w:val="0000FF"/>
      <w:u w:val="single"/>
    </w:rPr>
  </w:style>
  <w:style w:type="paragraph" w:styleId="TOC4">
    <w:name w:val="toc 4"/>
    <w:next w:val="Normal"/>
    <w:autoRedefine/>
    <w:semiHidden/>
    <w:rsid w:val="00A42442"/>
    <w:pPr>
      <w:tabs>
        <w:tab w:val="right" w:leader="dot" w:pos="9639"/>
      </w:tabs>
      <w:spacing w:before="120"/>
      <w:ind w:left="738" w:right="851" w:hanging="284"/>
    </w:pPr>
    <w:rPr>
      <w:rFonts w:ascii="Arial" w:eastAsia="Times New Roman" w:hAnsi="Arial"/>
      <w:i/>
      <w:sz w:val="18"/>
      <w:szCs w:val="20"/>
      <w:lang w:val="fr-FR" w:eastAsia="en-US"/>
    </w:rPr>
  </w:style>
  <w:style w:type="paragraph" w:styleId="TOC1">
    <w:name w:val="toc 1"/>
    <w:next w:val="Normal"/>
    <w:autoRedefine/>
    <w:uiPriority w:val="39"/>
    <w:rsid w:val="007D3454"/>
    <w:pPr>
      <w:tabs>
        <w:tab w:val="right" w:leader="dot" w:pos="9639"/>
      </w:tabs>
      <w:spacing w:before="120"/>
      <w:jc w:val="center"/>
    </w:pPr>
    <w:rPr>
      <w:rFonts w:ascii="Arial" w:eastAsia="Times New Roman" w:hAnsi="Arial"/>
      <w:caps/>
      <w:sz w:val="20"/>
      <w:szCs w:val="20"/>
      <w:lang w:val="en-US" w:eastAsia="en-US"/>
    </w:rPr>
  </w:style>
  <w:style w:type="paragraph" w:styleId="TOC5">
    <w:name w:val="toc 5"/>
    <w:next w:val="Normal"/>
    <w:autoRedefine/>
    <w:semiHidden/>
    <w:rsid w:val="00A42442"/>
    <w:pPr>
      <w:tabs>
        <w:tab w:val="right" w:leader="dot" w:pos="9639"/>
      </w:tabs>
      <w:ind w:left="567" w:right="851" w:firstLine="284"/>
      <w:jc w:val="both"/>
    </w:pPr>
    <w:rPr>
      <w:rFonts w:ascii="Arial" w:eastAsia="Times New Roman" w:hAnsi="Arial"/>
      <w:sz w:val="16"/>
      <w:szCs w:val="20"/>
      <w:lang w:val="fr-FR" w:eastAsia="en-US"/>
    </w:rPr>
  </w:style>
  <w:style w:type="paragraph" w:styleId="BalloonText">
    <w:name w:val="Balloon Text"/>
    <w:basedOn w:val="Normal"/>
    <w:link w:val="BalloonTextChar"/>
    <w:rsid w:val="00A42442"/>
    <w:rPr>
      <w:rFonts w:ascii="Tahoma" w:hAnsi="Tahoma" w:cs="Tahoma"/>
      <w:sz w:val="16"/>
      <w:szCs w:val="16"/>
    </w:rPr>
  </w:style>
  <w:style w:type="character" w:customStyle="1" w:styleId="BalloonTextChar">
    <w:name w:val="Balloon Text Char"/>
    <w:basedOn w:val="DefaultParagraphFont"/>
    <w:link w:val="BalloonText"/>
    <w:locked/>
    <w:rsid w:val="00A42442"/>
    <w:rPr>
      <w:rFonts w:ascii="Tahoma" w:eastAsia="Times New Roman" w:hAnsi="Tahoma" w:cs="Tahoma"/>
      <w:sz w:val="16"/>
      <w:szCs w:val="16"/>
      <w:lang w:eastAsia="en-US"/>
    </w:rPr>
  </w:style>
  <w:style w:type="paragraph" w:customStyle="1" w:styleId="Doccode">
    <w:name w:val="Doc_code"/>
    <w:qFormat/>
    <w:rsid w:val="00A42442"/>
    <w:rPr>
      <w:rFonts w:ascii="Arial" w:eastAsia="Times New Roman" w:hAnsi="Arial"/>
      <w:b/>
      <w:bCs/>
      <w:spacing w:val="10"/>
      <w:sz w:val="18"/>
      <w:szCs w:val="20"/>
      <w:lang w:val="en-US" w:eastAsia="en-US"/>
    </w:rPr>
  </w:style>
  <w:style w:type="paragraph" w:styleId="ListParagraph">
    <w:name w:val="List Paragraph"/>
    <w:basedOn w:val="Normal"/>
    <w:uiPriority w:val="99"/>
    <w:qFormat/>
    <w:rsid w:val="00FE318A"/>
    <w:pPr>
      <w:ind w:left="720"/>
    </w:pPr>
  </w:style>
  <w:style w:type="paragraph" w:styleId="BodyTextIndent">
    <w:name w:val="Body Text Indent"/>
    <w:basedOn w:val="Normal"/>
    <w:link w:val="BodyTextIndentChar"/>
    <w:uiPriority w:val="99"/>
    <w:rsid w:val="00FE318A"/>
    <w:pPr>
      <w:spacing w:after="120"/>
      <w:ind w:left="283"/>
    </w:pPr>
  </w:style>
  <w:style w:type="character" w:customStyle="1" w:styleId="BodyTextIndentChar">
    <w:name w:val="Body Text Indent Char"/>
    <w:basedOn w:val="DefaultParagraphFont"/>
    <w:link w:val="BodyTextIndent"/>
    <w:uiPriority w:val="99"/>
    <w:locked/>
    <w:rsid w:val="00FE318A"/>
    <w:rPr>
      <w:rFonts w:ascii="Arial" w:eastAsia="MS Mincho" w:hAnsi="Arial" w:cs="Arial"/>
    </w:rPr>
  </w:style>
  <w:style w:type="paragraph" w:customStyle="1" w:styleId="Style1">
    <w:name w:val="Style1"/>
    <w:basedOn w:val="Normal"/>
    <w:uiPriority w:val="99"/>
    <w:rsid w:val="00FE318A"/>
    <w:pPr>
      <w:tabs>
        <w:tab w:val="decimal" w:pos="907"/>
        <w:tab w:val="left" w:pos="1077"/>
      </w:tabs>
    </w:pPr>
    <w:rPr>
      <w:rFonts w:ascii="Times New Roman" w:hAnsi="Times New Roman"/>
      <w:sz w:val="24"/>
      <w:szCs w:val="24"/>
      <w:lang w:eastAsia="ja-JP"/>
    </w:rPr>
  </w:style>
  <w:style w:type="character" w:styleId="FollowedHyperlink">
    <w:name w:val="FollowedHyperlink"/>
    <w:basedOn w:val="DefaultParagraphFont"/>
    <w:uiPriority w:val="99"/>
    <w:rsid w:val="00ED3A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about/es/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4530</Words>
  <Characters>24289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5</cp:revision>
  <cp:lastPrinted>2017-03-17T15:21:00Z</cp:lastPrinted>
  <dcterms:created xsi:type="dcterms:W3CDTF">2017-03-17T14:25:00Z</dcterms:created>
  <dcterms:modified xsi:type="dcterms:W3CDTF">2017-03-17T15:23:00Z</dcterms:modified>
</cp:coreProperties>
</file>