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2E5944">
            <w:pPr>
              <w:pStyle w:val="Sessiontcplacedate"/>
              <w:rPr>
                <w:sz w:val="22"/>
              </w:rPr>
            </w:pPr>
            <w:r>
              <w:t>Quincuagésima tercera sesión</w:t>
            </w:r>
            <w:r w:rsidR="00EB4E9C" w:rsidRPr="00DA4973">
              <w:br/>
            </w:r>
            <w:r>
              <w:t>Ginebra</w:t>
            </w:r>
            <w:r w:rsidR="00EB4E9C" w:rsidRPr="00DA4973">
              <w:t xml:space="preserve">, </w:t>
            </w:r>
            <w:r w:rsidR="00A706D3">
              <w:t>3</w:t>
            </w:r>
            <w:r w:rsidR="00BC0BD4">
              <w:t xml:space="preserve"> </w:t>
            </w:r>
            <w:r>
              <w:t>a</w:t>
            </w:r>
            <w:r w:rsidR="00BC0BD4">
              <w:t xml:space="preserve"> </w:t>
            </w:r>
            <w:r w:rsidR="00A706D3">
              <w:t xml:space="preserve">5 </w:t>
            </w:r>
            <w:r>
              <w:t>de abril de</w:t>
            </w:r>
            <w:r w:rsidR="00A706D3">
              <w:t xml:space="preserve"> </w:t>
            </w:r>
            <w:r w:rsidR="00EB4E9C" w:rsidRPr="00DA4973">
              <w:t>2017</w:t>
            </w:r>
          </w:p>
        </w:tc>
        <w:tc>
          <w:tcPr>
            <w:tcW w:w="3127" w:type="dxa"/>
          </w:tcPr>
          <w:p w:rsidR="00EB4E9C" w:rsidRPr="00DA263D" w:rsidRDefault="00EB4E9C" w:rsidP="003C7FBE">
            <w:pPr>
              <w:pStyle w:val="Doccode"/>
              <w:rPr>
                <w:lang w:val="es-ES"/>
              </w:rPr>
            </w:pPr>
            <w:r w:rsidRPr="00DA263D">
              <w:rPr>
                <w:lang w:val="es-ES"/>
              </w:rPr>
              <w:t>TC/53/</w:t>
            </w:r>
            <w:r w:rsidR="00673AC1">
              <w:rPr>
                <w:lang w:val="es-ES"/>
              </w:rPr>
              <w:t>10</w:t>
            </w:r>
          </w:p>
          <w:p w:rsidR="00EB4E9C" w:rsidRPr="003C7FBE" w:rsidRDefault="00EB4E9C" w:rsidP="003C7FBE">
            <w:pPr>
              <w:pStyle w:val="Docoriginal"/>
            </w:pPr>
            <w:r w:rsidRPr="00AC2883">
              <w:t>Original:</w:t>
            </w:r>
            <w:r w:rsidRPr="000E636A">
              <w:rPr>
                <w:b w:val="0"/>
                <w:spacing w:val="0"/>
              </w:rPr>
              <w:t xml:space="preserve">  </w:t>
            </w:r>
            <w:r w:rsidR="002E5944">
              <w:rPr>
                <w:b w:val="0"/>
                <w:spacing w:val="0"/>
              </w:rPr>
              <w:t>Inglés</w:t>
            </w:r>
          </w:p>
          <w:p w:rsidR="00EB4E9C" w:rsidRPr="007C1D92" w:rsidRDefault="002E5944" w:rsidP="00673AC1">
            <w:pPr>
              <w:pStyle w:val="Docoriginal"/>
            </w:pPr>
            <w:r>
              <w:t>Fecha</w:t>
            </w:r>
            <w:r w:rsidR="00EB4E9C" w:rsidRPr="00AC2883">
              <w:t>:</w:t>
            </w:r>
            <w:r w:rsidR="00EB4E9C" w:rsidRPr="000E636A">
              <w:rPr>
                <w:b w:val="0"/>
                <w:spacing w:val="0"/>
              </w:rPr>
              <w:t xml:space="preserve">  </w:t>
            </w:r>
            <w:r w:rsidR="00673AC1">
              <w:rPr>
                <w:b w:val="0"/>
                <w:spacing w:val="0"/>
              </w:rPr>
              <w:t xml:space="preserve">28 de marzo </w:t>
            </w:r>
            <w:r>
              <w:rPr>
                <w:b w:val="0"/>
                <w:spacing w:val="0"/>
              </w:rPr>
              <w:t xml:space="preserve">de </w:t>
            </w:r>
            <w:r w:rsidR="00EB4E9C" w:rsidRPr="000E636A">
              <w:rPr>
                <w:b w:val="0"/>
                <w:spacing w:val="0"/>
              </w:rPr>
              <w:t>2017</w:t>
            </w:r>
          </w:p>
        </w:tc>
      </w:tr>
    </w:tbl>
    <w:p w:rsidR="000D7780" w:rsidRPr="006A644A" w:rsidRDefault="00673AC1" w:rsidP="006A644A">
      <w:pPr>
        <w:pStyle w:val="Titleofdoc0"/>
      </w:pPr>
      <w:bookmarkStart w:id="0" w:name="TitleOfDoc"/>
      <w:bookmarkEnd w:id="0"/>
      <w:r w:rsidRPr="007A01C6">
        <w:t>Informe sobre las novedades acaecidas en la UPOV, donde figuran las cuestiones pertinentes examinadas en las últimas sesiones del Comité Administrativo y Jurí</w:t>
      </w:r>
      <w:r>
        <w:t>dico, el Comité Consultivo y el </w:t>
      </w:r>
      <w:r w:rsidRPr="007A01C6">
        <w:t>Consejo</w:t>
      </w:r>
    </w:p>
    <w:p w:rsidR="006A644A" w:rsidRPr="006A644A" w:rsidRDefault="000638A9" w:rsidP="006A644A">
      <w:pPr>
        <w:pStyle w:val="preparedby1"/>
        <w:jc w:val="left"/>
      </w:pPr>
      <w:bookmarkStart w:id="1" w:name="Prepared"/>
      <w:bookmarkEnd w:id="1"/>
      <w:r>
        <w:t>Documento preparado por la Oficina de la Unión</w:t>
      </w:r>
    </w:p>
    <w:p w:rsidR="00050E16" w:rsidRPr="006A644A" w:rsidRDefault="000638A9" w:rsidP="006A644A">
      <w:pPr>
        <w:pStyle w:val="Disclaimer"/>
      </w:pPr>
      <w:r w:rsidRPr="000638A9">
        <w:t>Descargo de responsabilidad: el presente documento no constituye</w:t>
      </w:r>
      <w:r>
        <w:t xml:space="preserve"> </w:t>
      </w:r>
      <w:r w:rsidRPr="000638A9">
        <w:t>un documento de política u orientación de la UPOV</w:t>
      </w:r>
    </w:p>
    <w:p w:rsidR="00673AC1" w:rsidRPr="008A6E70" w:rsidRDefault="00673AC1" w:rsidP="00673AC1">
      <w:pPr>
        <w:pStyle w:val="Heading1"/>
        <w:rPr>
          <w:lang w:val="es-ES"/>
        </w:rPr>
      </w:pPr>
      <w:bookmarkStart w:id="2" w:name="_Toc478129319"/>
      <w:bookmarkStart w:id="3" w:name="_Toc478720987"/>
      <w:r w:rsidRPr="00E11376">
        <w:rPr>
          <w:lang w:val="es-ES_tradnl"/>
        </w:rPr>
        <w:t>RESUMEN</w:t>
      </w:r>
      <w:bookmarkEnd w:id="2"/>
      <w:bookmarkEnd w:id="3"/>
    </w:p>
    <w:p w:rsidR="00673AC1" w:rsidRDefault="00673AC1" w:rsidP="00673AC1">
      <w:pPr>
        <w:rPr>
          <w:rFonts w:cs="Arial"/>
          <w:snapToGrid w:val="0"/>
        </w:rPr>
      </w:pPr>
    </w:p>
    <w:p w:rsidR="00673AC1" w:rsidRPr="00DB66B3" w:rsidRDefault="00673AC1" w:rsidP="00673AC1">
      <w:pPr>
        <w:rPr>
          <w:rFonts w:cs="Arial"/>
          <w:snapToGrid w:val="0"/>
        </w:rPr>
      </w:pPr>
      <w:r w:rsidRPr="00DB66B3">
        <w:rPr>
          <w:rFonts w:cs="Arial"/>
          <w:snapToGrid w:val="0"/>
        </w:rPr>
        <w:fldChar w:fldCharType="begin"/>
      </w:r>
      <w:r w:rsidRPr="00DB66B3">
        <w:rPr>
          <w:rFonts w:cs="Arial"/>
          <w:snapToGrid w:val="0"/>
        </w:rPr>
        <w:instrText xml:space="preserve"> AUTONUM  </w:instrText>
      </w:r>
      <w:r w:rsidRPr="00DB66B3">
        <w:rPr>
          <w:rFonts w:cs="Arial"/>
          <w:snapToGrid w:val="0"/>
        </w:rPr>
        <w:fldChar w:fldCharType="end"/>
      </w:r>
      <w:r w:rsidRPr="00DB66B3">
        <w:tab/>
      </w:r>
      <w:r w:rsidRPr="004B0DA4">
        <w:rPr>
          <w:snapToGrid w:val="0"/>
        </w:rPr>
        <w:t>El propósito del presente documento es informar acerca de las novedades acaecidas en la UPOV desde la quincuagésima segunda sesión del Comité Técnico (TC) que no se abordan en el marco de los puntos del orden del día de la quincuagésima tercera sesión del TC, sin excluir las cuestiones pertinentes debatidas en las últimas sesiones del Comité Administrativo y Jurídico (CAJ), el Comité Consultivo y el Consejo.</w:t>
      </w:r>
    </w:p>
    <w:p w:rsidR="00673AC1" w:rsidRPr="00DB66B3" w:rsidRDefault="00673AC1" w:rsidP="00673AC1">
      <w:pPr>
        <w:rPr>
          <w:rFonts w:cs="Arial"/>
          <w:snapToGrid w:val="0"/>
        </w:rPr>
      </w:pPr>
    </w:p>
    <w:p w:rsidR="00673AC1" w:rsidRDefault="00673AC1" w:rsidP="00673AC1">
      <w:pPr>
        <w:rPr>
          <w:color w:val="000000"/>
        </w:rPr>
      </w:pPr>
      <w:r w:rsidRPr="00DB66B3">
        <w:rPr>
          <w:rFonts w:cs="Arial"/>
          <w:snapToGrid w:val="0"/>
        </w:rPr>
        <w:fldChar w:fldCharType="begin"/>
      </w:r>
      <w:r w:rsidRPr="00DB66B3">
        <w:rPr>
          <w:rFonts w:cs="Arial"/>
          <w:snapToGrid w:val="0"/>
        </w:rPr>
        <w:instrText xml:space="preserve"> AUTONUM  </w:instrText>
      </w:r>
      <w:r w:rsidRPr="00DB66B3">
        <w:rPr>
          <w:rFonts w:cs="Arial"/>
          <w:snapToGrid w:val="0"/>
        </w:rPr>
        <w:fldChar w:fldCharType="end"/>
      </w:r>
      <w:r w:rsidRPr="00DB66B3">
        <w:tab/>
      </w:r>
      <w:r w:rsidRPr="00221EDD">
        <w:t>Se invita al TC a</w:t>
      </w:r>
      <w:r w:rsidRPr="00DB66B3">
        <w:rPr>
          <w:snapToGrid w:val="0"/>
        </w:rPr>
        <w:t xml:space="preserve"> </w:t>
      </w:r>
      <w:r w:rsidRPr="00621605">
        <w:rPr>
          <w:color w:val="000000"/>
        </w:rPr>
        <w:t>tomar nota de</w:t>
      </w:r>
      <w:r>
        <w:rPr>
          <w:color w:val="000000"/>
        </w:rPr>
        <w:t>:</w:t>
      </w:r>
    </w:p>
    <w:p w:rsidR="00673AC1" w:rsidRDefault="00673AC1" w:rsidP="00673AC1">
      <w:pPr>
        <w:rPr>
          <w:color w:val="000000"/>
        </w:rPr>
      </w:pPr>
    </w:p>
    <w:p w:rsidR="00673AC1" w:rsidRDefault="00673AC1" w:rsidP="00673AC1">
      <w:pPr>
        <w:rPr>
          <w:snapToGrid w:val="0"/>
        </w:rPr>
      </w:pPr>
      <w:r>
        <w:rPr>
          <w:color w:val="000000"/>
        </w:rPr>
        <w:tab/>
        <w:t>(a)</w:t>
      </w:r>
      <w:r>
        <w:rPr>
          <w:color w:val="000000"/>
        </w:rPr>
        <w:tab/>
      </w:r>
      <w:r w:rsidR="00D10EAD" w:rsidRPr="00DB66B3">
        <w:rPr>
          <w:snapToGrid w:val="0"/>
        </w:rPr>
        <w:t xml:space="preserve">las </w:t>
      </w:r>
      <w:r w:rsidR="00D10EAD" w:rsidRPr="004B0DA4">
        <w:rPr>
          <w:snapToGrid w:val="0"/>
        </w:rPr>
        <w:t>novedades acaecidas</w:t>
      </w:r>
      <w:r w:rsidR="00D10EAD" w:rsidRPr="00DB66B3">
        <w:rPr>
          <w:snapToGrid w:val="0"/>
        </w:rPr>
        <w:t xml:space="preserve"> en la UPOV desde </w:t>
      </w:r>
      <w:r w:rsidR="00D10EAD">
        <w:rPr>
          <w:snapToGrid w:val="0"/>
        </w:rPr>
        <w:t>su</w:t>
      </w:r>
      <w:r w:rsidR="00D10EAD" w:rsidRPr="00DB66B3">
        <w:rPr>
          <w:snapToGrid w:val="0"/>
        </w:rPr>
        <w:t xml:space="preserve"> quincuagésima </w:t>
      </w:r>
      <w:r w:rsidR="00D10EAD" w:rsidRPr="004B0DA4">
        <w:rPr>
          <w:snapToGrid w:val="0"/>
        </w:rPr>
        <w:t>segunda</w:t>
      </w:r>
      <w:r w:rsidR="00D10EAD" w:rsidRPr="00DB66B3">
        <w:rPr>
          <w:snapToGrid w:val="0"/>
        </w:rPr>
        <w:t xml:space="preserve"> sesión que no se abordan en el marco de los puntos del orden del día de la quincuagésima </w:t>
      </w:r>
      <w:r w:rsidR="00D10EAD" w:rsidRPr="004B0DA4">
        <w:rPr>
          <w:snapToGrid w:val="0"/>
        </w:rPr>
        <w:t>tercera</w:t>
      </w:r>
      <w:r w:rsidR="00D10EAD" w:rsidRPr="00DB66B3">
        <w:rPr>
          <w:snapToGrid w:val="0"/>
        </w:rPr>
        <w:t xml:space="preserve"> sesión del TC, sin excluir las cuestiones pertinentes debatidas en las últimas sesiones del Comité Administrativo y Jurídico (CAJ), el Comité Consultivo y el Consejo</w:t>
      </w:r>
      <w:r w:rsidR="00D10EAD">
        <w:rPr>
          <w:snapToGrid w:val="0"/>
        </w:rPr>
        <w:t xml:space="preserve">, </w:t>
      </w:r>
      <w:r w:rsidR="00D10EAD" w:rsidRPr="00DB66B3">
        <w:rPr>
          <w:snapToGrid w:val="0"/>
        </w:rPr>
        <w:t>según lo expuesto en los párrafos </w:t>
      </w:r>
      <w:r w:rsidR="00D10EAD">
        <w:rPr>
          <w:snapToGrid w:val="0"/>
        </w:rPr>
        <w:t>4 a 47</w:t>
      </w:r>
      <w:r w:rsidR="00D10EAD" w:rsidRPr="00DB66B3">
        <w:rPr>
          <w:snapToGrid w:val="0"/>
        </w:rPr>
        <w:t xml:space="preserve"> del presente documento</w:t>
      </w:r>
      <w:r w:rsidR="00D10EAD">
        <w:rPr>
          <w:snapToGrid w:val="0"/>
        </w:rPr>
        <w:t>;  y</w:t>
      </w:r>
    </w:p>
    <w:p w:rsidR="00D10EAD" w:rsidRDefault="00D10EAD" w:rsidP="00673AC1">
      <w:pPr>
        <w:rPr>
          <w:snapToGrid w:val="0"/>
        </w:rPr>
      </w:pPr>
    </w:p>
    <w:p w:rsidR="00673AC1" w:rsidRPr="00DB66B3" w:rsidRDefault="00D10EAD" w:rsidP="00673AC1">
      <w:pPr>
        <w:rPr>
          <w:rFonts w:cs="Arial"/>
          <w:snapToGrid w:val="0"/>
        </w:rPr>
      </w:pPr>
      <w:r>
        <w:rPr>
          <w:snapToGrid w:val="0"/>
        </w:rPr>
        <w:tab/>
        <w:t>(b)</w:t>
      </w:r>
      <w:r>
        <w:rPr>
          <w:snapToGrid w:val="0"/>
        </w:rPr>
        <w:tab/>
        <w:t>que e</w:t>
      </w:r>
      <w:r w:rsidR="00673AC1" w:rsidRPr="00DB66B3">
        <w:rPr>
          <w:snapToGrid w:val="0"/>
        </w:rPr>
        <w:t>n su quincuagésima </w:t>
      </w:r>
      <w:r w:rsidRPr="005E3693">
        <w:rPr>
          <w:snapToGrid w:val="0"/>
        </w:rPr>
        <w:t>tercera</w:t>
      </w:r>
      <w:r w:rsidR="00673AC1" w:rsidRPr="00DB66B3">
        <w:rPr>
          <w:snapToGrid w:val="0"/>
        </w:rPr>
        <w:t xml:space="preserve"> sesión, se presentará al TC un resumen de los temas de este documento, del que se adjunta una copia en una adición al presente documento (sólo en inglés).</w:t>
      </w:r>
    </w:p>
    <w:p w:rsidR="00673AC1" w:rsidRPr="00DB66B3" w:rsidRDefault="00673AC1" w:rsidP="00673AC1">
      <w:pPr>
        <w:rPr>
          <w:rFonts w:cs="Arial"/>
        </w:rPr>
      </w:pPr>
    </w:p>
    <w:p w:rsidR="00673AC1" w:rsidRPr="00DB66B3" w:rsidRDefault="00673AC1" w:rsidP="00673AC1">
      <w:pPr>
        <w:jc w:val="left"/>
        <w:rPr>
          <w:rFonts w:cs="Arial"/>
          <w:u w:val="single"/>
        </w:rPr>
      </w:pPr>
    </w:p>
    <w:p w:rsidR="00673AC1" w:rsidRPr="00DB66B3" w:rsidRDefault="00673AC1" w:rsidP="00673AC1">
      <w:pPr>
        <w:jc w:val="left"/>
        <w:rPr>
          <w:rFonts w:cs="Arial"/>
          <w:u w:val="single"/>
        </w:rPr>
      </w:pPr>
      <w:r w:rsidRPr="00DB66B3">
        <w:br w:type="page"/>
      </w:r>
    </w:p>
    <w:p w:rsidR="00673AC1" w:rsidRDefault="00673AC1" w:rsidP="00673AC1">
      <w:pPr>
        <w:jc w:val="left"/>
      </w:pPr>
      <w:r w:rsidRPr="00DB66B3">
        <w:rPr>
          <w:rFonts w:cs="Arial"/>
          <w:snapToGrid w:val="0"/>
        </w:rPr>
        <w:lastRenderedPageBreak/>
        <w:fldChar w:fldCharType="begin"/>
      </w:r>
      <w:r w:rsidRPr="00DB66B3">
        <w:rPr>
          <w:rFonts w:cs="Arial"/>
          <w:snapToGrid w:val="0"/>
        </w:rPr>
        <w:instrText xml:space="preserve"> AUTONUM  </w:instrText>
      </w:r>
      <w:r w:rsidRPr="00DB66B3">
        <w:rPr>
          <w:rFonts w:cs="Arial"/>
          <w:snapToGrid w:val="0"/>
        </w:rPr>
        <w:fldChar w:fldCharType="end"/>
      </w:r>
      <w:r w:rsidRPr="00DB66B3">
        <w:tab/>
      </w:r>
      <w:r w:rsidRPr="00E11376">
        <w:t>El presente documento se estructura del modo siguiente:</w:t>
      </w:r>
    </w:p>
    <w:p w:rsidR="00673AC1" w:rsidRPr="00DB66B3" w:rsidRDefault="00673AC1" w:rsidP="00673AC1">
      <w:pPr>
        <w:jc w:val="left"/>
        <w:rPr>
          <w:rFonts w:cs="Arial"/>
        </w:rPr>
      </w:pPr>
    </w:p>
    <w:p w:rsidR="00B94286" w:rsidRDefault="00673AC1" w:rsidP="00B94286">
      <w:pPr>
        <w:pStyle w:val="TOC1"/>
        <w:rPr>
          <w:rFonts w:asciiTheme="minorHAnsi" w:eastAsiaTheme="minorEastAsia" w:hAnsiTheme="minorHAnsi" w:cstheme="minorBidi"/>
          <w:noProof/>
          <w:sz w:val="22"/>
          <w:szCs w:val="22"/>
        </w:rPr>
      </w:pPr>
      <w:r w:rsidRPr="00DB66B3">
        <w:rPr>
          <w:rFonts w:cs="Arial"/>
          <w:lang w:val="es-ES_tradnl"/>
        </w:rPr>
        <w:fldChar w:fldCharType="begin"/>
      </w:r>
      <w:r w:rsidRPr="00DB66B3">
        <w:rPr>
          <w:rFonts w:cs="Arial"/>
          <w:lang w:val="es-ES_tradnl"/>
        </w:rPr>
        <w:instrText xml:space="preserve"> TOC \o "1-3" \h \z \u </w:instrText>
      </w:r>
      <w:r w:rsidRPr="00DB66B3">
        <w:rPr>
          <w:rFonts w:cs="Arial"/>
          <w:lang w:val="es-ES_tradnl"/>
        </w:rPr>
        <w:fldChar w:fldCharType="separate"/>
      </w:r>
      <w:hyperlink w:anchor="_Toc478720987" w:history="1">
        <w:r w:rsidR="00B94286" w:rsidRPr="00CE5755">
          <w:rPr>
            <w:rStyle w:val="Hyperlink"/>
            <w:noProof/>
            <w:lang w:val="es-ES_tradnl"/>
          </w:rPr>
          <w:t>RESUMEN</w:t>
        </w:r>
        <w:r w:rsidR="00B94286">
          <w:rPr>
            <w:noProof/>
            <w:webHidden/>
          </w:rPr>
          <w:tab/>
        </w:r>
        <w:r w:rsidR="00B94286">
          <w:rPr>
            <w:noProof/>
            <w:webHidden/>
          </w:rPr>
          <w:fldChar w:fldCharType="begin"/>
        </w:r>
        <w:r w:rsidR="00B94286">
          <w:rPr>
            <w:noProof/>
            <w:webHidden/>
          </w:rPr>
          <w:instrText xml:space="preserve"> PAGEREF _Toc478720987 \h </w:instrText>
        </w:r>
        <w:r w:rsidR="00B94286">
          <w:rPr>
            <w:noProof/>
            <w:webHidden/>
          </w:rPr>
        </w:r>
        <w:r w:rsidR="00B94286">
          <w:rPr>
            <w:noProof/>
            <w:webHidden/>
          </w:rPr>
          <w:fldChar w:fldCharType="separate"/>
        </w:r>
        <w:r w:rsidR="00B94286">
          <w:rPr>
            <w:noProof/>
            <w:webHidden/>
          </w:rPr>
          <w:t>1</w:t>
        </w:r>
        <w:r w:rsidR="00B94286">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0988" w:history="1">
        <w:r w:rsidRPr="00CE5755">
          <w:rPr>
            <w:rStyle w:val="Hyperlink"/>
            <w:noProof/>
            <w:lang w:val="es-ES_tradnl"/>
          </w:rPr>
          <w:t>MIEMBROS</w:t>
        </w:r>
        <w:r>
          <w:rPr>
            <w:noProof/>
            <w:webHidden/>
          </w:rPr>
          <w:tab/>
        </w:r>
        <w:r>
          <w:rPr>
            <w:noProof/>
            <w:webHidden/>
          </w:rPr>
          <w:fldChar w:fldCharType="begin"/>
        </w:r>
        <w:r>
          <w:rPr>
            <w:noProof/>
            <w:webHidden/>
          </w:rPr>
          <w:instrText xml:space="preserve"> PAGEREF _Toc478720988 \h </w:instrText>
        </w:r>
        <w:r>
          <w:rPr>
            <w:noProof/>
            <w:webHidden/>
          </w:rPr>
        </w:r>
        <w:r>
          <w:rPr>
            <w:noProof/>
            <w:webHidden/>
          </w:rPr>
          <w:fldChar w:fldCharType="separate"/>
        </w:r>
        <w:r>
          <w:rPr>
            <w:noProof/>
            <w:webHidden/>
          </w:rPr>
          <w:t>3</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0989" w:history="1">
        <w:r w:rsidRPr="00CE5755">
          <w:rPr>
            <w:rStyle w:val="Hyperlink"/>
            <w:noProof/>
            <w:lang w:val="es-ES_tradnl"/>
          </w:rPr>
          <w:t>Miembros de la Unión</w:t>
        </w:r>
        <w:r>
          <w:rPr>
            <w:noProof/>
            <w:webHidden/>
          </w:rPr>
          <w:tab/>
        </w:r>
        <w:r>
          <w:rPr>
            <w:noProof/>
            <w:webHidden/>
          </w:rPr>
          <w:fldChar w:fldCharType="begin"/>
        </w:r>
        <w:r>
          <w:rPr>
            <w:noProof/>
            <w:webHidden/>
          </w:rPr>
          <w:instrText xml:space="preserve"> PAGEREF _Toc478720989 \h </w:instrText>
        </w:r>
        <w:r>
          <w:rPr>
            <w:noProof/>
            <w:webHidden/>
          </w:rPr>
        </w:r>
        <w:r>
          <w:rPr>
            <w:noProof/>
            <w:webHidden/>
          </w:rPr>
          <w:fldChar w:fldCharType="separate"/>
        </w:r>
        <w:r>
          <w:rPr>
            <w:noProof/>
            <w:webHidden/>
          </w:rPr>
          <w:t>3</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0990" w:history="1">
        <w:r w:rsidRPr="00CE5755">
          <w:rPr>
            <w:rStyle w:val="Hyperlink"/>
            <w:noProof/>
            <w:lang w:val="es-ES_tradnl"/>
          </w:rPr>
          <w:t>Situación respecto de las distintas Actas del Convenio</w:t>
        </w:r>
        <w:r>
          <w:rPr>
            <w:noProof/>
            <w:webHidden/>
          </w:rPr>
          <w:tab/>
        </w:r>
        <w:r>
          <w:rPr>
            <w:noProof/>
            <w:webHidden/>
          </w:rPr>
          <w:fldChar w:fldCharType="begin"/>
        </w:r>
        <w:r>
          <w:rPr>
            <w:noProof/>
            <w:webHidden/>
          </w:rPr>
          <w:instrText xml:space="preserve"> PAGEREF _Toc478720990 \h </w:instrText>
        </w:r>
        <w:r>
          <w:rPr>
            <w:noProof/>
            <w:webHidden/>
          </w:rPr>
        </w:r>
        <w:r>
          <w:rPr>
            <w:noProof/>
            <w:webHidden/>
          </w:rPr>
          <w:fldChar w:fldCharType="separate"/>
        </w:r>
        <w:r>
          <w:rPr>
            <w:noProof/>
            <w:webHidden/>
          </w:rPr>
          <w:t>3</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0991" w:history="1">
        <w:r w:rsidRPr="00CE5755">
          <w:rPr>
            <w:rStyle w:val="Hyperlink"/>
            <w:noProof/>
            <w:lang w:val="es-ES_tradnl"/>
          </w:rPr>
          <w:t xml:space="preserve">Estadísticas sobre la </w:t>
        </w:r>
        <w:r w:rsidRPr="00CE5755">
          <w:rPr>
            <w:rStyle w:val="Hyperlink"/>
            <w:noProof/>
            <w:snapToGrid w:val="0"/>
            <w:lang w:val="es-ES_tradnl"/>
          </w:rPr>
          <w:t>protección de las obtenciones vegetales</w:t>
        </w:r>
        <w:r>
          <w:rPr>
            <w:noProof/>
            <w:webHidden/>
          </w:rPr>
          <w:tab/>
        </w:r>
        <w:r>
          <w:rPr>
            <w:noProof/>
            <w:webHidden/>
          </w:rPr>
          <w:fldChar w:fldCharType="begin"/>
        </w:r>
        <w:r>
          <w:rPr>
            <w:noProof/>
            <w:webHidden/>
          </w:rPr>
          <w:instrText xml:space="preserve"> PAGEREF _Toc478720991 \h </w:instrText>
        </w:r>
        <w:r>
          <w:rPr>
            <w:noProof/>
            <w:webHidden/>
          </w:rPr>
        </w:r>
        <w:r>
          <w:rPr>
            <w:noProof/>
            <w:webHidden/>
          </w:rPr>
          <w:fldChar w:fldCharType="separate"/>
        </w:r>
        <w:r>
          <w:rPr>
            <w:noProof/>
            <w:webHidden/>
          </w:rPr>
          <w:t>3</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0992" w:history="1">
        <w:r w:rsidRPr="00CE5755">
          <w:rPr>
            <w:rStyle w:val="Hyperlink"/>
            <w:noProof/>
            <w:lang w:val="es-ES_tradnl"/>
          </w:rPr>
          <w:t>Lista de los taxones protegidos por los miembros de la Unión</w:t>
        </w:r>
        <w:r>
          <w:rPr>
            <w:noProof/>
            <w:webHidden/>
          </w:rPr>
          <w:tab/>
        </w:r>
        <w:r>
          <w:rPr>
            <w:noProof/>
            <w:webHidden/>
          </w:rPr>
          <w:fldChar w:fldCharType="begin"/>
        </w:r>
        <w:r>
          <w:rPr>
            <w:noProof/>
            <w:webHidden/>
          </w:rPr>
          <w:instrText xml:space="preserve"> PAGEREF _Toc478720992 \h </w:instrText>
        </w:r>
        <w:r>
          <w:rPr>
            <w:noProof/>
            <w:webHidden/>
          </w:rPr>
        </w:r>
        <w:r>
          <w:rPr>
            <w:noProof/>
            <w:webHidden/>
          </w:rPr>
          <w:fldChar w:fldCharType="separate"/>
        </w:r>
        <w:r>
          <w:rPr>
            <w:noProof/>
            <w:webHidden/>
          </w:rPr>
          <w:t>3</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0993" w:history="1">
        <w:r w:rsidRPr="00CE5755">
          <w:rPr>
            <w:rStyle w:val="Hyperlink"/>
            <w:noProof/>
            <w:lang w:val="es-ES_tradnl"/>
          </w:rPr>
          <w:t>Estadísticas sobre la protección de las obtenciones vegetales</w:t>
        </w:r>
        <w:r>
          <w:rPr>
            <w:noProof/>
            <w:webHidden/>
          </w:rPr>
          <w:tab/>
        </w:r>
        <w:r>
          <w:rPr>
            <w:noProof/>
            <w:webHidden/>
          </w:rPr>
          <w:fldChar w:fldCharType="begin"/>
        </w:r>
        <w:r>
          <w:rPr>
            <w:noProof/>
            <w:webHidden/>
          </w:rPr>
          <w:instrText xml:space="preserve"> PAGEREF _Toc478720993 \h </w:instrText>
        </w:r>
        <w:r>
          <w:rPr>
            <w:noProof/>
            <w:webHidden/>
          </w:rPr>
        </w:r>
        <w:r>
          <w:rPr>
            <w:noProof/>
            <w:webHidden/>
          </w:rPr>
          <w:fldChar w:fldCharType="separate"/>
        </w:r>
        <w:r>
          <w:rPr>
            <w:noProof/>
            <w:webHidden/>
          </w:rPr>
          <w:t>3</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0994" w:history="1">
        <w:r w:rsidRPr="00CE5755">
          <w:rPr>
            <w:rStyle w:val="Hyperlink"/>
            <w:noProof/>
            <w:lang w:val="es-ES_tradnl"/>
          </w:rPr>
          <w:t>Cooperación en el examen de obtenciones vegetales</w:t>
        </w:r>
        <w:r>
          <w:rPr>
            <w:noProof/>
            <w:webHidden/>
          </w:rPr>
          <w:tab/>
        </w:r>
        <w:r>
          <w:rPr>
            <w:noProof/>
            <w:webHidden/>
          </w:rPr>
          <w:fldChar w:fldCharType="begin"/>
        </w:r>
        <w:r>
          <w:rPr>
            <w:noProof/>
            <w:webHidden/>
          </w:rPr>
          <w:instrText xml:space="preserve"> PAGEREF _Toc478720994 \h </w:instrText>
        </w:r>
        <w:r>
          <w:rPr>
            <w:noProof/>
            <w:webHidden/>
          </w:rPr>
        </w:r>
        <w:r>
          <w:rPr>
            <w:noProof/>
            <w:webHidden/>
          </w:rPr>
          <w:fldChar w:fldCharType="separate"/>
        </w:r>
        <w:r>
          <w:rPr>
            <w:noProof/>
            <w:webHidden/>
          </w:rPr>
          <w:t>4</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0995" w:history="1">
        <w:r w:rsidRPr="00CE5755">
          <w:rPr>
            <w:rStyle w:val="Hyperlink"/>
            <w:noProof/>
            <w:lang w:val="es-ES"/>
          </w:rPr>
          <w:t>Informe anual del Secretario General correspondiente al año 2015;  informe sobre el rendimiento del bienio 2014-2015</w:t>
        </w:r>
        <w:r>
          <w:rPr>
            <w:noProof/>
            <w:webHidden/>
          </w:rPr>
          <w:tab/>
        </w:r>
        <w:r>
          <w:rPr>
            <w:noProof/>
            <w:webHidden/>
          </w:rPr>
          <w:fldChar w:fldCharType="begin"/>
        </w:r>
        <w:r>
          <w:rPr>
            <w:noProof/>
            <w:webHidden/>
          </w:rPr>
          <w:instrText xml:space="preserve"> PAGEREF _Toc478720995 \h </w:instrText>
        </w:r>
        <w:r>
          <w:rPr>
            <w:noProof/>
            <w:webHidden/>
          </w:rPr>
        </w:r>
        <w:r>
          <w:rPr>
            <w:noProof/>
            <w:webHidden/>
          </w:rPr>
          <w:fldChar w:fldCharType="separate"/>
        </w:r>
        <w:r>
          <w:rPr>
            <w:noProof/>
            <w:webHidden/>
          </w:rPr>
          <w:t>4</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0996" w:history="1">
        <w:r w:rsidRPr="00CE5755">
          <w:rPr>
            <w:rStyle w:val="Hyperlink"/>
            <w:noProof/>
            <w:lang w:val="es-ES"/>
          </w:rPr>
          <w:t>Informe de evaluación elaborado por la División de la OMPI de Supervisión Interna</w:t>
        </w:r>
        <w:r>
          <w:rPr>
            <w:noProof/>
            <w:webHidden/>
          </w:rPr>
          <w:tab/>
        </w:r>
        <w:r>
          <w:rPr>
            <w:noProof/>
            <w:webHidden/>
          </w:rPr>
          <w:fldChar w:fldCharType="begin"/>
        </w:r>
        <w:r>
          <w:rPr>
            <w:noProof/>
            <w:webHidden/>
          </w:rPr>
          <w:instrText xml:space="preserve"> PAGEREF _Toc478720996 \h </w:instrText>
        </w:r>
        <w:r>
          <w:rPr>
            <w:noProof/>
            <w:webHidden/>
          </w:rPr>
        </w:r>
        <w:r>
          <w:rPr>
            <w:noProof/>
            <w:webHidden/>
          </w:rPr>
          <w:fldChar w:fldCharType="separate"/>
        </w:r>
        <w:r>
          <w:rPr>
            <w:noProof/>
            <w:webHidden/>
          </w:rPr>
          <w:t>4</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0997" w:history="1">
        <w:r w:rsidRPr="00CE5755">
          <w:rPr>
            <w:rStyle w:val="Hyperlink"/>
            <w:noProof/>
            <w:lang w:val="es-ES_tradnl"/>
          </w:rPr>
          <w:t>Órganos de la UPOV y sus sesiones</w:t>
        </w:r>
        <w:r>
          <w:rPr>
            <w:noProof/>
            <w:webHidden/>
          </w:rPr>
          <w:tab/>
        </w:r>
        <w:r>
          <w:rPr>
            <w:noProof/>
            <w:webHidden/>
          </w:rPr>
          <w:fldChar w:fldCharType="begin"/>
        </w:r>
        <w:r>
          <w:rPr>
            <w:noProof/>
            <w:webHidden/>
          </w:rPr>
          <w:instrText xml:space="preserve"> PAGEREF _Toc478720997 \h </w:instrText>
        </w:r>
        <w:r>
          <w:rPr>
            <w:noProof/>
            <w:webHidden/>
          </w:rPr>
        </w:r>
        <w:r>
          <w:rPr>
            <w:noProof/>
            <w:webHidden/>
          </w:rPr>
          <w:fldChar w:fldCharType="separate"/>
        </w:r>
        <w:r>
          <w:rPr>
            <w:noProof/>
            <w:webHidden/>
          </w:rPr>
          <w:t>4</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0998" w:history="1">
        <w:r w:rsidRPr="00CE5755">
          <w:rPr>
            <w:rStyle w:val="Hyperlink"/>
            <w:noProof/>
            <w:lang w:val="es-ES_tradnl"/>
          </w:rPr>
          <w:t>Presidente y del Vicepresidente del Consejo de la UPOV</w:t>
        </w:r>
        <w:r>
          <w:rPr>
            <w:noProof/>
            <w:webHidden/>
          </w:rPr>
          <w:tab/>
        </w:r>
        <w:r>
          <w:rPr>
            <w:noProof/>
            <w:webHidden/>
          </w:rPr>
          <w:fldChar w:fldCharType="begin"/>
        </w:r>
        <w:r>
          <w:rPr>
            <w:noProof/>
            <w:webHidden/>
          </w:rPr>
          <w:instrText xml:space="preserve"> PAGEREF _Toc478720998 \h </w:instrText>
        </w:r>
        <w:r>
          <w:rPr>
            <w:noProof/>
            <w:webHidden/>
          </w:rPr>
        </w:r>
        <w:r>
          <w:rPr>
            <w:noProof/>
            <w:webHidden/>
          </w:rPr>
          <w:fldChar w:fldCharType="separate"/>
        </w:r>
        <w:r>
          <w:rPr>
            <w:noProof/>
            <w:webHidden/>
          </w:rPr>
          <w:t>4</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0999" w:history="1">
        <w:r w:rsidRPr="00CE5755">
          <w:rPr>
            <w:rStyle w:val="Hyperlink"/>
            <w:noProof/>
            <w:lang w:val="es-ES_tradnl"/>
          </w:rPr>
          <w:t xml:space="preserve">Presidente y del Vicepresidente del </w:t>
        </w:r>
        <w:r w:rsidRPr="00CE5755">
          <w:rPr>
            <w:rStyle w:val="Hyperlink"/>
            <w:noProof/>
            <w:lang w:val="es-ES"/>
          </w:rPr>
          <w:t>Comité Administrativo y Jurídico</w:t>
        </w:r>
        <w:r>
          <w:rPr>
            <w:noProof/>
            <w:webHidden/>
          </w:rPr>
          <w:tab/>
        </w:r>
        <w:r>
          <w:rPr>
            <w:noProof/>
            <w:webHidden/>
          </w:rPr>
          <w:fldChar w:fldCharType="begin"/>
        </w:r>
        <w:r>
          <w:rPr>
            <w:noProof/>
            <w:webHidden/>
          </w:rPr>
          <w:instrText xml:space="preserve"> PAGEREF _Toc478720999 \h </w:instrText>
        </w:r>
        <w:r>
          <w:rPr>
            <w:noProof/>
            <w:webHidden/>
          </w:rPr>
        </w:r>
        <w:r>
          <w:rPr>
            <w:noProof/>
            <w:webHidden/>
          </w:rPr>
          <w:fldChar w:fldCharType="separate"/>
        </w:r>
        <w:r>
          <w:rPr>
            <w:noProof/>
            <w:webHidden/>
          </w:rPr>
          <w:t>4</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1000" w:history="1">
        <w:r w:rsidRPr="00CE5755">
          <w:rPr>
            <w:rStyle w:val="Hyperlink"/>
            <w:noProof/>
            <w:lang w:val="es-ES"/>
          </w:rPr>
          <w:t>Presidente y del Vicepresidente del Comité Técnico</w:t>
        </w:r>
        <w:r>
          <w:rPr>
            <w:noProof/>
            <w:webHidden/>
          </w:rPr>
          <w:tab/>
        </w:r>
        <w:r>
          <w:rPr>
            <w:noProof/>
            <w:webHidden/>
          </w:rPr>
          <w:fldChar w:fldCharType="begin"/>
        </w:r>
        <w:r>
          <w:rPr>
            <w:noProof/>
            <w:webHidden/>
          </w:rPr>
          <w:instrText xml:space="preserve"> PAGEREF _Toc478721000 \h </w:instrText>
        </w:r>
        <w:r>
          <w:rPr>
            <w:noProof/>
            <w:webHidden/>
          </w:rPr>
        </w:r>
        <w:r>
          <w:rPr>
            <w:noProof/>
            <w:webHidden/>
          </w:rPr>
          <w:fldChar w:fldCharType="separate"/>
        </w:r>
        <w:r>
          <w:rPr>
            <w:noProof/>
            <w:webHidden/>
          </w:rPr>
          <w:t>5</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1001" w:history="1">
        <w:r w:rsidRPr="00CE5755">
          <w:rPr>
            <w:rStyle w:val="Hyperlink"/>
            <w:noProof/>
            <w:lang w:val="es-ES_tradnl"/>
          </w:rPr>
          <w:t>Calendario de reuniones</w:t>
        </w:r>
        <w:r>
          <w:rPr>
            <w:noProof/>
            <w:webHidden/>
          </w:rPr>
          <w:tab/>
        </w:r>
        <w:r>
          <w:rPr>
            <w:noProof/>
            <w:webHidden/>
          </w:rPr>
          <w:fldChar w:fldCharType="begin"/>
        </w:r>
        <w:r>
          <w:rPr>
            <w:noProof/>
            <w:webHidden/>
          </w:rPr>
          <w:instrText xml:space="preserve"> PAGEREF _Toc478721001 \h </w:instrText>
        </w:r>
        <w:r>
          <w:rPr>
            <w:noProof/>
            <w:webHidden/>
          </w:rPr>
        </w:r>
        <w:r>
          <w:rPr>
            <w:noProof/>
            <w:webHidden/>
          </w:rPr>
          <w:fldChar w:fldCharType="separate"/>
        </w:r>
        <w:r>
          <w:rPr>
            <w:noProof/>
            <w:webHidden/>
          </w:rPr>
          <w:t>5</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1002" w:history="1">
        <w:r w:rsidRPr="00CE5755">
          <w:rPr>
            <w:rStyle w:val="Hyperlink"/>
            <w:noProof/>
            <w:lang w:val="es-ES_tradnl"/>
          </w:rPr>
          <w:t>Colección de la UPOV</w:t>
        </w:r>
        <w:r>
          <w:rPr>
            <w:noProof/>
            <w:webHidden/>
          </w:rPr>
          <w:tab/>
        </w:r>
        <w:r>
          <w:rPr>
            <w:noProof/>
            <w:webHidden/>
          </w:rPr>
          <w:fldChar w:fldCharType="begin"/>
        </w:r>
        <w:r>
          <w:rPr>
            <w:noProof/>
            <w:webHidden/>
          </w:rPr>
          <w:instrText xml:space="preserve"> PAGEREF _Toc478721002 \h </w:instrText>
        </w:r>
        <w:r>
          <w:rPr>
            <w:noProof/>
            <w:webHidden/>
          </w:rPr>
        </w:r>
        <w:r>
          <w:rPr>
            <w:noProof/>
            <w:webHidden/>
          </w:rPr>
          <w:fldChar w:fldCharType="separate"/>
        </w:r>
        <w:r>
          <w:rPr>
            <w:noProof/>
            <w:webHidden/>
          </w:rPr>
          <w:t>6</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1003" w:history="1">
        <w:r w:rsidRPr="00CE5755">
          <w:rPr>
            <w:rStyle w:val="Hyperlink"/>
            <w:noProof/>
            <w:lang w:val="es-ES_tradnl"/>
          </w:rPr>
          <w:t>Aprobación de documentos</w:t>
        </w:r>
        <w:r>
          <w:rPr>
            <w:noProof/>
            <w:webHidden/>
          </w:rPr>
          <w:tab/>
        </w:r>
        <w:r>
          <w:rPr>
            <w:noProof/>
            <w:webHidden/>
          </w:rPr>
          <w:fldChar w:fldCharType="begin"/>
        </w:r>
        <w:r>
          <w:rPr>
            <w:noProof/>
            <w:webHidden/>
          </w:rPr>
          <w:instrText xml:space="preserve"> PAGEREF _Toc478721003 \h </w:instrText>
        </w:r>
        <w:r>
          <w:rPr>
            <w:noProof/>
            <w:webHidden/>
          </w:rPr>
        </w:r>
        <w:r>
          <w:rPr>
            <w:noProof/>
            <w:webHidden/>
          </w:rPr>
          <w:fldChar w:fldCharType="separate"/>
        </w:r>
        <w:r>
          <w:rPr>
            <w:noProof/>
            <w:webHidden/>
          </w:rPr>
          <w:t>6</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1004" w:history="1">
        <w:r w:rsidRPr="00CE5755">
          <w:rPr>
            <w:rStyle w:val="Hyperlink"/>
            <w:noProof/>
            <w:lang w:val="es-ES"/>
          </w:rPr>
          <w:t>Asuntos que deberá examinar el comité administrativo y jurídico</w:t>
        </w:r>
        <w:r>
          <w:rPr>
            <w:noProof/>
            <w:webHidden/>
          </w:rPr>
          <w:tab/>
        </w:r>
        <w:r>
          <w:rPr>
            <w:noProof/>
            <w:webHidden/>
          </w:rPr>
          <w:fldChar w:fldCharType="begin"/>
        </w:r>
        <w:r>
          <w:rPr>
            <w:noProof/>
            <w:webHidden/>
          </w:rPr>
          <w:instrText xml:space="preserve"> PAGEREF _Toc478721004 \h </w:instrText>
        </w:r>
        <w:r>
          <w:rPr>
            <w:noProof/>
            <w:webHidden/>
          </w:rPr>
        </w:r>
        <w:r>
          <w:rPr>
            <w:noProof/>
            <w:webHidden/>
          </w:rPr>
          <w:fldChar w:fldCharType="separate"/>
        </w:r>
        <w:r>
          <w:rPr>
            <w:noProof/>
            <w:webHidden/>
          </w:rPr>
          <w:t>6</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1005" w:history="1">
        <w:r w:rsidRPr="00CE5755">
          <w:rPr>
            <w:rStyle w:val="Hyperlink"/>
            <w:noProof/>
            <w:lang w:val="es-ES"/>
          </w:rPr>
          <w:t>Estrategia de comunicación</w:t>
        </w:r>
        <w:r>
          <w:rPr>
            <w:noProof/>
            <w:webHidden/>
          </w:rPr>
          <w:tab/>
        </w:r>
        <w:r>
          <w:rPr>
            <w:noProof/>
            <w:webHidden/>
          </w:rPr>
          <w:fldChar w:fldCharType="begin"/>
        </w:r>
        <w:r>
          <w:rPr>
            <w:noProof/>
            <w:webHidden/>
          </w:rPr>
          <w:instrText xml:space="preserve"> PAGEREF _Toc478721005 \h </w:instrText>
        </w:r>
        <w:r>
          <w:rPr>
            <w:noProof/>
            <w:webHidden/>
          </w:rPr>
        </w:r>
        <w:r>
          <w:rPr>
            <w:noProof/>
            <w:webHidden/>
          </w:rPr>
          <w:fldChar w:fldCharType="separate"/>
        </w:r>
        <w:r>
          <w:rPr>
            <w:noProof/>
            <w:webHidden/>
          </w:rPr>
          <w:t>7</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1006" w:history="1">
        <w:r w:rsidRPr="00CE5755">
          <w:rPr>
            <w:rStyle w:val="Hyperlink"/>
            <w:noProof/>
            <w:lang w:val="es-ES"/>
          </w:rPr>
          <w:t>Nuevo logo de la UPOV y actualización del sitio web</w:t>
        </w:r>
        <w:r>
          <w:rPr>
            <w:noProof/>
            <w:webHidden/>
          </w:rPr>
          <w:tab/>
        </w:r>
        <w:r>
          <w:rPr>
            <w:noProof/>
            <w:webHidden/>
          </w:rPr>
          <w:fldChar w:fldCharType="begin"/>
        </w:r>
        <w:r>
          <w:rPr>
            <w:noProof/>
            <w:webHidden/>
          </w:rPr>
          <w:instrText xml:space="preserve"> PAGEREF _Toc478721006 \h </w:instrText>
        </w:r>
        <w:r>
          <w:rPr>
            <w:noProof/>
            <w:webHidden/>
          </w:rPr>
        </w:r>
        <w:r>
          <w:rPr>
            <w:noProof/>
            <w:webHidden/>
          </w:rPr>
          <w:fldChar w:fldCharType="separate"/>
        </w:r>
        <w:r>
          <w:rPr>
            <w:noProof/>
            <w:webHidden/>
          </w:rPr>
          <w:t>7</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1007" w:history="1">
        <w:r w:rsidRPr="00CE5755">
          <w:rPr>
            <w:rStyle w:val="Hyperlink"/>
            <w:noProof/>
            <w:lang w:val="es-ES"/>
          </w:rPr>
          <w:t>Preguntas frecuentes (FAQ)</w:t>
        </w:r>
        <w:r>
          <w:rPr>
            <w:noProof/>
            <w:webHidden/>
          </w:rPr>
          <w:tab/>
        </w:r>
        <w:r>
          <w:rPr>
            <w:noProof/>
            <w:webHidden/>
          </w:rPr>
          <w:fldChar w:fldCharType="begin"/>
        </w:r>
        <w:r>
          <w:rPr>
            <w:noProof/>
            <w:webHidden/>
          </w:rPr>
          <w:instrText xml:space="preserve"> PAGEREF _Toc478721007 \h </w:instrText>
        </w:r>
        <w:r>
          <w:rPr>
            <w:noProof/>
            <w:webHidden/>
          </w:rPr>
        </w:r>
        <w:r>
          <w:rPr>
            <w:noProof/>
            <w:webHidden/>
          </w:rPr>
          <w:fldChar w:fldCharType="separate"/>
        </w:r>
        <w:r>
          <w:rPr>
            <w:noProof/>
            <w:webHidden/>
          </w:rPr>
          <w:t>7</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1008" w:history="1">
        <w:r w:rsidRPr="00CE5755">
          <w:rPr>
            <w:rStyle w:val="Hyperlink"/>
            <w:noProof/>
            <w:lang w:val="es-ES"/>
          </w:rPr>
          <w:t>Ventajas del sistema de la UPOV</w:t>
        </w:r>
        <w:r>
          <w:rPr>
            <w:noProof/>
            <w:webHidden/>
          </w:rPr>
          <w:tab/>
        </w:r>
        <w:r>
          <w:rPr>
            <w:noProof/>
            <w:webHidden/>
          </w:rPr>
          <w:fldChar w:fldCharType="begin"/>
        </w:r>
        <w:r>
          <w:rPr>
            <w:noProof/>
            <w:webHidden/>
          </w:rPr>
          <w:instrText xml:space="preserve"> PAGEREF _Toc478721008 \h </w:instrText>
        </w:r>
        <w:r>
          <w:rPr>
            <w:noProof/>
            <w:webHidden/>
          </w:rPr>
        </w:r>
        <w:r>
          <w:rPr>
            <w:noProof/>
            <w:webHidden/>
          </w:rPr>
          <w:fldChar w:fldCharType="separate"/>
        </w:r>
        <w:r>
          <w:rPr>
            <w:noProof/>
            <w:webHidden/>
          </w:rPr>
          <w:t>7</w:t>
        </w:r>
        <w:r>
          <w:rPr>
            <w:noProof/>
            <w:webHidden/>
          </w:rPr>
          <w:fldChar w:fldCharType="end"/>
        </w:r>
      </w:hyperlink>
    </w:p>
    <w:p w:rsidR="00B94286" w:rsidRDefault="00B94286">
      <w:pPr>
        <w:pStyle w:val="TOC2"/>
        <w:rPr>
          <w:rFonts w:asciiTheme="minorHAnsi" w:eastAsiaTheme="minorEastAsia" w:hAnsiTheme="minorHAnsi" w:cstheme="minorBidi"/>
          <w:smallCaps w:val="0"/>
          <w:noProof/>
          <w:sz w:val="22"/>
          <w:szCs w:val="22"/>
        </w:rPr>
      </w:pPr>
      <w:hyperlink w:anchor="_Toc478721009" w:history="1">
        <w:r w:rsidRPr="00CE5755">
          <w:rPr>
            <w:rStyle w:val="Hyperlink"/>
            <w:noProof/>
            <w:lang w:val="es-ES_tradnl"/>
          </w:rPr>
          <w:t>Cursos de enseñanza a distancia</w:t>
        </w:r>
        <w:r>
          <w:rPr>
            <w:noProof/>
            <w:webHidden/>
          </w:rPr>
          <w:tab/>
        </w:r>
        <w:r>
          <w:rPr>
            <w:noProof/>
            <w:webHidden/>
          </w:rPr>
          <w:fldChar w:fldCharType="begin"/>
        </w:r>
        <w:r>
          <w:rPr>
            <w:noProof/>
            <w:webHidden/>
          </w:rPr>
          <w:instrText xml:space="preserve"> PAGEREF _Toc478721009 \h </w:instrText>
        </w:r>
        <w:r>
          <w:rPr>
            <w:noProof/>
            <w:webHidden/>
          </w:rPr>
        </w:r>
        <w:r>
          <w:rPr>
            <w:noProof/>
            <w:webHidden/>
          </w:rPr>
          <w:fldChar w:fldCharType="separate"/>
        </w:r>
        <w:r>
          <w:rPr>
            <w:noProof/>
            <w:webHidden/>
          </w:rPr>
          <w:t>8</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1010" w:history="1">
        <w:r w:rsidRPr="00CE5755">
          <w:rPr>
            <w:rStyle w:val="Hyperlink"/>
            <w:noProof/>
            <w:lang w:val="es-ES"/>
          </w:rPr>
          <w:t>formulario electrónico de solicitud de la UPOV</w:t>
        </w:r>
        <w:r>
          <w:rPr>
            <w:noProof/>
            <w:webHidden/>
          </w:rPr>
          <w:tab/>
        </w:r>
        <w:r>
          <w:rPr>
            <w:noProof/>
            <w:webHidden/>
          </w:rPr>
          <w:fldChar w:fldCharType="begin"/>
        </w:r>
        <w:r>
          <w:rPr>
            <w:noProof/>
            <w:webHidden/>
          </w:rPr>
          <w:instrText xml:space="preserve"> PAGEREF _Toc478721010 \h </w:instrText>
        </w:r>
        <w:r>
          <w:rPr>
            <w:noProof/>
            <w:webHidden/>
          </w:rPr>
        </w:r>
        <w:r>
          <w:rPr>
            <w:noProof/>
            <w:webHidden/>
          </w:rPr>
          <w:fldChar w:fldCharType="separate"/>
        </w:r>
        <w:r>
          <w:rPr>
            <w:noProof/>
            <w:webHidden/>
          </w:rPr>
          <w:t>8</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1011" w:history="1">
        <w:r w:rsidRPr="00CE5755">
          <w:rPr>
            <w:rStyle w:val="Hyperlink"/>
            <w:rFonts w:cs="Arial"/>
            <w:noProof/>
            <w:lang w:val="es-ES_tradnl"/>
          </w:rPr>
          <w:t>Sistema internacional de cooperación (ISC)</w:t>
        </w:r>
        <w:r>
          <w:rPr>
            <w:noProof/>
            <w:webHidden/>
          </w:rPr>
          <w:tab/>
        </w:r>
        <w:r>
          <w:rPr>
            <w:noProof/>
            <w:webHidden/>
          </w:rPr>
          <w:fldChar w:fldCharType="begin"/>
        </w:r>
        <w:r>
          <w:rPr>
            <w:noProof/>
            <w:webHidden/>
          </w:rPr>
          <w:instrText xml:space="preserve"> PAGEREF _Toc478721011 \h </w:instrText>
        </w:r>
        <w:r>
          <w:rPr>
            <w:noProof/>
            <w:webHidden/>
          </w:rPr>
        </w:r>
        <w:r>
          <w:rPr>
            <w:noProof/>
            <w:webHidden/>
          </w:rPr>
          <w:fldChar w:fldCharType="separate"/>
        </w:r>
        <w:r>
          <w:rPr>
            <w:noProof/>
            <w:webHidden/>
          </w:rPr>
          <w:t>8</w:t>
        </w:r>
        <w:r>
          <w:rPr>
            <w:noProof/>
            <w:webHidden/>
          </w:rPr>
          <w:fldChar w:fldCharType="end"/>
        </w:r>
      </w:hyperlink>
    </w:p>
    <w:p w:rsidR="00B94286" w:rsidRDefault="00B94286">
      <w:pPr>
        <w:pStyle w:val="TOC3"/>
        <w:rPr>
          <w:rFonts w:asciiTheme="minorHAnsi" w:eastAsiaTheme="minorEastAsia" w:hAnsiTheme="minorHAnsi" w:cstheme="minorBidi"/>
          <w:noProof/>
          <w:sz w:val="22"/>
          <w:szCs w:val="22"/>
          <w:lang w:val="en-US"/>
        </w:rPr>
      </w:pPr>
      <w:hyperlink w:anchor="_Toc478721012" w:history="1">
        <w:r w:rsidRPr="00CE5755">
          <w:rPr>
            <w:rStyle w:val="Hyperlink"/>
            <w:rFonts w:cs="Arial"/>
            <w:noProof/>
            <w:snapToGrid w:val="0"/>
            <w:lang w:val="es-ES_tradnl"/>
          </w:rPr>
          <w:t>Propósito</w:t>
        </w:r>
        <w:r>
          <w:rPr>
            <w:noProof/>
            <w:webHidden/>
          </w:rPr>
          <w:tab/>
        </w:r>
        <w:r>
          <w:rPr>
            <w:noProof/>
            <w:webHidden/>
          </w:rPr>
          <w:fldChar w:fldCharType="begin"/>
        </w:r>
        <w:r>
          <w:rPr>
            <w:noProof/>
            <w:webHidden/>
          </w:rPr>
          <w:instrText xml:space="preserve"> PAGEREF _Toc478721012 \h </w:instrText>
        </w:r>
        <w:r>
          <w:rPr>
            <w:noProof/>
            <w:webHidden/>
          </w:rPr>
        </w:r>
        <w:r>
          <w:rPr>
            <w:noProof/>
            <w:webHidden/>
          </w:rPr>
          <w:fldChar w:fldCharType="separate"/>
        </w:r>
        <w:r>
          <w:rPr>
            <w:noProof/>
            <w:webHidden/>
          </w:rPr>
          <w:t>8</w:t>
        </w:r>
        <w:r>
          <w:rPr>
            <w:noProof/>
            <w:webHidden/>
          </w:rPr>
          <w:fldChar w:fldCharType="end"/>
        </w:r>
      </w:hyperlink>
    </w:p>
    <w:p w:rsidR="00B94286" w:rsidRDefault="00B94286">
      <w:pPr>
        <w:pStyle w:val="TOC3"/>
        <w:rPr>
          <w:rFonts w:asciiTheme="minorHAnsi" w:eastAsiaTheme="minorEastAsia" w:hAnsiTheme="minorHAnsi" w:cstheme="minorBidi"/>
          <w:noProof/>
          <w:sz w:val="22"/>
          <w:szCs w:val="22"/>
          <w:lang w:val="en-US"/>
        </w:rPr>
      </w:pPr>
      <w:hyperlink w:anchor="_Toc478721013" w:history="1">
        <w:r w:rsidRPr="00CE5755">
          <w:rPr>
            <w:rStyle w:val="Hyperlink"/>
            <w:rFonts w:cs="Arial"/>
            <w:noProof/>
            <w:snapToGrid w:val="0"/>
            <w:lang w:val="es-ES_tradnl"/>
          </w:rPr>
          <w:t>Composición</w:t>
        </w:r>
        <w:r>
          <w:rPr>
            <w:noProof/>
            <w:webHidden/>
          </w:rPr>
          <w:tab/>
        </w:r>
        <w:r>
          <w:rPr>
            <w:noProof/>
            <w:webHidden/>
          </w:rPr>
          <w:fldChar w:fldCharType="begin"/>
        </w:r>
        <w:r>
          <w:rPr>
            <w:noProof/>
            <w:webHidden/>
          </w:rPr>
          <w:instrText xml:space="preserve"> PAGEREF _Toc478721013 \h </w:instrText>
        </w:r>
        <w:r>
          <w:rPr>
            <w:noProof/>
            <w:webHidden/>
          </w:rPr>
        </w:r>
        <w:r>
          <w:rPr>
            <w:noProof/>
            <w:webHidden/>
          </w:rPr>
          <w:fldChar w:fldCharType="separate"/>
        </w:r>
        <w:r>
          <w:rPr>
            <w:noProof/>
            <w:webHidden/>
          </w:rPr>
          <w:t>9</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1014" w:history="1">
        <w:r w:rsidRPr="00CE5755">
          <w:rPr>
            <w:rStyle w:val="Hyperlink"/>
            <w:noProof/>
            <w:lang w:val="es-ES_tradnl"/>
          </w:rPr>
          <w:t>Aplicación del Tratado Internacional sobre los Recursos Fitogenéticos para la Alimentación y la Agricultura (ITPGRFA)</w:t>
        </w:r>
        <w:r>
          <w:rPr>
            <w:noProof/>
            <w:webHidden/>
          </w:rPr>
          <w:tab/>
        </w:r>
        <w:r>
          <w:rPr>
            <w:noProof/>
            <w:webHidden/>
          </w:rPr>
          <w:fldChar w:fldCharType="begin"/>
        </w:r>
        <w:r>
          <w:rPr>
            <w:noProof/>
            <w:webHidden/>
          </w:rPr>
          <w:instrText xml:space="preserve"> PAGEREF _Toc478721014 \h </w:instrText>
        </w:r>
        <w:r>
          <w:rPr>
            <w:noProof/>
            <w:webHidden/>
          </w:rPr>
        </w:r>
        <w:r>
          <w:rPr>
            <w:noProof/>
            <w:webHidden/>
          </w:rPr>
          <w:fldChar w:fldCharType="separate"/>
        </w:r>
        <w:r>
          <w:rPr>
            <w:noProof/>
            <w:webHidden/>
          </w:rPr>
          <w:t>10</w:t>
        </w:r>
        <w:r>
          <w:rPr>
            <w:noProof/>
            <w:webHidden/>
          </w:rPr>
          <w:fldChar w:fldCharType="end"/>
        </w:r>
      </w:hyperlink>
    </w:p>
    <w:p w:rsidR="00B94286" w:rsidRDefault="00B94286" w:rsidP="00B94286">
      <w:pPr>
        <w:pStyle w:val="TOC1"/>
        <w:rPr>
          <w:rFonts w:asciiTheme="minorHAnsi" w:eastAsiaTheme="minorEastAsia" w:hAnsiTheme="minorHAnsi" w:cstheme="minorBidi"/>
          <w:noProof/>
          <w:sz w:val="22"/>
          <w:szCs w:val="22"/>
        </w:rPr>
      </w:pPr>
      <w:hyperlink w:anchor="_Toc478721015" w:history="1">
        <w:r w:rsidRPr="00CE5755">
          <w:rPr>
            <w:rStyle w:val="Hyperlink"/>
            <w:noProof/>
            <w:lang w:val="es-ES"/>
          </w:rPr>
          <w:t>Seminario sobre el material de reproducción o de multiplicación vegetativa y el producto de la cosecha</w:t>
        </w:r>
        <w:r>
          <w:rPr>
            <w:noProof/>
            <w:webHidden/>
          </w:rPr>
          <w:tab/>
        </w:r>
        <w:r>
          <w:rPr>
            <w:noProof/>
            <w:webHidden/>
          </w:rPr>
          <w:fldChar w:fldCharType="begin"/>
        </w:r>
        <w:r>
          <w:rPr>
            <w:noProof/>
            <w:webHidden/>
          </w:rPr>
          <w:instrText xml:space="preserve"> PAGEREF _Toc478721015 \h </w:instrText>
        </w:r>
        <w:r>
          <w:rPr>
            <w:noProof/>
            <w:webHidden/>
          </w:rPr>
        </w:r>
        <w:r>
          <w:rPr>
            <w:noProof/>
            <w:webHidden/>
          </w:rPr>
          <w:fldChar w:fldCharType="separate"/>
        </w:r>
        <w:r>
          <w:rPr>
            <w:noProof/>
            <w:webHidden/>
          </w:rPr>
          <w:t>10</w:t>
        </w:r>
        <w:r>
          <w:rPr>
            <w:noProof/>
            <w:webHidden/>
          </w:rPr>
          <w:fldChar w:fldCharType="end"/>
        </w:r>
      </w:hyperlink>
    </w:p>
    <w:p w:rsidR="00673AC1" w:rsidRPr="00DB66B3" w:rsidRDefault="00673AC1" w:rsidP="00B94286">
      <w:pPr>
        <w:pStyle w:val="TOC1"/>
        <w:rPr>
          <w:rFonts w:asciiTheme="minorHAnsi" w:eastAsiaTheme="minorEastAsia" w:hAnsiTheme="minorHAnsi" w:cstheme="minorBidi"/>
          <w:noProof/>
          <w:sz w:val="22"/>
          <w:szCs w:val="22"/>
        </w:rPr>
      </w:pPr>
      <w:r w:rsidRPr="00DB66B3">
        <w:fldChar w:fldCharType="end"/>
      </w:r>
    </w:p>
    <w:p w:rsidR="00673AC1" w:rsidRPr="00DB66B3" w:rsidRDefault="00673AC1" w:rsidP="00673AC1">
      <w:pPr>
        <w:jc w:val="left"/>
        <w:rPr>
          <w:rFonts w:cs="Arial"/>
          <w:caps/>
        </w:rPr>
      </w:pPr>
      <w:r w:rsidRPr="00DB66B3">
        <w:br w:type="page"/>
      </w:r>
    </w:p>
    <w:p w:rsidR="00673AC1" w:rsidRPr="00DB66B3" w:rsidRDefault="00673AC1" w:rsidP="00673AC1">
      <w:pPr>
        <w:pStyle w:val="Heading1"/>
        <w:rPr>
          <w:rFonts w:cs="Arial"/>
          <w:lang w:val="es-ES_tradnl"/>
        </w:rPr>
      </w:pPr>
      <w:bookmarkStart w:id="4" w:name="_Toc443988403"/>
      <w:bookmarkStart w:id="5" w:name="_Toc478720988"/>
      <w:r w:rsidRPr="00DB66B3">
        <w:rPr>
          <w:lang w:val="es-ES_tradnl"/>
        </w:rPr>
        <w:lastRenderedPageBreak/>
        <w:t>MIEMBROS</w:t>
      </w:r>
      <w:bookmarkEnd w:id="4"/>
      <w:bookmarkEnd w:id="5"/>
    </w:p>
    <w:p w:rsidR="00673AC1" w:rsidRPr="00DB66B3" w:rsidRDefault="00673AC1" w:rsidP="00673AC1">
      <w:pPr>
        <w:rPr>
          <w:rFonts w:cs="Arial"/>
        </w:rPr>
      </w:pPr>
    </w:p>
    <w:p w:rsidR="00673AC1" w:rsidRPr="00DB66B3" w:rsidRDefault="00673AC1" w:rsidP="00673AC1">
      <w:pPr>
        <w:pStyle w:val="Heading2"/>
        <w:rPr>
          <w:rFonts w:cs="Arial"/>
          <w:lang w:val="es-ES_tradnl"/>
        </w:rPr>
      </w:pPr>
      <w:bookmarkStart w:id="6" w:name="_Toc399960528"/>
      <w:bookmarkStart w:id="7" w:name="_Toc443988404"/>
      <w:bookmarkStart w:id="8" w:name="_Toc478720989"/>
      <w:r w:rsidRPr="00DB66B3">
        <w:rPr>
          <w:lang w:val="es-ES_tradnl"/>
        </w:rPr>
        <w:t>Miembros</w:t>
      </w:r>
      <w:bookmarkEnd w:id="6"/>
      <w:r w:rsidRPr="00DB66B3">
        <w:rPr>
          <w:lang w:val="es-ES_tradnl"/>
        </w:rPr>
        <w:t xml:space="preserve"> de la Unión</w:t>
      </w:r>
      <w:bookmarkEnd w:id="7"/>
      <w:bookmarkEnd w:id="8"/>
    </w:p>
    <w:p w:rsidR="00673AC1" w:rsidRPr="00DB66B3" w:rsidRDefault="00673AC1" w:rsidP="00673AC1">
      <w:pPr>
        <w:rPr>
          <w:rFonts w:cs="Arial"/>
        </w:rPr>
      </w:pPr>
    </w:p>
    <w:p w:rsidR="00673AC1" w:rsidRPr="00DB66B3" w:rsidRDefault="00673AC1" w:rsidP="00673AC1">
      <w:pPr>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 xml:space="preserve">Al </w:t>
      </w:r>
      <w:r w:rsidR="00D10EAD">
        <w:t>28 de marzo de 2017</w:t>
      </w:r>
      <w:r w:rsidRPr="00DB66B3">
        <w:t xml:space="preserve">, los </w:t>
      </w:r>
      <w:r w:rsidR="00D10EAD">
        <w:t xml:space="preserve">74 </w:t>
      </w:r>
      <w:r w:rsidRPr="00DB66B3">
        <w:t>miembros de la UPOV eran:</w:t>
      </w:r>
    </w:p>
    <w:p w:rsidR="00673AC1" w:rsidRPr="00DB66B3" w:rsidRDefault="00673AC1" w:rsidP="00673AC1">
      <w:pPr>
        <w:rPr>
          <w:rFonts w:cs="Arial"/>
        </w:rPr>
      </w:pPr>
    </w:p>
    <w:p w:rsidR="00673AC1" w:rsidRPr="00DB66B3" w:rsidRDefault="00673AC1" w:rsidP="00673AC1">
      <w:pPr>
        <w:ind w:left="567" w:right="9"/>
        <w:rPr>
          <w:rFonts w:cs="Arial"/>
        </w:rPr>
      </w:pPr>
      <w:r w:rsidRPr="00DB66B3">
        <w:t xml:space="preserve">Albania, Alemania, Argentina, Australia, Austria, Azerbaiyán, </w:t>
      </w:r>
      <w:proofErr w:type="spellStart"/>
      <w:r w:rsidRPr="00DB66B3">
        <w:t>Belarús</w:t>
      </w:r>
      <w:proofErr w:type="spellEnd"/>
      <w:r w:rsidRPr="00DB66B3">
        <w:t xml:space="preserve">,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w:t>
      </w:r>
      <w:proofErr w:type="spellStart"/>
      <w:r w:rsidRPr="00DB66B3">
        <w:t>Kenya</w:t>
      </w:r>
      <w:proofErr w:type="spellEnd"/>
      <w:r w:rsidRPr="00DB66B3">
        <w:t xml:space="preserve">, Kirguistán, Letonia, Lituania, Marruecos, México, Montenegro, Nicaragua, Noruega, Nueva Zelandia, Omán, Organización Africana de la Propiedad Intelectual, Países Bajos, Panamá, Paraguay, Perú, Polonia, Portugal, Reino Unido, República Checa, República de Corea, República de </w:t>
      </w:r>
      <w:proofErr w:type="spellStart"/>
      <w:r w:rsidRPr="00DB66B3">
        <w:t>Moldova</w:t>
      </w:r>
      <w:proofErr w:type="spellEnd"/>
      <w:r w:rsidRPr="00DB66B3">
        <w:t xml:space="preserve">, República Dominicana, República Unida de </w:t>
      </w:r>
      <w:proofErr w:type="spellStart"/>
      <w:r w:rsidRPr="00DB66B3">
        <w:t>Tanzanía</w:t>
      </w:r>
      <w:proofErr w:type="spellEnd"/>
      <w:r w:rsidRPr="00DB66B3">
        <w:t>, Rumania, Serbia, Singapur, Sudáfri</w:t>
      </w:r>
      <w:r w:rsidR="00B94286">
        <w:t>ca, Suecia, Suiza, Trinidad y To</w:t>
      </w:r>
      <w:r w:rsidRPr="00DB66B3">
        <w:t xml:space="preserve">bago, Túnez, Turquía, Ucrania, Unión Europea, Uruguay, Uzbekistán y </w:t>
      </w:r>
      <w:proofErr w:type="spellStart"/>
      <w:r w:rsidRPr="00DB66B3">
        <w:t>Viet</w:t>
      </w:r>
      <w:proofErr w:type="spellEnd"/>
      <w:r w:rsidRPr="00DB66B3">
        <w:t> </w:t>
      </w:r>
      <w:proofErr w:type="spellStart"/>
      <w:r w:rsidRPr="00DB66B3">
        <w:t>Nam</w:t>
      </w:r>
      <w:proofErr w:type="spellEnd"/>
      <w:r w:rsidRPr="00DB66B3">
        <w:t>.</w:t>
      </w:r>
    </w:p>
    <w:p w:rsidR="00673AC1" w:rsidRPr="00DB66B3" w:rsidRDefault="00673AC1" w:rsidP="00673AC1">
      <w:pPr>
        <w:rPr>
          <w:rFonts w:cs="Arial"/>
        </w:rPr>
      </w:pPr>
    </w:p>
    <w:p w:rsidR="00673AC1" w:rsidRPr="00DB66B3" w:rsidRDefault="00673AC1" w:rsidP="00673AC1">
      <w:pPr>
        <w:pStyle w:val="Heading2"/>
        <w:rPr>
          <w:rFonts w:cs="Arial"/>
          <w:lang w:val="es-ES_tradnl"/>
        </w:rPr>
      </w:pPr>
      <w:bookmarkStart w:id="9" w:name="_Toc399960529"/>
      <w:bookmarkStart w:id="10" w:name="_Toc443988405"/>
      <w:bookmarkStart w:id="11" w:name="_Toc478720990"/>
      <w:r w:rsidRPr="00DB66B3">
        <w:rPr>
          <w:lang w:val="es-ES_tradnl"/>
        </w:rPr>
        <w:t>Situación respecto de las distintas Actas del Convenio</w:t>
      </w:r>
      <w:bookmarkEnd w:id="9"/>
      <w:bookmarkEnd w:id="10"/>
      <w:bookmarkEnd w:id="11"/>
    </w:p>
    <w:p w:rsidR="00673AC1" w:rsidRPr="00DB66B3" w:rsidRDefault="00673AC1" w:rsidP="00673AC1">
      <w:pPr>
        <w:keepNext/>
        <w:rPr>
          <w:rFonts w:cs="Arial"/>
        </w:rPr>
      </w:pPr>
    </w:p>
    <w:p w:rsidR="00673AC1" w:rsidRPr="00DB66B3" w:rsidRDefault="00673AC1" w:rsidP="00673AC1">
      <w:pPr>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r>
      <w:proofErr w:type="spellStart"/>
      <w:r w:rsidR="00D10EAD" w:rsidRPr="002406D4">
        <w:t>Kenya</w:t>
      </w:r>
      <w:proofErr w:type="spellEnd"/>
      <w:r w:rsidRPr="00DB66B3">
        <w:t xml:space="preserve">, que ya era miembro de la UPOV, depositó su instrumento </w:t>
      </w:r>
      <w:r w:rsidR="00D10EAD" w:rsidRPr="002406D4">
        <w:t>de adhesión al Acta de 1991 del Convenio de la UPOV el 11 de abril de 2016 y quedó obligado por ese Acta el 11 de mayo de 2016</w:t>
      </w:r>
      <w:r w:rsidRPr="00DB66B3">
        <w:t>.</w:t>
      </w:r>
    </w:p>
    <w:p w:rsidR="00673AC1" w:rsidRPr="00DB66B3" w:rsidRDefault="00673AC1" w:rsidP="00673AC1">
      <w:pPr>
        <w:rPr>
          <w:rFonts w:cs="Arial"/>
        </w:rPr>
      </w:pPr>
    </w:p>
    <w:p w:rsidR="00673AC1" w:rsidRPr="00DB66B3" w:rsidRDefault="00673AC1" w:rsidP="00673AC1">
      <w:pPr>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00D10EAD">
        <w:tab/>
        <w:t>Al 28</w:t>
      </w:r>
      <w:r w:rsidRPr="00DB66B3">
        <w:t xml:space="preserve"> de marzo de 201</w:t>
      </w:r>
      <w:r w:rsidR="00D10EAD">
        <w:t>7</w:t>
      </w:r>
      <w:r w:rsidR="00580088">
        <w:t xml:space="preserve"> (véase </w:t>
      </w:r>
      <w:hyperlink r:id="rId9" w:history="1">
        <w:r w:rsidR="00580088" w:rsidRPr="009A0E14">
          <w:rPr>
            <w:rStyle w:val="Hyperlink"/>
          </w:rPr>
          <w:t>http://www.upov.int/members/es/</w:t>
        </w:r>
      </w:hyperlink>
      <w:r w:rsidR="00580088">
        <w:t>):</w:t>
      </w:r>
    </w:p>
    <w:p w:rsidR="00673AC1" w:rsidRPr="00DB66B3" w:rsidRDefault="00673AC1" w:rsidP="00673AC1">
      <w:pPr>
        <w:rPr>
          <w:rFonts w:cs="Arial"/>
        </w:rPr>
      </w:pPr>
    </w:p>
    <w:p w:rsidR="00673AC1" w:rsidRPr="00DB66B3" w:rsidRDefault="00D10EAD" w:rsidP="00673AC1">
      <w:pPr>
        <w:pStyle w:val="ListParagraph"/>
        <w:numPr>
          <w:ilvl w:val="0"/>
          <w:numId w:val="2"/>
        </w:numPr>
        <w:spacing w:before="0" w:beforeAutospacing="0" w:after="0" w:afterAutospacing="0"/>
        <w:contextualSpacing/>
        <w:jc w:val="both"/>
        <w:rPr>
          <w:rFonts w:ascii="Arial" w:hAnsi="Arial" w:cs="Arial"/>
          <w:sz w:val="20"/>
          <w:szCs w:val="20"/>
          <w:lang w:val="es-ES_tradnl"/>
        </w:rPr>
      </w:pPr>
      <w:r>
        <w:rPr>
          <w:rFonts w:ascii="Arial" w:hAnsi="Arial"/>
          <w:sz w:val="20"/>
          <w:lang w:val="es-ES_tradnl"/>
        </w:rPr>
        <w:t>56</w:t>
      </w:r>
      <w:r w:rsidR="00673AC1" w:rsidRPr="00DB66B3">
        <w:rPr>
          <w:rFonts w:ascii="Arial" w:hAnsi="Arial"/>
          <w:sz w:val="20"/>
          <w:lang w:val="es-ES_tradnl"/>
        </w:rPr>
        <w:t> miembros estaban obligados por el Acta de 1991</w:t>
      </w:r>
    </w:p>
    <w:p w:rsidR="00673AC1" w:rsidRPr="00DB66B3" w:rsidRDefault="00D10EAD" w:rsidP="00673AC1">
      <w:pPr>
        <w:pStyle w:val="ListParagraph"/>
        <w:numPr>
          <w:ilvl w:val="0"/>
          <w:numId w:val="2"/>
        </w:numPr>
        <w:spacing w:before="0" w:beforeAutospacing="0" w:after="0" w:afterAutospacing="0"/>
        <w:contextualSpacing/>
        <w:jc w:val="both"/>
        <w:rPr>
          <w:rFonts w:ascii="Arial" w:hAnsi="Arial" w:cs="Arial"/>
          <w:sz w:val="20"/>
          <w:szCs w:val="20"/>
          <w:lang w:val="es-ES_tradnl"/>
        </w:rPr>
      </w:pPr>
      <w:r>
        <w:rPr>
          <w:rFonts w:ascii="Arial" w:hAnsi="Arial"/>
          <w:sz w:val="20"/>
          <w:lang w:val="es-ES_tradnl"/>
        </w:rPr>
        <w:t>17</w:t>
      </w:r>
      <w:r w:rsidR="00673AC1" w:rsidRPr="00DB66B3">
        <w:rPr>
          <w:rFonts w:ascii="Arial" w:hAnsi="Arial"/>
          <w:sz w:val="20"/>
          <w:lang w:val="es-ES_tradnl"/>
        </w:rPr>
        <w:t> miembros estaban obligados por el Acta de 1978</w:t>
      </w:r>
    </w:p>
    <w:p w:rsidR="00673AC1" w:rsidRPr="00DB66B3" w:rsidRDefault="00673AC1" w:rsidP="00673AC1">
      <w:pPr>
        <w:pStyle w:val="ListParagraph"/>
        <w:numPr>
          <w:ilvl w:val="0"/>
          <w:numId w:val="2"/>
        </w:numPr>
        <w:spacing w:before="0" w:beforeAutospacing="0" w:after="0" w:afterAutospacing="0"/>
        <w:contextualSpacing/>
        <w:jc w:val="both"/>
        <w:rPr>
          <w:rFonts w:ascii="Arial" w:hAnsi="Arial" w:cs="Arial"/>
          <w:sz w:val="20"/>
          <w:szCs w:val="20"/>
          <w:lang w:val="es-ES_tradnl"/>
        </w:rPr>
      </w:pPr>
      <w:r w:rsidRPr="00DB66B3">
        <w:rPr>
          <w:rFonts w:ascii="Arial" w:hAnsi="Arial"/>
          <w:sz w:val="20"/>
          <w:lang w:val="es-ES_tradnl"/>
        </w:rPr>
        <w:t xml:space="preserve">un miembro estaba obligado por el Acta de 1961 modificada por el Acta de 1972 </w:t>
      </w:r>
    </w:p>
    <w:p w:rsidR="00673AC1" w:rsidRPr="00DB66B3" w:rsidRDefault="00673AC1" w:rsidP="00673AC1">
      <w:pPr>
        <w:rPr>
          <w:rFonts w:cs="Arial"/>
        </w:rPr>
      </w:pPr>
    </w:p>
    <w:p w:rsidR="00673AC1" w:rsidRPr="00DB66B3" w:rsidRDefault="00673AC1" w:rsidP="00673AC1">
      <w:pPr>
        <w:rPr>
          <w:rFonts w:cs="Arial"/>
        </w:rPr>
      </w:pPr>
    </w:p>
    <w:p w:rsidR="00673AC1" w:rsidRPr="00DB66B3" w:rsidRDefault="00673AC1" w:rsidP="00673AC1">
      <w:pPr>
        <w:pStyle w:val="Heading1"/>
        <w:rPr>
          <w:rFonts w:cs="Arial"/>
          <w:lang w:val="es-ES_tradnl"/>
        </w:rPr>
      </w:pPr>
      <w:bookmarkStart w:id="12" w:name="_Toc381174857"/>
      <w:bookmarkStart w:id="13" w:name="_Toc443988407"/>
      <w:bookmarkStart w:id="14" w:name="_Toc478720991"/>
      <w:r w:rsidRPr="00DB66B3">
        <w:rPr>
          <w:lang w:val="es-ES_tradnl"/>
        </w:rPr>
        <w:t xml:space="preserve">Estadísticas sobre la </w:t>
      </w:r>
      <w:r w:rsidRPr="00DB66B3">
        <w:rPr>
          <w:snapToGrid w:val="0"/>
          <w:lang w:val="es-ES_tradnl"/>
        </w:rPr>
        <w:t>protección de las obtenciones vegetales</w:t>
      </w:r>
      <w:bookmarkEnd w:id="12"/>
      <w:bookmarkEnd w:id="13"/>
      <w:bookmarkEnd w:id="14"/>
    </w:p>
    <w:p w:rsidR="00673AC1" w:rsidRPr="00DB66B3" w:rsidRDefault="00673AC1" w:rsidP="00673AC1">
      <w:pPr>
        <w:keepNext/>
        <w:rPr>
          <w:rFonts w:cs="Arial"/>
        </w:rPr>
      </w:pPr>
    </w:p>
    <w:p w:rsidR="00673AC1" w:rsidRPr="00DB66B3" w:rsidRDefault="00673AC1" w:rsidP="00673AC1">
      <w:pPr>
        <w:pStyle w:val="Heading2"/>
        <w:rPr>
          <w:rFonts w:eastAsia="MS Mincho" w:cs="Arial"/>
          <w:lang w:val="es-ES_tradnl"/>
        </w:rPr>
      </w:pPr>
      <w:bookmarkStart w:id="15" w:name="_Toc443988408"/>
      <w:bookmarkStart w:id="16" w:name="_Toc381174858"/>
      <w:bookmarkStart w:id="17" w:name="_Toc478720992"/>
      <w:r w:rsidRPr="00DB66B3">
        <w:rPr>
          <w:lang w:val="es-ES_tradnl"/>
        </w:rPr>
        <w:t>Lista de los taxones protegidos por los miembros de la Unión</w:t>
      </w:r>
      <w:bookmarkEnd w:id="15"/>
      <w:bookmarkEnd w:id="17"/>
    </w:p>
    <w:p w:rsidR="00673AC1" w:rsidRPr="00DB66B3" w:rsidRDefault="00673AC1" w:rsidP="00673AC1">
      <w:pPr>
        <w:keepNext/>
        <w:autoSpaceDE w:val="0"/>
        <w:autoSpaceDN w:val="0"/>
        <w:adjustRightInd w:val="0"/>
        <w:rPr>
          <w:rFonts w:eastAsia="MS Mincho" w:cs="Arial"/>
        </w:rPr>
      </w:pPr>
      <w:r w:rsidRPr="00DB66B3">
        <w:t>(</w:t>
      </w:r>
      <w:proofErr w:type="gramStart"/>
      <w:r w:rsidRPr="00DB66B3">
        <w:t>véase</w:t>
      </w:r>
      <w:proofErr w:type="gramEnd"/>
      <w:r w:rsidRPr="00DB66B3">
        <w:t xml:space="preserve"> el documento C/</w:t>
      </w:r>
      <w:r w:rsidR="00D10EAD">
        <w:t>50</w:t>
      </w:r>
      <w:r w:rsidRPr="00DB66B3">
        <w:t xml:space="preserve">/6 </w:t>
      </w:r>
      <w:proofErr w:type="spellStart"/>
      <w:r w:rsidR="00D10EAD">
        <w:t>Corr</w:t>
      </w:r>
      <w:proofErr w:type="spellEnd"/>
      <w:r w:rsidR="00D10EAD">
        <w:t>.</w:t>
      </w:r>
      <w:r w:rsidRPr="00DB66B3">
        <w:t>“Lista de los taxones protegidos por los miembros de la Unión”)</w:t>
      </w:r>
    </w:p>
    <w:p w:rsidR="00673AC1" w:rsidRPr="00DB66B3" w:rsidRDefault="00673AC1" w:rsidP="00673AC1">
      <w:pPr>
        <w:keepNext/>
        <w:autoSpaceDE w:val="0"/>
        <w:autoSpaceDN w:val="0"/>
        <w:adjustRightInd w:val="0"/>
        <w:rPr>
          <w:rFonts w:eastAsia="MS Mincho" w:cs="Arial"/>
        </w:rPr>
      </w:pPr>
    </w:p>
    <w:p w:rsidR="00673AC1" w:rsidRPr="00DB66B3" w:rsidRDefault="00673AC1" w:rsidP="00673AC1">
      <w:pPr>
        <w:autoSpaceDE w:val="0"/>
        <w:autoSpaceDN w:val="0"/>
        <w:adjustRightInd w:val="0"/>
        <w:rPr>
          <w:rFonts w:cs="Arial"/>
        </w:rPr>
      </w:pPr>
      <w:r w:rsidRPr="00DB66B3">
        <w:rPr>
          <w:rFonts w:eastAsia="MS Mincho" w:cs="Arial"/>
        </w:rPr>
        <w:fldChar w:fldCharType="begin"/>
      </w:r>
      <w:r w:rsidRPr="00DB66B3">
        <w:rPr>
          <w:rFonts w:eastAsia="MS Mincho" w:cs="Arial"/>
        </w:rPr>
        <w:instrText xml:space="preserve"> AUTONUM  </w:instrText>
      </w:r>
      <w:r w:rsidRPr="00DB66B3">
        <w:rPr>
          <w:rFonts w:eastAsia="MS Mincho" w:cs="Arial"/>
        </w:rPr>
        <w:fldChar w:fldCharType="end"/>
      </w:r>
      <w:r w:rsidR="00CD6C08">
        <w:tab/>
        <w:t>Actualmente 61</w:t>
      </w:r>
      <w:r w:rsidRPr="00DB66B3">
        <w:t xml:space="preserve"> miembros de la Unión protegen todos los </w:t>
      </w:r>
      <w:r w:rsidR="00CD6C08">
        <w:t>géneros y especies vegetales (59</w:t>
      </w:r>
      <w:r w:rsidRPr="00DB66B3">
        <w:t> en 201</w:t>
      </w:r>
      <w:r w:rsidR="00CD6C08">
        <w:t>5) y 13</w:t>
      </w:r>
      <w:r w:rsidRPr="00DB66B3">
        <w:t xml:space="preserve"> miembros de la Unión protegen un número limitado de géneros y especies vegetales.  </w:t>
      </w:r>
      <w:r w:rsidR="00CD6C08">
        <w:t>Cinco</w:t>
      </w:r>
      <w:r w:rsidRPr="00DB66B3">
        <w:t xml:space="preserve"> de esos 1</w:t>
      </w:r>
      <w:r w:rsidR="00CD6C08">
        <w:t>3</w:t>
      </w:r>
      <w:r w:rsidRPr="00DB66B3">
        <w:t> miembros (</w:t>
      </w:r>
      <w:r w:rsidR="00CD6C08">
        <w:t>Brasil</w:t>
      </w:r>
      <w:r w:rsidR="00CD6C08" w:rsidRPr="00045134">
        <w:t xml:space="preserve">, </w:t>
      </w:r>
      <w:r w:rsidR="00CD6C08">
        <w:t xml:space="preserve">China, Marruecos, </w:t>
      </w:r>
      <w:r w:rsidR="00CD6C08" w:rsidRPr="00223EBF">
        <w:t>Sudáfrica</w:t>
      </w:r>
      <w:r w:rsidR="00CD6C08">
        <w:t xml:space="preserve"> y Turquía</w:t>
      </w:r>
      <w:r w:rsidRPr="00DB66B3">
        <w:t>) extendieron la protección a otros géneros y especies vegetales en 201</w:t>
      </w:r>
      <w:r w:rsidR="00CD6C08">
        <w:t>6</w:t>
      </w:r>
      <w:r w:rsidRPr="00DB66B3">
        <w:t>.</w:t>
      </w:r>
    </w:p>
    <w:p w:rsidR="00673AC1" w:rsidRPr="00DB66B3" w:rsidRDefault="00673AC1" w:rsidP="00673AC1">
      <w:pPr>
        <w:autoSpaceDE w:val="0"/>
        <w:autoSpaceDN w:val="0"/>
        <w:adjustRightInd w:val="0"/>
        <w:rPr>
          <w:rFonts w:cs="Arial"/>
        </w:rPr>
      </w:pPr>
    </w:p>
    <w:p w:rsidR="00673AC1" w:rsidRPr="00DB66B3" w:rsidRDefault="00673AC1" w:rsidP="00673AC1">
      <w:pPr>
        <w:pStyle w:val="Heading2"/>
        <w:rPr>
          <w:rFonts w:cs="Arial"/>
          <w:lang w:val="es-ES_tradnl"/>
        </w:rPr>
      </w:pPr>
      <w:bookmarkStart w:id="18" w:name="_Toc381174859"/>
      <w:bookmarkStart w:id="19" w:name="_Toc443988409"/>
      <w:bookmarkStart w:id="20" w:name="_Toc478720993"/>
      <w:r w:rsidRPr="00DB66B3">
        <w:rPr>
          <w:lang w:val="es-ES_tradnl"/>
        </w:rPr>
        <w:t>Estadísticas sobre la protección de las obtenciones vegetales</w:t>
      </w:r>
      <w:bookmarkEnd w:id="18"/>
      <w:bookmarkEnd w:id="19"/>
      <w:bookmarkEnd w:id="20"/>
      <w:r w:rsidRPr="00DB66B3">
        <w:rPr>
          <w:lang w:val="es-ES_tradnl"/>
        </w:rPr>
        <w:t xml:space="preserve"> </w:t>
      </w:r>
    </w:p>
    <w:p w:rsidR="00673AC1" w:rsidRPr="00DB66B3" w:rsidRDefault="00673AC1" w:rsidP="00673AC1">
      <w:pPr>
        <w:keepNext/>
        <w:autoSpaceDE w:val="0"/>
        <w:autoSpaceDN w:val="0"/>
        <w:adjustRightInd w:val="0"/>
        <w:rPr>
          <w:rFonts w:eastAsia="MS Mincho" w:cs="Arial"/>
        </w:rPr>
      </w:pPr>
      <w:r w:rsidRPr="00DB66B3">
        <w:t>(</w:t>
      </w:r>
      <w:proofErr w:type="gramStart"/>
      <w:r w:rsidRPr="00DB66B3">
        <w:t>véase</w:t>
      </w:r>
      <w:proofErr w:type="gramEnd"/>
      <w:r w:rsidRPr="00DB66B3">
        <w:t xml:space="preserve"> el documento C/</w:t>
      </w:r>
      <w:r w:rsidR="00CD6C08">
        <w:t>50</w:t>
      </w:r>
      <w:r w:rsidRPr="00DB66B3">
        <w:t>/7 “Estadísticas sobre la protección de las obtenciones vegetales para el período 201</w:t>
      </w:r>
      <w:r w:rsidR="00CD6C08">
        <w:t>1</w:t>
      </w:r>
      <w:r w:rsidRPr="00DB66B3">
        <w:noBreakHyphen/>
        <w:t>201</w:t>
      </w:r>
      <w:r w:rsidR="00CD6C08">
        <w:t>5</w:t>
      </w:r>
      <w:r w:rsidRPr="00DB66B3">
        <w:t>”)</w:t>
      </w:r>
    </w:p>
    <w:p w:rsidR="00673AC1" w:rsidRPr="00DB66B3" w:rsidRDefault="00673AC1" w:rsidP="00673AC1">
      <w:pPr>
        <w:autoSpaceDE w:val="0"/>
        <w:autoSpaceDN w:val="0"/>
        <w:adjustRightInd w:val="0"/>
        <w:rPr>
          <w:rFonts w:cs="Arial"/>
        </w:rPr>
      </w:pPr>
    </w:p>
    <w:p w:rsidR="00673AC1" w:rsidRPr="00DB66B3" w:rsidRDefault="00673AC1" w:rsidP="00673AC1">
      <w:pPr>
        <w:autoSpaceDE w:val="0"/>
        <w:autoSpaceDN w:val="0"/>
        <w:adjustRightInd w:val="0"/>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En 201</w:t>
      </w:r>
      <w:r w:rsidR="00CD6C08">
        <w:t>5</w:t>
      </w:r>
      <w:r w:rsidRPr="00DB66B3">
        <w:t xml:space="preserve">, </w:t>
      </w:r>
      <w:r w:rsidR="00CD6C08">
        <w:t xml:space="preserve">la disminución </w:t>
      </w:r>
      <w:r w:rsidRPr="00DB66B3">
        <w:t>del número de solicitudes de protección d</w:t>
      </w:r>
      <w:r w:rsidR="00CD6C08">
        <w:t>e variedades vegetales fue del 3,2% (15.017</w:t>
      </w:r>
      <w:r w:rsidRPr="00DB66B3">
        <w:t xml:space="preserve"> en 201</w:t>
      </w:r>
      <w:r w:rsidR="00CD6C08">
        <w:t>5</w:t>
      </w:r>
      <w:r w:rsidRPr="00DB66B3">
        <w:t>;  1</w:t>
      </w:r>
      <w:r w:rsidR="00CD6C08">
        <w:t>5.511</w:t>
      </w:r>
      <w:r w:rsidRPr="00DB66B3">
        <w:t xml:space="preserve"> en 201</w:t>
      </w:r>
      <w:r w:rsidR="00CD6C08">
        <w:t>4</w:t>
      </w:r>
      <w:r w:rsidRPr="00DB66B3">
        <w:t xml:space="preserve">), cifra </w:t>
      </w:r>
      <w:r w:rsidR="00CD6C08">
        <w:t>que comprende un aumento del 2,9</w:t>
      </w:r>
      <w:r w:rsidRPr="00DB66B3">
        <w:t>% del número de solicitud</w:t>
      </w:r>
      <w:r w:rsidR="00D373EA">
        <w:t>es presentadas por residentes (10.061 en 2015</w:t>
      </w:r>
      <w:r w:rsidRPr="00DB66B3">
        <w:t>;  9.</w:t>
      </w:r>
      <w:r w:rsidR="00D373EA">
        <w:t>778</w:t>
      </w:r>
      <w:r w:rsidRPr="00DB66B3">
        <w:t xml:space="preserve"> en 201</w:t>
      </w:r>
      <w:r w:rsidR="00D373EA">
        <w:t>4</w:t>
      </w:r>
      <w:r w:rsidRPr="00DB66B3">
        <w:t>) y un</w:t>
      </w:r>
      <w:r w:rsidR="00D373EA">
        <w:t xml:space="preserve">a disminución </w:t>
      </w:r>
      <w:r w:rsidRPr="00DB66B3">
        <w:t>del </w:t>
      </w:r>
      <w:r w:rsidR="00D373EA">
        <w:t>13</w:t>
      </w:r>
      <w:r w:rsidRPr="00DB66B3">
        <w:t>,</w:t>
      </w:r>
      <w:r w:rsidR="00D373EA">
        <w:t>6</w:t>
      </w:r>
      <w:r w:rsidRPr="00DB66B3">
        <w:t xml:space="preserve">% del número de solicitudes </w:t>
      </w:r>
      <w:r w:rsidR="00D373EA">
        <w:t>presentadas por no residentes (4.956</w:t>
      </w:r>
      <w:r w:rsidRPr="00DB66B3">
        <w:t xml:space="preserve"> en 201</w:t>
      </w:r>
      <w:r w:rsidR="00D373EA">
        <w:t>5</w:t>
      </w:r>
      <w:r w:rsidRPr="00DB66B3">
        <w:t xml:space="preserve">;  </w:t>
      </w:r>
      <w:r w:rsidR="00D373EA">
        <w:t>5.733</w:t>
      </w:r>
      <w:r w:rsidRPr="00DB66B3">
        <w:t xml:space="preserve"> en 201</w:t>
      </w:r>
      <w:r w:rsidR="00D373EA">
        <w:t>4</w:t>
      </w:r>
      <w:r w:rsidRPr="00DB66B3">
        <w:t>).  El número de títulos concedidos pasó de 1</w:t>
      </w:r>
      <w:r w:rsidR="00D373EA">
        <w:t>1.566 en 2014</w:t>
      </w:r>
      <w:r w:rsidRPr="00DB66B3">
        <w:t xml:space="preserve"> a </w:t>
      </w:r>
      <w:r w:rsidR="00D373EA">
        <w:t>12.409</w:t>
      </w:r>
      <w:r w:rsidRPr="00DB66B3">
        <w:t xml:space="preserve"> en 201</w:t>
      </w:r>
      <w:r w:rsidR="00D373EA">
        <w:t>5</w:t>
      </w:r>
      <w:r w:rsidRPr="00DB66B3">
        <w:t xml:space="preserve"> (</w:t>
      </w:r>
      <w:r w:rsidR="00D373EA">
        <w:t>7</w:t>
      </w:r>
      <w:r w:rsidRPr="00DB66B3">
        <w:t>,</w:t>
      </w:r>
      <w:r w:rsidR="00D373EA">
        <w:t>3</w:t>
      </w:r>
      <w:r w:rsidRPr="00DB66B3">
        <w:t>% de aumento).</w:t>
      </w:r>
    </w:p>
    <w:p w:rsidR="00673AC1" w:rsidRPr="00DB66B3" w:rsidRDefault="00673AC1" w:rsidP="00673AC1">
      <w:pPr>
        <w:autoSpaceDE w:val="0"/>
        <w:autoSpaceDN w:val="0"/>
        <w:adjustRightInd w:val="0"/>
        <w:rPr>
          <w:rFonts w:cs="Arial"/>
        </w:rPr>
      </w:pPr>
    </w:p>
    <w:p w:rsidR="00673AC1" w:rsidRDefault="00673AC1" w:rsidP="00673AC1">
      <w:pPr>
        <w:autoSpaceDE w:val="0"/>
        <w:autoSpaceDN w:val="0"/>
        <w:adjustRightInd w:val="0"/>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Los 10</w:t>
      </w:r>
      <w:r w:rsidR="00D373EA">
        <w:t>7.232</w:t>
      </w:r>
      <w:r w:rsidRPr="00DB66B3">
        <w:t xml:space="preserve"> títulos en vigor en 201</w:t>
      </w:r>
      <w:r w:rsidR="00D373EA">
        <w:t>5</w:t>
      </w:r>
      <w:r w:rsidRPr="00DB66B3">
        <w:t xml:space="preserve"> representaron un aumento del </w:t>
      </w:r>
      <w:r w:rsidR="00D373EA">
        <w:t>0</w:t>
      </w:r>
      <w:r w:rsidRPr="00DB66B3">
        <w:t>,</w:t>
      </w:r>
      <w:r w:rsidR="00D373EA">
        <w:t>6</w:t>
      </w:r>
      <w:r w:rsidRPr="00DB66B3">
        <w:t>% respecto de la cifra de 201</w:t>
      </w:r>
      <w:r w:rsidR="00D373EA">
        <w:t>4</w:t>
      </w:r>
      <w:r w:rsidRPr="00DB66B3">
        <w:t> (10</w:t>
      </w:r>
      <w:r w:rsidR="00D373EA">
        <w:t>6.575</w:t>
      </w:r>
      <w:r w:rsidRPr="00DB66B3">
        <w:t>).</w:t>
      </w:r>
    </w:p>
    <w:p w:rsidR="00D373EA" w:rsidRDefault="00D373EA" w:rsidP="00673AC1">
      <w:pPr>
        <w:autoSpaceDE w:val="0"/>
        <w:autoSpaceDN w:val="0"/>
        <w:adjustRightInd w:val="0"/>
      </w:pPr>
    </w:p>
    <w:p w:rsidR="00D373EA" w:rsidRPr="00DF4A04" w:rsidRDefault="00D373EA" w:rsidP="00D373EA">
      <w:pPr>
        <w:rPr>
          <w:lang w:val="es-ES"/>
        </w:rPr>
      </w:pPr>
      <w:r>
        <w:fldChar w:fldCharType="begin"/>
      </w:r>
      <w:r w:rsidRPr="00DF4A04">
        <w:rPr>
          <w:lang w:val="es-ES"/>
        </w:rPr>
        <w:instrText xml:space="preserve"> AUTONUM  </w:instrText>
      </w:r>
      <w:r>
        <w:fldChar w:fldCharType="end"/>
      </w:r>
      <w:r w:rsidRPr="00DF4A04">
        <w:rPr>
          <w:lang w:val="es-ES"/>
        </w:rPr>
        <w:tab/>
      </w:r>
      <w:r w:rsidRPr="008845BB">
        <w:t>El Comité Consultivo tomó nota de que, si se observan diferencias significativas entre los datos de la base PLUTO y los del documento C/50/7, la Oficina de la Unión consultará con los miembros de la Unión que corresponda.</w:t>
      </w:r>
    </w:p>
    <w:p w:rsidR="00D373EA" w:rsidRPr="00DF4A04" w:rsidRDefault="00D373EA" w:rsidP="00D373EA">
      <w:pPr>
        <w:ind w:left="567" w:hanging="567"/>
        <w:jc w:val="left"/>
        <w:rPr>
          <w:lang w:val="es-ES"/>
        </w:rPr>
      </w:pPr>
    </w:p>
    <w:p w:rsidR="00D373EA" w:rsidRPr="00DF4A04" w:rsidRDefault="00D373EA" w:rsidP="00D373EA">
      <w:pPr>
        <w:rPr>
          <w:lang w:val="es-ES"/>
        </w:rPr>
      </w:pPr>
      <w:r>
        <w:fldChar w:fldCharType="begin"/>
      </w:r>
      <w:r w:rsidRPr="00DF4A04">
        <w:rPr>
          <w:lang w:val="es-ES"/>
        </w:rPr>
        <w:instrText xml:space="preserve"> AUTONUM  </w:instrText>
      </w:r>
      <w:r>
        <w:fldChar w:fldCharType="end"/>
      </w:r>
      <w:r w:rsidRPr="00DF4A04">
        <w:rPr>
          <w:lang w:val="es-ES"/>
        </w:rPr>
        <w:tab/>
      </w:r>
      <w:r w:rsidRPr="002406D4">
        <w:t>El Comité Consultivo tomó nota asimismo de que la Oficina de la Unión examinará las razones de las diferencias entre años en relación con la compleción de los datos de la base PLUTO en lo que respecta a los miembros de la Unión que aportan datos.</w:t>
      </w:r>
    </w:p>
    <w:p w:rsidR="00D373EA" w:rsidRPr="00DF4A04" w:rsidRDefault="00D373EA" w:rsidP="00D373EA">
      <w:pPr>
        <w:rPr>
          <w:lang w:val="es-ES"/>
        </w:rPr>
      </w:pPr>
    </w:p>
    <w:p w:rsidR="00D373EA" w:rsidRDefault="00D373EA" w:rsidP="00D373EA">
      <w:pPr>
        <w:autoSpaceDE w:val="0"/>
        <w:autoSpaceDN w:val="0"/>
        <w:adjustRightInd w:val="0"/>
      </w:pPr>
      <w:r>
        <w:lastRenderedPageBreak/>
        <w:fldChar w:fldCharType="begin"/>
      </w:r>
      <w:r w:rsidRPr="00DF4A04">
        <w:rPr>
          <w:lang w:val="es-ES"/>
        </w:rPr>
        <w:instrText xml:space="preserve"> AUTONUM  </w:instrText>
      </w:r>
      <w:r>
        <w:fldChar w:fldCharType="end"/>
      </w:r>
      <w:r w:rsidRPr="00DF4A04">
        <w:rPr>
          <w:lang w:val="es-ES"/>
        </w:rPr>
        <w:tab/>
      </w:r>
      <w:r w:rsidRPr="002406D4">
        <w:t>El Comité Consultivo tomó nota de que el análisis estadístico del que se informa en el documento CC/92/12 se brindará en las futuras versiones del documento C</w:t>
      </w:r>
      <w:proofErr w:type="gramStart"/>
      <w:r w:rsidRPr="002406D4">
        <w:t>/[</w:t>
      </w:r>
      <w:proofErr w:type="gramEnd"/>
      <w:r w:rsidRPr="002406D4">
        <w:t>sesión]/7 “Estadísticas sobre la protección de las obtenciones vegetales para el período [</w:t>
      </w:r>
      <w:proofErr w:type="spellStart"/>
      <w:r w:rsidRPr="002406D4">
        <w:t>xxxx</w:t>
      </w:r>
      <w:proofErr w:type="spellEnd"/>
      <w:r w:rsidRPr="002406D4">
        <w:t>]</w:t>
      </w:r>
      <w:r w:rsidRPr="002406D4">
        <w:noBreakHyphen/>
        <w:t>[</w:t>
      </w:r>
      <w:proofErr w:type="spellStart"/>
      <w:r w:rsidRPr="002406D4">
        <w:t>xxxx</w:t>
      </w:r>
      <w:proofErr w:type="spellEnd"/>
      <w:r w:rsidRPr="002406D4">
        <w:t>]”</w:t>
      </w:r>
    </w:p>
    <w:p w:rsidR="00D373EA" w:rsidRDefault="00D373EA" w:rsidP="00673AC1">
      <w:pPr>
        <w:autoSpaceDE w:val="0"/>
        <w:autoSpaceDN w:val="0"/>
        <w:adjustRightInd w:val="0"/>
      </w:pPr>
    </w:p>
    <w:p w:rsidR="00673AC1" w:rsidRPr="00DB66B3" w:rsidRDefault="00673AC1" w:rsidP="00673AC1">
      <w:pPr>
        <w:pStyle w:val="Heading2"/>
        <w:rPr>
          <w:lang w:val="es-ES_tradnl"/>
        </w:rPr>
      </w:pPr>
      <w:bookmarkStart w:id="21" w:name="_Toc443988410"/>
      <w:bookmarkStart w:id="22" w:name="_Toc478720994"/>
      <w:r w:rsidRPr="00DB66B3">
        <w:rPr>
          <w:lang w:val="es-ES_tradnl"/>
        </w:rPr>
        <w:t>Cooperación en el examen de obtenciones vegetales</w:t>
      </w:r>
      <w:bookmarkEnd w:id="21"/>
      <w:bookmarkEnd w:id="22"/>
      <w:r w:rsidRPr="00DB66B3">
        <w:rPr>
          <w:lang w:val="es-ES_tradnl"/>
        </w:rPr>
        <w:t xml:space="preserve"> </w:t>
      </w:r>
    </w:p>
    <w:p w:rsidR="00673AC1" w:rsidRPr="00DB66B3" w:rsidRDefault="00673AC1" w:rsidP="00673AC1">
      <w:pPr>
        <w:autoSpaceDE w:val="0"/>
        <w:autoSpaceDN w:val="0"/>
        <w:adjustRightInd w:val="0"/>
        <w:rPr>
          <w:rFonts w:cs="Arial"/>
        </w:rPr>
      </w:pPr>
    </w:p>
    <w:p w:rsidR="00673AC1" w:rsidRPr="00DB66B3" w:rsidRDefault="00673AC1" w:rsidP="00673AC1">
      <w:pPr>
        <w:autoSpaceDE w:val="0"/>
        <w:autoSpaceDN w:val="0"/>
        <w:adjustRightInd w:val="0"/>
        <w:rPr>
          <w:rFonts w:eastAsia="MS Mincho" w:cs="Arial"/>
          <w:highlight w:val="cyan"/>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En 2015 se suscribieron acuerdos de cooperación entre miembros de la Unión para el examen de la distinción, la homogeneidad y la estabilidad de 2.0</w:t>
      </w:r>
      <w:r w:rsidR="004F5C6F">
        <w:t>31</w:t>
      </w:r>
      <w:r w:rsidRPr="00DB66B3">
        <w:t xml:space="preserve"> géneros y especies vegetales, en comparación con la cifra de 2.00</w:t>
      </w:r>
      <w:r w:rsidR="004F5C6F">
        <w:t>2</w:t>
      </w:r>
      <w:r w:rsidRPr="00DB66B3">
        <w:t xml:space="preserve"> géneros y especies vegetales correspondientes a 2014.</w:t>
      </w:r>
    </w:p>
    <w:p w:rsidR="00673AC1" w:rsidRPr="00DB66B3" w:rsidRDefault="00673AC1" w:rsidP="00673AC1">
      <w:pPr>
        <w:pStyle w:val="Heading2"/>
        <w:rPr>
          <w:rFonts w:eastAsia="MS Mincho" w:cs="Arial"/>
          <w:highlight w:val="cyan"/>
          <w:lang w:val="es-ES_tradnl"/>
        </w:rPr>
      </w:pPr>
    </w:p>
    <w:bookmarkEnd w:id="16"/>
    <w:p w:rsidR="00673AC1" w:rsidRDefault="00673AC1" w:rsidP="00673AC1">
      <w:pPr>
        <w:rPr>
          <w:rFonts w:cs="Arial"/>
        </w:rPr>
      </w:pPr>
    </w:p>
    <w:p w:rsidR="00E2286C" w:rsidRPr="009425D4" w:rsidRDefault="00E2286C" w:rsidP="00E2286C">
      <w:pPr>
        <w:pStyle w:val="Heading1"/>
        <w:rPr>
          <w:rFonts w:cs="Arial"/>
          <w:lang w:val="es-ES"/>
        </w:rPr>
      </w:pPr>
      <w:bookmarkStart w:id="23" w:name="_Toc478720995"/>
      <w:r w:rsidRPr="009425D4">
        <w:rPr>
          <w:lang w:val="es-ES"/>
        </w:rPr>
        <w:t>Informe anual del Secretario General correspondiente al año 2015;  informe sobre el rendimiento del bienio 2014-2015</w:t>
      </w:r>
      <w:bookmarkEnd w:id="23"/>
    </w:p>
    <w:p w:rsidR="00E2286C" w:rsidRDefault="00E2286C" w:rsidP="00673AC1">
      <w:pPr>
        <w:rPr>
          <w:rFonts w:cs="Arial"/>
        </w:rPr>
      </w:pPr>
    </w:p>
    <w:p w:rsidR="00E2286C" w:rsidRDefault="00E2286C" w:rsidP="00673AC1">
      <w:r>
        <w:rPr>
          <w:rFonts w:cs="Arial"/>
          <w:snapToGrid w:val="0"/>
        </w:rPr>
        <w:fldChar w:fldCharType="begin"/>
      </w:r>
      <w:r w:rsidRPr="00117BAA">
        <w:rPr>
          <w:rFonts w:cs="Arial"/>
          <w:snapToGrid w:val="0"/>
          <w:lang w:val="es-ES"/>
        </w:rPr>
        <w:instrText xml:space="preserve"> AUTONUM  </w:instrText>
      </w:r>
      <w:r>
        <w:rPr>
          <w:rFonts w:cs="Arial"/>
          <w:snapToGrid w:val="0"/>
        </w:rPr>
        <w:fldChar w:fldCharType="end"/>
      </w:r>
      <w:r w:rsidRPr="00117BAA">
        <w:rPr>
          <w:lang w:val="es-ES"/>
        </w:rPr>
        <w:tab/>
        <w:t>El Consejo tomó nota del informe del Secretario General sobre las actividades de la Unión en 2015 y los resultados e indicadores de rendimiento correspondientes a 2015, expuesto en el documento C/50/2</w:t>
      </w:r>
      <w:r>
        <w:rPr>
          <w:lang w:val="es-ES"/>
        </w:rPr>
        <w:t xml:space="preserve"> “</w:t>
      </w:r>
      <w:r>
        <w:t>Informe anual del Secretario General para 2015”.</w:t>
      </w:r>
    </w:p>
    <w:p w:rsidR="00E2286C" w:rsidRDefault="00E2286C" w:rsidP="00673AC1"/>
    <w:p w:rsidR="00E2286C" w:rsidRDefault="00E2286C" w:rsidP="00673AC1">
      <w:pPr>
        <w:rPr>
          <w:rFonts w:cs="Arial"/>
          <w:lang w:val="es-ES"/>
        </w:rPr>
      </w:pPr>
      <w:r>
        <w:rPr>
          <w:rFonts w:cs="Arial"/>
          <w:snapToGrid w:val="0"/>
        </w:rPr>
        <w:fldChar w:fldCharType="begin"/>
      </w:r>
      <w:r w:rsidRPr="00117BAA">
        <w:rPr>
          <w:rFonts w:cs="Arial"/>
          <w:snapToGrid w:val="0"/>
          <w:lang w:val="es-ES"/>
        </w:rPr>
        <w:instrText xml:space="preserve"> AUTONUM  </w:instrText>
      </w:r>
      <w:r>
        <w:rPr>
          <w:rFonts w:cs="Arial"/>
          <w:snapToGrid w:val="0"/>
        </w:rPr>
        <w:fldChar w:fldCharType="end"/>
      </w:r>
      <w:r w:rsidRPr="00117BAA">
        <w:rPr>
          <w:lang w:val="es-ES"/>
        </w:rPr>
        <w:tab/>
        <w:t>El Consejo tomó nota del informe sobre el rendimiento del bienio 2014</w:t>
      </w:r>
      <w:r w:rsidRPr="00117BAA">
        <w:rPr>
          <w:lang w:val="es-ES"/>
        </w:rPr>
        <w:noBreakHyphen/>
        <w:t>2015, que figura en el documento C/50/12</w:t>
      </w:r>
      <w:r>
        <w:rPr>
          <w:lang w:val="es-ES"/>
        </w:rPr>
        <w:t xml:space="preserve"> “</w:t>
      </w:r>
      <w:r w:rsidRPr="00E2286C">
        <w:rPr>
          <w:rFonts w:cs="Arial"/>
          <w:lang w:val="es-ES"/>
        </w:rPr>
        <w:t>Informe sobre el rendimiento en el bienio 2014-2015</w:t>
      </w:r>
      <w:r>
        <w:rPr>
          <w:rFonts w:cs="Arial"/>
          <w:lang w:val="es-ES"/>
        </w:rPr>
        <w:t>”.</w:t>
      </w:r>
    </w:p>
    <w:p w:rsidR="00E2286C" w:rsidRDefault="00E2286C" w:rsidP="00673AC1">
      <w:pPr>
        <w:rPr>
          <w:rFonts w:cs="Arial"/>
          <w:lang w:val="es-ES"/>
        </w:rPr>
      </w:pPr>
    </w:p>
    <w:p w:rsidR="00E2286C" w:rsidRPr="00E2286C" w:rsidRDefault="00E2286C" w:rsidP="00673AC1">
      <w:pPr>
        <w:rPr>
          <w:rFonts w:cs="Arial"/>
          <w:lang w:val="es-ES"/>
        </w:rPr>
      </w:pPr>
    </w:p>
    <w:p w:rsidR="00E2286C" w:rsidRPr="009425D4" w:rsidRDefault="00E2286C" w:rsidP="00E2286C">
      <w:pPr>
        <w:pStyle w:val="Heading1"/>
        <w:rPr>
          <w:rFonts w:cs="Arial"/>
          <w:lang w:val="es-ES"/>
        </w:rPr>
      </w:pPr>
      <w:bookmarkStart w:id="24" w:name="_Toc478720996"/>
      <w:r w:rsidRPr="009425D4">
        <w:rPr>
          <w:lang w:val="es-ES"/>
        </w:rPr>
        <w:t>Informe de evaluación elaborado por la División de la OMPI de Supervisión Interna</w:t>
      </w:r>
      <w:bookmarkEnd w:id="24"/>
    </w:p>
    <w:p w:rsidR="00E2286C" w:rsidRDefault="00E2286C" w:rsidP="00673AC1">
      <w:pPr>
        <w:rPr>
          <w:rFonts w:cs="Arial"/>
        </w:rPr>
      </w:pPr>
    </w:p>
    <w:p w:rsidR="00E2286C" w:rsidRPr="00DF4A04" w:rsidRDefault="00E2286C" w:rsidP="00E2286C">
      <w:pPr>
        <w:rPr>
          <w:lang w:val="es-ES"/>
        </w:rPr>
      </w:pPr>
      <w:r w:rsidRPr="00A75197">
        <w:fldChar w:fldCharType="begin"/>
      </w:r>
      <w:r w:rsidRPr="00DF4A04">
        <w:rPr>
          <w:lang w:val="es-ES"/>
        </w:rPr>
        <w:instrText xml:space="preserve"> AUTONUM  </w:instrText>
      </w:r>
      <w:r w:rsidRPr="00A75197">
        <w:fldChar w:fldCharType="end"/>
      </w:r>
      <w:r w:rsidRPr="00DF4A04">
        <w:rPr>
          <w:lang w:val="es-ES"/>
        </w:rPr>
        <w:tab/>
      </w:r>
      <w:r>
        <w:rPr>
          <w:lang w:val="es-ES"/>
        </w:rPr>
        <w:t xml:space="preserve">En su </w:t>
      </w:r>
      <w:r w:rsidRPr="002406D4">
        <w:t>nonagésima segunda sesión</w:t>
      </w:r>
      <w:r w:rsidR="008F22D6">
        <w:t>, celebrada en Ginebra el 27 de octubre de 2016, e</w:t>
      </w:r>
      <w:r w:rsidRPr="00F230DE">
        <w:t>l Comité Consultivo examinó el Informe de evaluación elaborado por la División de la OMP</w:t>
      </w:r>
      <w:r w:rsidR="008F22D6">
        <w:t xml:space="preserve">I de Supervisión Interna (DSI) </w:t>
      </w:r>
      <w:r w:rsidRPr="00F230DE">
        <w:t>y una presentación a cargo del Sr. </w:t>
      </w:r>
      <w:proofErr w:type="spellStart"/>
      <w:r w:rsidRPr="00F230DE">
        <w:t>Tuncay</w:t>
      </w:r>
      <w:proofErr w:type="spellEnd"/>
      <w:r w:rsidRPr="00F230DE">
        <w:t xml:space="preserve"> </w:t>
      </w:r>
      <w:proofErr w:type="spellStart"/>
      <w:r w:rsidRPr="00F230DE">
        <w:t>Efendioglu</w:t>
      </w:r>
      <w:proofErr w:type="spellEnd"/>
      <w:r w:rsidRPr="00F230DE">
        <w:t>, Director interino de la DSI.</w:t>
      </w:r>
    </w:p>
    <w:p w:rsidR="00E2286C" w:rsidRDefault="00E2286C" w:rsidP="00673AC1">
      <w:pPr>
        <w:rPr>
          <w:rFonts w:cs="Arial"/>
          <w:lang w:val="es-ES"/>
        </w:rPr>
      </w:pPr>
    </w:p>
    <w:p w:rsidR="00E2286C" w:rsidRDefault="008F22D6" w:rsidP="00673AC1">
      <w:pPr>
        <w:rPr>
          <w:rFonts w:cs="Arial"/>
          <w:lang w:val="es-ES"/>
        </w:rPr>
      </w:pPr>
      <w:r w:rsidRPr="00A75197">
        <w:fldChar w:fldCharType="begin"/>
      </w:r>
      <w:r w:rsidRPr="00DF4A04">
        <w:rPr>
          <w:lang w:val="es-ES"/>
        </w:rPr>
        <w:instrText xml:space="preserve"> AUTONUM  </w:instrText>
      </w:r>
      <w:r w:rsidRPr="00A75197">
        <w:fldChar w:fldCharType="end"/>
      </w:r>
      <w:r w:rsidRPr="00DF4A04">
        <w:rPr>
          <w:lang w:val="es-ES"/>
        </w:rPr>
        <w:tab/>
      </w:r>
      <w:r w:rsidRPr="00F230DE">
        <w:t>El Comité Consultivo tomó nota de que el Informe de evaluación de la DSI se publicará en el sitio web de la UPOV tras la quincuagésima sesión ordinaria del Consejo</w:t>
      </w:r>
    </w:p>
    <w:p w:rsidR="00E2286C" w:rsidRDefault="00E2286C" w:rsidP="00673AC1">
      <w:pPr>
        <w:rPr>
          <w:rFonts w:cs="Arial"/>
          <w:lang w:val="es-ES"/>
        </w:rPr>
      </w:pPr>
    </w:p>
    <w:p w:rsidR="008F22D6" w:rsidRDefault="008F22D6" w:rsidP="008F22D6">
      <w:r w:rsidRPr="00A75197">
        <w:fldChar w:fldCharType="begin"/>
      </w:r>
      <w:r w:rsidRPr="00DF4A04">
        <w:rPr>
          <w:lang w:val="es-ES"/>
        </w:rPr>
        <w:instrText xml:space="preserve"> AUTONUM  </w:instrText>
      </w:r>
      <w:r w:rsidRPr="00A75197">
        <w:fldChar w:fldCharType="end"/>
      </w:r>
      <w:r w:rsidRPr="00DF4A04">
        <w:rPr>
          <w:lang w:val="es-ES"/>
        </w:rPr>
        <w:tab/>
      </w:r>
      <w:r w:rsidRPr="00F230DE">
        <w:t>En respuesta a la recomendación del Informe de evaluación de la DSI, el Comité Consultivo aprobó la propuesta de que la Oficina de la Unión elabore un proyecto de plan operativo estratégico que se presentará al Comité Consultivo en octubre/no</w:t>
      </w:r>
      <w:r>
        <w:t>viembre de 2017.</w:t>
      </w:r>
    </w:p>
    <w:p w:rsidR="008F22D6" w:rsidRDefault="008F22D6" w:rsidP="008F22D6"/>
    <w:p w:rsidR="008F22D6" w:rsidRPr="00DF4A04" w:rsidRDefault="008F22D6" w:rsidP="008F22D6">
      <w:pPr>
        <w:rPr>
          <w:lang w:val="es-ES"/>
        </w:rPr>
      </w:pPr>
      <w:r w:rsidRPr="00A75197">
        <w:fldChar w:fldCharType="begin"/>
      </w:r>
      <w:r w:rsidRPr="00DF4A04">
        <w:rPr>
          <w:lang w:val="es-ES"/>
        </w:rPr>
        <w:instrText xml:space="preserve"> AUTONUM  </w:instrText>
      </w:r>
      <w:r w:rsidRPr="00A75197">
        <w:fldChar w:fldCharType="end"/>
      </w:r>
      <w:r w:rsidRPr="00DF4A04">
        <w:rPr>
          <w:lang w:val="es-ES"/>
        </w:rPr>
        <w:tab/>
      </w:r>
      <w:r w:rsidRPr="00F230DE">
        <w:t>El Comité Consultivo manifestó su agradecimiento a la DSI de la OMPI por el Informe de evaluación.</w:t>
      </w:r>
    </w:p>
    <w:p w:rsidR="008F22D6" w:rsidRPr="00DF4A04" w:rsidRDefault="008F22D6" w:rsidP="008F22D6">
      <w:pPr>
        <w:rPr>
          <w:lang w:val="es-ES"/>
        </w:rPr>
      </w:pPr>
    </w:p>
    <w:p w:rsidR="008F22D6" w:rsidRPr="00DF4A04" w:rsidRDefault="008F22D6" w:rsidP="008F22D6">
      <w:pPr>
        <w:rPr>
          <w:lang w:val="es-ES"/>
        </w:rPr>
      </w:pPr>
      <w:r w:rsidRPr="00A75197">
        <w:fldChar w:fldCharType="begin"/>
      </w:r>
      <w:r w:rsidRPr="00DF4A04">
        <w:rPr>
          <w:lang w:val="es-ES"/>
        </w:rPr>
        <w:instrText xml:space="preserve"> AUTONUM  </w:instrText>
      </w:r>
      <w:r w:rsidRPr="00A75197">
        <w:fldChar w:fldCharType="end"/>
      </w:r>
      <w:r w:rsidRPr="00DF4A04">
        <w:rPr>
          <w:lang w:val="es-ES"/>
        </w:rPr>
        <w:tab/>
      </w:r>
      <w:r w:rsidRPr="00F230DE">
        <w:t>El Comité Consultivo tomó nota de que las conclusiones del Comité Consultivo en relación con el Informe de evaluación de la DSI se notificarán al Consejo en su quincuagésima sesión ordinaria, que se celebrará en Ginebra el 28 de octubre de 2016</w:t>
      </w:r>
      <w:r>
        <w:t>.</w:t>
      </w:r>
    </w:p>
    <w:p w:rsidR="00E2286C" w:rsidRDefault="00E2286C" w:rsidP="00673AC1">
      <w:pPr>
        <w:rPr>
          <w:rFonts w:cs="Arial"/>
          <w:lang w:val="es-ES"/>
        </w:rPr>
      </w:pPr>
    </w:p>
    <w:p w:rsidR="00E2286C" w:rsidRDefault="00E2286C" w:rsidP="00673AC1">
      <w:pPr>
        <w:rPr>
          <w:rFonts w:cs="Arial"/>
          <w:lang w:val="es-ES"/>
        </w:rPr>
      </w:pPr>
    </w:p>
    <w:p w:rsidR="00673AC1" w:rsidRPr="00DB66B3" w:rsidRDefault="00673AC1" w:rsidP="00673AC1">
      <w:pPr>
        <w:pStyle w:val="Heading1"/>
        <w:rPr>
          <w:lang w:val="es-ES_tradnl"/>
        </w:rPr>
      </w:pPr>
      <w:bookmarkStart w:id="25" w:name="_Toc443988414"/>
      <w:bookmarkStart w:id="26" w:name="_Toc478720997"/>
      <w:r w:rsidRPr="00DB66B3">
        <w:rPr>
          <w:lang w:val="es-ES_tradnl"/>
        </w:rPr>
        <w:t>Órganos de la UPOV y sus sesiones</w:t>
      </w:r>
      <w:bookmarkEnd w:id="25"/>
      <w:bookmarkEnd w:id="26"/>
    </w:p>
    <w:p w:rsidR="00673AC1" w:rsidRPr="00DB66B3" w:rsidRDefault="00673AC1" w:rsidP="00673AC1">
      <w:pPr>
        <w:pStyle w:val="Heading1"/>
        <w:rPr>
          <w:lang w:val="es-ES_tradnl"/>
        </w:rPr>
      </w:pPr>
    </w:p>
    <w:p w:rsidR="00673AC1" w:rsidRPr="00DB66B3" w:rsidRDefault="00673AC1" w:rsidP="00673AC1">
      <w:pPr>
        <w:pStyle w:val="Heading2"/>
        <w:rPr>
          <w:lang w:val="es-ES_tradnl"/>
        </w:rPr>
      </w:pPr>
      <w:bookmarkStart w:id="27" w:name="_Toc443988415"/>
      <w:bookmarkStart w:id="28" w:name="_Toc478720998"/>
      <w:r w:rsidRPr="00DB66B3">
        <w:rPr>
          <w:lang w:val="es-ES_tradnl"/>
        </w:rPr>
        <w:t>Presidente y del Vicepresidente del Consejo de la UPOV</w:t>
      </w:r>
      <w:bookmarkEnd w:id="27"/>
      <w:bookmarkEnd w:id="28"/>
    </w:p>
    <w:p w:rsidR="00673AC1" w:rsidRPr="00DB66B3" w:rsidRDefault="00673AC1" w:rsidP="00673AC1">
      <w:pPr>
        <w:keepNext/>
        <w:autoSpaceDE w:val="0"/>
        <w:autoSpaceDN w:val="0"/>
        <w:adjustRightInd w:val="0"/>
        <w:jc w:val="left"/>
        <w:rPr>
          <w:rFonts w:cs="Arial"/>
        </w:rPr>
      </w:pPr>
    </w:p>
    <w:p w:rsidR="00673AC1" w:rsidRPr="00DB66B3" w:rsidRDefault="00673AC1" w:rsidP="00673AC1">
      <w:pPr>
        <w:autoSpaceDE w:val="0"/>
        <w:autoSpaceDN w:val="0"/>
        <w:adjustRightInd w:val="0"/>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 xml:space="preserve">En su </w:t>
      </w:r>
      <w:r w:rsidR="004C29CC" w:rsidRPr="00D30A87">
        <w:rPr>
          <w:lang w:val="es-ES"/>
        </w:rPr>
        <w:t>quincuagésima sesión ordinaria</w:t>
      </w:r>
      <w:r w:rsidRPr="00DB66B3">
        <w:t xml:space="preserve">, el Consejo eligió a las personas siguientes, en cada caso por un mandato de tres años, que concluirá con la quincuagésima </w:t>
      </w:r>
      <w:r w:rsidR="004C29CC">
        <w:t>tercera</w:t>
      </w:r>
      <w:r w:rsidRPr="00DB66B3">
        <w:t xml:space="preserve"> sesión ordinaria del Consejo en 201</w:t>
      </w:r>
      <w:r w:rsidR="004C29CC">
        <w:t>9</w:t>
      </w:r>
      <w:r w:rsidRPr="00DB66B3">
        <w:t>:</w:t>
      </w:r>
    </w:p>
    <w:p w:rsidR="00673AC1" w:rsidRPr="00DB66B3" w:rsidRDefault="00673AC1" w:rsidP="00673AC1">
      <w:pPr>
        <w:autoSpaceDE w:val="0"/>
        <w:autoSpaceDN w:val="0"/>
        <w:adjustRightInd w:val="0"/>
        <w:jc w:val="left"/>
        <w:rPr>
          <w:rFonts w:cs="Arial"/>
        </w:rPr>
      </w:pPr>
    </w:p>
    <w:p w:rsidR="00673AC1" w:rsidRPr="00DB66B3" w:rsidRDefault="00673AC1" w:rsidP="00673AC1">
      <w:pPr>
        <w:autoSpaceDE w:val="0"/>
        <w:autoSpaceDN w:val="0"/>
        <w:adjustRightInd w:val="0"/>
        <w:ind w:left="567"/>
        <w:jc w:val="left"/>
        <w:rPr>
          <w:rFonts w:cs="Arial"/>
        </w:rPr>
      </w:pPr>
      <w:r w:rsidRPr="00DB66B3">
        <w:t>a)</w:t>
      </w:r>
      <w:r w:rsidRPr="00DB66B3">
        <w:tab/>
        <w:t>Sr. </w:t>
      </w:r>
      <w:r w:rsidR="004C29CC" w:rsidRPr="00DB66B3">
        <w:t>Raimundo Lavignolle (Argentina)</w:t>
      </w:r>
      <w:r w:rsidRPr="00DB66B3">
        <w:t>, Presidente del Consejo;</w:t>
      </w:r>
    </w:p>
    <w:p w:rsidR="00673AC1" w:rsidRPr="00DB66B3" w:rsidRDefault="00673AC1" w:rsidP="00673AC1">
      <w:pPr>
        <w:autoSpaceDE w:val="0"/>
        <w:autoSpaceDN w:val="0"/>
        <w:adjustRightInd w:val="0"/>
        <w:ind w:left="567"/>
        <w:jc w:val="left"/>
        <w:rPr>
          <w:rFonts w:cs="Arial"/>
        </w:rPr>
      </w:pPr>
      <w:r w:rsidRPr="00DB66B3">
        <w:t>b)</w:t>
      </w:r>
      <w:r w:rsidRPr="00DB66B3">
        <w:tab/>
        <w:t>Sr. </w:t>
      </w:r>
      <w:r w:rsidR="004C29CC" w:rsidRPr="00D30A87">
        <w:rPr>
          <w:lang w:val="es-ES"/>
        </w:rPr>
        <w:t>Marien Valstar (Países Bajos), Vicepresidente del Consejo</w:t>
      </w:r>
      <w:r w:rsidRPr="00DB66B3">
        <w:t>.</w:t>
      </w:r>
    </w:p>
    <w:p w:rsidR="00673AC1" w:rsidRPr="00DB66B3" w:rsidRDefault="00673AC1" w:rsidP="00673AC1">
      <w:pPr>
        <w:autoSpaceDE w:val="0"/>
        <w:autoSpaceDN w:val="0"/>
        <w:adjustRightInd w:val="0"/>
        <w:jc w:val="left"/>
        <w:rPr>
          <w:rFonts w:cs="Arial"/>
        </w:rPr>
      </w:pPr>
    </w:p>
    <w:p w:rsidR="004C29CC" w:rsidRDefault="004C29CC" w:rsidP="004C29CC">
      <w:pPr>
        <w:pStyle w:val="Heading2"/>
        <w:rPr>
          <w:lang w:val="es-ES"/>
        </w:rPr>
      </w:pPr>
      <w:bookmarkStart w:id="29" w:name="_Toc478720999"/>
      <w:r w:rsidRPr="00DB66B3">
        <w:rPr>
          <w:lang w:val="es-ES_tradnl"/>
        </w:rPr>
        <w:t xml:space="preserve">Presidente y del Vicepresidente del </w:t>
      </w:r>
      <w:r w:rsidRPr="00D30A87">
        <w:rPr>
          <w:lang w:val="es-ES"/>
        </w:rPr>
        <w:t>Comité Administrativo y Jurídico</w:t>
      </w:r>
      <w:bookmarkEnd w:id="29"/>
    </w:p>
    <w:p w:rsidR="004C29CC" w:rsidRDefault="004C29CC" w:rsidP="004C29CC">
      <w:pPr>
        <w:rPr>
          <w:lang w:val="es-ES"/>
        </w:rPr>
      </w:pPr>
    </w:p>
    <w:p w:rsidR="004C29CC" w:rsidRDefault="004C29CC" w:rsidP="004C29CC">
      <w:r w:rsidRPr="00DB66B3">
        <w:rPr>
          <w:rFonts w:cs="Arial"/>
        </w:rPr>
        <w:fldChar w:fldCharType="begin"/>
      </w:r>
      <w:r w:rsidRPr="00DB66B3">
        <w:rPr>
          <w:rFonts w:cs="Arial"/>
        </w:rPr>
        <w:instrText xml:space="preserve"> AUTONUM  </w:instrText>
      </w:r>
      <w:r w:rsidRPr="00DB66B3">
        <w:rPr>
          <w:rFonts w:cs="Arial"/>
        </w:rPr>
        <w:fldChar w:fldCharType="end"/>
      </w:r>
      <w:r w:rsidRPr="00DB66B3">
        <w:tab/>
        <w:t xml:space="preserve">En su </w:t>
      </w:r>
      <w:r w:rsidRPr="00D30A87">
        <w:rPr>
          <w:lang w:val="es-ES"/>
        </w:rPr>
        <w:t>quincuagésima sesión ordinaria</w:t>
      </w:r>
      <w:r w:rsidRPr="00DB66B3">
        <w:t xml:space="preserve">, el Consejo eligió a las personas siguientes, en cada caso por un mandato de tres años, que concluirá con la quincuagésima </w:t>
      </w:r>
      <w:r>
        <w:t>tercera</w:t>
      </w:r>
      <w:r w:rsidRPr="00DB66B3">
        <w:t xml:space="preserve"> sesión ordinaria del Consejo en 201</w:t>
      </w:r>
      <w:r>
        <w:t>9:</w:t>
      </w:r>
    </w:p>
    <w:p w:rsidR="004C29CC" w:rsidRPr="004C29CC" w:rsidRDefault="004C29CC" w:rsidP="004C29CC">
      <w:pPr>
        <w:rPr>
          <w:lang w:val="es-ES"/>
        </w:rPr>
      </w:pPr>
    </w:p>
    <w:p w:rsidR="00D17E61" w:rsidRDefault="004C29CC" w:rsidP="00D17E61">
      <w:pPr>
        <w:ind w:left="567"/>
        <w:rPr>
          <w:lang w:val="es-ES"/>
        </w:rPr>
      </w:pPr>
      <w:r w:rsidRPr="00DB66B3">
        <w:t>a)</w:t>
      </w:r>
      <w:r w:rsidRPr="00DB66B3">
        <w:tab/>
      </w:r>
      <w:r w:rsidRPr="00D30A87">
        <w:rPr>
          <w:lang w:val="es-ES"/>
        </w:rPr>
        <w:t>Sr. Anthony Parker (Canadá), Presidente del Co</w:t>
      </w:r>
      <w:r w:rsidR="00D17E61">
        <w:rPr>
          <w:lang w:val="es-ES"/>
        </w:rPr>
        <w:t>mité Administrativo y Jurídico;</w:t>
      </w:r>
    </w:p>
    <w:p w:rsidR="004C29CC" w:rsidRPr="00D30A87" w:rsidRDefault="004C29CC" w:rsidP="00B94286">
      <w:pPr>
        <w:ind w:left="1134" w:hanging="567"/>
        <w:rPr>
          <w:lang w:val="es-ES"/>
        </w:rPr>
      </w:pPr>
      <w:r>
        <w:rPr>
          <w:lang w:val="es-ES"/>
        </w:rPr>
        <w:t>b</w:t>
      </w:r>
      <w:r w:rsidRPr="00D30A87">
        <w:rPr>
          <w:lang w:val="es-ES"/>
        </w:rPr>
        <w:t>)</w:t>
      </w:r>
      <w:r w:rsidRPr="00D30A87">
        <w:rPr>
          <w:lang w:val="es-ES"/>
        </w:rPr>
        <w:tab/>
        <w:t xml:space="preserve">Sr. Patrick </w:t>
      </w:r>
      <w:proofErr w:type="spellStart"/>
      <w:r w:rsidRPr="00D30A87">
        <w:rPr>
          <w:lang w:val="es-ES"/>
        </w:rPr>
        <w:t>Ngwediagi</w:t>
      </w:r>
      <w:proofErr w:type="spellEnd"/>
      <w:r w:rsidRPr="00D30A87">
        <w:rPr>
          <w:lang w:val="es-ES"/>
        </w:rPr>
        <w:t xml:space="preserve"> (República Unida de </w:t>
      </w:r>
      <w:proofErr w:type="spellStart"/>
      <w:r w:rsidRPr="00D30A87">
        <w:rPr>
          <w:lang w:val="es-ES"/>
        </w:rPr>
        <w:t>Tanzanía</w:t>
      </w:r>
      <w:proofErr w:type="spellEnd"/>
      <w:r w:rsidRPr="00D30A87">
        <w:rPr>
          <w:lang w:val="es-ES"/>
        </w:rPr>
        <w:t>), Vicepresidente del C</w:t>
      </w:r>
      <w:r>
        <w:rPr>
          <w:lang w:val="es-ES"/>
        </w:rPr>
        <w:t>omité Administrativo y Jurídico.</w:t>
      </w:r>
    </w:p>
    <w:p w:rsidR="008049B1" w:rsidRDefault="008049B1" w:rsidP="004C29CC">
      <w:pPr>
        <w:autoSpaceDE w:val="0"/>
        <w:autoSpaceDN w:val="0"/>
        <w:adjustRightInd w:val="0"/>
        <w:ind w:left="567"/>
        <w:jc w:val="left"/>
        <w:rPr>
          <w:rFonts w:cs="Arial"/>
          <w:lang w:val="es-ES"/>
        </w:rPr>
      </w:pPr>
      <w:r>
        <w:rPr>
          <w:rFonts w:cs="Arial"/>
          <w:lang w:val="es-ES"/>
        </w:rPr>
        <w:br w:type="page"/>
      </w:r>
    </w:p>
    <w:p w:rsidR="004C29CC" w:rsidRPr="004C29CC" w:rsidRDefault="004C29CC" w:rsidP="004C29CC">
      <w:pPr>
        <w:autoSpaceDE w:val="0"/>
        <w:autoSpaceDN w:val="0"/>
        <w:adjustRightInd w:val="0"/>
        <w:ind w:left="567"/>
        <w:jc w:val="left"/>
        <w:rPr>
          <w:rFonts w:cs="Arial"/>
          <w:lang w:val="es-ES"/>
        </w:rPr>
      </w:pPr>
    </w:p>
    <w:p w:rsidR="004C29CC" w:rsidRPr="004C29CC" w:rsidRDefault="004C29CC" w:rsidP="004C29CC">
      <w:pPr>
        <w:pStyle w:val="Heading2"/>
        <w:rPr>
          <w:lang w:val="es-ES"/>
        </w:rPr>
      </w:pPr>
      <w:bookmarkStart w:id="30" w:name="_Toc478721000"/>
      <w:r w:rsidRPr="004C29CC">
        <w:rPr>
          <w:lang w:val="es-ES"/>
        </w:rPr>
        <w:t xml:space="preserve">Presidente y del Vicepresidente </w:t>
      </w:r>
      <w:r w:rsidRPr="00D30A87">
        <w:rPr>
          <w:lang w:val="es-ES"/>
        </w:rPr>
        <w:t>del Comité Técnico</w:t>
      </w:r>
      <w:bookmarkEnd w:id="30"/>
    </w:p>
    <w:p w:rsidR="004C29CC" w:rsidRDefault="004C29CC" w:rsidP="00673AC1">
      <w:pPr>
        <w:rPr>
          <w:rFonts w:cs="Arial"/>
        </w:rPr>
      </w:pPr>
    </w:p>
    <w:p w:rsidR="004C29CC" w:rsidRDefault="004C29CC" w:rsidP="004C29CC">
      <w:r w:rsidRPr="00DB66B3">
        <w:rPr>
          <w:rFonts w:cs="Arial"/>
        </w:rPr>
        <w:fldChar w:fldCharType="begin"/>
      </w:r>
      <w:r w:rsidRPr="00DB66B3">
        <w:rPr>
          <w:rFonts w:cs="Arial"/>
        </w:rPr>
        <w:instrText xml:space="preserve"> AUTONUM  </w:instrText>
      </w:r>
      <w:r w:rsidRPr="00DB66B3">
        <w:rPr>
          <w:rFonts w:cs="Arial"/>
        </w:rPr>
        <w:fldChar w:fldCharType="end"/>
      </w:r>
      <w:r w:rsidRPr="00DB66B3">
        <w:tab/>
        <w:t xml:space="preserve">En su </w:t>
      </w:r>
      <w:r w:rsidRPr="00D30A87">
        <w:rPr>
          <w:lang w:val="es-ES"/>
        </w:rPr>
        <w:t>quincuagésima sesión ordinaria</w:t>
      </w:r>
      <w:r w:rsidRPr="00DB66B3">
        <w:t xml:space="preserve">, el Consejo eligió a las personas siguientes, en cada caso por un mandato de tres años, que concluirá con la quincuagésima </w:t>
      </w:r>
      <w:r>
        <w:t>tercera</w:t>
      </w:r>
      <w:r w:rsidRPr="00DB66B3">
        <w:t xml:space="preserve"> sesión ordinaria del Consejo en 201</w:t>
      </w:r>
      <w:r>
        <w:t>9:</w:t>
      </w:r>
    </w:p>
    <w:p w:rsidR="004C29CC" w:rsidRPr="004C29CC" w:rsidRDefault="004C29CC" w:rsidP="004C29CC">
      <w:pPr>
        <w:rPr>
          <w:lang w:val="es-ES"/>
        </w:rPr>
      </w:pPr>
    </w:p>
    <w:p w:rsidR="004C29CC" w:rsidRPr="00D30A87" w:rsidRDefault="004C29CC" w:rsidP="00D17E61">
      <w:pPr>
        <w:ind w:left="567"/>
        <w:rPr>
          <w:lang w:val="es-ES"/>
        </w:rPr>
      </w:pPr>
      <w:r w:rsidRPr="00DB66B3">
        <w:t>a)</w:t>
      </w:r>
      <w:r w:rsidRPr="00DB66B3">
        <w:tab/>
      </w:r>
      <w:r w:rsidRPr="00D30A87">
        <w:rPr>
          <w:lang w:val="es-ES"/>
        </w:rPr>
        <w:t>Sr. Kees van Ettekoven (Países Bajos), Pr</w:t>
      </w:r>
      <w:r w:rsidR="00D17E61">
        <w:rPr>
          <w:lang w:val="es-ES"/>
        </w:rPr>
        <w:t>esidente del Comité Técnico;  y</w:t>
      </w:r>
    </w:p>
    <w:p w:rsidR="004C29CC" w:rsidRDefault="004C29CC" w:rsidP="00D17E61">
      <w:pPr>
        <w:ind w:left="567"/>
        <w:rPr>
          <w:lang w:val="es-ES"/>
        </w:rPr>
      </w:pPr>
      <w:r>
        <w:rPr>
          <w:lang w:val="es-ES"/>
        </w:rPr>
        <w:t>b</w:t>
      </w:r>
      <w:r w:rsidRPr="00D30A87">
        <w:rPr>
          <w:lang w:val="es-ES"/>
        </w:rPr>
        <w:t>)</w:t>
      </w:r>
      <w:r w:rsidRPr="00D30A87">
        <w:rPr>
          <w:lang w:val="es-ES"/>
        </w:rPr>
        <w:tab/>
        <w:t>Sr. Nik Hulse (Australia), Vicepresidente del Comité Técnico</w:t>
      </w:r>
      <w:r>
        <w:rPr>
          <w:lang w:val="es-ES"/>
        </w:rPr>
        <w:t>.</w:t>
      </w:r>
    </w:p>
    <w:p w:rsidR="004C29CC" w:rsidRDefault="004C29CC" w:rsidP="004C29CC">
      <w:pPr>
        <w:autoSpaceDE w:val="0"/>
        <w:autoSpaceDN w:val="0"/>
        <w:adjustRightInd w:val="0"/>
        <w:jc w:val="left"/>
        <w:rPr>
          <w:rFonts w:cs="Arial"/>
        </w:rPr>
      </w:pPr>
    </w:p>
    <w:p w:rsidR="00673AC1" w:rsidRPr="00DB66B3" w:rsidRDefault="00673AC1" w:rsidP="00673AC1">
      <w:pPr>
        <w:pStyle w:val="Heading2"/>
        <w:rPr>
          <w:lang w:val="es-ES_tradnl"/>
        </w:rPr>
      </w:pPr>
      <w:bookmarkStart w:id="31" w:name="_Toc443988416"/>
      <w:bookmarkStart w:id="32" w:name="_Toc478721001"/>
      <w:r w:rsidRPr="00DB66B3">
        <w:rPr>
          <w:lang w:val="es-ES_tradnl"/>
        </w:rPr>
        <w:t>Calendario de reuniones</w:t>
      </w:r>
      <w:bookmarkEnd w:id="31"/>
      <w:bookmarkEnd w:id="32"/>
      <w:r w:rsidRPr="00DB66B3">
        <w:rPr>
          <w:lang w:val="es-ES_tradnl"/>
        </w:rPr>
        <w:t xml:space="preserve"> </w:t>
      </w:r>
    </w:p>
    <w:p w:rsidR="00673AC1" w:rsidRPr="00DB66B3" w:rsidRDefault="00673AC1" w:rsidP="00673AC1">
      <w:pPr>
        <w:rPr>
          <w:rFonts w:cs="Arial"/>
        </w:rPr>
      </w:pPr>
    </w:p>
    <w:p w:rsidR="008D0FDB" w:rsidRDefault="00673AC1" w:rsidP="00673AC1">
      <w:r w:rsidRPr="00DB66B3">
        <w:fldChar w:fldCharType="begin"/>
      </w:r>
      <w:r w:rsidRPr="00DB66B3">
        <w:instrText xml:space="preserve"> AUTONUM  </w:instrText>
      </w:r>
      <w:r w:rsidRPr="00DB66B3">
        <w:fldChar w:fldCharType="end"/>
      </w:r>
      <w:r w:rsidRPr="00DB66B3">
        <w:tab/>
      </w:r>
      <w:r w:rsidR="008D0FDB">
        <w:t>L</w:t>
      </w:r>
      <w:r w:rsidR="008D0FDB" w:rsidRPr="00DB66B3">
        <w:rPr>
          <w:snapToGrid w:val="0"/>
        </w:rPr>
        <w:t xml:space="preserve">as </w:t>
      </w:r>
      <w:r w:rsidR="008D0FDB" w:rsidRPr="000D08A6">
        <w:rPr>
          <w:snapToGrid w:val="0"/>
        </w:rPr>
        <w:t xml:space="preserve">novedades </w:t>
      </w:r>
      <w:r w:rsidR="008D0FDB">
        <w:rPr>
          <w:snapToGrid w:val="0"/>
        </w:rPr>
        <w:t>sobre la organización de las reuniones de la UPOV figuran en el documento TC/53/14 “</w:t>
      </w:r>
      <w:r w:rsidR="008D0FDB" w:rsidRPr="007B1EC8">
        <w:t>Organización de las sesiones de la UPOV</w:t>
      </w:r>
      <w:r w:rsidR="008D0FDB">
        <w:t>”.</w:t>
      </w:r>
    </w:p>
    <w:p w:rsidR="008D0FDB" w:rsidRDefault="008D0FDB" w:rsidP="00673AC1"/>
    <w:p w:rsidR="008D0FDB" w:rsidRDefault="008D0FDB" w:rsidP="00673AC1">
      <w:r>
        <w:t>El calendario de reuniones en 2</w:t>
      </w:r>
      <w:r w:rsidRPr="000D08A6">
        <w:t>017 es el siguiente:</w:t>
      </w:r>
    </w:p>
    <w:p w:rsidR="008D0FDB" w:rsidRDefault="008D0FDB" w:rsidP="00673AC1"/>
    <w:p w:rsidR="008D0FDB" w:rsidRPr="008D0FDB" w:rsidRDefault="008D0FDB" w:rsidP="008D0FDB">
      <w:pPr>
        <w:ind w:left="567"/>
        <w:rPr>
          <w:rFonts w:cs="Arial"/>
          <w:i/>
        </w:rPr>
      </w:pPr>
      <w:r w:rsidRPr="008D0FDB">
        <w:rPr>
          <w:rFonts w:cs="Arial"/>
          <w:i/>
        </w:rPr>
        <w:t>Consejo</w:t>
      </w:r>
    </w:p>
    <w:p w:rsidR="008D0FDB" w:rsidRPr="00D80FEF" w:rsidRDefault="008D0FDB" w:rsidP="008D0FDB">
      <w:pPr>
        <w:tabs>
          <w:tab w:val="left" w:pos="567"/>
        </w:tabs>
        <w:ind w:left="1843" w:hanging="1843"/>
        <w:rPr>
          <w:szCs w:val="24"/>
        </w:rPr>
      </w:pPr>
      <w:r w:rsidRPr="00D80FEF">
        <w:rPr>
          <w:szCs w:val="24"/>
        </w:rPr>
        <w:tab/>
      </w:r>
      <w:proofErr w:type="gramStart"/>
      <w:r w:rsidRPr="00D80FEF">
        <w:rPr>
          <w:szCs w:val="24"/>
        </w:rPr>
        <w:t>C(</w:t>
      </w:r>
      <w:proofErr w:type="spellStart"/>
      <w:proofErr w:type="gramEnd"/>
      <w:r w:rsidRPr="00D80FEF">
        <w:rPr>
          <w:szCs w:val="24"/>
        </w:rPr>
        <w:t>Extr</w:t>
      </w:r>
      <w:proofErr w:type="spellEnd"/>
      <w:r w:rsidRPr="00D80FEF">
        <w:rPr>
          <w:szCs w:val="24"/>
        </w:rPr>
        <w:t>.)/34</w:t>
      </w:r>
      <w:r w:rsidRPr="00D80FEF">
        <w:rPr>
          <w:szCs w:val="24"/>
        </w:rPr>
        <w:tab/>
      </w:r>
      <w:r>
        <w:rPr>
          <w:szCs w:val="24"/>
        </w:rPr>
        <w:t>6</w:t>
      </w:r>
      <w:r w:rsidRPr="00D80FEF">
        <w:rPr>
          <w:szCs w:val="24"/>
        </w:rPr>
        <w:t xml:space="preserve"> de abril (por la tarde) (sesión extraordinaria)</w:t>
      </w:r>
    </w:p>
    <w:p w:rsidR="008D0FDB" w:rsidRPr="00D80FEF" w:rsidRDefault="008D0FDB" w:rsidP="008D0FDB">
      <w:pPr>
        <w:tabs>
          <w:tab w:val="left" w:pos="567"/>
        </w:tabs>
        <w:ind w:left="1843" w:hanging="1843"/>
        <w:rPr>
          <w:szCs w:val="24"/>
        </w:rPr>
      </w:pPr>
      <w:r w:rsidRPr="00D80FEF">
        <w:rPr>
          <w:szCs w:val="24"/>
        </w:rPr>
        <w:tab/>
        <w:t>C/51</w:t>
      </w:r>
      <w:r w:rsidRPr="00D80FEF">
        <w:rPr>
          <w:szCs w:val="24"/>
        </w:rPr>
        <w:tab/>
        <w:t>26 de octubre</w:t>
      </w:r>
    </w:p>
    <w:p w:rsidR="008D0FDB" w:rsidRPr="00D80FEF" w:rsidRDefault="008D0FDB" w:rsidP="008D0FDB">
      <w:pPr>
        <w:ind w:left="1701" w:hanging="1701"/>
      </w:pPr>
    </w:p>
    <w:p w:rsidR="008D0FDB" w:rsidRPr="008D0FDB" w:rsidRDefault="008D0FDB" w:rsidP="008D0FDB">
      <w:pPr>
        <w:ind w:left="2268" w:hanging="1701"/>
        <w:rPr>
          <w:rFonts w:cs="Arial"/>
          <w:i/>
        </w:rPr>
      </w:pPr>
      <w:r w:rsidRPr="008D0FDB">
        <w:rPr>
          <w:rFonts w:cs="Arial"/>
          <w:i/>
        </w:rPr>
        <w:t>Comité Consultivo</w:t>
      </w:r>
    </w:p>
    <w:p w:rsidR="008D0FDB" w:rsidRPr="00D80FEF" w:rsidRDefault="008D0FDB" w:rsidP="008D0FDB">
      <w:pPr>
        <w:tabs>
          <w:tab w:val="left" w:pos="567"/>
        </w:tabs>
        <w:ind w:left="1843" w:hanging="1843"/>
        <w:rPr>
          <w:szCs w:val="24"/>
        </w:rPr>
      </w:pPr>
      <w:r w:rsidRPr="00D80FEF">
        <w:rPr>
          <w:szCs w:val="24"/>
        </w:rPr>
        <w:tab/>
        <w:t>CC/93</w:t>
      </w:r>
      <w:r w:rsidRPr="00D80FEF">
        <w:rPr>
          <w:szCs w:val="24"/>
        </w:rPr>
        <w:tab/>
      </w:r>
      <w:r>
        <w:rPr>
          <w:szCs w:val="24"/>
        </w:rPr>
        <w:t>6</w:t>
      </w:r>
      <w:r w:rsidRPr="00D80FEF">
        <w:rPr>
          <w:szCs w:val="24"/>
        </w:rPr>
        <w:t xml:space="preserve"> de abril (por la mañana)</w:t>
      </w:r>
    </w:p>
    <w:p w:rsidR="008D0FDB" w:rsidRPr="001B3D7B" w:rsidRDefault="008D0FDB" w:rsidP="008D0FDB">
      <w:pPr>
        <w:ind w:left="1843"/>
        <w:jc w:val="left"/>
        <w:rPr>
          <w:rFonts w:cs="Arial"/>
        </w:rPr>
      </w:pPr>
      <w:r w:rsidRPr="001B3D7B">
        <w:rPr>
          <w:rFonts w:cs="Arial"/>
        </w:rPr>
        <w:t xml:space="preserve">(Grupo de Trabajo sobre un posible sistema internacional de cooperación (WG-ISC/2):  </w:t>
      </w:r>
      <w:r w:rsidRPr="001B3D7B">
        <w:rPr>
          <w:rFonts w:cs="Arial"/>
        </w:rPr>
        <w:br/>
        <w:t>5 de abril (por la tarde))</w:t>
      </w:r>
    </w:p>
    <w:p w:rsidR="008D0FDB" w:rsidRPr="00D80FEF" w:rsidRDefault="008D0FDB" w:rsidP="008D0FDB">
      <w:pPr>
        <w:tabs>
          <w:tab w:val="left" w:pos="567"/>
        </w:tabs>
        <w:ind w:left="1843" w:hanging="1843"/>
        <w:rPr>
          <w:szCs w:val="24"/>
        </w:rPr>
      </w:pPr>
      <w:r w:rsidRPr="00D80FEF">
        <w:rPr>
          <w:szCs w:val="24"/>
        </w:rPr>
        <w:tab/>
        <w:t>CC/94</w:t>
      </w:r>
      <w:r w:rsidRPr="00D80FEF">
        <w:rPr>
          <w:szCs w:val="24"/>
        </w:rPr>
        <w:tab/>
        <w:t>25 de octubre</w:t>
      </w:r>
    </w:p>
    <w:p w:rsidR="008D0FDB" w:rsidRPr="00D80FEF" w:rsidRDefault="008D0FDB" w:rsidP="008D0FDB">
      <w:pPr>
        <w:ind w:left="1701" w:hanging="1701"/>
      </w:pPr>
    </w:p>
    <w:p w:rsidR="008D0FDB" w:rsidRPr="008D0FDB" w:rsidRDefault="008D0FDB" w:rsidP="008D0FDB">
      <w:pPr>
        <w:ind w:left="2268" w:hanging="1701"/>
        <w:rPr>
          <w:rFonts w:cs="Arial"/>
          <w:i/>
        </w:rPr>
      </w:pPr>
      <w:r w:rsidRPr="008D0FDB">
        <w:rPr>
          <w:rFonts w:cs="Arial"/>
          <w:i/>
        </w:rPr>
        <w:t>Comité Administrativo y Jurídico</w:t>
      </w:r>
    </w:p>
    <w:p w:rsidR="008D0FDB" w:rsidRDefault="008D0FDB" w:rsidP="008D0FDB">
      <w:pPr>
        <w:tabs>
          <w:tab w:val="left" w:pos="567"/>
        </w:tabs>
        <w:ind w:left="1843" w:hanging="1843"/>
        <w:rPr>
          <w:szCs w:val="24"/>
        </w:rPr>
      </w:pPr>
      <w:r w:rsidRPr="00D80FEF">
        <w:rPr>
          <w:szCs w:val="24"/>
        </w:rPr>
        <w:tab/>
        <w:t>CAJ/7</w:t>
      </w:r>
      <w:r>
        <w:rPr>
          <w:szCs w:val="24"/>
        </w:rPr>
        <w:t>4</w:t>
      </w:r>
      <w:r w:rsidRPr="00D80FEF">
        <w:rPr>
          <w:szCs w:val="24"/>
        </w:rPr>
        <w:tab/>
        <w:t>23 y 24 de octubre</w:t>
      </w:r>
    </w:p>
    <w:p w:rsidR="008D0FDB" w:rsidRPr="001B3D7B" w:rsidRDefault="008D0FDB" w:rsidP="008D0FDB">
      <w:pPr>
        <w:ind w:left="1843"/>
        <w:jc w:val="left"/>
        <w:rPr>
          <w:rFonts w:cs="Arial"/>
        </w:rPr>
      </w:pPr>
      <w:r w:rsidRPr="001B3D7B">
        <w:rPr>
          <w:rFonts w:cs="Arial"/>
        </w:rPr>
        <w:t>(Grupo de Trabajo sobre Denominaciones de Variedades (WG-DEN/3)</w:t>
      </w:r>
      <w:proofErr w:type="gramStart"/>
      <w:r w:rsidRPr="001B3D7B">
        <w:rPr>
          <w:rFonts w:cs="Arial"/>
        </w:rPr>
        <w:t>:  7</w:t>
      </w:r>
      <w:proofErr w:type="gramEnd"/>
      <w:r w:rsidRPr="001B3D7B">
        <w:rPr>
          <w:rFonts w:cs="Arial"/>
        </w:rPr>
        <w:t> de abril (por la mañana))</w:t>
      </w:r>
    </w:p>
    <w:p w:rsidR="008D0FDB" w:rsidRPr="001B3D7B" w:rsidRDefault="008D0FDB" w:rsidP="008D0FDB">
      <w:pPr>
        <w:ind w:left="1843" w:right="-142"/>
        <w:jc w:val="left"/>
        <w:rPr>
          <w:rFonts w:cs="Arial"/>
        </w:rPr>
      </w:pPr>
      <w:r w:rsidRPr="001B3D7B">
        <w:rPr>
          <w:rFonts w:cs="Arial"/>
        </w:rPr>
        <w:t>(Reunión sobre la elaboración de un prototipo de formulario electrónico (EAF/9): 7 de abril (por la tarde))</w:t>
      </w:r>
    </w:p>
    <w:p w:rsidR="008D0FDB" w:rsidRPr="00D80FEF" w:rsidRDefault="008D0FDB" w:rsidP="008D0FDB">
      <w:pPr>
        <w:ind w:left="1701" w:hanging="1701"/>
      </w:pPr>
    </w:p>
    <w:p w:rsidR="008D0FDB" w:rsidRPr="008D0FDB" w:rsidRDefault="008D0FDB" w:rsidP="008D0FDB">
      <w:pPr>
        <w:ind w:left="2268" w:hanging="1701"/>
        <w:rPr>
          <w:rFonts w:cs="Arial"/>
          <w:i/>
        </w:rPr>
      </w:pPr>
      <w:r w:rsidRPr="008D0FDB">
        <w:rPr>
          <w:rFonts w:cs="Arial"/>
          <w:i/>
        </w:rPr>
        <w:t>Comité Técnico</w:t>
      </w:r>
    </w:p>
    <w:p w:rsidR="008D0FDB" w:rsidRPr="00D80FEF" w:rsidRDefault="008D0FDB" w:rsidP="008D0FDB">
      <w:pPr>
        <w:tabs>
          <w:tab w:val="left" w:pos="567"/>
        </w:tabs>
        <w:ind w:left="1843" w:hanging="1843"/>
        <w:rPr>
          <w:szCs w:val="24"/>
        </w:rPr>
      </w:pPr>
      <w:r w:rsidRPr="00D80FEF">
        <w:rPr>
          <w:szCs w:val="24"/>
        </w:rPr>
        <w:tab/>
        <w:t>TC/53</w:t>
      </w:r>
      <w:r w:rsidRPr="00D80FEF">
        <w:rPr>
          <w:szCs w:val="24"/>
        </w:rPr>
        <w:tab/>
        <w:t>3 a 5 de abril</w:t>
      </w:r>
      <w:r>
        <w:rPr>
          <w:szCs w:val="24"/>
        </w:rPr>
        <w:t xml:space="preserve"> (por la mañana)</w:t>
      </w:r>
    </w:p>
    <w:p w:rsidR="008D0FDB" w:rsidRPr="00D80FEF" w:rsidRDefault="008D0FDB" w:rsidP="008D0FDB">
      <w:pPr>
        <w:tabs>
          <w:tab w:val="left" w:pos="567"/>
        </w:tabs>
        <w:ind w:left="1843" w:hanging="1843"/>
        <w:jc w:val="left"/>
        <w:rPr>
          <w:szCs w:val="24"/>
        </w:rPr>
      </w:pPr>
      <w:r w:rsidRPr="00D80FEF">
        <w:rPr>
          <w:b/>
          <w:szCs w:val="24"/>
        </w:rPr>
        <w:tab/>
      </w:r>
      <w:r w:rsidRPr="00D80FEF">
        <w:rPr>
          <w:b/>
          <w:szCs w:val="24"/>
        </w:rPr>
        <w:tab/>
      </w:r>
      <w:r w:rsidRPr="00D80FEF">
        <w:rPr>
          <w:szCs w:val="24"/>
        </w:rPr>
        <w:t>(Comité de Redacción</w:t>
      </w:r>
      <w:proofErr w:type="gramStart"/>
      <w:r w:rsidRPr="00D80FEF">
        <w:rPr>
          <w:szCs w:val="24"/>
        </w:rPr>
        <w:t>:  11</w:t>
      </w:r>
      <w:proofErr w:type="gramEnd"/>
      <w:r w:rsidRPr="00D80FEF">
        <w:rPr>
          <w:szCs w:val="24"/>
        </w:rPr>
        <w:t xml:space="preserve"> y 12 de enero, 3 de abril (por la noche),</w:t>
      </w:r>
      <w:r w:rsidRPr="00D80FEF">
        <w:rPr>
          <w:szCs w:val="24"/>
        </w:rPr>
        <w:br/>
        <w:t>4 de abril (por la noche))</w:t>
      </w:r>
    </w:p>
    <w:p w:rsidR="008D0FDB" w:rsidRPr="00D80FEF" w:rsidRDefault="008D0FDB" w:rsidP="008D0FDB">
      <w:pPr>
        <w:ind w:left="1701" w:hanging="1701"/>
      </w:pPr>
    </w:p>
    <w:p w:rsidR="008D0FDB" w:rsidRPr="008D0FDB" w:rsidRDefault="008D0FDB" w:rsidP="008D0FDB">
      <w:pPr>
        <w:ind w:left="2268" w:hanging="1701"/>
        <w:rPr>
          <w:rFonts w:cs="Arial"/>
          <w:i/>
        </w:rPr>
      </w:pPr>
      <w:r w:rsidRPr="008D0FDB">
        <w:rPr>
          <w:rFonts w:cs="Arial"/>
          <w:i/>
        </w:rPr>
        <w:t>Grupo de Trabajo Técnico sobre Plantas Agrícolas (TWA)</w:t>
      </w:r>
    </w:p>
    <w:p w:rsidR="008D0FDB" w:rsidRPr="00D80FEF" w:rsidRDefault="008D0FDB" w:rsidP="008D0FDB">
      <w:pPr>
        <w:tabs>
          <w:tab w:val="left" w:pos="567"/>
        </w:tabs>
        <w:ind w:left="1843" w:hanging="1843"/>
      </w:pPr>
      <w:r w:rsidRPr="00D80FEF">
        <w:rPr>
          <w:rFonts w:cs="Arial"/>
        </w:rPr>
        <w:tab/>
        <w:t>TWA/46</w:t>
      </w:r>
      <w:r w:rsidRPr="00D80FEF">
        <w:rPr>
          <w:rFonts w:cs="Arial"/>
        </w:rPr>
        <w:tab/>
        <w:t>19 a 23 de junio, Hannover (Alemania)</w:t>
      </w:r>
    </w:p>
    <w:p w:rsidR="008D0FDB" w:rsidRPr="00D80FEF" w:rsidRDefault="008D0FDB" w:rsidP="008D0FDB">
      <w:pPr>
        <w:ind w:left="1843"/>
      </w:pPr>
      <w:r w:rsidRPr="00D80FEF">
        <w:t>(Taller preparatorio el 18 de junio)</w:t>
      </w:r>
    </w:p>
    <w:p w:rsidR="008D0FDB" w:rsidRPr="00D80FEF" w:rsidRDefault="008D0FDB" w:rsidP="008D0FDB">
      <w:pPr>
        <w:ind w:left="1701" w:hanging="1701"/>
      </w:pPr>
    </w:p>
    <w:p w:rsidR="008D0FDB" w:rsidRPr="008D0FDB" w:rsidRDefault="008D0FDB" w:rsidP="008D0FDB">
      <w:pPr>
        <w:ind w:left="567"/>
        <w:rPr>
          <w:rFonts w:cs="Arial"/>
          <w:i/>
        </w:rPr>
      </w:pPr>
      <w:r w:rsidRPr="008D0FDB">
        <w:rPr>
          <w:rFonts w:cs="Arial"/>
          <w:i/>
        </w:rPr>
        <w:t>Grupo de Trabajo Técnico sobre Automatización y Programas Informáticos (TWC)</w:t>
      </w:r>
    </w:p>
    <w:p w:rsidR="008D0FDB" w:rsidRPr="00D80FEF" w:rsidRDefault="008D0FDB" w:rsidP="004F467F">
      <w:pPr>
        <w:ind w:left="1701" w:hanging="1134"/>
      </w:pPr>
      <w:r w:rsidRPr="00D80FEF">
        <w:t>TWC/35</w:t>
      </w:r>
      <w:r w:rsidRPr="00D80FEF">
        <w:tab/>
        <w:t xml:space="preserve">14 a 17 de noviembre, </w:t>
      </w:r>
      <w:r w:rsidRPr="00D80FEF">
        <w:rPr>
          <w:rFonts w:cs="Arial"/>
          <w:lang w:eastAsia="ja-JP"/>
        </w:rPr>
        <w:t>Buenos Aires (</w:t>
      </w:r>
      <w:r w:rsidRPr="00D80FEF">
        <w:rPr>
          <w:rFonts w:cs="Arial"/>
        </w:rPr>
        <w:t>Argentina)</w:t>
      </w:r>
    </w:p>
    <w:p w:rsidR="008D0FDB" w:rsidRPr="00D80FEF" w:rsidRDefault="008D0FDB" w:rsidP="004F467F">
      <w:pPr>
        <w:ind w:left="1701"/>
      </w:pPr>
      <w:r w:rsidRPr="00D80FEF">
        <w:t>(Taller preparatorio el 13 de noviembre)</w:t>
      </w:r>
    </w:p>
    <w:p w:rsidR="008D0FDB" w:rsidRPr="008D0FDB" w:rsidRDefault="008D0FDB" w:rsidP="008D0FDB">
      <w:pPr>
        <w:ind w:left="2268" w:hanging="1701"/>
        <w:rPr>
          <w:i/>
        </w:rPr>
      </w:pPr>
    </w:p>
    <w:p w:rsidR="008D0FDB" w:rsidRPr="008D0FDB" w:rsidRDefault="008D0FDB" w:rsidP="008D0FDB">
      <w:pPr>
        <w:ind w:left="567"/>
        <w:rPr>
          <w:rFonts w:cs="Arial"/>
          <w:i/>
        </w:rPr>
      </w:pPr>
      <w:r w:rsidRPr="008D0FDB">
        <w:rPr>
          <w:rFonts w:cs="Arial"/>
          <w:i/>
        </w:rPr>
        <w:t>Grupo de Trabajo Técnico sobre Plantas Frutales (TWF)</w:t>
      </w:r>
    </w:p>
    <w:p w:rsidR="008D0FDB" w:rsidRPr="00D80FEF" w:rsidRDefault="008D0FDB" w:rsidP="008D0FDB">
      <w:r w:rsidRPr="00D80FEF">
        <w:tab/>
        <w:t>TWF/48</w:t>
      </w:r>
      <w:r w:rsidRPr="00D80FEF">
        <w:tab/>
        <w:t xml:space="preserve">18 a 22 de septiembre, </w:t>
      </w:r>
      <w:proofErr w:type="spellStart"/>
      <w:r w:rsidRPr="00D80FEF">
        <w:t>Kelowna</w:t>
      </w:r>
      <w:proofErr w:type="spellEnd"/>
      <w:r w:rsidRPr="00D80FEF">
        <w:t>, Columbia Británica (Canadá)</w:t>
      </w:r>
    </w:p>
    <w:p w:rsidR="008D0FDB" w:rsidRPr="00D80FEF" w:rsidRDefault="008D0FDB" w:rsidP="008D0FDB">
      <w:pPr>
        <w:ind w:left="1134" w:firstLine="567"/>
      </w:pPr>
      <w:r w:rsidRPr="00D80FEF">
        <w:t>(Taller preparatorio el 17 de septiembre)</w:t>
      </w:r>
    </w:p>
    <w:p w:rsidR="008D0FDB" w:rsidRPr="00D80FEF" w:rsidRDefault="008D0FDB" w:rsidP="008D0FDB">
      <w:pPr>
        <w:ind w:left="1701" w:hanging="1701"/>
      </w:pPr>
    </w:p>
    <w:p w:rsidR="008D0FDB" w:rsidRPr="008D0FDB" w:rsidRDefault="008D0FDB" w:rsidP="008D0FDB">
      <w:pPr>
        <w:ind w:left="567"/>
        <w:rPr>
          <w:rFonts w:cs="Arial"/>
          <w:i/>
        </w:rPr>
      </w:pPr>
      <w:r w:rsidRPr="008D0FDB">
        <w:rPr>
          <w:rFonts w:cs="Arial"/>
          <w:i/>
        </w:rPr>
        <w:t>Grupo de Trabajo Técnico sobre Plantas Ornamentales y Árboles Forestales (TWO)</w:t>
      </w:r>
    </w:p>
    <w:p w:rsidR="008D0FDB" w:rsidRPr="00D80FEF" w:rsidRDefault="008D0FDB" w:rsidP="008D0FDB">
      <w:r w:rsidRPr="00D80FEF">
        <w:tab/>
        <w:t>TWO/50</w:t>
      </w:r>
      <w:r w:rsidRPr="00D80FEF">
        <w:tab/>
        <w:t>11 a 15 de septiembre, Victoria, Columbia Británica (Canadá)</w:t>
      </w:r>
    </w:p>
    <w:p w:rsidR="008D0FDB" w:rsidRPr="00D80FEF" w:rsidRDefault="008D0FDB" w:rsidP="008D0FDB">
      <w:pPr>
        <w:ind w:left="1134" w:firstLine="567"/>
      </w:pPr>
      <w:r w:rsidRPr="00D80FEF">
        <w:t>(Taller preparatorio el 10 de septiembre)</w:t>
      </w:r>
    </w:p>
    <w:p w:rsidR="008D0FDB" w:rsidRPr="00D80FEF" w:rsidRDefault="008D0FDB" w:rsidP="008D0FDB">
      <w:pPr>
        <w:ind w:left="1701" w:hanging="1701"/>
      </w:pPr>
    </w:p>
    <w:p w:rsidR="008D0FDB" w:rsidRPr="008D0FDB" w:rsidRDefault="008D0FDB" w:rsidP="008D0FDB">
      <w:pPr>
        <w:ind w:left="567"/>
        <w:rPr>
          <w:rFonts w:cs="Arial"/>
          <w:i/>
        </w:rPr>
      </w:pPr>
      <w:r w:rsidRPr="008D0FDB">
        <w:rPr>
          <w:rFonts w:cs="Arial"/>
          <w:i/>
        </w:rPr>
        <w:t>Grupo de Trabajo Técnico sobre Hortalizas (TWV)</w:t>
      </w:r>
    </w:p>
    <w:p w:rsidR="008D0FDB" w:rsidRPr="00D80FEF" w:rsidRDefault="008D0FDB" w:rsidP="008D0FDB">
      <w:r w:rsidRPr="00D80FEF">
        <w:tab/>
        <w:t>TWV/51</w:t>
      </w:r>
      <w:r w:rsidRPr="00D80FEF">
        <w:tab/>
        <w:t xml:space="preserve">3 a 7 de julio, </w:t>
      </w:r>
      <w:proofErr w:type="spellStart"/>
      <w:r w:rsidRPr="00D80FEF">
        <w:t>Roelofarendsveen</w:t>
      </w:r>
      <w:proofErr w:type="spellEnd"/>
      <w:r w:rsidRPr="00D80FEF">
        <w:t xml:space="preserve"> (Países Bajos)</w:t>
      </w:r>
    </w:p>
    <w:p w:rsidR="008D0FDB" w:rsidRPr="00D80FEF" w:rsidRDefault="008D0FDB" w:rsidP="008D0FDB">
      <w:pPr>
        <w:ind w:left="1134" w:firstLine="567"/>
      </w:pPr>
      <w:r w:rsidRPr="00D80FEF">
        <w:t>(Taller preparatorio el 2 de julio)</w:t>
      </w:r>
    </w:p>
    <w:p w:rsidR="008D0FDB" w:rsidRPr="00D80FEF" w:rsidRDefault="008D0FDB" w:rsidP="008D0FDB">
      <w:pPr>
        <w:ind w:left="1701" w:hanging="1701"/>
      </w:pPr>
    </w:p>
    <w:p w:rsidR="008D0FDB" w:rsidRPr="008D0FDB" w:rsidRDefault="008D0FDB" w:rsidP="008D0FDB">
      <w:pPr>
        <w:keepNext/>
        <w:ind w:left="567"/>
        <w:rPr>
          <w:rFonts w:cs="Arial"/>
          <w:i/>
        </w:rPr>
      </w:pPr>
      <w:r w:rsidRPr="008D0FDB">
        <w:rPr>
          <w:rFonts w:cs="Arial"/>
          <w:i/>
        </w:rPr>
        <w:t>Grupo de Trabajo sobre Técnicas Bioquímicas y Moleculares, y Perfiles de ADN en particular (BMT)</w:t>
      </w:r>
    </w:p>
    <w:p w:rsidR="008D0FDB" w:rsidRPr="00D80FEF" w:rsidRDefault="008D0FDB" w:rsidP="008D0FDB">
      <w:pPr>
        <w:tabs>
          <w:tab w:val="left" w:pos="567"/>
          <w:tab w:val="left" w:pos="1701"/>
        </w:tabs>
        <w:ind w:left="1701" w:hanging="1701"/>
        <w:rPr>
          <w:rFonts w:cs="Arial"/>
        </w:rPr>
      </w:pPr>
      <w:r w:rsidRPr="00D80FEF">
        <w:rPr>
          <w:rFonts w:cs="Arial"/>
        </w:rPr>
        <w:tab/>
        <w:t>BMT/16</w:t>
      </w:r>
      <w:r w:rsidRPr="00D80FEF">
        <w:rPr>
          <w:rFonts w:cs="Arial"/>
        </w:rPr>
        <w:tab/>
      </w:r>
      <w:r>
        <w:rPr>
          <w:rFonts w:cs="Arial"/>
        </w:rPr>
        <w:t xml:space="preserve">7 a 10 </w:t>
      </w:r>
      <w:r w:rsidRPr="00D80FEF">
        <w:rPr>
          <w:rFonts w:cs="Arial"/>
        </w:rPr>
        <w:t xml:space="preserve">de </w:t>
      </w:r>
      <w:r>
        <w:rPr>
          <w:rFonts w:cs="Arial"/>
        </w:rPr>
        <w:t>nov</w:t>
      </w:r>
      <w:r w:rsidRPr="00D80FEF">
        <w:rPr>
          <w:rFonts w:cs="Arial"/>
        </w:rPr>
        <w:t>iembre, La </w:t>
      </w:r>
      <w:proofErr w:type="spellStart"/>
      <w:r w:rsidRPr="00D80FEF">
        <w:rPr>
          <w:rFonts w:cs="Arial"/>
        </w:rPr>
        <w:t>Rochelle</w:t>
      </w:r>
      <w:proofErr w:type="spellEnd"/>
      <w:r w:rsidRPr="00D80FEF">
        <w:rPr>
          <w:rFonts w:cs="Arial"/>
        </w:rPr>
        <w:t xml:space="preserve"> (Francia)</w:t>
      </w:r>
    </w:p>
    <w:p w:rsidR="008D0FDB" w:rsidRDefault="008D0FDB" w:rsidP="008D0FDB">
      <w:pPr>
        <w:ind w:left="567" w:firstLine="1134"/>
      </w:pPr>
      <w:r w:rsidRPr="00D80FEF">
        <w:t xml:space="preserve">(Taller preparatorio el </w:t>
      </w:r>
      <w:r>
        <w:t>6</w:t>
      </w:r>
      <w:r w:rsidRPr="00D80FEF">
        <w:t xml:space="preserve"> de </w:t>
      </w:r>
      <w:r>
        <w:t>nov</w:t>
      </w:r>
      <w:r w:rsidRPr="00D80FEF">
        <w:t>iembre)</w:t>
      </w:r>
    </w:p>
    <w:p w:rsidR="008D0FDB" w:rsidRDefault="008D0FDB" w:rsidP="008D0FDB"/>
    <w:p w:rsidR="008D0FDB" w:rsidRDefault="008D0FDB" w:rsidP="008D0FDB"/>
    <w:p w:rsidR="00673AC1" w:rsidRPr="00DB66B3" w:rsidRDefault="00673AC1" w:rsidP="00673AC1">
      <w:pPr>
        <w:pStyle w:val="Heading1"/>
        <w:rPr>
          <w:rFonts w:cs="Arial"/>
          <w:lang w:val="es-ES_tradnl"/>
        </w:rPr>
      </w:pPr>
      <w:bookmarkStart w:id="33" w:name="_Toc381174865"/>
      <w:bookmarkStart w:id="34" w:name="_Toc443988418"/>
      <w:bookmarkStart w:id="35" w:name="_Toc478721002"/>
      <w:r w:rsidRPr="00DB66B3">
        <w:rPr>
          <w:lang w:val="es-ES_tradnl"/>
        </w:rPr>
        <w:lastRenderedPageBreak/>
        <w:t>Colección de la UPOV</w:t>
      </w:r>
      <w:bookmarkEnd w:id="33"/>
      <w:bookmarkEnd w:id="34"/>
      <w:bookmarkEnd w:id="35"/>
    </w:p>
    <w:p w:rsidR="00673AC1" w:rsidRPr="00B94286" w:rsidRDefault="00673AC1" w:rsidP="00673AC1">
      <w:pPr>
        <w:rPr>
          <w:rFonts w:cs="Arial"/>
          <w:lang w:val="es-ES"/>
        </w:rPr>
      </w:pPr>
      <w:r w:rsidRPr="00B94286">
        <w:rPr>
          <w:lang w:val="es-ES"/>
        </w:rPr>
        <w:t>(</w:t>
      </w:r>
      <w:proofErr w:type="gramStart"/>
      <w:r w:rsidRPr="00B94286">
        <w:rPr>
          <w:lang w:val="es-ES"/>
        </w:rPr>
        <w:t>véase</w:t>
      </w:r>
      <w:proofErr w:type="gramEnd"/>
      <w:r w:rsidRPr="00B94286">
        <w:rPr>
          <w:lang w:val="es-ES"/>
        </w:rPr>
        <w:t xml:space="preserve"> </w:t>
      </w:r>
      <w:hyperlink r:id="rId10">
        <w:r w:rsidRPr="00B94286">
          <w:rPr>
            <w:rStyle w:val="Hyperlink"/>
            <w:lang w:val="es-ES"/>
          </w:rPr>
          <w:t>http://www.upov.int/upov_collection/es/</w:t>
        </w:r>
      </w:hyperlink>
      <w:r w:rsidRPr="00B94286">
        <w:rPr>
          <w:lang w:val="es-ES"/>
        </w:rPr>
        <w:t>)</w:t>
      </w:r>
    </w:p>
    <w:p w:rsidR="00673AC1" w:rsidRPr="00B94286" w:rsidRDefault="00673AC1" w:rsidP="00673AC1">
      <w:pPr>
        <w:rPr>
          <w:rFonts w:cs="Arial"/>
          <w:lang w:val="es-ES"/>
        </w:rPr>
      </w:pPr>
    </w:p>
    <w:p w:rsidR="00673AC1" w:rsidRPr="00DB66B3" w:rsidRDefault="00673AC1" w:rsidP="00673AC1">
      <w:pPr>
        <w:pStyle w:val="Heading2"/>
        <w:rPr>
          <w:lang w:val="es-ES_tradnl"/>
        </w:rPr>
      </w:pPr>
      <w:bookmarkStart w:id="36" w:name="_Toc443988419"/>
      <w:bookmarkStart w:id="37" w:name="_Toc478721003"/>
      <w:r w:rsidRPr="00DB66B3">
        <w:rPr>
          <w:lang w:val="es-ES_tradnl"/>
        </w:rPr>
        <w:t>Aprobación de documentos</w:t>
      </w:r>
      <w:bookmarkEnd w:id="36"/>
      <w:bookmarkEnd w:id="37"/>
    </w:p>
    <w:p w:rsidR="00673AC1" w:rsidRPr="00DB66B3" w:rsidRDefault="00673AC1" w:rsidP="00673AC1">
      <w:pPr>
        <w:rPr>
          <w:rFonts w:cs="Arial"/>
        </w:rPr>
      </w:pPr>
    </w:p>
    <w:p w:rsidR="00673AC1" w:rsidRDefault="00673AC1" w:rsidP="00673AC1">
      <w:r w:rsidRPr="00DB66B3">
        <w:rPr>
          <w:rFonts w:cs="Arial"/>
        </w:rPr>
        <w:fldChar w:fldCharType="begin"/>
      </w:r>
      <w:r w:rsidRPr="00DB66B3">
        <w:rPr>
          <w:rFonts w:cs="Arial"/>
        </w:rPr>
        <w:instrText xml:space="preserve"> AUTONUM  </w:instrText>
      </w:r>
      <w:r w:rsidRPr="00DB66B3">
        <w:rPr>
          <w:rFonts w:cs="Arial"/>
        </w:rPr>
        <w:fldChar w:fldCharType="end"/>
      </w:r>
      <w:r w:rsidRPr="00DB66B3">
        <w:tab/>
        <w:t xml:space="preserve">En su </w:t>
      </w:r>
      <w:r w:rsidR="004F467F" w:rsidRPr="00D30A87">
        <w:rPr>
          <w:lang w:val="es-ES"/>
        </w:rPr>
        <w:t>quincuagésima sesión ordinaria</w:t>
      </w:r>
      <w:r w:rsidRPr="00DB66B3">
        <w:t>, el Consejo aprobó las siguie</w:t>
      </w:r>
      <w:r w:rsidR="004F467F">
        <w:t>ntes revisiones de documentos</w:t>
      </w:r>
      <w:r w:rsidRPr="00DB66B3">
        <w:t>:</w:t>
      </w:r>
    </w:p>
    <w:p w:rsidR="004F467F" w:rsidRDefault="004F467F" w:rsidP="00673AC1"/>
    <w:p w:rsidR="004F467F" w:rsidRPr="004F467F" w:rsidRDefault="004F467F" w:rsidP="004F467F">
      <w:pPr>
        <w:ind w:left="567"/>
        <w:rPr>
          <w:bCs/>
          <w:snapToGrid w:val="0"/>
          <w:szCs w:val="24"/>
          <w:lang w:val="es-ES"/>
        </w:rPr>
      </w:pPr>
      <w:r w:rsidRPr="004F467F">
        <w:rPr>
          <w:bCs/>
          <w:snapToGrid w:val="0"/>
          <w:szCs w:val="24"/>
          <w:lang w:val="es-ES"/>
        </w:rPr>
        <w:t>(a)</w:t>
      </w:r>
      <w:r w:rsidRPr="004F467F">
        <w:rPr>
          <w:bCs/>
          <w:snapToGrid w:val="0"/>
          <w:szCs w:val="24"/>
          <w:lang w:val="es-ES"/>
        </w:rPr>
        <w:tab/>
        <w:t>Documentos TGP:</w:t>
      </w:r>
    </w:p>
    <w:p w:rsidR="004F467F" w:rsidRPr="004F467F" w:rsidRDefault="004F467F" w:rsidP="004F467F">
      <w:pPr>
        <w:ind w:left="2268" w:hanging="1701"/>
        <w:rPr>
          <w:bCs/>
          <w:snapToGrid w:val="0"/>
          <w:szCs w:val="24"/>
          <w:lang w:val="es-ES"/>
        </w:rPr>
      </w:pPr>
    </w:p>
    <w:p w:rsidR="004F467F" w:rsidRPr="004F467F" w:rsidRDefault="004F467F" w:rsidP="004F467F">
      <w:pPr>
        <w:ind w:left="1134"/>
        <w:rPr>
          <w:bCs/>
          <w:snapToGrid w:val="0"/>
          <w:szCs w:val="24"/>
          <w:lang w:val="es-ES"/>
        </w:rPr>
      </w:pPr>
      <w:r w:rsidRPr="004F467F">
        <w:rPr>
          <w:bCs/>
          <w:snapToGrid w:val="0"/>
          <w:szCs w:val="24"/>
          <w:lang w:val="es-ES"/>
        </w:rPr>
        <w:t xml:space="preserve">TGP/7 </w:t>
      </w:r>
      <w:r w:rsidRPr="004F467F">
        <w:rPr>
          <w:bCs/>
          <w:snapToGrid w:val="0"/>
          <w:szCs w:val="24"/>
          <w:lang w:val="es-ES"/>
        </w:rPr>
        <w:tab/>
        <w:t>Elaboración de las directrices de examen</w:t>
      </w:r>
    </w:p>
    <w:p w:rsidR="004F467F" w:rsidRPr="004F467F" w:rsidRDefault="004F467F" w:rsidP="004F467F">
      <w:pPr>
        <w:ind w:left="2259" w:hanging="1125"/>
        <w:rPr>
          <w:bCs/>
          <w:snapToGrid w:val="0"/>
          <w:szCs w:val="24"/>
          <w:lang w:val="es-ES"/>
        </w:rPr>
      </w:pPr>
      <w:r w:rsidRPr="004F467F">
        <w:rPr>
          <w:bCs/>
          <w:snapToGrid w:val="0"/>
          <w:szCs w:val="24"/>
          <w:lang w:val="es-ES"/>
        </w:rPr>
        <w:t xml:space="preserve">TGP/8 </w:t>
      </w:r>
      <w:r w:rsidRPr="004F467F">
        <w:rPr>
          <w:bCs/>
          <w:snapToGrid w:val="0"/>
          <w:szCs w:val="24"/>
          <w:lang w:val="es-ES"/>
        </w:rPr>
        <w:tab/>
      </w:r>
      <w:r w:rsidRPr="001930E8">
        <w:rPr>
          <w:i/>
          <w:lang w:val="es-ES"/>
        </w:rPr>
        <w:t>Diseño de ensayos y técnicas utilizados en el examen de la distinción, la homogeneidad y la estabilidad</w:t>
      </w:r>
    </w:p>
    <w:p w:rsidR="004F467F" w:rsidRPr="004F467F" w:rsidRDefault="004F467F" w:rsidP="004F467F">
      <w:pPr>
        <w:ind w:left="1134"/>
        <w:rPr>
          <w:bCs/>
          <w:snapToGrid w:val="0"/>
          <w:szCs w:val="24"/>
          <w:lang w:val="es-ES"/>
        </w:rPr>
      </w:pPr>
    </w:p>
    <w:p w:rsidR="004F467F" w:rsidRPr="004F467F" w:rsidRDefault="004F467F" w:rsidP="004F467F">
      <w:pPr>
        <w:keepNext/>
        <w:ind w:left="567"/>
        <w:rPr>
          <w:bCs/>
          <w:snapToGrid w:val="0"/>
          <w:szCs w:val="24"/>
          <w:lang w:val="es-ES"/>
        </w:rPr>
      </w:pPr>
      <w:r w:rsidRPr="004F467F">
        <w:rPr>
          <w:bCs/>
          <w:snapToGrid w:val="0"/>
          <w:szCs w:val="24"/>
          <w:lang w:val="es-ES"/>
        </w:rPr>
        <w:t>(b)</w:t>
      </w:r>
      <w:r w:rsidRPr="004F467F">
        <w:rPr>
          <w:bCs/>
          <w:snapToGrid w:val="0"/>
          <w:szCs w:val="24"/>
          <w:lang w:val="es-ES"/>
        </w:rPr>
        <w:tab/>
      </w:r>
      <w:r w:rsidR="008049B1" w:rsidRPr="005652B8">
        <w:rPr>
          <w:bCs/>
          <w:snapToGrid w:val="0"/>
          <w:szCs w:val="24"/>
          <w:lang w:val="es-ES"/>
        </w:rPr>
        <w:t>Documentos</w:t>
      </w:r>
      <w:r w:rsidRPr="004F467F">
        <w:rPr>
          <w:bCs/>
          <w:snapToGrid w:val="0"/>
          <w:szCs w:val="24"/>
          <w:lang w:val="es-ES"/>
        </w:rPr>
        <w:t xml:space="preserve"> de información:</w:t>
      </w:r>
    </w:p>
    <w:p w:rsidR="004F467F" w:rsidRPr="004F467F" w:rsidRDefault="004F467F" w:rsidP="004F467F">
      <w:pPr>
        <w:keepNext/>
        <w:ind w:left="2268" w:hanging="1701"/>
        <w:rPr>
          <w:bCs/>
          <w:snapToGrid w:val="0"/>
          <w:szCs w:val="24"/>
          <w:lang w:val="es-ES"/>
        </w:rPr>
      </w:pPr>
    </w:p>
    <w:p w:rsidR="004F467F" w:rsidRPr="004F467F" w:rsidRDefault="004F467F" w:rsidP="004F467F">
      <w:pPr>
        <w:ind w:left="2835" w:hanging="1701"/>
        <w:rPr>
          <w:kern w:val="28"/>
          <w:lang w:val="es-ES"/>
        </w:rPr>
      </w:pPr>
      <w:r w:rsidRPr="004F467F">
        <w:rPr>
          <w:bCs/>
          <w:snapToGrid w:val="0"/>
          <w:szCs w:val="24"/>
          <w:lang w:val="es-ES"/>
        </w:rPr>
        <w:t>UPOV/INF/16</w:t>
      </w:r>
      <w:r w:rsidRPr="004F467F">
        <w:rPr>
          <w:bCs/>
          <w:snapToGrid w:val="0"/>
          <w:szCs w:val="24"/>
          <w:lang w:val="es-ES"/>
        </w:rPr>
        <w:tab/>
      </w:r>
      <w:r w:rsidRPr="004F467F">
        <w:rPr>
          <w:bCs/>
          <w:snapToGrid w:val="0"/>
          <w:spacing w:val="-4"/>
          <w:szCs w:val="24"/>
          <w:lang w:val="es-ES"/>
        </w:rPr>
        <w:t xml:space="preserve">Programas informáticos para intercambio </w:t>
      </w:r>
    </w:p>
    <w:p w:rsidR="004F467F" w:rsidRPr="004F467F" w:rsidRDefault="004F467F" w:rsidP="004F467F">
      <w:pPr>
        <w:ind w:left="2835" w:hanging="1701"/>
        <w:rPr>
          <w:kern w:val="28"/>
          <w:lang w:val="es-ES"/>
        </w:rPr>
      </w:pPr>
      <w:r w:rsidRPr="004F467F">
        <w:rPr>
          <w:bCs/>
          <w:snapToGrid w:val="0"/>
          <w:szCs w:val="24"/>
          <w:lang w:val="es-ES"/>
        </w:rPr>
        <w:t>UPOV/INF/22</w:t>
      </w:r>
      <w:r w:rsidRPr="004F467F">
        <w:rPr>
          <w:bCs/>
          <w:snapToGrid w:val="0"/>
          <w:szCs w:val="24"/>
          <w:lang w:val="es-ES"/>
        </w:rPr>
        <w:tab/>
      </w:r>
      <w:r w:rsidRPr="004F467F">
        <w:rPr>
          <w:bCs/>
          <w:snapToGrid w:val="0"/>
          <w:spacing w:val="-4"/>
          <w:szCs w:val="24"/>
          <w:lang w:val="es-ES"/>
        </w:rPr>
        <w:t>Programas informáticos y equipos utilizados por los miembros de la Unión</w:t>
      </w:r>
    </w:p>
    <w:p w:rsidR="004F467F" w:rsidRPr="004F467F" w:rsidRDefault="004F467F" w:rsidP="004F467F">
      <w:pPr>
        <w:rPr>
          <w:lang w:val="es-ES"/>
        </w:rPr>
      </w:pPr>
    </w:p>
    <w:p w:rsidR="00673AC1" w:rsidRPr="00DB66B3" w:rsidRDefault="00673AC1" w:rsidP="00673AC1">
      <w:pPr>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 xml:space="preserve">Todos los documentos aprobados se han incluido en la colección de la UPOV </w:t>
      </w:r>
      <w:r w:rsidR="004F467F">
        <w:t xml:space="preserve">(véase </w:t>
      </w:r>
      <w:hyperlink r:id="rId11" w:history="1">
        <w:r w:rsidR="004F467F" w:rsidRPr="009A0E14">
          <w:rPr>
            <w:rStyle w:val="Hyperlink"/>
          </w:rPr>
          <w:t>http://www.upov.int/upov_collection/es/</w:t>
        </w:r>
      </w:hyperlink>
      <w:r w:rsidR="004F467F">
        <w:t>).</w:t>
      </w:r>
    </w:p>
    <w:p w:rsidR="00673AC1" w:rsidRDefault="00673AC1" w:rsidP="00673AC1">
      <w:bookmarkStart w:id="38" w:name="_Toc381174870"/>
    </w:p>
    <w:p w:rsidR="00D06409" w:rsidRPr="00D06409" w:rsidRDefault="00CE546E" w:rsidP="00673AC1">
      <w:pPr>
        <w:rPr>
          <w:lang w:val="es-ES"/>
        </w:rPr>
      </w:pPr>
      <w:r w:rsidRPr="00DB66B3">
        <w:rPr>
          <w:rFonts w:cs="Arial"/>
        </w:rPr>
        <w:fldChar w:fldCharType="begin"/>
      </w:r>
      <w:r w:rsidRPr="00D06409">
        <w:rPr>
          <w:rFonts w:cs="Arial"/>
          <w:lang w:val="es-ES"/>
        </w:rPr>
        <w:instrText xml:space="preserve"> AUTONUM  </w:instrText>
      </w:r>
      <w:r w:rsidRPr="00DB66B3">
        <w:rPr>
          <w:rFonts w:cs="Arial"/>
        </w:rPr>
        <w:fldChar w:fldCharType="end"/>
      </w:r>
      <w:r w:rsidRPr="00D06409">
        <w:rPr>
          <w:lang w:val="es-ES"/>
        </w:rPr>
        <w:tab/>
      </w:r>
      <w:r w:rsidR="00D06409" w:rsidRPr="00D06409">
        <w:rPr>
          <w:lang w:val="es-ES"/>
        </w:rPr>
        <w:t xml:space="preserve">Los siguientes documentos se someterán a la aprobación del Consejo </w:t>
      </w:r>
      <w:r w:rsidR="00D06409" w:rsidRPr="00101BE9">
        <w:t xml:space="preserve">en su </w:t>
      </w:r>
      <w:r w:rsidR="00D06409">
        <w:rPr>
          <w:lang w:val="es-ES"/>
        </w:rPr>
        <w:t>t</w:t>
      </w:r>
      <w:r w:rsidR="00D06409" w:rsidRPr="00252CA5">
        <w:rPr>
          <w:lang w:val="es-ES"/>
        </w:rPr>
        <w:t>rigésima cuarta sesión extraordinaria</w:t>
      </w:r>
      <w:r w:rsidR="00D06409">
        <w:rPr>
          <w:lang w:val="es-ES"/>
        </w:rPr>
        <w:t>,</w:t>
      </w:r>
      <w:r w:rsidR="00D06409" w:rsidRPr="00D06409">
        <w:rPr>
          <w:lang w:val="es-ES"/>
        </w:rPr>
        <w:t xml:space="preserve"> </w:t>
      </w:r>
      <w:r w:rsidR="00D06409" w:rsidRPr="00F230DE">
        <w:t>que se celebrará en Ginebra el </w:t>
      </w:r>
      <w:r w:rsidR="00D06409">
        <w:t>6 de abril de 2017:</w:t>
      </w:r>
    </w:p>
    <w:p w:rsidR="00D06409" w:rsidRDefault="00D06409" w:rsidP="00673AC1">
      <w:pPr>
        <w:rPr>
          <w:lang w:val="es-ES"/>
        </w:rPr>
      </w:pPr>
    </w:p>
    <w:p w:rsidR="00D06409" w:rsidRPr="00286AAE" w:rsidRDefault="00D06409" w:rsidP="00D06409">
      <w:pPr>
        <w:ind w:left="2552" w:hanging="1985"/>
        <w:jc w:val="left"/>
        <w:rPr>
          <w:lang w:val="es-ES"/>
        </w:rPr>
      </w:pPr>
      <w:r w:rsidRPr="00252CA5">
        <w:rPr>
          <w:lang w:val="es-ES"/>
        </w:rPr>
        <w:t>UPOV/EXN/EDV/2</w:t>
      </w:r>
      <w:r w:rsidRPr="00252CA5">
        <w:rPr>
          <w:lang w:val="es-ES"/>
        </w:rPr>
        <w:tab/>
      </w:r>
      <w:r w:rsidRPr="00252CA5">
        <w:t>Notas explicativas sobre las variedades esencialmente derivadas con arreglo al Acta de 1991 del Convenio de la UPOV (revisión)</w:t>
      </w:r>
      <w:r w:rsidRPr="00252CA5">
        <w:rPr>
          <w:lang w:val="es-ES"/>
        </w:rPr>
        <w:br/>
      </w:r>
      <w:r w:rsidRPr="00252CA5">
        <w:t>(documento UPOV/EXN/EDV/2 </w:t>
      </w:r>
      <w:proofErr w:type="spellStart"/>
      <w:r w:rsidRPr="00252CA5">
        <w:t>Draft</w:t>
      </w:r>
      <w:proofErr w:type="spellEnd"/>
      <w:r w:rsidRPr="00252CA5">
        <w:t> 8)</w:t>
      </w:r>
    </w:p>
    <w:p w:rsidR="00D06409" w:rsidRPr="00286AAE" w:rsidRDefault="00D06409" w:rsidP="00D06409">
      <w:pPr>
        <w:ind w:left="2552" w:hanging="1985"/>
        <w:jc w:val="left"/>
        <w:rPr>
          <w:lang w:val="es-ES"/>
        </w:rPr>
      </w:pPr>
    </w:p>
    <w:p w:rsidR="00D06409" w:rsidRPr="00286AAE" w:rsidRDefault="00D06409" w:rsidP="00D06409">
      <w:pPr>
        <w:ind w:left="2552" w:hanging="1985"/>
        <w:jc w:val="left"/>
        <w:rPr>
          <w:lang w:val="es-ES"/>
        </w:rPr>
      </w:pPr>
      <w:r w:rsidRPr="00252CA5">
        <w:rPr>
          <w:lang w:val="es-ES"/>
        </w:rPr>
        <w:t>UPOV/EXN/PPM/1</w:t>
      </w:r>
      <w:r w:rsidRPr="00252CA5">
        <w:rPr>
          <w:lang w:val="es-ES"/>
        </w:rPr>
        <w:tab/>
      </w:r>
      <w:r w:rsidRPr="00252CA5">
        <w:t>Notas explicativas sobre el material de reproducción o multiplicación con arreglo al Convenio de la UPOV</w:t>
      </w:r>
      <w:r w:rsidRPr="00252CA5">
        <w:rPr>
          <w:lang w:val="es-ES"/>
        </w:rPr>
        <w:br/>
      </w:r>
      <w:r w:rsidRPr="00252CA5">
        <w:t>(documento UPOV/EXN/PPM/1 </w:t>
      </w:r>
      <w:proofErr w:type="spellStart"/>
      <w:r w:rsidRPr="00252CA5">
        <w:t>Draft</w:t>
      </w:r>
      <w:proofErr w:type="spellEnd"/>
      <w:r w:rsidRPr="00252CA5">
        <w:t> 7)</w:t>
      </w:r>
    </w:p>
    <w:p w:rsidR="00D06409" w:rsidRPr="00286AAE" w:rsidRDefault="00D06409" w:rsidP="00D06409">
      <w:pPr>
        <w:ind w:left="2552" w:hanging="1985"/>
        <w:jc w:val="left"/>
        <w:rPr>
          <w:lang w:val="es-ES"/>
        </w:rPr>
      </w:pPr>
    </w:p>
    <w:p w:rsidR="00D06409" w:rsidRDefault="00D06409" w:rsidP="00D06409">
      <w:pPr>
        <w:ind w:left="2552" w:hanging="1985"/>
        <w:jc w:val="left"/>
        <w:rPr>
          <w:lang w:val="es-ES"/>
        </w:rPr>
      </w:pPr>
      <w:r>
        <w:rPr>
          <w:lang w:val="es-ES"/>
        </w:rPr>
        <w:t>UPOV/INF/6/5</w:t>
      </w:r>
      <w:r>
        <w:rPr>
          <w:lang w:val="es-ES"/>
        </w:rPr>
        <w:tab/>
      </w:r>
      <w:r w:rsidRPr="009958AD">
        <w:rPr>
          <w:lang w:val="es-ES"/>
        </w:rPr>
        <w:t>Orientaciones para la redacción de leyes basadas en el Acta de 1991 del</w:t>
      </w:r>
      <w:r>
        <w:rPr>
          <w:lang w:val="es-ES"/>
        </w:rPr>
        <w:t xml:space="preserve"> </w:t>
      </w:r>
      <w:r w:rsidRPr="009958AD">
        <w:rPr>
          <w:lang w:val="es-ES"/>
        </w:rPr>
        <w:t>C</w:t>
      </w:r>
      <w:r>
        <w:rPr>
          <w:lang w:val="es-ES"/>
        </w:rPr>
        <w:t>onvenio de la UPOV (revisión)</w:t>
      </w:r>
      <w:r>
        <w:rPr>
          <w:lang w:val="es-ES"/>
        </w:rPr>
        <w:br/>
        <w:t xml:space="preserve">(documento </w:t>
      </w:r>
      <w:proofErr w:type="gramStart"/>
      <w:r>
        <w:rPr>
          <w:lang w:val="es-ES"/>
        </w:rPr>
        <w:t>C(</w:t>
      </w:r>
      <w:proofErr w:type="spellStart"/>
      <w:proofErr w:type="gramEnd"/>
      <w:r>
        <w:rPr>
          <w:lang w:val="es-ES"/>
        </w:rPr>
        <w:t>Extr</w:t>
      </w:r>
      <w:proofErr w:type="spellEnd"/>
      <w:r>
        <w:rPr>
          <w:lang w:val="es-ES"/>
        </w:rPr>
        <w:t>.)/34</w:t>
      </w:r>
      <w:r w:rsidRPr="009958AD">
        <w:rPr>
          <w:lang w:val="es-ES"/>
        </w:rPr>
        <w:t>/</w:t>
      </w:r>
      <w:r>
        <w:rPr>
          <w:lang w:val="es-ES"/>
        </w:rPr>
        <w:t>2</w:t>
      </w:r>
      <w:r w:rsidRPr="009958AD">
        <w:rPr>
          <w:lang w:val="es-ES"/>
        </w:rPr>
        <w:t>, Anexo</w:t>
      </w:r>
      <w:r>
        <w:rPr>
          <w:lang w:val="es-ES"/>
        </w:rPr>
        <w:t>)</w:t>
      </w:r>
    </w:p>
    <w:p w:rsidR="00D06409" w:rsidRDefault="00D06409" w:rsidP="00D06409">
      <w:pPr>
        <w:ind w:left="2552" w:hanging="1985"/>
        <w:jc w:val="left"/>
        <w:rPr>
          <w:lang w:val="es-ES"/>
        </w:rPr>
      </w:pPr>
    </w:p>
    <w:p w:rsidR="00CE546E" w:rsidRPr="00D06409" w:rsidRDefault="00D06409" w:rsidP="00D06409">
      <w:pPr>
        <w:ind w:left="2552" w:hanging="1985"/>
        <w:rPr>
          <w:lang w:val="es-ES"/>
        </w:rPr>
      </w:pPr>
      <w:r w:rsidRPr="00B61656">
        <w:rPr>
          <w:lang w:val="es-ES"/>
        </w:rPr>
        <w:t>UPOV/INF-EXN/10</w:t>
      </w:r>
      <w:r w:rsidRPr="00B61656">
        <w:rPr>
          <w:lang w:val="es-ES"/>
        </w:rPr>
        <w:tab/>
      </w:r>
      <w:r w:rsidRPr="00B61656">
        <w:t>Lista de documentos UPOV/INF</w:t>
      </w:r>
      <w:r w:rsidRPr="00B61656">
        <w:noBreakHyphen/>
        <w:t>EXN y fechas de última publicación</w:t>
      </w:r>
      <w:r>
        <w:t xml:space="preserve"> (revisión)</w:t>
      </w:r>
      <w:r w:rsidRPr="00B61656">
        <w:rPr>
          <w:lang w:val="es-ES"/>
        </w:rPr>
        <w:br/>
      </w:r>
      <w:r w:rsidRPr="00863E02">
        <w:t>(documento UPOV/INF</w:t>
      </w:r>
      <w:r w:rsidRPr="00863E02">
        <w:noBreakHyphen/>
        <w:t>EXN/10 </w:t>
      </w:r>
      <w:proofErr w:type="spellStart"/>
      <w:r w:rsidRPr="00863E02">
        <w:t>Draft</w:t>
      </w:r>
      <w:proofErr w:type="spellEnd"/>
      <w:r w:rsidRPr="00863E02">
        <w:t> 1)</w:t>
      </w:r>
    </w:p>
    <w:p w:rsidR="00CE546E" w:rsidRPr="00D06409" w:rsidRDefault="00CE546E" w:rsidP="00673AC1">
      <w:pPr>
        <w:rPr>
          <w:lang w:val="es-ES"/>
        </w:rPr>
      </w:pPr>
    </w:p>
    <w:p w:rsidR="00CE546E" w:rsidRPr="00D06409" w:rsidRDefault="00CE546E" w:rsidP="00673AC1">
      <w:pPr>
        <w:rPr>
          <w:lang w:val="es-ES"/>
        </w:rPr>
      </w:pPr>
      <w:bookmarkStart w:id="39" w:name="_GoBack"/>
      <w:bookmarkEnd w:id="39"/>
    </w:p>
    <w:p w:rsidR="00CE546E" w:rsidRPr="00D06409" w:rsidRDefault="00D06409" w:rsidP="00D06409">
      <w:pPr>
        <w:pStyle w:val="Heading1"/>
        <w:rPr>
          <w:lang w:val="es-ES"/>
        </w:rPr>
      </w:pPr>
      <w:bookmarkStart w:id="40" w:name="_Toc478721004"/>
      <w:r w:rsidRPr="00D06409">
        <w:rPr>
          <w:lang w:val="es-ES"/>
        </w:rPr>
        <w:t>Asuntos que deberá examinar el comité administrativo y jurídico</w:t>
      </w:r>
      <w:bookmarkEnd w:id="40"/>
    </w:p>
    <w:p w:rsidR="00CE546E" w:rsidRDefault="00CE546E" w:rsidP="00673AC1">
      <w:pPr>
        <w:rPr>
          <w:lang w:val="es-ES"/>
        </w:rPr>
      </w:pPr>
    </w:p>
    <w:p w:rsidR="00CE2546" w:rsidRDefault="00CE2546" w:rsidP="00673AC1">
      <w:pPr>
        <w:rPr>
          <w:szCs w:val="24"/>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r>
      <w:r>
        <w:t xml:space="preserve">Los siguientes asuntos serán examinados por el </w:t>
      </w:r>
      <w:r>
        <w:rPr>
          <w:lang w:val="es-ES"/>
        </w:rPr>
        <w:t>C</w:t>
      </w:r>
      <w:r w:rsidRPr="00D06409">
        <w:rPr>
          <w:lang w:val="es-ES"/>
        </w:rPr>
        <w:t>omité administrativo y jurídico</w:t>
      </w:r>
      <w:r>
        <w:rPr>
          <w:lang w:val="es-ES"/>
        </w:rPr>
        <w:t xml:space="preserve"> en su s</w:t>
      </w:r>
      <w:r w:rsidRPr="00380404">
        <w:rPr>
          <w:lang w:val="es-ES"/>
        </w:rPr>
        <w:t>eptuagésima</w:t>
      </w:r>
      <w:r>
        <w:rPr>
          <w:lang w:val="es-ES"/>
        </w:rPr>
        <w:t> cuarta</w:t>
      </w:r>
      <w:r w:rsidRPr="00380404">
        <w:rPr>
          <w:lang w:val="es-ES"/>
        </w:rPr>
        <w:t xml:space="preserve"> sesión</w:t>
      </w:r>
      <w:r>
        <w:rPr>
          <w:lang w:val="es-ES"/>
        </w:rPr>
        <w:t xml:space="preserve"> que se celebrará en Ginebra los días </w:t>
      </w:r>
      <w:r w:rsidRPr="00D80FEF">
        <w:rPr>
          <w:szCs w:val="24"/>
        </w:rPr>
        <w:t>23 y 24 de octubre</w:t>
      </w:r>
      <w:r>
        <w:rPr>
          <w:szCs w:val="24"/>
        </w:rPr>
        <w:t xml:space="preserve"> de 2017:</w:t>
      </w:r>
    </w:p>
    <w:p w:rsidR="00CE2546" w:rsidRDefault="00CE2546" w:rsidP="00673AC1">
      <w:pPr>
        <w:rPr>
          <w:szCs w:val="24"/>
        </w:rPr>
      </w:pPr>
    </w:p>
    <w:p w:rsidR="00CE2546" w:rsidRPr="00380404" w:rsidRDefault="00CE2546" w:rsidP="00CE2546">
      <w:pPr>
        <w:ind w:left="1701" w:hanging="567"/>
        <w:rPr>
          <w:kern w:val="28"/>
          <w:lang w:val="es-ES"/>
        </w:rPr>
      </w:pPr>
      <w:r w:rsidRPr="00380404">
        <w:rPr>
          <w:lang w:val="es-ES"/>
        </w:rPr>
        <w:t>a)</w:t>
      </w:r>
      <w:r w:rsidRPr="00380404">
        <w:rPr>
          <w:lang w:val="es-ES"/>
        </w:rPr>
        <w:tab/>
        <w:t>Posible revisión del documento UPOV/EXN/EDV/2 “Notas explicativas sobre las variedades esencialmente derivadas con arreglo al Acta de 1991 del Convenio de la UPOV” (revisión)</w:t>
      </w:r>
    </w:p>
    <w:p w:rsidR="00CE2546" w:rsidRPr="00380404" w:rsidRDefault="00CE2546" w:rsidP="00CE2546">
      <w:pPr>
        <w:ind w:left="567"/>
        <w:rPr>
          <w:kern w:val="28"/>
          <w:lang w:val="es-ES"/>
        </w:rPr>
      </w:pPr>
    </w:p>
    <w:p w:rsidR="00CE2546" w:rsidRPr="00380404" w:rsidRDefault="00CE2546" w:rsidP="00CE2546">
      <w:pPr>
        <w:keepNext/>
        <w:ind w:left="1701" w:hanging="567"/>
        <w:rPr>
          <w:lang w:val="es-ES"/>
        </w:rPr>
      </w:pPr>
      <w:r w:rsidRPr="00380404">
        <w:rPr>
          <w:lang w:val="es-ES"/>
        </w:rPr>
        <w:t>b)</w:t>
      </w:r>
      <w:r w:rsidRPr="00380404">
        <w:rPr>
          <w:lang w:val="es-ES"/>
        </w:rPr>
        <w:tab/>
        <w:t>Posible revisión del documento UPOV/EXN/CAL/1 “Notas explicativas sobre las condiciones y limitaciones relativas a la autorización del obtentor respecto del material de reproducción o de multiplicación con arreglo al Convenio de la UPOV”</w:t>
      </w:r>
    </w:p>
    <w:p w:rsidR="00CE2546" w:rsidRPr="00380404" w:rsidRDefault="00CE2546" w:rsidP="00CE2546">
      <w:pPr>
        <w:keepNext/>
        <w:rPr>
          <w:lang w:val="es-ES"/>
        </w:rPr>
      </w:pPr>
    </w:p>
    <w:p w:rsidR="00CE2546" w:rsidRDefault="00CE2546" w:rsidP="00CE2546">
      <w:pPr>
        <w:ind w:left="1701" w:hanging="567"/>
        <w:rPr>
          <w:lang w:val="es-ES"/>
        </w:rPr>
      </w:pPr>
      <w:r w:rsidRPr="00380404">
        <w:rPr>
          <w:lang w:val="es-ES"/>
        </w:rPr>
        <w:t>c)</w:t>
      </w:r>
      <w:r w:rsidRPr="00380404">
        <w:rPr>
          <w:lang w:val="es-ES"/>
        </w:rPr>
        <w:tab/>
        <w:t>Posible revisión del documento UPOV/EXN/PRP/2 “Notas explicativas sobre la protección provisional con arreglo al Convenio de la UPOV”</w:t>
      </w:r>
    </w:p>
    <w:p w:rsidR="00CE2546" w:rsidRDefault="00CE2546" w:rsidP="00673AC1">
      <w:pPr>
        <w:rPr>
          <w:lang w:val="es-ES"/>
        </w:rPr>
      </w:pPr>
    </w:p>
    <w:p w:rsidR="00CE2546" w:rsidRPr="004B7024" w:rsidRDefault="00CE2546" w:rsidP="00CE2546">
      <w:pPr>
        <w:rPr>
          <w:lang w:val="es-ES"/>
        </w:rPr>
      </w:pPr>
      <w:r w:rsidRPr="00594218">
        <w:fldChar w:fldCharType="begin"/>
      </w:r>
      <w:r w:rsidRPr="004B7024">
        <w:rPr>
          <w:lang w:val="es-ES"/>
        </w:rPr>
        <w:instrText xml:space="preserve"> AUTONUM  </w:instrText>
      </w:r>
      <w:r w:rsidRPr="00594218">
        <w:fldChar w:fldCharType="end"/>
      </w:r>
      <w:r w:rsidR="004B7024">
        <w:rPr>
          <w:lang w:val="es-ES"/>
        </w:rPr>
        <w:tab/>
        <w:t>En su s</w:t>
      </w:r>
      <w:r w:rsidR="004B7024" w:rsidRPr="00380404">
        <w:rPr>
          <w:lang w:val="es-ES"/>
        </w:rPr>
        <w:t>eptuagésima tercera sesión</w:t>
      </w:r>
      <w:r w:rsidRPr="004B7024">
        <w:rPr>
          <w:lang w:val="es-ES"/>
        </w:rPr>
        <w:t xml:space="preserve">, </w:t>
      </w:r>
      <w:r w:rsidR="004B7024">
        <w:rPr>
          <w:lang w:val="es-ES"/>
        </w:rPr>
        <w:t>el</w:t>
      </w:r>
      <w:r w:rsidR="004B7024" w:rsidRPr="00380404">
        <w:rPr>
          <w:lang w:val="es-ES"/>
        </w:rPr>
        <w:t xml:space="preserve"> </w:t>
      </w:r>
      <w:r w:rsidR="004B7024">
        <w:rPr>
          <w:lang w:val="es-ES"/>
        </w:rPr>
        <w:t>C</w:t>
      </w:r>
      <w:r w:rsidR="004B7024" w:rsidRPr="00D06409">
        <w:rPr>
          <w:lang w:val="es-ES"/>
        </w:rPr>
        <w:t>omité administrativo y jurídico</w:t>
      </w:r>
      <w:r w:rsidR="004B7024" w:rsidRPr="00380404">
        <w:rPr>
          <w:lang w:val="es-ES"/>
        </w:rPr>
        <w:t xml:space="preserve"> convino en seguir aplazando la elaboración de un proyecto de revisión del documento UPOV/INF/5 “Boletín tipo de la UPOV sobre la protección de las obtenciones vegetales (revisión)” (documento UPOV/INF/5/1 </w:t>
      </w:r>
      <w:proofErr w:type="spellStart"/>
      <w:r w:rsidR="004B7024" w:rsidRPr="00380404">
        <w:rPr>
          <w:lang w:val="es-ES"/>
        </w:rPr>
        <w:t>Draft</w:t>
      </w:r>
      <w:proofErr w:type="spellEnd"/>
      <w:r w:rsidR="004B7024" w:rsidRPr="00380404">
        <w:rPr>
          <w:lang w:val="es-ES"/>
        </w:rPr>
        <w:t> 1), en espera de novedades relativas a la elaboración de un prototipo de formulario electrónico (véase el documento CAJ/73/4 “Formulario electrón</w:t>
      </w:r>
      <w:r w:rsidR="004B7024">
        <w:rPr>
          <w:lang w:val="es-ES"/>
        </w:rPr>
        <w:t>ico de solicitud”)</w:t>
      </w:r>
      <w:r w:rsidRPr="004B7024">
        <w:rPr>
          <w:lang w:val="es-ES"/>
        </w:rPr>
        <w:t>.</w:t>
      </w:r>
    </w:p>
    <w:p w:rsidR="00CE2546" w:rsidRDefault="00CE2546" w:rsidP="00673AC1">
      <w:pPr>
        <w:rPr>
          <w:lang w:val="es-ES"/>
        </w:rPr>
      </w:pPr>
    </w:p>
    <w:p w:rsidR="004B7024" w:rsidRPr="00DF4A04" w:rsidRDefault="004B7024" w:rsidP="004B7024">
      <w:pPr>
        <w:keepNext/>
        <w:rPr>
          <w:u w:val="single"/>
          <w:lang w:val="es-ES"/>
        </w:rPr>
      </w:pPr>
      <w:r w:rsidRPr="002406D4">
        <w:rPr>
          <w:u w:val="single"/>
        </w:rPr>
        <w:lastRenderedPageBreak/>
        <w:t>Observadores ante los órganos de la UPOV</w:t>
      </w:r>
    </w:p>
    <w:p w:rsidR="004B7024" w:rsidRDefault="004B7024" w:rsidP="00673AC1">
      <w:pPr>
        <w:rPr>
          <w:lang w:val="es-ES"/>
        </w:rPr>
      </w:pPr>
    </w:p>
    <w:p w:rsidR="004B7024" w:rsidRPr="00DF4A04" w:rsidRDefault="004B7024" w:rsidP="004B7024">
      <w:pPr>
        <w:rPr>
          <w:lang w:val="es-ES"/>
        </w:rPr>
      </w:pPr>
      <w:r>
        <w:fldChar w:fldCharType="begin"/>
      </w:r>
      <w:r w:rsidRPr="00DF4A04">
        <w:rPr>
          <w:lang w:val="es-ES"/>
        </w:rPr>
        <w:instrText xml:space="preserve"> AUTONUM  </w:instrText>
      </w:r>
      <w:r>
        <w:fldChar w:fldCharType="end"/>
      </w:r>
      <w:r w:rsidRPr="00DF4A04">
        <w:rPr>
          <w:lang w:val="es-ES"/>
        </w:rPr>
        <w:tab/>
      </w:r>
      <w:r>
        <w:rPr>
          <w:lang w:val="es-ES"/>
        </w:rPr>
        <w:t xml:space="preserve">En su </w:t>
      </w:r>
      <w:r w:rsidRPr="002406D4">
        <w:t>nonagésima segunda sesión</w:t>
      </w:r>
      <w:r>
        <w:t>, el</w:t>
      </w:r>
      <w:r w:rsidRPr="00F230DE">
        <w:t xml:space="preserve"> Comité Consultivo tomó nota de las invitaciones </w:t>
      </w:r>
      <w:r w:rsidRPr="00F230DE">
        <w:rPr>
          <w:i/>
          <w:iCs/>
        </w:rPr>
        <w:t>ad hoc</w:t>
      </w:r>
      <w:r>
        <w:t xml:space="preserve"> cursadas a los expertos</w:t>
      </w:r>
      <w:r w:rsidRPr="00F230DE">
        <w:t>.</w:t>
      </w:r>
    </w:p>
    <w:p w:rsidR="004B7024" w:rsidRPr="00DF4A04" w:rsidRDefault="004B7024" w:rsidP="004B7024">
      <w:pPr>
        <w:rPr>
          <w:lang w:val="es-ES"/>
        </w:rPr>
      </w:pPr>
    </w:p>
    <w:p w:rsidR="004B7024" w:rsidRPr="00DF4A04" w:rsidRDefault="004B7024" w:rsidP="004B7024">
      <w:pPr>
        <w:rPr>
          <w:lang w:val="es-ES"/>
        </w:rPr>
      </w:pPr>
      <w:r>
        <w:fldChar w:fldCharType="begin"/>
      </w:r>
      <w:r w:rsidRPr="00DF4A04">
        <w:rPr>
          <w:lang w:val="es-ES"/>
        </w:rPr>
        <w:instrText xml:space="preserve"> AUTONUM  </w:instrText>
      </w:r>
      <w:r>
        <w:fldChar w:fldCharType="end"/>
      </w:r>
      <w:r w:rsidRPr="00DF4A04">
        <w:rPr>
          <w:lang w:val="es-ES"/>
        </w:rPr>
        <w:tab/>
      </w:r>
      <w:r w:rsidRPr="00F230DE">
        <w:t xml:space="preserve">En su nonagésima segunda sesión, el Comité Consultivo examinó la información proporcionada por el </w:t>
      </w:r>
      <w:r w:rsidRPr="00DF4A04">
        <w:rPr>
          <w:i/>
          <w:iCs/>
          <w:lang w:val="es-ES"/>
        </w:rPr>
        <w:t xml:space="preserve">International </w:t>
      </w:r>
      <w:proofErr w:type="spellStart"/>
      <w:r w:rsidRPr="00DF4A04">
        <w:rPr>
          <w:i/>
          <w:iCs/>
          <w:lang w:val="es-ES"/>
        </w:rPr>
        <w:t>Institute</w:t>
      </w:r>
      <w:proofErr w:type="spellEnd"/>
      <w:r w:rsidRPr="00DF4A04">
        <w:rPr>
          <w:i/>
          <w:iCs/>
          <w:lang w:val="es-ES"/>
        </w:rPr>
        <w:t xml:space="preserve"> </w:t>
      </w:r>
      <w:proofErr w:type="spellStart"/>
      <w:r w:rsidRPr="00DF4A04">
        <w:rPr>
          <w:i/>
          <w:iCs/>
          <w:lang w:val="es-ES"/>
        </w:rPr>
        <w:t>for</w:t>
      </w:r>
      <w:proofErr w:type="spellEnd"/>
      <w:r w:rsidRPr="00DF4A04">
        <w:rPr>
          <w:i/>
          <w:iCs/>
          <w:lang w:val="es-ES"/>
        </w:rPr>
        <w:t xml:space="preserve"> IP Management</w:t>
      </w:r>
      <w:r w:rsidRPr="00F230DE">
        <w:t xml:space="preserve"> (I</w:t>
      </w:r>
      <w:r w:rsidRPr="00F230DE">
        <w:rPr>
          <w:vertAlign w:val="superscript"/>
        </w:rPr>
        <w:t>3</w:t>
      </w:r>
      <w:r w:rsidRPr="00F230DE">
        <w:t>PM) en relación con la solicitud de este Instituto para que se le conceda la condici</w:t>
      </w:r>
      <w:r>
        <w:t>ón de observador ante el Consejo</w:t>
      </w:r>
      <w:r w:rsidRPr="00F230DE">
        <w:t>).</w:t>
      </w:r>
      <w:r w:rsidRPr="00DF4A04">
        <w:rPr>
          <w:lang w:val="es-ES"/>
        </w:rPr>
        <w:t xml:space="preserve">  </w:t>
      </w:r>
    </w:p>
    <w:p w:rsidR="004B7024" w:rsidRPr="00DF4A04" w:rsidRDefault="004B7024" w:rsidP="004B7024">
      <w:pPr>
        <w:rPr>
          <w:lang w:val="es-ES"/>
        </w:rPr>
      </w:pPr>
    </w:p>
    <w:p w:rsidR="004B7024" w:rsidRPr="00DF4A04" w:rsidRDefault="004B7024" w:rsidP="004B7024">
      <w:pPr>
        <w:rPr>
          <w:lang w:val="es-ES"/>
        </w:rPr>
      </w:pPr>
      <w:r>
        <w:fldChar w:fldCharType="begin"/>
      </w:r>
      <w:r w:rsidRPr="00DF4A04">
        <w:rPr>
          <w:lang w:val="es-ES"/>
        </w:rPr>
        <w:instrText xml:space="preserve"> AUTONUM  </w:instrText>
      </w:r>
      <w:r>
        <w:fldChar w:fldCharType="end"/>
      </w:r>
      <w:r w:rsidRPr="00DF4A04">
        <w:rPr>
          <w:lang w:val="es-ES"/>
        </w:rPr>
        <w:tab/>
      </w:r>
      <w:r w:rsidRPr="000F08C1">
        <w:t>El Comité Consultivo concluyó que, por ahora, no es posible decidir que el I</w:t>
      </w:r>
      <w:r w:rsidRPr="000F08C1">
        <w:rPr>
          <w:vertAlign w:val="superscript"/>
        </w:rPr>
        <w:t>3</w:t>
      </w:r>
      <w:r w:rsidRPr="000F08C1">
        <w:t>PM ha demostrado su “competencia en ámbitos directamente pertinentes en relación con las cuestiones que rige el Convenio de la UPOV”.</w:t>
      </w:r>
      <w:r w:rsidRPr="00DF4A04">
        <w:rPr>
          <w:lang w:val="es-ES"/>
        </w:rPr>
        <w:t xml:space="preserve"> </w:t>
      </w:r>
    </w:p>
    <w:p w:rsidR="004B7024" w:rsidRPr="00DF4A04" w:rsidRDefault="004B7024" w:rsidP="004B7024">
      <w:pPr>
        <w:rPr>
          <w:lang w:val="es-ES"/>
        </w:rPr>
      </w:pPr>
    </w:p>
    <w:p w:rsidR="004B7024" w:rsidRPr="00DF4A04" w:rsidRDefault="004B7024" w:rsidP="004B7024">
      <w:pPr>
        <w:rPr>
          <w:lang w:val="es-ES"/>
        </w:rPr>
      </w:pPr>
      <w:r w:rsidRPr="00476B64">
        <w:fldChar w:fldCharType="begin"/>
      </w:r>
      <w:r w:rsidRPr="00DF4A04">
        <w:rPr>
          <w:lang w:val="es-ES"/>
        </w:rPr>
        <w:instrText xml:space="preserve"> AUTONUM  </w:instrText>
      </w:r>
      <w:r w:rsidRPr="00476B64">
        <w:fldChar w:fldCharType="end"/>
      </w:r>
      <w:r w:rsidRPr="00DF4A04">
        <w:rPr>
          <w:lang w:val="es-ES"/>
        </w:rPr>
        <w:tab/>
      </w:r>
      <w:r w:rsidRPr="000F08C1">
        <w:t>Con respecto a la solicitud de concesión de la condición de observador ante el Consejo y el CAJ presentada por la Asociación Europea de Estudiantes de Derecho (ELSA), el Comité Consultivo concluyó que, por ahora, no es posible decidir que la ELSA ha demostrado su “competencia en ámbitos directamente pertinentes en relación con las cuestiones que rige el Convenio de la UPOV”.</w:t>
      </w:r>
    </w:p>
    <w:p w:rsidR="004B7024" w:rsidRPr="00DF4A04" w:rsidRDefault="004B7024" w:rsidP="004B7024">
      <w:pPr>
        <w:rPr>
          <w:lang w:val="es-ES"/>
        </w:rPr>
      </w:pPr>
    </w:p>
    <w:p w:rsidR="004B7024" w:rsidRDefault="004B7024" w:rsidP="004B7024">
      <w:pPr>
        <w:rPr>
          <w:lang w:val="es-ES"/>
        </w:rPr>
      </w:pPr>
      <w:r w:rsidRPr="005550C8">
        <w:fldChar w:fldCharType="begin"/>
      </w:r>
      <w:r w:rsidRPr="00DF4A04">
        <w:rPr>
          <w:lang w:val="es-ES"/>
        </w:rPr>
        <w:instrText xml:space="preserve"> AUTONUM  </w:instrText>
      </w:r>
      <w:r w:rsidRPr="005550C8">
        <w:fldChar w:fldCharType="end"/>
      </w:r>
      <w:r w:rsidRPr="00DF4A04">
        <w:rPr>
          <w:lang w:val="es-ES"/>
        </w:rPr>
        <w:tab/>
      </w:r>
      <w:r w:rsidRPr="000F08C1">
        <w:t>El Comité Consultivo solicitó a la Oficina de la Unión que, cuando notifique estas conclusiones al I</w:t>
      </w:r>
      <w:r w:rsidRPr="000F08C1">
        <w:rPr>
          <w:vertAlign w:val="superscript"/>
        </w:rPr>
        <w:t>3</w:t>
      </w:r>
      <w:r w:rsidRPr="000F08C1">
        <w:t>PM y a la ELSA, se brinde a estudiar posibilidades de informar a los miembros de dichas organizaciones sobre el sistema de la UPOV de protección de las obtenciones vegetales</w:t>
      </w:r>
    </w:p>
    <w:p w:rsidR="004B7024" w:rsidRDefault="004B7024" w:rsidP="00673AC1">
      <w:pPr>
        <w:rPr>
          <w:lang w:val="es-ES"/>
        </w:rPr>
      </w:pPr>
    </w:p>
    <w:bookmarkEnd w:id="38"/>
    <w:p w:rsidR="00673AC1" w:rsidRPr="00DB66B3" w:rsidRDefault="00673AC1" w:rsidP="00673AC1">
      <w:pPr>
        <w:rPr>
          <w:rFonts w:cs="Arial"/>
        </w:rPr>
      </w:pPr>
    </w:p>
    <w:p w:rsidR="00673AC1" w:rsidRDefault="00673AC1" w:rsidP="004B7024">
      <w:pPr>
        <w:pStyle w:val="Heading1"/>
        <w:rPr>
          <w:lang w:val="es-ES"/>
        </w:rPr>
      </w:pPr>
      <w:bookmarkStart w:id="41" w:name="_Toc381174873"/>
      <w:bookmarkStart w:id="42" w:name="_Toc443988422"/>
      <w:bookmarkStart w:id="43" w:name="_Toc478721005"/>
      <w:r w:rsidRPr="004B7024">
        <w:rPr>
          <w:lang w:val="es-ES"/>
        </w:rPr>
        <w:t>Estrategia de comunicación</w:t>
      </w:r>
      <w:bookmarkEnd w:id="41"/>
      <w:bookmarkEnd w:id="42"/>
      <w:bookmarkEnd w:id="43"/>
    </w:p>
    <w:p w:rsidR="004B7024" w:rsidRPr="004B7024" w:rsidRDefault="004B7024" w:rsidP="004B7024">
      <w:pPr>
        <w:rPr>
          <w:lang w:val="es-ES"/>
        </w:rPr>
      </w:pPr>
    </w:p>
    <w:p w:rsidR="00673AC1" w:rsidRPr="009425D4" w:rsidRDefault="004B7024" w:rsidP="004B7024">
      <w:pPr>
        <w:pStyle w:val="Heading2"/>
        <w:rPr>
          <w:lang w:val="es-ES"/>
        </w:rPr>
      </w:pPr>
      <w:bookmarkStart w:id="44" w:name="_Toc478721006"/>
      <w:r w:rsidRPr="009425D4">
        <w:rPr>
          <w:lang w:val="es-ES"/>
        </w:rPr>
        <w:t>Nuevo logo de la UPOV y actualización del sitio web</w:t>
      </w:r>
      <w:bookmarkEnd w:id="44"/>
    </w:p>
    <w:p w:rsidR="004B7024" w:rsidRPr="009425D4" w:rsidRDefault="004B7024" w:rsidP="004B7024">
      <w:pPr>
        <w:rPr>
          <w:lang w:val="es-ES"/>
        </w:rPr>
      </w:pPr>
    </w:p>
    <w:p w:rsidR="00953E55" w:rsidRPr="00217877" w:rsidRDefault="00953E55" w:rsidP="00953E55">
      <w:pPr>
        <w:rPr>
          <w:rFonts w:cs="Arial"/>
          <w:lang w:val="es-ES"/>
        </w:rPr>
      </w:pPr>
      <w:r w:rsidRPr="00DB66B3">
        <w:fldChar w:fldCharType="begin"/>
      </w:r>
      <w:r w:rsidRPr="00DB66B3">
        <w:instrText xml:space="preserve"> AUTONUM  </w:instrText>
      </w:r>
      <w:r w:rsidRPr="00DB66B3">
        <w:fldChar w:fldCharType="end"/>
      </w:r>
      <w:r w:rsidRPr="00DB66B3">
        <w:tab/>
      </w:r>
      <w:r>
        <w:t>E</w:t>
      </w:r>
      <w:r>
        <w:rPr>
          <w:rFonts w:cs="Arial"/>
          <w:lang w:val="es-ES"/>
        </w:rPr>
        <w:t xml:space="preserve">l 8 de noviembre de 2016, la UPOV </w:t>
      </w:r>
      <w:r w:rsidR="00627CA6" w:rsidRPr="005652B8">
        <w:rPr>
          <w:rFonts w:cs="Arial"/>
          <w:lang w:val="es-ES"/>
        </w:rPr>
        <w:t>ha</w:t>
      </w:r>
      <w:r>
        <w:rPr>
          <w:rFonts w:cs="Arial"/>
          <w:lang w:val="es-ES"/>
        </w:rPr>
        <w:t xml:space="preserve"> presentado su nuevo logo, que fue introducido en el sitio web de la UPOV junto con nuevas capacidades para los sectores interesados (obtentores, agricultores, responsables de la elaboración de políticas y el público en general) y con el lanzamiento del canal de la UPOV en YouTube.</w:t>
      </w:r>
    </w:p>
    <w:p w:rsidR="00953E55" w:rsidRPr="00A674AF" w:rsidRDefault="00953E55" w:rsidP="00953E55">
      <w:pPr>
        <w:rPr>
          <w:rFonts w:cs="Arial"/>
          <w:u w:val="single"/>
          <w:lang w:val="es-ES"/>
        </w:rPr>
      </w:pPr>
    </w:p>
    <w:p w:rsidR="00953E55" w:rsidRPr="00A674AF" w:rsidRDefault="00953E55" w:rsidP="00953E55">
      <w:pPr>
        <w:rPr>
          <w:rFonts w:cs="Arial"/>
          <w:u w:val="single"/>
          <w:lang w:val="es-ES"/>
        </w:rPr>
      </w:pPr>
    </w:p>
    <w:p w:rsidR="00953E55" w:rsidRPr="00A674AF" w:rsidRDefault="00953E55" w:rsidP="00953E55">
      <w:pPr>
        <w:rPr>
          <w:rFonts w:cs="Arial"/>
          <w:u w:val="single"/>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53E55" w:rsidRPr="00C56397" w:rsidTr="004B0DA4">
        <w:tc>
          <w:tcPr>
            <w:tcW w:w="9855" w:type="dxa"/>
          </w:tcPr>
          <w:p w:rsidR="00953E55" w:rsidRDefault="00953E55" w:rsidP="004B0DA4">
            <w:pPr>
              <w:jc w:val="center"/>
              <w:rPr>
                <w:rFonts w:cs="Arial"/>
              </w:rPr>
            </w:pPr>
            <w:r w:rsidRPr="00C56397">
              <w:rPr>
                <w:rFonts w:cs="Arial"/>
                <w:noProof/>
                <w:lang w:val="en-US"/>
              </w:rPr>
              <w:drawing>
                <wp:inline distT="0" distB="0" distL="0" distR="0" wp14:anchorId="42708669" wp14:editId="71E1427B">
                  <wp:extent cx="3009900" cy="771769"/>
                  <wp:effectExtent l="0" t="0" r="0" b="9525"/>
                  <wp:docPr id="1"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p w:rsidR="00953E55" w:rsidRDefault="00953E55" w:rsidP="004B0DA4">
            <w:pPr>
              <w:jc w:val="center"/>
              <w:rPr>
                <w:rFonts w:cs="Arial"/>
              </w:rPr>
            </w:pPr>
          </w:p>
          <w:p w:rsidR="00953E55" w:rsidRPr="00C56397" w:rsidRDefault="00953E55" w:rsidP="004B0DA4">
            <w:pPr>
              <w:jc w:val="center"/>
              <w:rPr>
                <w:rFonts w:cs="Arial"/>
              </w:rPr>
            </w:pPr>
          </w:p>
        </w:tc>
      </w:tr>
    </w:tbl>
    <w:p w:rsidR="004B7024" w:rsidRDefault="004B7024" w:rsidP="00673AC1">
      <w:pPr>
        <w:rPr>
          <w:rFonts w:cs="Arial"/>
        </w:rPr>
      </w:pPr>
    </w:p>
    <w:p w:rsidR="00953E55" w:rsidRPr="00953E55" w:rsidRDefault="00953E55" w:rsidP="00953E55">
      <w:pPr>
        <w:pStyle w:val="Heading2"/>
        <w:rPr>
          <w:lang w:val="es-ES"/>
        </w:rPr>
      </w:pPr>
      <w:bookmarkStart w:id="45" w:name="_Toc478721007"/>
      <w:r w:rsidRPr="00953E55">
        <w:rPr>
          <w:lang w:val="es-ES"/>
        </w:rPr>
        <w:t>Preguntas frecuentes (FAQ)</w:t>
      </w:r>
      <w:bookmarkEnd w:id="45"/>
    </w:p>
    <w:p w:rsidR="00953E55" w:rsidRDefault="00953E55" w:rsidP="00673AC1">
      <w:pPr>
        <w:rPr>
          <w:rFonts w:cs="Arial"/>
        </w:rPr>
      </w:pPr>
    </w:p>
    <w:p w:rsidR="00953E55" w:rsidRDefault="00953E55" w:rsidP="000D08A6">
      <w:r w:rsidRPr="00476B64">
        <w:fldChar w:fldCharType="begin"/>
      </w:r>
      <w:r w:rsidRPr="00DF4A04">
        <w:rPr>
          <w:lang w:val="es-ES"/>
        </w:rPr>
        <w:instrText xml:space="preserve"> AUTONUM  </w:instrText>
      </w:r>
      <w:r w:rsidRPr="00476B64">
        <w:fldChar w:fldCharType="end"/>
      </w:r>
      <w:r w:rsidRPr="00DF4A04">
        <w:rPr>
          <w:lang w:val="es-ES"/>
        </w:rPr>
        <w:tab/>
      </w:r>
      <w:r w:rsidR="00A24881" w:rsidRPr="00F230DE">
        <w:t>En su nonagésima segunda sesión</w:t>
      </w:r>
      <w:r w:rsidR="00A24881">
        <w:t>, a</w:t>
      </w:r>
      <w:r w:rsidRPr="007F2EDC">
        <w:t>l Comité Consultivo acordó que la propuesta de pregunta frecuente sobre la manera en que el sistema de la UPOV de protección de las obtenciones vegetales contribuye a los Objetivos de Desarrollo Sostenible de las Naciones Unidas se distribuya a los miembros del Comité Consultivo junto con una invitación a que formulen propuestas de revisión del texto y proporcionen ejemplos.</w:t>
      </w:r>
      <w:r w:rsidRPr="00DF4A04">
        <w:rPr>
          <w:lang w:val="es-ES"/>
        </w:rPr>
        <w:t xml:space="preserve">  </w:t>
      </w:r>
      <w:r w:rsidRPr="00D25DDC">
        <w:t>A partir de la información recibida, se elaborará un nuevo proyecto para que el Comité Consultivo lo examine en su nonagésima cuarta sesión, prevista en octubre de 2017.</w:t>
      </w:r>
      <w:r w:rsidR="000D08A6">
        <w:t xml:space="preserve"> </w:t>
      </w:r>
    </w:p>
    <w:p w:rsidR="00953E55" w:rsidRPr="00A24881" w:rsidRDefault="00A24881" w:rsidP="00A24881">
      <w:pPr>
        <w:pStyle w:val="Heading2"/>
        <w:rPr>
          <w:lang w:val="es-ES"/>
        </w:rPr>
      </w:pPr>
      <w:bookmarkStart w:id="46" w:name="_Toc478721008"/>
      <w:r w:rsidRPr="00A24881">
        <w:rPr>
          <w:lang w:val="es-ES"/>
        </w:rPr>
        <w:t>Ventajas del sistema de la UPOV</w:t>
      </w:r>
      <w:bookmarkEnd w:id="46"/>
    </w:p>
    <w:p w:rsidR="00953E55" w:rsidRDefault="00953E55" w:rsidP="00673AC1">
      <w:pPr>
        <w:keepNext/>
      </w:pPr>
    </w:p>
    <w:p w:rsidR="00953E55" w:rsidRDefault="00A24881" w:rsidP="00673AC1">
      <w:pPr>
        <w:keepNext/>
      </w:pPr>
      <w:r w:rsidRPr="00DB66B3">
        <w:fldChar w:fldCharType="begin"/>
      </w:r>
      <w:r w:rsidRPr="00DB66B3">
        <w:instrText xml:space="preserve"> AUTONUM  </w:instrText>
      </w:r>
      <w:r w:rsidRPr="00DB66B3">
        <w:fldChar w:fldCharType="end"/>
      </w:r>
      <w:r w:rsidRPr="00DB66B3">
        <w:tab/>
      </w:r>
      <w:r>
        <w:t>E</w:t>
      </w:r>
      <w:r w:rsidRPr="00CC6204">
        <w:t>l Comité Consultivo convino en que no es factible elaborar una versión actualizada del Estudio sobre el Impacto con el formato actual y en que se ha de instar a los miembros de la Unión a que realicen sus propios estudios y faciliten la información resultante a la Oficina de la Unión.</w:t>
      </w:r>
      <w:r w:rsidRPr="00DF4A04">
        <w:rPr>
          <w:lang w:val="es-ES"/>
        </w:rPr>
        <w:t xml:space="preserve">  </w:t>
      </w:r>
      <w:r w:rsidRPr="00CC6204">
        <w:t>Asimismo, convino en que la Oficina de la Unión debería elaborar videos que ilustren las diversas ventajas del sistema de la UPOV de protección de las obtenciones vegetales</w:t>
      </w:r>
    </w:p>
    <w:p w:rsidR="00A24881" w:rsidRDefault="00A24881" w:rsidP="00673AC1">
      <w:pPr>
        <w:keepNext/>
      </w:pPr>
    </w:p>
    <w:p w:rsidR="00627CA6" w:rsidRDefault="00627CA6" w:rsidP="00673AC1">
      <w:pPr>
        <w:pStyle w:val="Heading2"/>
        <w:rPr>
          <w:lang w:val="es-ES_tradnl"/>
        </w:rPr>
      </w:pPr>
      <w:bookmarkStart w:id="47" w:name="_Toc381174876"/>
      <w:bookmarkStart w:id="48" w:name="_Toc443988423"/>
      <w:r>
        <w:rPr>
          <w:lang w:val="es-ES_tradnl"/>
        </w:rPr>
        <w:br w:type="page"/>
      </w:r>
    </w:p>
    <w:p w:rsidR="00673AC1" w:rsidRPr="00DB66B3" w:rsidRDefault="00673AC1" w:rsidP="00673AC1">
      <w:pPr>
        <w:pStyle w:val="Heading2"/>
        <w:rPr>
          <w:rFonts w:cs="Arial"/>
          <w:lang w:val="es-ES_tradnl"/>
        </w:rPr>
      </w:pPr>
      <w:bookmarkStart w:id="49" w:name="_Toc478721009"/>
      <w:r w:rsidRPr="00DB66B3">
        <w:rPr>
          <w:lang w:val="es-ES_tradnl"/>
        </w:rPr>
        <w:lastRenderedPageBreak/>
        <w:t>Cursos de enseñanza a distancia</w:t>
      </w:r>
      <w:bookmarkEnd w:id="47"/>
      <w:bookmarkEnd w:id="48"/>
      <w:bookmarkEnd w:id="49"/>
    </w:p>
    <w:p w:rsidR="00673AC1" w:rsidRPr="00DB66B3" w:rsidRDefault="00673AC1" w:rsidP="00673AC1">
      <w:pPr>
        <w:keepNext/>
        <w:rPr>
          <w:rFonts w:cs="Arial"/>
        </w:rPr>
      </w:pPr>
    </w:p>
    <w:p w:rsidR="00673AC1" w:rsidRPr="00DB66B3" w:rsidRDefault="00673AC1" w:rsidP="00673AC1">
      <w:pPr>
        <w:autoSpaceDE w:val="0"/>
        <w:autoSpaceDN w:val="0"/>
        <w:adjustRightInd w:val="0"/>
        <w:jc w:val="left"/>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En 201</w:t>
      </w:r>
      <w:r w:rsidR="00A24881">
        <w:t>7</w:t>
      </w:r>
      <w:r w:rsidRPr="00DB66B3">
        <w:t xml:space="preserve"> tendrán lugar dos sesiones de cada uno de los siguientes cursos de la UPOV de enseñanza a distancia en alemán, español, francés e inglés:</w:t>
      </w:r>
    </w:p>
    <w:p w:rsidR="00673AC1" w:rsidRPr="00DB66B3" w:rsidRDefault="00673AC1" w:rsidP="00673AC1">
      <w:pPr>
        <w:autoSpaceDE w:val="0"/>
        <w:autoSpaceDN w:val="0"/>
        <w:adjustRightInd w:val="0"/>
        <w:jc w:val="left"/>
        <w:rPr>
          <w:rFonts w:cs="Arial"/>
        </w:rPr>
      </w:pPr>
    </w:p>
    <w:p w:rsidR="00673AC1" w:rsidRPr="00DB66B3" w:rsidRDefault="00673AC1" w:rsidP="00673AC1">
      <w:pPr>
        <w:pStyle w:val="ListParagraph"/>
        <w:numPr>
          <w:ilvl w:val="0"/>
          <w:numId w:val="4"/>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DL-205 “Introducción al sistema de la UPOV de protección de las variedades vegetales”</w:t>
      </w:r>
    </w:p>
    <w:p w:rsidR="00673AC1" w:rsidRPr="00DB66B3" w:rsidRDefault="00673AC1" w:rsidP="00673AC1">
      <w:pPr>
        <w:pStyle w:val="ListParagraph"/>
        <w:numPr>
          <w:ilvl w:val="0"/>
          <w:numId w:val="4"/>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DL-305 “Examen de las solicitudes de derechos de obtentor”</w:t>
      </w:r>
    </w:p>
    <w:p w:rsidR="00673AC1" w:rsidRPr="00DB66B3" w:rsidRDefault="00673AC1" w:rsidP="00673AC1">
      <w:pPr>
        <w:pStyle w:val="ListParagraph"/>
        <w:numPr>
          <w:ilvl w:val="0"/>
          <w:numId w:val="4"/>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DL-305A “Administración de los derechos de obtentor” (parte A del curso DL-305)</w:t>
      </w:r>
    </w:p>
    <w:p w:rsidR="00673AC1" w:rsidRPr="00DB66B3" w:rsidRDefault="00673AC1" w:rsidP="00673AC1">
      <w:pPr>
        <w:pStyle w:val="ListParagraph"/>
        <w:numPr>
          <w:ilvl w:val="0"/>
          <w:numId w:val="4"/>
        </w:numPr>
        <w:autoSpaceDE w:val="0"/>
        <w:autoSpaceDN w:val="0"/>
        <w:adjustRightInd w:val="0"/>
        <w:spacing w:before="0" w:beforeAutospacing="0" w:after="0" w:afterAutospacing="0"/>
        <w:contextualSpacing/>
        <w:rPr>
          <w:rFonts w:ascii="Arial" w:hAnsi="Arial" w:cs="Arial"/>
          <w:sz w:val="20"/>
          <w:szCs w:val="20"/>
          <w:lang w:val="es-ES_tradnl"/>
        </w:rPr>
      </w:pPr>
      <w:r w:rsidRPr="00DB66B3">
        <w:rPr>
          <w:rFonts w:ascii="Arial" w:hAnsi="Arial"/>
          <w:sz w:val="20"/>
          <w:lang w:val="es-ES_tradnl"/>
        </w:rPr>
        <w:t>DL-305B “Examen DHE” (parte B del curso DL-305)</w:t>
      </w:r>
    </w:p>
    <w:p w:rsidR="00673AC1" w:rsidRPr="00DB66B3" w:rsidRDefault="00673AC1" w:rsidP="00673AC1">
      <w:pPr>
        <w:autoSpaceDE w:val="0"/>
        <w:autoSpaceDN w:val="0"/>
        <w:adjustRightInd w:val="0"/>
        <w:jc w:val="left"/>
        <w:rPr>
          <w:rFonts w:cs="Arial"/>
        </w:rPr>
      </w:pPr>
    </w:p>
    <w:p w:rsidR="00673AC1" w:rsidRPr="00DB66B3" w:rsidRDefault="00673AC1" w:rsidP="00673AC1">
      <w:pPr>
        <w:autoSpaceDE w:val="0"/>
        <w:autoSpaceDN w:val="0"/>
        <w:adjustRightInd w:val="0"/>
        <w:jc w:val="left"/>
        <w:rPr>
          <w:rFonts w:cs="Arial"/>
        </w:rPr>
      </w:pPr>
      <w:r w:rsidRPr="00DB66B3">
        <w:rPr>
          <w:rFonts w:cs="Arial"/>
        </w:rPr>
        <w:fldChar w:fldCharType="begin"/>
      </w:r>
      <w:r w:rsidRPr="00DB66B3">
        <w:rPr>
          <w:rFonts w:cs="Arial"/>
        </w:rPr>
        <w:instrText xml:space="preserve"> AUTONUM  </w:instrText>
      </w:r>
      <w:r w:rsidRPr="00DB66B3">
        <w:rPr>
          <w:rFonts w:cs="Arial"/>
        </w:rPr>
        <w:fldChar w:fldCharType="end"/>
      </w:r>
      <w:r w:rsidRPr="00DB66B3">
        <w:tab/>
        <w:t>El calendario de los cursos es el siguiente:</w:t>
      </w:r>
    </w:p>
    <w:p w:rsidR="00673AC1" w:rsidRPr="00DB66B3" w:rsidRDefault="00673AC1" w:rsidP="00673AC1">
      <w:pPr>
        <w:autoSpaceDE w:val="0"/>
        <w:autoSpaceDN w:val="0"/>
        <w:adjustRightInd w:val="0"/>
        <w:jc w:val="left"/>
        <w:rPr>
          <w:rFonts w:cs="Arial"/>
        </w:rPr>
      </w:pPr>
    </w:p>
    <w:p w:rsidR="00673AC1" w:rsidRPr="00DB66B3" w:rsidRDefault="00673AC1" w:rsidP="00673AC1">
      <w:pPr>
        <w:autoSpaceDE w:val="0"/>
        <w:autoSpaceDN w:val="0"/>
        <w:adjustRightInd w:val="0"/>
        <w:ind w:left="567"/>
        <w:jc w:val="left"/>
        <w:rPr>
          <w:rFonts w:cs="Arial"/>
          <w:i/>
        </w:rPr>
      </w:pPr>
      <w:r w:rsidRPr="00DB66B3">
        <w:rPr>
          <w:i/>
        </w:rPr>
        <w:t>Sesión I, 201</w:t>
      </w:r>
      <w:r w:rsidR="00A24881">
        <w:rPr>
          <w:i/>
        </w:rPr>
        <w:t>7</w:t>
      </w:r>
    </w:p>
    <w:p w:rsidR="00673AC1" w:rsidRPr="00DB66B3" w:rsidRDefault="00673AC1" w:rsidP="00673AC1">
      <w:pPr>
        <w:autoSpaceDE w:val="0"/>
        <w:autoSpaceDN w:val="0"/>
        <w:adjustRightInd w:val="0"/>
        <w:ind w:left="567"/>
        <w:jc w:val="left"/>
        <w:rPr>
          <w:rFonts w:cs="Arial"/>
        </w:rPr>
      </w:pPr>
    </w:p>
    <w:p w:rsidR="00673AC1" w:rsidRPr="00DB66B3" w:rsidRDefault="00A24881" w:rsidP="00673AC1">
      <w:pPr>
        <w:autoSpaceDE w:val="0"/>
        <w:autoSpaceDN w:val="0"/>
        <w:adjustRightInd w:val="0"/>
        <w:ind w:left="567"/>
        <w:jc w:val="left"/>
        <w:rPr>
          <w:rFonts w:cs="Arial"/>
        </w:rPr>
      </w:pPr>
      <w:r>
        <w:t>Inscripción</w:t>
      </w:r>
      <w:proofErr w:type="gramStart"/>
      <w:r>
        <w:t>:  9</w:t>
      </w:r>
      <w:proofErr w:type="gramEnd"/>
      <w:r w:rsidR="00673AC1" w:rsidRPr="00DB66B3">
        <w:t xml:space="preserve"> de enero a </w:t>
      </w:r>
      <w:r>
        <w:t>10</w:t>
      </w:r>
      <w:r w:rsidR="00673AC1" w:rsidRPr="00DB66B3">
        <w:t xml:space="preserve"> de febrero</w:t>
      </w:r>
    </w:p>
    <w:p w:rsidR="00673AC1" w:rsidRPr="00DB66B3" w:rsidRDefault="00A24881" w:rsidP="00673AC1">
      <w:pPr>
        <w:autoSpaceDE w:val="0"/>
        <w:autoSpaceDN w:val="0"/>
        <w:adjustRightInd w:val="0"/>
        <w:ind w:left="567"/>
        <w:jc w:val="left"/>
        <w:rPr>
          <w:rFonts w:cs="Arial"/>
        </w:rPr>
      </w:pPr>
      <w:r>
        <w:t>Período lectivo</w:t>
      </w:r>
      <w:proofErr w:type="gramStart"/>
      <w:r>
        <w:t>:  6</w:t>
      </w:r>
      <w:proofErr w:type="gramEnd"/>
      <w:r w:rsidR="00673AC1" w:rsidRPr="00DB66B3">
        <w:t xml:space="preserve"> de marzo</w:t>
      </w:r>
      <w:r>
        <w:t xml:space="preserve"> a 9 de abril</w:t>
      </w:r>
    </w:p>
    <w:p w:rsidR="00673AC1" w:rsidRPr="00DB66B3" w:rsidRDefault="00673AC1" w:rsidP="00673AC1">
      <w:pPr>
        <w:autoSpaceDE w:val="0"/>
        <w:autoSpaceDN w:val="0"/>
        <w:adjustRightInd w:val="0"/>
        <w:ind w:left="567"/>
        <w:jc w:val="left"/>
        <w:rPr>
          <w:rFonts w:cs="Arial"/>
        </w:rPr>
      </w:pPr>
      <w:r w:rsidRPr="00DB66B3">
        <w:t>Examen final</w:t>
      </w:r>
      <w:proofErr w:type="gramStart"/>
      <w:r w:rsidRPr="00DB66B3">
        <w:t xml:space="preserve">:  </w:t>
      </w:r>
      <w:r w:rsidR="00A24881">
        <w:t>3</w:t>
      </w:r>
      <w:proofErr w:type="gramEnd"/>
      <w:r w:rsidR="00A24881">
        <w:t xml:space="preserve"> a 9 de abril</w:t>
      </w:r>
    </w:p>
    <w:p w:rsidR="00673AC1" w:rsidRPr="00DB66B3" w:rsidRDefault="00673AC1" w:rsidP="00673AC1">
      <w:pPr>
        <w:autoSpaceDE w:val="0"/>
        <w:autoSpaceDN w:val="0"/>
        <w:adjustRightInd w:val="0"/>
        <w:ind w:left="567"/>
        <w:jc w:val="left"/>
        <w:rPr>
          <w:rFonts w:cs="Arial"/>
        </w:rPr>
      </w:pPr>
    </w:p>
    <w:p w:rsidR="00673AC1" w:rsidRPr="00DB66B3" w:rsidRDefault="00673AC1" w:rsidP="00673AC1">
      <w:pPr>
        <w:autoSpaceDE w:val="0"/>
        <w:autoSpaceDN w:val="0"/>
        <w:adjustRightInd w:val="0"/>
        <w:ind w:left="567"/>
        <w:jc w:val="left"/>
        <w:rPr>
          <w:rFonts w:cs="Arial"/>
          <w:i/>
        </w:rPr>
      </w:pPr>
      <w:r w:rsidRPr="00DB66B3">
        <w:rPr>
          <w:i/>
        </w:rPr>
        <w:t>Sesión II, 201</w:t>
      </w:r>
      <w:r w:rsidR="00A24881">
        <w:rPr>
          <w:i/>
        </w:rPr>
        <w:t>7</w:t>
      </w:r>
    </w:p>
    <w:p w:rsidR="00673AC1" w:rsidRPr="00DB66B3" w:rsidRDefault="00673AC1" w:rsidP="00673AC1">
      <w:pPr>
        <w:autoSpaceDE w:val="0"/>
        <w:autoSpaceDN w:val="0"/>
        <w:adjustRightInd w:val="0"/>
        <w:ind w:left="567"/>
        <w:jc w:val="left"/>
        <w:rPr>
          <w:rFonts w:cs="Arial"/>
        </w:rPr>
      </w:pPr>
    </w:p>
    <w:p w:rsidR="00673AC1" w:rsidRPr="00DB66B3" w:rsidRDefault="00A24881" w:rsidP="00673AC1">
      <w:pPr>
        <w:autoSpaceDE w:val="0"/>
        <w:autoSpaceDN w:val="0"/>
        <w:adjustRightInd w:val="0"/>
        <w:ind w:left="567"/>
        <w:jc w:val="left"/>
        <w:rPr>
          <w:rFonts w:cs="Arial"/>
        </w:rPr>
      </w:pPr>
      <w:r>
        <w:t>Inscripción</w:t>
      </w:r>
      <w:proofErr w:type="gramStart"/>
      <w:r>
        <w:t>:  7</w:t>
      </w:r>
      <w:proofErr w:type="gramEnd"/>
      <w:r w:rsidR="00673AC1" w:rsidRPr="00DB66B3">
        <w:t xml:space="preserve"> de agosto a 8 de septiembre</w:t>
      </w:r>
    </w:p>
    <w:p w:rsidR="00673AC1" w:rsidRPr="00DB66B3" w:rsidRDefault="00673AC1" w:rsidP="00673AC1">
      <w:pPr>
        <w:autoSpaceDE w:val="0"/>
        <w:autoSpaceDN w:val="0"/>
        <w:adjustRightInd w:val="0"/>
        <w:ind w:left="567"/>
        <w:jc w:val="left"/>
        <w:rPr>
          <w:rFonts w:cs="Arial"/>
        </w:rPr>
      </w:pPr>
      <w:r w:rsidRPr="00DB66B3">
        <w:t>Período lectivo</w:t>
      </w:r>
      <w:proofErr w:type="gramStart"/>
      <w:r w:rsidRPr="00DB66B3">
        <w:t>:  25</w:t>
      </w:r>
      <w:proofErr w:type="gramEnd"/>
      <w:r w:rsidRPr="00DB66B3">
        <w:t xml:space="preserve"> de septiembre a </w:t>
      </w:r>
      <w:r w:rsidR="00A24881">
        <w:t>29</w:t>
      </w:r>
      <w:r w:rsidRPr="00DB66B3">
        <w:t xml:space="preserve"> de octubre</w:t>
      </w:r>
    </w:p>
    <w:p w:rsidR="00673AC1" w:rsidRPr="00DB66B3" w:rsidRDefault="00673AC1" w:rsidP="00673AC1">
      <w:pPr>
        <w:ind w:left="567"/>
        <w:rPr>
          <w:rFonts w:cs="Arial"/>
          <w:highlight w:val="cyan"/>
        </w:rPr>
      </w:pPr>
      <w:r w:rsidRPr="00DB66B3">
        <w:t>Examen final</w:t>
      </w:r>
      <w:proofErr w:type="gramStart"/>
      <w:r w:rsidRPr="00DB66B3">
        <w:t>:  2</w:t>
      </w:r>
      <w:r w:rsidR="00A24881">
        <w:t>3</w:t>
      </w:r>
      <w:proofErr w:type="gramEnd"/>
      <w:r w:rsidRPr="00DB66B3">
        <w:t xml:space="preserve"> a </w:t>
      </w:r>
      <w:r w:rsidR="00A24881">
        <w:t>29</w:t>
      </w:r>
      <w:r w:rsidRPr="00DB66B3">
        <w:t xml:space="preserve"> de octubre</w:t>
      </w:r>
    </w:p>
    <w:p w:rsidR="00673AC1" w:rsidRPr="00DB66B3" w:rsidRDefault="00673AC1" w:rsidP="00673AC1">
      <w:pPr>
        <w:rPr>
          <w:rFonts w:cs="Arial"/>
          <w:highlight w:val="cyan"/>
        </w:rPr>
      </w:pPr>
    </w:p>
    <w:p w:rsidR="00673AC1" w:rsidRPr="00DB66B3" w:rsidRDefault="00673AC1" w:rsidP="00673AC1">
      <w:pPr>
        <w:rPr>
          <w:rFonts w:cs="Arial"/>
        </w:rPr>
      </w:pPr>
      <w:r w:rsidRPr="00DB66B3">
        <w:t>(</w:t>
      </w:r>
      <w:proofErr w:type="gramStart"/>
      <w:r w:rsidRPr="00DB66B3">
        <w:t>véase</w:t>
      </w:r>
      <w:proofErr w:type="gramEnd"/>
      <w:r w:rsidRPr="00DB66B3">
        <w:t xml:space="preserve"> </w:t>
      </w:r>
      <w:hyperlink r:id="rId13">
        <w:r w:rsidRPr="00DB66B3">
          <w:rPr>
            <w:rStyle w:val="Hyperlink"/>
          </w:rPr>
          <w:t>http://www.upov.int/resource/es/training.html</w:t>
        </w:r>
      </w:hyperlink>
      <w:r w:rsidRPr="00DB66B3">
        <w:t>)</w:t>
      </w:r>
    </w:p>
    <w:p w:rsidR="00673AC1" w:rsidRPr="00DB66B3" w:rsidRDefault="00673AC1" w:rsidP="00673AC1">
      <w:pPr>
        <w:keepNext/>
        <w:rPr>
          <w:rFonts w:cs="Arial"/>
        </w:rPr>
      </w:pPr>
    </w:p>
    <w:p w:rsidR="00673AC1" w:rsidRDefault="00673AC1" w:rsidP="00673AC1">
      <w:pPr>
        <w:rPr>
          <w:rFonts w:cs="Arial"/>
          <w:snapToGrid w:val="0"/>
        </w:rPr>
      </w:pPr>
    </w:p>
    <w:p w:rsidR="00E81772" w:rsidRPr="00E81772" w:rsidRDefault="00E81772" w:rsidP="00E81772">
      <w:pPr>
        <w:pStyle w:val="Heading1"/>
        <w:rPr>
          <w:rFonts w:cs="Arial"/>
          <w:snapToGrid w:val="0"/>
          <w:lang w:val="es-ES"/>
        </w:rPr>
      </w:pPr>
      <w:bookmarkStart w:id="50" w:name="_Toc478721010"/>
      <w:r w:rsidRPr="00E81772">
        <w:rPr>
          <w:lang w:val="es-ES"/>
        </w:rPr>
        <w:t>formulario electrónico de solicitud de la UPOV</w:t>
      </w:r>
      <w:bookmarkEnd w:id="50"/>
    </w:p>
    <w:p w:rsidR="00E81772" w:rsidRDefault="00E81772" w:rsidP="00673AC1">
      <w:pPr>
        <w:rPr>
          <w:rFonts w:cs="Arial"/>
          <w:snapToGrid w:val="0"/>
        </w:rPr>
      </w:pPr>
    </w:p>
    <w:p w:rsidR="00E81772" w:rsidRDefault="00E81772" w:rsidP="00673AC1">
      <w:pPr>
        <w:rPr>
          <w:rFonts w:cs="Arial"/>
        </w:rPr>
      </w:pPr>
      <w:r w:rsidRPr="00E81772">
        <w:rPr>
          <w:rFonts w:cs="Arial"/>
        </w:rPr>
        <w:fldChar w:fldCharType="begin"/>
      </w:r>
      <w:r w:rsidRPr="00E81772">
        <w:rPr>
          <w:rFonts w:cs="Arial"/>
          <w:lang w:val="es-ES"/>
        </w:rPr>
        <w:instrText xml:space="preserve"> AUTONUM  </w:instrText>
      </w:r>
      <w:r w:rsidRPr="00E81772">
        <w:rPr>
          <w:rFonts w:cs="Arial"/>
        </w:rPr>
        <w:fldChar w:fldCharType="end"/>
      </w:r>
      <w:r w:rsidRPr="00E81772">
        <w:rPr>
          <w:rFonts w:cs="Arial"/>
          <w:lang w:val="es-ES"/>
        </w:rPr>
        <w:tab/>
      </w:r>
      <w:r>
        <w:rPr>
          <w:rFonts w:cs="Arial"/>
          <w:lang w:val="es-ES"/>
        </w:rPr>
        <w:t xml:space="preserve">Las </w:t>
      </w:r>
      <w:r w:rsidRPr="00E3750C">
        <w:rPr>
          <w:lang w:val="es-ES"/>
        </w:rPr>
        <w:t>novedades relativas a la elaboración de un formulario electrónico de solicitud se exponen en el documento</w:t>
      </w:r>
      <w:r>
        <w:rPr>
          <w:lang w:val="es-ES"/>
        </w:rPr>
        <w:t xml:space="preserve"> TC/53/7 </w:t>
      </w:r>
      <w:r>
        <w:t>“</w:t>
      </w:r>
      <w:r>
        <w:rPr>
          <w:lang w:val="es-ES"/>
        </w:rPr>
        <w:t>F</w:t>
      </w:r>
      <w:r w:rsidRPr="00E3750C">
        <w:rPr>
          <w:lang w:val="es-ES"/>
        </w:rPr>
        <w:t>ormulario electrónico de solicitud</w:t>
      </w:r>
      <w:r>
        <w:rPr>
          <w:rFonts w:cs="Arial"/>
        </w:rPr>
        <w:t>”.</w:t>
      </w:r>
    </w:p>
    <w:p w:rsidR="00E81772" w:rsidRDefault="00E81772" w:rsidP="00673AC1">
      <w:pPr>
        <w:rPr>
          <w:lang w:val="es-ES"/>
        </w:rPr>
      </w:pPr>
    </w:p>
    <w:p w:rsidR="00E81772" w:rsidRPr="00DB66B3" w:rsidRDefault="00E81772" w:rsidP="00673AC1">
      <w:pPr>
        <w:rPr>
          <w:rFonts w:cs="Arial"/>
          <w:snapToGrid w:val="0"/>
        </w:rPr>
      </w:pPr>
    </w:p>
    <w:p w:rsidR="00673AC1" w:rsidRPr="00E81772" w:rsidRDefault="00673AC1" w:rsidP="00673AC1">
      <w:pPr>
        <w:pStyle w:val="Heading1"/>
        <w:rPr>
          <w:rFonts w:cs="Arial"/>
          <w:lang w:val="es-ES_tradnl"/>
        </w:rPr>
      </w:pPr>
      <w:bookmarkStart w:id="51" w:name="_Toc443988424"/>
      <w:bookmarkStart w:id="52" w:name="_Toc381174877"/>
      <w:bookmarkStart w:id="53" w:name="_Toc478721011"/>
      <w:r w:rsidRPr="00E81772">
        <w:rPr>
          <w:rFonts w:cs="Arial"/>
          <w:lang w:val="es-ES_tradnl"/>
        </w:rPr>
        <w:t>Sistema internacional de cooperación</w:t>
      </w:r>
      <w:bookmarkEnd w:id="51"/>
      <w:r w:rsidRPr="00E81772">
        <w:rPr>
          <w:rFonts w:cs="Arial"/>
          <w:lang w:val="es-ES_tradnl"/>
        </w:rPr>
        <w:t xml:space="preserve"> (ISC)</w:t>
      </w:r>
      <w:bookmarkEnd w:id="53"/>
    </w:p>
    <w:p w:rsidR="00673AC1" w:rsidRPr="00E81772" w:rsidRDefault="00673AC1" w:rsidP="00673AC1">
      <w:pPr>
        <w:rPr>
          <w:rFonts w:cs="Arial"/>
        </w:rPr>
      </w:pPr>
    </w:p>
    <w:p w:rsidR="00E81772" w:rsidRPr="00E81772" w:rsidRDefault="00E81772" w:rsidP="00E81772">
      <w:pPr>
        <w:keepNext/>
        <w:rPr>
          <w:rFonts w:cs="Arial"/>
          <w:lang w:val="es-ES"/>
        </w:rPr>
      </w:pPr>
      <w:r w:rsidRPr="00E81772">
        <w:rPr>
          <w:rFonts w:cs="Arial"/>
        </w:rPr>
        <w:fldChar w:fldCharType="begin"/>
      </w:r>
      <w:r w:rsidRPr="00E81772">
        <w:rPr>
          <w:rFonts w:cs="Arial"/>
          <w:lang w:val="es-ES"/>
        </w:rPr>
        <w:instrText xml:space="preserve"> AUTONUM  </w:instrText>
      </w:r>
      <w:r w:rsidRPr="00E81772">
        <w:rPr>
          <w:rFonts w:cs="Arial"/>
        </w:rPr>
        <w:fldChar w:fldCharType="end"/>
      </w:r>
      <w:r w:rsidRPr="00E81772">
        <w:rPr>
          <w:rFonts w:cs="Arial"/>
          <w:lang w:val="es-ES"/>
        </w:rPr>
        <w:tab/>
      </w:r>
      <w:r w:rsidRPr="00E81772">
        <w:rPr>
          <w:rFonts w:cs="Arial"/>
        </w:rPr>
        <w:t>El Comité Consultivo aprobó el proyecto de mandato y atribuciones para un grupo de trabajo sobre un posible sistema internacional de cooperación (WG</w:t>
      </w:r>
      <w:r w:rsidRPr="00E81772">
        <w:rPr>
          <w:rFonts w:cs="Arial"/>
        </w:rPr>
        <w:noBreakHyphen/>
        <w:t>ISC), que se expone a continuación:</w:t>
      </w:r>
    </w:p>
    <w:p w:rsidR="00E81772" w:rsidRPr="00E81772" w:rsidRDefault="00E81772" w:rsidP="00E81772">
      <w:pPr>
        <w:keepNext/>
        <w:rPr>
          <w:rFonts w:cs="Arial"/>
          <w:lang w:val="es-ES"/>
        </w:rPr>
      </w:pPr>
    </w:p>
    <w:p w:rsidR="00E81772" w:rsidRPr="00E81772" w:rsidRDefault="00E81772" w:rsidP="00E81772">
      <w:pPr>
        <w:pStyle w:val="Heading3"/>
        <w:rPr>
          <w:rFonts w:cs="Arial"/>
          <w:snapToGrid w:val="0"/>
          <w:lang w:val="es-ES"/>
        </w:rPr>
      </w:pPr>
      <w:bookmarkStart w:id="54" w:name="_Toc478721012"/>
      <w:r w:rsidRPr="00E81772">
        <w:rPr>
          <w:rFonts w:cs="Arial"/>
          <w:snapToGrid w:val="0"/>
          <w:lang w:val="es-ES_tradnl"/>
        </w:rPr>
        <w:t>Propósito</w:t>
      </w:r>
      <w:bookmarkEnd w:id="54"/>
      <w:r w:rsidRPr="00E81772">
        <w:rPr>
          <w:rFonts w:cs="Arial"/>
          <w:snapToGrid w:val="0"/>
          <w:lang w:val="es-ES"/>
        </w:rPr>
        <w:t xml:space="preserve"> </w:t>
      </w:r>
    </w:p>
    <w:p w:rsidR="00E81772" w:rsidRPr="00E81772" w:rsidRDefault="00E81772" w:rsidP="00E81772">
      <w:pPr>
        <w:keepNext/>
        <w:rPr>
          <w:rFonts w:cs="Arial"/>
          <w:snapToGrid w:val="0"/>
          <w:lang w:val="es-ES"/>
        </w:rPr>
      </w:pPr>
    </w:p>
    <w:p w:rsidR="00E81772" w:rsidRPr="00E81772" w:rsidRDefault="00E81772" w:rsidP="00E81772">
      <w:pPr>
        <w:keepNext/>
        <w:ind w:left="709" w:hanging="425"/>
        <w:rPr>
          <w:rFonts w:cs="Arial"/>
          <w:snapToGrid w:val="0"/>
          <w:lang w:val="es-ES"/>
        </w:rPr>
      </w:pPr>
      <w:r w:rsidRPr="00E81772">
        <w:rPr>
          <w:rFonts w:cs="Arial"/>
          <w:snapToGrid w:val="0"/>
          <w:lang w:val="es-ES"/>
        </w:rPr>
        <w:t>1.</w:t>
      </w:r>
      <w:r w:rsidRPr="00E81772">
        <w:rPr>
          <w:rFonts w:cs="Arial"/>
          <w:snapToGrid w:val="0"/>
          <w:lang w:val="es-ES"/>
        </w:rPr>
        <w:tab/>
      </w:r>
      <w:r w:rsidRPr="00E81772">
        <w:rPr>
          <w:rFonts w:cs="Arial"/>
          <w:snapToGrid w:val="0"/>
        </w:rPr>
        <w:t>Formular, para su examen por el Comité Consultivo, propuestas relativas a un posible ISC que:</w:t>
      </w:r>
    </w:p>
    <w:p w:rsidR="00E81772" w:rsidRPr="00E81772" w:rsidRDefault="00E81772" w:rsidP="00E81772">
      <w:pPr>
        <w:keepNext/>
        <w:ind w:left="360"/>
        <w:rPr>
          <w:rFonts w:cs="Arial"/>
          <w:snapToGrid w:val="0"/>
          <w:lang w:val="es-ES"/>
        </w:rPr>
      </w:pPr>
    </w:p>
    <w:p w:rsidR="00E81772" w:rsidRPr="00E81772" w:rsidRDefault="00E81772" w:rsidP="00E81772">
      <w:pPr>
        <w:pStyle w:val="ListParagraph"/>
        <w:keepNext/>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no afecte a la responsabilidad de los miembros de la Unión en relación con la concesión y la protección de los derechos de obtentor, o con otras obligaciones internacionales;</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sea pertinente para todos los miembros de la Unión, con independencia del Acta del Convenio de la UPOV por la que estén vinculados;</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no afecte a la flexibilidad de la que actualmente disponen los miembros de la Unión para la formulación de políticas y para dar respuesta a sus propias necesidades y circunstancias específicas conforme al Acta pertinente del Convenio de la UPOV;</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se base en la participación voluntaria de los miembros de la Unión con arreglo a sus medidas de participación;</w:t>
      </w:r>
      <w:r w:rsidRPr="00E81772">
        <w:rPr>
          <w:rFonts w:ascii="Arial" w:hAnsi="Arial" w:cs="Arial"/>
          <w:snapToGrid w:val="0"/>
          <w:sz w:val="20"/>
          <w:szCs w:val="20"/>
          <w:lang w:val="es-ES"/>
        </w:rPr>
        <w:t xml:space="preserve"> </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permita que los miembros de la Unión decidan participar solo en determinados componentes del ISC;</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se base en la cooperación voluntaria entre miembros de la Unión;</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no afecte a la cooperación con o entre aquellos miembros de la Unión que no participen en el ISC;</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se base en la presentación de solicitudes ante los propios miembros de la Unión y no ante la Oficina de la Unión;</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no se base en el examen de solicitudes por la Oficina de la Unión;</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no afecte la determinación ni el pago de tasas por los diferentes miembros de la Unión;</w:t>
      </w:r>
      <w:r w:rsidRPr="00E81772">
        <w:rPr>
          <w:rFonts w:ascii="Arial" w:hAnsi="Arial" w:cs="Arial"/>
          <w:snapToGrid w:val="0"/>
          <w:sz w:val="20"/>
          <w:szCs w:val="20"/>
          <w:lang w:val="es-ES"/>
        </w:rPr>
        <w:t xml:space="preserve">  </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lastRenderedPageBreak/>
        <w:t>no afecte el derecho de cada uno de los miembros de la Unión a llevar a cabo por sí mismos el examen para la concesión del derecho de obtentor;</w:t>
      </w:r>
    </w:p>
    <w:p w:rsidR="00E81772" w:rsidRPr="00E81772" w:rsidRDefault="00E81772" w:rsidP="00E81772">
      <w:pPr>
        <w:pStyle w:val="ListParagraph"/>
        <w:numPr>
          <w:ilvl w:val="0"/>
          <w:numId w:val="9"/>
        </w:numPr>
        <w:tabs>
          <w:tab w:val="clear" w:pos="0"/>
        </w:tabs>
        <w:spacing w:before="0" w:beforeAutospacing="0" w:after="60" w:afterAutospacing="0"/>
        <w:ind w:left="1134" w:hanging="425"/>
        <w:jc w:val="both"/>
        <w:rPr>
          <w:rFonts w:ascii="Arial" w:hAnsi="Arial" w:cs="Arial"/>
          <w:snapToGrid w:val="0"/>
          <w:sz w:val="20"/>
          <w:szCs w:val="20"/>
          <w:lang w:val="es-ES"/>
        </w:rPr>
      </w:pPr>
      <w:r w:rsidRPr="00E81772">
        <w:rPr>
          <w:rFonts w:ascii="Arial" w:hAnsi="Arial" w:cs="Arial"/>
          <w:snapToGrid w:val="0"/>
          <w:sz w:val="20"/>
          <w:szCs w:val="20"/>
          <w:lang w:val="es-ES_tradnl"/>
        </w:rPr>
        <w:t>se base en iniciativas y materiales existentes en la UPOV, en particular</w:t>
      </w:r>
      <w:proofErr w:type="gramStart"/>
      <w:r w:rsidRPr="00E81772">
        <w:rPr>
          <w:rFonts w:ascii="Arial" w:hAnsi="Arial" w:cs="Arial"/>
          <w:snapToGrid w:val="0"/>
          <w:sz w:val="20"/>
          <w:szCs w:val="20"/>
          <w:lang w:val="es-ES_tradnl"/>
        </w:rPr>
        <w:t>:</w:t>
      </w:r>
      <w:r w:rsidRPr="00E81772">
        <w:rPr>
          <w:rFonts w:ascii="Arial" w:hAnsi="Arial" w:cs="Arial"/>
          <w:snapToGrid w:val="0"/>
          <w:sz w:val="20"/>
          <w:szCs w:val="20"/>
          <w:lang w:val="es-ES"/>
        </w:rPr>
        <w:t xml:space="preserve">  </w:t>
      </w:r>
      <w:r w:rsidRPr="00E81772">
        <w:rPr>
          <w:rFonts w:ascii="Arial" w:hAnsi="Arial" w:cs="Arial"/>
          <w:snapToGrid w:val="0"/>
          <w:sz w:val="20"/>
          <w:szCs w:val="20"/>
          <w:lang w:val="es-ES_tradnl"/>
        </w:rPr>
        <w:t>la</w:t>
      </w:r>
      <w:proofErr w:type="gramEnd"/>
      <w:r w:rsidRPr="00E81772">
        <w:rPr>
          <w:rFonts w:ascii="Arial" w:hAnsi="Arial" w:cs="Arial"/>
          <w:snapToGrid w:val="0"/>
          <w:sz w:val="20"/>
          <w:szCs w:val="20"/>
          <w:lang w:val="es-ES_tradnl"/>
        </w:rPr>
        <w:t xml:space="preserve"> base de datos GENIE;</w:t>
      </w:r>
      <w:r w:rsidRPr="00E81772">
        <w:rPr>
          <w:rFonts w:ascii="Arial" w:hAnsi="Arial" w:cs="Arial"/>
          <w:snapToGrid w:val="0"/>
          <w:sz w:val="20"/>
          <w:szCs w:val="20"/>
          <w:lang w:val="es-ES"/>
        </w:rPr>
        <w:t xml:space="preserve"> </w:t>
      </w:r>
      <w:r w:rsidRPr="00E81772">
        <w:rPr>
          <w:rFonts w:ascii="Arial" w:hAnsi="Arial" w:cs="Arial"/>
          <w:snapToGrid w:val="0"/>
          <w:sz w:val="20"/>
          <w:szCs w:val="20"/>
          <w:lang w:val="es-ES_tradnl"/>
        </w:rPr>
        <w:t>el proyecto de formulario electrónico de solicitud (EAF);</w:t>
      </w:r>
      <w:r w:rsidRPr="00E81772">
        <w:rPr>
          <w:rFonts w:ascii="Arial" w:hAnsi="Arial" w:cs="Arial"/>
          <w:snapToGrid w:val="0"/>
          <w:sz w:val="20"/>
          <w:szCs w:val="20"/>
          <w:lang w:val="es-ES"/>
        </w:rPr>
        <w:t xml:space="preserve">  </w:t>
      </w:r>
      <w:r w:rsidRPr="00E81772">
        <w:rPr>
          <w:rFonts w:ascii="Arial" w:hAnsi="Arial" w:cs="Arial"/>
          <w:snapToGrid w:val="0"/>
          <w:sz w:val="20"/>
          <w:szCs w:val="20"/>
          <w:lang w:val="es-ES_tradnl"/>
        </w:rPr>
        <w:t>el instrumento de la UPOV de búsqueda de denominaciones similares;</w:t>
      </w:r>
      <w:r w:rsidRPr="00E81772">
        <w:rPr>
          <w:rFonts w:ascii="Arial" w:hAnsi="Arial" w:cs="Arial"/>
          <w:snapToGrid w:val="0"/>
          <w:sz w:val="20"/>
          <w:szCs w:val="20"/>
          <w:lang w:val="es-ES"/>
        </w:rPr>
        <w:t xml:space="preserve">  </w:t>
      </w:r>
      <w:r w:rsidRPr="00E81772">
        <w:rPr>
          <w:rFonts w:ascii="Arial" w:hAnsi="Arial" w:cs="Arial"/>
          <w:snapToGrid w:val="0"/>
          <w:sz w:val="20"/>
          <w:szCs w:val="20"/>
          <w:lang w:val="es-ES_tradnl"/>
        </w:rPr>
        <w:t>y el material de información de la UPOV.</w:t>
      </w:r>
    </w:p>
    <w:p w:rsidR="00E81772" w:rsidRPr="00E81772" w:rsidRDefault="00E81772" w:rsidP="00E81772">
      <w:pPr>
        <w:ind w:left="360"/>
        <w:jc w:val="left"/>
        <w:rPr>
          <w:rFonts w:cs="Arial"/>
          <w:lang w:val="es-ES"/>
        </w:rPr>
      </w:pPr>
    </w:p>
    <w:p w:rsidR="00E81772" w:rsidRPr="00E81772" w:rsidRDefault="00E81772" w:rsidP="00E81772">
      <w:pPr>
        <w:ind w:left="709" w:hanging="425"/>
        <w:rPr>
          <w:rFonts w:cs="Arial"/>
          <w:lang w:val="es-ES"/>
        </w:rPr>
      </w:pPr>
      <w:r w:rsidRPr="00E81772">
        <w:rPr>
          <w:rFonts w:cs="Arial"/>
          <w:lang w:val="es-ES"/>
        </w:rPr>
        <w:t>2.</w:t>
      </w:r>
      <w:r w:rsidRPr="00E81772">
        <w:rPr>
          <w:rFonts w:cs="Arial"/>
          <w:lang w:val="es-ES"/>
        </w:rPr>
        <w:tab/>
      </w:r>
      <w:r w:rsidRPr="00E81772">
        <w:rPr>
          <w:rFonts w:cs="Arial"/>
        </w:rPr>
        <w:t>En relación con estas propuestas, facilitar al Comité Consultivo un análisis de:</w:t>
      </w:r>
    </w:p>
    <w:p w:rsidR="00E81772" w:rsidRPr="00E81772" w:rsidRDefault="00E81772" w:rsidP="00E81772">
      <w:pPr>
        <w:ind w:left="360"/>
        <w:jc w:val="left"/>
        <w:rPr>
          <w:rFonts w:cs="Arial"/>
          <w:lang w:val="es-ES"/>
        </w:rPr>
      </w:pPr>
    </w:p>
    <w:p w:rsidR="00E81772" w:rsidRPr="00E81772" w:rsidRDefault="00E81772" w:rsidP="00E81772">
      <w:pPr>
        <w:pStyle w:val="ListParagraph"/>
        <w:numPr>
          <w:ilvl w:val="0"/>
          <w:numId w:val="10"/>
        </w:numPr>
        <w:tabs>
          <w:tab w:val="clear" w:pos="0"/>
        </w:tabs>
        <w:spacing w:before="0" w:beforeAutospacing="0" w:after="60" w:afterAutospacing="0"/>
        <w:jc w:val="both"/>
        <w:rPr>
          <w:rFonts w:ascii="Arial" w:hAnsi="Arial" w:cs="Arial"/>
          <w:snapToGrid w:val="0"/>
          <w:sz w:val="20"/>
          <w:szCs w:val="20"/>
          <w:lang w:val="es-ES"/>
        </w:rPr>
      </w:pPr>
      <w:r w:rsidRPr="00E81772">
        <w:rPr>
          <w:rFonts w:ascii="Arial" w:hAnsi="Arial" w:cs="Arial"/>
          <w:snapToGrid w:val="0"/>
          <w:sz w:val="20"/>
          <w:szCs w:val="20"/>
          <w:lang w:val="es-ES_tradnl"/>
        </w:rPr>
        <w:t>la necesidad de un ISC;</w:t>
      </w:r>
    </w:p>
    <w:p w:rsidR="00E81772" w:rsidRPr="00E81772" w:rsidRDefault="00E81772" w:rsidP="00E81772">
      <w:pPr>
        <w:pStyle w:val="ListParagraph"/>
        <w:numPr>
          <w:ilvl w:val="0"/>
          <w:numId w:val="10"/>
        </w:numPr>
        <w:tabs>
          <w:tab w:val="clear" w:pos="0"/>
        </w:tabs>
        <w:spacing w:before="0" w:beforeAutospacing="0" w:after="60" w:afterAutospacing="0"/>
        <w:jc w:val="both"/>
        <w:rPr>
          <w:rFonts w:ascii="Arial" w:hAnsi="Arial" w:cs="Arial"/>
          <w:snapToGrid w:val="0"/>
          <w:sz w:val="20"/>
          <w:szCs w:val="20"/>
          <w:lang w:val="es-ES"/>
        </w:rPr>
      </w:pPr>
      <w:r w:rsidRPr="00E81772">
        <w:rPr>
          <w:rFonts w:ascii="Arial" w:hAnsi="Arial" w:cs="Arial"/>
          <w:snapToGrid w:val="0"/>
          <w:sz w:val="20"/>
          <w:szCs w:val="20"/>
          <w:lang w:val="es-ES_tradnl"/>
        </w:rPr>
        <w:t>las ventajas y desventajas de las propuestas en comparación con la organización actual;</w:t>
      </w:r>
    </w:p>
    <w:p w:rsidR="00E81772" w:rsidRPr="00E81772" w:rsidRDefault="00E81772" w:rsidP="00E81772">
      <w:pPr>
        <w:pStyle w:val="ListParagraph"/>
        <w:numPr>
          <w:ilvl w:val="0"/>
          <w:numId w:val="10"/>
        </w:numPr>
        <w:tabs>
          <w:tab w:val="clear" w:pos="0"/>
        </w:tabs>
        <w:spacing w:before="0" w:beforeAutospacing="0" w:after="60" w:afterAutospacing="0"/>
        <w:jc w:val="both"/>
        <w:rPr>
          <w:rFonts w:ascii="Arial" w:hAnsi="Arial" w:cs="Arial"/>
          <w:snapToGrid w:val="0"/>
          <w:sz w:val="20"/>
          <w:szCs w:val="20"/>
          <w:lang w:val="es-ES"/>
        </w:rPr>
      </w:pPr>
      <w:r w:rsidRPr="00E81772">
        <w:rPr>
          <w:rFonts w:ascii="Arial" w:hAnsi="Arial" w:cs="Arial"/>
          <w:snapToGrid w:val="0"/>
          <w:sz w:val="20"/>
          <w:szCs w:val="20"/>
          <w:lang w:val="es-ES_tradnl"/>
        </w:rPr>
        <w:t>la existencia de un fundamento jurídico en virtud de las Actas del Convenio de la UPOV;</w:t>
      </w:r>
    </w:p>
    <w:p w:rsidR="00E81772" w:rsidRPr="00E81772" w:rsidRDefault="00E81772" w:rsidP="00E81772">
      <w:pPr>
        <w:pStyle w:val="ListParagraph"/>
        <w:numPr>
          <w:ilvl w:val="0"/>
          <w:numId w:val="10"/>
        </w:numPr>
        <w:tabs>
          <w:tab w:val="clear" w:pos="0"/>
        </w:tabs>
        <w:spacing w:before="0" w:beforeAutospacing="0" w:after="60" w:afterAutospacing="0"/>
        <w:jc w:val="both"/>
        <w:rPr>
          <w:rFonts w:ascii="Arial" w:hAnsi="Arial" w:cs="Arial"/>
          <w:snapToGrid w:val="0"/>
          <w:sz w:val="20"/>
          <w:szCs w:val="20"/>
          <w:lang w:val="es-ES"/>
        </w:rPr>
      </w:pPr>
      <w:r w:rsidRPr="00E81772">
        <w:rPr>
          <w:rFonts w:ascii="Arial" w:hAnsi="Arial" w:cs="Arial"/>
          <w:snapToGrid w:val="0"/>
          <w:sz w:val="20"/>
          <w:szCs w:val="20"/>
          <w:lang w:val="es-ES_tradnl"/>
        </w:rPr>
        <w:t>la incidencia en la legislación nacional, los procedimientos administrativos, los derechos y los marcos de política, en relación con el Acta pertinente del Convenio de la UPOV, para las oficinas de protección de las obtenciones vegetales de los miembros de la UPOV;</w:t>
      </w:r>
      <w:r w:rsidRPr="00E81772">
        <w:rPr>
          <w:rFonts w:ascii="Arial" w:hAnsi="Arial" w:cs="Arial"/>
          <w:snapToGrid w:val="0"/>
          <w:sz w:val="20"/>
          <w:szCs w:val="20"/>
          <w:lang w:val="es-ES"/>
        </w:rPr>
        <w:t xml:space="preserve"> </w:t>
      </w:r>
    </w:p>
    <w:p w:rsidR="00E81772" w:rsidRPr="00E81772" w:rsidRDefault="00E81772" w:rsidP="00E81772">
      <w:pPr>
        <w:pStyle w:val="ListParagraph"/>
        <w:numPr>
          <w:ilvl w:val="0"/>
          <w:numId w:val="10"/>
        </w:numPr>
        <w:tabs>
          <w:tab w:val="clear" w:pos="0"/>
        </w:tabs>
        <w:spacing w:before="0" w:beforeAutospacing="0" w:after="60" w:afterAutospacing="0"/>
        <w:jc w:val="both"/>
        <w:rPr>
          <w:rFonts w:ascii="Arial" w:hAnsi="Arial" w:cs="Arial"/>
          <w:snapToGrid w:val="0"/>
          <w:sz w:val="20"/>
          <w:szCs w:val="20"/>
          <w:lang w:val="es-ES"/>
        </w:rPr>
      </w:pPr>
      <w:r w:rsidRPr="00E81772">
        <w:rPr>
          <w:rFonts w:ascii="Arial" w:hAnsi="Arial" w:cs="Arial"/>
          <w:snapToGrid w:val="0"/>
          <w:sz w:val="20"/>
          <w:szCs w:val="20"/>
          <w:lang w:val="es-ES_tradnl"/>
        </w:rPr>
        <w:t>las posibles ventajas y desventajas para:</w:t>
      </w:r>
    </w:p>
    <w:p w:rsidR="00E81772" w:rsidRPr="00E81772" w:rsidRDefault="00E81772" w:rsidP="00E81772">
      <w:pPr>
        <w:spacing w:after="60"/>
        <w:ind w:left="1560" w:hanging="426"/>
        <w:rPr>
          <w:rFonts w:cs="Arial"/>
          <w:lang w:val="es-ES"/>
        </w:rPr>
      </w:pPr>
      <w:r w:rsidRPr="00E81772">
        <w:rPr>
          <w:rFonts w:cs="Arial"/>
          <w:lang w:val="es-ES"/>
        </w:rPr>
        <w:t>i)</w:t>
      </w:r>
      <w:r w:rsidRPr="00E81772">
        <w:rPr>
          <w:rFonts w:cs="Arial"/>
          <w:lang w:val="es-ES"/>
        </w:rPr>
        <w:tab/>
      </w:r>
      <w:r w:rsidRPr="00E81772">
        <w:rPr>
          <w:rFonts w:cs="Arial"/>
        </w:rPr>
        <w:t>la sociedad en los diferentes miembros de la Unión;</w:t>
      </w:r>
    </w:p>
    <w:p w:rsidR="00E81772" w:rsidRPr="00E81772" w:rsidRDefault="00E81772" w:rsidP="00E81772">
      <w:pPr>
        <w:spacing w:after="60"/>
        <w:ind w:left="1560" w:hanging="426"/>
        <w:rPr>
          <w:rFonts w:cs="Arial"/>
          <w:lang w:val="es-ES"/>
        </w:rPr>
      </w:pPr>
      <w:r w:rsidRPr="00E81772">
        <w:rPr>
          <w:rFonts w:cs="Arial"/>
          <w:lang w:val="es-ES"/>
        </w:rPr>
        <w:t>ii)</w:t>
      </w:r>
      <w:r w:rsidRPr="00E81772">
        <w:rPr>
          <w:rFonts w:cs="Arial"/>
          <w:lang w:val="es-ES"/>
        </w:rPr>
        <w:tab/>
      </w:r>
      <w:r w:rsidRPr="00E81772">
        <w:rPr>
          <w:rFonts w:cs="Arial"/>
        </w:rPr>
        <w:t>las oficinas de protección de las obtenciones vegetales de los miembros de la Unión, en particular en lo que respecta a:</w:t>
      </w:r>
    </w:p>
    <w:p w:rsidR="00E81772" w:rsidRPr="00E81772" w:rsidRDefault="00E81772" w:rsidP="00E81772">
      <w:pPr>
        <w:pStyle w:val="ListParagraph"/>
        <w:numPr>
          <w:ilvl w:val="2"/>
          <w:numId w:val="6"/>
        </w:numPr>
        <w:spacing w:before="0" w:beforeAutospacing="0" w:after="60" w:afterAutospacing="0"/>
        <w:ind w:left="1843" w:hanging="284"/>
        <w:jc w:val="both"/>
        <w:rPr>
          <w:rFonts w:ascii="Arial" w:hAnsi="Arial" w:cs="Arial"/>
          <w:sz w:val="20"/>
          <w:szCs w:val="20"/>
        </w:rPr>
      </w:pPr>
      <w:r w:rsidRPr="00E81772">
        <w:rPr>
          <w:rFonts w:ascii="Arial" w:hAnsi="Arial" w:cs="Arial"/>
          <w:sz w:val="20"/>
          <w:szCs w:val="20"/>
          <w:lang w:val="es-ES_tradnl"/>
        </w:rPr>
        <w:t>costos e ingresos</w:t>
      </w:r>
    </w:p>
    <w:p w:rsidR="00E81772" w:rsidRPr="004B0DA4" w:rsidRDefault="00E81772" w:rsidP="00E81772">
      <w:pPr>
        <w:pStyle w:val="ListParagraph"/>
        <w:numPr>
          <w:ilvl w:val="2"/>
          <w:numId w:val="6"/>
        </w:numPr>
        <w:spacing w:before="0" w:beforeAutospacing="0" w:after="60" w:afterAutospacing="0"/>
        <w:ind w:left="1843" w:hanging="284"/>
        <w:jc w:val="both"/>
        <w:rPr>
          <w:rFonts w:ascii="Arial" w:hAnsi="Arial" w:cs="Arial"/>
          <w:sz w:val="20"/>
          <w:szCs w:val="20"/>
          <w:lang w:val="es-ES"/>
        </w:rPr>
      </w:pPr>
      <w:r w:rsidRPr="00E81772">
        <w:rPr>
          <w:rFonts w:ascii="Arial" w:hAnsi="Arial" w:cs="Arial"/>
          <w:sz w:val="20"/>
          <w:szCs w:val="20"/>
          <w:lang w:val="es-ES_tradnl"/>
        </w:rPr>
        <w:t>número de solicitudes e ingresos procedentes de estas;</w:t>
      </w:r>
    </w:p>
    <w:p w:rsidR="00E81772" w:rsidRPr="00E81772" w:rsidRDefault="00E81772" w:rsidP="00E81772">
      <w:pPr>
        <w:spacing w:after="60"/>
        <w:ind w:left="1560" w:hanging="426"/>
        <w:rPr>
          <w:rFonts w:cs="Arial"/>
          <w:lang w:val="es-ES"/>
        </w:rPr>
      </w:pPr>
      <w:r w:rsidRPr="00E81772">
        <w:rPr>
          <w:rFonts w:cs="Arial"/>
          <w:lang w:val="es-ES"/>
        </w:rPr>
        <w:t>iii)</w:t>
      </w:r>
      <w:r w:rsidRPr="00E81772">
        <w:rPr>
          <w:rFonts w:cs="Arial"/>
          <w:lang w:val="es-ES"/>
        </w:rPr>
        <w:tab/>
      </w:r>
      <w:r w:rsidRPr="00E81772">
        <w:rPr>
          <w:rFonts w:cs="Arial"/>
        </w:rPr>
        <w:t>los obtentores nacionales y extranjeros, con inclusión de las pequeñas y medianas empresas (pymes);</w:t>
      </w:r>
    </w:p>
    <w:p w:rsidR="00E81772" w:rsidRPr="00E81772" w:rsidRDefault="00E81772" w:rsidP="00E81772">
      <w:pPr>
        <w:spacing w:after="60"/>
        <w:ind w:left="1560" w:hanging="426"/>
        <w:rPr>
          <w:rFonts w:cs="Arial"/>
          <w:lang w:val="es-ES"/>
        </w:rPr>
      </w:pPr>
      <w:r w:rsidRPr="00E81772">
        <w:rPr>
          <w:rFonts w:cs="Arial"/>
          <w:lang w:val="es-ES"/>
        </w:rPr>
        <w:t>iv)</w:t>
      </w:r>
      <w:r w:rsidRPr="00E81772">
        <w:rPr>
          <w:rFonts w:cs="Arial"/>
          <w:lang w:val="es-ES"/>
        </w:rPr>
        <w:tab/>
      </w:r>
      <w:r w:rsidRPr="00E81772">
        <w:rPr>
          <w:rFonts w:cs="Arial"/>
        </w:rPr>
        <w:t>los agricultores;</w:t>
      </w:r>
      <w:r w:rsidRPr="00E81772">
        <w:rPr>
          <w:rFonts w:cs="Arial"/>
          <w:lang w:val="es-ES"/>
        </w:rPr>
        <w:t xml:space="preserve">  </w:t>
      </w:r>
      <w:r w:rsidRPr="00E81772">
        <w:rPr>
          <w:rFonts w:cs="Arial"/>
        </w:rPr>
        <w:t>y</w:t>
      </w:r>
    </w:p>
    <w:p w:rsidR="00E81772" w:rsidRPr="00E81772" w:rsidRDefault="00E81772" w:rsidP="00E81772">
      <w:pPr>
        <w:spacing w:after="60"/>
        <w:ind w:left="1560" w:hanging="426"/>
        <w:rPr>
          <w:rFonts w:cs="Arial"/>
          <w:lang w:val="es-ES"/>
        </w:rPr>
      </w:pPr>
      <w:r w:rsidRPr="00E81772">
        <w:rPr>
          <w:rFonts w:cs="Arial"/>
          <w:lang w:val="es-ES"/>
        </w:rPr>
        <w:t>v)</w:t>
      </w:r>
      <w:r w:rsidRPr="00E81772">
        <w:rPr>
          <w:rFonts w:cs="Arial"/>
          <w:lang w:val="es-ES"/>
        </w:rPr>
        <w:tab/>
      </w:r>
      <w:r w:rsidRPr="00E81772">
        <w:rPr>
          <w:rFonts w:cs="Arial"/>
        </w:rPr>
        <w:t>la UPOV.</w:t>
      </w:r>
    </w:p>
    <w:p w:rsidR="00E81772" w:rsidRPr="00E81772" w:rsidRDefault="00E81772" w:rsidP="00E81772">
      <w:pPr>
        <w:rPr>
          <w:rFonts w:cs="Arial"/>
          <w:lang w:val="es-ES"/>
        </w:rPr>
      </w:pPr>
    </w:p>
    <w:p w:rsidR="00E81772" w:rsidRPr="00E81772" w:rsidRDefault="00E81772" w:rsidP="00E81772">
      <w:pPr>
        <w:pStyle w:val="Heading3"/>
        <w:rPr>
          <w:rFonts w:cs="Arial"/>
          <w:snapToGrid w:val="0"/>
        </w:rPr>
      </w:pPr>
      <w:bookmarkStart w:id="55" w:name="_Toc478721013"/>
      <w:r w:rsidRPr="00E81772">
        <w:rPr>
          <w:rFonts w:cs="Arial"/>
          <w:snapToGrid w:val="0"/>
          <w:lang w:val="es-ES_tradnl"/>
        </w:rPr>
        <w:t>Composición</w:t>
      </w:r>
      <w:bookmarkEnd w:id="55"/>
    </w:p>
    <w:p w:rsidR="00E81772" w:rsidRPr="00E81772" w:rsidRDefault="00E81772" w:rsidP="00E81772">
      <w:pPr>
        <w:rPr>
          <w:rFonts w:cs="Arial"/>
          <w:snapToGrid w:val="0"/>
        </w:rPr>
      </w:pPr>
    </w:p>
    <w:p w:rsidR="00E81772" w:rsidRPr="00E81772" w:rsidRDefault="00E81772" w:rsidP="00E81772">
      <w:pPr>
        <w:pStyle w:val="ListParagraph"/>
        <w:numPr>
          <w:ilvl w:val="0"/>
          <w:numId w:val="11"/>
        </w:numPr>
        <w:tabs>
          <w:tab w:val="clear" w:pos="349"/>
        </w:tabs>
        <w:spacing w:before="0" w:beforeAutospacing="0" w:after="0" w:afterAutospacing="0"/>
        <w:ind w:left="851" w:hanging="425"/>
        <w:jc w:val="both"/>
        <w:rPr>
          <w:rFonts w:ascii="Arial" w:hAnsi="Arial" w:cs="Arial"/>
          <w:snapToGrid w:val="0"/>
          <w:sz w:val="20"/>
          <w:szCs w:val="20"/>
          <w:lang w:val="es-ES"/>
        </w:rPr>
      </w:pPr>
      <w:r w:rsidRPr="00E81772">
        <w:rPr>
          <w:rFonts w:ascii="Arial" w:hAnsi="Arial" w:cs="Arial"/>
          <w:snapToGrid w:val="0"/>
          <w:sz w:val="20"/>
          <w:szCs w:val="20"/>
          <w:lang w:val="es-ES_tradnl"/>
        </w:rPr>
        <w:t>se compondrá de los siguientes miembros de la Unión:</w:t>
      </w:r>
    </w:p>
    <w:p w:rsidR="00E81772" w:rsidRPr="00E81772" w:rsidRDefault="00E81772" w:rsidP="00E81772">
      <w:pPr>
        <w:rPr>
          <w:rFonts w:cs="Arial"/>
          <w:snapToGrid w:val="0"/>
          <w:lang w:val="es-ES"/>
        </w:rPr>
      </w:pP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z w:val="20"/>
          <w:szCs w:val="20"/>
          <w:lang w:val="es-ES_tradnl"/>
        </w:rPr>
        <w:t>Bolivia (Estado Plurinacional de)</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z w:val="20"/>
          <w:szCs w:val="20"/>
          <w:lang w:val="es-ES_tradnl"/>
        </w:rPr>
        <w:t>Brasil</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napToGrid w:val="0"/>
          <w:sz w:val="20"/>
          <w:szCs w:val="20"/>
          <w:lang w:val="es-ES_tradnl"/>
        </w:rPr>
        <w:t>Canadá</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napToGrid w:val="0"/>
          <w:sz w:val="20"/>
          <w:szCs w:val="20"/>
          <w:lang w:val="es-ES_tradnl"/>
        </w:rPr>
        <w:t>Chile</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napToGrid w:val="0"/>
          <w:sz w:val="20"/>
          <w:szCs w:val="20"/>
          <w:lang w:val="es-ES_tradnl"/>
        </w:rPr>
        <w:t>Colombia</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napToGrid w:val="0"/>
          <w:sz w:val="20"/>
          <w:szCs w:val="20"/>
          <w:lang w:val="es-ES_tradnl"/>
        </w:rPr>
        <w:t>Ecuador</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napToGrid w:val="0"/>
          <w:sz w:val="20"/>
          <w:szCs w:val="20"/>
          <w:lang w:val="es-ES_tradnl"/>
        </w:rPr>
        <w:t>Estados Unidos de América</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napToGrid w:val="0"/>
          <w:sz w:val="20"/>
          <w:szCs w:val="20"/>
          <w:lang w:val="es-ES_tradnl"/>
        </w:rPr>
        <w:t>Japón</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rPr>
      </w:pPr>
      <w:r w:rsidRPr="00E81772">
        <w:rPr>
          <w:rFonts w:ascii="Arial" w:hAnsi="Arial" w:cs="Arial"/>
          <w:snapToGrid w:val="0"/>
          <w:sz w:val="20"/>
          <w:szCs w:val="20"/>
          <w:lang w:val="es-ES_tradnl"/>
        </w:rPr>
        <w:t>Noruega</w:t>
      </w:r>
    </w:p>
    <w:p w:rsidR="00E81772" w:rsidRPr="00E81772" w:rsidRDefault="00E81772" w:rsidP="00E81772">
      <w:pPr>
        <w:pStyle w:val="ListParagraph"/>
        <w:numPr>
          <w:ilvl w:val="0"/>
          <w:numId w:val="8"/>
        </w:numPr>
        <w:spacing w:before="0" w:beforeAutospacing="0" w:after="0" w:afterAutospacing="0"/>
        <w:ind w:left="1494"/>
        <w:jc w:val="both"/>
        <w:rPr>
          <w:rFonts w:ascii="Arial" w:hAnsi="Arial" w:cs="Arial"/>
          <w:sz w:val="20"/>
          <w:szCs w:val="20"/>
          <w:lang w:val="es-ES"/>
        </w:rPr>
      </w:pPr>
      <w:r w:rsidRPr="00E81772">
        <w:rPr>
          <w:rFonts w:ascii="Arial" w:hAnsi="Arial" w:cs="Arial"/>
          <w:snapToGrid w:val="0"/>
          <w:color w:val="000000"/>
          <w:sz w:val="20"/>
          <w:szCs w:val="20"/>
          <w:lang w:val="es-ES_tradnl"/>
        </w:rPr>
        <w:t>Unión Europea (Alemania, Comisión Europea, Estonia, Francia, Oficina Comunitaria de Variedades Vegetales (OCVV) de la Unión Europea, Países Bajos y Reino Unido)</w:t>
      </w:r>
    </w:p>
    <w:p w:rsidR="00E81772" w:rsidRPr="00E81772" w:rsidRDefault="00E81772" w:rsidP="00E81772">
      <w:pPr>
        <w:rPr>
          <w:rFonts w:cs="Arial"/>
          <w:snapToGrid w:val="0"/>
          <w:lang w:val="es-ES"/>
        </w:rPr>
      </w:pPr>
    </w:p>
    <w:p w:rsidR="00E81772" w:rsidRPr="00E81772" w:rsidRDefault="00E81772" w:rsidP="00E81772">
      <w:pPr>
        <w:pStyle w:val="ListParagraph"/>
        <w:numPr>
          <w:ilvl w:val="0"/>
          <w:numId w:val="11"/>
        </w:numPr>
        <w:tabs>
          <w:tab w:val="clear" w:pos="349"/>
        </w:tabs>
        <w:spacing w:before="0" w:beforeAutospacing="0" w:after="0" w:afterAutospacing="0"/>
        <w:ind w:left="851" w:hanging="425"/>
        <w:jc w:val="both"/>
        <w:rPr>
          <w:rFonts w:ascii="Arial" w:hAnsi="Arial" w:cs="Arial"/>
          <w:snapToGrid w:val="0"/>
          <w:sz w:val="20"/>
          <w:szCs w:val="20"/>
          <w:lang w:val="es-ES"/>
        </w:rPr>
      </w:pPr>
      <w:r w:rsidRPr="00E81772">
        <w:rPr>
          <w:rFonts w:ascii="Arial" w:hAnsi="Arial" w:cs="Arial"/>
          <w:snapToGrid w:val="0"/>
          <w:sz w:val="20"/>
          <w:szCs w:val="20"/>
          <w:lang w:val="es-ES_tradnl"/>
        </w:rPr>
        <w:t>cuando lo deseen, los demás miembros de la Unión tendrán la facultad de participar en las reuniones del WG</w:t>
      </w:r>
      <w:r w:rsidRPr="00E81772">
        <w:rPr>
          <w:rFonts w:ascii="Arial" w:hAnsi="Arial" w:cs="Arial"/>
          <w:snapToGrid w:val="0"/>
          <w:sz w:val="20"/>
          <w:szCs w:val="20"/>
          <w:lang w:val="es-ES_tradnl"/>
        </w:rPr>
        <w:noBreakHyphen/>
        <w:t>ISC y formular comentarios;</w:t>
      </w:r>
    </w:p>
    <w:p w:rsidR="00E81772" w:rsidRPr="00E81772" w:rsidRDefault="00E81772" w:rsidP="00E81772">
      <w:pPr>
        <w:rPr>
          <w:rFonts w:cs="Arial"/>
          <w:snapToGrid w:val="0"/>
          <w:lang w:val="es-ES"/>
        </w:rPr>
      </w:pPr>
    </w:p>
    <w:p w:rsidR="00E81772" w:rsidRPr="00E81772" w:rsidRDefault="00E81772" w:rsidP="00E81772">
      <w:pPr>
        <w:pStyle w:val="ListParagraph"/>
        <w:numPr>
          <w:ilvl w:val="0"/>
          <w:numId w:val="11"/>
        </w:numPr>
        <w:tabs>
          <w:tab w:val="clear" w:pos="349"/>
        </w:tabs>
        <w:spacing w:before="0" w:beforeAutospacing="0" w:after="0" w:afterAutospacing="0"/>
        <w:ind w:left="851" w:hanging="425"/>
        <w:jc w:val="both"/>
        <w:rPr>
          <w:rFonts w:ascii="Arial" w:hAnsi="Arial" w:cs="Arial"/>
          <w:snapToGrid w:val="0"/>
          <w:sz w:val="20"/>
          <w:szCs w:val="20"/>
          <w:lang w:val="es-ES"/>
        </w:rPr>
      </w:pPr>
      <w:r w:rsidRPr="00E81772">
        <w:rPr>
          <w:rFonts w:ascii="Arial" w:hAnsi="Arial" w:cs="Arial"/>
          <w:snapToGrid w:val="0"/>
          <w:sz w:val="20"/>
          <w:szCs w:val="20"/>
          <w:lang w:val="es-ES_tradnl"/>
        </w:rPr>
        <w:t>el WG</w:t>
      </w:r>
      <w:r w:rsidRPr="00E81772">
        <w:rPr>
          <w:rFonts w:ascii="Arial" w:hAnsi="Arial" w:cs="Arial"/>
          <w:snapToGrid w:val="0"/>
          <w:sz w:val="20"/>
          <w:szCs w:val="20"/>
          <w:lang w:val="es-ES_tradnl"/>
        </w:rPr>
        <w:noBreakHyphen/>
        <w:t>ISC estará limitado a los miembros de la Unión y, si recomienda que se invite a observadores o expertos a alguna de sus reuniones, el WG</w:t>
      </w:r>
      <w:r w:rsidRPr="00E81772">
        <w:rPr>
          <w:rFonts w:ascii="Arial" w:hAnsi="Arial" w:cs="Arial"/>
          <w:snapToGrid w:val="0"/>
          <w:sz w:val="20"/>
          <w:szCs w:val="20"/>
          <w:lang w:val="es-ES_tradnl"/>
        </w:rPr>
        <w:noBreakHyphen/>
        <w:t>ISC se remitirá al Comité Consultivo;</w:t>
      </w:r>
    </w:p>
    <w:p w:rsidR="00E81772" w:rsidRPr="00E81772" w:rsidRDefault="00E81772" w:rsidP="00E81772">
      <w:pPr>
        <w:rPr>
          <w:rFonts w:cs="Arial"/>
          <w:snapToGrid w:val="0"/>
          <w:lang w:val="es-ES"/>
        </w:rPr>
      </w:pPr>
    </w:p>
    <w:p w:rsidR="00E81772" w:rsidRPr="00E81772" w:rsidRDefault="00E81772" w:rsidP="00E81772">
      <w:pPr>
        <w:pStyle w:val="ListParagraph"/>
        <w:numPr>
          <w:ilvl w:val="0"/>
          <w:numId w:val="11"/>
        </w:numPr>
        <w:tabs>
          <w:tab w:val="clear" w:pos="349"/>
        </w:tabs>
        <w:spacing w:before="0" w:beforeAutospacing="0" w:after="0" w:afterAutospacing="0"/>
        <w:ind w:left="851" w:hanging="425"/>
        <w:jc w:val="both"/>
        <w:rPr>
          <w:rFonts w:ascii="Arial" w:hAnsi="Arial" w:cs="Arial"/>
          <w:snapToGrid w:val="0"/>
          <w:sz w:val="20"/>
          <w:szCs w:val="20"/>
          <w:lang w:val="es-ES"/>
        </w:rPr>
      </w:pPr>
      <w:r w:rsidRPr="00E81772">
        <w:rPr>
          <w:rFonts w:ascii="Arial" w:hAnsi="Arial" w:cs="Arial"/>
          <w:snapToGrid w:val="0"/>
          <w:sz w:val="20"/>
          <w:szCs w:val="20"/>
          <w:lang w:val="es-ES_tradnl"/>
        </w:rPr>
        <w:t>las reuniones serán presididas por el Secretario General Adjunto.</w:t>
      </w:r>
    </w:p>
    <w:p w:rsidR="00E81772" w:rsidRPr="00E81772" w:rsidRDefault="00E81772" w:rsidP="00E81772">
      <w:pPr>
        <w:rPr>
          <w:rFonts w:cs="Arial"/>
          <w:snapToGrid w:val="0"/>
          <w:lang w:val="es-ES"/>
        </w:rPr>
      </w:pPr>
    </w:p>
    <w:p w:rsidR="00E81772" w:rsidRPr="00E81772" w:rsidRDefault="00E81772" w:rsidP="00E81772">
      <w:pPr>
        <w:keepNext/>
        <w:rPr>
          <w:rFonts w:cs="Arial"/>
          <w:i/>
          <w:iCs/>
        </w:rPr>
      </w:pPr>
      <w:r w:rsidRPr="00E81772">
        <w:rPr>
          <w:rFonts w:cs="Arial"/>
        </w:rPr>
        <w:t>Modus operandi</w:t>
      </w:r>
    </w:p>
    <w:p w:rsidR="00E81772" w:rsidRPr="00E81772" w:rsidRDefault="00E81772" w:rsidP="00E81772">
      <w:pPr>
        <w:keepNext/>
        <w:rPr>
          <w:rFonts w:cs="Arial"/>
        </w:rPr>
      </w:pPr>
    </w:p>
    <w:p w:rsidR="00E81772" w:rsidRPr="00E81772" w:rsidRDefault="00E81772" w:rsidP="00E81772">
      <w:pPr>
        <w:pStyle w:val="ListParagraph"/>
        <w:numPr>
          <w:ilvl w:val="0"/>
          <w:numId w:val="12"/>
        </w:numPr>
        <w:tabs>
          <w:tab w:val="clear" w:pos="349"/>
        </w:tabs>
        <w:spacing w:before="0" w:beforeAutospacing="0" w:after="60" w:afterAutospacing="0"/>
        <w:ind w:left="851" w:hanging="425"/>
        <w:jc w:val="both"/>
        <w:rPr>
          <w:rFonts w:ascii="Arial" w:hAnsi="Arial" w:cs="Arial"/>
          <w:sz w:val="20"/>
          <w:szCs w:val="20"/>
          <w:lang w:val="es-ES"/>
        </w:rPr>
      </w:pPr>
      <w:r w:rsidRPr="00E81772">
        <w:rPr>
          <w:rFonts w:ascii="Arial" w:hAnsi="Arial" w:cs="Arial"/>
          <w:sz w:val="20"/>
          <w:szCs w:val="20"/>
          <w:lang w:val="es-ES_tradnl"/>
        </w:rPr>
        <w:t>Toda vez que sea posible, sus reuniones coincidirán con las sesiones del Comité Consultivo, en el período y con la frecuencia necesarios para responder a las solicitudes del Comité Consultivo;</w:t>
      </w:r>
    </w:p>
    <w:p w:rsidR="00E81772" w:rsidRPr="00E81772" w:rsidRDefault="00E81772" w:rsidP="00E81772">
      <w:pPr>
        <w:pStyle w:val="ListParagraph"/>
        <w:numPr>
          <w:ilvl w:val="0"/>
          <w:numId w:val="12"/>
        </w:numPr>
        <w:tabs>
          <w:tab w:val="clear" w:pos="349"/>
        </w:tabs>
        <w:spacing w:before="0" w:beforeAutospacing="0" w:after="60" w:afterAutospacing="0"/>
        <w:ind w:left="851" w:hanging="425"/>
        <w:jc w:val="both"/>
        <w:rPr>
          <w:rFonts w:ascii="Arial" w:hAnsi="Arial" w:cs="Arial"/>
          <w:sz w:val="20"/>
          <w:szCs w:val="20"/>
          <w:lang w:val="es-ES"/>
        </w:rPr>
      </w:pPr>
      <w:r w:rsidRPr="00E81772">
        <w:rPr>
          <w:rFonts w:ascii="Arial" w:hAnsi="Arial" w:cs="Arial"/>
          <w:sz w:val="20"/>
          <w:szCs w:val="20"/>
          <w:lang w:val="es-ES_tradnl"/>
        </w:rPr>
        <w:t>primeramente se elaborará un documento en el que se expondrán, conforme a la estructura siguiente, las cuestiones que han de examinarse:</w:t>
      </w:r>
    </w:p>
    <w:p w:rsidR="00E81772" w:rsidRPr="00E81772" w:rsidRDefault="00E81772" w:rsidP="00E81772">
      <w:pPr>
        <w:pStyle w:val="ListParagraph"/>
        <w:numPr>
          <w:ilvl w:val="1"/>
          <w:numId w:val="7"/>
        </w:numPr>
        <w:tabs>
          <w:tab w:val="clear" w:pos="0"/>
        </w:tabs>
        <w:spacing w:before="0" w:beforeAutospacing="0" w:after="60" w:afterAutospacing="0"/>
        <w:ind w:left="1701" w:hanging="567"/>
        <w:jc w:val="both"/>
        <w:rPr>
          <w:rFonts w:ascii="Arial" w:hAnsi="Arial" w:cs="Arial"/>
          <w:sz w:val="20"/>
          <w:szCs w:val="20"/>
        </w:rPr>
      </w:pPr>
      <w:r w:rsidRPr="00E81772">
        <w:rPr>
          <w:rFonts w:ascii="Arial" w:hAnsi="Arial" w:cs="Arial"/>
          <w:sz w:val="20"/>
          <w:szCs w:val="20"/>
          <w:lang w:val="es-ES_tradnl"/>
        </w:rPr>
        <w:t>Sistema internacional de administración</w:t>
      </w:r>
    </w:p>
    <w:p w:rsidR="00E81772" w:rsidRPr="00E81772" w:rsidRDefault="00E81772" w:rsidP="00E81772">
      <w:pPr>
        <w:pStyle w:val="ListParagraph"/>
        <w:numPr>
          <w:ilvl w:val="1"/>
          <w:numId w:val="7"/>
        </w:numPr>
        <w:tabs>
          <w:tab w:val="clear" w:pos="0"/>
        </w:tabs>
        <w:spacing w:before="0" w:beforeAutospacing="0" w:after="60" w:afterAutospacing="0"/>
        <w:ind w:left="1701" w:hanging="567"/>
        <w:jc w:val="both"/>
        <w:rPr>
          <w:rFonts w:ascii="Arial" w:hAnsi="Arial" w:cs="Arial"/>
          <w:sz w:val="20"/>
          <w:szCs w:val="20"/>
          <w:lang w:val="es-ES"/>
        </w:rPr>
      </w:pPr>
      <w:r w:rsidRPr="00E81772">
        <w:rPr>
          <w:rFonts w:ascii="Arial" w:hAnsi="Arial" w:cs="Arial"/>
          <w:sz w:val="20"/>
          <w:szCs w:val="20"/>
          <w:lang w:val="es-ES_tradnl"/>
        </w:rPr>
        <w:t>Observación preliminar de la novedad y la denominación</w:t>
      </w:r>
    </w:p>
    <w:p w:rsidR="00E81772" w:rsidRPr="00E81772" w:rsidRDefault="00E81772" w:rsidP="00E81772">
      <w:pPr>
        <w:pStyle w:val="ListParagraph"/>
        <w:numPr>
          <w:ilvl w:val="1"/>
          <w:numId w:val="7"/>
        </w:numPr>
        <w:tabs>
          <w:tab w:val="clear" w:pos="0"/>
        </w:tabs>
        <w:spacing w:before="0" w:beforeAutospacing="0" w:after="60" w:afterAutospacing="0"/>
        <w:ind w:left="1701" w:hanging="567"/>
        <w:jc w:val="both"/>
        <w:rPr>
          <w:rFonts w:ascii="Arial" w:hAnsi="Arial" w:cs="Arial"/>
          <w:sz w:val="20"/>
          <w:szCs w:val="20"/>
        </w:rPr>
      </w:pPr>
      <w:r w:rsidRPr="00E81772">
        <w:rPr>
          <w:rFonts w:ascii="Arial" w:hAnsi="Arial" w:cs="Arial"/>
          <w:sz w:val="20"/>
          <w:szCs w:val="20"/>
          <w:lang w:val="es-ES_tradnl"/>
        </w:rPr>
        <w:lastRenderedPageBreak/>
        <w:t>Examen DHE</w:t>
      </w:r>
    </w:p>
    <w:p w:rsidR="00E81772" w:rsidRPr="00E81772" w:rsidRDefault="00E81772" w:rsidP="00E81772">
      <w:pPr>
        <w:pStyle w:val="ListParagraph"/>
        <w:numPr>
          <w:ilvl w:val="1"/>
          <w:numId w:val="7"/>
        </w:numPr>
        <w:tabs>
          <w:tab w:val="clear" w:pos="0"/>
        </w:tabs>
        <w:spacing w:before="0" w:beforeAutospacing="0" w:after="60" w:afterAutospacing="0"/>
        <w:ind w:left="1701" w:hanging="567"/>
        <w:jc w:val="both"/>
        <w:rPr>
          <w:rFonts w:ascii="Arial" w:hAnsi="Arial" w:cs="Arial"/>
          <w:sz w:val="20"/>
          <w:szCs w:val="20"/>
          <w:lang w:val="es-ES"/>
        </w:rPr>
      </w:pPr>
      <w:r w:rsidRPr="00E81772">
        <w:rPr>
          <w:rFonts w:ascii="Arial" w:hAnsi="Arial" w:cs="Arial"/>
          <w:sz w:val="20"/>
          <w:szCs w:val="20"/>
          <w:lang w:val="es-ES_tradnl"/>
        </w:rPr>
        <w:t>Examen por los miembros de la Unión que utilizan el ISC</w:t>
      </w:r>
    </w:p>
    <w:p w:rsidR="00E81772" w:rsidRPr="00E81772" w:rsidRDefault="00E81772" w:rsidP="00E81772">
      <w:pPr>
        <w:pStyle w:val="ListParagraph"/>
        <w:numPr>
          <w:ilvl w:val="0"/>
          <w:numId w:val="12"/>
        </w:numPr>
        <w:tabs>
          <w:tab w:val="clear" w:pos="349"/>
        </w:tabs>
        <w:spacing w:before="0" w:beforeAutospacing="0" w:after="60" w:afterAutospacing="0"/>
        <w:ind w:left="851" w:hanging="425"/>
        <w:jc w:val="both"/>
        <w:rPr>
          <w:rFonts w:ascii="Arial" w:hAnsi="Arial" w:cs="Arial"/>
          <w:sz w:val="20"/>
          <w:szCs w:val="20"/>
          <w:lang w:val="es-ES"/>
        </w:rPr>
      </w:pPr>
      <w:r w:rsidRPr="00E81772">
        <w:rPr>
          <w:rFonts w:ascii="Arial" w:hAnsi="Arial" w:cs="Arial"/>
          <w:sz w:val="20"/>
          <w:szCs w:val="20"/>
          <w:lang w:val="es-ES_tradnl"/>
        </w:rPr>
        <w:t>elaborar un documento que contenga propuestas, análisis e informaciones con arreglo al propósito expuesto más arriba, que se someterán al examen del Comité Consultivo según el calendario que aquél establezca;</w:t>
      </w:r>
    </w:p>
    <w:p w:rsidR="00E81772" w:rsidRPr="00E81772" w:rsidRDefault="00E81772" w:rsidP="00E81772">
      <w:pPr>
        <w:pStyle w:val="ListParagraph"/>
        <w:numPr>
          <w:ilvl w:val="0"/>
          <w:numId w:val="12"/>
        </w:numPr>
        <w:tabs>
          <w:tab w:val="clear" w:pos="349"/>
        </w:tabs>
        <w:spacing w:before="0" w:beforeAutospacing="0" w:after="60" w:afterAutospacing="0"/>
        <w:ind w:left="851" w:hanging="425"/>
        <w:jc w:val="both"/>
        <w:rPr>
          <w:rFonts w:ascii="Arial" w:hAnsi="Arial" w:cs="Arial"/>
          <w:sz w:val="20"/>
          <w:szCs w:val="20"/>
          <w:lang w:val="es-ES"/>
        </w:rPr>
      </w:pPr>
      <w:r w:rsidRPr="00E81772">
        <w:rPr>
          <w:rFonts w:ascii="Arial" w:hAnsi="Arial" w:cs="Arial"/>
          <w:sz w:val="20"/>
          <w:szCs w:val="20"/>
          <w:lang w:val="es-ES_tradnl"/>
        </w:rPr>
        <w:t>después de cada reunión del WG</w:t>
      </w:r>
      <w:r w:rsidRPr="00E81772">
        <w:rPr>
          <w:rFonts w:ascii="Arial" w:hAnsi="Arial" w:cs="Arial"/>
          <w:sz w:val="20"/>
          <w:szCs w:val="20"/>
          <w:lang w:val="es-ES_tradnl"/>
        </w:rPr>
        <w:noBreakHyphen/>
        <w:t>ISC, se informará de los avances al Comité Consultivo;</w:t>
      </w:r>
    </w:p>
    <w:p w:rsidR="00E81772" w:rsidRPr="00E81772" w:rsidRDefault="00E81772" w:rsidP="00E81772">
      <w:pPr>
        <w:pStyle w:val="ListParagraph"/>
        <w:numPr>
          <w:ilvl w:val="0"/>
          <w:numId w:val="12"/>
        </w:numPr>
        <w:tabs>
          <w:tab w:val="clear" w:pos="349"/>
        </w:tabs>
        <w:spacing w:before="0" w:beforeAutospacing="0" w:after="60" w:afterAutospacing="0"/>
        <w:ind w:left="851" w:hanging="425"/>
        <w:jc w:val="both"/>
        <w:rPr>
          <w:rFonts w:ascii="Arial" w:hAnsi="Arial" w:cs="Arial"/>
          <w:sz w:val="20"/>
          <w:szCs w:val="20"/>
          <w:lang w:val="es-ES"/>
        </w:rPr>
      </w:pPr>
      <w:r w:rsidRPr="00E81772">
        <w:rPr>
          <w:rFonts w:ascii="Arial" w:hAnsi="Arial" w:cs="Arial"/>
          <w:sz w:val="20"/>
          <w:szCs w:val="20"/>
          <w:lang w:val="es-ES_tradnl"/>
        </w:rPr>
        <w:t>los documentos del WG</w:t>
      </w:r>
      <w:r w:rsidRPr="00E81772">
        <w:rPr>
          <w:rFonts w:ascii="Arial" w:hAnsi="Arial" w:cs="Arial"/>
          <w:sz w:val="20"/>
          <w:szCs w:val="20"/>
          <w:lang w:val="es-ES_tradnl"/>
        </w:rPr>
        <w:noBreakHyphen/>
        <w:t>ISC se pondrán a disposición del Comité Consultivo.</w:t>
      </w:r>
    </w:p>
    <w:p w:rsidR="00E81772" w:rsidRPr="00E81772" w:rsidRDefault="00E81772" w:rsidP="00E81772">
      <w:pPr>
        <w:rPr>
          <w:rFonts w:cs="Arial"/>
          <w:lang w:val="es-ES"/>
        </w:rPr>
      </w:pPr>
    </w:p>
    <w:p w:rsidR="00D06409" w:rsidRPr="00E81772" w:rsidRDefault="00E81772" w:rsidP="00E81772">
      <w:pPr>
        <w:rPr>
          <w:rFonts w:cs="Arial"/>
        </w:rPr>
      </w:pPr>
      <w:r w:rsidRPr="00E81772">
        <w:rPr>
          <w:rFonts w:cs="Arial"/>
        </w:rPr>
        <w:fldChar w:fldCharType="begin"/>
      </w:r>
      <w:r w:rsidRPr="00E81772">
        <w:rPr>
          <w:rFonts w:cs="Arial"/>
          <w:lang w:val="es-ES"/>
        </w:rPr>
        <w:instrText xml:space="preserve"> AUTONUM  </w:instrText>
      </w:r>
      <w:r w:rsidRPr="00E81772">
        <w:rPr>
          <w:rFonts w:cs="Arial"/>
        </w:rPr>
        <w:fldChar w:fldCharType="end"/>
      </w:r>
      <w:r w:rsidRPr="00E81772">
        <w:rPr>
          <w:rFonts w:cs="Arial"/>
          <w:lang w:val="es-ES"/>
        </w:rPr>
        <w:tab/>
      </w:r>
      <w:r w:rsidRPr="00E81772">
        <w:rPr>
          <w:rFonts w:cs="Arial"/>
        </w:rPr>
        <w:t>El Comité Consultivo aprobó que se celebre una reunión del WG</w:t>
      </w:r>
      <w:r w:rsidRPr="00E81772">
        <w:rPr>
          <w:rFonts w:cs="Arial"/>
        </w:rPr>
        <w:noBreakHyphen/>
        <w:t>ISC inmediatamente después de la nonagésima segunda sesión del Comité Consultivo</w:t>
      </w:r>
      <w:r w:rsidR="00627CA6">
        <w:rPr>
          <w:rFonts w:cs="Arial"/>
        </w:rPr>
        <w:t>.</w:t>
      </w:r>
    </w:p>
    <w:p w:rsidR="00D06409" w:rsidRDefault="00D06409" w:rsidP="00673AC1"/>
    <w:p w:rsidR="001B5337" w:rsidRPr="00DB66B3" w:rsidRDefault="001B5337" w:rsidP="00673AC1"/>
    <w:p w:rsidR="00673AC1" w:rsidRPr="00DB66B3" w:rsidRDefault="00673AC1" w:rsidP="00673AC1">
      <w:pPr>
        <w:pStyle w:val="Heading1"/>
        <w:rPr>
          <w:lang w:val="es-ES_tradnl"/>
        </w:rPr>
      </w:pPr>
      <w:bookmarkStart w:id="56" w:name="_Toc443988425"/>
      <w:bookmarkStart w:id="57" w:name="_Toc478721014"/>
      <w:bookmarkEnd w:id="52"/>
      <w:r w:rsidRPr="00DB66B3">
        <w:rPr>
          <w:lang w:val="es-ES_tradnl"/>
        </w:rPr>
        <w:t>Aplicación del Tratado Internacional sobre los Recursos Fitogenéticos para la Alimentación y la Agricultura</w:t>
      </w:r>
      <w:bookmarkEnd w:id="56"/>
      <w:r w:rsidRPr="00DB66B3">
        <w:rPr>
          <w:lang w:val="es-ES_tradnl"/>
        </w:rPr>
        <w:t xml:space="preserve"> (ITPGRFA)</w:t>
      </w:r>
      <w:bookmarkEnd w:id="57"/>
    </w:p>
    <w:p w:rsidR="00673AC1" w:rsidRPr="00DB66B3" w:rsidRDefault="00673AC1" w:rsidP="00673AC1"/>
    <w:p w:rsidR="00DF56AB" w:rsidRPr="00DF56AB" w:rsidRDefault="00DF56AB" w:rsidP="00DF56AB">
      <w:pPr>
        <w:rPr>
          <w:rFonts w:cs="Arial"/>
          <w:lang w:val="es-ES"/>
        </w:rPr>
      </w:pPr>
      <w:r w:rsidRPr="00DF56AB">
        <w:rPr>
          <w:rFonts w:cs="Arial"/>
        </w:rPr>
        <w:fldChar w:fldCharType="begin"/>
      </w:r>
      <w:r w:rsidRPr="00DF56AB">
        <w:rPr>
          <w:rFonts w:cs="Arial"/>
          <w:lang w:val="es-ES"/>
        </w:rPr>
        <w:instrText xml:space="preserve"> AUTONUM  </w:instrText>
      </w:r>
      <w:r w:rsidRPr="00DF56AB">
        <w:rPr>
          <w:rFonts w:cs="Arial"/>
        </w:rPr>
        <w:fldChar w:fldCharType="end"/>
      </w:r>
      <w:r w:rsidRPr="00DF56AB">
        <w:rPr>
          <w:rFonts w:cs="Arial"/>
          <w:lang w:val="es-ES"/>
        </w:rPr>
        <w:tab/>
      </w:r>
      <w:r w:rsidRPr="00DF56AB">
        <w:rPr>
          <w:rFonts w:cs="Arial"/>
        </w:rPr>
        <w:t>El Comité Consultivo escuchó un informe verbal del Sr. Raimundo Lavignolle, Vicepresidente del Consejo, acerca del Simposio sobre la posible interrelación entre el ITPGRFA y el Convenio de la UPOV, que se celebró en la sede de la UPOV, en Ginebra, el 26 de octubre de 2016.</w:t>
      </w:r>
      <w:r w:rsidRPr="00DF56AB">
        <w:rPr>
          <w:rFonts w:cs="Arial"/>
          <w:lang w:val="es-ES"/>
        </w:rPr>
        <w:t xml:space="preserve">  </w:t>
      </w:r>
      <w:r w:rsidRPr="00DF56AB">
        <w:rPr>
          <w:rFonts w:cs="Arial"/>
        </w:rPr>
        <w:t xml:space="preserve">El Comité Consultivo tomó nota de que el Simposio contó con 147 participantes y fue inaugurado por el Sr. Francis </w:t>
      </w:r>
      <w:proofErr w:type="spellStart"/>
      <w:r w:rsidRPr="00DF56AB">
        <w:rPr>
          <w:rFonts w:cs="Arial"/>
        </w:rPr>
        <w:t>Gurry</w:t>
      </w:r>
      <w:proofErr w:type="spellEnd"/>
      <w:r w:rsidRPr="00DF56AB">
        <w:rPr>
          <w:rFonts w:cs="Arial"/>
        </w:rPr>
        <w:t xml:space="preserve">, Secretario General de la UPOV, y el Sr. Kent </w:t>
      </w:r>
      <w:proofErr w:type="spellStart"/>
      <w:r w:rsidRPr="00DF56AB">
        <w:rPr>
          <w:rFonts w:cs="Arial"/>
        </w:rPr>
        <w:t>Nnadozie</w:t>
      </w:r>
      <w:proofErr w:type="spellEnd"/>
      <w:r w:rsidRPr="00DF56AB">
        <w:rPr>
          <w:rFonts w:cs="Arial"/>
        </w:rPr>
        <w:t>, Secretario interino del ITPGRFA.</w:t>
      </w:r>
    </w:p>
    <w:p w:rsidR="00DF56AB" w:rsidRPr="00DF56AB" w:rsidRDefault="00DF56AB" w:rsidP="00DF56AB">
      <w:pPr>
        <w:rPr>
          <w:rFonts w:cs="Arial"/>
          <w:lang w:val="es-ES"/>
        </w:rPr>
      </w:pPr>
    </w:p>
    <w:p w:rsidR="00DF56AB" w:rsidRPr="00DF56AB" w:rsidRDefault="00DF56AB" w:rsidP="00DF56AB">
      <w:pPr>
        <w:rPr>
          <w:rFonts w:cs="Arial"/>
          <w:lang w:val="es-ES"/>
        </w:rPr>
      </w:pPr>
      <w:r w:rsidRPr="00DF56AB">
        <w:rPr>
          <w:rFonts w:cs="Arial"/>
        </w:rPr>
        <w:fldChar w:fldCharType="begin"/>
      </w:r>
      <w:r w:rsidRPr="00DF56AB">
        <w:rPr>
          <w:rFonts w:cs="Arial"/>
          <w:lang w:val="es-ES"/>
        </w:rPr>
        <w:instrText xml:space="preserve"> AUTONUM  </w:instrText>
      </w:r>
      <w:r w:rsidRPr="00DF56AB">
        <w:rPr>
          <w:rFonts w:cs="Arial"/>
        </w:rPr>
        <w:fldChar w:fldCharType="end"/>
      </w:r>
      <w:r w:rsidRPr="00DF56AB">
        <w:rPr>
          <w:rFonts w:cs="Arial"/>
          <w:lang w:val="es-ES"/>
        </w:rPr>
        <w:tab/>
      </w:r>
      <w:r w:rsidRPr="00DF56AB">
        <w:rPr>
          <w:rFonts w:cs="Arial"/>
        </w:rPr>
        <w:t xml:space="preserve">En sus observaciones de clausura, los </w:t>
      </w:r>
      <w:proofErr w:type="spellStart"/>
      <w:r w:rsidRPr="00DF56AB">
        <w:rPr>
          <w:rFonts w:cs="Arial"/>
        </w:rPr>
        <w:t>comoderadores</w:t>
      </w:r>
      <w:proofErr w:type="spellEnd"/>
      <w:r w:rsidRPr="00DF56AB">
        <w:rPr>
          <w:rFonts w:cs="Arial"/>
        </w:rPr>
        <w:t xml:space="preserve"> (el Sr. </w:t>
      </w:r>
      <w:proofErr w:type="spellStart"/>
      <w:r w:rsidRPr="00DF56AB">
        <w:rPr>
          <w:rFonts w:cs="Arial"/>
        </w:rPr>
        <w:t>Muhamad</w:t>
      </w:r>
      <w:proofErr w:type="spellEnd"/>
      <w:r w:rsidRPr="00DF56AB">
        <w:rPr>
          <w:rFonts w:cs="Arial"/>
        </w:rPr>
        <w:t xml:space="preserve"> </w:t>
      </w:r>
      <w:proofErr w:type="spellStart"/>
      <w:r w:rsidRPr="00DF56AB">
        <w:rPr>
          <w:rFonts w:cs="Arial"/>
        </w:rPr>
        <w:t>Sabran</w:t>
      </w:r>
      <w:proofErr w:type="spellEnd"/>
      <w:r w:rsidRPr="00DF56AB">
        <w:rPr>
          <w:rFonts w:cs="Arial"/>
        </w:rPr>
        <w:t>, Presidente de la séptima reunión del Órgano Rector del ITPGRFA, y el Sr. Raimundo Lavignolle, Vicepresidente del Consejo de la UPOV), formularon las siguientes conclusiones:</w:t>
      </w:r>
    </w:p>
    <w:p w:rsidR="00DF56AB" w:rsidRPr="00DF56AB" w:rsidRDefault="00DF56AB" w:rsidP="00DF56AB">
      <w:pPr>
        <w:rPr>
          <w:rFonts w:cs="Arial"/>
          <w:lang w:val="es-ES"/>
        </w:rPr>
      </w:pPr>
    </w:p>
    <w:p w:rsidR="00DF56AB" w:rsidRPr="00DF56AB" w:rsidRDefault="00DF56AB" w:rsidP="00DF56AB">
      <w:pPr>
        <w:pStyle w:val="ListParagraph"/>
        <w:keepNext/>
        <w:numPr>
          <w:ilvl w:val="0"/>
          <w:numId w:val="13"/>
        </w:numPr>
        <w:spacing w:before="0" w:beforeAutospacing="0" w:after="0" w:afterAutospacing="0"/>
        <w:jc w:val="both"/>
        <w:rPr>
          <w:rFonts w:ascii="Arial" w:hAnsi="Arial" w:cs="Arial"/>
          <w:sz w:val="20"/>
          <w:szCs w:val="20"/>
          <w:lang w:val="es-ES"/>
        </w:rPr>
      </w:pPr>
      <w:r w:rsidRPr="00DF56AB">
        <w:rPr>
          <w:rFonts w:ascii="Arial" w:hAnsi="Arial" w:cs="Arial"/>
          <w:sz w:val="20"/>
          <w:szCs w:val="20"/>
          <w:lang w:val="es-ES_tradnl"/>
        </w:rPr>
        <w:t>Hemos visto cuáles son los objetivos y las ventajas de ambos tratados (el Convenio de la UPOV y el ITPGRFA);</w:t>
      </w:r>
    </w:p>
    <w:p w:rsidR="00DF56AB" w:rsidRPr="00DF56AB" w:rsidRDefault="00DF56AB" w:rsidP="00DF56AB">
      <w:pPr>
        <w:pStyle w:val="ListParagraph"/>
        <w:numPr>
          <w:ilvl w:val="0"/>
          <w:numId w:val="13"/>
        </w:numPr>
        <w:spacing w:before="0" w:beforeAutospacing="0" w:after="0" w:afterAutospacing="0"/>
        <w:jc w:val="both"/>
        <w:rPr>
          <w:rFonts w:ascii="Arial" w:hAnsi="Arial" w:cs="Arial"/>
          <w:sz w:val="20"/>
          <w:szCs w:val="20"/>
          <w:lang w:val="es-ES"/>
        </w:rPr>
      </w:pPr>
      <w:r w:rsidRPr="00DF56AB">
        <w:rPr>
          <w:rFonts w:ascii="Arial" w:hAnsi="Arial" w:cs="Arial"/>
          <w:sz w:val="20"/>
          <w:szCs w:val="20"/>
          <w:lang w:val="es-ES_tradnl"/>
        </w:rPr>
        <w:t>Es importante que los dos tratados se interpreten y apliquen de tal manera que se complementen entre sí en el contexto de cada Parte Contratante;</w:t>
      </w:r>
    </w:p>
    <w:p w:rsidR="00DF56AB" w:rsidRPr="00DF56AB" w:rsidRDefault="00DF56AB" w:rsidP="00DF56AB">
      <w:pPr>
        <w:pStyle w:val="ListParagraph"/>
        <w:numPr>
          <w:ilvl w:val="0"/>
          <w:numId w:val="13"/>
        </w:numPr>
        <w:spacing w:before="0" w:beforeAutospacing="0" w:after="0" w:afterAutospacing="0"/>
        <w:jc w:val="both"/>
        <w:rPr>
          <w:rFonts w:ascii="Arial" w:hAnsi="Arial" w:cs="Arial"/>
          <w:sz w:val="20"/>
          <w:szCs w:val="20"/>
          <w:lang w:val="es-ES"/>
        </w:rPr>
      </w:pPr>
      <w:r w:rsidRPr="00DF56AB">
        <w:rPr>
          <w:rFonts w:ascii="Arial" w:hAnsi="Arial" w:cs="Arial"/>
          <w:sz w:val="20"/>
          <w:szCs w:val="20"/>
          <w:lang w:val="es-ES_tradnl"/>
        </w:rPr>
        <w:t>Para poder alcanzar estos objetivos, es importante que las dos organizaciones trabajen conjuntamente y se brinden el apoyo necesario;</w:t>
      </w:r>
    </w:p>
    <w:p w:rsidR="00DF56AB" w:rsidRPr="00DF56AB" w:rsidRDefault="00DF56AB" w:rsidP="00DF56AB">
      <w:pPr>
        <w:pStyle w:val="ListParagraph"/>
        <w:numPr>
          <w:ilvl w:val="0"/>
          <w:numId w:val="13"/>
        </w:numPr>
        <w:spacing w:before="0" w:beforeAutospacing="0" w:after="0" w:afterAutospacing="0"/>
        <w:jc w:val="both"/>
        <w:rPr>
          <w:rFonts w:ascii="Arial" w:hAnsi="Arial" w:cs="Arial"/>
          <w:sz w:val="20"/>
          <w:szCs w:val="20"/>
          <w:lang w:val="es-ES"/>
        </w:rPr>
      </w:pPr>
      <w:r w:rsidRPr="00DF56AB">
        <w:rPr>
          <w:rFonts w:ascii="Arial" w:hAnsi="Arial" w:cs="Arial"/>
          <w:sz w:val="20"/>
          <w:szCs w:val="20"/>
          <w:lang w:val="es-ES_tradnl"/>
        </w:rPr>
        <w:t>Como se ha recalcado en el Simposio, es necesario que todas las partes interesadas se impliquen en este proceso.</w:t>
      </w:r>
    </w:p>
    <w:p w:rsidR="00DF56AB" w:rsidRPr="00DF56AB" w:rsidRDefault="00DF56AB" w:rsidP="00DF56AB">
      <w:pPr>
        <w:rPr>
          <w:rFonts w:cs="Arial"/>
          <w:lang w:val="es-ES"/>
        </w:rPr>
      </w:pPr>
    </w:p>
    <w:p w:rsidR="00DF56AB" w:rsidRPr="00DF56AB" w:rsidRDefault="00DF56AB" w:rsidP="00DF56AB">
      <w:pPr>
        <w:rPr>
          <w:rFonts w:cs="Arial"/>
          <w:lang w:val="es-ES"/>
        </w:rPr>
      </w:pPr>
      <w:r w:rsidRPr="00DF56AB">
        <w:rPr>
          <w:rFonts w:cs="Arial"/>
        </w:rPr>
        <w:fldChar w:fldCharType="begin"/>
      </w:r>
      <w:r w:rsidRPr="00DF56AB">
        <w:rPr>
          <w:rFonts w:cs="Arial"/>
          <w:lang w:val="es-ES"/>
        </w:rPr>
        <w:instrText xml:space="preserve"> AUTONUM  </w:instrText>
      </w:r>
      <w:r w:rsidRPr="00DF56AB">
        <w:rPr>
          <w:rFonts w:cs="Arial"/>
        </w:rPr>
        <w:fldChar w:fldCharType="end"/>
      </w:r>
      <w:r w:rsidRPr="00DF56AB">
        <w:rPr>
          <w:rFonts w:cs="Arial"/>
          <w:lang w:val="es-ES"/>
        </w:rPr>
        <w:tab/>
      </w:r>
      <w:r w:rsidRPr="00DF56AB">
        <w:rPr>
          <w:rFonts w:cs="Arial"/>
        </w:rPr>
        <w:t>El Comité Consultivo convino en que se invite a los miembros de la Unión y a los observadores a formular sugerencias sobre cualquier otra medida que pueda adoptarse respecto de la interrelación entre el ITPGRFA y el Convenio de la UPOV, a fin de que el Comité Consultivo las examine en su nonagésima tercera sesión.</w:t>
      </w:r>
    </w:p>
    <w:p w:rsidR="00DF56AB" w:rsidRPr="00DF56AB" w:rsidRDefault="00DF56AB" w:rsidP="00DF56AB">
      <w:pPr>
        <w:rPr>
          <w:rFonts w:cs="Arial"/>
          <w:lang w:val="es-ES"/>
        </w:rPr>
      </w:pPr>
    </w:p>
    <w:p w:rsidR="00DF56AB" w:rsidRPr="00DF56AB" w:rsidRDefault="00DF56AB" w:rsidP="00DF56AB">
      <w:pPr>
        <w:rPr>
          <w:rFonts w:cs="Arial"/>
          <w:lang w:val="es-ES"/>
        </w:rPr>
      </w:pPr>
      <w:r w:rsidRPr="00DF56AB">
        <w:rPr>
          <w:rFonts w:cs="Arial"/>
        </w:rPr>
        <w:fldChar w:fldCharType="begin"/>
      </w:r>
      <w:r w:rsidRPr="00DF56AB">
        <w:rPr>
          <w:rFonts w:cs="Arial"/>
          <w:lang w:val="es-ES"/>
        </w:rPr>
        <w:instrText xml:space="preserve"> AUTONUM  </w:instrText>
      </w:r>
      <w:r w:rsidRPr="00DF56AB">
        <w:rPr>
          <w:rFonts w:cs="Arial"/>
        </w:rPr>
        <w:fldChar w:fldCharType="end"/>
      </w:r>
      <w:r w:rsidRPr="00DF56AB">
        <w:rPr>
          <w:rFonts w:cs="Arial"/>
          <w:lang w:val="es-ES"/>
        </w:rPr>
        <w:tab/>
      </w:r>
      <w:r w:rsidRPr="00DF56AB">
        <w:rPr>
          <w:rFonts w:cs="Arial"/>
        </w:rPr>
        <w:t>El Comité Consultivo tomó nota de las novedades relativas a la Plataforma del ITPGRFA para el desarrollo conjunto y la transferencia de tecnología.</w:t>
      </w:r>
    </w:p>
    <w:p w:rsidR="00673AC1" w:rsidRDefault="00673AC1" w:rsidP="00673AC1"/>
    <w:p w:rsidR="000D08A6" w:rsidRPr="00DB66B3" w:rsidRDefault="000D08A6" w:rsidP="00673AC1"/>
    <w:p w:rsidR="00673AC1" w:rsidRPr="00580088" w:rsidRDefault="00DF56AB" w:rsidP="00DF56AB">
      <w:pPr>
        <w:pStyle w:val="Heading1"/>
        <w:rPr>
          <w:rFonts w:cs="Arial"/>
          <w:snapToGrid w:val="0"/>
          <w:lang w:val="es-ES"/>
        </w:rPr>
      </w:pPr>
      <w:bookmarkStart w:id="58" w:name="_Toc478721015"/>
      <w:r w:rsidRPr="009D0DE6">
        <w:rPr>
          <w:lang w:val="es-ES"/>
        </w:rPr>
        <w:t>Seminario sobre el material de reproducción o de multiplicación vegetativa y el producto de la cosecha</w:t>
      </w:r>
      <w:bookmarkEnd w:id="58"/>
    </w:p>
    <w:p w:rsidR="00673AC1" w:rsidRDefault="00673AC1" w:rsidP="00673AC1">
      <w:pPr>
        <w:rPr>
          <w:rFonts w:cs="Arial"/>
          <w:snapToGrid w:val="0"/>
        </w:rPr>
      </w:pPr>
    </w:p>
    <w:p w:rsidR="00DF56AB" w:rsidRPr="00DF56AB" w:rsidRDefault="005652B8" w:rsidP="00DF56AB">
      <w:pPr>
        <w:rPr>
          <w:rFonts w:cs="Arial"/>
          <w:spacing w:val="-4"/>
          <w:lang w:val="es-ES"/>
        </w:rPr>
      </w:pPr>
      <w:r w:rsidRPr="005652B8">
        <w:rPr>
          <w:rFonts w:cs="Arial"/>
          <w:spacing w:val="-4"/>
        </w:rPr>
        <w:fldChar w:fldCharType="begin"/>
      </w:r>
      <w:r w:rsidRPr="005652B8">
        <w:rPr>
          <w:rFonts w:cs="Arial"/>
          <w:spacing w:val="-4"/>
          <w:lang w:val="es-ES"/>
        </w:rPr>
        <w:instrText xml:space="preserve"> AUTONUM  </w:instrText>
      </w:r>
      <w:r w:rsidRPr="005652B8">
        <w:rPr>
          <w:rFonts w:cs="Arial"/>
          <w:spacing w:val="-4"/>
          <w:lang w:val="es-ES"/>
        </w:rPr>
        <w:fldChar w:fldCharType="end"/>
      </w:r>
      <w:r w:rsidRPr="005652B8">
        <w:rPr>
          <w:rFonts w:cs="Arial"/>
          <w:spacing w:val="-4"/>
          <w:lang w:val="es-ES"/>
        </w:rPr>
        <w:tab/>
      </w:r>
      <w:r w:rsidR="00DF56AB" w:rsidRPr="00DF56AB">
        <w:rPr>
          <w:rFonts w:cs="Arial"/>
          <w:spacing w:val="-4"/>
          <w:lang w:val="es-ES"/>
        </w:rPr>
        <w:t xml:space="preserve">El 24 de octubre de 2016, la UPOV </w:t>
      </w:r>
      <w:r w:rsidR="008F2B56" w:rsidRPr="005652B8">
        <w:rPr>
          <w:rFonts w:cs="Arial"/>
          <w:spacing w:val="-4"/>
          <w:lang w:val="es-ES"/>
        </w:rPr>
        <w:t>h</w:t>
      </w:r>
      <w:r w:rsidR="00DF56AB" w:rsidRPr="005652B8">
        <w:rPr>
          <w:rFonts w:cs="Arial"/>
          <w:spacing w:val="-4"/>
          <w:lang w:val="es-ES"/>
        </w:rPr>
        <w:t>a</w:t>
      </w:r>
      <w:r w:rsidR="00DF56AB" w:rsidRPr="00DF56AB">
        <w:rPr>
          <w:rFonts w:cs="Arial"/>
          <w:spacing w:val="-4"/>
          <w:lang w:val="es-ES"/>
        </w:rPr>
        <w:t xml:space="preserve"> organizado el “</w:t>
      </w:r>
      <w:r w:rsidR="00DF56AB">
        <w:t>Seminario sobre el material de reproducción o de multiplicación vegetativa y el producto de la cosecha en el contexto del Convenio de la UPOV</w:t>
      </w:r>
      <w:r w:rsidR="00DF56AB">
        <w:rPr>
          <w:rFonts w:cs="Arial"/>
          <w:spacing w:val="-4"/>
          <w:lang w:val="es-ES"/>
        </w:rPr>
        <w:t xml:space="preserve">”, en el cual han participado 151 personas. </w:t>
      </w:r>
      <w:r w:rsidR="00DF56AB" w:rsidRPr="00DF56AB">
        <w:rPr>
          <w:rFonts w:cs="Arial"/>
          <w:spacing w:val="-4"/>
          <w:lang w:val="es-ES"/>
        </w:rPr>
        <w:t>(</w:t>
      </w:r>
      <w:proofErr w:type="gramStart"/>
      <w:r w:rsidR="00DF56AB" w:rsidRPr="00DF56AB">
        <w:rPr>
          <w:rFonts w:cs="Arial"/>
          <w:spacing w:val="-4"/>
          <w:lang w:val="es-ES"/>
        </w:rPr>
        <w:t>v</w:t>
      </w:r>
      <w:r w:rsidR="00DF56AB">
        <w:rPr>
          <w:rFonts w:cs="Arial"/>
          <w:spacing w:val="-4"/>
          <w:lang w:val="es-ES"/>
        </w:rPr>
        <w:t>éase</w:t>
      </w:r>
      <w:proofErr w:type="gramEnd"/>
      <w:r w:rsidR="00DF56AB" w:rsidRPr="00DF56AB">
        <w:rPr>
          <w:rFonts w:cs="Arial"/>
          <w:spacing w:val="-4"/>
          <w:lang w:val="es-ES"/>
        </w:rPr>
        <w:t> </w:t>
      </w:r>
      <w:hyperlink r:id="rId14" w:history="1">
        <w:r w:rsidR="00DF56AB" w:rsidRPr="009A0E14">
          <w:rPr>
            <w:rStyle w:val="Hyperlink"/>
            <w:rFonts w:cs="Arial"/>
            <w:spacing w:val="-4"/>
            <w:lang w:val="es-ES"/>
          </w:rPr>
          <w:t>http://www.upov.int/meetings/es/details.jsp?meeting_id=39124</w:t>
        </w:r>
      </w:hyperlink>
      <w:hyperlink r:id="rId15" w:history="1"/>
      <w:r w:rsidR="00DF56AB" w:rsidRPr="00DF56AB">
        <w:rPr>
          <w:rFonts w:cs="Arial"/>
          <w:spacing w:val="-4"/>
          <w:lang w:val="es-ES"/>
        </w:rPr>
        <w:t>).</w:t>
      </w:r>
      <w:r w:rsidR="00DF56AB">
        <w:rPr>
          <w:rFonts w:cs="Arial"/>
          <w:spacing w:val="-4"/>
          <w:lang w:val="es-ES"/>
        </w:rPr>
        <w:t xml:space="preserve"> </w:t>
      </w:r>
    </w:p>
    <w:p w:rsidR="00DF56AB" w:rsidRPr="00DF56AB" w:rsidRDefault="00DF56AB" w:rsidP="00673AC1">
      <w:pPr>
        <w:rPr>
          <w:rFonts w:cs="Arial"/>
          <w:snapToGrid w:val="0"/>
          <w:lang w:val="es-ES"/>
        </w:rPr>
      </w:pPr>
    </w:p>
    <w:p w:rsidR="006A2961" w:rsidRPr="006A2961" w:rsidRDefault="00673AC1" w:rsidP="006A2961">
      <w:pPr>
        <w:pStyle w:val="DecisionParagraphs"/>
        <w:rPr>
          <w:snapToGrid w:val="0"/>
        </w:rPr>
      </w:pPr>
      <w:r w:rsidRPr="00DB66B3">
        <w:rPr>
          <w:rFonts w:cs="Arial"/>
          <w:snapToGrid w:val="0"/>
        </w:rPr>
        <w:fldChar w:fldCharType="begin"/>
      </w:r>
      <w:r w:rsidRPr="00DB66B3">
        <w:rPr>
          <w:rFonts w:cs="Arial"/>
          <w:snapToGrid w:val="0"/>
        </w:rPr>
        <w:instrText xml:space="preserve"> AUTONUM  </w:instrText>
      </w:r>
      <w:r w:rsidRPr="00DB66B3">
        <w:rPr>
          <w:rFonts w:cs="Arial"/>
          <w:snapToGrid w:val="0"/>
        </w:rPr>
        <w:fldChar w:fldCharType="end"/>
      </w:r>
      <w:r w:rsidRPr="00DB66B3">
        <w:tab/>
      </w:r>
      <w:r w:rsidRPr="00DB66B3">
        <w:rPr>
          <w:snapToGrid w:val="0"/>
        </w:rPr>
        <w:t xml:space="preserve">Se invita al TC a </w:t>
      </w:r>
      <w:r w:rsidR="006A2961" w:rsidRPr="006A2961">
        <w:rPr>
          <w:snapToGrid w:val="0"/>
        </w:rPr>
        <w:t>tomar nota de:</w:t>
      </w:r>
    </w:p>
    <w:p w:rsidR="006A2961" w:rsidRPr="006A2961" w:rsidRDefault="006A2961" w:rsidP="006A2961">
      <w:pPr>
        <w:pStyle w:val="DecisionParagraphs"/>
        <w:rPr>
          <w:snapToGrid w:val="0"/>
        </w:rPr>
      </w:pPr>
    </w:p>
    <w:p w:rsidR="006A2961" w:rsidRPr="006A2961" w:rsidRDefault="0026106B" w:rsidP="0026106B">
      <w:pPr>
        <w:pStyle w:val="DecisionParagraphs"/>
        <w:tabs>
          <w:tab w:val="left" w:pos="5954"/>
        </w:tabs>
        <w:rPr>
          <w:snapToGrid w:val="0"/>
        </w:rPr>
      </w:pPr>
      <w:r w:rsidRPr="00B94286">
        <w:rPr>
          <w:lang w:val="es-ES"/>
        </w:rPr>
        <w:tab/>
      </w:r>
      <w:r w:rsidRPr="0026106B">
        <w:rPr>
          <w:lang w:val="es-ES"/>
        </w:rPr>
        <w:t>(a)</w:t>
      </w:r>
      <w:r>
        <w:rPr>
          <w:lang w:val="es-ES"/>
        </w:rPr>
        <w:tab/>
      </w:r>
      <w:r w:rsidR="006A2961" w:rsidRPr="0026106B">
        <w:rPr>
          <w:lang w:val="es-ES"/>
        </w:rPr>
        <w:t>las</w:t>
      </w:r>
      <w:r w:rsidR="006A2961" w:rsidRPr="006A2961">
        <w:rPr>
          <w:snapToGrid w:val="0"/>
        </w:rPr>
        <w:t xml:space="preserve"> </w:t>
      </w:r>
      <w:r w:rsidR="006A2961" w:rsidRPr="0026106B">
        <w:rPr>
          <w:lang w:val="es-ES"/>
        </w:rPr>
        <w:t>novedades</w:t>
      </w:r>
      <w:r w:rsidR="006A2961" w:rsidRPr="006A2961">
        <w:rPr>
          <w:snapToGrid w:val="0"/>
        </w:rPr>
        <w:t xml:space="preserve"> acaecidas en la UPOV desde su quincuagésima segunda sesión que no se abordan en el marco de los puntos del orden del día de la quincuagésima tercera sesión del TC, sin excluir las cuestiones pertinentes debatidas en las últimas sesiones del Comité Administrativo y Jurídico (CAJ), el Comité Consultivo y el Consejo, según lo expuesto en los párrafos 4 a 47 del presente documento;  y</w:t>
      </w:r>
    </w:p>
    <w:p w:rsidR="006A2961" w:rsidRPr="006A2961" w:rsidRDefault="006A2961" w:rsidP="006A2961">
      <w:pPr>
        <w:pStyle w:val="DecisionParagraphs"/>
        <w:rPr>
          <w:snapToGrid w:val="0"/>
        </w:rPr>
      </w:pPr>
    </w:p>
    <w:p w:rsidR="00050E16" w:rsidRPr="004B1215" w:rsidRDefault="006A2961" w:rsidP="0026106B">
      <w:pPr>
        <w:pStyle w:val="DecisionParagraphs"/>
        <w:tabs>
          <w:tab w:val="left" w:pos="5954"/>
        </w:tabs>
      </w:pPr>
      <w:r w:rsidRPr="006A2961">
        <w:rPr>
          <w:snapToGrid w:val="0"/>
        </w:rPr>
        <w:lastRenderedPageBreak/>
        <w:tab/>
        <w:t>(b)</w:t>
      </w:r>
      <w:r w:rsidRPr="006A2961">
        <w:rPr>
          <w:snapToGrid w:val="0"/>
        </w:rPr>
        <w:tab/>
        <w:t>que en su quincuagésima tercera sesión, se presentará al TC un resumen de los temas de este documento, del que se adjunta una copia en una adición al presente documento (sólo en inglés)</w:t>
      </w:r>
      <w:r>
        <w:rPr>
          <w:snapToGrid w:val="0"/>
        </w:rPr>
        <w: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w:t>
      </w:r>
      <w:r w:rsidR="000638A9">
        <w:t>Fin del documento</w:t>
      </w:r>
      <w:r w:rsidRPr="00C5280D">
        <w:t>]</w:t>
      </w:r>
    </w:p>
    <w:p w:rsidR="00202E38" w:rsidRDefault="00202E38">
      <w:pPr>
        <w:jc w:val="left"/>
      </w:pPr>
    </w:p>
    <w:p w:rsidR="008B3D8D" w:rsidRDefault="008B3D8D">
      <w:pPr>
        <w:jc w:val="left"/>
      </w:pPr>
    </w:p>
    <w:p w:rsidR="00050E16" w:rsidRPr="00C5280D" w:rsidRDefault="00050E16" w:rsidP="009B440E">
      <w:pPr>
        <w:jc w:val="left"/>
      </w:pPr>
    </w:p>
    <w:sectPr w:rsidR="00050E16" w:rsidRPr="00C5280D" w:rsidSect="00906DDC">
      <w:head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0DA4" w:rsidRDefault="004B0DA4" w:rsidP="006655D3">
      <w:r>
        <w:separator/>
      </w:r>
    </w:p>
    <w:p w:rsidR="004B0DA4" w:rsidRDefault="004B0DA4" w:rsidP="006655D3"/>
    <w:p w:rsidR="004B0DA4" w:rsidRDefault="004B0DA4" w:rsidP="006655D3"/>
  </w:endnote>
  <w:endnote w:type="continuationSeparator" w:id="0">
    <w:p w:rsidR="004B0DA4" w:rsidRDefault="004B0DA4" w:rsidP="006655D3">
      <w:r>
        <w:separator/>
      </w:r>
    </w:p>
    <w:p w:rsidR="004B0DA4" w:rsidRPr="00294751" w:rsidRDefault="004B0DA4">
      <w:pPr>
        <w:pStyle w:val="Footer"/>
        <w:spacing w:after="60"/>
        <w:rPr>
          <w:sz w:val="18"/>
          <w:lang w:val="fr-FR"/>
        </w:rPr>
      </w:pPr>
      <w:r w:rsidRPr="00294751">
        <w:rPr>
          <w:sz w:val="18"/>
          <w:lang w:val="fr-FR"/>
        </w:rPr>
        <w:t>[Suite de la note de la page précédente]</w:t>
      </w:r>
    </w:p>
    <w:p w:rsidR="004B0DA4" w:rsidRPr="00294751" w:rsidRDefault="004B0DA4" w:rsidP="006655D3">
      <w:pPr>
        <w:rPr>
          <w:lang w:val="fr-FR"/>
        </w:rPr>
      </w:pPr>
    </w:p>
    <w:p w:rsidR="004B0DA4" w:rsidRPr="00294751" w:rsidRDefault="004B0DA4" w:rsidP="006655D3">
      <w:pPr>
        <w:rPr>
          <w:lang w:val="fr-FR"/>
        </w:rPr>
      </w:pPr>
    </w:p>
  </w:endnote>
  <w:endnote w:type="continuationNotice" w:id="1">
    <w:p w:rsidR="004B0DA4" w:rsidRPr="00294751" w:rsidRDefault="004B0DA4" w:rsidP="006655D3">
      <w:pPr>
        <w:rPr>
          <w:lang w:val="fr-FR"/>
        </w:rPr>
      </w:pPr>
      <w:r w:rsidRPr="00294751">
        <w:rPr>
          <w:lang w:val="fr-FR"/>
        </w:rPr>
        <w:t>[Suite de la note page suivante]</w:t>
      </w:r>
    </w:p>
    <w:p w:rsidR="004B0DA4" w:rsidRPr="00294751" w:rsidRDefault="004B0DA4" w:rsidP="006655D3">
      <w:pPr>
        <w:rPr>
          <w:lang w:val="fr-FR"/>
        </w:rPr>
      </w:pPr>
    </w:p>
    <w:p w:rsidR="004B0DA4" w:rsidRPr="00294751" w:rsidRDefault="004B0DA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0DA4" w:rsidRDefault="004B0DA4" w:rsidP="006655D3">
      <w:r>
        <w:separator/>
      </w:r>
    </w:p>
  </w:footnote>
  <w:footnote w:type="continuationSeparator" w:id="0">
    <w:p w:rsidR="004B0DA4" w:rsidRDefault="004B0DA4" w:rsidP="006655D3">
      <w:r>
        <w:separator/>
      </w:r>
    </w:p>
  </w:footnote>
  <w:footnote w:type="continuationNotice" w:id="1">
    <w:p w:rsidR="004B0DA4" w:rsidRPr="00AB530F" w:rsidRDefault="004B0DA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DA4" w:rsidRPr="000A23DC" w:rsidRDefault="004B0DA4" w:rsidP="000A23DC">
    <w:pPr>
      <w:pStyle w:val="Header"/>
      <w:rPr>
        <w:rStyle w:val="PageNumber"/>
      </w:rPr>
    </w:pPr>
    <w:r w:rsidRPr="000A23DC">
      <w:rPr>
        <w:rStyle w:val="PageNumber"/>
      </w:rPr>
      <w:t>TC/53/</w:t>
    </w:r>
    <w:r w:rsidR="008049B1">
      <w:rPr>
        <w:rStyle w:val="PageNumber"/>
      </w:rPr>
      <w:t>10</w:t>
    </w:r>
  </w:p>
  <w:p w:rsidR="004B0DA4" w:rsidRPr="00202E38" w:rsidRDefault="004B0DA4" w:rsidP="008B3D8D">
    <w:pPr>
      <w:pStyle w:val="Header"/>
      <w:rPr>
        <w:lang w:val="de-DE"/>
      </w:rPr>
    </w:pPr>
    <w:proofErr w:type="gramStart"/>
    <w:r w:rsidRPr="008B3D8D">
      <w:t>página</w:t>
    </w:r>
    <w:proofErr w:type="gramEnd"/>
    <w:r w:rsidRPr="00202E38">
      <w:rPr>
        <w:lang w:val="de-DE"/>
      </w:rPr>
      <w:t xml:space="preserve"> </w:t>
    </w:r>
    <w:r w:rsidRPr="00202E38">
      <w:rPr>
        <w:rStyle w:val="PageNumber"/>
        <w:lang w:val="de-DE"/>
      </w:rPr>
      <w:fldChar w:fldCharType="begin"/>
    </w:r>
    <w:r w:rsidRPr="00202E38">
      <w:rPr>
        <w:rStyle w:val="PageNumber"/>
        <w:lang w:val="de-DE"/>
      </w:rPr>
      <w:instrText xml:space="preserve"> PAGE </w:instrText>
    </w:r>
    <w:r w:rsidRPr="00202E38">
      <w:rPr>
        <w:rStyle w:val="PageNumber"/>
        <w:lang w:val="de-DE"/>
      </w:rPr>
      <w:fldChar w:fldCharType="separate"/>
    </w:r>
    <w:r w:rsidR="00B94286">
      <w:rPr>
        <w:rStyle w:val="PageNumber"/>
        <w:noProof/>
        <w:lang w:val="de-DE"/>
      </w:rPr>
      <w:t>2</w:t>
    </w:r>
    <w:r w:rsidRPr="00202E38">
      <w:rPr>
        <w:rStyle w:val="PageNumber"/>
        <w:lang w:val="de-DE"/>
      </w:rPr>
      <w:fldChar w:fldCharType="end"/>
    </w:r>
  </w:p>
  <w:p w:rsidR="004B0DA4" w:rsidRPr="00202E38" w:rsidRDefault="004B0DA4" w:rsidP="006655D3">
    <w:pP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D3151"/>
    <w:multiLevelType w:val="hybridMultilevel"/>
    <w:tmpl w:val="589CE2D4"/>
    <w:lvl w:ilvl="0" w:tplc="04090001">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1">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447FE"/>
    <w:multiLevelType w:val="hybridMultilevel"/>
    <w:tmpl w:val="35F417F2"/>
    <w:lvl w:ilvl="0" w:tplc="04090001">
      <w:start w:val="1"/>
      <w:numFmt w:val="bullet"/>
      <w:lvlText w:val=""/>
      <w:lvlJc w:val="left"/>
      <w:pPr>
        <w:ind w:left="780" w:hanging="360"/>
      </w:pPr>
      <w:rPr>
        <w:rFonts w:ascii="Symbol" w:hAnsi="Symbol" w:cs="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cs="Wingdings" w:hint="default"/>
      </w:rPr>
    </w:lvl>
    <w:lvl w:ilvl="3" w:tplc="04090001">
      <w:start w:val="1"/>
      <w:numFmt w:val="bullet"/>
      <w:lvlText w:val=""/>
      <w:lvlJc w:val="left"/>
      <w:pPr>
        <w:ind w:left="2940" w:hanging="360"/>
      </w:pPr>
      <w:rPr>
        <w:rFonts w:ascii="Symbol" w:hAnsi="Symbol" w:cs="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cs="Wingdings" w:hint="default"/>
      </w:rPr>
    </w:lvl>
    <w:lvl w:ilvl="6" w:tplc="04090001">
      <w:start w:val="1"/>
      <w:numFmt w:val="bullet"/>
      <w:lvlText w:val=""/>
      <w:lvlJc w:val="left"/>
      <w:pPr>
        <w:ind w:left="5100" w:hanging="360"/>
      </w:pPr>
      <w:rPr>
        <w:rFonts w:ascii="Symbol" w:hAnsi="Symbol" w:cs="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cs="Wingdings" w:hint="default"/>
      </w:rPr>
    </w:lvl>
  </w:abstractNum>
  <w:abstractNum w:abstractNumId="3">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E3469F2"/>
    <w:multiLevelType w:val="hybridMultilevel"/>
    <w:tmpl w:val="628047E4"/>
    <w:lvl w:ilvl="0" w:tplc="0D000E22">
      <w:start w:val="1"/>
      <w:numFmt w:val="lowerLetter"/>
      <w:lvlText w:val="%1)"/>
      <w:lvlJc w:val="left"/>
      <w:pPr>
        <w:tabs>
          <w:tab w:val="num" w:pos="349"/>
        </w:tabs>
        <w:ind w:left="1069" w:hanging="36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5">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cs="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1816B3"/>
    <w:multiLevelType w:val="hybridMultilevel"/>
    <w:tmpl w:val="058AD968"/>
    <w:lvl w:ilvl="0" w:tplc="7DDA7E52">
      <w:start w:val="1"/>
      <w:numFmt w:val="lowerLetter"/>
      <w:lvlText w:val="%1)"/>
      <w:lvlJc w:val="left"/>
      <w:pPr>
        <w:tabs>
          <w:tab w:val="num" w:pos="0"/>
        </w:tabs>
        <w:ind w:left="1069" w:hanging="360"/>
      </w:pPr>
      <w:rPr>
        <w:rFonts w:hint="default"/>
      </w:rPr>
    </w:lvl>
    <w:lvl w:ilvl="1" w:tplc="040A0019">
      <w:start w:val="1"/>
      <w:numFmt w:val="lowerLetter"/>
      <w:lvlText w:val="%2."/>
      <w:lvlJc w:val="left"/>
      <w:pPr>
        <w:tabs>
          <w:tab w:val="num" w:pos="938"/>
        </w:tabs>
        <w:ind w:left="938" w:hanging="360"/>
      </w:pPr>
    </w:lvl>
    <w:lvl w:ilvl="2" w:tplc="040A001B">
      <w:start w:val="1"/>
      <w:numFmt w:val="lowerRoman"/>
      <w:lvlText w:val="%3."/>
      <w:lvlJc w:val="right"/>
      <w:pPr>
        <w:tabs>
          <w:tab w:val="num" w:pos="1658"/>
        </w:tabs>
        <w:ind w:left="1658" w:hanging="180"/>
      </w:pPr>
    </w:lvl>
    <w:lvl w:ilvl="3" w:tplc="040A000F">
      <w:start w:val="1"/>
      <w:numFmt w:val="decimal"/>
      <w:lvlText w:val="%4."/>
      <w:lvlJc w:val="left"/>
      <w:pPr>
        <w:tabs>
          <w:tab w:val="num" w:pos="2378"/>
        </w:tabs>
        <w:ind w:left="2378" w:hanging="360"/>
      </w:pPr>
    </w:lvl>
    <w:lvl w:ilvl="4" w:tplc="040A0019">
      <w:start w:val="1"/>
      <w:numFmt w:val="lowerLetter"/>
      <w:lvlText w:val="%5."/>
      <w:lvlJc w:val="left"/>
      <w:pPr>
        <w:tabs>
          <w:tab w:val="num" w:pos="3098"/>
        </w:tabs>
        <w:ind w:left="3098" w:hanging="360"/>
      </w:pPr>
    </w:lvl>
    <w:lvl w:ilvl="5" w:tplc="040A001B">
      <w:start w:val="1"/>
      <w:numFmt w:val="lowerRoman"/>
      <w:lvlText w:val="%6."/>
      <w:lvlJc w:val="right"/>
      <w:pPr>
        <w:tabs>
          <w:tab w:val="num" w:pos="3818"/>
        </w:tabs>
        <w:ind w:left="3818" w:hanging="180"/>
      </w:pPr>
    </w:lvl>
    <w:lvl w:ilvl="6" w:tplc="040A000F">
      <w:start w:val="1"/>
      <w:numFmt w:val="decimal"/>
      <w:lvlText w:val="%7."/>
      <w:lvlJc w:val="left"/>
      <w:pPr>
        <w:tabs>
          <w:tab w:val="num" w:pos="4538"/>
        </w:tabs>
        <w:ind w:left="4538" w:hanging="360"/>
      </w:pPr>
    </w:lvl>
    <w:lvl w:ilvl="7" w:tplc="040A0019">
      <w:start w:val="1"/>
      <w:numFmt w:val="lowerLetter"/>
      <w:lvlText w:val="%8."/>
      <w:lvlJc w:val="left"/>
      <w:pPr>
        <w:tabs>
          <w:tab w:val="num" w:pos="5258"/>
        </w:tabs>
        <w:ind w:left="5258" w:hanging="360"/>
      </w:pPr>
    </w:lvl>
    <w:lvl w:ilvl="8" w:tplc="040A001B">
      <w:start w:val="1"/>
      <w:numFmt w:val="lowerRoman"/>
      <w:lvlText w:val="%9."/>
      <w:lvlJc w:val="right"/>
      <w:pPr>
        <w:tabs>
          <w:tab w:val="num" w:pos="5978"/>
        </w:tabs>
        <w:ind w:left="5978" w:hanging="180"/>
      </w:pPr>
    </w:lvl>
  </w:abstractNum>
  <w:abstractNum w:abstractNumId="8">
    <w:nsid w:val="3DB170E0"/>
    <w:multiLevelType w:val="hybridMultilevel"/>
    <w:tmpl w:val="DEB42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3F1670"/>
    <w:multiLevelType w:val="hybridMultilevel"/>
    <w:tmpl w:val="DEBA2D9A"/>
    <w:lvl w:ilvl="0" w:tplc="BDCE11F0">
      <w:start w:val="1"/>
      <w:numFmt w:val="lowerLetter"/>
      <w:lvlText w:val="%1)"/>
      <w:lvlJc w:val="left"/>
      <w:pPr>
        <w:tabs>
          <w:tab w:val="num" w:pos="349"/>
        </w:tabs>
        <w:ind w:left="1279" w:hanging="570"/>
      </w:pPr>
      <w:rPr>
        <w:rFonts w:hint="default"/>
      </w:rPr>
    </w:lvl>
    <w:lvl w:ilvl="1" w:tplc="040A0019">
      <w:start w:val="1"/>
      <w:numFmt w:val="lowerLetter"/>
      <w:lvlText w:val="%2."/>
      <w:lvlJc w:val="left"/>
      <w:pPr>
        <w:tabs>
          <w:tab w:val="num" w:pos="1440"/>
        </w:tabs>
        <w:ind w:left="1440" w:hanging="360"/>
      </w:pPr>
    </w:lvl>
    <w:lvl w:ilvl="2" w:tplc="040A001B">
      <w:start w:val="1"/>
      <w:numFmt w:val="lowerRoman"/>
      <w:lvlText w:val="%3."/>
      <w:lvlJc w:val="right"/>
      <w:pPr>
        <w:tabs>
          <w:tab w:val="num" w:pos="2160"/>
        </w:tabs>
        <w:ind w:left="2160" w:hanging="180"/>
      </w:pPr>
    </w:lvl>
    <w:lvl w:ilvl="3" w:tplc="040A000F">
      <w:start w:val="1"/>
      <w:numFmt w:val="decimal"/>
      <w:lvlText w:val="%4."/>
      <w:lvlJc w:val="left"/>
      <w:pPr>
        <w:tabs>
          <w:tab w:val="num" w:pos="2880"/>
        </w:tabs>
        <w:ind w:left="2880" w:hanging="360"/>
      </w:pPr>
    </w:lvl>
    <w:lvl w:ilvl="4" w:tplc="040A0019">
      <w:start w:val="1"/>
      <w:numFmt w:val="lowerLetter"/>
      <w:lvlText w:val="%5."/>
      <w:lvlJc w:val="left"/>
      <w:pPr>
        <w:tabs>
          <w:tab w:val="num" w:pos="3600"/>
        </w:tabs>
        <w:ind w:left="3600" w:hanging="360"/>
      </w:pPr>
    </w:lvl>
    <w:lvl w:ilvl="5" w:tplc="040A001B">
      <w:start w:val="1"/>
      <w:numFmt w:val="lowerRoman"/>
      <w:lvlText w:val="%6."/>
      <w:lvlJc w:val="right"/>
      <w:pPr>
        <w:tabs>
          <w:tab w:val="num" w:pos="4320"/>
        </w:tabs>
        <w:ind w:left="4320" w:hanging="180"/>
      </w:pPr>
    </w:lvl>
    <w:lvl w:ilvl="6" w:tplc="040A000F">
      <w:start w:val="1"/>
      <w:numFmt w:val="decimal"/>
      <w:lvlText w:val="%7."/>
      <w:lvlJc w:val="left"/>
      <w:pPr>
        <w:tabs>
          <w:tab w:val="num" w:pos="5040"/>
        </w:tabs>
        <w:ind w:left="5040" w:hanging="360"/>
      </w:pPr>
    </w:lvl>
    <w:lvl w:ilvl="7" w:tplc="040A0019">
      <w:start w:val="1"/>
      <w:numFmt w:val="lowerLetter"/>
      <w:lvlText w:val="%8."/>
      <w:lvlJc w:val="left"/>
      <w:pPr>
        <w:tabs>
          <w:tab w:val="num" w:pos="5760"/>
        </w:tabs>
        <w:ind w:left="5760" w:hanging="360"/>
      </w:pPr>
    </w:lvl>
    <w:lvl w:ilvl="8" w:tplc="040A001B">
      <w:start w:val="1"/>
      <w:numFmt w:val="lowerRoman"/>
      <w:lvlText w:val="%9."/>
      <w:lvlJc w:val="right"/>
      <w:pPr>
        <w:tabs>
          <w:tab w:val="num" w:pos="6480"/>
        </w:tabs>
        <w:ind w:left="6480" w:hanging="180"/>
      </w:pPr>
    </w:lvl>
  </w:abstractNum>
  <w:abstractNum w:abstractNumId="10">
    <w:nsid w:val="66272D45"/>
    <w:multiLevelType w:val="hybridMultilevel"/>
    <w:tmpl w:val="C002990C"/>
    <w:lvl w:ilvl="0" w:tplc="7DDA7E52">
      <w:start w:val="1"/>
      <w:numFmt w:val="lowerLetter"/>
      <w:lvlText w:val="%1)"/>
      <w:lvlJc w:val="left"/>
      <w:pPr>
        <w:tabs>
          <w:tab w:val="num" w:pos="0"/>
        </w:tabs>
        <w:ind w:left="1069" w:hanging="360"/>
      </w:pPr>
      <w:rPr>
        <w:rFonts w:hint="default"/>
      </w:rPr>
    </w:lvl>
    <w:lvl w:ilvl="1" w:tplc="040A0019">
      <w:start w:val="1"/>
      <w:numFmt w:val="lowerLetter"/>
      <w:lvlText w:val="%2."/>
      <w:lvlJc w:val="left"/>
      <w:pPr>
        <w:tabs>
          <w:tab w:val="num" w:pos="938"/>
        </w:tabs>
        <w:ind w:left="938" w:hanging="360"/>
      </w:pPr>
    </w:lvl>
    <w:lvl w:ilvl="2" w:tplc="040A001B">
      <w:start w:val="1"/>
      <w:numFmt w:val="lowerRoman"/>
      <w:lvlText w:val="%3."/>
      <w:lvlJc w:val="right"/>
      <w:pPr>
        <w:tabs>
          <w:tab w:val="num" w:pos="1658"/>
        </w:tabs>
        <w:ind w:left="1658" w:hanging="180"/>
      </w:pPr>
    </w:lvl>
    <w:lvl w:ilvl="3" w:tplc="040A000F">
      <w:start w:val="1"/>
      <w:numFmt w:val="decimal"/>
      <w:lvlText w:val="%4."/>
      <w:lvlJc w:val="left"/>
      <w:pPr>
        <w:tabs>
          <w:tab w:val="num" w:pos="2378"/>
        </w:tabs>
        <w:ind w:left="2378" w:hanging="360"/>
      </w:pPr>
    </w:lvl>
    <w:lvl w:ilvl="4" w:tplc="040A0019">
      <w:start w:val="1"/>
      <w:numFmt w:val="lowerLetter"/>
      <w:lvlText w:val="%5."/>
      <w:lvlJc w:val="left"/>
      <w:pPr>
        <w:tabs>
          <w:tab w:val="num" w:pos="3098"/>
        </w:tabs>
        <w:ind w:left="3098" w:hanging="360"/>
      </w:pPr>
    </w:lvl>
    <w:lvl w:ilvl="5" w:tplc="040A001B">
      <w:start w:val="1"/>
      <w:numFmt w:val="lowerRoman"/>
      <w:lvlText w:val="%6."/>
      <w:lvlJc w:val="right"/>
      <w:pPr>
        <w:tabs>
          <w:tab w:val="num" w:pos="3818"/>
        </w:tabs>
        <w:ind w:left="3818" w:hanging="180"/>
      </w:pPr>
    </w:lvl>
    <w:lvl w:ilvl="6" w:tplc="040A000F">
      <w:start w:val="1"/>
      <w:numFmt w:val="decimal"/>
      <w:lvlText w:val="%7."/>
      <w:lvlJc w:val="left"/>
      <w:pPr>
        <w:tabs>
          <w:tab w:val="num" w:pos="4538"/>
        </w:tabs>
        <w:ind w:left="4538" w:hanging="360"/>
      </w:pPr>
    </w:lvl>
    <w:lvl w:ilvl="7" w:tplc="040A0019">
      <w:start w:val="1"/>
      <w:numFmt w:val="lowerLetter"/>
      <w:lvlText w:val="%8."/>
      <w:lvlJc w:val="left"/>
      <w:pPr>
        <w:tabs>
          <w:tab w:val="num" w:pos="5258"/>
        </w:tabs>
        <w:ind w:left="5258" w:hanging="360"/>
      </w:pPr>
    </w:lvl>
    <w:lvl w:ilvl="8" w:tplc="040A001B">
      <w:start w:val="1"/>
      <w:numFmt w:val="lowerRoman"/>
      <w:lvlText w:val="%9."/>
      <w:lvlJc w:val="right"/>
      <w:pPr>
        <w:tabs>
          <w:tab w:val="num" w:pos="5978"/>
        </w:tabs>
        <w:ind w:left="5978" w:hanging="180"/>
      </w:pPr>
    </w:lvl>
  </w:abstractNum>
  <w:abstractNum w:abstractNumId="11">
    <w:nsid w:val="77EE4233"/>
    <w:multiLevelType w:val="hybridMultilevel"/>
    <w:tmpl w:val="8662073A"/>
    <w:lvl w:ilvl="0" w:tplc="2F28985C">
      <w:start w:val="1"/>
      <w:numFmt w:val="lowerLetter"/>
      <w:lvlText w:val="(%1)"/>
      <w:lvlJc w:val="left"/>
      <w:pPr>
        <w:ind w:left="930" w:hanging="570"/>
      </w:pPr>
      <w:rPr>
        <w:rFonts w:hint="default"/>
      </w:rPr>
    </w:lvl>
    <w:lvl w:ilvl="1" w:tplc="10F87D66">
      <w:start w:val="1"/>
      <w:numFmt w:val="lowerRoman"/>
      <w:lvlText w:val="%2)"/>
      <w:lvlJc w:val="left"/>
      <w:pPr>
        <w:tabs>
          <w:tab w:val="num" w:pos="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12"/>
  </w:num>
  <w:num w:numId="5">
    <w:abstractNumId w:val="6"/>
  </w:num>
  <w:num w:numId="6">
    <w:abstractNumId w:val="5"/>
  </w:num>
  <w:num w:numId="7">
    <w:abstractNumId w:val="11"/>
  </w:num>
  <w:num w:numId="8">
    <w:abstractNumId w:val="0"/>
  </w:num>
  <w:num w:numId="9">
    <w:abstractNumId w:val="10"/>
  </w:num>
  <w:num w:numId="10">
    <w:abstractNumId w:val="7"/>
  </w:num>
  <w:num w:numId="11">
    <w:abstractNumId w:val="4"/>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3D"/>
    <w:rsid w:val="00010CF3"/>
    <w:rsid w:val="00011E27"/>
    <w:rsid w:val="000148BC"/>
    <w:rsid w:val="00024AB8"/>
    <w:rsid w:val="00030854"/>
    <w:rsid w:val="00036028"/>
    <w:rsid w:val="00044642"/>
    <w:rsid w:val="000446B9"/>
    <w:rsid w:val="00047E21"/>
    <w:rsid w:val="00050E16"/>
    <w:rsid w:val="000638A9"/>
    <w:rsid w:val="00085505"/>
    <w:rsid w:val="000A23DC"/>
    <w:rsid w:val="000C4E25"/>
    <w:rsid w:val="000C7021"/>
    <w:rsid w:val="000D08A6"/>
    <w:rsid w:val="000D6BBC"/>
    <w:rsid w:val="000D7780"/>
    <w:rsid w:val="000E636A"/>
    <w:rsid w:val="000F2F11"/>
    <w:rsid w:val="00105929"/>
    <w:rsid w:val="00110C36"/>
    <w:rsid w:val="001131D5"/>
    <w:rsid w:val="00141DB8"/>
    <w:rsid w:val="00172084"/>
    <w:rsid w:val="0017474A"/>
    <w:rsid w:val="001758C6"/>
    <w:rsid w:val="00182B99"/>
    <w:rsid w:val="001B5337"/>
    <w:rsid w:val="001F64BF"/>
    <w:rsid w:val="00202E38"/>
    <w:rsid w:val="0020472A"/>
    <w:rsid w:val="0021332C"/>
    <w:rsid w:val="00213982"/>
    <w:rsid w:val="0024416D"/>
    <w:rsid w:val="002464A3"/>
    <w:rsid w:val="0026106B"/>
    <w:rsid w:val="00271911"/>
    <w:rsid w:val="002800A0"/>
    <w:rsid w:val="002801B3"/>
    <w:rsid w:val="00281060"/>
    <w:rsid w:val="002940E8"/>
    <w:rsid w:val="00294751"/>
    <w:rsid w:val="002A6E50"/>
    <w:rsid w:val="002B4298"/>
    <w:rsid w:val="002C256A"/>
    <w:rsid w:val="002E5944"/>
    <w:rsid w:val="00305A7F"/>
    <w:rsid w:val="003152FE"/>
    <w:rsid w:val="00327436"/>
    <w:rsid w:val="00344BD6"/>
    <w:rsid w:val="0035528D"/>
    <w:rsid w:val="00361821"/>
    <w:rsid w:val="00361E9E"/>
    <w:rsid w:val="003B031A"/>
    <w:rsid w:val="003C7FBE"/>
    <w:rsid w:val="003D227C"/>
    <w:rsid w:val="003D2B4D"/>
    <w:rsid w:val="0040557F"/>
    <w:rsid w:val="00444A88"/>
    <w:rsid w:val="00474DA4"/>
    <w:rsid w:val="00476B4D"/>
    <w:rsid w:val="004805FA"/>
    <w:rsid w:val="004935D2"/>
    <w:rsid w:val="004B0DA4"/>
    <w:rsid w:val="004B1215"/>
    <w:rsid w:val="004B7024"/>
    <w:rsid w:val="004C29CC"/>
    <w:rsid w:val="004D047D"/>
    <w:rsid w:val="004F1E9E"/>
    <w:rsid w:val="004F305A"/>
    <w:rsid w:val="004F467F"/>
    <w:rsid w:val="004F5C6F"/>
    <w:rsid w:val="00512164"/>
    <w:rsid w:val="00520297"/>
    <w:rsid w:val="005338F9"/>
    <w:rsid w:val="0054281C"/>
    <w:rsid w:val="00544581"/>
    <w:rsid w:val="00545E42"/>
    <w:rsid w:val="0055268D"/>
    <w:rsid w:val="005652B8"/>
    <w:rsid w:val="00576BE4"/>
    <w:rsid w:val="00580088"/>
    <w:rsid w:val="005A400A"/>
    <w:rsid w:val="005E3693"/>
    <w:rsid w:val="005F7B92"/>
    <w:rsid w:val="00612379"/>
    <w:rsid w:val="006153B6"/>
    <w:rsid w:val="0061555F"/>
    <w:rsid w:val="00627CA6"/>
    <w:rsid w:val="00636CA6"/>
    <w:rsid w:val="00637EDD"/>
    <w:rsid w:val="00641200"/>
    <w:rsid w:val="00645CA8"/>
    <w:rsid w:val="006655D3"/>
    <w:rsid w:val="00667404"/>
    <w:rsid w:val="00673AC1"/>
    <w:rsid w:val="00687EB4"/>
    <w:rsid w:val="00695C56"/>
    <w:rsid w:val="006A2961"/>
    <w:rsid w:val="006A5CDE"/>
    <w:rsid w:val="006A644A"/>
    <w:rsid w:val="006B17D2"/>
    <w:rsid w:val="006C224E"/>
    <w:rsid w:val="006D780A"/>
    <w:rsid w:val="0071271E"/>
    <w:rsid w:val="00732DEC"/>
    <w:rsid w:val="00735BD5"/>
    <w:rsid w:val="00751613"/>
    <w:rsid w:val="007556F6"/>
    <w:rsid w:val="00760EEF"/>
    <w:rsid w:val="00777EE5"/>
    <w:rsid w:val="00783722"/>
    <w:rsid w:val="00784836"/>
    <w:rsid w:val="0079023E"/>
    <w:rsid w:val="007A2854"/>
    <w:rsid w:val="007B5882"/>
    <w:rsid w:val="007C1D92"/>
    <w:rsid w:val="007C4CB9"/>
    <w:rsid w:val="007D0B9D"/>
    <w:rsid w:val="007D19B0"/>
    <w:rsid w:val="007F498F"/>
    <w:rsid w:val="008049B1"/>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0FDB"/>
    <w:rsid w:val="008D2CF7"/>
    <w:rsid w:val="008E0517"/>
    <w:rsid w:val="008F22D6"/>
    <w:rsid w:val="008F2B56"/>
    <w:rsid w:val="00900C26"/>
    <w:rsid w:val="0090197F"/>
    <w:rsid w:val="00906DDC"/>
    <w:rsid w:val="00934E09"/>
    <w:rsid w:val="00936253"/>
    <w:rsid w:val="00940D46"/>
    <w:rsid w:val="009425D4"/>
    <w:rsid w:val="00952DD4"/>
    <w:rsid w:val="00953E55"/>
    <w:rsid w:val="0096175D"/>
    <w:rsid w:val="00965AE7"/>
    <w:rsid w:val="00970FED"/>
    <w:rsid w:val="00992D82"/>
    <w:rsid w:val="00997029"/>
    <w:rsid w:val="009A7339"/>
    <w:rsid w:val="009B440E"/>
    <w:rsid w:val="009D0DE6"/>
    <w:rsid w:val="009D690D"/>
    <w:rsid w:val="009E65B6"/>
    <w:rsid w:val="00A24881"/>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94286"/>
    <w:rsid w:val="00BA43FB"/>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D6C08"/>
    <w:rsid w:val="00CE2546"/>
    <w:rsid w:val="00CE49AB"/>
    <w:rsid w:val="00CE546E"/>
    <w:rsid w:val="00CF1330"/>
    <w:rsid w:val="00CF7E36"/>
    <w:rsid w:val="00D06409"/>
    <w:rsid w:val="00D10EAD"/>
    <w:rsid w:val="00D17E61"/>
    <w:rsid w:val="00D3708D"/>
    <w:rsid w:val="00D373EA"/>
    <w:rsid w:val="00D40426"/>
    <w:rsid w:val="00D57C96"/>
    <w:rsid w:val="00D57D18"/>
    <w:rsid w:val="00D91203"/>
    <w:rsid w:val="00D95174"/>
    <w:rsid w:val="00DA263D"/>
    <w:rsid w:val="00DA4973"/>
    <w:rsid w:val="00DA6F36"/>
    <w:rsid w:val="00DB596E"/>
    <w:rsid w:val="00DB7773"/>
    <w:rsid w:val="00DC00EA"/>
    <w:rsid w:val="00DC3802"/>
    <w:rsid w:val="00DD1B02"/>
    <w:rsid w:val="00DF56AB"/>
    <w:rsid w:val="00E07D87"/>
    <w:rsid w:val="00E2286C"/>
    <w:rsid w:val="00E32F7E"/>
    <w:rsid w:val="00E5267B"/>
    <w:rsid w:val="00E63C0E"/>
    <w:rsid w:val="00E72D49"/>
    <w:rsid w:val="00E7593C"/>
    <w:rsid w:val="00E7678A"/>
    <w:rsid w:val="00E81772"/>
    <w:rsid w:val="00E935F1"/>
    <w:rsid w:val="00E94A81"/>
    <w:rsid w:val="00EA1FFB"/>
    <w:rsid w:val="00EB048E"/>
    <w:rsid w:val="00EB4E9C"/>
    <w:rsid w:val="00EC2265"/>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94286"/>
    <w:pPr>
      <w:tabs>
        <w:tab w:val="right" w:leader="dot" w:pos="9639"/>
      </w:tabs>
      <w:spacing w:before="12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locked/>
    <w:rsid w:val="00673AC1"/>
    <w:rPr>
      <w:rFonts w:ascii="Arial" w:hAnsi="Arial"/>
      <w:caps/>
    </w:rPr>
  </w:style>
  <w:style w:type="character" w:customStyle="1" w:styleId="Heading2Char">
    <w:name w:val="Heading 2 Char"/>
    <w:basedOn w:val="DefaultParagraphFont"/>
    <w:link w:val="Heading2"/>
    <w:locked/>
    <w:rsid w:val="00673AC1"/>
    <w:rPr>
      <w:rFonts w:ascii="Arial" w:hAnsi="Arial"/>
      <w:u w:val="single"/>
    </w:rPr>
  </w:style>
  <w:style w:type="paragraph" w:styleId="ListParagraph">
    <w:name w:val="List Paragraph"/>
    <w:basedOn w:val="Normal"/>
    <w:uiPriority w:val="99"/>
    <w:qFormat/>
    <w:rsid w:val="00673AC1"/>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673AC1"/>
    <w:pPr>
      <w:autoSpaceDE w:val="0"/>
      <w:autoSpaceDN w:val="0"/>
      <w:adjustRightInd w:val="0"/>
    </w:pPr>
    <w:rPr>
      <w:rFonts w:ascii="Arial" w:hAnsi="Arial" w:cs="Arial"/>
      <w:color w:val="000000"/>
      <w:sz w:val="24"/>
      <w:szCs w:val="24"/>
    </w:rPr>
  </w:style>
  <w:style w:type="character" w:customStyle="1" w:styleId="DecisionParagraphsChar">
    <w:name w:val="DecisionParagraphs Char"/>
    <w:basedOn w:val="DefaultParagraphFont"/>
    <w:link w:val="DecisionParagraphs"/>
    <w:rsid w:val="00673AC1"/>
    <w:rPr>
      <w:rFonts w:ascii="Arial" w:hAnsi="Arial"/>
      <w:i/>
      <w:lang w:val="es-ES_tradnl"/>
    </w:rPr>
  </w:style>
  <w:style w:type="character" w:styleId="FollowedHyperlink">
    <w:name w:val="FollowedHyperlink"/>
    <w:basedOn w:val="DefaultParagraphFont"/>
    <w:rsid w:val="004F467F"/>
    <w:rPr>
      <w:color w:val="800080" w:themeColor="followedHyperlink"/>
      <w:u w:val="single"/>
    </w:rPr>
  </w:style>
  <w:style w:type="table" w:styleId="TableGrid">
    <w:name w:val="Table Grid"/>
    <w:basedOn w:val="TableNormal"/>
    <w:rsid w:val="0095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94286"/>
    <w:pPr>
      <w:tabs>
        <w:tab w:val="right" w:leader="dot" w:pos="9639"/>
      </w:tabs>
      <w:spacing w:before="12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locked/>
    <w:rsid w:val="00673AC1"/>
    <w:rPr>
      <w:rFonts w:ascii="Arial" w:hAnsi="Arial"/>
      <w:caps/>
    </w:rPr>
  </w:style>
  <w:style w:type="character" w:customStyle="1" w:styleId="Heading2Char">
    <w:name w:val="Heading 2 Char"/>
    <w:basedOn w:val="DefaultParagraphFont"/>
    <w:link w:val="Heading2"/>
    <w:locked/>
    <w:rsid w:val="00673AC1"/>
    <w:rPr>
      <w:rFonts w:ascii="Arial" w:hAnsi="Arial"/>
      <w:u w:val="single"/>
    </w:rPr>
  </w:style>
  <w:style w:type="paragraph" w:styleId="ListParagraph">
    <w:name w:val="List Paragraph"/>
    <w:basedOn w:val="Normal"/>
    <w:uiPriority w:val="99"/>
    <w:qFormat/>
    <w:rsid w:val="00673AC1"/>
    <w:pPr>
      <w:spacing w:before="100" w:beforeAutospacing="1" w:after="100" w:afterAutospacing="1"/>
      <w:jc w:val="left"/>
    </w:pPr>
    <w:rPr>
      <w:rFonts w:ascii="Times New Roman" w:hAnsi="Times New Roman"/>
      <w:sz w:val="24"/>
      <w:szCs w:val="24"/>
      <w:lang w:val="fr-FR" w:eastAsia="fr-FR"/>
    </w:rPr>
  </w:style>
  <w:style w:type="paragraph" w:customStyle="1" w:styleId="Default">
    <w:name w:val="Default"/>
    <w:rsid w:val="00673AC1"/>
    <w:pPr>
      <w:autoSpaceDE w:val="0"/>
      <w:autoSpaceDN w:val="0"/>
      <w:adjustRightInd w:val="0"/>
    </w:pPr>
    <w:rPr>
      <w:rFonts w:ascii="Arial" w:hAnsi="Arial" w:cs="Arial"/>
      <w:color w:val="000000"/>
      <w:sz w:val="24"/>
      <w:szCs w:val="24"/>
    </w:rPr>
  </w:style>
  <w:style w:type="character" w:customStyle="1" w:styleId="DecisionParagraphsChar">
    <w:name w:val="DecisionParagraphs Char"/>
    <w:basedOn w:val="DefaultParagraphFont"/>
    <w:link w:val="DecisionParagraphs"/>
    <w:rsid w:val="00673AC1"/>
    <w:rPr>
      <w:rFonts w:ascii="Arial" w:hAnsi="Arial"/>
      <w:i/>
      <w:lang w:val="es-ES_tradnl"/>
    </w:rPr>
  </w:style>
  <w:style w:type="character" w:styleId="FollowedHyperlink">
    <w:name w:val="FollowedHyperlink"/>
    <w:basedOn w:val="DefaultParagraphFont"/>
    <w:rsid w:val="004F467F"/>
    <w:rPr>
      <w:color w:val="800080" w:themeColor="followedHyperlink"/>
      <w:u w:val="single"/>
    </w:rPr>
  </w:style>
  <w:style w:type="table" w:styleId="TableGrid">
    <w:name w:val="Table Grid"/>
    <w:basedOn w:val="TableNormal"/>
    <w:rsid w:val="0095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2787">
      <w:bodyDiv w:val="1"/>
      <w:marLeft w:val="0"/>
      <w:marRight w:val="0"/>
      <w:marTop w:val="0"/>
      <w:marBottom w:val="0"/>
      <w:divBdr>
        <w:top w:val="none" w:sz="0" w:space="0" w:color="auto"/>
        <w:left w:val="none" w:sz="0" w:space="0" w:color="auto"/>
        <w:bottom w:val="none" w:sz="0" w:space="0" w:color="auto"/>
        <w:right w:val="none" w:sz="0" w:space="0" w:color="auto"/>
      </w:divBdr>
    </w:div>
    <w:div w:id="1517308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resource/es/training.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upov_collection/es/" TargetMode="External"/><Relationship Id="rId5" Type="http://schemas.openxmlformats.org/officeDocument/2006/relationships/webSettings" Target="webSettings.xml"/><Relationship Id="rId15" Type="http://schemas.openxmlformats.org/officeDocument/2006/relationships/hyperlink" Target="http://www.upov.int/meetings/en/details.jsp?meeting_id=39124" TargetMode="External"/><Relationship Id="rId10" Type="http://schemas.openxmlformats.org/officeDocument/2006/relationships/hyperlink" Target="http://www.upov.int/upov_collection/es/" TargetMode="External"/><Relationship Id="rId4" Type="http://schemas.openxmlformats.org/officeDocument/2006/relationships/settings" Target="settings.xml"/><Relationship Id="rId9" Type="http://schemas.openxmlformats.org/officeDocument/2006/relationships/hyperlink" Target="http://www.upov.int/members/es/" TargetMode="External"/><Relationship Id="rId14" Type="http://schemas.openxmlformats.org/officeDocument/2006/relationships/hyperlink" Target="http://www.upov.int/meetings/es/details.jsp?meeting_id=3912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TC_53_ES</Template>
  <TotalTime>11</TotalTime>
  <Pages>11</Pages>
  <Words>4163</Words>
  <Characters>24737</Characters>
  <Application>Microsoft Office Word</Application>
  <DocSecurity>0</DocSecurity>
  <Lines>206</Lines>
  <Paragraphs>57</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28843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GIACHINO Erika</dc:creator>
  <cp:lastModifiedBy>GIACHINO Erika</cp:lastModifiedBy>
  <cp:revision>3</cp:revision>
  <cp:lastPrinted>2017-03-30T15:13:00Z</cp:lastPrinted>
  <dcterms:created xsi:type="dcterms:W3CDTF">2017-03-30T15:20:00Z</dcterms:created>
  <dcterms:modified xsi:type="dcterms:W3CDTF">2017-03-31T09:04:00Z</dcterms:modified>
</cp:coreProperties>
</file>