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E30CEB" w:rsidTr="00C13808">
        <w:trPr>
          <w:trHeight w:val="1760"/>
        </w:trPr>
        <w:tc>
          <w:tcPr>
            <w:tcW w:w="4243" w:type="dxa"/>
          </w:tcPr>
          <w:p w:rsidR="000D7780" w:rsidRPr="000D5690" w:rsidRDefault="000D7780" w:rsidP="00F45372">
            <w:pPr>
              <w:rPr>
                <w:dstrike/>
                <w:lang w:val="es-ES_tradnl"/>
              </w:rPr>
            </w:pPr>
            <w:bookmarkStart w:id="0" w:name="_GoBack"/>
            <w:bookmarkEnd w:id="0"/>
          </w:p>
        </w:tc>
        <w:tc>
          <w:tcPr>
            <w:tcW w:w="1646" w:type="dxa"/>
            <w:vAlign w:val="center"/>
          </w:tcPr>
          <w:p w:rsidR="004F1D89" w:rsidRPr="000D5690" w:rsidRDefault="004F1D89" w:rsidP="00F45372">
            <w:pPr>
              <w:pStyle w:val="LogoUPOV"/>
              <w:rPr>
                <w:lang w:val="es-ES_tradnl"/>
              </w:rPr>
            </w:pPr>
            <w:r w:rsidRPr="000D5690">
              <w:rPr>
                <w:noProof/>
              </w:rPr>
              <w:drawing>
                <wp:inline distT="0" distB="0" distL="0" distR="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0D5690" w:rsidRDefault="00A47CDB" w:rsidP="00F45372">
            <w:pPr>
              <w:pStyle w:val="Lettrine"/>
              <w:rPr>
                <w:lang w:val="es-ES_tradnl"/>
              </w:rPr>
            </w:pPr>
            <w:r w:rsidRPr="000D5690">
              <w:rPr>
                <w:lang w:val="es-ES_tradnl"/>
              </w:rPr>
              <w:t>S</w:t>
            </w:r>
          </w:p>
          <w:p w:rsidR="000D7780" w:rsidRPr="000D5690" w:rsidRDefault="007703AE" w:rsidP="00F45372">
            <w:pPr>
              <w:pStyle w:val="Docoriginal"/>
              <w:rPr>
                <w:lang w:val="es-ES_tradnl"/>
              </w:rPr>
            </w:pPr>
            <w:r>
              <w:rPr>
                <w:lang w:val="es-ES_tradnl"/>
              </w:rPr>
              <w:t>TC/52/29 Rev.</w:t>
            </w:r>
          </w:p>
          <w:p w:rsidR="000D7780" w:rsidRPr="000D5690" w:rsidRDefault="0061555F" w:rsidP="00F45372">
            <w:pPr>
              <w:pStyle w:val="Docoriginal"/>
              <w:rPr>
                <w:b w:val="0"/>
                <w:spacing w:val="0"/>
                <w:lang w:val="es-ES_tradnl"/>
              </w:rPr>
            </w:pPr>
            <w:r w:rsidRPr="000D5690">
              <w:rPr>
                <w:rStyle w:val="StyleDoclangBold"/>
                <w:b/>
                <w:bCs/>
                <w:spacing w:val="0"/>
                <w:lang w:val="es-ES_tradnl"/>
              </w:rPr>
              <w:t>ORIGINAL</w:t>
            </w:r>
            <w:r w:rsidR="000D7780" w:rsidRPr="000D5690">
              <w:rPr>
                <w:rStyle w:val="StyleDoclangBold"/>
                <w:b/>
                <w:bCs/>
                <w:spacing w:val="0"/>
                <w:lang w:val="es-ES_tradnl"/>
              </w:rPr>
              <w:t>:</w:t>
            </w:r>
            <w:r w:rsidRPr="000D5690">
              <w:rPr>
                <w:rStyle w:val="StyleDocoriginalNotBold1"/>
                <w:spacing w:val="0"/>
                <w:lang w:val="es-ES_tradnl"/>
              </w:rPr>
              <w:t xml:space="preserve"> </w:t>
            </w:r>
            <w:r w:rsidR="000D7780" w:rsidRPr="000D5690">
              <w:rPr>
                <w:rStyle w:val="StyleDocoriginalNotBold1"/>
                <w:spacing w:val="0"/>
                <w:lang w:val="es-ES_tradnl"/>
              </w:rPr>
              <w:t xml:space="preserve"> </w:t>
            </w:r>
            <w:bookmarkStart w:id="1" w:name="Original"/>
            <w:bookmarkEnd w:id="1"/>
            <w:r w:rsidR="00A47CDB" w:rsidRPr="000D5690">
              <w:rPr>
                <w:b w:val="0"/>
                <w:spacing w:val="0"/>
                <w:lang w:val="es-ES_tradnl"/>
              </w:rPr>
              <w:t>Inglés</w:t>
            </w:r>
          </w:p>
          <w:p w:rsidR="000D7780" w:rsidRPr="000D5690" w:rsidRDefault="00A47CDB" w:rsidP="005253AC">
            <w:pPr>
              <w:pStyle w:val="Docoriginal"/>
              <w:rPr>
                <w:lang w:val="es-ES_tradnl"/>
              </w:rPr>
            </w:pPr>
            <w:r w:rsidRPr="000D5690">
              <w:rPr>
                <w:spacing w:val="0"/>
                <w:lang w:val="es-ES_tradnl"/>
              </w:rPr>
              <w:t>FECHA</w:t>
            </w:r>
            <w:r w:rsidR="000D7780" w:rsidRPr="000D5690">
              <w:rPr>
                <w:spacing w:val="0"/>
                <w:lang w:val="es-ES_tradnl"/>
              </w:rPr>
              <w:t>:</w:t>
            </w:r>
            <w:r w:rsidR="0061555F" w:rsidRPr="000D5690">
              <w:rPr>
                <w:b w:val="0"/>
                <w:spacing w:val="0"/>
                <w:lang w:val="es-ES_tradnl"/>
              </w:rPr>
              <w:t xml:space="preserve"> </w:t>
            </w:r>
            <w:r w:rsidR="000D7780" w:rsidRPr="000D5690">
              <w:rPr>
                <w:rStyle w:val="StyleDocoriginalNotBold1"/>
                <w:spacing w:val="0"/>
                <w:lang w:val="es-ES_tradnl"/>
              </w:rPr>
              <w:t xml:space="preserve"> </w:t>
            </w:r>
            <w:bookmarkStart w:id="2" w:name="Date"/>
            <w:bookmarkEnd w:id="2"/>
            <w:r w:rsidR="005253AC" w:rsidRPr="000D5690">
              <w:rPr>
                <w:rStyle w:val="StyleDocoriginalNotBold1"/>
                <w:spacing w:val="0"/>
                <w:lang w:val="es-ES_tradnl"/>
              </w:rPr>
              <w:t>16 de marzo de 2016</w:t>
            </w:r>
          </w:p>
        </w:tc>
      </w:tr>
      <w:tr w:rsidR="000D7780" w:rsidRPr="00E30CEB" w:rsidTr="00C13808">
        <w:tc>
          <w:tcPr>
            <w:tcW w:w="10131" w:type="dxa"/>
            <w:gridSpan w:val="3"/>
          </w:tcPr>
          <w:p w:rsidR="000D7780" w:rsidRPr="000D5690" w:rsidRDefault="00A47CDB" w:rsidP="00F45372">
            <w:pPr>
              <w:pStyle w:val="upove"/>
              <w:rPr>
                <w:sz w:val="28"/>
                <w:lang w:val="es-ES_tradnl"/>
              </w:rPr>
            </w:pPr>
            <w:r w:rsidRPr="000D5690">
              <w:rPr>
                <w:spacing w:val="2"/>
                <w:lang w:val="es-ES_tradnl"/>
              </w:rPr>
              <w:t>UNIÓN INTERNACIONAL PARA LA PROTECCIÓN DE LAS OBTENCIONES VEGETALES</w:t>
            </w:r>
          </w:p>
        </w:tc>
      </w:tr>
      <w:tr w:rsidR="000D7780" w:rsidRPr="000D5690" w:rsidTr="00C13808">
        <w:tc>
          <w:tcPr>
            <w:tcW w:w="10131" w:type="dxa"/>
            <w:gridSpan w:val="3"/>
          </w:tcPr>
          <w:p w:rsidR="000D7780" w:rsidRPr="000D5690" w:rsidRDefault="00A47CDB" w:rsidP="00F45372">
            <w:pPr>
              <w:pStyle w:val="Country"/>
              <w:rPr>
                <w:lang w:val="es-ES_tradnl"/>
              </w:rPr>
            </w:pPr>
            <w:r w:rsidRPr="000D5690">
              <w:rPr>
                <w:lang w:val="es-ES_tradnl"/>
              </w:rPr>
              <w:t>Ginebra</w:t>
            </w:r>
          </w:p>
        </w:tc>
      </w:tr>
    </w:tbl>
    <w:p w:rsidR="000D7780" w:rsidRPr="000D5690" w:rsidRDefault="00A47CDB" w:rsidP="00F45372">
      <w:pPr>
        <w:pStyle w:val="Sessiontc"/>
        <w:rPr>
          <w:lang w:val="es-ES_tradnl"/>
        </w:rPr>
      </w:pPr>
      <w:r w:rsidRPr="000D5690">
        <w:rPr>
          <w:lang w:val="es-ES_tradnl"/>
        </w:rPr>
        <w:t>Comité TÉCNICO</w:t>
      </w:r>
    </w:p>
    <w:p w:rsidR="00E047CC" w:rsidRPr="000D5690" w:rsidRDefault="007F4BB2" w:rsidP="00E047CC">
      <w:pPr>
        <w:pStyle w:val="Sessiontcplacedate"/>
        <w:rPr>
          <w:lang w:val="es-ES_tradnl"/>
        </w:rPr>
      </w:pPr>
      <w:r w:rsidRPr="000D5690">
        <w:rPr>
          <w:lang w:val="es-ES_tradnl"/>
        </w:rPr>
        <w:t>Quincua</w:t>
      </w:r>
      <w:r w:rsidR="00A47CDB" w:rsidRPr="000D5690">
        <w:rPr>
          <w:lang w:val="es-ES_tradnl"/>
        </w:rPr>
        <w:t xml:space="preserve">gésima </w:t>
      </w:r>
      <w:r w:rsidR="00D17133" w:rsidRPr="000D5690">
        <w:rPr>
          <w:lang w:val="es-ES_tradnl"/>
        </w:rPr>
        <w:t xml:space="preserve">segunda </w:t>
      </w:r>
      <w:r w:rsidR="00A47CDB" w:rsidRPr="000D5690">
        <w:rPr>
          <w:lang w:val="es-ES_tradnl"/>
        </w:rPr>
        <w:t>sesión</w:t>
      </w:r>
      <w:r w:rsidR="00A47CDB" w:rsidRPr="000D5690">
        <w:rPr>
          <w:lang w:val="es-ES_tradnl"/>
        </w:rPr>
        <w:br/>
        <w:t xml:space="preserve">Ginebra, </w:t>
      </w:r>
      <w:r w:rsidR="00D17133" w:rsidRPr="000D5690">
        <w:rPr>
          <w:lang w:val="es-ES_tradnl"/>
        </w:rPr>
        <w:t>14</w:t>
      </w:r>
      <w:r w:rsidR="008A1693" w:rsidRPr="000D5690">
        <w:rPr>
          <w:lang w:val="es-ES_tradnl"/>
        </w:rPr>
        <w:t xml:space="preserve"> a </w:t>
      </w:r>
      <w:r w:rsidR="00D17133" w:rsidRPr="000D5690">
        <w:rPr>
          <w:lang w:val="es-ES_tradnl"/>
        </w:rPr>
        <w:t>16</w:t>
      </w:r>
      <w:r w:rsidR="008A1693" w:rsidRPr="000D5690">
        <w:rPr>
          <w:lang w:val="es-ES_tradnl"/>
        </w:rPr>
        <w:t xml:space="preserve"> </w:t>
      </w:r>
      <w:r w:rsidR="00F77B84" w:rsidRPr="000D5690">
        <w:rPr>
          <w:lang w:val="es-ES_tradnl"/>
        </w:rPr>
        <w:t>de</w:t>
      </w:r>
      <w:r w:rsidR="008A1693" w:rsidRPr="000D5690">
        <w:rPr>
          <w:lang w:val="es-ES_tradnl"/>
        </w:rPr>
        <w:t xml:space="preserve"> </w:t>
      </w:r>
      <w:r w:rsidR="00AA65E7" w:rsidRPr="000D5690">
        <w:rPr>
          <w:lang w:val="es-ES_tradnl"/>
        </w:rPr>
        <w:t xml:space="preserve">marzo </w:t>
      </w:r>
      <w:r w:rsidR="008A1693" w:rsidRPr="000D5690">
        <w:rPr>
          <w:lang w:val="es-ES_tradnl"/>
        </w:rPr>
        <w:t>de 201</w:t>
      </w:r>
      <w:r w:rsidR="00D17133" w:rsidRPr="000D5690">
        <w:rPr>
          <w:lang w:val="es-ES_tradnl"/>
        </w:rPr>
        <w:t>6</w:t>
      </w:r>
    </w:p>
    <w:p w:rsidR="00E047CC" w:rsidRPr="000D5690" w:rsidRDefault="005253AC" w:rsidP="00E047CC">
      <w:pPr>
        <w:pStyle w:val="Titleofdoc0"/>
        <w:rPr>
          <w:lang w:val="es-ES_tradnl"/>
        </w:rPr>
      </w:pPr>
      <w:bookmarkStart w:id="3" w:name="TitleOfDoc"/>
      <w:bookmarkEnd w:id="3"/>
      <w:r w:rsidRPr="000D5690">
        <w:rPr>
          <w:lang w:val="es-ES_tradnl"/>
        </w:rPr>
        <w:t>INFORME</w:t>
      </w:r>
      <w:r w:rsidR="007703AE">
        <w:rPr>
          <w:lang w:val="es-ES_tradnl"/>
        </w:rPr>
        <w:t xml:space="preserve"> revisado</w:t>
      </w:r>
    </w:p>
    <w:p w:rsidR="00E047CC" w:rsidRPr="000D5690" w:rsidRDefault="005253AC" w:rsidP="00E047CC">
      <w:pPr>
        <w:pStyle w:val="preparedby1"/>
        <w:rPr>
          <w:lang w:val="es-ES_tradnl"/>
        </w:rPr>
      </w:pPr>
      <w:bookmarkStart w:id="4" w:name="Prepared"/>
      <w:bookmarkEnd w:id="4"/>
      <w:proofErr w:type="gramStart"/>
      <w:r w:rsidRPr="000D5690">
        <w:rPr>
          <w:lang w:val="es-ES_tradnl"/>
        </w:rPr>
        <w:t>aprobado</w:t>
      </w:r>
      <w:proofErr w:type="gramEnd"/>
      <w:r w:rsidRPr="000D5690">
        <w:rPr>
          <w:lang w:val="es-ES_tradnl"/>
        </w:rPr>
        <w:t xml:space="preserve"> por el Comité Técnico</w:t>
      </w:r>
      <w:r w:rsidR="00E047CC" w:rsidRPr="000D5690">
        <w:rPr>
          <w:lang w:val="es-ES_tradnl"/>
        </w:rPr>
        <w:br/>
      </w:r>
      <w:r w:rsidR="00E047CC" w:rsidRPr="000D5690">
        <w:rPr>
          <w:lang w:val="es-ES_tradnl"/>
        </w:rPr>
        <w:br/>
      </w:r>
      <w:r w:rsidR="00E047CC" w:rsidRPr="000D5690">
        <w:rPr>
          <w:color w:val="A6A6A6"/>
          <w:lang w:val="es-ES_tradnl"/>
        </w:rPr>
        <w:t>Descargo de responsabilidad:  el presente documento no constituye</w:t>
      </w:r>
      <w:r w:rsidR="00E047CC" w:rsidRPr="000D5690">
        <w:rPr>
          <w:color w:val="A6A6A6"/>
          <w:lang w:val="es-ES_tradnl"/>
        </w:rPr>
        <w:br/>
        <w:t>un documento de política u orientación de la UPOV</w:t>
      </w:r>
    </w:p>
    <w:p w:rsidR="005253AC" w:rsidRPr="00D6704A" w:rsidRDefault="003E6509" w:rsidP="005253AC">
      <w:pPr>
        <w:rPr>
          <w:snapToGrid w:val="0"/>
          <w:u w:val="single"/>
          <w:lang w:val="es-ES"/>
        </w:rPr>
      </w:pPr>
      <w:r w:rsidRPr="000D5690">
        <w:rPr>
          <w:snapToGrid w:val="0"/>
          <w:u w:val="single"/>
          <w:lang w:val="es-ES_tradnl"/>
        </w:rPr>
        <w:t>Apertura de la sesión</w:t>
      </w:r>
    </w:p>
    <w:p w:rsidR="005253AC" w:rsidRPr="00D6704A" w:rsidRDefault="005253AC" w:rsidP="005253AC">
      <w:pPr>
        <w:rPr>
          <w:snapToGrid w:val="0"/>
          <w:u w:val="single"/>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 Arabic </w:instrText>
      </w:r>
      <w:r w:rsidRPr="000D5690">
        <w:fldChar w:fldCharType="end"/>
      </w:r>
      <w:r w:rsidR="005253AC" w:rsidRPr="00D6704A">
        <w:rPr>
          <w:lang w:val="es-ES"/>
        </w:rPr>
        <w:tab/>
      </w:r>
      <w:r w:rsidR="003E6509" w:rsidRPr="000D5690">
        <w:rPr>
          <w:lang w:val="es-ES_tradnl"/>
        </w:rPr>
        <w:t>El Comité Técnico (TC) celebró su quincuagésima segunda se</w:t>
      </w:r>
      <w:r w:rsidR="00E30CEB">
        <w:rPr>
          <w:lang w:val="es-ES_tradnl"/>
        </w:rPr>
        <w:t xml:space="preserve">sión en Ginebra del </w:t>
      </w:r>
      <w:r w:rsidR="007703AE">
        <w:rPr>
          <w:lang w:val="es-ES_tradnl"/>
        </w:rPr>
        <w:br/>
      </w:r>
      <w:r w:rsidR="00E30CEB">
        <w:rPr>
          <w:lang w:val="es-ES_tradnl"/>
        </w:rPr>
        <w:t>14 al 16 de </w:t>
      </w:r>
      <w:r w:rsidR="003E6509" w:rsidRPr="000D5690">
        <w:rPr>
          <w:lang w:val="es-ES_tradnl"/>
        </w:rPr>
        <w:t>marzo de 2016.</w:t>
      </w:r>
      <w:r w:rsidR="005253AC" w:rsidRPr="00D6704A">
        <w:rPr>
          <w:lang w:val="es-ES"/>
        </w:rPr>
        <w:t xml:space="preserve">  </w:t>
      </w:r>
      <w:r w:rsidR="003E6509" w:rsidRPr="000D5690">
        <w:rPr>
          <w:lang w:val="es-ES_tradnl"/>
        </w:rPr>
        <w:t>La lista de participantes figura en el Anexo I del presente informe.</w:t>
      </w:r>
    </w:p>
    <w:p w:rsidR="005253AC" w:rsidRPr="00D6704A" w:rsidRDefault="005253AC" w:rsidP="005253AC">
      <w:pPr>
        <w:rPr>
          <w:snapToGrid w:val="0"/>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 Arabic </w:instrText>
      </w:r>
      <w:r w:rsidRPr="000D5690">
        <w:fldChar w:fldCharType="end"/>
      </w:r>
      <w:r w:rsidR="005253AC" w:rsidRPr="00D6704A">
        <w:rPr>
          <w:lang w:val="es-ES"/>
        </w:rPr>
        <w:tab/>
      </w:r>
      <w:r w:rsidR="009E112A" w:rsidRPr="000D5690">
        <w:rPr>
          <w:lang w:val="es-ES_tradnl"/>
        </w:rPr>
        <w:t>La sesión fue inaugurada por el Sr. Alejandro Barrientos Priego (México), Presidente del TC, quien dio la bienvenida a los participantes.</w:t>
      </w:r>
    </w:p>
    <w:p w:rsidR="005253AC" w:rsidRPr="00D6704A" w:rsidRDefault="005253AC" w:rsidP="005253AC">
      <w:pPr>
        <w:rPr>
          <w:snapToGrid w:val="0"/>
          <w:lang w:val="es-ES"/>
        </w:rPr>
      </w:pPr>
    </w:p>
    <w:p w:rsidR="005253AC" w:rsidRPr="00D6704A" w:rsidRDefault="00791298" w:rsidP="005253AC">
      <w:pPr>
        <w:rPr>
          <w:snapToGrid w:val="0"/>
          <w:lang w:val="es-ES"/>
        </w:rPr>
      </w:pPr>
      <w:r w:rsidRPr="000D5690">
        <w:rPr>
          <w:snapToGrid w:val="0"/>
        </w:rPr>
        <w:fldChar w:fldCharType="begin"/>
      </w:r>
      <w:r w:rsidR="005253AC" w:rsidRPr="00D6704A">
        <w:rPr>
          <w:snapToGrid w:val="0"/>
          <w:lang w:val="es-ES"/>
        </w:rPr>
        <w:instrText xml:space="preserve"> AUTONUM  </w:instrText>
      </w:r>
      <w:r w:rsidRPr="000D5690">
        <w:rPr>
          <w:snapToGrid w:val="0"/>
        </w:rPr>
        <w:fldChar w:fldCharType="end"/>
      </w:r>
      <w:r w:rsidR="005253AC" w:rsidRPr="00D6704A">
        <w:rPr>
          <w:snapToGrid w:val="0"/>
          <w:lang w:val="es-ES"/>
        </w:rPr>
        <w:tab/>
      </w:r>
      <w:r w:rsidR="009E112A" w:rsidRPr="000D5690">
        <w:rPr>
          <w:snapToGrid w:val="0"/>
          <w:lang w:val="es-ES_tradnl"/>
        </w:rPr>
        <w:t>El Presidente informó de que el Canadá depositó su instrumento de ratificación del Acta de 1991 del Convenio de la UPOV el 19 de junio de 2015, convirtiéndose en el quincuagésimo tercer miembro obligado por el Acta de 1991 del Convenio de la UPOV.</w:t>
      </w:r>
    </w:p>
    <w:p w:rsidR="005253AC" w:rsidRPr="00D6704A" w:rsidRDefault="005253AC" w:rsidP="005253AC">
      <w:pPr>
        <w:rPr>
          <w:snapToGrid w:val="0"/>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 Arabic </w:instrText>
      </w:r>
      <w:r w:rsidRPr="000D5690">
        <w:fldChar w:fldCharType="end"/>
      </w:r>
      <w:r w:rsidR="005253AC" w:rsidRPr="00D6704A">
        <w:rPr>
          <w:lang w:val="es-ES"/>
        </w:rPr>
        <w:tab/>
      </w:r>
      <w:r w:rsidR="00721575" w:rsidRPr="000D5690">
        <w:rPr>
          <w:lang w:val="es-ES_tradnl"/>
        </w:rPr>
        <w:t xml:space="preserve">El Presidente informó de que Montenegro y la República Unida de Tanzania depositaron sus instrumentos de adhesión al Convenio de la UPOV el 24 de agosto y el 22 de octubre de 2015, pasando a ser los miembros de la UPOV septuagésimo tercero y septuagésimo cuarto, respectivamente, </w:t>
      </w:r>
      <w:r w:rsidR="00A237E3" w:rsidRPr="000D5690">
        <w:rPr>
          <w:lang w:val="es-ES_tradnl"/>
        </w:rPr>
        <w:t xml:space="preserve">de modo </w:t>
      </w:r>
      <w:r w:rsidR="00721575" w:rsidRPr="000D5690">
        <w:rPr>
          <w:lang w:val="es-ES_tradnl"/>
        </w:rPr>
        <w:t>que el Convenio de la UPOV se aplica ahora en 93 estados.</w:t>
      </w:r>
      <w:r w:rsidR="005253AC" w:rsidRPr="00D6704A">
        <w:rPr>
          <w:lang w:val="es-ES"/>
        </w:rPr>
        <w:t xml:space="preserve">  </w:t>
      </w:r>
    </w:p>
    <w:p w:rsidR="005253AC" w:rsidRPr="00D6704A" w:rsidRDefault="005253AC" w:rsidP="005253AC">
      <w:pPr>
        <w:jc w:val="left"/>
        <w:rPr>
          <w:lang w:val="es-ES"/>
        </w:rPr>
      </w:pPr>
    </w:p>
    <w:p w:rsidR="005253AC" w:rsidRPr="00D6704A" w:rsidRDefault="005253AC" w:rsidP="005253AC">
      <w:pPr>
        <w:jc w:val="left"/>
        <w:rPr>
          <w:lang w:val="es-ES"/>
        </w:rPr>
      </w:pPr>
    </w:p>
    <w:p w:rsidR="005253AC" w:rsidRPr="00D6704A" w:rsidRDefault="00721575" w:rsidP="005253AC">
      <w:pPr>
        <w:keepNext/>
        <w:rPr>
          <w:u w:val="single"/>
          <w:lang w:val="es-ES"/>
        </w:rPr>
      </w:pPr>
      <w:r w:rsidRPr="000D5690">
        <w:rPr>
          <w:u w:val="single"/>
          <w:lang w:val="es-ES_tradnl"/>
        </w:rPr>
        <w:t>Aprobación del orden del día</w:t>
      </w:r>
    </w:p>
    <w:p w:rsidR="005253AC" w:rsidRPr="00D6704A" w:rsidRDefault="005253AC" w:rsidP="005253AC">
      <w:pPr>
        <w:keepNext/>
        <w:rPr>
          <w:lang w:val="es-ES"/>
        </w:rPr>
      </w:pPr>
    </w:p>
    <w:p w:rsidR="005253AC" w:rsidRPr="00D6704A" w:rsidRDefault="00791298" w:rsidP="005253AC">
      <w:pPr>
        <w:keepNext/>
        <w:rPr>
          <w:lang w:val="es-ES"/>
        </w:rPr>
      </w:pPr>
      <w:r w:rsidRPr="000D5690">
        <w:fldChar w:fldCharType="begin"/>
      </w:r>
      <w:r w:rsidR="005253AC" w:rsidRPr="00D6704A">
        <w:rPr>
          <w:lang w:val="es-ES"/>
        </w:rPr>
        <w:instrText xml:space="preserve"> AUTONUM  \* Arabic </w:instrText>
      </w:r>
      <w:r w:rsidRPr="000D5690">
        <w:fldChar w:fldCharType="end"/>
      </w:r>
      <w:r w:rsidR="005253AC" w:rsidRPr="00D6704A">
        <w:rPr>
          <w:lang w:val="es-ES"/>
        </w:rPr>
        <w:tab/>
      </w:r>
      <w:r w:rsidR="00721575" w:rsidRPr="000D5690">
        <w:rPr>
          <w:lang w:val="es-ES_tradnl"/>
        </w:rPr>
        <w:t>El TC aprobó el orden del día que consta en el documento TC/52/1 Rev.</w:t>
      </w:r>
      <w:r w:rsidR="005253AC" w:rsidRPr="00D6704A">
        <w:rPr>
          <w:lang w:val="es-ES"/>
        </w:rPr>
        <w:t xml:space="preserve">  </w:t>
      </w:r>
    </w:p>
    <w:p w:rsidR="005253AC" w:rsidRPr="00D6704A" w:rsidRDefault="005253AC" w:rsidP="005253AC">
      <w:pPr>
        <w:rPr>
          <w:lang w:val="es-ES"/>
        </w:rPr>
      </w:pPr>
    </w:p>
    <w:p w:rsidR="005253AC" w:rsidRPr="00D6704A" w:rsidRDefault="005253AC" w:rsidP="005253AC">
      <w:pPr>
        <w:rPr>
          <w:lang w:val="es-ES"/>
        </w:rPr>
      </w:pPr>
    </w:p>
    <w:p w:rsidR="005253AC" w:rsidRPr="00D6704A" w:rsidRDefault="00721575" w:rsidP="005253AC">
      <w:pPr>
        <w:pStyle w:val="Heading2"/>
        <w:rPr>
          <w:lang w:val="es-ES"/>
        </w:rPr>
      </w:pPr>
      <w:r w:rsidRPr="000D5690">
        <w:rPr>
          <w:lang w:val="es-ES_tradnl"/>
        </w:rPr>
        <w:t>Informe sobre las novedades acaecidas en la UPOV, donde figuran las cuestiones pertinentes examinadas en las últimas sesiones de Comité Administrativo y Jurídico, el Comité Consultivo y el Consejo (informe verbal del Secretario General Adjunto)</w:t>
      </w:r>
    </w:p>
    <w:p w:rsidR="005253AC" w:rsidRPr="00D6704A" w:rsidRDefault="005253AC" w:rsidP="005253AC">
      <w:pPr>
        <w:keepNext/>
        <w:rPr>
          <w:snapToGrid w:val="0"/>
          <w:lang w:val="es-ES"/>
        </w:rPr>
      </w:pPr>
    </w:p>
    <w:p w:rsidR="005253AC" w:rsidRPr="00D6704A" w:rsidRDefault="00791298" w:rsidP="005253AC">
      <w:pPr>
        <w:keepNext/>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721575" w:rsidRPr="000D5690">
        <w:rPr>
          <w:lang w:val="es-ES_tradnl"/>
        </w:rPr>
        <w:t>El TC examinó el documento TC/52/10 y escuchó un informe verbal del Secretario General Adjunto.</w:t>
      </w:r>
    </w:p>
    <w:p w:rsidR="005253AC" w:rsidRPr="00D6704A" w:rsidRDefault="005253AC" w:rsidP="005253AC">
      <w:pPr>
        <w:rPr>
          <w:lang w:val="es-ES"/>
        </w:rPr>
      </w:pPr>
    </w:p>
    <w:p w:rsidR="005253AC" w:rsidRPr="00D6704A" w:rsidRDefault="00791298" w:rsidP="005253AC">
      <w:pPr>
        <w:rPr>
          <w:rFonts w:cs="Arial"/>
          <w:snapToGrid w:val="0"/>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721575" w:rsidRPr="000D5690">
        <w:rPr>
          <w:rFonts w:cs="Arial"/>
          <w:snapToGrid w:val="0"/>
          <w:lang w:val="es-ES_tradnl"/>
        </w:rPr>
        <w:t xml:space="preserve">El TC tomó nota de las novedades acaecidas en la UPOV, incluidas las cuestiones pertinentes debatidas en las últimas sesiones del </w:t>
      </w:r>
      <w:r w:rsidR="00793CDA" w:rsidRPr="000D5690">
        <w:rPr>
          <w:rFonts w:cs="Arial"/>
          <w:snapToGrid w:val="0"/>
          <w:lang w:val="es-ES_tradnl"/>
        </w:rPr>
        <w:t xml:space="preserve">Comité Administrativo </w:t>
      </w:r>
      <w:r w:rsidR="00721575" w:rsidRPr="000D5690">
        <w:rPr>
          <w:rFonts w:cs="Arial"/>
          <w:snapToGrid w:val="0"/>
          <w:lang w:val="es-ES_tradnl"/>
        </w:rPr>
        <w:t xml:space="preserve">y </w:t>
      </w:r>
      <w:r w:rsidR="00793CDA" w:rsidRPr="000D5690">
        <w:rPr>
          <w:rFonts w:cs="Arial"/>
          <w:snapToGrid w:val="0"/>
          <w:lang w:val="es-ES_tradnl"/>
        </w:rPr>
        <w:t>J</w:t>
      </w:r>
      <w:r w:rsidR="00721575" w:rsidRPr="000D5690">
        <w:rPr>
          <w:rFonts w:cs="Arial"/>
          <w:snapToGrid w:val="0"/>
          <w:lang w:val="es-ES_tradnl"/>
        </w:rPr>
        <w:t xml:space="preserve">urídico, el </w:t>
      </w:r>
      <w:r w:rsidR="00793CDA" w:rsidRPr="000D5690">
        <w:rPr>
          <w:rFonts w:cs="Arial"/>
          <w:snapToGrid w:val="0"/>
          <w:lang w:val="es-ES_tradnl"/>
        </w:rPr>
        <w:t xml:space="preserve">Comité Consultivo </w:t>
      </w:r>
      <w:r w:rsidR="00721575" w:rsidRPr="000D5690">
        <w:rPr>
          <w:rFonts w:cs="Arial"/>
          <w:snapToGrid w:val="0"/>
          <w:lang w:val="es-ES_tradnl"/>
        </w:rPr>
        <w:t xml:space="preserve">y el </w:t>
      </w:r>
      <w:r w:rsidR="00793CDA" w:rsidRPr="000D5690">
        <w:rPr>
          <w:rFonts w:cs="Arial"/>
          <w:snapToGrid w:val="0"/>
          <w:lang w:val="es-ES_tradnl"/>
        </w:rPr>
        <w:t>C</w:t>
      </w:r>
      <w:r w:rsidR="00721575" w:rsidRPr="000D5690">
        <w:rPr>
          <w:rFonts w:cs="Arial"/>
          <w:snapToGrid w:val="0"/>
          <w:lang w:val="es-ES_tradnl"/>
        </w:rPr>
        <w:t xml:space="preserve">onsejo, según lo expuesto en los párrafos 3 a 41 del documento </w:t>
      </w:r>
      <w:r w:rsidR="00793CDA" w:rsidRPr="000D5690">
        <w:rPr>
          <w:rFonts w:cs="Arial"/>
          <w:snapToGrid w:val="0"/>
          <w:lang w:val="es-ES_tradnl"/>
        </w:rPr>
        <w:t>TC</w:t>
      </w:r>
      <w:r w:rsidR="00721575" w:rsidRPr="000D5690">
        <w:rPr>
          <w:rFonts w:cs="Arial"/>
          <w:snapToGrid w:val="0"/>
          <w:lang w:val="es-ES_tradnl"/>
        </w:rPr>
        <w:t>/52/10.</w:t>
      </w:r>
    </w:p>
    <w:p w:rsidR="005253AC" w:rsidRPr="00D6704A" w:rsidRDefault="005253AC" w:rsidP="005253AC">
      <w:pPr>
        <w:rPr>
          <w:lang w:val="es-ES"/>
        </w:rPr>
      </w:pPr>
    </w:p>
    <w:p w:rsidR="005253AC" w:rsidRPr="00D6704A" w:rsidRDefault="00793CDA" w:rsidP="005253AC">
      <w:pPr>
        <w:pStyle w:val="Heading2"/>
        <w:rPr>
          <w:lang w:val="es-ES"/>
        </w:rPr>
      </w:pPr>
      <w:r w:rsidRPr="000D5690">
        <w:rPr>
          <w:lang w:val="es-ES_tradnl"/>
        </w:rPr>
        <w:lastRenderedPageBreak/>
        <w:t>Informes sobre la labor de los Grupos de Trabajo Técnico, incluido el Grupo de Trabajo sobre Técnicas Bioquímicas y Moleculares, y Perfiles de ADN en particular (BMT)</w:t>
      </w:r>
    </w:p>
    <w:p w:rsidR="005253AC" w:rsidRPr="00D6704A" w:rsidRDefault="005253AC" w:rsidP="005253AC">
      <w:pPr>
        <w:keepNext/>
        <w:rPr>
          <w:lang w:val="es-ES"/>
        </w:rPr>
      </w:pPr>
    </w:p>
    <w:p w:rsidR="005253AC" w:rsidRPr="00D6704A" w:rsidRDefault="00791298" w:rsidP="005253AC">
      <w:pPr>
        <w:keepNext/>
        <w:autoSpaceDE w:val="0"/>
        <w:autoSpaceDN w:val="0"/>
        <w:adjustRightInd w:val="0"/>
        <w:rPr>
          <w:lang w:val="es-ES"/>
        </w:rPr>
      </w:pPr>
      <w:r w:rsidRPr="000D5690">
        <w:fldChar w:fldCharType="begin"/>
      </w:r>
      <w:r w:rsidR="005253AC" w:rsidRPr="00D6704A">
        <w:rPr>
          <w:lang w:val="es-ES"/>
        </w:rPr>
        <w:instrText xml:space="preserve"> AUTONUM  \* Arabic </w:instrText>
      </w:r>
      <w:r w:rsidRPr="000D5690">
        <w:fldChar w:fldCharType="end"/>
      </w:r>
      <w:r w:rsidR="005253AC" w:rsidRPr="00D6704A">
        <w:rPr>
          <w:lang w:val="es-ES"/>
        </w:rPr>
        <w:tab/>
      </w:r>
      <w:r w:rsidR="00793CDA" w:rsidRPr="000D5690">
        <w:rPr>
          <w:lang w:val="es-ES_tradnl"/>
        </w:rPr>
        <w:t>El TC escuchó los informes orales sobre las actividades de los grupos de trabajo, presentados por los respectivos Presidentes del Grupo de Trabajo Técnico sobre Plantas Agrícolas (TWA), el Grupo de Trabajo Técnico sobre Automatización y Programas Informáticos (TWC), el Grupo de Trabajo Técnico sobre Plantas Frutales (TWF), el Grupo de Trabajo Técnico sobre Plantas Ornamentales y Árboles Forestales (TWO), el Grupo de Trabajo Técnico sobre Hortalizas (TWV) y el Grupo de Trabajo Técnico sobre Técnicas Bioquímicas y Moleculares, y Perfiles de ADN en particular (BMT).</w:t>
      </w:r>
      <w:r w:rsidR="005253AC" w:rsidRPr="00D6704A">
        <w:rPr>
          <w:lang w:val="es-ES"/>
        </w:rPr>
        <w:t xml:space="preserve">  </w:t>
      </w:r>
      <w:r w:rsidR="00793CDA" w:rsidRPr="000D5690">
        <w:rPr>
          <w:lang w:val="es-ES_tradnl"/>
        </w:rPr>
        <w:t>Los Presidentes ofrecieron los siguientes resúmenes de la labor.</w:t>
      </w:r>
    </w:p>
    <w:p w:rsidR="005253AC" w:rsidRPr="00D6704A" w:rsidRDefault="005253AC" w:rsidP="005253AC">
      <w:pPr>
        <w:rPr>
          <w:lang w:val="es-ES"/>
        </w:rPr>
      </w:pPr>
    </w:p>
    <w:p w:rsidR="005253AC" w:rsidRPr="00D6704A" w:rsidRDefault="00793CDA" w:rsidP="005253AC">
      <w:pPr>
        <w:pStyle w:val="Heading3"/>
        <w:rPr>
          <w:lang w:val="es-ES"/>
        </w:rPr>
      </w:pPr>
      <w:r w:rsidRPr="000D5690">
        <w:rPr>
          <w:lang w:val="es-ES_tradnl"/>
        </w:rPr>
        <w:t>Grupo de Trabajo Técnico sobre Plantas Agrícolas</w:t>
      </w:r>
      <w:r w:rsidR="005253AC" w:rsidRPr="00D6704A">
        <w:rPr>
          <w:lang w:val="es-ES"/>
        </w:rPr>
        <w:t xml:space="preserve"> </w:t>
      </w:r>
    </w:p>
    <w:p w:rsidR="005253AC" w:rsidRPr="00D6704A" w:rsidRDefault="005253AC" w:rsidP="005253AC">
      <w:pPr>
        <w:keepNext/>
        <w:rPr>
          <w:lang w:val="es-ES"/>
        </w:rPr>
      </w:pPr>
    </w:p>
    <w:p w:rsidR="005253AC" w:rsidRPr="00D6704A" w:rsidRDefault="00791298" w:rsidP="005253AC">
      <w:pPr>
        <w:keepNext/>
        <w:contextualSpacing/>
        <w:rPr>
          <w:rFonts w:cs="Arial"/>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793CDA" w:rsidRPr="000D5690">
        <w:rPr>
          <w:rFonts w:cs="Arial"/>
          <w:lang w:val="es-ES_tradnl"/>
        </w:rPr>
        <w:t>El TWA celebró su cuadragésim</w:t>
      </w:r>
      <w:r w:rsidR="000A1BB1" w:rsidRPr="000D5690">
        <w:rPr>
          <w:rFonts w:cs="Arial"/>
          <w:lang w:val="es-ES_tradnl"/>
        </w:rPr>
        <w:t>a</w:t>
      </w:r>
      <w:r w:rsidR="00793CDA" w:rsidRPr="000D5690">
        <w:rPr>
          <w:rFonts w:cs="Arial"/>
          <w:lang w:val="es-ES_tradnl"/>
        </w:rPr>
        <w:t xml:space="preserve"> cuart</w:t>
      </w:r>
      <w:r w:rsidR="000A1BB1" w:rsidRPr="000D5690">
        <w:rPr>
          <w:rFonts w:cs="Arial"/>
          <w:lang w:val="es-ES_tradnl"/>
        </w:rPr>
        <w:t>a</w:t>
      </w:r>
      <w:r w:rsidR="00793CDA" w:rsidRPr="000D5690">
        <w:rPr>
          <w:rFonts w:cs="Arial"/>
          <w:lang w:val="es-ES_tradnl"/>
        </w:rPr>
        <w:t xml:space="preserve"> sesi</w:t>
      </w:r>
      <w:r w:rsidR="000A1BB1" w:rsidRPr="000D5690">
        <w:rPr>
          <w:rFonts w:cs="Arial"/>
          <w:lang w:val="es-ES_tradnl"/>
        </w:rPr>
        <w:t>ó</w:t>
      </w:r>
      <w:r w:rsidR="00793CDA" w:rsidRPr="000D5690">
        <w:rPr>
          <w:rFonts w:cs="Arial"/>
          <w:lang w:val="es-ES_tradnl"/>
        </w:rPr>
        <w:t>n</w:t>
      </w:r>
      <w:r w:rsidR="000A1BB1" w:rsidRPr="000D5690">
        <w:rPr>
          <w:rFonts w:cs="Arial"/>
          <w:lang w:val="es-ES_tradnl"/>
        </w:rPr>
        <w:t xml:space="preserve"> </w:t>
      </w:r>
      <w:r w:rsidR="00793CDA" w:rsidRPr="000D5690">
        <w:rPr>
          <w:rFonts w:cs="Arial"/>
          <w:lang w:val="es-ES_tradnl"/>
        </w:rPr>
        <w:t xml:space="preserve">en </w:t>
      </w:r>
      <w:proofErr w:type="spellStart"/>
      <w:r w:rsidR="00793CDA" w:rsidRPr="000D5690">
        <w:rPr>
          <w:rFonts w:cs="Arial"/>
          <w:lang w:val="es-ES_tradnl"/>
        </w:rPr>
        <w:t>Obihiro</w:t>
      </w:r>
      <w:proofErr w:type="spellEnd"/>
      <w:r w:rsidR="000A1BB1" w:rsidRPr="000D5690">
        <w:rPr>
          <w:rFonts w:cs="Arial"/>
          <w:lang w:val="es-ES_tradnl"/>
        </w:rPr>
        <w:t xml:space="preserve"> (</w:t>
      </w:r>
      <w:r w:rsidR="00793CDA" w:rsidRPr="000D5690">
        <w:rPr>
          <w:rFonts w:cs="Arial"/>
          <w:lang w:val="es-ES_tradnl"/>
        </w:rPr>
        <w:t>Japón</w:t>
      </w:r>
      <w:r w:rsidR="000A1BB1" w:rsidRPr="000D5690">
        <w:rPr>
          <w:rFonts w:cs="Arial"/>
          <w:lang w:val="es-ES_tradnl"/>
        </w:rPr>
        <w:t>)</w:t>
      </w:r>
      <w:r w:rsidR="00793CDA" w:rsidRPr="000D5690">
        <w:rPr>
          <w:rFonts w:cs="Arial"/>
          <w:lang w:val="es-ES_tradnl"/>
        </w:rPr>
        <w:t>, del 6 al 10 de julio de 20</w:t>
      </w:r>
      <w:r w:rsidR="000A1BB1" w:rsidRPr="000D5690">
        <w:rPr>
          <w:rFonts w:cs="Arial"/>
          <w:lang w:val="es-ES_tradnl"/>
        </w:rPr>
        <w:t>15, bajo la presidencia del Sr. </w:t>
      </w:r>
      <w:r w:rsidR="00793CDA" w:rsidRPr="000D5690">
        <w:rPr>
          <w:rFonts w:cs="Arial"/>
          <w:lang w:val="es-ES_tradnl"/>
        </w:rPr>
        <w:t>Tanvir Hossain (Australia), Presidente de</w:t>
      </w:r>
      <w:r w:rsidR="000A1BB1" w:rsidRPr="000D5690">
        <w:rPr>
          <w:rFonts w:cs="Arial"/>
          <w:lang w:val="es-ES_tradnl"/>
        </w:rPr>
        <w:t>l</w:t>
      </w:r>
      <w:r w:rsidR="00793CDA" w:rsidRPr="000D5690">
        <w:rPr>
          <w:rFonts w:cs="Arial"/>
          <w:lang w:val="es-ES_tradnl"/>
        </w:rPr>
        <w:t xml:space="preserve"> TWA.</w:t>
      </w:r>
      <w:r w:rsidR="005253AC" w:rsidRPr="00D6704A">
        <w:rPr>
          <w:rFonts w:cs="Arial"/>
          <w:lang w:val="es-ES"/>
        </w:rPr>
        <w:t xml:space="preserve">  </w:t>
      </w:r>
      <w:r w:rsidR="000A1BB1" w:rsidRPr="000D5690">
        <w:rPr>
          <w:rFonts w:cs="Arial"/>
          <w:lang w:val="es-ES_tradnl"/>
        </w:rPr>
        <w:t>El informe detallado de la sesión figura en el documento</w:t>
      </w:r>
      <w:r w:rsidR="00A237E3" w:rsidRPr="000D5690">
        <w:rPr>
          <w:rFonts w:cs="Arial"/>
          <w:lang w:val="es-ES_tradnl"/>
        </w:rPr>
        <w:t> </w:t>
      </w:r>
      <w:r w:rsidR="000A1BB1" w:rsidRPr="000D5690">
        <w:rPr>
          <w:rFonts w:cs="Arial"/>
          <w:lang w:val="es-ES_tradnl"/>
        </w:rPr>
        <w:t>TWA/44/23 “</w:t>
      </w:r>
      <w:proofErr w:type="spellStart"/>
      <w:r w:rsidR="000A1BB1" w:rsidRPr="000D5690">
        <w:rPr>
          <w:rFonts w:cs="Arial"/>
          <w:i/>
          <w:lang w:val="es-ES_tradnl"/>
        </w:rPr>
        <w:t>Report</w:t>
      </w:r>
      <w:proofErr w:type="spellEnd"/>
      <w:r w:rsidR="000A1BB1" w:rsidRPr="000D5690">
        <w:rPr>
          <w:rFonts w:cs="Arial"/>
          <w:lang w:val="es-ES_tradnl"/>
        </w:rPr>
        <w:t>” (Informe).</w:t>
      </w:r>
    </w:p>
    <w:p w:rsidR="005253AC" w:rsidRPr="00D6704A" w:rsidRDefault="005253AC" w:rsidP="005253AC">
      <w:pPr>
        <w:contextualSpacing/>
        <w:rPr>
          <w:rFonts w:cs="Arial"/>
          <w:lang w:val="es-ES"/>
        </w:rPr>
      </w:pPr>
    </w:p>
    <w:p w:rsidR="005253AC" w:rsidRPr="00D6704A" w:rsidRDefault="00791298" w:rsidP="005253AC">
      <w:pPr>
        <w:contextualSpacing/>
        <w:rPr>
          <w:rFonts w:cs="Arial"/>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0A1BB1" w:rsidRPr="000D5690">
        <w:rPr>
          <w:rFonts w:cs="Arial"/>
          <w:lang w:val="es-ES_tradnl"/>
        </w:rPr>
        <w:t xml:space="preserve">La sesión contó con 38 participantes de 17 miembros de la Unión, </w:t>
      </w:r>
      <w:r w:rsidR="00853E47" w:rsidRPr="000D5690">
        <w:rPr>
          <w:rFonts w:cs="Arial"/>
          <w:lang w:val="es-ES_tradnl"/>
        </w:rPr>
        <w:t xml:space="preserve">9 </w:t>
      </w:r>
      <w:r w:rsidR="000A1BB1" w:rsidRPr="000D5690">
        <w:rPr>
          <w:rFonts w:cs="Arial"/>
          <w:lang w:val="es-ES_tradnl"/>
        </w:rPr>
        <w:t xml:space="preserve">Estados en calidad de observadores y </w:t>
      </w:r>
      <w:r w:rsidR="00853E47" w:rsidRPr="000D5690">
        <w:rPr>
          <w:rFonts w:cs="Arial"/>
          <w:lang w:val="es-ES_tradnl"/>
        </w:rPr>
        <w:t xml:space="preserve">3 </w:t>
      </w:r>
      <w:r w:rsidR="000A1BB1" w:rsidRPr="000D5690">
        <w:rPr>
          <w:rFonts w:cs="Arial"/>
          <w:lang w:val="es-ES_tradnl"/>
        </w:rPr>
        <w:t>organizaciones en calidad de observadoras.</w:t>
      </w:r>
      <w:r w:rsidR="005253AC" w:rsidRPr="00D6704A">
        <w:rPr>
          <w:rFonts w:cs="Arial"/>
          <w:lang w:val="es-ES"/>
        </w:rPr>
        <w:t xml:space="preserve">  </w:t>
      </w:r>
      <w:r w:rsidR="000A1BB1" w:rsidRPr="000D5690">
        <w:rPr>
          <w:rFonts w:cs="Arial"/>
          <w:lang w:val="es-ES_tradnl"/>
        </w:rPr>
        <w:t>El taller preparatorio</w:t>
      </w:r>
      <w:r w:rsidR="00853E47" w:rsidRPr="000D5690">
        <w:rPr>
          <w:rFonts w:cs="Arial"/>
          <w:lang w:val="es-ES_tradnl"/>
        </w:rPr>
        <w:t>,</w:t>
      </w:r>
      <w:r w:rsidR="000A1BB1" w:rsidRPr="000D5690">
        <w:rPr>
          <w:rFonts w:cs="Arial"/>
          <w:lang w:val="es-ES_tradnl"/>
        </w:rPr>
        <w:t xml:space="preserve"> </w:t>
      </w:r>
      <w:r w:rsidR="00853E47" w:rsidRPr="000D5690">
        <w:rPr>
          <w:rFonts w:cs="Arial"/>
          <w:lang w:val="es-ES_tradnl"/>
        </w:rPr>
        <w:t xml:space="preserve">al que </w:t>
      </w:r>
      <w:r w:rsidR="000A1BB1" w:rsidRPr="000D5690">
        <w:rPr>
          <w:rFonts w:cs="Arial"/>
          <w:lang w:val="es-ES_tradnl"/>
        </w:rPr>
        <w:t>asistier</w:t>
      </w:r>
      <w:r w:rsidR="007703AE">
        <w:rPr>
          <w:rFonts w:cs="Arial"/>
          <w:lang w:val="es-ES_tradnl"/>
        </w:rPr>
        <w:t>on 22 </w:t>
      </w:r>
      <w:r w:rsidR="000A1BB1" w:rsidRPr="000D5690">
        <w:rPr>
          <w:rFonts w:cs="Arial"/>
          <w:lang w:val="es-ES_tradnl"/>
        </w:rPr>
        <w:t xml:space="preserve">participantes de 9 miembros de la Unión y 10 Estados </w:t>
      </w:r>
      <w:r w:rsidR="00853E47" w:rsidRPr="000D5690">
        <w:rPr>
          <w:rFonts w:cs="Arial"/>
          <w:lang w:val="es-ES_tradnl"/>
        </w:rPr>
        <w:t xml:space="preserve">en calidad de </w:t>
      </w:r>
      <w:r w:rsidR="000A1BB1" w:rsidRPr="000D5690">
        <w:rPr>
          <w:rFonts w:cs="Arial"/>
          <w:lang w:val="es-ES_tradnl"/>
        </w:rPr>
        <w:t xml:space="preserve">observadores, se celebró el 5 de julio de </w:t>
      </w:r>
      <w:r w:rsidR="000A1BB1" w:rsidRPr="000D5690">
        <w:rPr>
          <w:rFonts w:cs="Arial"/>
          <w:color w:val="000000"/>
          <w:lang w:val="es-ES_tradnl"/>
        </w:rPr>
        <w:t xml:space="preserve">2015 </w:t>
      </w:r>
      <w:r w:rsidR="000A1BB1" w:rsidRPr="000D5690">
        <w:rPr>
          <w:rFonts w:cs="Arial"/>
          <w:lang w:val="es-ES_tradnl"/>
        </w:rPr>
        <w:t>por la tarde.</w:t>
      </w:r>
      <w:r w:rsidR="005253AC" w:rsidRPr="00D6704A">
        <w:rPr>
          <w:rFonts w:cs="Arial"/>
          <w:lang w:val="es-ES"/>
        </w:rPr>
        <w:t xml:space="preserve"> </w:t>
      </w:r>
    </w:p>
    <w:p w:rsidR="005253AC" w:rsidRPr="00D6704A" w:rsidRDefault="005253AC" w:rsidP="005253AC">
      <w:pPr>
        <w:contextualSpacing/>
        <w:rPr>
          <w:rFonts w:cs="Arial"/>
          <w:lang w:val="es-ES"/>
        </w:rPr>
      </w:pPr>
    </w:p>
    <w:p w:rsidR="005253AC" w:rsidRPr="00D6704A" w:rsidRDefault="00791298" w:rsidP="005253AC">
      <w:pPr>
        <w:contextualSpacing/>
        <w:rPr>
          <w:rFonts w:cs="Arial"/>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5800A7" w:rsidRPr="000D5690">
        <w:rPr>
          <w:rFonts w:cs="Arial"/>
          <w:lang w:val="es-ES_tradnl"/>
        </w:rPr>
        <w:t>Dio la bienvenida a</w:t>
      </w:r>
      <w:r w:rsidR="00853E47" w:rsidRPr="000D5690">
        <w:rPr>
          <w:rFonts w:cs="Arial"/>
          <w:lang w:val="es-ES_tradnl"/>
        </w:rPr>
        <w:t>l TWA el Sr.</w:t>
      </w:r>
      <w:r w:rsidR="005800A7" w:rsidRPr="000D5690">
        <w:rPr>
          <w:rFonts w:cs="Arial"/>
          <w:lang w:val="es-ES_tradnl"/>
        </w:rPr>
        <w:t> </w:t>
      </w:r>
      <w:proofErr w:type="spellStart"/>
      <w:r w:rsidR="00853E47" w:rsidRPr="000D5690">
        <w:rPr>
          <w:rFonts w:cs="Arial"/>
          <w:lang w:val="es-ES_tradnl"/>
        </w:rPr>
        <w:t>Katsuhiro</w:t>
      </w:r>
      <w:proofErr w:type="spellEnd"/>
      <w:r w:rsidR="00853E47" w:rsidRPr="000D5690">
        <w:rPr>
          <w:rFonts w:cs="Arial"/>
          <w:lang w:val="es-ES_tradnl"/>
        </w:rPr>
        <w:t xml:space="preserve"> </w:t>
      </w:r>
      <w:proofErr w:type="spellStart"/>
      <w:r w:rsidR="00853E47" w:rsidRPr="000D5690">
        <w:rPr>
          <w:rFonts w:cs="Arial"/>
          <w:lang w:val="es-ES_tradnl"/>
        </w:rPr>
        <w:t>Saka</w:t>
      </w:r>
      <w:proofErr w:type="spellEnd"/>
      <w:r w:rsidR="00853E47" w:rsidRPr="000D5690">
        <w:rPr>
          <w:rFonts w:cs="Arial"/>
          <w:lang w:val="es-ES_tradnl"/>
        </w:rPr>
        <w:t xml:space="preserve">, Director de </w:t>
      </w:r>
      <w:r w:rsidR="005800A7" w:rsidRPr="000D5690">
        <w:rPr>
          <w:rFonts w:cs="Arial"/>
          <w:lang w:val="es-ES_tradnl"/>
        </w:rPr>
        <w:t xml:space="preserve">la </w:t>
      </w:r>
      <w:r w:rsidR="00853E47" w:rsidRPr="000D5690">
        <w:rPr>
          <w:rFonts w:cs="Arial"/>
          <w:lang w:val="es-ES_tradnl"/>
        </w:rPr>
        <w:t xml:space="preserve">División de </w:t>
      </w:r>
      <w:r w:rsidR="005800A7" w:rsidRPr="000D5690">
        <w:rPr>
          <w:rFonts w:cs="Arial"/>
          <w:lang w:val="es-ES_tradnl"/>
        </w:rPr>
        <w:t xml:space="preserve">Nuevos Negocios y </w:t>
      </w:r>
      <w:r w:rsidR="00853E47" w:rsidRPr="000D5690">
        <w:rPr>
          <w:rFonts w:cs="Arial"/>
          <w:lang w:val="es-ES_tradnl"/>
        </w:rPr>
        <w:t xml:space="preserve">Propiedad Intelectual del Ministerio de </w:t>
      </w:r>
      <w:r w:rsidR="005800A7" w:rsidRPr="000D5690">
        <w:rPr>
          <w:rFonts w:cs="Arial"/>
          <w:lang w:val="es-ES_tradnl"/>
        </w:rPr>
        <w:t>Agricultura, Silvicultura y Pesca (MAFF)</w:t>
      </w:r>
      <w:r w:rsidR="00853E47" w:rsidRPr="000D5690">
        <w:rPr>
          <w:rFonts w:cs="Arial"/>
          <w:lang w:val="es-ES_tradnl"/>
        </w:rPr>
        <w:t>.</w:t>
      </w:r>
      <w:r w:rsidR="005253AC" w:rsidRPr="00D6704A">
        <w:rPr>
          <w:rFonts w:cs="Arial"/>
          <w:lang w:val="es-ES"/>
        </w:rPr>
        <w:t xml:space="preserve">  </w:t>
      </w:r>
      <w:r w:rsidR="005800A7" w:rsidRPr="000D5690">
        <w:rPr>
          <w:rFonts w:cs="Arial"/>
          <w:lang w:val="es-ES_tradnl"/>
        </w:rPr>
        <w:t xml:space="preserve">Tras la bienvenida, el TWA asistió a una ponencia sobre el sistema de protección de las obtenciones vegetales en el Japón </w:t>
      </w:r>
      <w:r w:rsidR="00D6449D" w:rsidRPr="000D5690">
        <w:rPr>
          <w:rFonts w:cs="Arial"/>
          <w:lang w:val="es-ES_tradnl"/>
        </w:rPr>
        <w:t>d</w:t>
      </w:r>
      <w:r w:rsidR="005800A7" w:rsidRPr="000D5690">
        <w:rPr>
          <w:rFonts w:cs="Arial"/>
          <w:lang w:val="es-ES_tradnl"/>
        </w:rPr>
        <w:t>el Sr. </w:t>
      </w:r>
      <w:proofErr w:type="spellStart"/>
      <w:r w:rsidR="005800A7" w:rsidRPr="000D5690">
        <w:rPr>
          <w:rFonts w:cs="Arial"/>
          <w:lang w:val="es-ES_tradnl"/>
        </w:rPr>
        <w:t>Katsumi</w:t>
      </w:r>
      <w:proofErr w:type="spellEnd"/>
      <w:r w:rsidR="005800A7" w:rsidRPr="000D5690">
        <w:rPr>
          <w:rFonts w:cs="Arial"/>
          <w:lang w:val="es-ES_tradnl"/>
        </w:rPr>
        <w:t xml:space="preserve"> Yamaguchi, Director de la Oficina de Protección de las Obtenciones Vegetales, División de Nuevos Negocios y la Propiedad Intelectual del MAFF.</w:t>
      </w:r>
      <w:r w:rsidR="005253AC" w:rsidRPr="00D6704A">
        <w:rPr>
          <w:rFonts w:cs="Arial"/>
          <w:lang w:val="es-ES"/>
        </w:rPr>
        <w:t xml:space="preserve">  </w:t>
      </w:r>
      <w:r w:rsidR="005800A7" w:rsidRPr="000D5690">
        <w:rPr>
          <w:rFonts w:cs="Arial"/>
          <w:lang w:val="es-ES_tradnl"/>
        </w:rPr>
        <w:t xml:space="preserve">El TWA también asistió a una ponencia sobre el fitomejoramiento de cultivos agrícolas en </w:t>
      </w:r>
      <w:r w:rsidR="00D6449D" w:rsidRPr="000D5690">
        <w:rPr>
          <w:rFonts w:cs="Arial"/>
          <w:lang w:val="es-ES_tradnl"/>
        </w:rPr>
        <w:t xml:space="preserve">el </w:t>
      </w:r>
      <w:r w:rsidR="005800A7" w:rsidRPr="000D5690">
        <w:rPr>
          <w:rFonts w:cs="Arial"/>
          <w:lang w:val="es-ES_tradnl"/>
        </w:rPr>
        <w:t>Japón, por el Sr. </w:t>
      </w:r>
      <w:proofErr w:type="spellStart"/>
      <w:r w:rsidR="005800A7" w:rsidRPr="000D5690">
        <w:rPr>
          <w:rFonts w:cs="Arial"/>
          <w:lang w:val="es-ES_tradnl"/>
        </w:rPr>
        <w:t>Ikuo</w:t>
      </w:r>
      <w:proofErr w:type="spellEnd"/>
      <w:r w:rsidR="005800A7" w:rsidRPr="000D5690">
        <w:rPr>
          <w:rFonts w:cs="Arial"/>
          <w:lang w:val="es-ES_tradnl"/>
        </w:rPr>
        <w:t xml:space="preserve"> Ando, Director de Investigaci</w:t>
      </w:r>
      <w:r w:rsidR="00D6449D" w:rsidRPr="000D5690">
        <w:rPr>
          <w:rFonts w:cs="Arial"/>
          <w:lang w:val="es-ES_tradnl"/>
        </w:rPr>
        <w:t>ones</w:t>
      </w:r>
      <w:r w:rsidR="005800A7" w:rsidRPr="000D5690">
        <w:rPr>
          <w:rFonts w:cs="Arial"/>
          <w:lang w:val="es-ES_tradnl"/>
        </w:rPr>
        <w:t xml:space="preserve"> sobre el Arroz de la Organización Nacional de Investigación Agrícola y Alimentaria (NARO).</w:t>
      </w:r>
    </w:p>
    <w:p w:rsidR="005253AC" w:rsidRPr="00D6704A" w:rsidRDefault="005253AC" w:rsidP="005253AC">
      <w:pPr>
        <w:contextualSpacing/>
        <w:rPr>
          <w:rFonts w:cs="Arial"/>
          <w:lang w:val="es-ES"/>
        </w:rPr>
      </w:pPr>
    </w:p>
    <w:p w:rsidR="005253AC" w:rsidRPr="00D6704A" w:rsidRDefault="00791298" w:rsidP="005253AC">
      <w:pPr>
        <w:contextualSpacing/>
        <w:rPr>
          <w:rFonts w:cs="Arial"/>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CC2DB3" w:rsidRPr="000D5690">
        <w:rPr>
          <w:rFonts w:cs="Arial"/>
          <w:lang w:val="es-ES_tradnl"/>
        </w:rPr>
        <w:t>El TWA aprobó el orden del día que figura en el documento TWA/44/1 Rev.</w:t>
      </w:r>
    </w:p>
    <w:p w:rsidR="005253AC" w:rsidRPr="00D6704A" w:rsidRDefault="005253AC" w:rsidP="005253AC">
      <w:pPr>
        <w:contextualSpacing/>
        <w:rPr>
          <w:rFonts w:cs="Arial"/>
          <w:lang w:val="es-ES"/>
        </w:rPr>
      </w:pPr>
    </w:p>
    <w:p w:rsidR="005253AC" w:rsidRPr="00D6704A" w:rsidRDefault="00791298" w:rsidP="005253AC">
      <w:pPr>
        <w:contextualSpacing/>
        <w:rPr>
          <w:rFonts w:cs="Arial"/>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CC2DB3" w:rsidRPr="000D5690">
        <w:rPr>
          <w:rFonts w:cs="Arial"/>
          <w:lang w:val="es-ES_tradnl"/>
        </w:rPr>
        <w:t>El TWA examinó el documento TWA/44/21 “</w:t>
      </w:r>
      <w:proofErr w:type="spellStart"/>
      <w:r w:rsidR="00CC2DB3" w:rsidRPr="00D6704A">
        <w:rPr>
          <w:rFonts w:cs="Arial"/>
          <w:i/>
          <w:lang w:val="es-ES"/>
        </w:rPr>
        <w:t>Reports</w:t>
      </w:r>
      <w:proofErr w:type="spellEnd"/>
      <w:r w:rsidR="00CC2DB3" w:rsidRPr="00D6704A">
        <w:rPr>
          <w:rFonts w:cs="Arial"/>
          <w:i/>
          <w:lang w:val="es-ES"/>
        </w:rPr>
        <w:t xml:space="preserve"> </w:t>
      </w:r>
      <w:proofErr w:type="spellStart"/>
      <w:r w:rsidR="00CC2DB3" w:rsidRPr="00D6704A">
        <w:rPr>
          <w:rFonts w:cs="Arial"/>
          <w:i/>
          <w:lang w:val="es-ES"/>
        </w:rPr>
        <w:t>on</w:t>
      </w:r>
      <w:proofErr w:type="spellEnd"/>
      <w:r w:rsidR="00CC2DB3" w:rsidRPr="00D6704A">
        <w:rPr>
          <w:rFonts w:cs="Arial"/>
          <w:i/>
          <w:lang w:val="es-ES"/>
        </w:rPr>
        <w:t xml:space="preserve"> </w:t>
      </w:r>
      <w:proofErr w:type="spellStart"/>
      <w:r w:rsidR="00CC2DB3" w:rsidRPr="00D6704A">
        <w:rPr>
          <w:rFonts w:cs="Arial"/>
          <w:i/>
          <w:lang w:val="es-ES"/>
        </w:rPr>
        <w:t>Developments</w:t>
      </w:r>
      <w:proofErr w:type="spellEnd"/>
      <w:r w:rsidR="00CC2DB3" w:rsidRPr="00D6704A">
        <w:rPr>
          <w:rFonts w:cs="Arial"/>
          <w:i/>
          <w:lang w:val="es-ES"/>
        </w:rPr>
        <w:t xml:space="preserve"> </w:t>
      </w:r>
      <w:proofErr w:type="spellStart"/>
      <w:r w:rsidR="00CC2DB3" w:rsidRPr="00D6704A">
        <w:rPr>
          <w:rFonts w:cs="Arial"/>
          <w:i/>
          <w:lang w:val="es-ES"/>
        </w:rPr>
        <w:t>within</w:t>
      </w:r>
      <w:proofErr w:type="spellEnd"/>
      <w:r w:rsidR="00CC2DB3" w:rsidRPr="00D6704A">
        <w:rPr>
          <w:rFonts w:cs="Arial"/>
          <w:i/>
          <w:lang w:val="es-ES"/>
        </w:rPr>
        <w:t xml:space="preserve"> UPOV</w:t>
      </w:r>
      <w:r w:rsidR="00CC2DB3" w:rsidRPr="000D5690">
        <w:rPr>
          <w:rFonts w:cs="Arial"/>
          <w:lang w:val="es-ES_tradnl"/>
        </w:rPr>
        <w:t xml:space="preserve">” (Informes sobre los avances logrados en la UPOV) y </w:t>
      </w:r>
      <w:r w:rsidR="00BC1A78" w:rsidRPr="000D5690">
        <w:rPr>
          <w:rFonts w:cs="Arial"/>
          <w:lang w:val="es-ES_tradnl"/>
        </w:rPr>
        <w:t xml:space="preserve">convino en </w:t>
      </w:r>
      <w:r w:rsidR="00CC2DB3" w:rsidRPr="000D5690">
        <w:rPr>
          <w:rFonts w:cs="Arial"/>
          <w:lang w:val="es-ES_tradnl"/>
        </w:rPr>
        <w:t>proponer que el curso de enseñanza a distancia en línea DL-305 se imparta dos veces en 2016, una vez en primavera y otra en otoño, para permitir la máxima participación de expertos en el examen DHE.</w:t>
      </w:r>
    </w:p>
    <w:p w:rsidR="005253AC" w:rsidRPr="00D6704A" w:rsidRDefault="005253AC" w:rsidP="005253AC">
      <w:pPr>
        <w:contextualSpacing/>
        <w:rPr>
          <w:rFonts w:cs="Arial"/>
          <w:lang w:val="es-ES"/>
        </w:rPr>
      </w:pPr>
    </w:p>
    <w:p w:rsidR="005253AC" w:rsidRPr="00D6704A" w:rsidRDefault="00791298" w:rsidP="005253AC">
      <w:pPr>
        <w:rPr>
          <w:rFonts w:cs="Arial"/>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CC2DB3" w:rsidRPr="000D5690">
        <w:rPr>
          <w:rFonts w:cs="Arial"/>
          <w:lang w:val="es-ES_tradnl"/>
        </w:rPr>
        <w:t>El TWA suscribió la orientación propuesta que figura en el párrafo 7 del documento TWA/44/13 “</w:t>
      </w:r>
      <w:r w:rsidR="00CC2DB3" w:rsidRPr="00D6704A">
        <w:rPr>
          <w:rFonts w:cs="Arial"/>
          <w:i/>
          <w:lang w:val="es-ES"/>
        </w:rPr>
        <w:t xml:space="preserve">Use of </w:t>
      </w:r>
      <w:proofErr w:type="spellStart"/>
      <w:r w:rsidR="00CC2DB3" w:rsidRPr="00D6704A">
        <w:rPr>
          <w:rFonts w:cs="Arial"/>
          <w:i/>
          <w:lang w:val="es-ES"/>
        </w:rPr>
        <w:t>proprietary</w:t>
      </w:r>
      <w:proofErr w:type="spellEnd"/>
      <w:r w:rsidR="00CC2DB3" w:rsidRPr="00D6704A">
        <w:rPr>
          <w:rFonts w:cs="Arial"/>
          <w:i/>
          <w:lang w:val="es-ES"/>
        </w:rPr>
        <w:t xml:space="preserve"> </w:t>
      </w:r>
      <w:proofErr w:type="spellStart"/>
      <w:r w:rsidR="00CC2DB3" w:rsidRPr="00D6704A">
        <w:rPr>
          <w:rFonts w:cs="Arial"/>
          <w:i/>
          <w:lang w:val="es-ES"/>
        </w:rPr>
        <w:t>text</w:t>
      </w:r>
      <w:proofErr w:type="spellEnd"/>
      <w:r w:rsidR="00CC2DB3" w:rsidRPr="00D6704A">
        <w:rPr>
          <w:rFonts w:cs="Arial"/>
          <w:i/>
          <w:lang w:val="es-ES"/>
        </w:rPr>
        <w:t xml:space="preserve">, </w:t>
      </w:r>
      <w:proofErr w:type="spellStart"/>
      <w:r w:rsidR="00CC2DB3" w:rsidRPr="00D6704A">
        <w:rPr>
          <w:rFonts w:cs="Arial"/>
          <w:i/>
          <w:lang w:val="es-ES"/>
        </w:rPr>
        <w:t>photographs</w:t>
      </w:r>
      <w:proofErr w:type="spellEnd"/>
      <w:r w:rsidR="00CC2DB3" w:rsidRPr="00D6704A">
        <w:rPr>
          <w:rFonts w:cs="Arial"/>
          <w:i/>
          <w:lang w:val="es-ES"/>
        </w:rPr>
        <w:t xml:space="preserve"> and </w:t>
      </w:r>
      <w:proofErr w:type="spellStart"/>
      <w:r w:rsidR="00CC2DB3" w:rsidRPr="00D6704A">
        <w:rPr>
          <w:rFonts w:cs="Arial"/>
          <w:i/>
          <w:lang w:val="es-ES"/>
        </w:rPr>
        <w:t>illustrations</w:t>
      </w:r>
      <w:proofErr w:type="spellEnd"/>
      <w:r w:rsidR="00CC2DB3" w:rsidRPr="00D6704A">
        <w:rPr>
          <w:rFonts w:cs="Arial"/>
          <w:i/>
          <w:lang w:val="es-ES"/>
        </w:rPr>
        <w:t xml:space="preserve"> in UPOV </w:t>
      </w:r>
      <w:proofErr w:type="spellStart"/>
      <w:r w:rsidR="00CC2DB3" w:rsidRPr="00D6704A">
        <w:rPr>
          <w:rFonts w:cs="Arial"/>
          <w:i/>
          <w:lang w:val="es-ES"/>
        </w:rPr>
        <w:t>documents</w:t>
      </w:r>
      <w:proofErr w:type="spellEnd"/>
      <w:r w:rsidR="00CC2DB3" w:rsidRPr="000D5690">
        <w:rPr>
          <w:rFonts w:cs="Arial"/>
          <w:lang w:val="es-ES_tradnl"/>
        </w:rPr>
        <w:t>” (Uso en l</w:t>
      </w:r>
      <w:r w:rsidR="00AF0291" w:rsidRPr="000D5690">
        <w:rPr>
          <w:rFonts w:cs="Arial"/>
          <w:lang w:val="es-ES_tradnl"/>
        </w:rPr>
        <w:t>o</w:t>
      </w:r>
      <w:r w:rsidR="00CC2DB3" w:rsidRPr="000D5690">
        <w:rPr>
          <w:rFonts w:cs="Arial"/>
          <w:lang w:val="es-ES_tradnl"/>
        </w:rPr>
        <w:t>s d</w:t>
      </w:r>
      <w:r w:rsidR="00AF0291" w:rsidRPr="000D5690">
        <w:rPr>
          <w:rFonts w:cs="Arial"/>
          <w:lang w:val="es-ES_tradnl"/>
        </w:rPr>
        <w:t xml:space="preserve">ocumentos de la UPOV </w:t>
      </w:r>
      <w:r w:rsidR="00CC2DB3" w:rsidRPr="000D5690">
        <w:rPr>
          <w:rFonts w:cs="Arial"/>
          <w:lang w:val="es-ES_tradnl"/>
        </w:rPr>
        <w:t>de texto, fotografías e ilustraciones amparados por derechos de propiedad intelectual), rela</w:t>
      </w:r>
      <w:r w:rsidR="00AF0291" w:rsidRPr="000D5690">
        <w:rPr>
          <w:rFonts w:cs="Arial"/>
          <w:lang w:val="es-ES_tradnl"/>
        </w:rPr>
        <w:t xml:space="preserve">tiva al </w:t>
      </w:r>
      <w:r w:rsidR="00CC2DB3" w:rsidRPr="000D5690">
        <w:rPr>
          <w:rFonts w:cs="Arial"/>
          <w:lang w:val="es-ES_tradnl"/>
        </w:rPr>
        <w:t xml:space="preserve">texto, </w:t>
      </w:r>
      <w:r w:rsidR="00AF0291" w:rsidRPr="000D5690">
        <w:rPr>
          <w:rFonts w:cs="Arial"/>
          <w:lang w:val="es-ES_tradnl"/>
        </w:rPr>
        <w:t xml:space="preserve">las </w:t>
      </w:r>
      <w:r w:rsidR="00CC2DB3" w:rsidRPr="000D5690">
        <w:rPr>
          <w:rFonts w:cs="Arial"/>
          <w:lang w:val="es-ES_tradnl"/>
        </w:rPr>
        <w:t xml:space="preserve">fotografías o </w:t>
      </w:r>
      <w:r w:rsidR="00AF0291" w:rsidRPr="000D5690">
        <w:rPr>
          <w:rFonts w:cs="Arial"/>
          <w:lang w:val="es-ES_tradnl"/>
        </w:rPr>
        <w:t xml:space="preserve">las </w:t>
      </w:r>
      <w:r w:rsidR="00CC2DB3" w:rsidRPr="000D5690">
        <w:rPr>
          <w:rFonts w:cs="Arial"/>
          <w:lang w:val="es-ES_tradnl"/>
        </w:rPr>
        <w:t xml:space="preserve">ilustraciones </w:t>
      </w:r>
      <w:r w:rsidR="00AF0291" w:rsidRPr="000D5690">
        <w:rPr>
          <w:rFonts w:cs="Arial"/>
          <w:lang w:val="es-ES_tradnl"/>
        </w:rPr>
        <w:t>que puedan estar amparados por derechos de terceros</w:t>
      </w:r>
      <w:r w:rsidR="00CC2DB3" w:rsidRPr="000D5690">
        <w:rPr>
          <w:rFonts w:cs="Arial"/>
          <w:lang w:val="es-ES_tradnl"/>
        </w:rPr>
        <w:t xml:space="preserve">, </w:t>
      </w:r>
      <w:r w:rsidR="00AF0291" w:rsidRPr="000D5690">
        <w:rPr>
          <w:rFonts w:cs="Arial"/>
          <w:lang w:val="es-ES_tradnl"/>
        </w:rPr>
        <w:t>con el objeto de incluirla en una futura revisión del documento </w:t>
      </w:r>
      <w:r w:rsidR="00CC2DB3" w:rsidRPr="000D5690">
        <w:rPr>
          <w:rFonts w:cs="Arial"/>
          <w:lang w:val="es-ES_tradnl"/>
        </w:rPr>
        <w:t>TGP/7.</w:t>
      </w:r>
      <w:r w:rsidR="005253AC" w:rsidRPr="00D6704A">
        <w:rPr>
          <w:rFonts w:cs="Arial"/>
          <w:lang w:val="es-ES"/>
        </w:rPr>
        <w:t xml:space="preserve"> </w:t>
      </w:r>
      <w:r w:rsidR="00AF0291" w:rsidRPr="000D5690">
        <w:rPr>
          <w:rFonts w:cs="Arial"/>
          <w:lang w:val="es-ES_tradnl"/>
        </w:rPr>
        <w:t xml:space="preserve">El TWA </w:t>
      </w:r>
      <w:r w:rsidR="00AF39A2" w:rsidRPr="000D5690">
        <w:rPr>
          <w:rFonts w:cs="Arial"/>
          <w:lang w:val="es-ES_tradnl"/>
        </w:rPr>
        <w:t xml:space="preserve">convino </w:t>
      </w:r>
      <w:r w:rsidR="00683C06" w:rsidRPr="000D5690">
        <w:rPr>
          <w:rFonts w:cs="Arial"/>
          <w:lang w:val="es-ES_tradnl"/>
        </w:rPr>
        <w:t>también</w:t>
      </w:r>
      <w:r w:rsidR="00AF39A2" w:rsidRPr="000D5690">
        <w:rPr>
          <w:rFonts w:cs="Arial"/>
          <w:lang w:val="es-ES_tradnl"/>
        </w:rPr>
        <w:t xml:space="preserve"> en que deberían indicarse, en el capítulo 9 “Bibliografía” de las directrices de examen, las referencias de todos aquellos textos, fotografías e ilustraciones amparados por derechos de terceros para los cuales se haya obtenido permiso</w:t>
      </w:r>
      <w:r w:rsidR="00AF0291" w:rsidRPr="000D5690">
        <w:rPr>
          <w:rFonts w:cs="Arial"/>
          <w:lang w:val="es-ES_tradnl"/>
        </w:rPr>
        <w:t>.</w:t>
      </w:r>
      <w:r w:rsidR="005253AC" w:rsidRPr="00D6704A">
        <w:rPr>
          <w:rFonts w:cs="Arial"/>
          <w:lang w:val="es-ES"/>
        </w:rPr>
        <w:t xml:space="preserve"> </w:t>
      </w:r>
      <w:r w:rsidR="00683C06" w:rsidRPr="000D5690">
        <w:rPr>
          <w:rFonts w:cs="Arial"/>
          <w:lang w:val="es-ES_tradnl"/>
        </w:rPr>
        <w:t>El TWA convino asimismo en que debería informarse del grado de utilización de los documentos de la UPOV por sus miembros al tercero que haya concedido el permiso.</w:t>
      </w:r>
    </w:p>
    <w:p w:rsidR="005253AC" w:rsidRPr="00D6704A" w:rsidRDefault="005253AC" w:rsidP="005253AC">
      <w:pPr>
        <w:rPr>
          <w:rFonts w:cs="Arial"/>
          <w:lang w:val="es-ES"/>
        </w:rPr>
      </w:pPr>
    </w:p>
    <w:p w:rsidR="005253AC" w:rsidRPr="00D6704A" w:rsidRDefault="00791298" w:rsidP="005253AC">
      <w:pPr>
        <w:rPr>
          <w:rFonts w:cs="Arial"/>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683C06" w:rsidRPr="000D5690">
        <w:rPr>
          <w:rFonts w:cs="Arial"/>
          <w:lang w:val="es-ES_tradnl"/>
        </w:rPr>
        <w:t>El TWA suscribió la propuesta de revisar el documento TGP/7 a fin de que incluya la introducción de la plantilla en Internet de los documentos TG una vez ultimada la Versión 1.</w:t>
      </w:r>
      <w:r w:rsidR="005253AC" w:rsidRPr="00D6704A">
        <w:rPr>
          <w:rFonts w:cs="Arial"/>
          <w:lang w:val="es-ES"/>
        </w:rPr>
        <w:t xml:space="preserve">  </w:t>
      </w:r>
      <w:r w:rsidR="00683C06" w:rsidRPr="000D5690">
        <w:rPr>
          <w:rFonts w:cs="Arial"/>
          <w:lang w:val="es-ES_tradnl"/>
        </w:rPr>
        <w:t>El TWA suscribió la propuesta de normalizar el formato de la tabla de caracteres de todas las directrices de examen mediante una estructura como la expuesta en el documento TWA/44/12 “</w:t>
      </w:r>
      <w:proofErr w:type="spellStart"/>
      <w:r w:rsidR="00683C06" w:rsidRPr="00D6704A">
        <w:rPr>
          <w:rFonts w:cs="Arial"/>
          <w:i/>
          <w:lang w:val="es-ES"/>
        </w:rPr>
        <w:t>Revision</w:t>
      </w:r>
      <w:proofErr w:type="spellEnd"/>
      <w:r w:rsidR="00683C06" w:rsidRPr="00D6704A">
        <w:rPr>
          <w:rFonts w:cs="Arial"/>
          <w:i/>
          <w:lang w:val="es-ES"/>
        </w:rPr>
        <w:t xml:space="preserve"> of </w:t>
      </w:r>
      <w:proofErr w:type="spellStart"/>
      <w:r w:rsidR="00683C06" w:rsidRPr="00D6704A">
        <w:rPr>
          <w:rFonts w:cs="Arial"/>
          <w:i/>
          <w:lang w:val="es-ES"/>
        </w:rPr>
        <w:t>document</w:t>
      </w:r>
      <w:proofErr w:type="spellEnd"/>
      <w:r w:rsidR="00683C06" w:rsidRPr="00D6704A">
        <w:rPr>
          <w:rFonts w:cs="Arial"/>
          <w:i/>
          <w:lang w:val="es-ES"/>
        </w:rPr>
        <w:t xml:space="preserve"> TGP/7: </w:t>
      </w:r>
      <w:proofErr w:type="spellStart"/>
      <w:r w:rsidR="00683C06" w:rsidRPr="00D6704A">
        <w:rPr>
          <w:rFonts w:cs="Arial"/>
          <w:i/>
          <w:lang w:val="es-ES"/>
        </w:rPr>
        <w:t>drafter’s</w:t>
      </w:r>
      <w:proofErr w:type="spellEnd"/>
      <w:r w:rsidR="00683C06" w:rsidRPr="00D6704A">
        <w:rPr>
          <w:rFonts w:cs="Arial"/>
          <w:i/>
          <w:lang w:val="es-ES"/>
        </w:rPr>
        <w:t xml:space="preserve"> kit </w:t>
      </w:r>
      <w:proofErr w:type="spellStart"/>
      <w:r w:rsidR="00683C06" w:rsidRPr="00D6704A">
        <w:rPr>
          <w:rFonts w:cs="Arial"/>
          <w:i/>
          <w:lang w:val="es-ES"/>
        </w:rPr>
        <w:t>for</w:t>
      </w:r>
      <w:proofErr w:type="spellEnd"/>
      <w:r w:rsidR="00683C06" w:rsidRPr="00D6704A">
        <w:rPr>
          <w:rFonts w:cs="Arial"/>
          <w:i/>
          <w:lang w:val="es-ES"/>
        </w:rPr>
        <w:t xml:space="preserve"> test </w:t>
      </w:r>
      <w:proofErr w:type="spellStart"/>
      <w:r w:rsidR="00683C06" w:rsidRPr="00D6704A">
        <w:rPr>
          <w:rFonts w:cs="Arial"/>
          <w:i/>
          <w:lang w:val="es-ES"/>
        </w:rPr>
        <w:t>guidelines</w:t>
      </w:r>
      <w:proofErr w:type="spellEnd"/>
      <w:r w:rsidR="00683C06" w:rsidRPr="000D5690">
        <w:rPr>
          <w:rFonts w:cs="Arial"/>
          <w:lang w:val="es-ES_tradnl"/>
        </w:rPr>
        <w:t>” (Revisión del documento TGP/7: Carpeta de material para los redactores de directrices de examen).</w:t>
      </w:r>
    </w:p>
    <w:p w:rsidR="005253AC" w:rsidRPr="00D6704A" w:rsidRDefault="005253AC" w:rsidP="005253AC">
      <w:pPr>
        <w:rPr>
          <w:rFonts w:cs="Arial"/>
          <w:lang w:val="es-ES"/>
        </w:rPr>
      </w:pPr>
    </w:p>
    <w:p w:rsidR="005253AC" w:rsidRPr="00D6704A" w:rsidRDefault="00791298" w:rsidP="005253AC">
      <w:pPr>
        <w:rPr>
          <w:rFonts w:cs="Arial"/>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AD28C6" w:rsidRPr="000D5690">
        <w:rPr>
          <w:rFonts w:cs="Arial"/>
          <w:lang w:val="es-ES_tradnl"/>
        </w:rPr>
        <w:t>Por lo que respecta a los conjuntos regionales de variedades ejemplo (documento TWA/44/14 “</w:t>
      </w:r>
      <w:r w:rsidR="00AD28C6" w:rsidRPr="000D5690">
        <w:rPr>
          <w:rFonts w:cs="Arial"/>
          <w:i/>
          <w:lang w:val="es-ES_tradnl"/>
        </w:rPr>
        <w:t xml:space="preserve">Regional sets of </w:t>
      </w:r>
      <w:proofErr w:type="spellStart"/>
      <w:r w:rsidR="00AD28C6" w:rsidRPr="000D5690">
        <w:rPr>
          <w:rFonts w:cs="Arial"/>
          <w:i/>
          <w:lang w:val="es-ES_tradnl"/>
        </w:rPr>
        <w:t>example</w:t>
      </w:r>
      <w:proofErr w:type="spellEnd"/>
      <w:r w:rsidR="00AD28C6" w:rsidRPr="000D5690">
        <w:rPr>
          <w:rFonts w:cs="Arial"/>
          <w:i/>
          <w:lang w:val="es-ES_tradnl"/>
        </w:rPr>
        <w:t xml:space="preserve"> </w:t>
      </w:r>
      <w:proofErr w:type="spellStart"/>
      <w:r w:rsidR="00AD28C6" w:rsidRPr="000D5690">
        <w:rPr>
          <w:rFonts w:cs="Arial"/>
          <w:i/>
          <w:lang w:val="es-ES_tradnl"/>
        </w:rPr>
        <w:t>varieties</w:t>
      </w:r>
      <w:proofErr w:type="spellEnd"/>
      <w:r w:rsidR="00AD28C6" w:rsidRPr="000D5690">
        <w:rPr>
          <w:rFonts w:cs="Arial"/>
          <w:lang w:val="es-ES_tradnl"/>
        </w:rPr>
        <w:t>”), el TWA estuvo de acuerdo con el TWV en que, en el caso de conjuntos regionales de variedades ejemplo, la “región” debía definirse por las condiciones medioambientales en lugar de definirse por las fronteras geográficas.</w:t>
      </w:r>
      <w:r w:rsidR="005253AC" w:rsidRPr="00D6704A">
        <w:rPr>
          <w:rFonts w:cs="Arial"/>
          <w:snapToGrid w:val="0"/>
          <w:lang w:val="es-ES"/>
        </w:rPr>
        <w:t xml:space="preserve">  </w:t>
      </w:r>
      <w:r w:rsidR="00BE34CE" w:rsidRPr="000D5690">
        <w:rPr>
          <w:rFonts w:cs="Arial"/>
          <w:lang w:val="es-ES_tradnl"/>
        </w:rPr>
        <w:t xml:space="preserve">El TWA convino en añadir en el documento TGP/7 una explicación en el sentido de que incumbe al TWP determinar en qué debe basarse una región para establecer un conjunto regional acordado de variedades ejemplo (p. ej., el intercambio de información o un </w:t>
      </w:r>
      <w:r w:rsidR="00BE34CE" w:rsidRPr="000D5690">
        <w:rPr>
          <w:rFonts w:cs="Arial"/>
          <w:i/>
          <w:lang w:val="es-ES_tradnl"/>
        </w:rPr>
        <w:t>ring-test</w:t>
      </w:r>
      <w:r w:rsidR="00BE34CE" w:rsidRPr="000D5690">
        <w:rPr>
          <w:rFonts w:cs="Arial"/>
          <w:lang w:val="es-ES_tradnl"/>
        </w:rPr>
        <w:t>).</w:t>
      </w:r>
    </w:p>
    <w:p w:rsidR="005253AC" w:rsidRPr="00D6704A" w:rsidRDefault="005253AC" w:rsidP="005253AC">
      <w:pPr>
        <w:rPr>
          <w:rFonts w:cs="Arial"/>
          <w:lang w:val="es-ES"/>
        </w:rPr>
      </w:pPr>
    </w:p>
    <w:p w:rsidR="005253AC" w:rsidRPr="00D6704A" w:rsidRDefault="00791298" w:rsidP="005253AC">
      <w:pPr>
        <w:rPr>
          <w:rFonts w:cs="Arial"/>
          <w:lang w:val="es-ES"/>
        </w:rPr>
      </w:pPr>
      <w:r w:rsidRPr="000D5690">
        <w:rPr>
          <w:rFonts w:cs="Arial"/>
        </w:rPr>
        <w:lastRenderedPageBreak/>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7C6464" w:rsidRPr="000D5690">
        <w:rPr>
          <w:rFonts w:cs="Arial"/>
          <w:lang w:val="es-ES_tradnl"/>
        </w:rPr>
        <w:t>El TWA examinó el documento TWA/44/15 “</w:t>
      </w:r>
      <w:proofErr w:type="spellStart"/>
      <w:r w:rsidR="007C6464" w:rsidRPr="00D6704A">
        <w:rPr>
          <w:rFonts w:cs="Arial"/>
          <w:i/>
          <w:lang w:val="es-ES"/>
        </w:rPr>
        <w:t>Revision</w:t>
      </w:r>
      <w:proofErr w:type="spellEnd"/>
      <w:r w:rsidR="007C6464" w:rsidRPr="00D6704A">
        <w:rPr>
          <w:rFonts w:cs="Arial"/>
          <w:i/>
          <w:lang w:val="es-ES"/>
        </w:rPr>
        <w:t xml:space="preserve"> of </w:t>
      </w:r>
      <w:proofErr w:type="spellStart"/>
      <w:r w:rsidR="007C6464" w:rsidRPr="00D6704A">
        <w:rPr>
          <w:rFonts w:cs="Arial"/>
          <w:i/>
          <w:lang w:val="es-ES"/>
        </w:rPr>
        <w:t>document</w:t>
      </w:r>
      <w:proofErr w:type="spellEnd"/>
      <w:r w:rsidR="007C6464" w:rsidRPr="00D6704A">
        <w:rPr>
          <w:rFonts w:cs="Arial"/>
          <w:i/>
          <w:lang w:val="es-ES"/>
        </w:rPr>
        <w:t xml:space="preserve"> TGP/8: </w:t>
      </w:r>
      <w:proofErr w:type="spellStart"/>
      <w:r w:rsidR="007C6464" w:rsidRPr="00D6704A">
        <w:rPr>
          <w:rFonts w:cs="Arial"/>
          <w:i/>
          <w:lang w:val="es-ES"/>
        </w:rPr>
        <w:t>part</w:t>
      </w:r>
      <w:proofErr w:type="spellEnd"/>
      <w:r w:rsidR="007C6464" w:rsidRPr="00D6704A">
        <w:rPr>
          <w:rFonts w:cs="Arial"/>
          <w:i/>
          <w:lang w:val="es-ES"/>
        </w:rPr>
        <w:t xml:space="preserve"> I: DUS trial </w:t>
      </w:r>
      <w:proofErr w:type="spellStart"/>
      <w:r w:rsidR="007C6464" w:rsidRPr="00D6704A">
        <w:rPr>
          <w:rFonts w:cs="Arial"/>
          <w:i/>
          <w:lang w:val="es-ES"/>
        </w:rPr>
        <w:t>design</w:t>
      </w:r>
      <w:proofErr w:type="spellEnd"/>
      <w:r w:rsidR="007C6464" w:rsidRPr="00D6704A">
        <w:rPr>
          <w:rFonts w:cs="Arial"/>
          <w:i/>
          <w:lang w:val="es-ES"/>
        </w:rPr>
        <w:t xml:space="preserve"> and data </w:t>
      </w:r>
      <w:proofErr w:type="spellStart"/>
      <w:r w:rsidR="007C6464" w:rsidRPr="00D6704A">
        <w:rPr>
          <w:rFonts w:cs="Arial"/>
          <w:i/>
          <w:lang w:val="es-ES"/>
        </w:rPr>
        <w:t>analysis</w:t>
      </w:r>
      <w:proofErr w:type="spellEnd"/>
      <w:r w:rsidR="007C6464" w:rsidRPr="00D6704A">
        <w:rPr>
          <w:rFonts w:cs="Arial"/>
          <w:i/>
          <w:lang w:val="es-ES"/>
        </w:rPr>
        <w:t xml:space="preserve">, new </w:t>
      </w:r>
      <w:proofErr w:type="spellStart"/>
      <w:r w:rsidR="007C6464" w:rsidRPr="00D6704A">
        <w:rPr>
          <w:rFonts w:cs="Arial"/>
          <w:i/>
          <w:lang w:val="es-ES"/>
        </w:rPr>
        <w:t>section</w:t>
      </w:r>
      <w:proofErr w:type="spellEnd"/>
      <w:r w:rsidR="007C6464" w:rsidRPr="00D6704A">
        <w:rPr>
          <w:rFonts w:cs="Arial"/>
          <w:i/>
          <w:lang w:val="es-ES"/>
        </w:rPr>
        <w:t xml:space="preserve">: </w:t>
      </w:r>
      <w:proofErr w:type="spellStart"/>
      <w:r w:rsidR="007C6464" w:rsidRPr="00D6704A">
        <w:rPr>
          <w:rFonts w:cs="Arial"/>
          <w:i/>
          <w:lang w:val="es-ES"/>
        </w:rPr>
        <w:t>minimizing</w:t>
      </w:r>
      <w:proofErr w:type="spellEnd"/>
      <w:r w:rsidR="007C6464" w:rsidRPr="00D6704A">
        <w:rPr>
          <w:rFonts w:cs="Arial"/>
          <w:i/>
          <w:lang w:val="es-ES"/>
        </w:rPr>
        <w:t xml:space="preserve"> </w:t>
      </w:r>
      <w:proofErr w:type="spellStart"/>
      <w:r w:rsidR="007C6464" w:rsidRPr="00D6704A">
        <w:rPr>
          <w:rFonts w:cs="Arial"/>
          <w:i/>
          <w:lang w:val="es-ES"/>
        </w:rPr>
        <w:t>the</w:t>
      </w:r>
      <w:proofErr w:type="spellEnd"/>
      <w:r w:rsidR="007C6464" w:rsidRPr="00D6704A">
        <w:rPr>
          <w:rFonts w:cs="Arial"/>
          <w:i/>
          <w:lang w:val="es-ES"/>
        </w:rPr>
        <w:t xml:space="preserve"> </w:t>
      </w:r>
      <w:proofErr w:type="spellStart"/>
      <w:r w:rsidR="007C6464" w:rsidRPr="00D6704A">
        <w:rPr>
          <w:rFonts w:cs="Arial"/>
          <w:i/>
          <w:lang w:val="es-ES"/>
        </w:rPr>
        <w:t>variation</w:t>
      </w:r>
      <w:proofErr w:type="spellEnd"/>
      <w:r w:rsidR="007C6464" w:rsidRPr="00D6704A">
        <w:rPr>
          <w:rFonts w:cs="Arial"/>
          <w:i/>
          <w:lang w:val="es-ES"/>
        </w:rPr>
        <w:t xml:space="preserve"> </w:t>
      </w:r>
      <w:proofErr w:type="spellStart"/>
      <w:r w:rsidR="007C6464" w:rsidRPr="00D6704A">
        <w:rPr>
          <w:rFonts w:cs="Arial"/>
          <w:i/>
          <w:lang w:val="es-ES"/>
        </w:rPr>
        <w:t>due</w:t>
      </w:r>
      <w:proofErr w:type="spellEnd"/>
      <w:r w:rsidR="007C6464" w:rsidRPr="00D6704A">
        <w:rPr>
          <w:rFonts w:cs="Arial"/>
          <w:i/>
          <w:lang w:val="es-ES"/>
        </w:rPr>
        <w:t xml:space="preserve"> to </w:t>
      </w:r>
      <w:proofErr w:type="spellStart"/>
      <w:r w:rsidR="007C6464" w:rsidRPr="00D6704A">
        <w:rPr>
          <w:rFonts w:cs="Arial"/>
          <w:i/>
          <w:lang w:val="es-ES"/>
        </w:rPr>
        <w:t>different</w:t>
      </w:r>
      <w:proofErr w:type="spellEnd"/>
      <w:r w:rsidR="007C6464" w:rsidRPr="00D6704A">
        <w:rPr>
          <w:rFonts w:cs="Arial"/>
          <w:i/>
          <w:lang w:val="es-ES"/>
        </w:rPr>
        <w:t xml:space="preserve"> </w:t>
      </w:r>
      <w:proofErr w:type="spellStart"/>
      <w:r w:rsidR="007C6464" w:rsidRPr="00D6704A">
        <w:rPr>
          <w:rFonts w:cs="Arial"/>
          <w:i/>
          <w:lang w:val="es-ES"/>
        </w:rPr>
        <w:t>observers</w:t>
      </w:r>
      <w:proofErr w:type="spellEnd"/>
      <w:r w:rsidR="007C6464" w:rsidRPr="000D5690">
        <w:rPr>
          <w:rFonts w:cs="Arial"/>
          <w:lang w:val="es-ES_tradnl"/>
        </w:rPr>
        <w:t>” (Revisión del documento TGP/8: Parte I: Diseño de los ensayos DHE y análisis de datos, nueva sección: Minimizar la variación resultante de la ejecución de los ensayos por distintos observadores) y suscribió el proyecto de orientación que figura en el Anexo del documento TWA/44/15, para su inclusión en una futura revisión del documento TGP/8 sobre la manera de minimizar la variación resultante de la ejecución de los ensayos por distintos observadores.</w:t>
      </w:r>
    </w:p>
    <w:p w:rsidR="005253AC" w:rsidRPr="00D6704A" w:rsidRDefault="005253AC" w:rsidP="005253AC">
      <w:pPr>
        <w:rPr>
          <w:rFonts w:cs="Arial"/>
          <w:lang w:val="es-ES"/>
        </w:rPr>
      </w:pPr>
    </w:p>
    <w:p w:rsidR="005253AC" w:rsidRPr="00D6704A" w:rsidRDefault="00791298" w:rsidP="005253AC">
      <w:pPr>
        <w:rPr>
          <w:rFonts w:eastAsia="SimSun" w:cs="Arial"/>
          <w:lang w:val="es-ES" w:eastAsia="zh-CN"/>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9A4871" w:rsidRPr="000D5690">
        <w:rPr>
          <w:lang w:val="es-ES_tradnl"/>
        </w:rPr>
        <w:t>El TWA examinó el documento TWA/44/9 “</w:t>
      </w:r>
      <w:proofErr w:type="spellStart"/>
      <w:r w:rsidR="009A4871" w:rsidRPr="00D6704A">
        <w:rPr>
          <w:i/>
          <w:lang w:val="es-ES"/>
        </w:rPr>
        <w:t>Revision</w:t>
      </w:r>
      <w:proofErr w:type="spellEnd"/>
      <w:r w:rsidR="009A4871" w:rsidRPr="00D6704A">
        <w:rPr>
          <w:i/>
          <w:lang w:val="es-ES"/>
        </w:rPr>
        <w:t xml:space="preserve"> of </w:t>
      </w:r>
      <w:proofErr w:type="spellStart"/>
      <w:r w:rsidR="009A4871" w:rsidRPr="00D6704A">
        <w:rPr>
          <w:i/>
          <w:lang w:val="es-ES"/>
        </w:rPr>
        <w:t>document</w:t>
      </w:r>
      <w:proofErr w:type="spellEnd"/>
      <w:r w:rsidR="009A4871" w:rsidRPr="00D6704A">
        <w:rPr>
          <w:i/>
          <w:lang w:val="es-ES"/>
        </w:rPr>
        <w:t xml:space="preserve"> TGP/10:  </w:t>
      </w:r>
      <w:proofErr w:type="spellStart"/>
      <w:r w:rsidR="009A4871" w:rsidRPr="00D6704A">
        <w:rPr>
          <w:i/>
          <w:lang w:val="es-ES"/>
        </w:rPr>
        <w:t>Assessing</w:t>
      </w:r>
      <w:proofErr w:type="spellEnd"/>
      <w:r w:rsidR="009A4871" w:rsidRPr="00D6704A">
        <w:rPr>
          <w:i/>
          <w:lang w:val="es-ES"/>
        </w:rPr>
        <w:t xml:space="preserve"> </w:t>
      </w:r>
      <w:proofErr w:type="spellStart"/>
      <w:r w:rsidR="009A4871" w:rsidRPr="00D6704A">
        <w:rPr>
          <w:i/>
          <w:lang w:val="es-ES"/>
        </w:rPr>
        <w:t>uniformity</w:t>
      </w:r>
      <w:proofErr w:type="spellEnd"/>
      <w:r w:rsidR="009A4871" w:rsidRPr="00D6704A">
        <w:rPr>
          <w:i/>
          <w:lang w:val="es-ES"/>
        </w:rPr>
        <w:t xml:space="preserve"> </w:t>
      </w:r>
      <w:proofErr w:type="spellStart"/>
      <w:r w:rsidR="009A4871" w:rsidRPr="00D6704A">
        <w:rPr>
          <w:i/>
          <w:lang w:val="es-ES"/>
        </w:rPr>
        <w:t>by</w:t>
      </w:r>
      <w:proofErr w:type="spellEnd"/>
      <w:r w:rsidR="009A4871" w:rsidRPr="00D6704A">
        <w:rPr>
          <w:i/>
          <w:lang w:val="es-ES"/>
        </w:rPr>
        <w:t xml:space="preserve"> off-</w:t>
      </w:r>
      <w:proofErr w:type="spellStart"/>
      <w:r w:rsidR="009A4871" w:rsidRPr="00D6704A">
        <w:rPr>
          <w:i/>
          <w:lang w:val="es-ES"/>
        </w:rPr>
        <w:t>types</w:t>
      </w:r>
      <w:proofErr w:type="spellEnd"/>
      <w:r w:rsidR="009A4871" w:rsidRPr="00D6704A">
        <w:rPr>
          <w:i/>
          <w:lang w:val="es-ES"/>
        </w:rPr>
        <w:t xml:space="preserve"> </w:t>
      </w:r>
      <w:proofErr w:type="spellStart"/>
      <w:r w:rsidR="009A4871" w:rsidRPr="00D6704A">
        <w:rPr>
          <w:i/>
          <w:lang w:val="es-ES"/>
        </w:rPr>
        <w:t>on</w:t>
      </w:r>
      <w:proofErr w:type="spellEnd"/>
      <w:r w:rsidR="009A4871" w:rsidRPr="00D6704A">
        <w:rPr>
          <w:i/>
          <w:lang w:val="es-ES"/>
        </w:rPr>
        <w:t xml:space="preserve"> </w:t>
      </w:r>
      <w:proofErr w:type="spellStart"/>
      <w:r w:rsidR="009A4871" w:rsidRPr="00D6704A">
        <w:rPr>
          <w:i/>
          <w:lang w:val="es-ES"/>
        </w:rPr>
        <w:t>basis</w:t>
      </w:r>
      <w:proofErr w:type="spellEnd"/>
      <w:r w:rsidR="009A4871" w:rsidRPr="00D6704A">
        <w:rPr>
          <w:i/>
          <w:lang w:val="es-ES"/>
        </w:rPr>
        <w:t xml:space="preserve"> of more </w:t>
      </w:r>
      <w:proofErr w:type="spellStart"/>
      <w:r w:rsidR="009A4871" w:rsidRPr="00D6704A">
        <w:rPr>
          <w:i/>
          <w:lang w:val="es-ES"/>
        </w:rPr>
        <w:t>than</w:t>
      </w:r>
      <w:proofErr w:type="spellEnd"/>
      <w:r w:rsidR="009A4871" w:rsidRPr="00D6704A">
        <w:rPr>
          <w:i/>
          <w:lang w:val="es-ES"/>
        </w:rPr>
        <w:t xml:space="preserve"> </w:t>
      </w:r>
      <w:proofErr w:type="spellStart"/>
      <w:r w:rsidR="009A4871" w:rsidRPr="00D6704A">
        <w:rPr>
          <w:i/>
          <w:lang w:val="es-ES"/>
        </w:rPr>
        <w:t>one</w:t>
      </w:r>
      <w:proofErr w:type="spellEnd"/>
      <w:r w:rsidR="009A4871" w:rsidRPr="00D6704A">
        <w:rPr>
          <w:i/>
          <w:lang w:val="es-ES"/>
        </w:rPr>
        <w:t xml:space="preserve"> </w:t>
      </w:r>
      <w:proofErr w:type="spellStart"/>
      <w:r w:rsidR="009A4871" w:rsidRPr="00D6704A">
        <w:rPr>
          <w:i/>
          <w:lang w:val="es-ES"/>
        </w:rPr>
        <w:t>growing</w:t>
      </w:r>
      <w:proofErr w:type="spellEnd"/>
      <w:r w:rsidR="009A4871" w:rsidRPr="00D6704A">
        <w:rPr>
          <w:i/>
          <w:lang w:val="es-ES"/>
        </w:rPr>
        <w:t xml:space="preserve"> </w:t>
      </w:r>
      <w:proofErr w:type="spellStart"/>
      <w:r w:rsidR="009A4871" w:rsidRPr="00D6704A">
        <w:rPr>
          <w:i/>
          <w:lang w:val="es-ES"/>
        </w:rPr>
        <w:t>cycle</w:t>
      </w:r>
      <w:proofErr w:type="spellEnd"/>
      <w:r w:rsidR="009A4871" w:rsidRPr="00D6704A">
        <w:rPr>
          <w:i/>
          <w:lang w:val="es-ES"/>
        </w:rPr>
        <w:t xml:space="preserve"> </w:t>
      </w:r>
      <w:proofErr w:type="spellStart"/>
      <w:r w:rsidR="009A4871" w:rsidRPr="00D6704A">
        <w:rPr>
          <w:i/>
          <w:lang w:val="es-ES"/>
        </w:rPr>
        <w:t>or</w:t>
      </w:r>
      <w:proofErr w:type="spellEnd"/>
      <w:r w:rsidR="009A4871" w:rsidRPr="00D6704A">
        <w:rPr>
          <w:i/>
          <w:lang w:val="es-ES"/>
        </w:rPr>
        <w:t xml:space="preserve"> </w:t>
      </w:r>
      <w:proofErr w:type="spellStart"/>
      <w:r w:rsidR="009A4871" w:rsidRPr="00D6704A">
        <w:rPr>
          <w:i/>
          <w:lang w:val="es-ES"/>
        </w:rPr>
        <w:t>on</w:t>
      </w:r>
      <w:proofErr w:type="spellEnd"/>
      <w:r w:rsidR="009A4871" w:rsidRPr="00D6704A">
        <w:rPr>
          <w:i/>
          <w:lang w:val="es-ES"/>
        </w:rPr>
        <w:t xml:space="preserve"> </w:t>
      </w:r>
      <w:proofErr w:type="spellStart"/>
      <w:r w:rsidR="009A4871" w:rsidRPr="00D6704A">
        <w:rPr>
          <w:i/>
          <w:lang w:val="es-ES"/>
        </w:rPr>
        <w:t>the</w:t>
      </w:r>
      <w:proofErr w:type="spellEnd"/>
      <w:r w:rsidR="009A4871" w:rsidRPr="00D6704A">
        <w:rPr>
          <w:i/>
          <w:lang w:val="es-ES"/>
        </w:rPr>
        <w:t xml:space="preserve"> </w:t>
      </w:r>
      <w:proofErr w:type="spellStart"/>
      <w:r w:rsidR="009A4871" w:rsidRPr="00D6704A">
        <w:rPr>
          <w:i/>
          <w:lang w:val="es-ES"/>
        </w:rPr>
        <w:t>basis</w:t>
      </w:r>
      <w:proofErr w:type="spellEnd"/>
      <w:r w:rsidR="009A4871" w:rsidRPr="00D6704A">
        <w:rPr>
          <w:i/>
          <w:lang w:val="es-ES"/>
        </w:rPr>
        <w:t xml:space="preserve"> of sub-</w:t>
      </w:r>
      <w:proofErr w:type="spellStart"/>
      <w:r w:rsidR="009A4871" w:rsidRPr="00D6704A">
        <w:rPr>
          <w:i/>
          <w:lang w:val="es-ES"/>
        </w:rPr>
        <w:t>samples</w:t>
      </w:r>
      <w:proofErr w:type="spellEnd"/>
      <w:r w:rsidR="009A4871" w:rsidRPr="000D5690">
        <w:rPr>
          <w:lang w:val="es-ES_tradnl"/>
        </w:rPr>
        <w:t xml:space="preserve">” (Revisión del documento TGP/10: Evaluación de la homogeneidad de las plantas fuera de tipo mediante la observación de más de un ciclo de cultivo o mediante la observación de </w:t>
      </w:r>
      <w:proofErr w:type="spellStart"/>
      <w:r w:rsidR="009A4871" w:rsidRPr="000D5690">
        <w:rPr>
          <w:lang w:val="es-ES_tradnl"/>
        </w:rPr>
        <w:t>submuestras</w:t>
      </w:r>
      <w:proofErr w:type="spellEnd"/>
      <w:r w:rsidR="009A4871" w:rsidRPr="000D5690">
        <w:rPr>
          <w:lang w:val="es-ES_tradnl"/>
        </w:rPr>
        <w:t>) y convino en que, para su inclusión en una futura revisión del documento TGP/10, según consta en el Anexo I del documento TWA/44/9, el proyecto de orientación se debía seguir elaborando teniendo en cuenta la información facilitada por el TWC sobre el “Método 3: Combinar los resultados de dos ciclos de cultivo” y la comparación entre el riesgo global de las muestras combinadas y los riesgos de cada etapa de evaluación por separado.</w:t>
      </w:r>
      <w:r w:rsidR="005253AC" w:rsidRPr="00D6704A">
        <w:rPr>
          <w:rFonts w:cs="Arial"/>
          <w:lang w:val="es-ES"/>
        </w:rPr>
        <w:t xml:space="preserve">  </w:t>
      </w:r>
      <w:r w:rsidR="009A4871" w:rsidRPr="000D5690">
        <w:rPr>
          <w:rFonts w:cs="Arial"/>
          <w:lang w:val="es-ES_tradnl"/>
        </w:rPr>
        <w:t xml:space="preserve">El TWA </w:t>
      </w:r>
      <w:r w:rsidR="00092282" w:rsidRPr="000D5690">
        <w:rPr>
          <w:rFonts w:cs="Arial"/>
          <w:lang w:val="es-ES_tradnl"/>
        </w:rPr>
        <w:t xml:space="preserve">convino en proponer que </w:t>
      </w:r>
      <w:r w:rsidR="00E0245B" w:rsidRPr="000D5690">
        <w:rPr>
          <w:rFonts w:cs="Arial"/>
          <w:lang w:val="es-ES_tradnl"/>
        </w:rPr>
        <w:t xml:space="preserve">se modifique </w:t>
      </w:r>
      <w:r w:rsidR="00092282" w:rsidRPr="000D5690">
        <w:rPr>
          <w:rFonts w:cs="Arial"/>
          <w:lang w:val="es-ES_tradnl"/>
        </w:rPr>
        <w:t>la primera frase del Anexo I</w:t>
      </w:r>
      <w:r w:rsidR="00E0245B" w:rsidRPr="000D5690">
        <w:rPr>
          <w:rFonts w:cs="Arial"/>
          <w:lang w:val="es-ES_tradnl"/>
        </w:rPr>
        <w:t>,</w:t>
      </w:r>
      <w:r w:rsidR="00092282" w:rsidRPr="000D5690">
        <w:rPr>
          <w:rFonts w:cs="Arial"/>
          <w:lang w:val="es-ES_tradnl"/>
        </w:rPr>
        <w:t xml:space="preserve"> con</w:t>
      </w:r>
      <w:r w:rsidR="00E0245B" w:rsidRPr="000D5690">
        <w:rPr>
          <w:rFonts w:cs="Arial"/>
          <w:lang w:val="es-ES_tradnl"/>
        </w:rPr>
        <w:t xml:space="preserve"> </w:t>
      </w:r>
      <w:r w:rsidR="00092282" w:rsidRPr="000D5690">
        <w:rPr>
          <w:rFonts w:cs="Arial"/>
          <w:lang w:val="es-ES_tradnl"/>
        </w:rPr>
        <w:t>la redacción siguiente:</w:t>
      </w:r>
      <w:r w:rsidR="005253AC" w:rsidRPr="00D6704A">
        <w:rPr>
          <w:rFonts w:cs="Arial"/>
          <w:lang w:val="es-ES"/>
        </w:rPr>
        <w:t xml:space="preserve"> </w:t>
      </w:r>
      <w:r w:rsidR="00092282" w:rsidRPr="000D5690">
        <w:rPr>
          <w:rFonts w:cs="Arial"/>
          <w:lang w:val="es-ES_tradnl"/>
        </w:rPr>
        <w:t xml:space="preserve">“Podrían desarrollarse dos ciclos de cultivo independientes en un único lugar en diferentes años o en diferentes lugares en el mismo año, según se indica en las secciones 1.2 y 1.3 de la </w:t>
      </w:r>
      <w:r w:rsidR="00E0245B" w:rsidRPr="000D5690">
        <w:rPr>
          <w:rFonts w:cs="Arial"/>
          <w:lang w:val="es-ES_tradnl"/>
        </w:rPr>
        <w:t>P</w:t>
      </w:r>
      <w:r w:rsidR="00092282" w:rsidRPr="000D5690">
        <w:rPr>
          <w:rFonts w:cs="Arial"/>
          <w:lang w:val="es-ES_tradnl"/>
        </w:rPr>
        <w:t>arte I del documento TGP/8.”</w:t>
      </w:r>
      <w:r w:rsidR="005253AC" w:rsidRPr="00D6704A">
        <w:rPr>
          <w:rFonts w:cs="Arial"/>
          <w:lang w:val="es-ES"/>
        </w:rPr>
        <w:t xml:space="preserve">  </w:t>
      </w:r>
      <w:r w:rsidR="00092282" w:rsidRPr="000D5690">
        <w:rPr>
          <w:rFonts w:eastAsia="SimSun" w:cs="Arial"/>
          <w:lang w:val="es-ES_tradnl" w:eastAsia="zh-CN"/>
        </w:rPr>
        <w:t>El TWA convino también en que no se debía rechazar una variedad si el estándar de homogeneidad se supera ligeramente el primer año.</w:t>
      </w:r>
      <w:r w:rsidR="005253AC" w:rsidRPr="00D6704A">
        <w:rPr>
          <w:rFonts w:eastAsia="SimSun" w:cs="Arial"/>
          <w:lang w:val="es-ES" w:eastAsia="zh-CN"/>
        </w:rPr>
        <w:t xml:space="preserve"> </w:t>
      </w:r>
      <w:r w:rsidR="00092282" w:rsidRPr="000D5690">
        <w:rPr>
          <w:rFonts w:eastAsia="SimSun" w:cs="Arial"/>
          <w:lang w:val="es-ES_tradnl" w:eastAsia="zh-CN"/>
        </w:rPr>
        <w:t>Solo se debe recurrir a esta posibilidad en el caso de que se prevea que el límite máximo también se superará en otro ciclo de cultivo.</w:t>
      </w:r>
      <w:r w:rsidR="005253AC" w:rsidRPr="00D6704A">
        <w:rPr>
          <w:rFonts w:eastAsia="SimSun" w:cs="Arial"/>
          <w:lang w:val="es-ES" w:eastAsia="zh-CN"/>
        </w:rPr>
        <w:t xml:space="preserve"> </w:t>
      </w:r>
      <w:r w:rsidR="00092282" w:rsidRPr="000D5690">
        <w:rPr>
          <w:rFonts w:eastAsia="SimSun" w:cs="Arial"/>
          <w:lang w:val="es-ES_tradnl" w:eastAsia="zh-CN"/>
        </w:rPr>
        <w:t>En ese sentido, el TWA convino en proponer que la explicación facilitada en el Anexo I sobre la posibilidad de rechazar una variedad por falta de homogeneidad tras un único ciclo de cultivo se modifique de manera que su texto sea</w:t>
      </w:r>
      <w:proofErr w:type="gramStart"/>
      <w:r w:rsidR="00092282" w:rsidRPr="000D5690">
        <w:rPr>
          <w:rFonts w:eastAsia="SimSun" w:cs="Arial"/>
          <w:lang w:val="es-ES_tradnl" w:eastAsia="zh-CN"/>
        </w:rPr>
        <w:t>:</w:t>
      </w:r>
      <w:r w:rsidR="005253AC" w:rsidRPr="00D6704A">
        <w:rPr>
          <w:rFonts w:cs="Arial"/>
          <w:lang w:val="es-ES"/>
        </w:rPr>
        <w:t xml:space="preserve">  </w:t>
      </w:r>
      <w:r w:rsidR="00252BBB" w:rsidRPr="000D5690">
        <w:rPr>
          <w:rFonts w:eastAsia="SimSun" w:cs="Arial"/>
          <w:lang w:val="es-ES_tradnl" w:eastAsia="zh-CN"/>
        </w:rPr>
        <w:t>“</w:t>
      </w:r>
      <w:proofErr w:type="gramEnd"/>
      <w:r w:rsidR="00252BBB" w:rsidRPr="000D5690">
        <w:rPr>
          <w:rFonts w:eastAsia="SimSun" w:cs="Arial"/>
          <w:lang w:val="es-ES_tradnl" w:eastAsia="zh-CN"/>
        </w:rPr>
        <w:t>Además, es posible rechazar una variedad tras un único ciclo de cultivo debido a una falta evidente de homogeneidad.”</w:t>
      </w:r>
      <w:r w:rsidR="005253AC" w:rsidRPr="00D6704A">
        <w:rPr>
          <w:rFonts w:eastAsia="SimSun" w:cs="Arial"/>
          <w:lang w:val="es-ES" w:eastAsia="zh-CN"/>
        </w:rPr>
        <w:t xml:space="preserve"> </w:t>
      </w:r>
    </w:p>
    <w:p w:rsidR="005253AC" w:rsidRPr="00D6704A" w:rsidRDefault="005253AC" w:rsidP="005253AC">
      <w:pPr>
        <w:rPr>
          <w:rFonts w:eastAsia="SimSun" w:cs="Arial"/>
          <w:lang w:val="es-ES" w:eastAsia="zh-CN"/>
        </w:rPr>
      </w:pPr>
    </w:p>
    <w:p w:rsidR="005253AC" w:rsidRPr="00D6704A" w:rsidRDefault="00791298" w:rsidP="005253AC">
      <w:pPr>
        <w:rPr>
          <w:rFonts w:cs="Arial"/>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252BBB" w:rsidRPr="000D5690">
        <w:rPr>
          <w:rFonts w:cs="Arial"/>
          <w:lang w:val="es-ES_tradnl"/>
        </w:rPr>
        <w:t>El TWA examinó el documento</w:t>
      </w:r>
      <w:r w:rsidR="00B43ABD" w:rsidRPr="000D5690">
        <w:rPr>
          <w:rFonts w:cs="Arial"/>
          <w:lang w:val="es-ES_tradnl"/>
        </w:rPr>
        <w:t> </w:t>
      </w:r>
      <w:r w:rsidR="00252BBB" w:rsidRPr="000D5690">
        <w:rPr>
          <w:rFonts w:cs="Arial"/>
          <w:lang w:val="es-ES_tradnl"/>
        </w:rPr>
        <w:t>TWA/44/10 “</w:t>
      </w:r>
      <w:proofErr w:type="spellStart"/>
      <w:r w:rsidR="00252BBB" w:rsidRPr="00D6704A">
        <w:rPr>
          <w:rFonts w:cs="Arial"/>
          <w:i/>
          <w:lang w:val="es-ES"/>
        </w:rPr>
        <w:t>Matters</w:t>
      </w:r>
      <w:proofErr w:type="spellEnd"/>
      <w:r w:rsidR="00252BBB" w:rsidRPr="00D6704A">
        <w:rPr>
          <w:rFonts w:cs="Arial"/>
          <w:i/>
          <w:lang w:val="es-ES"/>
        </w:rPr>
        <w:t xml:space="preserve"> </w:t>
      </w:r>
      <w:proofErr w:type="spellStart"/>
      <w:r w:rsidR="00252BBB" w:rsidRPr="00D6704A">
        <w:rPr>
          <w:rFonts w:cs="Arial"/>
          <w:i/>
          <w:lang w:val="es-ES"/>
        </w:rPr>
        <w:t>concerning</w:t>
      </w:r>
      <w:proofErr w:type="spellEnd"/>
      <w:r w:rsidR="00252BBB" w:rsidRPr="00D6704A">
        <w:rPr>
          <w:rFonts w:cs="Arial"/>
          <w:i/>
          <w:lang w:val="es-ES"/>
        </w:rPr>
        <w:t xml:space="preserve"> </w:t>
      </w:r>
      <w:proofErr w:type="spellStart"/>
      <w:r w:rsidR="00252BBB" w:rsidRPr="00D6704A">
        <w:rPr>
          <w:rFonts w:cs="Arial"/>
          <w:i/>
          <w:lang w:val="es-ES"/>
        </w:rPr>
        <w:t>variety</w:t>
      </w:r>
      <w:proofErr w:type="spellEnd"/>
      <w:r w:rsidR="00252BBB" w:rsidRPr="00D6704A">
        <w:rPr>
          <w:rFonts w:cs="Arial"/>
          <w:i/>
          <w:lang w:val="es-ES"/>
        </w:rPr>
        <w:t xml:space="preserve"> </w:t>
      </w:r>
      <w:proofErr w:type="spellStart"/>
      <w:r w:rsidR="00252BBB" w:rsidRPr="00D6704A">
        <w:rPr>
          <w:rFonts w:cs="Arial"/>
          <w:i/>
          <w:lang w:val="es-ES"/>
        </w:rPr>
        <w:t>descriptions</w:t>
      </w:r>
      <w:proofErr w:type="spellEnd"/>
      <w:r w:rsidR="00252BBB" w:rsidRPr="000D5690">
        <w:rPr>
          <w:rFonts w:cs="Arial"/>
          <w:lang w:val="es-ES_tradnl"/>
        </w:rPr>
        <w:t>” (Asuntos relativos a las descripciones de variedades) y asistió a una ponencia de un experto de la Unión Europea titulad</w:t>
      </w:r>
      <w:r w:rsidR="003831FF" w:rsidRPr="000D5690">
        <w:rPr>
          <w:rFonts w:cs="Arial"/>
          <w:lang w:val="es-ES_tradnl"/>
        </w:rPr>
        <w:t>a</w:t>
      </w:r>
      <w:r w:rsidR="00252BBB" w:rsidRPr="000D5690">
        <w:rPr>
          <w:rFonts w:cs="Arial"/>
          <w:lang w:val="es-ES_tradnl"/>
        </w:rPr>
        <w:t xml:space="preserve"> “Experiencia relativa a las descripciones de variedades y el control del mantenimiento de la variedad en la Oficina Comunitaria de Variedades Vegetales (OCVV) de la Unión Europea”.</w:t>
      </w:r>
      <w:r w:rsidR="005253AC" w:rsidRPr="00D6704A">
        <w:rPr>
          <w:rFonts w:cs="Arial"/>
          <w:lang w:val="es-ES"/>
        </w:rPr>
        <w:t xml:space="preserve"> </w:t>
      </w:r>
      <w:r w:rsidR="00252BBB" w:rsidRPr="000D5690">
        <w:rPr>
          <w:rFonts w:cs="Arial"/>
          <w:lang w:val="es-ES_tradnl"/>
        </w:rPr>
        <w:t xml:space="preserve">El TWA acordó invitar a Alemania, Australia y la Unión Europea a </w:t>
      </w:r>
      <w:r w:rsidR="00B43ABD" w:rsidRPr="000D5690">
        <w:rPr>
          <w:rFonts w:cs="Arial"/>
          <w:lang w:val="es-ES_tradnl"/>
        </w:rPr>
        <w:t xml:space="preserve">que </w:t>
      </w:r>
      <w:r w:rsidR="00252BBB" w:rsidRPr="000D5690">
        <w:rPr>
          <w:rFonts w:cs="Arial"/>
          <w:lang w:val="es-ES_tradnl"/>
        </w:rPr>
        <w:t>present</w:t>
      </w:r>
      <w:r w:rsidR="00B43ABD" w:rsidRPr="000D5690">
        <w:rPr>
          <w:rFonts w:cs="Arial"/>
          <w:lang w:val="es-ES_tradnl"/>
        </w:rPr>
        <w:t>en</w:t>
      </w:r>
      <w:r w:rsidR="00252BBB" w:rsidRPr="000D5690">
        <w:rPr>
          <w:rFonts w:cs="Arial"/>
          <w:lang w:val="es-ES_tradnl"/>
        </w:rPr>
        <w:t xml:space="preserve"> una ponencia sobre los asuntos relativos a las descripciones de variedades en su cuadragésima quinta sesión, que tendrá lugar en 2016.</w:t>
      </w:r>
      <w:r w:rsidR="005253AC" w:rsidRPr="00D6704A">
        <w:rPr>
          <w:rFonts w:cs="Arial"/>
          <w:lang w:val="es-ES"/>
        </w:rPr>
        <w:t xml:space="preserve"> </w:t>
      </w:r>
    </w:p>
    <w:p w:rsidR="005253AC" w:rsidRPr="00D6704A" w:rsidRDefault="005253AC" w:rsidP="005253AC">
      <w:pPr>
        <w:rPr>
          <w:rFonts w:cs="Arial"/>
          <w:lang w:val="es-ES"/>
        </w:rPr>
      </w:pPr>
    </w:p>
    <w:p w:rsidR="005253AC" w:rsidRPr="00D6704A" w:rsidRDefault="00791298" w:rsidP="005253AC">
      <w:pPr>
        <w:rPr>
          <w:rFonts w:cs="Arial"/>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252BBB" w:rsidRPr="000D5690">
        <w:rPr>
          <w:rFonts w:cs="Arial"/>
          <w:lang w:val="es-ES_tradnl"/>
        </w:rPr>
        <w:t xml:space="preserve">Con respecto a las experiencias con nuevos tipos y especies, un experto de la Argentina informó sobre </w:t>
      </w:r>
      <w:r w:rsidR="002041AF" w:rsidRPr="000D5690">
        <w:rPr>
          <w:rFonts w:cs="Arial"/>
          <w:lang w:val="es-ES_tradnl"/>
        </w:rPr>
        <w:t xml:space="preserve">las nuevas variedades de </w:t>
      </w:r>
      <w:proofErr w:type="spellStart"/>
      <w:r w:rsidR="002041AF" w:rsidRPr="000D5690">
        <w:rPr>
          <w:rFonts w:cs="Arial"/>
          <w:i/>
          <w:lang w:val="es-ES_tradnl"/>
        </w:rPr>
        <w:t>Trichloris</w:t>
      </w:r>
      <w:proofErr w:type="spellEnd"/>
      <w:r w:rsidR="002041AF" w:rsidRPr="000D5690">
        <w:rPr>
          <w:rFonts w:cs="Arial"/>
          <w:i/>
          <w:lang w:val="es-ES_tradnl"/>
        </w:rPr>
        <w:t> </w:t>
      </w:r>
      <w:r w:rsidR="00252BBB" w:rsidRPr="000D5690">
        <w:rPr>
          <w:rFonts w:cs="Arial"/>
          <w:i/>
          <w:lang w:val="es-ES_tradnl"/>
        </w:rPr>
        <w:t>crinita</w:t>
      </w:r>
      <w:r w:rsidR="00252BBB" w:rsidRPr="000D5690">
        <w:rPr>
          <w:rFonts w:cs="Arial"/>
          <w:lang w:val="es-ES_tradnl"/>
        </w:rPr>
        <w:t xml:space="preserve"> </w:t>
      </w:r>
      <w:r w:rsidR="002041AF" w:rsidRPr="000D5690">
        <w:rPr>
          <w:rFonts w:cs="Arial"/>
          <w:lang w:val="es-ES_tradnl"/>
        </w:rPr>
        <w:t>que han obtenido protección y han sido incluidas en la Lista Nacional</w:t>
      </w:r>
      <w:r w:rsidR="00252BBB" w:rsidRPr="000D5690">
        <w:rPr>
          <w:rFonts w:cs="Arial"/>
          <w:lang w:val="es-ES_tradnl"/>
        </w:rPr>
        <w:t>.</w:t>
      </w:r>
      <w:r w:rsidR="005253AC" w:rsidRPr="00D6704A">
        <w:rPr>
          <w:rFonts w:cs="Arial"/>
          <w:lang w:val="es-ES"/>
        </w:rPr>
        <w:t xml:space="preserve">  </w:t>
      </w:r>
      <w:r w:rsidR="002041AF" w:rsidRPr="000D5690">
        <w:rPr>
          <w:rFonts w:cs="Arial"/>
          <w:lang w:val="es-ES_tradnl"/>
        </w:rPr>
        <w:t xml:space="preserve">Un experto de los Países Bajos informó de las solicitudes presentadas para nuevas variedades de </w:t>
      </w:r>
      <w:proofErr w:type="spellStart"/>
      <w:r w:rsidR="002041AF" w:rsidRPr="000D5690">
        <w:rPr>
          <w:rFonts w:cs="Arial"/>
          <w:i/>
          <w:lang w:val="es-ES_tradnl"/>
        </w:rPr>
        <w:t>Solanum</w:t>
      </w:r>
      <w:proofErr w:type="spellEnd"/>
      <w:r w:rsidR="002041AF" w:rsidRPr="000D5690">
        <w:rPr>
          <w:rFonts w:cs="Arial"/>
          <w:i/>
          <w:lang w:val="es-ES_tradnl"/>
        </w:rPr>
        <w:t> </w:t>
      </w:r>
      <w:proofErr w:type="spellStart"/>
      <w:r w:rsidR="002041AF" w:rsidRPr="000D5690">
        <w:rPr>
          <w:rFonts w:cs="Arial"/>
          <w:i/>
          <w:lang w:val="es-ES_tradnl"/>
        </w:rPr>
        <w:t>sisymbriifolium</w:t>
      </w:r>
      <w:proofErr w:type="spellEnd"/>
      <w:r w:rsidR="002041AF" w:rsidRPr="000D5690">
        <w:rPr>
          <w:rFonts w:cs="Arial"/>
          <w:lang w:val="es-ES_tradnl"/>
        </w:rPr>
        <w:t xml:space="preserve"> y para una variedad de papa/patata propagada mediante semilla verdadera de papa/patata.</w:t>
      </w:r>
    </w:p>
    <w:p w:rsidR="005253AC" w:rsidRPr="00D6704A" w:rsidRDefault="005253AC" w:rsidP="005253AC">
      <w:pPr>
        <w:rPr>
          <w:rFonts w:cs="Arial"/>
          <w:lang w:val="es-ES"/>
        </w:rPr>
      </w:pPr>
    </w:p>
    <w:p w:rsidR="005253AC" w:rsidRPr="00D6704A" w:rsidRDefault="00791298" w:rsidP="005253AC">
      <w:pPr>
        <w:contextualSpacing/>
        <w:rPr>
          <w:rFonts w:cs="Arial"/>
          <w:color w:val="000000"/>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2041AF" w:rsidRPr="000D5690">
        <w:rPr>
          <w:rFonts w:cs="Arial"/>
          <w:color w:val="000000"/>
          <w:lang w:val="es-ES_tradnl"/>
        </w:rPr>
        <w:t xml:space="preserve">El TWA examinó los proyectos de directrices de examen del algodón (revisión), </w:t>
      </w:r>
      <w:proofErr w:type="spellStart"/>
      <w:r w:rsidR="002041AF" w:rsidRPr="000D5690">
        <w:rPr>
          <w:rFonts w:cs="Arial"/>
          <w:color w:val="000000"/>
          <w:lang w:val="es-ES_tradnl"/>
        </w:rPr>
        <w:t>haboncillo</w:t>
      </w:r>
      <w:proofErr w:type="spellEnd"/>
      <w:r w:rsidR="002041AF" w:rsidRPr="000D5690">
        <w:rPr>
          <w:rFonts w:cs="Arial"/>
          <w:color w:val="000000"/>
          <w:lang w:val="es-ES_tradnl"/>
        </w:rPr>
        <w:t xml:space="preserve"> (revisión), avena (revisión), </w:t>
      </w:r>
      <w:proofErr w:type="spellStart"/>
      <w:r w:rsidR="002041AF" w:rsidRPr="000D5690">
        <w:rPr>
          <w:rFonts w:cs="Arial"/>
          <w:color w:val="000000"/>
          <w:lang w:val="es-ES_tradnl"/>
        </w:rPr>
        <w:t>quinoa</w:t>
      </w:r>
      <w:proofErr w:type="spellEnd"/>
      <w:r w:rsidR="002041AF" w:rsidRPr="000D5690">
        <w:rPr>
          <w:rFonts w:cs="Arial"/>
          <w:color w:val="000000"/>
          <w:lang w:val="es-ES_tradnl"/>
        </w:rPr>
        <w:t>, soja (revisión) y trigo (revisión).</w:t>
      </w:r>
      <w:r w:rsidR="005253AC" w:rsidRPr="00D6704A">
        <w:rPr>
          <w:rFonts w:cs="Arial"/>
          <w:color w:val="000000"/>
          <w:lang w:val="es-ES"/>
        </w:rPr>
        <w:t xml:space="preserve"> </w:t>
      </w:r>
      <w:r w:rsidR="00E90EEF" w:rsidRPr="000D5690">
        <w:rPr>
          <w:rFonts w:cs="Arial"/>
          <w:color w:val="000000"/>
          <w:lang w:val="es-ES_tradnl"/>
        </w:rPr>
        <w:t>Ninguna de estas directrices se ultimó para su presentación al TC en 2016.</w:t>
      </w:r>
      <w:r w:rsidR="005253AC" w:rsidRPr="00D6704A">
        <w:rPr>
          <w:rFonts w:cs="Arial"/>
          <w:color w:val="000000"/>
          <w:lang w:val="es-ES"/>
        </w:rPr>
        <w:t xml:space="preserve">  </w:t>
      </w:r>
    </w:p>
    <w:p w:rsidR="005253AC" w:rsidRPr="00D6704A" w:rsidRDefault="005253AC" w:rsidP="005253AC">
      <w:pPr>
        <w:contextualSpacing/>
        <w:rPr>
          <w:rFonts w:cs="Arial"/>
          <w:color w:val="000000"/>
          <w:lang w:val="es-ES"/>
        </w:rPr>
      </w:pPr>
    </w:p>
    <w:p w:rsidR="005253AC" w:rsidRPr="00D6704A" w:rsidRDefault="00791298" w:rsidP="005253AC">
      <w:pPr>
        <w:contextualSpacing/>
        <w:rPr>
          <w:rFonts w:cs="Arial"/>
          <w:color w:val="000000"/>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E90EEF" w:rsidRPr="000D5690">
        <w:rPr>
          <w:rFonts w:cs="Arial"/>
          <w:color w:val="000000"/>
          <w:lang w:val="es-ES_tradnl"/>
        </w:rPr>
        <w:t xml:space="preserve">El TWA acordó continuar </w:t>
      </w:r>
      <w:r w:rsidR="00B43ABD" w:rsidRPr="000D5690">
        <w:rPr>
          <w:rFonts w:cs="Arial"/>
          <w:color w:val="000000"/>
          <w:lang w:val="es-ES_tradnl"/>
        </w:rPr>
        <w:t>debatie</w:t>
      </w:r>
      <w:r w:rsidR="00E90EEF" w:rsidRPr="000D5690">
        <w:rPr>
          <w:rFonts w:cs="Arial"/>
          <w:color w:val="000000"/>
          <w:lang w:val="es-ES_tradnl"/>
        </w:rPr>
        <w:t>ndo las siguientes directrices de examen en su cuadragésima quinta sesión:</w:t>
      </w:r>
      <w:r w:rsidR="005253AC" w:rsidRPr="00D6704A">
        <w:rPr>
          <w:rFonts w:cs="Arial"/>
          <w:color w:val="000000"/>
          <w:lang w:val="es-ES"/>
        </w:rPr>
        <w:t xml:space="preserve"> </w:t>
      </w:r>
      <w:r w:rsidR="00E90EEF" w:rsidRPr="000D5690">
        <w:rPr>
          <w:rFonts w:cs="Arial"/>
          <w:color w:val="000000"/>
          <w:lang w:val="es-ES_tradnl"/>
        </w:rPr>
        <w:t xml:space="preserve">cebada (revisión), ricino, algodón (revisión), </w:t>
      </w:r>
      <w:proofErr w:type="spellStart"/>
      <w:r w:rsidR="00E90EEF" w:rsidRPr="000D5690">
        <w:rPr>
          <w:rFonts w:cs="Arial"/>
          <w:color w:val="000000"/>
          <w:lang w:val="es-ES_tradnl"/>
        </w:rPr>
        <w:t>Elytrigia</w:t>
      </w:r>
      <w:proofErr w:type="spellEnd"/>
      <w:r w:rsidR="00E90EEF" w:rsidRPr="000D5690">
        <w:rPr>
          <w:rFonts w:cs="Arial"/>
          <w:color w:val="000000"/>
          <w:lang w:val="es-ES_tradnl"/>
        </w:rPr>
        <w:t xml:space="preserve">, </w:t>
      </w:r>
      <w:proofErr w:type="spellStart"/>
      <w:r w:rsidR="00E90EEF" w:rsidRPr="000D5690">
        <w:rPr>
          <w:rFonts w:cs="Arial"/>
          <w:color w:val="000000"/>
          <w:lang w:val="es-ES_tradnl"/>
        </w:rPr>
        <w:t>haboncillo</w:t>
      </w:r>
      <w:proofErr w:type="spellEnd"/>
      <w:r w:rsidR="00E90EEF" w:rsidRPr="000D5690">
        <w:rPr>
          <w:rFonts w:cs="Arial"/>
          <w:color w:val="000000"/>
          <w:lang w:val="es-ES_tradnl"/>
        </w:rPr>
        <w:t xml:space="preserve"> (revisión), avena (revisión), </w:t>
      </w:r>
      <w:proofErr w:type="spellStart"/>
      <w:r w:rsidR="00E90EEF" w:rsidRPr="000D5690">
        <w:rPr>
          <w:rFonts w:cs="Arial"/>
          <w:color w:val="000000"/>
          <w:lang w:val="es-ES_tradnl"/>
        </w:rPr>
        <w:t>quinoa</w:t>
      </w:r>
      <w:proofErr w:type="spellEnd"/>
      <w:r w:rsidR="00E90EEF" w:rsidRPr="000D5690">
        <w:rPr>
          <w:rFonts w:cs="Arial"/>
          <w:color w:val="000000"/>
          <w:lang w:val="es-ES_tradnl"/>
        </w:rPr>
        <w:t xml:space="preserve">, trébol rojo (revisión), </w:t>
      </w:r>
      <w:proofErr w:type="spellStart"/>
      <w:r w:rsidR="00E90EEF" w:rsidRPr="000D5690">
        <w:rPr>
          <w:rFonts w:cs="Arial"/>
          <w:color w:val="000000"/>
          <w:lang w:val="es-ES_tradnl"/>
        </w:rPr>
        <w:t>phazelia</w:t>
      </w:r>
      <w:proofErr w:type="spellEnd"/>
      <w:r w:rsidR="00E90EEF" w:rsidRPr="000D5690">
        <w:rPr>
          <w:rFonts w:cs="Arial"/>
          <w:color w:val="000000"/>
          <w:lang w:val="es-ES_tradnl"/>
        </w:rPr>
        <w:t>, soja (revisión) y trigo (revisión).</w:t>
      </w:r>
      <w:r w:rsidR="005253AC" w:rsidRPr="00D6704A">
        <w:rPr>
          <w:rFonts w:cs="Arial"/>
          <w:color w:val="000000"/>
          <w:lang w:val="es-ES"/>
        </w:rPr>
        <w:t xml:space="preserve"> </w:t>
      </w:r>
      <w:r w:rsidR="00E90EEF" w:rsidRPr="000D5690">
        <w:rPr>
          <w:rFonts w:cs="Arial"/>
          <w:color w:val="000000"/>
          <w:lang w:val="es-ES_tradnl"/>
        </w:rPr>
        <w:t>Se preveía que las directrices de examen del trigo (revisión) estarían listas para su presentación al TC en 2016.</w:t>
      </w:r>
      <w:r w:rsidR="005253AC" w:rsidRPr="00D6704A">
        <w:rPr>
          <w:rFonts w:cs="Arial"/>
          <w:color w:val="000000"/>
          <w:lang w:val="es-ES"/>
        </w:rPr>
        <w:t xml:space="preserve"> </w:t>
      </w:r>
    </w:p>
    <w:p w:rsidR="005253AC" w:rsidRPr="00D6704A" w:rsidRDefault="005253AC" w:rsidP="005253AC">
      <w:pPr>
        <w:contextualSpacing/>
        <w:rPr>
          <w:rFonts w:cs="Arial"/>
          <w:color w:val="000000"/>
          <w:lang w:val="es-ES"/>
        </w:rPr>
      </w:pPr>
    </w:p>
    <w:p w:rsidR="005253AC" w:rsidRPr="00D6704A" w:rsidRDefault="00791298" w:rsidP="005253AC">
      <w:pPr>
        <w:rPr>
          <w:rFonts w:cs="Arial"/>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E90EEF" w:rsidRPr="000D5690">
        <w:rPr>
          <w:rFonts w:cs="Arial"/>
          <w:lang w:val="es-ES_tradnl"/>
        </w:rPr>
        <w:t>Por invitación de México, el TWA acordó celebrar su cuadragésima quinta sesión en Querétaro (México) los días 11 al 15 de julio de 2016, con un taller preparatorio el 10 de julio de 2016.</w:t>
      </w:r>
    </w:p>
    <w:p w:rsidR="005253AC" w:rsidRPr="00D6704A" w:rsidRDefault="005253AC" w:rsidP="005253AC">
      <w:pPr>
        <w:rPr>
          <w:rFonts w:cs="Arial"/>
          <w:color w:val="000000"/>
          <w:lang w:val="es-ES"/>
        </w:rPr>
      </w:pPr>
    </w:p>
    <w:p w:rsidR="005253AC" w:rsidRPr="00D6704A" w:rsidRDefault="00791298" w:rsidP="005253AC">
      <w:pPr>
        <w:rPr>
          <w:rFonts w:cs="Arial"/>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E90EEF" w:rsidRPr="000D5690">
        <w:rPr>
          <w:rFonts w:cs="Arial"/>
          <w:lang w:val="es-ES_tradnl"/>
        </w:rPr>
        <w:t>El TWA propuso examinar los siguientes puntos en su siguiente reunión:</w:t>
      </w:r>
    </w:p>
    <w:p w:rsidR="005253AC" w:rsidRPr="00D6704A" w:rsidRDefault="005253AC" w:rsidP="005253AC">
      <w:pPr>
        <w:rPr>
          <w:rFonts w:cs="Arial"/>
          <w:lang w:val="es-ES"/>
        </w:rPr>
      </w:pPr>
    </w:p>
    <w:p w:rsidR="005253AC" w:rsidRPr="000D5690" w:rsidRDefault="00C57C1E" w:rsidP="00C57C1E">
      <w:pPr>
        <w:numPr>
          <w:ilvl w:val="0"/>
          <w:numId w:val="24"/>
        </w:numPr>
        <w:tabs>
          <w:tab w:val="clear" w:pos="360"/>
          <w:tab w:val="num" w:pos="1134"/>
        </w:tabs>
        <w:ind w:left="567" w:firstLine="0"/>
        <w:rPr>
          <w:rFonts w:cs="Arial"/>
        </w:rPr>
      </w:pPr>
      <w:r w:rsidRPr="000D5690">
        <w:rPr>
          <w:rFonts w:cs="Arial"/>
          <w:lang w:val="es-ES_tradnl"/>
        </w:rPr>
        <w:t>Apertura de la sesión</w:t>
      </w:r>
    </w:p>
    <w:p w:rsidR="005253AC" w:rsidRPr="000D5690" w:rsidRDefault="00C57C1E" w:rsidP="00C57C1E">
      <w:pPr>
        <w:numPr>
          <w:ilvl w:val="0"/>
          <w:numId w:val="24"/>
        </w:numPr>
        <w:tabs>
          <w:tab w:val="clear" w:pos="360"/>
          <w:tab w:val="num" w:pos="1134"/>
        </w:tabs>
        <w:ind w:left="567" w:firstLine="0"/>
        <w:rPr>
          <w:rFonts w:cs="Arial"/>
        </w:rPr>
      </w:pPr>
      <w:r w:rsidRPr="000D5690">
        <w:rPr>
          <w:rFonts w:cs="Arial"/>
          <w:lang w:val="es-ES_tradnl"/>
        </w:rPr>
        <w:t>Aprobación del orden del día</w:t>
      </w:r>
    </w:p>
    <w:p w:rsidR="005253AC" w:rsidRPr="00D6704A" w:rsidRDefault="00C57C1E" w:rsidP="00C57C1E">
      <w:pPr>
        <w:numPr>
          <w:ilvl w:val="0"/>
          <w:numId w:val="24"/>
        </w:numPr>
        <w:tabs>
          <w:tab w:val="clear" w:pos="360"/>
          <w:tab w:val="num" w:pos="1134"/>
        </w:tabs>
        <w:ind w:left="567" w:firstLine="0"/>
        <w:rPr>
          <w:rFonts w:cs="Arial"/>
          <w:lang w:val="es-ES"/>
        </w:rPr>
      </w:pPr>
      <w:r w:rsidRPr="000D5690">
        <w:rPr>
          <w:rFonts w:cs="Arial"/>
          <w:lang w:val="es-ES_tradnl"/>
        </w:rPr>
        <w:t>Breves informes sobre los avances logrados en la protección de las variedades vegetales</w:t>
      </w:r>
    </w:p>
    <w:p w:rsidR="005253AC" w:rsidRPr="00D6704A" w:rsidRDefault="00C57C1E" w:rsidP="00C57C1E">
      <w:pPr>
        <w:numPr>
          <w:ilvl w:val="0"/>
          <w:numId w:val="43"/>
        </w:numPr>
        <w:tabs>
          <w:tab w:val="num" w:pos="1494"/>
        </w:tabs>
        <w:rPr>
          <w:rFonts w:cs="Arial"/>
          <w:lang w:val="es-ES"/>
        </w:rPr>
      </w:pPr>
      <w:r w:rsidRPr="000D5690">
        <w:rPr>
          <w:rFonts w:cs="Arial"/>
          <w:lang w:val="es-ES_tradnl"/>
        </w:rPr>
        <w:t>Informes de los miembros y observadores</w:t>
      </w:r>
      <w:r w:rsidR="005253AC" w:rsidRPr="00D6704A">
        <w:rPr>
          <w:rFonts w:cs="Arial"/>
          <w:lang w:val="es-ES"/>
        </w:rPr>
        <w:t xml:space="preserve"> </w:t>
      </w:r>
    </w:p>
    <w:p w:rsidR="005253AC" w:rsidRPr="00D6704A" w:rsidRDefault="00C57C1E" w:rsidP="00C57C1E">
      <w:pPr>
        <w:numPr>
          <w:ilvl w:val="0"/>
          <w:numId w:val="43"/>
        </w:numPr>
        <w:tabs>
          <w:tab w:val="num" w:pos="1494"/>
        </w:tabs>
        <w:rPr>
          <w:rFonts w:cs="Arial"/>
          <w:lang w:val="es-ES"/>
        </w:rPr>
      </w:pPr>
      <w:r w:rsidRPr="000D5690">
        <w:rPr>
          <w:rFonts w:cs="Arial"/>
          <w:lang w:val="es-ES_tradnl"/>
        </w:rPr>
        <w:t>Informes sobre los avances logrados en la UPOV</w:t>
      </w:r>
      <w:r w:rsidR="005253AC" w:rsidRPr="00D6704A">
        <w:rPr>
          <w:rFonts w:cs="Arial"/>
          <w:lang w:val="es-ES"/>
        </w:rPr>
        <w:t xml:space="preserve"> </w:t>
      </w:r>
    </w:p>
    <w:p w:rsidR="005253AC" w:rsidRPr="000D5690" w:rsidRDefault="00C57C1E" w:rsidP="00CD3D58">
      <w:pPr>
        <w:numPr>
          <w:ilvl w:val="0"/>
          <w:numId w:val="24"/>
        </w:numPr>
        <w:tabs>
          <w:tab w:val="clear" w:pos="360"/>
          <w:tab w:val="num" w:pos="1134"/>
        </w:tabs>
        <w:ind w:left="567" w:firstLine="0"/>
        <w:rPr>
          <w:rFonts w:cs="Arial"/>
        </w:rPr>
      </w:pPr>
      <w:r w:rsidRPr="000D5690">
        <w:rPr>
          <w:rFonts w:cs="Arial"/>
          <w:lang w:val="es-ES_tradnl"/>
        </w:rPr>
        <w:t>Técnicas moleculares</w:t>
      </w:r>
      <w:r w:rsidR="005253AC" w:rsidRPr="000D5690">
        <w:rPr>
          <w:rFonts w:cs="Arial"/>
        </w:rPr>
        <w:t xml:space="preserve"> </w:t>
      </w:r>
    </w:p>
    <w:p w:rsidR="005253AC" w:rsidRPr="000D5690" w:rsidRDefault="00C57C1E" w:rsidP="00CD3D58">
      <w:pPr>
        <w:numPr>
          <w:ilvl w:val="0"/>
          <w:numId w:val="24"/>
        </w:numPr>
        <w:tabs>
          <w:tab w:val="clear" w:pos="360"/>
          <w:tab w:val="num" w:pos="1134"/>
        </w:tabs>
        <w:ind w:left="567" w:firstLine="0"/>
        <w:rPr>
          <w:rFonts w:cs="Arial"/>
        </w:rPr>
      </w:pPr>
      <w:r w:rsidRPr="000D5690">
        <w:rPr>
          <w:rFonts w:cs="Arial"/>
          <w:lang w:val="es-ES_tradnl"/>
        </w:rPr>
        <w:t>Documentos TGP</w:t>
      </w:r>
      <w:r w:rsidR="005253AC" w:rsidRPr="000D5690">
        <w:rPr>
          <w:rFonts w:cs="Arial"/>
        </w:rPr>
        <w:t xml:space="preserve"> </w:t>
      </w:r>
    </w:p>
    <w:p w:rsidR="005253AC" w:rsidRPr="000D5690" w:rsidRDefault="00C57C1E" w:rsidP="00CD3D58">
      <w:pPr>
        <w:numPr>
          <w:ilvl w:val="0"/>
          <w:numId w:val="24"/>
        </w:numPr>
        <w:tabs>
          <w:tab w:val="clear" w:pos="360"/>
          <w:tab w:val="num" w:pos="1134"/>
        </w:tabs>
        <w:ind w:left="567" w:firstLine="0"/>
        <w:rPr>
          <w:rFonts w:cs="Arial"/>
        </w:rPr>
      </w:pPr>
      <w:r w:rsidRPr="000D5690">
        <w:rPr>
          <w:rFonts w:cs="Arial"/>
          <w:lang w:val="es-ES_tradnl"/>
        </w:rPr>
        <w:t>Denominaciones de variedades</w:t>
      </w:r>
      <w:r w:rsidR="005253AC" w:rsidRPr="000D5690">
        <w:rPr>
          <w:rFonts w:cs="Arial"/>
        </w:rPr>
        <w:t xml:space="preserve"> </w:t>
      </w:r>
    </w:p>
    <w:p w:rsidR="005253AC" w:rsidRPr="000D5690" w:rsidRDefault="00C57C1E" w:rsidP="00CD3D58">
      <w:pPr>
        <w:numPr>
          <w:ilvl w:val="0"/>
          <w:numId w:val="24"/>
        </w:numPr>
        <w:tabs>
          <w:tab w:val="clear" w:pos="360"/>
          <w:tab w:val="num" w:pos="1134"/>
        </w:tabs>
        <w:ind w:left="567" w:firstLine="0"/>
        <w:rPr>
          <w:rFonts w:cs="Arial"/>
        </w:rPr>
      </w:pPr>
      <w:r w:rsidRPr="000D5690">
        <w:rPr>
          <w:rFonts w:cs="Arial"/>
          <w:lang w:val="es-ES_tradnl"/>
        </w:rPr>
        <w:t>Información y bases de datos</w:t>
      </w:r>
    </w:p>
    <w:p w:rsidR="005253AC" w:rsidRPr="00D6704A" w:rsidRDefault="0047214B" w:rsidP="005253AC">
      <w:pPr>
        <w:ind w:left="1134"/>
        <w:rPr>
          <w:rFonts w:cs="Arial"/>
          <w:lang w:val="es-ES"/>
        </w:rPr>
      </w:pPr>
      <w:r w:rsidRPr="00D6704A">
        <w:rPr>
          <w:rFonts w:cs="Arial"/>
          <w:lang w:val="es-ES"/>
        </w:rPr>
        <w:t>a)</w:t>
      </w:r>
      <w:r w:rsidR="005253AC" w:rsidRPr="00D6704A">
        <w:rPr>
          <w:rFonts w:cs="Arial"/>
          <w:lang w:val="es-ES"/>
        </w:rPr>
        <w:t xml:space="preserve">  </w:t>
      </w:r>
      <w:r w:rsidR="00C57C1E" w:rsidRPr="000D5690">
        <w:rPr>
          <w:rFonts w:cs="Arial"/>
          <w:lang w:val="es-ES_tradnl"/>
        </w:rPr>
        <w:t>Bases de datos de información de la UPOV</w:t>
      </w:r>
      <w:r w:rsidR="005253AC" w:rsidRPr="00D6704A">
        <w:rPr>
          <w:rFonts w:cs="Arial"/>
          <w:lang w:val="es-ES"/>
        </w:rPr>
        <w:t xml:space="preserve"> </w:t>
      </w:r>
    </w:p>
    <w:p w:rsidR="005253AC" w:rsidRPr="00D6704A" w:rsidRDefault="0047214B" w:rsidP="005253AC">
      <w:pPr>
        <w:ind w:left="1134"/>
        <w:rPr>
          <w:rFonts w:cs="Arial"/>
          <w:lang w:val="es-ES"/>
        </w:rPr>
      </w:pPr>
      <w:r w:rsidRPr="00D6704A">
        <w:rPr>
          <w:rFonts w:cs="Arial"/>
          <w:lang w:val="es-ES"/>
        </w:rPr>
        <w:t>b)</w:t>
      </w:r>
      <w:r w:rsidR="005253AC" w:rsidRPr="00D6704A">
        <w:rPr>
          <w:rFonts w:cs="Arial"/>
          <w:lang w:val="es-ES"/>
        </w:rPr>
        <w:t xml:space="preserve">  </w:t>
      </w:r>
      <w:r w:rsidR="00C57C1E" w:rsidRPr="000D5690">
        <w:rPr>
          <w:rFonts w:cs="Arial"/>
          <w:lang w:val="es-ES_tradnl"/>
        </w:rPr>
        <w:t>Bases de datos de descripciones de variedades</w:t>
      </w:r>
      <w:r w:rsidR="005253AC" w:rsidRPr="00D6704A">
        <w:rPr>
          <w:rFonts w:cs="Arial"/>
          <w:lang w:val="es-ES"/>
        </w:rPr>
        <w:t xml:space="preserve"> </w:t>
      </w:r>
    </w:p>
    <w:p w:rsidR="005253AC" w:rsidRPr="00D6704A" w:rsidRDefault="0047214B" w:rsidP="005253AC">
      <w:pPr>
        <w:ind w:left="1134"/>
        <w:rPr>
          <w:rFonts w:cs="Arial"/>
          <w:lang w:val="es-ES"/>
        </w:rPr>
      </w:pPr>
      <w:r w:rsidRPr="00D6704A">
        <w:rPr>
          <w:rFonts w:cs="Arial"/>
          <w:lang w:val="es-ES"/>
        </w:rPr>
        <w:t>c)</w:t>
      </w:r>
      <w:r w:rsidR="005253AC" w:rsidRPr="00D6704A">
        <w:rPr>
          <w:rFonts w:cs="Arial"/>
          <w:lang w:val="es-ES"/>
        </w:rPr>
        <w:t xml:space="preserve">  </w:t>
      </w:r>
      <w:r w:rsidR="00C57C1E" w:rsidRPr="000D5690">
        <w:rPr>
          <w:rFonts w:cs="Arial"/>
          <w:lang w:val="es-ES_tradnl"/>
        </w:rPr>
        <w:t>Programas informáticos para intercambio</w:t>
      </w:r>
    </w:p>
    <w:p w:rsidR="005253AC" w:rsidRPr="00D6704A" w:rsidRDefault="0047214B" w:rsidP="005253AC">
      <w:pPr>
        <w:ind w:left="1134"/>
        <w:rPr>
          <w:rFonts w:cs="Arial"/>
          <w:lang w:val="es-ES"/>
        </w:rPr>
      </w:pPr>
      <w:r w:rsidRPr="00D6704A">
        <w:rPr>
          <w:rFonts w:cs="Arial"/>
          <w:lang w:val="es-ES"/>
        </w:rPr>
        <w:t>d)</w:t>
      </w:r>
      <w:r w:rsidR="005253AC" w:rsidRPr="00D6704A">
        <w:rPr>
          <w:rFonts w:cs="Arial"/>
          <w:lang w:val="es-ES"/>
        </w:rPr>
        <w:t xml:space="preserve">  </w:t>
      </w:r>
      <w:r w:rsidR="00C57C1E" w:rsidRPr="000D5690">
        <w:rPr>
          <w:rFonts w:cs="Arial"/>
          <w:lang w:val="es-ES_tradnl"/>
        </w:rPr>
        <w:t>Sistemas de presentación electrónica de solicitudes</w:t>
      </w:r>
      <w:r w:rsidR="005253AC" w:rsidRPr="00D6704A">
        <w:rPr>
          <w:rFonts w:cs="Arial"/>
          <w:lang w:val="es-ES"/>
        </w:rPr>
        <w:t xml:space="preserve"> </w:t>
      </w:r>
    </w:p>
    <w:p w:rsidR="005253AC" w:rsidRPr="000D5690" w:rsidRDefault="00C57C1E" w:rsidP="00CD3D58">
      <w:pPr>
        <w:numPr>
          <w:ilvl w:val="0"/>
          <w:numId w:val="24"/>
        </w:numPr>
        <w:tabs>
          <w:tab w:val="clear" w:pos="360"/>
          <w:tab w:val="num" w:pos="1134"/>
        </w:tabs>
        <w:ind w:left="567" w:firstLine="0"/>
        <w:rPr>
          <w:rFonts w:cs="Arial"/>
        </w:rPr>
      </w:pPr>
      <w:r w:rsidRPr="000D5690">
        <w:rPr>
          <w:rFonts w:cs="Arial"/>
          <w:lang w:val="es-ES_tradnl"/>
        </w:rPr>
        <w:t>Evaluación de la homogeneidad</w:t>
      </w:r>
    </w:p>
    <w:p w:rsidR="005253AC" w:rsidRPr="00D6704A" w:rsidRDefault="00C57C1E" w:rsidP="00D702C2">
      <w:pPr>
        <w:numPr>
          <w:ilvl w:val="0"/>
          <w:numId w:val="24"/>
        </w:numPr>
        <w:tabs>
          <w:tab w:val="clear" w:pos="360"/>
        </w:tabs>
        <w:ind w:left="1134" w:hanging="567"/>
        <w:rPr>
          <w:rFonts w:cs="Arial"/>
          <w:lang w:val="es-ES"/>
        </w:rPr>
      </w:pPr>
      <w:r w:rsidRPr="000D5690">
        <w:rPr>
          <w:rFonts w:cs="Arial"/>
          <w:lang w:val="es-ES_tradnl"/>
        </w:rPr>
        <w:t xml:space="preserve">Experiencias sobre </w:t>
      </w:r>
      <w:r w:rsidR="00D702C2" w:rsidRPr="000D5690">
        <w:rPr>
          <w:rFonts w:cs="Arial"/>
          <w:lang w:val="es-ES_tradnl"/>
        </w:rPr>
        <w:t>asuntos relativos a las descripciones de variedades</w:t>
      </w:r>
      <w:r w:rsidR="005253AC" w:rsidRPr="00D6704A">
        <w:rPr>
          <w:rFonts w:cs="Arial"/>
          <w:lang w:val="es-ES"/>
        </w:rPr>
        <w:t xml:space="preserve"> </w:t>
      </w:r>
    </w:p>
    <w:p w:rsidR="005253AC" w:rsidRPr="00D6704A" w:rsidRDefault="00D702C2" w:rsidP="00CD3D58">
      <w:pPr>
        <w:numPr>
          <w:ilvl w:val="0"/>
          <w:numId w:val="24"/>
        </w:numPr>
        <w:tabs>
          <w:tab w:val="clear" w:pos="360"/>
          <w:tab w:val="num" w:pos="1134"/>
        </w:tabs>
        <w:ind w:left="567" w:firstLine="0"/>
        <w:rPr>
          <w:rFonts w:cs="Arial"/>
          <w:lang w:val="es-ES"/>
        </w:rPr>
      </w:pPr>
      <w:r w:rsidRPr="000D5690">
        <w:rPr>
          <w:rFonts w:cs="Arial"/>
          <w:lang w:val="es-ES_tradnl"/>
        </w:rPr>
        <w:t>Experiencias con nuevos tipos y especies</w:t>
      </w:r>
    </w:p>
    <w:p w:rsidR="005253AC" w:rsidRPr="00D6704A" w:rsidRDefault="00D702C2" w:rsidP="00D702C2">
      <w:pPr>
        <w:numPr>
          <w:ilvl w:val="0"/>
          <w:numId w:val="24"/>
        </w:numPr>
        <w:tabs>
          <w:tab w:val="clear" w:pos="360"/>
        </w:tabs>
        <w:ind w:left="1134" w:hanging="567"/>
        <w:rPr>
          <w:rFonts w:cs="Arial"/>
          <w:lang w:val="es-ES"/>
        </w:rPr>
      </w:pPr>
      <w:r w:rsidRPr="000D5690">
        <w:rPr>
          <w:rFonts w:cs="Arial"/>
          <w:lang w:val="es-ES_tradnl"/>
        </w:rPr>
        <w:t>Efecto de los organismos endófitos en los caracteres DHE en gramíneas</w:t>
      </w:r>
      <w:r w:rsidR="005253AC" w:rsidRPr="00D6704A">
        <w:rPr>
          <w:rFonts w:cs="Arial"/>
          <w:lang w:val="es-ES"/>
        </w:rPr>
        <w:t xml:space="preserve"> </w:t>
      </w:r>
    </w:p>
    <w:p w:rsidR="005253AC" w:rsidRPr="00D6704A" w:rsidRDefault="00D702C2" w:rsidP="00D702C2">
      <w:pPr>
        <w:numPr>
          <w:ilvl w:val="0"/>
          <w:numId w:val="24"/>
        </w:numPr>
        <w:tabs>
          <w:tab w:val="clear" w:pos="360"/>
        </w:tabs>
        <w:ind w:left="1134" w:hanging="567"/>
        <w:jc w:val="left"/>
        <w:rPr>
          <w:rFonts w:cs="Arial"/>
          <w:lang w:val="es-ES"/>
        </w:rPr>
      </w:pPr>
      <w:r w:rsidRPr="000D5690">
        <w:rPr>
          <w:rFonts w:cs="Arial"/>
          <w:lang w:val="es-ES_tradnl"/>
        </w:rPr>
        <w:t>Cuestiones por resolver en lo que respecta a directrices de examen aprobadas por el Comité Técnico (en su caso)</w:t>
      </w:r>
    </w:p>
    <w:p w:rsidR="005253AC" w:rsidRPr="00CD3D58" w:rsidRDefault="00D702C2" w:rsidP="00CD3D58">
      <w:pPr>
        <w:numPr>
          <w:ilvl w:val="0"/>
          <w:numId w:val="24"/>
        </w:numPr>
        <w:tabs>
          <w:tab w:val="clear" w:pos="360"/>
          <w:tab w:val="num" w:pos="1134"/>
        </w:tabs>
        <w:ind w:left="567" w:firstLine="0"/>
        <w:rPr>
          <w:rFonts w:cs="Arial"/>
          <w:lang w:val="es-ES_tradnl"/>
        </w:rPr>
      </w:pPr>
      <w:r w:rsidRPr="000D5690">
        <w:rPr>
          <w:rFonts w:cs="Arial"/>
          <w:lang w:val="es-ES_tradnl"/>
        </w:rPr>
        <w:t>Debates sobre proyectos de directrices de examen (subgrupos)</w:t>
      </w:r>
    </w:p>
    <w:p w:rsidR="005253AC" w:rsidRPr="00CD3D58" w:rsidRDefault="00D702C2" w:rsidP="00CD3D58">
      <w:pPr>
        <w:numPr>
          <w:ilvl w:val="0"/>
          <w:numId w:val="24"/>
        </w:numPr>
        <w:tabs>
          <w:tab w:val="clear" w:pos="360"/>
          <w:tab w:val="num" w:pos="1134"/>
        </w:tabs>
        <w:ind w:left="567" w:firstLine="0"/>
        <w:rPr>
          <w:rFonts w:cs="Arial"/>
          <w:lang w:val="es-ES_tradnl"/>
        </w:rPr>
      </w:pPr>
      <w:r w:rsidRPr="000D5690">
        <w:rPr>
          <w:rFonts w:cs="Arial"/>
          <w:lang w:val="es-ES_tradnl"/>
        </w:rPr>
        <w:t>Recomendaciones sobre proyectos de directrices de examen</w:t>
      </w:r>
    </w:p>
    <w:p w:rsidR="005253AC" w:rsidRPr="00CD3D58" w:rsidRDefault="00355983" w:rsidP="00CD3D58">
      <w:pPr>
        <w:numPr>
          <w:ilvl w:val="0"/>
          <w:numId w:val="24"/>
        </w:numPr>
        <w:tabs>
          <w:tab w:val="clear" w:pos="360"/>
          <w:tab w:val="num" w:pos="1134"/>
        </w:tabs>
        <w:ind w:left="567" w:firstLine="0"/>
        <w:rPr>
          <w:rFonts w:cs="Arial"/>
          <w:lang w:val="es-ES_tradnl"/>
        </w:rPr>
      </w:pPr>
      <w:r w:rsidRPr="000D5690">
        <w:rPr>
          <w:rFonts w:cs="Arial"/>
          <w:lang w:val="es-ES_tradnl"/>
        </w:rPr>
        <w:t xml:space="preserve">Guía </w:t>
      </w:r>
      <w:r w:rsidR="00D702C2" w:rsidRPr="000D5690">
        <w:rPr>
          <w:rFonts w:cs="Arial"/>
          <w:lang w:val="es-ES_tradnl"/>
        </w:rPr>
        <w:t>para los redactores de las directrices de examen</w:t>
      </w:r>
    </w:p>
    <w:p w:rsidR="005253AC" w:rsidRPr="00CD3D58" w:rsidRDefault="00D702C2" w:rsidP="00CD3D58">
      <w:pPr>
        <w:numPr>
          <w:ilvl w:val="0"/>
          <w:numId w:val="24"/>
        </w:numPr>
        <w:tabs>
          <w:tab w:val="clear" w:pos="360"/>
          <w:tab w:val="num" w:pos="1134"/>
        </w:tabs>
        <w:ind w:left="567" w:firstLine="0"/>
        <w:rPr>
          <w:rFonts w:cs="Arial"/>
          <w:lang w:val="es-ES_tradnl"/>
        </w:rPr>
      </w:pPr>
      <w:r w:rsidRPr="000D5690">
        <w:rPr>
          <w:rFonts w:cs="Arial"/>
          <w:lang w:val="es-ES_tradnl"/>
        </w:rPr>
        <w:t>Fecha y lugar de la siguiente reunión</w:t>
      </w:r>
    </w:p>
    <w:p w:rsidR="005253AC" w:rsidRPr="00CD3D58" w:rsidRDefault="00D702C2" w:rsidP="00CD3D58">
      <w:pPr>
        <w:numPr>
          <w:ilvl w:val="0"/>
          <w:numId w:val="24"/>
        </w:numPr>
        <w:tabs>
          <w:tab w:val="clear" w:pos="360"/>
          <w:tab w:val="num" w:pos="1134"/>
        </w:tabs>
        <w:ind w:left="567" w:firstLine="0"/>
        <w:rPr>
          <w:rFonts w:cs="Arial"/>
          <w:lang w:val="es-ES_tradnl"/>
        </w:rPr>
      </w:pPr>
      <w:r w:rsidRPr="000D5690">
        <w:rPr>
          <w:rFonts w:cs="Arial"/>
          <w:lang w:val="es-ES_tradnl"/>
        </w:rPr>
        <w:t>Programa futuro</w:t>
      </w:r>
    </w:p>
    <w:p w:rsidR="005253AC" w:rsidRPr="00CD3D58" w:rsidRDefault="00D702C2" w:rsidP="00CD3D58">
      <w:pPr>
        <w:numPr>
          <w:ilvl w:val="0"/>
          <w:numId w:val="24"/>
        </w:numPr>
        <w:tabs>
          <w:tab w:val="clear" w:pos="360"/>
          <w:tab w:val="num" w:pos="1134"/>
        </w:tabs>
        <w:ind w:left="567" w:firstLine="0"/>
        <w:rPr>
          <w:rFonts w:cs="Arial"/>
          <w:lang w:val="es-ES_tradnl"/>
        </w:rPr>
      </w:pPr>
      <w:r w:rsidRPr="000D5690">
        <w:rPr>
          <w:rFonts w:cs="Arial"/>
          <w:lang w:val="es-ES_tradnl"/>
        </w:rPr>
        <w:t>Informe de la reunión (si se dispone de tiempo suficiente)</w:t>
      </w:r>
    </w:p>
    <w:p w:rsidR="005253AC" w:rsidRPr="000D5690" w:rsidRDefault="00D702C2" w:rsidP="00CD3D58">
      <w:pPr>
        <w:numPr>
          <w:ilvl w:val="0"/>
          <w:numId w:val="24"/>
        </w:numPr>
        <w:tabs>
          <w:tab w:val="clear" w:pos="360"/>
          <w:tab w:val="num" w:pos="1134"/>
        </w:tabs>
        <w:ind w:left="567" w:firstLine="0"/>
        <w:rPr>
          <w:rFonts w:cs="Arial"/>
        </w:rPr>
      </w:pPr>
      <w:r w:rsidRPr="000D5690">
        <w:rPr>
          <w:rFonts w:cs="Arial"/>
          <w:lang w:val="es-ES_tradnl"/>
        </w:rPr>
        <w:t>Clausura de la reunión</w:t>
      </w:r>
    </w:p>
    <w:p w:rsidR="005253AC" w:rsidRPr="000D5690" w:rsidRDefault="005253AC" w:rsidP="005253AC">
      <w:pPr>
        <w:rPr>
          <w:rFonts w:cs="Arial"/>
        </w:rPr>
      </w:pPr>
    </w:p>
    <w:p w:rsidR="005253AC" w:rsidRPr="00D6704A" w:rsidRDefault="00791298" w:rsidP="005253AC">
      <w:pPr>
        <w:rPr>
          <w:rFonts w:cs="Arial"/>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D702C2" w:rsidRPr="000D5690">
        <w:rPr>
          <w:rFonts w:cs="Arial"/>
          <w:color w:val="000000"/>
          <w:lang w:val="es-ES_tradnl"/>
        </w:rPr>
        <w:t>E</w:t>
      </w:r>
      <w:r w:rsidR="00AE3A08" w:rsidRPr="000D5690">
        <w:rPr>
          <w:rFonts w:cs="Arial"/>
          <w:color w:val="000000"/>
          <w:lang w:val="es-ES_tradnl"/>
        </w:rPr>
        <w:t>l</w:t>
      </w:r>
      <w:r w:rsidR="00D702C2" w:rsidRPr="000D5690">
        <w:rPr>
          <w:rFonts w:cs="Arial"/>
          <w:color w:val="000000"/>
          <w:lang w:val="es-ES_tradnl"/>
        </w:rPr>
        <w:t xml:space="preserve"> 8 de julio de 2015</w:t>
      </w:r>
      <w:r w:rsidR="00AE3A08" w:rsidRPr="000D5690">
        <w:rPr>
          <w:rFonts w:cs="Arial"/>
          <w:color w:val="000000"/>
          <w:lang w:val="es-ES_tradnl"/>
        </w:rPr>
        <w:t xml:space="preserve"> por la tarde</w:t>
      </w:r>
      <w:r w:rsidR="00D702C2" w:rsidRPr="000D5690">
        <w:rPr>
          <w:rFonts w:cs="Arial"/>
          <w:color w:val="000000"/>
          <w:lang w:val="es-ES_tradnl"/>
        </w:rPr>
        <w:t xml:space="preserve">, el TWA visitó el Centro de Investigación Agrícola </w:t>
      </w:r>
      <w:r w:rsidR="00AE3A08" w:rsidRPr="000D5690">
        <w:rPr>
          <w:rFonts w:cs="Arial"/>
          <w:color w:val="000000"/>
          <w:lang w:val="es-ES_tradnl"/>
        </w:rPr>
        <w:t xml:space="preserve">de </w:t>
      </w:r>
      <w:proofErr w:type="spellStart"/>
      <w:r w:rsidR="00AE3A08" w:rsidRPr="000D5690">
        <w:rPr>
          <w:rFonts w:cs="Arial"/>
          <w:color w:val="000000"/>
          <w:lang w:val="es-ES_tradnl"/>
        </w:rPr>
        <w:t>Hokkaido</w:t>
      </w:r>
      <w:proofErr w:type="spellEnd"/>
      <w:r w:rsidR="00AE3A08" w:rsidRPr="000D5690">
        <w:rPr>
          <w:rFonts w:cs="Arial"/>
          <w:color w:val="000000"/>
          <w:lang w:val="es-ES_tradnl"/>
        </w:rPr>
        <w:t xml:space="preserve"> </w:t>
      </w:r>
      <w:r w:rsidR="00D702C2" w:rsidRPr="000D5690">
        <w:rPr>
          <w:rFonts w:cs="Arial"/>
          <w:color w:val="000000"/>
          <w:lang w:val="es-ES_tradnl"/>
        </w:rPr>
        <w:t>(</w:t>
      </w:r>
      <w:r w:rsidR="00AE3A08" w:rsidRPr="000D5690">
        <w:rPr>
          <w:rFonts w:cs="Arial"/>
          <w:color w:val="000000"/>
          <w:lang w:val="es-ES_tradnl"/>
        </w:rPr>
        <w:t>HARC</w:t>
      </w:r>
      <w:r w:rsidR="00D702C2" w:rsidRPr="000D5690">
        <w:rPr>
          <w:rFonts w:cs="Arial"/>
          <w:color w:val="000000"/>
          <w:lang w:val="es-ES_tradnl"/>
        </w:rPr>
        <w:t xml:space="preserve">) de la </w:t>
      </w:r>
      <w:r w:rsidR="00AE3A08" w:rsidRPr="000D5690">
        <w:rPr>
          <w:rFonts w:cs="Arial"/>
          <w:lang w:val="es-ES_tradnl"/>
        </w:rPr>
        <w:t>Organización Nacional de Investigación Agrícola y Alimentaria (NARO</w:t>
      </w:r>
      <w:r w:rsidR="00D702C2" w:rsidRPr="000D5690">
        <w:rPr>
          <w:rFonts w:cs="Arial"/>
          <w:color w:val="000000"/>
          <w:lang w:val="es-ES_tradnl"/>
        </w:rPr>
        <w:t xml:space="preserve">) </w:t>
      </w:r>
      <w:r w:rsidR="00AE3A08" w:rsidRPr="000D5690">
        <w:rPr>
          <w:rFonts w:cs="Arial"/>
          <w:color w:val="000000"/>
          <w:lang w:val="es-ES_tradnl"/>
        </w:rPr>
        <w:t xml:space="preserve">del Japón, </w:t>
      </w:r>
      <w:r w:rsidR="00D702C2" w:rsidRPr="000D5690">
        <w:rPr>
          <w:rFonts w:cs="Arial"/>
          <w:color w:val="000000"/>
          <w:lang w:val="es-ES_tradnl"/>
        </w:rPr>
        <w:t xml:space="preserve">en </w:t>
      </w:r>
      <w:proofErr w:type="spellStart"/>
      <w:r w:rsidR="00D702C2" w:rsidRPr="000D5690">
        <w:rPr>
          <w:rFonts w:cs="Arial"/>
          <w:color w:val="000000"/>
          <w:lang w:val="es-ES_tradnl"/>
        </w:rPr>
        <w:t>Memuro</w:t>
      </w:r>
      <w:proofErr w:type="spellEnd"/>
      <w:r w:rsidR="00D702C2" w:rsidRPr="000D5690">
        <w:rPr>
          <w:rFonts w:cs="Arial"/>
          <w:color w:val="000000"/>
          <w:lang w:val="es-ES_tradnl"/>
        </w:rPr>
        <w:t>, Kasai-</w:t>
      </w:r>
      <w:proofErr w:type="spellStart"/>
      <w:r w:rsidR="00D702C2" w:rsidRPr="000D5690">
        <w:rPr>
          <w:rFonts w:cs="Arial"/>
          <w:color w:val="000000"/>
          <w:lang w:val="es-ES_tradnl"/>
        </w:rPr>
        <w:t>gun</w:t>
      </w:r>
      <w:proofErr w:type="spellEnd"/>
      <w:r w:rsidR="0083268D" w:rsidRPr="000D5690">
        <w:rPr>
          <w:rFonts w:cs="Arial"/>
          <w:color w:val="000000"/>
          <w:lang w:val="es-ES_tradnl"/>
        </w:rPr>
        <w:t xml:space="preserve"> (</w:t>
      </w:r>
      <w:proofErr w:type="spellStart"/>
      <w:r w:rsidR="00D702C2" w:rsidRPr="000D5690">
        <w:rPr>
          <w:rFonts w:cs="Arial"/>
          <w:color w:val="000000"/>
          <w:lang w:val="es-ES_tradnl"/>
        </w:rPr>
        <w:t>Hokkaido</w:t>
      </w:r>
      <w:proofErr w:type="spellEnd"/>
      <w:r w:rsidR="0083268D" w:rsidRPr="000D5690">
        <w:rPr>
          <w:rFonts w:cs="Arial"/>
          <w:color w:val="000000"/>
          <w:lang w:val="es-ES_tradnl"/>
        </w:rPr>
        <w:t>)</w:t>
      </w:r>
      <w:r w:rsidR="00D702C2" w:rsidRPr="000D5690">
        <w:rPr>
          <w:rFonts w:cs="Arial"/>
          <w:color w:val="000000"/>
          <w:lang w:val="es-ES_tradnl"/>
        </w:rPr>
        <w:t>.</w:t>
      </w:r>
      <w:r w:rsidR="005253AC" w:rsidRPr="00D6704A">
        <w:rPr>
          <w:rFonts w:cs="Arial"/>
          <w:color w:val="222222"/>
          <w:lang w:val="es-ES"/>
        </w:rPr>
        <w:t xml:space="preserve">  </w:t>
      </w:r>
      <w:r w:rsidR="00AE3A08" w:rsidRPr="000D5690">
        <w:rPr>
          <w:rFonts w:cs="Arial"/>
          <w:color w:val="222222"/>
          <w:lang w:val="es-ES_tradnl"/>
        </w:rPr>
        <w:t>Dio la bienvenida al TWA el Sr. </w:t>
      </w:r>
      <w:proofErr w:type="spellStart"/>
      <w:r w:rsidR="00AE3A08" w:rsidRPr="000D5690">
        <w:rPr>
          <w:rFonts w:cs="Arial"/>
          <w:color w:val="222222"/>
          <w:lang w:val="es-ES_tradnl"/>
        </w:rPr>
        <w:t>Masayuki</w:t>
      </w:r>
      <w:proofErr w:type="spellEnd"/>
      <w:r w:rsidR="00AE3A08" w:rsidRPr="000D5690">
        <w:rPr>
          <w:rFonts w:cs="Arial"/>
          <w:color w:val="222222"/>
          <w:lang w:val="es-ES_tradnl"/>
        </w:rPr>
        <w:t xml:space="preserve"> </w:t>
      </w:r>
      <w:proofErr w:type="spellStart"/>
      <w:r w:rsidR="00AE3A08" w:rsidRPr="000D5690">
        <w:rPr>
          <w:rFonts w:cs="Arial"/>
          <w:color w:val="222222"/>
          <w:lang w:val="es-ES_tradnl"/>
        </w:rPr>
        <w:t>Hirafuji</w:t>
      </w:r>
      <w:proofErr w:type="spellEnd"/>
      <w:r w:rsidR="00AE3A08" w:rsidRPr="000D5690">
        <w:rPr>
          <w:rFonts w:cs="Arial"/>
          <w:color w:val="222222"/>
          <w:lang w:val="es-ES_tradnl"/>
        </w:rPr>
        <w:t xml:space="preserve">, Director del HARC de la NARO, quien presentó una ponencia sobre la NARO y </w:t>
      </w:r>
      <w:r w:rsidR="00F52130" w:rsidRPr="000D5690">
        <w:rPr>
          <w:rFonts w:cs="Arial"/>
          <w:color w:val="222222"/>
          <w:lang w:val="es-ES_tradnl"/>
        </w:rPr>
        <w:t xml:space="preserve">el </w:t>
      </w:r>
      <w:r w:rsidR="00AE3A08" w:rsidRPr="000D5690">
        <w:rPr>
          <w:rFonts w:cs="Arial"/>
          <w:color w:val="222222"/>
          <w:lang w:val="es-ES_tradnl"/>
        </w:rPr>
        <w:t xml:space="preserve">HARC en </w:t>
      </w:r>
      <w:proofErr w:type="spellStart"/>
      <w:r w:rsidR="00AE3A08" w:rsidRPr="000D5690">
        <w:rPr>
          <w:rFonts w:cs="Arial"/>
          <w:color w:val="222222"/>
          <w:lang w:val="es-ES_tradnl"/>
        </w:rPr>
        <w:t>Memuro</w:t>
      </w:r>
      <w:proofErr w:type="spellEnd"/>
      <w:r w:rsidR="00AE3A08" w:rsidRPr="000D5690">
        <w:rPr>
          <w:rFonts w:cs="Arial"/>
          <w:color w:val="222222"/>
          <w:lang w:val="es-ES_tradnl"/>
        </w:rPr>
        <w:t>.</w:t>
      </w:r>
      <w:r w:rsidR="005253AC" w:rsidRPr="00D6704A">
        <w:rPr>
          <w:rFonts w:cs="Arial"/>
          <w:color w:val="222222"/>
          <w:lang w:val="es-ES"/>
        </w:rPr>
        <w:t xml:space="preserve"> </w:t>
      </w:r>
      <w:r w:rsidR="00F52130" w:rsidRPr="000D5690">
        <w:rPr>
          <w:rFonts w:cs="Arial"/>
          <w:lang w:val="es-ES_tradnl"/>
        </w:rPr>
        <w:t xml:space="preserve">Además, el TWA visitó ensayos de campo de remolacha azucarera, papa/patata, trigo de invierno, judía </w:t>
      </w:r>
      <w:proofErr w:type="spellStart"/>
      <w:r w:rsidR="00F52130" w:rsidRPr="000D5690">
        <w:rPr>
          <w:rFonts w:cs="Arial"/>
          <w:lang w:val="es-ES_tradnl"/>
        </w:rPr>
        <w:t>adzuki</w:t>
      </w:r>
      <w:proofErr w:type="spellEnd"/>
      <w:r w:rsidR="00F52130" w:rsidRPr="000D5690">
        <w:rPr>
          <w:rFonts w:cs="Arial"/>
          <w:lang w:val="es-ES_tradnl"/>
        </w:rPr>
        <w:t xml:space="preserve"> y judía común/alubia en la Estación Experimental Agrícola de </w:t>
      </w:r>
      <w:proofErr w:type="spellStart"/>
      <w:r w:rsidR="00F52130" w:rsidRPr="000D5690">
        <w:rPr>
          <w:rFonts w:cs="Arial"/>
          <w:lang w:val="es-ES_tradnl"/>
        </w:rPr>
        <w:t>Tokachi</w:t>
      </w:r>
      <w:proofErr w:type="spellEnd"/>
      <w:r w:rsidR="00F52130" w:rsidRPr="000D5690">
        <w:rPr>
          <w:rFonts w:cs="Arial"/>
          <w:lang w:val="es-ES_tradnl"/>
        </w:rPr>
        <w:t>.</w:t>
      </w:r>
    </w:p>
    <w:p w:rsidR="005253AC" w:rsidRPr="00D6704A" w:rsidRDefault="005253AC" w:rsidP="005253AC">
      <w:pPr>
        <w:rPr>
          <w:lang w:val="es-ES"/>
        </w:rPr>
      </w:pPr>
    </w:p>
    <w:p w:rsidR="005253AC" w:rsidRPr="00D6704A" w:rsidRDefault="00F52130" w:rsidP="005253AC">
      <w:pPr>
        <w:pStyle w:val="Heading3"/>
        <w:rPr>
          <w:lang w:val="es-ES"/>
        </w:rPr>
      </w:pPr>
      <w:r w:rsidRPr="000D5690">
        <w:rPr>
          <w:lang w:val="es-ES_tradnl"/>
        </w:rPr>
        <w:t>Grupo de Trabajo Técnico sobre Automatización y Programas Informáticos</w:t>
      </w:r>
    </w:p>
    <w:p w:rsidR="005253AC" w:rsidRPr="00D6704A" w:rsidRDefault="005253AC" w:rsidP="005253AC">
      <w:pPr>
        <w:keepNext/>
        <w:rPr>
          <w:lang w:val="es-ES"/>
        </w:rPr>
      </w:pPr>
    </w:p>
    <w:p w:rsidR="005253AC" w:rsidRPr="00D6704A" w:rsidRDefault="00791298" w:rsidP="005253AC">
      <w:pPr>
        <w:keepNext/>
        <w:tabs>
          <w:tab w:val="left" w:pos="567"/>
        </w:tabs>
        <w:rPr>
          <w:rFonts w:cs="Arial"/>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F52130" w:rsidRPr="000D5690">
        <w:rPr>
          <w:rFonts w:cs="Arial"/>
          <w:lang w:val="es-ES_tradnl"/>
        </w:rPr>
        <w:t>El TWC celebró su trigésima tercera sesión en Natal (Brasil), del 30 de junio al 3 de julio de 2015, bajo la presidencia del</w:t>
      </w:r>
      <w:r w:rsidR="00F559E2" w:rsidRPr="000D5690">
        <w:rPr>
          <w:rFonts w:cs="Arial"/>
          <w:lang w:val="es-ES_tradnl"/>
        </w:rPr>
        <w:t xml:space="preserve"> Sr. </w:t>
      </w:r>
      <w:proofErr w:type="spellStart"/>
      <w:r w:rsidR="00F52130" w:rsidRPr="000D5690">
        <w:rPr>
          <w:rFonts w:cs="Arial"/>
          <w:lang w:val="es-ES_tradnl"/>
        </w:rPr>
        <w:t>Adrian</w:t>
      </w:r>
      <w:proofErr w:type="spellEnd"/>
      <w:r w:rsidR="00F52130" w:rsidRPr="000D5690">
        <w:rPr>
          <w:rFonts w:cs="Arial"/>
          <w:lang w:val="es-ES_tradnl"/>
        </w:rPr>
        <w:t xml:space="preserve"> Roberts (Reino Unido).</w:t>
      </w:r>
    </w:p>
    <w:p w:rsidR="005253AC" w:rsidRPr="00D6704A" w:rsidRDefault="005253AC" w:rsidP="005253AC">
      <w:pPr>
        <w:tabs>
          <w:tab w:val="left" w:pos="567"/>
        </w:tabs>
        <w:rPr>
          <w:rFonts w:cs="Arial"/>
          <w:lang w:val="es-ES"/>
        </w:rPr>
      </w:pPr>
    </w:p>
    <w:p w:rsidR="005253AC" w:rsidRPr="00D6704A" w:rsidRDefault="00791298" w:rsidP="005253AC">
      <w:pPr>
        <w:tabs>
          <w:tab w:val="left" w:pos="567"/>
        </w:tabs>
        <w:rPr>
          <w:rFonts w:cs="Arial"/>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C2044E" w:rsidRPr="000D5690">
        <w:rPr>
          <w:rFonts w:cs="Arial"/>
          <w:lang w:val="es-ES_tradnl"/>
        </w:rPr>
        <w:t>Asistieron a la reunión 18 participantes procedentes de 10 miembros de la Unión.</w:t>
      </w:r>
      <w:r w:rsidR="005253AC" w:rsidRPr="00D6704A">
        <w:rPr>
          <w:rFonts w:cs="Arial"/>
          <w:lang w:val="es-ES"/>
        </w:rPr>
        <w:t xml:space="preserve">  </w:t>
      </w:r>
      <w:r w:rsidR="00C2044E" w:rsidRPr="000D5690">
        <w:rPr>
          <w:rFonts w:cs="Arial"/>
          <w:lang w:val="es-ES_tradnl"/>
        </w:rPr>
        <w:t xml:space="preserve">El taller preparatorio, al que asistieron 11 participantes procedentes de </w:t>
      </w:r>
      <w:r w:rsidR="0083268D" w:rsidRPr="000D5690">
        <w:rPr>
          <w:rFonts w:cs="Arial"/>
          <w:lang w:val="es-ES_tradnl"/>
        </w:rPr>
        <w:t xml:space="preserve">7 </w:t>
      </w:r>
      <w:r w:rsidR="00C2044E" w:rsidRPr="000D5690">
        <w:rPr>
          <w:rFonts w:cs="Arial"/>
          <w:lang w:val="es-ES_tradnl"/>
        </w:rPr>
        <w:t>miembros de la Unión, se celebró el 29 de junio por la tarde.</w:t>
      </w:r>
      <w:r w:rsidR="005253AC" w:rsidRPr="00D6704A">
        <w:rPr>
          <w:rFonts w:cs="Arial"/>
          <w:lang w:val="es-ES"/>
        </w:rPr>
        <w:t xml:space="preserve"> </w:t>
      </w:r>
    </w:p>
    <w:p w:rsidR="005253AC" w:rsidRPr="00D6704A" w:rsidRDefault="005253AC" w:rsidP="005253AC">
      <w:pPr>
        <w:tabs>
          <w:tab w:val="left" w:pos="567"/>
        </w:tabs>
        <w:rPr>
          <w:rFonts w:cs="Arial"/>
          <w:lang w:val="es-ES"/>
        </w:rPr>
      </w:pPr>
    </w:p>
    <w:p w:rsidR="005253AC" w:rsidRPr="00D6704A" w:rsidRDefault="00791298" w:rsidP="005253AC">
      <w:pPr>
        <w:tabs>
          <w:tab w:val="left" w:pos="567"/>
        </w:tabs>
        <w:autoSpaceDE w:val="0"/>
        <w:autoSpaceDN w:val="0"/>
        <w:adjustRightInd w:val="0"/>
        <w:rPr>
          <w:rFonts w:cs="Arial"/>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C2044E" w:rsidRPr="000D5690">
        <w:rPr>
          <w:rFonts w:cs="Arial"/>
          <w:lang w:val="es-ES_tradnl"/>
        </w:rPr>
        <w:t xml:space="preserve">Dio la bienvenida al TWC el Sr. Roberto Papa, Superintendente Adjunto de Agricultura en el </w:t>
      </w:r>
      <w:r w:rsidR="00EB23F3" w:rsidRPr="000D5690">
        <w:rPr>
          <w:rFonts w:cs="Arial"/>
          <w:lang w:val="es-ES_tradnl"/>
        </w:rPr>
        <w:t>e</w:t>
      </w:r>
      <w:r w:rsidR="00C2044E" w:rsidRPr="000D5690">
        <w:rPr>
          <w:rFonts w:cs="Arial"/>
          <w:lang w:val="es-ES_tradnl"/>
        </w:rPr>
        <w:t>stado de Río Grande del Norte (Brasil).</w:t>
      </w:r>
      <w:r w:rsidR="005253AC" w:rsidRPr="00D6704A">
        <w:rPr>
          <w:rFonts w:cs="Arial"/>
          <w:lang w:val="es-ES"/>
        </w:rPr>
        <w:t xml:space="preserve"> </w:t>
      </w:r>
      <w:r w:rsidR="00C2044E" w:rsidRPr="000D5690">
        <w:rPr>
          <w:rFonts w:cs="Arial"/>
          <w:lang w:val="es-ES_tradnl"/>
        </w:rPr>
        <w:t xml:space="preserve">El TWC asistió a una ponencia sobre el sistema de protección de las obtenciones vegetales en </w:t>
      </w:r>
      <w:r w:rsidR="00EB23F3" w:rsidRPr="000D5690">
        <w:rPr>
          <w:rFonts w:cs="Arial"/>
          <w:lang w:val="es-ES_tradnl"/>
        </w:rPr>
        <w:t xml:space="preserve">el </w:t>
      </w:r>
      <w:r w:rsidR="00C2044E" w:rsidRPr="000D5690">
        <w:rPr>
          <w:rFonts w:cs="Arial"/>
          <w:lang w:val="es-ES_tradnl"/>
        </w:rPr>
        <w:t xml:space="preserve">Brasil por el Sr. Fabricio Santana Santos, Coordinador de la Oficina </w:t>
      </w:r>
      <w:r w:rsidR="00EB23F3" w:rsidRPr="000D5690">
        <w:rPr>
          <w:rFonts w:cs="Arial"/>
          <w:lang w:val="es-ES_tradnl"/>
        </w:rPr>
        <w:t>N</w:t>
      </w:r>
      <w:r w:rsidR="00C2044E" w:rsidRPr="000D5690">
        <w:rPr>
          <w:rFonts w:cs="Arial"/>
          <w:lang w:val="es-ES_tradnl"/>
        </w:rPr>
        <w:t xml:space="preserve">acional de </w:t>
      </w:r>
      <w:r w:rsidR="00EB23F3" w:rsidRPr="000D5690">
        <w:rPr>
          <w:rFonts w:cs="Arial"/>
          <w:lang w:val="es-ES_tradnl"/>
        </w:rPr>
        <w:t>P</w:t>
      </w:r>
      <w:r w:rsidR="00C2044E" w:rsidRPr="000D5690">
        <w:rPr>
          <w:rFonts w:cs="Arial"/>
          <w:lang w:val="es-ES_tradnl"/>
        </w:rPr>
        <w:t xml:space="preserve">rotección de las </w:t>
      </w:r>
      <w:r w:rsidR="00EB23F3" w:rsidRPr="000D5690">
        <w:rPr>
          <w:rFonts w:cs="Arial"/>
          <w:lang w:val="es-ES_tradnl"/>
        </w:rPr>
        <w:t xml:space="preserve">Obtenciones Vegetales </w:t>
      </w:r>
      <w:r w:rsidR="00C2044E" w:rsidRPr="000D5690">
        <w:rPr>
          <w:rFonts w:cs="Arial"/>
          <w:lang w:val="es-ES_tradnl"/>
        </w:rPr>
        <w:t>del Ministerio de Agricultura, Ganadería y Abastecimiento.</w:t>
      </w:r>
    </w:p>
    <w:p w:rsidR="005253AC" w:rsidRPr="00D6704A" w:rsidRDefault="005253AC" w:rsidP="005253AC">
      <w:pPr>
        <w:autoSpaceDE w:val="0"/>
        <w:autoSpaceDN w:val="0"/>
        <w:adjustRightInd w:val="0"/>
        <w:rPr>
          <w:rFonts w:cs="Arial"/>
          <w:lang w:val="es-ES"/>
        </w:rPr>
      </w:pPr>
    </w:p>
    <w:p w:rsidR="005253AC" w:rsidRPr="00D6704A" w:rsidRDefault="00791298" w:rsidP="005253AC">
      <w:pPr>
        <w:tabs>
          <w:tab w:val="left" w:pos="567"/>
        </w:tabs>
        <w:contextualSpacing/>
        <w:rPr>
          <w:rFonts w:cs="Arial"/>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C2044E" w:rsidRPr="000D5690">
        <w:rPr>
          <w:rFonts w:cs="Arial"/>
          <w:lang w:val="es-ES_tradnl"/>
        </w:rPr>
        <w:t xml:space="preserve">El </w:t>
      </w:r>
      <w:r w:rsidR="00EB6008" w:rsidRPr="000D5690">
        <w:rPr>
          <w:rFonts w:cs="Arial"/>
          <w:lang w:val="es-ES_tradnl"/>
        </w:rPr>
        <w:t xml:space="preserve">TWA </w:t>
      </w:r>
      <w:r w:rsidR="00C2044E" w:rsidRPr="000D5690">
        <w:rPr>
          <w:rFonts w:cs="Arial"/>
          <w:lang w:val="es-ES_tradnl"/>
        </w:rPr>
        <w:t xml:space="preserve">tomó nota de que la información proporcionada por miembros y observadores sobre los avances logrados en la protección de variedades vegetales figura en el documento </w:t>
      </w:r>
      <w:r w:rsidR="00EB6008" w:rsidRPr="000D5690">
        <w:rPr>
          <w:rFonts w:cs="Arial"/>
          <w:lang w:val="es-ES_tradnl"/>
        </w:rPr>
        <w:t>TWA</w:t>
      </w:r>
      <w:r w:rsidR="00C2044E" w:rsidRPr="000D5690">
        <w:rPr>
          <w:rFonts w:cs="Arial"/>
          <w:lang w:val="es-ES_tradnl"/>
        </w:rPr>
        <w:t>/33/22 “</w:t>
      </w:r>
      <w:proofErr w:type="spellStart"/>
      <w:r w:rsidR="00EB6008" w:rsidRPr="00D6704A">
        <w:rPr>
          <w:rFonts w:cs="Arial"/>
          <w:i/>
          <w:lang w:val="es-ES"/>
        </w:rPr>
        <w:t>R</w:t>
      </w:r>
      <w:r w:rsidR="00C2044E" w:rsidRPr="00D6704A">
        <w:rPr>
          <w:rFonts w:cs="Arial"/>
          <w:i/>
          <w:lang w:val="es-ES"/>
        </w:rPr>
        <w:t>eports</w:t>
      </w:r>
      <w:proofErr w:type="spellEnd"/>
      <w:r w:rsidR="00C2044E" w:rsidRPr="00D6704A">
        <w:rPr>
          <w:rFonts w:cs="Arial"/>
          <w:i/>
          <w:lang w:val="es-ES"/>
        </w:rPr>
        <w:t xml:space="preserve"> </w:t>
      </w:r>
      <w:proofErr w:type="spellStart"/>
      <w:r w:rsidR="00C2044E" w:rsidRPr="00D6704A">
        <w:rPr>
          <w:rFonts w:cs="Arial"/>
          <w:i/>
          <w:lang w:val="es-ES"/>
        </w:rPr>
        <w:t>on</w:t>
      </w:r>
      <w:proofErr w:type="spellEnd"/>
      <w:r w:rsidR="00C2044E" w:rsidRPr="00D6704A">
        <w:rPr>
          <w:rFonts w:cs="Arial"/>
          <w:i/>
          <w:lang w:val="es-ES"/>
        </w:rPr>
        <w:t xml:space="preserve"> </w:t>
      </w:r>
      <w:r w:rsidR="00EB6008" w:rsidRPr="00D6704A">
        <w:rPr>
          <w:rFonts w:cs="Arial"/>
          <w:i/>
          <w:lang w:val="es-ES"/>
        </w:rPr>
        <w:t>D</w:t>
      </w:r>
      <w:r w:rsidR="00C2044E" w:rsidRPr="00D6704A">
        <w:rPr>
          <w:rFonts w:cs="Arial"/>
          <w:i/>
          <w:lang w:val="es-ES"/>
        </w:rPr>
        <w:t xml:space="preserve">evelopment in </w:t>
      </w:r>
      <w:proofErr w:type="spellStart"/>
      <w:r w:rsidR="00EB6008" w:rsidRPr="00D6704A">
        <w:rPr>
          <w:rFonts w:cs="Arial"/>
          <w:i/>
          <w:lang w:val="es-ES"/>
        </w:rPr>
        <w:t>Plant</w:t>
      </w:r>
      <w:proofErr w:type="spellEnd"/>
      <w:r w:rsidR="00EB6008" w:rsidRPr="00D6704A">
        <w:rPr>
          <w:rFonts w:cs="Arial"/>
          <w:i/>
          <w:lang w:val="es-ES"/>
        </w:rPr>
        <w:t xml:space="preserve"> </w:t>
      </w:r>
      <w:proofErr w:type="spellStart"/>
      <w:r w:rsidR="00EB6008" w:rsidRPr="00D6704A">
        <w:rPr>
          <w:rFonts w:cs="Arial"/>
          <w:i/>
          <w:lang w:val="es-ES"/>
        </w:rPr>
        <w:t>Variety</w:t>
      </w:r>
      <w:proofErr w:type="spellEnd"/>
      <w:r w:rsidR="00EB6008" w:rsidRPr="00D6704A">
        <w:rPr>
          <w:rFonts w:cs="Arial"/>
          <w:i/>
          <w:lang w:val="es-ES"/>
        </w:rPr>
        <w:t xml:space="preserve"> </w:t>
      </w:r>
      <w:proofErr w:type="spellStart"/>
      <w:r w:rsidR="00EB6008" w:rsidRPr="00D6704A">
        <w:rPr>
          <w:rFonts w:cs="Arial"/>
          <w:i/>
          <w:lang w:val="es-ES"/>
        </w:rPr>
        <w:t>Protection</w:t>
      </w:r>
      <w:proofErr w:type="spellEnd"/>
      <w:r w:rsidR="00EB6008" w:rsidRPr="00D6704A">
        <w:rPr>
          <w:rFonts w:cs="Arial"/>
          <w:i/>
          <w:lang w:val="es-ES"/>
        </w:rPr>
        <w:t xml:space="preserve"> </w:t>
      </w:r>
      <w:proofErr w:type="spellStart"/>
      <w:r w:rsidR="00C2044E" w:rsidRPr="00D6704A">
        <w:rPr>
          <w:rFonts w:cs="Arial"/>
          <w:i/>
          <w:lang w:val="es-ES"/>
        </w:rPr>
        <w:t>from</w:t>
      </w:r>
      <w:proofErr w:type="spellEnd"/>
      <w:r w:rsidR="00C2044E" w:rsidRPr="00D6704A">
        <w:rPr>
          <w:rFonts w:cs="Arial"/>
          <w:i/>
          <w:lang w:val="es-ES"/>
        </w:rPr>
        <w:t xml:space="preserve"> </w:t>
      </w:r>
      <w:proofErr w:type="spellStart"/>
      <w:r w:rsidR="00EB6008" w:rsidRPr="00D6704A">
        <w:rPr>
          <w:rFonts w:cs="Arial"/>
          <w:i/>
          <w:lang w:val="es-ES"/>
        </w:rPr>
        <w:t>M</w:t>
      </w:r>
      <w:r w:rsidR="00C2044E" w:rsidRPr="00D6704A">
        <w:rPr>
          <w:rFonts w:cs="Arial"/>
          <w:i/>
          <w:lang w:val="es-ES"/>
        </w:rPr>
        <w:t>embers</w:t>
      </w:r>
      <w:proofErr w:type="spellEnd"/>
      <w:r w:rsidR="00C2044E" w:rsidRPr="00D6704A">
        <w:rPr>
          <w:rFonts w:cs="Arial"/>
          <w:i/>
          <w:lang w:val="es-ES"/>
        </w:rPr>
        <w:t xml:space="preserve"> and </w:t>
      </w:r>
      <w:proofErr w:type="spellStart"/>
      <w:r w:rsidR="00EB6008" w:rsidRPr="00D6704A">
        <w:rPr>
          <w:rFonts w:cs="Arial"/>
          <w:i/>
          <w:lang w:val="es-ES"/>
        </w:rPr>
        <w:t>O</w:t>
      </w:r>
      <w:r w:rsidR="00C2044E" w:rsidRPr="00D6704A">
        <w:rPr>
          <w:rFonts w:cs="Arial"/>
          <w:i/>
          <w:lang w:val="es-ES"/>
        </w:rPr>
        <w:t>bservers</w:t>
      </w:r>
      <w:proofErr w:type="spellEnd"/>
      <w:r w:rsidR="00C2044E" w:rsidRPr="000D5690">
        <w:rPr>
          <w:rFonts w:cs="Arial"/>
          <w:lang w:val="es-ES_tradnl"/>
        </w:rPr>
        <w:t>” (</w:t>
      </w:r>
      <w:r w:rsidR="00EB6008" w:rsidRPr="000D5690">
        <w:rPr>
          <w:rFonts w:cs="Arial"/>
          <w:lang w:val="es-ES_tradnl"/>
        </w:rPr>
        <w:t>I</w:t>
      </w:r>
      <w:r w:rsidR="00C2044E" w:rsidRPr="000D5690">
        <w:rPr>
          <w:rFonts w:cs="Arial"/>
          <w:lang w:val="es-ES_tradnl"/>
        </w:rPr>
        <w:t>nformes de miembros y observadores sobre los avances logrados en la protección de las variedades vegetales).</w:t>
      </w:r>
      <w:r w:rsidR="005253AC" w:rsidRPr="00D6704A">
        <w:rPr>
          <w:rFonts w:cs="Arial"/>
          <w:lang w:val="es-ES"/>
        </w:rPr>
        <w:t xml:space="preserve">  </w:t>
      </w:r>
      <w:r w:rsidR="00EB6008" w:rsidRPr="000D5690">
        <w:rPr>
          <w:rFonts w:cs="Arial"/>
          <w:lang w:val="es-ES_tradnl"/>
        </w:rPr>
        <w:t xml:space="preserve">La Oficina de la Unión ofreció una ponencia sobre las novedades </w:t>
      </w:r>
      <w:r w:rsidR="00EB23F3" w:rsidRPr="000D5690">
        <w:rPr>
          <w:rFonts w:cs="Arial"/>
          <w:lang w:val="es-ES_tradnl"/>
        </w:rPr>
        <w:t xml:space="preserve">acaecidas </w:t>
      </w:r>
      <w:r w:rsidR="00EB6008" w:rsidRPr="000D5690">
        <w:rPr>
          <w:rFonts w:cs="Arial"/>
          <w:lang w:val="es-ES_tradnl"/>
        </w:rPr>
        <w:t>en la UPOV (documento TWC/33/21).</w:t>
      </w:r>
    </w:p>
    <w:p w:rsidR="005253AC" w:rsidRPr="00D6704A" w:rsidRDefault="005253AC" w:rsidP="005253AC">
      <w:pPr>
        <w:contextualSpacing/>
        <w:rPr>
          <w:rFonts w:cs="Arial"/>
          <w:lang w:val="es-ES"/>
        </w:rPr>
      </w:pPr>
    </w:p>
    <w:p w:rsidR="005253AC" w:rsidRPr="00D6704A" w:rsidRDefault="00791298" w:rsidP="005253AC">
      <w:pPr>
        <w:tabs>
          <w:tab w:val="left" w:pos="567"/>
        </w:tabs>
        <w:autoSpaceDE w:val="0"/>
        <w:autoSpaceDN w:val="0"/>
        <w:adjustRightInd w:val="0"/>
        <w:rPr>
          <w:rFonts w:cs="Arial"/>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EB6008" w:rsidRPr="000D5690">
        <w:rPr>
          <w:rFonts w:cs="Arial"/>
          <w:lang w:val="es-ES_tradnl"/>
        </w:rPr>
        <w:t>El TWC examinó el documento TWC/33/16</w:t>
      </w:r>
      <w:r w:rsidR="00D52014" w:rsidRPr="000D5690">
        <w:rPr>
          <w:rFonts w:cs="Arial"/>
          <w:lang w:val="es-ES_tradnl"/>
        </w:rPr>
        <w:t xml:space="preserve"> “</w:t>
      </w:r>
      <w:proofErr w:type="spellStart"/>
      <w:r w:rsidR="00D52014" w:rsidRPr="00D6704A">
        <w:rPr>
          <w:rFonts w:cs="Arial"/>
          <w:i/>
          <w:lang w:val="es-ES"/>
        </w:rPr>
        <w:t>Revis</w:t>
      </w:r>
      <w:r w:rsidR="00EB23F3" w:rsidRPr="00D6704A">
        <w:rPr>
          <w:rFonts w:cs="Arial"/>
          <w:i/>
          <w:lang w:val="es-ES"/>
        </w:rPr>
        <w:t>ion</w:t>
      </w:r>
      <w:proofErr w:type="spellEnd"/>
      <w:r w:rsidR="00EB23F3" w:rsidRPr="00D6704A">
        <w:rPr>
          <w:rFonts w:cs="Arial"/>
          <w:i/>
          <w:lang w:val="es-ES"/>
        </w:rPr>
        <w:t xml:space="preserve"> of </w:t>
      </w:r>
      <w:proofErr w:type="spellStart"/>
      <w:r w:rsidR="00EB23F3" w:rsidRPr="00D6704A">
        <w:rPr>
          <w:rFonts w:cs="Arial"/>
          <w:i/>
          <w:lang w:val="es-ES"/>
        </w:rPr>
        <w:t>Document</w:t>
      </w:r>
      <w:proofErr w:type="spellEnd"/>
      <w:r w:rsidR="00EB23F3" w:rsidRPr="00D6704A">
        <w:rPr>
          <w:rFonts w:cs="Arial"/>
          <w:i/>
          <w:lang w:val="es-ES"/>
        </w:rPr>
        <w:t xml:space="preserve"> TGP/8: </w:t>
      </w:r>
      <w:proofErr w:type="spellStart"/>
      <w:r w:rsidR="00EB23F3" w:rsidRPr="00D6704A">
        <w:rPr>
          <w:rFonts w:cs="Arial"/>
          <w:i/>
          <w:lang w:val="es-ES"/>
        </w:rPr>
        <w:t>Part</w:t>
      </w:r>
      <w:proofErr w:type="spellEnd"/>
      <w:r w:rsidR="00EB23F3" w:rsidRPr="00D6704A">
        <w:rPr>
          <w:rFonts w:cs="Arial"/>
          <w:i/>
          <w:lang w:val="es-ES"/>
        </w:rPr>
        <w:t> </w:t>
      </w:r>
      <w:r w:rsidR="00D52014" w:rsidRPr="00D6704A">
        <w:rPr>
          <w:rFonts w:cs="Arial"/>
          <w:i/>
          <w:lang w:val="es-ES"/>
        </w:rPr>
        <w:t xml:space="preserve">II: </w:t>
      </w:r>
      <w:proofErr w:type="spellStart"/>
      <w:r w:rsidR="00D52014" w:rsidRPr="00D6704A">
        <w:rPr>
          <w:rFonts w:cs="Arial"/>
          <w:i/>
          <w:lang w:val="es-ES"/>
        </w:rPr>
        <w:t>Selected</w:t>
      </w:r>
      <w:proofErr w:type="spellEnd"/>
      <w:r w:rsidR="00D52014" w:rsidRPr="00D6704A">
        <w:rPr>
          <w:rFonts w:cs="Arial"/>
          <w:i/>
          <w:lang w:val="es-ES"/>
        </w:rPr>
        <w:t xml:space="preserve"> </w:t>
      </w:r>
      <w:proofErr w:type="spellStart"/>
      <w:r w:rsidR="00D52014" w:rsidRPr="00D6704A">
        <w:rPr>
          <w:rFonts w:cs="Arial"/>
          <w:i/>
          <w:lang w:val="es-ES"/>
        </w:rPr>
        <w:t>Techniques</w:t>
      </w:r>
      <w:proofErr w:type="spellEnd"/>
      <w:r w:rsidR="00D52014" w:rsidRPr="00D6704A">
        <w:rPr>
          <w:rFonts w:cs="Arial"/>
          <w:i/>
          <w:lang w:val="es-ES"/>
        </w:rPr>
        <w:t xml:space="preserve"> </w:t>
      </w:r>
      <w:proofErr w:type="spellStart"/>
      <w:r w:rsidR="00D52014" w:rsidRPr="00D6704A">
        <w:rPr>
          <w:rFonts w:cs="Arial"/>
          <w:i/>
          <w:lang w:val="es-ES"/>
        </w:rPr>
        <w:t>u</w:t>
      </w:r>
      <w:r w:rsidR="00EB23F3" w:rsidRPr="00D6704A">
        <w:rPr>
          <w:rFonts w:cs="Arial"/>
          <w:i/>
          <w:lang w:val="es-ES"/>
        </w:rPr>
        <w:t>sed</w:t>
      </w:r>
      <w:proofErr w:type="spellEnd"/>
      <w:r w:rsidR="00EB23F3" w:rsidRPr="00D6704A">
        <w:rPr>
          <w:rFonts w:cs="Arial"/>
          <w:i/>
          <w:lang w:val="es-ES"/>
        </w:rPr>
        <w:t xml:space="preserve"> in DUS </w:t>
      </w:r>
      <w:proofErr w:type="spellStart"/>
      <w:r w:rsidR="00EB23F3" w:rsidRPr="00D6704A">
        <w:rPr>
          <w:rFonts w:cs="Arial"/>
          <w:i/>
          <w:lang w:val="es-ES"/>
        </w:rPr>
        <w:t>Examination</w:t>
      </w:r>
      <w:proofErr w:type="spellEnd"/>
      <w:r w:rsidR="00EB23F3" w:rsidRPr="00D6704A">
        <w:rPr>
          <w:rFonts w:cs="Arial"/>
          <w:i/>
          <w:lang w:val="es-ES"/>
        </w:rPr>
        <w:t xml:space="preserve">, </w:t>
      </w:r>
      <w:proofErr w:type="spellStart"/>
      <w:r w:rsidR="00EB23F3" w:rsidRPr="00D6704A">
        <w:rPr>
          <w:rFonts w:cs="Arial"/>
          <w:i/>
          <w:lang w:val="es-ES"/>
        </w:rPr>
        <w:t>Section</w:t>
      </w:r>
      <w:proofErr w:type="spellEnd"/>
      <w:r w:rsidR="00EB23F3" w:rsidRPr="00D6704A">
        <w:rPr>
          <w:rFonts w:cs="Arial"/>
          <w:i/>
          <w:lang w:val="es-ES"/>
        </w:rPr>
        <w:t> </w:t>
      </w:r>
      <w:r w:rsidR="00D52014" w:rsidRPr="00D6704A">
        <w:rPr>
          <w:rFonts w:cs="Arial"/>
          <w:i/>
          <w:lang w:val="es-ES"/>
        </w:rPr>
        <w:t xml:space="preserve">3: </w:t>
      </w:r>
      <w:proofErr w:type="spellStart"/>
      <w:r w:rsidR="00D52014" w:rsidRPr="00D6704A">
        <w:rPr>
          <w:rFonts w:cs="Arial"/>
          <w:i/>
          <w:lang w:val="es-ES"/>
        </w:rPr>
        <w:t>Method</w:t>
      </w:r>
      <w:proofErr w:type="spellEnd"/>
      <w:r w:rsidR="00D52014" w:rsidRPr="00D6704A">
        <w:rPr>
          <w:rFonts w:cs="Arial"/>
          <w:i/>
          <w:lang w:val="es-ES"/>
        </w:rPr>
        <w:t xml:space="preserve"> of </w:t>
      </w:r>
      <w:proofErr w:type="spellStart"/>
      <w:r w:rsidR="00D52014" w:rsidRPr="00D6704A">
        <w:rPr>
          <w:rFonts w:cs="Arial"/>
          <w:i/>
          <w:lang w:val="es-ES"/>
        </w:rPr>
        <w:t>Calculation</w:t>
      </w:r>
      <w:proofErr w:type="spellEnd"/>
      <w:r w:rsidR="00D52014" w:rsidRPr="00D6704A">
        <w:rPr>
          <w:rFonts w:cs="Arial"/>
          <w:i/>
          <w:lang w:val="es-ES"/>
        </w:rPr>
        <w:t xml:space="preserve"> of COYU</w:t>
      </w:r>
      <w:r w:rsidR="00D52014" w:rsidRPr="000D5690">
        <w:rPr>
          <w:rFonts w:cs="Arial"/>
          <w:lang w:val="es-ES_tradnl"/>
        </w:rPr>
        <w:t>”</w:t>
      </w:r>
      <w:r w:rsidR="00EB6008" w:rsidRPr="000D5690">
        <w:rPr>
          <w:rFonts w:cs="Arial"/>
          <w:lang w:val="es-ES_tradnl"/>
        </w:rPr>
        <w:t xml:space="preserve"> </w:t>
      </w:r>
      <w:r w:rsidR="00D52014" w:rsidRPr="000D5690">
        <w:rPr>
          <w:rFonts w:cs="Arial"/>
          <w:lang w:val="es-ES_tradnl"/>
        </w:rPr>
        <w:t>(R</w:t>
      </w:r>
      <w:r w:rsidR="00EB6008" w:rsidRPr="000D5690">
        <w:rPr>
          <w:rFonts w:cs="Arial"/>
          <w:lang w:val="es-ES_tradnl"/>
        </w:rPr>
        <w:t>evisión del documento TGP/8: Parte</w:t>
      </w:r>
      <w:r w:rsidR="00D52014" w:rsidRPr="000D5690">
        <w:rPr>
          <w:rFonts w:cs="Arial"/>
          <w:lang w:val="es-ES_tradnl"/>
        </w:rPr>
        <w:t> </w:t>
      </w:r>
      <w:r w:rsidR="00EB6008" w:rsidRPr="000D5690">
        <w:rPr>
          <w:rFonts w:cs="Arial"/>
          <w:lang w:val="es-ES_tradnl"/>
        </w:rPr>
        <w:t>II: Técnicas utilizad</w:t>
      </w:r>
      <w:r w:rsidR="00D52014" w:rsidRPr="000D5690">
        <w:rPr>
          <w:rFonts w:cs="Arial"/>
          <w:lang w:val="es-ES_tradnl"/>
        </w:rPr>
        <w:t>a</w:t>
      </w:r>
      <w:r w:rsidR="00EB6008" w:rsidRPr="000D5690">
        <w:rPr>
          <w:rFonts w:cs="Arial"/>
          <w:lang w:val="es-ES_tradnl"/>
        </w:rPr>
        <w:t>s en el examen</w:t>
      </w:r>
      <w:r w:rsidR="00D52014" w:rsidRPr="000D5690">
        <w:rPr>
          <w:rFonts w:cs="Arial"/>
          <w:lang w:val="es-ES_tradnl"/>
        </w:rPr>
        <w:t> </w:t>
      </w:r>
      <w:r w:rsidR="00EB6008" w:rsidRPr="000D5690">
        <w:rPr>
          <w:rFonts w:cs="Arial"/>
          <w:lang w:val="es-ES_tradnl"/>
        </w:rPr>
        <w:t>DHE, Sección</w:t>
      </w:r>
      <w:r w:rsidR="00D52014" w:rsidRPr="000D5690">
        <w:rPr>
          <w:rFonts w:cs="Arial"/>
          <w:lang w:val="es-ES_tradnl"/>
        </w:rPr>
        <w:t> </w:t>
      </w:r>
      <w:r w:rsidR="00EB6008" w:rsidRPr="000D5690">
        <w:rPr>
          <w:rFonts w:cs="Arial"/>
          <w:lang w:val="es-ES_tradnl"/>
        </w:rPr>
        <w:t>3: Método de cálculo del COYU</w:t>
      </w:r>
      <w:r w:rsidR="00D52014" w:rsidRPr="000D5690">
        <w:rPr>
          <w:rFonts w:cs="Arial"/>
          <w:lang w:val="es-ES_tradnl"/>
        </w:rPr>
        <w:t>)</w:t>
      </w:r>
      <w:r w:rsidR="00EB6008" w:rsidRPr="000D5690">
        <w:rPr>
          <w:rFonts w:cs="Arial"/>
          <w:lang w:val="es-ES_tradnl"/>
        </w:rPr>
        <w:t>.</w:t>
      </w:r>
      <w:r w:rsidR="005253AC" w:rsidRPr="00D6704A">
        <w:rPr>
          <w:rFonts w:cs="Arial"/>
          <w:lang w:val="es-ES"/>
        </w:rPr>
        <w:t xml:space="preserve">  </w:t>
      </w:r>
      <w:r w:rsidR="00D52014" w:rsidRPr="000D5690">
        <w:rPr>
          <w:rFonts w:cs="Arial"/>
          <w:lang w:val="es-ES_tradnl"/>
        </w:rPr>
        <w:t xml:space="preserve">Un experto del Reino Unido ofreció una ponencia sobre un ejercicio práctico para recabar información de los miembros de la UPOV sobre su experiencia acerca de la modificación </w:t>
      </w:r>
      <w:r w:rsidR="00EB23F3" w:rsidRPr="000D5690">
        <w:rPr>
          <w:rFonts w:cs="Arial"/>
          <w:lang w:val="es-ES_tradnl"/>
        </w:rPr>
        <w:t xml:space="preserve">propuesta </w:t>
      </w:r>
      <w:r w:rsidR="00D52014" w:rsidRPr="000D5690">
        <w:rPr>
          <w:rFonts w:cs="Arial"/>
          <w:lang w:val="es-ES_tradnl"/>
        </w:rPr>
        <w:t>del criterio combinado interanual de homogeneidad (COYU).</w:t>
      </w:r>
      <w:r w:rsidR="005253AC" w:rsidRPr="00D6704A">
        <w:rPr>
          <w:rFonts w:cs="Arial"/>
          <w:lang w:val="es-ES"/>
        </w:rPr>
        <w:t xml:space="preserve">  </w:t>
      </w:r>
      <w:r w:rsidR="00632A67" w:rsidRPr="000D5690">
        <w:rPr>
          <w:rFonts w:cs="Arial"/>
          <w:lang w:val="es-ES_tradnl"/>
        </w:rPr>
        <w:t>En el ejercicio h</w:t>
      </w:r>
      <w:r w:rsidR="00D52014" w:rsidRPr="000D5690">
        <w:rPr>
          <w:rFonts w:cs="Arial"/>
          <w:lang w:val="es-ES_tradnl"/>
        </w:rPr>
        <w:t xml:space="preserve">ubo </w:t>
      </w:r>
      <w:r w:rsidR="00EB23F3" w:rsidRPr="000D5690">
        <w:rPr>
          <w:rFonts w:cs="Arial"/>
          <w:lang w:val="es-ES_tradnl"/>
        </w:rPr>
        <w:t>seis</w:t>
      </w:r>
      <w:r w:rsidR="00D52014" w:rsidRPr="000D5690">
        <w:rPr>
          <w:rFonts w:cs="Arial"/>
          <w:lang w:val="es-ES_tradnl"/>
        </w:rPr>
        <w:t xml:space="preserve"> participantes de </w:t>
      </w:r>
      <w:r w:rsidR="00EB23F3" w:rsidRPr="000D5690">
        <w:rPr>
          <w:rFonts w:cs="Arial"/>
          <w:lang w:val="es-ES_tradnl"/>
        </w:rPr>
        <w:t>cuatro</w:t>
      </w:r>
      <w:r w:rsidR="00D52014" w:rsidRPr="000D5690">
        <w:rPr>
          <w:rFonts w:cs="Arial"/>
          <w:lang w:val="es-ES_tradnl"/>
        </w:rPr>
        <w:t xml:space="preserve"> miembros de la UPOV.</w:t>
      </w:r>
      <w:r w:rsidR="005253AC" w:rsidRPr="00D6704A">
        <w:rPr>
          <w:rFonts w:cs="Arial"/>
          <w:lang w:val="es-ES"/>
        </w:rPr>
        <w:t xml:space="preserve"> </w:t>
      </w:r>
      <w:r w:rsidR="00632A67" w:rsidRPr="000D5690">
        <w:rPr>
          <w:rFonts w:cs="Arial"/>
          <w:lang w:val="es-ES_tradnl"/>
        </w:rPr>
        <w:t xml:space="preserve">Se suministró a los participantes un programa informático para la aplicación del método propuesto, a efectos de su evaluación con conjuntos de datos usados </w:t>
      </w:r>
      <w:r w:rsidR="00037793" w:rsidRPr="000D5690">
        <w:rPr>
          <w:rFonts w:cs="Arial"/>
          <w:lang w:val="es-ES_tradnl"/>
        </w:rPr>
        <w:t xml:space="preserve">a modo de </w:t>
      </w:r>
      <w:r w:rsidR="00632A67" w:rsidRPr="000D5690">
        <w:rPr>
          <w:rFonts w:cs="Arial"/>
          <w:lang w:val="es-ES_tradnl"/>
        </w:rPr>
        <w:t>ejemplo.</w:t>
      </w:r>
      <w:r w:rsidR="005253AC" w:rsidRPr="00D6704A">
        <w:rPr>
          <w:rFonts w:cs="Arial"/>
          <w:lang w:val="es-ES"/>
        </w:rPr>
        <w:t xml:space="preserve"> </w:t>
      </w:r>
      <w:r w:rsidR="00632A67" w:rsidRPr="000D5690">
        <w:rPr>
          <w:rFonts w:cs="Arial"/>
          <w:lang w:val="es-ES_tradnl"/>
        </w:rPr>
        <w:t>Del ejercicio se concluyó que el método de cálculo del COYU modificado daba resultados satisfactorios.</w:t>
      </w:r>
      <w:r w:rsidR="005253AC" w:rsidRPr="00D6704A">
        <w:rPr>
          <w:rFonts w:cs="Arial"/>
          <w:lang w:val="es-ES"/>
        </w:rPr>
        <w:t xml:space="preserve"> </w:t>
      </w:r>
      <w:r w:rsidR="00632A67" w:rsidRPr="000D5690">
        <w:rPr>
          <w:rFonts w:cs="Arial"/>
          <w:lang w:val="es-ES_tradnl"/>
        </w:rPr>
        <w:t xml:space="preserve">Si bien el programa informático </w:t>
      </w:r>
      <w:r w:rsidR="00AA6DBC" w:rsidRPr="000D5690">
        <w:rPr>
          <w:rFonts w:cs="Arial"/>
          <w:lang w:val="es-ES_tradnl"/>
        </w:rPr>
        <w:t xml:space="preserve">funcionaba </w:t>
      </w:r>
      <w:r w:rsidR="00632A67" w:rsidRPr="000D5690">
        <w:rPr>
          <w:rFonts w:cs="Arial"/>
          <w:lang w:val="es-ES_tradnl"/>
        </w:rPr>
        <w:t>correct</w:t>
      </w:r>
      <w:r w:rsidR="00AA6DBC" w:rsidRPr="000D5690">
        <w:rPr>
          <w:rFonts w:cs="Arial"/>
          <w:lang w:val="es-ES_tradnl"/>
        </w:rPr>
        <w:t>amente</w:t>
      </w:r>
      <w:r w:rsidR="00632A67" w:rsidRPr="000D5690">
        <w:rPr>
          <w:rFonts w:cs="Arial"/>
          <w:lang w:val="es-ES_tradnl"/>
        </w:rPr>
        <w:t>, se observaron aspectos susceptibles de mejora.</w:t>
      </w:r>
      <w:r w:rsidR="005253AC" w:rsidRPr="00D6704A">
        <w:rPr>
          <w:rFonts w:cs="Arial"/>
          <w:lang w:val="es-ES"/>
        </w:rPr>
        <w:t xml:space="preserve"> </w:t>
      </w:r>
      <w:r w:rsidR="00632A67" w:rsidRPr="000D5690">
        <w:rPr>
          <w:rFonts w:cs="Arial"/>
          <w:lang w:val="es-ES_tradnl"/>
        </w:rPr>
        <w:t>Como se esperaba, con el nuevo método se requerirían niveles de probabilidad más altos.</w:t>
      </w:r>
      <w:r w:rsidR="005253AC" w:rsidRPr="00D6704A">
        <w:rPr>
          <w:rFonts w:cs="Arial"/>
          <w:lang w:val="es-ES"/>
        </w:rPr>
        <w:t xml:space="preserve"> </w:t>
      </w:r>
      <w:r w:rsidR="00632A67" w:rsidRPr="000D5690">
        <w:rPr>
          <w:rFonts w:cs="Arial"/>
          <w:lang w:val="es-ES_tradnl"/>
        </w:rPr>
        <w:t>Sin embargo,</w:t>
      </w:r>
      <w:r w:rsidR="00AA6DBC" w:rsidRPr="000D5690">
        <w:rPr>
          <w:rFonts w:cs="Arial"/>
          <w:lang w:val="es-ES_tradnl"/>
        </w:rPr>
        <w:t xml:space="preserve"> para determinar los niveles adecuados con mayor precisión</w:t>
      </w:r>
      <w:r w:rsidR="00632A67" w:rsidRPr="000D5690">
        <w:rPr>
          <w:rFonts w:cs="Arial"/>
          <w:lang w:val="es-ES_tradnl"/>
        </w:rPr>
        <w:t xml:space="preserve"> se necesitarían más conjuntos de datos </w:t>
      </w:r>
      <w:r w:rsidR="00AA6DBC" w:rsidRPr="000D5690">
        <w:rPr>
          <w:rFonts w:cs="Arial"/>
          <w:lang w:val="es-ES_tradnl"/>
        </w:rPr>
        <w:t>usados a modo de ejemplo</w:t>
      </w:r>
      <w:r w:rsidR="00632A67" w:rsidRPr="000D5690">
        <w:rPr>
          <w:rFonts w:cs="Arial"/>
          <w:lang w:val="es-ES_tradnl"/>
        </w:rPr>
        <w:t>.</w:t>
      </w:r>
      <w:r w:rsidR="005253AC" w:rsidRPr="00D6704A">
        <w:rPr>
          <w:rFonts w:cs="Arial"/>
          <w:lang w:val="es-ES"/>
        </w:rPr>
        <w:t xml:space="preserve"> </w:t>
      </w:r>
      <w:r w:rsidR="00E4262B" w:rsidRPr="000D5690">
        <w:rPr>
          <w:rFonts w:cs="Arial"/>
          <w:lang w:val="es-ES_tradnl"/>
        </w:rPr>
        <w:t>El TWC acordó buscar más conjuntos de datos y, en particular, invitar a la TWA a que proporcione grandes conjuntos de datos de cultivos extensivos.</w:t>
      </w:r>
      <w:r w:rsidR="005253AC" w:rsidRPr="00D6704A">
        <w:rPr>
          <w:rFonts w:cs="Arial"/>
          <w:lang w:val="es-ES"/>
        </w:rPr>
        <w:t xml:space="preserve"> </w:t>
      </w:r>
      <w:r w:rsidR="00E4262B" w:rsidRPr="000D5690">
        <w:rPr>
          <w:rFonts w:cs="Arial"/>
          <w:lang w:val="es-ES_tradnl"/>
        </w:rPr>
        <w:t>El TWC solicitó al experto del Reino Unido que proporcione orientación adicional sobre la extrapolación cuando el nivel de expresión de la variedad candidata no se corresponde con el que presentan las variedades de referencia.</w:t>
      </w:r>
    </w:p>
    <w:p w:rsidR="005253AC" w:rsidRPr="00D6704A" w:rsidRDefault="005253AC" w:rsidP="005253AC">
      <w:pPr>
        <w:autoSpaceDE w:val="0"/>
        <w:autoSpaceDN w:val="0"/>
        <w:adjustRightInd w:val="0"/>
        <w:rPr>
          <w:rFonts w:cs="Arial"/>
          <w:lang w:val="es-ES"/>
        </w:rPr>
      </w:pPr>
    </w:p>
    <w:p w:rsidR="005253AC" w:rsidRPr="00D6704A" w:rsidRDefault="00791298" w:rsidP="005253AC">
      <w:pPr>
        <w:tabs>
          <w:tab w:val="left" w:pos="567"/>
        </w:tabs>
        <w:autoSpaceDE w:val="0"/>
        <w:autoSpaceDN w:val="0"/>
        <w:adjustRightInd w:val="0"/>
        <w:rPr>
          <w:rFonts w:cs="Arial"/>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F96DC0" w:rsidRPr="000D5690">
        <w:rPr>
          <w:rFonts w:cs="Arial"/>
          <w:lang w:val="es-ES_tradnl"/>
        </w:rPr>
        <w:t>Como parte de la elaboración de orientaciones</w:t>
      </w:r>
      <w:r w:rsidR="000171B9" w:rsidRPr="000D5690">
        <w:rPr>
          <w:rFonts w:cs="Arial"/>
          <w:lang w:val="es-ES_tradnl"/>
        </w:rPr>
        <w:t xml:space="preserve"> sobre el examen </w:t>
      </w:r>
      <w:r w:rsidR="00F96DC0" w:rsidRPr="000D5690">
        <w:rPr>
          <w:rFonts w:cs="Arial"/>
          <w:lang w:val="es-ES_tradnl"/>
        </w:rPr>
        <w:t xml:space="preserve">DHE en muestras </w:t>
      </w:r>
      <w:r w:rsidR="000171B9" w:rsidRPr="000D5690">
        <w:rPr>
          <w:rFonts w:cs="Arial"/>
          <w:lang w:val="es-ES_tradnl"/>
        </w:rPr>
        <w:t>en bloque</w:t>
      </w:r>
      <w:r w:rsidR="00F96DC0" w:rsidRPr="000D5690">
        <w:rPr>
          <w:rFonts w:cs="Arial"/>
          <w:lang w:val="es-ES_tradnl"/>
        </w:rPr>
        <w:t xml:space="preserve">, </w:t>
      </w:r>
      <w:r w:rsidR="00A61818" w:rsidRPr="000D5690">
        <w:rPr>
          <w:rFonts w:cs="Arial"/>
          <w:lang w:val="es-ES_tradnl"/>
        </w:rPr>
        <w:t>un experto de los Países Bajos presentó el Anexo I del documento TWC/33/17</w:t>
      </w:r>
      <w:r w:rsidR="00F96DC0" w:rsidRPr="000D5690">
        <w:rPr>
          <w:rFonts w:cs="Arial"/>
          <w:lang w:val="es-ES_tradnl"/>
        </w:rPr>
        <w:t>.</w:t>
      </w:r>
      <w:r w:rsidR="005253AC" w:rsidRPr="00D6704A">
        <w:rPr>
          <w:rFonts w:cs="Arial"/>
          <w:lang w:val="es-ES"/>
        </w:rPr>
        <w:t xml:space="preserve"> </w:t>
      </w:r>
      <w:r w:rsidR="00A61818" w:rsidRPr="000D5690">
        <w:rPr>
          <w:rFonts w:cs="Arial"/>
          <w:lang w:val="es-ES_tradnl"/>
        </w:rPr>
        <w:t>En este documento se presentan diferentes métodos posibles</w:t>
      </w:r>
      <w:r w:rsidR="00AA6DBC" w:rsidRPr="000D5690">
        <w:rPr>
          <w:rFonts w:cs="Arial"/>
          <w:lang w:val="es-ES_tradnl"/>
        </w:rPr>
        <w:t>,</w:t>
      </w:r>
      <w:r w:rsidR="00A61818" w:rsidRPr="000D5690">
        <w:rPr>
          <w:rFonts w:cs="Arial"/>
          <w:lang w:val="es-ES_tradnl"/>
        </w:rPr>
        <w:t xml:space="preserve"> para </w:t>
      </w:r>
      <w:r w:rsidR="00AA6DBC" w:rsidRPr="000D5690">
        <w:rPr>
          <w:rFonts w:cs="Arial"/>
          <w:lang w:val="es-ES_tradnl"/>
        </w:rPr>
        <w:t>estimular e</w:t>
      </w:r>
      <w:r w:rsidR="00A61818" w:rsidRPr="000D5690">
        <w:rPr>
          <w:rFonts w:cs="Arial"/>
          <w:lang w:val="es-ES_tradnl"/>
        </w:rPr>
        <w:t>l debate en torno a este tema.</w:t>
      </w:r>
      <w:r w:rsidR="005253AC" w:rsidRPr="00D6704A">
        <w:rPr>
          <w:rFonts w:cs="Arial"/>
          <w:lang w:val="es-ES"/>
        </w:rPr>
        <w:t xml:space="preserve"> </w:t>
      </w:r>
      <w:r w:rsidR="00A61818" w:rsidRPr="000D5690">
        <w:rPr>
          <w:rFonts w:cs="Arial"/>
          <w:lang w:val="es-ES_tradnl"/>
        </w:rPr>
        <w:t xml:space="preserve">Se mantuvo en el TWC un debate fructífero sobre </w:t>
      </w:r>
      <w:r w:rsidR="00AA6DBC" w:rsidRPr="000D5690">
        <w:rPr>
          <w:rFonts w:cs="Arial"/>
          <w:lang w:val="es-ES_tradnl"/>
        </w:rPr>
        <w:t xml:space="preserve">cuál de los </w:t>
      </w:r>
      <w:r w:rsidR="00A61818" w:rsidRPr="000D5690">
        <w:rPr>
          <w:rFonts w:cs="Arial"/>
          <w:lang w:val="es-ES_tradnl"/>
        </w:rPr>
        <w:t>método</w:t>
      </w:r>
      <w:r w:rsidR="00AA6DBC" w:rsidRPr="000D5690">
        <w:rPr>
          <w:rFonts w:cs="Arial"/>
          <w:lang w:val="es-ES_tradnl"/>
        </w:rPr>
        <w:t>s</w:t>
      </w:r>
      <w:r w:rsidR="00A61818" w:rsidRPr="000D5690">
        <w:rPr>
          <w:rFonts w:cs="Arial"/>
          <w:lang w:val="es-ES_tradnl"/>
        </w:rPr>
        <w:t xml:space="preserve"> sería el más adecuado.</w:t>
      </w:r>
      <w:r w:rsidR="005253AC" w:rsidRPr="00D6704A">
        <w:rPr>
          <w:rFonts w:cs="Arial"/>
          <w:lang w:val="es-ES"/>
        </w:rPr>
        <w:t xml:space="preserve"> </w:t>
      </w:r>
      <w:r w:rsidR="00A61818" w:rsidRPr="000D5690">
        <w:rPr>
          <w:rFonts w:cs="Arial"/>
          <w:lang w:val="es-ES_tradnl"/>
        </w:rPr>
        <w:t>El TWC convino en que los siguientes métodos que figuran en el Anexo I del documento TWC/33/17 podrían desarrollarse más</w:t>
      </w:r>
      <w:r w:rsidR="00AA6DBC" w:rsidRPr="000D5690">
        <w:rPr>
          <w:rFonts w:cs="Arial"/>
          <w:lang w:val="es-ES_tradnl"/>
        </w:rPr>
        <w:t>,</w:t>
      </w:r>
      <w:r w:rsidR="00A61818" w:rsidRPr="000D5690">
        <w:rPr>
          <w:rFonts w:cs="Arial"/>
          <w:lang w:val="es-ES_tradnl"/>
        </w:rPr>
        <w:t xml:space="preserve"> como base para la orientación sobre el análisis de los caracteres examinados a partir de muestras en bloque:</w:t>
      </w:r>
      <w:r w:rsidR="005253AC" w:rsidRPr="00D6704A">
        <w:rPr>
          <w:rFonts w:cs="Arial"/>
          <w:lang w:val="es-ES"/>
        </w:rPr>
        <w:t xml:space="preserve"> </w:t>
      </w:r>
    </w:p>
    <w:p w:rsidR="005253AC" w:rsidRPr="00D6704A" w:rsidRDefault="005253AC" w:rsidP="005253AC">
      <w:pPr>
        <w:tabs>
          <w:tab w:val="left" w:pos="567"/>
        </w:tabs>
        <w:autoSpaceDE w:val="0"/>
        <w:autoSpaceDN w:val="0"/>
        <w:adjustRightInd w:val="0"/>
        <w:rPr>
          <w:rFonts w:cs="Arial"/>
          <w:lang w:val="es-ES"/>
        </w:rPr>
      </w:pPr>
    </w:p>
    <w:p w:rsidR="005253AC" w:rsidRPr="00D6704A" w:rsidRDefault="0047214B" w:rsidP="005253AC">
      <w:pPr>
        <w:tabs>
          <w:tab w:val="left" w:pos="993"/>
        </w:tabs>
        <w:autoSpaceDE w:val="0"/>
        <w:autoSpaceDN w:val="0"/>
        <w:adjustRightInd w:val="0"/>
        <w:ind w:left="567"/>
        <w:rPr>
          <w:rFonts w:cs="Arial"/>
          <w:lang w:val="es-ES"/>
        </w:rPr>
      </w:pPr>
      <w:r w:rsidRPr="00D6704A">
        <w:rPr>
          <w:rFonts w:cs="Arial"/>
          <w:lang w:val="es-ES"/>
        </w:rPr>
        <w:t>a)</w:t>
      </w:r>
      <w:r w:rsidR="005253AC" w:rsidRPr="00D6704A">
        <w:rPr>
          <w:rFonts w:cs="Arial"/>
          <w:lang w:val="es-ES"/>
        </w:rPr>
        <w:tab/>
      </w:r>
      <w:r w:rsidR="00A61818" w:rsidRPr="000D5690">
        <w:rPr>
          <w:rFonts w:cs="Arial"/>
          <w:lang w:val="es-ES_tradnl"/>
        </w:rPr>
        <w:t>Control del carácter antes de aprobar su inclusión en el documento de directrices pertinente;</w:t>
      </w:r>
      <w:r w:rsidR="005253AC" w:rsidRPr="00D6704A">
        <w:rPr>
          <w:rFonts w:cs="Arial"/>
          <w:lang w:val="es-ES"/>
        </w:rPr>
        <w:t xml:space="preserve"> </w:t>
      </w:r>
    </w:p>
    <w:p w:rsidR="005253AC" w:rsidRPr="00D6704A" w:rsidRDefault="0047214B" w:rsidP="005253AC">
      <w:pPr>
        <w:tabs>
          <w:tab w:val="left" w:pos="993"/>
        </w:tabs>
        <w:autoSpaceDE w:val="0"/>
        <w:autoSpaceDN w:val="0"/>
        <w:adjustRightInd w:val="0"/>
        <w:ind w:left="567"/>
        <w:rPr>
          <w:rFonts w:cs="Arial"/>
          <w:lang w:val="es-ES"/>
        </w:rPr>
      </w:pPr>
      <w:r w:rsidRPr="00D6704A">
        <w:rPr>
          <w:rFonts w:cs="Arial"/>
          <w:lang w:val="es-ES"/>
        </w:rPr>
        <w:t>d)</w:t>
      </w:r>
      <w:r w:rsidR="005253AC" w:rsidRPr="00D6704A">
        <w:rPr>
          <w:rFonts w:cs="Arial"/>
          <w:lang w:val="es-ES"/>
        </w:rPr>
        <w:tab/>
      </w:r>
      <w:proofErr w:type="spellStart"/>
      <w:r w:rsidR="00A61818" w:rsidRPr="000D5690">
        <w:rPr>
          <w:rFonts w:cs="Arial"/>
          <w:lang w:val="es-ES_tradnl"/>
        </w:rPr>
        <w:t>Subparcelas</w:t>
      </w:r>
      <w:proofErr w:type="spellEnd"/>
      <w:r w:rsidR="00A61818" w:rsidRPr="000D5690">
        <w:rPr>
          <w:rFonts w:cs="Arial"/>
          <w:lang w:val="es-ES_tradnl"/>
        </w:rPr>
        <w:t>;</w:t>
      </w:r>
    </w:p>
    <w:p w:rsidR="005253AC" w:rsidRPr="00D6704A" w:rsidRDefault="005253AC" w:rsidP="005253AC">
      <w:pPr>
        <w:tabs>
          <w:tab w:val="left" w:pos="993"/>
        </w:tabs>
        <w:autoSpaceDE w:val="0"/>
        <w:autoSpaceDN w:val="0"/>
        <w:adjustRightInd w:val="0"/>
        <w:ind w:left="567"/>
        <w:rPr>
          <w:rFonts w:cs="Arial"/>
          <w:lang w:val="es-ES"/>
        </w:rPr>
      </w:pPr>
      <w:r w:rsidRPr="00D6704A">
        <w:rPr>
          <w:rFonts w:cs="Arial"/>
          <w:lang w:val="es-ES"/>
        </w:rPr>
        <w:t>g)</w:t>
      </w:r>
      <w:r w:rsidRPr="00D6704A">
        <w:rPr>
          <w:rFonts w:cs="Arial"/>
          <w:lang w:val="es-ES"/>
        </w:rPr>
        <w:tab/>
      </w:r>
      <w:r w:rsidR="00A61818" w:rsidRPr="000D5690">
        <w:rPr>
          <w:rFonts w:cs="Arial"/>
          <w:lang w:val="es-ES_tradnl"/>
        </w:rPr>
        <w:t>Análisis del ADN, y</w:t>
      </w:r>
      <w:r w:rsidRPr="00D6704A">
        <w:rPr>
          <w:rFonts w:cs="Arial"/>
          <w:lang w:val="es-ES"/>
        </w:rPr>
        <w:t xml:space="preserve"> </w:t>
      </w:r>
    </w:p>
    <w:p w:rsidR="005253AC" w:rsidRPr="00D6704A" w:rsidRDefault="005253AC" w:rsidP="005253AC">
      <w:pPr>
        <w:tabs>
          <w:tab w:val="left" w:pos="993"/>
        </w:tabs>
        <w:autoSpaceDE w:val="0"/>
        <w:autoSpaceDN w:val="0"/>
        <w:adjustRightInd w:val="0"/>
        <w:ind w:left="567"/>
        <w:rPr>
          <w:rFonts w:cs="Arial"/>
          <w:lang w:val="es-ES"/>
        </w:rPr>
      </w:pPr>
      <w:r w:rsidRPr="00D6704A">
        <w:rPr>
          <w:rFonts w:cs="Arial"/>
          <w:lang w:val="es-ES"/>
        </w:rPr>
        <w:t>i)</w:t>
      </w:r>
      <w:r w:rsidRPr="00D6704A">
        <w:rPr>
          <w:rFonts w:cs="Arial"/>
          <w:lang w:val="es-ES"/>
        </w:rPr>
        <w:tab/>
      </w:r>
      <w:r w:rsidR="00A61818" w:rsidRPr="000D5690">
        <w:rPr>
          <w:rFonts w:cs="Arial"/>
          <w:lang w:val="es-ES_tradnl"/>
        </w:rPr>
        <w:t>Número de plantas.</w:t>
      </w:r>
    </w:p>
    <w:p w:rsidR="005253AC" w:rsidRPr="00D6704A" w:rsidRDefault="005253AC" w:rsidP="005253AC">
      <w:pPr>
        <w:autoSpaceDE w:val="0"/>
        <w:autoSpaceDN w:val="0"/>
        <w:adjustRightInd w:val="0"/>
        <w:rPr>
          <w:rFonts w:cs="Arial"/>
          <w:lang w:val="es-ES"/>
        </w:rPr>
      </w:pPr>
    </w:p>
    <w:p w:rsidR="005253AC" w:rsidRPr="00D6704A" w:rsidRDefault="00791298" w:rsidP="005253AC">
      <w:pPr>
        <w:tabs>
          <w:tab w:val="left" w:pos="567"/>
        </w:tabs>
        <w:autoSpaceDE w:val="0"/>
        <w:autoSpaceDN w:val="0"/>
        <w:adjustRightInd w:val="0"/>
        <w:rPr>
          <w:rFonts w:cs="Arial"/>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A61818" w:rsidRPr="000D5690">
        <w:rPr>
          <w:rFonts w:cs="Arial"/>
          <w:lang w:val="es-ES_tradnl"/>
        </w:rPr>
        <w:t>Un experto de Francia presentó</w:t>
      </w:r>
      <w:r w:rsidR="001F043C" w:rsidRPr="000D5690">
        <w:rPr>
          <w:rFonts w:cs="Arial"/>
          <w:lang w:val="es-ES_tradnl"/>
        </w:rPr>
        <w:t xml:space="preserve"> u</w:t>
      </w:r>
      <w:r w:rsidR="00A61818" w:rsidRPr="000D5690">
        <w:rPr>
          <w:rFonts w:cs="Arial"/>
          <w:lang w:val="es-ES_tradnl"/>
        </w:rPr>
        <w:t>n</w:t>
      </w:r>
      <w:r w:rsidR="001F043C" w:rsidRPr="000D5690">
        <w:rPr>
          <w:rFonts w:cs="Arial"/>
          <w:lang w:val="es-ES_tradnl"/>
        </w:rPr>
        <w:t>a</w:t>
      </w:r>
      <w:r w:rsidR="00A61818" w:rsidRPr="000D5690">
        <w:rPr>
          <w:rFonts w:cs="Arial"/>
          <w:lang w:val="es-ES_tradnl"/>
        </w:rPr>
        <w:t xml:space="preserve"> </w:t>
      </w:r>
      <w:r w:rsidR="001F043C" w:rsidRPr="000D5690">
        <w:rPr>
          <w:rFonts w:cs="Arial"/>
          <w:lang w:val="es-ES_tradnl"/>
        </w:rPr>
        <w:t xml:space="preserve">ponencia </w:t>
      </w:r>
      <w:r w:rsidR="00A61818" w:rsidRPr="000D5690">
        <w:rPr>
          <w:rFonts w:cs="Arial"/>
          <w:lang w:val="es-ES_tradnl"/>
        </w:rPr>
        <w:t xml:space="preserve">sobre un ejercicio práctico </w:t>
      </w:r>
      <w:r w:rsidR="001F043C" w:rsidRPr="000D5690">
        <w:rPr>
          <w:rFonts w:cs="Arial"/>
          <w:lang w:val="es-ES_tradnl"/>
        </w:rPr>
        <w:t xml:space="preserve">para </w:t>
      </w:r>
      <w:r w:rsidR="00A61818" w:rsidRPr="000D5690">
        <w:rPr>
          <w:rFonts w:cs="Arial"/>
          <w:lang w:val="es-ES_tradnl"/>
        </w:rPr>
        <w:t>compara</w:t>
      </w:r>
      <w:r w:rsidR="001F043C" w:rsidRPr="000D5690">
        <w:rPr>
          <w:rFonts w:cs="Arial"/>
          <w:lang w:val="es-ES_tradnl"/>
        </w:rPr>
        <w:t>r</w:t>
      </w:r>
      <w:r w:rsidR="00A61818" w:rsidRPr="000D5690">
        <w:rPr>
          <w:rFonts w:cs="Arial"/>
          <w:lang w:val="es-ES_tradnl"/>
        </w:rPr>
        <w:t xml:space="preserve"> varios </w:t>
      </w:r>
      <w:r w:rsidR="001F043C" w:rsidRPr="000D5690">
        <w:rPr>
          <w:rFonts w:cs="Arial"/>
          <w:lang w:val="es-ES_tradnl"/>
        </w:rPr>
        <w:t xml:space="preserve">métodos </w:t>
      </w:r>
      <w:r w:rsidR="00A61818" w:rsidRPr="000D5690">
        <w:rPr>
          <w:rFonts w:cs="Arial"/>
          <w:lang w:val="es-ES_tradnl"/>
        </w:rPr>
        <w:t xml:space="preserve">diferentes </w:t>
      </w:r>
      <w:r w:rsidR="001F043C" w:rsidRPr="000D5690">
        <w:rPr>
          <w:rFonts w:cs="Arial"/>
          <w:lang w:val="es-ES_tradnl"/>
        </w:rPr>
        <w:t>de elabora</w:t>
      </w:r>
      <w:r w:rsidR="00A61818" w:rsidRPr="000D5690">
        <w:rPr>
          <w:rFonts w:cs="Arial"/>
          <w:lang w:val="es-ES_tradnl"/>
        </w:rPr>
        <w:t>ción de descripciones de variedades para l</w:t>
      </w:r>
      <w:r w:rsidR="001F043C" w:rsidRPr="000D5690">
        <w:rPr>
          <w:rFonts w:cs="Arial"/>
          <w:lang w:val="es-ES_tradnl"/>
        </w:rPr>
        <w:t>o</w:t>
      </w:r>
      <w:r w:rsidR="00A61818" w:rsidRPr="000D5690">
        <w:rPr>
          <w:rFonts w:cs="Arial"/>
          <w:lang w:val="es-ES_tradnl"/>
        </w:rPr>
        <w:t xml:space="preserve">s </w:t>
      </w:r>
      <w:r w:rsidR="001F043C" w:rsidRPr="000D5690">
        <w:rPr>
          <w:rFonts w:cs="Arial"/>
          <w:lang w:val="es-ES_tradnl"/>
        </w:rPr>
        <w:t>caracteres cuantitativos</w:t>
      </w:r>
      <w:r w:rsidR="00A61818" w:rsidRPr="000D5690">
        <w:rPr>
          <w:rFonts w:cs="Arial"/>
          <w:lang w:val="es-ES_tradnl"/>
        </w:rPr>
        <w:t xml:space="preserve">, utilizando un conjunto de datos comunes </w:t>
      </w:r>
      <w:r w:rsidR="001F043C" w:rsidRPr="000D5690">
        <w:rPr>
          <w:rFonts w:cs="Arial"/>
          <w:lang w:val="es-ES_tradnl"/>
        </w:rPr>
        <w:t xml:space="preserve">de </w:t>
      </w:r>
      <w:r w:rsidR="00A61818" w:rsidRPr="000D5690">
        <w:rPr>
          <w:rFonts w:cs="Arial"/>
          <w:lang w:val="es-ES_tradnl"/>
        </w:rPr>
        <w:t>variedades de lino (documento TWC/33/18).</w:t>
      </w:r>
      <w:r w:rsidR="005253AC" w:rsidRPr="00D6704A">
        <w:rPr>
          <w:rFonts w:cs="Arial"/>
          <w:lang w:val="es-ES"/>
        </w:rPr>
        <w:t xml:space="preserve"> </w:t>
      </w:r>
      <w:r w:rsidR="001F043C" w:rsidRPr="000D5690">
        <w:rPr>
          <w:rFonts w:cs="Arial"/>
          <w:lang w:val="es-ES_tradnl"/>
        </w:rPr>
        <w:t>En esta comparación se determinaron las principales diferencias entre los diferentes métodos:</w:t>
      </w:r>
      <w:r w:rsidR="005253AC" w:rsidRPr="00D6704A">
        <w:rPr>
          <w:rFonts w:cs="Arial"/>
          <w:lang w:val="es-ES"/>
        </w:rPr>
        <w:t xml:space="preserve"> </w:t>
      </w:r>
      <w:r w:rsidR="001F043C" w:rsidRPr="000D5690">
        <w:rPr>
          <w:rFonts w:cs="Arial"/>
          <w:lang w:val="es-ES_tradnl"/>
        </w:rPr>
        <w:t>si se utilizaron variedades ejemplo para establecer la escala, si se tuvo en cuenta la opinión de expertos en el cultivo, y si la separación de l</w:t>
      </w:r>
      <w:r w:rsidR="00C83832" w:rsidRPr="000D5690">
        <w:rPr>
          <w:rFonts w:cs="Arial"/>
          <w:lang w:val="es-ES_tradnl"/>
        </w:rPr>
        <w:t>o</w:t>
      </w:r>
      <w:r w:rsidR="001F043C" w:rsidRPr="000D5690">
        <w:rPr>
          <w:rFonts w:cs="Arial"/>
          <w:lang w:val="es-ES_tradnl"/>
        </w:rPr>
        <w:t xml:space="preserve">s </w:t>
      </w:r>
      <w:r w:rsidR="00937DF6" w:rsidRPr="000D5690">
        <w:rPr>
          <w:rFonts w:cs="Arial"/>
          <w:lang w:val="es-ES_tradnl"/>
        </w:rPr>
        <w:t>niveles de expresión</w:t>
      </w:r>
      <w:r w:rsidR="001F043C" w:rsidRPr="000D5690">
        <w:rPr>
          <w:rFonts w:cs="Arial"/>
          <w:lang w:val="es-ES_tradnl"/>
        </w:rPr>
        <w:t xml:space="preserve"> en la escala original del carácter era uniforme.</w:t>
      </w:r>
      <w:r w:rsidR="005253AC" w:rsidRPr="00D6704A">
        <w:rPr>
          <w:rFonts w:cs="Arial"/>
          <w:lang w:val="es-ES"/>
        </w:rPr>
        <w:t xml:space="preserve"> </w:t>
      </w:r>
      <w:r w:rsidR="001F043C" w:rsidRPr="000D5690">
        <w:rPr>
          <w:rFonts w:cs="Arial"/>
          <w:lang w:val="es-ES_tradnl"/>
        </w:rPr>
        <w:t>El TWC convino en que esta división servía como base para entender los diferentes métodos.</w:t>
      </w:r>
    </w:p>
    <w:p w:rsidR="005253AC" w:rsidRPr="00D6704A" w:rsidRDefault="005253AC" w:rsidP="005253AC">
      <w:pPr>
        <w:autoSpaceDE w:val="0"/>
        <w:autoSpaceDN w:val="0"/>
        <w:adjustRightInd w:val="0"/>
        <w:rPr>
          <w:rFonts w:cs="Arial"/>
          <w:lang w:val="es-ES"/>
        </w:rPr>
      </w:pPr>
    </w:p>
    <w:p w:rsidR="005253AC" w:rsidRPr="00D6704A" w:rsidRDefault="00791298" w:rsidP="005253AC">
      <w:pPr>
        <w:tabs>
          <w:tab w:val="left" w:pos="567"/>
        </w:tabs>
        <w:autoSpaceDE w:val="0"/>
        <w:autoSpaceDN w:val="0"/>
        <w:adjustRightInd w:val="0"/>
        <w:rPr>
          <w:rFonts w:cs="Arial"/>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1F043C" w:rsidRPr="000D5690">
        <w:rPr>
          <w:rFonts w:cs="Arial"/>
          <w:lang w:val="es-ES_tradnl"/>
        </w:rPr>
        <w:t>Tras examinar el documento TWC/33/10 “</w:t>
      </w:r>
      <w:proofErr w:type="spellStart"/>
      <w:r w:rsidR="001F043C" w:rsidRPr="000D5690">
        <w:rPr>
          <w:rFonts w:cs="Arial"/>
          <w:i/>
          <w:lang w:val="es-ES_tradnl"/>
        </w:rPr>
        <w:t>Matters</w:t>
      </w:r>
      <w:proofErr w:type="spellEnd"/>
      <w:r w:rsidR="001F043C" w:rsidRPr="000D5690">
        <w:rPr>
          <w:rFonts w:cs="Arial"/>
          <w:i/>
          <w:lang w:val="es-ES_tradnl"/>
        </w:rPr>
        <w:t xml:space="preserve"> </w:t>
      </w:r>
      <w:proofErr w:type="spellStart"/>
      <w:r w:rsidR="001F043C" w:rsidRPr="000D5690">
        <w:rPr>
          <w:rFonts w:cs="Arial"/>
          <w:i/>
          <w:lang w:val="es-ES_tradnl"/>
        </w:rPr>
        <w:t>Concerning</w:t>
      </w:r>
      <w:proofErr w:type="spellEnd"/>
      <w:r w:rsidR="001F043C" w:rsidRPr="000D5690">
        <w:rPr>
          <w:rFonts w:cs="Arial"/>
          <w:i/>
          <w:lang w:val="es-ES_tradnl"/>
        </w:rPr>
        <w:t xml:space="preserve"> </w:t>
      </w:r>
      <w:proofErr w:type="spellStart"/>
      <w:r w:rsidR="001F043C" w:rsidRPr="000D5690">
        <w:rPr>
          <w:rFonts w:cs="Arial"/>
          <w:i/>
          <w:lang w:val="es-ES_tradnl"/>
        </w:rPr>
        <w:t>Variety</w:t>
      </w:r>
      <w:proofErr w:type="spellEnd"/>
      <w:r w:rsidR="001F043C" w:rsidRPr="000D5690">
        <w:rPr>
          <w:rFonts w:cs="Arial"/>
          <w:i/>
          <w:lang w:val="es-ES_tradnl"/>
        </w:rPr>
        <w:t xml:space="preserve"> </w:t>
      </w:r>
      <w:proofErr w:type="spellStart"/>
      <w:r w:rsidR="001F043C" w:rsidRPr="000D5690">
        <w:rPr>
          <w:rFonts w:cs="Arial"/>
          <w:i/>
          <w:lang w:val="es-ES_tradnl"/>
        </w:rPr>
        <w:t>Descriptions</w:t>
      </w:r>
      <w:proofErr w:type="spellEnd"/>
      <w:r w:rsidR="001F043C" w:rsidRPr="000D5690">
        <w:rPr>
          <w:rFonts w:cs="Arial"/>
          <w:lang w:val="es-ES_tradnl"/>
        </w:rPr>
        <w:t>” (Asuntos relativos a las descripciones de variedades), se debatieron las experiencias de los expertos en el uso de las descripciones de variedades.</w:t>
      </w:r>
      <w:r w:rsidR="005253AC" w:rsidRPr="00D6704A">
        <w:rPr>
          <w:rFonts w:cs="Arial"/>
          <w:lang w:val="es-ES"/>
        </w:rPr>
        <w:t xml:space="preserve"> </w:t>
      </w:r>
      <w:r w:rsidR="008A3DEF" w:rsidRPr="000D5690">
        <w:rPr>
          <w:rFonts w:cs="Arial"/>
          <w:lang w:val="es-ES_tradnl"/>
        </w:rPr>
        <w:t xml:space="preserve">Se pusieron de manifiesto las </w:t>
      </w:r>
      <w:r w:rsidR="001F043C" w:rsidRPr="000D5690">
        <w:rPr>
          <w:rFonts w:cs="Arial"/>
          <w:lang w:val="es-ES_tradnl"/>
        </w:rPr>
        <w:t xml:space="preserve">diferencias en el uso de </w:t>
      </w:r>
      <w:r w:rsidR="009F6F62" w:rsidRPr="000D5690">
        <w:rPr>
          <w:rFonts w:cs="Arial"/>
          <w:lang w:val="es-ES_tradnl"/>
        </w:rPr>
        <w:t xml:space="preserve">las </w:t>
      </w:r>
      <w:r w:rsidR="001F043C" w:rsidRPr="000D5690">
        <w:rPr>
          <w:rFonts w:cs="Arial"/>
          <w:lang w:val="es-ES_tradnl"/>
        </w:rPr>
        <w:t xml:space="preserve">descripciones de variedades y </w:t>
      </w:r>
      <w:r w:rsidR="008A3DEF" w:rsidRPr="000D5690">
        <w:rPr>
          <w:rFonts w:cs="Arial"/>
          <w:lang w:val="es-ES_tradnl"/>
        </w:rPr>
        <w:t xml:space="preserve">en su </w:t>
      </w:r>
      <w:r w:rsidR="001F043C" w:rsidRPr="000D5690">
        <w:rPr>
          <w:rFonts w:cs="Arial"/>
          <w:lang w:val="es-ES_tradnl"/>
        </w:rPr>
        <w:t xml:space="preserve">importancia </w:t>
      </w:r>
      <w:r w:rsidR="008A3DEF" w:rsidRPr="000D5690">
        <w:rPr>
          <w:rFonts w:cs="Arial"/>
          <w:lang w:val="es-ES_tradnl"/>
        </w:rPr>
        <w:t xml:space="preserve">a efectos de </w:t>
      </w:r>
      <w:r w:rsidR="001F043C" w:rsidRPr="000D5690">
        <w:rPr>
          <w:rFonts w:cs="Arial"/>
          <w:lang w:val="es-ES_tradnl"/>
        </w:rPr>
        <w:t xml:space="preserve">los sistemas de </w:t>
      </w:r>
      <w:r w:rsidR="009F6F62" w:rsidRPr="000D5690">
        <w:rPr>
          <w:rFonts w:cs="Arial"/>
          <w:lang w:val="es-ES_tradnl"/>
        </w:rPr>
        <w:t>examen </w:t>
      </w:r>
      <w:r w:rsidR="001F043C" w:rsidRPr="000D5690">
        <w:rPr>
          <w:rFonts w:cs="Arial"/>
          <w:lang w:val="es-ES_tradnl"/>
        </w:rPr>
        <w:t>DHE.</w:t>
      </w:r>
      <w:r w:rsidR="005253AC" w:rsidRPr="00D6704A">
        <w:rPr>
          <w:rFonts w:cs="Arial"/>
          <w:lang w:val="es-ES"/>
        </w:rPr>
        <w:t xml:space="preserve"> </w:t>
      </w:r>
      <w:r w:rsidR="009F6F62" w:rsidRPr="000D5690">
        <w:rPr>
          <w:rFonts w:cs="Arial"/>
          <w:lang w:val="es-ES_tradnl"/>
        </w:rPr>
        <w:t>Un experto de China presentó una investigación de la interacción entre variedades y lugares de los caracteres cuantitativos</w:t>
      </w:r>
      <w:r w:rsidR="008A3DEF" w:rsidRPr="000D5690">
        <w:rPr>
          <w:rFonts w:cs="Arial"/>
          <w:lang w:val="es-ES_tradnl"/>
        </w:rPr>
        <w:t xml:space="preserve"> (documento </w:t>
      </w:r>
      <w:r w:rsidR="009F6F62" w:rsidRPr="000D5690">
        <w:rPr>
          <w:rFonts w:cs="Arial"/>
          <w:lang w:val="es-ES_tradnl"/>
        </w:rPr>
        <w:t>TWC/33/27).</w:t>
      </w:r>
      <w:r w:rsidR="005253AC" w:rsidRPr="00D6704A">
        <w:rPr>
          <w:rFonts w:cs="Arial"/>
          <w:lang w:val="es-ES"/>
        </w:rPr>
        <w:t xml:space="preserve"> </w:t>
      </w:r>
    </w:p>
    <w:p w:rsidR="005253AC" w:rsidRPr="00D6704A" w:rsidRDefault="005253AC" w:rsidP="005253AC">
      <w:pPr>
        <w:autoSpaceDE w:val="0"/>
        <w:autoSpaceDN w:val="0"/>
        <w:adjustRightInd w:val="0"/>
        <w:rPr>
          <w:rFonts w:cs="Arial"/>
          <w:lang w:val="es-ES"/>
        </w:rPr>
      </w:pPr>
    </w:p>
    <w:p w:rsidR="005253AC" w:rsidRPr="00D6704A" w:rsidRDefault="00791298" w:rsidP="005253AC">
      <w:pPr>
        <w:tabs>
          <w:tab w:val="left" w:pos="567"/>
        </w:tabs>
        <w:autoSpaceDE w:val="0"/>
        <w:autoSpaceDN w:val="0"/>
        <w:adjustRightInd w:val="0"/>
        <w:rPr>
          <w:rFonts w:cs="Arial"/>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FE10E6" w:rsidRPr="000D5690">
        <w:rPr>
          <w:rFonts w:cs="Arial"/>
          <w:lang w:val="es-ES_tradnl"/>
        </w:rPr>
        <w:t>El TWC examinó el proyecto de orientación</w:t>
      </w:r>
      <w:r w:rsidR="008A3DEF" w:rsidRPr="000D5690">
        <w:rPr>
          <w:rFonts w:cs="Arial"/>
          <w:lang w:val="es-ES_tradnl"/>
        </w:rPr>
        <w:t xml:space="preserve"> para la revisión del documento </w:t>
      </w:r>
      <w:r w:rsidR="00FE10E6" w:rsidRPr="000D5690">
        <w:rPr>
          <w:rFonts w:cs="Arial"/>
          <w:lang w:val="es-ES_tradnl"/>
        </w:rPr>
        <w:t xml:space="preserve">TGP/10 “Evaluación de la homogeneidad de las plantas fuera de tipo mediante la observación de más de un ciclo de cultivo o mediante la observación de </w:t>
      </w:r>
      <w:proofErr w:type="spellStart"/>
      <w:r w:rsidR="00FE10E6" w:rsidRPr="000D5690">
        <w:rPr>
          <w:rFonts w:cs="Arial"/>
          <w:lang w:val="es-ES_tradnl"/>
        </w:rPr>
        <w:t>submuestras</w:t>
      </w:r>
      <w:proofErr w:type="spellEnd"/>
      <w:r w:rsidR="00FE10E6" w:rsidRPr="000D5690">
        <w:rPr>
          <w:rFonts w:cs="Arial"/>
          <w:lang w:val="es-ES_tradnl"/>
        </w:rPr>
        <w:t>”, que figura en el Anexo I del documento TWC/33/9.</w:t>
      </w:r>
      <w:r w:rsidR="005253AC" w:rsidRPr="00D6704A">
        <w:rPr>
          <w:rFonts w:cs="Arial"/>
          <w:lang w:val="es-ES"/>
        </w:rPr>
        <w:t xml:space="preserve">  </w:t>
      </w:r>
      <w:r w:rsidR="00FE10E6" w:rsidRPr="000D5690">
        <w:rPr>
          <w:rFonts w:cs="Arial"/>
          <w:lang w:val="es-ES_tradnl"/>
        </w:rPr>
        <w:t>El TWC convino en proponer que se modifique el título del método 2 para que su texto sea el siguiente: “Combinar los resultados de dos ciclos de cultivo en el caso de resultados contradictorios”.</w:t>
      </w:r>
      <w:r w:rsidR="005253AC" w:rsidRPr="00D6704A">
        <w:rPr>
          <w:rFonts w:cs="Arial"/>
          <w:lang w:val="es-ES"/>
        </w:rPr>
        <w:t xml:space="preserve"> </w:t>
      </w:r>
      <w:r w:rsidR="00FE10E6" w:rsidRPr="000D5690">
        <w:rPr>
          <w:rFonts w:cs="Arial"/>
          <w:lang w:val="es-ES_tradnl"/>
        </w:rPr>
        <w:t>El TWC asistió a una ponencia de expertos de Alema</w:t>
      </w:r>
      <w:r w:rsidR="008A3DEF" w:rsidRPr="000D5690">
        <w:rPr>
          <w:rFonts w:cs="Arial"/>
          <w:lang w:val="es-ES_tradnl"/>
        </w:rPr>
        <w:t>nia y el Reino Unido (documento </w:t>
      </w:r>
      <w:r w:rsidR="00FE10E6" w:rsidRPr="000D5690">
        <w:rPr>
          <w:rFonts w:cs="Arial"/>
          <w:lang w:val="es-ES_tradnl"/>
        </w:rPr>
        <w:t xml:space="preserve">TWC/33/25), que propusieron añadir un tercer método </w:t>
      </w:r>
      <w:r w:rsidR="008A3DEF" w:rsidRPr="000D5690">
        <w:rPr>
          <w:rFonts w:cs="Arial"/>
          <w:lang w:val="es-ES_tradnl"/>
        </w:rPr>
        <w:t>a</w:t>
      </w:r>
      <w:r w:rsidR="00FE10E6" w:rsidRPr="000D5690">
        <w:rPr>
          <w:rFonts w:cs="Arial"/>
          <w:lang w:val="es-ES_tradnl"/>
        </w:rPr>
        <w:t>l proyecto de orientación:</w:t>
      </w:r>
      <w:r w:rsidR="005253AC" w:rsidRPr="00D6704A">
        <w:rPr>
          <w:rFonts w:cs="Arial"/>
          <w:lang w:val="es-ES"/>
        </w:rPr>
        <w:t xml:space="preserve"> </w:t>
      </w:r>
      <w:r w:rsidR="00FE10E6" w:rsidRPr="000D5690">
        <w:rPr>
          <w:rFonts w:cs="Arial"/>
          <w:lang w:val="es-ES_tradnl"/>
        </w:rPr>
        <w:t>“Método 3</w:t>
      </w:r>
      <w:proofErr w:type="gramStart"/>
      <w:r w:rsidR="00FE10E6" w:rsidRPr="000D5690">
        <w:rPr>
          <w:rFonts w:cs="Arial"/>
          <w:lang w:val="es-ES_tradnl"/>
        </w:rPr>
        <w:t>:</w:t>
      </w:r>
      <w:r w:rsidR="005253AC" w:rsidRPr="00D6704A">
        <w:rPr>
          <w:rFonts w:cs="Arial"/>
          <w:lang w:val="es-ES"/>
        </w:rPr>
        <w:t xml:space="preserve">  </w:t>
      </w:r>
      <w:r w:rsidR="00FE10E6" w:rsidRPr="000D5690">
        <w:rPr>
          <w:rFonts w:cs="Arial"/>
          <w:lang w:val="es-ES_tradnl"/>
        </w:rPr>
        <w:t>Combina</w:t>
      </w:r>
      <w:r w:rsidR="002B6551" w:rsidRPr="000D5690">
        <w:rPr>
          <w:rFonts w:cs="Arial"/>
          <w:lang w:val="es-ES_tradnl"/>
        </w:rPr>
        <w:t>r</w:t>
      </w:r>
      <w:proofErr w:type="gramEnd"/>
      <w:r w:rsidR="002B6551" w:rsidRPr="000D5690">
        <w:rPr>
          <w:rFonts w:cs="Arial"/>
          <w:lang w:val="es-ES_tradnl"/>
        </w:rPr>
        <w:t xml:space="preserve"> </w:t>
      </w:r>
      <w:r w:rsidR="00FE10E6" w:rsidRPr="000D5690">
        <w:rPr>
          <w:rFonts w:cs="Arial"/>
          <w:lang w:val="es-ES_tradnl"/>
        </w:rPr>
        <w:t>los resultados de dos ciclos de cultivo</w:t>
      </w:r>
      <w:r w:rsidR="002B6551" w:rsidRPr="000D5690">
        <w:rPr>
          <w:rFonts w:cs="Arial"/>
          <w:lang w:val="es-ES_tradnl"/>
        </w:rPr>
        <w:t>”</w:t>
      </w:r>
      <w:r w:rsidR="00FE10E6" w:rsidRPr="000D5690">
        <w:rPr>
          <w:rFonts w:cs="Arial"/>
          <w:lang w:val="es-ES_tradnl"/>
        </w:rPr>
        <w:t>.</w:t>
      </w:r>
      <w:r w:rsidR="005253AC" w:rsidRPr="00D6704A">
        <w:rPr>
          <w:rFonts w:cs="Arial"/>
          <w:lang w:val="es-ES"/>
        </w:rPr>
        <w:t xml:space="preserve"> </w:t>
      </w:r>
      <w:r w:rsidR="002B6551" w:rsidRPr="000D5690">
        <w:rPr>
          <w:rFonts w:cs="Arial"/>
          <w:lang w:val="es-ES_tradnl"/>
        </w:rPr>
        <w:t>En este método siempre se combinaban las plantas fuera de tipo de dos ciclos de cultivo.</w:t>
      </w:r>
      <w:r w:rsidR="005253AC" w:rsidRPr="00D6704A">
        <w:rPr>
          <w:rFonts w:cs="Arial"/>
          <w:lang w:val="es-ES"/>
        </w:rPr>
        <w:t xml:space="preserve">  </w:t>
      </w:r>
      <w:r w:rsidR="002B6551" w:rsidRPr="000D5690">
        <w:rPr>
          <w:rFonts w:cs="Arial"/>
          <w:lang w:val="es-ES_tradnl"/>
        </w:rPr>
        <w:t>En la presentación se compararon los tres métodos y se ilustró</w:t>
      </w:r>
      <w:r w:rsidR="008A3DEF" w:rsidRPr="000D5690">
        <w:rPr>
          <w:rFonts w:cs="Arial"/>
          <w:lang w:val="es-ES_tradnl"/>
        </w:rPr>
        <w:t>,</w:t>
      </w:r>
      <w:r w:rsidR="002B6551" w:rsidRPr="000D5690">
        <w:rPr>
          <w:rFonts w:cs="Arial"/>
          <w:lang w:val="es-ES_tradnl"/>
        </w:rPr>
        <w:t xml:space="preserve"> en particular</w:t>
      </w:r>
      <w:r w:rsidR="008A3DEF" w:rsidRPr="000D5690">
        <w:rPr>
          <w:rFonts w:cs="Arial"/>
          <w:lang w:val="es-ES_tradnl"/>
        </w:rPr>
        <w:t>,</w:t>
      </w:r>
      <w:r w:rsidR="002B6551" w:rsidRPr="000D5690">
        <w:rPr>
          <w:rFonts w:cs="Arial"/>
          <w:lang w:val="es-ES_tradnl"/>
        </w:rPr>
        <w:t xml:space="preserve"> cómo pueden calcular</w:t>
      </w:r>
      <w:r w:rsidR="008A3DEF" w:rsidRPr="000D5690">
        <w:rPr>
          <w:rFonts w:cs="Arial"/>
          <w:lang w:val="es-ES_tradnl"/>
        </w:rPr>
        <w:t>se</w:t>
      </w:r>
      <w:r w:rsidR="002B6551" w:rsidRPr="000D5690">
        <w:rPr>
          <w:rFonts w:cs="Arial"/>
          <w:lang w:val="es-ES_tradnl"/>
        </w:rPr>
        <w:t xml:space="preserve"> los diferentes riesgos </w:t>
      </w:r>
      <w:r w:rsidR="00455B0D" w:rsidRPr="000D5690">
        <w:rPr>
          <w:rFonts w:cs="Arial"/>
          <w:lang w:val="es-ES_tradnl"/>
        </w:rPr>
        <w:t>pertinentes</w:t>
      </w:r>
      <w:r w:rsidR="008A3DEF" w:rsidRPr="000D5690">
        <w:rPr>
          <w:rFonts w:cs="Arial"/>
          <w:lang w:val="es-ES_tradnl"/>
        </w:rPr>
        <w:t xml:space="preserve"> </w:t>
      </w:r>
      <w:r w:rsidR="002B6551" w:rsidRPr="000D5690">
        <w:rPr>
          <w:rFonts w:cs="Arial"/>
          <w:lang w:val="es-ES_tradnl"/>
        </w:rPr>
        <w:t xml:space="preserve">para el </w:t>
      </w:r>
      <w:r w:rsidR="008A3DEF" w:rsidRPr="000D5690">
        <w:rPr>
          <w:rFonts w:cs="Arial"/>
          <w:lang w:val="es-ES_tradnl"/>
        </w:rPr>
        <w:t xml:space="preserve">procedimiento de </w:t>
      </w:r>
      <w:r w:rsidR="002B6551" w:rsidRPr="000D5690">
        <w:rPr>
          <w:rFonts w:cs="Arial"/>
          <w:lang w:val="es-ES_tradnl"/>
        </w:rPr>
        <w:t>examen.</w:t>
      </w:r>
      <w:r w:rsidR="005253AC" w:rsidRPr="00D6704A">
        <w:rPr>
          <w:rFonts w:cs="Arial"/>
          <w:lang w:val="es-ES"/>
        </w:rPr>
        <w:t xml:space="preserve"> </w:t>
      </w:r>
      <w:r w:rsidR="002B6551" w:rsidRPr="000D5690">
        <w:rPr>
          <w:rFonts w:cs="Arial"/>
          <w:lang w:val="es-ES_tradnl"/>
        </w:rPr>
        <w:t xml:space="preserve">La orientación sobre las plantas fuera de tipo podría </w:t>
      </w:r>
      <w:r w:rsidR="008A3DEF" w:rsidRPr="000D5690">
        <w:rPr>
          <w:rFonts w:cs="Arial"/>
          <w:lang w:val="es-ES_tradnl"/>
        </w:rPr>
        <w:t>amplia</w:t>
      </w:r>
      <w:r w:rsidR="002B6551" w:rsidRPr="000D5690">
        <w:rPr>
          <w:rFonts w:cs="Arial"/>
          <w:lang w:val="es-ES_tradnl"/>
        </w:rPr>
        <w:t>rse para incluir estos factor</w:t>
      </w:r>
      <w:r w:rsidR="008A3DEF" w:rsidRPr="000D5690">
        <w:rPr>
          <w:rFonts w:cs="Arial"/>
          <w:lang w:val="es-ES_tradnl"/>
        </w:rPr>
        <w:t>es al determinar la elección de</w:t>
      </w:r>
      <w:r w:rsidR="002B6551" w:rsidRPr="000D5690">
        <w:rPr>
          <w:rFonts w:cs="Arial"/>
          <w:lang w:val="es-ES_tradnl"/>
        </w:rPr>
        <w:t xml:space="preserve"> método.</w:t>
      </w:r>
    </w:p>
    <w:p w:rsidR="005253AC" w:rsidRPr="00D6704A" w:rsidRDefault="005253AC" w:rsidP="005253AC">
      <w:pPr>
        <w:autoSpaceDE w:val="0"/>
        <w:autoSpaceDN w:val="0"/>
        <w:adjustRightInd w:val="0"/>
        <w:rPr>
          <w:rFonts w:cs="Arial"/>
          <w:lang w:val="es-ES"/>
        </w:rPr>
      </w:pPr>
    </w:p>
    <w:p w:rsidR="005253AC" w:rsidRPr="00D6704A" w:rsidRDefault="00791298" w:rsidP="005253AC">
      <w:pPr>
        <w:tabs>
          <w:tab w:val="left" w:pos="567"/>
        </w:tabs>
        <w:autoSpaceDE w:val="0"/>
        <w:autoSpaceDN w:val="0"/>
        <w:adjustRightInd w:val="0"/>
        <w:rPr>
          <w:rFonts w:cs="Arial"/>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A37F63" w:rsidRPr="000D5690">
        <w:rPr>
          <w:rFonts w:cs="Arial"/>
          <w:lang w:val="es-ES_tradnl"/>
        </w:rPr>
        <w:t xml:space="preserve">El TWC examinó la información sobre los nuevos métodos propuestos por expertos de Dinamarca y de Polonia para los </w:t>
      </w:r>
      <w:r w:rsidR="001D301F" w:rsidRPr="000D5690">
        <w:rPr>
          <w:rFonts w:cs="Arial"/>
          <w:lang w:val="es-ES_tradnl"/>
        </w:rPr>
        <w:t xml:space="preserve">caracteres evaluados mediante observación visual </w:t>
      </w:r>
      <w:r w:rsidR="00A37F63" w:rsidRPr="000D5690">
        <w:rPr>
          <w:rFonts w:cs="Arial"/>
          <w:lang w:val="es-ES_tradnl"/>
        </w:rPr>
        <w:t>(documento TWC/33/26).</w:t>
      </w:r>
      <w:r w:rsidR="005253AC" w:rsidRPr="00D6704A">
        <w:rPr>
          <w:rFonts w:cs="Arial"/>
          <w:lang w:val="es-ES"/>
        </w:rPr>
        <w:t xml:space="preserve"> </w:t>
      </w:r>
      <w:r w:rsidR="001D301F" w:rsidRPr="000D5690">
        <w:rPr>
          <w:rFonts w:cs="Arial"/>
          <w:lang w:val="es-ES_tradnl"/>
        </w:rPr>
        <w:t xml:space="preserve">Expertos de China y de Finlandia presentaron ponencias sobre la evaluación de la distinción de caracteres evaluados mediante </w:t>
      </w:r>
      <w:r w:rsidR="008A3DEF" w:rsidRPr="000D5690">
        <w:rPr>
          <w:rFonts w:cs="Arial"/>
          <w:lang w:val="es-ES_tradnl"/>
        </w:rPr>
        <w:t>observación visual</w:t>
      </w:r>
      <w:r w:rsidR="00807FDE" w:rsidRPr="000D5690">
        <w:rPr>
          <w:rFonts w:cs="Arial"/>
          <w:lang w:val="es-ES_tradnl"/>
        </w:rPr>
        <w:t>,</w:t>
      </w:r>
      <w:r w:rsidR="001D301F" w:rsidRPr="000D5690">
        <w:rPr>
          <w:rFonts w:cs="Arial"/>
          <w:lang w:val="es-ES_tradnl"/>
        </w:rPr>
        <w:t xml:space="preserve"> </w:t>
      </w:r>
      <w:r w:rsidR="00807FDE" w:rsidRPr="000D5690">
        <w:rPr>
          <w:rFonts w:cs="Arial"/>
          <w:lang w:val="es-ES_tradnl"/>
        </w:rPr>
        <w:t xml:space="preserve">la </w:t>
      </w:r>
      <w:r w:rsidR="001D301F" w:rsidRPr="000D5690">
        <w:rPr>
          <w:rFonts w:cs="Arial"/>
          <w:lang w:val="es-ES_tradnl"/>
        </w:rPr>
        <w:t>segund</w:t>
      </w:r>
      <w:r w:rsidR="00807FDE" w:rsidRPr="000D5690">
        <w:rPr>
          <w:rFonts w:cs="Arial"/>
          <w:lang w:val="es-ES_tradnl"/>
        </w:rPr>
        <w:t>a</w:t>
      </w:r>
      <w:r w:rsidR="001D301F" w:rsidRPr="000D5690">
        <w:rPr>
          <w:rFonts w:cs="Arial"/>
          <w:lang w:val="es-ES_tradnl"/>
        </w:rPr>
        <w:t xml:space="preserve"> utilizando los métodos nuevos.</w:t>
      </w:r>
      <w:r w:rsidR="005253AC" w:rsidRPr="00D6704A">
        <w:rPr>
          <w:rFonts w:cs="Arial"/>
          <w:lang w:val="es-ES"/>
        </w:rPr>
        <w:t xml:space="preserve"> </w:t>
      </w:r>
      <w:r w:rsidR="001D301F" w:rsidRPr="000D5690">
        <w:rPr>
          <w:rFonts w:cs="Arial"/>
          <w:lang w:val="es-ES_tradnl"/>
        </w:rPr>
        <w:t>Un experto de Francia se ofreció a investigar el desarrollo de un programa informático para el nuevo método, con el apoyo de expertos de Finlandia y del Reino Unido.</w:t>
      </w:r>
      <w:r w:rsidR="005253AC" w:rsidRPr="00D6704A">
        <w:rPr>
          <w:rFonts w:cs="Arial"/>
          <w:lang w:val="es-ES"/>
        </w:rPr>
        <w:t xml:space="preserve"> </w:t>
      </w:r>
      <w:r w:rsidR="001D301F" w:rsidRPr="000D5690">
        <w:rPr>
          <w:rFonts w:cs="Arial"/>
          <w:lang w:val="es-ES_tradnl"/>
        </w:rPr>
        <w:t>El TWC acordó que debía darse a los nuevos métodos nombres que evitaran su confusión con el COYD.</w:t>
      </w:r>
    </w:p>
    <w:p w:rsidR="005253AC" w:rsidRPr="00D6704A" w:rsidRDefault="005253AC" w:rsidP="005253AC">
      <w:pPr>
        <w:autoSpaceDE w:val="0"/>
        <w:autoSpaceDN w:val="0"/>
        <w:adjustRightInd w:val="0"/>
        <w:rPr>
          <w:rFonts w:cs="Arial"/>
          <w:lang w:val="es-ES"/>
        </w:rPr>
      </w:pPr>
    </w:p>
    <w:p w:rsidR="005253AC" w:rsidRPr="00D6704A" w:rsidRDefault="00791298" w:rsidP="005253AC">
      <w:pPr>
        <w:tabs>
          <w:tab w:val="left" w:pos="567"/>
        </w:tabs>
        <w:autoSpaceDE w:val="0"/>
        <w:autoSpaceDN w:val="0"/>
        <w:adjustRightInd w:val="0"/>
        <w:rPr>
          <w:rFonts w:cs="Arial"/>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1D301F" w:rsidRPr="000D5690">
        <w:rPr>
          <w:rFonts w:cs="Arial"/>
          <w:lang w:val="es-ES_tradnl"/>
        </w:rPr>
        <w:t>Un experto del Reino Unido presentó una ponencia titulada “Umbrales calculados para excluir las variedades notoriamente conocidas del segundo ciclo de cultivo cuando se emplea el COYD” (documento TWC/33/20).</w:t>
      </w:r>
      <w:r w:rsidR="005253AC" w:rsidRPr="00D6704A">
        <w:rPr>
          <w:rFonts w:cs="Arial"/>
          <w:lang w:val="es-ES"/>
        </w:rPr>
        <w:t xml:space="preserve"> </w:t>
      </w:r>
      <w:r w:rsidR="001D301F" w:rsidRPr="000D5690">
        <w:rPr>
          <w:rFonts w:cs="Arial"/>
          <w:lang w:val="es-ES_tradnl"/>
        </w:rPr>
        <w:t>Esta metodología propuesta podría ser adecuada para los caracteres cuantitativos y era una mejora de un método descrito previamente, ya que tenía en cuenta la variabilidad interanual en el criterio COYD.</w:t>
      </w:r>
      <w:r w:rsidR="005253AC" w:rsidRPr="00D6704A">
        <w:rPr>
          <w:rFonts w:cs="Arial"/>
          <w:lang w:val="es-ES"/>
        </w:rPr>
        <w:t xml:space="preserve"> </w:t>
      </w:r>
      <w:r w:rsidR="00A52A0E" w:rsidRPr="000D5690">
        <w:rPr>
          <w:rFonts w:cs="Arial"/>
          <w:lang w:val="es-ES_tradnl"/>
        </w:rPr>
        <w:t>El método se ilustró con un gran conjunto de datos sobre el guisante.</w:t>
      </w:r>
      <w:r w:rsidR="005253AC" w:rsidRPr="00D6704A">
        <w:rPr>
          <w:rFonts w:cs="Arial"/>
          <w:lang w:val="es-ES"/>
        </w:rPr>
        <w:t xml:space="preserve"> </w:t>
      </w:r>
      <w:r w:rsidR="00A52A0E" w:rsidRPr="000D5690">
        <w:rPr>
          <w:rFonts w:cs="Arial"/>
          <w:lang w:val="es-ES_tradnl"/>
        </w:rPr>
        <w:t xml:space="preserve">El experto pidió más conjuntos de datos </w:t>
      </w:r>
      <w:r w:rsidR="00807FDE" w:rsidRPr="000D5690">
        <w:rPr>
          <w:rFonts w:cs="Arial"/>
          <w:lang w:val="es-ES_tradnl"/>
        </w:rPr>
        <w:t xml:space="preserve">que pudieran usarse como </w:t>
      </w:r>
      <w:r w:rsidR="00B813DC" w:rsidRPr="000D5690">
        <w:rPr>
          <w:rFonts w:cs="Arial"/>
          <w:lang w:val="es-ES_tradnl"/>
        </w:rPr>
        <w:t>ejempl</w:t>
      </w:r>
      <w:r w:rsidR="00807FDE" w:rsidRPr="000D5690">
        <w:rPr>
          <w:rFonts w:cs="Arial"/>
          <w:lang w:val="es-ES_tradnl"/>
        </w:rPr>
        <w:t xml:space="preserve">os </w:t>
      </w:r>
      <w:r w:rsidR="00B813DC" w:rsidRPr="000D5690">
        <w:rPr>
          <w:rFonts w:cs="Arial"/>
          <w:lang w:val="es-ES_tradnl"/>
        </w:rPr>
        <w:t xml:space="preserve">para </w:t>
      </w:r>
      <w:r w:rsidR="00807FDE" w:rsidRPr="000D5690">
        <w:rPr>
          <w:rFonts w:cs="Arial"/>
          <w:lang w:val="es-ES_tradnl"/>
        </w:rPr>
        <w:t xml:space="preserve">realizar </w:t>
      </w:r>
      <w:r w:rsidR="00B813DC" w:rsidRPr="000D5690">
        <w:rPr>
          <w:rFonts w:cs="Arial"/>
          <w:lang w:val="es-ES_tradnl"/>
        </w:rPr>
        <w:t xml:space="preserve">más </w:t>
      </w:r>
      <w:r w:rsidR="00807FDE" w:rsidRPr="000D5690">
        <w:rPr>
          <w:rFonts w:cs="Arial"/>
          <w:lang w:val="es-ES_tradnl"/>
        </w:rPr>
        <w:t>pruebas de los métodos</w:t>
      </w:r>
      <w:r w:rsidR="00A52A0E" w:rsidRPr="000D5690">
        <w:rPr>
          <w:rFonts w:cs="Arial"/>
          <w:lang w:val="es-ES_tradnl"/>
        </w:rPr>
        <w:t>.</w:t>
      </w:r>
    </w:p>
    <w:p w:rsidR="005253AC" w:rsidRPr="00D6704A" w:rsidRDefault="005253AC" w:rsidP="005253AC">
      <w:pPr>
        <w:autoSpaceDE w:val="0"/>
        <w:autoSpaceDN w:val="0"/>
        <w:adjustRightInd w:val="0"/>
        <w:rPr>
          <w:rFonts w:cs="Arial"/>
          <w:lang w:val="es-ES"/>
        </w:rPr>
      </w:pPr>
    </w:p>
    <w:p w:rsidR="005253AC" w:rsidRPr="00D6704A" w:rsidRDefault="00791298" w:rsidP="005253AC">
      <w:pPr>
        <w:tabs>
          <w:tab w:val="left" w:pos="567"/>
        </w:tabs>
        <w:autoSpaceDE w:val="0"/>
        <w:autoSpaceDN w:val="0"/>
        <w:adjustRightInd w:val="0"/>
        <w:rPr>
          <w:rFonts w:cs="Arial"/>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4673EC" w:rsidRPr="000D5690">
        <w:rPr>
          <w:rFonts w:cs="Arial"/>
          <w:lang w:val="es-ES_tradnl"/>
        </w:rPr>
        <w:t>E</w:t>
      </w:r>
      <w:r w:rsidR="00B813DC" w:rsidRPr="000D5690">
        <w:rPr>
          <w:rFonts w:cs="Arial"/>
          <w:lang w:val="es-ES_tradnl"/>
        </w:rPr>
        <w:t xml:space="preserve">xpertos de China presentaron </w:t>
      </w:r>
      <w:r w:rsidR="00807FDE" w:rsidRPr="000D5690">
        <w:rPr>
          <w:rFonts w:cs="Arial"/>
          <w:lang w:val="es-ES_tradnl"/>
        </w:rPr>
        <w:t xml:space="preserve">ponencias sobre </w:t>
      </w:r>
      <w:r w:rsidR="00B813DC" w:rsidRPr="000D5690">
        <w:rPr>
          <w:rFonts w:cs="Arial"/>
          <w:lang w:val="es-ES_tradnl"/>
        </w:rPr>
        <w:t>programas informáticos utilizados en su país:</w:t>
      </w:r>
      <w:r w:rsidR="005253AC" w:rsidRPr="00D6704A">
        <w:rPr>
          <w:rFonts w:cs="Arial"/>
          <w:lang w:val="es-ES"/>
        </w:rPr>
        <w:t xml:space="preserve"> </w:t>
      </w:r>
      <w:r w:rsidR="00B813DC" w:rsidRPr="000D5690">
        <w:rPr>
          <w:rFonts w:cs="Arial"/>
          <w:lang w:val="es-ES_tradnl"/>
        </w:rPr>
        <w:t xml:space="preserve">el Sistema de gestión de solicitudes (AMS) y la Base de datos de descripciones de variedades (VDD) en China (documento TWC/33/33), el programa </w:t>
      </w:r>
      <w:r w:rsidR="003C148A" w:rsidRPr="000D5690">
        <w:rPr>
          <w:rFonts w:cs="Arial"/>
          <w:lang w:val="es-ES_tradnl"/>
        </w:rPr>
        <w:t>DUSTC para el examen </w:t>
      </w:r>
      <w:r w:rsidR="00B813DC" w:rsidRPr="000D5690">
        <w:rPr>
          <w:rFonts w:cs="Arial"/>
          <w:lang w:val="es-ES_tradnl"/>
        </w:rPr>
        <w:t xml:space="preserve">DHE y el </w:t>
      </w:r>
      <w:r w:rsidR="003C148A" w:rsidRPr="000D5690">
        <w:rPr>
          <w:rFonts w:cs="Arial"/>
          <w:lang w:val="es-ES_tradnl"/>
        </w:rPr>
        <w:t>sistema de análisis de imágenes para la protección de las obtenciones vegetales</w:t>
      </w:r>
      <w:r w:rsidR="00B813DC" w:rsidRPr="000D5690">
        <w:rPr>
          <w:rFonts w:cs="Arial"/>
          <w:lang w:val="es-ES_tradnl"/>
        </w:rPr>
        <w:t xml:space="preserve"> (documento TWC/33/28).</w:t>
      </w:r>
      <w:r w:rsidR="005253AC" w:rsidRPr="00D6704A">
        <w:rPr>
          <w:rFonts w:cs="Arial"/>
          <w:lang w:val="es-ES"/>
        </w:rPr>
        <w:t xml:space="preserve"> </w:t>
      </w:r>
      <w:r w:rsidR="004673EC" w:rsidRPr="000D5690">
        <w:rPr>
          <w:rFonts w:cs="Arial"/>
          <w:lang w:val="es-ES_tradnl"/>
        </w:rPr>
        <w:t>E</w:t>
      </w:r>
      <w:r w:rsidR="003C148A" w:rsidRPr="000D5690">
        <w:rPr>
          <w:rFonts w:cs="Arial"/>
          <w:lang w:val="es-ES_tradnl"/>
        </w:rPr>
        <w:t>xpertos de Alemania y Francia presentaron una comparación de programas informáticos para sistemas portátiles de registro de datos (documento TWC/33/24).</w:t>
      </w:r>
      <w:r w:rsidR="005253AC" w:rsidRPr="00D6704A">
        <w:rPr>
          <w:rFonts w:cs="Arial"/>
          <w:lang w:val="es-ES"/>
        </w:rPr>
        <w:t xml:space="preserve"> </w:t>
      </w:r>
      <w:r w:rsidR="003C148A" w:rsidRPr="000D5690">
        <w:rPr>
          <w:rFonts w:cs="Arial"/>
          <w:lang w:val="es-ES_tradnl"/>
        </w:rPr>
        <w:t xml:space="preserve">Un experto del Brasil presentó una descripción del uso del sistema GAIA para la soja en </w:t>
      </w:r>
      <w:r w:rsidR="004673EC" w:rsidRPr="000D5690">
        <w:rPr>
          <w:rFonts w:cs="Arial"/>
          <w:lang w:val="es-ES_tradnl"/>
        </w:rPr>
        <w:t>su país</w:t>
      </w:r>
      <w:r w:rsidR="003C148A" w:rsidRPr="000D5690">
        <w:rPr>
          <w:rFonts w:cs="Arial"/>
          <w:lang w:val="es-ES_tradnl"/>
        </w:rPr>
        <w:t>.</w:t>
      </w:r>
    </w:p>
    <w:p w:rsidR="005253AC" w:rsidRPr="00D6704A" w:rsidRDefault="005253AC" w:rsidP="005253AC">
      <w:pPr>
        <w:autoSpaceDE w:val="0"/>
        <w:autoSpaceDN w:val="0"/>
        <w:adjustRightInd w:val="0"/>
        <w:rPr>
          <w:rFonts w:cs="Arial"/>
          <w:lang w:val="es-ES"/>
        </w:rPr>
      </w:pPr>
    </w:p>
    <w:p w:rsidR="005253AC" w:rsidRPr="00D6704A" w:rsidRDefault="00791298" w:rsidP="005253AC">
      <w:pPr>
        <w:tabs>
          <w:tab w:val="left" w:pos="567"/>
        </w:tabs>
        <w:autoSpaceDE w:val="0"/>
        <w:autoSpaceDN w:val="0"/>
        <w:adjustRightInd w:val="0"/>
        <w:rPr>
          <w:rFonts w:cs="Arial"/>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3C148A" w:rsidRPr="000D5690">
        <w:rPr>
          <w:rFonts w:cs="Arial"/>
          <w:lang w:val="es-ES_tradnl"/>
        </w:rPr>
        <w:t xml:space="preserve">Por invitación de China, el TWC </w:t>
      </w:r>
      <w:r w:rsidR="004673EC" w:rsidRPr="000D5690">
        <w:rPr>
          <w:rFonts w:cs="Arial"/>
          <w:lang w:val="es-ES_tradnl"/>
        </w:rPr>
        <w:t>acord</w:t>
      </w:r>
      <w:r w:rsidR="003C148A" w:rsidRPr="000D5690">
        <w:rPr>
          <w:rFonts w:cs="Arial"/>
          <w:lang w:val="es-ES_tradnl"/>
        </w:rPr>
        <w:t xml:space="preserve">ó celebrar su trigésima cuarta sesión en </w:t>
      </w:r>
      <w:r w:rsidR="00455B0D" w:rsidRPr="000D5690">
        <w:rPr>
          <w:rFonts w:cs="Arial"/>
          <w:lang w:val="es-ES_tradnl"/>
        </w:rPr>
        <w:t>Shanghái</w:t>
      </w:r>
      <w:r w:rsidR="003C148A" w:rsidRPr="000D5690">
        <w:rPr>
          <w:rFonts w:cs="Arial"/>
          <w:lang w:val="es-ES_tradnl"/>
        </w:rPr>
        <w:t xml:space="preserve"> (China) del </w:t>
      </w:r>
      <w:r w:rsidR="007703AE">
        <w:rPr>
          <w:rFonts w:cs="Arial"/>
          <w:lang w:val="es-ES_tradnl"/>
        </w:rPr>
        <w:br/>
      </w:r>
      <w:r w:rsidR="003C148A" w:rsidRPr="000D5690">
        <w:rPr>
          <w:rFonts w:cs="Arial"/>
          <w:lang w:val="es-ES_tradnl"/>
        </w:rPr>
        <w:t>7 al 10 de junio de 2016</w:t>
      </w:r>
      <w:r w:rsidR="004673EC" w:rsidRPr="000D5690">
        <w:rPr>
          <w:rFonts w:cs="Arial"/>
          <w:lang w:val="es-ES_tradnl"/>
        </w:rPr>
        <w:t>,</w:t>
      </w:r>
      <w:r w:rsidR="003C148A" w:rsidRPr="000D5690">
        <w:rPr>
          <w:rFonts w:cs="Arial"/>
          <w:lang w:val="es-ES_tradnl"/>
        </w:rPr>
        <w:t xml:space="preserve"> y el taller preparatorio el 6 de junio de 2016.</w:t>
      </w:r>
    </w:p>
    <w:p w:rsidR="005253AC" w:rsidRPr="00D6704A" w:rsidRDefault="005253AC" w:rsidP="005253AC">
      <w:pPr>
        <w:autoSpaceDE w:val="0"/>
        <w:autoSpaceDN w:val="0"/>
        <w:adjustRightInd w:val="0"/>
        <w:rPr>
          <w:rFonts w:cs="Arial"/>
          <w:lang w:val="es-ES"/>
        </w:rPr>
      </w:pPr>
    </w:p>
    <w:p w:rsidR="005253AC" w:rsidRPr="00D6704A" w:rsidRDefault="00791298" w:rsidP="005253AC">
      <w:pPr>
        <w:tabs>
          <w:tab w:val="left" w:pos="567"/>
        </w:tabs>
        <w:autoSpaceDE w:val="0"/>
        <w:autoSpaceDN w:val="0"/>
        <w:adjustRightInd w:val="0"/>
        <w:rPr>
          <w:rFonts w:cs="Arial"/>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3C148A" w:rsidRPr="000D5690">
        <w:rPr>
          <w:rFonts w:cs="Arial"/>
          <w:lang w:val="es-ES_tradnl"/>
        </w:rPr>
        <w:t>El TWC tiene previsto examinar los siguientes puntos en su trigésima cuarta reunión:</w:t>
      </w:r>
    </w:p>
    <w:p w:rsidR="005253AC" w:rsidRPr="00D6704A" w:rsidRDefault="005253AC" w:rsidP="005253AC">
      <w:pPr>
        <w:tabs>
          <w:tab w:val="left" w:pos="567"/>
        </w:tabs>
        <w:autoSpaceDE w:val="0"/>
        <w:autoSpaceDN w:val="0"/>
        <w:adjustRightInd w:val="0"/>
        <w:rPr>
          <w:rFonts w:cs="Arial"/>
          <w:lang w:val="es-ES"/>
        </w:rPr>
      </w:pPr>
    </w:p>
    <w:p w:rsidR="005253AC" w:rsidRPr="00E30CEB" w:rsidRDefault="005253AC" w:rsidP="005253AC">
      <w:pPr>
        <w:tabs>
          <w:tab w:val="left" w:pos="1134"/>
          <w:tab w:val="left" w:pos="1701"/>
        </w:tabs>
        <w:autoSpaceDE w:val="0"/>
        <w:autoSpaceDN w:val="0"/>
        <w:adjustRightInd w:val="0"/>
        <w:ind w:left="1134" w:hanging="567"/>
        <w:rPr>
          <w:rFonts w:cs="Arial"/>
          <w:lang w:val="es-ES"/>
        </w:rPr>
      </w:pPr>
      <w:r w:rsidRPr="00E30CEB">
        <w:rPr>
          <w:rFonts w:cs="Arial"/>
          <w:lang w:val="es-ES"/>
        </w:rPr>
        <w:t>1.</w:t>
      </w:r>
      <w:r w:rsidRPr="00E30CEB">
        <w:rPr>
          <w:rFonts w:cs="Arial"/>
          <w:lang w:val="es-ES"/>
        </w:rPr>
        <w:tab/>
      </w:r>
      <w:r w:rsidR="003C148A" w:rsidRPr="000D5690">
        <w:rPr>
          <w:rFonts w:cs="Arial"/>
          <w:lang w:val="es-ES_tradnl"/>
        </w:rPr>
        <w:t>Apertura de la sesión</w:t>
      </w:r>
    </w:p>
    <w:p w:rsidR="005253AC" w:rsidRPr="00E30CEB" w:rsidRDefault="005253AC" w:rsidP="005253AC">
      <w:pPr>
        <w:tabs>
          <w:tab w:val="left" w:pos="1134"/>
          <w:tab w:val="left" w:pos="1701"/>
        </w:tabs>
        <w:autoSpaceDE w:val="0"/>
        <w:autoSpaceDN w:val="0"/>
        <w:adjustRightInd w:val="0"/>
        <w:ind w:left="1134" w:hanging="567"/>
        <w:rPr>
          <w:rFonts w:cs="Arial"/>
          <w:lang w:val="es-ES"/>
        </w:rPr>
      </w:pPr>
      <w:r w:rsidRPr="00E30CEB">
        <w:rPr>
          <w:rFonts w:cs="Arial"/>
          <w:lang w:val="es-ES"/>
        </w:rPr>
        <w:t xml:space="preserve">2. </w:t>
      </w:r>
      <w:r w:rsidRPr="00E30CEB">
        <w:rPr>
          <w:rFonts w:cs="Arial"/>
          <w:lang w:val="es-ES"/>
        </w:rPr>
        <w:tab/>
      </w:r>
      <w:r w:rsidR="003C148A" w:rsidRPr="000D5690">
        <w:rPr>
          <w:rFonts w:cs="Arial"/>
          <w:lang w:val="es-ES_tradnl"/>
        </w:rPr>
        <w:t>Aprobación del orden del día</w:t>
      </w:r>
    </w:p>
    <w:p w:rsidR="005253AC" w:rsidRPr="00E30CEB" w:rsidRDefault="005253AC" w:rsidP="005253AC">
      <w:pPr>
        <w:tabs>
          <w:tab w:val="left" w:pos="1134"/>
          <w:tab w:val="left" w:pos="1701"/>
        </w:tabs>
        <w:autoSpaceDE w:val="0"/>
        <w:autoSpaceDN w:val="0"/>
        <w:adjustRightInd w:val="0"/>
        <w:ind w:left="1134" w:hanging="567"/>
        <w:rPr>
          <w:rFonts w:cs="Arial"/>
          <w:lang w:val="es-ES"/>
        </w:rPr>
      </w:pPr>
      <w:r w:rsidRPr="00E30CEB">
        <w:rPr>
          <w:rFonts w:cs="Arial"/>
          <w:lang w:val="es-ES"/>
        </w:rPr>
        <w:t xml:space="preserve">3. </w:t>
      </w:r>
      <w:r w:rsidRPr="00E30CEB">
        <w:rPr>
          <w:rFonts w:cs="Arial"/>
          <w:lang w:val="es-ES"/>
        </w:rPr>
        <w:tab/>
      </w:r>
      <w:r w:rsidR="003C148A" w:rsidRPr="000D5690">
        <w:rPr>
          <w:rFonts w:cs="Arial"/>
          <w:lang w:val="es-ES_tradnl"/>
        </w:rPr>
        <w:t>Breves informes sobre los avances logrados en la protección de las variedades vegetales</w:t>
      </w:r>
      <w:r w:rsidR="00080960" w:rsidRPr="000D5690">
        <w:rPr>
          <w:rFonts w:cs="Arial"/>
          <w:lang w:val="es-ES_tradnl"/>
        </w:rPr>
        <w:t>:</w:t>
      </w:r>
    </w:p>
    <w:p w:rsidR="005253AC" w:rsidRPr="00D6704A" w:rsidRDefault="00080960" w:rsidP="00080960">
      <w:pPr>
        <w:pStyle w:val="ListParagraph"/>
        <w:numPr>
          <w:ilvl w:val="1"/>
          <w:numId w:val="18"/>
        </w:numPr>
        <w:tabs>
          <w:tab w:val="left" w:pos="1134"/>
          <w:tab w:val="left" w:pos="1701"/>
        </w:tabs>
        <w:autoSpaceDE w:val="0"/>
        <w:autoSpaceDN w:val="0"/>
        <w:adjustRightInd w:val="0"/>
        <w:spacing w:before="0" w:beforeAutospacing="0" w:after="0" w:afterAutospacing="0"/>
        <w:ind w:left="1134" w:firstLine="0"/>
        <w:contextualSpacing/>
        <w:rPr>
          <w:rFonts w:ascii="Arial" w:hAnsi="Arial" w:cs="Arial"/>
          <w:sz w:val="20"/>
          <w:szCs w:val="20"/>
          <w:lang w:val="es-ES"/>
        </w:rPr>
      </w:pPr>
      <w:r w:rsidRPr="000D5690">
        <w:rPr>
          <w:rFonts w:ascii="Arial" w:hAnsi="Arial" w:cs="Arial"/>
          <w:sz w:val="20"/>
          <w:szCs w:val="20"/>
          <w:lang w:val="es-ES_tradnl"/>
        </w:rPr>
        <w:t>Informes de los miembros y observadores</w:t>
      </w:r>
      <w:r w:rsidR="005253AC" w:rsidRPr="00D6704A">
        <w:rPr>
          <w:rFonts w:ascii="Arial" w:hAnsi="Arial" w:cs="Arial"/>
          <w:sz w:val="20"/>
          <w:szCs w:val="20"/>
          <w:lang w:val="es-ES"/>
        </w:rPr>
        <w:t xml:space="preserve"> </w:t>
      </w:r>
    </w:p>
    <w:p w:rsidR="005253AC" w:rsidRPr="00D6704A" w:rsidRDefault="00080960" w:rsidP="00080960">
      <w:pPr>
        <w:pStyle w:val="ListParagraph"/>
        <w:numPr>
          <w:ilvl w:val="1"/>
          <w:numId w:val="18"/>
        </w:numPr>
        <w:tabs>
          <w:tab w:val="left" w:pos="1134"/>
          <w:tab w:val="left" w:pos="1701"/>
        </w:tabs>
        <w:autoSpaceDE w:val="0"/>
        <w:autoSpaceDN w:val="0"/>
        <w:adjustRightInd w:val="0"/>
        <w:spacing w:before="0" w:beforeAutospacing="0" w:after="0" w:afterAutospacing="0"/>
        <w:ind w:left="1134" w:firstLine="0"/>
        <w:contextualSpacing/>
        <w:rPr>
          <w:rFonts w:ascii="Arial" w:hAnsi="Arial" w:cs="Arial"/>
          <w:sz w:val="20"/>
          <w:szCs w:val="20"/>
          <w:lang w:val="es-ES"/>
        </w:rPr>
      </w:pPr>
      <w:r w:rsidRPr="000D5690">
        <w:rPr>
          <w:rFonts w:ascii="Arial" w:hAnsi="Arial" w:cs="Arial"/>
          <w:sz w:val="20"/>
          <w:szCs w:val="20"/>
          <w:lang w:val="es-ES_tradnl"/>
        </w:rPr>
        <w:t>Informes sobre los avances logrados en la UPOV</w:t>
      </w:r>
      <w:r w:rsidR="005253AC" w:rsidRPr="00D6704A">
        <w:rPr>
          <w:rFonts w:ascii="Arial" w:hAnsi="Arial" w:cs="Arial"/>
          <w:sz w:val="20"/>
          <w:szCs w:val="20"/>
          <w:lang w:val="es-ES"/>
        </w:rPr>
        <w:t xml:space="preserve"> </w:t>
      </w:r>
    </w:p>
    <w:p w:rsidR="005253AC" w:rsidRPr="00E30CEB" w:rsidRDefault="005253AC" w:rsidP="005253AC">
      <w:pPr>
        <w:tabs>
          <w:tab w:val="left" w:pos="1134"/>
          <w:tab w:val="left" w:pos="1701"/>
        </w:tabs>
        <w:autoSpaceDE w:val="0"/>
        <w:autoSpaceDN w:val="0"/>
        <w:adjustRightInd w:val="0"/>
        <w:ind w:left="1134" w:hanging="567"/>
        <w:rPr>
          <w:rFonts w:cs="Arial"/>
          <w:lang w:val="es-ES"/>
        </w:rPr>
      </w:pPr>
      <w:r w:rsidRPr="00E30CEB">
        <w:rPr>
          <w:rFonts w:cs="Arial"/>
          <w:lang w:val="es-ES"/>
        </w:rPr>
        <w:t xml:space="preserve">4. </w:t>
      </w:r>
      <w:r w:rsidRPr="00E30CEB">
        <w:rPr>
          <w:rFonts w:cs="Arial"/>
          <w:lang w:val="es-ES"/>
        </w:rPr>
        <w:tab/>
      </w:r>
      <w:r w:rsidR="00080960" w:rsidRPr="000D5690">
        <w:rPr>
          <w:rFonts w:cs="Arial"/>
          <w:lang w:val="es-ES_tradnl"/>
        </w:rPr>
        <w:t>Técnicas moleculares</w:t>
      </w:r>
    </w:p>
    <w:p w:rsidR="005253AC" w:rsidRPr="00E30CEB" w:rsidRDefault="005253AC" w:rsidP="005253AC">
      <w:pPr>
        <w:tabs>
          <w:tab w:val="left" w:pos="1134"/>
          <w:tab w:val="left" w:pos="1701"/>
        </w:tabs>
        <w:autoSpaceDE w:val="0"/>
        <w:autoSpaceDN w:val="0"/>
        <w:adjustRightInd w:val="0"/>
        <w:ind w:left="1134" w:hanging="567"/>
        <w:rPr>
          <w:rFonts w:cs="Arial"/>
          <w:lang w:val="es-ES"/>
        </w:rPr>
      </w:pPr>
      <w:r w:rsidRPr="00E30CEB">
        <w:rPr>
          <w:rFonts w:cs="Arial"/>
          <w:lang w:val="es-ES"/>
        </w:rPr>
        <w:t xml:space="preserve">5. </w:t>
      </w:r>
      <w:r w:rsidRPr="00E30CEB">
        <w:rPr>
          <w:rFonts w:cs="Arial"/>
          <w:lang w:val="es-ES"/>
        </w:rPr>
        <w:tab/>
      </w:r>
      <w:r w:rsidR="00080960" w:rsidRPr="000D5690">
        <w:rPr>
          <w:rFonts w:cs="Arial"/>
          <w:lang w:val="es-ES_tradnl"/>
        </w:rPr>
        <w:t>Documentos TGP</w:t>
      </w:r>
      <w:r w:rsidRPr="00E30CEB">
        <w:rPr>
          <w:rFonts w:cs="Arial"/>
          <w:lang w:val="es-ES"/>
        </w:rPr>
        <w:t xml:space="preserve"> </w:t>
      </w:r>
    </w:p>
    <w:p w:rsidR="005253AC" w:rsidRPr="00E30CEB" w:rsidRDefault="005253AC" w:rsidP="005253AC">
      <w:pPr>
        <w:tabs>
          <w:tab w:val="left" w:pos="1134"/>
          <w:tab w:val="left" w:pos="1701"/>
        </w:tabs>
        <w:autoSpaceDE w:val="0"/>
        <w:autoSpaceDN w:val="0"/>
        <w:adjustRightInd w:val="0"/>
        <w:ind w:left="1134" w:hanging="567"/>
        <w:rPr>
          <w:rFonts w:cs="Arial"/>
          <w:lang w:val="es-ES"/>
        </w:rPr>
      </w:pPr>
      <w:r w:rsidRPr="00E30CEB">
        <w:rPr>
          <w:rFonts w:cs="Arial"/>
          <w:lang w:val="es-ES"/>
        </w:rPr>
        <w:t xml:space="preserve">6. </w:t>
      </w:r>
      <w:r w:rsidRPr="00E30CEB">
        <w:rPr>
          <w:rFonts w:cs="Arial"/>
          <w:lang w:val="es-ES"/>
        </w:rPr>
        <w:tab/>
      </w:r>
      <w:r w:rsidR="00080960" w:rsidRPr="000D5690">
        <w:rPr>
          <w:rFonts w:cs="Arial"/>
          <w:lang w:val="es-ES_tradnl"/>
        </w:rPr>
        <w:t>Información y bases de datos</w:t>
      </w:r>
    </w:p>
    <w:p w:rsidR="005253AC" w:rsidRPr="00D6704A" w:rsidRDefault="00080960" w:rsidP="00080960">
      <w:pPr>
        <w:pStyle w:val="ListParagraph"/>
        <w:numPr>
          <w:ilvl w:val="0"/>
          <w:numId w:val="22"/>
        </w:numPr>
        <w:tabs>
          <w:tab w:val="left" w:pos="1134"/>
          <w:tab w:val="left" w:pos="1701"/>
        </w:tabs>
        <w:autoSpaceDE w:val="0"/>
        <w:autoSpaceDN w:val="0"/>
        <w:adjustRightInd w:val="0"/>
        <w:spacing w:before="0" w:beforeAutospacing="0" w:after="0" w:afterAutospacing="0"/>
        <w:ind w:firstLine="54"/>
        <w:contextualSpacing/>
        <w:rPr>
          <w:rFonts w:ascii="Arial" w:hAnsi="Arial" w:cs="Arial"/>
          <w:sz w:val="20"/>
          <w:szCs w:val="20"/>
          <w:lang w:val="es-ES"/>
        </w:rPr>
      </w:pPr>
      <w:r w:rsidRPr="000D5690">
        <w:rPr>
          <w:rFonts w:ascii="Arial" w:hAnsi="Arial" w:cs="Arial"/>
          <w:sz w:val="20"/>
          <w:szCs w:val="20"/>
          <w:lang w:val="es-ES_tradnl"/>
        </w:rPr>
        <w:t>Bases de datos de información de la UPOV</w:t>
      </w:r>
      <w:r w:rsidR="005253AC" w:rsidRPr="00D6704A">
        <w:rPr>
          <w:rFonts w:ascii="Arial" w:hAnsi="Arial" w:cs="Arial"/>
          <w:sz w:val="20"/>
          <w:szCs w:val="20"/>
          <w:lang w:val="es-ES"/>
        </w:rPr>
        <w:t xml:space="preserve"> </w:t>
      </w:r>
    </w:p>
    <w:p w:rsidR="005253AC" w:rsidRPr="00D6704A" w:rsidRDefault="00080960" w:rsidP="00080960">
      <w:pPr>
        <w:pStyle w:val="ListParagraph"/>
        <w:numPr>
          <w:ilvl w:val="0"/>
          <w:numId w:val="22"/>
        </w:numPr>
        <w:tabs>
          <w:tab w:val="left" w:pos="1134"/>
          <w:tab w:val="left" w:pos="1701"/>
        </w:tabs>
        <w:autoSpaceDE w:val="0"/>
        <w:autoSpaceDN w:val="0"/>
        <w:adjustRightInd w:val="0"/>
        <w:spacing w:before="0" w:beforeAutospacing="0" w:after="0" w:afterAutospacing="0"/>
        <w:ind w:firstLine="54"/>
        <w:contextualSpacing/>
        <w:rPr>
          <w:rFonts w:ascii="Arial" w:hAnsi="Arial" w:cs="Arial"/>
          <w:sz w:val="20"/>
          <w:szCs w:val="20"/>
          <w:lang w:val="es-ES"/>
        </w:rPr>
      </w:pPr>
      <w:r w:rsidRPr="000D5690">
        <w:rPr>
          <w:rFonts w:ascii="Arial" w:hAnsi="Arial" w:cs="Arial"/>
          <w:sz w:val="20"/>
          <w:szCs w:val="20"/>
          <w:lang w:val="es-ES_tradnl"/>
        </w:rPr>
        <w:t>Bases de datos de descripciones de variedades</w:t>
      </w:r>
      <w:r w:rsidR="005253AC" w:rsidRPr="00D6704A">
        <w:rPr>
          <w:rFonts w:ascii="Arial" w:hAnsi="Arial" w:cs="Arial"/>
          <w:sz w:val="20"/>
          <w:szCs w:val="20"/>
          <w:lang w:val="es-ES"/>
        </w:rPr>
        <w:t xml:space="preserve"> </w:t>
      </w:r>
    </w:p>
    <w:p w:rsidR="005253AC" w:rsidRPr="000D5690" w:rsidRDefault="00080960" w:rsidP="00080960">
      <w:pPr>
        <w:pStyle w:val="ListParagraph"/>
        <w:numPr>
          <w:ilvl w:val="0"/>
          <w:numId w:val="22"/>
        </w:numPr>
        <w:tabs>
          <w:tab w:val="left" w:pos="1134"/>
          <w:tab w:val="left" w:pos="1701"/>
        </w:tabs>
        <w:autoSpaceDE w:val="0"/>
        <w:autoSpaceDN w:val="0"/>
        <w:adjustRightInd w:val="0"/>
        <w:spacing w:before="0" w:beforeAutospacing="0" w:after="0" w:afterAutospacing="0"/>
        <w:ind w:firstLine="54"/>
        <w:contextualSpacing/>
        <w:rPr>
          <w:rFonts w:ascii="Arial" w:hAnsi="Arial" w:cs="Arial"/>
          <w:sz w:val="20"/>
          <w:szCs w:val="20"/>
          <w:lang w:val="en-US"/>
        </w:rPr>
      </w:pPr>
      <w:r w:rsidRPr="000D5690">
        <w:rPr>
          <w:rFonts w:ascii="Arial" w:hAnsi="Arial" w:cs="Arial"/>
          <w:sz w:val="20"/>
          <w:szCs w:val="20"/>
          <w:lang w:val="es-ES_tradnl"/>
        </w:rPr>
        <w:t>Programas informáticos para intercambio</w:t>
      </w:r>
      <w:r w:rsidR="005253AC" w:rsidRPr="000D5690">
        <w:rPr>
          <w:rFonts w:ascii="Arial" w:hAnsi="Arial" w:cs="Arial"/>
          <w:sz w:val="20"/>
          <w:szCs w:val="20"/>
          <w:lang w:val="en-US"/>
        </w:rPr>
        <w:t xml:space="preserve"> </w:t>
      </w:r>
    </w:p>
    <w:p w:rsidR="005253AC" w:rsidRPr="00D6704A" w:rsidRDefault="00080960" w:rsidP="00080960">
      <w:pPr>
        <w:pStyle w:val="ListParagraph"/>
        <w:numPr>
          <w:ilvl w:val="0"/>
          <w:numId w:val="22"/>
        </w:numPr>
        <w:tabs>
          <w:tab w:val="left" w:pos="1134"/>
          <w:tab w:val="left" w:pos="1701"/>
        </w:tabs>
        <w:autoSpaceDE w:val="0"/>
        <w:autoSpaceDN w:val="0"/>
        <w:adjustRightInd w:val="0"/>
        <w:spacing w:before="0" w:beforeAutospacing="0" w:after="0" w:afterAutospacing="0"/>
        <w:ind w:firstLine="54"/>
        <w:contextualSpacing/>
        <w:rPr>
          <w:rFonts w:ascii="Arial" w:hAnsi="Arial" w:cs="Arial"/>
          <w:sz w:val="20"/>
          <w:szCs w:val="20"/>
          <w:lang w:val="es-ES"/>
        </w:rPr>
      </w:pPr>
      <w:r w:rsidRPr="000D5690">
        <w:rPr>
          <w:rFonts w:ascii="Arial" w:hAnsi="Arial" w:cs="Arial"/>
          <w:sz w:val="20"/>
          <w:szCs w:val="20"/>
          <w:lang w:val="es-ES_tradnl"/>
        </w:rPr>
        <w:t>Sistemas de presentación electrónica de solicitudes</w:t>
      </w:r>
      <w:r w:rsidR="005253AC" w:rsidRPr="00D6704A">
        <w:rPr>
          <w:rFonts w:ascii="Arial" w:hAnsi="Arial" w:cs="Arial"/>
          <w:sz w:val="20"/>
          <w:szCs w:val="20"/>
          <w:lang w:val="es-ES"/>
        </w:rPr>
        <w:t xml:space="preserve"> </w:t>
      </w:r>
    </w:p>
    <w:p w:rsidR="005253AC" w:rsidRPr="000D5690" w:rsidRDefault="00080960" w:rsidP="00080960">
      <w:pPr>
        <w:pStyle w:val="ListParagraph"/>
        <w:numPr>
          <w:ilvl w:val="0"/>
          <w:numId w:val="22"/>
        </w:numPr>
        <w:tabs>
          <w:tab w:val="left" w:pos="1134"/>
          <w:tab w:val="left" w:pos="1701"/>
        </w:tabs>
        <w:autoSpaceDE w:val="0"/>
        <w:autoSpaceDN w:val="0"/>
        <w:adjustRightInd w:val="0"/>
        <w:spacing w:before="0" w:beforeAutospacing="0" w:after="0" w:afterAutospacing="0"/>
        <w:ind w:firstLine="54"/>
        <w:contextualSpacing/>
        <w:rPr>
          <w:rFonts w:ascii="Arial" w:hAnsi="Arial" w:cs="Arial"/>
          <w:sz w:val="20"/>
          <w:szCs w:val="20"/>
          <w:lang w:val="en-US"/>
        </w:rPr>
      </w:pPr>
      <w:r w:rsidRPr="000D5690">
        <w:rPr>
          <w:rFonts w:ascii="Arial" w:hAnsi="Arial" w:cs="Arial"/>
          <w:sz w:val="20"/>
          <w:szCs w:val="20"/>
          <w:lang w:val="es-ES_tradnl"/>
        </w:rPr>
        <w:t>Gestión de grandes bases de datos</w:t>
      </w:r>
    </w:p>
    <w:p w:rsidR="005253AC" w:rsidRPr="000D5690" w:rsidRDefault="00080960" w:rsidP="00080960">
      <w:pPr>
        <w:pStyle w:val="ListParagraph"/>
        <w:numPr>
          <w:ilvl w:val="0"/>
          <w:numId w:val="22"/>
        </w:numPr>
        <w:tabs>
          <w:tab w:val="left" w:pos="1134"/>
          <w:tab w:val="left" w:pos="1701"/>
        </w:tabs>
        <w:autoSpaceDE w:val="0"/>
        <w:autoSpaceDN w:val="0"/>
        <w:adjustRightInd w:val="0"/>
        <w:spacing w:before="0" w:beforeAutospacing="0" w:after="0" w:afterAutospacing="0"/>
        <w:ind w:firstLine="54"/>
        <w:contextualSpacing/>
        <w:rPr>
          <w:rFonts w:ascii="Arial" w:hAnsi="Arial" w:cs="Arial"/>
          <w:sz w:val="20"/>
          <w:szCs w:val="20"/>
          <w:lang w:val="en-US"/>
        </w:rPr>
      </w:pPr>
      <w:r w:rsidRPr="000D5690">
        <w:rPr>
          <w:rFonts w:ascii="Arial" w:hAnsi="Arial" w:cs="Arial"/>
          <w:sz w:val="20"/>
          <w:szCs w:val="20"/>
          <w:lang w:val="es-ES_tradnl"/>
        </w:rPr>
        <w:t>Bioinformática</w:t>
      </w:r>
    </w:p>
    <w:p w:rsidR="005253AC" w:rsidRPr="000D5690" w:rsidRDefault="005253AC" w:rsidP="005253AC">
      <w:pPr>
        <w:tabs>
          <w:tab w:val="left" w:pos="1134"/>
          <w:tab w:val="left" w:pos="1701"/>
        </w:tabs>
        <w:autoSpaceDE w:val="0"/>
        <w:autoSpaceDN w:val="0"/>
        <w:adjustRightInd w:val="0"/>
        <w:ind w:left="1134" w:hanging="567"/>
        <w:rPr>
          <w:rFonts w:cs="Arial"/>
        </w:rPr>
      </w:pPr>
      <w:r w:rsidRPr="000D5690">
        <w:rPr>
          <w:rFonts w:cs="Arial"/>
        </w:rPr>
        <w:t xml:space="preserve">7. </w:t>
      </w:r>
      <w:r w:rsidRPr="000D5690">
        <w:rPr>
          <w:rFonts w:cs="Arial"/>
        </w:rPr>
        <w:tab/>
      </w:r>
      <w:r w:rsidR="00080960" w:rsidRPr="000D5690">
        <w:rPr>
          <w:rFonts w:cs="Arial"/>
          <w:lang w:val="es-ES_tradnl"/>
        </w:rPr>
        <w:t>Denominaciones de variedades</w:t>
      </w:r>
      <w:r w:rsidRPr="000D5690">
        <w:rPr>
          <w:rFonts w:cs="Arial"/>
        </w:rPr>
        <w:t xml:space="preserve"> </w:t>
      </w:r>
    </w:p>
    <w:p w:rsidR="005253AC" w:rsidRPr="00E30CEB" w:rsidRDefault="005253AC" w:rsidP="005253AC">
      <w:pPr>
        <w:tabs>
          <w:tab w:val="left" w:pos="1134"/>
          <w:tab w:val="left" w:pos="1701"/>
        </w:tabs>
        <w:autoSpaceDE w:val="0"/>
        <w:autoSpaceDN w:val="0"/>
        <w:adjustRightInd w:val="0"/>
        <w:ind w:left="1134" w:hanging="567"/>
        <w:rPr>
          <w:rFonts w:cs="Arial"/>
          <w:lang w:val="es-ES"/>
        </w:rPr>
      </w:pPr>
      <w:r w:rsidRPr="00E30CEB">
        <w:rPr>
          <w:rFonts w:cs="Arial"/>
          <w:lang w:val="es-ES"/>
        </w:rPr>
        <w:t xml:space="preserve">8. </w:t>
      </w:r>
      <w:r w:rsidRPr="00E30CEB">
        <w:rPr>
          <w:rFonts w:cs="Arial"/>
          <w:lang w:val="es-ES"/>
        </w:rPr>
        <w:tab/>
      </w:r>
      <w:r w:rsidR="00080960" w:rsidRPr="000D5690">
        <w:rPr>
          <w:rFonts w:cs="Arial"/>
          <w:lang w:val="es-ES_tradnl"/>
        </w:rPr>
        <w:t>Experiencia con nuevos tipos y especies</w:t>
      </w:r>
      <w:r w:rsidRPr="00E30CEB">
        <w:rPr>
          <w:rFonts w:cs="Arial"/>
          <w:lang w:val="es-ES"/>
        </w:rPr>
        <w:t xml:space="preserve"> </w:t>
      </w:r>
    </w:p>
    <w:p w:rsidR="005253AC" w:rsidRPr="00E30CEB" w:rsidRDefault="005253AC" w:rsidP="005253AC">
      <w:pPr>
        <w:tabs>
          <w:tab w:val="left" w:pos="1134"/>
          <w:tab w:val="left" w:pos="1701"/>
        </w:tabs>
        <w:autoSpaceDE w:val="0"/>
        <w:autoSpaceDN w:val="0"/>
        <w:adjustRightInd w:val="0"/>
        <w:ind w:left="1134" w:hanging="567"/>
        <w:rPr>
          <w:rFonts w:cs="Arial"/>
          <w:lang w:val="es-ES"/>
        </w:rPr>
      </w:pPr>
      <w:r w:rsidRPr="00E30CEB">
        <w:rPr>
          <w:rFonts w:cs="Arial"/>
          <w:lang w:val="es-ES"/>
        </w:rPr>
        <w:t xml:space="preserve">9. </w:t>
      </w:r>
      <w:r w:rsidRPr="00E30CEB">
        <w:rPr>
          <w:rFonts w:cs="Arial"/>
          <w:lang w:val="es-ES"/>
        </w:rPr>
        <w:tab/>
      </w:r>
      <w:r w:rsidR="00080960" w:rsidRPr="000D5690">
        <w:rPr>
          <w:rFonts w:cs="Arial"/>
          <w:lang w:val="es-ES_tradnl"/>
        </w:rPr>
        <w:t>Evaluación de la homogeneidad mediante plantas fuera de tipo</w:t>
      </w:r>
    </w:p>
    <w:p w:rsidR="005253AC" w:rsidRPr="00D6704A" w:rsidRDefault="00080960" w:rsidP="00080960">
      <w:pPr>
        <w:pStyle w:val="ListParagraph"/>
        <w:numPr>
          <w:ilvl w:val="0"/>
          <w:numId w:val="23"/>
        </w:numPr>
        <w:tabs>
          <w:tab w:val="left" w:pos="1701"/>
        </w:tabs>
        <w:autoSpaceDE w:val="0"/>
        <w:autoSpaceDN w:val="0"/>
        <w:adjustRightInd w:val="0"/>
        <w:spacing w:before="0" w:beforeAutospacing="0" w:after="0" w:afterAutospacing="0"/>
        <w:ind w:left="1701" w:hanging="567"/>
        <w:contextualSpacing/>
        <w:jc w:val="both"/>
        <w:rPr>
          <w:rFonts w:ascii="Arial" w:hAnsi="Arial" w:cs="Arial"/>
          <w:sz w:val="20"/>
          <w:szCs w:val="20"/>
          <w:lang w:val="es-ES"/>
        </w:rPr>
      </w:pPr>
      <w:r w:rsidRPr="000D5690">
        <w:rPr>
          <w:rFonts w:ascii="Arial" w:hAnsi="Arial" w:cs="Arial"/>
          <w:sz w:val="20"/>
          <w:szCs w:val="20"/>
          <w:lang w:val="es-ES_tradnl"/>
        </w:rPr>
        <w:t>Evaluación de la homogeneidad mediante plantas fuera de tipo</w:t>
      </w:r>
      <w:r w:rsidR="005253AC" w:rsidRPr="00D6704A">
        <w:rPr>
          <w:rFonts w:ascii="Arial" w:hAnsi="Arial" w:cs="Arial"/>
          <w:sz w:val="20"/>
          <w:szCs w:val="20"/>
          <w:lang w:val="es-ES"/>
        </w:rPr>
        <w:t xml:space="preserve"> </w:t>
      </w:r>
    </w:p>
    <w:p w:rsidR="005253AC" w:rsidRPr="00D6704A" w:rsidRDefault="00080960" w:rsidP="00080960">
      <w:pPr>
        <w:pStyle w:val="ListParagraph"/>
        <w:numPr>
          <w:ilvl w:val="0"/>
          <w:numId w:val="23"/>
        </w:numPr>
        <w:tabs>
          <w:tab w:val="left" w:pos="1701"/>
        </w:tabs>
        <w:autoSpaceDE w:val="0"/>
        <w:autoSpaceDN w:val="0"/>
        <w:adjustRightInd w:val="0"/>
        <w:spacing w:before="0" w:beforeAutospacing="0" w:after="0" w:afterAutospacing="0"/>
        <w:ind w:left="1701" w:hanging="567"/>
        <w:contextualSpacing/>
        <w:jc w:val="both"/>
        <w:rPr>
          <w:rFonts w:ascii="Arial" w:hAnsi="Arial" w:cs="Arial"/>
          <w:sz w:val="20"/>
          <w:szCs w:val="20"/>
          <w:lang w:val="es-ES"/>
        </w:rPr>
      </w:pPr>
      <w:r w:rsidRPr="000D5690">
        <w:rPr>
          <w:rFonts w:ascii="Arial" w:hAnsi="Arial" w:cs="Arial"/>
          <w:sz w:val="20"/>
          <w:szCs w:val="20"/>
          <w:lang w:val="es-ES_tradnl"/>
        </w:rPr>
        <w:t>Experiencia práctica sobre la homogeneidad de las plantas fuera de tipo en colza oleaginosa, trigo, maíz y girasol</w:t>
      </w:r>
    </w:p>
    <w:p w:rsidR="005253AC" w:rsidRPr="000D5690" w:rsidRDefault="005253AC" w:rsidP="005253AC">
      <w:pPr>
        <w:tabs>
          <w:tab w:val="left" w:pos="1134"/>
          <w:tab w:val="left" w:pos="1701"/>
        </w:tabs>
        <w:autoSpaceDE w:val="0"/>
        <w:autoSpaceDN w:val="0"/>
        <w:adjustRightInd w:val="0"/>
        <w:ind w:left="1134" w:hanging="567"/>
        <w:rPr>
          <w:rFonts w:cs="Arial"/>
        </w:rPr>
      </w:pPr>
      <w:r w:rsidRPr="000D5690">
        <w:rPr>
          <w:rFonts w:cs="Arial"/>
        </w:rPr>
        <w:t xml:space="preserve">10. </w:t>
      </w:r>
      <w:r w:rsidRPr="000D5690">
        <w:rPr>
          <w:rFonts w:cs="Arial"/>
        </w:rPr>
        <w:tab/>
      </w:r>
      <w:r w:rsidR="00080960" w:rsidRPr="000D5690">
        <w:rPr>
          <w:rFonts w:cs="Arial"/>
          <w:lang w:val="es-ES_tradnl"/>
        </w:rPr>
        <w:t>Métodos estadísticos</w:t>
      </w:r>
    </w:p>
    <w:p w:rsidR="005253AC" w:rsidRPr="000D5690" w:rsidRDefault="00080960" w:rsidP="00080960">
      <w:pPr>
        <w:pStyle w:val="ListParagraph"/>
        <w:numPr>
          <w:ilvl w:val="0"/>
          <w:numId w:val="19"/>
        </w:numPr>
        <w:tabs>
          <w:tab w:val="left" w:pos="1701"/>
        </w:tabs>
        <w:autoSpaceDE w:val="0"/>
        <w:autoSpaceDN w:val="0"/>
        <w:adjustRightInd w:val="0"/>
        <w:spacing w:before="0" w:beforeAutospacing="0" w:after="0" w:afterAutospacing="0"/>
        <w:ind w:left="1701" w:hanging="567"/>
        <w:contextualSpacing/>
        <w:rPr>
          <w:rFonts w:ascii="Arial" w:hAnsi="Arial" w:cs="Arial"/>
          <w:sz w:val="20"/>
          <w:szCs w:val="20"/>
          <w:lang w:val="en-US"/>
        </w:rPr>
      </w:pPr>
      <w:r w:rsidRPr="000D5690">
        <w:rPr>
          <w:rFonts w:ascii="Arial" w:hAnsi="Arial" w:cs="Arial"/>
          <w:sz w:val="20"/>
          <w:szCs w:val="20"/>
          <w:lang w:val="es-ES_tradnl"/>
        </w:rPr>
        <w:t>Método de cálculo del COYU</w:t>
      </w:r>
    </w:p>
    <w:p w:rsidR="005253AC" w:rsidRPr="00D6704A" w:rsidRDefault="00080960" w:rsidP="00080960">
      <w:pPr>
        <w:pStyle w:val="ListParagraph"/>
        <w:numPr>
          <w:ilvl w:val="0"/>
          <w:numId w:val="19"/>
        </w:numPr>
        <w:tabs>
          <w:tab w:val="left" w:pos="1701"/>
        </w:tabs>
        <w:autoSpaceDE w:val="0"/>
        <w:autoSpaceDN w:val="0"/>
        <w:adjustRightInd w:val="0"/>
        <w:spacing w:before="0" w:beforeAutospacing="0" w:after="0" w:afterAutospacing="0"/>
        <w:ind w:left="1701" w:hanging="567"/>
        <w:contextualSpacing/>
        <w:rPr>
          <w:rFonts w:ascii="Arial" w:hAnsi="Arial" w:cs="Arial"/>
          <w:sz w:val="20"/>
          <w:szCs w:val="20"/>
          <w:lang w:val="es-ES"/>
        </w:rPr>
      </w:pPr>
      <w:r w:rsidRPr="000D5690">
        <w:rPr>
          <w:rFonts w:ascii="Arial" w:hAnsi="Arial" w:cs="Arial"/>
          <w:sz w:val="20"/>
          <w:szCs w:val="20"/>
          <w:lang w:val="es-ES_tradnl"/>
        </w:rPr>
        <w:t>Métodos estadísticos utilizados en el programa informático DUSTC</w:t>
      </w:r>
      <w:r w:rsidR="005253AC" w:rsidRPr="00D6704A">
        <w:rPr>
          <w:rFonts w:ascii="Arial" w:hAnsi="Arial" w:cs="Arial"/>
          <w:sz w:val="20"/>
          <w:szCs w:val="20"/>
          <w:lang w:val="es-ES"/>
        </w:rPr>
        <w:t xml:space="preserve"> </w:t>
      </w:r>
    </w:p>
    <w:p w:rsidR="005253AC" w:rsidRPr="00D6704A" w:rsidRDefault="00633BFC" w:rsidP="00633BFC">
      <w:pPr>
        <w:pStyle w:val="ListParagraph"/>
        <w:numPr>
          <w:ilvl w:val="0"/>
          <w:numId w:val="19"/>
        </w:numPr>
        <w:tabs>
          <w:tab w:val="left" w:pos="1701"/>
        </w:tabs>
        <w:autoSpaceDE w:val="0"/>
        <w:autoSpaceDN w:val="0"/>
        <w:adjustRightInd w:val="0"/>
        <w:spacing w:before="0" w:beforeAutospacing="0" w:after="0" w:afterAutospacing="0"/>
        <w:ind w:left="1701" w:hanging="567"/>
        <w:contextualSpacing/>
        <w:rPr>
          <w:rFonts w:ascii="Arial" w:hAnsi="Arial" w:cs="Arial"/>
          <w:sz w:val="20"/>
          <w:szCs w:val="20"/>
          <w:lang w:val="es-ES"/>
        </w:rPr>
      </w:pPr>
      <w:r w:rsidRPr="000D5690">
        <w:rPr>
          <w:rFonts w:ascii="Arial" w:hAnsi="Arial" w:cs="Arial"/>
          <w:sz w:val="20"/>
          <w:szCs w:val="20"/>
          <w:lang w:val="es-ES_tradnl"/>
        </w:rPr>
        <w:t>E</w:t>
      </w:r>
      <w:r w:rsidR="00080960" w:rsidRPr="000D5690">
        <w:rPr>
          <w:rFonts w:ascii="Arial" w:hAnsi="Arial" w:cs="Arial"/>
          <w:sz w:val="20"/>
          <w:szCs w:val="20"/>
          <w:lang w:val="es-ES_tradnl"/>
        </w:rPr>
        <w:t>xclu</w:t>
      </w:r>
      <w:r w:rsidRPr="000D5690">
        <w:rPr>
          <w:rFonts w:ascii="Arial" w:hAnsi="Arial" w:cs="Arial"/>
          <w:sz w:val="20"/>
          <w:szCs w:val="20"/>
          <w:lang w:val="es-ES_tradnl"/>
        </w:rPr>
        <w:t xml:space="preserve">sión de las </w:t>
      </w:r>
      <w:r w:rsidR="00080960" w:rsidRPr="000D5690">
        <w:rPr>
          <w:rFonts w:ascii="Arial" w:hAnsi="Arial" w:cs="Arial"/>
          <w:sz w:val="20"/>
          <w:szCs w:val="20"/>
          <w:lang w:val="es-ES_tradnl"/>
        </w:rPr>
        <w:t>variedades notoriamente conocidas del segundo ciclo de cultivo</w:t>
      </w:r>
      <w:r w:rsidR="005253AC" w:rsidRPr="00D6704A">
        <w:rPr>
          <w:rFonts w:ascii="Arial" w:hAnsi="Arial" w:cs="Arial"/>
          <w:sz w:val="20"/>
          <w:szCs w:val="20"/>
          <w:lang w:val="es-ES"/>
        </w:rPr>
        <w:t xml:space="preserve"> </w:t>
      </w:r>
    </w:p>
    <w:p w:rsidR="005253AC" w:rsidRPr="00D6704A" w:rsidRDefault="005253AC" w:rsidP="005253AC">
      <w:pPr>
        <w:tabs>
          <w:tab w:val="left" w:pos="1134"/>
          <w:tab w:val="left" w:pos="1701"/>
        </w:tabs>
        <w:autoSpaceDE w:val="0"/>
        <w:autoSpaceDN w:val="0"/>
        <w:adjustRightInd w:val="0"/>
        <w:ind w:left="1134" w:hanging="567"/>
        <w:rPr>
          <w:rFonts w:cs="Arial"/>
          <w:lang w:val="es-ES"/>
        </w:rPr>
      </w:pPr>
      <w:r w:rsidRPr="00D6704A">
        <w:rPr>
          <w:rFonts w:cs="Arial"/>
          <w:lang w:val="es-ES"/>
        </w:rPr>
        <w:t>11.</w:t>
      </w:r>
      <w:r w:rsidRPr="00D6704A">
        <w:rPr>
          <w:rFonts w:cs="Arial"/>
          <w:lang w:val="es-ES"/>
        </w:rPr>
        <w:tab/>
      </w:r>
      <w:r w:rsidR="00633BFC" w:rsidRPr="000D5690">
        <w:rPr>
          <w:rFonts w:cs="Arial"/>
          <w:lang w:val="es-ES_tradnl"/>
        </w:rPr>
        <w:t>Programas informáticos para el examen DHE</w:t>
      </w:r>
    </w:p>
    <w:p w:rsidR="005253AC" w:rsidRPr="00D6704A" w:rsidRDefault="00633BFC" w:rsidP="00633BFC">
      <w:pPr>
        <w:pStyle w:val="ListParagraph"/>
        <w:numPr>
          <w:ilvl w:val="0"/>
          <w:numId w:val="20"/>
        </w:numPr>
        <w:tabs>
          <w:tab w:val="left" w:pos="1701"/>
        </w:tabs>
        <w:autoSpaceDE w:val="0"/>
        <w:autoSpaceDN w:val="0"/>
        <w:adjustRightInd w:val="0"/>
        <w:spacing w:before="0" w:beforeAutospacing="0" w:after="0" w:afterAutospacing="0"/>
        <w:ind w:left="1701" w:hanging="567"/>
        <w:contextualSpacing/>
        <w:rPr>
          <w:rFonts w:ascii="Arial" w:hAnsi="Arial" w:cs="Arial"/>
          <w:sz w:val="20"/>
          <w:szCs w:val="20"/>
          <w:lang w:val="es-ES"/>
        </w:rPr>
      </w:pPr>
      <w:r w:rsidRPr="000D5690">
        <w:rPr>
          <w:rFonts w:ascii="Arial" w:hAnsi="Arial" w:cs="Arial"/>
          <w:sz w:val="20"/>
          <w:szCs w:val="20"/>
          <w:lang w:val="es-ES_tradnl"/>
        </w:rPr>
        <w:t>Programas informáticos para datos con distribuciones ordinales, nominales y binomiales</w:t>
      </w:r>
      <w:r w:rsidR="005253AC" w:rsidRPr="00D6704A">
        <w:rPr>
          <w:rFonts w:ascii="Arial" w:hAnsi="Arial" w:cs="Arial"/>
          <w:sz w:val="20"/>
          <w:szCs w:val="20"/>
          <w:lang w:val="es-ES"/>
        </w:rPr>
        <w:t xml:space="preserve"> </w:t>
      </w:r>
    </w:p>
    <w:p w:rsidR="005253AC" w:rsidRPr="00D6704A" w:rsidRDefault="00633BFC" w:rsidP="00633BFC">
      <w:pPr>
        <w:pStyle w:val="ListParagraph"/>
        <w:numPr>
          <w:ilvl w:val="0"/>
          <w:numId w:val="20"/>
        </w:numPr>
        <w:tabs>
          <w:tab w:val="left" w:pos="1701"/>
        </w:tabs>
        <w:autoSpaceDE w:val="0"/>
        <w:autoSpaceDN w:val="0"/>
        <w:adjustRightInd w:val="0"/>
        <w:spacing w:before="0" w:beforeAutospacing="0" w:after="0" w:afterAutospacing="0"/>
        <w:ind w:left="1701" w:hanging="567"/>
        <w:contextualSpacing/>
        <w:rPr>
          <w:rFonts w:ascii="Arial" w:hAnsi="Arial" w:cs="Arial"/>
          <w:sz w:val="20"/>
          <w:szCs w:val="20"/>
          <w:lang w:val="es-ES"/>
        </w:rPr>
      </w:pPr>
      <w:r w:rsidRPr="000D5690">
        <w:rPr>
          <w:rFonts w:ascii="Arial" w:hAnsi="Arial" w:cs="Arial"/>
          <w:sz w:val="20"/>
          <w:szCs w:val="20"/>
          <w:lang w:val="es-ES_tradnl"/>
        </w:rPr>
        <w:t>Programas informáticos para definir las colecciones de referencia</w:t>
      </w:r>
      <w:r w:rsidR="005253AC" w:rsidRPr="00D6704A">
        <w:rPr>
          <w:rFonts w:ascii="Arial" w:hAnsi="Arial" w:cs="Arial"/>
          <w:sz w:val="20"/>
          <w:szCs w:val="20"/>
          <w:lang w:val="es-ES"/>
        </w:rPr>
        <w:t xml:space="preserve"> </w:t>
      </w:r>
    </w:p>
    <w:p w:rsidR="005253AC" w:rsidRPr="00D6704A" w:rsidRDefault="00633BFC" w:rsidP="00633BFC">
      <w:pPr>
        <w:pStyle w:val="ListParagraph"/>
        <w:numPr>
          <w:ilvl w:val="0"/>
          <w:numId w:val="20"/>
        </w:numPr>
        <w:tabs>
          <w:tab w:val="left" w:pos="1701"/>
        </w:tabs>
        <w:autoSpaceDE w:val="0"/>
        <w:autoSpaceDN w:val="0"/>
        <w:adjustRightInd w:val="0"/>
        <w:spacing w:before="0" w:beforeAutospacing="0" w:after="0" w:afterAutospacing="0"/>
        <w:ind w:left="1701" w:hanging="567"/>
        <w:contextualSpacing/>
        <w:rPr>
          <w:rFonts w:ascii="Arial" w:hAnsi="Arial" w:cs="Arial"/>
          <w:sz w:val="20"/>
          <w:szCs w:val="20"/>
          <w:lang w:val="es-ES"/>
        </w:rPr>
      </w:pPr>
      <w:r w:rsidRPr="000D5690">
        <w:rPr>
          <w:rFonts w:ascii="Arial" w:hAnsi="Arial" w:cs="Arial"/>
          <w:sz w:val="20"/>
          <w:szCs w:val="20"/>
          <w:lang w:val="es-ES_tradnl"/>
        </w:rPr>
        <w:t>Matriz de ponderación para la soja en el programa informático GAIA</w:t>
      </w:r>
      <w:r w:rsidR="005253AC" w:rsidRPr="00D6704A">
        <w:rPr>
          <w:rFonts w:ascii="Arial" w:hAnsi="Arial" w:cs="Arial"/>
          <w:sz w:val="20"/>
          <w:szCs w:val="20"/>
          <w:lang w:val="es-ES"/>
        </w:rPr>
        <w:t xml:space="preserve"> </w:t>
      </w:r>
    </w:p>
    <w:p w:rsidR="005253AC" w:rsidRPr="00D6704A" w:rsidRDefault="00633BFC" w:rsidP="00633BFC">
      <w:pPr>
        <w:pStyle w:val="ListParagraph"/>
        <w:numPr>
          <w:ilvl w:val="0"/>
          <w:numId w:val="20"/>
        </w:numPr>
        <w:tabs>
          <w:tab w:val="left" w:pos="1701"/>
        </w:tabs>
        <w:autoSpaceDE w:val="0"/>
        <w:autoSpaceDN w:val="0"/>
        <w:adjustRightInd w:val="0"/>
        <w:spacing w:before="0" w:beforeAutospacing="0" w:after="0" w:afterAutospacing="0"/>
        <w:ind w:left="1701" w:hanging="567"/>
        <w:contextualSpacing/>
        <w:rPr>
          <w:rFonts w:ascii="Arial" w:hAnsi="Arial" w:cs="Arial"/>
          <w:sz w:val="20"/>
          <w:szCs w:val="20"/>
          <w:lang w:val="es-ES"/>
        </w:rPr>
      </w:pPr>
      <w:r w:rsidRPr="000D5690">
        <w:rPr>
          <w:rFonts w:ascii="Arial" w:hAnsi="Arial" w:cs="Arial"/>
          <w:sz w:val="20"/>
          <w:szCs w:val="20"/>
          <w:lang w:val="es-ES_tradnl"/>
        </w:rPr>
        <w:t xml:space="preserve">Integración de los </w:t>
      </w:r>
      <w:r w:rsidR="00042914" w:rsidRPr="000D5690">
        <w:rPr>
          <w:rFonts w:ascii="Arial" w:hAnsi="Arial" w:cs="Arial"/>
          <w:sz w:val="20"/>
          <w:szCs w:val="20"/>
          <w:lang w:val="es-ES_tradnl"/>
        </w:rPr>
        <w:t xml:space="preserve">métodos </w:t>
      </w:r>
      <w:r w:rsidRPr="000D5690">
        <w:rPr>
          <w:rFonts w:ascii="Arial" w:hAnsi="Arial" w:cs="Arial"/>
          <w:sz w:val="20"/>
          <w:szCs w:val="20"/>
          <w:lang w:val="es-ES_tradnl"/>
        </w:rPr>
        <w:t>GAIA, COYU y COYD con la misma interfaz</w:t>
      </w:r>
      <w:r w:rsidR="005253AC" w:rsidRPr="00D6704A">
        <w:rPr>
          <w:rFonts w:ascii="Arial" w:hAnsi="Arial" w:cs="Arial"/>
          <w:sz w:val="20"/>
          <w:szCs w:val="20"/>
          <w:lang w:val="es-ES"/>
        </w:rPr>
        <w:t xml:space="preserve"> </w:t>
      </w:r>
    </w:p>
    <w:p w:rsidR="005253AC" w:rsidRPr="00D6704A" w:rsidRDefault="00633BFC" w:rsidP="00633BFC">
      <w:pPr>
        <w:pStyle w:val="ListParagraph"/>
        <w:numPr>
          <w:ilvl w:val="0"/>
          <w:numId w:val="20"/>
        </w:numPr>
        <w:tabs>
          <w:tab w:val="left" w:pos="1701"/>
        </w:tabs>
        <w:autoSpaceDE w:val="0"/>
        <w:autoSpaceDN w:val="0"/>
        <w:adjustRightInd w:val="0"/>
        <w:spacing w:before="0" w:beforeAutospacing="0" w:after="0" w:afterAutospacing="0"/>
        <w:ind w:left="1701" w:hanging="567"/>
        <w:contextualSpacing/>
        <w:rPr>
          <w:rFonts w:ascii="Arial" w:hAnsi="Arial" w:cs="Arial"/>
          <w:sz w:val="20"/>
          <w:szCs w:val="20"/>
          <w:lang w:val="es-ES"/>
        </w:rPr>
      </w:pPr>
      <w:r w:rsidRPr="000D5690">
        <w:rPr>
          <w:rFonts w:ascii="Arial" w:hAnsi="Arial" w:cs="Arial"/>
          <w:sz w:val="20"/>
          <w:szCs w:val="20"/>
          <w:lang w:val="es-ES_tradnl"/>
        </w:rPr>
        <w:t>Prueba de comparación (</w:t>
      </w:r>
      <w:r w:rsidRPr="000D5690">
        <w:rPr>
          <w:rFonts w:ascii="Arial" w:hAnsi="Arial" w:cs="Arial"/>
          <w:i/>
          <w:sz w:val="20"/>
          <w:szCs w:val="20"/>
          <w:lang w:val="es-ES_tradnl"/>
        </w:rPr>
        <w:t>ring-test</w:t>
      </w:r>
      <w:r w:rsidRPr="000D5690">
        <w:rPr>
          <w:rFonts w:ascii="Arial" w:hAnsi="Arial" w:cs="Arial"/>
          <w:sz w:val="20"/>
          <w:szCs w:val="20"/>
          <w:lang w:val="es-ES_tradnl"/>
        </w:rPr>
        <w:t>) de tres programas informáticos diferentes para el COYD</w:t>
      </w:r>
      <w:r w:rsidR="005253AC" w:rsidRPr="00D6704A">
        <w:rPr>
          <w:rFonts w:ascii="Arial" w:hAnsi="Arial" w:cs="Arial"/>
          <w:sz w:val="20"/>
          <w:szCs w:val="20"/>
          <w:lang w:val="es-ES"/>
        </w:rPr>
        <w:t xml:space="preserve"> </w:t>
      </w:r>
    </w:p>
    <w:p w:rsidR="005253AC" w:rsidRPr="000D5690" w:rsidRDefault="0047214B" w:rsidP="005253AC">
      <w:pPr>
        <w:tabs>
          <w:tab w:val="left" w:pos="1134"/>
          <w:tab w:val="left" w:pos="1701"/>
        </w:tabs>
        <w:autoSpaceDE w:val="0"/>
        <w:autoSpaceDN w:val="0"/>
        <w:adjustRightInd w:val="0"/>
        <w:ind w:left="1134" w:hanging="567"/>
        <w:rPr>
          <w:rFonts w:cs="Arial"/>
        </w:rPr>
      </w:pPr>
      <w:r w:rsidRPr="000D5690">
        <w:rPr>
          <w:rFonts w:cs="Arial"/>
        </w:rPr>
        <w:t>12.</w:t>
      </w:r>
      <w:r w:rsidR="005253AC" w:rsidRPr="000D5690">
        <w:rPr>
          <w:rFonts w:cs="Arial"/>
        </w:rPr>
        <w:tab/>
      </w:r>
      <w:r w:rsidR="00633BFC" w:rsidRPr="000D5690">
        <w:rPr>
          <w:rFonts w:cs="Arial"/>
          <w:lang w:val="es-ES_tradnl"/>
        </w:rPr>
        <w:t>Análisis de imágenes</w:t>
      </w:r>
    </w:p>
    <w:p w:rsidR="005253AC" w:rsidRPr="00D6704A" w:rsidRDefault="00633BFC" w:rsidP="00633BFC">
      <w:pPr>
        <w:pStyle w:val="ListParagraph"/>
        <w:numPr>
          <w:ilvl w:val="0"/>
          <w:numId w:val="45"/>
        </w:numPr>
        <w:tabs>
          <w:tab w:val="left" w:pos="1701"/>
        </w:tabs>
        <w:autoSpaceDE w:val="0"/>
        <w:autoSpaceDN w:val="0"/>
        <w:adjustRightInd w:val="0"/>
        <w:spacing w:before="0" w:beforeAutospacing="0" w:after="0" w:afterAutospacing="0"/>
        <w:ind w:left="1701" w:hanging="567"/>
        <w:contextualSpacing/>
        <w:rPr>
          <w:rFonts w:ascii="Arial" w:hAnsi="Arial" w:cs="Arial"/>
          <w:sz w:val="20"/>
          <w:szCs w:val="20"/>
          <w:lang w:val="es-ES"/>
        </w:rPr>
      </w:pPr>
      <w:r w:rsidRPr="000D5690">
        <w:rPr>
          <w:rFonts w:ascii="Arial" w:hAnsi="Arial" w:cs="Arial"/>
          <w:sz w:val="20"/>
          <w:szCs w:val="20"/>
          <w:lang w:val="es-ES_tradnl"/>
        </w:rPr>
        <w:t>Demostración del programa informático chino para el análisis de imágenes</w:t>
      </w:r>
    </w:p>
    <w:p w:rsidR="005253AC" w:rsidRPr="00D6704A" w:rsidRDefault="00633BFC" w:rsidP="00633BFC">
      <w:pPr>
        <w:pStyle w:val="ListParagraph"/>
        <w:numPr>
          <w:ilvl w:val="0"/>
          <w:numId w:val="45"/>
        </w:numPr>
        <w:tabs>
          <w:tab w:val="left" w:pos="1701"/>
        </w:tabs>
        <w:autoSpaceDE w:val="0"/>
        <w:autoSpaceDN w:val="0"/>
        <w:adjustRightInd w:val="0"/>
        <w:spacing w:before="0" w:beforeAutospacing="0" w:after="0" w:afterAutospacing="0"/>
        <w:ind w:left="1701" w:hanging="567"/>
        <w:contextualSpacing/>
        <w:rPr>
          <w:rFonts w:ascii="Arial" w:hAnsi="Arial" w:cs="Arial"/>
          <w:sz w:val="20"/>
          <w:szCs w:val="20"/>
          <w:lang w:val="es-ES"/>
        </w:rPr>
      </w:pPr>
      <w:r w:rsidRPr="000D5690">
        <w:rPr>
          <w:rFonts w:ascii="Arial" w:hAnsi="Arial" w:cs="Arial"/>
          <w:sz w:val="20"/>
          <w:szCs w:val="20"/>
          <w:lang w:val="es-ES_tradnl"/>
        </w:rPr>
        <w:t>Búsqueda de variedades de referencia en una base de datos de fotografías</w:t>
      </w:r>
      <w:r w:rsidR="005253AC" w:rsidRPr="00D6704A">
        <w:rPr>
          <w:rFonts w:ascii="Arial" w:hAnsi="Arial" w:cs="Arial"/>
          <w:sz w:val="20"/>
          <w:szCs w:val="20"/>
          <w:lang w:val="es-ES"/>
        </w:rPr>
        <w:t xml:space="preserve"> </w:t>
      </w:r>
    </w:p>
    <w:p w:rsidR="005253AC" w:rsidRPr="00D6704A" w:rsidRDefault="005253AC" w:rsidP="005253AC">
      <w:pPr>
        <w:tabs>
          <w:tab w:val="left" w:pos="1134"/>
          <w:tab w:val="left" w:pos="1701"/>
        </w:tabs>
        <w:autoSpaceDE w:val="0"/>
        <w:autoSpaceDN w:val="0"/>
        <w:adjustRightInd w:val="0"/>
        <w:ind w:left="1134" w:hanging="567"/>
        <w:rPr>
          <w:rFonts w:cs="Arial"/>
          <w:lang w:val="es-ES"/>
        </w:rPr>
      </w:pPr>
      <w:r w:rsidRPr="00D6704A">
        <w:rPr>
          <w:rFonts w:cs="Arial"/>
          <w:lang w:val="es-ES"/>
        </w:rPr>
        <w:t>13.</w:t>
      </w:r>
      <w:r w:rsidRPr="00D6704A">
        <w:rPr>
          <w:rFonts w:cs="Arial"/>
          <w:lang w:val="es-ES"/>
        </w:rPr>
        <w:tab/>
      </w:r>
      <w:r w:rsidR="00633BFC" w:rsidRPr="000D5690">
        <w:rPr>
          <w:rFonts w:cs="Arial"/>
          <w:lang w:val="es-ES_tradnl"/>
        </w:rPr>
        <w:t>Reducción al mínimo de la variación entre observadores</w:t>
      </w:r>
      <w:r w:rsidRPr="00D6704A">
        <w:rPr>
          <w:rFonts w:cs="Arial"/>
          <w:lang w:val="es-ES"/>
        </w:rPr>
        <w:t xml:space="preserve"> </w:t>
      </w:r>
    </w:p>
    <w:p w:rsidR="005253AC" w:rsidRPr="00D6704A" w:rsidRDefault="005253AC" w:rsidP="005253AC">
      <w:pPr>
        <w:tabs>
          <w:tab w:val="left" w:pos="1134"/>
          <w:tab w:val="left" w:pos="1701"/>
        </w:tabs>
        <w:autoSpaceDE w:val="0"/>
        <w:autoSpaceDN w:val="0"/>
        <w:adjustRightInd w:val="0"/>
        <w:ind w:left="1134" w:hanging="567"/>
        <w:rPr>
          <w:rFonts w:cs="Arial"/>
          <w:lang w:val="es-ES"/>
        </w:rPr>
      </w:pPr>
      <w:r w:rsidRPr="00D6704A">
        <w:rPr>
          <w:rFonts w:cs="Arial"/>
          <w:lang w:val="es-ES"/>
        </w:rPr>
        <w:t>14.</w:t>
      </w:r>
      <w:r w:rsidRPr="00D6704A">
        <w:rPr>
          <w:rFonts w:cs="Arial"/>
          <w:lang w:val="es-ES"/>
        </w:rPr>
        <w:tab/>
      </w:r>
      <w:r w:rsidR="00753DA8" w:rsidRPr="000D5690">
        <w:rPr>
          <w:rFonts w:cs="Arial"/>
          <w:lang w:val="es-ES_tradnl"/>
        </w:rPr>
        <w:t xml:space="preserve">Interacción </w:t>
      </w:r>
      <w:r w:rsidR="00B327E2" w:rsidRPr="000D5690">
        <w:rPr>
          <w:rFonts w:cs="Arial"/>
          <w:lang w:val="es-ES_tradnl"/>
        </w:rPr>
        <w:t>genotipo-medio ambiente</w:t>
      </w:r>
      <w:r w:rsidR="00753DA8" w:rsidRPr="000D5690">
        <w:rPr>
          <w:rFonts w:cs="Arial"/>
          <w:lang w:val="es-ES_tradnl"/>
        </w:rPr>
        <w:t>, exámenes</w:t>
      </w:r>
      <w:r w:rsidR="00B327E2" w:rsidRPr="000D5690">
        <w:rPr>
          <w:rFonts w:cs="Arial"/>
          <w:lang w:val="es-ES_tradnl"/>
        </w:rPr>
        <w:t> </w:t>
      </w:r>
      <w:r w:rsidR="00753DA8" w:rsidRPr="000D5690">
        <w:rPr>
          <w:rFonts w:cs="Arial"/>
          <w:lang w:val="es-ES_tradnl"/>
        </w:rPr>
        <w:t xml:space="preserve">DHE y transformación de los datos en </w:t>
      </w:r>
      <w:r w:rsidR="00937DF6" w:rsidRPr="000D5690">
        <w:rPr>
          <w:rFonts w:cs="Arial"/>
          <w:lang w:val="es-ES_tradnl"/>
        </w:rPr>
        <w:t>niveles de expresión</w:t>
      </w:r>
      <w:r w:rsidRPr="00D6704A">
        <w:rPr>
          <w:rFonts w:cs="Arial"/>
          <w:lang w:val="es-ES"/>
        </w:rPr>
        <w:t xml:space="preserve"> </w:t>
      </w:r>
    </w:p>
    <w:p w:rsidR="005253AC" w:rsidRPr="00D6704A" w:rsidRDefault="0047214B" w:rsidP="005253AC">
      <w:pPr>
        <w:tabs>
          <w:tab w:val="left" w:pos="1134"/>
          <w:tab w:val="left" w:pos="1701"/>
        </w:tabs>
        <w:autoSpaceDE w:val="0"/>
        <w:autoSpaceDN w:val="0"/>
        <w:adjustRightInd w:val="0"/>
        <w:ind w:left="1134" w:hanging="567"/>
        <w:rPr>
          <w:rFonts w:cs="Arial"/>
          <w:lang w:val="es-ES"/>
        </w:rPr>
      </w:pPr>
      <w:r w:rsidRPr="00D6704A">
        <w:rPr>
          <w:rFonts w:cs="Arial"/>
          <w:lang w:val="es-ES"/>
        </w:rPr>
        <w:t>15.</w:t>
      </w:r>
      <w:r w:rsidR="005253AC" w:rsidRPr="00D6704A">
        <w:rPr>
          <w:rFonts w:cs="Arial"/>
          <w:lang w:val="es-ES"/>
        </w:rPr>
        <w:tab/>
      </w:r>
      <w:r w:rsidR="00753DA8" w:rsidRPr="000D5690">
        <w:rPr>
          <w:rFonts w:cs="Arial"/>
          <w:lang w:val="es-ES_tradnl"/>
        </w:rPr>
        <w:t>Fecha y lugar de la siguiente reunión</w:t>
      </w:r>
    </w:p>
    <w:p w:rsidR="005253AC" w:rsidRPr="00D6704A" w:rsidRDefault="0047214B" w:rsidP="005253AC">
      <w:pPr>
        <w:tabs>
          <w:tab w:val="left" w:pos="1134"/>
          <w:tab w:val="left" w:pos="1701"/>
        </w:tabs>
        <w:autoSpaceDE w:val="0"/>
        <w:autoSpaceDN w:val="0"/>
        <w:adjustRightInd w:val="0"/>
        <w:ind w:left="1134" w:hanging="567"/>
        <w:rPr>
          <w:rFonts w:cs="Arial"/>
          <w:lang w:val="es-ES"/>
        </w:rPr>
      </w:pPr>
      <w:r w:rsidRPr="00D6704A">
        <w:rPr>
          <w:rFonts w:cs="Arial"/>
          <w:lang w:val="es-ES"/>
        </w:rPr>
        <w:t>16.</w:t>
      </w:r>
      <w:r w:rsidR="005253AC" w:rsidRPr="00D6704A">
        <w:rPr>
          <w:rFonts w:cs="Arial"/>
          <w:lang w:val="es-ES"/>
        </w:rPr>
        <w:tab/>
      </w:r>
      <w:r w:rsidR="00753DA8" w:rsidRPr="000D5690">
        <w:rPr>
          <w:rFonts w:cs="Arial"/>
          <w:lang w:val="es-ES_tradnl"/>
        </w:rPr>
        <w:t>Programa futuro</w:t>
      </w:r>
    </w:p>
    <w:p w:rsidR="005253AC" w:rsidRPr="00D6704A" w:rsidRDefault="0047214B" w:rsidP="005253AC">
      <w:pPr>
        <w:tabs>
          <w:tab w:val="left" w:pos="1134"/>
          <w:tab w:val="left" w:pos="1701"/>
        </w:tabs>
        <w:autoSpaceDE w:val="0"/>
        <w:autoSpaceDN w:val="0"/>
        <w:adjustRightInd w:val="0"/>
        <w:ind w:left="1134" w:hanging="567"/>
        <w:rPr>
          <w:rFonts w:cs="Arial"/>
          <w:lang w:val="es-ES"/>
        </w:rPr>
      </w:pPr>
      <w:r w:rsidRPr="00D6704A">
        <w:rPr>
          <w:rFonts w:cs="Arial"/>
          <w:lang w:val="es-ES"/>
        </w:rPr>
        <w:t>17.</w:t>
      </w:r>
      <w:r w:rsidR="005253AC" w:rsidRPr="00D6704A">
        <w:rPr>
          <w:rFonts w:cs="Arial"/>
          <w:lang w:val="es-ES"/>
        </w:rPr>
        <w:tab/>
      </w:r>
      <w:r w:rsidR="00753DA8" w:rsidRPr="000D5690">
        <w:rPr>
          <w:rFonts w:cs="Arial"/>
          <w:lang w:val="es-ES_tradnl"/>
        </w:rPr>
        <w:t>Informe de la reunión</w:t>
      </w:r>
      <w:r w:rsidR="005253AC" w:rsidRPr="00D6704A">
        <w:rPr>
          <w:rFonts w:cs="Arial"/>
          <w:lang w:val="es-ES"/>
        </w:rPr>
        <w:t xml:space="preserve"> </w:t>
      </w:r>
    </w:p>
    <w:p w:rsidR="005253AC" w:rsidRPr="00D6704A" w:rsidRDefault="0047214B" w:rsidP="005253AC">
      <w:pPr>
        <w:tabs>
          <w:tab w:val="left" w:pos="1134"/>
          <w:tab w:val="left" w:pos="1701"/>
        </w:tabs>
        <w:autoSpaceDE w:val="0"/>
        <w:autoSpaceDN w:val="0"/>
        <w:adjustRightInd w:val="0"/>
        <w:ind w:left="1134" w:hanging="567"/>
        <w:rPr>
          <w:rFonts w:cs="Arial"/>
          <w:lang w:val="es-ES"/>
        </w:rPr>
      </w:pPr>
      <w:r w:rsidRPr="00D6704A">
        <w:rPr>
          <w:rFonts w:cs="Arial"/>
          <w:lang w:val="es-ES"/>
        </w:rPr>
        <w:t>18.</w:t>
      </w:r>
      <w:r w:rsidR="005253AC" w:rsidRPr="00D6704A">
        <w:rPr>
          <w:rFonts w:cs="Arial"/>
          <w:lang w:val="es-ES"/>
        </w:rPr>
        <w:tab/>
      </w:r>
      <w:r w:rsidR="00753DA8" w:rsidRPr="000D5690">
        <w:rPr>
          <w:rFonts w:cs="Arial"/>
          <w:lang w:val="es-ES_tradnl"/>
        </w:rPr>
        <w:t>Clausura de la reunión</w:t>
      </w:r>
    </w:p>
    <w:p w:rsidR="005253AC" w:rsidRPr="00D6704A" w:rsidRDefault="005253AC" w:rsidP="005253AC">
      <w:pPr>
        <w:autoSpaceDE w:val="0"/>
        <w:autoSpaceDN w:val="0"/>
        <w:adjustRightInd w:val="0"/>
        <w:rPr>
          <w:rFonts w:cs="Arial"/>
          <w:lang w:val="es-ES"/>
        </w:rPr>
      </w:pPr>
    </w:p>
    <w:p w:rsidR="005253AC" w:rsidRPr="00D6704A" w:rsidRDefault="00791298" w:rsidP="005253AC">
      <w:pPr>
        <w:tabs>
          <w:tab w:val="left" w:pos="567"/>
        </w:tabs>
        <w:autoSpaceDE w:val="0"/>
        <w:autoSpaceDN w:val="0"/>
        <w:adjustRightInd w:val="0"/>
        <w:rPr>
          <w:rFonts w:cs="Arial"/>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A07F32" w:rsidRPr="000D5690">
        <w:rPr>
          <w:rFonts w:cs="Arial"/>
          <w:lang w:val="es-ES_tradnl"/>
        </w:rPr>
        <w:t>El 1 de julio por la tarde, el TWC asistió a demostraciones</w:t>
      </w:r>
      <w:r w:rsidR="00B327E2" w:rsidRPr="000D5690">
        <w:rPr>
          <w:rFonts w:cs="Arial"/>
          <w:lang w:val="es-ES_tradnl"/>
        </w:rPr>
        <w:t xml:space="preserve"> ofrecidas por el Servicio nacional de protección de las obtenciones vegetales (SNPC) del Brasil</w:t>
      </w:r>
      <w:r w:rsidR="00A07F32" w:rsidRPr="000D5690">
        <w:rPr>
          <w:rFonts w:cs="Arial"/>
          <w:lang w:val="es-ES_tradnl"/>
        </w:rPr>
        <w:t xml:space="preserve"> </w:t>
      </w:r>
      <w:r w:rsidR="00B327E2" w:rsidRPr="000D5690">
        <w:rPr>
          <w:rFonts w:cs="Arial"/>
          <w:lang w:val="es-ES_tradnl"/>
        </w:rPr>
        <w:t>sobr</w:t>
      </w:r>
      <w:r w:rsidR="00A07F32" w:rsidRPr="000D5690">
        <w:rPr>
          <w:rFonts w:cs="Arial"/>
          <w:lang w:val="es-ES_tradnl"/>
        </w:rPr>
        <w:t xml:space="preserve">e </w:t>
      </w:r>
      <w:r w:rsidR="00B327E2" w:rsidRPr="000D5690">
        <w:rPr>
          <w:rFonts w:cs="Arial"/>
          <w:lang w:val="es-ES_tradnl"/>
        </w:rPr>
        <w:t xml:space="preserve">la </w:t>
      </w:r>
      <w:r w:rsidR="00A07F32" w:rsidRPr="000D5690">
        <w:rPr>
          <w:rFonts w:cs="Arial"/>
          <w:lang w:val="es-ES_tradnl"/>
        </w:rPr>
        <w:t>base de datos de</w:t>
      </w:r>
      <w:r w:rsidR="00B327E2" w:rsidRPr="000D5690">
        <w:rPr>
          <w:rFonts w:cs="Arial"/>
          <w:lang w:val="es-ES_tradnl"/>
        </w:rPr>
        <w:t xml:space="preserve"> su</w:t>
      </w:r>
      <w:r w:rsidR="00A07F32" w:rsidRPr="000D5690">
        <w:rPr>
          <w:rFonts w:cs="Arial"/>
          <w:lang w:val="es-ES_tradnl"/>
        </w:rPr>
        <w:t xml:space="preserve"> sistema de gestión y </w:t>
      </w:r>
      <w:r w:rsidR="00B327E2" w:rsidRPr="000D5690">
        <w:rPr>
          <w:rFonts w:cs="Arial"/>
          <w:lang w:val="es-ES_tradnl"/>
        </w:rPr>
        <w:t xml:space="preserve">sobre su </w:t>
      </w:r>
      <w:r w:rsidR="00A07F32" w:rsidRPr="000D5690">
        <w:rPr>
          <w:rFonts w:cs="Arial"/>
          <w:lang w:val="es-ES_tradnl"/>
        </w:rPr>
        <w:t>sistema de presentación electrónica de solicitudes.</w:t>
      </w:r>
      <w:r w:rsidR="005253AC" w:rsidRPr="00D6704A">
        <w:rPr>
          <w:rFonts w:cs="Arial"/>
          <w:lang w:val="es-ES"/>
        </w:rPr>
        <w:t xml:space="preserve"> </w:t>
      </w:r>
      <w:r w:rsidR="00A07F32" w:rsidRPr="000D5690">
        <w:rPr>
          <w:rFonts w:cs="Arial"/>
          <w:lang w:val="es-ES_tradnl"/>
        </w:rPr>
        <w:t xml:space="preserve">Además, el Sr. Joel </w:t>
      </w:r>
      <w:proofErr w:type="spellStart"/>
      <w:r w:rsidR="00A07F32" w:rsidRPr="000D5690">
        <w:rPr>
          <w:rFonts w:cs="Arial"/>
          <w:lang w:val="es-ES_tradnl"/>
        </w:rPr>
        <w:t>Yutaka</w:t>
      </w:r>
      <w:proofErr w:type="spellEnd"/>
      <w:r w:rsidR="00A07F32" w:rsidRPr="000D5690">
        <w:rPr>
          <w:rFonts w:cs="Arial"/>
          <w:lang w:val="es-ES_tradnl"/>
        </w:rPr>
        <w:t xml:space="preserve"> </w:t>
      </w:r>
      <w:proofErr w:type="spellStart"/>
      <w:r w:rsidR="00A07F32" w:rsidRPr="000D5690">
        <w:rPr>
          <w:rFonts w:cs="Arial"/>
          <w:lang w:val="es-ES_tradnl"/>
        </w:rPr>
        <w:t>Sugano</w:t>
      </w:r>
      <w:proofErr w:type="spellEnd"/>
      <w:r w:rsidR="00A07F32" w:rsidRPr="000D5690">
        <w:rPr>
          <w:rFonts w:cs="Arial"/>
          <w:lang w:val="es-ES_tradnl"/>
        </w:rPr>
        <w:t xml:space="preserve">, de la </w:t>
      </w:r>
      <w:proofErr w:type="spellStart"/>
      <w:r w:rsidR="00A07F32" w:rsidRPr="000D5690">
        <w:rPr>
          <w:rFonts w:cs="Arial"/>
          <w:i/>
          <w:lang w:val="es-ES_tradnl"/>
        </w:rPr>
        <w:t>Universidade</w:t>
      </w:r>
      <w:proofErr w:type="spellEnd"/>
      <w:r w:rsidR="00A07F32" w:rsidRPr="000D5690">
        <w:rPr>
          <w:rFonts w:cs="Arial"/>
          <w:i/>
          <w:lang w:val="es-ES_tradnl"/>
        </w:rPr>
        <w:t xml:space="preserve"> Federal de </w:t>
      </w:r>
      <w:proofErr w:type="spellStart"/>
      <w:r w:rsidR="00A07F32" w:rsidRPr="000D5690">
        <w:rPr>
          <w:rFonts w:cs="Arial"/>
          <w:i/>
          <w:lang w:val="es-ES_tradnl"/>
        </w:rPr>
        <w:t>Lavras</w:t>
      </w:r>
      <w:proofErr w:type="spellEnd"/>
      <w:r w:rsidR="00A07F32" w:rsidRPr="000D5690">
        <w:rPr>
          <w:rFonts w:cs="Arial"/>
          <w:lang w:val="es-ES_tradnl"/>
        </w:rPr>
        <w:t xml:space="preserve"> ofreció una demostración de un sistema completo (</w:t>
      </w:r>
      <w:r w:rsidR="00B327E2" w:rsidRPr="000D5690">
        <w:rPr>
          <w:rFonts w:cs="Arial"/>
          <w:lang w:val="es-ES_tradnl"/>
        </w:rPr>
        <w:t xml:space="preserve">equipo </w:t>
      </w:r>
      <w:r w:rsidR="00A07F32" w:rsidRPr="000D5690">
        <w:rPr>
          <w:rFonts w:cs="Arial"/>
          <w:lang w:val="es-ES_tradnl"/>
        </w:rPr>
        <w:t>y programa informático) para la medición automática mediante análisis de imágenes.</w:t>
      </w:r>
    </w:p>
    <w:p w:rsidR="005253AC" w:rsidRPr="00D6704A" w:rsidRDefault="005253AC" w:rsidP="005253AC">
      <w:pPr>
        <w:rPr>
          <w:lang w:val="es-ES"/>
        </w:rPr>
      </w:pPr>
    </w:p>
    <w:p w:rsidR="005253AC" w:rsidRPr="00D6704A" w:rsidRDefault="00A07F32" w:rsidP="005253AC">
      <w:pPr>
        <w:pStyle w:val="Heading3"/>
        <w:rPr>
          <w:lang w:val="es-ES"/>
        </w:rPr>
      </w:pPr>
      <w:r w:rsidRPr="000D5690">
        <w:rPr>
          <w:lang w:val="es-ES_tradnl"/>
        </w:rPr>
        <w:t>Grupo de Trabajo Técnico sobre Plantas Frutales</w:t>
      </w:r>
    </w:p>
    <w:p w:rsidR="005253AC" w:rsidRPr="00D6704A" w:rsidRDefault="005253AC" w:rsidP="005253AC">
      <w:pPr>
        <w:keepNext/>
        <w:rPr>
          <w:lang w:val="es-ES"/>
        </w:rPr>
      </w:pPr>
    </w:p>
    <w:p w:rsidR="005253AC" w:rsidRPr="00D6704A" w:rsidRDefault="00791298" w:rsidP="005253AC">
      <w:pPr>
        <w:keepNext/>
        <w:rPr>
          <w:rFonts w:cs="Arial"/>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B830E0" w:rsidRPr="000D5690">
        <w:rPr>
          <w:rFonts w:cs="Arial"/>
          <w:lang w:val="es-ES_tradnl"/>
        </w:rPr>
        <w:t>El TWF celebró su cuadragésima sexta sesión en Mpumalanga (Sudáfrica) del 24 al 28 de agosto de 2015.</w:t>
      </w:r>
      <w:r w:rsidR="005253AC" w:rsidRPr="00D6704A">
        <w:rPr>
          <w:rFonts w:cs="Arial"/>
          <w:lang w:val="es-ES"/>
        </w:rPr>
        <w:t xml:space="preserve"> </w:t>
      </w:r>
      <w:r w:rsidR="00B830E0" w:rsidRPr="000D5690">
        <w:rPr>
          <w:rFonts w:cs="Arial"/>
          <w:lang w:val="es-ES_tradnl"/>
        </w:rPr>
        <w:t>Inauguró la sesión el Sr. </w:t>
      </w:r>
      <w:proofErr w:type="spellStart"/>
      <w:r w:rsidR="00B830E0" w:rsidRPr="000D5690">
        <w:rPr>
          <w:rFonts w:cs="Arial"/>
          <w:lang w:val="es-ES_tradnl"/>
        </w:rPr>
        <w:t>Katsumi</w:t>
      </w:r>
      <w:proofErr w:type="spellEnd"/>
      <w:r w:rsidR="00B830E0" w:rsidRPr="000D5690">
        <w:rPr>
          <w:rFonts w:cs="Arial"/>
          <w:lang w:val="es-ES_tradnl"/>
        </w:rPr>
        <w:t xml:space="preserve"> Yamaguchi (Japón), Presidente del TWF.</w:t>
      </w:r>
    </w:p>
    <w:p w:rsidR="005253AC" w:rsidRPr="00D6704A" w:rsidRDefault="005253AC" w:rsidP="005253AC">
      <w:pPr>
        <w:rPr>
          <w:rFonts w:cs="Arial"/>
          <w:lang w:val="es-ES"/>
        </w:rPr>
      </w:pPr>
    </w:p>
    <w:p w:rsidR="005253AC" w:rsidRPr="00D6704A" w:rsidRDefault="00791298" w:rsidP="005253AC">
      <w:pPr>
        <w:rPr>
          <w:rFonts w:cs="Arial"/>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B830E0" w:rsidRPr="000D5690">
        <w:rPr>
          <w:rFonts w:cs="Arial"/>
          <w:lang w:val="es-ES_tradnl"/>
        </w:rPr>
        <w:t xml:space="preserve">Asistieron a la reunión del TWF 39 participantes de 16 miembros de la Unión, </w:t>
      </w:r>
      <w:r w:rsidR="00B327E2" w:rsidRPr="000D5690">
        <w:rPr>
          <w:rFonts w:cs="Arial"/>
          <w:lang w:val="es-ES_tradnl"/>
        </w:rPr>
        <w:t xml:space="preserve">3 </w:t>
      </w:r>
      <w:r w:rsidR="00B830E0" w:rsidRPr="000D5690">
        <w:rPr>
          <w:rFonts w:cs="Arial"/>
          <w:lang w:val="es-ES_tradnl"/>
        </w:rPr>
        <w:t xml:space="preserve">Estados en calidad de observadores y </w:t>
      </w:r>
      <w:r w:rsidR="00B327E2" w:rsidRPr="000D5690">
        <w:rPr>
          <w:rFonts w:cs="Arial"/>
          <w:lang w:val="es-ES_tradnl"/>
        </w:rPr>
        <w:t xml:space="preserve">1 </w:t>
      </w:r>
      <w:r w:rsidR="00B830E0" w:rsidRPr="000D5690">
        <w:rPr>
          <w:rFonts w:cs="Arial"/>
          <w:lang w:val="es-ES_tradnl"/>
        </w:rPr>
        <w:t>organización en calidad de observadora.</w:t>
      </w:r>
      <w:r w:rsidR="005253AC" w:rsidRPr="00D6704A">
        <w:rPr>
          <w:rFonts w:cs="Arial"/>
          <w:lang w:val="es-ES"/>
        </w:rPr>
        <w:t xml:space="preserve"> </w:t>
      </w:r>
      <w:r w:rsidR="00B830E0" w:rsidRPr="000D5690">
        <w:rPr>
          <w:rFonts w:cs="Arial"/>
          <w:lang w:val="es-ES_tradnl"/>
        </w:rPr>
        <w:t>Al</w:t>
      </w:r>
      <w:r w:rsidR="007703AE">
        <w:rPr>
          <w:rFonts w:cs="Arial"/>
          <w:lang w:val="es-ES_tradnl"/>
        </w:rPr>
        <w:t xml:space="preserve"> taller preparatorio asistieron 17 </w:t>
      </w:r>
      <w:r w:rsidR="00B830E0" w:rsidRPr="000D5690">
        <w:rPr>
          <w:rFonts w:cs="Arial"/>
          <w:lang w:val="es-ES_tradnl"/>
        </w:rPr>
        <w:t xml:space="preserve">participantes procedentes de </w:t>
      </w:r>
      <w:r w:rsidR="00B327E2" w:rsidRPr="000D5690">
        <w:rPr>
          <w:rFonts w:cs="Arial"/>
          <w:lang w:val="es-ES_tradnl"/>
        </w:rPr>
        <w:t>7</w:t>
      </w:r>
      <w:r w:rsidR="00B830E0" w:rsidRPr="000D5690">
        <w:rPr>
          <w:rFonts w:cs="Arial"/>
          <w:lang w:val="es-ES_tradnl"/>
        </w:rPr>
        <w:t xml:space="preserve"> miembros de la Unión y </w:t>
      </w:r>
      <w:r w:rsidR="00B327E2" w:rsidRPr="000D5690">
        <w:rPr>
          <w:rFonts w:cs="Arial"/>
          <w:lang w:val="es-ES_tradnl"/>
        </w:rPr>
        <w:t xml:space="preserve">3 </w:t>
      </w:r>
      <w:r w:rsidR="00B830E0" w:rsidRPr="000D5690">
        <w:rPr>
          <w:rFonts w:cs="Arial"/>
          <w:lang w:val="es-ES_tradnl"/>
        </w:rPr>
        <w:t>Estados en calidad de observadores.</w:t>
      </w:r>
    </w:p>
    <w:p w:rsidR="005253AC" w:rsidRPr="00D6704A" w:rsidRDefault="005253AC" w:rsidP="005253AC">
      <w:pPr>
        <w:rPr>
          <w:rFonts w:cs="Arial"/>
          <w:lang w:val="es-ES"/>
        </w:rPr>
      </w:pPr>
    </w:p>
    <w:p w:rsidR="005253AC" w:rsidRPr="00D6704A" w:rsidRDefault="00791298" w:rsidP="005253AC">
      <w:pPr>
        <w:rPr>
          <w:rFonts w:cs="Arial"/>
          <w:shd w:val="clear" w:color="auto" w:fill="FFFFFF"/>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B830E0" w:rsidRPr="000D5690">
        <w:rPr>
          <w:rFonts w:cs="Arial"/>
          <w:lang w:val="es-ES_tradnl"/>
        </w:rPr>
        <w:t>Dio la bienvenida al TWF el Sr. </w:t>
      </w:r>
      <w:proofErr w:type="spellStart"/>
      <w:r w:rsidR="00B830E0" w:rsidRPr="000D5690">
        <w:rPr>
          <w:rFonts w:cs="Arial"/>
          <w:lang w:val="es-ES_tradnl"/>
        </w:rPr>
        <w:t>Julian</w:t>
      </w:r>
      <w:proofErr w:type="spellEnd"/>
      <w:r w:rsidR="00B830E0" w:rsidRPr="000D5690">
        <w:rPr>
          <w:rFonts w:cs="Arial"/>
          <w:lang w:val="es-ES_tradnl"/>
        </w:rPr>
        <w:t xml:space="preserve"> </w:t>
      </w:r>
      <w:proofErr w:type="spellStart"/>
      <w:r w:rsidR="00B830E0" w:rsidRPr="000D5690">
        <w:rPr>
          <w:rFonts w:cs="Arial"/>
          <w:lang w:val="es-ES_tradnl"/>
        </w:rPr>
        <w:t>Jaftha</w:t>
      </w:r>
      <w:proofErr w:type="spellEnd"/>
      <w:r w:rsidR="00B830E0" w:rsidRPr="000D5690">
        <w:rPr>
          <w:rFonts w:cs="Arial"/>
          <w:lang w:val="es-ES_tradnl"/>
        </w:rPr>
        <w:t>, Director Jefe de Producción y Sanidad Vegetal del Departamento de Agricultura, Silvicultura y Pesca.</w:t>
      </w:r>
      <w:r w:rsidR="005253AC" w:rsidRPr="00D6704A">
        <w:rPr>
          <w:rFonts w:cs="Arial"/>
          <w:lang w:val="es-ES"/>
        </w:rPr>
        <w:t xml:space="preserve"> </w:t>
      </w:r>
      <w:r w:rsidR="00B830E0" w:rsidRPr="000D5690">
        <w:rPr>
          <w:rFonts w:cs="Arial"/>
          <w:lang w:val="es-ES_tradnl"/>
        </w:rPr>
        <w:t>El Sr. </w:t>
      </w:r>
      <w:proofErr w:type="spellStart"/>
      <w:r w:rsidR="00B830E0" w:rsidRPr="000D5690">
        <w:rPr>
          <w:rFonts w:cs="Arial"/>
          <w:lang w:val="es-ES_tradnl"/>
        </w:rPr>
        <w:t>Luvuyo</w:t>
      </w:r>
      <w:proofErr w:type="spellEnd"/>
      <w:r w:rsidR="00B830E0" w:rsidRPr="000D5690">
        <w:rPr>
          <w:rFonts w:cs="Arial"/>
          <w:lang w:val="es-ES_tradnl"/>
        </w:rPr>
        <w:t xml:space="preserve"> </w:t>
      </w:r>
      <w:proofErr w:type="spellStart"/>
      <w:r w:rsidR="00B830E0" w:rsidRPr="000D5690">
        <w:rPr>
          <w:rFonts w:cs="Arial"/>
          <w:lang w:val="es-ES_tradnl"/>
        </w:rPr>
        <w:t>Khoza</w:t>
      </w:r>
      <w:proofErr w:type="spellEnd"/>
      <w:r w:rsidR="00B830E0" w:rsidRPr="000D5690">
        <w:rPr>
          <w:rFonts w:cs="Arial"/>
          <w:lang w:val="es-ES_tradnl"/>
        </w:rPr>
        <w:t xml:space="preserve">, </w:t>
      </w:r>
      <w:r w:rsidR="00647A87" w:rsidRPr="000D5690">
        <w:rPr>
          <w:rFonts w:cs="Arial"/>
          <w:lang w:val="es-ES_tradnl"/>
        </w:rPr>
        <w:t xml:space="preserve">Responsable Superior </w:t>
      </w:r>
      <w:r w:rsidR="00B830E0" w:rsidRPr="000D5690">
        <w:rPr>
          <w:rFonts w:cs="Arial"/>
          <w:lang w:val="es-ES_tradnl"/>
        </w:rPr>
        <w:t>Científico de Producción</w:t>
      </w:r>
      <w:r w:rsidR="00647A87" w:rsidRPr="000D5690">
        <w:rPr>
          <w:rFonts w:cs="Arial"/>
          <w:lang w:val="es-ES_tradnl"/>
        </w:rPr>
        <w:t xml:space="preserve"> </w:t>
      </w:r>
      <w:r w:rsidR="00060A49" w:rsidRPr="000D5690">
        <w:rPr>
          <w:rFonts w:cs="Arial"/>
          <w:lang w:val="es-ES_tradnl"/>
        </w:rPr>
        <w:t xml:space="preserve">Técnica </w:t>
      </w:r>
      <w:r w:rsidR="00647A87" w:rsidRPr="000D5690">
        <w:rPr>
          <w:rFonts w:cs="Arial"/>
          <w:lang w:val="es-ES_tradnl"/>
        </w:rPr>
        <w:t xml:space="preserve">de la </w:t>
      </w:r>
      <w:r w:rsidR="00B830E0" w:rsidRPr="000D5690">
        <w:rPr>
          <w:rFonts w:cs="Arial"/>
          <w:lang w:val="es-ES_tradnl"/>
        </w:rPr>
        <w:t>Dirección de Recursos Genéticos</w:t>
      </w:r>
      <w:r w:rsidR="00647A87" w:rsidRPr="000D5690">
        <w:rPr>
          <w:rFonts w:cs="Arial"/>
          <w:lang w:val="es-ES_tradnl"/>
        </w:rPr>
        <w:t xml:space="preserve"> del</w:t>
      </w:r>
      <w:r w:rsidR="00B830E0" w:rsidRPr="000D5690">
        <w:rPr>
          <w:rFonts w:cs="Arial"/>
          <w:lang w:val="es-ES_tradnl"/>
        </w:rPr>
        <w:t xml:space="preserve"> </w:t>
      </w:r>
      <w:r w:rsidR="00647A87" w:rsidRPr="000D5690">
        <w:rPr>
          <w:rFonts w:cs="Arial"/>
          <w:lang w:val="es-ES_tradnl"/>
        </w:rPr>
        <w:t>Departamento de Agricultura, Silvicultura y Pesca</w:t>
      </w:r>
      <w:r w:rsidR="00B830E0" w:rsidRPr="000D5690">
        <w:rPr>
          <w:rFonts w:cs="Arial"/>
          <w:lang w:val="es-ES_tradnl"/>
        </w:rPr>
        <w:t>, present</w:t>
      </w:r>
      <w:r w:rsidR="00647A87" w:rsidRPr="000D5690">
        <w:rPr>
          <w:rFonts w:cs="Arial"/>
          <w:lang w:val="es-ES_tradnl"/>
        </w:rPr>
        <w:t xml:space="preserve">ó una ponencia </w:t>
      </w:r>
      <w:r w:rsidR="00B830E0" w:rsidRPr="000D5690">
        <w:rPr>
          <w:rFonts w:cs="Arial"/>
          <w:lang w:val="es-ES_tradnl"/>
        </w:rPr>
        <w:t xml:space="preserve">sobre el sistema de </w:t>
      </w:r>
      <w:r w:rsidR="00647A87" w:rsidRPr="000D5690">
        <w:rPr>
          <w:rFonts w:cs="Arial"/>
          <w:lang w:val="es-ES_tradnl"/>
        </w:rPr>
        <w:t>derechos de obtentor</w:t>
      </w:r>
      <w:r w:rsidR="00B830E0" w:rsidRPr="000D5690">
        <w:rPr>
          <w:rFonts w:cs="Arial"/>
          <w:lang w:val="es-ES_tradnl"/>
        </w:rPr>
        <w:t xml:space="preserve"> en Sudáfrica y el Sr.</w:t>
      </w:r>
      <w:r w:rsidR="00647A87" w:rsidRPr="000D5690">
        <w:rPr>
          <w:rFonts w:cs="Arial"/>
          <w:lang w:val="es-ES_tradnl"/>
        </w:rPr>
        <w:t> </w:t>
      </w:r>
      <w:r w:rsidR="00B830E0" w:rsidRPr="000D5690">
        <w:rPr>
          <w:rFonts w:cs="Arial"/>
          <w:lang w:val="es-ES_tradnl"/>
        </w:rPr>
        <w:t xml:space="preserve">Arthur </w:t>
      </w:r>
      <w:proofErr w:type="spellStart"/>
      <w:r w:rsidR="00B830E0" w:rsidRPr="000D5690">
        <w:rPr>
          <w:rFonts w:cs="Arial"/>
          <w:lang w:val="es-ES_tradnl"/>
        </w:rPr>
        <w:t>Sippel</w:t>
      </w:r>
      <w:proofErr w:type="spellEnd"/>
      <w:r w:rsidR="00B830E0" w:rsidRPr="000D5690">
        <w:rPr>
          <w:rFonts w:cs="Arial"/>
          <w:lang w:val="es-ES_tradnl"/>
        </w:rPr>
        <w:t xml:space="preserve">, </w:t>
      </w:r>
      <w:r w:rsidR="00647A87" w:rsidRPr="000D5690">
        <w:rPr>
          <w:rFonts w:cs="Arial"/>
          <w:lang w:val="es-ES_tradnl"/>
        </w:rPr>
        <w:t>Jefe de Equipo de Investigaci</w:t>
      </w:r>
      <w:r w:rsidR="002F7D51" w:rsidRPr="000D5690">
        <w:rPr>
          <w:rFonts w:cs="Arial"/>
          <w:lang w:val="es-ES_tradnl"/>
        </w:rPr>
        <w:t>o</w:t>
      </w:r>
      <w:r w:rsidR="00647A87" w:rsidRPr="000D5690">
        <w:rPr>
          <w:rFonts w:cs="Arial"/>
          <w:lang w:val="es-ES_tradnl"/>
        </w:rPr>
        <w:t>n</w:t>
      </w:r>
      <w:r w:rsidR="002F7D51" w:rsidRPr="000D5690">
        <w:rPr>
          <w:rFonts w:cs="Arial"/>
          <w:lang w:val="es-ES_tradnl"/>
        </w:rPr>
        <w:t>es</w:t>
      </w:r>
      <w:r w:rsidR="00647A87" w:rsidRPr="000D5690">
        <w:rPr>
          <w:rFonts w:cs="Arial"/>
          <w:lang w:val="es-ES_tradnl"/>
        </w:rPr>
        <w:t xml:space="preserve"> en Fitomejoramiento</w:t>
      </w:r>
      <w:r w:rsidR="00B830E0" w:rsidRPr="000D5690">
        <w:rPr>
          <w:rFonts w:cs="Arial"/>
          <w:lang w:val="es-ES_tradnl"/>
        </w:rPr>
        <w:t>, present</w:t>
      </w:r>
      <w:r w:rsidR="00647A87" w:rsidRPr="000D5690">
        <w:rPr>
          <w:rFonts w:cs="Arial"/>
          <w:lang w:val="es-ES_tradnl"/>
        </w:rPr>
        <w:t xml:space="preserve">ó una ponencia </w:t>
      </w:r>
      <w:r w:rsidR="00B830E0" w:rsidRPr="000D5690">
        <w:rPr>
          <w:rFonts w:cs="Arial"/>
          <w:lang w:val="es-ES_tradnl"/>
        </w:rPr>
        <w:t xml:space="preserve">sobre </w:t>
      </w:r>
      <w:r w:rsidR="00647A87" w:rsidRPr="000D5690">
        <w:rPr>
          <w:rFonts w:cs="Arial"/>
          <w:lang w:val="es-ES_tradnl"/>
        </w:rPr>
        <w:t xml:space="preserve">el fitomejoramiento </w:t>
      </w:r>
      <w:r w:rsidR="00B830E0" w:rsidRPr="000D5690">
        <w:rPr>
          <w:rFonts w:cs="Arial"/>
          <w:lang w:val="es-ES_tradnl"/>
        </w:rPr>
        <w:t xml:space="preserve">y </w:t>
      </w:r>
      <w:r w:rsidR="00647A87" w:rsidRPr="000D5690">
        <w:rPr>
          <w:rFonts w:cs="Arial"/>
          <w:lang w:val="es-ES_tradnl"/>
        </w:rPr>
        <w:t xml:space="preserve">la </w:t>
      </w:r>
      <w:r w:rsidR="00B830E0" w:rsidRPr="000D5690">
        <w:rPr>
          <w:rFonts w:cs="Arial"/>
          <w:lang w:val="es-ES_tradnl"/>
        </w:rPr>
        <w:t xml:space="preserve">comercialización de cítricos y cultivos subtropicales por el </w:t>
      </w:r>
      <w:r w:rsidR="00647A87" w:rsidRPr="000D5690">
        <w:rPr>
          <w:rFonts w:cs="Arial"/>
          <w:lang w:val="es-ES_tradnl"/>
        </w:rPr>
        <w:t>Consejo de Investigaciones Agrícolas</w:t>
      </w:r>
      <w:r w:rsidR="00B830E0" w:rsidRPr="000D5690">
        <w:rPr>
          <w:rFonts w:cs="Arial"/>
          <w:lang w:val="es-ES_tradnl"/>
        </w:rPr>
        <w:t xml:space="preserve"> (ARC).</w:t>
      </w:r>
    </w:p>
    <w:p w:rsidR="005253AC" w:rsidRPr="00D6704A" w:rsidRDefault="005253AC" w:rsidP="005253AC">
      <w:pPr>
        <w:rPr>
          <w:rFonts w:cs="Arial"/>
          <w:lang w:val="es-ES"/>
        </w:rPr>
      </w:pPr>
    </w:p>
    <w:p w:rsidR="005253AC" w:rsidRPr="00D6704A" w:rsidRDefault="00791298" w:rsidP="005253AC">
      <w:pPr>
        <w:rPr>
          <w:rFonts w:cs="Arial"/>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616E89" w:rsidRPr="000D5690">
        <w:rPr>
          <w:rFonts w:cs="Arial"/>
          <w:lang w:val="es-ES_tradnl"/>
        </w:rPr>
        <w:t>El TWF examinó el documento TWF/46/13 “</w:t>
      </w:r>
      <w:r w:rsidR="00616E89" w:rsidRPr="000D5690">
        <w:rPr>
          <w:rFonts w:cs="Arial"/>
          <w:i/>
          <w:lang w:val="es-ES_tradnl"/>
        </w:rPr>
        <w:t xml:space="preserve">Use of </w:t>
      </w:r>
      <w:proofErr w:type="spellStart"/>
      <w:r w:rsidR="00616E89" w:rsidRPr="000D5690">
        <w:rPr>
          <w:rFonts w:cs="Arial"/>
          <w:i/>
          <w:lang w:val="es-ES_tradnl"/>
        </w:rPr>
        <w:t>Proprietary</w:t>
      </w:r>
      <w:proofErr w:type="spellEnd"/>
      <w:r w:rsidR="00616E89" w:rsidRPr="000D5690">
        <w:rPr>
          <w:rFonts w:cs="Arial"/>
          <w:i/>
          <w:lang w:val="es-ES_tradnl"/>
        </w:rPr>
        <w:t xml:space="preserve"> </w:t>
      </w:r>
      <w:proofErr w:type="spellStart"/>
      <w:r w:rsidR="00616E89" w:rsidRPr="000D5690">
        <w:rPr>
          <w:rFonts w:cs="Arial"/>
          <w:i/>
          <w:lang w:val="es-ES_tradnl"/>
        </w:rPr>
        <w:t>Photographs</w:t>
      </w:r>
      <w:proofErr w:type="spellEnd"/>
      <w:r w:rsidR="00616E89" w:rsidRPr="000D5690">
        <w:rPr>
          <w:rFonts w:cs="Arial"/>
          <w:i/>
          <w:lang w:val="es-ES_tradnl"/>
        </w:rPr>
        <w:t xml:space="preserve"> and </w:t>
      </w:r>
      <w:proofErr w:type="spellStart"/>
      <w:r w:rsidR="00616E89" w:rsidRPr="000D5690">
        <w:rPr>
          <w:rFonts w:cs="Arial"/>
          <w:i/>
          <w:lang w:val="es-ES_tradnl"/>
        </w:rPr>
        <w:t>Illustrations</w:t>
      </w:r>
      <w:proofErr w:type="spellEnd"/>
      <w:r w:rsidR="00616E89" w:rsidRPr="000D5690">
        <w:rPr>
          <w:rFonts w:cs="Arial"/>
          <w:i/>
          <w:lang w:val="es-ES_tradnl"/>
        </w:rPr>
        <w:t xml:space="preserve"> in Test </w:t>
      </w:r>
      <w:proofErr w:type="spellStart"/>
      <w:r w:rsidR="00616E89" w:rsidRPr="000D5690">
        <w:rPr>
          <w:rFonts w:cs="Arial"/>
          <w:i/>
          <w:lang w:val="es-ES_tradnl"/>
        </w:rPr>
        <w:t>Guidelines</w:t>
      </w:r>
      <w:proofErr w:type="spellEnd"/>
      <w:r w:rsidR="00616E89" w:rsidRPr="000D5690">
        <w:rPr>
          <w:rFonts w:cs="Arial"/>
          <w:lang w:val="es-ES_tradnl"/>
        </w:rPr>
        <w:t xml:space="preserve">” (Uso en las directrices de examen de fotografías e ilustraciones amparadas por derechos de propiedad intelectual) y suscribió la orientación propuesta relativa al texto, </w:t>
      </w:r>
      <w:r w:rsidR="002A455A" w:rsidRPr="000D5690">
        <w:rPr>
          <w:rFonts w:cs="Arial"/>
          <w:lang w:val="es-ES_tradnl"/>
        </w:rPr>
        <w:t xml:space="preserve">las </w:t>
      </w:r>
      <w:r w:rsidR="00616E89" w:rsidRPr="000D5690">
        <w:rPr>
          <w:rFonts w:cs="Arial"/>
          <w:lang w:val="es-ES_tradnl"/>
        </w:rPr>
        <w:t xml:space="preserve">fotografías, </w:t>
      </w:r>
      <w:r w:rsidR="002A455A" w:rsidRPr="000D5690">
        <w:rPr>
          <w:rFonts w:cs="Arial"/>
          <w:lang w:val="es-ES_tradnl"/>
        </w:rPr>
        <w:t xml:space="preserve">o las </w:t>
      </w:r>
      <w:r w:rsidR="00616E89" w:rsidRPr="000D5690">
        <w:rPr>
          <w:rFonts w:cs="Arial"/>
          <w:lang w:val="es-ES_tradnl"/>
        </w:rPr>
        <w:t xml:space="preserve">ilustraciones u otros materiales que podrían </w:t>
      </w:r>
      <w:r w:rsidR="002A455A" w:rsidRPr="000D5690">
        <w:rPr>
          <w:rFonts w:cs="Arial"/>
          <w:lang w:val="es-ES_tradnl"/>
        </w:rPr>
        <w:t>estar amparados por derechos de terceros</w:t>
      </w:r>
      <w:r w:rsidR="00616E89" w:rsidRPr="000D5690">
        <w:rPr>
          <w:rFonts w:cs="Arial"/>
          <w:lang w:val="es-ES_tradnl"/>
        </w:rPr>
        <w:t>, tal como se e</w:t>
      </w:r>
      <w:r w:rsidR="002A455A" w:rsidRPr="000D5690">
        <w:rPr>
          <w:rFonts w:cs="Arial"/>
          <w:lang w:val="es-ES_tradnl"/>
        </w:rPr>
        <w:t>xpon</w:t>
      </w:r>
      <w:r w:rsidR="00616E89" w:rsidRPr="000D5690">
        <w:rPr>
          <w:rFonts w:cs="Arial"/>
          <w:lang w:val="es-ES_tradnl"/>
        </w:rPr>
        <w:t xml:space="preserve">e en el </w:t>
      </w:r>
      <w:r w:rsidR="002A455A" w:rsidRPr="000D5690">
        <w:rPr>
          <w:rFonts w:cs="Arial"/>
          <w:lang w:val="es-ES_tradnl"/>
        </w:rPr>
        <w:t>párrafo 7 del documento TWF</w:t>
      </w:r>
      <w:r w:rsidR="00616E89" w:rsidRPr="000D5690">
        <w:rPr>
          <w:rFonts w:cs="Arial"/>
          <w:lang w:val="es-ES_tradnl"/>
        </w:rPr>
        <w:t>/46/13, para su inclusión en una futura revisión del documento TGP/7.</w:t>
      </w:r>
      <w:r w:rsidR="005253AC" w:rsidRPr="00D6704A">
        <w:rPr>
          <w:rFonts w:cs="Arial"/>
          <w:lang w:val="es-ES" w:eastAsia="ja-JP"/>
        </w:rPr>
        <w:t xml:space="preserve"> </w:t>
      </w:r>
      <w:r w:rsidR="002A455A" w:rsidRPr="000D5690">
        <w:rPr>
          <w:rFonts w:cs="Arial"/>
          <w:lang w:val="es-ES_tradnl" w:eastAsia="ja-JP"/>
        </w:rPr>
        <w:t xml:space="preserve">El TWF </w:t>
      </w:r>
      <w:r w:rsidR="00EE77EF" w:rsidRPr="000D5690">
        <w:rPr>
          <w:rFonts w:cs="Arial"/>
          <w:lang w:val="es-ES_tradnl" w:eastAsia="ja-JP"/>
        </w:rPr>
        <w:t>convino en que la mención del tercero que haya autorizado la utilización del material en un documento de la UPOV deberá ser conforme con las condiciones de la autorización</w:t>
      </w:r>
      <w:r w:rsidR="002A455A" w:rsidRPr="000D5690">
        <w:rPr>
          <w:rFonts w:cs="Arial"/>
          <w:lang w:val="es-ES_tradnl" w:eastAsia="ja-JP"/>
        </w:rPr>
        <w:t>.</w:t>
      </w:r>
    </w:p>
    <w:p w:rsidR="005253AC" w:rsidRPr="00D6704A" w:rsidRDefault="005253AC" w:rsidP="005253AC">
      <w:pPr>
        <w:rPr>
          <w:rFonts w:cs="Arial"/>
          <w:lang w:val="es-ES"/>
        </w:rPr>
      </w:pPr>
    </w:p>
    <w:p w:rsidR="005253AC" w:rsidRPr="00D6704A" w:rsidRDefault="00791298" w:rsidP="005253AC">
      <w:pPr>
        <w:rPr>
          <w:rFonts w:cs="Arial"/>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EE77EF" w:rsidRPr="000D5690">
        <w:rPr>
          <w:rFonts w:cs="Arial"/>
          <w:lang w:val="es-ES_tradnl"/>
        </w:rPr>
        <w:t>El TWF examinó el documento TWF/46/14 “</w:t>
      </w:r>
      <w:r w:rsidR="00EE77EF" w:rsidRPr="000D5690">
        <w:rPr>
          <w:rFonts w:cs="Arial"/>
          <w:i/>
          <w:lang w:val="es-ES_tradnl"/>
        </w:rPr>
        <w:t xml:space="preserve">Regional sets of </w:t>
      </w:r>
      <w:proofErr w:type="spellStart"/>
      <w:r w:rsidR="00EE77EF" w:rsidRPr="000D5690">
        <w:rPr>
          <w:rFonts w:cs="Arial"/>
          <w:i/>
          <w:lang w:val="es-ES_tradnl"/>
        </w:rPr>
        <w:t>example</w:t>
      </w:r>
      <w:proofErr w:type="spellEnd"/>
      <w:r w:rsidR="00EE77EF" w:rsidRPr="000D5690">
        <w:rPr>
          <w:rFonts w:cs="Arial"/>
          <w:i/>
          <w:lang w:val="es-ES_tradnl"/>
        </w:rPr>
        <w:t xml:space="preserve"> </w:t>
      </w:r>
      <w:proofErr w:type="spellStart"/>
      <w:r w:rsidR="00EE77EF" w:rsidRPr="000D5690">
        <w:rPr>
          <w:rFonts w:cs="Arial"/>
          <w:i/>
          <w:lang w:val="es-ES_tradnl"/>
        </w:rPr>
        <w:t>varieties</w:t>
      </w:r>
      <w:proofErr w:type="spellEnd"/>
      <w:r w:rsidR="00EE77EF" w:rsidRPr="000D5690">
        <w:rPr>
          <w:rFonts w:cs="Arial"/>
          <w:lang w:val="es-ES_tradnl"/>
        </w:rPr>
        <w:t>” (Conjuntos regionales de variedades ejemplo) y coincidió con el TWV en que la finalidad de las directrices de examen de la UPOV era la armonización internacional y que, por lo tanto, no eran partidarios de elaborar conjuntos regionales de variedades ejemplo como práctica habitual.</w:t>
      </w:r>
      <w:r w:rsidR="005253AC" w:rsidRPr="00D6704A">
        <w:rPr>
          <w:rFonts w:cs="Arial"/>
          <w:lang w:val="es-ES"/>
        </w:rPr>
        <w:t xml:space="preserve">  </w:t>
      </w:r>
      <w:r w:rsidR="00EE77EF" w:rsidRPr="000D5690">
        <w:rPr>
          <w:rFonts w:cs="Arial"/>
          <w:lang w:val="es-ES_tradnl"/>
        </w:rPr>
        <w:t xml:space="preserve">Sin embargo, el TWF convino en que </w:t>
      </w:r>
      <w:r w:rsidR="00DC2F70" w:rsidRPr="000D5690">
        <w:rPr>
          <w:rFonts w:cs="Arial"/>
          <w:lang w:val="es-ES_tradnl"/>
        </w:rPr>
        <w:t>cuando no se disponía de variedades ejemplo o estas no eran adecuadas para el cultivo en una región geográfica en concreto, la información sobre las variedades ejemplo empleadas en regiones diferentes facilitaba la interpretación de los resultados del examen DHE y el uso de las descripciones de variedades a los fines de la distinción</w:t>
      </w:r>
      <w:r w:rsidR="00EE77EF" w:rsidRPr="000D5690">
        <w:rPr>
          <w:rFonts w:cs="Arial"/>
          <w:lang w:val="es-ES_tradnl"/>
        </w:rPr>
        <w:t>.</w:t>
      </w:r>
    </w:p>
    <w:p w:rsidR="005253AC" w:rsidRPr="00D6704A" w:rsidRDefault="005253AC" w:rsidP="005253AC">
      <w:pPr>
        <w:rPr>
          <w:rFonts w:cs="Arial"/>
          <w:lang w:val="es-ES"/>
        </w:rPr>
      </w:pPr>
    </w:p>
    <w:p w:rsidR="005253AC" w:rsidRPr="00D6704A" w:rsidRDefault="00791298" w:rsidP="005253AC">
      <w:pPr>
        <w:rPr>
          <w:rFonts w:cs="Arial"/>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DC2F70" w:rsidRPr="000D5690">
        <w:rPr>
          <w:rFonts w:cs="Arial"/>
          <w:lang w:val="es-ES_tradnl"/>
        </w:rPr>
        <w:t>El TWF examinó el documento TWF/46/15 “</w:t>
      </w:r>
      <w:proofErr w:type="spellStart"/>
      <w:r w:rsidR="00DC2F70" w:rsidRPr="00D6704A">
        <w:rPr>
          <w:rFonts w:cs="Arial"/>
          <w:i/>
          <w:lang w:val="es-ES"/>
        </w:rPr>
        <w:t>Revision</w:t>
      </w:r>
      <w:proofErr w:type="spellEnd"/>
      <w:r w:rsidR="00DC2F70" w:rsidRPr="00D6704A">
        <w:rPr>
          <w:rFonts w:cs="Arial"/>
          <w:i/>
          <w:lang w:val="es-ES"/>
        </w:rPr>
        <w:t xml:space="preserve"> of </w:t>
      </w:r>
      <w:proofErr w:type="spellStart"/>
      <w:r w:rsidR="00DC2F70" w:rsidRPr="00D6704A">
        <w:rPr>
          <w:rFonts w:cs="Arial"/>
          <w:i/>
          <w:lang w:val="es-ES"/>
        </w:rPr>
        <w:t>document</w:t>
      </w:r>
      <w:proofErr w:type="spellEnd"/>
      <w:r w:rsidR="00DC2F70" w:rsidRPr="00D6704A">
        <w:rPr>
          <w:rFonts w:cs="Arial"/>
          <w:i/>
          <w:lang w:val="es-ES"/>
        </w:rPr>
        <w:t xml:space="preserve"> TGP/8: </w:t>
      </w:r>
      <w:proofErr w:type="spellStart"/>
      <w:r w:rsidR="00DC2F70" w:rsidRPr="00D6704A">
        <w:rPr>
          <w:rFonts w:cs="Arial"/>
          <w:i/>
          <w:lang w:val="es-ES"/>
        </w:rPr>
        <w:t>part</w:t>
      </w:r>
      <w:proofErr w:type="spellEnd"/>
      <w:r w:rsidR="00DC2F70" w:rsidRPr="00D6704A">
        <w:rPr>
          <w:rFonts w:cs="Arial"/>
          <w:i/>
          <w:lang w:val="es-ES"/>
        </w:rPr>
        <w:t xml:space="preserve"> I: DUS Trial </w:t>
      </w:r>
      <w:proofErr w:type="spellStart"/>
      <w:r w:rsidR="00DC2F70" w:rsidRPr="00D6704A">
        <w:rPr>
          <w:rFonts w:cs="Arial"/>
          <w:i/>
          <w:lang w:val="es-ES"/>
        </w:rPr>
        <w:t>Design</w:t>
      </w:r>
      <w:proofErr w:type="spellEnd"/>
      <w:r w:rsidR="00DC2F70" w:rsidRPr="00D6704A">
        <w:rPr>
          <w:rFonts w:cs="Arial"/>
          <w:i/>
          <w:lang w:val="es-ES"/>
        </w:rPr>
        <w:t xml:space="preserve"> and Data </w:t>
      </w:r>
      <w:proofErr w:type="spellStart"/>
      <w:r w:rsidR="00DC2F70" w:rsidRPr="00D6704A">
        <w:rPr>
          <w:rFonts w:cs="Arial"/>
          <w:i/>
          <w:lang w:val="es-ES"/>
        </w:rPr>
        <w:t>Analysis</w:t>
      </w:r>
      <w:proofErr w:type="spellEnd"/>
      <w:r w:rsidR="00DC2F70" w:rsidRPr="00D6704A">
        <w:rPr>
          <w:rFonts w:cs="Arial"/>
          <w:i/>
          <w:lang w:val="es-ES"/>
        </w:rPr>
        <w:t xml:space="preserve">, New </w:t>
      </w:r>
      <w:proofErr w:type="spellStart"/>
      <w:r w:rsidR="00DC2F70" w:rsidRPr="00D6704A">
        <w:rPr>
          <w:rFonts w:cs="Arial"/>
          <w:i/>
          <w:lang w:val="es-ES"/>
        </w:rPr>
        <w:t>Section</w:t>
      </w:r>
      <w:proofErr w:type="spellEnd"/>
      <w:r w:rsidR="00DC2F70" w:rsidRPr="00D6704A">
        <w:rPr>
          <w:rFonts w:cs="Arial"/>
          <w:i/>
          <w:lang w:val="es-ES"/>
        </w:rPr>
        <w:t xml:space="preserve">: </w:t>
      </w:r>
      <w:proofErr w:type="spellStart"/>
      <w:r w:rsidR="00DC2F70" w:rsidRPr="00D6704A">
        <w:rPr>
          <w:rFonts w:cs="Arial"/>
          <w:i/>
          <w:lang w:val="es-ES"/>
        </w:rPr>
        <w:t>Minimizing</w:t>
      </w:r>
      <w:proofErr w:type="spellEnd"/>
      <w:r w:rsidR="00DC2F70" w:rsidRPr="00D6704A">
        <w:rPr>
          <w:rFonts w:cs="Arial"/>
          <w:i/>
          <w:lang w:val="es-ES"/>
        </w:rPr>
        <w:t xml:space="preserve"> </w:t>
      </w:r>
      <w:proofErr w:type="spellStart"/>
      <w:r w:rsidR="00DC2F70" w:rsidRPr="00D6704A">
        <w:rPr>
          <w:rFonts w:cs="Arial"/>
          <w:i/>
          <w:lang w:val="es-ES"/>
        </w:rPr>
        <w:t>the</w:t>
      </w:r>
      <w:proofErr w:type="spellEnd"/>
      <w:r w:rsidR="00DC2F70" w:rsidRPr="00D6704A">
        <w:rPr>
          <w:rFonts w:cs="Arial"/>
          <w:i/>
          <w:lang w:val="es-ES"/>
        </w:rPr>
        <w:t xml:space="preserve"> </w:t>
      </w:r>
      <w:proofErr w:type="spellStart"/>
      <w:r w:rsidR="00DC2F70" w:rsidRPr="00D6704A">
        <w:rPr>
          <w:rFonts w:cs="Arial"/>
          <w:i/>
          <w:lang w:val="es-ES"/>
        </w:rPr>
        <w:t>Variation</w:t>
      </w:r>
      <w:proofErr w:type="spellEnd"/>
      <w:r w:rsidR="00DC2F70" w:rsidRPr="00D6704A">
        <w:rPr>
          <w:rFonts w:cs="Arial"/>
          <w:i/>
          <w:lang w:val="es-ES"/>
        </w:rPr>
        <w:t xml:space="preserve"> </w:t>
      </w:r>
      <w:proofErr w:type="spellStart"/>
      <w:r w:rsidR="00DC2F70" w:rsidRPr="00D6704A">
        <w:rPr>
          <w:rFonts w:cs="Arial"/>
          <w:i/>
          <w:lang w:val="es-ES"/>
        </w:rPr>
        <w:t>Due</w:t>
      </w:r>
      <w:proofErr w:type="spellEnd"/>
      <w:r w:rsidR="00DC2F70" w:rsidRPr="00D6704A">
        <w:rPr>
          <w:rFonts w:cs="Arial"/>
          <w:i/>
          <w:lang w:val="es-ES"/>
        </w:rPr>
        <w:t xml:space="preserve"> to </w:t>
      </w:r>
      <w:proofErr w:type="spellStart"/>
      <w:r w:rsidR="00DC2F70" w:rsidRPr="00D6704A">
        <w:rPr>
          <w:rFonts w:cs="Arial"/>
          <w:i/>
          <w:lang w:val="es-ES"/>
        </w:rPr>
        <w:t>Different</w:t>
      </w:r>
      <w:proofErr w:type="spellEnd"/>
      <w:r w:rsidR="00DC2F70" w:rsidRPr="00D6704A">
        <w:rPr>
          <w:rFonts w:cs="Arial"/>
          <w:i/>
          <w:lang w:val="es-ES"/>
        </w:rPr>
        <w:t xml:space="preserve"> </w:t>
      </w:r>
      <w:proofErr w:type="spellStart"/>
      <w:r w:rsidR="00DC2F70" w:rsidRPr="00D6704A">
        <w:rPr>
          <w:rFonts w:cs="Arial"/>
          <w:i/>
          <w:lang w:val="es-ES"/>
        </w:rPr>
        <w:t>Observers</w:t>
      </w:r>
      <w:proofErr w:type="spellEnd"/>
      <w:r w:rsidR="00DC2F70" w:rsidRPr="000D5690">
        <w:rPr>
          <w:rFonts w:cs="Arial"/>
          <w:lang w:val="es-ES_tradnl"/>
        </w:rPr>
        <w:t>” (Revisión del documento TGP/8: Parte I: Diseño de los ensayos DHE y análisis de datos, nueva sección: Minimizar la variación resultante de la ejecución de los ensayos por distintos observadores).</w:t>
      </w:r>
      <w:r w:rsidR="00E541C9" w:rsidRPr="000D5690">
        <w:rPr>
          <w:rFonts w:cs="Arial"/>
          <w:lang w:val="es-ES_tradnl"/>
        </w:rPr>
        <w:t xml:space="preserve">  </w:t>
      </w:r>
      <w:r w:rsidR="00DC2F70" w:rsidRPr="000D5690">
        <w:rPr>
          <w:rFonts w:cs="Arial"/>
          <w:lang w:val="es-ES_tradnl"/>
        </w:rPr>
        <w:t xml:space="preserve">El </w:t>
      </w:r>
      <w:r w:rsidR="00511133" w:rsidRPr="000D5690">
        <w:rPr>
          <w:rFonts w:cs="Arial"/>
          <w:lang w:val="es-ES_tradnl"/>
        </w:rPr>
        <w:t xml:space="preserve">Sr. Nik Hulse (Australia), redactor del documento, explicó al </w:t>
      </w:r>
      <w:r w:rsidR="00DC2F70" w:rsidRPr="000D5690">
        <w:rPr>
          <w:rFonts w:cs="Arial"/>
          <w:lang w:val="es-ES_tradnl"/>
        </w:rPr>
        <w:t xml:space="preserve">TWF la orientación propuesta </w:t>
      </w:r>
      <w:r w:rsidR="00511133" w:rsidRPr="000D5690">
        <w:rPr>
          <w:rFonts w:cs="Arial"/>
          <w:lang w:val="es-ES_tradnl"/>
        </w:rPr>
        <w:t>sobre la manera de “minimizar la variación resultante de la ejecución de los ensayos por distintos observadores</w:t>
      </w:r>
      <w:r w:rsidR="00DC2F70" w:rsidRPr="000D5690">
        <w:rPr>
          <w:rFonts w:cs="Arial"/>
          <w:lang w:val="es-ES_tradnl"/>
        </w:rPr>
        <w:t>.</w:t>
      </w:r>
      <w:r w:rsidR="00511133" w:rsidRPr="000D5690">
        <w:rPr>
          <w:rFonts w:cs="Arial"/>
          <w:lang w:val="es-ES_tradnl"/>
        </w:rPr>
        <w:t>”</w:t>
      </w:r>
      <w:r w:rsidR="005253AC" w:rsidRPr="00D6704A">
        <w:rPr>
          <w:rFonts w:cs="Arial"/>
          <w:lang w:val="es-ES"/>
        </w:rPr>
        <w:t xml:space="preserve"> </w:t>
      </w:r>
      <w:r w:rsidR="002A5069" w:rsidRPr="000D5690">
        <w:rPr>
          <w:rFonts w:cs="Arial"/>
          <w:lang w:val="es-ES_tradnl"/>
        </w:rPr>
        <w:t>El TWF suscribió el proyecto de orientación que se recoge en el Anexo del documento TWF/46/15, para su inclusión en una futura revisión del documento TGP/8 sobre la manera de minimizar la variación resultante de la ejecución de los ensayos por distintos observadores, con el cambio de redacción que se expone en el párrafo 39 del documento TWF/46/29 Rev.</w:t>
      </w:r>
      <w:r w:rsidR="005253AC" w:rsidRPr="00D6704A">
        <w:rPr>
          <w:rFonts w:cs="Arial"/>
          <w:lang w:val="es-ES"/>
        </w:rPr>
        <w:t xml:space="preserve"> </w:t>
      </w:r>
      <w:r w:rsidR="002A5069" w:rsidRPr="000D5690">
        <w:rPr>
          <w:rFonts w:cs="Arial"/>
          <w:lang w:val="es-ES_tradnl"/>
        </w:rPr>
        <w:t>El TWF recordó que, en su cuadragésima quinta sesión, convino en la importancia de minimizar la variación entre distintos observadores así como entre autoridades, y propuso considerar la posibilidad de emprender un proyecto sobre la descripción armonizada de variedades para un conjunto de variedades acordado.</w:t>
      </w:r>
    </w:p>
    <w:p w:rsidR="005253AC" w:rsidRPr="00D6704A" w:rsidRDefault="005253AC" w:rsidP="005253AC">
      <w:pPr>
        <w:rPr>
          <w:rFonts w:cs="Arial"/>
          <w:lang w:val="es-ES"/>
        </w:rPr>
      </w:pPr>
    </w:p>
    <w:p w:rsidR="005253AC" w:rsidRPr="00D6704A" w:rsidRDefault="00791298" w:rsidP="005253AC">
      <w:pPr>
        <w:rPr>
          <w:rFonts w:cs="Arial"/>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943B88" w:rsidRPr="000D5690">
        <w:rPr>
          <w:rFonts w:cs="Arial"/>
          <w:lang w:val="es-ES_tradnl"/>
        </w:rPr>
        <w:t xml:space="preserve">El TWF examinó el documento TWF/46/27 </w:t>
      </w:r>
      <w:r w:rsidR="008B31EF" w:rsidRPr="000D5690">
        <w:rPr>
          <w:rFonts w:cs="Arial"/>
          <w:lang w:val="es-ES_tradnl"/>
        </w:rPr>
        <w:t>“</w:t>
      </w:r>
      <w:proofErr w:type="spellStart"/>
      <w:r w:rsidR="008B31EF" w:rsidRPr="00D6704A">
        <w:rPr>
          <w:rFonts w:cs="Arial"/>
          <w:i/>
          <w:lang w:val="es-ES"/>
        </w:rPr>
        <w:t>Harmonized</w:t>
      </w:r>
      <w:proofErr w:type="spellEnd"/>
      <w:r w:rsidR="008B31EF" w:rsidRPr="00D6704A">
        <w:rPr>
          <w:rFonts w:cs="Arial"/>
          <w:i/>
          <w:lang w:val="es-ES"/>
        </w:rPr>
        <w:t xml:space="preserve"> </w:t>
      </w:r>
      <w:proofErr w:type="spellStart"/>
      <w:r w:rsidR="008B31EF" w:rsidRPr="00D6704A">
        <w:rPr>
          <w:rFonts w:cs="Arial"/>
          <w:i/>
          <w:lang w:val="es-ES"/>
        </w:rPr>
        <w:t>example</w:t>
      </w:r>
      <w:proofErr w:type="spellEnd"/>
      <w:r w:rsidR="008B31EF" w:rsidRPr="00D6704A">
        <w:rPr>
          <w:rFonts w:cs="Arial"/>
          <w:i/>
          <w:lang w:val="es-ES"/>
        </w:rPr>
        <w:t xml:space="preserve"> </w:t>
      </w:r>
      <w:proofErr w:type="spellStart"/>
      <w:r w:rsidR="008B31EF" w:rsidRPr="00D6704A">
        <w:rPr>
          <w:rFonts w:cs="Arial"/>
          <w:i/>
          <w:lang w:val="es-ES"/>
        </w:rPr>
        <w:t>varieties</w:t>
      </w:r>
      <w:proofErr w:type="spellEnd"/>
      <w:r w:rsidR="008B31EF" w:rsidRPr="00D6704A">
        <w:rPr>
          <w:rFonts w:cs="Arial"/>
          <w:i/>
          <w:lang w:val="es-ES"/>
        </w:rPr>
        <w:t xml:space="preserve"> </w:t>
      </w:r>
      <w:proofErr w:type="spellStart"/>
      <w:r w:rsidR="008B31EF" w:rsidRPr="00D6704A">
        <w:rPr>
          <w:rFonts w:cs="Arial"/>
          <w:i/>
          <w:lang w:val="es-ES"/>
        </w:rPr>
        <w:t>for</w:t>
      </w:r>
      <w:proofErr w:type="spellEnd"/>
      <w:r w:rsidR="008B31EF" w:rsidRPr="00D6704A">
        <w:rPr>
          <w:rFonts w:cs="Arial"/>
          <w:i/>
          <w:lang w:val="es-ES"/>
        </w:rPr>
        <w:t xml:space="preserve"> Apple</w:t>
      </w:r>
      <w:proofErr w:type="gramStart"/>
      <w:r w:rsidR="008B31EF" w:rsidRPr="00D6704A">
        <w:rPr>
          <w:rFonts w:cs="Arial"/>
          <w:i/>
          <w:lang w:val="es-ES"/>
        </w:rPr>
        <w:t xml:space="preserve">:  </w:t>
      </w:r>
      <w:proofErr w:type="spellStart"/>
      <w:r w:rsidR="008B31EF" w:rsidRPr="00D6704A">
        <w:rPr>
          <w:rFonts w:cs="Arial"/>
          <w:i/>
          <w:lang w:val="es-ES"/>
        </w:rPr>
        <w:t>historical</w:t>
      </w:r>
      <w:proofErr w:type="spellEnd"/>
      <w:proofErr w:type="gramEnd"/>
      <w:r w:rsidR="008B31EF" w:rsidRPr="00D6704A">
        <w:rPr>
          <w:rFonts w:cs="Arial"/>
          <w:i/>
          <w:lang w:val="es-ES"/>
        </w:rPr>
        <w:t xml:space="preserve"> data and </w:t>
      </w:r>
      <w:proofErr w:type="spellStart"/>
      <w:r w:rsidR="008B31EF" w:rsidRPr="00D6704A">
        <w:rPr>
          <w:rFonts w:cs="Arial"/>
          <w:i/>
          <w:lang w:val="es-ES"/>
        </w:rPr>
        <w:t>possible</w:t>
      </w:r>
      <w:proofErr w:type="spellEnd"/>
      <w:r w:rsidR="008B31EF" w:rsidRPr="00D6704A">
        <w:rPr>
          <w:rFonts w:cs="Arial"/>
          <w:i/>
          <w:lang w:val="es-ES"/>
        </w:rPr>
        <w:t xml:space="preserve"> new </w:t>
      </w:r>
      <w:proofErr w:type="spellStart"/>
      <w:r w:rsidR="008B31EF" w:rsidRPr="00D6704A">
        <w:rPr>
          <w:rFonts w:cs="Arial"/>
          <w:i/>
          <w:lang w:val="es-ES"/>
        </w:rPr>
        <w:t>development</w:t>
      </w:r>
      <w:proofErr w:type="spellEnd"/>
      <w:r w:rsidR="008B31EF" w:rsidRPr="000D5690">
        <w:rPr>
          <w:rFonts w:cs="Arial"/>
          <w:lang w:val="es-ES_tradnl"/>
        </w:rPr>
        <w:t>” (V</w:t>
      </w:r>
      <w:r w:rsidR="00943B88" w:rsidRPr="000D5690">
        <w:rPr>
          <w:rFonts w:cs="Arial"/>
          <w:lang w:val="es-ES_tradnl"/>
        </w:rPr>
        <w:t xml:space="preserve">ariedades ejemplo armonizadas </w:t>
      </w:r>
      <w:r w:rsidR="008B31EF" w:rsidRPr="000D5690">
        <w:rPr>
          <w:rFonts w:cs="Arial"/>
          <w:lang w:val="es-ES_tradnl"/>
        </w:rPr>
        <w:t>del manzano</w:t>
      </w:r>
      <w:r w:rsidR="00943B88" w:rsidRPr="000D5690">
        <w:rPr>
          <w:rFonts w:cs="Arial"/>
          <w:lang w:val="es-ES_tradnl"/>
        </w:rPr>
        <w:t>: datos históricos y posible</w:t>
      </w:r>
      <w:r w:rsidR="008B31EF" w:rsidRPr="000D5690">
        <w:rPr>
          <w:rFonts w:cs="Arial"/>
          <w:lang w:val="es-ES_tradnl"/>
        </w:rPr>
        <w:t>s</w:t>
      </w:r>
      <w:r w:rsidR="00943B88" w:rsidRPr="000D5690">
        <w:rPr>
          <w:rFonts w:cs="Arial"/>
          <w:lang w:val="es-ES_tradnl"/>
        </w:rPr>
        <w:t xml:space="preserve"> no</w:t>
      </w:r>
      <w:r w:rsidR="008B31EF" w:rsidRPr="000D5690">
        <w:rPr>
          <w:rFonts w:cs="Arial"/>
          <w:lang w:val="es-ES_tradnl"/>
        </w:rPr>
        <w:t>vedade</w:t>
      </w:r>
      <w:r w:rsidR="00943B88" w:rsidRPr="000D5690">
        <w:rPr>
          <w:rFonts w:cs="Arial"/>
          <w:lang w:val="es-ES_tradnl"/>
        </w:rPr>
        <w:t>s</w:t>
      </w:r>
      <w:r w:rsidR="008B31EF" w:rsidRPr="000D5690">
        <w:rPr>
          <w:rFonts w:cs="Arial"/>
          <w:lang w:val="es-ES_tradnl"/>
        </w:rPr>
        <w:t>)</w:t>
      </w:r>
      <w:r w:rsidR="00943B88" w:rsidRPr="000D5690">
        <w:rPr>
          <w:rFonts w:cs="Arial"/>
          <w:lang w:val="es-ES_tradnl"/>
        </w:rPr>
        <w:t>.</w:t>
      </w:r>
      <w:r w:rsidR="005253AC" w:rsidRPr="00D6704A">
        <w:rPr>
          <w:rFonts w:cs="Arial"/>
          <w:lang w:val="es-ES"/>
        </w:rPr>
        <w:t xml:space="preserve"> </w:t>
      </w:r>
      <w:r w:rsidR="008B31EF" w:rsidRPr="000D5690">
        <w:rPr>
          <w:rFonts w:cs="Arial"/>
          <w:lang w:val="es-ES_tradnl"/>
        </w:rPr>
        <w:t xml:space="preserve">El TWF </w:t>
      </w:r>
      <w:r w:rsidR="003831FF" w:rsidRPr="000D5690">
        <w:rPr>
          <w:rFonts w:cs="Arial"/>
          <w:lang w:val="es-ES_tradnl"/>
        </w:rPr>
        <w:t>convino en que resultaría útil elaborar orientaciones sobre el modo de reducir al mínimo la variación entre autoridades, y acordó considerar la posibilidad de confeccionar un manual comparativo para la armonización de las descripciones de variedades</w:t>
      </w:r>
      <w:r w:rsidR="008B31EF" w:rsidRPr="000D5690">
        <w:rPr>
          <w:rFonts w:cs="Arial"/>
          <w:lang w:val="es-ES_tradnl"/>
        </w:rPr>
        <w:t>.</w:t>
      </w:r>
      <w:r w:rsidR="005253AC" w:rsidRPr="00D6704A">
        <w:rPr>
          <w:rFonts w:cs="Arial"/>
          <w:lang w:val="es-ES"/>
        </w:rPr>
        <w:t xml:space="preserve"> </w:t>
      </w:r>
      <w:r w:rsidR="003831FF" w:rsidRPr="000D5690">
        <w:rPr>
          <w:rFonts w:cs="Arial"/>
          <w:lang w:val="es-ES_tradnl"/>
        </w:rPr>
        <w:t xml:space="preserve">El TWF decidió que el Sr. Jean </w:t>
      </w:r>
      <w:proofErr w:type="spellStart"/>
      <w:r w:rsidR="003831FF" w:rsidRPr="000D5690">
        <w:rPr>
          <w:rFonts w:cs="Arial"/>
          <w:lang w:val="es-ES_tradnl"/>
        </w:rPr>
        <w:t>Maison</w:t>
      </w:r>
      <w:proofErr w:type="spellEnd"/>
      <w:r w:rsidR="003831FF" w:rsidRPr="000D5690">
        <w:rPr>
          <w:rFonts w:cs="Arial"/>
          <w:lang w:val="es-ES_tradnl"/>
        </w:rPr>
        <w:t xml:space="preserve"> (Unión Europea) coordine el proyecto y seleccione variedades que distintos miembros de la UPOV hayan descrito utilizando la versión actual de las directrices de examen del manzano.</w:t>
      </w:r>
      <w:r w:rsidR="005253AC" w:rsidRPr="00D6704A">
        <w:rPr>
          <w:rFonts w:cs="Arial"/>
          <w:lang w:val="es-ES"/>
        </w:rPr>
        <w:t xml:space="preserve">   </w:t>
      </w:r>
    </w:p>
    <w:p w:rsidR="005253AC" w:rsidRPr="00D6704A" w:rsidRDefault="005253AC" w:rsidP="005253AC">
      <w:pPr>
        <w:rPr>
          <w:rFonts w:cs="Arial"/>
          <w:lang w:val="es-ES"/>
        </w:rPr>
      </w:pPr>
    </w:p>
    <w:p w:rsidR="005253AC" w:rsidRPr="00D6704A" w:rsidRDefault="00791298" w:rsidP="005253AC">
      <w:pPr>
        <w:rPr>
          <w:rFonts w:cs="Arial"/>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3831FF" w:rsidRPr="000D5690">
        <w:rPr>
          <w:rFonts w:cs="Arial"/>
          <w:lang w:val="es-ES_tradnl"/>
        </w:rPr>
        <w:t>El TWF examinó el documento TWF/46/10 “</w:t>
      </w:r>
      <w:proofErr w:type="spellStart"/>
      <w:r w:rsidR="003831FF" w:rsidRPr="000D5690">
        <w:rPr>
          <w:rFonts w:cs="Arial"/>
          <w:i/>
          <w:lang w:val="es-ES_tradnl"/>
        </w:rPr>
        <w:t>Matters</w:t>
      </w:r>
      <w:proofErr w:type="spellEnd"/>
      <w:r w:rsidR="003831FF" w:rsidRPr="000D5690">
        <w:rPr>
          <w:rFonts w:cs="Arial"/>
          <w:i/>
          <w:lang w:val="es-ES_tradnl"/>
        </w:rPr>
        <w:t xml:space="preserve"> </w:t>
      </w:r>
      <w:proofErr w:type="spellStart"/>
      <w:r w:rsidR="003831FF" w:rsidRPr="000D5690">
        <w:rPr>
          <w:rFonts w:cs="Arial"/>
          <w:i/>
          <w:lang w:val="es-ES_tradnl"/>
        </w:rPr>
        <w:t>concerning</w:t>
      </w:r>
      <w:proofErr w:type="spellEnd"/>
      <w:r w:rsidR="003831FF" w:rsidRPr="000D5690">
        <w:rPr>
          <w:rFonts w:cs="Arial"/>
          <w:i/>
          <w:lang w:val="es-ES_tradnl"/>
        </w:rPr>
        <w:t xml:space="preserve"> </w:t>
      </w:r>
      <w:proofErr w:type="spellStart"/>
      <w:r w:rsidR="003831FF" w:rsidRPr="000D5690">
        <w:rPr>
          <w:rFonts w:cs="Arial"/>
          <w:i/>
          <w:lang w:val="es-ES_tradnl"/>
        </w:rPr>
        <w:t>variety</w:t>
      </w:r>
      <w:proofErr w:type="spellEnd"/>
      <w:r w:rsidR="003831FF" w:rsidRPr="000D5690">
        <w:rPr>
          <w:rFonts w:cs="Arial"/>
          <w:i/>
          <w:lang w:val="es-ES_tradnl"/>
        </w:rPr>
        <w:t xml:space="preserve"> </w:t>
      </w:r>
      <w:proofErr w:type="spellStart"/>
      <w:r w:rsidR="003831FF" w:rsidRPr="000D5690">
        <w:rPr>
          <w:rFonts w:cs="Arial"/>
          <w:i/>
          <w:lang w:val="es-ES_tradnl"/>
        </w:rPr>
        <w:t>descriptions</w:t>
      </w:r>
      <w:proofErr w:type="spellEnd"/>
      <w:r w:rsidR="003831FF" w:rsidRPr="000D5690">
        <w:rPr>
          <w:rFonts w:cs="Arial"/>
          <w:lang w:val="es-ES_tradnl"/>
        </w:rPr>
        <w:t>” (Asuntos relativos a las descripciones de variedades) y asistió a una ponencia de un experto de la Unión Europea titulada “Experiencia relativa a las descripciones de variedades y el control del mantenimiento de la variedad en la Oficina Comunitaria de Variedades Vegetales (OCVV) de la Unión Europea”.</w:t>
      </w:r>
      <w:r w:rsidR="005253AC" w:rsidRPr="00D6704A">
        <w:rPr>
          <w:rFonts w:cs="Arial"/>
          <w:lang w:val="es-ES"/>
        </w:rPr>
        <w:t xml:space="preserve"> </w:t>
      </w:r>
      <w:r w:rsidR="003831FF" w:rsidRPr="000D5690">
        <w:rPr>
          <w:rFonts w:cs="Arial"/>
          <w:lang w:val="es-ES_tradnl"/>
        </w:rPr>
        <w:t>El TWF convino en que el material vegetal uti</w:t>
      </w:r>
      <w:r w:rsidR="00E541C9" w:rsidRPr="000D5690">
        <w:rPr>
          <w:rFonts w:cs="Arial"/>
          <w:lang w:val="es-ES_tradnl"/>
        </w:rPr>
        <w:t>lizado como base para el examen </w:t>
      </w:r>
      <w:r w:rsidR="003831FF" w:rsidRPr="000D5690">
        <w:rPr>
          <w:rFonts w:cs="Arial"/>
          <w:lang w:val="es-ES_tradnl"/>
        </w:rPr>
        <w:t>DHE era representativo de la variedad protegida.</w:t>
      </w:r>
      <w:r w:rsidR="005253AC" w:rsidRPr="00D6704A">
        <w:rPr>
          <w:rFonts w:cs="Arial"/>
          <w:lang w:val="es-ES"/>
        </w:rPr>
        <w:t xml:space="preserve">  </w:t>
      </w:r>
      <w:r w:rsidR="003831FF" w:rsidRPr="000D5690">
        <w:rPr>
          <w:rFonts w:cs="Arial"/>
          <w:lang w:val="es-ES_tradnl"/>
        </w:rPr>
        <w:t xml:space="preserve">El TWF </w:t>
      </w:r>
      <w:r w:rsidR="00E541C9" w:rsidRPr="000D5690">
        <w:rPr>
          <w:rFonts w:cs="Arial"/>
          <w:lang w:val="es-ES_tradnl"/>
        </w:rPr>
        <w:t xml:space="preserve">convino </w:t>
      </w:r>
      <w:r w:rsidR="003831FF" w:rsidRPr="000D5690">
        <w:rPr>
          <w:rFonts w:cs="Arial"/>
          <w:lang w:val="es-ES_tradnl"/>
        </w:rPr>
        <w:t>en que, siempre que fuera posible, las autoridades debían conservar una muestra de referencia del material vegetal de una variedad protegida y en que la descripción de una variedad vegetal tenía limitaciones debido a su relación con las circunstancias del examen DHE; no obstante, era un elemento importante de su sistema de protección de variedades y un instrumento útil para el análisis de la distinción.</w:t>
      </w:r>
    </w:p>
    <w:p w:rsidR="005253AC" w:rsidRPr="00D6704A" w:rsidRDefault="005253AC" w:rsidP="005253AC">
      <w:pPr>
        <w:rPr>
          <w:rFonts w:cs="Arial"/>
          <w:lang w:val="es-ES"/>
        </w:rPr>
      </w:pPr>
    </w:p>
    <w:p w:rsidR="005253AC" w:rsidRPr="00D6704A" w:rsidRDefault="00791298" w:rsidP="005253AC">
      <w:pPr>
        <w:rPr>
          <w:rFonts w:cs="Arial"/>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3831FF" w:rsidRPr="000D5690">
        <w:rPr>
          <w:rFonts w:cs="Arial"/>
          <w:lang w:val="es-ES_tradnl"/>
        </w:rPr>
        <w:t xml:space="preserve">El </w:t>
      </w:r>
      <w:r w:rsidR="003B07B7" w:rsidRPr="000D5690">
        <w:rPr>
          <w:rFonts w:cs="Arial"/>
          <w:lang w:val="es-ES_tradnl"/>
        </w:rPr>
        <w:t xml:space="preserve">TWF </w:t>
      </w:r>
      <w:r w:rsidR="003831FF" w:rsidRPr="000D5690">
        <w:rPr>
          <w:rFonts w:cs="Arial"/>
          <w:lang w:val="es-ES_tradnl"/>
        </w:rPr>
        <w:t xml:space="preserve">examinó el documento </w:t>
      </w:r>
      <w:r w:rsidR="003B07B7" w:rsidRPr="000D5690">
        <w:rPr>
          <w:rFonts w:cs="Arial"/>
          <w:lang w:val="es-ES_tradnl"/>
        </w:rPr>
        <w:t>TWF</w:t>
      </w:r>
      <w:r w:rsidR="003831FF" w:rsidRPr="000D5690">
        <w:rPr>
          <w:rFonts w:cs="Arial"/>
          <w:lang w:val="es-ES_tradnl"/>
        </w:rPr>
        <w:t xml:space="preserve">/46/2 </w:t>
      </w:r>
      <w:r w:rsidR="003B07B7" w:rsidRPr="000D5690">
        <w:rPr>
          <w:rFonts w:cs="Arial"/>
          <w:lang w:val="es-ES_tradnl"/>
        </w:rPr>
        <w:t>“</w:t>
      </w:r>
      <w:r w:rsidR="003B07B7" w:rsidRPr="000D5690">
        <w:rPr>
          <w:rFonts w:cs="Arial"/>
          <w:i/>
          <w:lang w:val="es-ES_tradnl"/>
        </w:rPr>
        <w:t xml:space="preserve">Molecular </w:t>
      </w:r>
      <w:proofErr w:type="spellStart"/>
      <w:r w:rsidR="003B07B7" w:rsidRPr="000D5690">
        <w:rPr>
          <w:rFonts w:cs="Arial"/>
          <w:i/>
          <w:lang w:val="es-ES_tradnl"/>
        </w:rPr>
        <w:t>Techniques</w:t>
      </w:r>
      <w:proofErr w:type="spellEnd"/>
      <w:r w:rsidR="003B07B7" w:rsidRPr="000D5690">
        <w:rPr>
          <w:rFonts w:cs="Arial"/>
          <w:lang w:val="es-ES_tradnl"/>
        </w:rPr>
        <w:t>”</w:t>
      </w:r>
      <w:r w:rsidR="003831FF" w:rsidRPr="000D5690">
        <w:rPr>
          <w:rFonts w:cs="Arial"/>
          <w:lang w:val="es-ES_tradnl"/>
        </w:rPr>
        <w:t xml:space="preserve"> </w:t>
      </w:r>
      <w:r w:rsidR="003B07B7" w:rsidRPr="000D5690">
        <w:rPr>
          <w:rFonts w:cs="Arial"/>
          <w:lang w:val="es-ES_tradnl"/>
        </w:rPr>
        <w:t>(T</w:t>
      </w:r>
      <w:r w:rsidR="003831FF" w:rsidRPr="000D5690">
        <w:rPr>
          <w:rFonts w:cs="Arial"/>
          <w:lang w:val="es-ES_tradnl"/>
        </w:rPr>
        <w:t>écnicas moleculares</w:t>
      </w:r>
      <w:r w:rsidR="003B07B7" w:rsidRPr="000D5690">
        <w:rPr>
          <w:rFonts w:cs="Arial"/>
          <w:lang w:val="es-ES_tradnl"/>
        </w:rPr>
        <w:t>)</w:t>
      </w:r>
      <w:r w:rsidR="003831FF" w:rsidRPr="000D5690">
        <w:rPr>
          <w:rFonts w:cs="Arial"/>
          <w:lang w:val="es-ES_tradnl"/>
        </w:rPr>
        <w:t>.</w:t>
      </w:r>
      <w:r w:rsidR="005253AC" w:rsidRPr="00D6704A">
        <w:rPr>
          <w:rFonts w:cs="Arial"/>
          <w:lang w:val="es-ES"/>
        </w:rPr>
        <w:t xml:space="preserve"> </w:t>
      </w:r>
      <w:r w:rsidR="003B07B7" w:rsidRPr="000D5690">
        <w:rPr>
          <w:rFonts w:cs="Arial"/>
          <w:snapToGrid w:val="0"/>
          <w:lang w:val="es-ES_tradnl"/>
        </w:rPr>
        <w:t xml:space="preserve">El TWF examinó la propuesta inicial de pregunta y respuesta relativa a la información sobre la situación en la UPOV en lo que respecta al uso de técnicas moleculares, para un público más amplio, que incluya al público en general, debatida en la quincuagésima primera sesión del TC, según se reproduce en el párrafo 32 del documento TWF/46/2, y coincidió con el TWA en que su redacción debe ser la siguiente (véase el párrafo 72 del documento TWF/46/29 Rev. </w:t>
      </w:r>
      <w:r w:rsidR="003B07B7" w:rsidRPr="000D5690">
        <w:rPr>
          <w:rFonts w:cs="Arial"/>
          <w:lang w:val="es-ES_tradnl"/>
        </w:rPr>
        <w:t>“</w:t>
      </w:r>
      <w:proofErr w:type="spellStart"/>
      <w:r w:rsidR="003B07B7" w:rsidRPr="000D5690">
        <w:rPr>
          <w:rFonts w:cs="Arial"/>
          <w:i/>
          <w:lang w:val="es-ES_tradnl"/>
        </w:rPr>
        <w:t>Revised</w:t>
      </w:r>
      <w:proofErr w:type="spellEnd"/>
      <w:r w:rsidR="003B07B7" w:rsidRPr="000D5690">
        <w:rPr>
          <w:rFonts w:cs="Arial"/>
          <w:i/>
          <w:lang w:val="es-ES_tradnl"/>
        </w:rPr>
        <w:t xml:space="preserve"> </w:t>
      </w:r>
      <w:proofErr w:type="spellStart"/>
      <w:r w:rsidR="003B07B7" w:rsidRPr="000D5690">
        <w:rPr>
          <w:rFonts w:cs="Arial"/>
          <w:i/>
          <w:lang w:val="es-ES_tradnl"/>
        </w:rPr>
        <w:t>Report</w:t>
      </w:r>
      <w:proofErr w:type="spellEnd"/>
      <w:r w:rsidR="003B07B7" w:rsidRPr="000D5690">
        <w:rPr>
          <w:rFonts w:cs="Arial"/>
          <w:lang w:val="es-ES_tradnl"/>
        </w:rPr>
        <w:t>”:</w:t>
      </w:r>
      <w:r w:rsidR="003B07B7" w:rsidRPr="000D5690">
        <w:rPr>
          <w:rFonts w:cs="Arial"/>
          <w:snapToGrid w:val="0"/>
          <w:lang w:val="es-ES_tradnl"/>
        </w:rPr>
        <w:t xml:space="preserve"> Informe revisado):</w:t>
      </w:r>
    </w:p>
    <w:p w:rsidR="005253AC" w:rsidRPr="00D6704A" w:rsidRDefault="005253AC" w:rsidP="005253AC">
      <w:pPr>
        <w:rPr>
          <w:rFonts w:cs="Arial"/>
          <w:lang w:val="es-ES"/>
        </w:rPr>
      </w:pPr>
    </w:p>
    <w:p w:rsidR="005253AC" w:rsidRPr="00D6704A" w:rsidRDefault="003B07B7" w:rsidP="007703AE">
      <w:pPr>
        <w:keepNext/>
        <w:ind w:left="567"/>
        <w:rPr>
          <w:sz w:val="18"/>
          <w:lang w:val="es-ES"/>
        </w:rPr>
      </w:pPr>
      <w:r w:rsidRPr="000D5690">
        <w:rPr>
          <w:sz w:val="18"/>
          <w:lang w:val="es-ES_tradnl"/>
        </w:rPr>
        <w:t>“¿Es posible obtener la protección de una variedad sobre la base de su perfil de ADN?</w:t>
      </w:r>
    </w:p>
    <w:p w:rsidR="005253AC" w:rsidRPr="00D6704A" w:rsidRDefault="005253AC" w:rsidP="007703AE">
      <w:pPr>
        <w:keepNext/>
        <w:ind w:left="567" w:right="567"/>
        <w:rPr>
          <w:sz w:val="18"/>
          <w:lang w:val="es-ES"/>
        </w:rPr>
      </w:pPr>
    </w:p>
    <w:p w:rsidR="005253AC" w:rsidRPr="00D6704A" w:rsidRDefault="003B07B7" w:rsidP="005253AC">
      <w:pPr>
        <w:ind w:left="567" w:right="567"/>
        <w:rPr>
          <w:strike/>
          <w:sz w:val="18"/>
          <w:lang w:val="es-ES"/>
        </w:rPr>
      </w:pPr>
      <w:r w:rsidRPr="000D5690">
        <w:rPr>
          <w:sz w:val="18"/>
          <w:lang w:val="es-ES_tradnl"/>
        </w:rPr>
        <w:t>“</w:t>
      </w:r>
      <w:r w:rsidRPr="0060664B">
        <w:rPr>
          <w:sz w:val="18"/>
          <w:highlight w:val="lightGray"/>
          <w:u w:val="single"/>
          <w:lang w:val="es-ES_tradnl"/>
        </w:rPr>
        <w:t>La protección de una variedad no puede basarse en los perfiles de ADN.</w:t>
      </w:r>
      <w:r w:rsidR="005253AC" w:rsidRPr="00D6704A">
        <w:rPr>
          <w:sz w:val="18"/>
          <w:lang w:val="es-ES"/>
        </w:rPr>
        <w:t xml:space="preserve"> </w:t>
      </w:r>
      <w:r w:rsidR="00A259EC" w:rsidRPr="000D5690">
        <w:rPr>
          <w:sz w:val="18"/>
          <w:lang w:val="es-ES_tradnl"/>
        </w:rPr>
        <w:t>Para obtener protección, una variedad ha de poder distinguirse claramente de todas las variedades existentes, sobre la base de caracteres que se expresan físicamente, por ejemplo, altura de la planta, época de floración, color del fruto, resistencia a las enfermedades, etcétera.</w:t>
      </w:r>
      <w:r w:rsidR="005253AC" w:rsidRPr="00D6704A">
        <w:rPr>
          <w:sz w:val="18"/>
          <w:lang w:val="es-ES"/>
        </w:rPr>
        <w:t xml:space="preserve">  </w:t>
      </w:r>
      <w:r w:rsidR="00A259EC" w:rsidRPr="0060664B">
        <w:rPr>
          <w:strike/>
          <w:sz w:val="18"/>
          <w:highlight w:val="lightGray"/>
          <w:lang w:val="es-ES_tradnl"/>
        </w:rPr>
        <w:t>[Las técnicas moleculares (los perfiles de ADN) pueden utilizarse como información complementaria].</w:t>
      </w:r>
      <w:r w:rsidR="0060664B" w:rsidRPr="00D6704A">
        <w:rPr>
          <w:sz w:val="18"/>
          <w:lang w:val="es-ES"/>
        </w:rPr>
        <w:t>”</w:t>
      </w:r>
    </w:p>
    <w:p w:rsidR="005253AC" w:rsidRPr="00D6704A" w:rsidRDefault="005253AC" w:rsidP="005253AC">
      <w:pPr>
        <w:rPr>
          <w:rFonts w:cs="Arial"/>
          <w:snapToGrid w:val="0"/>
          <w:lang w:val="es-ES"/>
        </w:rPr>
      </w:pPr>
    </w:p>
    <w:p w:rsidR="005253AC" w:rsidRPr="00D6704A" w:rsidRDefault="00791298" w:rsidP="005253AC">
      <w:pPr>
        <w:rPr>
          <w:rFonts w:cs="Arial"/>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7115E8" w:rsidRPr="000D5690">
        <w:rPr>
          <w:rFonts w:cs="Arial"/>
          <w:lang w:val="es-ES_tradnl"/>
        </w:rPr>
        <w:t>El TWF examinó el documento TWF/46/25 </w:t>
      </w:r>
      <w:proofErr w:type="spellStart"/>
      <w:r w:rsidR="007115E8" w:rsidRPr="000D5690">
        <w:rPr>
          <w:rFonts w:cs="Arial"/>
          <w:lang w:val="es-ES_tradnl"/>
        </w:rPr>
        <w:t>Rev</w:t>
      </w:r>
      <w:proofErr w:type="spellEnd"/>
      <w:r w:rsidR="007115E8" w:rsidRPr="000D5690">
        <w:rPr>
          <w:rFonts w:cs="Arial"/>
          <w:lang w:val="es-ES_tradnl"/>
        </w:rPr>
        <w:t xml:space="preserve"> “</w:t>
      </w:r>
      <w:proofErr w:type="spellStart"/>
      <w:r w:rsidR="007115E8" w:rsidRPr="00D6704A">
        <w:rPr>
          <w:rFonts w:cs="Arial"/>
          <w:i/>
          <w:lang w:val="es-ES"/>
        </w:rPr>
        <w:t>Duration</w:t>
      </w:r>
      <w:proofErr w:type="spellEnd"/>
      <w:r w:rsidR="007115E8" w:rsidRPr="00D6704A">
        <w:rPr>
          <w:rFonts w:cs="Arial"/>
          <w:i/>
          <w:lang w:val="es-ES"/>
        </w:rPr>
        <w:t xml:space="preserve"> of DUS </w:t>
      </w:r>
      <w:proofErr w:type="spellStart"/>
      <w:r w:rsidR="007115E8" w:rsidRPr="00D6704A">
        <w:rPr>
          <w:rFonts w:cs="Arial"/>
          <w:i/>
          <w:lang w:val="es-ES"/>
        </w:rPr>
        <w:t>tests</w:t>
      </w:r>
      <w:proofErr w:type="spellEnd"/>
      <w:r w:rsidR="007115E8" w:rsidRPr="00D6704A">
        <w:rPr>
          <w:rFonts w:cs="Arial"/>
          <w:i/>
          <w:lang w:val="es-ES"/>
        </w:rPr>
        <w:t xml:space="preserve"> in </w:t>
      </w:r>
      <w:proofErr w:type="spellStart"/>
      <w:r w:rsidR="007115E8" w:rsidRPr="00D6704A">
        <w:rPr>
          <w:rFonts w:cs="Arial"/>
          <w:i/>
          <w:lang w:val="es-ES"/>
        </w:rPr>
        <w:t>the</w:t>
      </w:r>
      <w:proofErr w:type="spellEnd"/>
      <w:r w:rsidR="007115E8" w:rsidRPr="00D6704A">
        <w:rPr>
          <w:rFonts w:cs="Arial"/>
          <w:i/>
          <w:lang w:val="es-ES"/>
        </w:rPr>
        <w:t xml:space="preserve"> </w:t>
      </w:r>
      <w:proofErr w:type="spellStart"/>
      <w:r w:rsidR="007115E8" w:rsidRPr="00D6704A">
        <w:rPr>
          <w:rFonts w:cs="Arial"/>
          <w:i/>
          <w:lang w:val="es-ES"/>
        </w:rPr>
        <w:t>fruit</w:t>
      </w:r>
      <w:proofErr w:type="spellEnd"/>
      <w:r w:rsidR="007115E8" w:rsidRPr="00D6704A">
        <w:rPr>
          <w:rFonts w:cs="Arial"/>
          <w:i/>
          <w:lang w:val="es-ES"/>
        </w:rPr>
        <w:t xml:space="preserve"> </w:t>
      </w:r>
      <w:proofErr w:type="spellStart"/>
      <w:r w:rsidR="007115E8" w:rsidRPr="00D6704A">
        <w:rPr>
          <w:rFonts w:cs="Arial"/>
          <w:i/>
          <w:lang w:val="es-ES"/>
        </w:rPr>
        <w:t>secto</w:t>
      </w:r>
      <w:proofErr w:type="spellEnd"/>
      <w:r w:rsidR="007115E8" w:rsidRPr="000D5690">
        <w:rPr>
          <w:rFonts w:cs="Arial"/>
          <w:i/>
          <w:lang w:val="es-ES_tradnl"/>
        </w:rPr>
        <w:t>r</w:t>
      </w:r>
      <w:r w:rsidR="007115E8" w:rsidRPr="000D5690">
        <w:rPr>
          <w:rFonts w:cs="Arial"/>
          <w:lang w:val="es-ES_tradnl"/>
        </w:rPr>
        <w:t>” (Duración de los exámenes DHE en el sector frutícola).</w:t>
      </w:r>
      <w:r w:rsidR="005253AC" w:rsidRPr="00D6704A">
        <w:rPr>
          <w:rFonts w:cs="Arial"/>
          <w:lang w:val="es-ES"/>
        </w:rPr>
        <w:t xml:space="preserve"> </w:t>
      </w:r>
      <w:r w:rsidR="007115E8" w:rsidRPr="000D5690">
        <w:rPr>
          <w:rFonts w:cs="Arial"/>
          <w:lang w:val="es-ES_tradnl"/>
        </w:rPr>
        <w:t xml:space="preserve">El TWF </w:t>
      </w:r>
      <w:r w:rsidR="006C2F04" w:rsidRPr="000D5690">
        <w:rPr>
          <w:rFonts w:cs="Arial"/>
          <w:lang w:val="es-ES_tradnl"/>
        </w:rPr>
        <w:t>tomó nota de</w:t>
      </w:r>
      <w:r w:rsidR="007115E8" w:rsidRPr="000D5690">
        <w:rPr>
          <w:rFonts w:cs="Arial"/>
          <w:lang w:val="es-ES_tradnl"/>
        </w:rPr>
        <w:t xml:space="preserve"> que</w:t>
      </w:r>
      <w:r w:rsidR="006C2F04" w:rsidRPr="000D5690">
        <w:rPr>
          <w:rFonts w:cs="Arial"/>
          <w:lang w:val="es-ES_tradnl"/>
        </w:rPr>
        <w:t>,</w:t>
      </w:r>
      <w:r w:rsidR="007115E8" w:rsidRPr="000D5690">
        <w:rPr>
          <w:rFonts w:cs="Arial"/>
          <w:lang w:val="es-ES_tradnl"/>
        </w:rPr>
        <w:t xml:space="preserve"> </w:t>
      </w:r>
      <w:r w:rsidR="006C2F04" w:rsidRPr="000D5690">
        <w:rPr>
          <w:rFonts w:cs="Arial"/>
          <w:lang w:val="es-ES_tradnl"/>
        </w:rPr>
        <w:t xml:space="preserve">para algunas autoridades, </w:t>
      </w:r>
      <w:r w:rsidR="007115E8" w:rsidRPr="000D5690">
        <w:rPr>
          <w:rFonts w:cs="Arial"/>
          <w:lang w:val="es-ES_tradnl"/>
        </w:rPr>
        <w:t xml:space="preserve">la </w:t>
      </w:r>
      <w:r w:rsidR="006C2F04" w:rsidRPr="000D5690">
        <w:rPr>
          <w:rFonts w:cs="Arial"/>
          <w:lang w:val="es-ES_tradnl"/>
        </w:rPr>
        <w:t>duración total de los exámenes DHE de las plantas frutales</w:t>
      </w:r>
      <w:r w:rsidR="007115E8" w:rsidRPr="000D5690">
        <w:rPr>
          <w:rFonts w:cs="Arial"/>
          <w:lang w:val="es-ES_tradnl"/>
        </w:rPr>
        <w:t xml:space="preserve"> </w:t>
      </w:r>
      <w:r w:rsidR="006C2F04" w:rsidRPr="000D5690">
        <w:rPr>
          <w:rFonts w:cs="Arial"/>
          <w:lang w:val="es-ES_tradnl"/>
        </w:rPr>
        <w:t>incluye el período necesario para el establecimiento de las plantas</w:t>
      </w:r>
      <w:r w:rsidR="007115E8" w:rsidRPr="000D5690">
        <w:rPr>
          <w:rFonts w:cs="Arial"/>
          <w:lang w:val="es-ES_tradnl"/>
        </w:rPr>
        <w:t xml:space="preserve"> y </w:t>
      </w:r>
      <w:r w:rsidR="006C2F04" w:rsidRPr="000D5690">
        <w:rPr>
          <w:rFonts w:cs="Arial"/>
          <w:lang w:val="es-ES_tradnl"/>
        </w:rPr>
        <w:t>convino en que debía ser factible concluir el examen DHE durante el período de establecimiento de las plantas cuando la autoridad examinadora tuviera la certeza de que el resultado sería negativo</w:t>
      </w:r>
      <w:r w:rsidR="007115E8" w:rsidRPr="000D5690">
        <w:rPr>
          <w:rFonts w:cs="Arial"/>
          <w:lang w:val="es-ES_tradnl"/>
        </w:rPr>
        <w:t>.</w:t>
      </w:r>
      <w:r w:rsidR="005253AC" w:rsidRPr="00D6704A">
        <w:rPr>
          <w:rFonts w:cs="Arial"/>
          <w:lang w:val="es-ES"/>
        </w:rPr>
        <w:t xml:space="preserve">  </w:t>
      </w:r>
      <w:r w:rsidR="006C2F04" w:rsidRPr="000D5690">
        <w:rPr>
          <w:rFonts w:cs="Arial"/>
          <w:lang w:val="es-ES_tradnl"/>
        </w:rPr>
        <w:t>El TWF también convino en que el examen DHE y la descripción de la variedad se pudieran completar tras el primer ciclo de cultivo y convino en invitar a la Unión Europea a que continúe elaborando una propuesta de acortamiento de los exámenes DHE en el sector frutícola que contemple las observaciones recibidas y estuvo de acuerdo en continuar los debates en su próxima sesión.</w:t>
      </w:r>
    </w:p>
    <w:p w:rsidR="005253AC" w:rsidRPr="00D6704A" w:rsidRDefault="005253AC" w:rsidP="005253AC">
      <w:pPr>
        <w:rPr>
          <w:rFonts w:cs="Arial"/>
          <w:lang w:val="es-ES"/>
        </w:rPr>
      </w:pPr>
    </w:p>
    <w:p w:rsidR="005253AC" w:rsidRPr="00D6704A" w:rsidRDefault="00791298" w:rsidP="005253AC">
      <w:pPr>
        <w:rPr>
          <w:rFonts w:cs="Arial"/>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6C2F04" w:rsidRPr="000D5690">
        <w:rPr>
          <w:rFonts w:cs="Arial"/>
          <w:lang w:val="es-ES_tradnl"/>
        </w:rPr>
        <w:t>El TWF acordó presentar al TC los siguientes proyectos de directrices de examen para su aprobación:</w:t>
      </w:r>
      <w:r w:rsidR="005253AC" w:rsidRPr="00D6704A">
        <w:rPr>
          <w:rFonts w:cs="Arial"/>
          <w:iCs/>
          <w:color w:val="000000"/>
          <w:lang w:val="es-ES"/>
        </w:rPr>
        <w:t xml:space="preserve"> </w:t>
      </w:r>
      <w:proofErr w:type="spellStart"/>
      <w:r w:rsidR="006C2F04" w:rsidRPr="000D5690">
        <w:rPr>
          <w:rFonts w:cs="Arial"/>
          <w:color w:val="000000"/>
          <w:lang w:val="es-ES_tradnl"/>
        </w:rPr>
        <w:t>Portainjertos</w:t>
      </w:r>
      <w:proofErr w:type="spellEnd"/>
      <w:r w:rsidR="006C2F04" w:rsidRPr="000D5690">
        <w:rPr>
          <w:rFonts w:cs="Arial"/>
          <w:color w:val="000000"/>
          <w:lang w:val="es-ES_tradnl"/>
        </w:rPr>
        <w:t xml:space="preserve"> de aguacate;</w:t>
      </w:r>
      <w:r w:rsidR="005253AC" w:rsidRPr="00D6704A">
        <w:rPr>
          <w:rFonts w:cs="Arial"/>
          <w:iCs/>
          <w:color w:val="000000"/>
          <w:lang w:val="es-ES"/>
        </w:rPr>
        <w:t xml:space="preserve"> </w:t>
      </w:r>
      <w:r w:rsidR="006C2F04" w:rsidRPr="000D5690">
        <w:rPr>
          <w:rFonts w:cs="Arial"/>
          <w:lang w:val="es-ES_tradnl"/>
        </w:rPr>
        <w:t>Cocotero.</w:t>
      </w:r>
      <w:r w:rsidR="005253AC" w:rsidRPr="00D6704A">
        <w:rPr>
          <w:rFonts w:cs="Arial"/>
          <w:iCs/>
          <w:color w:val="000000"/>
          <w:lang w:val="es-ES"/>
        </w:rPr>
        <w:t xml:space="preserve">  </w:t>
      </w:r>
      <w:r w:rsidR="006C2F04" w:rsidRPr="000D5690">
        <w:rPr>
          <w:rFonts w:cs="Arial"/>
          <w:lang w:val="es-ES_tradnl"/>
        </w:rPr>
        <w:t>El TWF acordó examinar 12 proyectos de directrices de examen en su cuadragésima séptima sesión.</w:t>
      </w:r>
      <w:r w:rsidR="005253AC" w:rsidRPr="00D6704A">
        <w:rPr>
          <w:rFonts w:cs="Arial"/>
          <w:lang w:val="es-ES"/>
        </w:rPr>
        <w:t xml:space="preserve"> </w:t>
      </w:r>
    </w:p>
    <w:p w:rsidR="005253AC" w:rsidRPr="00D6704A" w:rsidRDefault="005253AC" w:rsidP="005253AC">
      <w:pPr>
        <w:rPr>
          <w:rFonts w:cs="Arial"/>
          <w:lang w:val="es-ES"/>
        </w:rPr>
      </w:pPr>
    </w:p>
    <w:p w:rsidR="005253AC" w:rsidRPr="00D6704A" w:rsidRDefault="00791298" w:rsidP="005253AC">
      <w:pPr>
        <w:rPr>
          <w:rFonts w:cs="Arial"/>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6C2F04" w:rsidRPr="000D5690">
        <w:rPr>
          <w:rFonts w:cs="Arial"/>
          <w:lang w:val="es-ES_tradnl"/>
        </w:rPr>
        <w:t>Por invitación de la Unión Europea, el TWF acordó celebrar su cuadragésim</w:t>
      </w:r>
      <w:r w:rsidR="00377903" w:rsidRPr="000D5690">
        <w:rPr>
          <w:rFonts w:cs="Arial"/>
          <w:lang w:val="es-ES_tradnl"/>
        </w:rPr>
        <w:t>a</w:t>
      </w:r>
      <w:r w:rsidR="006C2F04" w:rsidRPr="000D5690">
        <w:rPr>
          <w:rFonts w:cs="Arial"/>
          <w:lang w:val="es-ES_tradnl"/>
        </w:rPr>
        <w:t xml:space="preserve"> séptim</w:t>
      </w:r>
      <w:r w:rsidR="00377903" w:rsidRPr="000D5690">
        <w:rPr>
          <w:rFonts w:cs="Arial"/>
          <w:lang w:val="es-ES_tradnl"/>
        </w:rPr>
        <w:t>a</w:t>
      </w:r>
      <w:r w:rsidR="006C2F04" w:rsidRPr="000D5690">
        <w:rPr>
          <w:rFonts w:cs="Arial"/>
          <w:lang w:val="es-ES_tradnl"/>
        </w:rPr>
        <w:t xml:space="preserve"> </w:t>
      </w:r>
      <w:r w:rsidR="00377903" w:rsidRPr="000D5690">
        <w:rPr>
          <w:rFonts w:cs="Arial"/>
          <w:lang w:val="es-ES_tradnl"/>
        </w:rPr>
        <w:t xml:space="preserve">sesión </w:t>
      </w:r>
      <w:r w:rsidR="006C2F04" w:rsidRPr="000D5690">
        <w:rPr>
          <w:rFonts w:cs="Arial"/>
          <w:lang w:val="es-ES_tradnl"/>
        </w:rPr>
        <w:t>en Angers</w:t>
      </w:r>
      <w:r w:rsidR="00377903" w:rsidRPr="000D5690">
        <w:rPr>
          <w:rFonts w:cs="Arial"/>
          <w:lang w:val="es-ES_tradnl"/>
        </w:rPr>
        <w:t xml:space="preserve"> (</w:t>
      </w:r>
      <w:r w:rsidR="006C2F04" w:rsidRPr="000D5690">
        <w:rPr>
          <w:rFonts w:cs="Arial"/>
          <w:lang w:val="es-ES_tradnl"/>
        </w:rPr>
        <w:t>Francia</w:t>
      </w:r>
      <w:r w:rsidR="00377903" w:rsidRPr="000D5690">
        <w:rPr>
          <w:rFonts w:cs="Arial"/>
          <w:lang w:val="es-ES_tradnl"/>
        </w:rPr>
        <w:t xml:space="preserve">) del </w:t>
      </w:r>
      <w:r w:rsidR="006C2F04" w:rsidRPr="000D5690">
        <w:rPr>
          <w:rFonts w:cs="Arial"/>
          <w:lang w:val="es-ES_tradnl"/>
        </w:rPr>
        <w:t xml:space="preserve">14 al 18 </w:t>
      </w:r>
      <w:r w:rsidR="00377903" w:rsidRPr="000D5690">
        <w:rPr>
          <w:rFonts w:cs="Arial"/>
          <w:lang w:val="es-ES_tradnl"/>
        </w:rPr>
        <w:t xml:space="preserve">de noviembre </w:t>
      </w:r>
      <w:r w:rsidR="006C2F04" w:rsidRPr="000D5690">
        <w:rPr>
          <w:rFonts w:cs="Arial"/>
          <w:lang w:val="es-ES_tradnl"/>
        </w:rPr>
        <w:t xml:space="preserve">de 2016, </w:t>
      </w:r>
      <w:r w:rsidR="00377903" w:rsidRPr="000D5690">
        <w:rPr>
          <w:rFonts w:cs="Arial"/>
          <w:lang w:val="es-ES_tradnl"/>
        </w:rPr>
        <w:t xml:space="preserve">y </w:t>
      </w:r>
      <w:r w:rsidR="006C2F04" w:rsidRPr="000D5690">
        <w:rPr>
          <w:rFonts w:cs="Arial"/>
          <w:lang w:val="es-ES_tradnl"/>
        </w:rPr>
        <w:t xml:space="preserve">el </w:t>
      </w:r>
      <w:r w:rsidR="00377903" w:rsidRPr="000D5690">
        <w:rPr>
          <w:rFonts w:cs="Arial"/>
          <w:lang w:val="es-ES_tradnl"/>
        </w:rPr>
        <w:t xml:space="preserve">taller preparatorio </w:t>
      </w:r>
      <w:r w:rsidR="006C2F04" w:rsidRPr="000D5690">
        <w:rPr>
          <w:rFonts w:cs="Arial"/>
          <w:lang w:val="es-ES_tradnl"/>
        </w:rPr>
        <w:t>el 13 de noviembre de 2016.</w:t>
      </w:r>
    </w:p>
    <w:p w:rsidR="005253AC" w:rsidRPr="00D6704A" w:rsidRDefault="005253AC" w:rsidP="005253AC">
      <w:pPr>
        <w:rPr>
          <w:rFonts w:cs="Arial"/>
          <w:lang w:val="es-ES"/>
        </w:rPr>
      </w:pPr>
    </w:p>
    <w:p w:rsidR="005253AC" w:rsidRPr="00D6704A" w:rsidRDefault="00791298" w:rsidP="005253AC">
      <w:pPr>
        <w:rPr>
          <w:rFonts w:cs="Arial"/>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377903" w:rsidRPr="000D5690">
        <w:rPr>
          <w:rFonts w:cs="Arial"/>
          <w:lang w:val="es-ES_tradnl"/>
        </w:rPr>
        <w:t>El TWF propuso examinar los siguientes puntos en su próxima reunión:</w:t>
      </w:r>
    </w:p>
    <w:p w:rsidR="005253AC" w:rsidRPr="00D6704A" w:rsidRDefault="005253AC" w:rsidP="005253AC">
      <w:pPr>
        <w:rPr>
          <w:lang w:val="es-ES"/>
        </w:rPr>
      </w:pPr>
    </w:p>
    <w:p w:rsidR="005253AC" w:rsidRPr="00CD3D58" w:rsidRDefault="005253AC" w:rsidP="00CD3D58">
      <w:pPr>
        <w:ind w:left="1134" w:hanging="567"/>
        <w:rPr>
          <w:rFonts w:cs="Arial"/>
          <w:lang w:val="es-ES_tradnl"/>
        </w:rPr>
      </w:pPr>
      <w:r w:rsidRPr="00D6704A">
        <w:rPr>
          <w:rFonts w:cs="Arial"/>
          <w:lang w:val="es-ES"/>
        </w:rPr>
        <w:t>1.</w:t>
      </w:r>
      <w:r w:rsidRPr="00D6704A">
        <w:rPr>
          <w:rFonts w:cs="Arial"/>
          <w:lang w:val="es-ES"/>
        </w:rPr>
        <w:tab/>
      </w:r>
      <w:r w:rsidR="003012D9" w:rsidRPr="000D5690">
        <w:rPr>
          <w:rFonts w:cs="Arial"/>
          <w:lang w:val="es-ES_tradnl"/>
        </w:rPr>
        <w:t>Apertura de la sesión</w:t>
      </w:r>
    </w:p>
    <w:p w:rsidR="005253AC" w:rsidRPr="00CD3D58" w:rsidRDefault="005253AC" w:rsidP="00CD3D58">
      <w:pPr>
        <w:ind w:left="1134" w:hanging="567"/>
        <w:rPr>
          <w:rFonts w:cs="Arial"/>
          <w:lang w:val="es-ES_tradnl"/>
        </w:rPr>
      </w:pPr>
      <w:r w:rsidRPr="00CD3D58">
        <w:rPr>
          <w:rFonts w:cs="Arial"/>
          <w:lang w:val="es-ES_tradnl"/>
        </w:rPr>
        <w:t>2.</w:t>
      </w:r>
      <w:r w:rsidRPr="00CD3D58">
        <w:rPr>
          <w:rFonts w:cs="Arial"/>
          <w:lang w:val="es-ES_tradnl"/>
        </w:rPr>
        <w:tab/>
      </w:r>
      <w:r w:rsidR="003012D9" w:rsidRPr="000D5690">
        <w:rPr>
          <w:rFonts w:cs="Arial"/>
          <w:lang w:val="es-ES_tradnl"/>
        </w:rPr>
        <w:t>Aprobación del orden del día</w:t>
      </w:r>
    </w:p>
    <w:p w:rsidR="005253AC" w:rsidRPr="00D6704A" w:rsidRDefault="005253AC" w:rsidP="00CD3D58">
      <w:pPr>
        <w:ind w:left="1134" w:hanging="567"/>
        <w:rPr>
          <w:rFonts w:cs="Arial"/>
          <w:lang w:val="es-ES"/>
        </w:rPr>
      </w:pPr>
      <w:r w:rsidRPr="00CD3D58">
        <w:rPr>
          <w:rFonts w:cs="Arial"/>
          <w:lang w:val="es-ES_tradnl"/>
        </w:rPr>
        <w:t>3.</w:t>
      </w:r>
      <w:r w:rsidRPr="00CD3D58">
        <w:rPr>
          <w:rFonts w:cs="Arial"/>
          <w:lang w:val="es-ES_tradnl"/>
        </w:rPr>
        <w:tab/>
      </w:r>
      <w:r w:rsidR="003012D9" w:rsidRPr="000D5690">
        <w:rPr>
          <w:rFonts w:cs="Arial"/>
          <w:lang w:val="es-ES_tradnl"/>
        </w:rPr>
        <w:t>Breves informes sobre los avances logrados en la protección de las variedades vegetales</w:t>
      </w:r>
    </w:p>
    <w:p w:rsidR="005253AC" w:rsidRPr="00D6704A" w:rsidRDefault="0047214B" w:rsidP="005253AC">
      <w:pPr>
        <w:ind w:left="1701" w:hanging="567"/>
        <w:rPr>
          <w:rFonts w:cs="Arial"/>
          <w:lang w:val="es-ES"/>
        </w:rPr>
      </w:pPr>
      <w:r w:rsidRPr="00D6704A">
        <w:rPr>
          <w:rFonts w:cs="Arial"/>
          <w:lang w:val="es-ES"/>
        </w:rPr>
        <w:t>a)</w:t>
      </w:r>
      <w:r w:rsidR="005253AC" w:rsidRPr="00D6704A">
        <w:rPr>
          <w:rFonts w:cs="Arial"/>
          <w:lang w:val="es-ES"/>
        </w:rPr>
        <w:tab/>
      </w:r>
      <w:r w:rsidR="003012D9" w:rsidRPr="000D5690">
        <w:rPr>
          <w:rFonts w:cs="Arial"/>
          <w:lang w:val="es-ES_tradnl"/>
        </w:rPr>
        <w:t>Informes de los miembros y observadores (informes escritos que elaborar</w:t>
      </w:r>
      <w:r w:rsidR="00325544" w:rsidRPr="000D5690">
        <w:rPr>
          <w:rFonts w:cs="Arial"/>
          <w:lang w:val="es-ES_tradnl"/>
        </w:rPr>
        <w:t>án</w:t>
      </w:r>
      <w:r w:rsidR="003012D9" w:rsidRPr="000D5690">
        <w:rPr>
          <w:rFonts w:cs="Arial"/>
          <w:lang w:val="es-ES_tradnl"/>
        </w:rPr>
        <w:t xml:space="preserve"> los miembros y observadores)</w:t>
      </w:r>
    </w:p>
    <w:p w:rsidR="005253AC" w:rsidRPr="00D6704A" w:rsidRDefault="0047214B" w:rsidP="00CD3D58">
      <w:pPr>
        <w:ind w:left="1701" w:hanging="567"/>
        <w:rPr>
          <w:rFonts w:cs="Arial"/>
          <w:lang w:val="es-ES"/>
        </w:rPr>
      </w:pPr>
      <w:r w:rsidRPr="00D6704A">
        <w:rPr>
          <w:rFonts w:cs="Arial"/>
          <w:lang w:val="es-ES"/>
        </w:rPr>
        <w:t>b)</w:t>
      </w:r>
      <w:r w:rsidR="005253AC" w:rsidRPr="00D6704A">
        <w:rPr>
          <w:rFonts w:cs="Arial"/>
          <w:lang w:val="es-ES"/>
        </w:rPr>
        <w:tab/>
      </w:r>
      <w:r w:rsidR="003012D9" w:rsidRPr="000D5690">
        <w:rPr>
          <w:rFonts w:cs="Arial"/>
          <w:lang w:val="es-ES_tradnl"/>
        </w:rPr>
        <w:t>Informes sobre los avances logrados en la UPOV (informe verbal de la Oficina de la Unión)</w:t>
      </w:r>
    </w:p>
    <w:p w:rsidR="005253AC" w:rsidRPr="00CD3D58" w:rsidRDefault="005253AC" w:rsidP="00CD3D58">
      <w:pPr>
        <w:ind w:left="1134" w:hanging="567"/>
        <w:rPr>
          <w:rFonts w:cs="Arial"/>
          <w:lang w:val="es-ES_tradnl"/>
        </w:rPr>
      </w:pPr>
      <w:r w:rsidRPr="00D6704A">
        <w:rPr>
          <w:rFonts w:cs="Arial"/>
          <w:lang w:val="es-ES"/>
        </w:rPr>
        <w:t>4.</w:t>
      </w:r>
      <w:r w:rsidRPr="00D6704A">
        <w:rPr>
          <w:rFonts w:cs="Arial"/>
          <w:lang w:val="es-ES"/>
        </w:rPr>
        <w:tab/>
      </w:r>
      <w:r w:rsidR="003012D9" w:rsidRPr="000D5690">
        <w:rPr>
          <w:rFonts w:cs="Arial"/>
          <w:lang w:val="es-ES_tradnl"/>
        </w:rPr>
        <w:t xml:space="preserve">Técnicas moleculares (documento </w:t>
      </w:r>
      <w:r w:rsidR="002C41D2" w:rsidRPr="000D5690">
        <w:rPr>
          <w:rFonts w:cs="Arial"/>
          <w:lang w:val="es-ES_tradnl"/>
        </w:rPr>
        <w:t>que elaborará</w:t>
      </w:r>
      <w:r w:rsidR="003012D9" w:rsidRPr="000D5690">
        <w:rPr>
          <w:rFonts w:cs="Arial"/>
          <w:lang w:val="es-ES_tradnl"/>
        </w:rPr>
        <w:t xml:space="preserve"> la Oficina de la Unión)</w:t>
      </w:r>
    </w:p>
    <w:p w:rsidR="005253AC" w:rsidRPr="00CD3D58" w:rsidRDefault="005253AC" w:rsidP="00CD3D58">
      <w:pPr>
        <w:ind w:left="1134" w:hanging="567"/>
        <w:rPr>
          <w:rFonts w:cs="Arial"/>
          <w:lang w:val="es-ES_tradnl"/>
        </w:rPr>
      </w:pPr>
      <w:r w:rsidRPr="00CD3D58">
        <w:rPr>
          <w:rFonts w:cs="Arial"/>
          <w:lang w:val="es-ES_tradnl"/>
        </w:rPr>
        <w:t>5.</w:t>
      </w:r>
      <w:r w:rsidRPr="00CD3D58">
        <w:rPr>
          <w:rFonts w:cs="Arial"/>
          <w:lang w:val="es-ES_tradnl"/>
        </w:rPr>
        <w:tab/>
      </w:r>
      <w:r w:rsidR="003012D9" w:rsidRPr="000D5690">
        <w:rPr>
          <w:rFonts w:cs="Arial"/>
          <w:lang w:val="es-ES_tradnl"/>
        </w:rPr>
        <w:t>Documentos TGP (documentos que elaborar</w:t>
      </w:r>
      <w:r w:rsidR="002C41D2" w:rsidRPr="000D5690">
        <w:rPr>
          <w:rFonts w:cs="Arial"/>
          <w:lang w:val="es-ES_tradnl"/>
        </w:rPr>
        <w:t>á</w:t>
      </w:r>
      <w:r w:rsidR="003012D9" w:rsidRPr="000D5690">
        <w:rPr>
          <w:rFonts w:cs="Arial"/>
          <w:lang w:val="es-ES_tradnl"/>
        </w:rPr>
        <w:t xml:space="preserve"> la Oficina de la Unión)</w:t>
      </w:r>
    </w:p>
    <w:p w:rsidR="005253AC" w:rsidRPr="00CD3D58" w:rsidRDefault="005253AC" w:rsidP="00CD3D58">
      <w:pPr>
        <w:ind w:left="1134" w:hanging="567"/>
        <w:rPr>
          <w:rFonts w:cs="Arial"/>
          <w:lang w:val="es-ES_tradnl"/>
        </w:rPr>
      </w:pPr>
      <w:r w:rsidRPr="00CD3D58">
        <w:rPr>
          <w:rFonts w:cs="Arial"/>
          <w:lang w:val="es-ES_tradnl"/>
        </w:rPr>
        <w:t>6.</w:t>
      </w:r>
      <w:r w:rsidRPr="00CD3D58">
        <w:rPr>
          <w:rFonts w:cs="Arial"/>
          <w:lang w:val="es-ES_tradnl"/>
        </w:rPr>
        <w:tab/>
      </w:r>
      <w:r w:rsidR="003012D9" w:rsidRPr="000D5690">
        <w:rPr>
          <w:rFonts w:cs="Arial"/>
          <w:lang w:val="es-ES_tradnl"/>
        </w:rPr>
        <w:t xml:space="preserve">Denominaciones de variedades (documento </w:t>
      </w:r>
      <w:r w:rsidR="002C41D2" w:rsidRPr="000D5690">
        <w:rPr>
          <w:rFonts w:cs="Arial"/>
          <w:lang w:val="es-ES_tradnl"/>
        </w:rPr>
        <w:t>que elaborará</w:t>
      </w:r>
      <w:r w:rsidR="003012D9" w:rsidRPr="000D5690">
        <w:rPr>
          <w:rFonts w:cs="Arial"/>
          <w:lang w:val="es-ES_tradnl"/>
        </w:rPr>
        <w:t xml:space="preserve"> la Oficina de la Unión)</w:t>
      </w:r>
    </w:p>
    <w:p w:rsidR="005253AC" w:rsidRPr="00D6704A" w:rsidRDefault="005253AC" w:rsidP="00CD3D58">
      <w:pPr>
        <w:ind w:left="1134" w:hanging="567"/>
        <w:rPr>
          <w:rFonts w:cs="Arial"/>
          <w:lang w:val="es-ES"/>
        </w:rPr>
      </w:pPr>
      <w:r w:rsidRPr="00CD3D58">
        <w:rPr>
          <w:rFonts w:cs="Arial"/>
          <w:lang w:val="es-ES_tradnl"/>
        </w:rPr>
        <w:t>7.</w:t>
      </w:r>
      <w:r w:rsidRPr="00CD3D58">
        <w:rPr>
          <w:rFonts w:cs="Arial"/>
          <w:lang w:val="es-ES_tradnl"/>
        </w:rPr>
        <w:tab/>
      </w:r>
      <w:r w:rsidR="00A803C8" w:rsidRPr="000D5690">
        <w:rPr>
          <w:rFonts w:cs="Arial"/>
          <w:lang w:val="es-ES_tradnl"/>
        </w:rPr>
        <w:t>Información y bases de datos</w:t>
      </w:r>
    </w:p>
    <w:p w:rsidR="005253AC" w:rsidRPr="00D6704A" w:rsidRDefault="0047214B" w:rsidP="005253AC">
      <w:pPr>
        <w:ind w:left="1701" w:hanging="567"/>
        <w:rPr>
          <w:rFonts w:cs="Arial"/>
          <w:lang w:val="es-ES"/>
        </w:rPr>
      </w:pPr>
      <w:r w:rsidRPr="00D6704A">
        <w:rPr>
          <w:rFonts w:cs="Arial"/>
          <w:lang w:val="es-ES"/>
        </w:rPr>
        <w:t>a)</w:t>
      </w:r>
      <w:r w:rsidR="005253AC" w:rsidRPr="00D6704A">
        <w:rPr>
          <w:rFonts w:cs="Arial"/>
          <w:lang w:val="es-ES"/>
        </w:rPr>
        <w:tab/>
      </w:r>
      <w:r w:rsidR="008803B8" w:rsidRPr="000D5690">
        <w:rPr>
          <w:rFonts w:cs="Arial"/>
          <w:lang w:val="es-ES_tradnl"/>
        </w:rPr>
        <w:t>B</w:t>
      </w:r>
      <w:r w:rsidR="00A803C8" w:rsidRPr="000D5690">
        <w:rPr>
          <w:rFonts w:cs="Arial"/>
          <w:lang w:val="es-ES_tradnl"/>
        </w:rPr>
        <w:t xml:space="preserve">ases de datos de información de la UPOV (documentos </w:t>
      </w:r>
      <w:r w:rsidR="008803B8" w:rsidRPr="000D5690">
        <w:rPr>
          <w:rFonts w:cs="Arial"/>
          <w:lang w:val="es-ES_tradnl"/>
        </w:rPr>
        <w:t>que elaborar</w:t>
      </w:r>
      <w:r w:rsidR="002C41D2" w:rsidRPr="000D5690">
        <w:rPr>
          <w:rFonts w:cs="Arial"/>
          <w:lang w:val="es-ES_tradnl"/>
        </w:rPr>
        <w:t>á</w:t>
      </w:r>
      <w:r w:rsidR="008803B8" w:rsidRPr="000D5690">
        <w:rPr>
          <w:rFonts w:cs="Arial"/>
          <w:lang w:val="es-ES_tradnl"/>
        </w:rPr>
        <w:t xml:space="preserve"> la</w:t>
      </w:r>
      <w:r w:rsidR="00A803C8" w:rsidRPr="000D5690">
        <w:rPr>
          <w:rFonts w:cs="Arial"/>
          <w:lang w:val="es-ES_tradnl"/>
        </w:rPr>
        <w:t xml:space="preserve"> Oficina de la Unión)</w:t>
      </w:r>
    </w:p>
    <w:p w:rsidR="005253AC" w:rsidRPr="00D6704A" w:rsidRDefault="0047214B" w:rsidP="005253AC">
      <w:pPr>
        <w:ind w:left="1701" w:hanging="567"/>
        <w:jc w:val="left"/>
        <w:rPr>
          <w:rFonts w:cs="Arial"/>
          <w:lang w:val="es-ES"/>
        </w:rPr>
      </w:pPr>
      <w:r w:rsidRPr="00D6704A">
        <w:rPr>
          <w:rFonts w:cs="Arial"/>
          <w:lang w:val="es-ES"/>
        </w:rPr>
        <w:t>b)</w:t>
      </w:r>
      <w:r w:rsidR="005253AC" w:rsidRPr="00D6704A">
        <w:rPr>
          <w:rFonts w:cs="Arial"/>
          <w:lang w:val="es-ES"/>
        </w:rPr>
        <w:tab/>
      </w:r>
      <w:r w:rsidR="008803B8" w:rsidRPr="000D5690">
        <w:rPr>
          <w:rFonts w:cs="Arial"/>
          <w:lang w:val="es-ES_tradnl"/>
        </w:rPr>
        <w:t xml:space="preserve">Bases de datos de descripciones de variedades (documentos </w:t>
      </w:r>
      <w:r w:rsidR="002C41D2" w:rsidRPr="000D5690">
        <w:rPr>
          <w:rFonts w:cs="Arial"/>
          <w:lang w:val="es-ES_tradnl"/>
        </w:rPr>
        <w:t>que elaborará</w:t>
      </w:r>
      <w:r w:rsidR="008803B8" w:rsidRPr="000D5690">
        <w:rPr>
          <w:rFonts w:cs="Arial"/>
          <w:lang w:val="es-ES_tradnl"/>
        </w:rPr>
        <w:t xml:space="preserve"> la Oficina de la Unión)</w:t>
      </w:r>
    </w:p>
    <w:p w:rsidR="005253AC" w:rsidRPr="00D6704A" w:rsidRDefault="0047214B" w:rsidP="005253AC">
      <w:pPr>
        <w:ind w:left="1701" w:hanging="567"/>
        <w:rPr>
          <w:rFonts w:cs="Arial"/>
          <w:lang w:val="es-ES"/>
        </w:rPr>
      </w:pPr>
      <w:r w:rsidRPr="00D6704A">
        <w:rPr>
          <w:rFonts w:cs="Arial"/>
          <w:lang w:val="es-ES"/>
        </w:rPr>
        <w:t>c)</w:t>
      </w:r>
      <w:r w:rsidR="005253AC" w:rsidRPr="00D6704A">
        <w:rPr>
          <w:rFonts w:cs="Arial"/>
          <w:lang w:val="es-ES"/>
        </w:rPr>
        <w:tab/>
      </w:r>
      <w:r w:rsidR="008803B8" w:rsidRPr="000D5690">
        <w:rPr>
          <w:rFonts w:cs="Arial"/>
          <w:lang w:val="es-ES_tradnl"/>
        </w:rPr>
        <w:t xml:space="preserve">Programas informáticos para intercambio (documento </w:t>
      </w:r>
      <w:r w:rsidR="002C41D2" w:rsidRPr="000D5690">
        <w:rPr>
          <w:rFonts w:cs="Arial"/>
          <w:lang w:val="es-ES_tradnl"/>
        </w:rPr>
        <w:t>que elaborará</w:t>
      </w:r>
      <w:r w:rsidR="008803B8" w:rsidRPr="000D5690">
        <w:rPr>
          <w:rFonts w:cs="Arial"/>
          <w:lang w:val="es-ES_tradnl"/>
        </w:rPr>
        <w:t xml:space="preserve"> la Oficina de la Unión)</w:t>
      </w:r>
    </w:p>
    <w:p w:rsidR="005253AC" w:rsidRPr="00D6704A" w:rsidRDefault="0047214B" w:rsidP="00325544">
      <w:pPr>
        <w:ind w:left="1701" w:hanging="567"/>
        <w:rPr>
          <w:rFonts w:cs="Arial"/>
          <w:lang w:val="es-ES"/>
        </w:rPr>
      </w:pPr>
      <w:r w:rsidRPr="00D6704A">
        <w:rPr>
          <w:rFonts w:cs="Arial"/>
          <w:lang w:val="es-ES"/>
        </w:rPr>
        <w:t>d)</w:t>
      </w:r>
      <w:r w:rsidR="005253AC" w:rsidRPr="00D6704A">
        <w:rPr>
          <w:rFonts w:cs="Arial"/>
          <w:lang w:val="es-ES"/>
        </w:rPr>
        <w:tab/>
      </w:r>
      <w:r w:rsidR="008803B8" w:rsidRPr="000D5690">
        <w:rPr>
          <w:rFonts w:cs="Arial"/>
          <w:lang w:val="es-ES_tradnl"/>
        </w:rPr>
        <w:t xml:space="preserve">Sistemas de presentación electrónica de solicitudes (documento </w:t>
      </w:r>
      <w:r w:rsidR="002C41D2" w:rsidRPr="000D5690">
        <w:rPr>
          <w:rFonts w:cs="Arial"/>
          <w:lang w:val="es-ES_tradnl"/>
        </w:rPr>
        <w:t>que elaborará</w:t>
      </w:r>
      <w:r w:rsidR="008803B8" w:rsidRPr="000D5690">
        <w:rPr>
          <w:rFonts w:cs="Arial"/>
          <w:lang w:val="es-ES_tradnl"/>
        </w:rPr>
        <w:t xml:space="preserve"> la Oficina de la Unión)</w:t>
      </w:r>
    </w:p>
    <w:p w:rsidR="005253AC" w:rsidRPr="00CD3D58" w:rsidRDefault="005253AC" w:rsidP="00CD3D58">
      <w:pPr>
        <w:ind w:left="1134" w:hanging="567"/>
        <w:rPr>
          <w:rFonts w:cs="Arial"/>
          <w:lang w:val="es-ES_tradnl"/>
        </w:rPr>
      </w:pPr>
      <w:r w:rsidRPr="00D6704A">
        <w:rPr>
          <w:rFonts w:cs="Arial"/>
          <w:lang w:val="es-ES"/>
        </w:rPr>
        <w:t>8.</w:t>
      </w:r>
      <w:r w:rsidRPr="00D6704A">
        <w:rPr>
          <w:rFonts w:cs="Arial"/>
          <w:lang w:val="es-ES"/>
        </w:rPr>
        <w:tab/>
      </w:r>
      <w:r w:rsidR="008803B8" w:rsidRPr="000D5690">
        <w:rPr>
          <w:rFonts w:cs="Arial"/>
          <w:lang w:val="es-ES_tradnl"/>
        </w:rPr>
        <w:t xml:space="preserve">Evaluación de la homogeneidad (documento </w:t>
      </w:r>
      <w:r w:rsidR="002C41D2" w:rsidRPr="000D5690">
        <w:rPr>
          <w:rFonts w:cs="Arial"/>
          <w:lang w:val="es-ES_tradnl"/>
        </w:rPr>
        <w:t>que elaborará</w:t>
      </w:r>
      <w:r w:rsidR="008803B8" w:rsidRPr="000D5690">
        <w:rPr>
          <w:rFonts w:cs="Arial"/>
          <w:lang w:val="es-ES_tradnl"/>
        </w:rPr>
        <w:t xml:space="preserve"> la Oficina de la Unión)</w:t>
      </w:r>
    </w:p>
    <w:p w:rsidR="005253AC" w:rsidRPr="00CD3D58" w:rsidRDefault="005253AC" w:rsidP="00CD3D58">
      <w:pPr>
        <w:ind w:left="1134" w:hanging="567"/>
        <w:rPr>
          <w:rFonts w:cs="Arial"/>
          <w:lang w:val="es-ES_tradnl"/>
        </w:rPr>
      </w:pPr>
      <w:r w:rsidRPr="00CD3D58">
        <w:rPr>
          <w:rFonts w:cs="Arial"/>
          <w:lang w:val="es-ES_tradnl"/>
        </w:rPr>
        <w:t>9.</w:t>
      </w:r>
      <w:r w:rsidRPr="00CD3D58">
        <w:rPr>
          <w:rFonts w:cs="Arial"/>
          <w:lang w:val="es-ES_tradnl"/>
        </w:rPr>
        <w:tab/>
      </w:r>
      <w:r w:rsidR="008803B8" w:rsidRPr="000D5690">
        <w:rPr>
          <w:rFonts w:cs="Arial"/>
          <w:lang w:val="es-ES_tradnl"/>
        </w:rPr>
        <w:t>Experiencias con nuevos tipos y especies (invitación a presentar informes verbales)</w:t>
      </w:r>
    </w:p>
    <w:p w:rsidR="005253AC" w:rsidRPr="00D6704A" w:rsidRDefault="005253AC" w:rsidP="00CD3D58">
      <w:pPr>
        <w:ind w:left="1134" w:hanging="567"/>
        <w:rPr>
          <w:rFonts w:cs="Arial"/>
          <w:color w:val="000000"/>
          <w:lang w:val="es-ES"/>
        </w:rPr>
      </w:pPr>
      <w:r w:rsidRPr="00CD3D58">
        <w:rPr>
          <w:rFonts w:cs="Arial"/>
          <w:lang w:val="es-ES_tradnl"/>
        </w:rPr>
        <w:t>10.</w:t>
      </w:r>
      <w:r w:rsidRPr="00CD3D58">
        <w:rPr>
          <w:rFonts w:cs="Arial"/>
          <w:lang w:val="es-ES_tradnl"/>
        </w:rPr>
        <w:tab/>
      </w:r>
      <w:r w:rsidR="008803B8" w:rsidRPr="00CD3D58">
        <w:rPr>
          <w:rFonts w:cs="Arial"/>
          <w:lang w:val="es-ES_tradnl"/>
        </w:rPr>
        <w:t>Gestió</w:t>
      </w:r>
      <w:r w:rsidR="008803B8" w:rsidRPr="000D5690">
        <w:rPr>
          <w:rFonts w:cs="Arial"/>
          <w:color w:val="000000"/>
          <w:lang w:val="es-ES_tradnl"/>
        </w:rPr>
        <w:t>n de las colecciones de variedades (</w:t>
      </w:r>
      <w:r w:rsidR="008803B8" w:rsidRPr="000D5690">
        <w:rPr>
          <w:rFonts w:cs="Arial"/>
          <w:lang w:val="es-ES_tradnl"/>
        </w:rPr>
        <w:t xml:space="preserve">invitación a presentar </w:t>
      </w:r>
      <w:r w:rsidR="008803B8" w:rsidRPr="000D5690">
        <w:rPr>
          <w:rFonts w:cs="Arial"/>
          <w:color w:val="000000"/>
          <w:lang w:val="es-ES_tradnl"/>
        </w:rPr>
        <w:t>informes verbales)</w:t>
      </w:r>
    </w:p>
    <w:p w:rsidR="005253AC" w:rsidRPr="00D6704A" w:rsidRDefault="005253AC" w:rsidP="00A10560">
      <w:pPr>
        <w:ind w:left="1134" w:hanging="567"/>
        <w:rPr>
          <w:rFonts w:cs="Arial"/>
          <w:lang w:val="es-ES"/>
        </w:rPr>
      </w:pPr>
      <w:r w:rsidRPr="00D6704A">
        <w:rPr>
          <w:rFonts w:cs="Arial"/>
          <w:color w:val="000000"/>
          <w:lang w:val="es-ES"/>
        </w:rPr>
        <w:t>11.</w:t>
      </w:r>
      <w:r w:rsidRPr="00D6704A">
        <w:rPr>
          <w:rFonts w:cs="Arial"/>
          <w:color w:val="000000"/>
          <w:lang w:val="es-ES"/>
        </w:rPr>
        <w:tab/>
      </w:r>
      <w:r w:rsidR="008803B8" w:rsidRPr="00A10560">
        <w:rPr>
          <w:rFonts w:cs="Arial"/>
          <w:lang w:val="es-ES_tradnl"/>
        </w:rPr>
        <w:t>Duración</w:t>
      </w:r>
      <w:r w:rsidR="008803B8" w:rsidRPr="000D5690">
        <w:rPr>
          <w:rFonts w:cs="Arial"/>
          <w:color w:val="000000"/>
          <w:lang w:val="es-ES_tradnl"/>
        </w:rPr>
        <w:t xml:space="preserve"> de los exámenes DHE en el sector frutícola (documento </w:t>
      </w:r>
      <w:r w:rsidR="002C41D2" w:rsidRPr="000D5690">
        <w:rPr>
          <w:rFonts w:cs="Arial"/>
          <w:color w:val="000000"/>
          <w:lang w:val="es-ES_tradnl"/>
        </w:rPr>
        <w:t>que elaborará</w:t>
      </w:r>
      <w:r w:rsidR="008803B8" w:rsidRPr="000D5690">
        <w:rPr>
          <w:rFonts w:cs="Arial"/>
          <w:color w:val="000000"/>
          <w:lang w:val="es-ES_tradnl"/>
        </w:rPr>
        <w:t xml:space="preserve"> la Unión Europea)</w:t>
      </w:r>
    </w:p>
    <w:p w:rsidR="005253AC" w:rsidRPr="00D6704A" w:rsidRDefault="005253AC" w:rsidP="005253AC">
      <w:pPr>
        <w:ind w:left="1134" w:hanging="567"/>
        <w:rPr>
          <w:rFonts w:cs="Arial"/>
          <w:color w:val="000000"/>
          <w:lang w:val="es-ES"/>
        </w:rPr>
      </w:pPr>
      <w:r w:rsidRPr="00D6704A">
        <w:rPr>
          <w:rFonts w:cs="Arial"/>
          <w:color w:val="000000"/>
          <w:lang w:val="es-ES"/>
        </w:rPr>
        <w:t>12.</w:t>
      </w:r>
      <w:r w:rsidRPr="00D6704A">
        <w:rPr>
          <w:rFonts w:cs="Arial"/>
          <w:color w:val="000000"/>
          <w:lang w:val="es-ES"/>
        </w:rPr>
        <w:tab/>
      </w:r>
      <w:r w:rsidR="008803B8" w:rsidRPr="000D5690">
        <w:rPr>
          <w:rFonts w:cs="Arial"/>
          <w:lang w:val="es-ES_tradnl"/>
        </w:rPr>
        <w:t>Manual comparativo para la armonización de las descripciones de variedades</w:t>
      </w:r>
      <w:r w:rsidR="008803B8" w:rsidRPr="000D5690">
        <w:rPr>
          <w:rFonts w:cs="Arial"/>
          <w:color w:val="000000"/>
          <w:lang w:val="es-ES_tradnl"/>
        </w:rPr>
        <w:t xml:space="preserve"> del manzano (documento </w:t>
      </w:r>
      <w:r w:rsidR="002C41D2" w:rsidRPr="000D5690">
        <w:rPr>
          <w:rFonts w:cs="Arial"/>
          <w:color w:val="000000"/>
          <w:lang w:val="es-ES_tradnl"/>
        </w:rPr>
        <w:t>que elaborará</w:t>
      </w:r>
      <w:r w:rsidR="008803B8" w:rsidRPr="000D5690">
        <w:rPr>
          <w:rFonts w:cs="Arial"/>
          <w:color w:val="000000"/>
          <w:lang w:val="es-ES_tradnl"/>
        </w:rPr>
        <w:t xml:space="preserve"> la Unión Europea)</w:t>
      </w:r>
    </w:p>
    <w:p w:rsidR="005253AC" w:rsidRPr="00D6704A" w:rsidRDefault="005253AC" w:rsidP="005253AC">
      <w:pPr>
        <w:ind w:left="1134" w:hanging="567"/>
        <w:rPr>
          <w:rFonts w:cs="Arial"/>
          <w:color w:val="000000"/>
          <w:lang w:val="es-ES"/>
        </w:rPr>
      </w:pPr>
      <w:r w:rsidRPr="00D6704A">
        <w:rPr>
          <w:rFonts w:cs="Arial"/>
          <w:color w:val="000000"/>
          <w:lang w:val="es-ES"/>
        </w:rPr>
        <w:t>13.</w:t>
      </w:r>
      <w:r w:rsidRPr="00D6704A">
        <w:rPr>
          <w:rFonts w:cs="Arial"/>
          <w:color w:val="000000"/>
          <w:lang w:val="es-ES"/>
        </w:rPr>
        <w:tab/>
      </w:r>
      <w:r w:rsidR="001A6D50" w:rsidRPr="000D5690">
        <w:rPr>
          <w:rFonts w:cs="Arial"/>
          <w:color w:val="000000"/>
          <w:lang w:val="es-ES_tradnl"/>
        </w:rPr>
        <w:t>Asuntos relativos a las descripciones de variedades</w:t>
      </w:r>
      <w:r w:rsidR="008803B8" w:rsidRPr="000D5690">
        <w:rPr>
          <w:rFonts w:cs="Arial"/>
          <w:color w:val="000000"/>
          <w:lang w:val="es-ES_tradnl"/>
        </w:rPr>
        <w:t xml:space="preserve"> (documento </w:t>
      </w:r>
      <w:r w:rsidR="002C41D2" w:rsidRPr="000D5690">
        <w:rPr>
          <w:rFonts w:cs="Arial"/>
          <w:color w:val="000000"/>
          <w:lang w:val="es-ES_tradnl"/>
        </w:rPr>
        <w:t>que elaborará</w:t>
      </w:r>
      <w:r w:rsidR="008803B8" w:rsidRPr="000D5690">
        <w:rPr>
          <w:rFonts w:cs="Arial"/>
          <w:color w:val="000000"/>
          <w:lang w:val="es-ES_tradnl"/>
        </w:rPr>
        <w:t xml:space="preserve"> la Oficina de la Unión </w:t>
      </w:r>
      <w:r w:rsidR="001A6D50" w:rsidRPr="000D5690">
        <w:rPr>
          <w:rFonts w:cs="Arial"/>
          <w:color w:val="000000"/>
          <w:lang w:val="es-ES_tradnl"/>
        </w:rPr>
        <w:t>e invitación a presenta</w:t>
      </w:r>
      <w:r w:rsidR="00325544" w:rsidRPr="000D5690">
        <w:rPr>
          <w:rFonts w:cs="Arial"/>
          <w:color w:val="000000"/>
          <w:lang w:val="es-ES_tradnl"/>
        </w:rPr>
        <w:t xml:space="preserve">r </w:t>
      </w:r>
      <w:r w:rsidR="001A6D50" w:rsidRPr="000D5690">
        <w:rPr>
          <w:rFonts w:cs="Arial"/>
          <w:color w:val="000000"/>
          <w:lang w:val="es-ES_tradnl"/>
        </w:rPr>
        <w:t>documentos</w:t>
      </w:r>
      <w:r w:rsidR="008803B8" w:rsidRPr="000D5690">
        <w:rPr>
          <w:rFonts w:cs="Arial"/>
          <w:color w:val="000000"/>
          <w:lang w:val="es-ES_tradnl"/>
        </w:rPr>
        <w:t>)</w:t>
      </w:r>
    </w:p>
    <w:p w:rsidR="005253AC" w:rsidRPr="00D6704A" w:rsidRDefault="005253AC" w:rsidP="00CD3D58">
      <w:pPr>
        <w:ind w:left="1134" w:hanging="567"/>
        <w:rPr>
          <w:rFonts w:cs="Arial"/>
          <w:color w:val="000000"/>
          <w:lang w:val="es-ES"/>
        </w:rPr>
      </w:pPr>
      <w:r w:rsidRPr="00D6704A">
        <w:rPr>
          <w:rFonts w:cs="Arial"/>
          <w:color w:val="000000"/>
          <w:lang w:val="es-ES"/>
        </w:rPr>
        <w:t>14.</w:t>
      </w:r>
      <w:r w:rsidRPr="00D6704A">
        <w:rPr>
          <w:rFonts w:cs="Arial"/>
          <w:color w:val="000000"/>
          <w:lang w:val="es-ES"/>
        </w:rPr>
        <w:tab/>
      </w:r>
      <w:r w:rsidR="001A6D50" w:rsidRPr="00CD3D58">
        <w:rPr>
          <w:rFonts w:cs="Arial"/>
          <w:lang w:val="es-ES_tradnl"/>
        </w:rPr>
        <w:t>Propuesta</w:t>
      </w:r>
      <w:r w:rsidR="001A6D50" w:rsidRPr="000D5690">
        <w:rPr>
          <w:rFonts w:cs="Arial"/>
          <w:color w:val="000000"/>
          <w:lang w:val="es-ES_tradnl"/>
        </w:rPr>
        <w:t xml:space="preserve"> de revisión del término “recurvado” (documento </w:t>
      </w:r>
      <w:r w:rsidR="002C41D2" w:rsidRPr="000D5690">
        <w:rPr>
          <w:rFonts w:cs="Arial"/>
          <w:color w:val="000000"/>
          <w:lang w:val="es-ES_tradnl"/>
        </w:rPr>
        <w:t>que elaborará</w:t>
      </w:r>
      <w:r w:rsidR="001A6D50" w:rsidRPr="000D5690">
        <w:rPr>
          <w:rFonts w:cs="Arial"/>
          <w:color w:val="000000"/>
          <w:lang w:val="es-ES_tradnl"/>
        </w:rPr>
        <w:t xml:space="preserve"> Israel)</w:t>
      </w:r>
    </w:p>
    <w:p w:rsidR="005253AC" w:rsidRPr="00D6704A" w:rsidRDefault="005253AC" w:rsidP="00A10560">
      <w:pPr>
        <w:ind w:left="1134" w:hanging="567"/>
        <w:rPr>
          <w:rFonts w:cs="Arial"/>
          <w:lang w:val="es-ES"/>
        </w:rPr>
      </w:pPr>
      <w:r w:rsidRPr="00D6704A">
        <w:rPr>
          <w:rFonts w:cs="Arial"/>
          <w:lang w:val="es-ES"/>
        </w:rPr>
        <w:t>15.</w:t>
      </w:r>
      <w:r w:rsidRPr="00D6704A">
        <w:rPr>
          <w:rFonts w:cs="Arial"/>
          <w:lang w:val="es-ES"/>
        </w:rPr>
        <w:tab/>
      </w:r>
      <w:r w:rsidR="001A6D50" w:rsidRPr="000D5690">
        <w:rPr>
          <w:rFonts w:cs="Arial"/>
          <w:lang w:val="es-ES_tradnl"/>
        </w:rPr>
        <w:t>Cuestiones por resolver en lo que respecta a directrices de examen aprobadas por el Comité Técnico</w:t>
      </w:r>
      <w:r w:rsidRPr="00D6704A">
        <w:rPr>
          <w:rFonts w:cs="Arial"/>
          <w:lang w:val="es-ES"/>
        </w:rPr>
        <w:t xml:space="preserve"> </w:t>
      </w:r>
    </w:p>
    <w:p w:rsidR="005253AC" w:rsidRPr="00CD3D58" w:rsidRDefault="005253AC" w:rsidP="00CD3D58">
      <w:pPr>
        <w:ind w:left="1134" w:hanging="567"/>
        <w:rPr>
          <w:rFonts w:cs="Arial"/>
          <w:lang w:val="es-ES_tradnl"/>
        </w:rPr>
      </w:pPr>
      <w:r w:rsidRPr="00D6704A">
        <w:rPr>
          <w:lang w:val="es-ES"/>
        </w:rPr>
        <w:t>16.</w:t>
      </w:r>
      <w:r w:rsidRPr="00D6704A">
        <w:rPr>
          <w:lang w:val="es-ES"/>
        </w:rPr>
        <w:tab/>
      </w:r>
      <w:r w:rsidR="001A6D50" w:rsidRPr="000D5690">
        <w:rPr>
          <w:lang w:val="es-ES_tradnl"/>
        </w:rPr>
        <w:t>Propue</w:t>
      </w:r>
      <w:r w:rsidR="001A6D50" w:rsidRPr="00CD3D58">
        <w:rPr>
          <w:rFonts w:cs="Arial"/>
          <w:lang w:val="es-ES_tradnl"/>
        </w:rPr>
        <w:t>stas de revisión parcial/correcciones de directrices de examen</w:t>
      </w:r>
      <w:r w:rsidRPr="00CD3D58">
        <w:rPr>
          <w:rFonts w:cs="Arial"/>
          <w:lang w:val="es-ES_tradnl"/>
        </w:rPr>
        <w:t xml:space="preserve"> </w:t>
      </w:r>
    </w:p>
    <w:p w:rsidR="005253AC" w:rsidRPr="00CD3D58" w:rsidRDefault="005253AC" w:rsidP="00CD3D58">
      <w:pPr>
        <w:ind w:left="1134" w:hanging="567"/>
        <w:rPr>
          <w:rFonts w:cs="Arial"/>
          <w:lang w:val="es-ES_tradnl"/>
        </w:rPr>
      </w:pPr>
      <w:r w:rsidRPr="00CD3D58">
        <w:rPr>
          <w:rFonts w:cs="Arial"/>
          <w:lang w:val="es-ES_tradnl"/>
        </w:rPr>
        <w:t>17.</w:t>
      </w:r>
      <w:r w:rsidRPr="00CD3D58">
        <w:rPr>
          <w:rFonts w:cs="Arial"/>
          <w:lang w:val="es-ES_tradnl"/>
        </w:rPr>
        <w:tab/>
      </w:r>
      <w:r w:rsidR="001A6D50" w:rsidRPr="000D5690">
        <w:rPr>
          <w:rFonts w:cs="Arial"/>
          <w:lang w:val="es-ES_tradnl"/>
        </w:rPr>
        <w:t>Debates sobre proyectos de directrices de examen (</w:t>
      </w:r>
      <w:r w:rsidR="002B5E69" w:rsidRPr="000D5690">
        <w:rPr>
          <w:rFonts w:cs="Arial"/>
          <w:lang w:val="es-ES_tradnl"/>
        </w:rPr>
        <w:t>s</w:t>
      </w:r>
      <w:r w:rsidR="001A6D50" w:rsidRPr="000D5690">
        <w:rPr>
          <w:rFonts w:cs="Arial"/>
          <w:lang w:val="es-ES_tradnl"/>
        </w:rPr>
        <w:t>ubgrupos)</w:t>
      </w:r>
    </w:p>
    <w:p w:rsidR="005253AC" w:rsidRPr="00CD3D58" w:rsidRDefault="005253AC" w:rsidP="00CD3D58">
      <w:pPr>
        <w:ind w:left="1134" w:hanging="567"/>
        <w:rPr>
          <w:rFonts w:cs="Arial"/>
          <w:lang w:val="es-ES_tradnl"/>
        </w:rPr>
      </w:pPr>
      <w:r w:rsidRPr="00CD3D58">
        <w:rPr>
          <w:rFonts w:cs="Arial"/>
          <w:lang w:val="es-ES_tradnl"/>
        </w:rPr>
        <w:t>18.</w:t>
      </w:r>
      <w:r w:rsidRPr="00CD3D58">
        <w:rPr>
          <w:rFonts w:cs="Arial"/>
          <w:lang w:val="es-ES_tradnl"/>
        </w:rPr>
        <w:tab/>
      </w:r>
      <w:r w:rsidR="001A6D50" w:rsidRPr="000D5690">
        <w:rPr>
          <w:rFonts w:cs="Arial"/>
          <w:lang w:val="es-ES_tradnl"/>
        </w:rPr>
        <w:t>Recomendaciones sobre proyectos de directrices de examen</w:t>
      </w:r>
    </w:p>
    <w:p w:rsidR="005253AC" w:rsidRPr="00D6704A" w:rsidRDefault="005253AC" w:rsidP="00CD3D58">
      <w:pPr>
        <w:ind w:left="1134" w:hanging="567"/>
        <w:rPr>
          <w:rFonts w:cs="Arial"/>
          <w:lang w:val="es-ES"/>
        </w:rPr>
      </w:pPr>
      <w:r w:rsidRPr="00CD3D58">
        <w:rPr>
          <w:rFonts w:cs="Arial"/>
          <w:lang w:val="es-ES_tradnl"/>
        </w:rPr>
        <w:t>19.</w:t>
      </w:r>
      <w:r w:rsidRPr="00CD3D58">
        <w:rPr>
          <w:rFonts w:cs="Arial"/>
          <w:lang w:val="es-ES_tradnl"/>
        </w:rPr>
        <w:tab/>
      </w:r>
      <w:r w:rsidR="00481B03" w:rsidRPr="000D5690">
        <w:rPr>
          <w:rFonts w:cs="Arial"/>
          <w:lang w:val="es-ES_tradnl"/>
        </w:rPr>
        <w:t>Guía</w:t>
      </w:r>
      <w:r w:rsidR="001A6D50" w:rsidRPr="000D5690">
        <w:rPr>
          <w:rFonts w:cs="Arial"/>
          <w:lang w:val="es-ES_tradnl"/>
        </w:rPr>
        <w:t xml:space="preserve"> para </w:t>
      </w:r>
      <w:r w:rsidR="00481B03" w:rsidRPr="000D5690">
        <w:rPr>
          <w:rFonts w:cs="Arial"/>
          <w:lang w:val="es-ES_tradnl"/>
        </w:rPr>
        <w:t xml:space="preserve">los </w:t>
      </w:r>
      <w:r w:rsidR="001A6D50" w:rsidRPr="000D5690">
        <w:rPr>
          <w:rFonts w:cs="Arial"/>
          <w:lang w:val="es-ES_tradnl"/>
        </w:rPr>
        <w:t xml:space="preserve">redactores de </w:t>
      </w:r>
      <w:r w:rsidR="00481B03" w:rsidRPr="000D5690">
        <w:rPr>
          <w:rFonts w:cs="Arial"/>
          <w:lang w:val="es-ES_tradnl"/>
        </w:rPr>
        <w:t xml:space="preserve">las </w:t>
      </w:r>
      <w:r w:rsidR="001A6D50" w:rsidRPr="000D5690">
        <w:rPr>
          <w:rFonts w:cs="Arial"/>
          <w:lang w:val="es-ES_tradnl"/>
        </w:rPr>
        <w:t>directrices de examen</w:t>
      </w:r>
    </w:p>
    <w:p w:rsidR="005253AC" w:rsidRPr="00D6704A" w:rsidRDefault="005253AC" w:rsidP="005253AC">
      <w:pPr>
        <w:ind w:left="1134" w:hanging="567"/>
        <w:rPr>
          <w:rFonts w:cs="Arial"/>
          <w:color w:val="000000"/>
          <w:lang w:val="es-ES"/>
        </w:rPr>
      </w:pPr>
      <w:r w:rsidRPr="00D6704A">
        <w:rPr>
          <w:rFonts w:cs="Arial"/>
          <w:lang w:val="es-ES"/>
        </w:rPr>
        <w:t>20.</w:t>
      </w:r>
      <w:r w:rsidRPr="00D6704A">
        <w:rPr>
          <w:rFonts w:cs="Arial"/>
          <w:lang w:val="es-ES"/>
        </w:rPr>
        <w:tab/>
      </w:r>
      <w:r w:rsidR="00F6515A" w:rsidRPr="000D5690">
        <w:rPr>
          <w:rFonts w:cs="Arial"/>
          <w:lang w:val="es-ES_tradnl"/>
        </w:rPr>
        <w:t>E</w:t>
      </w:r>
      <w:r w:rsidR="001A6D50" w:rsidRPr="000D5690">
        <w:rPr>
          <w:rFonts w:cs="Arial"/>
          <w:lang w:val="es-ES_tradnl"/>
        </w:rPr>
        <w:t>xamen DHE de variedades mutantes de manzan</w:t>
      </w:r>
      <w:r w:rsidR="00CF0211" w:rsidRPr="000D5690">
        <w:rPr>
          <w:rFonts w:cs="Arial"/>
          <w:lang w:val="es-ES_tradnl"/>
        </w:rPr>
        <w:t>o</w:t>
      </w:r>
      <w:r w:rsidR="001A6D50" w:rsidRPr="000D5690">
        <w:rPr>
          <w:rFonts w:cs="Arial"/>
          <w:lang w:val="es-ES_tradnl"/>
        </w:rPr>
        <w:t xml:space="preserve"> (documento </w:t>
      </w:r>
      <w:r w:rsidR="002C41D2" w:rsidRPr="000D5690">
        <w:rPr>
          <w:rFonts w:cs="Arial"/>
          <w:lang w:val="es-ES_tradnl"/>
        </w:rPr>
        <w:t>que elaborará</w:t>
      </w:r>
      <w:r w:rsidR="001A6D50" w:rsidRPr="000D5690">
        <w:rPr>
          <w:rFonts w:cs="Arial"/>
          <w:lang w:val="es-ES_tradnl"/>
        </w:rPr>
        <w:t xml:space="preserve"> la Unión Europea)</w:t>
      </w:r>
    </w:p>
    <w:p w:rsidR="005253AC" w:rsidRPr="00D6704A" w:rsidRDefault="005253AC" w:rsidP="00CD3D58">
      <w:pPr>
        <w:ind w:left="1134" w:hanging="567"/>
        <w:rPr>
          <w:rFonts w:cs="Arial"/>
          <w:lang w:val="es-ES"/>
        </w:rPr>
      </w:pPr>
      <w:r w:rsidRPr="00D6704A">
        <w:rPr>
          <w:rFonts w:cs="Arial"/>
          <w:lang w:val="es-ES"/>
        </w:rPr>
        <w:t>21.</w:t>
      </w:r>
      <w:r w:rsidRPr="00D6704A">
        <w:rPr>
          <w:rFonts w:cs="Arial"/>
          <w:lang w:val="es-ES"/>
        </w:rPr>
        <w:tab/>
      </w:r>
      <w:r w:rsidR="00CF0211" w:rsidRPr="000D5690">
        <w:rPr>
          <w:rFonts w:cs="Arial"/>
          <w:lang w:val="es-ES_tradnl"/>
        </w:rPr>
        <w:t xml:space="preserve">La distancia mínima entre variedades (documento </w:t>
      </w:r>
      <w:r w:rsidR="002C41D2" w:rsidRPr="000D5690">
        <w:rPr>
          <w:rFonts w:cs="Arial"/>
          <w:lang w:val="es-ES_tradnl"/>
        </w:rPr>
        <w:t>que elaborará</w:t>
      </w:r>
      <w:r w:rsidR="00CF0211" w:rsidRPr="000D5690">
        <w:rPr>
          <w:rFonts w:cs="Arial"/>
          <w:lang w:val="es-ES_tradnl"/>
        </w:rPr>
        <w:t xml:space="preserve"> la Unión Europea)</w:t>
      </w:r>
    </w:p>
    <w:p w:rsidR="005253AC" w:rsidRPr="00D6704A" w:rsidRDefault="005253AC" w:rsidP="005253AC">
      <w:pPr>
        <w:ind w:left="1134" w:hanging="567"/>
        <w:rPr>
          <w:rFonts w:cs="Arial"/>
          <w:lang w:val="es-ES"/>
        </w:rPr>
      </w:pPr>
      <w:r w:rsidRPr="00D6704A">
        <w:rPr>
          <w:rFonts w:cs="Arial"/>
          <w:lang w:val="es-ES"/>
        </w:rPr>
        <w:t>22.</w:t>
      </w:r>
      <w:r w:rsidRPr="00D6704A">
        <w:rPr>
          <w:rFonts w:cs="Arial"/>
          <w:lang w:val="es-ES"/>
        </w:rPr>
        <w:tab/>
      </w:r>
      <w:r w:rsidR="00CF0211" w:rsidRPr="000D5690">
        <w:rPr>
          <w:rFonts w:cs="Arial"/>
          <w:lang w:val="es-ES_tradnl"/>
        </w:rPr>
        <w:t xml:space="preserve">Método de observación de los caracteres derivados (documento </w:t>
      </w:r>
      <w:r w:rsidR="002C41D2" w:rsidRPr="000D5690">
        <w:rPr>
          <w:rFonts w:cs="Arial"/>
          <w:lang w:val="es-ES_tradnl"/>
        </w:rPr>
        <w:t>que elaborará</w:t>
      </w:r>
      <w:r w:rsidR="00CF0211" w:rsidRPr="000D5690">
        <w:rPr>
          <w:rFonts w:cs="Arial"/>
          <w:lang w:val="es-ES_tradnl"/>
        </w:rPr>
        <w:t xml:space="preserve"> Nueva Zelandia </w:t>
      </w:r>
      <w:r w:rsidR="00CF0211" w:rsidRPr="000D5690">
        <w:rPr>
          <w:rFonts w:cs="Arial"/>
          <w:color w:val="000000"/>
          <w:lang w:val="es-ES_tradnl"/>
        </w:rPr>
        <w:t>e invitación a presenta</w:t>
      </w:r>
      <w:r w:rsidR="00325544" w:rsidRPr="000D5690">
        <w:rPr>
          <w:rFonts w:cs="Arial"/>
          <w:color w:val="000000"/>
          <w:lang w:val="es-ES_tradnl"/>
        </w:rPr>
        <w:t xml:space="preserve">r </w:t>
      </w:r>
      <w:r w:rsidR="00CF0211" w:rsidRPr="000D5690">
        <w:rPr>
          <w:rFonts w:cs="Arial"/>
          <w:color w:val="000000"/>
          <w:lang w:val="es-ES_tradnl"/>
        </w:rPr>
        <w:t>documentos</w:t>
      </w:r>
      <w:r w:rsidR="00CF0211" w:rsidRPr="000D5690">
        <w:rPr>
          <w:rFonts w:cs="Arial"/>
          <w:lang w:val="es-ES_tradnl"/>
        </w:rPr>
        <w:t>)</w:t>
      </w:r>
    </w:p>
    <w:p w:rsidR="005253AC" w:rsidRPr="00CD3D58" w:rsidRDefault="005253AC" w:rsidP="00CD3D58">
      <w:pPr>
        <w:ind w:left="1134" w:hanging="567"/>
        <w:rPr>
          <w:rFonts w:cs="Arial"/>
          <w:lang w:val="es-ES_tradnl"/>
        </w:rPr>
      </w:pPr>
      <w:r w:rsidRPr="00D6704A">
        <w:rPr>
          <w:rFonts w:cs="Arial"/>
          <w:lang w:val="es-ES"/>
        </w:rPr>
        <w:t>23.</w:t>
      </w:r>
      <w:r w:rsidRPr="00D6704A">
        <w:rPr>
          <w:rFonts w:cs="Arial"/>
          <w:lang w:val="es-ES"/>
        </w:rPr>
        <w:tab/>
      </w:r>
      <w:r w:rsidR="00CF0211" w:rsidRPr="000D5690">
        <w:rPr>
          <w:rFonts w:cs="Arial"/>
          <w:lang w:val="es-ES_tradnl"/>
        </w:rPr>
        <w:t>Fecha y lugar de la siguiente reunión</w:t>
      </w:r>
    </w:p>
    <w:p w:rsidR="005253AC" w:rsidRPr="00CD3D58" w:rsidRDefault="005253AC" w:rsidP="00CD3D58">
      <w:pPr>
        <w:ind w:left="1134" w:hanging="567"/>
        <w:rPr>
          <w:rFonts w:cs="Arial"/>
          <w:lang w:val="es-ES_tradnl"/>
        </w:rPr>
      </w:pPr>
      <w:r w:rsidRPr="00CD3D58">
        <w:rPr>
          <w:rFonts w:cs="Arial"/>
          <w:lang w:val="es-ES_tradnl"/>
        </w:rPr>
        <w:t>24.</w:t>
      </w:r>
      <w:r w:rsidRPr="00CD3D58">
        <w:rPr>
          <w:rFonts w:cs="Arial"/>
          <w:lang w:val="es-ES_tradnl"/>
        </w:rPr>
        <w:tab/>
      </w:r>
      <w:r w:rsidR="00CF0211" w:rsidRPr="000D5690">
        <w:rPr>
          <w:rFonts w:cs="Arial"/>
          <w:lang w:val="es-ES_tradnl"/>
        </w:rPr>
        <w:t>Programa futuro</w:t>
      </w:r>
    </w:p>
    <w:p w:rsidR="005253AC" w:rsidRPr="00CD3D58" w:rsidRDefault="005253AC" w:rsidP="00CD3D58">
      <w:pPr>
        <w:ind w:left="1134" w:hanging="567"/>
        <w:rPr>
          <w:rFonts w:cs="Arial"/>
          <w:lang w:val="es-ES_tradnl"/>
        </w:rPr>
      </w:pPr>
      <w:r w:rsidRPr="00CD3D58">
        <w:rPr>
          <w:rFonts w:cs="Arial"/>
          <w:lang w:val="es-ES_tradnl"/>
        </w:rPr>
        <w:t>25.</w:t>
      </w:r>
      <w:r w:rsidRPr="00CD3D58">
        <w:rPr>
          <w:rFonts w:cs="Arial"/>
          <w:lang w:val="es-ES_tradnl"/>
        </w:rPr>
        <w:tab/>
      </w:r>
      <w:r w:rsidR="00CF0211" w:rsidRPr="000D5690">
        <w:rPr>
          <w:rFonts w:cs="Arial"/>
          <w:lang w:val="es-ES_tradnl"/>
        </w:rPr>
        <w:t>Aprobación del informe de la reunión (si se dispone de tiempo suficiente)</w:t>
      </w:r>
    </w:p>
    <w:p w:rsidR="005253AC" w:rsidRPr="00D6704A" w:rsidRDefault="005253AC" w:rsidP="00CD3D58">
      <w:pPr>
        <w:ind w:left="1134" w:hanging="567"/>
        <w:rPr>
          <w:rFonts w:cs="Arial"/>
          <w:lang w:val="es-ES"/>
        </w:rPr>
      </w:pPr>
      <w:r w:rsidRPr="00CD3D58">
        <w:rPr>
          <w:rFonts w:cs="Arial"/>
          <w:lang w:val="es-ES_tradnl"/>
        </w:rPr>
        <w:t>26.</w:t>
      </w:r>
      <w:r w:rsidRPr="00CD3D58">
        <w:rPr>
          <w:rFonts w:cs="Arial"/>
          <w:lang w:val="es-ES_tradnl"/>
        </w:rPr>
        <w:tab/>
      </w:r>
      <w:r w:rsidR="00CF0211" w:rsidRPr="000D5690">
        <w:rPr>
          <w:rFonts w:cs="Arial"/>
          <w:lang w:val="es-ES_tradnl"/>
        </w:rPr>
        <w:t>Clausura de la reunión</w:t>
      </w:r>
    </w:p>
    <w:p w:rsidR="005253AC" w:rsidRPr="00D6704A" w:rsidRDefault="005253AC" w:rsidP="005253AC">
      <w:pPr>
        <w:rPr>
          <w:rFonts w:cs="Arial"/>
          <w:lang w:val="es-ES"/>
        </w:rPr>
      </w:pPr>
    </w:p>
    <w:p w:rsidR="005253AC" w:rsidRPr="00D6704A" w:rsidRDefault="00791298" w:rsidP="005253AC">
      <w:pPr>
        <w:rPr>
          <w:rFonts w:cs="Arial"/>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CF0211" w:rsidRPr="000D5690">
        <w:rPr>
          <w:rFonts w:cs="Arial"/>
          <w:lang w:val="es-ES_tradnl"/>
        </w:rPr>
        <w:t>El 26 de agosto de 2015</w:t>
      </w:r>
      <w:r w:rsidR="005E2A10" w:rsidRPr="000D5690">
        <w:rPr>
          <w:rFonts w:cs="Arial"/>
          <w:lang w:val="es-ES_tradnl"/>
        </w:rPr>
        <w:t xml:space="preserve"> por la tarde</w:t>
      </w:r>
      <w:r w:rsidR="00CF0211" w:rsidRPr="000D5690">
        <w:rPr>
          <w:rFonts w:cs="Arial"/>
          <w:lang w:val="es-ES_tradnl"/>
        </w:rPr>
        <w:t>, el TWF visitó el Consejo de Investigaci</w:t>
      </w:r>
      <w:r w:rsidR="005E2A10" w:rsidRPr="000D5690">
        <w:rPr>
          <w:rFonts w:cs="Arial"/>
          <w:lang w:val="es-ES_tradnl"/>
        </w:rPr>
        <w:t>ones</w:t>
      </w:r>
      <w:r w:rsidR="00CF0211" w:rsidRPr="000D5690">
        <w:rPr>
          <w:rFonts w:cs="Arial"/>
          <w:lang w:val="es-ES_tradnl"/>
        </w:rPr>
        <w:t xml:space="preserve"> Agrícola</w:t>
      </w:r>
      <w:r w:rsidR="005E2A10" w:rsidRPr="000D5690">
        <w:rPr>
          <w:rFonts w:cs="Arial"/>
          <w:lang w:val="es-ES_tradnl"/>
        </w:rPr>
        <w:t>s</w:t>
      </w:r>
      <w:r w:rsidR="00CF0211" w:rsidRPr="000D5690">
        <w:rPr>
          <w:rFonts w:cs="Arial"/>
          <w:lang w:val="es-ES_tradnl"/>
        </w:rPr>
        <w:t xml:space="preserve"> de Cultivos Tropicales y Subtropicales (ARC-ITSC) en </w:t>
      </w:r>
      <w:proofErr w:type="spellStart"/>
      <w:r w:rsidR="00CF0211" w:rsidRPr="000D5690">
        <w:rPr>
          <w:rFonts w:cs="Arial"/>
          <w:lang w:val="es-ES_tradnl"/>
        </w:rPr>
        <w:t>Mbombela</w:t>
      </w:r>
      <w:proofErr w:type="spellEnd"/>
      <w:r w:rsidR="00CF0211" w:rsidRPr="000D5690">
        <w:rPr>
          <w:rFonts w:cs="Arial"/>
          <w:lang w:val="es-ES_tradnl"/>
        </w:rPr>
        <w:t xml:space="preserve">, </w:t>
      </w:r>
      <w:r w:rsidR="005E2A10" w:rsidRPr="000D5690">
        <w:rPr>
          <w:rFonts w:cs="Arial"/>
          <w:lang w:val="es-ES_tradnl"/>
        </w:rPr>
        <w:t>p</w:t>
      </w:r>
      <w:r w:rsidR="00CF0211" w:rsidRPr="000D5690">
        <w:rPr>
          <w:rFonts w:cs="Arial"/>
          <w:lang w:val="es-ES_tradnl"/>
        </w:rPr>
        <w:t>rovincia de Mpumalanga, donde fue recibido por el Sr.</w:t>
      </w:r>
      <w:r w:rsidR="005E2A10" w:rsidRPr="000D5690">
        <w:rPr>
          <w:rFonts w:cs="Arial"/>
          <w:lang w:val="es-ES_tradnl"/>
        </w:rPr>
        <w:t> </w:t>
      </w:r>
      <w:proofErr w:type="spellStart"/>
      <w:r w:rsidR="00CF0211" w:rsidRPr="000D5690">
        <w:rPr>
          <w:rFonts w:cs="Arial"/>
          <w:lang w:val="es-ES_tradnl"/>
        </w:rPr>
        <w:t>Mduduzi</w:t>
      </w:r>
      <w:proofErr w:type="spellEnd"/>
      <w:r w:rsidR="00CF0211" w:rsidRPr="000D5690">
        <w:rPr>
          <w:rFonts w:cs="Arial"/>
          <w:lang w:val="es-ES_tradnl"/>
        </w:rPr>
        <w:t xml:space="preserve"> </w:t>
      </w:r>
      <w:proofErr w:type="spellStart"/>
      <w:r w:rsidR="00CF0211" w:rsidRPr="000D5690">
        <w:rPr>
          <w:rFonts w:cs="Arial"/>
          <w:lang w:val="es-ES_tradnl"/>
        </w:rPr>
        <w:t>Ngcobo</w:t>
      </w:r>
      <w:proofErr w:type="spellEnd"/>
      <w:r w:rsidR="00CF0211" w:rsidRPr="000D5690">
        <w:rPr>
          <w:rFonts w:cs="Arial"/>
          <w:lang w:val="es-ES_tradnl"/>
        </w:rPr>
        <w:t xml:space="preserve">, </w:t>
      </w:r>
      <w:r w:rsidR="005E2A10" w:rsidRPr="000D5690">
        <w:rPr>
          <w:rFonts w:cs="Arial"/>
          <w:lang w:val="es-ES_tradnl"/>
        </w:rPr>
        <w:t>Jefe de</w:t>
      </w:r>
      <w:r w:rsidR="00CF0211" w:rsidRPr="000D5690">
        <w:rPr>
          <w:rFonts w:cs="Arial"/>
          <w:lang w:val="es-ES_tradnl"/>
        </w:rPr>
        <w:t xml:space="preserve"> </w:t>
      </w:r>
      <w:r w:rsidR="005E2A10" w:rsidRPr="000D5690">
        <w:rPr>
          <w:rFonts w:cs="Arial"/>
          <w:lang w:val="es-ES_tradnl"/>
        </w:rPr>
        <w:t>E</w:t>
      </w:r>
      <w:r w:rsidR="00CF0211" w:rsidRPr="000D5690">
        <w:rPr>
          <w:rFonts w:cs="Arial"/>
          <w:lang w:val="es-ES_tradnl"/>
        </w:rPr>
        <w:t xml:space="preserve">quipo de </w:t>
      </w:r>
      <w:r w:rsidR="005E2A10" w:rsidRPr="000D5690">
        <w:rPr>
          <w:rFonts w:cs="Arial"/>
          <w:lang w:val="es-ES_tradnl"/>
        </w:rPr>
        <w:t>I</w:t>
      </w:r>
      <w:r w:rsidR="00CF0211" w:rsidRPr="000D5690">
        <w:rPr>
          <w:rFonts w:cs="Arial"/>
          <w:lang w:val="es-ES_tradnl"/>
        </w:rPr>
        <w:t>nvestigación</w:t>
      </w:r>
      <w:r w:rsidR="005E2A10" w:rsidRPr="000D5690">
        <w:rPr>
          <w:rFonts w:cs="Arial"/>
          <w:lang w:val="es-ES_tradnl"/>
        </w:rPr>
        <w:t xml:space="preserve"> de la </w:t>
      </w:r>
      <w:r w:rsidR="00CF0211" w:rsidRPr="000D5690">
        <w:rPr>
          <w:rFonts w:cs="Arial"/>
          <w:lang w:val="es-ES_tradnl"/>
        </w:rPr>
        <w:t xml:space="preserve">División de </w:t>
      </w:r>
      <w:r w:rsidR="005E2A10" w:rsidRPr="000D5690">
        <w:rPr>
          <w:rFonts w:cs="Arial"/>
          <w:lang w:val="es-ES_tradnl"/>
        </w:rPr>
        <w:t xml:space="preserve">Horticultura y </w:t>
      </w:r>
      <w:proofErr w:type="spellStart"/>
      <w:r w:rsidR="005E2A10" w:rsidRPr="000D5690">
        <w:rPr>
          <w:rFonts w:cs="Arial"/>
          <w:lang w:val="es-ES_tradnl"/>
        </w:rPr>
        <w:t>P</w:t>
      </w:r>
      <w:r w:rsidR="00CF0211" w:rsidRPr="000D5690">
        <w:rPr>
          <w:rFonts w:cs="Arial"/>
          <w:lang w:val="es-ES_tradnl"/>
        </w:rPr>
        <w:t>oscosecha</w:t>
      </w:r>
      <w:proofErr w:type="spellEnd"/>
      <w:r w:rsidR="005E2A10" w:rsidRPr="000D5690">
        <w:rPr>
          <w:rFonts w:cs="Arial"/>
          <w:lang w:val="es-ES_tradnl"/>
        </w:rPr>
        <w:t xml:space="preserve"> del </w:t>
      </w:r>
      <w:r w:rsidR="00CF0211" w:rsidRPr="000D5690">
        <w:rPr>
          <w:rFonts w:cs="Arial"/>
          <w:lang w:val="es-ES_tradnl"/>
        </w:rPr>
        <w:t>ARC</w:t>
      </w:r>
      <w:r w:rsidR="00862244" w:rsidRPr="000D5690">
        <w:rPr>
          <w:rFonts w:cs="Arial"/>
          <w:lang w:val="es-ES_tradnl"/>
        </w:rPr>
        <w:t>-</w:t>
      </w:r>
      <w:r w:rsidR="00CF0211" w:rsidRPr="000D5690">
        <w:rPr>
          <w:rFonts w:cs="Arial"/>
          <w:lang w:val="es-ES_tradnl"/>
        </w:rPr>
        <w:t xml:space="preserve">ITSC, que </w:t>
      </w:r>
      <w:r w:rsidR="005E2A10" w:rsidRPr="000D5690">
        <w:rPr>
          <w:rFonts w:cs="Arial"/>
          <w:lang w:val="es-ES_tradnl"/>
        </w:rPr>
        <w:t>ofreció una presentación general de</w:t>
      </w:r>
      <w:r w:rsidR="00CF0211" w:rsidRPr="000D5690">
        <w:rPr>
          <w:rFonts w:cs="Arial"/>
          <w:lang w:val="es-ES_tradnl"/>
        </w:rPr>
        <w:t>l</w:t>
      </w:r>
      <w:r w:rsidR="005E2A10" w:rsidRPr="000D5690">
        <w:rPr>
          <w:rFonts w:cs="Arial"/>
          <w:lang w:val="es-ES_tradnl"/>
        </w:rPr>
        <w:t xml:space="preserve"> </w:t>
      </w:r>
      <w:r w:rsidR="00CF0211" w:rsidRPr="000D5690">
        <w:rPr>
          <w:rFonts w:cs="Arial"/>
          <w:lang w:val="es-ES_tradnl"/>
        </w:rPr>
        <w:t>ARC-ITSC.</w:t>
      </w:r>
      <w:r w:rsidR="005253AC" w:rsidRPr="00D6704A">
        <w:rPr>
          <w:rFonts w:cs="Arial"/>
          <w:lang w:val="es-ES"/>
        </w:rPr>
        <w:t xml:space="preserve">  </w:t>
      </w:r>
      <w:r w:rsidR="005E2A10" w:rsidRPr="000D5690">
        <w:rPr>
          <w:rFonts w:cs="Arial"/>
          <w:lang w:val="es-ES_tradnl"/>
        </w:rPr>
        <w:t>El TWF también asistió a una ponencia sobre el fitomejoramiento y la producción de aguacate</w:t>
      </w:r>
      <w:r w:rsidR="00862244" w:rsidRPr="000D5690">
        <w:rPr>
          <w:rFonts w:cs="Arial"/>
          <w:lang w:val="es-ES_tradnl"/>
        </w:rPr>
        <w:t>,</w:t>
      </w:r>
      <w:r w:rsidR="005E2A10" w:rsidRPr="000D5690">
        <w:rPr>
          <w:rFonts w:cs="Arial"/>
          <w:lang w:val="es-ES_tradnl"/>
        </w:rPr>
        <w:t xml:space="preserve"> por el Sr. </w:t>
      </w:r>
      <w:proofErr w:type="spellStart"/>
      <w:r w:rsidR="005E2A10" w:rsidRPr="000D5690">
        <w:rPr>
          <w:rFonts w:cs="Arial"/>
          <w:lang w:val="es-ES_tradnl"/>
        </w:rPr>
        <w:t>Theo</w:t>
      </w:r>
      <w:proofErr w:type="spellEnd"/>
      <w:r w:rsidR="005E2A10" w:rsidRPr="000D5690">
        <w:rPr>
          <w:rFonts w:cs="Arial"/>
          <w:lang w:val="es-ES_tradnl"/>
        </w:rPr>
        <w:t xml:space="preserve"> </w:t>
      </w:r>
      <w:proofErr w:type="spellStart"/>
      <w:r w:rsidR="005E2A10" w:rsidRPr="000D5690">
        <w:rPr>
          <w:rFonts w:cs="Arial"/>
          <w:lang w:val="es-ES_tradnl"/>
        </w:rPr>
        <w:t>Bekker</w:t>
      </w:r>
      <w:proofErr w:type="spellEnd"/>
      <w:r w:rsidR="005E2A10" w:rsidRPr="000D5690">
        <w:rPr>
          <w:rFonts w:cs="Arial"/>
          <w:lang w:val="es-ES_tradnl"/>
        </w:rPr>
        <w:t xml:space="preserve">, Director Técnico de Westfalia </w:t>
      </w:r>
      <w:proofErr w:type="spellStart"/>
      <w:r w:rsidR="005E2A10" w:rsidRPr="000D5690">
        <w:rPr>
          <w:rFonts w:cs="Arial"/>
          <w:lang w:val="es-ES_tradnl"/>
        </w:rPr>
        <w:t>Technological</w:t>
      </w:r>
      <w:proofErr w:type="spellEnd"/>
      <w:r w:rsidR="005E2A10" w:rsidRPr="000D5690">
        <w:rPr>
          <w:rFonts w:cs="Arial"/>
          <w:lang w:val="es-ES_tradnl"/>
        </w:rPr>
        <w:t xml:space="preserve"> </w:t>
      </w:r>
      <w:proofErr w:type="spellStart"/>
      <w:r w:rsidR="005E2A10" w:rsidRPr="000D5690">
        <w:rPr>
          <w:rFonts w:cs="Arial"/>
          <w:lang w:val="es-ES_tradnl"/>
        </w:rPr>
        <w:t>Services</w:t>
      </w:r>
      <w:proofErr w:type="spellEnd"/>
      <w:r w:rsidR="005E2A10" w:rsidRPr="000D5690">
        <w:rPr>
          <w:rFonts w:cs="Arial"/>
          <w:lang w:val="es-ES_tradnl"/>
        </w:rPr>
        <w:t xml:space="preserve">, y a una ponencia sobre el árbol de </w:t>
      </w:r>
      <w:proofErr w:type="spellStart"/>
      <w:r w:rsidR="005E2A10" w:rsidRPr="000D5690">
        <w:rPr>
          <w:rFonts w:cs="Arial"/>
          <w:lang w:val="es-ES_tradnl"/>
        </w:rPr>
        <w:t>marula</w:t>
      </w:r>
      <w:proofErr w:type="spellEnd"/>
      <w:r w:rsidR="00862244" w:rsidRPr="000D5690">
        <w:rPr>
          <w:rFonts w:cs="Arial"/>
          <w:lang w:val="es-ES_tradnl"/>
        </w:rPr>
        <w:t>,</w:t>
      </w:r>
      <w:r w:rsidR="005E2A10" w:rsidRPr="000D5690">
        <w:rPr>
          <w:rFonts w:cs="Arial"/>
          <w:lang w:val="es-ES_tradnl"/>
        </w:rPr>
        <w:t xml:space="preserve"> por el Sr. </w:t>
      </w:r>
      <w:proofErr w:type="spellStart"/>
      <w:r w:rsidR="005E2A10" w:rsidRPr="000D5690">
        <w:rPr>
          <w:rFonts w:cs="Arial"/>
          <w:lang w:val="es-ES_tradnl"/>
        </w:rPr>
        <w:t>Dudley</w:t>
      </w:r>
      <w:proofErr w:type="spellEnd"/>
      <w:r w:rsidR="005E2A10" w:rsidRPr="000D5690">
        <w:rPr>
          <w:rFonts w:cs="Arial"/>
          <w:lang w:val="es-ES_tradnl"/>
        </w:rPr>
        <w:t xml:space="preserve"> </w:t>
      </w:r>
      <w:proofErr w:type="spellStart"/>
      <w:r w:rsidR="005E2A10" w:rsidRPr="000D5690">
        <w:rPr>
          <w:rFonts w:cs="Arial"/>
          <w:lang w:val="es-ES_tradnl"/>
        </w:rPr>
        <w:t>McKnight</w:t>
      </w:r>
      <w:proofErr w:type="spellEnd"/>
      <w:r w:rsidR="005E2A10" w:rsidRPr="000D5690">
        <w:rPr>
          <w:rFonts w:cs="Arial"/>
          <w:lang w:val="es-ES_tradnl"/>
        </w:rPr>
        <w:t xml:space="preserve">, Director General de </w:t>
      </w:r>
      <w:proofErr w:type="spellStart"/>
      <w:r w:rsidR="005E2A10" w:rsidRPr="000D5690">
        <w:rPr>
          <w:rFonts w:cs="Arial"/>
          <w:lang w:val="es-ES_tradnl"/>
        </w:rPr>
        <w:t>Mirma</w:t>
      </w:r>
      <w:proofErr w:type="spellEnd"/>
      <w:r w:rsidR="005E2A10" w:rsidRPr="000D5690">
        <w:rPr>
          <w:rFonts w:cs="Arial"/>
          <w:lang w:val="es-ES_tradnl"/>
        </w:rPr>
        <w:t xml:space="preserve"> </w:t>
      </w:r>
      <w:proofErr w:type="spellStart"/>
      <w:r w:rsidR="005E2A10" w:rsidRPr="000D5690">
        <w:rPr>
          <w:rFonts w:cs="Arial"/>
          <w:lang w:val="es-ES_tradnl"/>
        </w:rPr>
        <w:t>Products</w:t>
      </w:r>
      <w:proofErr w:type="spellEnd"/>
      <w:r w:rsidR="005E2A10" w:rsidRPr="000D5690">
        <w:rPr>
          <w:rFonts w:cs="Arial"/>
          <w:lang w:val="es-ES_tradnl"/>
        </w:rPr>
        <w:t>.</w:t>
      </w:r>
      <w:r w:rsidR="005253AC" w:rsidRPr="00D6704A">
        <w:rPr>
          <w:rFonts w:cs="Arial"/>
          <w:lang w:val="es-ES"/>
        </w:rPr>
        <w:t xml:space="preserve"> </w:t>
      </w:r>
      <w:r w:rsidR="00862244" w:rsidRPr="000D5690">
        <w:rPr>
          <w:rFonts w:cs="Arial"/>
          <w:lang w:val="es-ES_tradnl"/>
        </w:rPr>
        <w:t>Además, e</w:t>
      </w:r>
      <w:r w:rsidR="005E2A10" w:rsidRPr="000D5690">
        <w:rPr>
          <w:rFonts w:cs="Arial"/>
          <w:lang w:val="es-ES_tradnl"/>
        </w:rPr>
        <w:t xml:space="preserve">l TWF visitó las colecciones de variedades y los programas de fitomejoramiento de maracuyá, </w:t>
      </w:r>
      <w:proofErr w:type="spellStart"/>
      <w:r w:rsidR="005E2A10" w:rsidRPr="000D5690">
        <w:rPr>
          <w:rFonts w:cs="Arial"/>
          <w:lang w:val="es-ES_tradnl"/>
        </w:rPr>
        <w:t>litchi</w:t>
      </w:r>
      <w:proofErr w:type="spellEnd"/>
      <w:r w:rsidR="005E2A10" w:rsidRPr="000D5690">
        <w:rPr>
          <w:rFonts w:cs="Arial"/>
          <w:lang w:val="es-ES_tradnl"/>
        </w:rPr>
        <w:t xml:space="preserve">, aguacate y </w:t>
      </w:r>
      <w:proofErr w:type="spellStart"/>
      <w:r w:rsidR="005E2A10" w:rsidRPr="000D5690">
        <w:rPr>
          <w:rFonts w:cs="Arial"/>
          <w:lang w:val="es-ES_tradnl"/>
        </w:rPr>
        <w:t>macadamia</w:t>
      </w:r>
      <w:proofErr w:type="spellEnd"/>
      <w:r w:rsidR="005E2A10" w:rsidRPr="000D5690">
        <w:rPr>
          <w:rFonts w:cs="Arial"/>
          <w:lang w:val="es-ES_tradnl"/>
        </w:rPr>
        <w:t xml:space="preserve"> del ARC-ITSC.</w:t>
      </w:r>
    </w:p>
    <w:p w:rsidR="005253AC" w:rsidRPr="00D6704A" w:rsidRDefault="005253AC" w:rsidP="005253AC">
      <w:pPr>
        <w:rPr>
          <w:lang w:val="es-ES"/>
        </w:rPr>
      </w:pPr>
    </w:p>
    <w:p w:rsidR="005253AC" w:rsidRPr="00D6704A" w:rsidRDefault="005E2A10" w:rsidP="005253AC">
      <w:pPr>
        <w:pStyle w:val="Heading3"/>
        <w:rPr>
          <w:lang w:val="es-ES"/>
        </w:rPr>
      </w:pPr>
      <w:r w:rsidRPr="000D5690">
        <w:rPr>
          <w:lang w:val="es-ES_tradnl"/>
        </w:rPr>
        <w:t>Grupo de Trabajo Técnico sobre Plantas Ornamentales y Árboles Forestales</w:t>
      </w:r>
    </w:p>
    <w:p w:rsidR="005253AC" w:rsidRPr="00D6704A" w:rsidRDefault="005253AC" w:rsidP="005253AC">
      <w:pPr>
        <w:keepNext/>
        <w:rPr>
          <w:lang w:val="es-ES"/>
        </w:rPr>
      </w:pPr>
    </w:p>
    <w:p w:rsidR="005253AC" w:rsidRPr="00D6704A" w:rsidRDefault="00791298" w:rsidP="005253AC">
      <w:pPr>
        <w:keepNext/>
        <w:rPr>
          <w:rFonts w:cs="Arial"/>
          <w:lang w:val="es-ES"/>
        </w:rPr>
      </w:pPr>
      <w:r w:rsidRPr="000D5690">
        <w:rPr>
          <w:rFonts w:cs="Arial"/>
        </w:rPr>
        <w:fldChar w:fldCharType="begin"/>
      </w:r>
      <w:r w:rsidR="005253AC" w:rsidRPr="00D6704A">
        <w:rPr>
          <w:rFonts w:cs="Arial"/>
          <w:lang w:val="es-ES"/>
        </w:rPr>
        <w:instrText xml:space="preserve"> AUTONUM  \* Arabic </w:instrText>
      </w:r>
      <w:r w:rsidRPr="000D5690">
        <w:rPr>
          <w:rFonts w:cs="Arial"/>
        </w:rPr>
        <w:fldChar w:fldCharType="end"/>
      </w:r>
      <w:r w:rsidR="005253AC" w:rsidRPr="00D6704A">
        <w:rPr>
          <w:rFonts w:cs="Arial"/>
          <w:lang w:val="es-ES"/>
        </w:rPr>
        <w:tab/>
      </w:r>
      <w:r w:rsidR="001C7942" w:rsidRPr="000D5690">
        <w:rPr>
          <w:rFonts w:cs="Arial"/>
          <w:lang w:val="es-ES_tradnl"/>
        </w:rPr>
        <w:t>El TWO celebró su cuadragésima octava sesión en Cambridge (Reino Unido) del 14 al 18 de septiembre de 2015.</w:t>
      </w:r>
      <w:r w:rsidR="005253AC" w:rsidRPr="00D6704A">
        <w:rPr>
          <w:rFonts w:cs="Arial"/>
          <w:lang w:val="es-ES"/>
        </w:rPr>
        <w:t xml:space="preserve"> </w:t>
      </w:r>
      <w:r w:rsidR="001C7942" w:rsidRPr="000D5690">
        <w:rPr>
          <w:rFonts w:cs="Arial"/>
          <w:lang w:val="es-ES_tradnl"/>
        </w:rPr>
        <w:t>Inauguró la sesión el Sr. </w:t>
      </w:r>
      <w:proofErr w:type="spellStart"/>
      <w:r w:rsidR="001C7942" w:rsidRPr="000D5690">
        <w:rPr>
          <w:rFonts w:cs="Arial"/>
          <w:lang w:val="es-ES_tradnl"/>
        </w:rPr>
        <w:t>Kenji</w:t>
      </w:r>
      <w:proofErr w:type="spellEnd"/>
      <w:r w:rsidR="001C7942" w:rsidRPr="000D5690">
        <w:rPr>
          <w:rFonts w:cs="Arial"/>
          <w:lang w:val="es-ES_tradnl"/>
        </w:rPr>
        <w:t xml:space="preserve"> </w:t>
      </w:r>
      <w:proofErr w:type="spellStart"/>
      <w:r w:rsidR="001C7942" w:rsidRPr="000D5690">
        <w:rPr>
          <w:rFonts w:cs="Arial"/>
          <w:lang w:val="es-ES_tradnl"/>
        </w:rPr>
        <w:t>Numaguchi</w:t>
      </w:r>
      <w:proofErr w:type="spellEnd"/>
      <w:r w:rsidR="001C7942" w:rsidRPr="000D5690">
        <w:rPr>
          <w:rFonts w:cs="Arial"/>
          <w:lang w:val="es-ES_tradnl"/>
        </w:rPr>
        <w:t xml:space="preserve"> (Japón), Presidente del TWO.</w:t>
      </w:r>
      <w:r w:rsidR="005253AC" w:rsidRPr="00D6704A">
        <w:rPr>
          <w:rFonts w:cs="Arial"/>
          <w:lang w:val="es-ES"/>
        </w:rPr>
        <w:t xml:space="preserve">  </w:t>
      </w:r>
      <w:r w:rsidR="001C7942" w:rsidRPr="000D5690">
        <w:rPr>
          <w:rFonts w:cs="Arial"/>
          <w:lang w:val="es-ES_tradnl"/>
        </w:rPr>
        <w:t>El informe detallado figura en el documento TWO/48/26 “</w:t>
      </w:r>
      <w:proofErr w:type="spellStart"/>
      <w:r w:rsidR="001C7942" w:rsidRPr="000D5690">
        <w:rPr>
          <w:rFonts w:cs="Arial"/>
          <w:i/>
          <w:lang w:val="es-ES_tradnl"/>
        </w:rPr>
        <w:t>Report</w:t>
      </w:r>
      <w:proofErr w:type="spellEnd"/>
      <w:r w:rsidR="001C7942" w:rsidRPr="000D5690">
        <w:rPr>
          <w:rFonts w:cs="Arial"/>
          <w:lang w:val="es-ES_tradnl"/>
        </w:rPr>
        <w:t>” (Informe).</w:t>
      </w:r>
      <w:r w:rsidR="005253AC" w:rsidRPr="00D6704A">
        <w:rPr>
          <w:rFonts w:cs="Arial"/>
          <w:lang w:val="es-ES"/>
        </w:rPr>
        <w:t xml:space="preserve"> </w:t>
      </w:r>
    </w:p>
    <w:p w:rsidR="005253AC" w:rsidRPr="00D6704A" w:rsidRDefault="005253AC" w:rsidP="005253AC">
      <w:pPr>
        <w:rPr>
          <w:rFonts w:cs="Arial"/>
          <w:lang w:val="es-ES"/>
        </w:rPr>
      </w:pPr>
    </w:p>
    <w:p w:rsidR="005253AC" w:rsidRPr="00D6704A" w:rsidRDefault="00791298" w:rsidP="005253AC">
      <w:pPr>
        <w:rPr>
          <w:rFonts w:cs="Arial"/>
          <w:lang w:val="es-ES"/>
        </w:rPr>
      </w:pPr>
      <w:r w:rsidRPr="000D5690">
        <w:rPr>
          <w:rFonts w:cs="Arial"/>
        </w:rPr>
        <w:fldChar w:fldCharType="begin"/>
      </w:r>
      <w:r w:rsidR="005253AC" w:rsidRPr="00D6704A">
        <w:rPr>
          <w:rFonts w:cs="Arial"/>
          <w:lang w:val="es-ES"/>
        </w:rPr>
        <w:instrText xml:space="preserve"> AUTONUM  \* Arabic </w:instrText>
      </w:r>
      <w:r w:rsidRPr="000D5690">
        <w:rPr>
          <w:rFonts w:cs="Arial"/>
        </w:rPr>
        <w:fldChar w:fldCharType="end"/>
      </w:r>
      <w:r w:rsidR="005253AC" w:rsidRPr="00D6704A">
        <w:rPr>
          <w:rFonts w:cs="Arial"/>
          <w:lang w:val="es-ES"/>
        </w:rPr>
        <w:tab/>
      </w:r>
      <w:r w:rsidR="001C7942" w:rsidRPr="000D5690">
        <w:rPr>
          <w:rFonts w:cs="Arial"/>
          <w:lang w:val="es-ES_tradnl"/>
        </w:rPr>
        <w:t xml:space="preserve">Asistieron a la sesión 56 participantes procedentes de 16 miembros de la Unión, </w:t>
      </w:r>
      <w:r w:rsidR="00862244" w:rsidRPr="000D5690">
        <w:rPr>
          <w:rFonts w:cs="Arial"/>
          <w:lang w:val="es-ES_tradnl"/>
        </w:rPr>
        <w:t>2</w:t>
      </w:r>
      <w:r w:rsidR="001C7942" w:rsidRPr="000D5690">
        <w:rPr>
          <w:rFonts w:cs="Arial"/>
          <w:lang w:val="es-ES_tradnl"/>
        </w:rPr>
        <w:t xml:space="preserve"> Estados en calidad de observadores y </w:t>
      </w:r>
      <w:r w:rsidR="00862244" w:rsidRPr="000D5690">
        <w:rPr>
          <w:rFonts w:cs="Arial"/>
          <w:lang w:val="es-ES_tradnl"/>
        </w:rPr>
        <w:t xml:space="preserve">2 </w:t>
      </w:r>
      <w:r w:rsidR="001C7942" w:rsidRPr="000D5690">
        <w:rPr>
          <w:rFonts w:cs="Arial"/>
          <w:lang w:val="es-ES_tradnl"/>
        </w:rPr>
        <w:t>organizaciones en calidad de observadoras.</w:t>
      </w:r>
      <w:r w:rsidR="005253AC" w:rsidRPr="00D6704A">
        <w:rPr>
          <w:rFonts w:cs="Arial"/>
          <w:lang w:val="es-ES"/>
        </w:rPr>
        <w:t xml:space="preserve"> </w:t>
      </w:r>
      <w:r w:rsidR="001C7942" w:rsidRPr="000D5690">
        <w:rPr>
          <w:rFonts w:cs="Arial"/>
          <w:lang w:val="es-ES_tradnl"/>
        </w:rPr>
        <w:t>El taller preparatorio, al que asistieron 36 participantes, se celebró el 13 de septiembre por la tarde.</w:t>
      </w:r>
      <w:r w:rsidR="005253AC" w:rsidRPr="00D6704A">
        <w:rPr>
          <w:rFonts w:cs="Arial"/>
          <w:lang w:val="es-ES"/>
        </w:rPr>
        <w:t xml:space="preserve"> </w:t>
      </w:r>
    </w:p>
    <w:p w:rsidR="005253AC" w:rsidRPr="00D6704A" w:rsidRDefault="005253AC" w:rsidP="005253AC">
      <w:pPr>
        <w:rPr>
          <w:rFonts w:cs="Arial"/>
          <w:lang w:val="es-ES"/>
        </w:rPr>
      </w:pPr>
    </w:p>
    <w:p w:rsidR="005253AC" w:rsidRPr="00D6704A" w:rsidRDefault="00791298" w:rsidP="005253AC">
      <w:pPr>
        <w:tabs>
          <w:tab w:val="left" w:pos="630"/>
        </w:tabs>
        <w:rPr>
          <w:rFonts w:cs="Arial"/>
          <w:lang w:val="es-ES"/>
        </w:rPr>
      </w:pPr>
      <w:r w:rsidRPr="000D5690">
        <w:rPr>
          <w:rFonts w:cs="Arial"/>
        </w:rPr>
        <w:fldChar w:fldCharType="begin"/>
      </w:r>
      <w:r w:rsidR="005253AC" w:rsidRPr="00D6704A">
        <w:rPr>
          <w:rFonts w:cs="Arial"/>
          <w:lang w:val="es-ES"/>
        </w:rPr>
        <w:instrText xml:space="preserve"> AUTONUM  \* Arabic </w:instrText>
      </w:r>
      <w:r w:rsidRPr="000D5690">
        <w:rPr>
          <w:rFonts w:cs="Arial"/>
        </w:rPr>
        <w:fldChar w:fldCharType="end"/>
      </w:r>
      <w:r w:rsidR="005253AC" w:rsidRPr="00D6704A">
        <w:rPr>
          <w:rFonts w:cs="Arial"/>
          <w:lang w:val="es-ES"/>
        </w:rPr>
        <w:tab/>
      </w:r>
      <w:r w:rsidR="001C7942" w:rsidRPr="000D5690">
        <w:rPr>
          <w:rFonts w:cs="Arial"/>
          <w:lang w:val="es-ES_tradnl"/>
        </w:rPr>
        <w:t>Dio la bienvenida al TWO el Sr. Andrew Mitchell, Jefe de Políticas sobre Variedades y Semillas y Director de Derechos de Obtentor del Departamento de Medio Ambiente, Alimentación y Asuntos Rurales (DEFRA), quien ofreció una ponencia sobre la agricultura y el examen de variedades vegetales en el Reino Unido.</w:t>
      </w:r>
      <w:r w:rsidR="005253AC" w:rsidRPr="00D6704A">
        <w:rPr>
          <w:rFonts w:cs="Arial"/>
          <w:lang w:val="es-ES"/>
        </w:rPr>
        <w:t xml:space="preserve"> </w:t>
      </w:r>
      <w:r w:rsidR="001C7942" w:rsidRPr="000D5690">
        <w:rPr>
          <w:rFonts w:cs="Arial"/>
          <w:lang w:val="es-ES_tradnl"/>
        </w:rPr>
        <w:t xml:space="preserve">También dio la bienvenida al TWO la Sra. Tina </w:t>
      </w:r>
      <w:proofErr w:type="spellStart"/>
      <w:r w:rsidR="001C7942" w:rsidRPr="000D5690">
        <w:rPr>
          <w:rFonts w:cs="Arial"/>
          <w:lang w:val="es-ES_tradnl"/>
        </w:rPr>
        <w:t>Barsby</w:t>
      </w:r>
      <w:proofErr w:type="spellEnd"/>
      <w:r w:rsidR="001C7942" w:rsidRPr="000D5690">
        <w:rPr>
          <w:rFonts w:cs="Arial"/>
          <w:lang w:val="es-ES_tradnl"/>
        </w:rPr>
        <w:t xml:space="preserve">, </w:t>
      </w:r>
      <w:r w:rsidR="007C6F0F" w:rsidRPr="000D5690">
        <w:rPr>
          <w:rFonts w:cs="Arial"/>
          <w:lang w:val="es-ES_tradnl"/>
        </w:rPr>
        <w:t xml:space="preserve">Directora Ejecutiva del </w:t>
      </w:r>
      <w:r w:rsidR="001C7942" w:rsidRPr="000D5690">
        <w:rPr>
          <w:rFonts w:cs="Arial"/>
          <w:lang w:val="es-ES_tradnl"/>
        </w:rPr>
        <w:t>Instituto Nacional de Botánica Agrícola (NIAB).</w:t>
      </w:r>
    </w:p>
    <w:p w:rsidR="005253AC" w:rsidRPr="00D6704A" w:rsidRDefault="005253AC" w:rsidP="005253AC">
      <w:pPr>
        <w:rPr>
          <w:rFonts w:cs="Arial"/>
          <w:lang w:val="es-ES"/>
        </w:rPr>
      </w:pPr>
    </w:p>
    <w:p w:rsidR="005253AC" w:rsidRPr="00D6704A" w:rsidRDefault="00791298" w:rsidP="005253AC">
      <w:pPr>
        <w:rPr>
          <w:rFonts w:cs="Arial"/>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7C6F0F" w:rsidRPr="000D5690">
        <w:rPr>
          <w:rFonts w:cs="Arial"/>
          <w:lang w:val="es-ES_tradnl"/>
        </w:rPr>
        <w:t>El TWO examinó el documento TWO/48/9 “</w:t>
      </w:r>
      <w:proofErr w:type="spellStart"/>
      <w:r w:rsidR="007C6F0F" w:rsidRPr="00D6704A">
        <w:rPr>
          <w:rFonts w:cs="Arial"/>
          <w:i/>
          <w:lang w:val="es-ES"/>
        </w:rPr>
        <w:t>Assessing</w:t>
      </w:r>
      <w:proofErr w:type="spellEnd"/>
      <w:r w:rsidR="007C6F0F" w:rsidRPr="00D6704A">
        <w:rPr>
          <w:rFonts w:cs="Arial"/>
          <w:i/>
          <w:lang w:val="es-ES"/>
        </w:rPr>
        <w:t xml:space="preserve"> </w:t>
      </w:r>
      <w:proofErr w:type="spellStart"/>
      <w:r w:rsidR="007C6F0F" w:rsidRPr="00D6704A">
        <w:rPr>
          <w:rFonts w:cs="Arial"/>
          <w:i/>
          <w:lang w:val="es-ES"/>
        </w:rPr>
        <w:t>Uniformity</w:t>
      </w:r>
      <w:proofErr w:type="spellEnd"/>
      <w:r w:rsidR="007C6F0F" w:rsidRPr="00D6704A">
        <w:rPr>
          <w:rFonts w:cs="Arial"/>
          <w:i/>
          <w:lang w:val="es-ES"/>
        </w:rPr>
        <w:t xml:space="preserve"> </w:t>
      </w:r>
      <w:proofErr w:type="spellStart"/>
      <w:r w:rsidR="007C6F0F" w:rsidRPr="00D6704A">
        <w:rPr>
          <w:rFonts w:cs="Arial"/>
          <w:i/>
          <w:lang w:val="es-ES"/>
        </w:rPr>
        <w:t>by</w:t>
      </w:r>
      <w:proofErr w:type="spellEnd"/>
      <w:r w:rsidR="007C6F0F" w:rsidRPr="00D6704A">
        <w:rPr>
          <w:rFonts w:cs="Arial"/>
          <w:i/>
          <w:lang w:val="es-ES"/>
        </w:rPr>
        <w:t xml:space="preserve"> Off-</w:t>
      </w:r>
      <w:proofErr w:type="spellStart"/>
      <w:r w:rsidR="007C6F0F" w:rsidRPr="00D6704A">
        <w:rPr>
          <w:rFonts w:cs="Arial"/>
          <w:i/>
          <w:lang w:val="es-ES"/>
        </w:rPr>
        <w:t>Types</w:t>
      </w:r>
      <w:proofErr w:type="spellEnd"/>
      <w:r w:rsidR="007C6F0F" w:rsidRPr="00D6704A">
        <w:rPr>
          <w:rFonts w:cs="Arial"/>
          <w:i/>
          <w:lang w:val="es-ES"/>
        </w:rPr>
        <w:t xml:space="preserve"> </w:t>
      </w:r>
      <w:proofErr w:type="spellStart"/>
      <w:r w:rsidR="007C6F0F" w:rsidRPr="00D6704A">
        <w:rPr>
          <w:rFonts w:cs="Arial"/>
          <w:i/>
          <w:lang w:val="es-ES"/>
        </w:rPr>
        <w:t>on</w:t>
      </w:r>
      <w:proofErr w:type="spellEnd"/>
      <w:r w:rsidR="007C6F0F" w:rsidRPr="00D6704A">
        <w:rPr>
          <w:rFonts w:cs="Arial"/>
          <w:i/>
          <w:lang w:val="es-ES"/>
        </w:rPr>
        <w:t xml:space="preserve"> </w:t>
      </w:r>
      <w:proofErr w:type="spellStart"/>
      <w:r w:rsidR="007C6F0F" w:rsidRPr="00D6704A">
        <w:rPr>
          <w:rFonts w:cs="Arial"/>
          <w:i/>
          <w:lang w:val="es-ES"/>
        </w:rPr>
        <w:t>Basis</w:t>
      </w:r>
      <w:proofErr w:type="spellEnd"/>
      <w:r w:rsidR="007C6F0F" w:rsidRPr="00D6704A">
        <w:rPr>
          <w:rFonts w:cs="Arial"/>
          <w:i/>
          <w:lang w:val="es-ES"/>
        </w:rPr>
        <w:t xml:space="preserve"> of more </w:t>
      </w:r>
      <w:proofErr w:type="spellStart"/>
      <w:r w:rsidR="007C6F0F" w:rsidRPr="00D6704A">
        <w:rPr>
          <w:rFonts w:cs="Arial"/>
          <w:i/>
          <w:lang w:val="es-ES"/>
        </w:rPr>
        <w:t>than</w:t>
      </w:r>
      <w:proofErr w:type="spellEnd"/>
      <w:r w:rsidR="007C6F0F" w:rsidRPr="00D6704A">
        <w:rPr>
          <w:rFonts w:cs="Arial"/>
          <w:i/>
          <w:lang w:val="es-ES"/>
        </w:rPr>
        <w:t xml:space="preserve"> </w:t>
      </w:r>
      <w:proofErr w:type="spellStart"/>
      <w:r w:rsidR="007C6F0F" w:rsidRPr="00D6704A">
        <w:rPr>
          <w:rFonts w:cs="Arial"/>
          <w:i/>
          <w:lang w:val="es-ES"/>
        </w:rPr>
        <w:t>one</w:t>
      </w:r>
      <w:proofErr w:type="spellEnd"/>
      <w:r w:rsidR="007C6F0F" w:rsidRPr="00D6704A">
        <w:rPr>
          <w:rFonts w:cs="Arial"/>
          <w:i/>
          <w:lang w:val="es-ES"/>
        </w:rPr>
        <w:t xml:space="preserve"> </w:t>
      </w:r>
      <w:proofErr w:type="spellStart"/>
      <w:r w:rsidR="007C6F0F" w:rsidRPr="00D6704A">
        <w:rPr>
          <w:rFonts w:cs="Arial"/>
          <w:i/>
          <w:lang w:val="es-ES"/>
        </w:rPr>
        <w:t>Growing</w:t>
      </w:r>
      <w:proofErr w:type="spellEnd"/>
      <w:r w:rsidR="007C6F0F" w:rsidRPr="00D6704A">
        <w:rPr>
          <w:rFonts w:cs="Arial"/>
          <w:i/>
          <w:lang w:val="es-ES"/>
        </w:rPr>
        <w:t xml:space="preserve"> </w:t>
      </w:r>
      <w:proofErr w:type="spellStart"/>
      <w:r w:rsidR="007C6F0F" w:rsidRPr="00D6704A">
        <w:rPr>
          <w:rFonts w:cs="Arial"/>
          <w:i/>
          <w:lang w:val="es-ES"/>
        </w:rPr>
        <w:t>Cycle</w:t>
      </w:r>
      <w:proofErr w:type="spellEnd"/>
      <w:r w:rsidR="007C6F0F" w:rsidRPr="00D6704A">
        <w:rPr>
          <w:rFonts w:cs="Arial"/>
          <w:i/>
          <w:lang w:val="es-ES"/>
        </w:rPr>
        <w:t xml:space="preserve"> </w:t>
      </w:r>
      <w:proofErr w:type="spellStart"/>
      <w:r w:rsidR="007C6F0F" w:rsidRPr="00D6704A">
        <w:rPr>
          <w:rFonts w:cs="Arial"/>
          <w:i/>
          <w:lang w:val="es-ES"/>
        </w:rPr>
        <w:t>or</w:t>
      </w:r>
      <w:proofErr w:type="spellEnd"/>
      <w:r w:rsidR="007C6F0F" w:rsidRPr="00D6704A">
        <w:rPr>
          <w:rFonts w:cs="Arial"/>
          <w:i/>
          <w:lang w:val="es-ES"/>
        </w:rPr>
        <w:t xml:space="preserve"> </w:t>
      </w:r>
      <w:proofErr w:type="spellStart"/>
      <w:r w:rsidR="007C6F0F" w:rsidRPr="00D6704A">
        <w:rPr>
          <w:rFonts w:cs="Arial"/>
          <w:i/>
          <w:lang w:val="es-ES"/>
        </w:rPr>
        <w:t>on</w:t>
      </w:r>
      <w:proofErr w:type="spellEnd"/>
      <w:r w:rsidR="007C6F0F" w:rsidRPr="00D6704A">
        <w:rPr>
          <w:rFonts w:cs="Arial"/>
          <w:i/>
          <w:lang w:val="es-ES"/>
        </w:rPr>
        <w:t xml:space="preserve"> </w:t>
      </w:r>
      <w:proofErr w:type="spellStart"/>
      <w:r w:rsidR="007C6F0F" w:rsidRPr="00D6704A">
        <w:rPr>
          <w:rFonts w:cs="Arial"/>
          <w:i/>
          <w:lang w:val="es-ES"/>
        </w:rPr>
        <w:t>the</w:t>
      </w:r>
      <w:proofErr w:type="spellEnd"/>
      <w:r w:rsidR="007C6F0F" w:rsidRPr="00D6704A">
        <w:rPr>
          <w:rFonts w:cs="Arial"/>
          <w:i/>
          <w:lang w:val="es-ES"/>
        </w:rPr>
        <w:t xml:space="preserve"> </w:t>
      </w:r>
      <w:proofErr w:type="spellStart"/>
      <w:r w:rsidR="007C6F0F" w:rsidRPr="00D6704A">
        <w:rPr>
          <w:rFonts w:cs="Arial"/>
          <w:i/>
          <w:lang w:val="es-ES"/>
        </w:rPr>
        <w:t>Basis</w:t>
      </w:r>
      <w:proofErr w:type="spellEnd"/>
      <w:r w:rsidR="007C6F0F" w:rsidRPr="00D6704A">
        <w:rPr>
          <w:rFonts w:cs="Arial"/>
          <w:i/>
          <w:lang w:val="es-ES"/>
        </w:rPr>
        <w:t xml:space="preserve"> of Sub-</w:t>
      </w:r>
      <w:proofErr w:type="spellStart"/>
      <w:r w:rsidR="007C6F0F" w:rsidRPr="00D6704A">
        <w:rPr>
          <w:rFonts w:cs="Arial"/>
          <w:i/>
          <w:lang w:val="es-ES"/>
        </w:rPr>
        <w:t>Samples</w:t>
      </w:r>
      <w:proofErr w:type="spellEnd"/>
      <w:r w:rsidR="007C6F0F" w:rsidRPr="000D5690">
        <w:rPr>
          <w:rFonts w:cs="Arial"/>
          <w:lang w:val="es-ES_tradnl"/>
        </w:rPr>
        <w:t xml:space="preserve">” (Evaluación de la homogeneidad de las plantas fuera de tipo mediante la observación de más de un ciclo de cultivo o mediante la observación de </w:t>
      </w:r>
      <w:proofErr w:type="spellStart"/>
      <w:r w:rsidR="007C6F0F" w:rsidRPr="000D5690">
        <w:rPr>
          <w:rFonts w:cs="Arial"/>
          <w:lang w:val="es-ES_tradnl"/>
        </w:rPr>
        <w:t>submuestras</w:t>
      </w:r>
      <w:proofErr w:type="spellEnd"/>
      <w:r w:rsidR="007C6F0F" w:rsidRPr="000D5690">
        <w:rPr>
          <w:rFonts w:cs="Arial"/>
          <w:lang w:val="es-ES_tradnl"/>
        </w:rPr>
        <w:t>) y convino en que en el documento se debe aclarar que el uso previsto de la orientación facilitada no es la evaluación de la homogeneidad de las plantas fuera de tipo en las mismas plantas en dos ciclos de cultivo.</w:t>
      </w:r>
      <w:r w:rsidR="005253AC" w:rsidRPr="00D6704A">
        <w:rPr>
          <w:rFonts w:cs="Arial"/>
          <w:lang w:val="es-ES"/>
        </w:rPr>
        <w:t xml:space="preserve"> </w:t>
      </w:r>
      <w:r w:rsidR="007C6F0F" w:rsidRPr="000D5690">
        <w:rPr>
          <w:rFonts w:cs="Arial"/>
          <w:lang w:val="es-ES_tradnl"/>
        </w:rPr>
        <w:t>El TWO también convino en que junto al número de plantas fuera de tipo de los ejemplos facilitados en el Anexo I, en las líneas 2 y 3 (número de plantas fuera de tipo = 3) de la columna correspondiente al segundo ciclo de cultivo, se debía introducir un asterisco para indicar que “es preciso poner cuidado al examinar resultados que sean muy diferentes en cada uno de los ciclos de cultivo, por ejemplo cuando se observe una gran abundancia de plantas fuera de tipo en un ciclo de cultivo y su ausencia en otro ciclo”.</w:t>
      </w:r>
    </w:p>
    <w:p w:rsidR="005253AC" w:rsidRPr="00D6704A" w:rsidRDefault="005253AC" w:rsidP="005253AC">
      <w:pPr>
        <w:rPr>
          <w:rFonts w:cs="Arial"/>
          <w:lang w:val="es-ES"/>
        </w:rPr>
      </w:pPr>
    </w:p>
    <w:p w:rsidR="005253AC" w:rsidRPr="00D6704A" w:rsidRDefault="00791298" w:rsidP="005253AC">
      <w:pPr>
        <w:tabs>
          <w:tab w:val="left" w:pos="630"/>
        </w:tabs>
        <w:rPr>
          <w:rFonts w:cs="Arial"/>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7C6F0F" w:rsidRPr="000D5690">
        <w:rPr>
          <w:rFonts w:cs="Arial"/>
          <w:lang w:val="es-ES_tradnl"/>
        </w:rPr>
        <w:t>El TWO examinó el documento TWO/48/10 “</w:t>
      </w:r>
      <w:proofErr w:type="spellStart"/>
      <w:r w:rsidR="007C6F0F" w:rsidRPr="000D5690">
        <w:rPr>
          <w:rFonts w:cs="Arial"/>
          <w:i/>
          <w:lang w:val="es-ES_tradnl"/>
        </w:rPr>
        <w:t>Matters</w:t>
      </w:r>
      <w:proofErr w:type="spellEnd"/>
      <w:r w:rsidR="007C6F0F" w:rsidRPr="000D5690">
        <w:rPr>
          <w:rFonts w:cs="Arial"/>
          <w:i/>
          <w:lang w:val="es-ES_tradnl"/>
        </w:rPr>
        <w:t xml:space="preserve"> </w:t>
      </w:r>
      <w:proofErr w:type="spellStart"/>
      <w:r w:rsidR="007C6F0F" w:rsidRPr="000D5690">
        <w:rPr>
          <w:rFonts w:cs="Arial"/>
          <w:i/>
          <w:lang w:val="es-ES_tradnl"/>
        </w:rPr>
        <w:t>concerning</w:t>
      </w:r>
      <w:proofErr w:type="spellEnd"/>
      <w:r w:rsidR="007C6F0F" w:rsidRPr="000D5690">
        <w:rPr>
          <w:rFonts w:cs="Arial"/>
          <w:i/>
          <w:lang w:val="es-ES_tradnl"/>
        </w:rPr>
        <w:t xml:space="preserve"> </w:t>
      </w:r>
      <w:proofErr w:type="spellStart"/>
      <w:r w:rsidR="007C6F0F" w:rsidRPr="000D5690">
        <w:rPr>
          <w:rFonts w:cs="Arial"/>
          <w:i/>
          <w:lang w:val="es-ES_tradnl"/>
        </w:rPr>
        <w:t>variety</w:t>
      </w:r>
      <w:proofErr w:type="spellEnd"/>
      <w:r w:rsidR="007C6F0F" w:rsidRPr="000D5690">
        <w:rPr>
          <w:rFonts w:cs="Arial"/>
          <w:i/>
          <w:lang w:val="es-ES_tradnl"/>
        </w:rPr>
        <w:t xml:space="preserve"> </w:t>
      </w:r>
      <w:proofErr w:type="spellStart"/>
      <w:r w:rsidR="007C6F0F" w:rsidRPr="000D5690">
        <w:rPr>
          <w:rFonts w:cs="Arial"/>
          <w:i/>
          <w:lang w:val="es-ES_tradnl"/>
        </w:rPr>
        <w:t>descriptions</w:t>
      </w:r>
      <w:proofErr w:type="spellEnd"/>
      <w:r w:rsidR="007C6F0F" w:rsidRPr="000D5690">
        <w:rPr>
          <w:rFonts w:cs="Arial"/>
          <w:lang w:val="es-ES_tradnl"/>
        </w:rPr>
        <w:t>” (Asuntos relativos a las descripciones de variedades) y asistió a una ponencia de un experto de la Unión Europea titulada “Experiencia relativa a las descripciones de variedades y el control del mantenimiento de la variedad en la Oficina Comunitaria de Variedades Vegetales (OCVV) de la Unión Europea”.</w:t>
      </w:r>
      <w:r w:rsidR="005253AC" w:rsidRPr="00D6704A">
        <w:rPr>
          <w:rFonts w:cs="Arial"/>
          <w:lang w:val="es-ES"/>
        </w:rPr>
        <w:t xml:space="preserve">  </w:t>
      </w:r>
      <w:r w:rsidR="008F7550" w:rsidRPr="000D5690">
        <w:rPr>
          <w:rFonts w:cs="Arial"/>
          <w:lang w:val="es-ES_tradnl"/>
        </w:rPr>
        <w:t>Se proporciona una copia de esta ponencia en el documento TWF/46/10 </w:t>
      </w:r>
      <w:proofErr w:type="spellStart"/>
      <w:r w:rsidR="008F7550" w:rsidRPr="000D5690">
        <w:rPr>
          <w:rFonts w:cs="Arial"/>
          <w:lang w:val="es-ES_tradnl"/>
        </w:rPr>
        <w:t>Add</w:t>
      </w:r>
      <w:proofErr w:type="spellEnd"/>
      <w:r w:rsidR="008F7550" w:rsidRPr="000D5690">
        <w:rPr>
          <w:rFonts w:cs="Arial"/>
          <w:lang w:val="es-ES_tradnl"/>
        </w:rPr>
        <w:t>.</w:t>
      </w:r>
      <w:r w:rsidR="005253AC" w:rsidRPr="00D6704A">
        <w:rPr>
          <w:rFonts w:cs="Arial"/>
          <w:lang w:val="es-ES"/>
        </w:rPr>
        <w:t xml:space="preserve"> </w:t>
      </w:r>
      <w:r w:rsidR="008F7550" w:rsidRPr="000D5690">
        <w:rPr>
          <w:rFonts w:cs="Arial"/>
          <w:lang w:val="es-ES_tradnl"/>
        </w:rPr>
        <w:t>El TWO tomó nota de que en algunos miembros, en casos de litigio, había debates en curso acerca de la titularidad y el derecho de acceso al material vegetal que la autoridad no mantenía y convino en que la comprobación de que un material vegetal correspondía a una variedad protegida era más difícil cuando la autoridad no conservaba una muestra patrón del material empleado para el examen DHE.</w:t>
      </w:r>
      <w:r w:rsidR="005253AC" w:rsidRPr="00D6704A">
        <w:rPr>
          <w:rFonts w:cs="Arial"/>
          <w:lang w:val="es-ES"/>
        </w:rPr>
        <w:t xml:space="preserve">  </w:t>
      </w:r>
      <w:r w:rsidR="003D1DB9" w:rsidRPr="000D5690">
        <w:rPr>
          <w:rFonts w:eastAsia="SimSun" w:cs="Arial"/>
          <w:lang w:val="es-ES_tradnl"/>
        </w:rPr>
        <w:t xml:space="preserve">El TWO </w:t>
      </w:r>
      <w:r w:rsidR="003D1DB9" w:rsidRPr="000D5690">
        <w:rPr>
          <w:lang w:val="es-ES_tradnl"/>
        </w:rPr>
        <w:t>convino en invitar a Australia, la Unión Europea, Alemania y los Países Bajos a presentar ponencias sobre los asuntos relativos a las descripciones de variedades en su cuadragésima novena sesión que se celebrará en 2016</w:t>
      </w:r>
      <w:r w:rsidR="003D1DB9" w:rsidRPr="000D5690">
        <w:rPr>
          <w:rFonts w:eastAsia="SimSun" w:cs="Arial"/>
          <w:lang w:val="es-ES_tradnl"/>
        </w:rPr>
        <w:t>.</w:t>
      </w:r>
    </w:p>
    <w:p w:rsidR="005253AC" w:rsidRPr="00D6704A" w:rsidRDefault="005253AC" w:rsidP="005253AC">
      <w:pPr>
        <w:rPr>
          <w:rFonts w:cs="Arial"/>
          <w:lang w:val="es-ES"/>
        </w:rPr>
      </w:pPr>
    </w:p>
    <w:p w:rsidR="005253AC" w:rsidRPr="00D6704A" w:rsidRDefault="00791298" w:rsidP="005253AC">
      <w:pPr>
        <w:tabs>
          <w:tab w:val="left" w:pos="630"/>
        </w:tabs>
        <w:rPr>
          <w:rFonts w:cs="Arial"/>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3D1DB9" w:rsidRPr="000D5690">
        <w:rPr>
          <w:rFonts w:cs="Arial"/>
          <w:lang w:val="es-ES_tradnl"/>
        </w:rPr>
        <w:t>El TWO examinó el documento TWO/48/12 “</w:t>
      </w:r>
      <w:proofErr w:type="spellStart"/>
      <w:r w:rsidR="003D1DB9" w:rsidRPr="000D5690">
        <w:rPr>
          <w:rFonts w:cs="Arial"/>
          <w:i/>
          <w:lang w:val="es-ES_tradnl"/>
        </w:rPr>
        <w:t>Revision</w:t>
      </w:r>
      <w:proofErr w:type="spellEnd"/>
      <w:r w:rsidR="003D1DB9" w:rsidRPr="000D5690">
        <w:rPr>
          <w:rFonts w:cs="Arial"/>
          <w:i/>
          <w:lang w:val="es-ES_tradnl"/>
        </w:rPr>
        <w:t xml:space="preserve"> of </w:t>
      </w:r>
      <w:proofErr w:type="spellStart"/>
      <w:r w:rsidR="003D1DB9" w:rsidRPr="000D5690">
        <w:rPr>
          <w:rFonts w:cs="Arial"/>
          <w:i/>
          <w:lang w:val="es-ES_tradnl"/>
        </w:rPr>
        <w:t>document</w:t>
      </w:r>
      <w:proofErr w:type="spellEnd"/>
      <w:r w:rsidR="003D1DB9" w:rsidRPr="000D5690">
        <w:rPr>
          <w:rFonts w:cs="Arial"/>
          <w:i/>
          <w:lang w:val="es-ES_tradnl"/>
        </w:rPr>
        <w:t xml:space="preserve"> TGP/7: </w:t>
      </w:r>
      <w:proofErr w:type="spellStart"/>
      <w:r w:rsidR="003D1DB9" w:rsidRPr="000D5690">
        <w:rPr>
          <w:rFonts w:cs="Arial"/>
          <w:i/>
          <w:lang w:val="es-ES_tradnl"/>
        </w:rPr>
        <w:t>Drafter’s</w:t>
      </w:r>
      <w:proofErr w:type="spellEnd"/>
      <w:r w:rsidR="003D1DB9" w:rsidRPr="000D5690">
        <w:rPr>
          <w:rFonts w:cs="Arial"/>
          <w:i/>
          <w:lang w:val="es-ES_tradnl"/>
        </w:rPr>
        <w:t xml:space="preserve"> Kit </w:t>
      </w:r>
      <w:proofErr w:type="spellStart"/>
      <w:r w:rsidR="003D1DB9" w:rsidRPr="000D5690">
        <w:rPr>
          <w:rFonts w:cs="Arial"/>
          <w:i/>
          <w:lang w:val="es-ES_tradnl"/>
        </w:rPr>
        <w:t>for</w:t>
      </w:r>
      <w:proofErr w:type="spellEnd"/>
      <w:r w:rsidR="003D1DB9" w:rsidRPr="000D5690">
        <w:rPr>
          <w:rFonts w:cs="Arial"/>
          <w:i/>
          <w:lang w:val="es-ES_tradnl"/>
        </w:rPr>
        <w:t xml:space="preserve"> Test </w:t>
      </w:r>
      <w:proofErr w:type="spellStart"/>
      <w:r w:rsidR="003D1DB9" w:rsidRPr="000D5690">
        <w:rPr>
          <w:rFonts w:cs="Arial"/>
          <w:i/>
          <w:lang w:val="es-ES_tradnl"/>
        </w:rPr>
        <w:t>Guidelines</w:t>
      </w:r>
      <w:proofErr w:type="spellEnd"/>
      <w:r w:rsidR="003D1DB9" w:rsidRPr="000D5690">
        <w:rPr>
          <w:rFonts w:cs="Arial"/>
          <w:lang w:val="es-ES_tradnl"/>
        </w:rPr>
        <w:t xml:space="preserve">” (Revisión del documento TGP/7: Carpeta de material para los redactores de directrices de examen) y </w:t>
      </w:r>
      <w:r w:rsidR="00EC0EDD" w:rsidRPr="000D5690">
        <w:rPr>
          <w:rFonts w:cs="Arial"/>
          <w:lang w:val="es-ES_tradnl"/>
        </w:rPr>
        <w:t>tom</w:t>
      </w:r>
      <w:r w:rsidR="003D1DB9" w:rsidRPr="000D5690">
        <w:rPr>
          <w:rFonts w:cs="Arial"/>
          <w:lang w:val="es-ES_tradnl"/>
        </w:rPr>
        <w:t xml:space="preserve">ó </w:t>
      </w:r>
      <w:r w:rsidR="00EC0EDD" w:rsidRPr="000D5690">
        <w:rPr>
          <w:rFonts w:cs="Arial"/>
          <w:lang w:val="es-ES_tradnl"/>
        </w:rPr>
        <w:t xml:space="preserve">nota de </w:t>
      </w:r>
      <w:r w:rsidR="003D1DB9" w:rsidRPr="000D5690">
        <w:rPr>
          <w:rFonts w:cs="Arial"/>
          <w:lang w:val="es-ES_tradnl"/>
        </w:rPr>
        <w:t>que no había ninguna orientación sobre el orden en que figuran los métodos de observación de un carácter en la tabla de caracteres (por ejemplo VG/MS) y convino en proponer que se faciliten orientaciones en el documento TGP/7 y las directrices de examen que enuncien, por ejemplo, que el método empleado con mayor frecuencia es el indicado en primer término.</w:t>
      </w:r>
      <w:r w:rsidR="005253AC" w:rsidRPr="00D6704A">
        <w:rPr>
          <w:rFonts w:cs="Arial"/>
          <w:lang w:val="es-ES"/>
        </w:rPr>
        <w:t xml:space="preserve">  </w:t>
      </w:r>
      <w:r w:rsidR="003D1DB9" w:rsidRPr="000D5690">
        <w:rPr>
          <w:rFonts w:cs="Arial"/>
          <w:lang w:val="es-ES_tradnl"/>
        </w:rPr>
        <w:t>El TWO convino en solicitar a la Oficina de la Unión que estudie la posibilidad de incluir las observaciones formuladas por la Oficina sobre el proyecto de directrices de examen en la plantilla en Internet de los documentos TG, a fin de que el experto principal tenga todas las observaciones en dicha plantilla.</w:t>
      </w:r>
      <w:r w:rsidR="005253AC" w:rsidRPr="00D6704A">
        <w:rPr>
          <w:rFonts w:cs="Arial"/>
          <w:lang w:val="es-ES"/>
        </w:rPr>
        <w:t xml:space="preserve">  </w:t>
      </w:r>
      <w:r w:rsidR="003D1DB9" w:rsidRPr="000D5690">
        <w:rPr>
          <w:rFonts w:cs="Arial"/>
          <w:lang w:val="es-ES_tradnl"/>
        </w:rPr>
        <w:t>El TWO convino en que sería útil para los expertos principales e interesados disponer de guías didácticas y notas orientativas en línea.</w:t>
      </w:r>
    </w:p>
    <w:p w:rsidR="005253AC" w:rsidRPr="00D6704A" w:rsidRDefault="005253AC" w:rsidP="005253AC">
      <w:pPr>
        <w:rPr>
          <w:rFonts w:cs="Arial"/>
          <w:lang w:val="es-ES"/>
        </w:rPr>
      </w:pPr>
    </w:p>
    <w:p w:rsidR="005253AC" w:rsidRPr="00D6704A" w:rsidRDefault="00791298" w:rsidP="005253AC">
      <w:pPr>
        <w:tabs>
          <w:tab w:val="left" w:pos="630"/>
        </w:tabs>
        <w:rPr>
          <w:rFonts w:cs="Arial"/>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3D1DB9" w:rsidRPr="000D5690">
        <w:rPr>
          <w:rFonts w:cs="Arial"/>
          <w:lang w:val="es-ES_tradnl"/>
        </w:rPr>
        <w:t>El TWO examinó el documento TWO/48/14 “</w:t>
      </w:r>
      <w:r w:rsidR="003D1DB9" w:rsidRPr="000D5690">
        <w:rPr>
          <w:rFonts w:cs="Arial"/>
          <w:i/>
          <w:lang w:val="es-ES_tradnl"/>
        </w:rPr>
        <w:t xml:space="preserve">Regional sets of </w:t>
      </w:r>
      <w:proofErr w:type="spellStart"/>
      <w:r w:rsidR="003D1DB9" w:rsidRPr="000D5690">
        <w:rPr>
          <w:rFonts w:cs="Arial"/>
          <w:i/>
          <w:lang w:val="es-ES_tradnl"/>
        </w:rPr>
        <w:t>example</w:t>
      </w:r>
      <w:proofErr w:type="spellEnd"/>
      <w:r w:rsidR="003D1DB9" w:rsidRPr="000D5690">
        <w:rPr>
          <w:rFonts w:cs="Arial"/>
          <w:i/>
          <w:lang w:val="es-ES_tradnl"/>
        </w:rPr>
        <w:t xml:space="preserve"> </w:t>
      </w:r>
      <w:proofErr w:type="spellStart"/>
      <w:r w:rsidR="003D1DB9" w:rsidRPr="000D5690">
        <w:rPr>
          <w:rFonts w:cs="Arial"/>
          <w:i/>
          <w:lang w:val="es-ES_tradnl"/>
        </w:rPr>
        <w:t>varieties</w:t>
      </w:r>
      <w:proofErr w:type="spellEnd"/>
      <w:r w:rsidR="003D1DB9" w:rsidRPr="000D5690">
        <w:rPr>
          <w:rFonts w:cs="Arial"/>
          <w:lang w:val="es-ES_tradnl"/>
        </w:rPr>
        <w:t>” (Conjuntos regionales de variedades ejemplo).</w:t>
      </w:r>
      <w:r w:rsidR="005253AC" w:rsidRPr="00D6704A">
        <w:rPr>
          <w:rFonts w:cs="Arial"/>
          <w:lang w:val="es-ES"/>
        </w:rPr>
        <w:t xml:space="preserve">  </w:t>
      </w:r>
      <w:r w:rsidR="00EC0EDD" w:rsidRPr="000D5690">
        <w:rPr>
          <w:rFonts w:cs="Arial"/>
          <w:lang w:val="es-ES_tradnl"/>
        </w:rPr>
        <w:t xml:space="preserve">El TWO convino en que sería importante explicar el fundamento para </w:t>
      </w:r>
      <w:r w:rsidR="00283919" w:rsidRPr="000D5690">
        <w:rPr>
          <w:rFonts w:cs="Arial"/>
          <w:lang w:val="es-ES_tradnl"/>
        </w:rPr>
        <w:t xml:space="preserve">el </w:t>
      </w:r>
      <w:r w:rsidR="00EC0EDD" w:rsidRPr="000D5690">
        <w:rPr>
          <w:rFonts w:cs="Arial"/>
          <w:lang w:val="es-ES_tradnl"/>
        </w:rPr>
        <w:t>establec</w:t>
      </w:r>
      <w:r w:rsidR="00283919" w:rsidRPr="000D5690">
        <w:rPr>
          <w:rFonts w:cs="Arial"/>
          <w:lang w:val="es-ES_tradnl"/>
        </w:rPr>
        <w:t xml:space="preserve">imiento de </w:t>
      </w:r>
      <w:r w:rsidR="00EC0EDD" w:rsidRPr="000D5690">
        <w:rPr>
          <w:rFonts w:cs="Arial"/>
          <w:lang w:val="es-ES_tradnl"/>
        </w:rPr>
        <w:t>conjunto</w:t>
      </w:r>
      <w:r w:rsidR="00283919" w:rsidRPr="000D5690">
        <w:rPr>
          <w:rFonts w:cs="Arial"/>
          <w:lang w:val="es-ES_tradnl"/>
        </w:rPr>
        <w:t>s</w:t>
      </w:r>
      <w:r w:rsidR="00EC0EDD" w:rsidRPr="000D5690">
        <w:rPr>
          <w:rFonts w:cs="Arial"/>
          <w:lang w:val="es-ES_tradnl"/>
        </w:rPr>
        <w:t xml:space="preserve"> regional</w:t>
      </w:r>
      <w:r w:rsidR="00283919" w:rsidRPr="000D5690">
        <w:rPr>
          <w:rFonts w:cs="Arial"/>
          <w:lang w:val="es-ES_tradnl"/>
        </w:rPr>
        <w:t>es</w:t>
      </w:r>
      <w:r w:rsidR="00EC0EDD" w:rsidRPr="000D5690">
        <w:rPr>
          <w:rFonts w:cs="Arial"/>
          <w:lang w:val="es-ES_tradnl"/>
        </w:rPr>
        <w:t xml:space="preserve"> de variedades ejemplo en directrices de examen concretas.</w:t>
      </w:r>
      <w:r w:rsidR="005253AC" w:rsidRPr="00D6704A">
        <w:rPr>
          <w:rFonts w:cs="Arial"/>
          <w:lang w:val="es-ES"/>
        </w:rPr>
        <w:t xml:space="preserve"> </w:t>
      </w:r>
      <w:r w:rsidR="00EC0EDD" w:rsidRPr="000D5690">
        <w:rPr>
          <w:rFonts w:cs="Arial"/>
          <w:lang w:val="es-ES_tradnl"/>
        </w:rPr>
        <w:t xml:space="preserve">El TWA convino en incluir en el documento TGP/7 orientaciones en el sentido de que incumbe al TWP determinar en qué debe basarse una región para establecer un conjunto regional acordado de variedades ejemplo (p. ej., el intercambio de información o un </w:t>
      </w:r>
      <w:r w:rsidR="00EC0EDD" w:rsidRPr="000D5690">
        <w:rPr>
          <w:rFonts w:cs="Arial"/>
          <w:i/>
          <w:lang w:val="es-ES_tradnl"/>
        </w:rPr>
        <w:t>ring-test</w:t>
      </w:r>
      <w:r w:rsidR="00EC0EDD" w:rsidRPr="000D5690">
        <w:rPr>
          <w:rFonts w:cs="Arial"/>
          <w:lang w:val="es-ES_tradnl"/>
        </w:rPr>
        <w:t>).</w:t>
      </w:r>
    </w:p>
    <w:p w:rsidR="005253AC" w:rsidRPr="00D6704A" w:rsidRDefault="005253AC" w:rsidP="005253AC">
      <w:pPr>
        <w:rPr>
          <w:rFonts w:cs="Arial"/>
          <w:lang w:val="es-ES"/>
        </w:rPr>
      </w:pPr>
    </w:p>
    <w:p w:rsidR="005253AC" w:rsidRPr="00D6704A" w:rsidRDefault="00791298" w:rsidP="00C848FC">
      <w:pPr>
        <w:tabs>
          <w:tab w:val="left" w:pos="630"/>
        </w:tabs>
        <w:rPr>
          <w:rFonts w:cs="Arial"/>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EC0EDD" w:rsidRPr="000D5690">
        <w:rPr>
          <w:rFonts w:cs="Arial"/>
          <w:lang w:val="es-ES_tradnl"/>
        </w:rPr>
        <w:t>El TWO examinó el documento TWO/48/19 “</w:t>
      </w:r>
      <w:proofErr w:type="spellStart"/>
      <w:r w:rsidR="00EC0EDD" w:rsidRPr="000D5690">
        <w:rPr>
          <w:rFonts w:cs="Arial"/>
          <w:i/>
          <w:lang w:val="es-ES_tradnl"/>
        </w:rPr>
        <w:t>Definition</w:t>
      </w:r>
      <w:proofErr w:type="spellEnd"/>
      <w:r w:rsidR="00EC0EDD" w:rsidRPr="000D5690">
        <w:rPr>
          <w:rFonts w:cs="Arial"/>
          <w:i/>
          <w:lang w:val="es-ES_tradnl"/>
        </w:rPr>
        <w:t xml:space="preserve"> of color </w:t>
      </w:r>
      <w:proofErr w:type="spellStart"/>
      <w:r w:rsidR="00EC0EDD" w:rsidRPr="000D5690">
        <w:rPr>
          <w:rFonts w:cs="Arial"/>
          <w:i/>
          <w:lang w:val="es-ES_tradnl"/>
        </w:rPr>
        <w:t>groups</w:t>
      </w:r>
      <w:proofErr w:type="spellEnd"/>
      <w:r w:rsidR="00EC0EDD" w:rsidRPr="000D5690">
        <w:rPr>
          <w:rFonts w:cs="Arial"/>
          <w:i/>
          <w:lang w:val="es-ES_tradnl"/>
        </w:rPr>
        <w:t xml:space="preserve"> </w:t>
      </w:r>
      <w:proofErr w:type="spellStart"/>
      <w:r w:rsidR="00EC0EDD" w:rsidRPr="000D5690">
        <w:rPr>
          <w:rFonts w:cs="Arial"/>
          <w:i/>
          <w:lang w:val="es-ES_tradnl"/>
        </w:rPr>
        <w:t>from</w:t>
      </w:r>
      <w:proofErr w:type="spellEnd"/>
      <w:r w:rsidR="00EC0EDD" w:rsidRPr="000D5690">
        <w:rPr>
          <w:rFonts w:cs="Arial"/>
          <w:i/>
          <w:lang w:val="es-ES_tradnl"/>
        </w:rPr>
        <w:t xml:space="preserve"> RHS </w:t>
      </w:r>
      <w:proofErr w:type="spellStart"/>
      <w:r w:rsidR="00EC0EDD" w:rsidRPr="000D5690">
        <w:rPr>
          <w:rFonts w:cs="Arial"/>
          <w:i/>
          <w:lang w:val="es-ES_tradnl"/>
        </w:rPr>
        <w:t>Colour</w:t>
      </w:r>
      <w:proofErr w:type="spellEnd"/>
      <w:r w:rsidR="00EC0EDD" w:rsidRPr="000D5690">
        <w:rPr>
          <w:rFonts w:cs="Arial"/>
          <w:i/>
          <w:lang w:val="es-ES_tradnl"/>
        </w:rPr>
        <w:t xml:space="preserve"> charts</w:t>
      </w:r>
      <w:r w:rsidR="00EC0EDD" w:rsidRPr="000D5690">
        <w:rPr>
          <w:rFonts w:cs="Arial"/>
          <w:lang w:val="es-ES_tradnl"/>
        </w:rPr>
        <w:t>” (Definición de grupos de color en referencia a la carta de colores RHS</w:t>
      </w:r>
      <w:r w:rsidR="00283919" w:rsidRPr="00D6704A">
        <w:rPr>
          <w:lang w:val="es-ES"/>
        </w:rPr>
        <w:t>”</w:t>
      </w:r>
      <w:r w:rsidR="00EC0EDD" w:rsidRPr="000D5690">
        <w:rPr>
          <w:rFonts w:cs="Arial"/>
          <w:lang w:val="es-ES_tradnl"/>
        </w:rPr>
        <w:t xml:space="preserve"> y asistió a ponencias de la Royal Horticultural </w:t>
      </w:r>
      <w:proofErr w:type="spellStart"/>
      <w:r w:rsidR="00EC0EDD" w:rsidRPr="000D5690">
        <w:rPr>
          <w:rFonts w:cs="Arial"/>
          <w:lang w:val="es-ES_tradnl"/>
        </w:rPr>
        <w:t>Society</w:t>
      </w:r>
      <w:proofErr w:type="spellEnd"/>
      <w:r w:rsidR="00EC0EDD" w:rsidRPr="000D5690">
        <w:rPr>
          <w:rFonts w:cs="Arial"/>
          <w:lang w:val="es-ES_tradnl"/>
        </w:rPr>
        <w:t xml:space="preserve"> (RHS), del Japón, el Reino Unido y la Unión Europea.</w:t>
      </w:r>
      <w:r w:rsidR="005253AC" w:rsidRPr="00D6704A">
        <w:rPr>
          <w:rFonts w:cs="Arial"/>
          <w:lang w:val="es-ES"/>
        </w:rPr>
        <w:t xml:space="preserve"> </w:t>
      </w:r>
      <w:r w:rsidR="00EC0EDD" w:rsidRPr="000D5690">
        <w:rPr>
          <w:rFonts w:cs="Arial"/>
          <w:lang w:val="es-ES_tradnl"/>
        </w:rPr>
        <w:t>El TWO tomó nota de que</w:t>
      </w:r>
      <w:r w:rsidR="004065C9" w:rsidRPr="000D5690">
        <w:rPr>
          <w:rFonts w:cs="Arial"/>
          <w:lang w:val="es-ES_tradnl"/>
        </w:rPr>
        <w:t xml:space="preserve"> en</w:t>
      </w:r>
      <w:r w:rsidR="00EC0EDD" w:rsidRPr="000D5690">
        <w:rPr>
          <w:rFonts w:cs="Arial"/>
          <w:lang w:val="es-ES_tradnl"/>
        </w:rPr>
        <w:t xml:space="preserve"> la edición más reciente </w:t>
      </w:r>
      <w:r w:rsidR="004065C9" w:rsidRPr="000D5690">
        <w:rPr>
          <w:rFonts w:cs="Arial"/>
          <w:lang w:val="es-ES_tradnl"/>
        </w:rPr>
        <w:t xml:space="preserve">(sexta edición) </w:t>
      </w:r>
      <w:r w:rsidR="00EC0EDD" w:rsidRPr="000D5690">
        <w:rPr>
          <w:rFonts w:cs="Arial"/>
          <w:lang w:val="es-ES_tradnl"/>
        </w:rPr>
        <w:t xml:space="preserve">de la carta de colores RHS </w:t>
      </w:r>
      <w:r w:rsidR="004065C9" w:rsidRPr="000D5690">
        <w:rPr>
          <w:rFonts w:cs="Arial"/>
          <w:lang w:val="es-ES_tradnl"/>
        </w:rPr>
        <w:t xml:space="preserve">se asigna </w:t>
      </w:r>
      <w:r w:rsidR="00EC0EDD" w:rsidRPr="000D5690">
        <w:rPr>
          <w:rFonts w:cs="Arial"/>
          <w:lang w:val="es-ES_tradnl"/>
        </w:rPr>
        <w:t xml:space="preserve">un nombre </w:t>
      </w:r>
      <w:r w:rsidR="004065C9" w:rsidRPr="000D5690">
        <w:rPr>
          <w:rFonts w:cs="Arial"/>
          <w:lang w:val="es-ES_tradnl"/>
        </w:rPr>
        <w:t xml:space="preserve">a </w:t>
      </w:r>
      <w:r w:rsidR="00EC0EDD" w:rsidRPr="000D5690">
        <w:rPr>
          <w:rFonts w:cs="Arial"/>
          <w:lang w:val="es-ES_tradnl"/>
        </w:rPr>
        <w:t xml:space="preserve">cada color </w:t>
      </w:r>
      <w:r w:rsidR="004065C9" w:rsidRPr="000D5690">
        <w:rPr>
          <w:rFonts w:cs="Arial"/>
          <w:lang w:val="es-ES_tradnl"/>
        </w:rPr>
        <w:t>específico</w:t>
      </w:r>
      <w:r w:rsidR="00283919" w:rsidRPr="000D5690">
        <w:rPr>
          <w:rFonts w:cs="Arial"/>
          <w:lang w:val="es-ES_tradnl"/>
        </w:rPr>
        <w:t>,</w:t>
      </w:r>
      <w:r w:rsidR="004065C9" w:rsidRPr="000D5690">
        <w:rPr>
          <w:rFonts w:cs="Arial"/>
          <w:lang w:val="es-ES_tradnl"/>
        </w:rPr>
        <w:t xml:space="preserve"> </w:t>
      </w:r>
      <w:r w:rsidR="00EC0EDD" w:rsidRPr="000D5690">
        <w:rPr>
          <w:rFonts w:cs="Arial"/>
          <w:lang w:val="es-ES_tradnl"/>
        </w:rPr>
        <w:t xml:space="preserve">y acordó solicitar al experto de Alemania </w:t>
      </w:r>
      <w:r w:rsidR="004065C9" w:rsidRPr="000D5690">
        <w:rPr>
          <w:rFonts w:cs="Arial"/>
          <w:lang w:val="es-ES_tradnl"/>
        </w:rPr>
        <w:t xml:space="preserve">que </w:t>
      </w:r>
      <w:r w:rsidR="00283919" w:rsidRPr="000D5690">
        <w:rPr>
          <w:rFonts w:cs="Arial"/>
          <w:lang w:val="es-ES_tradnl"/>
        </w:rPr>
        <w:t xml:space="preserve">elabore </w:t>
      </w:r>
      <w:r w:rsidR="00EC0EDD" w:rsidRPr="000D5690">
        <w:rPr>
          <w:rFonts w:cs="Arial"/>
          <w:lang w:val="es-ES_tradnl"/>
        </w:rPr>
        <w:t>un estudio</w:t>
      </w:r>
      <w:r w:rsidR="00283919" w:rsidRPr="000D5690">
        <w:rPr>
          <w:rFonts w:cs="Arial"/>
          <w:lang w:val="es-ES_tradnl"/>
        </w:rPr>
        <w:t>,</w:t>
      </w:r>
      <w:r w:rsidR="00EC0EDD" w:rsidRPr="000D5690">
        <w:rPr>
          <w:rFonts w:cs="Arial"/>
          <w:lang w:val="es-ES_tradnl"/>
        </w:rPr>
        <w:t xml:space="preserve"> con el apoyo de los expertos de Australia, </w:t>
      </w:r>
      <w:r w:rsidR="004065C9" w:rsidRPr="000D5690">
        <w:rPr>
          <w:rFonts w:cs="Arial"/>
          <w:lang w:val="es-ES_tradnl"/>
        </w:rPr>
        <w:t xml:space="preserve">el </w:t>
      </w:r>
      <w:r w:rsidR="00EC0EDD" w:rsidRPr="000D5690">
        <w:rPr>
          <w:rFonts w:cs="Arial"/>
          <w:lang w:val="es-ES_tradnl"/>
        </w:rPr>
        <w:t>Canadá, la Unión Europea, los Países Bajos, Nueva Zeland</w:t>
      </w:r>
      <w:r w:rsidR="004065C9" w:rsidRPr="000D5690">
        <w:rPr>
          <w:rFonts w:cs="Arial"/>
          <w:lang w:val="es-ES_tradnl"/>
        </w:rPr>
        <w:t>i</w:t>
      </w:r>
      <w:r w:rsidR="00EC0EDD" w:rsidRPr="000D5690">
        <w:rPr>
          <w:rFonts w:cs="Arial"/>
          <w:lang w:val="es-ES_tradnl"/>
        </w:rPr>
        <w:t>a y el Reino Unido</w:t>
      </w:r>
      <w:r w:rsidR="00283919" w:rsidRPr="000D5690">
        <w:rPr>
          <w:rFonts w:cs="Arial"/>
          <w:lang w:val="es-ES_tradnl"/>
        </w:rPr>
        <w:t>,</w:t>
      </w:r>
      <w:r w:rsidR="00EC0EDD" w:rsidRPr="000D5690">
        <w:rPr>
          <w:rFonts w:cs="Arial"/>
          <w:lang w:val="es-ES_tradnl"/>
        </w:rPr>
        <w:t xml:space="preserve"> sobre la posibilidad de </w:t>
      </w:r>
      <w:r w:rsidR="004065C9" w:rsidRPr="000D5690">
        <w:rPr>
          <w:rFonts w:cs="Arial"/>
          <w:lang w:val="es-ES_tradnl"/>
        </w:rPr>
        <w:t xml:space="preserve">basar la </w:t>
      </w:r>
      <w:r w:rsidR="00EC0EDD" w:rsidRPr="000D5690">
        <w:rPr>
          <w:rFonts w:cs="Arial"/>
          <w:lang w:val="es-ES_tradnl"/>
        </w:rPr>
        <w:t>defini</w:t>
      </w:r>
      <w:r w:rsidR="004065C9" w:rsidRPr="000D5690">
        <w:rPr>
          <w:rFonts w:cs="Arial"/>
          <w:lang w:val="es-ES_tradnl"/>
        </w:rPr>
        <w:t xml:space="preserve">ción de </w:t>
      </w:r>
      <w:r w:rsidR="00EC0EDD" w:rsidRPr="000D5690">
        <w:rPr>
          <w:rFonts w:cs="Arial"/>
          <w:lang w:val="es-ES_tradnl"/>
        </w:rPr>
        <w:t xml:space="preserve">los </w:t>
      </w:r>
      <w:r w:rsidR="004065C9" w:rsidRPr="000D5690">
        <w:rPr>
          <w:rFonts w:cs="Arial"/>
          <w:lang w:val="es-ES_tradnl"/>
        </w:rPr>
        <w:t>grupos de color, a efectos de la agrupación de variedades y la organización del ensayo en cultivo, en referencias a la sexta edición de la carta de colores RHS</w:t>
      </w:r>
      <w:r w:rsidR="00EC0EDD" w:rsidRPr="000D5690">
        <w:rPr>
          <w:rFonts w:cs="Arial"/>
          <w:lang w:val="es-ES_tradnl"/>
        </w:rPr>
        <w:t>.</w:t>
      </w:r>
      <w:r w:rsidR="005253AC" w:rsidRPr="00D6704A">
        <w:rPr>
          <w:rFonts w:cs="Arial"/>
          <w:lang w:val="es-ES"/>
        </w:rPr>
        <w:t xml:space="preserve">  </w:t>
      </w:r>
      <w:r w:rsidR="004065C9" w:rsidRPr="000D5690">
        <w:rPr>
          <w:rFonts w:cs="Arial"/>
          <w:lang w:val="es-ES_tradnl"/>
        </w:rPr>
        <w:t xml:space="preserve">El TWO </w:t>
      </w:r>
      <w:r w:rsidR="009D4911" w:rsidRPr="000D5690">
        <w:rPr>
          <w:rFonts w:cs="Arial"/>
          <w:lang w:val="es-ES_tradnl"/>
        </w:rPr>
        <w:t xml:space="preserve">convino en </w:t>
      </w:r>
      <w:r w:rsidR="004065C9" w:rsidRPr="000D5690">
        <w:rPr>
          <w:rFonts w:cs="Arial"/>
          <w:lang w:val="es-ES_tradnl"/>
        </w:rPr>
        <w:t>que debía tenerse en cuenta el solapamiento de algunos colores.</w:t>
      </w:r>
      <w:r w:rsidR="005253AC" w:rsidRPr="00D6704A">
        <w:rPr>
          <w:rFonts w:cs="Arial"/>
          <w:lang w:val="es-ES"/>
        </w:rPr>
        <w:t xml:space="preserve">  </w:t>
      </w:r>
      <w:r w:rsidR="009D4911" w:rsidRPr="000D5690">
        <w:rPr>
          <w:rFonts w:cs="Arial"/>
          <w:lang w:val="es-ES_tradnl"/>
        </w:rPr>
        <w:t xml:space="preserve">El TWO </w:t>
      </w:r>
      <w:r w:rsidR="004065C9" w:rsidRPr="000D5690">
        <w:rPr>
          <w:rFonts w:cs="Arial"/>
          <w:lang w:val="es-ES_tradnl"/>
        </w:rPr>
        <w:t xml:space="preserve">también </w:t>
      </w:r>
      <w:r w:rsidR="009D4911" w:rsidRPr="000D5690">
        <w:rPr>
          <w:rFonts w:cs="Arial"/>
          <w:lang w:val="es-ES_tradnl"/>
        </w:rPr>
        <w:t xml:space="preserve">convino en que en </w:t>
      </w:r>
      <w:r w:rsidR="004065C9" w:rsidRPr="000D5690">
        <w:rPr>
          <w:rFonts w:cs="Arial"/>
          <w:lang w:val="es-ES_tradnl"/>
        </w:rPr>
        <w:t>el estudio deb</w:t>
      </w:r>
      <w:r w:rsidR="009D4911" w:rsidRPr="000D5690">
        <w:rPr>
          <w:rFonts w:cs="Arial"/>
          <w:lang w:val="es-ES_tradnl"/>
        </w:rPr>
        <w:t>ía</w:t>
      </w:r>
      <w:r w:rsidR="004065C9" w:rsidRPr="000D5690">
        <w:rPr>
          <w:rFonts w:cs="Arial"/>
          <w:lang w:val="es-ES_tradnl"/>
        </w:rPr>
        <w:t xml:space="preserve"> considerar</w:t>
      </w:r>
      <w:r w:rsidR="009D4911" w:rsidRPr="000D5690">
        <w:rPr>
          <w:rFonts w:cs="Arial"/>
          <w:lang w:val="es-ES_tradnl"/>
        </w:rPr>
        <w:t>se</w:t>
      </w:r>
      <w:r w:rsidR="004065C9" w:rsidRPr="000D5690">
        <w:rPr>
          <w:rFonts w:cs="Arial"/>
          <w:lang w:val="es-ES_tradnl"/>
        </w:rPr>
        <w:t xml:space="preserve"> si </w:t>
      </w:r>
      <w:r w:rsidR="009D4911" w:rsidRPr="000D5690">
        <w:rPr>
          <w:rFonts w:cs="Arial"/>
          <w:lang w:val="es-ES_tradnl"/>
        </w:rPr>
        <w:t xml:space="preserve">es preciso revisar </w:t>
      </w:r>
      <w:r w:rsidR="004065C9" w:rsidRPr="000D5690">
        <w:rPr>
          <w:rFonts w:cs="Arial"/>
          <w:lang w:val="es-ES_tradnl"/>
        </w:rPr>
        <w:t xml:space="preserve">la </w:t>
      </w:r>
      <w:r w:rsidR="009D4911" w:rsidRPr="000D5690">
        <w:rPr>
          <w:rFonts w:cs="Arial"/>
          <w:lang w:val="es-ES_tradnl"/>
        </w:rPr>
        <w:t xml:space="preserve">asignación de grupos de color UPOV a cada color RHS </w:t>
      </w:r>
      <w:r w:rsidR="00682177" w:rsidRPr="000D5690">
        <w:rPr>
          <w:rFonts w:cs="Arial"/>
          <w:lang w:val="es-ES_tradnl"/>
        </w:rPr>
        <w:t xml:space="preserve">que figura </w:t>
      </w:r>
      <w:r w:rsidR="009D4911" w:rsidRPr="000D5690">
        <w:rPr>
          <w:rFonts w:cs="Arial"/>
          <w:lang w:val="es-ES_tradnl"/>
        </w:rPr>
        <w:t>en el documento TGP/14</w:t>
      </w:r>
      <w:r w:rsidR="004065C9" w:rsidRPr="000D5690">
        <w:rPr>
          <w:rFonts w:cs="Arial"/>
          <w:lang w:val="es-ES_tradnl"/>
        </w:rPr>
        <w:t>.</w:t>
      </w:r>
      <w:r w:rsidR="005253AC" w:rsidRPr="00D6704A">
        <w:rPr>
          <w:rFonts w:cs="Arial"/>
          <w:lang w:val="es-ES"/>
        </w:rPr>
        <w:t xml:space="preserve">  </w:t>
      </w:r>
      <w:r w:rsidR="00682177" w:rsidRPr="000D5690">
        <w:rPr>
          <w:rFonts w:cs="Arial"/>
          <w:lang w:val="es-ES_tradnl"/>
        </w:rPr>
        <w:t xml:space="preserve">El TWO tomó nota de que la Royal Horticultural </w:t>
      </w:r>
      <w:proofErr w:type="spellStart"/>
      <w:r w:rsidR="00682177" w:rsidRPr="000D5690">
        <w:rPr>
          <w:rFonts w:cs="Arial"/>
          <w:lang w:val="es-ES_tradnl"/>
        </w:rPr>
        <w:t>Society</w:t>
      </w:r>
      <w:proofErr w:type="spellEnd"/>
      <w:r w:rsidR="00682177" w:rsidRPr="000D5690">
        <w:rPr>
          <w:rFonts w:cs="Arial"/>
          <w:lang w:val="es-ES_tradnl"/>
        </w:rPr>
        <w:t xml:space="preserve"> (RHS) estaba </w:t>
      </w:r>
      <w:r w:rsidR="00E841A6" w:rsidRPr="000D5690">
        <w:rPr>
          <w:rFonts w:cs="Arial"/>
          <w:lang w:val="es-ES_tradnl"/>
        </w:rPr>
        <w:t>examin</w:t>
      </w:r>
      <w:r w:rsidR="00682177" w:rsidRPr="000D5690">
        <w:rPr>
          <w:rFonts w:cs="Arial"/>
          <w:lang w:val="es-ES_tradnl"/>
        </w:rPr>
        <w:t>ando el proce</w:t>
      </w:r>
      <w:r w:rsidR="00E841A6" w:rsidRPr="000D5690">
        <w:rPr>
          <w:rFonts w:cs="Arial"/>
          <w:lang w:val="es-ES_tradnl"/>
        </w:rPr>
        <w:t xml:space="preserve">dimiento </w:t>
      </w:r>
      <w:r w:rsidR="00682177" w:rsidRPr="000D5690">
        <w:rPr>
          <w:rFonts w:cs="Arial"/>
          <w:lang w:val="es-ES_tradnl"/>
        </w:rPr>
        <w:t>para la revisión de la sexta edición de la carta de colores RHS antes de organiza</w:t>
      </w:r>
      <w:r w:rsidR="00E841A6" w:rsidRPr="000D5690">
        <w:rPr>
          <w:rFonts w:cs="Arial"/>
          <w:lang w:val="es-ES_tradnl"/>
        </w:rPr>
        <w:t xml:space="preserve">r </w:t>
      </w:r>
      <w:r w:rsidR="00682177" w:rsidRPr="000D5690">
        <w:rPr>
          <w:rFonts w:cs="Arial"/>
          <w:lang w:val="es-ES_tradnl"/>
        </w:rPr>
        <w:t xml:space="preserve">la séptima edición y </w:t>
      </w:r>
      <w:r w:rsidR="00E841A6" w:rsidRPr="000D5690">
        <w:rPr>
          <w:rFonts w:cs="Arial"/>
          <w:lang w:val="es-ES_tradnl"/>
        </w:rPr>
        <w:t xml:space="preserve">convino en </w:t>
      </w:r>
      <w:r w:rsidR="00C848FC" w:rsidRPr="000D5690">
        <w:rPr>
          <w:rFonts w:cs="Arial"/>
          <w:lang w:val="es-ES_tradnl"/>
        </w:rPr>
        <w:t>solicitar a un experto del Reino Unido que organice la recopilación de ejemplos de variedades a las que no corresponda un color en la sexta edición de la carta de colores RHS (lagunas)</w:t>
      </w:r>
      <w:r w:rsidR="00682177" w:rsidRPr="000D5690">
        <w:rPr>
          <w:rFonts w:cs="Arial"/>
          <w:lang w:val="es-ES_tradnl"/>
        </w:rPr>
        <w:t>.</w:t>
      </w:r>
      <w:r w:rsidR="005253AC" w:rsidRPr="00D6704A">
        <w:rPr>
          <w:rFonts w:cs="Arial"/>
          <w:lang w:val="es-ES"/>
        </w:rPr>
        <w:t xml:space="preserve">  </w:t>
      </w:r>
      <w:r w:rsidR="00E841A6" w:rsidRPr="000D5690">
        <w:rPr>
          <w:rFonts w:cs="Arial"/>
          <w:lang w:val="es-ES_tradnl"/>
        </w:rPr>
        <w:t>Los ejemplos recopilados se presentarían a la RHS a efectos de proponer nuevos colores y de la posible armonización de la terminología.</w:t>
      </w:r>
      <w:r w:rsidR="005253AC" w:rsidRPr="00D6704A">
        <w:rPr>
          <w:rFonts w:cs="Arial"/>
          <w:lang w:val="es-ES"/>
        </w:rPr>
        <w:t xml:space="preserve">  </w:t>
      </w:r>
      <w:r w:rsidR="00E841A6" w:rsidRPr="000D5690">
        <w:rPr>
          <w:rFonts w:cs="Arial"/>
          <w:lang w:val="es-ES_tradnl"/>
        </w:rPr>
        <w:t xml:space="preserve">El TWO </w:t>
      </w:r>
      <w:r w:rsidR="00E24523" w:rsidRPr="000D5690">
        <w:rPr>
          <w:rFonts w:cs="Arial"/>
          <w:lang w:val="es-ES_tradnl"/>
        </w:rPr>
        <w:t xml:space="preserve">tomó nota de </w:t>
      </w:r>
      <w:r w:rsidR="00E841A6" w:rsidRPr="000D5690">
        <w:rPr>
          <w:rFonts w:cs="Arial"/>
          <w:lang w:val="es-ES_tradnl"/>
        </w:rPr>
        <w:t xml:space="preserve">que </w:t>
      </w:r>
      <w:r w:rsidR="00C848FC" w:rsidRPr="000D5690">
        <w:rPr>
          <w:lang w:val="es-ES_tradnl"/>
        </w:rPr>
        <w:t>los nombres de los colores pueden ser relevantes para las denominaciones de variedades y podrían tener consecuencias en la aceptación de las denominaciones de variedades para algunos miembros de la UPOV</w:t>
      </w:r>
      <w:r w:rsidR="00E841A6" w:rsidRPr="000D5690">
        <w:rPr>
          <w:rFonts w:cs="Arial"/>
          <w:lang w:val="es-ES_tradnl"/>
        </w:rPr>
        <w:t>.</w:t>
      </w:r>
    </w:p>
    <w:p w:rsidR="005253AC" w:rsidRPr="00D6704A" w:rsidRDefault="005253AC" w:rsidP="005253AC">
      <w:pPr>
        <w:rPr>
          <w:rFonts w:cs="Arial"/>
          <w:lang w:val="es-ES"/>
        </w:rPr>
      </w:pPr>
    </w:p>
    <w:p w:rsidR="005253AC" w:rsidRPr="00D6704A" w:rsidRDefault="00791298" w:rsidP="005253AC">
      <w:pPr>
        <w:tabs>
          <w:tab w:val="left" w:pos="630"/>
        </w:tabs>
        <w:rPr>
          <w:rFonts w:cs="Arial"/>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1A6DD1" w:rsidRPr="000D5690">
        <w:rPr>
          <w:rFonts w:cs="Arial"/>
          <w:lang w:val="es-ES_tradnl"/>
        </w:rPr>
        <w:t xml:space="preserve">El TWO escuchó una exposición oral a cargo de un experto de Alemania sobre el examen DHE de una nueva variedad de </w:t>
      </w:r>
      <w:proofErr w:type="spellStart"/>
      <w:r w:rsidR="001A6DD1" w:rsidRPr="000D5690">
        <w:rPr>
          <w:rFonts w:cs="Arial"/>
          <w:lang w:val="es-ES_tradnl"/>
        </w:rPr>
        <w:t>Calibrachoa</w:t>
      </w:r>
      <w:proofErr w:type="spellEnd"/>
      <w:r w:rsidR="001A6DD1" w:rsidRPr="000D5690">
        <w:rPr>
          <w:rFonts w:cs="Arial"/>
          <w:lang w:val="es-ES_tradnl"/>
        </w:rPr>
        <w:t xml:space="preserve"> cuyas flores presentan una gran tendencia a cambiar de color con los cambios de temperatura.</w:t>
      </w:r>
      <w:r w:rsidR="005253AC" w:rsidRPr="00D6704A">
        <w:rPr>
          <w:rFonts w:cs="Arial"/>
          <w:lang w:val="es-ES"/>
        </w:rPr>
        <w:t xml:space="preserve">  </w:t>
      </w:r>
      <w:r w:rsidR="001A6DD1" w:rsidRPr="000D5690">
        <w:rPr>
          <w:rFonts w:cs="Arial"/>
          <w:lang w:val="es-ES_tradnl"/>
        </w:rPr>
        <w:t>El TWO tomó nota de que la nueva variedad es muy sensible a los cambios de temperatura en condiciones estándar de cultivo en invernaderos y difiere de otras variedades a este respecto.</w:t>
      </w:r>
      <w:r w:rsidR="005253AC" w:rsidRPr="00D6704A">
        <w:rPr>
          <w:rFonts w:cs="Arial"/>
          <w:lang w:val="es-ES"/>
        </w:rPr>
        <w:t xml:space="preserve">  </w:t>
      </w:r>
      <w:r w:rsidR="004F011A" w:rsidRPr="000D5690">
        <w:rPr>
          <w:rFonts w:cs="Arial"/>
          <w:lang w:val="es-ES_tradnl"/>
        </w:rPr>
        <w:t xml:space="preserve">El TWO señaló que se han observado cambios similares en el color de las flores y la intensidad de las manchas, debidos a la temperatura y a la intensidad de la luz, en variedades de crisantemo y de </w:t>
      </w:r>
      <w:proofErr w:type="spellStart"/>
      <w:r w:rsidR="004F011A" w:rsidRPr="000D5690">
        <w:rPr>
          <w:rFonts w:cs="Arial"/>
          <w:lang w:val="es-ES_tradnl"/>
        </w:rPr>
        <w:t>Phalaenopsis</w:t>
      </w:r>
      <w:proofErr w:type="spellEnd"/>
      <w:r w:rsidR="004F011A" w:rsidRPr="000D5690">
        <w:rPr>
          <w:rFonts w:cs="Arial"/>
          <w:lang w:val="es-ES_tradnl"/>
        </w:rPr>
        <w:t>, respectivamente.</w:t>
      </w:r>
    </w:p>
    <w:p w:rsidR="005253AC" w:rsidRPr="00D6704A" w:rsidRDefault="005253AC" w:rsidP="005253AC">
      <w:pPr>
        <w:rPr>
          <w:rFonts w:cs="Arial"/>
          <w:lang w:val="es-ES"/>
        </w:rPr>
      </w:pPr>
    </w:p>
    <w:p w:rsidR="005253AC" w:rsidRPr="00D6704A" w:rsidRDefault="00791298" w:rsidP="005253AC">
      <w:pPr>
        <w:rPr>
          <w:rFonts w:cs="Arial"/>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4F011A" w:rsidRPr="000D5690">
        <w:rPr>
          <w:rFonts w:cs="Arial"/>
          <w:lang w:val="es-ES_tradnl"/>
        </w:rPr>
        <w:t>El TWO acordó presentar cuatro directrices de examen al TC para su aprobación:</w:t>
      </w:r>
      <w:r w:rsidR="005253AC" w:rsidRPr="00D6704A">
        <w:rPr>
          <w:rFonts w:cs="Arial"/>
          <w:lang w:val="es-ES"/>
        </w:rPr>
        <w:t xml:space="preserve"> </w:t>
      </w:r>
      <w:proofErr w:type="spellStart"/>
      <w:r w:rsidR="004F011A" w:rsidRPr="000D5690">
        <w:rPr>
          <w:rFonts w:cs="Arial"/>
          <w:lang w:val="es-ES_tradnl"/>
        </w:rPr>
        <w:t>Calibrachoa</w:t>
      </w:r>
      <w:proofErr w:type="spellEnd"/>
      <w:r w:rsidR="004F011A" w:rsidRPr="000D5690">
        <w:rPr>
          <w:rFonts w:cs="Arial"/>
          <w:lang w:val="es-ES_tradnl"/>
        </w:rPr>
        <w:t xml:space="preserve"> (revisión); </w:t>
      </w:r>
      <w:proofErr w:type="spellStart"/>
      <w:r w:rsidR="004F011A" w:rsidRPr="000D5690">
        <w:rPr>
          <w:rFonts w:cs="Arial"/>
          <w:lang w:val="es-ES_tradnl"/>
        </w:rPr>
        <w:t>Cordyline</w:t>
      </w:r>
      <w:proofErr w:type="spellEnd"/>
      <w:r w:rsidR="004F011A" w:rsidRPr="000D5690">
        <w:rPr>
          <w:rFonts w:cs="Arial"/>
          <w:lang w:val="es-ES_tradnl"/>
        </w:rPr>
        <w:t xml:space="preserve">; </w:t>
      </w:r>
      <w:proofErr w:type="spellStart"/>
      <w:r w:rsidR="004F011A" w:rsidRPr="000D5690">
        <w:rPr>
          <w:rFonts w:cs="Arial"/>
          <w:lang w:val="es-ES_tradnl"/>
        </w:rPr>
        <w:t>Plectranthus</w:t>
      </w:r>
      <w:proofErr w:type="spellEnd"/>
      <w:r w:rsidR="004F011A" w:rsidRPr="000D5690">
        <w:rPr>
          <w:rFonts w:cs="Arial"/>
          <w:lang w:val="es-ES_tradnl"/>
        </w:rPr>
        <w:t>; y Salvia.</w:t>
      </w:r>
      <w:r w:rsidR="005253AC" w:rsidRPr="00D6704A">
        <w:rPr>
          <w:rFonts w:cs="Arial"/>
          <w:lang w:val="es-ES"/>
        </w:rPr>
        <w:t xml:space="preserve">  </w:t>
      </w:r>
      <w:r w:rsidR="004F011A" w:rsidRPr="000D5690">
        <w:rPr>
          <w:rFonts w:cs="Arial"/>
          <w:lang w:val="es-ES_tradnl"/>
        </w:rPr>
        <w:t>El TWO tiene previsto exami</w:t>
      </w:r>
      <w:r w:rsidR="007703AE">
        <w:rPr>
          <w:rFonts w:cs="Arial"/>
          <w:lang w:val="es-ES_tradnl"/>
        </w:rPr>
        <w:t>nar 16 directrices de examen (8 </w:t>
      </w:r>
      <w:r w:rsidR="004F011A" w:rsidRPr="000D5690">
        <w:rPr>
          <w:rFonts w:cs="Arial"/>
          <w:lang w:val="es-ES_tradnl"/>
        </w:rPr>
        <w:t>revisiones y 8 nuevas directrices de examen) en su cuadragésima novena sesión, que se celebrará en 2016.</w:t>
      </w:r>
      <w:r w:rsidR="005253AC" w:rsidRPr="00D6704A">
        <w:rPr>
          <w:rFonts w:cs="Arial"/>
          <w:lang w:val="es-ES"/>
        </w:rPr>
        <w:t xml:space="preserve"> </w:t>
      </w:r>
    </w:p>
    <w:p w:rsidR="005253AC" w:rsidRPr="00D6704A" w:rsidRDefault="005253AC" w:rsidP="005253AC">
      <w:pPr>
        <w:rPr>
          <w:rFonts w:cs="Arial"/>
          <w:i/>
          <w:lang w:val="es-ES"/>
        </w:rPr>
      </w:pPr>
    </w:p>
    <w:p w:rsidR="005253AC" w:rsidRPr="00D6704A" w:rsidRDefault="00791298" w:rsidP="005253AC">
      <w:pPr>
        <w:rPr>
          <w:rFonts w:cs="Arial"/>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4F011A" w:rsidRPr="000D5690">
        <w:rPr>
          <w:rFonts w:cs="Arial"/>
          <w:lang w:val="es-ES_tradnl"/>
        </w:rPr>
        <w:t xml:space="preserve">Por invitación de la República de Corea, el TWO </w:t>
      </w:r>
      <w:r w:rsidR="00F87878" w:rsidRPr="000D5690">
        <w:rPr>
          <w:rFonts w:cs="Arial"/>
          <w:lang w:val="es-ES_tradnl"/>
        </w:rPr>
        <w:t>decidi</w:t>
      </w:r>
      <w:r w:rsidR="004F011A" w:rsidRPr="000D5690">
        <w:rPr>
          <w:rFonts w:cs="Arial"/>
          <w:lang w:val="es-ES_tradnl"/>
        </w:rPr>
        <w:t xml:space="preserve">ó celebrar su cuadragésima novena sesión en </w:t>
      </w:r>
      <w:proofErr w:type="spellStart"/>
      <w:r w:rsidR="004F011A" w:rsidRPr="000D5690">
        <w:rPr>
          <w:rFonts w:cs="Arial"/>
          <w:lang w:val="es-ES_tradnl"/>
        </w:rPr>
        <w:t>Gimcheon</w:t>
      </w:r>
      <w:proofErr w:type="spellEnd"/>
      <w:r w:rsidR="00F87878" w:rsidRPr="000D5690">
        <w:rPr>
          <w:rFonts w:cs="Arial"/>
          <w:lang w:val="es-ES_tradnl"/>
        </w:rPr>
        <w:t xml:space="preserve"> (</w:t>
      </w:r>
      <w:r w:rsidR="004F011A" w:rsidRPr="000D5690">
        <w:rPr>
          <w:rFonts w:cs="Arial"/>
          <w:lang w:val="es-ES_tradnl"/>
        </w:rPr>
        <w:t>República de Corea</w:t>
      </w:r>
      <w:r w:rsidR="00F87878" w:rsidRPr="000D5690">
        <w:rPr>
          <w:rFonts w:cs="Arial"/>
          <w:lang w:val="es-ES_tradnl"/>
        </w:rPr>
        <w:t xml:space="preserve">) los días </w:t>
      </w:r>
      <w:r w:rsidR="004F011A" w:rsidRPr="000D5690">
        <w:rPr>
          <w:rFonts w:cs="Arial"/>
          <w:lang w:val="es-ES_tradnl"/>
        </w:rPr>
        <w:t xml:space="preserve">13 al 17 </w:t>
      </w:r>
      <w:r w:rsidR="00F87878" w:rsidRPr="000D5690">
        <w:rPr>
          <w:rFonts w:cs="Arial"/>
          <w:lang w:val="es-ES_tradnl"/>
        </w:rPr>
        <w:t xml:space="preserve">de junio </w:t>
      </w:r>
      <w:r w:rsidR="004F011A" w:rsidRPr="000D5690">
        <w:rPr>
          <w:rFonts w:cs="Arial"/>
          <w:lang w:val="es-ES_tradnl"/>
        </w:rPr>
        <w:t xml:space="preserve">de 2016, </w:t>
      </w:r>
      <w:r w:rsidR="00F87878" w:rsidRPr="000D5690">
        <w:rPr>
          <w:rFonts w:cs="Arial"/>
          <w:lang w:val="es-ES_tradnl"/>
        </w:rPr>
        <w:t xml:space="preserve">y el </w:t>
      </w:r>
      <w:r w:rsidR="004F011A" w:rsidRPr="000D5690">
        <w:rPr>
          <w:rFonts w:cs="Arial"/>
          <w:lang w:val="es-ES_tradnl"/>
        </w:rPr>
        <w:t>taller preparatorio el 12 de junio de 2016.</w:t>
      </w:r>
    </w:p>
    <w:p w:rsidR="005253AC" w:rsidRPr="00D6704A" w:rsidRDefault="005253AC" w:rsidP="005253AC">
      <w:pPr>
        <w:rPr>
          <w:rFonts w:cs="Arial"/>
          <w:lang w:val="es-ES"/>
        </w:rPr>
      </w:pPr>
    </w:p>
    <w:p w:rsidR="005253AC" w:rsidRPr="00D6704A" w:rsidRDefault="00791298" w:rsidP="005253AC">
      <w:pPr>
        <w:rPr>
          <w:rFonts w:cs="Arial"/>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F87878" w:rsidRPr="000D5690">
        <w:rPr>
          <w:rFonts w:cs="Arial"/>
          <w:lang w:val="es-ES_tradnl"/>
        </w:rPr>
        <w:t>El TWO propuso examinar los siguientes puntos en su próxima reunión:</w:t>
      </w:r>
    </w:p>
    <w:p w:rsidR="005253AC" w:rsidRPr="00D6704A" w:rsidRDefault="005253AC" w:rsidP="005253AC">
      <w:pPr>
        <w:ind w:left="567"/>
        <w:rPr>
          <w:lang w:val="es-ES"/>
        </w:rPr>
      </w:pPr>
    </w:p>
    <w:p w:rsidR="005253AC" w:rsidRPr="00CD3D58" w:rsidRDefault="005253AC" w:rsidP="00CD3D58">
      <w:pPr>
        <w:tabs>
          <w:tab w:val="left" w:pos="1134"/>
        </w:tabs>
        <w:ind w:left="567"/>
        <w:rPr>
          <w:rFonts w:cs="Arial"/>
          <w:lang w:val="es-ES_tradnl"/>
        </w:rPr>
      </w:pPr>
      <w:r w:rsidRPr="00D6704A">
        <w:rPr>
          <w:rFonts w:cs="Arial"/>
          <w:lang w:val="es-ES"/>
        </w:rPr>
        <w:t>1.</w:t>
      </w:r>
      <w:r w:rsidRPr="00D6704A">
        <w:rPr>
          <w:rFonts w:cs="Arial"/>
          <w:lang w:val="es-ES"/>
        </w:rPr>
        <w:tab/>
      </w:r>
      <w:r w:rsidR="00F87878" w:rsidRPr="000D5690">
        <w:rPr>
          <w:rFonts w:cs="Arial"/>
          <w:lang w:val="es-ES_tradnl"/>
        </w:rPr>
        <w:t>Apertura de la sesión</w:t>
      </w:r>
    </w:p>
    <w:p w:rsidR="005253AC" w:rsidRPr="00CD3D58" w:rsidRDefault="005253AC" w:rsidP="00CD3D58">
      <w:pPr>
        <w:tabs>
          <w:tab w:val="left" w:pos="1134"/>
        </w:tabs>
        <w:ind w:left="567"/>
        <w:rPr>
          <w:rFonts w:cs="Arial"/>
          <w:lang w:val="es-ES_tradnl"/>
        </w:rPr>
      </w:pPr>
      <w:r w:rsidRPr="00CD3D58">
        <w:rPr>
          <w:rFonts w:cs="Arial"/>
          <w:lang w:val="es-ES_tradnl"/>
        </w:rPr>
        <w:t>2.</w:t>
      </w:r>
      <w:r w:rsidRPr="00CD3D58">
        <w:rPr>
          <w:rFonts w:cs="Arial"/>
          <w:lang w:val="es-ES_tradnl"/>
        </w:rPr>
        <w:tab/>
      </w:r>
      <w:r w:rsidR="00F87878" w:rsidRPr="000D5690">
        <w:rPr>
          <w:rFonts w:cs="Arial"/>
          <w:lang w:val="es-ES_tradnl"/>
        </w:rPr>
        <w:t>Aprobación del orden del día</w:t>
      </w:r>
    </w:p>
    <w:p w:rsidR="005253AC" w:rsidRPr="00D6704A" w:rsidRDefault="005253AC" w:rsidP="00CD3D58">
      <w:pPr>
        <w:tabs>
          <w:tab w:val="left" w:pos="1134"/>
        </w:tabs>
        <w:ind w:left="567"/>
        <w:rPr>
          <w:rFonts w:cs="Arial"/>
          <w:lang w:val="es-ES"/>
        </w:rPr>
      </w:pPr>
      <w:r w:rsidRPr="00CD3D58">
        <w:rPr>
          <w:rFonts w:cs="Arial"/>
          <w:lang w:val="es-ES_tradnl"/>
        </w:rPr>
        <w:t>3.</w:t>
      </w:r>
      <w:r w:rsidRPr="00CD3D58">
        <w:rPr>
          <w:rFonts w:cs="Arial"/>
          <w:lang w:val="es-ES_tradnl"/>
        </w:rPr>
        <w:tab/>
      </w:r>
      <w:r w:rsidR="00F87878" w:rsidRPr="000D5690">
        <w:rPr>
          <w:rFonts w:cs="Arial"/>
          <w:lang w:val="es-ES_tradnl"/>
        </w:rPr>
        <w:t>Breves informes sobre los avances logrados en la protección de las variedades vegetales</w:t>
      </w:r>
    </w:p>
    <w:p w:rsidR="005253AC" w:rsidRPr="00D6704A" w:rsidRDefault="0047214B" w:rsidP="00CD3D58">
      <w:pPr>
        <w:ind w:left="1418"/>
        <w:rPr>
          <w:rFonts w:cs="Arial"/>
          <w:lang w:val="es-ES"/>
        </w:rPr>
      </w:pPr>
      <w:r w:rsidRPr="00D6704A">
        <w:rPr>
          <w:rFonts w:cs="Arial"/>
          <w:lang w:val="es-ES"/>
        </w:rPr>
        <w:t>a)</w:t>
      </w:r>
      <w:r w:rsidR="005253AC" w:rsidRPr="00D6704A">
        <w:rPr>
          <w:rFonts w:cs="Arial"/>
          <w:lang w:val="es-ES"/>
        </w:rPr>
        <w:tab/>
      </w:r>
      <w:r w:rsidR="00F87878" w:rsidRPr="000D5690">
        <w:rPr>
          <w:rFonts w:cs="Arial"/>
          <w:lang w:val="es-ES_tradnl"/>
        </w:rPr>
        <w:t>Informes de miembros y observadores</w:t>
      </w:r>
      <w:r w:rsidR="005253AC" w:rsidRPr="00D6704A">
        <w:rPr>
          <w:rFonts w:cs="Arial"/>
          <w:lang w:val="es-ES"/>
        </w:rPr>
        <w:t xml:space="preserve"> </w:t>
      </w:r>
    </w:p>
    <w:p w:rsidR="005253AC" w:rsidRPr="00D6704A" w:rsidRDefault="0047214B" w:rsidP="00CD3D58">
      <w:pPr>
        <w:ind w:left="1418"/>
        <w:rPr>
          <w:rFonts w:cs="Arial"/>
          <w:lang w:val="es-ES"/>
        </w:rPr>
      </w:pPr>
      <w:r w:rsidRPr="00D6704A">
        <w:rPr>
          <w:rFonts w:cs="Arial"/>
          <w:lang w:val="es-ES"/>
        </w:rPr>
        <w:t>b)</w:t>
      </w:r>
      <w:r w:rsidR="005253AC" w:rsidRPr="00D6704A">
        <w:rPr>
          <w:rFonts w:cs="Arial"/>
          <w:lang w:val="es-ES"/>
        </w:rPr>
        <w:tab/>
      </w:r>
      <w:r w:rsidR="00F87878" w:rsidRPr="000D5690">
        <w:rPr>
          <w:rFonts w:cs="Arial"/>
          <w:lang w:val="es-ES_tradnl"/>
        </w:rPr>
        <w:t>Informes sobre los avances logrados en la UPOV</w:t>
      </w:r>
    </w:p>
    <w:p w:rsidR="005253AC" w:rsidRPr="00CD3D58" w:rsidRDefault="005253AC" w:rsidP="00CD3D58">
      <w:pPr>
        <w:tabs>
          <w:tab w:val="left" w:pos="1134"/>
        </w:tabs>
        <w:ind w:left="567"/>
        <w:rPr>
          <w:rFonts w:cs="Arial"/>
          <w:lang w:val="es-ES_tradnl"/>
        </w:rPr>
      </w:pPr>
      <w:r w:rsidRPr="00D6704A">
        <w:rPr>
          <w:rFonts w:cs="Arial"/>
          <w:lang w:val="es-ES"/>
        </w:rPr>
        <w:t>4.</w:t>
      </w:r>
      <w:r w:rsidRPr="00D6704A">
        <w:rPr>
          <w:rFonts w:cs="Arial"/>
          <w:lang w:val="es-ES"/>
        </w:rPr>
        <w:tab/>
      </w:r>
      <w:r w:rsidR="00F87878" w:rsidRPr="000D5690">
        <w:rPr>
          <w:rFonts w:cs="Arial"/>
          <w:lang w:val="es-ES_tradnl"/>
        </w:rPr>
        <w:t>Técnicas moleculares</w:t>
      </w:r>
    </w:p>
    <w:p w:rsidR="005253AC" w:rsidRPr="00CD3D58" w:rsidRDefault="005253AC" w:rsidP="00CD3D58">
      <w:pPr>
        <w:tabs>
          <w:tab w:val="left" w:pos="1134"/>
        </w:tabs>
        <w:ind w:left="567"/>
        <w:rPr>
          <w:rFonts w:cs="Arial"/>
          <w:lang w:val="es-ES_tradnl"/>
        </w:rPr>
      </w:pPr>
      <w:r w:rsidRPr="00CD3D58">
        <w:rPr>
          <w:rFonts w:cs="Arial"/>
          <w:lang w:val="es-ES_tradnl"/>
        </w:rPr>
        <w:t>5.</w:t>
      </w:r>
      <w:r w:rsidRPr="00CD3D58">
        <w:rPr>
          <w:rFonts w:cs="Arial"/>
          <w:lang w:val="es-ES_tradnl"/>
        </w:rPr>
        <w:tab/>
      </w:r>
      <w:r w:rsidR="00F87878" w:rsidRPr="000D5690">
        <w:rPr>
          <w:rFonts w:cs="Arial"/>
          <w:lang w:val="es-ES_tradnl"/>
        </w:rPr>
        <w:t>Documentos TGP</w:t>
      </w:r>
      <w:r w:rsidRPr="00CD3D58">
        <w:rPr>
          <w:rFonts w:cs="Arial"/>
          <w:lang w:val="es-ES_tradnl"/>
        </w:rPr>
        <w:t xml:space="preserve"> </w:t>
      </w:r>
    </w:p>
    <w:p w:rsidR="005253AC" w:rsidRPr="00CD3D58" w:rsidRDefault="005253AC" w:rsidP="00CD3D58">
      <w:pPr>
        <w:tabs>
          <w:tab w:val="left" w:pos="1134"/>
        </w:tabs>
        <w:ind w:left="567"/>
        <w:rPr>
          <w:rFonts w:cs="Arial"/>
          <w:lang w:val="es-ES_tradnl"/>
        </w:rPr>
      </w:pPr>
      <w:r w:rsidRPr="00CD3D58">
        <w:rPr>
          <w:rFonts w:cs="Arial"/>
          <w:lang w:val="es-ES_tradnl"/>
        </w:rPr>
        <w:t>6.</w:t>
      </w:r>
      <w:r w:rsidRPr="00CD3D58">
        <w:rPr>
          <w:rFonts w:cs="Arial"/>
          <w:lang w:val="es-ES_tradnl"/>
        </w:rPr>
        <w:tab/>
      </w:r>
      <w:r w:rsidR="00F87878" w:rsidRPr="000D5690">
        <w:rPr>
          <w:rFonts w:cs="Arial"/>
          <w:lang w:val="es-ES_tradnl"/>
        </w:rPr>
        <w:t>Denominaciones de variedades</w:t>
      </w:r>
    </w:p>
    <w:p w:rsidR="005253AC" w:rsidRPr="00D6704A" w:rsidRDefault="005253AC" w:rsidP="00CD3D58">
      <w:pPr>
        <w:tabs>
          <w:tab w:val="left" w:pos="1134"/>
        </w:tabs>
        <w:ind w:left="567"/>
        <w:rPr>
          <w:rFonts w:cs="Arial"/>
          <w:lang w:val="es-ES"/>
        </w:rPr>
      </w:pPr>
      <w:r w:rsidRPr="00CD3D58">
        <w:rPr>
          <w:rFonts w:cs="Arial"/>
          <w:lang w:val="es-ES_tradnl"/>
        </w:rPr>
        <w:t>7.</w:t>
      </w:r>
      <w:r w:rsidRPr="00CD3D58">
        <w:rPr>
          <w:rFonts w:cs="Arial"/>
          <w:lang w:val="es-ES_tradnl"/>
        </w:rPr>
        <w:tab/>
      </w:r>
      <w:r w:rsidR="00F87878" w:rsidRPr="000D5690">
        <w:rPr>
          <w:rFonts w:cs="Arial"/>
          <w:lang w:val="es-ES_tradnl"/>
        </w:rPr>
        <w:t>Información y bases de datos</w:t>
      </w:r>
    </w:p>
    <w:p w:rsidR="005253AC" w:rsidRPr="00D6704A" w:rsidRDefault="0047214B" w:rsidP="00A10560">
      <w:pPr>
        <w:ind w:left="1418"/>
        <w:rPr>
          <w:rFonts w:cs="Arial"/>
          <w:lang w:val="es-ES"/>
        </w:rPr>
      </w:pPr>
      <w:r w:rsidRPr="00D6704A">
        <w:rPr>
          <w:rFonts w:cs="Arial"/>
          <w:lang w:val="es-ES"/>
        </w:rPr>
        <w:t>a)</w:t>
      </w:r>
      <w:r w:rsidR="005253AC" w:rsidRPr="00D6704A">
        <w:rPr>
          <w:rFonts w:cs="Arial"/>
          <w:lang w:val="es-ES"/>
        </w:rPr>
        <w:tab/>
      </w:r>
      <w:r w:rsidR="00F87878" w:rsidRPr="000D5690">
        <w:rPr>
          <w:rFonts w:cs="Arial"/>
          <w:lang w:val="es-ES_tradnl"/>
        </w:rPr>
        <w:t>Bases de datos de información de la UPOV</w:t>
      </w:r>
      <w:r w:rsidR="005253AC" w:rsidRPr="00D6704A">
        <w:rPr>
          <w:rFonts w:cs="Arial"/>
          <w:lang w:val="es-ES"/>
        </w:rPr>
        <w:t xml:space="preserve"> </w:t>
      </w:r>
    </w:p>
    <w:p w:rsidR="005253AC" w:rsidRPr="00D6704A" w:rsidRDefault="0047214B" w:rsidP="00A10560">
      <w:pPr>
        <w:ind w:left="1418"/>
        <w:jc w:val="left"/>
        <w:rPr>
          <w:rFonts w:cs="Arial"/>
          <w:lang w:val="es-ES"/>
        </w:rPr>
      </w:pPr>
      <w:r w:rsidRPr="00D6704A">
        <w:rPr>
          <w:rFonts w:cs="Arial"/>
          <w:lang w:val="es-ES"/>
        </w:rPr>
        <w:t>b)</w:t>
      </w:r>
      <w:r w:rsidR="005253AC" w:rsidRPr="00D6704A">
        <w:rPr>
          <w:rFonts w:cs="Arial"/>
          <w:lang w:val="es-ES"/>
        </w:rPr>
        <w:tab/>
      </w:r>
      <w:r w:rsidR="00F87878" w:rsidRPr="000D5690">
        <w:rPr>
          <w:rFonts w:cs="Arial"/>
          <w:lang w:val="es-ES_tradnl"/>
        </w:rPr>
        <w:t>Bases de datos de descripciones de variedades</w:t>
      </w:r>
      <w:r w:rsidR="005253AC" w:rsidRPr="00D6704A">
        <w:rPr>
          <w:rFonts w:cs="Arial"/>
          <w:lang w:val="es-ES"/>
        </w:rPr>
        <w:t xml:space="preserve"> </w:t>
      </w:r>
    </w:p>
    <w:p w:rsidR="005253AC" w:rsidRPr="00D6704A" w:rsidRDefault="0047214B" w:rsidP="00A10560">
      <w:pPr>
        <w:ind w:left="1418"/>
        <w:rPr>
          <w:rFonts w:cs="Arial"/>
          <w:lang w:val="es-ES"/>
        </w:rPr>
      </w:pPr>
      <w:r w:rsidRPr="00D6704A">
        <w:rPr>
          <w:rFonts w:cs="Arial"/>
          <w:lang w:val="es-ES"/>
        </w:rPr>
        <w:t>c)</w:t>
      </w:r>
      <w:r w:rsidR="005253AC" w:rsidRPr="00D6704A">
        <w:rPr>
          <w:rFonts w:cs="Arial"/>
          <w:lang w:val="es-ES"/>
        </w:rPr>
        <w:tab/>
      </w:r>
      <w:r w:rsidR="00F87878" w:rsidRPr="000D5690">
        <w:rPr>
          <w:rFonts w:cs="Arial"/>
          <w:lang w:val="es-ES_tradnl"/>
        </w:rPr>
        <w:t>Intercambio y uso de programas informáticos y equip</w:t>
      </w:r>
      <w:r w:rsidR="00147B82" w:rsidRPr="000D5690">
        <w:rPr>
          <w:rFonts w:cs="Arial"/>
          <w:lang w:val="es-ES_tradnl"/>
        </w:rPr>
        <w:t>os</w:t>
      </w:r>
    </w:p>
    <w:p w:rsidR="005253AC" w:rsidRPr="00D6704A" w:rsidRDefault="0047214B" w:rsidP="00A10560">
      <w:pPr>
        <w:ind w:left="1418"/>
        <w:rPr>
          <w:rFonts w:cs="Arial"/>
          <w:lang w:val="es-ES"/>
        </w:rPr>
      </w:pPr>
      <w:r w:rsidRPr="00D6704A">
        <w:rPr>
          <w:rFonts w:cs="Arial"/>
          <w:lang w:val="es-ES"/>
        </w:rPr>
        <w:t>d)</w:t>
      </w:r>
      <w:r w:rsidR="005253AC" w:rsidRPr="00D6704A">
        <w:rPr>
          <w:rFonts w:cs="Arial"/>
          <w:lang w:val="es-ES"/>
        </w:rPr>
        <w:tab/>
      </w:r>
      <w:r w:rsidR="00F87878" w:rsidRPr="000D5690">
        <w:rPr>
          <w:rFonts w:cs="Arial"/>
          <w:lang w:val="es-ES_tradnl"/>
        </w:rPr>
        <w:t>Sistemas de presentación electrónica de solicitudes</w:t>
      </w:r>
      <w:r w:rsidR="005253AC" w:rsidRPr="00D6704A">
        <w:rPr>
          <w:rFonts w:cs="Arial"/>
          <w:lang w:val="es-ES"/>
        </w:rPr>
        <w:t xml:space="preserve"> </w:t>
      </w:r>
    </w:p>
    <w:p w:rsidR="005253AC" w:rsidRPr="00D6704A" w:rsidRDefault="005253AC" w:rsidP="00CD3D58">
      <w:pPr>
        <w:tabs>
          <w:tab w:val="left" w:pos="1134"/>
        </w:tabs>
        <w:ind w:left="567"/>
        <w:rPr>
          <w:rFonts w:cs="Arial"/>
          <w:lang w:val="es-ES"/>
        </w:rPr>
      </w:pPr>
      <w:r w:rsidRPr="00D6704A">
        <w:rPr>
          <w:rFonts w:cs="Arial"/>
          <w:lang w:val="es-ES"/>
        </w:rPr>
        <w:t>8.</w:t>
      </w:r>
      <w:r w:rsidRPr="00D6704A">
        <w:rPr>
          <w:rFonts w:cs="Arial"/>
          <w:lang w:val="es-ES"/>
        </w:rPr>
        <w:tab/>
      </w:r>
      <w:r w:rsidR="00F87878" w:rsidRPr="000D5690">
        <w:rPr>
          <w:rFonts w:cs="Arial"/>
          <w:lang w:val="es-ES_tradnl"/>
        </w:rPr>
        <w:t>Evaluación de la homogeneidad</w:t>
      </w:r>
      <w:r w:rsidRPr="00D6704A">
        <w:rPr>
          <w:rFonts w:cs="Arial"/>
          <w:lang w:val="es-ES"/>
        </w:rPr>
        <w:t xml:space="preserve"> </w:t>
      </w:r>
    </w:p>
    <w:p w:rsidR="005253AC" w:rsidRPr="00D6704A" w:rsidRDefault="005253AC" w:rsidP="005253AC">
      <w:pPr>
        <w:tabs>
          <w:tab w:val="left" w:pos="1134"/>
        </w:tabs>
        <w:ind w:left="567"/>
        <w:rPr>
          <w:rFonts w:cs="Arial"/>
          <w:lang w:val="es-ES"/>
        </w:rPr>
      </w:pPr>
      <w:r w:rsidRPr="00D6704A">
        <w:rPr>
          <w:rFonts w:cs="Arial"/>
          <w:szCs w:val="24"/>
          <w:lang w:val="es-ES"/>
        </w:rPr>
        <w:t>9.</w:t>
      </w:r>
      <w:r w:rsidRPr="00D6704A">
        <w:rPr>
          <w:rFonts w:cs="Arial"/>
          <w:szCs w:val="24"/>
          <w:lang w:val="es-ES"/>
        </w:rPr>
        <w:tab/>
      </w:r>
      <w:r w:rsidR="00F87878" w:rsidRPr="000D5690">
        <w:rPr>
          <w:rFonts w:cs="Arial"/>
          <w:lang w:val="es-ES_tradnl"/>
        </w:rPr>
        <w:t>Experiencias con nuevos tipos y especies</w:t>
      </w:r>
    </w:p>
    <w:p w:rsidR="005253AC" w:rsidRPr="00D6704A" w:rsidRDefault="005253AC" w:rsidP="005253AC">
      <w:pPr>
        <w:tabs>
          <w:tab w:val="left" w:pos="1134"/>
        </w:tabs>
        <w:ind w:leftChars="283" w:left="567" w:hanging="1"/>
        <w:rPr>
          <w:rFonts w:cs="Arial"/>
          <w:color w:val="000000"/>
          <w:lang w:val="es-ES"/>
        </w:rPr>
      </w:pPr>
      <w:r w:rsidRPr="00D6704A">
        <w:rPr>
          <w:rFonts w:cs="Arial"/>
          <w:color w:val="000000"/>
          <w:lang w:val="es-ES"/>
        </w:rPr>
        <w:t>10.</w:t>
      </w:r>
      <w:r w:rsidRPr="00D6704A">
        <w:rPr>
          <w:rFonts w:cs="Arial"/>
          <w:color w:val="000000"/>
          <w:lang w:val="es-ES"/>
        </w:rPr>
        <w:tab/>
      </w:r>
      <w:r w:rsidR="00F87878" w:rsidRPr="000D5690">
        <w:rPr>
          <w:rFonts w:cs="Arial"/>
          <w:color w:val="000000"/>
          <w:lang w:val="es-ES_tradnl"/>
        </w:rPr>
        <w:t>Descripciones de variedades</w:t>
      </w:r>
      <w:r w:rsidRPr="00D6704A">
        <w:rPr>
          <w:rFonts w:cs="Arial"/>
          <w:color w:val="000000"/>
          <w:lang w:val="es-ES"/>
        </w:rPr>
        <w:t xml:space="preserve"> </w:t>
      </w:r>
    </w:p>
    <w:p w:rsidR="005253AC" w:rsidRPr="00D6704A" w:rsidRDefault="005253AC" w:rsidP="005253AC">
      <w:pPr>
        <w:tabs>
          <w:tab w:val="left" w:pos="1134"/>
        </w:tabs>
        <w:ind w:leftChars="283" w:left="1134" w:hanging="568"/>
        <w:rPr>
          <w:rFonts w:cs="Arial"/>
          <w:lang w:val="es-ES"/>
        </w:rPr>
      </w:pPr>
      <w:r w:rsidRPr="00D6704A">
        <w:rPr>
          <w:rFonts w:cs="Arial"/>
          <w:color w:val="000000"/>
          <w:lang w:val="es-ES"/>
        </w:rPr>
        <w:t>11.</w:t>
      </w:r>
      <w:r w:rsidRPr="00D6704A">
        <w:rPr>
          <w:rFonts w:cs="Arial"/>
          <w:color w:val="000000"/>
          <w:lang w:val="es-ES"/>
        </w:rPr>
        <w:tab/>
      </w:r>
      <w:r w:rsidR="00F87878" w:rsidRPr="000D5690">
        <w:rPr>
          <w:rFonts w:cs="Arial"/>
          <w:color w:val="000000"/>
          <w:lang w:val="es-ES_tradnl"/>
        </w:rPr>
        <w:t>Estudio de caso sobre las distancias mínimas entre las variedades ornamentales y frutales de multiplicación vegetativa</w:t>
      </w:r>
    </w:p>
    <w:p w:rsidR="005253AC" w:rsidRPr="00D6704A" w:rsidRDefault="005253AC" w:rsidP="00F87878">
      <w:pPr>
        <w:tabs>
          <w:tab w:val="left" w:pos="1134"/>
        </w:tabs>
        <w:ind w:leftChars="283" w:left="567" w:hanging="1"/>
        <w:rPr>
          <w:rFonts w:cs="Arial"/>
          <w:color w:val="000000"/>
          <w:lang w:val="es-ES"/>
        </w:rPr>
      </w:pPr>
      <w:r w:rsidRPr="00D6704A">
        <w:rPr>
          <w:rFonts w:cs="Arial"/>
          <w:color w:val="000000"/>
          <w:lang w:val="es-ES"/>
        </w:rPr>
        <w:t>12.</w:t>
      </w:r>
      <w:r w:rsidRPr="00D6704A">
        <w:rPr>
          <w:rFonts w:cs="Arial"/>
          <w:color w:val="000000"/>
          <w:lang w:val="es-ES"/>
        </w:rPr>
        <w:tab/>
      </w:r>
      <w:r w:rsidR="002B5E69" w:rsidRPr="000D5690">
        <w:rPr>
          <w:rFonts w:cs="Arial"/>
          <w:color w:val="000000"/>
          <w:lang w:val="es-ES_tradnl"/>
        </w:rPr>
        <w:t>Definición de grupos de color en referencia a la carta de colores RHS</w:t>
      </w:r>
      <w:r w:rsidRPr="00D6704A">
        <w:rPr>
          <w:rFonts w:cs="Arial"/>
          <w:color w:val="000000"/>
          <w:lang w:val="es-ES"/>
        </w:rPr>
        <w:t xml:space="preserve"> </w:t>
      </w:r>
    </w:p>
    <w:p w:rsidR="005253AC" w:rsidRPr="00D6704A" w:rsidRDefault="005253AC" w:rsidP="005253AC">
      <w:pPr>
        <w:tabs>
          <w:tab w:val="left" w:pos="1134"/>
        </w:tabs>
        <w:ind w:leftChars="283" w:left="567" w:hanging="1"/>
        <w:rPr>
          <w:rFonts w:cs="Arial"/>
          <w:color w:val="000000"/>
          <w:lang w:val="es-ES"/>
        </w:rPr>
      </w:pPr>
      <w:r w:rsidRPr="00D6704A">
        <w:rPr>
          <w:rFonts w:cs="Arial"/>
          <w:color w:val="000000"/>
          <w:lang w:val="es-ES"/>
        </w:rPr>
        <w:t>13.</w:t>
      </w:r>
      <w:r w:rsidRPr="00D6704A">
        <w:rPr>
          <w:rFonts w:cs="Arial"/>
          <w:color w:val="000000"/>
          <w:lang w:val="es-ES"/>
        </w:rPr>
        <w:tab/>
      </w:r>
      <w:r w:rsidR="002B5E69" w:rsidRPr="000D5690">
        <w:rPr>
          <w:rFonts w:cs="Arial"/>
          <w:color w:val="000000"/>
          <w:lang w:val="es-ES_tradnl"/>
        </w:rPr>
        <w:t>Experiencia con la carta de colores RHS y posible a</w:t>
      </w:r>
      <w:r w:rsidR="00192AEB" w:rsidRPr="000D5690">
        <w:rPr>
          <w:rFonts w:cs="Arial"/>
          <w:color w:val="000000"/>
          <w:lang w:val="es-ES_tradnl"/>
        </w:rPr>
        <w:t xml:space="preserve">ñadidura </w:t>
      </w:r>
      <w:r w:rsidR="002B5E69" w:rsidRPr="000D5690">
        <w:rPr>
          <w:rFonts w:cs="Arial"/>
          <w:color w:val="000000"/>
          <w:lang w:val="es-ES_tradnl"/>
        </w:rPr>
        <w:t>futura de colores</w:t>
      </w:r>
      <w:r w:rsidRPr="00D6704A">
        <w:rPr>
          <w:rFonts w:cs="Arial"/>
          <w:color w:val="000000"/>
          <w:lang w:val="es-ES"/>
        </w:rPr>
        <w:t xml:space="preserve"> </w:t>
      </w:r>
    </w:p>
    <w:p w:rsidR="005253AC" w:rsidRPr="00D6704A" w:rsidRDefault="005253AC" w:rsidP="005253AC">
      <w:pPr>
        <w:tabs>
          <w:tab w:val="left" w:pos="1134"/>
        </w:tabs>
        <w:ind w:leftChars="283" w:left="567" w:hanging="1"/>
        <w:rPr>
          <w:rFonts w:cs="Arial"/>
          <w:color w:val="000000"/>
          <w:lang w:val="es-ES"/>
        </w:rPr>
      </w:pPr>
      <w:r w:rsidRPr="00D6704A">
        <w:rPr>
          <w:rFonts w:cs="Arial"/>
          <w:color w:val="000000"/>
          <w:lang w:val="es-ES"/>
        </w:rPr>
        <w:t>14.</w:t>
      </w:r>
      <w:r w:rsidRPr="00D6704A">
        <w:rPr>
          <w:rFonts w:cs="Arial"/>
          <w:color w:val="000000"/>
          <w:lang w:val="es-ES"/>
        </w:rPr>
        <w:tab/>
      </w:r>
      <w:r w:rsidR="002B5E69" w:rsidRPr="000D5690">
        <w:rPr>
          <w:rFonts w:cs="Arial"/>
          <w:color w:val="000000"/>
          <w:lang w:val="es-ES_tradnl"/>
        </w:rPr>
        <w:t>Creación de ilustraciones para las directrices de examen</w:t>
      </w:r>
    </w:p>
    <w:p w:rsidR="005253AC" w:rsidRPr="00D6704A" w:rsidRDefault="005253AC" w:rsidP="005253AC">
      <w:pPr>
        <w:tabs>
          <w:tab w:val="left" w:pos="1134"/>
        </w:tabs>
        <w:ind w:leftChars="283" w:left="567" w:hanging="1"/>
        <w:rPr>
          <w:rFonts w:cs="Arial"/>
          <w:color w:val="000000"/>
          <w:lang w:val="es-ES"/>
        </w:rPr>
      </w:pPr>
      <w:r w:rsidRPr="00D6704A">
        <w:rPr>
          <w:rFonts w:cs="Arial"/>
          <w:color w:val="000000"/>
          <w:lang w:val="es-ES"/>
        </w:rPr>
        <w:t>15.</w:t>
      </w:r>
      <w:r w:rsidRPr="00D6704A">
        <w:rPr>
          <w:rFonts w:cs="Arial"/>
          <w:color w:val="000000"/>
          <w:lang w:val="es-ES"/>
        </w:rPr>
        <w:tab/>
      </w:r>
      <w:r w:rsidR="002B5E69" w:rsidRPr="000D5690">
        <w:rPr>
          <w:rFonts w:cs="Arial"/>
          <w:color w:val="000000"/>
          <w:lang w:val="es-ES_tradnl"/>
        </w:rPr>
        <w:t>Plantilla en Internet de los documentos TG</w:t>
      </w:r>
      <w:r w:rsidRPr="00D6704A">
        <w:rPr>
          <w:rFonts w:cs="Arial"/>
          <w:color w:val="000000"/>
          <w:lang w:val="es-ES"/>
        </w:rPr>
        <w:t xml:space="preserve"> </w:t>
      </w:r>
    </w:p>
    <w:p w:rsidR="005253AC" w:rsidRPr="00D6704A" w:rsidRDefault="005253AC" w:rsidP="00CD3D58">
      <w:pPr>
        <w:tabs>
          <w:tab w:val="left" w:pos="1134"/>
        </w:tabs>
        <w:ind w:left="1134" w:hanging="567"/>
        <w:rPr>
          <w:rFonts w:cs="Arial"/>
          <w:lang w:val="es-ES"/>
        </w:rPr>
      </w:pPr>
      <w:r w:rsidRPr="00D6704A">
        <w:rPr>
          <w:rFonts w:cs="Arial"/>
          <w:lang w:val="es-ES"/>
        </w:rPr>
        <w:t>16.</w:t>
      </w:r>
      <w:r w:rsidRPr="00D6704A">
        <w:rPr>
          <w:rFonts w:cs="Arial"/>
          <w:lang w:val="es-ES"/>
        </w:rPr>
        <w:tab/>
      </w:r>
      <w:r w:rsidR="002B5E69" w:rsidRPr="000D5690">
        <w:rPr>
          <w:rFonts w:cs="Arial"/>
          <w:lang w:val="es-ES_tradnl"/>
        </w:rPr>
        <w:t>Cuestiones por resolver en lo que respecta a directrices de examen aprobadas por el Comité Técnico</w:t>
      </w:r>
      <w:r w:rsidRPr="00D6704A">
        <w:rPr>
          <w:rFonts w:cs="Arial"/>
          <w:lang w:val="es-ES"/>
        </w:rPr>
        <w:t xml:space="preserve"> </w:t>
      </w:r>
    </w:p>
    <w:p w:rsidR="005253AC" w:rsidRPr="00D6704A" w:rsidRDefault="005253AC" w:rsidP="005253AC">
      <w:pPr>
        <w:pStyle w:val="Default"/>
        <w:tabs>
          <w:tab w:val="left" w:pos="1134"/>
        </w:tabs>
        <w:autoSpaceDE/>
        <w:autoSpaceDN/>
        <w:adjustRightInd/>
        <w:ind w:left="567"/>
        <w:jc w:val="both"/>
        <w:rPr>
          <w:sz w:val="20"/>
          <w:szCs w:val="20"/>
          <w:lang w:val="es-ES"/>
        </w:rPr>
      </w:pPr>
      <w:r w:rsidRPr="00D6704A">
        <w:rPr>
          <w:sz w:val="21"/>
          <w:szCs w:val="21"/>
          <w:lang w:val="es-ES" w:eastAsia="ja-JP"/>
        </w:rPr>
        <w:t>17.</w:t>
      </w:r>
      <w:r w:rsidRPr="00D6704A">
        <w:rPr>
          <w:sz w:val="20"/>
          <w:szCs w:val="20"/>
          <w:lang w:val="es-ES"/>
        </w:rPr>
        <w:tab/>
      </w:r>
      <w:r w:rsidR="002B5E69" w:rsidRPr="000D5690">
        <w:rPr>
          <w:sz w:val="20"/>
          <w:szCs w:val="20"/>
          <w:lang w:val="es-ES_tradnl"/>
        </w:rPr>
        <w:t>Propuestas de revisión parcial/correcciones de directrices de examen</w:t>
      </w:r>
      <w:r w:rsidRPr="00D6704A">
        <w:rPr>
          <w:sz w:val="20"/>
          <w:szCs w:val="20"/>
          <w:lang w:val="es-ES"/>
        </w:rPr>
        <w:t xml:space="preserve"> </w:t>
      </w:r>
    </w:p>
    <w:p w:rsidR="005253AC" w:rsidRPr="00D6704A" w:rsidRDefault="005253AC" w:rsidP="005253AC">
      <w:pPr>
        <w:tabs>
          <w:tab w:val="left" w:pos="1134"/>
        </w:tabs>
        <w:ind w:left="567"/>
        <w:rPr>
          <w:rFonts w:cs="Arial"/>
          <w:lang w:val="es-ES"/>
        </w:rPr>
      </w:pPr>
      <w:r w:rsidRPr="00D6704A">
        <w:rPr>
          <w:rFonts w:cs="Arial"/>
          <w:lang w:val="es-ES"/>
        </w:rPr>
        <w:t>18.</w:t>
      </w:r>
      <w:r w:rsidRPr="00D6704A">
        <w:rPr>
          <w:rFonts w:cs="Arial"/>
          <w:lang w:val="es-ES"/>
        </w:rPr>
        <w:tab/>
      </w:r>
      <w:r w:rsidR="002B5E69" w:rsidRPr="000D5690">
        <w:rPr>
          <w:rFonts w:cs="Arial"/>
          <w:lang w:val="es-ES_tradnl"/>
        </w:rPr>
        <w:t>Debates sobre proyectos de directrices de examen (subgrupos)</w:t>
      </w:r>
    </w:p>
    <w:p w:rsidR="005253AC" w:rsidRPr="00D6704A" w:rsidRDefault="005253AC" w:rsidP="005253AC">
      <w:pPr>
        <w:tabs>
          <w:tab w:val="left" w:pos="1134"/>
        </w:tabs>
        <w:ind w:left="567"/>
        <w:rPr>
          <w:rFonts w:cs="Arial"/>
          <w:lang w:val="es-ES"/>
        </w:rPr>
      </w:pPr>
      <w:r w:rsidRPr="00D6704A">
        <w:rPr>
          <w:rFonts w:cs="Arial"/>
          <w:lang w:val="es-ES"/>
        </w:rPr>
        <w:t>19.</w:t>
      </w:r>
      <w:r w:rsidRPr="00D6704A">
        <w:rPr>
          <w:rFonts w:cs="Arial"/>
          <w:lang w:val="es-ES"/>
        </w:rPr>
        <w:tab/>
      </w:r>
      <w:r w:rsidR="002B5E69" w:rsidRPr="000D5690">
        <w:rPr>
          <w:rFonts w:cs="Arial"/>
          <w:lang w:val="es-ES_tradnl"/>
        </w:rPr>
        <w:t>Recomendaciones sobre proyectos de directrices de examen</w:t>
      </w:r>
    </w:p>
    <w:p w:rsidR="005253AC" w:rsidRPr="00D6704A" w:rsidRDefault="005253AC" w:rsidP="005253AC">
      <w:pPr>
        <w:tabs>
          <w:tab w:val="left" w:pos="1134"/>
        </w:tabs>
        <w:ind w:left="567"/>
        <w:rPr>
          <w:rFonts w:cs="Arial"/>
          <w:lang w:val="es-ES"/>
        </w:rPr>
      </w:pPr>
      <w:r w:rsidRPr="00D6704A">
        <w:rPr>
          <w:rFonts w:cs="Arial"/>
          <w:lang w:val="es-ES"/>
        </w:rPr>
        <w:t>20.</w:t>
      </w:r>
      <w:r w:rsidRPr="00D6704A">
        <w:rPr>
          <w:rFonts w:cs="Arial"/>
          <w:lang w:val="es-ES"/>
        </w:rPr>
        <w:tab/>
      </w:r>
      <w:r w:rsidR="00481B03" w:rsidRPr="000D5690">
        <w:rPr>
          <w:rFonts w:cs="Arial"/>
          <w:lang w:val="es-ES_tradnl"/>
        </w:rPr>
        <w:t xml:space="preserve">Guía </w:t>
      </w:r>
      <w:r w:rsidR="002B5E69" w:rsidRPr="000D5690">
        <w:rPr>
          <w:rFonts w:cs="Arial"/>
          <w:lang w:val="es-ES_tradnl"/>
        </w:rPr>
        <w:t xml:space="preserve">para </w:t>
      </w:r>
      <w:r w:rsidR="00481B03" w:rsidRPr="000D5690">
        <w:rPr>
          <w:rFonts w:cs="Arial"/>
          <w:lang w:val="es-ES_tradnl"/>
        </w:rPr>
        <w:t xml:space="preserve">los </w:t>
      </w:r>
      <w:r w:rsidR="002B5E69" w:rsidRPr="000D5690">
        <w:rPr>
          <w:rFonts w:cs="Arial"/>
          <w:lang w:val="es-ES_tradnl"/>
        </w:rPr>
        <w:t xml:space="preserve">redactores de </w:t>
      </w:r>
      <w:r w:rsidR="00481B03" w:rsidRPr="000D5690">
        <w:rPr>
          <w:rFonts w:cs="Arial"/>
          <w:lang w:val="es-ES_tradnl"/>
        </w:rPr>
        <w:t xml:space="preserve">las </w:t>
      </w:r>
      <w:r w:rsidR="002B5E69" w:rsidRPr="000D5690">
        <w:rPr>
          <w:rFonts w:cs="Arial"/>
          <w:lang w:val="es-ES_tradnl"/>
        </w:rPr>
        <w:t>directrices de examen</w:t>
      </w:r>
    </w:p>
    <w:p w:rsidR="005253AC" w:rsidRPr="00D6704A" w:rsidRDefault="005253AC" w:rsidP="005253AC">
      <w:pPr>
        <w:tabs>
          <w:tab w:val="left" w:pos="1134"/>
        </w:tabs>
        <w:ind w:left="567"/>
        <w:rPr>
          <w:rFonts w:cs="Arial"/>
          <w:lang w:val="es-ES"/>
        </w:rPr>
      </w:pPr>
      <w:r w:rsidRPr="00D6704A">
        <w:rPr>
          <w:rFonts w:cs="Arial"/>
          <w:lang w:val="es-ES"/>
        </w:rPr>
        <w:t>21.</w:t>
      </w:r>
      <w:r w:rsidRPr="00D6704A">
        <w:rPr>
          <w:rFonts w:cs="Arial"/>
          <w:lang w:val="es-ES"/>
        </w:rPr>
        <w:tab/>
      </w:r>
      <w:r w:rsidR="002B5E69" w:rsidRPr="000D5690">
        <w:rPr>
          <w:rFonts w:cs="Arial"/>
          <w:lang w:val="es-ES_tradnl"/>
        </w:rPr>
        <w:t>Fecha y lugar de la siguiente reunión</w:t>
      </w:r>
    </w:p>
    <w:p w:rsidR="005253AC" w:rsidRPr="00D6704A" w:rsidRDefault="005253AC" w:rsidP="005253AC">
      <w:pPr>
        <w:tabs>
          <w:tab w:val="left" w:pos="1134"/>
        </w:tabs>
        <w:ind w:left="567"/>
        <w:rPr>
          <w:rFonts w:cs="Arial"/>
          <w:lang w:val="es-ES"/>
        </w:rPr>
      </w:pPr>
      <w:r w:rsidRPr="00D6704A">
        <w:rPr>
          <w:rFonts w:cs="Arial"/>
          <w:lang w:val="es-ES"/>
        </w:rPr>
        <w:t>22.</w:t>
      </w:r>
      <w:r w:rsidRPr="00D6704A">
        <w:rPr>
          <w:rFonts w:cs="Arial"/>
          <w:lang w:val="es-ES"/>
        </w:rPr>
        <w:tab/>
      </w:r>
      <w:r w:rsidR="002B5E69" w:rsidRPr="000D5690">
        <w:rPr>
          <w:rFonts w:cs="Arial"/>
          <w:lang w:val="es-ES_tradnl"/>
        </w:rPr>
        <w:t>Programa</w:t>
      </w:r>
      <w:r w:rsidR="00AB176C" w:rsidRPr="000D5690">
        <w:rPr>
          <w:rFonts w:cs="Arial"/>
          <w:lang w:val="es-ES_tradnl"/>
        </w:rPr>
        <w:t xml:space="preserve"> futuro</w:t>
      </w:r>
    </w:p>
    <w:p w:rsidR="005253AC" w:rsidRPr="00D6704A" w:rsidRDefault="005253AC" w:rsidP="005253AC">
      <w:pPr>
        <w:tabs>
          <w:tab w:val="left" w:pos="1134"/>
        </w:tabs>
        <w:ind w:left="567"/>
        <w:rPr>
          <w:rFonts w:cs="Arial"/>
          <w:lang w:val="es-ES"/>
        </w:rPr>
      </w:pPr>
      <w:r w:rsidRPr="00D6704A">
        <w:rPr>
          <w:rFonts w:cs="Arial"/>
          <w:lang w:val="es-ES"/>
        </w:rPr>
        <w:t>23.</w:t>
      </w:r>
      <w:r w:rsidRPr="00D6704A">
        <w:rPr>
          <w:rFonts w:cs="Arial"/>
          <w:lang w:val="es-ES"/>
        </w:rPr>
        <w:tab/>
      </w:r>
      <w:r w:rsidR="002B5E69" w:rsidRPr="000D5690">
        <w:rPr>
          <w:rFonts w:cs="Arial"/>
          <w:lang w:val="es-ES_tradnl"/>
        </w:rPr>
        <w:t>Aprobación del informe de la reunión (si se dispone de tiempo suficiente)</w:t>
      </w:r>
    </w:p>
    <w:p w:rsidR="005253AC" w:rsidRPr="00D6704A" w:rsidRDefault="005253AC" w:rsidP="005253AC">
      <w:pPr>
        <w:tabs>
          <w:tab w:val="left" w:pos="1134"/>
        </w:tabs>
        <w:ind w:left="567"/>
        <w:rPr>
          <w:rFonts w:cs="Arial"/>
          <w:lang w:val="es-ES"/>
        </w:rPr>
      </w:pPr>
      <w:r w:rsidRPr="00D6704A">
        <w:rPr>
          <w:rFonts w:cs="Arial"/>
          <w:lang w:val="es-ES"/>
        </w:rPr>
        <w:t>24.</w:t>
      </w:r>
      <w:r w:rsidRPr="00D6704A">
        <w:rPr>
          <w:rFonts w:cs="Arial"/>
          <w:lang w:val="es-ES"/>
        </w:rPr>
        <w:tab/>
      </w:r>
      <w:r w:rsidR="002B5E69" w:rsidRPr="000D5690">
        <w:rPr>
          <w:rFonts w:cs="Arial"/>
          <w:lang w:val="es-ES_tradnl"/>
        </w:rPr>
        <w:t>Clausura de la reunión</w:t>
      </w:r>
    </w:p>
    <w:p w:rsidR="005253AC" w:rsidRPr="00D6704A" w:rsidRDefault="005253AC" w:rsidP="005253AC">
      <w:pPr>
        <w:rPr>
          <w:rFonts w:cs="Arial"/>
          <w:lang w:val="es-ES"/>
        </w:rPr>
      </w:pPr>
    </w:p>
    <w:p w:rsidR="005253AC" w:rsidRPr="00D6704A" w:rsidRDefault="00791298" w:rsidP="005253AC">
      <w:pPr>
        <w:rPr>
          <w:rFonts w:cs="Arial"/>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2B5E69" w:rsidRPr="000D5690">
        <w:rPr>
          <w:rFonts w:cs="Arial"/>
          <w:shd w:val="clear" w:color="auto" w:fill="FFFFFF"/>
          <w:lang w:val="es-ES_tradnl"/>
        </w:rPr>
        <w:t xml:space="preserve">En 16 de septiembre de 2015 por la tarde, el TWO visitó la estación </w:t>
      </w:r>
      <w:r w:rsidR="007A28CD" w:rsidRPr="000D5690">
        <w:rPr>
          <w:rFonts w:cs="Arial"/>
          <w:shd w:val="clear" w:color="auto" w:fill="FFFFFF"/>
          <w:lang w:val="es-ES_tradnl"/>
        </w:rPr>
        <w:t>experimental</w:t>
      </w:r>
      <w:r w:rsidR="002B5E69" w:rsidRPr="000D5690">
        <w:rPr>
          <w:rFonts w:cs="Arial"/>
          <w:shd w:val="clear" w:color="auto" w:fill="FFFFFF"/>
          <w:lang w:val="es-ES_tradnl"/>
        </w:rPr>
        <w:t xml:space="preserve"> del Instituto Nacional de Botánica Agrícola (NIAB), en Cambridge, donde </w:t>
      </w:r>
      <w:r w:rsidR="0072052D" w:rsidRPr="000D5690">
        <w:rPr>
          <w:rFonts w:cs="Arial"/>
          <w:shd w:val="clear" w:color="auto" w:fill="FFFFFF"/>
          <w:lang w:val="es-ES_tradnl"/>
        </w:rPr>
        <w:t xml:space="preserve">se examinan anualmente </w:t>
      </w:r>
      <w:r w:rsidR="002B5E69" w:rsidRPr="000D5690">
        <w:rPr>
          <w:rFonts w:cs="Arial"/>
          <w:shd w:val="clear" w:color="auto" w:fill="FFFFFF"/>
          <w:lang w:val="es-ES_tradnl"/>
        </w:rPr>
        <w:t>más de 1</w:t>
      </w:r>
      <w:r w:rsidR="007A28CD" w:rsidRPr="000D5690">
        <w:rPr>
          <w:rFonts w:cs="Arial"/>
          <w:shd w:val="clear" w:color="auto" w:fill="FFFFFF"/>
          <w:lang w:val="es-ES_tradnl"/>
        </w:rPr>
        <w:t>.</w:t>
      </w:r>
      <w:r w:rsidR="002B5E69" w:rsidRPr="000D5690">
        <w:rPr>
          <w:rFonts w:cs="Arial"/>
          <w:shd w:val="clear" w:color="auto" w:fill="FFFFFF"/>
          <w:lang w:val="es-ES_tradnl"/>
        </w:rPr>
        <w:t xml:space="preserve">000 variedades agrícolas y ornamentales </w:t>
      </w:r>
      <w:r w:rsidR="0072052D" w:rsidRPr="000D5690">
        <w:rPr>
          <w:rFonts w:cs="Arial"/>
          <w:shd w:val="clear" w:color="auto" w:fill="FFFFFF"/>
          <w:lang w:val="es-ES_tradnl"/>
        </w:rPr>
        <w:t xml:space="preserve">a efectos de </w:t>
      </w:r>
      <w:r w:rsidR="001A0C93" w:rsidRPr="000D5690">
        <w:rPr>
          <w:rFonts w:cs="Arial"/>
          <w:shd w:val="clear" w:color="auto" w:fill="FFFFFF"/>
          <w:lang w:val="es-ES_tradnl"/>
        </w:rPr>
        <w:t xml:space="preserve">los </w:t>
      </w:r>
      <w:r w:rsidR="0072052D" w:rsidRPr="000D5690">
        <w:rPr>
          <w:rFonts w:cs="Arial"/>
          <w:shd w:val="clear" w:color="auto" w:fill="FFFFFF"/>
          <w:lang w:val="es-ES_tradnl"/>
        </w:rPr>
        <w:t xml:space="preserve">derechos de obtentor y </w:t>
      </w:r>
      <w:r w:rsidR="001A0C93" w:rsidRPr="000D5690">
        <w:rPr>
          <w:rFonts w:cs="Arial"/>
          <w:shd w:val="clear" w:color="auto" w:fill="FFFFFF"/>
          <w:lang w:val="es-ES_tradnl"/>
        </w:rPr>
        <w:t xml:space="preserve">la </w:t>
      </w:r>
      <w:r w:rsidR="0072052D" w:rsidRPr="000D5690">
        <w:rPr>
          <w:rFonts w:cs="Arial"/>
          <w:shd w:val="clear" w:color="auto" w:fill="FFFFFF"/>
          <w:lang w:val="es-ES_tradnl"/>
        </w:rPr>
        <w:t>inclusión en la lista nacional</w:t>
      </w:r>
      <w:r w:rsidR="002B5E69" w:rsidRPr="000D5690">
        <w:rPr>
          <w:rFonts w:cs="Arial"/>
          <w:shd w:val="clear" w:color="auto" w:fill="FFFFFF"/>
          <w:lang w:val="es-ES_tradnl"/>
        </w:rPr>
        <w:t>.</w:t>
      </w:r>
      <w:r w:rsidR="005253AC" w:rsidRPr="00D6704A">
        <w:rPr>
          <w:rFonts w:cs="Arial"/>
          <w:shd w:val="clear" w:color="auto" w:fill="FFFFFF"/>
          <w:lang w:val="es-ES"/>
        </w:rPr>
        <w:t xml:space="preserve">  </w:t>
      </w:r>
      <w:r w:rsidR="0072052D" w:rsidRPr="000D5690">
        <w:rPr>
          <w:rFonts w:cs="Arial"/>
          <w:shd w:val="clear" w:color="auto" w:fill="FFFFFF"/>
          <w:lang w:val="es-ES_tradnl"/>
        </w:rPr>
        <w:t>Las pruebas se realizan en una finca de 250 hectáreas que incluye 3</w:t>
      </w:r>
      <w:r w:rsidR="007A28CD" w:rsidRPr="000D5690">
        <w:rPr>
          <w:rFonts w:cs="Arial"/>
          <w:shd w:val="clear" w:color="auto" w:fill="FFFFFF"/>
          <w:lang w:val="es-ES_tradnl"/>
        </w:rPr>
        <w:t>.</w:t>
      </w:r>
      <w:r w:rsidR="0072052D" w:rsidRPr="000D5690">
        <w:rPr>
          <w:rFonts w:cs="Arial"/>
          <w:shd w:val="clear" w:color="auto" w:fill="FFFFFF"/>
          <w:lang w:val="es-ES_tradnl"/>
        </w:rPr>
        <w:t>300 m</w:t>
      </w:r>
      <w:r w:rsidR="0072052D" w:rsidRPr="000D5690">
        <w:rPr>
          <w:rFonts w:cs="Arial"/>
          <w:shd w:val="clear" w:color="auto" w:fill="FFFFFF"/>
          <w:vertAlign w:val="superscript"/>
          <w:lang w:val="es-ES_tradnl"/>
        </w:rPr>
        <w:t>2</w:t>
      </w:r>
      <w:r w:rsidR="0072052D" w:rsidRPr="000D5690">
        <w:rPr>
          <w:rFonts w:cs="Arial"/>
          <w:shd w:val="clear" w:color="auto" w:fill="FFFFFF"/>
          <w:lang w:val="es-ES_tradnl"/>
        </w:rPr>
        <w:t xml:space="preserve"> de invernaderos.</w:t>
      </w:r>
      <w:r w:rsidR="005253AC" w:rsidRPr="00D6704A">
        <w:rPr>
          <w:rFonts w:cs="Arial"/>
          <w:shd w:val="clear" w:color="auto" w:fill="FFFFFF"/>
          <w:lang w:val="es-ES"/>
        </w:rPr>
        <w:t xml:space="preserve">  </w:t>
      </w:r>
      <w:r w:rsidR="0072052D" w:rsidRPr="000D5690">
        <w:rPr>
          <w:rFonts w:cs="Arial"/>
          <w:shd w:val="clear" w:color="auto" w:fill="FFFFFF"/>
          <w:lang w:val="es-ES_tradnl"/>
        </w:rPr>
        <w:t>Dio la bienvenida al TWO y ofreció una charla introductoria la Sra. Elizabeth Scott, Jef</w:t>
      </w:r>
      <w:r w:rsidR="001A0C93" w:rsidRPr="000D5690">
        <w:rPr>
          <w:rFonts w:cs="Arial"/>
          <w:shd w:val="clear" w:color="auto" w:fill="FFFFFF"/>
          <w:lang w:val="es-ES_tradnl"/>
        </w:rPr>
        <w:t>a</w:t>
      </w:r>
      <w:r w:rsidR="0072052D" w:rsidRPr="000D5690">
        <w:rPr>
          <w:rFonts w:cs="Arial"/>
          <w:shd w:val="clear" w:color="auto" w:fill="FFFFFF"/>
          <w:lang w:val="es-ES_tradnl"/>
        </w:rPr>
        <w:t xml:space="preserve"> de Caracterización de cultivos del NIAB.</w:t>
      </w:r>
      <w:r w:rsidR="005253AC" w:rsidRPr="00D6704A">
        <w:rPr>
          <w:rFonts w:cs="Arial"/>
          <w:shd w:val="clear" w:color="auto" w:fill="FFFFFF"/>
          <w:lang w:val="es-ES"/>
        </w:rPr>
        <w:t xml:space="preserve">  </w:t>
      </w:r>
      <w:r w:rsidR="0072052D" w:rsidRPr="000D5690">
        <w:rPr>
          <w:rFonts w:cs="Arial"/>
          <w:shd w:val="clear" w:color="auto" w:fill="FFFFFF"/>
          <w:lang w:val="es-ES_tradnl"/>
        </w:rPr>
        <w:t>El TWO visitó el complejo de invernaderos y varios ensayos DHE de plantas ornamentales.</w:t>
      </w:r>
      <w:r w:rsidR="005253AC" w:rsidRPr="00D6704A">
        <w:rPr>
          <w:rFonts w:cs="Arial"/>
          <w:shd w:val="clear" w:color="auto" w:fill="FFFFFF"/>
          <w:lang w:val="es-ES"/>
        </w:rPr>
        <w:t xml:space="preserve">  </w:t>
      </w:r>
      <w:r w:rsidR="0072052D" w:rsidRPr="000D5690">
        <w:rPr>
          <w:rFonts w:cs="Arial"/>
          <w:shd w:val="clear" w:color="auto" w:fill="FFFFFF"/>
          <w:lang w:val="es-ES_tradnl"/>
        </w:rPr>
        <w:t>El TWO mantuvo deliberaciones prácticas</w:t>
      </w:r>
      <w:r w:rsidR="00A83B02" w:rsidRPr="000D5690">
        <w:rPr>
          <w:rFonts w:cs="Arial"/>
          <w:shd w:val="clear" w:color="auto" w:fill="FFFFFF"/>
          <w:lang w:val="es-ES_tradnl"/>
        </w:rPr>
        <w:t>,</w:t>
      </w:r>
      <w:r w:rsidR="0072052D" w:rsidRPr="000D5690">
        <w:rPr>
          <w:rFonts w:cs="Arial"/>
          <w:shd w:val="clear" w:color="auto" w:fill="FFFFFF"/>
          <w:lang w:val="es-ES_tradnl"/>
        </w:rPr>
        <w:t xml:space="preserve"> en subgrupos</w:t>
      </w:r>
      <w:r w:rsidR="00A83B02" w:rsidRPr="000D5690">
        <w:rPr>
          <w:rFonts w:cs="Arial"/>
          <w:shd w:val="clear" w:color="auto" w:fill="FFFFFF"/>
          <w:lang w:val="es-ES_tradnl"/>
        </w:rPr>
        <w:t>,</w:t>
      </w:r>
      <w:r w:rsidR="0072052D" w:rsidRPr="000D5690">
        <w:rPr>
          <w:rFonts w:cs="Arial"/>
          <w:shd w:val="clear" w:color="auto" w:fill="FFFFFF"/>
          <w:lang w:val="es-ES_tradnl"/>
        </w:rPr>
        <w:t xml:space="preserve"> sobre los proyectos de directrices de examen de </w:t>
      </w:r>
      <w:proofErr w:type="spellStart"/>
      <w:r w:rsidR="0072052D" w:rsidRPr="000D5690">
        <w:rPr>
          <w:rFonts w:cs="Arial"/>
          <w:shd w:val="clear" w:color="auto" w:fill="FFFFFF"/>
          <w:lang w:val="es-ES_tradnl"/>
        </w:rPr>
        <w:t>Abelia</w:t>
      </w:r>
      <w:proofErr w:type="spellEnd"/>
      <w:r w:rsidR="0072052D" w:rsidRPr="000D5690">
        <w:rPr>
          <w:rFonts w:cs="Arial"/>
          <w:shd w:val="clear" w:color="auto" w:fill="FFFFFF"/>
          <w:lang w:val="es-ES_tradnl"/>
        </w:rPr>
        <w:t xml:space="preserve">, </w:t>
      </w:r>
      <w:proofErr w:type="spellStart"/>
      <w:r w:rsidR="00A83B02" w:rsidRPr="000D5690">
        <w:rPr>
          <w:rFonts w:cs="Arial"/>
          <w:shd w:val="clear" w:color="auto" w:fill="FFFFFF"/>
          <w:lang w:val="es-ES_tradnl"/>
        </w:rPr>
        <w:t>Coleus</w:t>
      </w:r>
      <w:proofErr w:type="spellEnd"/>
      <w:r w:rsidR="0072052D" w:rsidRPr="000D5690">
        <w:rPr>
          <w:rFonts w:cs="Arial"/>
          <w:shd w:val="clear" w:color="auto" w:fill="FFFFFF"/>
          <w:lang w:val="es-ES_tradnl"/>
        </w:rPr>
        <w:t xml:space="preserve">, Salvia y Zinnia, usando una colección de variedades proporcionadas por </w:t>
      </w:r>
      <w:r w:rsidR="00A83B02" w:rsidRPr="000D5690">
        <w:rPr>
          <w:rFonts w:cs="Arial"/>
          <w:shd w:val="clear" w:color="auto" w:fill="FFFFFF"/>
          <w:lang w:val="es-ES_tradnl"/>
        </w:rPr>
        <w:t xml:space="preserve">el </w:t>
      </w:r>
      <w:r w:rsidR="0072052D" w:rsidRPr="000D5690">
        <w:rPr>
          <w:rFonts w:cs="Arial"/>
          <w:shd w:val="clear" w:color="auto" w:fill="FFFFFF"/>
          <w:lang w:val="es-ES_tradnl"/>
        </w:rPr>
        <w:t>NIAB.</w:t>
      </w:r>
    </w:p>
    <w:p w:rsidR="005253AC" w:rsidRPr="00D6704A" w:rsidRDefault="005253AC" w:rsidP="005253AC">
      <w:pPr>
        <w:rPr>
          <w:lang w:val="es-ES"/>
        </w:rPr>
      </w:pPr>
    </w:p>
    <w:p w:rsidR="005253AC" w:rsidRPr="00D6704A" w:rsidRDefault="00A83B02" w:rsidP="005253AC">
      <w:pPr>
        <w:pStyle w:val="Heading3"/>
        <w:rPr>
          <w:lang w:val="es-ES"/>
        </w:rPr>
      </w:pPr>
      <w:r w:rsidRPr="000D5690">
        <w:rPr>
          <w:lang w:val="es-ES_tradnl"/>
        </w:rPr>
        <w:t>Grupo de Trabajo Técnico sobre Hortalizas</w:t>
      </w:r>
    </w:p>
    <w:p w:rsidR="005253AC" w:rsidRPr="00D6704A" w:rsidRDefault="005253AC" w:rsidP="005253AC">
      <w:pPr>
        <w:keepNext/>
        <w:rPr>
          <w:lang w:val="es-ES"/>
        </w:rPr>
      </w:pPr>
    </w:p>
    <w:p w:rsidR="005253AC" w:rsidRPr="00D6704A" w:rsidRDefault="00791298" w:rsidP="005253AC">
      <w:pPr>
        <w:keepNext/>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7557CE" w:rsidRPr="000D5690">
        <w:rPr>
          <w:lang w:val="es-ES_tradnl"/>
        </w:rPr>
        <w:t xml:space="preserve">La cuadragésima novena sesión del TWV se celebró del 15 al 19 de junio de 2015 en Angers (Francia), organizada por la Oficina Comunitaria de Variedades Vegetales (OCVV) </w:t>
      </w:r>
      <w:r w:rsidR="001A0C93" w:rsidRPr="000D5690">
        <w:rPr>
          <w:lang w:val="es-ES_tradnl"/>
        </w:rPr>
        <w:t xml:space="preserve">como </w:t>
      </w:r>
      <w:r w:rsidR="007557CE" w:rsidRPr="000D5690">
        <w:rPr>
          <w:lang w:val="es-ES_tradnl"/>
        </w:rPr>
        <w:t>representa</w:t>
      </w:r>
      <w:r w:rsidR="001A0C93" w:rsidRPr="000D5690">
        <w:rPr>
          <w:lang w:val="es-ES_tradnl"/>
        </w:rPr>
        <w:t>nte de</w:t>
      </w:r>
      <w:r w:rsidR="007557CE" w:rsidRPr="000D5690">
        <w:rPr>
          <w:lang w:val="es-ES_tradnl"/>
        </w:rPr>
        <w:t xml:space="preserve"> la Unión Europea.</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7557CE" w:rsidRPr="000D5690">
        <w:rPr>
          <w:lang w:val="es-ES_tradnl"/>
        </w:rPr>
        <w:t xml:space="preserve">La sesión contó con 52 participantes de </w:t>
      </w:r>
      <w:r w:rsidR="007557CE" w:rsidRPr="000D5690">
        <w:rPr>
          <w:color w:val="000000"/>
          <w:lang w:val="es-ES_tradnl"/>
        </w:rPr>
        <w:t xml:space="preserve">20 </w:t>
      </w:r>
      <w:r w:rsidR="007557CE" w:rsidRPr="000D5690">
        <w:rPr>
          <w:lang w:val="es-ES_tradnl"/>
        </w:rPr>
        <w:t xml:space="preserve">miembros, </w:t>
      </w:r>
      <w:r w:rsidR="001A0C93" w:rsidRPr="000D5690">
        <w:rPr>
          <w:lang w:val="es-ES_tradnl"/>
        </w:rPr>
        <w:t>4</w:t>
      </w:r>
      <w:r w:rsidR="007557CE" w:rsidRPr="000D5690">
        <w:rPr>
          <w:lang w:val="es-ES_tradnl"/>
        </w:rPr>
        <w:t xml:space="preserve"> Estados en calidad de observadores y </w:t>
      </w:r>
      <w:r w:rsidR="001A0C93" w:rsidRPr="000D5690">
        <w:rPr>
          <w:lang w:val="es-ES_tradnl"/>
        </w:rPr>
        <w:t xml:space="preserve">3 </w:t>
      </w:r>
      <w:r w:rsidR="007557CE" w:rsidRPr="000D5690">
        <w:rPr>
          <w:lang w:val="es-ES_tradnl"/>
        </w:rPr>
        <w:t>organizaciones en calidad de observadoras.</w:t>
      </w:r>
      <w:r w:rsidR="005253AC" w:rsidRPr="00D6704A">
        <w:rPr>
          <w:lang w:val="es-ES"/>
        </w:rPr>
        <w:t xml:space="preserve">  </w:t>
      </w:r>
      <w:r w:rsidR="007557CE" w:rsidRPr="000D5690">
        <w:rPr>
          <w:lang w:val="es-ES_tradnl"/>
        </w:rPr>
        <w:t xml:space="preserve">Al taller preparatorio del 14 de junio de 2015 asistieron 17 participantes de 11 miembros, </w:t>
      </w:r>
      <w:r w:rsidR="001A0C93" w:rsidRPr="000D5690">
        <w:rPr>
          <w:lang w:val="es-ES_tradnl"/>
        </w:rPr>
        <w:t>4</w:t>
      </w:r>
      <w:r w:rsidR="007557CE" w:rsidRPr="000D5690">
        <w:rPr>
          <w:lang w:val="es-ES_tradnl"/>
        </w:rPr>
        <w:t xml:space="preserve"> Estados en calidad de observadores y </w:t>
      </w:r>
      <w:r w:rsidR="001A0C93" w:rsidRPr="000D5690">
        <w:rPr>
          <w:lang w:val="es-ES_tradnl"/>
        </w:rPr>
        <w:t xml:space="preserve">1 </w:t>
      </w:r>
      <w:r w:rsidR="007557CE" w:rsidRPr="000D5690">
        <w:rPr>
          <w:lang w:val="es-ES_tradnl"/>
        </w:rPr>
        <w:t>organización en calidad de observadora.</w:t>
      </w:r>
      <w:r w:rsidR="005253AC" w:rsidRPr="00D6704A">
        <w:rPr>
          <w:lang w:val="es-ES"/>
        </w:rPr>
        <w:t xml:space="preserve"> </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7557CE" w:rsidRPr="000D5690">
        <w:rPr>
          <w:lang w:val="es-ES_tradnl"/>
        </w:rPr>
        <w:t>Dio la bienvenida al TWV el Sr. Martin Ekvad, Presidente de la Oficina Comunitaria de Variedades Vegetales de la Unión Europea (OCVV), que ofreció una ponencia sobre el sistema de protección de las obtenciones vegetales en la Unión Europea.</w:t>
      </w:r>
      <w:r w:rsidR="005253AC" w:rsidRPr="00D6704A">
        <w:rPr>
          <w:lang w:val="es-ES"/>
        </w:rPr>
        <w:t xml:space="preserve"> </w:t>
      </w:r>
    </w:p>
    <w:p w:rsidR="005253AC" w:rsidRPr="00D6704A" w:rsidRDefault="005253AC" w:rsidP="005253AC">
      <w:pPr>
        <w:rPr>
          <w:color w:val="000000"/>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7557CE" w:rsidRPr="000D5690">
        <w:rPr>
          <w:lang w:val="es-ES_tradnl"/>
        </w:rPr>
        <w:t xml:space="preserve">El TWV examino revisiones de documentos TGP y escuchó ponencias sobre </w:t>
      </w:r>
      <w:r w:rsidR="00D26DDD" w:rsidRPr="000D5690">
        <w:rPr>
          <w:lang w:val="es-ES_tradnl"/>
        </w:rPr>
        <w:t>“</w:t>
      </w:r>
      <w:r w:rsidR="007557CE" w:rsidRPr="000D5690">
        <w:rPr>
          <w:lang w:val="es-ES_tradnl"/>
        </w:rPr>
        <w:t>asuntos relativos a las descripciones de variedades</w:t>
      </w:r>
      <w:r w:rsidR="00D26DDD" w:rsidRPr="000D5690">
        <w:rPr>
          <w:lang w:val="es-ES_tradnl"/>
        </w:rPr>
        <w:t>”</w:t>
      </w:r>
      <w:r w:rsidR="007557CE" w:rsidRPr="000D5690">
        <w:rPr>
          <w:lang w:val="es-ES_tradnl"/>
        </w:rPr>
        <w:t xml:space="preserve">, </w:t>
      </w:r>
      <w:r w:rsidR="00D26DDD" w:rsidRPr="000D5690">
        <w:rPr>
          <w:lang w:val="es-ES_tradnl"/>
        </w:rPr>
        <w:t>“</w:t>
      </w:r>
      <w:r w:rsidR="007557CE" w:rsidRPr="000D5690">
        <w:rPr>
          <w:lang w:val="es-ES_tradnl"/>
        </w:rPr>
        <w:t>experiencias con nuevos tipos y especies</w:t>
      </w:r>
      <w:r w:rsidR="00D26DDD" w:rsidRPr="000D5690">
        <w:rPr>
          <w:lang w:val="es-ES_tradnl"/>
        </w:rPr>
        <w:t>”</w:t>
      </w:r>
      <w:r w:rsidR="007557CE" w:rsidRPr="000D5690">
        <w:rPr>
          <w:lang w:val="es-ES_tradnl"/>
        </w:rPr>
        <w:t xml:space="preserve"> y </w:t>
      </w:r>
      <w:r w:rsidR="00D26DDD" w:rsidRPr="000D5690">
        <w:rPr>
          <w:lang w:val="es-ES_tradnl"/>
        </w:rPr>
        <w:t>“nuevas cuestiones que se plantean en relación con el examen DHE”</w:t>
      </w:r>
      <w:r w:rsidR="007557CE" w:rsidRPr="000D5690">
        <w:rPr>
          <w:lang w:val="es-ES_tradnl"/>
        </w:rPr>
        <w:t>.</w:t>
      </w:r>
      <w:r w:rsidR="005253AC" w:rsidRPr="00D6704A">
        <w:rPr>
          <w:lang w:val="es-ES"/>
        </w:rPr>
        <w:t xml:space="preserve"> </w:t>
      </w:r>
      <w:r w:rsidR="00AB284D" w:rsidRPr="000D5690">
        <w:rPr>
          <w:lang w:val="es-ES_tradnl"/>
        </w:rPr>
        <w:t>Hubo u</w:t>
      </w:r>
      <w:r w:rsidR="00D26DDD" w:rsidRPr="000D5690">
        <w:rPr>
          <w:lang w:val="es-ES_tradnl"/>
        </w:rPr>
        <w:t xml:space="preserve">n intercambio </w:t>
      </w:r>
      <w:r w:rsidR="00AB284D" w:rsidRPr="000D5690">
        <w:rPr>
          <w:lang w:val="es-ES_tradnl"/>
        </w:rPr>
        <w:t xml:space="preserve">dinámico </w:t>
      </w:r>
      <w:r w:rsidR="00D26DDD" w:rsidRPr="000D5690">
        <w:rPr>
          <w:lang w:val="es-ES_tradnl"/>
        </w:rPr>
        <w:t xml:space="preserve">de opiniones y experiencias en relación con estos temas y el grupo </w:t>
      </w:r>
      <w:r w:rsidR="00AB284D" w:rsidRPr="000D5690">
        <w:rPr>
          <w:lang w:val="es-ES_tradnl"/>
        </w:rPr>
        <w:t xml:space="preserve">agradeció </w:t>
      </w:r>
      <w:r w:rsidR="00D26DDD" w:rsidRPr="000D5690">
        <w:rPr>
          <w:lang w:val="es-ES_tradnl"/>
        </w:rPr>
        <w:t xml:space="preserve">la posibilidad de </w:t>
      </w:r>
      <w:r w:rsidR="00AB284D" w:rsidRPr="000D5690">
        <w:rPr>
          <w:lang w:val="es-ES_tradnl"/>
        </w:rPr>
        <w:t>contar</w:t>
      </w:r>
      <w:r w:rsidR="001A0C93" w:rsidRPr="000D5690">
        <w:rPr>
          <w:lang w:val="es-ES_tradnl"/>
        </w:rPr>
        <w:t xml:space="preserve"> en el futuro</w:t>
      </w:r>
      <w:r w:rsidR="00AB284D" w:rsidRPr="000D5690">
        <w:rPr>
          <w:lang w:val="es-ES_tradnl"/>
        </w:rPr>
        <w:t xml:space="preserve"> co</w:t>
      </w:r>
      <w:r w:rsidR="00D26DDD" w:rsidRPr="000D5690">
        <w:rPr>
          <w:lang w:val="es-ES_tradnl"/>
        </w:rPr>
        <w:t xml:space="preserve">n </w:t>
      </w:r>
      <w:r w:rsidR="00AB284D" w:rsidRPr="000D5690">
        <w:rPr>
          <w:lang w:val="es-ES_tradnl"/>
        </w:rPr>
        <w:t xml:space="preserve">un </w:t>
      </w:r>
      <w:r w:rsidR="00D26DDD" w:rsidRPr="000D5690">
        <w:rPr>
          <w:lang w:val="es-ES_tradnl"/>
        </w:rPr>
        <w:t xml:space="preserve">espacio en </w:t>
      </w:r>
      <w:r w:rsidR="00AB284D" w:rsidRPr="000D5690">
        <w:rPr>
          <w:lang w:val="es-ES_tradnl"/>
        </w:rPr>
        <w:t xml:space="preserve">el </w:t>
      </w:r>
      <w:r w:rsidR="001A0C93" w:rsidRPr="000D5690">
        <w:rPr>
          <w:lang w:val="es-ES_tradnl"/>
        </w:rPr>
        <w:t xml:space="preserve">orden del día </w:t>
      </w:r>
      <w:r w:rsidR="00D26DDD" w:rsidRPr="000D5690">
        <w:rPr>
          <w:lang w:val="es-ES_tradnl"/>
        </w:rPr>
        <w:t xml:space="preserve">para este tipo de </w:t>
      </w:r>
      <w:r w:rsidR="00AB284D" w:rsidRPr="000D5690">
        <w:rPr>
          <w:lang w:val="es-ES_tradnl"/>
        </w:rPr>
        <w:t xml:space="preserve">deliberaciones </w:t>
      </w:r>
      <w:r w:rsidR="00D26DDD" w:rsidRPr="000D5690">
        <w:rPr>
          <w:lang w:val="es-ES_tradnl"/>
        </w:rPr>
        <w:t>abiertas.</w:t>
      </w:r>
      <w:r w:rsidR="005253AC" w:rsidRPr="00D6704A">
        <w:rPr>
          <w:lang w:val="es-ES"/>
        </w:rPr>
        <w:t xml:space="preserve"> </w:t>
      </w:r>
      <w:r w:rsidR="00AB284D" w:rsidRPr="000D5690">
        <w:rPr>
          <w:lang w:val="es-ES_tradnl"/>
        </w:rPr>
        <w:t>En la próxima sesión del TWV se debatirá la importante cuestión de la utilización de caracteres de resistencia a las enfermedades en el examen DHE.</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AB284D" w:rsidRPr="000D5690">
        <w:rPr>
          <w:lang w:val="es-ES_tradnl"/>
        </w:rPr>
        <w:t xml:space="preserve">El TWV </w:t>
      </w:r>
      <w:r w:rsidR="001A0C93" w:rsidRPr="000D5690">
        <w:rPr>
          <w:lang w:val="es-ES_tradnl"/>
        </w:rPr>
        <w:t xml:space="preserve">convino en </w:t>
      </w:r>
      <w:r w:rsidR="00AB284D" w:rsidRPr="000D5690">
        <w:rPr>
          <w:lang w:val="es-ES_tradnl"/>
        </w:rPr>
        <w:t>presentar los siguientes proyectos de directrices de examen al TC para su aprobación:</w:t>
      </w:r>
      <w:r w:rsidR="005253AC" w:rsidRPr="00D6704A">
        <w:rPr>
          <w:lang w:val="es-ES"/>
        </w:rPr>
        <w:t xml:space="preserve"> </w:t>
      </w:r>
      <w:r w:rsidR="00A049DD" w:rsidRPr="000D5690">
        <w:rPr>
          <w:lang w:val="es-ES_tradnl"/>
        </w:rPr>
        <w:t>albahaca (revisión);</w:t>
      </w:r>
      <w:r w:rsidR="005253AC" w:rsidRPr="00D6704A">
        <w:rPr>
          <w:lang w:val="es-ES"/>
        </w:rPr>
        <w:t xml:space="preserve"> </w:t>
      </w:r>
      <w:r w:rsidR="00A049DD" w:rsidRPr="000D5690">
        <w:rPr>
          <w:lang w:val="es-ES_tradnl"/>
        </w:rPr>
        <w:t xml:space="preserve">coles (coliflor, repollo, col de Bruselas, colinabo, berza y brócoli: revisión parcial del carácter </w:t>
      </w:r>
      <w:proofErr w:type="spellStart"/>
      <w:r w:rsidR="00A049DD" w:rsidRPr="000D5690">
        <w:rPr>
          <w:lang w:val="es-ES_tradnl"/>
        </w:rPr>
        <w:t>androesterilidad</w:t>
      </w:r>
      <w:proofErr w:type="spellEnd"/>
      <w:r w:rsidR="00A049DD" w:rsidRPr="000D5690">
        <w:rPr>
          <w:lang w:val="es-ES_tradnl"/>
        </w:rPr>
        <w:t>);</w:t>
      </w:r>
      <w:r w:rsidR="005253AC" w:rsidRPr="00D6704A">
        <w:rPr>
          <w:lang w:val="es-ES"/>
        </w:rPr>
        <w:t xml:space="preserve"> </w:t>
      </w:r>
      <w:r w:rsidR="00A049DD" w:rsidRPr="000D5690">
        <w:rPr>
          <w:lang w:val="es-ES_tradnl"/>
        </w:rPr>
        <w:t>espinaca (revisión parcial);</w:t>
      </w:r>
      <w:r w:rsidR="005253AC" w:rsidRPr="00D6704A">
        <w:rPr>
          <w:lang w:val="es-ES"/>
        </w:rPr>
        <w:t xml:space="preserve"> </w:t>
      </w:r>
      <w:proofErr w:type="spellStart"/>
      <w:r w:rsidR="00A049DD" w:rsidRPr="000D5690">
        <w:rPr>
          <w:lang w:val="es-ES_tradnl"/>
        </w:rPr>
        <w:t>portainjerto</w:t>
      </w:r>
      <w:proofErr w:type="spellEnd"/>
      <w:r w:rsidR="00A049DD" w:rsidRPr="000D5690">
        <w:rPr>
          <w:lang w:val="es-ES_tradnl"/>
        </w:rPr>
        <w:t xml:space="preserve"> de</w:t>
      </w:r>
      <w:r w:rsidR="001D1934" w:rsidRPr="000D5690">
        <w:rPr>
          <w:lang w:val="es-ES_tradnl"/>
        </w:rPr>
        <w:t>l</w:t>
      </w:r>
      <w:r w:rsidR="00A049DD" w:rsidRPr="000D5690">
        <w:rPr>
          <w:lang w:val="es-ES_tradnl"/>
        </w:rPr>
        <w:t xml:space="preserve"> tomate (revisión parcial), y rábano</w:t>
      </w:r>
      <w:r w:rsidR="001D1934" w:rsidRPr="000D5690">
        <w:rPr>
          <w:lang w:val="es-ES_tradnl"/>
        </w:rPr>
        <w:t xml:space="preserve"> y </w:t>
      </w:r>
      <w:r w:rsidR="00A049DD" w:rsidRPr="000D5690">
        <w:rPr>
          <w:lang w:val="es-ES_tradnl"/>
        </w:rPr>
        <w:t>rábano negro (revisión parcial).</w:t>
      </w:r>
      <w:r w:rsidR="005253AC" w:rsidRPr="00D6704A">
        <w:rPr>
          <w:lang w:val="es-ES"/>
        </w:rPr>
        <w:t xml:space="preserve"> </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A049DD" w:rsidRPr="000D5690">
        <w:rPr>
          <w:lang w:val="es-ES_tradnl"/>
        </w:rPr>
        <w:t>En su quincuagésim</w:t>
      </w:r>
      <w:r w:rsidR="00F07B53" w:rsidRPr="000D5690">
        <w:rPr>
          <w:lang w:val="es-ES_tradnl"/>
        </w:rPr>
        <w:t>a</w:t>
      </w:r>
      <w:r w:rsidR="00A049DD" w:rsidRPr="000D5690">
        <w:rPr>
          <w:lang w:val="es-ES_tradnl"/>
        </w:rPr>
        <w:t xml:space="preserve"> </w:t>
      </w:r>
      <w:r w:rsidR="00F07B53" w:rsidRPr="000D5690">
        <w:rPr>
          <w:lang w:val="es-ES_tradnl"/>
        </w:rPr>
        <w:t>sesión</w:t>
      </w:r>
      <w:r w:rsidR="00A049DD" w:rsidRPr="000D5690">
        <w:rPr>
          <w:lang w:val="es-ES_tradnl"/>
        </w:rPr>
        <w:t xml:space="preserve">, el TWV </w:t>
      </w:r>
      <w:r w:rsidR="00F07B53" w:rsidRPr="000D5690">
        <w:rPr>
          <w:lang w:val="es-ES_tradnl"/>
        </w:rPr>
        <w:t>tiene previsto examinar tres</w:t>
      </w:r>
      <w:r w:rsidR="00A049DD" w:rsidRPr="000D5690">
        <w:rPr>
          <w:lang w:val="es-ES_tradnl"/>
        </w:rPr>
        <w:t xml:space="preserve"> nuevas directrices de examen, </w:t>
      </w:r>
      <w:r w:rsidR="00F07B53" w:rsidRPr="000D5690">
        <w:rPr>
          <w:lang w:val="es-ES_tradnl"/>
        </w:rPr>
        <w:t>siete</w:t>
      </w:r>
      <w:r w:rsidR="00A049DD" w:rsidRPr="000D5690">
        <w:rPr>
          <w:lang w:val="es-ES_tradnl"/>
        </w:rPr>
        <w:t xml:space="preserve"> revisi</w:t>
      </w:r>
      <w:r w:rsidR="00F07B53" w:rsidRPr="000D5690">
        <w:rPr>
          <w:lang w:val="es-ES_tradnl"/>
        </w:rPr>
        <w:t>o</w:t>
      </w:r>
      <w:r w:rsidR="00A049DD" w:rsidRPr="000D5690">
        <w:rPr>
          <w:lang w:val="es-ES_tradnl"/>
        </w:rPr>
        <w:t>n</w:t>
      </w:r>
      <w:r w:rsidR="00F07B53" w:rsidRPr="000D5690">
        <w:rPr>
          <w:lang w:val="es-ES_tradnl"/>
        </w:rPr>
        <w:t>es</w:t>
      </w:r>
      <w:r w:rsidR="00A049DD" w:rsidRPr="000D5690">
        <w:rPr>
          <w:lang w:val="es-ES_tradnl"/>
        </w:rPr>
        <w:t xml:space="preserve"> de </w:t>
      </w:r>
      <w:r w:rsidR="00F07B53" w:rsidRPr="000D5690">
        <w:rPr>
          <w:lang w:val="es-ES_tradnl"/>
        </w:rPr>
        <w:t>directrices de examen</w:t>
      </w:r>
      <w:r w:rsidR="00A049DD" w:rsidRPr="000D5690">
        <w:rPr>
          <w:lang w:val="es-ES_tradnl"/>
        </w:rPr>
        <w:t xml:space="preserve">, y </w:t>
      </w:r>
      <w:r w:rsidR="00F07B53" w:rsidRPr="000D5690">
        <w:rPr>
          <w:lang w:val="es-ES_tradnl"/>
        </w:rPr>
        <w:t xml:space="preserve">una </w:t>
      </w:r>
      <w:r w:rsidR="00A049DD" w:rsidRPr="000D5690">
        <w:rPr>
          <w:lang w:val="es-ES_tradnl"/>
        </w:rPr>
        <w:t>revisión parcial.</w:t>
      </w:r>
      <w:r w:rsidR="005253AC" w:rsidRPr="00D6704A">
        <w:rPr>
          <w:lang w:val="es-ES"/>
        </w:rPr>
        <w:t xml:space="preserve"> </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F07B53" w:rsidRPr="000D5690">
        <w:rPr>
          <w:lang w:val="es-ES_tradnl"/>
        </w:rPr>
        <w:t xml:space="preserve">Por invitación de la República Checa, el TWV decidió celebrar su quincuagésima sesión en </w:t>
      </w:r>
      <w:proofErr w:type="spellStart"/>
      <w:r w:rsidR="00F07B53" w:rsidRPr="000D5690">
        <w:rPr>
          <w:lang w:val="es-ES_tradnl"/>
        </w:rPr>
        <w:t>Brno</w:t>
      </w:r>
      <w:proofErr w:type="spellEnd"/>
      <w:r w:rsidR="00F07B53" w:rsidRPr="000D5690">
        <w:rPr>
          <w:lang w:val="es-ES_tradnl"/>
        </w:rPr>
        <w:t xml:space="preserve"> (República Checa) del 27 de junio al 1 de julio de 2016, y el taller preparatorio el 26 de junio de 2016.</w:t>
      </w:r>
    </w:p>
    <w:p w:rsidR="005253AC" w:rsidRPr="00D6704A" w:rsidRDefault="005253AC" w:rsidP="005253AC">
      <w:pPr>
        <w:rPr>
          <w:lang w:val="es-ES"/>
        </w:rPr>
      </w:pPr>
    </w:p>
    <w:p w:rsidR="005253AC" w:rsidRPr="00D6704A" w:rsidRDefault="00791298" w:rsidP="0047214B">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F07B53" w:rsidRPr="000D5690">
        <w:rPr>
          <w:lang w:val="es-ES_tradnl"/>
        </w:rPr>
        <w:t>El TWV propuso examinar los siguientes puntos en su próxima sesión:</w:t>
      </w:r>
    </w:p>
    <w:p w:rsidR="005253AC" w:rsidRPr="00D6704A" w:rsidRDefault="005253AC" w:rsidP="0047214B">
      <w:pPr>
        <w:rPr>
          <w:lang w:val="es-ES"/>
        </w:rPr>
      </w:pPr>
    </w:p>
    <w:p w:rsidR="005253AC" w:rsidRPr="00CD3D58" w:rsidRDefault="005253AC" w:rsidP="00CD3D58">
      <w:pPr>
        <w:ind w:left="1134" w:right="-425" w:hanging="567"/>
        <w:rPr>
          <w:lang w:val="es-ES_tradnl"/>
        </w:rPr>
      </w:pPr>
      <w:r w:rsidRPr="00D6704A">
        <w:rPr>
          <w:lang w:val="es-ES"/>
        </w:rPr>
        <w:t>1.</w:t>
      </w:r>
      <w:r w:rsidRPr="00D6704A">
        <w:rPr>
          <w:lang w:val="es-ES"/>
        </w:rPr>
        <w:tab/>
      </w:r>
      <w:r w:rsidR="00F07B53" w:rsidRPr="000D5690">
        <w:rPr>
          <w:lang w:val="es-ES_tradnl"/>
        </w:rPr>
        <w:t>Apertura de la sesión</w:t>
      </w:r>
    </w:p>
    <w:p w:rsidR="005253AC" w:rsidRPr="00CD3D58" w:rsidRDefault="005253AC" w:rsidP="00CD3D58">
      <w:pPr>
        <w:ind w:left="1134" w:right="-425" w:hanging="567"/>
        <w:rPr>
          <w:lang w:val="es-ES_tradnl"/>
        </w:rPr>
      </w:pPr>
      <w:r w:rsidRPr="00CD3D58">
        <w:rPr>
          <w:lang w:val="es-ES_tradnl"/>
        </w:rPr>
        <w:t>2.</w:t>
      </w:r>
      <w:r w:rsidRPr="00CD3D58">
        <w:rPr>
          <w:lang w:val="es-ES_tradnl"/>
        </w:rPr>
        <w:tab/>
      </w:r>
      <w:r w:rsidR="00F07B53" w:rsidRPr="000D5690">
        <w:rPr>
          <w:lang w:val="es-ES_tradnl"/>
        </w:rPr>
        <w:t>Aprobación del orden del día</w:t>
      </w:r>
    </w:p>
    <w:p w:rsidR="005253AC" w:rsidRPr="00CD3D58" w:rsidRDefault="005253AC" w:rsidP="00CD3D58">
      <w:pPr>
        <w:ind w:left="1134" w:right="-425" w:hanging="567"/>
        <w:rPr>
          <w:lang w:val="es-ES_tradnl"/>
        </w:rPr>
      </w:pPr>
      <w:r w:rsidRPr="00CD3D58">
        <w:rPr>
          <w:lang w:val="es-ES_tradnl"/>
        </w:rPr>
        <w:t>3.</w:t>
      </w:r>
      <w:r w:rsidRPr="00CD3D58">
        <w:rPr>
          <w:lang w:val="es-ES_tradnl"/>
        </w:rPr>
        <w:tab/>
      </w:r>
      <w:r w:rsidR="00F07B53" w:rsidRPr="000D5690">
        <w:rPr>
          <w:lang w:val="es-ES_tradnl"/>
        </w:rPr>
        <w:t>Breves informes sobre los avances logrados en la protección de las variedades vegetales</w:t>
      </w:r>
    </w:p>
    <w:p w:rsidR="005253AC" w:rsidRPr="00CD3D58" w:rsidRDefault="005253AC" w:rsidP="00CD3D58">
      <w:pPr>
        <w:ind w:left="1134" w:right="-425" w:hanging="567"/>
        <w:rPr>
          <w:lang w:val="es-ES_tradnl"/>
        </w:rPr>
      </w:pPr>
      <w:r w:rsidRPr="00CD3D58">
        <w:rPr>
          <w:lang w:val="es-ES_tradnl"/>
        </w:rPr>
        <w:t>4.</w:t>
      </w:r>
      <w:r w:rsidRPr="00CD3D58">
        <w:rPr>
          <w:lang w:val="es-ES_tradnl"/>
        </w:rPr>
        <w:tab/>
      </w:r>
      <w:r w:rsidR="00F07B53" w:rsidRPr="000D5690">
        <w:rPr>
          <w:lang w:val="es-ES_tradnl"/>
        </w:rPr>
        <w:t>Informes de miembros y observadores</w:t>
      </w:r>
      <w:r w:rsidRPr="00CD3D58">
        <w:rPr>
          <w:lang w:val="es-ES_tradnl"/>
        </w:rPr>
        <w:t xml:space="preserve"> </w:t>
      </w:r>
    </w:p>
    <w:p w:rsidR="005253AC" w:rsidRPr="00CD3D58" w:rsidRDefault="005253AC" w:rsidP="00CD3D58">
      <w:pPr>
        <w:ind w:left="1134" w:right="-425" w:hanging="567"/>
        <w:rPr>
          <w:lang w:val="es-ES_tradnl"/>
        </w:rPr>
      </w:pPr>
      <w:r w:rsidRPr="00CD3D58">
        <w:rPr>
          <w:lang w:val="es-ES_tradnl"/>
        </w:rPr>
        <w:t>5.</w:t>
      </w:r>
      <w:r w:rsidRPr="00CD3D58">
        <w:rPr>
          <w:lang w:val="es-ES_tradnl"/>
        </w:rPr>
        <w:tab/>
      </w:r>
      <w:r w:rsidR="00F07B53" w:rsidRPr="000D5690">
        <w:rPr>
          <w:lang w:val="es-ES_tradnl"/>
        </w:rPr>
        <w:t>Informes sobre los avances logrados en la UPOV</w:t>
      </w:r>
      <w:r w:rsidRPr="00CD3D58">
        <w:rPr>
          <w:lang w:val="es-ES_tradnl"/>
        </w:rPr>
        <w:t xml:space="preserve"> </w:t>
      </w:r>
    </w:p>
    <w:p w:rsidR="005253AC" w:rsidRPr="00CD3D58" w:rsidRDefault="005253AC" w:rsidP="00CD3D58">
      <w:pPr>
        <w:ind w:left="1134" w:right="-425" w:hanging="567"/>
        <w:rPr>
          <w:lang w:val="es-ES_tradnl"/>
        </w:rPr>
      </w:pPr>
      <w:r w:rsidRPr="00CD3D58">
        <w:rPr>
          <w:lang w:val="es-ES_tradnl"/>
        </w:rPr>
        <w:t>6.</w:t>
      </w:r>
      <w:r w:rsidRPr="00CD3D58">
        <w:rPr>
          <w:lang w:val="es-ES_tradnl"/>
        </w:rPr>
        <w:tab/>
      </w:r>
      <w:r w:rsidR="00F07B53" w:rsidRPr="000D5690">
        <w:rPr>
          <w:lang w:val="es-ES_tradnl"/>
        </w:rPr>
        <w:t>Técnicas moleculares</w:t>
      </w:r>
      <w:r w:rsidRPr="00CD3D58">
        <w:rPr>
          <w:lang w:val="es-ES_tradnl"/>
        </w:rPr>
        <w:t xml:space="preserve"> </w:t>
      </w:r>
    </w:p>
    <w:p w:rsidR="005253AC" w:rsidRPr="00CD3D58" w:rsidRDefault="005253AC" w:rsidP="00CD3D58">
      <w:pPr>
        <w:ind w:left="1134" w:right="-425" w:hanging="567"/>
        <w:rPr>
          <w:lang w:val="es-ES_tradnl"/>
        </w:rPr>
      </w:pPr>
      <w:r w:rsidRPr="00CD3D58">
        <w:rPr>
          <w:lang w:val="es-ES_tradnl"/>
        </w:rPr>
        <w:t>7.</w:t>
      </w:r>
      <w:r w:rsidRPr="00CD3D58">
        <w:rPr>
          <w:lang w:val="es-ES_tradnl"/>
        </w:rPr>
        <w:tab/>
      </w:r>
      <w:r w:rsidR="00F07B53" w:rsidRPr="000D5690">
        <w:rPr>
          <w:lang w:val="es-ES_tradnl"/>
        </w:rPr>
        <w:t>Novedades acaecidas en la UPOV</w:t>
      </w:r>
    </w:p>
    <w:p w:rsidR="005253AC" w:rsidRPr="00CD3D58" w:rsidRDefault="005253AC" w:rsidP="00CD3D58">
      <w:pPr>
        <w:ind w:left="1134" w:right="-425" w:hanging="567"/>
        <w:rPr>
          <w:lang w:val="es-ES_tradnl"/>
        </w:rPr>
      </w:pPr>
      <w:r w:rsidRPr="00CD3D58">
        <w:rPr>
          <w:lang w:val="es-ES_tradnl"/>
        </w:rPr>
        <w:t>8.</w:t>
      </w:r>
      <w:r w:rsidRPr="00CD3D58">
        <w:rPr>
          <w:lang w:val="es-ES_tradnl"/>
        </w:rPr>
        <w:tab/>
      </w:r>
      <w:r w:rsidR="00355983" w:rsidRPr="000D5690">
        <w:rPr>
          <w:lang w:val="es-ES_tradnl"/>
        </w:rPr>
        <w:t>P</w:t>
      </w:r>
      <w:r w:rsidR="00F07B53" w:rsidRPr="000D5690">
        <w:rPr>
          <w:lang w:val="es-ES_tradnl"/>
        </w:rPr>
        <w:t>onencia</w:t>
      </w:r>
      <w:r w:rsidR="00355983" w:rsidRPr="000D5690">
        <w:rPr>
          <w:lang w:val="es-ES_tradnl"/>
        </w:rPr>
        <w:t xml:space="preserve"> sobre la utilización de técnicas moleculares en el examen DHE</w:t>
      </w:r>
      <w:r w:rsidRPr="00CD3D58">
        <w:rPr>
          <w:lang w:val="es-ES_tradnl"/>
        </w:rPr>
        <w:t xml:space="preserve"> </w:t>
      </w:r>
    </w:p>
    <w:p w:rsidR="005253AC" w:rsidRPr="00CD3D58" w:rsidRDefault="005253AC" w:rsidP="00CD3D58">
      <w:pPr>
        <w:ind w:left="1134" w:right="-425" w:hanging="567"/>
        <w:rPr>
          <w:lang w:val="es-ES_tradnl"/>
        </w:rPr>
      </w:pPr>
      <w:r w:rsidRPr="00CD3D58">
        <w:rPr>
          <w:lang w:val="es-ES_tradnl"/>
        </w:rPr>
        <w:t>9.</w:t>
      </w:r>
      <w:r w:rsidRPr="00CD3D58">
        <w:rPr>
          <w:lang w:val="es-ES_tradnl"/>
        </w:rPr>
        <w:tab/>
      </w:r>
      <w:r w:rsidR="00355983" w:rsidRPr="000D5690">
        <w:rPr>
          <w:lang w:val="es-ES_tradnl"/>
        </w:rPr>
        <w:t>Documentos TGP</w:t>
      </w:r>
      <w:r w:rsidRPr="00CD3D58">
        <w:rPr>
          <w:lang w:val="es-ES_tradnl"/>
        </w:rPr>
        <w:t xml:space="preserve"> </w:t>
      </w:r>
    </w:p>
    <w:p w:rsidR="005253AC" w:rsidRPr="00CD3D58" w:rsidRDefault="005253AC" w:rsidP="00CD3D58">
      <w:pPr>
        <w:ind w:left="1134" w:right="-425" w:hanging="567"/>
        <w:rPr>
          <w:lang w:val="es-ES_tradnl"/>
        </w:rPr>
      </w:pPr>
      <w:r w:rsidRPr="00CD3D58">
        <w:rPr>
          <w:lang w:val="es-ES_tradnl"/>
        </w:rPr>
        <w:t>10.</w:t>
      </w:r>
      <w:r w:rsidRPr="00CD3D58">
        <w:rPr>
          <w:lang w:val="es-ES_tradnl"/>
        </w:rPr>
        <w:tab/>
      </w:r>
      <w:r w:rsidR="00355983" w:rsidRPr="000D5690">
        <w:rPr>
          <w:lang w:val="es-ES_tradnl"/>
        </w:rPr>
        <w:t>Denominaciones de variedades</w:t>
      </w:r>
      <w:r w:rsidRPr="00CD3D58">
        <w:rPr>
          <w:lang w:val="es-ES_tradnl"/>
        </w:rPr>
        <w:t xml:space="preserve"> </w:t>
      </w:r>
    </w:p>
    <w:p w:rsidR="005253AC" w:rsidRPr="00D6704A" w:rsidRDefault="005253AC" w:rsidP="00CD3D58">
      <w:pPr>
        <w:ind w:left="1134" w:right="-425" w:hanging="567"/>
        <w:rPr>
          <w:lang w:val="es-ES"/>
        </w:rPr>
      </w:pPr>
      <w:r w:rsidRPr="00CD3D58">
        <w:rPr>
          <w:lang w:val="es-ES_tradnl"/>
        </w:rPr>
        <w:t>11.</w:t>
      </w:r>
      <w:r w:rsidRPr="00CD3D58">
        <w:rPr>
          <w:lang w:val="es-ES_tradnl"/>
        </w:rPr>
        <w:tab/>
      </w:r>
      <w:r w:rsidR="00355983" w:rsidRPr="000D5690">
        <w:rPr>
          <w:lang w:val="es-ES_tradnl"/>
        </w:rPr>
        <w:t>Información y bases de datos</w:t>
      </w:r>
    </w:p>
    <w:p w:rsidR="005253AC" w:rsidRPr="00D6704A" w:rsidRDefault="0047214B" w:rsidP="00A10560">
      <w:pPr>
        <w:ind w:left="1418" w:right="-425"/>
        <w:rPr>
          <w:lang w:val="es-ES"/>
        </w:rPr>
      </w:pPr>
      <w:r w:rsidRPr="00D6704A">
        <w:rPr>
          <w:lang w:val="es-ES"/>
        </w:rPr>
        <w:t>a)</w:t>
      </w:r>
      <w:r w:rsidR="005253AC" w:rsidRPr="00D6704A">
        <w:rPr>
          <w:lang w:val="es-ES"/>
        </w:rPr>
        <w:tab/>
      </w:r>
      <w:r w:rsidR="00355983" w:rsidRPr="000D5690">
        <w:rPr>
          <w:lang w:val="es-ES_tradnl"/>
        </w:rPr>
        <w:t>Bases de datos de información de la UPOV</w:t>
      </w:r>
      <w:r w:rsidR="005253AC" w:rsidRPr="00D6704A">
        <w:rPr>
          <w:lang w:val="es-ES"/>
        </w:rPr>
        <w:t xml:space="preserve"> </w:t>
      </w:r>
    </w:p>
    <w:p w:rsidR="005253AC" w:rsidRPr="00D6704A" w:rsidRDefault="0047214B" w:rsidP="00A10560">
      <w:pPr>
        <w:ind w:left="1418" w:right="-425"/>
        <w:rPr>
          <w:lang w:val="es-ES"/>
        </w:rPr>
      </w:pPr>
      <w:r w:rsidRPr="00D6704A">
        <w:rPr>
          <w:lang w:val="es-ES"/>
        </w:rPr>
        <w:t>b)</w:t>
      </w:r>
      <w:r w:rsidR="005253AC" w:rsidRPr="00D6704A">
        <w:rPr>
          <w:lang w:val="es-ES"/>
        </w:rPr>
        <w:tab/>
      </w:r>
      <w:r w:rsidR="00355983" w:rsidRPr="000D5690">
        <w:rPr>
          <w:lang w:val="es-ES_tradnl"/>
        </w:rPr>
        <w:t>Bases de datos de descripciones de variedades</w:t>
      </w:r>
      <w:r w:rsidR="005253AC" w:rsidRPr="00D6704A">
        <w:rPr>
          <w:lang w:val="es-ES"/>
        </w:rPr>
        <w:t xml:space="preserve"> </w:t>
      </w:r>
    </w:p>
    <w:p w:rsidR="005253AC" w:rsidRPr="00D6704A" w:rsidRDefault="0047214B" w:rsidP="00A10560">
      <w:pPr>
        <w:ind w:left="1418" w:right="-425"/>
        <w:rPr>
          <w:lang w:val="es-ES"/>
        </w:rPr>
      </w:pPr>
      <w:r w:rsidRPr="00D6704A">
        <w:rPr>
          <w:lang w:val="es-ES"/>
        </w:rPr>
        <w:t>c)</w:t>
      </w:r>
      <w:r w:rsidR="005253AC" w:rsidRPr="00D6704A">
        <w:rPr>
          <w:lang w:val="es-ES"/>
        </w:rPr>
        <w:tab/>
      </w:r>
      <w:r w:rsidR="00355983" w:rsidRPr="000D5690">
        <w:rPr>
          <w:lang w:val="es-ES_tradnl"/>
        </w:rPr>
        <w:t>Intercambio y uso de programas informáticos y equip</w:t>
      </w:r>
      <w:r w:rsidR="00147B82" w:rsidRPr="000D5690">
        <w:rPr>
          <w:lang w:val="es-ES_tradnl"/>
        </w:rPr>
        <w:t>os</w:t>
      </w:r>
      <w:r w:rsidR="005253AC" w:rsidRPr="00D6704A">
        <w:rPr>
          <w:lang w:val="es-ES"/>
        </w:rPr>
        <w:t xml:space="preserve"> </w:t>
      </w:r>
    </w:p>
    <w:p w:rsidR="005253AC" w:rsidRPr="00D6704A" w:rsidRDefault="0047214B" w:rsidP="00A10560">
      <w:pPr>
        <w:ind w:left="1418" w:right="-425"/>
        <w:rPr>
          <w:lang w:val="es-ES"/>
        </w:rPr>
      </w:pPr>
      <w:r w:rsidRPr="00D6704A">
        <w:rPr>
          <w:lang w:val="es-ES"/>
        </w:rPr>
        <w:t>d)</w:t>
      </w:r>
      <w:r w:rsidR="005253AC" w:rsidRPr="00D6704A">
        <w:rPr>
          <w:lang w:val="es-ES"/>
        </w:rPr>
        <w:tab/>
      </w:r>
      <w:r w:rsidR="00355983" w:rsidRPr="000D5690">
        <w:rPr>
          <w:lang w:val="es-ES_tradnl"/>
        </w:rPr>
        <w:t>Sistemas de presentación electrónica de solicitudes</w:t>
      </w:r>
      <w:r w:rsidR="005253AC" w:rsidRPr="00D6704A">
        <w:rPr>
          <w:lang w:val="es-ES"/>
        </w:rPr>
        <w:t xml:space="preserve"> </w:t>
      </w:r>
    </w:p>
    <w:p w:rsidR="005253AC" w:rsidRPr="00CD3D58" w:rsidRDefault="005253AC" w:rsidP="00CD3D58">
      <w:pPr>
        <w:ind w:left="1134" w:right="-425" w:hanging="567"/>
        <w:rPr>
          <w:lang w:val="es-ES_tradnl"/>
        </w:rPr>
      </w:pPr>
      <w:r w:rsidRPr="00D6704A">
        <w:rPr>
          <w:lang w:val="es-ES"/>
        </w:rPr>
        <w:t>12.</w:t>
      </w:r>
      <w:r w:rsidRPr="00D6704A">
        <w:rPr>
          <w:lang w:val="es-ES"/>
        </w:rPr>
        <w:tab/>
      </w:r>
      <w:r w:rsidR="00355983" w:rsidRPr="000D5690">
        <w:rPr>
          <w:lang w:val="es-ES_tradnl"/>
        </w:rPr>
        <w:t>Evaluación de la homogeneidad</w:t>
      </w:r>
      <w:r w:rsidRPr="00CD3D58">
        <w:rPr>
          <w:lang w:val="es-ES_tradnl"/>
        </w:rPr>
        <w:t xml:space="preserve">  </w:t>
      </w:r>
    </w:p>
    <w:p w:rsidR="005253AC" w:rsidRPr="00CD3D58" w:rsidRDefault="005253AC" w:rsidP="00CD3D58">
      <w:pPr>
        <w:ind w:left="1134" w:right="-425" w:hanging="567"/>
        <w:rPr>
          <w:lang w:val="es-ES_tradnl"/>
        </w:rPr>
      </w:pPr>
      <w:r w:rsidRPr="00CD3D58">
        <w:rPr>
          <w:lang w:val="es-ES_tradnl"/>
        </w:rPr>
        <w:t>13.</w:t>
      </w:r>
      <w:r w:rsidRPr="00CD3D58">
        <w:rPr>
          <w:lang w:val="es-ES_tradnl"/>
        </w:rPr>
        <w:tab/>
      </w:r>
      <w:r w:rsidR="00355983" w:rsidRPr="000D5690">
        <w:rPr>
          <w:lang w:val="es-ES_tradnl"/>
        </w:rPr>
        <w:t>Experiencias con nuevos tipos y especies</w:t>
      </w:r>
      <w:r w:rsidRPr="00CD3D58">
        <w:rPr>
          <w:lang w:val="es-ES_tradnl"/>
        </w:rPr>
        <w:t xml:space="preserve"> </w:t>
      </w:r>
    </w:p>
    <w:p w:rsidR="005253AC" w:rsidRPr="00CD3D58" w:rsidRDefault="005253AC" w:rsidP="00CD3D58">
      <w:pPr>
        <w:ind w:left="1134" w:right="-425" w:hanging="567"/>
        <w:rPr>
          <w:lang w:val="es-ES_tradnl"/>
        </w:rPr>
      </w:pPr>
      <w:r w:rsidRPr="00CD3D58">
        <w:rPr>
          <w:lang w:val="es-ES_tradnl"/>
        </w:rPr>
        <w:t>14.</w:t>
      </w:r>
      <w:r w:rsidRPr="00CD3D58">
        <w:rPr>
          <w:lang w:val="es-ES_tradnl"/>
        </w:rPr>
        <w:tab/>
      </w:r>
      <w:r w:rsidR="00355983" w:rsidRPr="000D5690">
        <w:rPr>
          <w:lang w:val="es-ES_tradnl"/>
        </w:rPr>
        <w:t>Nuevas cuestiones que se plantean en relación con el examen DHE</w:t>
      </w:r>
      <w:r w:rsidRPr="00CD3D58">
        <w:rPr>
          <w:lang w:val="es-ES_tradnl"/>
        </w:rPr>
        <w:t xml:space="preserve"> </w:t>
      </w:r>
    </w:p>
    <w:p w:rsidR="005253AC" w:rsidRPr="00CD3D58" w:rsidRDefault="005253AC" w:rsidP="00CD3D58">
      <w:pPr>
        <w:ind w:left="1134" w:right="-425" w:hanging="567"/>
        <w:rPr>
          <w:lang w:val="es-ES_tradnl"/>
        </w:rPr>
      </w:pPr>
      <w:r w:rsidRPr="00CD3D58">
        <w:rPr>
          <w:lang w:val="es-ES_tradnl"/>
        </w:rPr>
        <w:t>15.</w:t>
      </w:r>
      <w:r w:rsidRPr="00CD3D58">
        <w:rPr>
          <w:lang w:val="es-ES_tradnl"/>
        </w:rPr>
        <w:tab/>
      </w:r>
      <w:r w:rsidR="00355983" w:rsidRPr="000D5690">
        <w:rPr>
          <w:lang w:val="es-ES_tradnl"/>
        </w:rPr>
        <w:t>Utilización de caracteres de resistencia a las enfermedades en el examen DHE</w:t>
      </w:r>
      <w:r w:rsidRPr="00CD3D58">
        <w:rPr>
          <w:lang w:val="es-ES_tradnl"/>
        </w:rPr>
        <w:t xml:space="preserve"> </w:t>
      </w:r>
    </w:p>
    <w:p w:rsidR="005253AC" w:rsidRPr="00CD3D58" w:rsidRDefault="005253AC" w:rsidP="005253AC">
      <w:pPr>
        <w:ind w:left="1134" w:right="-425" w:hanging="567"/>
        <w:rPr>
          <w:lang w:val="es-ES_tradnl"/>
        </w:rPr>
      </w:pPr>
      <w:r w:rsidRPr="00CD3D58">
        <w:rPr>
          <w:lang w:val="es-ES_tradnl"/>
        </w:rPr>
        <w:t>16.</w:t>
      </w:r>
      <w:r w:rsidRPr="00CD3D58">
        <w:rPr>
          <w:lang w:val="es-ES_tradnl"/>
        </w:rPr>
        <w:tab/>
      </w:r>
      <w:r w:rsidR="00355983" w:rsidRPr="000D5690">
        <w:rPr>
          <w:lang w:val="es-ES_tradnl"/>
        </w:rPr>
        <w:t>Cuestiones por resolver en lo que respecta a directrices de examen aprobadas por el Comité Técnico (en su caso)</w:t>
      </w:r>
    </w:p>
    <w:p w:rsidR="005253AC" w:rsidRPr="00CD3D58" w:rsidRDefault="005253AC" w:rsidP="00CD3D58">
      <w:pPr>
        <w:ind w:left="1134" w:right="-425" w:hanging="567"/>
        <w:rPr>
          <w:lang w:val="es-ES_tradnl"/>
        </w:rPr>
      </w:pPr>
      <w:r w:rsidRPr="00CD3D58">
        <w:rPr>
          <w:lang w:val="es-ES_tradnl"/>
        </w:rPr>
        <w:t>17.</w:t>
      </w:r>
      <w:r w:rsidRPr="00CD3D58">
        <w:rPr>
          <w:lang w:val="es-ES_tradnl"/>
        </w:rPr>
        <w:tab/>
      </w:r>
      <w:r w:rsidR="00355983" w:rsidRPr="000D5690">
        <w:rPr>
          <w:lang w:val="es-ES_tradnl"/>
        </w:rPr>
        <w:t>Debates sobre proyectos de directrices de examen (subgrupos)</w:t>
      </w:r>
    </w:p>
    <w:p w:rsidR="005253AC" w:rsidRPr="00CD3D58" w:rsidRDefault="005253AC" w:rsidP="00CD3D58">
      <w:pPr>
        <w:ind w:left="1134" w:right="-425" w:hanging="567"/>
        <w:rPr>
          <w:lang w:val="es-ES_tradnl"/>
        </w:rPr>
      </w:pPr>
      <w:r w:rsidRPr="00CD3D58">
        <w:rPr>
          <w:lang w:val="es-ES_tradnl"/>
        </w:rPr>
        <w:t>18.</w:t>
      </w:r>
      <w:r w:rsidRPr="00CD3D58">
        <w:rPr>
          <w:lang w:val="es-ES_tradnl"/>
        </w:rPr>
        <w:tab/>
      </w:r>
      <w:r w:rsidR="00355983" w:rsidRPr="000D5690">
        <w:rPr>
          <w:lang w:val="es-ES_tradnl"/>
        </w:rPr>
        <w:t>Recomendaciones sobre proyectos de directrices de examen</w:t>
      </w:r>
    </w:p>
    <w:p w:rsidR="005253AC" w:rsidRPr="00CD3D58" w:rsidRDefault="005253AC" w:rsidP="00CD3D58">
      <w:pPr>
        <w:ind w:left="1134" w:right="-425" w:hanging="567"/>
        <w:rPr>
          <w:lang w:val="es-ES_tradnl"/>
        </w:rPr>
      </w:pPr>
      <w:r w:rsidRPr="00CD3D58">
        <w:rPr>
          <w:lang w:val="es-ES_tradnl"/>
        </w:rPr>
        <w:t>19.</w:t>
      </w:r>
      <w:r w:rsidRPr="00CD3D58">
        <w:rPr>
          <w:lang w:val="es-ES_tradnl"/>
        </w:rPr>
        <w:tab/>
      </w:r>
      <w:r w:rsidR="00355983" w:rsidRPr="000D5690">
        <w:rPr>
          <w:lang w:val="es-ES_tradnl"/>
        </w:rPr>
        <w:t xml:space="preserve">Guía para los redactores de </w:t>
      </w:r>
      <w:r w:rsidR="00481B03" w:rsidRPr="000D5690">
        <w:rPr>
          <w:lang w:val="es-ES_tradnl"/>
        </w:rPr>
        <w:t xml:space="preserve">las </w:t>
      </w:r>
      <w:r w:rsidR="00355983" w:rsidRPr="000D5690">
        <w:rPr>
          <w:lang w:val="es-ES_tradnl"/>
        </w:rPr>
        <w:t>directrices de examen</w:t>
      </w:r>
    </w:p>
    <w:p w:rsidR="005253AC" w:rsidRPr="00CD3D58" w:rsidRDefault="005253AC" w:rsidP="00CD3D58">
      <w:pPr>
        <w:ind w:left="1134" w:right="-425" w:hanging="567"/>
        <w:rPr>
          <w:lang w:val="es-ES_tradnl"/>
        </w:rPr>
      </w:pPr>
      <w:r w:rsidRPr="00CD3D58">
        <w:rPr>
          <w:lang w:val="es-ES_tradnl"/>
        </w:rPr>
        <w:t>20.</w:t>
      </w:r>
      <w:r w:rsidRPr="00CD3D58">
        <w:rPr>
          <w:lang w:val="es-ES_tradnl"/>
        </w:rPr>
        <w:tab/>
      </w:r>
      <w:r w:rsidR="00481B03" w:rsidRPr="000D5690">
        <w:rPr>
          <w:lang w:val="es-ES_tradnl"/>
        </w:rPr>
        <w:t>Fecha y lugar de la siguiente reunión</w:t>
      </w:r>
    </w:p>
    <w:p w:rsidR="005253AC" w:rsidRPr="00CD3D58" w:rsidRDefault="005253AC" w:rsidP="00CD3D58">
      <w:pPr>
        <w:ind w:left="1134" w:right="-425" w:hanging="567"/>
        <w:rPr>
          <w:lang w:val="es-ES_tradnl"/>
        </w:rPr>
      </w:pPr>
      <w:r w:rsidRPr="00CD3D58">
        <w:rPr>
          <w:lang w:val="es-ES_tradnl"/>
        </w:rPr>
        <w:t>21.</w:t>
      </w:r>
      <w:r w:rsidRPr="00CD3D58">
        <w:rPr>
          <w:lang w:val="es-ES_tradnl"/>
        </w:rPr>
        <w:tab/>
      </w:r>
      <w:r w:rsidR="00AB176C" w:rsidRPr="000D5690">
        <w:rPr>
          <w:lang w:val="es-ES_tradnl"/>
        </w:rPr>
        <w:t>P</w:t>
      </w:r>
      <w:r w:rsidR="00481B03" w:rsidRPr="000D5690">
        <w:rPr>
          <w:lang w:val="es-ES_tradnl"/>
        </w:rPr>
        <w:t>rograma</w:t>
      </w:r>
      <w:r w:rsidR="00AB176C" w:rsidRPr="000D5690">
        <w:rPr>
          <w:lang w:val="es-ES_tradnl"/>
        </w:rPr>
        <w:t xml:space="preserve"> futuro</w:t>
      </w:r>
    </w:p>
    <w:p w:rsidR="005253AC" w:rsidRPr="00CD3D58" w:rsidRDefault="005253AC" w:rsidP="00CD3D58">
      <w:pPr>
        <w:ind w:left="1134" w:right="-425" w:hanging="567"/>
        <w:rPr>
          <w:lang w:val="es-ES_tradnl"/>
        </w:rPr>
      </w:pPr>
      <w:r w:rsidRPr="00CD3D58">
        <w:rPr>
          <w:lang w:val="es-ES_tradnl"/>
        </w:rPr>
        <w:t>22.</w:t>
      </w:r>
      <w:r w:rsidRPr="00CD3D58">
        <w:rPr>
          <w:lang w:val="es-ES_tradnl"/>
        </w:rPr>
        <w:tab/>
      </w:r>
      <w:r w:rsidR="00481B03" w:rsidRPr="000D5690">
        <w:rPr>
          <w:lang w:val="es-ES_tradnl"/>
        </w:rPr>
        <w:t>Informe de la reunión (si se dispone de tiempo suficiente)</w:t>
      </w:r>
    </w:p>
    <w:p w:rsidR="005253AC" w:rsidRPr="00D6704A" w:rsidRDefault="005253AC" w:rsidP="00CD3D58">
      <w:pPr>
        <w:ind w:left="1134" w:right="-425" w:hanging="567"/>
        <w:rPr>
          <w:lang w:val="es-ES"/>
        </w:rPr>
      </w:pPr>
      <w:r w:rsidRPr="00CD3D58">
        <w:rPr>
          <w:lang w:val="es-ES_tradnl"/>
        </w:rPr>
        <w:t>23.</w:t>
      </w:r>
      <w:r w:rsidRPr="00CD3D58">
        <w:rPr>
          <w:lang w:val="es-ES_tradnl"/>
        </w:rPr>
        <w:tab/>
      </w:r>
      <w:r w:rsidR="00481B03" w:rsidRPr="000D5690">
        <w:rPr>
          <w:lang w:val="es-ES_tradnl"/>
        </w:rPr>
        <w:t>Clausura de la reunión</w:t>
      </w:r>
    </w:p>
    <w:p w:rsidR="005253AC" w:rsidRPr="00D6704A" w:rsidRDefault="005253AC" w:rsidP="005253AC">
      <w:pPr>
        <w:rPr>
          <w:lang w:val="es-ES"/>
        </w:rPr>
      </w:pPr>
    </w:p>
    <w:p w:rsidR="005253AC" w:rsidRPr="00D6704A" w:rsidRDefault="00791298" w:rsidP="005253AC">
      <w:pPr>
        <w:rPr>
          <w:color w:val="000000"/>
          <w:lang w:val="es-ES"/>
        </w:rPr>
      </w:pPr>
      <w:r w:rsidRPr="000D5690">
        <w:rPr>
          <w:color w:val="000000"/>
        </w:rPr>
        <w:fldChar w:fldCharType="begin"/>
      </w:r>
      <w:r w:rsidR="005253AC" w:rsidRPr="00D6704A">
        <w:rPr>
          <w:color w:val="000000"/>
          <w:lang w:val="es-ES"/>
        </w:rPr>
        <w:instrText xml:space="preserve"> AUTONUM  </w:instrText>
      </w:r>
      <w:r w:rsidRPr="000D5690">
        <w:rPr>
          <w:color w:val="000000"/>
        </w:rPr>
        <w:fldChar w:fldCharType="end"/>
      </w:r>
      <w:r w:rsidR="005253AC" w:rsidRPr="00D6704A">
        <w:rPr>
          <w:color w:val="000000"/>
          <w:lang w:val="es-ES"/>
        </w:rPr>
        <w:tab/>
      </w:r>
      <w:r w:rsidR="00481B03" w:rsidRPr="000D5690">
        <w:rPr>
          <w:color w:val="000000"/>
          <w:lang w:val="es-ES_tradnl"/>
        </w:rPr>
        <w:t>E</w:t>
      </w:r>
      <w:r w:rsidR="006C55C5" w:rsidRPr="000D5690">
        <w:rPr>
          <w:color w:val="000000"/>
          <w:lang w:val="es-ES_tradnl"/>
        </w:rPr>
        <w:t xml:space="preserve">l </w:t>
      </w:r>
      <w:r w:rsidR="00481B03" w:rsidRPr="000D5690">
        <w:rPr>
          <w:color w:val="000000"/>
          <w:lang w:val="es-ES_tradnl"/>
        </w:rPr>
        <w:t>17 de junio de 2015</w:t>
      </w:r>
      <w:r w:rsidR="006C55C5" w:rsidRPr="000D5690">
        <w:rPr>
          <w:color w:val="000000"/>
          <w:lang w:val="es-ES_tradnl"/>
        </w:rPr>
        <w:t xml:space="preserve"> por la tarde</w:t>
      </w:r>
      <w:r w:rsidR="00481B03" w:rsidRPr="000D5690">
        <w:rPr>
          <w:color w:val="000000"/>
          <w:lang w:val="es-ES_tradnl"/>
        </w:rPr>
        <w:t xml:space="preserve">, el TWV visitó la estación de </w:t>
      </w:r>
      <w:r w:rsidR="006C55C5" w:rsidRPr="000D5690">
        <w:rPr>
          <w:color w:val="000000"/>
          <w:lang w:val="es-ES_tradnl"/>
        </w:rPr>
        <w:t xml:space="preserve">examen de </w:t>
      </w:r>
      <w:r w:rsidR="00481B03" w:rsidRPr="000D5690">
        <w:rPr>
          <w:color w:val="000000"/>
          <w:lang w:val="es-ES_tradnl"/>
        </w:rPr>
        <w:t xml:space="preserve">Brion del </w:t>
      </w:r>
      <w:proofErr w:type="spellStart"/>
      <w:r w:rsidR="00481B03" w:rsidRPr="000D5690">
        <w:rPr>
          <w:i/>
          <w:color w:val="000000"/>
          <w:lang w:val="es-ES_tradnl"/>
        </w:rPr>
        <w:t>Groupe</w:t>
      </w:r>
      <w:proofErr w:type="spellEnd"/>
      <w:r w:rsidR="00481B03" w:rsidRPr="000D5690">
        <w:rPr>
          <w:i/>
          <w:color w:val="000000"/>
          <w:lang w:val="es-ES_tradnl"/>
        </w:rPr>
        <w:t xml:space="preserve"> </w:t>
      </w:r>
      <w:proofErr w:type="spellStart"/>
      <w:r w:rsidR="00481B03" w:rsidRPr="000D5690">
        <w:rPr>
          <w:i/>
          <w:color w:val="000000"/>
          <w:lang w:val="es-ES_tradnl"/>
        </w:rPr>
        <w:t>d'</w:t>
      </w:r>
      <w:r w:rsidR="006C55C5" w:rsidRPr="000D5690">
        <w:rPr>
          <w:i/>
          <w:color w:val="000000"/>
          <w:lang w:val="es-ES_tradnl"/>
        </w:rPr>
        <w:t>é</w:t>
      </w:r>
      <w:r w:rsidR="00481B03" w:rsidRPr="000D5690">
        <w:rPr>
          <w:i/>
          <w:color w:val="000000"/>
          <w:lang w:val="es-ES_tradnl"/>
        </w:rPr>
        <w:t>tude</w:t>
      </w:r>
      <w:proofErr w:type="spellEnd"/>
      <w:r w:rsidR="00481B03" w:rsidRPr="000D5690">
        <w:rPr>
          <w:i/>
          <w:color w:val="000000"/>
          <w:lang w:val="es-ES_tradnl"/>
        </w:rPr>
        <w:t xml:space="preserve"> et de </w:t>
      </w:r>
      <w:proofErr w:type="spellStart"/>
      <w:r w:rsidR="00481B03" w:rsidRPr="000D5690">
        <w:rPr>
          <w:i/>
          <w:color w:val="000000"/>
          <w:lang w:val="es-ES_tradnl"/>
        </w:rPr>
        <w:t>contrôle</w:t>
      </w:r>
      <w:proofErr w:type="spellEnd"/>
      <w:r w:rsidR="00481B03" w:rsidRPr="000D5690">
        <w:rPr>
          <w:i/>
          <w:color w:val="000000"/>
          <w:lang w:val="es-ES_tradnl"/>
        </w:rPr>
        <w:t xml:space="preserve"> des </w:t>
      </w:r>
      <w:proofErr w:type="spellStart"/>
      <w:r w:rsidR="00481B03" w:rsidRPr="000D5690">
        <w:rPr>
          <w:i/>
          <w:color w:val="000000"/>
          <w:lang w:val="es-ES_tradnl"/>
        </w:rPr>
        <w:t>variétés</w:t>
      </w:r>
      <w:proofErr w:type="spellEnd"/>
      <w:r w:rsidR="00481B03" w:rsidRPr="000D5690">
        <w:rPr>
          <w:i/>
          <w:color w:val="000000"/>
          <w:lang w:val="es-ES_tradnl"/>
        </w:rPr>
        <w:t xml:space="preserve"> et des </w:t>
      </w:r>
      <w:proofErr w:type="spellStart"/>
      <w:r w:rsidR="006C55C5" w:rsidRPr="000D5690">
        <w:rPr>
          <w:i/>
          <w:color w:val="000000"/>
          <w:lang w:val="es-ES_tradnl"/>
        </w:rPr>
        <w:t>s</w:t>
      </w:r>
      <w:r w:rsidR="00481B03" w:rsidRPr="000D5690">
        <w:rPr>
          <w:i/>
          <w:color w:val="000000"/>
          <w:lang w:val="es-ES_tradnl"/>
        </w:rPr>
        <w:t>emences</w:t>
      </w:r>
      <w:proofErr w:type="spellEnd"/>
      <w:r w:rsidR="00481B03" w:rsidRPr="000D5690">
        <w:rPr>
          <w:color w:val="000000"/>
          <w:lang w:val="es-ES_tradnl"/>
        </w:rPr>
        <w:t xml:space="preserve"> (</w:t>
      </w:r>
      <w:r w:rsidR="006C55C5" w:rsidRPr="000D5690">
        <w:rPr>
          <w:color w:val="000000"/>
          <w:lang w:val="es-ES_tradnl"/>
        </w:rPr>
        <w:t>Grupo de estudio y control de v</w:t>
      </w:r>
      <w:r w:rsidR="00481B03" w:rsidRPr="000D5690">
        <w:rPr>
          <w:color w:val="000000"/>
          <w:lang w:val="es-ES_tradnl"/>
        </w:rPr>
        <w:t>ariedad</w:t>
      </w:r>
      <w:r w:rsidR="006C55C5" w:rsidRPr="000D5690">
        <w:rPr>
          <w:color w:val="000000"/>
          <w:lang w:val="es-ES_tradnl"/>
        </w:rPr>
        <w:t>es</w:t>
      </w:r>
      <w:r w:rsidR="00481B03" w:rsidRPr="000D5690">
        <w:rPr>
          <w:color w:val="000000"/>
          <w:lang w:val="es-ES_tradnl"/>
        </w:rPr>
        <w:t xml:space="preserve"> y </w:t>
      </w:r>
      <w:r w:rsidR="006C55C5" w:rsidRPr="000D5690">
        <w:rPr>
          <w:color w:val="000000"/>
          <w:lang w:val="es-ES_tradnl"/>
        </w:rPr>
        <w:t>semillas</w:t>
      </w:r>
      <w:r w:rsidR="00481B03" w:rsidRPr="000D5690">
        <w:rPr>
          <w:color w:val="000000"/>
          <w:lang w:val="es-ES_tradnl"/>
        </w:rPr>
        <w:t>, GEVES), donde fue recibido por el Sr.</w:t>
      </w:r>
      <w:r w:rsidR="006C55C5" w:rsidRPr="000D5690">
        <w:rPr>
          <w:color w:val="000000"/>
          <w:lang w:val="es-ES_tradnl"/>
        </w:rPr>
        <w:t> </w:t>
      </w:r>
      <w:r w:rsidR="00481B03" w:rsidRPr="000D5690">
        <w:rPr>
          <w:color w:val="000000"/>
          <w:lang w:val="es-ES_tradnl"/>
        </w:rPr>
        <w:t xml:space="preserve">Pascal </w:t>
      </w:r>
      <w:proofErr w:type="spellStart"/>
      <w:r w:rsidR="006C55C5" w:rsidRPr="000D5690">
        <w:rPr>
          <w:color w:val="000000"/>
          <w:lang w:val="es-ES_tradnl"/>
        </w:rPr>
        <w:t>C</w:t>
      </w:r>
      <w:r w:rsidR="00481B03" w:rsidRPr="000D5690">
        <w:rPr>
          <w:color w:val="000000"/>
          <w:lang w:val="es-ES_tradnl"/>
        </w:rPr>
        <w:t>oquin</w:t>
      </w:r>
      <w:proofErr w:type="spellEnd"/>
      <w:r w:rsidR="00481B03" w:rsidRPr="000D5690">
        <w:rPr>
          <w:color w:val="000000"/>
          <w:lang w:val="es-ES_tradnl"/>
        </w:rPr>
        <w:t xml:space="preserve">, </w:t>
      </w:r>
      <w:r w:rsidR="006C55C5" w:rsidRPr="000D5690">
        <w:rPr>
          <w:color w:val="000000"/>
          <w:lang w:val="es-ES_tradnl"/>
        </w:rPr>
        <w:t>D</w:t>
      </w:r>
      <w:r w:rsidR="00481B03" w:rsidRPr="000D5690">
        <w:rPr>
          <w:color w:val="000000"/>
          <w:lang w:val="es-ES_tradnl"/>
        </w:rPr>
        <w:t>irector de la estación.</w:t>
      </w:r>
      <w:r w:rsidR="005253AC" w:rsidRPr="00D6704A">
        <w:rPr>
          <w:color w:val="000000"/>
          <w:lang w:val="es-ES"/>
        </w:rPr>
        <w:t xml:space="preserve"> </w:t>
      </w:r>
      <w:r w:rsidR="006C55C5" w:rsidRPr="000D5690">
        <w:rPr>
          <w:color w:val="000000"/>
          <w:lang w:val="es-ES_tradnl"/>
        </w:rPr>
        <w:t xml:space="preserve">El TWV visitó ensayos DHE de lechuga, chalotas, guisante y </w:t>
      </w:r>
      <w:proofErr w:type="spellStart"/>
      <w:r w:rsidR="006C55C5" w:rsidRPr="000D5690">
        <w:rPr>
          <w:color w:val="000000"/>
          <w:lang w:val="es-ES_tradnl"/>
        </w:rPr>
        <w:t>quinoa</w:t>
      </w:r>
      <w:proofErr w:type="spellEnd"/>
      <w:r w:rsidR="006C55C5" w:rsidRPr="000D5690">
        <w:rPr>
          <w:color w:val="000000"/>
          <w:lang w:val="es-ES_tradnl"/>
        </w:rPr>
        <w:t xml:space="preserve"> y los ensayos especiales de los caracteres de resistencia a las enfermedades en lechuga.</w:t>
      </w:r>
      <w:r w:rsidR="005253AC" w:rsidRPr="00D6704A">
        <w:rPr>
          <w:color w:val="000000"/>
          <w:lang w:val="es-ES"/>
        </w:rPr>
        <w:t xml:space="preserve"> </w:t>
      </w:r>
      <w:r w:rsidR="006C55C5" w:rsidRPr="000D5690">
        <w:rPr>
          <w:color w:val="000000"/>
          <w:lang w:val="es-ES_tradnl"/>
        </w:rPr>
        <w:t xml:space="preserve">El TWV visitó también un ensayo </w:t>
      </w:r>
      <w:r w:rsidR="007C4A99" w:rsidRPr="000D5690">
        <w:rPr>
          <w:color w:val="000000"/>
          <w:lang w:val="es-ES_tradnl"/>
        </w:rPr>
        <w:t xml:space="preserve">comparativo </w:t>
      </w:r>
      <w:r w:rsidR="006C55C5" w:rsidRPr="000D5690">
        <w:rPr>
          <w:color w:val="000000"/>
          <w:lang w:val="es-ES_tradnl"/>
        </w:rPr>
        <w:t>(</w:t>
      </w:r>
      <w:r w:rsidR="006C55C5" w:rsidRPr="000D5690">
        <w:rPr>
          <w:i/>
          <w:color w:val="000000"/>
          <w:lang w:val="es-ES_tradnl"/>
        </w:rPr>
        <w:t>ring trial</w:t>
      </w:r>
      <w:r w:rsidR="006C55C5" w:rsidRPr="000D5690">
        <w:rPr>
          <w:color w:val="000000"/>
          <w:lang w:val="es-ES_tradnl"/>
        </w:rPr>
        <w:t>) organizado juntamente con la revisión de las directrices de examen de la lechuga.</w:t>
      </w:r>
    </w:p>
    <w:p w:rsidR="005253AC" w:rsidRPr="00D6704A" w:rsidRDefault="005253AC" w:rsidP="005253AC">
      <w:pPr>
        <w:rPr>
          <w:color w:val="000000"/>
          <w:lang w:val="es-ES"/>
        </w:rPr>
      </w:pPr>
    </w:p>
    <w:p w:rsidR="005253AC" w:rsidRPr="00D6704A" w:rsidRDefault="00791298" w:rsidP="005253AC">
      <w:pPr>
        <w:rPr>
          <w:color w:val="000000"/>
          <w:lang w:val="es-ES"/>
        </w:rPr>
      </w:pPr>
      <w:r w:rsidRPr="000D5690">
        <w:rPr>
          <w:color w:val="000000"/>
        </w:rPr>
        <w:fldChar w:fldCharType="begin"/>
      </w:r>
      <w:r w:rsidR="005253AC" w:rsidRPr="00D6704A">
        <w:rPr>
          <w:color w:val="000000"/>
          <w:lang w:val="es-ES"/>
        </w:rPr>
        <w:instrText xml:space="preserve"> AUTONUM  </w:instrText>
      </w:r>
      <w:r w:rsidRPr="000D5690">
        <w:rPr>
          <w:color w:val="000000"/>
        </w:rPr>
        <w:fldChar w:fldCharType="end"/>
      </w:r>
      <w:r w:rsidR="005253AC" w:rsidRPr="00D6704A">
        <w:rPr>
          <w:color w:val="000000"/>
          <w:lang w:val="es-ES"/>
        </w:rPr>
        <w:tab/>
      </w:r>
      <w:r w:rsidR="006C55C5" w:rsidRPr="000D5690">
        <w:rPr>
          <w:color w:val="000000"/>
          <w:lang w:val="es-ES_tradnl"/>
        </w:rPr>
        <w:t>El TWV visitó HM</w:t>
      </w:r>
      <w:r w:rsidR="007C4A99" w:rsidRPr="000D5690">
        <w:rPr>
          <w:color w:val="000000"/>
          <w:lang w:val="es-ES_tradnl"/>
        </w:rPr>
        <w:t> </w:t>
      </w:r>
      <w:proofErr w:type="spellStart"/>
      <w:r w:rsidR="006C55C5" w:rsidRPr="000D5690">
        <w:rPr>
          <w:color w:val="000000"/>
          <w:lang w:val="es-ES_tradnl"/>
        </w:rPr>
        <w:t>Cl</w:t>
      </w:r>
      <w:r w:rsidR="0085232B" w:rsidRPr="000D5690">
        <w:rPr>
          <w:color w:val="000000"/>
          <w:lang w:val="es-ES_tradnl"/>
        </w:rPr>
        <w:t>ause</w:t>
      </w:r>
      <w:proofErr w:type="spellEnd"/>
      <w:r w:rsidR="00045C19" w:rsidRPr="000D5690">
        <w:rPr>
          <w:color w:val="000000"/>
          <w:lang w:val="es-ES_tradnl"/>
        </w:rPr>
        <w:t>, unidad operativa</w:t>
      </w:r>
      <w:r w:rsidR="0085232B" w:rsidRPr="000D5690">
        <w:rPr>
          <w:color w:val="000000"/>
          <w:lang w:val="es-ES_tradnl"/>
        </w:rPr>
        <w:t xml:space="preserve"> </w:t>
      </w:r>
      <w:r w:rsidR="006C55C5" w:rsidRPr="000D5690">
        <w:rPr>
          <w:color w:val="000000"/>
          <w:lang w:val="es-ES_tradnl"/>
        </w:rPr>
        <w:t xml:space="preserve">de la </w:t>
      </w:r>
      <w:r w:rsidR="0085232B" w:rsidRPr="000D5690">
        <w:rPr>
          <w:color w:val="000000"/>
          <w:lang w:val="es-ES_tradnl"/>
        </w:rPr>
        <w:t>empres</w:t>
      </w:r>
      <w:r w:rsidR="006C55C5" w:rsidRPr="000D5690">
        <w:rPr>
          <w:color w:val="000000"/>
          <w:lang w:val="es-ES_tradnl"/>
        </w:rPr>
        <w:t xml:space="preserve">a de semillas </w:t>
      </w:r>
      <w:proofErr w:type="spellStart"/>
      <w:r w:rsidR="006C55C5" w:rsidRPr="000D5690">
        <w:rPr>
          <w:color w:val="000000"/>
          <w:lang w:val="es-ES_tradnl"/>
        </w:rPr>
        <w:t>Limagrain</w:t>
      </w:r>
      <w:proofErr w:type="spellEnd"/>
      <w:r w:rsidR="006C55C5" w:rsidRPr="000D5690">
        <w:rPr>
          <w:color w:val="000000"/>
          <w:lang w:val="es-ES_tradnl"/>
        </w:rPr>
        <w:t xml:space="preserve"> en La </w:t>
      </w:r>
      <w:proofErr w:type="spellStart"/>
      <w:r w:rsidR="006C55C5" w:rsidRPr="000D5690">
        <w:rPr>
          <w:color w:val="000000"/>
          <w:lang w:val="es-ES_tradnl"/>
        </w:rPr>
        <w:t>Bohalle</w:t>
      </w:r>
      <w:proofErr w:type="spellEnd"/>
      <w:r w:rsidR="0085232B" w:rsidRPr="000D5690">
        <w:rPr>
          <w:color w:val="000000"/>
          <w:lang w:val="es-ES_tradnl"/>
        </w:rPr>
        <w:t xml:space="preserve"> (</w:t>
      </w:r>
      <w:r w:rsidR="006C55C5" w:rsidRPr="000D5690">
        <w:rPr>
          <w:color w:val="000000"/>
          <w:lang w:val="es-ES_tradnl"/>
        </w:rPr>
        <w:t>Francia</w:t>
      </w:r>
      <w:r w:rsidR="0085232B" w:rsidRPr="000D5690">
        <w:rPr>
          <w:color w:val="000000"/>
          <w:lang w:val="es-ES_tradnl"/>
        </w:rPr>
        <w:t>)</w:t>
      </w:r>
      <w:r w:rsidR="006C55C5" w:rsidRPr="000D5690">
        <w:rPr>
          <w:color w:val="000000"/>
          <w:lang w:val="es-ES_tradnl"/>
        </w:rPr>
        <w:t>.</w:t>
      </w:r>
      <w:r w:rsidR="005253AC" w:rsidRPr="00D6704A">
        <w:rPr>
          <w:color w:val="000000"/>
          <w:lang w:val="es-ES"/>
        </w:rPr>
        <w:t xml:space="preserve"> </w:t>
      </w:r>
      <w:r w:rsidR="0085232B" w:rsidRPr="000D5690">
        <w:rPr>
          <w:color w:val="000000"/>
          <w:lang w:val="es-ES_tradnl"/>
        </w:rPr>
        <w:t>La empresa se especializa en el fitomejoramiento y la producción de semillas de nueve especies de hortalizas, como el tomate, el pimiento y el melón.</w:t>
      </w:r>
      <w:r w:rsidR="005253AC" w:rsidRPr="00D6704A">
        <w:rPr>
          <w:color w:val="000000"/>
          <w:lang w:val="es-ES"/>
        </w:rPr>
        <w:t xml:space="preserve"> </w:t>
      </w:r>
      <w:r w:rsidR="00045C19" w:rsidRPr="000D5690">
        <w:rPr>
          <w:color w:val="000000"/>
          <w:lang w:val="es-ES_tradnl"/>
        </w:rPr>
        <w:t>El TWO visit</w:t>
      </w:r>
      <w:r w:rsidR="0085232B" w:rsidRPr="000D5690">
        <w:rPr>
          <w:color w:val="000000"/>
          <w:lang w:val="es-ES_tradnl"/>
        </w:rPr>
        <w:t xml:space="preserve">ó las instalaciones de fitomejoramiento y los laboratorios </w:t>
      </w:r>
      <w:r w:rsidR="00045C19" w:rsidRPr="000D5690">
        <w:rPr>
          <w:color w:val="000000"/>
          <w:lang w:val="es-ES_tradnl"/>
        </w:rPr>
        <w:t xml:space="preserve">de </w:t>
      </w:r>
      <w:r w:rsidR="0085232B" w:rsidRPr="000D5690">
        <w:rPr>
          <w:color w:val="000000"/>
          <w:lang w:val="es-ES_tradnl"/>
        </w:rPr>
        <w:t>marcadores moleculares, biología celular y patología.</w:t>
      </w:r>
    </w:p>
    <w:p w:rsidR="005253AC" w:rsidRPr="00D6704A" w:rsidRDefault="005253AC" w:rsidP="005253AC">
      <w:pPr>
        <w:rPr>
          <w:lang w:val="es-ES"/>
        </w:rPr>
      </w:pPr>
    </w:p>
    <w:p w:rsidR="005253AC" w:rsidRPr="00D6704A" w:rsidRDefault="0085232B" w:rsidP="005253AC">
      <w:pPr>
        <w:pStyle w:val="Heading3"/>
        <w:rPr>
          <w:lang w:val="es-ES"/>
        </w:rPr>
      </w:pPr>
      <w:r w:rsidRPr="000D5690">
        <w:rPr>
          <w:lang w:val="es-ES_tradnl"/>
        </w:rPr>
        <w:t>Grupo de Trabajo sobre Técnicas Bioquímicas y Moleculares y Perfiles de ADN en particular</w:t>
      </w:r>
    </w:p>
    <w:p w:rsidR="005253AC" w:rsidRPr="00D6704A" w:rsidRDefault="005253AC" w:rsidP="005253AC">
      <w:pPr>
        <w:keepNext/>
        <w:rPr>
          <w:lang w:val="es-ES"/>
        </w:rPr>
      </w:pPr>
    </w:p>
    <w:p w:rsidR="005253AC" w:rsidRPr="00D6704A" w:rsidRDefault="00791298" w:rsidP="005253AC">
      <w:pPr>
        <w:keepNext/>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85232B" w:rsidRPr="000D5690">
        <w:rPr>
          <w:lang w:val="es-ES_tradnl"/>
        </w:rPr>
        <w:t xml:space="preserve">El Grupo de Trabajo sobre Técnicas Bioquímicas y Moleculares, y Perfiles de ADN en particular (BMT) no se reunió en </w:t>
      </w:r>
      <w:r w:rsidR="0085232B" w:rsidRPr="000D5690">
        <w:rPr>
          <w:color w:val="000000"/>
          <w:lang w:val="es-ES_tradnl"/>
        </w:rPr>
        <w:t>2015.</w:t>
      </w:r>
    </w:p>
    <w:p w:rsidR="005253AC" w:rsidRPr="00D6704A" w:rsidRDefault="005253AC" w:rsidP="005253AC">
      <w:pPr>
        <w:keepNext/>
        <w:rPr>
          <w:lang w:val="es-ES"/>
        </w:rPr>
      </w:pPr>
    </w:p>
    <w:p w:rsidR="005253AC" w:rsidRPr="00D6704A" w:rsidRDefault="00791298" w:rsidP="005253AC">
      <w:pPr>
        <w:keepNext/>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85232B" w:rsidRPr="000D5690">
        <w:rPr>
          <w:lang w:val="es-ES_tradnl"/>
        </w:rPr>
        <w:t xml:space="preserve">El TC recibió una presentación en </w:t>
      </w:r>
      <w:r w:rsidR="00045C19" w:rsidRPr="000D5690">
        <w:rPr>
          <w:lang w:val="es-ES_tradnl"/>
        </w:rPr>
        <w:t>video</w:t>
      </w:r>
      <w:r w:rsidR="0085232B" w:rsidRPr="000D5690">
        <w:rPr>
          <w:lang w:val="es-ES_tradnl"/>
        </w:rPr>
        <w:t xml:space="preserve"> de la Federación de Rusia sobre el lugar de celebración de la decimoquinta sesión del BMT, que se celebrará en Moscú del 24 al 27 de mayo de 2016, con un taller preparatorio el 23 de mayo de 2016.</w:t>
      </w:r>
      <w:r w:rsidR="005253AC" w:rsidRPr="00D6704A">
        <w:rPr>
          <w:lang w:val="es-ES"/>
        </w:rPr>
        <w:t xml:space="preserve">  </w:t>
      </w:r>
      <w:r w:rsidR="0085232B" w:rsidRPr="000D5690">
        <w:rPr>
          <w:lang w:val="es-ES_tradnl"/>
        </w:rPr>
        <w:t xml:space="preserve">El TC señaló que se publicaría una copia del </w:t>
      </w:r>
      <w:r w:rsidR="00045C19" w:rsidRPr="000D5690">
        <w:rPr>
          <w:lang w:val="es-ES_tradnl"/>
        </w:rPr>
        <w:t>video</w:t>
      </w:r>
      <w:r w:rsidR="0085232B" w:rsidRPr="000D5690">
        <w:rPr>
          <w:lang w:val="es-ES_tradnl"/>
        </w:rPr>
        <w:t xml:space="preserve"> en la página</w:t>
      </w:r>
      <w:r w:rsidR="00045C19" w:rsidRPr="000D5690">
        <w:rPr>
          <w:lang w:val="es-ES_tradnl"/>
        </w:rPr>
        <w:t xml:space="preserve"> del BMT del sitio</w:t>
      </w:r>
      <w:r w:rsidR="0085232B" w:rsidRPr="000D5690">
        <w:rPr>
          <w:lang w:val="es-ES_tradnl"/>
        </w:rPr>
        <w:t xml:space="preserve"> web</w:t>
      </w:r>
      <w:r w:rsidR="00045C19" w:rsidRPr="000D5690">
        <w:rPr>
          <w:lang w:val="es-ES_tradnl"/>
        </w:rPr>
        <w:t xml:space="preserve"> </w:t>
      </w:r>
      <w:r w:rsidR="0085232B" w:rsidRPr="000D5690">
        <w:rPr>
          <w:lang w:val="es-ES_tradnl"/>
        </w:rPr>
        <w:t>de la UPOV.</w:t>
      </w:r>
      <w:r w:rsidR="005253AC" w:rsidRPr="00D6704A">
        <w:rPr>
          <w:lang w:val="es-ES"/>
        </w:rPr>
        <w:t xml:space="preserve"> </w:t>
      </w:r>
    </w:p>
    <w:p w:rsidR="005253AC" w:rsidRPr="00D6704A" w:rsidRDefault="005253AC" w:rsidP="005253AC">
      <w:pPr>
        <w:rPr>
          <w:lang w:val="es-ES"/>
        </w:rPr>
      </w:pPr>
    </w:p>
    <w:p w:rsidR="005253AC" w:rsidRPr="00D6704A" w:rsidRDefault="005253AC" w:rsidP="005253AC">
      <w:pPr>
        <w:rPr>
          <w:lang w:val="es-ES"/>
        </w:rPr>
      </w:pPr>
    </w:p>
    <w:p w:rsidR="005253AC" w:rsidRPr="00D6704A" w:rsidRDefault="0085232B" w:rsidP="005253AC">
      <w:pPr>
        <w:keepNext/>
        <w:rPr>
          <w:u w:val="single"/>
          <w:lang w:val="es-ES"/>
        </w:rPr>
      </w:pPr>
      <w:r w:rsidRPr="000D5690">
        <w:rPr>
          <w:u w:val="single"/>
          <w:lang w:val="es-ES_tradnl"/>
        </w:rPr>
        <w:t>Cuestiones p</w:t>
      </w:r>
      <w:r w:rsidR="00B87B25" w:rsidRPr="000D5690">
        <w:rPr>
          <w:u w:val="single"/>
          <w:lang w:val="es-ES_tradnl"/>
        </w:rPr>
        <w:t>la</w:t>
      </w:r>
      <w:r w:rsidRPr="000D5690">
        <w:rPr>
          <w:u w:val="single"/>
          <w:lang w:val="es-ES_tradnl"/>
        </w:rPr>
        <w:t>nt</w:t>
      </w:r>
      <w:r w:rsidR="00B87B25" w:rsidRPr="000D5690">
        <w:rPr>
          <w:u w:val="single"/>
          <w:lang w:val="es-ES_tradnl"/>
        </w:rPr>
        <w:t>e</w:t>
      </w:r>
      <w:r w:rsidRPr="000D5690">
        <w:rPr>
          <w:u w:val="single"/>
          <w:lang w:val="es-ES_tradnl"/>
        </w:rPr>
        <w:t xml:space="preserve">adas por los </w:t>
      </w:r>
      <w:r w:rsidR="00B87B25" w:rsidRPr="000D5690">
        <w:rPr>
          <w:u w:val="single"/>
          <w:lang w:val="es-ES_tradnl"/>
        </w:rPr>
        <w:t>G</w:t>
      </w:r>
      <w:r w:rsidRPr="000D5690">
        <w:rPr>
          <w:u w:val="single"/>
          <w:lang w:val="es-ES_tradnl"/>
        </w:rPr>
        <w:t xml:space="preserve">rupos de </w:t>
      </w:r>
      <w:r w:rsidR="00B87B25" w:rsidRPr="000D5690">
        <w:rPr>
          <w:u w:val="single"/>
          <w:lang w:val="es-ES_tradnl"/>
        </w:rPr>
        <w:t>Trabajo Técnico</w:t>
      </w:r>
    </w:p>
    <w:p w:rsidR="005253AC" w:rsidRPr="00D6704A" w:rsidRDefault="005253AC" w:rsidP="005253AC">
      <w:pPr>
        <w:keepNext/>
        <w:rPr>
          <w:lang w:val="es-ES"/>
        </w:rPr>
      </w:pPr>
    </w:p>
    <w:p w:rsidR="005253AC" w:rsidRPr="00D6704A" w:rsidRDefault="00791298" w:rsidP="005253AC">
      <w:pPr>
        <w:keepNext/>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BE581A" w:rsidRPr="000D5690">
        <w:rPr>
          <w:lang w:val="es-ES_tradnl"/>
        </w:rPr>
        <w:t>El TC examinó el documento TC/52/3.</w:t>
      </w:r>
    </w:p>
    <w:p w:rsidR="005253AC" w:rsidRPr="00D6704A" w:rsidRDefault="005253AC" w:rsidP="005253AC">
      <w:pPr>
        <w:rPr>
          <w:lang w:val="es-ES"/>
        </w:rPr>
      </w:pPr>
    </w:p>
    <w:p w:rsidR="005253AC" w:rsidRPr="00D6704A" w:rsidRDefault="00791298" w:rsidP="005253AC">
      <w:pPr>
        <w:rPr>
          <w:b/>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BE581A" w:rsidRPr="000D5690">
        <w:rPr>
          <w:lang w:val="es-ES_tradnl"/>
        </w:rPr>
        <w:t>El TC acordó solicitar a expertos de los miembros de la UPOV que proporcionen datos al Reino Unido a fin de elaborar una metodología para excluir las variedades notoriamente conocidas del segundo ciclo de cultivo cuando se emplea el COYD, como se indica en el párrafo 6 del documento TC/52/3.</w:t>
      </w:r>
      <w:r w:rsidR="005253AC" w:rsidRPr="00D6704A">
        <w:rPr>
          <w:lang w:val="es-ES"/>
        </w:rPr>
        <w:t xml:space="preserve">  </w:t>
      </w:r>
      <w:r w:rsidR="00BE581A" w:rsidRPr="000D5690">
        <w:rPr>
          <w:lang w:val="es-ES_tradnl"/>
        </w:rPr>
        <w:t>El TC señaló que la Oficina de la Unión emitiría una circular en la que invitaría a proporcionar datos.</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BE581A" w:rsidRPr="000D5690">
        <w:rPr>
          <w:lang w:val="es-ES_tradnl"/>
        </w:rPr>
        <w:t xml:space="preserve">El TC convino en incluir en el orden del día de la quincuagésima tercera sesión del TC la determinación de umbrales para excluir las variedades notoriamente conocidas del segundo ciclo de cultivo cuando se emplea el COYD, sobre la base de un documento que elaborará el Reino </w:t>
      </w:r>
      <w:proofErr w:type="gramStart"/>
      <w:r w:rsidR="00BE581A" w:rsidRPr="000D5690">
        <w:rPr>
          <w:lang w:val="es-ES_tradnl"/>
        </w:rPr>
        <w:t>Unido .</w:t>
      </w:r>
      <w:proofErr w:type="gramEnd"/>
    </w:p>
    <w:p w:rsidR="005253AC" w:rsidRPr="00D6704A" w:rsidRDefault="005253AC" w:rsidP="005253AC">
      <w:pPr>
        <w:rPr>
          <w:lang w:val="es-ES"/>
        </w:rPr>
      </w:pPr>
    </w:p>
    <w:p w:rsidR="005253AC" w:rsidRPr="00D6704A" w:rsidRDefault="00791298" w:rsidP="005253AC">
      <w:pPr>
        <w:keepNext/>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BE581A" w:rsidRPr="000D5690">
        <w:rPr>
          <w:lang w:val="es-ES_tradnl"/>
        </w:rPr>
        <w:t xml:space="preserve">El TC tomó nota de las novedades acaecidas en los TWP </w:t>
      </w:r>
      <w:r w:rsidR="007A0404" w:rsidRPr="000D5690">
        <w:rPr>
          <w:lang w:val="es-ES_tradnl"/>
        </w:rPr>
        <w:t xml:space="preserve">en relación con </w:t>
      </w:r>
      <w:r w:rsidR="00BE581A" w:rsidRPr="000D5690">
        <w:rPr>
          <w:lang w:val="es-ES_tradnl"/>
        </w:rPr>
        <w:t xml:space="preserve">las siguientes cuestiones </w:t>
      </w:r>
      <w:r w:rsidR="007A0404" w:rsidRPr="000D5690">
        <w:rPr>
          <w:lang w:val="es-ES_tradnl"/>
        </w:rPr>
        <w:t xml:space="preserve">expuestas </w:t>
      </w:r>
      <w:r w:rsidR="00BE581A" w:rsidRPr="000D5690">
        <w:rPr>
          <w:lang w:val="es-ES_tradnl"/>
        </w:rPr>
        <w:t>en el documento TC/52/3:</w:t>
      </w:r>
    </w:p>
    <w:p w:rsidR="005253AC" w:rsidRPr="00D6704A" w:rsidRDefault="005253AC" w:rsidP="005253AC">
      <w:pPr>
        <w:keepNext/>
        <w:rPr>
          <w:lang w:val="es-ES"/>
        </w:rPr>
      </w:pPr>
    </w:p>
    <w:p w:rsidR="005253AC" w:rsidRPr="00D6704A" w:rsidRDefault="0047214B" w:rsidP="005253AC">
      <w:pPr>
        <w:keepNext/>
        <w:ind w:left="567"/>
        <w:rPr>
          <w:lang w:val="es-ES"/>
        </w:rPr>
      </w:pPr>
      <w:r w:rsidRPr="00D6704A">
        <w:rPr>
          <w:lang w:val="es-ES"/>
        </w:rPr>
        <w:t>a)</w:t>
      </w:r>
      <w:r w:rsidR="005253AC" w:rsidRPr="00D6704A">
        <w:rPr>
          <w:lang w:val="es-ES"/>
        </w:rPr>
        <w:tab/>
      </w:r>
      <w:r w:rsidR="007A0404" w:rsidRPr="000D5690">
        <w:rPr>
          <w:lang w:val="es-ES_tradnl"/>
        </w:rPr>
        <w:t>experiencias con nuevos tipos y especies;</w:t>
      </w:r>
    </w:p>
    <w:p w:rsidR="005253AC" w:rsidRPr="00D6704A" w:rsidRDefault="0047214B" w:rsidP="005253AC">
      <w:pPr>
        <w:ind w:left="567"/>
        <w:rPr>
          <w:lang w:val="es-ES"/>
        </w:rPr>
      </w:pPr>
      <w:r w:rsidRPr="00D6704A">
        <w:rPr>
          <w:lang w:val="es-ES"/>
        </w:rPr>
        <w:t>b)</w:t>
      </w:r>
      <w:r w:rsidR="005253AC" w:rsidRPr="00D6704A">
        <w:rPr>
          <w:lang w:val="es-ES"/>
        </w:rPr>
        <w:tab/>
      </w:r>
      <w:r w:rsidR="007A0404" w:rsidRPr="000D5690">
        <w:rPr>
          <w:lang w:val="es-ES_tradnl"/>
        </w:rPr>
        <w:t>nuevas cuestiones que se plantean en relación con el examen DHE;</w:t>
      </w:r>
    </w:p>
    <w:p w:rsidR="005253AC" w:rsidRPr="00D6704A" w:rsidRDefault="0047214B" w:rsidP="005253AC">
      <w:pPr>
        <w:ind w:left="567"/>
        <w:rPr>
          <w:lang w:val="es-ES"/>
        </w:rPr>
      </w:pPr>
      <w:r w:rsidRPr="00D6704A">
        <w:rPr>
          <w:lang w:val="es-ES"/>
        </w:rPr>
        <w:t>c)</w:t>
      </w:r>
      <w:r w:rsidR="005253AC" w:rsidRPr="00D6704A">
        <w:rPr>
          <w:lang w:val="es-ES"/>
        </w:rPr>
        <w:tab/>
      </w:r>
      <w:r w:rsidR="007A0404" w:rsidRPr="000D5690">
        <w:rPr>
          <w:lang w:val="es-ES_tradnl"/>
        </w:rPr>
        <w:t>utilización de caracteres de resistencia a las enfermedades en el examen DHE;</w:t>
      </w:r>
    </w:p>
    <w:p w:rsidR="005253AC" w:rsidRPr="00D6704A" w:rsidRDefault="0047214B" w:rsidP="00CD3D58">
      <w:pPr>
        <w:ind w:left="1418" w:hanging="851"/>
        <w:rPr>
          <w:lang w:val="es-ES"/>
        </w:rPr>
      </w:pPr>
      <w:r w:rsidRPr="00D6704A">
        <w:rPr>
          <w:lang w:val="es-ES"/>
        </w:rPr>
        <w:t>d)</w:t>
      </w:r>
      <w:r w:rsidR="005253AC" w:rsidRPr="00D6704A">
        <w:rPr>
          <w:lang w:val="es-ES"/>
        </w:rPr>
        <w:tab/>
      </w:r>
      <w:r w:rsidR="007A0404" w:rsidRPr="000D5690">
        <w:rPr>
          <w:lang w:val="es-ES_tradnl"/>
        </w:rPr>
        <w:t>influencia de distintas fuentes en el material de multiplicación vegetativa que se utiliza en el examen DHE;</w:t>
      </w:r>
      <w:r w:rsidR="005253AC" w:rsidRPr="00D6704A">
        <w:rPr>
          <w:lang w:val="es-ES"/>
        </w:rPr>
        <w:t xml:space="preserve"> </w:t>
      </w:r>
    </w:p>
    <w:p w:rsidR="005253AC" w:rsidRPr="00D6704A" w:rsidRDefault="005253AC" w:rsidP="005253AC">
      <w:pPr>
        <w:ind w:left="567"/>
        <w:rPr>
          <w:lang w:val="es-ES"/>
        </w:rPr>
      </w:pPr>
      <w:r w:rsidRPr="00D6704A">
        <w:rPr>
          <w:lang w:val="es-ES"/>
        </w:rPr>
        <w:t>e)</w:t>
      </w:r>
      <w:r w:rsidRPr="00D6704A">
        <w:rPr>
          <w:lang w:val="es-ES"/>
        </w:rPr>
        <w:tab/>
      </w:r>
      <w:r w:rsidR="007A0404" w:rsidRPr="000D5690">
        <w:rPr>
          <w:lang w:val="es-ES_tradnl"/>
        </w:rPr>
        <w:t>ejemplos de diferentes prácticas de cultivo en el examen DHE;</w:t>
      </w:r>
    </w:p>
    <w:p w:rsidR="005253AC" w:rsidRPr="00D6704A" w:rsidRDefault="005253AC" w:rsidP="005253AC">
      <w:pPr>
        <w:ind w:left="567"/>
        <w:rPr>
          <w:lang w:val="es-ES"/>
        </w:rPr>
      </w:pPr>
      <w:r w:rsidRPr="00D6704A">
        <w:rPr>
          <w:lang w:val="es-ES"/>
        </w:rPr>
        <w:t>f)</w:t>
      </w:r>
      <w:r w:rsidR="00A10560" w:rsidRPr="00D6704A">
        <w:rPr>
          <w:lang w:val="es-ES"/>
        </w:rPr>
        <w:tab/>
      </w:r>
      <w:r w:rsidRPr="00D6704A">
        <w:rPr>
          <w:lang w:val="es-ES"/>
        </w:rPr>
        <w:tab/>
      </w:r>
      <w:r w:rsidR="007A0404" w:rsidRPr="000D5690">
        <w:rPr>
          <w:lang w:val="es-ES_tradnl"/>
        </w:rPr>
        <w:t>gestión de las colecciones de referencia;</w:t>
      </w:r>
    </w:p>
    <w:p w:rsidR="005253AC" w:rsidRPr="00CD3D58" w:rsidRDefault="005253AC" w:rsidP="005253AC">
      <w:pPr>
        <w:ind w:left="567"/>
        <w:rPr>
          <w:lang w:val="es-ES_tradnl"/>
        </w:rPr>
      </w:pPr>
      <w:r w:rsidRPr="00D6704A">
        <w:rPr>
          <w:lang w:val="es-ES"/>
        </w:rPr>
        <w:t>g)</w:t>
      </w:r>
      <w:r w:rsidRPr="00D6704A">
        <w:rPr>
          <w:lang w:val="es-ES"/>
        </w:rPr>
        <w:tab/>
      </w:r>
      <w:r w:rsidR="007A0404" w:rsidRPr="000D5690">
        <w:rPr>
          <w:lang w:val="es-ES_tradnl"/>
        </w:rPr>
        <w:t>variedades ejemplo armonizadas del manzano:</w:t>
      </w:r>
      <w:r w:rsidRPr="00CD3D58">
        <w:rPr>
          <w:lang w:val="es-ES_tradnl"/>
        </w:rPr>
        <w:t xml:space="preserve"> </w:t>
      </w:r>
      <w:r w:rsidR="007A0404" w:rsidRPr="000D5690">
        <w:rPr>
          <w:lang w:val="es-ES_tradnl"/>
        </w:rPr>
        <w:t>datos históricos y posibles novedades;</w:t>
      </w:r>
    </w:p>
    <w:p w:rsidR="005253AC" w:rsidRPr="00CD3D58" w:rsidRDefault="005253AC" w:rsidP="005253AC">
      <w:pPr>
        <w:ind w:left="567"/>
        <w:rPr>
          <w:lang w:val="es-ES_tradnl"/>
        </w:rPr>
      </w:pPr>
      <w:r w:rsidRPr="00CD3D58">
        <w:rPr>
          <w:lang w:val="es-ES_tradnl"/>
        </w:rPr>
        <w:t>h)</w:t>
      </w:r>
      <w:r w:rsidRPr="00CD3D58">
        <w:rPr>
          <w:lang w:val="es-ES_tradnl"/>
        </w:rPr>
        <w:tab/>
      </w:r>
      <w:r w:rsidR="007A0404" w:rsidRPr="000D5690">
        <w:rPr>
          <w:lang w:val="es-ES_tradnl"/>
        </w:rPr>
        <w:t>sistema de gestión de solicitudes y base de datos de descripciones de variedades de China;</w:t>
      </w:r>
    </w:p>
    <w:p w:rsidR="005253AC" w:rsidRPr="00CD3D58" w:rsidRDefault="005253AC" w:rsidP="00CD3D58">
      <w:pPr>
        <w:ind w:left="1418" w:hanging="851"/>
        <w:rPr>
          <w:lang w:val="es-ES_tradnl"/>
        </w:rPr>
      </w:pPr>
      <w:r w:rsidRPr="00CD3D58">
        <w:rPr>
          <w:lang w:val="es-ES_tradnl"/>
        </w:rPr>
        <w:t>i)</w:t>
      </w:r>
      <w:r w:rsidRPr="00CD3D58">
        <w:rPr>
          <w:lang w:val="es-ES_tradnl"/>
        </w:rPr>
        <w:tab/>
      </w:r>
      <w:r w:rsidR="007A0404" w:rsidRPr="000D5690">
        <w:rPr>
          <w:lang w:val="es-ES_tradnl"/>
        </w:rPr>
        <w:t>sistema de análisis de imágenes en China;</w:t>
      </w:r>
    </w:p>
    <w:p w:rsidR="005253AC" w:rsidRPr="00CD3D58" w:rsidRDefault="005253AC" w:rsidP="00CD3D58">
      <w:pPr>
        <w:ind w:left="1418" w:hanging="851"/>
        <w:rPr>
          <w:lang w:val="es-ES_tradnl"/>
        </w:rPr>
      </w:pPr>
      <w:r w:rsidRPr="00CD3D58">
        <w:rPr>
          <w:lang w:val="es-ES_tradnl"/>
        </w:rPr>
        <w:t>j)</w:t>
      </w:r>
      <w:r w:rsidRPr="00CD3D58">
        <w:rPr>
          <w:lang w:val="es-ES_tradnl"/>
        </w:rPr>
        <w:tab/>
      </w:r>
      <w:r w:rsidR="007A0404" w:rsidRPr="000D5690">
        <w:rPr>
          <w:lang w:val="es-ES_tradnl"/>
        </w:rPr>
        <w:t>sistemas portátiles de registro de datos en Alemania y en Francia;</w:t>
      </w:r>
    </w:p>
    <w:p w:rsidR="005253AC" w:rsidRPr="00CD3D58" w:rsidRDefault="005253AC" w:rsidP="005253AC">
      <w:pPr>
        <w:ind w:left="567"/>
        <w:rPr>
          <w:lang w:val="es-ES_tradnl"/>
        </w:rPr>
      </w:pPr>
      <w:r w:rsidRPr="00CD3D58">
        <w:rPr>
          <w:lang w:val="es-ES_tradnl"/>
        </w:rPr>
        <w:t>k)</w:t>
      </w:r>
      <w:r w:rsidRPr="00CD3D58">
        <w:rPr>
          <w:lang w:val="es-ES_tradnl"/>
        </w:rPr>
        <w:tab/>
      </w:r>
      <w:r w:rsidR="007A0404" w:rsidRPr="000D5690">
        <w:rPr>
          <w:lang w:val="es-ES_tradnl"/>
        </w:rPr>
        <w:t>matriz de ponderación para la soja en el programa informático GAIA;</w:t>
      </w:r>
    </w:p>
    <w:p w:rsidR="005253AC" w:rsidRPr="00D6704A" w:rsidRDefault="005253AC" w:rsidP="00CD3D58">
      <w:pPr>
        <w:ind w:left="1418" w:hanging="851"/>
        <w:rPr>
          <w:lang w:val="es-ES"/>
        </w:rPr>
      </w:pPr>
      <w:r w:rsidRPr="00CD3D58">
        <w:rPr>
          <w:lang w:val="es-ES_tradnl"/>
        </w:rPr>
        <w:t>l)</w:t>
      </w:r>
      <w:r w:rsidRPr="00CD3D58">
        <w:rPr>
          <w:lang w:val="es-ES_tradnl"/>
        </w:rPr>
        <w:tab/>
      </w:r>
      <w:r w:rsidR="007A0404" w:rsidRPr="000D5690">
        <w:rPr>
          <w:lang w:val="es-ES_tradnl"/>
        </w:rPr>
        <w:t>documentos de reunión de sesiones anteriores de los TWP;</w:t>
      </w:r>
    </w:p>
    <w:p w:rsidR="005253AC" w:rsidRPr="00D6704A" w:rsidRDefault="005253AC" w:rsidP="005253AC">
      <w:pPr>
        <w:ind w:left="567"/>
        <w:rPr>
          <w:lang w:val="es-ES"/>
        </w:rPr>
      </w:pPr>
      <w:r w:rsidRPr="00D6704A">
        <w:rPr>
          <w:lang w:val="es-ES"/>
        </w:rPr>
        <w:t>m)</w:t>
      </w:r>
      <w:r w:rsidRPr="00D6704A">
        <w:rPr>
          <w:lang w:val="es-ES"/>
        </w:rPr>
        <w:tab/>
      </w:r>
      <w:r w:rsidR="007A0404" w:rsidRPr="000D5690">
        <w:rPr>
          <w:lang w:val="es-ES_tradnl"/>
        </w:rPr>
        <w:t xml:space="preserve">calendario de la semana para las sesiones de los TWP (plan de trabajo); </w:t>
      </w:r>
      <w:r w:rsidR="007E3E09" w:rsidRPr="000D5690">
        <w:rPr>
          <w:lang w:val="es-ES_tradnl"/>
        </w:rPr>
        <w:t xml:space="preserve"> </w:t>
      </w:r>
      <w:r w:rsidR="007A0404" w:rsidRPr="000D5690">
        <w:rPr>
          <w:lang w:val="es-ES_tradnl"/>
        </w:rPr>
        <w:t>y</w:t>
      </w:r>
    </w:p>
    <w:p w:rsidR="005253AC" w:rsidRPr="00D6704A" w:rsidRDefault="005253AC" w:rsidP="005253AC">
      <w:pPr>
        <w:ind w:left="567"/>
        <w:rPr>
          <w:lang w:val="es-ES"/>
        </w:rPr>
      </w:pPr>
      <w:r w:rsidRPr="00D6704A">
        <w:rPr>
          <w:lang w:val="es-ES"/>
        </w:rPr>
        <w:t>n)</w:t>
      </w:r>
      <w:r w:rsidRPr="00D6704A">
        <w:rPr>
          <w:lang w:val="es-ES"/>
        </w:rPr>
        <w:tab/>
      </w:r>
      <w:r w:rsidR="007A0404" w:rsidRPr="000D5690">
        <w:rPr>
          <w:lang w:val="es-ES_tradnl"/>
        </w:rPr>
        <w:t>curso de enseñanza a distancia “DL-305”.</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7A0404" w:rsidRPr="000D5690">
        <w:rPr>
          <w:lang w:val="es-ES_tradnl"/>
        </w:rPr>
        <w:t xml:space="preserve">El TC </w:t>
      </w:r>
      <w:r w:rsidR="00C8303F" w:rsidRPr="000D5690">
        <w:rPr>
          <w:lang w:val="es-ES_tradnl"/>
        </w:rPr>
        <w:t xml:space="preserve">convino en </w:t>
      </w:r>
      <w:r w:rsidR="007A0404" w:rsidRPr="000D5690">
        <w:rPr>
          <w:lang w:val="es-ES_tradnl"/>
        </w:rPr>
        <w:t xml:space="preserve">que la utilización de </w:t>
      </w:r>
      <w:r w:rsidR="00C8303F" w:rsidRPr="000D5690">
        <w:rPr>
          <w:lang w:val="es-ES_tradnl"/>
        </w:rPr>
        <w:t>caracteres</w:t>
      </w:r>
      <w:r w:rsidR="007A0404" w:rsidRPr="000D5690">
        <w:rPr>
          <w:lang w:val="es-ES_tradnl"/>
        </w:rPr>
        <w:t xml:space="preserve"> de resistencia a </w:t>
      </w:r>
      <w:r w:rsidR="00C8303F" w:rsidRPr="000D5690">
        <w:rPr>
          <w:lang w:val="es-ES_tradnl"/>
        </w:rPr>
        <w:t xml:space="preserve">las </w:t>
      </w:r>
      <w:r w:rsidR="007A0404" w:rsidRPr="000D5690">
        <w:rPr>
          <w:lang w:val="es-ES_tradnl"/>
        </w:rPr>
        <w:t xml:space="preserve">enfermedades, </w:t>
      </w:r>
      <w:r w:rsidR="007E3E09" w:rsidRPr="000D5690">
        <w:rPr>
          <w:lang w:val="es-ES_tradnl"/>
        </w:rPr>
        <w:t>según se expone</w:t>
      </w:r>
      <w:r w:rsidR="007A0404" w:rsidRPr="000D5690">
        <w:rPr>
          <w:lang w:val="es-ES_tradnl"/>
        </w:rPr>
        <w:t xml:space="preserve"> en los párrafos 17 a 20 del documento TC/52/3, debe incluirse </w:t>
      </w:r>
      <w:r w:rsidR="00C8303F" w:rsidRPr="000D5690">
        <w:rPr>
          <w:lang w:val="es-ES_tradnl"/>
        </w:rPr>
        <w:t>como punto del orden del día</w:t>
      </w:r>
      <w:r w:rsidR="007A0404" w:rsidRPr="000D5690">
        <w:rPr>
          <w:lang w:val="es-ES_tradnl"/>
        </w:rPr>
        <w:t xml:space="preserve"> de su quincuagésim</w:t>
      </w:r>
      <w:r w:rsidR="00C8303F" w:rsidRPr="000D5690">
        <w:rPr>
          <w:lang w:val="es-ES_tradnl"/>
        </w:rPr>
        <w:t>a</w:t>
      </w:r>
      <w:r w:rsidR="007A0404" w:rsidRPr="000D5690">
        <w:rPr>
          <w:lang w:val="es-ES_tradnl"/>
        </w:rPr>
        <w:t xml:space="preserve"> tercer</w:t>
      </w:r>
      <w:r w:rsidR="00C8303F" w:rsidRPr="000D5690">
        <w:rPr>
          <w:lang w:val="es-ES_tradnl"/>
        </w:rPr>
        <w:t>a</w:t>
      </w:r>
      <w:r w:rsidR="007A0404" w:rsidRPr="000D5690">
        <w:rPr>
          <w:lang w:val="es-ES_tradnl"/>
        </w:rPr>
        <w:t xml:space="preserve"> </w:t>
      </w:r>
      <w:r w:rsidR="00C8303F" w:rsidRPr="000D5690">
        <w:rPr>
          <w:lang w:val="es-ES_tradnl"/>
        </w:rPr>
        <w:t>sesión</w:t>
      </w:r>
      <w:r w:rsidR="007A0404" w:rsidRPr="000D5690">
        <w:rPr>
          <w:lang w:val="es-ES_tradnl"/>
        </w:rPr>
        <w:t>.</w:t>
      </w:r>
      <w:r w:rsidR="005253AC" w:rsidRPr="00D6704A">
        <w:rPr>
          <w:lang w:val="es-ES"/>
        </w:rPr>
        <w:t xml:space="preserve">  </w:t>
      </w:r>
      <w:r w:rsidR="00C8303F" w:rsidRPr="000D5690">
        <w:rPr>
          <w:lang w:val="es-ES_tradnl"/>
        </w:rPr>
        <w:t xml:space="preserve">Acordó asimismo que en el punto del orden del día </w:t>
      </w:r>
      <w:r w:rsidR="007E3E09" w:rsidRPr="000D5690">
        <w:rPr>
          <w:lang w:val="es-ES_tradnl"/>
        </w:rPr>
        <w:t xml:space="preserve">también debía abordarse </w:t>
      </w:r>
      <w:r w:rsidR="00C8303F" w:rsidRPr="000D5690">
        <w:rPr>
          <w:lang w:val="es-ES_tradnl"/>
        </w:rPr>
        <w:t>la utilización de caracteres de resistencia a los insectos y decidió invitar a la Unión Europea y a otros miembros de la Unión a que presenten ponencias.</w:t>
      </w:r>
      <w:r w:rsidR="005253AC" w:rsidRPr="00D6704A">
        <w:rPr>
          <w:lang w:val="es-ES"/>
        </w:rPr>
        <w:t xml:space="preserve">  </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C8303F" w:rsidRPr="000D5690">
        <w:rPr>
          <w:lang w:val="es-ES_tradnl"/>
        </w:rPr>
        <w:t xml:space="preserve">El TC acordó que debía incluirse como punto del orden del día de su quincuagésima tercera sesión la gestión de las colecciones de variedades </w:t>
      </w:r>
      <w:r w:rsidR="007D140D" w:rsidRPr="000D5690">
        <w:rPr>
          <w:lang w:val="es-ES_tradnl"/>
        </w:rPr>
        <w:t>que la autoridad no gestiona directamente</w:t>
      </w:r>
      <w:r w:rsidR="00C8303F" w:rsidRPr="000D5690">
        <w:rPr>
          <w:lang w:val="es-ES_tradnl"/>
        </w:rPr>
        <w:t xml:space="preserve">, </w:t>
      </w:r>
      <w:r w:rsidR="007D140D" w:rsidRPr="000D5690">
        <w:rPr>
          <w:lang w:val="es-ES_tradnl"/>
        </w:rPr>
        <w:t>según</w:t>
      </w:r>
      <w:r w:rsidR="00C8303F" w:rsidRPr="000D5690">
        <w:rPr>
          <w:lang w:val="es-ES_tradnl"/>
        </w:rPr>
        <w:t xml:space="preserve"> </w:t>
      </w:r>
      <w:r w:rsidR="007D140D" w:rsidRPr="000D5690">
        <w:rPr>
          <w:lang w:val="es-ES_tradnl"/>
        </w:rPr>
        <w:t xml:space="preserve">se expone </w:t>
      </w:r>
      <w:r w:rsidR="00C8303F" w:rsidRPr="000D5690">
        <w:rPr>
          <w:lang w:val="es-ES_tradnl"/>
        </w:rPr>
        <w:t>en los párrafos 25 a 27 del documento</w:t>
      </w:r>
      <w:r w:rsidR="007D140D" w:rsidRPr="000D5690">
        <w:rPr>
          <w:lang w:val="es-ES_tradnl"/>
        </w:rPr>
        <w:t> </w:t>
      </w:r>
      <w:r w:rsidR="00C8303F" w:rsidRPr="000D5690">
        <w:rPr>
          <w:lang w:val="es-ES_tradnl"/>
        </w:rPr>
        <w:t>TC/52/3, y acordó invitar a Francia y otros miembros de la Unión</w:t>
      </w:r>
      <w:r w:rsidR="007E3E09" w:rsidRPr="000D5690">
        <w:rPr>
          <w:lang w:val="es-ES_tradnl"/>
        </w:rPr>
        <w:t xml:space="preserve"> a que presenten ponencias</w:t>
      </w:r>
      <w:r w:rsidR="00C8303F" w:rsidRPr="000D5690">
        <w:rPr>
          <w:lang w:val="es-ES_tradnl"/>
        </w:rPr>
        <w:t>.</w:t>
      </w:r>
    </w:p>
    <w:p w:rsidR="005253AC" w:rsidRPr="00D6704A" w:rsidRDefault="005253AC" w:rsidP="005253AC">
      <w:pPr>
        <w:rPr>
          <w:lang w:val="es-ES"/>
        </w:rPr>
      </w:pPr>
    </w:p>
    <w:p w:rsidR="005253AC" w:rsidRPr="00D6704A" w:rsidRDefault="005253AC" w:rsidP="005253AC">
      <w:pPr>
        <w:rPr>
          <w:lang w:val="es-ES"/>
        </w:rPr>
      </w:pPr>
    </w:p>
    <w:p w:rsidR="005253AC" w:rsidRPr="00D6704A" w:rsidRDefault="007D140D" w:rsidP="005253AC">
      <w:pPr>
        <w:keepNext/>
        <w:ind w:left="567" w:hanging="567"/>
        <w:rPr>
          <w:u w:val="single"/>
          <w:lang w:val="es-ES"/>
        </w:rPr>
      </w:pPr>
      <w:r w:rsidRPr="000D5690">
        <w:rPr>
          <w:u w:val="single"/>
          <w:lang w:val="es-ES_tradnl"/>
        </w:rPr>
        <w:t>Documentos TGP</w:t>
      </w:r>
    </w:p>
    <w:p w:rsidR="005253AC" w:rsidRPr="00D6704A" w:rsidRDefault="005253AC" w:rsidP="005253AC">
      <w:pPr>
        <w:keepNext/>
        <w:rPr>
          <w:lang w:val="es-ES"/>
        </w:rPr>
      </w:pPr>
    </w:p>
    <w:p w:rsidR="005253AC" w:rsidRPr="00D6704A" w:rsidRDefault="007D140D" w:rsidP="005253AC">
      <w:pPr>
        <w:pStyle w:val="Heading3"/>
        <w:rPr>
          <w:lang w:val="es-ES"/>
        </w:rPr>
      </w:pPr>
      <w:r w:rsidRPr="000D5690">
        <w:rPr>
          <w:lang w:val="es-ES_tradnl"/>
        </w:rPr>
        <w:t>Asuntos sujetos a aprobación por el consejo en 2016</w:t>
      </w:r>
    </w:p>
    <w:p w:rsidR="005253AC" w:rsidRPr="00D6704A" w:rsidRDefault="005253AC" w:rsidP="005253AC">
      <w:pPr>
        <w:keepNext/>
        <w:rPr>
          <w:lang w:val="es-ES"/>
        </w:rPr>
      </w:pPr>
    </w:p>
    <w:p w:rsidR="005253AC" w:rsidRPr="00D6704A" w:rsidRDefault="007D140D" w:rsidP="005253AC">
      <w:pPr>
        <w:pStyle w:val="Heading4"/>
        <w:rPr>
          <w:lang w:val="es-ES"/>
        </w:rPr>
      </w:pPr>
      <w:bookmarkStart w:id="5" w:name="_Toc442110568"/>
      <w:r w:rsidRPr="000D5690">
        <w:rPr>
          <w:lang w:val="es-ES_tradnl"/>
        </w:rPr>
        <w:t>TGP/7:</w:t>
      </w:r>
      <w:r w:rsidR="005253AC" w:rsidRPr="00D6704A">
        <w:rPr>
          <w:lang w:val="es-ES"/>
        </w:rPr>
        <w:t xml:space="preserve"> </w:t>
      </w:r>
      <w:bookmarkEnd w:id="5"/>
      <w:r w:rsidRPr="000D5690">
        <w:rPr>
          <w:lang w:val="es-ES_tradnl"/>
        </w:rPr>
        <w:t>Elaboración de las directrices de examen</w:t>
      </w:r>
      <w:r w:rsidR="005253AC" w:rsidRPr="00D6704A">
        <w:rPr>
          <w:lang w:val="es-ES"/>
        </w:rPr>
        <w:t xml:space="preserve"> </w:t>
      </w:r>
    </w:p>
    <w:p w:rsidR="005253AC" w:rsidRPr="00D6704A" w:rsidRDefault="005253AC" w:rsidP="005253AC">
      <w:pPr>
        <w:keepNext/>
        <w:ind w:left="1276"/>
        <w:rPr>
          <w:rFonts w:cs="Arial"/>
          <w:i/>
          <w:lang w:val="es-ES"/>
        </w:rPr>
      </w:pPr>
    </w:p>
    <w:p w:rsidR="005253AC" w:rsidRPr="00D6704A" w:rsidRDefault="005253AC" w:rsidP="0047214B">
      <w:pPr>
        <w:pStyle w:val="Heading5"/>
        <w:rPr>
          <w:lang w:val="es-ES"/>
        </w:rPr>
      </w:pPr>
      <w:bookmarkStart w:id="6" w:name="_Toc412193724"/>
      <w:bookmarkStart w:id="7" w:name="_Toc442110569"/>
      <w:r w:rsidRPr="00D6704A">
        <w:rPr>
          <w:lang w:val="es-ES"/>
        </w:rPr>
        <w:t>i)</w:t>
      </w:r>
      <w:r w:rsidRPr="00D6704A">
        <w:rPr>
          <w:lang w:val="es-ES"/>
        </w:rPr>
        <w:tab/>
      </w:r>
      <w:bookmarkEnd w:id="6"/>
      <w:bookmarkEnd w:id="7"/>
      <w:r w:rsidR="007D140D" w:rsidRPr="000D5690">
        <w:rPr>
          <w:lang w:val="es-ES_tradnl"/>
        </w:rPr>
        <w:t>Cobertura de las directrices de examen</w:t>
      </w:r>
    </w:p>
    <w:p w:rsidR="005253AC" w:rsidRPr="00D6704A" w:rsidRDefault="005253AC" w:rsidP="005253AC">
      <w:pPr>
        <w:keepNext/>
        <w:ind w:left="1276"/>
        <w:rPr>
          <w:rFonts w:cs="Arial"/>
          <w:i/>
          <w:lang w:val="es-ES"/>
        </w:rPr>
      </w:pPr>
    </w:p>
    <w:p w:rsidR="005253AC" w:rsidRPr="00D6704A" w:rsidRDefault="00791298" w:rsidP="005253AC">
      <w:pPr>
        <w:keepNext/>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B80444" w:rsidRPr="000D5690">
        <w:rPr>
          <w:lang w:val="es-ES_tradnl"/>
        </w:rPr>
        <w:t>El TC examinó el documento TC/52/5.</w:t>
      </w:r>
    </w:p>
    <w:p w:rsidR="005253AC" w:rsidRPr="00D6704A" w:rsidRDefault="005253AC" w:rsidP="005253AC">
      <w:pPr>
        <w:keepNext/>
        <w:rPr>
          <w:lang w:val="es-ES"/>
        </w:rPr>
      </w:pPr>
    </w:p>
    <w:p w:rsidR="005253AC" w:rsidRPr="00D6704A" w:rsidRDefault="00791298" w:rsidP="005253AC">
      <w:pPr>
        <w:keepNext/>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B80444" w:rsidRPr="000D5690">
        <w:rPr>
          <w:lang w:val="es-ES_tradnl"/>
        </w:rPr>
        <w:t xml:space="preserve">El TC tomó nota de la nueva sección titulada “Cobertura de las directrices de examen” que el TC ya había acordado incluir en la revisión del documento TGP/7 que se </w:t>
      </w:r>
      <w:r w:rsidR="003F2239" w:rsidRPr="000D5690">
        <w:rPr>
          <w:lang w:val="es-ES_tradnl"/>
        </w:rPr>
        <w:t>someterá a la</w:t>
      </w:r>
      <w:r w:rsidR="00B80444" w:rsidRPr="000D5690">
        <w:rPr>
          <w:lang w:val="es-ES_tradnl"/>
        </w:rPr>
        <w:t xml:space="preserve"> aprobación </w:t>
      </w:r>
      <w:r w:rsidR="003F2239" w:rsidRPr="000D5690">
        <w:rPr>
          <w:lang w:val="es-ES_tradnl"/>
        </w:rPr>
        <w:t>d</w:t>
      </w:r>
      <w:r w:rsidR="00B80444" w:rsidRPr="000D5690">
        <w:rPr>
          <w:lang w:val="es-ES_tradnl"/>
        </w:rPr>
        <w:t>el Consejo en octubre de 2016, según se expone en el párrafo 7 del documento TC/52/5.</w:t>
      </w:r>
    </w:p>
    <w:p w:rsidR="005253AC" w:rsidRPr="00D6704A" w:rsidRDefault="005253AC" w:rsidP="005253AC">
      <w:pPr>
        <w:rPr>
          <w:lang w:val="es-ES"/>
        </w:rPr>
      </w:pPr>
    </w:p>
    <w:p w:rsidR="005253AC" w:rsidRPr="00D6704A" w:rsidRDefault="005253AC" w:rsidP="0047214B">
      <w:pPr>
        <w:pStyle w:val="Heading5"/>
        <w:rPr>
          <w:lang w:val="es-ES"/>
        </w:rPr>
      </w:pPr>
      <w:r w:rsidRPr="00D6704A">
        <w:rPr>
          <w:lang w:val="es-ES"/>
        </w:rPr>
        <w:t>ii)</w:t>
      </w:r>
      <w:r w:rsidRPr="00D6704A">
        <w:rPr>
          <w:lang w:val="es-ES"/>
        </w:rPr>
        <w:tab/>
      </w:r>
      <w:r w:rsidR="00B80444" w:rsidRPr="000D5690">
        <w:rPr>
          <w:lang w:val="es-ES_tradnl"/>
        </w:rPr>
        <w:t xml:space="preserve">Uso en las directrices de examen de </w:t>
      </w:r>
      <w:r w:rsidR="003F2239" w:rsidRPr="000D5690">
        <w:rPr>
          <w:lang w:val="es-ES_tradnl"/>
        </w:rPr>
        <w:t xml:space="preserve">texto, </w:t>
      </w:r>
      <w:r w:rsidR="00B80444" w:rsidRPr="000D5690">
        <w:rPr>
          <w:lang w:val="es-ES_tradnl"/>
        </w:rPr>
        <w:t>fotografías e ilustraciones amparadas por derechos de propiedad intelectual</w:t>
      </w:r>
    </w:p>
    <w:p w:rsidR="005253AC" w:rsidRPr="00D6704A" w:rsidRDefault="005253AC" w:rsidP="005253AC">
      <w:pPr>
        <w:keepNext/>
        <w:rPr>
          <w:lang w:val="es-ES"/>
        </w:rPr>
      </w:pPr>
    </w:p>
    <w:p w:rsidR="005253AC" w:rsidRPr="00D6704A" w:rsidRDefault="00791298" w:rsidP="005253AC">
      <w:pPr>
        <w:keepNext/>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3F2239" w:rsidRPr="000D5690">
        <w:rPr>
          <w:lang w:val="es-ES_tradnl"/>
        </w:rPr>
        <w:t>El TC examinó el documento TC/52/14 y convino en proponer que en la revisión del documento TGP/7 que se someterá a la aprobación del Consejo en octubre de 2016 se incluya orientación acerca del texto, las fotografías, las ilustraciones u otros materiales que puedan estar amparados por derechos de terceros, con la redacción siguiente:</w:t>
      </w:r>
    </w:p>
    <w:p w:rsidR="005253AC" w:rsidRPr="00D6704A" w:rsidRDefault="005253AC" w:rsidP="005253AC">
      <w:pPr>
        <w:rPr>
          <w:lang w:val="es-ES"/>
        </w:rPr>
      </w:pPr>
    </w:p>
    <w:p w:rsidR="005253AC" w:rsidRPr="00D6704A" w:rsidRDefault="003F2239" w:rsidP="005253AC">
      <w:pPr>
        <w:ind w:left="567" w:right="567"/>
        <w:rPr>
          <w:sz w:val="18"/>
          <w:szCs w:val="18"/>
          <w:lang w:val="es-ES"/>
        </w:rPr>
      </w:pPr>
      <w:r w:rsidRPr="000D5690">
        <w:rPr>
          <w:sz w:val="18"/>
          <w:szCs w:val="18"/>
          <w:lang w:val="es-ES_tradnl"/>
        </w:rPr>
        <w:t>“En caso de que se utilice texto, fotografías, ilustraciones u otros materiales que estén amparados por derechos de terceros, será responsabilidad del autor del documento, en particular de las directrices de examen, obtener el permiso correspondiente.</w:t>
      </w:r>
      <w:r w:rsidR="005253AC" w:rsidRPr="00D6704A">
        <w:rPr>
          <w:sz w:val="18"/>
          <w:szCs w:val="18"/>
          <w:lang w:val="es-ES"/>
        </w:rPr>
        <w:t xml:space="preserve">  </w:t>
      </w:r>
      <w:r w:rsidRPr="000D5690">
        <w:rPr>
          <w:sz w:val="18"/>
          <w:szCs w:val="18"/>
          <w:lang w:val="es-ES_tradnl"/>
        </w:rPr>
        <w:t>En los documentos no se incluirán materiales que precisen de un permiso si este no se ha obtenido.</w:t>
      </w:r>
    </w:p>
    <w:p w:rsidR="005253AC" w:rsidRPr="00D6704A" w:rsidRDefault="005253AC" w:rsidP="005253AC">
      <w:pPr>
        <w:ind w:left="567" w:right="567"/>
        <w:rPr>
          <w:sz w:val="18"/>
          <w:szCs w:val="18"/>
          <w:lang w:val="es-ES"/>
        </w:rPr>
      </w:pPr>
    </w:p>
    <w:p w:rsidR="005253AC" w:rsidRPr="00D6704A" w:rsidRDefault="003F2239" w:rsidP="005253AC">
      <w:pPr>
        <w:ind w:left="567" w:right="567"/>
        <w:rPr>
          <w:sz w:val="18"/>
          <w:szCs w:val="18"/>
          <w:lang w:val="es-ES"/>
        </w:rPr>
      </w:pPr>
      <w:r w:rsidRPr="000D5690">
        <w:rPr>
          <w:sz w:val="18"/>
          <w:szCs w:val="18"/>
          <w:lang w:val="es-ES_tradnl"/>
        </w:rPr>
        <w:t>“Cuando en las directrices de examen se utilice texto, fotografías, ilustraciones u otros materiales que estén amparados por derechos de terceros, deberá indicarse que el tercero ha renunciado a sus derechos a los efectos del examen DHE y de la elaboración de descripciones de variedades (por ejemplo, indicando ‘Cortesía de [nombre del titular del derecho de autor]’ junto a la imagen protegida por el derecho de autor).”</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3F2239" w:rsidRPr="000D5690">
        <w:rPr>
          <w:lang w:val="es-ES_tradnl"/>
        </w:rPr>
        <w:t xml:space="preserve">El TC acordó incluir </w:t>
      </w:r>
      <w:r w:rsidR="00730BE9" w:rsidRPr="000D5690">
        <w:rPr>
          <w:lang w:val="es-ES_tradnl"/>
        </w:rPr>
        <w:t>en la plantilla en Internet de los documentos TG una mención relativa al texto, las fotografías, las ilustraciones u otros materiales que puedan estar amparados por derechos de terceros</w:t>
      </w:r>
      <w:r w:rsidR="003F2239" w:rsidRPr="000D5690">
        <w:rPr>
          <w:lang w:val="es-ES_tradnl"/>
        </w:rPr>
        <w:t>.</w:t>
      </w:r>
    </w:p>
    <w:p w:rsidR="005253AC" w:rsidRPr="00D6704A" w:rsidRDefault="005253AC" w:rsidP="005253AC">
      <w:pPr>
        <w:rPr>
          <w:lang w:val="es-ES"/>
        </w:rPr>
      </w:pPr>
    </w:p>
    <w:p w:rsidR="005253AC" w:rsidRPr="00D6704A" w:rsidRDefault="005253AC" w:rsidP="0047214B">
      <w:pPr>
        <w:pStyle w:val="Heading5"/>
        <w:rPr>
          <w:lang w:val="es-ES"/>
        </w:rPr>
      </w:pPr>
      <w:r w:rsidRPr="00D6704A">
        <w:rPr>
          <w:lang w:val="es-ES"/>
        </w:rPr>
        <w:t>iii)</w:t>
      </w:r>
      <w:r w:rsidRPr="00D6704A">
        <w:rPr>
          <w:lang w:val="es-ES"/>
        </w:rPr>
        <w:tab/>
      </w:r>
      <w:r w:rsidR="00730BE9" w:rsidRPr="000D5690">
        <w:rPr>
          <w:lang w:val="es-ES_tradnl"/>
        </w:rPr>
        <w:t>Conjuntos regionales de variedades ejemplo</w:t>
      </w:r>
    </w:p>
    <w:p w:rsidR="005253AC" w:rsidRPr="00D6704A" w:rsidRDefault="005253AC" w:rsidP="005253AC">
      <w:pPr>
        <w:keepNext/>
        <w:rPr>
          <w:lang w:val="es-ES"/>
        </w:rPr>
      </w:pPr>
    </w:p>
    <w:p w:rsidR="005253AC" w:rsidRPr="00D6704A" w:rsidRDefault="00791298" w:rsidP="005253AC">
      <w:pPr>
        <w:keepNext/>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730BE9" w:rsidRPr="000D5690">
        <w:rPr>
          <w:lang w:val="es-ES_tradnl"/>
        </w:rPr>
        <w:t>El TC examinó el documento TC/52/15 y convino en que, a los fines de elaborar conjuntos regionales de variedades ejemplo para las directrices de examen:</w:t>
      </w:r>
    </w:p>
    <w:p w:rsidR="005253AC" w:rsidRPr="00D6704A" w:rsidRDefault="005253AC" w:rsidP="005253AC">
      <w:pPr>
        <w:rPr>
          <w:lang w:val="es-ES"/>
        </w:rPr>
      </w:pPr>
    </w:p>
    <w:p w:rsidR="005253AC" w:rsidRPr="00D6704A" w:rsidRDefault="005253AC" w:rsidP="005253AC">
      <w:pPr>
        <w:rPr>
          <w:lang w:val="es-ES"/>
        </w:rPr>
      </w:pPr>
      <w:r w:rsidRPr="00D6704A">
        <w:rPr>
          <w:lang w:val="es-ES"/>
        </w:rPr>
        <w:tab/>
      </w:r>
      <w:r w:rsidR="0047214B" w:rsidRPr="00D6704A">
        <w:rPr>
          <w:lang w:val="es-ES"/>
        </w:rPr>
        <w:t>a)</w:t>
      </w:r>
      <w:r w:rsidRPr="00D6704A">
        <w:rPr>
          <w:lang w:val="es-ES"/>
        </w:rPr>
        <w:tab/>
      </w:r>
      <w:r w:rsidR="00730BE9" w:rsidRPr="000D5690">
        <w:rPr>
          <w:lang w:val="es-ES_tradnl"/>
        </w:rPr>
        <w:t>una región esté compuesta por más de un país;</w:t>
      </w:r>
    </w:p>
    <w:p w:rsidR="005253AC" w:rsidRPr="00D6704A" w:rsidRDefault="005253AC" w:rsidP="005253AC">
      <w:pPr>
        <w:rPr>
          <w:lang w:val="es-ES"/>
        </w:rPr>
      </w:pPr>
    </w:p>
    <w:p w:rsidR="005253AC" w:rsidRPr="00D6704A" w:rsidRDefault="005253AC" w:rsidP="005253AC">
      <w:pPr>
        <w:rPr>
          <w:lang w:val="es-ES"/>
        </w:rPr>
      </w:pPr>
      <w:r w:rsidRPr="00D6704A">
        <w:rPr>
          <w:lang w:val="es-ES"/>
        </w:rPr>
        <w:tab/>
      </w:r>
      <w:r w:rsidR="0047214B" w:rsidRPr="00D6704A">
        <w:rPr>
          <w:lang w:val="es-ES"/>
        </w:rPr>
        <w:t>b)</w:t>
      </w:r>
      <w:r w:rsidRPr="00D6704A">
        <w:rPr>
          <w:lang w:val="es-ES"/>
        </w:rPr>
        <w:tab/>
      </w:r>
      <w:r w:rsidR="00730BE9" w:rsidRPr="000D5690">
        <w:rPr>
          <w:lang w:val="es-ES_tradnl"/>
        </w:rPr>
        <w:t>el TWP responsable de las directrices de examen decida sobre la necesidad de establecer un conjunto regional de variedades ejemplo y determine en qué debe basarse una región para hacerlo;</w:t>
      </w:r>
    </w:p>
    <w:p w:rsidR="005253AC" w:rsidRPr="00D6704A" w:rsidRDefault="005253AC" w:rsidP="005253AC">
      <w:pPr>
        <w:rPr>
          <w:lang w:val="es-ES"/>
        </w:rPr>
      </w:pPr>
    </w:p>
    <w:p w:rsidR="005253AC" w:rsidRPr="00D6704A" w:rsidRDefault="005253AC" w:rsidP="005253AC">
      <w:pPr>
        <w:rPr>
          <w:lang w:val="es-ES"/>
        </w:rPr>
      </w:pPr>
      <w:r w:rsidRPr="00D6704A">
        <w:rPr>
          <w:lang w:val="es-ES"/>
        </w:rPr>
        <w:tab/>
      </w:r>
      <w:r w:rsidR="0047214B" w:rsidRPr="00D6704A">
        <w:rPr>
          <w:lang w:val="es-ES"/>
        </w:rPr>
        <w:t>c)</w:t>
      </w:r>
      <w:r w:rsidRPr="00D6704A">
        <w:rPr>
          <w:lang w:val="es-ES"/>
        </w:rPr>
        <w:tab/>
      </w:r>
      <w:r w:rsidR="00730BE9" w:rsidRPr="000D5690">
        <w:rPr>
          <w:lang w:val="es-ES_tradnl"/>
        </w:rPr>
        <w:t>el TWP afectado determine el procedimiento de elaboración de un conjunto de variedades ejemplo para una región y pueda, por ejemplo, coordinarlo un experto principal de la región afectada; y</w:t>
      </w:r>
    </w:p>
    <w:p w:rsidR="005253AC" w:rsidRPr="00D6704A" w:rsidRDefault="005253AC" w:rsidP="005253AC">
      <w:pPr>
        <w:rPr>
          <w:lang w:val="es-ES"/>
        </w:rPr>
      </w:pPr>
    </w:p>
    <w:p w:rsidR="005253AC" w:rsidRPr="00D6704A" w:rsidRDefault="005253AC" w:rsidP="005253AC">
      <w:pPr>
        <w:rPr>
          <w:lang w:val="es-ES"/>
        </w:rPr>
      </w:pPr>
      <w:r w:rsidRPr="00D6704A">
        <w:rPr>
          <w:lang w:val="es-ES"/>
        </w:rPr>
        <w:tab/>
      </w:r>
      <w:r w:rsidR="0047214B" w:rsidRPr="00D6704A">
        <w:rPr>
          <w:lang w:val="es-ES"/>
        </w:rPr>
        <w:t>d)</w:t>
      </w:r>
      <w:r w:rsidRPr="00D6704A">
        <w:rPr>
          <w:lang w:val="es-ES"/>
        </w:rPr>
        <w:tab/>
      </w:r>
      <w:r w:rsidR="00730BE9" w:rsidRPr="000D5690">
        <w:rPr>
          <w:lang w:val="es-ES_tradnl"/>
        </w:rPr>
        <w:t>las variedades ejemplo sean acordadas por todos los miembros de la</w:t>
      </w:r>
      <w:r w:rsidR="007E3E09" w:rsidRPr="000D5690">
        <w:rPr>
          <w:lang w:val="es-ES_tradnl"/>
        </w:rPr>
        <w:t xml:space="preserve"> </w:t>
      </w:r>
      <w:r w:rsidR="00730BE9" w:rsidRPr="000D5690">
        <w:rPr>
          <w:lang w:val="es-ES_tradnl"/>
        </w:rPr>
        <w:t>UPOV de la región afectada.</w:t>
      </w:r>
      <w:r w:rsidRPr="00D6704A">
        <w:rPr>
          <w:lang w:val="es-ES"/>
        </w:rPr>
        <w:t xml:space="preserve"> </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730BE9" w:rsidRPr="000D5690">
        <w:rPr>
          <w:lang w:val="es-ES_tradnl"/>
        </w:rPr>
        <w:t>El TC acordó proponer la inclusión de las orientaciones anteriores en la revisión del documento TGP/7 que se someterá a la aprobación del Consejo en octubre de 2016.</w:t>
      </w:r>
    </w:p>
    <w:p w:rsidR="005253AC" w:rsidRPr="00D6704A" w:rsidRDefault="005253AC" w:rsidP="005253AC">
      <w:pPr>
        <w:rPr>
          <w:lang w:val="es-ES"/>
        </w:rPr>
      </w:pPr>
    </w:p>
    <w:p w:rsidR="005253AC" w:rsidRPr="00D6704A" w:rsidRDefault="00730BE9" w:rsidP="005253AC">
      <w:pPr>
        <w:pStyle w:val="Heading4"/>
        <w:rPr>
          <w:lang w:val="es-ES"/>
        </w:rPr>
      </w:pPr>
      <w:bookmarkStart w:id="8" w:name="_Toc433014069"/>
      <w:bookmarkStart w:id="9" w:name="_Toc442110572"/>
      <w:r w:rsidRPr="000D5690">
        <w:rPr>
          <w:lang w:val="es-ES_tradnl"/>
        </w:rPr>
        <w:t>TGP/8:</w:t>
      </w:r>
      <w:r w:rsidR="005253AC" w:rsidRPr="00D6704A">
        <w:rPr>
          <w:lang w:val="es-ES"/>
        </w:rPr>
        <w:t xml:space="preserve"> </w:t>
      </w:r>
      <w:bookmarkEnd w:id="8"/>
      <w:bookmarkEnd w:id="9"/>
      <w:r w:rsidRPr="000D5690">
        <w:rPr>
          <w:lang w:val="es-ES_tradnl"/>
        </w:rPr>
        <w:t>Diseño de ensayos y técnicas utilizados en el examen de la distinción, la homogeneidad y la estabilidad</w:t>
      </w:r>
    </w:p>
    <w:p w:rsidR="005253AC" w:rsidRPr="00D6704A" w:rsidRDefault="005253AC" w:rsidP="005253AC">
      <w:pPr>
        <w:rPr>
          <w:lang w:val="es-ES"/>
        </w:rPr>
      </w:pPr>
    </w:p>
    <w:p w:rsidR="005253AC" w:rsidRPr="00D6704A" w:rsidRDefault="005253AC" w:rsidP="0047214B">
      <w:pPr>
        <w:pStyle w:val="Heading5"/>
        <w:rPr>
          <w:lang w:val="es-ES"/>
        </w:rPr>
      </w:pPr>
      <w:r w:rsidRPr="00D6704A">
        <w:rPr>
          <w:lang w:val="es-ES"/>
        </w:rPr>
        <w:t>iv)</w:t>
      </w:r>
      <w:r w:rsidRPr="00D6704A">
        <w:rPr>
          <w:lang w:val="es-ES"/>
        </w:rPr>
        <w:tab/>
      </w:r>
      <w:r w:rsidR="00730BE9" w:rsidRPr="000D5690">
        <w:rPr>
          <w:lang w:val="es-ES_tradnl"/>
        </w:rPr>
        <w:t>Nueva sección:</w:t>
      </w:r>
      <w:r w:rsidRPr="00D6704A">
        <w:rPr>
          <w:lang w:val="es-ES"/>
        </w:rPr>
        <w:t xml:space="preserve"> </w:t>
      </w:r>
      <w:r w:rsidR="00730BE9" w:rsidRPr="000D5690">
        <w:rPr>
          <w:lang w:val="es-ES_tradnl"/>
        </w:rPr>
        <w:t>Examen de caracteres mediante el análisis de imagen</w:t>
      </w:r>
    </w:p>
    <w:p w:rsidR="005253AC" w:rsidRPr="00D6704A" w:rsidRDefault="005253AC" w:rsidP="005253AC">
      <w:pPr>
        <w:rPr>
          <w:lang w:val="es-ES"/>
        </w:rPr>
      </w:pPr>
    </w:p>
    <w:p w:rsidR="005253AC" w:rsidRPr="00D6704A" w:rsidRDefault="00791298" w:rsidP="005253AC">
      <w:pPr>
        <w:keepNext/>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AD2208" w:rsidRPr="000D5690">
        <w:rPr>
          <w:lang w:val="es-ES_tradnl"/>
        </w:rPr>
        <w:t>El TC tomó nota de la nueva sección titulada “Examen de caracteres mediante el análisis de imagen” ya acordada por el TC, según figura en el Anexo I del documento TC/52/5, a efectos de su inclusión en la revisión del documento TGP/8 que se someterá a la aprobación del Consejo en octubre de 2016.</w:t>
      </w:r>
    </w:p>
    <w:p w:rsidR="005253AC" w:rsidRPr="00D6704A" w:rsidRDefault="005253AC" w:rsidP="005253AC">
      <w:pPr>
        <w:rPr>
          <w:lang w:val="es-ES"/>
        </w:rPr>
      </w:pPr>
    </w:p>
    <w:p w:rsidR="005253AC" w:rsidRPr="00D6704A" w:rsidRDefault="005253AC" w:rsidP="0047214B">
      <w:pPr>
        <w:pStyle w:val="Heading5"/>
        <w:rPr>
          <w:lang w:val="es-ES"/>
        </w:rPr>
      </w:pPr>
      <w:r w:rsidRPr="00D6704A">
        <w:rPr>
          <w:lang w:val="es-ES"/>
        </w:rPr>
        <w:t>v)</w:t>
      </w:r>
      <w:r w:rsidRPr="00D6704A">
        <w:rPr>
          <w:lang w:val="es-ES"/>
        </w:rPr>
        <w:tab/>
      </w:r>
      <w:r w:rsidR="00AD2208" w:rsidRPr="000D5690">
        <w:rPr>
          <w:lang w:val="es-ES_tradnl"/>
        </w:rPr>
        <w:t>Nueva sección:</w:t>
      </w:r>
      <w:r w:rsidRPr="00D6704A">
        <w:rPr>
          <w:lang w:val="es-ES"/>
        </w:rPr>
        <w:t xml:space="preserve"> </w:t>
      </w:r>
      <w:r w:rsidR="00AD2208" w:rsidRPr="000D5690">
        <w:rPr>
          <w:lang w:val="es-ES_tradnl"/>
        </w:rPr>
        <w:t>Minimizar la variación resultante de la ejecución de un ensayo por distintos observadores</w:t>
      </w:r>
    </w:p>
    <w:p w:rsidR="005253AC" w:rsidRPr="00D6704A" w:rsidRDefault="005253AC" w:rsidP="005253AC">
      <w:pPr>
        <w:keepNext/>
        <w:rPr>
          <w:lang w:val="es-ES"/>
        </w:rPr>
      </w:pPr>
    </w:p>
    <w:p w:rsidR="005253AC" w:rsidRPr="00D6704A" w:rsidRDefault="00791298" w:rsidP="005253AC">
      <w:pPr>
        <w:keepNext/>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AD2208" w:rsidRPr="000D5690">
        <w:rPr>
          <w:lang w:val="es-ES_tradnl"/>
        </w:rPr>
        <w:t>El TC examinó el documento TC/</w:t>
      </w:r>
      <w:r w:rsidR="00AD2208" w:rsidRPr="000D5690">
        <w:rPr>
          <w:color w:val="000000"/>
          <w:lang w:val="es-ES_tradnl"/>
        </w:rPr>
        <w:t xml:space="preserve">52/16 y </w:t>
      </w:r>
      <w:r w:rsidR="00AD2208" w:rsidRPr="000D5690">
        <w:rPr>
          <w:lang w:val="es-ES_tradnl"/>
        </w:rPr>
        <w:t>el proyecto de orientación sobre la manera de “Minimizar la variación resultante de la ejecución de un ensayo por distintos observadores”, según figura en el Anexo del documento TC/</w:t>
      </w:r>
      <w:r w:rsidR="00AD2208" w:rsidRPr="000D5690">
        <w:rPr>
          <w:color w:val="000000"/>
          <w:lang w:val="es-ES_tradnl"/>
        </w:rPr>
        <w:t>52/16</w:t>
      </w:r>
      <w:r w:rsidR="00AD2208" w:rsidRPr="000D5690">
        <w:rPr>
          <w:lang w:val="es-ES_tradnl"/>
        </w:rPr>
        <w:t>, junto con las observaciones formuladas por los TWP en sus sesiones de 2015, y por el TC-EDC en su reunión de 2016.</w:t>
      </w:r>
      <w:r w:rsidR="005253AC" w:rsidRPr="00D6704A">
        <w:rPr>
          <w:lang w:val="es-ES"/>
        </w:rPr>
        <w:t xml:space="preserve">  </w:t>
      </w:r>
    </w:p>
    <w:p w:rsidR="005253AC" w:rsidRPr="00D6704A" w:rsidRDefault="005253AC" w:rsidP="005253AC">
      <w:pPr>
        <w:keepNext/>
        <w:rPr>
          <w:lang w:val="es-ES"/>
        </w:rPr>
      </w:pPr>
    </w:p>
    <w:p w:rsidR="005253AC" w:rsidRPr="00D6704A" w:rsidRDefault="00791298" w:rsidP="005253AC">
      <w:pPr>
        <w:keepNext/>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AD2208" w:rsidRPr="000D5690">
        <w:rPr>
          <w:lang w:val="es-ES_tradnl"/>
        </w:rPr>
        <w:t>El TC acordó que el proyecto de orientación se incluir</w:t>
      </w:r>
      <w:r w:rsidR="004A6F86" w:rsidRPr="000D5690">
        <w:rPr>
          <w:lang w:val="es-ES_tradnl"/>
        </w:rPr>
        <w:t>á</w:t>
      </w:r>
      <w:r w:rsidR="00AD2208" w:rsidRPr="000D5690">
        <w:rPr>
          <w:lang w:val="es-ES_tradnl"/>
        </w:rPr>
        <w:t xml:space="preserve"> en una revisión del documento TGP/8: “Diseño de ensayos y técnicas utilizados en el examen de la distinción, la homogeneidad y la estabilidad</w:t>
      </w:r>
      <w:r w:rsidR="004A6F86" w:rsidRPr="000D5690">
        <w:rPr>
          <w:lang w:val="es-ES_tradnl"/>
        </w:rPr>
        <w:t>”</w:t>
      </w:r>
      <w:r w:rsidR="00AD2208" w:rsidRPr="000D5690">
        <w:rPr>
          <w:lang w:val="es-ES_tradnl"/>
        </w:rPr>
        <w:t>, Parte</w:t>
      </w:r>
      <w:r w:rsidR="004A6F86" w:rsidRPr="000D5690">
        <w:rPr>
          <w:lang w:val="es-ES_tradnl"/>
        </w:rPr>
        <w:t> </w:t>
      </w:r>
      <w:r w:rsidR="00AD2208" w:rsidRPr="000D5690">
        <w:rPr>
          <w:lang w:val="es-ES_tradnl"/>
        </w:rPr>
        <w:t xml:space="preserve">I: Diseño </w:t>
      </w:r>
      <w:r w:rsidR="004A6F86" w:rsidRPr="000D5690">
        <w:rPr>
          <w:lang w:val="es-ES_tradnl"/>
        </w:rPr>
        <w:t>de ensayos </w:t>
      </w:r>
      <w:r w:rsidR="00AD2208" w:rsidRPr="000D5690">
        <w:rPr>
          <w:lang w:val="es-ES_tradnl"/>
        </w:rPr>
        <w:t>DHE y análisis de datos</w:t>
      </w:r>
      <w:r w:rsidR="007E3E09" w:rsidRPr="000D5690">
        <w:rPr>
          <w:lang w:val="es-ES_tradnl"/>
        </w:rPr>
        <w:t>,</w:t>
      </w:r>
      <w:r w:rsidR="00AD2208" w:rsidRPr="000D5690">
        <w:rPr>
          <w:lang w:val="es-ES_tradnl"/>
        </w:rPr>
        <w:t xml:space="preserve"> </w:t>
      </w:r>
      <w:r w:rsidR="004A6F86" w:rsidRPr="000D5690">
        <w:rPr>
          <w:lang w:val="es-ES_tradnl"/>
        </w:rPr>
        <w:t>que se someterá a la aprobación del Consejo en</w:t>
      </w:r>
      <w:r w:rsidR="00AD2208" w:rsidRPr="000D5690">
        <w:rPr>
          <w:lang w:val="es-ES_tradnl"/>
        </w:rPr>
        <w:t xml:space="preserve"> octubre de 2016.</w:t>
      </w:r>
      <w:r w:rsidR="005253AC" w:rsidRPr="00D6704A">
        <w:rPr>
          <w:lang w:val="es-ES"/>
        </w:rPr>
        <w:t xml:space="preserve"> </w:t>
      </w:r>
    </w:p>
    <w:p w:rsidR="005253AC" w:rsidRPr="00D6704A" w:rsidRDefault="005253AC" w:rsidP="005253AC">
      <w:pPr>
        <w:rPr>
          <w:lang w:val="es-ES"/>
        </w:rPr>
      </w:pPr>
    </w:p>
    <w:p w:rsidR="005253AC" w:rsidRPr="00D6704A" w:rsidRDefault="004A6F86" w:rsidP="005253AC">
      <w:pPr>
        <w:pStyle w:val="Heading4"/>
        <w:rPr>
          <w:lang w:val="es-ES"/>
        </w:rPr>
      </w:pPr>
      <w:bookmarkStart w:id="10" w:name="_Toc374385107"/>
      <w:bookmarkStart w:id="11" w:name="_Toc374547087"/>
      <w:bookmarkStart w:id="12" w:name="_Toc374631044"/>
      <w:bookmarkStart w:id="13" w:name="_Toc374632516"/>
      <w:bookmarkStart w:id="14" w:name="_Toc374635716"/>
      <w:bookmarkStart w:id="15" w:name="_Toc404790966"/>
      <w:bookmarkStart w:id="16" w:name="_Toc404793276"/>
      <w:r w:rsidRPr="000D5690">
        <w:rPr>
          <w:lang w:val="es-ES_tradnl"/>
        </w:rPr>
        <w:t>TGP/0:</w:t>
      </w:r>
      <w:r w:rsidR="005253AC" w:rsidRPr="00D6704A">
        <w:rPr>
          <w:lang w:val="es-ES"/>
        </w:rPr>
        <w:t xml:space="preserve"> </w:t>
      </w:r>
      <w:bookmarkEnd w:id="10"/>
      <w:bookmarkEnd w:id="11"/>
      <w:bookmarkEnd w:id="12"/>
      <w:bookmarkEnd w:id="13"/>
      <w:bookmarkEnd w:id="14"/>
      <w:bookmarkEnd w:id="15"/>
      <w:bookmarkEnd w:id="16"/>
      <w:r w:rsidRPr="000D5690">
        <w:rPr>
          <w:lang w:val="es-ES_tradnl"/>
        </w:rPr>
        <w:t>Lista de documentos TGP y fechas de última publicación</w:t>
      </w:r>
    </w:p>
    <w:p w:rsidR="005253AC" w:rsidRPr="00D6704A" w:rsidRDefault="005253AC" w:rsidP="005253AC">
      <w:pPr>
        <w:keepNext/>
        <w:rPr>
          <w:lang w:val="es-ES"/>
        </w:rPr>
      </w:pPr>
    </w:p>
    <w:p w:rsidR="005253AC" w:rsidRPr="00D6704A" w:rsidRDefault="00791298" w:rsidP="005253AC">
      <w:pPr>
        <w:keepNext/>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4A6F86" w:rsidRPr="000D5690">
        <w:rPr>
          <w:lang w:val="es-ES_tradnl"/>
        </w:rPr>
        <w:t>El TC examinó el documento TC/52/5 “Documentos TGP” y señaló que se invitará al Consejo a aprobar el documento TGP/0/9 para reflejar las revisiones de los documentos TGP.</w:t>
      </w:r>
    </w:p>
    <w:p w:rsidR="005253AC" w:rsidRPr="00D6704A" w:rsidRDefault="005253AC" w:rsidP="005253AC">
      <w:pPr>
        <w:rPr>
          <w:lang w:val="es-ES"/>
        </w:rPr>
      </w:pPr>
    </w:p>
    <w:p w:rsidR="005253AC" w:rsidRPr="00D6704A" w:rsidRDefault="004A6F86" w:rsidP="005253AC">
      <w:pPr>
        <w:pStyle w:val="Heading3"/>
        <w:rPr>
          <w:lang w:val="es-ES"/>
        </w:rPr>
      </w:pPr>
      <w:r w:rsidRPr="000D5690">
        <w:rPr>
          <w:lang w:val="es-ES_tradnl"/>
        </w:rPr>
        <w:t>Posible futura revisión de documentos TGP</w:t>
      </w:r>
    </w:p>
    <w:p w:rsidR="005253AC" w:rsidRPr="00D6704A" w:rsidRDefault="005253AC" w:rsidP="005253AC">
      <w:pPr>
        <w:keepNext/>
        <w:rPr>
          <w:lang w:val="es-ES"/>
        </w:rPr>
      </w:pPr>
    </w:p>
    <w:p w:rsidR="005253AC" w:rsidRPr="00D6704A" w:rsidRDefault="004A6F86" w:rsidP="005253AC">
      <w:pPr>
        <w:pStyle w:val="Heading4"/>
        <w:rPr>
          <w:lang w:val="es-ES"/>
        </w:rPr>
      </w:pPr>
      <w:bookmarkStart w:id="17" w:name="_Toc419124873"/>
      <w:bookmarkStart w:id="18" w:name="_Toc442110577"/>
      <w:r w:rsidRPr="000D5690">
        <w:rPr>
          <w:lang w:val="es-ES_tradnl"/>
        </w:rPr>
        <w:t>TGP/7:</w:t>
      </w:r>
      <w:r w:rsidR="005253AC" w:rsidRPr="00D6704A">
        <w:rPr>
          <w:lang w:val="es-ES"/>
        </w:rPr>
        <w:t xml:space="preserve"> </w:t>
      </w:r>
      <w:bookmarkEnd w:id="17"/>
      <w:bookmarkEnd w:id="18"/>
      <w:r w:rsidRPr="000D5690">
        <w:rPr>
          <w:lang w:val="es-ES_tradnl"/>
        </w:rPr>
        <w:t>Elaboración de las directrices de examen</w:t>
      </w:r>
    </w:p>
    <w:p w:rsidR="005253AC" w:rsidRPr="00D6704A" w:rsidRDefault="005253AC" w:rsidP="005253AC">
      <w:pPr>
        <w:keepNext/>
        <w:rPr>
          <w:lang w:val="es-ES"/>
        </w:rPr>
      </w:pPr>
    </w:p>
    <w:p w:rsidR="005253AC" w:rsidRPr="00D6704A" w:rsidRDefault="005253AC" w:rsidP="0047214B">
      <w:pPr>
        <w:pStyle w:val="Heading5"/>
        <w:rPr>
          <w:lang w:val="es-ES"/>
        </w:rPr>
      </w:pPr>
      <w:bookmarkStart w:id="19" w:name="_Toc442110578"/>
      <w:r w:rsidRPr="00D6704A">
        <w:rPr>
          <w:lang w:val="es-ES"/>
        </w:rPr>
        <w:t>i)</w:t>
      </w:r>
      <w:r w:rsidRPr="00D6704A">
        <w:rPr>
          <w:lang w:val="es-ES"/>
        </w:rPr>
        <w:tab/>
      </w:r>
      <w:bookmarkEnd w:id="19"/>
      <w:r w:rsidR="007C5529" w:rsidRPr="000D5690">
        <w:rPr>
          <w:lang w:val="es-ES_tradnl"/>
        </w:rPr>
        <w:t>Orientaciones para la redacción de directrices de examen</w:t>
      </w:r>
    </w:p>
    <w:p w:rsidR="005253AC" w:rsidRPr="00D6704A" w:rsidRDefault="005253AC" w:rsidP="005253AC">
      <w:pPr>
        <w:keepNext/>
        <w:rPr>
          <w:lang w:val="es-ES"/>
        </w:rPr>
      </w:pPr>
    </w:p>
    <w:p w:rsidR="005253AC" w:rsidRPr="00D6704A" w:rsidRDefault="00791298" w:rsidP="005253AC">
      <w:pPr>
        <w:keepNext/>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7C5529" w:rsidRPr="000D5690">
        <w:rPr>
          <w:lang w:val="es-ES_tradnl"/>
        </w:rPr>
        <w:t>El TC examinó el documento TC/52/28 y asistió a una ponencia de la Oficina de la Unión de la que, según señaló, se adjuntará una copia como adición al documento TC/52/28 (solamente en inglés).</w:t>
      </w:r>
      <w:r w:rsidR="005253AC" w:rsidRPr="00D6704A">
        <w:rPr>
          <w:lang w:val="es-ES"/>
        </w:rPr>
        <w:t xml:space="preserve"> </w:t>
      </w:r>
      <w:r w:rsidR="007C5529" w:rsidRPr="000D5690">
        <w:rPr>
          <w:lang w:val="es-ES_tradnl"/>
        </w:rPr>
        <w:t>El TC también asistió a una demostración de la versión 1 de la plantilla en Internet de los documentos TG.</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7C5529" w:rsidRPr="000D5690">
        <w:rPr>
          <w:lang w:val="es-ES_tradnl"/>
        </w:rPr>
        <w:t>El TC tomó nota de que todos los expertos principales elaboraron los proyectos de directrices de examen, para su debate durante las sesiones de los TWP de 2015, utilizando la plantilla en Internet de los documentos TG.</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7C5529" w:rsidRPr="000D5690">
        <w:rPr>
          <w:lang w:val="es-ES_tradnl"/>
        </w:rPr>
        <w:t>El TC tomó nota de que se solicitó a todos los expertos interesados que formularan observaciones sobre los proyectos de directrices de examen, para su debate durante las sesiones de los TWP de 2015, utilizando la plantilla en Internet de los documentos TG.</w:t>
      </w:r>
      <w:r w:rsidR="005253AC" w:rsidRPr="00D6704A">
        <w:rPr>
          <w:lang w:val="es-ES"/>
        </w:rPr>
        <w:t xml:space="preserve"> </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7C5529" w:rsidRPr="000D5690">
        <w:rPr>
          <w:lang w:val="es-ES_tradnl"/>
        </w:rPr>
        <w:t>El TC tomó nota de las cuestiones consideradas para atender a las observaciones de los expertos principales y los expertos interesados que participaron en las pruebas del prototipo de la plantilla en Internet de los documentos TG, según se expone en los párrafos 26 y 27 del documento TC/52/28.</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7C5529" w:rsidRPr="000D5690">
        <w:rPr>
          <w:lang w:val="es-ES_tradnl"/>
        </w:rPr>
        <w:t>El TC convino en normalizar el formato de la tabla de caracteres de todas las directrices de examen conforme a la estructura siguiente:</w:t>
      </w:r>
    </w:p>
    <w:p w:rsidR="005253AC" w:rsidRPr="00D6704A" w:rsidRDefault="005253AC" w:rsidP="005253AC">
      <w:pPr>
        <w:keepNext/>
        <w:rPr>
          <w:lang w:val="es-ES"/>
        </w:rPr>
      </w:pP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5253AC" w:rsidRPr="000D5690" w:rsidTr="00E658B6">
        <w:trPr>
          <w:cantSplit/>
          <w:tblHeader/>
        </w:trPr>
        <w:tc>
          <w:tcPr>
            <w:tcW w:w="709" w:type="dxa"/>
            <w:gridSpan w:val="2"/>
            <w:tcBorders>
              <w:top w:val="single" w:sz="4" w:space="0" w:color="auto"/>
              <w:bottom w:val="single" w:sz="4" w:space="0" w:color="auto"/>
            </w:tcBorders>
          </w:tcPr>
          <w:p w:rsidR="005253AC" w:rsidRPr="00D6704A" w:rsidRDefault="005253AC" w:rsidP="00E658B6">
            <w:pPr>
              <w:pStyle w:val="tgchartext"/>
              <w:keepNext/>
              <w:rPr>
                <w:lang w:val="es-ES"/>
              </w:rPr>
            </w:pPr>
          </w:p>
        </w:tc>
        <w:tc>
          <w:tcPr>
            <w:tcW w:w="1790" w:type="dxa"/>
            <w:gridSpan w:val="2"/>
            <w:tcBorders>
              <w:top w:val="single" w:sz="4" w:space="0" w:color="auto"/>
              <w:bottom w:val="single" w:sz="4" w:space="0" w:color="auto"/>
            </w:tcBorders>
            <w:vAlign w:val="center"/>
          </w:tcPr>
          <w:p w:rsidR="005253AC" w:rsidRPr="000D5690" w:rsidRDefault="005253AC" w:rsidP="00E658B6">
            <w:pPr>
              <w:pStyle w:val="tgchartext"/>
              <w:keepNext/>
              <w:jc w:val="both"/>
              <w:rPr>
                <w:dstrike/>
              </w:rPr>
            </w:pPr>
            <w:r w:rsidRPr="000D5690">
              <w:t>English</w:t>
            </w:r>
          </w:p>
        </w:tc>
        <w:tc>
          <w:tcPr>
            <w:tcW w:w="1928" w:type="dxa"/>
            <w:gridSpan w:val="3"/>
            <w:tcBorders>
              <w:top w:val="single" w:sz="4" w:space="0" w:color="auto"/>
              <w:bottom w:val="single" w:sz="4" w:space="0" w:color="auto"/>
            </w:tcBorders>
            <w:vAlign w:val="center"/>
          </w:tcPr>
          <w:p w:rsidR="005253AC" w:rsidRPr="000D5690" w:rsidRDefault="005253AC" w:rsidP="00E658B6">
            <w:pPr>
              <w:pStyle w:val="tgchartext"/>
              <w:keepNext/>
              <w:rPr>
                <w:dstrike/>
                <w:lang w:val="fr-FR"/>
              </w:rPr>
            </w:pPr>
            <w:r w:rsidRPr="000D5690">
              <w:rPr>
                <w:lang w:val="fr-FR"/>
              </w:rPr>
              <w:t>français</w:t>
            </w:r>
          </w:p>
        </w:tc>
        <w:tc>
          <w:tcPr>
            <w:tcW w:w="1914" w:type="dxa"/>
            <w:gridSpan w:val="2"/>
            <w:tcBorders>
              <w:top w:val="single" w:sz="4" w:space="0" w:color="auto"/>
              <w:bottom w:val="single" w:sz="4" w:space="0" w:color="auto"/>
            </w:tcBorders>
            <w:vAlign w:val="center"/>
          </w:tcPr>
          <w:p w:rsidR="005253AC" w:rsidRPr="000D5690" w:rsidRDefault="005253AC" w:rsidP="00E658B6">
            <w:pPr>
              <w:pStyle w:val="tgchartext"/>
              <w:keepNext/>
              <w:rPr>
                <w:dstrike/>
                <w:lang w:val="de-DE"/>
              </w:rPr>
            </w:pPr>
            <w:r w:rsidRPr="000D5690">
              <w:rPr>
                <w:lang w:val="de-DE"/>
              </w:rPr>
              <w:t>deutsch</w:t>
            </w:r>
          </w:p>
        </w:tc>
        <w:tc>
          <w:tcPr>
            <w:tcW w:w="1914" w:type="dxa"/>
            <w:tcBorders>
              <w:top w:val="single" w:sz="4" w:space="0" w:color="auto"/>
              <w:bottom w:val="single" w:sz="4" w:space="0" w:color="auto"/>
            </w:tcBorders>
            <w:vAlign w:val="center"/>
          </w:tcPr>
          <w:p w:rsidR="005253AC" w:rsidRPr="000D5690" w:rsidRDefault="005253AC" w:rsidP="00E658B6">
            <w:pPr>
              <w:pStyle w:val="tgchartext"/>
              <w:keepNext/>
              <w:rPr>
                <w:dstrike/>
                <w:lang w:val="es-ES_tradnl"/>
              </w:rPr>
            </w:pPr>
            <w:r w:rsidRPr="000D5690">
              <w:rPr>
                <w:lang w:val="es-ES_tradnl"/>
              </w:rPr>
              <w:t>español</w:t>
            </w:r>
          </w:p>
        </w:tc>
        <w:tc>
          <w:tcPr>
            <w:tcW w:w="1810" w:type="dxa"/>
            <w:tcBorders>
              <w:top w:val="single" w:sz="4" w:space="0" w:color="auto"/>
              <w:bottom w:val="single" w:sz="4" w:space="0" w:color="auto"/>
            </w:tcBorders>
            <w:vAlign w:val="center"/>
          </w:tcPr>
          <w:p w:rsidR="005253AC" w:rsidRPr="000D5690" w:rsidRDefault="005253AC" w:rsidP="00E658B6">
            <w:pPr>
              <w:pStyle w:val="tgchartext"/>
              <w:keepNext/>
              <w:rPr>
                <w:dstrike/>
              </w:rPr>
            </w:pPr>
            <w:r w:rsidRPr="000D5690">
              <w:t>Example Varieties</w:t>
            </w:r>
            <w:r w:rsidRPr="000D5690">
              <w:br/>
            </w:r>
            <w:proofErr w:type="spellStart"/>
            <w:r w:rsidRPr="000D5690">
              <w:t>Exemples</w:t>
            </w:r>
            <w:proofErr w:type="spellEnd"/>
            <w:r w:rsidRPr="000D5690">
              <w:br/>
            </w:r>
            <w:proofErr w:type="spellStart"/>
            <w:r w:rsidRPr="000D5690">
              <w:t>Beispielssorten</w:t>
            </w:r>
            <w:proofErr w:type="spellEnd"/>
            <w:r w:rsidRPr="000D5690">
              <w:br/>
            </w:r>
            <w:proofErr w:type="spellStart"/>
            <w:r w:rsidRPr="000D5690">
              <w:t>Variedades</w:t>
            </w:r>
            <w:proofErr w:type="spellEnd"/>
            <w:r w:rsidRPr="000D5690">
              <w:t xml:space="preserve"> </w:t>
            </w:r>
            <w:proofErr w:type="spellStart"/>
            <w:r w:rsidRPr="000D5690">
              <w:t>ejemplo</w:t>
            </w:r>
            <w:proofErr w:type="spellEnd"/>
          </w:p>
        </w:tc>
        <w:tc>
          <w:tcPr>
            <w:tcW w:w="567" w:type="dxa"/>
            <w:tcBorders>
              <w:top w:val="single" w:sz="4" w:space="0" w:color="auto"/>
              <w:bottom w:val="single" w:sz="4" w:space="0" w:color="auto"/>
            </w:tcBorders>
            <w:vAlign w:val="center"/>
          </w:tcPr>
          <w:p w:rsidR="005253AC" w:rsidRPr="000D5690" w:rsidRDefault="005253AC" w:rsidP="00E658B6">
            <w:pPr>
              <w:pStyle w:val="tgchartextcentered"/>
              <w:keepNext/>
              <w:rPr>
                <w:b w:val="0"/>
              </w:rPr>
            </w:pPr>
            <w:r w:rsidRPr="000D5690">
              <w:rPr>
                <w:b w:val="0"/>
              </w:rPr>
              <w:t>Note/</w:t>
            </w:r>
            <w:r w:rsidRPr="000D5690">
              <w:rPr>
                <w:b w:val="0"/>
              </w:rPr>
              <w:br/>
              <w:t>Nota</w:t>
            </w:r>
          </w:p>
        </w:tc>
      </w:tr>
      <w:tr w:rsidR="005253AC" w:rsidRPr="000D5690" w:rsidTr="00E658B6">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5253AC" w:rsidRPr="000D5690" w:rsidRDefault="005253AC" w:rsidP="00E658B6">
            <w:pPr>
              <w:keepNext/>
              <w:spacing w:before="80" w:after="80"/>
              <w:jc w:val="center"/>
              <w:rPr>
                <w:b/>
                <w:sz w:val="16"/>
                <w:szCs w:val="16"/>
              </w:rPr>
            </w:pPr>
            <w:r w:rsidRPr="000D5690">
              <w:rPr>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5253AC" w:rsidRPr="000D5690" w:rsidRDefault="005253AC" w:rsidP="00E658B6">
            <w:pPr>
              <w:keepNext/>
              <w:spacing w:before="80" w:after="80"/>
              <w:jc w:val="center"/>
              <w:rPr>
                <w:b/>
                <w:sz w:val="16"/>
                <w:szCs w:val="16"/>
              </w:rPr>
            </w:pPr>
            <w:r w:rsidRPr="000D5690">
              <w:rPr>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5253AC" w:rsidRPr="000D5690" w:rsidRDefault="005253AC" w:rsidP="00E658B6">
            <w:pPr>
              <w:keepNext/>
              <w:spacing w:before="80" w:after="80"/>
              <w:jc w:val="left"/>
              <w:rPr>
                <w:b/>
              </w:rPr>
            </w:pPr>
            <w:r w:rsidRPr="000D5690">
              <w:rPr>
                <w:b/>
                <w:sz w:val="16"/>
                <w:szCs w:val="16"/>
              </w:rPr>
              <w:t xml:space="preserve">3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5253AC" w:rsidRPr="000D5690" w:rsidRDefault="005253AC" w:rsidP="00E658B6">
            <w:pPr>
              <w:keepNext/>
              <w:spacing w:before="80" w:after="80"/>
              <w:jc w:val="left"/>
              <w:rPr>
                <w:b/>
              </w:rPr>
            </w:pPr>
            <w:r w:rsidRPr="000D5690">
              <w:rPr>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5253AC" w:rsidRPr="000D5690" w:rsidRDefault="005253AC" w:rsidP="00E658B6">
            <w:pPr>
              <w:pStyle w:val="tgchartext"/>
              <w:keepNext/>
              <w:rPr>
                <w:b/>
              </w:rPr>
            </w:pPr>
            <w:r w:rsidRPr="000D5690">
              <w:rPr>
                <w:b/>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5253AC" w:rsidRPr="000D5690" w:rsidRDefault="005253AC" w:rsidP="00E658B6">
            <w:pPr>
              <w:pStyle w:val="tgchartext"/>
              <w:keepNext/>
              <w:rPr>
                <w:b/>
              </w:rPr>
            </w:pPr>
            <w:r w:rsidRPr="000D5690">
              <w:rPr>
                <w:b/>
                <w:szCs w:val="16"/>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5253AC" w:rsidRPr="000D5690" w:rsidRDefault="005253AC" w:rsidP="00E658B6">
            <w:pPr>
              <w:pStyle w:val="tgchartext"/>
              <w:keepNext/>
              <w:rPr>
                <w:b/>
              </w:rPr>
            </w:pPr>
            <w:r w:rsidRPr="000D5690">
              <w:rPr>
                <w:b/>
                <w:lang w:val="fr-FR"/>
              </w:rPr>
              <w:t>7</w:t>
            </w:r>
          </w:p>
        </w:tc>
        <w:tc>
          <w:tcPr>
            <w:tcW w:w="1923" w:type="dxa"/>
            <w:gridSpan w:val="2"/>
            <w:tcBorders>
              <w:top w:val="single" w:sz="4" w:space="0" w:color="auto"/>
              <w:left w:val="nil"/>
              <w:bottom w:val="single" w:sz="4" w:space="0" w:color="auto"/>
              <w:right w:val="nil"/>
            </w:tcBorders>
            <w:shd w:val="clear" w:color="auto" w:fill="F0F0F0"/>
          </w:tcPr>
          <w:p w:rsidR="005253AC" w:rsidRPr="000D5690" w:rsidRDefault="005253AC" w:rsidP="00E658B6">
            <w:pPr>
              <w:pStyle w:val="tgchartext"/>
              <w:keepNext/>
              <w:rPr>
                <w:lang w:val="es-ES_tradnl"/>
              </w:rPr>
            </w:pPr>
          </w:p>
        </w:tc>
        <w:tc>
          <w:tcPr>
            <w:tcW w:w="1810" w:type="dxa"/>
            <w:tcBorders>
              <w:top w:val="single" w:sz="4" w:space="0" w:color="auto"/>
              <w:left w:val="nil"/>
              <w:bottom w:val="single" w:sz="4" w:space="0" w:color="auto"/>
              <w:right w:val="nil"/>
            </w:tcBorders>
            <w:shd w:val="clear" w:color="auto" w:fill="F0F0F0"/>
          </w:tcPr>
          <w:p w:rsidR="005253AC" w:rsidRPr="000D5690" w:rsidRDefault="005253AC" w:rsidP="00E658B6">
            <w:pPr>
              <w:pStyle w:val="tgchartext"/>
              <w:keepNext/>
            </w:pPr>
          </w:p>
        </w:tc>
        <w:tc>
          <w:tcPr>
            <w:tcW w:w="567" w:type="dxa"/>
            <w:tcBorders>
              <w:top w:val="single" w:sz="4" w:space="0" w:color="auto"/>
              <w:left w:val="nil"/>
              <w:bottom w:val="single" w:sz="4" w:space="0" w:color="auto"/>
            </w:tcBorders>
            <w:shd w:val="clear" w:color="auto" w:fill="F0F0F0"/>
          </w:tcPr>
          <w:p w:rsidR="005253AC" w:rsidRPr="000D5690" w:rsidRDefault="005253AC" w:rsidP="00E658B6">
            <w:pPr>
              <w:pStyle w:val="tgchartextcentered"/>
              <w:keepNext/>
            </w:pPr>
          </w:p>
        </w:tc>
      </w:tr>
      <w:tr w:rsidR="005253AC" w:rsidRPr="00E30CEB" w:rsidTr="00E658B6">
        <w:trPr>
          <w:cantSplit/>
        </w:trPr>
        <w:tc>
          <w:tcPr>
            <w:tcW w:w="709" w:type="dxa"/>
            <w:gridSpan w:val="2"/>
            <w:tcBorders>
              <w:top w:val="single" w:sz="4" w:space="0" w:color="auto"/>
            </w:tcBorders>
          </w:tcPr>
          <w:p w:rsidR="005253AC" w:rsidRPr="000D5690" w:rsidRDefault="005253AC" w:rsidP="00E658B6">
            <w:pPr>
              <w:keepNext/>
              <w:spacing w:before="80" w:after="80"/>
              <w:jc w:val="left"/>
              <w:rPr>
                <w:b/>
                <w:sz w:val="16"/>
                <w:szCs w:val="16"/>
              </w:rPr>
            </w:pPr>
          </w:p>
        </w:tc>
        <w:tc>
          <w:tcPr>
            <w:tcW w:w="1790" w:type="dxa"/>
            <w:gridSpan w:val="2"/>
            <w:tcBorders>
              <w:top w:val="single" w:sz="4" w:space="0" w:color="auto"/>
              <w:bottom w:val="dotted" w:sz="2" w:space="0" w:color="auto"/>
            </w:tcBorders>
          </w:tcPr>
          <w:p w:rsidR="005253AC" w:rsidRPr="000D5690" w:rsidRDefault="005253AC" w:rsidP="00E658B6">
            <w:pPr>
              <w:keepNext/>
              <w:spacing w:before="80" w:after="80"/>
              <w:jc w:val="left"/>
              <w:rPr>
                <w:dstrike/>
              </w:rPr>
            </w:pPr>
            <w:r w:rsidRPr="000D5690">
              <w:rPr>
                <w:b/>
                <w:sz w:val="16"/>
                <w:szCs w:val="16"/>
              </w:rPr>
              <w:t>Name of characteristics in English</w:t>
            </w:r>
          </w:p>
        </w:tc>
        <w:tc>
          <w:tcPr>
            <w:tcW w:w="1917" w:type="dxa"/>
            <w:gridSpan w:val="2"/>
            <w:tcBorders>
              <w:top w:val="single" w:sz="4" w:space="0" w:color="auto"/>
              <w:bottom w:val="dotted" w:sz="2" w:space="0" w:color="auto"/>
            </w:tcBorders>
          </w:tcPr>
          <w:p w:rsidR="005253AC" w:rsidRPr="000D5690" w:rsidRDefault="005253AC" w:rsidP="00E658B6">
            <w:pPr>
              <w:keepNext/>
              <w:spacing w:before="80" w:after="80"/>
              <w:jc w:val="left"/>
              <w:rPr>
                <w:b/>
                <w:dstrike/>
                <w:sz w:val="16"/>
                <w:szCs w:val="16"/>
                <w:lang w:val="fr-CH"/>
              </w:rPr>
            </w:pPr>
            <w:r w:rsidRPr="000D5690">
              <w:rPr>
                <w:b/>
                <w:sz w:val="16"/>
                <w:szCs w:val="16"/>
                <w:lang w:val="fr-CH"/>
              </w:rPr>
              <w:t>Nom du caractère en français</w:t>
            </w:r>
          </w:p>
        </w:tc>
        <w:tc>
          <w:tcPr>
            <w:tcW w:w="1916" w:type="dxa"/>
            <w:gridSpan w:val="2"/>
            <w:tcBorders>
              <w:top w:val="single" w:sz="4" w:space="0" w:color="auto"/>
              <w:bottom w:val="dotted" w:sz="2" w:space="0" w:color="auto"/>
            </w:tcBorders>
          </w:tcPr>
          <w:p w:rsidR="005253AC" w:rsidRPr="000D5690" w:rsidRDefault="005253AC" w:rsidP="00E658B6">
            <w:pPr>
              <w:keepNext/>
              <w:spacing w:before="80" w:after="80"/>
              <w:jc w:val="left"/>
              <w:rPr>
                <w:b/>
                <w:dstrike/>
                <w:sz w:val="16"/>
                <w:szCs w:val="16"/>
                <w:lang w:val="de-DE"/>
              </w:rPr>
            </w:pPr>
            <w:r w:rsidRPr="000D5690">
              <w:rPr>
                <w:b/>
                <w:sz w:val="16"/>
                <w:szCs w:val="16"/>
                <w:lang w:val="de-DE"/>
              </w:rPr>
              <w:t>Name des Merkmals auf Deutsch</w:t>
            </w:r>
          </w:p>
        </w:tc>
        <w:tc>
          <w:tcPr>
            <w:tcW w:w="1923" w:type="dxa"/>
            <w:gridSpan w:val="2"/>
            <w:tcBorders>
              <w:top w:val="single" w:sz="4" w:space="0" w:color="auto"/>
              <w:bottom w:val="dotted" w:sz="2" w:space="0" w:color="auto"/>
            </w:tcBorders>
          </w:tcPr>
          <w:p w:rsidR="005253AC" w:rsidRPr="000D5690" w:rsidRDefault="005253AC" w:rsidP="00E658B6">
            <w:pPr>
              <w:keepNext/>
              <w:spacing w:before="80" w:after="80"/>
              <w:jc w:val="left"/>
              <w:rPr>
                <w:b/>
                <w:sz w:val="16"/>
                <w:szCs w:val="16"/>
                <w:lang w:val="es-ES"/>
              </w:rPr>
            </w:pPr>
            <w:r w:rsidRPr="000D5690">
              <w:rPr>
                <w:b/>
                <w:sz w:val="16"/>
                <w:szCs w:val="16"/>
                <w:lang w:val="es-ES"/>
              </w:rPr>
              <w:t>Nombre del carácter en español</w:t>
            </w:r>
          </w:p>
        </w:tc>
        <w:tc>
          <w:tcPr>
            <w:tcW w:w="1810" w:type="dxa"/>
            <w:tcBorders>
              <w:top w:val="single" w:sz="4" w:space="0" w:color="auto"/>
              <w:bottom w:val="dotted" w:sz="2" w:space="0" w:color="auto"/>
            </w:tcBorders>
          </w:tcPr>
          <w:p w:rsidR="005253AC" w:rsidRPr="000D5690" w:rsidRDefault="005253AC" w:rsidP="00E658B6">
            <w:pPr>
              <w:keepNext/>
              <w:spacing w:before="80" w:after="80"/>
              <w:rPr>
                <w:lang w:val="es-ES"/>
              </w:rPr>
            </w:pPr>
          </w:p>
        </w:tc>
        <w:tc>
          <w:tcPr>
            <w:tcW w:w="567" w:type="dxa"/>
            <w:tcBorders>
              <w:top w:val="single" w:sz="4" w:space="0" w:color="auto"/>
              <w:bottom w:val="dotted" w:sz="2" w:space="0" w:color="auto"/>
            </w:tcBorders>
          </w:tcPr>
          <w:p w:rsidR="005253AC" w:rsidRPr="000D5690" w:rsidRDefault="005253AC" w:rsidP="00E658B6">
            <w:pPr>
              <w:keepNext/>
              <w:spacing w:before="80" w:after="80"/>
              <w:jc w:val="center"/>
              <w:rPr>
                <w:lang w:val="es-ES"/>
              </w:rPr>
            </w:pPr>
          </w:p>
        </w:tc>
      </w:tr>
      <w:tr w:rsidR="005253AC" w:rsidRPr="000D5690" w:rsidTr="00E658B6">
        <w:trPr>
          <w:cantSplit/>
        </w:trPr>
        <w:tc>
          <w:tcPr>
            <w:tcW w:w="709" w:type="dxa"/>
            <w:gridSpan w:val="2"/>
            <w:tcBorders>
              <w:bottom w:val="single" w:sz="4" w:space="0" w:color="auto"/>
            </w:tcBorders>
          </w:tcPr>
          <w:p w:rsidR="005253AC" w:rsidRPr="000D5690" w:rsidRDefault="005253AC" w:rsidP="00E658B6">
            <w:pPr>
              <w:keepNext/>
              <w:spacing w:before="80" w:after="80"/>
              <w:jc w:val="left"/>
              <w:rPr>
                <w:sz w:val="16"/>
                <w:szCs w:val="16"/>
                <w:lang w:val="es-ES"/>
              </w:rPr>
            </w:pPr>
          </w:p>
        </w:tc>
        <w:tc>
          <w:tcPr>
            <w:tcW w:w="1790" w:type="dxa"/>
            <w:gridSpan w:val="2"/>
            <w:tcBorders>
              <w:top w:val="dotted" w:sz="2" w:space="0" w:color="auto"/>
              <w:bottom w:val="single" w:sz="4" w:space="0" w:color="auto"/>
            </w:tcBorders>
          </w:tcPr>
          <w:p w:rsidR="005253AC" w:rsidRPr="000D5690" w:rsidRDefault="005253AC" w:rsidP="00E658B6">
            <w:pPr>
              <w:keepNext/>
              <w:spacing w:before="80" w:after="80"/>
              <w:jc w:val="left"/>
              <w:rPr>
                <w:dstrike/>
              </w:rPr>
            </w:pPr>
            <w:r w:rsidRPr="000D5690">
              <w:rPr>
                <w:sz w:val="16"/>
                <w:szCs w:val="16"/>
              </w:rPr>
              <w:t>states of expression</w:t>
            </w:r>
          </w:p>
        </w:tc>
        <w:tc>
          <w:tcPr>
            <w:tcW w:w="1917" w:type="dxa"/>
            <w:gridSpan w:val="2"/>
            <w:tcBorders>
              <w:top w:val="dotted" w:sz="2" w:space="0" w:color="auto"/>
              <w:bottom w:val="single" w:sz="4" w:space="0" w:color="auto"/>
            </w:tcBorders>
          </w:tcPr>
          <w:p w:rsidR="005253AC" w:rsidRPr="000D5690" w:rsidRDefault="005253AC" w:rsidP="00E658B6">
            <w:pPr>
              <w:keepNext/>
              <w:spacing w:before="80" w:after="80"/>
              <w:jc w:val="left"/>
              <w:rPr>
                <w:dstrike/>
                <w:sz w:val="16"/>
                <w:szCs w:val="16"/>
              </w:rPr>
            </w:pPr>
            <w:r w:rsidRPr="000D5690">
              <w:rPr>
                <w:sz w:val="16"/>
                <w:szCs w:val="16"/>
              </w:rPr>
              <w:t xml:space="preserve">types </w:t>
            </w:r>
            <w:proofErr w:type="spellStart"/>
            <w:r w:rsidRPr="000D5690">
              <w:rPr>
                <w:sz w:val="16"/>
                <w:szCs w:val="16"/>
              </w:rPr>
              <w:t>d’expression</w:t>
            </w:r>
            <w:proofErr w:type="spellEnd"/>
          </w:p>
        </w:tc>
        <w:tc>
          <w:tcPr>
            <w:tcW w:w="1916" w:type="dxa"/>
            <w:gridSpan w:val="2"/>
            <w:tcBorders>
              <w:top w:val="dotted" w:sz="2" w:space="0" w:color="auto"/>
              <w:bottom w:val="single" w:sz="4" w:space="0" w:color="auto"/>
            </w:tcBorders>
          </w:tcPr>
          <w:p w:rsidR="005253AC" w:rsidRPr="000D5690" w:rsidRDefault="005253AC" w:rsidP="00E658B6">
            <w:pPr>
              <w:keepNext/>
              <w:spacing w:before="80" w:after="80"/>
              <w:jc w:val="left"/>
              <w:rPr>
                <w:dstrike/>
                <w:sz w:val="16"/>
                <w:szCs w:val="16"/>
              </w:rPr>
            </w:pPr>
            <w:proofErr w:type="spellStart"/>
            <w:r w:rsidRPr="000D5690">
              <w:rPr>
                <w:sz w:val="16"/>
                <w:szCs w:val="16"/>
              </w:rPr>
              <w:t>Ausprägungsstufen</w:t>
            </w:r>
            <w:proofErr w:type="spellEnd"/>
          </w:p>
        </w:tc>
        <w:tc>
          <w:tcPr>
            <w:tcW w:w="1923" w:type="dxa"/>
            <w:gridSpan w:val="2"/>
            <w:tcBorders>
              <w:top w:val="dotted" w:sz="2" w:space="0" w:color="auto"/>
              <w:bottom w:val="single" w:sz="4" w:space="0" w:color="auto"/>
            </w:tcBorders>
          </w:tcPr>
          <w:p w:rsidR="005253AC" w:rsidRPr="000D5690" w:rsidRDefault="005253AC" w:rsidP="00E658B6">
            <w:pPr>
              <w:keepNext/>
              <w:spacing w:before="80" w:after="80"/>
              <w:jc w:val="left"/>
              <w:rPr>
                <w:sz w:val="16"/>
                <w:szCs w:val="16"/>
                <w:lang w:val="es-ES_tradnl"/>
              </w:rPr>
            </w:pPr>
            <w:r w:rsidRPr="000D5690">
              <w:rPr>
                <w:sz w:val="16"/>
                <w:szCs w:val="16"/>
                <w:lang w:val="es-ES_tradnl"/>
              </w:rPr>
              <w:t>tipos de expresión</w:t>
            </w:r>
          </w:p>
        </w:tc>
        <w:tc>
          <w:tcPr>
            <w:tcW w:w="1810" w:type="dxa"/>
            <w:tcBorders>
              <w:top w:val="dotted" w:sz="2" w:space="0" w:color="auto"/>
              <w:bottom w:val="single" w:sz="4" w:space="0" w:color="auto"/>
            </w:tcBorders>
          </w:tcPr>
          <w:p w:rsidR="005253AC" w:rsidRPr="000D5690" w:rsidRDefault="005253AC" w:rsidP="00E658B6">
            <w:pPr>
              <w:keepNext/>
              <w:spacing w:before="80" w:after="80"/>
              <w:jc w:val="left"/>
            </w:pPr>
          </w:p>
        </w:tc>
        <w:tc>
          <w:tcPr>
            <w:tcW w:w="567" w:type="dxa"/>
            <w:tcBorders>
              <w:top w:val="dotted" w:sz="2" w:space="0" w:color="auto"/>
              <w:bottom w:val="single" w:sz="4" w:space="0" w:color="auto"/>
            </w:tcBorders>
          </w:tcPr>
          <w:p w:rsidR="005253AC" w:rsidRPr="000D5690" w:rsidRDefault="005253AC" w:rsidP="00E658B6">
            <w:pPr>
              <w:keepNext/>
              <w:spacing w:before="80" w:after="80"/>
              <w:jc w:val="center"/>
            </w:pPr>
          </w:p>
        </w:tc>
      </w:tr>
    </w:tbl>
    <w:p w:rsidR="005253AC" w:rsidRPr="000D5690" w:rsidRDefault="005253AC" w:rsidP="005253AC">
      <w:pPr>
        <w:keepNext/>
      </w:pPr>
    </w:p>
    <w:p w:rsidR="005253AC" w:rsidRPr="000D5690" w:rsidRDefault="006F367A" w:rsidP="005253AC">
      <w:pPr>
        <w:keepNext/>
      </w:pPr>
      <w:r w:rsidRPr="000D5690">
        <w:rPr>
          <w:lang w:val="es-ES_tradnl"/>
        </w:rPr>
        <w:t>L</w:t>
      </w:r>
      <w:r w:rsidR="007C5529" w:rsidRPr="000D5690">
        <w:rPr>
          <w:lang w:val="es-ES_tradnl"/>
        </w:rPr>
        <w:t>eyenda</w:t>
      </w:r>
    </w:p>
    <w:p w:rsidR="005253AC" w:rsidRPr="000D5690" w:rsidRDefault="005253AC" w:rsidP="005253AC">
      <w:pPr>
        <w:keepNext/>
      </w:pPr>
      <w:r w:rsidRPr="000D5690">
        <w:t>1</w:t>
      </w:r>
      <w:r w:rsidRPr="000D5690">
        <w:tab/>
      </w:r>
      <w:r w:rsidR="006F367A" w:rsidRPr="000D5690">
        <w:rPr>
          <w:lang w:val="es-ES_tradnl"/>
        </w:rPr>
        <w:t>Número de carácter</w:t>
      </w:r>
    </w:p>
    <w:p w:rsidR="005253AC" w:rsidRPr="00D6704A" w:rsidRDefault="005253AC" w:rsidP="005253AC">
      <w:pPr>
        <w:keepNext/>
        <w:rPr>
          <w:lang w:val="es-ES"/>
        </w:rPr>
      </w:pPr>
      <w:r w:rsidRPr="00D6704A">
        <w:rPr>
          <w:lang w:val="es-ES"/>
        </w:rPr>
        <w:t>2</w:t>
      </w:r>
      <w:r w:rsidRPr="00D6704A">
        <w:rPr>
          <w:lang w:val="es-ES"/>
        </w:rPr>
        <w:tab/>
        <w:t>(*)</w:t>
      </w:r>
      <w:r w:rsidRPr="00D6704A">
        <w:rPr>
          <w:lang w:val="es-ES"/>
        </w:rPr>
        <w:tab/>
      </w:r>
      <w:r w:rsidR="006F367A" w:rsidRPr="000D5690">
        <w:rPr>
          <w:lang w:val="es-ES_tradnl"/>
        </w:rPr>
        <w:t>Carácter con asterisco</w:t>
      </w:r>
      <w:r w:rsidRPr="00D6704A">
        <w:rPr>
          <w:lang w:val="es-ES"/>
        </w:rPr>
        <w:t xml:space="preserve"> </w:t>
      </w:r>
      <w:r w:rsidRPr="00D6704A">
        <w:rPr>
          <w:lang w:val="es-ES"/>
        </w:rPr>
        <w:tab/>
      </w:r>
      <w:r w:rsidRPr="00D6704A">
        <w:rPr>
          <w:lang w:val="es-ES"/>
        </w:rPr>
        <w:tab/>
      </w:r>
      <w:r w:rsidRPr="00D6704A">
        <w:rPr>
          <w:lang w:val="es-ES"/>
        </w:rPr>
        <w:tab/>
      </w:r>
      <w:r w:rsidR="006F367A" w:rsidRPr="000D5690">
        <w:rPr>
          <w:lang w:val="es-ES_tradnl"/>
        </w:rPr>
        <w:t>– véase el Capítulo 6.1.2</w:t>
      </w:r>
    </w:p>
    <w:p w:rsidR="005253AC" w:rsidRPr="00D6704A" w:rsidRDefault="005253AC" w:rsidP="005253AC">
      <w:pPr>
        <w:keepNext/>
        <w:rPr>
          <w:lang w:val="es-ES"/>
        </w:rPr>
      </w:pPr>
      <w:r w:rsidRPr="00D6704A">
        <w:rPr>
          <w:lang w:val="es-ES"/>
        </w:rPr>
        <w:t>3</w:t>
      </w:r>
      <w:r w:rsidRPr="00D6704A">
        <w:rPr>
          <w:lang w:val="es-ES"/>
        </w:rPr>
        <w:tab/>
      </w:r>
      <w:r w:rsidR="006F367A" w:rsidRPr="000D5690">
        <w:rPr>
          <w:lang w:val="es-ES_tradnl"/>
        </w:rPr>
        <w:t>Tipo de expresión</w:t>
      </w:r>
    </w:p>
    <w:p w:rsidR="005253AC" w:rsidRPr="00D6704A" w:rsidRDefault="006F367A" w:rsidP="00CD3D58">
      <w:pPr>
        <w:keepNext/>
        <w:tabs>
          <w:tab w:val="left" w:pos="709"/>
          <w:tab w:val="left" w:pos="1276"/>
        </w:tabs>
        <w:ind w:left="709"/>
        <w:rPr>
          <w:lang w:val="es-ES"/>
        </w:rPr>
      </w:pPr>
      <w:r w:rsidRPr="000D5690">
        <w:rPr>
          <w:lang w:val="es-ES_tradnl"/>
        </w:rPr>
        <w:t>QL</w:t>
      </w:r>
      <w:r w:rsidR="005253AC" w:rsidRPr="00D6704A">
        <w:rPr>
          <w:lang w:val="es-ES"/>
        </w:rPr>
        <w:tab/>
      </w:r>
      <w:r w:rsidRPr="000D5690">
        <w:rPr>
          <w:lang w:val="es-ES_tradnl"/>
        </w:rPr>
        <w:t>Carácter cualitativo</w:t>
      </w:r>
      <w:r w:rsidR="005253AC" w:rsidRPr="00D6704A">
        <w:rPr>
          <w:lang w:val="es-ES"/>
        </w:rPr>
        <w:t xml:space="preserve"> </w:t>
      </w:r>
      <w:r w:rsidR="005253AC" w:rsidRPr="00D6704A">
        <w:rPr>
          <w:lang w:val="es-ES"/>
        </w:rPr>
        <w:tab/>
      </w:r>
      <w:r w:rsidR="005253AC" w:rsidRPr="00D6704A">
        <w:rPr>
          <w:lang w:val="es-ES"/>
        </w:rPr>
        <w:tab/>
      </w:r>
      <w:r w:rsidRPr="000D5690">
        <w:rPr>
          <w:lang w:val="es-ES_tradnl"/>
        </w:rPr>
        <w:t>– véase el Capítulo 6.3</w:t>
      </w:r>
    </w:p>
    <w:p w:rsidR="005253AC" w:rsidRPr="00D6704A" w:rsidRDefault="006F367A" w:rsidP="00CD3D58">
      <w:pPr>
        <w:keepNext/>
        <w:tabs>
          <w:tab w:val="left" w:pos="709"/>
          <w:tab w:val="left" w:pos="1276"/>
        </w:tabs>
        <w:ind w:left="709"/>
        <w:rPr>
          <w:lang w:val="es-ES"/>
        </w:rPr>
      </w:pPr>
      <w:r w:rsidRPr="000D5690">
        <w:rPr>
          <w:lang w:val="es-ES_tradnl"/>
        </w:rPr>
        <w:t>QN</w:t>
      </w:r>
      <w:r w:rsidR="005253AC" w:rsidRPr="00D6704A">
        <w:rPr>
          <w:lang w:val="es-ES"/>
        </w:rPr>
        <w:tab/>
      </w:r>
      <w:r w:rsidRPr="000D5690">
        <w:rPr>
          <w:lang w:val="es-ES_tradnl"/>
        </w:rPr>
        <w:t>Carácter cuantitativo</w:t>
      </w:r>
      <w:r w:rsidR="005253AC" w:rsidRPr="00D6704A">
        <w:rPr>
          <w:lang w:val="es-ES"/>
        </w:rPr>
        <w:t xml:space="preserve"> </w:t>
      </w:r>
      <w:r w:rsidR="005253AC" w:rsidRPr="00D6704A">
        <w:rPr>
          <w:lang w:val="es-ES"/>
        </w:rPr>
        <w:tab/>
      </w:r>
      <w:r w:rsidR="005253AC" w:rsidRPr="00D6704A">
        <w:rPr>
          <w:lang w:val="es-ES"/>
        </w:rPr>
        <w:tab/>
      </w:r>
      <w:r w:rsidRPr="000D5690">
        <w:rPr>
          <w:lang w:val="es-ES_tradnl"/>
        </w:rPr>
        <w:t>– véase el Capítulo 6.3</w:t>
      </w:r>
    </w:p>
    <w:p w:rsidR="005253AC" w:rsidRPr="00D6704A" w:rsidRDefault="006F367A" w:rsidP="00CD3D58">
      <w:pPr>
        <w:keepNext/>
        <w:tabs>
          <w:tab w:val="left" w:pos="709"/>
          <w:tab w:val="left" w:pos="1276"/>
        </w:tabs>
        <w:ind w:left="709"/>
        <w:rPr>
          <w:lang w:val="es-ES"/>
        </w:rPr>
      </w:pPr>
      <w:r w:rsidRPr="000D5690">
        <w:rPr>
          <w:lang w:val="es-ES_tradnl"/>
        </w:rPr>
        <w:t>PQ</w:t>
      </w:r>
      <w:r w:rsidR="005253AC" w:rsidRPr="00D6704A">
        <w:rPr>
          <w:lang w:val="es-ES"/>
        </w:rPr>
        <w:tab/>
      </w:r>
      <w:r w:rsidRPr="000D5690">
        <w:rPr>
          <w:lang w:val="es-ES_tradnl"/>
        </w:rPr>
        <w:t>Carácter pseudocualitativo</w:t>
      </w:r>
      <w:r w:rsidR="005253AC" w:rsidRPr="00D6704A">
        <w:rPr>
          <w:lang w:val="es-ES"/>
        </w:rPr>
        <w:t xml:space="preserve"> </w:t>
      </w:r>
      <w:r w:rsidR="005253AC" w:rsidRPr="00D6704A">
        <w:rPr>
          <w:lang w:val="es-ES"/>
        </w:rPr>
        <w:tab/>
      </w:r>
      <w:r w:rsidRPr="000D5690">
        <w:rPr>
          <w:lang w:val="es-ES_tradnl"/>
        </w:rPr>
        <w:t>– véase el Capítulo 6.3</w:t>
      </w:r>
    </w:p>
    <w:p w:rsidR="005253AC" w:rsidRPr="00D6704A" w:rsidRDefault="005253AC" w:rsidP="005253AC">
      <w:pPr>
        <w:keepNext/>
        <w:rPr>
          <w:rFonts w:eastAsia="MS Mincho"/>
          <w:lang w:val="es-ES"/>
        </w:rPr>
      </w:pPr>
      <w:r w:rsidRPr="00D6704A">
        <w:rPr>
          <w:rFonts w:eastAsia="MS Mincho"/>
          <w:lang w:val="es-ES"/>
        </w:rPr>
        <w:t>4</w:t>
      </w:r>
      <w:r w:rsidRPr="00D6704A">
        <w:rPr>
          <w:rFonts w:eastAsia="MS Mincho"/>
          <w:lang w:val="es-ES"/>
        </w:rPr>
        <w:tab/>
      </w:r>
      <w:r w:rsidR="006F367A" w:rsidRPr="000D5690">
        <w:rPr>
          <w:rFonts w:eastAsia="MS Mincho"/>
          <w:lang w:val="es-ES_tradnl"/>
        </w:rPr>
        <w:t>Método de observación (y tipo de parcela, si procede)</w:t>
      </w:r>
    </w:p>
    <w:p w:rsidR="005253AC" w:rsidRPr="00D6704A" w:rsidRDefault="006F367A" w:rsidP="00CD3D58">
      <w:pPr>
        <w:keepNext/>
        <w:tabs>
          <w:tab w:val="left" w:pos="3969"/>
        </w:tabs>
        <w:ind w:left="709"/>
        <w:rPr>
          <w:rFonts w:eastAsia="MS Mincho"/>
          <w:lang w:val="es-ES"/>
        </w:rPr>
      </w:pPr>
      <w:r w:rsidRPr="000D5690">
        <w:rPr>
          <w:rFonts w:eastAsia="MS Mincho"/>
          <w:lang w:val="es-ES_tradnl"/>
        </w:rPr>
        <w:t>MG, MS, VG, VS</w:t>
      </w:r>
      <w:r w:rsidR="005253AC" w:rsidRPr="00D6704A">
        <w:rPr>
          <w:rFonts w:eastAsia="MS Mincho"/>
          <w:lang w:val="es-ES"/>
        </w:rPr>
        <w:t xml:space="preserve"> </w:t>
      </w:r>
      <w:r w:rsidR="005253AC" w:rsidRPr="00D6704A">
        <w:rPr>
          <w:rFonts w:eastAsia="MS Mincho"/>
          <w:lang w:val="es-ES"/>
        </w:rPr>
        <w:tab/>
      </w:r>
      <w:r w:rsidR="005253AC" w:rsidRPr="00D6704A">
        <w:rPr>
          <w:rFonts w:eastAsia="MS Mincho"/>
          <w:lang w:val="es-ES"/>
        </w:rPr>
        <w:tab/>
      </w:r>
      <w:r w:rsidR="005253AC" w:rsidRPr="00D6704A">
        <w:rPr>
          <w:rFonts w:eastAsia="MS Mincho"/>
          <w:lang w:val="es-ES"/>
        </w:rPr>
        <w:tab/>
      </w:r>
      <w:r w:rsidRPr="000D5690">
        <w:rPr>
          <w:lang w:val="es-ES_tradnl"/>
        </w:rPr>
        <w:t>– véase el Capítulo 4.1.5</w:t>
      </w:r>
    </w:p>
    <w:p w:rsidR="005253AC" w:rsidRPr="00D6704A" w:rsidRDefault="005253AC" w:rsidP="00CD3D58">
      <w:pPr>
        <w:keepNext/>
        <w:tabs>
          <w:tab w:val="left" w:pos="567"/>
          <w:tab w:val="left" w:pos="1276"/>
        </w:tabs>
        <w:ind w:left="709" w:hanging="709"/>
        <w:rPr>
          <w:lang w:val="es-ES"/>
        </w:rPr>
      </w:pPr>
      <w:r w:rsidRPr="00D6704A">
        <w:rPr>
          <w:lang w:val="es-ES"/>
        </w:rPr>
        <w:t>5</w:t>
      </w:r>
      <w:r w:rsidRPr="00D6704A">
        <w:rPr>
          <w:rFonts w:eastAsia="MS Mincho"/>
          <w:lang w:val="es-ES"/>
        </w:rPr>
        <w:tab/>
      </w:r>
      <w:r w:rsidR="00CD3D58" w:rsidRPr="00D6704A">
        <w:rPr>
          <w:rFonts w:eastAsia="MS Mincho"/>
          <w:lang w:val="es-ES"/>
        </w:rPr>
        <w:tab/>
      </w:r>
      <w:r w:rsidRPr="00D6704A">
        <w:rPr>
          <w:lang w:val="es-ES"/>
        </w:rPr>
        <w:t>(+)</w:t>
      </w:r>
      <w:r w:rsidRPr="00D6704A">
        <w:rPr>
          <w:lang w:val="es-ES"/>
        </w:rPr>
        <w:tab/>
      </w:r>
      <w:r w:rsidR="006F367A" w:rsidRPr="000D5690">
        <w:rPr>
          <w:lang w:val="es-ES_tradnl"/>
        </w:rPr>
        <w:t>Véanse las explicaciones de la tabla de caracteres en el Capítulo 8.2</w:t>
      </w:r>
    </w:p>
    <w:p w:rsidR="005253AC" w:rsidRPr="00D6704A" w:rsidRDefault="005253AC" w:rsidP="00CD3D58">
      <w:pPr>
        <w:keepNext/>
        <w:tabs>
          <w:tab w:val="left" w:pos="567"/>
          <w:tab w:val="left" w:pos="1276"/>
        </w:tabs>
        <w:ind w:left="709" w:hanging="709"/>
        <w:rPr>
          <w:lang w:val="es-ES"/>
        </w:rPr>
      </w:pPr>
      <w:r w:rsidRPr="00D6704A">
        <w:rPr>
          <w:lang w:val="es-ES"/>
        </w:rPr>
        <w:t>6</w:t>
      </w:r>
      <w:r w:rsidRPr="00D6704A">
        <w:rPr>
          <w:lang w:val="es-ES"/>
        </w:rPr>
        <w:tab/>
      </w:r>
      <w:r w:rsidR="00CD3D58" w:rsidRPr="00D6704A">
        <w:rPr>
          <w:lang w:val="es-ES"/>
        </w:rPr>
        <w:tab/>
      </w:r>
      <w:r w:rsidR="0047214B" w:rsidRPr="00D6704A">
        <w:rPr>
          <w:lang w:val="es-ES"/>
        </w:rPr>
        <w:t>a)</w:t>
      </w:r>
      <w:r w:rsidRPr="00D6704A">
        <w:rPr>
          <w:lang w:val="es-ES"/>
        </w:rPr>
        <w:t>-{x}</w:t>
      </w:r>
      <w:r w:rsidRPr="00D6704A">
        <w:rPr>
          <w:lang w:val="es-ES"/>
        </w:rPr>
        <w:tab/>
      </w:r>
      <w:r w:rsidR="006F367A" w:rsidRPr="000D5690">
        <w:rPr>
          <w:lang w:val="es-ES_tradnl"/>
        </w:rPr>
        <w:t>Véanse las explicaciones de la tabla de caracteres en el Capítulo 8.1</w:t>
      </w:r>
    </w:p>
    <w:p w:rsidR="005253AC" w:rsidRPr="00D6704A" w:rsidRDefault="005253AC" w:rsidP="005253AC">
      <w:pPr>
        <w:keepNext/>
        <w:rPr>
          <w:lang w:val="es-ES"/>
        </w:rPr>
      </w:pPr>
      <w:r w:rsidRPr="00D6704A">
        <w:rPr>
          <w:lang w:val="es-ES"/>
        </w:rPr>
        <w:t>7</w:t>
      </w:r>
      <w:r w:rsidRPr="00D6704A">
        <w:rPr>
          <w:lang w:val="es-ES"/>
        </w:rPr>
        <w:tab/>
      </w:r>
      <w:r w:rsidR="006F367A" w:rsidRPr="000D5690">
        <w:rPr>
          <w:lang w:val="es-ES_tradnl"/>
        </w:rPr>
        <w:t>Clave del estado de desarrollo</w:t>
      </w:r>
    </w:p>
    <w:p w:rsidR="005253AC" w:rsidRPr="00D6704A" w:rsidRDefault="005253AC" w:rsidP="005253AC">
      <w:pPr>
        <w:rPr>
          <w:lang w:val="es-ES"/>
        </w:rPr>
      </w:pPr>
    </w:p>
    <w:p w:rsidR="005253AC" w:rsidRPr="00D6704A" w:rsidRDefault="006F367A" w:rsidP="005253AC">
      <w:pPr>
        <w:keepNext/>
        <w:rPr>
          <w:lang w:val="es-ES"/>
        </w:rPr>
      </w:pPr>
      <w:r w:rsidRPr="000D5690">
        <w:rPr>
          <w:lang w:val="es-ES_tradnl"/>
        </w:rPr>
        <w:t>Ejemplo:</w:t>
      </w:r>
    </w:p>
    <w:p w:rsidR="005253AC" w:rsidRPr="00D6704A" w:rsidRDefault="005253AC" w:rsidP="005253AC">
      <w:pPr>
        <w:keepNext/>
        <w:rPr>
          <w:lang w:val="es-ES"/>
        </w:rPr>
      </w:pP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5253AC" w:rsidRPr="000D5690" w:rsidTr="00E658B6">
        <w:trPr>
          <w:cantSplit/>
          <w:tblHeader/>
        </w:trPr>
        <w:tc>
          <w:tcPr>
            <w:tcW w:w="709" w:type="dxa"/>
            <w:gridSpan w:val="2"/>
            <w:tcBorders>
              <w:top w:val="single" w:sz="4" w:space="0" w:color="auto"/>
              <w:bottom w:val="single" w:sz="4" w:space="0" w:color="auto"/>
            </w:tcBorders>
          </w:tcPr>
          <w:p w:rsidR="005253AC" w:rsidRPr="00D6704A" w:rsidRDefault="005253AC" w:rsidP="00E658B6">
            <w:pPr>
              <w:pStyle w:val="tgchartext"/>
              <w:keepNext/>
              <w:rPr>
                <w:lang w:val="es-ES"/>
              </w:rPr>
            </w:pPr>
          </w:p>
        </w:tc>
        <w:tc>
          <w:tcPr>
            <w:tcW w:w="1790" w:type="dxa"/>
            <w:gridSpan w:val="2"/>
            <w:tcBorders>
              <w:top w:val="single" w:sz="4" w:space="0" w:color="auto"/>
              <w:bottom w:val="single" w:sz="4" w:space="0" w:color="auto"/>
            </w:tcBorders>
            <w:vAlign w:val="center"/>
          </w:tcPr>
          <w:p w:rsidR="005253AC" w:rsidRPr="000D5690" w:rsidRDefault="005253AC" w:rsidP="00E658B6">
            <w:pPr>
              <w:pStyle w:val="tgchartext"/>
              <w:keepNext/>
              <w:jc w:val="both"/>
              <w:rPr>
                <w:dstrike/>
              </w:rPr>
            </w:pPr>
            <w:r w:rsidRPr="000D5690">
              <w:t>English</w:t>
            </w:r>
          </w:p>
        </w:tc>
        <w:tc>
          <w:tcPr>
            <w:tcW w:w="1928" w:type="dxa"/>
            <w:gridSpan w:val="3"/>
            <w:tcBorders>
              <w:top w:val="single" w:sz="4" w:space="0" w:color="auto"/>
              <w:bottom w:val="single" w:sz="4" w:space="0" w:color="auto"/>
            </w:tcBorders>
            <w:vAlign w:val="center"/>
          </w:tcPr>
          <w:p w:rsidR="005253AC" w:rsidRPr="000D5690" w:rsidRDefault="005253AC" w:rsidP="00E658B6">
            <w:pPr>
              <w:pStyle w:val="tgchartext"/>
              <w:keepNext/>
              <w:rPr>
                <w:dstrike/>
                <w:lang w:val="fr-FR"/>
              </w:rPr>
            </w:pPr>
            <w:r w:rsidRPr="000D5690">
              <w:rPr>
                <w:lang w:val="fr-FR"/>
              </w:rPr>
              <w:t>français</w:t>
            </w:r>
          </w:p>
        </w:tc>
        <w:tc>
          <w:tcPr>
            <w:tcW w:w="1914" w:type="dxa"/>
            <w:gridSpan w:val="2"/>
            <w:tcBorders>
              <w:top w:val="single" w:sz="4" w:space="0" w:color="auto"/>
              <w:bottom w:val="single" w:sz="4" w:space="0" w:color="auto"/>
            </w:tcBorders>
            <w:vAlign w:val="center"/>
          </w:tcPr>
          <w:p w:rsidR="005253AC" w:rsidRPr="000D5690" w:rsidRDefault="005253AC" w:rsidP="00E658B6">
            <w:pPr>
              <w:pStyle w:val="tgchartext"/>
              <w:keepNext/>
              <w:rPr>
                <w:dstrike/>
                <w:lang w:val="de-DE"/>
              </w:rPr>
            </w:pPr>
            <w:r w:rsidRPr="000D5690">
              <w:rPr>
                <w:lang w:val="de-DE"/>
              </w:rPr>
              <w:t>deutsch</w:t>
            </w:r>
          </w:p>
        </w:tc>
        <w:tc>
          <w:tcPr>
            <w:tcW w:w="1914" w:type="dxa"/>
            <w:tcBorders>
              <w:top w:val="single" w:sz="4" w:space="0" w:color="auto"/>
              <w:bottom w:val="single" w:sz="4" w:space="0" w:color="auto"/>
            </w:tcBorders>
            <w:vAlign w:val="center"/>
          </w:tcPr>
          <w:p w:rsidR="005253AC" w:rsidRPr="000D5690" w:rsidRDefault="005253AC" w:rsidP="00E658B6">
            <w:pPr>
              <w:pStyle w:val="tgchartext"/>
              <w:keepNext/>
              <w:rPr>
                <w:dstrike/>
                <w:lang w:val="es-ES_tradnl"/>
              </w:rPr>
            </w:pPr>
            <w:r w:rsidRPr="000D5690">
              <w:rPr>
                <w:lang w:val="es-ES_tradnl"/>
              </w:rPr>
              <w:t>español</w:t>
            </w:r>
          </w:p>
        </w:tc>
        <w:tc>
          <w:tcPr>
            <w:tcW w:w="1810" w:type="dxa"/>
            <w:tcBorders>
              <w:top w:val="single" w:sz="4" w:space="0" w:color="auto"/>
              <w:bottom w:val="single" w:sz="4" w:space="0" w:color="auto"/>
            </w:tcBorders>
            <w:vAlign w:val="center"/>
          </w:tcPr>
          <w:p w:rsidR="005253AC" w:rsidRPr="000D5690" w:rsidRDefault="005253AC" w:rsidP="00E658B6">
            <w:pPr>
              <w:pStyle w:val="tgchartext"/>
              <w:keepNext/>
              <w:rPr>
                <w:dstrike/>
              </w:rPr>
            </w:pPr>
            <w:r w:rsidRPr="000D5690">
              <w:t>Example Varieties</w:t>
            </w:r>
            <w:r w:rsidRPr="000D5690">
              <w:br/>
            </w:r>
            <w:proofErr w:type="spellStart"/>
            <w:r w:rsidRPr="000D5690">
              <w:t>Exemples</w:t>
            </w:r>
            <w:proofErr w:type="spellEnd"/>
            <w:r w:rsidRPr="000D5690">
              <w:br/>
            </w:r>
            <w:proofErr w:type="spellStart"/>
            <w:r w:rsidRPr="000D5690">
              <w:t>Beispielssorten</w:t>
            </w:r>
            <w:proofErr w:type="spellEnd"/>
            <w:r w:rsidRPr="000D5690">
              <w:br/>
            </w:r>
            <w:proofErr w:type="spellStart"/>
            <w:r w:rsidRPr="000D5690">
              <w:t>Variedades</w:t>
            </w:r>
            <w:proofErr w:type="spellEnd"/>
            <w:r w:rsidRPr="000D5690">
              <w:t xml:space="preserve"> </w:t>
            </w:r>
            <w:proofErr w:type="spellStart"/>
            <w:r w:rsidRPr="000D5690">
              <w:t>ejemplo</w:t>
            </w:r>
            <w:proofErr w:type="spellEnd"/>
          </w:p>
        </w:tc>
        <w:tc>
          <w:tcPr>
            <w:tcW w:w="567" w:type="dxa"/>
            <w:tcBorders>
              <w:top w:val="single" w:sz="4" w:space="0" w:color="auto"/>
              <w:bottom w:val="single" w:sz="4" w:space="0" w:color="auto"/>
            </w:tcBorders>
            <w:vAlign w:val="center"/>
          </w:tcPr>
          <w:p w:rsidR="005253AC" w:rsidRPr="000D5690" w:rsidRDefault="005253AC" w:rsidP="00E658B6">
            <w:pPr>
              <w:pStyle w:val="tgchartextcentered"/>
              <w:keepNext/>
              <w:rPr>
                <w:b w:val="0"/>
              </w:rPr>
            </w:pPr>
            <w:r w:rsidRPr="000D5690">
              <w:rPr>
                <w:b w:val="0"/>
              </w:rPr>
              <w:t>Note/</w:t>
            </w:r>
            <w:r w:rsidRPr="000D5690">
              <w:rPr>
                <w:b w:val="0"/>
              </w:rPr>
              <w:br/>
              <w:t>Nota</w:t>
            </w:r>
          </w:p>
        </w:tc>
      </w:tr>
      <w:tr w:rsidR="005253AC" w:rsidRPr="000D5690" w:rsidTr="00E658B6">
        <w:trPr>
          <w:cantSplit/>
        </w:trPr>
        <w:tc>
          <w:tcPr>
            <w:tcW w:w="394" w:type="dxa"/>
            <w:tcBorders>
              <w:top w:val="single" w:sz="4" w:space="0" w:color="auto"/>
              <w:bottom w:val="single" w:sz="4" w:space="0" w:color="auto"/>
              <w:right w:val="dotted" w:sz="4" w:space="0" w:color="auto"/>
            </w:tcBorders>
            <w:shd w:val="clear" w:color="auto" w:fill="EBEBEB"/>
            <w:tcMar>
              <w:left w:w="28" w:type="dxa"/>
              <w:right w:w="28" w:type="dxa"/>
            </w:tcMar>
          </w:tcPr>
          <w:p w:rsidR="005253AC" w:rsidRPr="000D5690" w:rsidRDefault="005253AC" w:rsidP="00E658B6">
            <w:pPr>
              <w:keepNext/>
              <w:spacing w:before="80" w:after="80"/>
              <w:jc w:val="left"/>
              <w:rPr>
                <w:b/>
                <w:dstrike/>
                <w:sz w:val="16"/>
                <w:szCs w:val="16"/>
              </w:rPr>
            </w:pPr>
            <w:r w:rsidRPr="000D5690">
              <w:rPr>
                <w:b/>
                <w:sz w:val="16"/>
                <w:szCs w:val="16"/>
              </w:rPr>
              <w:t>100.</w:t>
            </w:r>
          </w:p>
        </w:tc>
        <w:tc>
          <w:tcPr>
            <w:tcW w:w="315" w:type="dxa"/>
            <w:tcBorders>
              <w:top w:val="single" w:sz="4" w:space="0" w:color="auto"/>
              <w:left w:val="dotted" w:sz="4" w:space="0" w:color="auto"/>
              <w:bottom w:val="single" w:sz="4" w:space="0" w:color="auto"/>
              <w:right w:val="dotted" w:sz="4" w:space="0" w:color="auto"/>
            </w:tcBorders>
            <w:shd w:val="clear" w:color="auto" w:fill="EBEBEB"/>
            <w:tcMar>
              <w:left w:w="28" w:type="dxa"/>
              <w:right w:w="28" w:type="dxa"/>
            </w:tcMar>
          </w:tcPr>
          <w:p w:rsidR="005253AC" w:rsidRPr="000D5690" w:rsidRDefault="005253AC" w:rsidP="00E658B6">
            <w:pPr>
              <w:keepNext/>
              <w:spacing w:before="80" w:after="80"/>
              <w:jc w:val="left"/>
              <w:rPr>
                <w:b/>
                <w:dstrike/>
                <w:sz w:val="16"/>
                <w:szCs w:val="16"/>
              </w:rPr>
            </w:pPr>
            <w:r w:rsidRPr="000D5690">
              <w:rPr>
                <w:b/>
                <w:sz w:val="16"/>
                <w:szCs w:val="16"/>
              </w:rPr>
              <w:t>(*)</w:t>
            </w:r>
          </w:p>
        </w:tc>
        <w:tc>
          <w:tcPr>
            <w:tcW w:w="418" w:type="dxa"/>
            <w:tcBorders>
              <w:top w:val="single" w:sz="4" w:space="0" w:color="auto"/>
              <w:left w:val="dotted" w:sz="4" w:space="0" w:color="auto"/>
              <w:bottom w:val="single" w:sz="4" w:space="0" w:color="auto"/>
              <w:right w:val="dotted" w:sz="4" w:space="0" w:color="auto"/>
            </w:tcBorders>
            <w:shd w:val="clear" w:color="auto" w:fill="EBEBEB"/>
          </w:tcPr>
          <w:p w:rsidR="005253AC" w:rsidRPr="000D5690" w:rsidRDefault="005253AC" w:rsidP="00E658B6">
            <w:pPr>
              <w:keepNext/>
              <w:spacing w:before="80" w:after="80"/>
              <w:jc w:val="left"/>
              <w:rPr>
                <w:b/>
                <w:dstrike/>
              </w:rPr>
            </w:pPr>
            <w:r w:rsidRPr="000D5690">
              <w:rPr>
                <w:b/>
                <w:sz w:val="16"/>
                <w:szCs w:val="16"/>
              </w:rPr>
              <w:t xml:space="preserve">QN </w:t>
            </w:r>
          </w:p>
        </w:tc>
        <w:tc>
          <w:tcPr>
            <w:tcW w:w="1372" w:type="dxa"/>
            <w:tcBorders>
              <w:top w:val="single" w:sz="4" w:space="0" w:color="auto"/>
              <w:left w:val="dotted" w:sz="4" w:space="0" w:color="auto"/>
              <w:bottom w:val="single" w:sz="4" w:space="0" w:color="auto"/>
              <w:right w:val="dotted" w:sz="4" w:space="0" w:color="auto"/>
            </w:tcBorders>
            <w:shd w:val="clear" w:color="auto" w:fill="EBEBEB"/>
          </w:tcPr>
          <w:p w:rsidR="005253AC" w:rsidRPr="000D5690" w:rsidRDefault="005253AC" w:rsidP="00E658B6">
            <w:pPr>
              <w:keepNext/>
              <w:spacing w:before="80" w:after="80"/>
              <w:jc w:val="left"/>
              <w:rPr>
                <w:b/>
                <w:dstrike/>
              </w:rPr>
            </w:pPr>
            <w:r w:rsidRPr="000D5690">
              <w:rPr>
                <w:b/>
                <w:sz w:val="16"/>
              </w:rPr>
              <w:t>MG A/VG B</w:t>
            </w:r>
          </w:p>
        </w:tc>
        <w:tc>
          <w:tcPr>
            <w:tcW w:w="392" w:type="dxa"/>
            <w:tcBorders>
              <w:top w:val="single" w:sz="4" w:space="0" w:color="auto"/>
              <w:left w:val="dotted" w:sz="4" w:space="0" w:color="auto"/>
              <w:bottom w:val="single" w:sz="4" w:space="0" w:color="auto"/>
              <w:right w:val="dotted" w:sz="4" w:space="0" w:color="auto"/>
            </w:tcBorders>
            <w:shd w:val="clear" w:color="auto" w:fill="EBEBEB"/>
          </w:tcPr>
          <w:p w:rsidR="005253AC" w:rsidRPr="000D5690" w:rsidRDefault="005253AC" w:rsidP="00E658B6">
            <w:pPr>
              <w:pStyle w:val="tgchartext"/>
              <w:keepNext/>
              <w:rPr>
                <w:b/>
                <w:dstrike/>
              </w:rPr>
            </w:pPr>
            <w:r w:rsidRPr="000D5690">
              <w:rPr>
                <w:b/>
              </w:rPr>
              <w:t>(+)</w:t>
            </w:r>
          </w:p>
        </w:tc>
        <w:tc>
          <w:tcPr>
            <w:tcW w:w="1525" w:type="dxa"/>
            <w:tcBorders>
              <w:top w:val="single" w:sz="4" w:space="0" w:color="auto"/>
              <w:left w:val="dotted" w:sz="4" w:space="0" w:color="auto"/>
              <w:bottom w:val="single" w:sz="4" w:space="0" w:color="auto"/>
              <w:right w:val="dotted" w:sz="4" w:space="0" w:color="auto"/>
            </w:tcBorders>
            <w:shd w:val="clear" w:color="auto" w:fill="EBEBEB"/>
          </w:tcPr>
          <w:p w:rsidR="005253AC" w:rsidRPr="000D5690" w:rsidRDefault="0047214B" w:rsidP="00E658B6">
            <w:pPr>
              <w:pStyle w:val="tgchartext"/>
              <w:keepNext/>
              <w:rPr>
                <w:b/>
                <w:dstrike/>
              </w:rPr>
            </w:pPr>
            <w:r w:rsidRPr="000D5690">
              <w:rPr>
                <w:b/>
                <w:szCs w:val="16"/>
              </w:rPr>
              <w:t>a)</w:t>
            </w:r>
            <w:r w:rsidR="005253AC" w:rsidRPr="000D5690">
              <w:rPr>
                <w:b/>
                <w:szCs w:val="16"/>
              </w:rPr>
              <w:t xml:space="preserve"> </w:t>
            </w:r>
            <w:r w:rsidRPr="000D5690">
              <w:rPr>
                <w:b/>
                <w:szCs w:val="16"/>
              </w:rPr>
              <w:t>b)</w:t>
            </w:r>
            <w:r w:rsidR="005253AC" w:rsidRPr="000D5690">
              <w:rPr>
                <w:b/>
                <w:szCs w:val="16"/>
              </w:rPr>
              <w:t xml:space="preserve"> </w:t>
            </w:r>
            <w:r w:rsidRPr="000D5690">
              <w:rPr>
                <w:b/>
                <w:szCs w:val="16"/>
              </w:rPr>
              <w:t>c)</w:t>
            </w:r>
          </w:p>
        </w:tc>
        <w:tc>
          <w:tcPr>
            <w:tcW w:w="1916" w:type="dxa"/>
            <w:gridSpan w:val="2"/>
            <w:tcBorders>
              <w:top w:val="single" w:sz="4" w:space="0" w:color="auto"/>
              <w:left w:val="dotted" w:sz="4" w:space="0" w:color="auto"/>
              <w:bottom w:val="single" w:sz="4" w:space="0" w:color="auto"/>
              <w:right w:val="nil"/>
            </w:tcBorders>
            <w:shd w:val="clear" w:color="auto" w:fill="EBEBEB"/>
          </w:tcPr>
          <w:p w:rsidR="005253AC" w:rsidRPr="000D5690" w:rsidRDefault="005253AC" w:rsidP="00E658B6">
            <w:pPr>
              <w:pStyle w:val="tgchartext"/>
              <w:keepNext/>
              <w:rPr>
                <w:b/>
                <w:dstrike/>
              </w:rPr>
            </w:pPr>
            <w:r w:rsidRPr="000D5690">
              <w:rPr>
                <w:b/>
                <w:lang w:val="fr-FR"/>
              </w:rPr>
              <w:t>2201, 2202, 2302</w:t>
            </w:r>
          </w:p>
        </w:tc>
        <w:tc>
          <w:tcPr>
            <w:tcW w:w="1923" w:type="dxa"/>
            <w:gridSpan w:val="2"/>
            <w:tcBorders>
              <w:top w:val="single" w:sz="4" w:space="0" w:color="auto"/>
              <w:left w:val="nil"/>
              <w:bottom w:val="single" w:sz="4" w:space="0" w:color="auto"/>
              <w:right w:val="nil"/>
            </w:tcBorders>
            <w:shd w:val="clear" w:color="auto" w:fill="EBEBEB"/>
          </w:tcPr>
          <w:p w:rsidR="005253AC" w:rsidRPr="000D5690" w:rsidRDefault="005253AC" w:rsidP="00E658B6">
            <w:pPr>
              <w:pStyle w:val="tgchartext"/>
              <w:keepNext/>
              <w:rPr>
                <w:dstrike/>
                <w:lang w:val="es-ES_tradnl"/>
              </w:rPr>
            </w:pPr>
          </w:p>
        </w:tc>
        <w:tc>
          <w:tcPr>
            <w:tcW w:w="1810" w:type="dxa"/>
            <w:tcBorders>
              <w:top w:val="single" w:sz="4" w:space="0" w:color="auto"/>
              <w:left w:val="nil"/>
              <w:bottom w:val="single" w:sz="4" w:space="0" w:color="auto"/>
              <w:right w:val="nil"/>
            </w:tcBorders>
            <w:shd w:val="clear" w:color="auto" w:fill="EBEBEB"/>
          </w:tcPr>
          <w:p w:rsidR="005253AC" w:rsidRPr="000D5690" w:rsidRDefault="005253AC" w:rsidP="00E658B6">
            <w:pPr>
              <w:pStyle w:val="tgchartext"/>
              <w:keepNext/>
              <w:rPr>
                <w:dstrike/>
              </w:rPr>
            </w:pPr>
          </w:p>
        </w:tc>
        <w:tc>
          <w:tcPr>
            <w:tcW w:w="567" w:type="dxa"/>
            <w:tcBorders>
              <w:top w:val="single" w:sz="4" w:space="0" w:color="auto"/>
              <w:left w:val="nil"/>
              <w:bottom w:val="single" w:sz="4" w:space="0" w:color="auto"/>
            </w:tcBorders>
            <w:shd w:val="clear" w:color="auto" w:fill="EBEBEB"/>
          </w:tcPr>
          <w:p w:rsidR="005253AC" w:rsidRPr="000D5690" w:rsidRDefault="005253AC" w:rsidP="00E658B6">
            <w:pPr>
              <w:pStyle w:val="tgchartextcentered"/>
              <w:keepNext/>
            </w:pPr>
          </w:p>
        </w:tc>
      </w:tr>
      <w:tr w:rsidR="005253AC" w:rsidRPr="000D5690" w:rsidTr="00E658B6">
        <w:trPr>
          <w:cantSplit/>
        </w:trPr>
        <w:tc>
          <w:tcPr>
            <w:tcW w:w="709" w:type="dxa"/>
            <w:gridSpan w:val="2"/>
            <w:tcBorders>
              <w:top w:val="single" w:sz="4" w:space="0" w:color="auto"/>
            </w:tcBorders>
          </w:tcPr>
          <w:p w:rsidR="005253AC" w:rsidRPr="000D5690" w:rsidRDefault="005253AC" w:rsidP="00E658B6">
            <w:pPr>
              <w:keepNext/>
              <w:spacing w:before="80" w:after="80"/>
              <w:jc w:val="left"/>
              <w:rPr>
                <w:b/>
                <w:sz w:val="16"/>
                <w:szCs w:val="16"/>
              </w:rPr>
            </w:pPr>
          </w:p>
        </w:tc>
        <w:tc>
          <w:tcPr>
            <w:tcW w:w="1790" w:type="dxa"/>
            <w:gridSpan w:val="2"/>
            <w:tcBorders>
              <w:top w:val="single" w:sz="4" w:space="0" w:color="auto"/>
              <w:bottom w:val="dotted" w:sz="2" w:space="0" w:color="auto"/>
            </w:tcBorders>
          </w:tcPr>
          <w:p w:rsidR="005253AC" w:rsidRPr="000D5690" w:rsidRDefault="005253AC" w:rsidP="00E658B6">
            <w:pPr>
              <w:keepNext/>
              <w:spacing w:before="80" w:after="80"/>
              <w:jc w:val="left"/>
              <w:rPr>
                <w:dstrike/>
              </w:rPr>
            </w:pPr>
            <w:r w:rsidRPr="000D5690">
              <w:rPr>
                <w:b/>
                <w:sz w:val="16"/>
                <w:szCs w:val="16"/>
              </w:rPr>
              <w:t>Plant: growth habit</w:t>
            </w:r>
          </w:p>
        </w:tc>
        <w:tc>
          <w:tcPr>
            <w:tcW w:w="1917" w:type="dxa"/>
            <w:gridSpan w:val="2"/>
            <w:tcBorders>
              <w:top w:val="single" w:sz="4" w:space="0" w:color="auto"/>
              <w:bottom w:val="dotted" w:sz="2" w:space="0" w:color="auto"/>
            </w:tcBorders>
          </w:tcPr>
          <w:p w:rsidR="005253AC" w:rsidRPr="000D5690" w:rsidRDefault="005253AC" w:rsidP="00E658B6">
            <w:pPr>
              <w:keepNext/>
              <w:spacing w:before="80" w:after="80"/>
              <w:jc w:val="left"/>
              <w:rPr>
                <w:dstrike/>
              </w:rPr>
            </w:pPr>
            <w:proofErr w:type="spellStart"/>
            <w:r w:rsidRPr="000D5690">
              <w:rPr>
                <w:b/>
                <w:sz w:val="16"/>
                <w:szCs w:val="16"/>
              </w:rPr>
              <w:t>Plante</w:t>
            </w:r>
            <w:proofErr w:type="spellEnd"/>
            <w:r w:rsidRPr="000D5690">
              <w:rPr>
                <w:b/>
                <w:sz w:val="16"/>
                <w:szCs w:val="16"/>
              </w:rPr>
              <w:t>: port</w:t>
            </w:r>
          </w:p>
        </w:tc>
        <w:tc>
          <w:tcPr>
            <w:tcW w:w="1916" w:type="dxa"/>
            <w:gridSpan w:val="2"/>
            <w:tcBorders>
              <w:top w:val="single" w:sz="4" w:space="0" w:color="auto"/>
              <w:bottom w:val="dotted" w:sz="2" w:space="0" w:color="auto"/>
            </w:tcBorders>
          </w:tcPr>
          <w:p w:rsidR="005253AC" w:rsidRPr="000D5690" w:rsidRDefault="005253AC" w:rsidP="00E658B6">
            <w:pPr>
              <w:keepNext/>
              <w:spacing w:before="80" w:after="80"/>
              <w:jc w:val="left"/>
              <w:rPr>
                <w:dstrike/>
              </w:rPr>
            </w:pPr>
            <w:proofErr w:type="spellStart"/>
            <w:r w:rsidRPr="000D5690">
              <w:rPr>
                <w:b/>
                <w:sz w:val="16"/>
                <w:szCs w:val="16"/>
              </w:rPr>
              <w:t>Pflanze</w:t>
            </w:r>
            <w:proofErr w:type="spellEnd"/>
            <w:r w:rsidRPr="000D5690">
              <w:rPr>
                <w:b/>
                <w:sz w:val="16"/>
                <w:szCs w:val="16"/>
              </w:rPr>
              <w:t xml:space="preserve">: </w:t>
            </w:r>
            <w:proofErr w:type="spellStart"/>
            <w:r w:rsidRPr="000D5690">
              <w:rPr>
                <w:b/>
                <w:sz w:val="16"/>
                <w:szCs w:val="16"/>
              </w:rPr>
              <w:t>Wuchsform</w:t>
            </w:r>
            <w:proofErr w:type="spellEnd"/>
          </w:p>
        </w:tc>
        <w:tc>
          <w:tcPr>
            <w:tcW w:w="1923" w:type="dxa"/>
            <w:gridSpan w:val="2"/>
            <w:tcBorders>
              <w:top w:val="single" w:sz="4" w:space="0" w:color="auto"/>
              <w:bottom w:val="dotted" w:sz="2" w:space="0" w:color="auto"/>
            </w:tcBorders>
          </w:tcPr>
          <w:p w:rsidR="005253AC" w:rsidRPr="000D5690" w:rsidRDefault="005253AC" w:rsidP="00E658B6">
            <w:pPr>
              <w:keepNext/>
              <w:spacing w:before="80" w:after="80"/>
              <w:jc w:val="left"/>
              <w:rPr>
                <w:dstrike/>
              </w:rPr>
            </w:pPr>
            <w:r w:rsidRPr="000D5690">
              <w:rPr>
                <w:b/>
                <w:sz w:val="16"/>
                <w:szCs w:val="16"/>
              </w:rPr>
              <w:t xml:space="preserve">Planta: </w:t>
            </w:r>
            <w:proofErr w:type="spellStart"/>
            <w:r w:rsidRPr="000D5690">
              <w:rPr>
                <w:b/>
                <w:sz w:val="16"/>
                <w:szCs w:val="16"/>
              </w:rPr>
              <w:t>porte</w:t>
            </w:r>
            <w:proofErr w:type="spellEnd"/>
          </w:p>
        </w:tc>
        <w:tc>
          <w:tcPr>
            <w:tcW w:w="1810" w:type="dxa"/>
            <w:tcBorders>
              <w:top w:val="single" w:sz="4" w:space="0" w:color="auto"/>
              <w:bottom w:val="dotted" w:sz="2" w:space="0" w:color="auto"/>
            </w:tcBorders>
          </w:tcPr>
          <w:p w:rsidR="005253AC" w:rsidRPr="000D5690" w:rsidRDefault="005253AC" w:rsidP="00E658B6">
            <w:pPr>
              <w:keepNext/>
              <w:spacing w:before="80" w:after="80"/>
            </w:pPr>
          </w:p>
        </w:tc>
        <w:tc>
          <w:tcPr>
            <w:tcW w:w="567" w:type="dxa"/>
            <w:tcBorders>
              <w:top w:val="single" w:sz="4" w:space="0" w:color="auto"/>
              <w:bottom w:val="dotted" w:sz="2" w:space="0" w:color="auto"/>
            </w:tcBorders>
          </w:tcPr>
          <w:p w:rsidR="005253AC" w:rsidRPr="000D5690" w:rsidRDefault="005253AC" w:rsidP="00E658B6">
            <w:pPr>
              <w:keepNext/>
              <w:spacing w:before="80" w:after="80"/>
              <w:jc w:val="center"/>
            </w:pPr>
          </w:p>
        </w:tc>
      </w:tr>
      <w:tr w:rsidR="006F367A" w:rsidRPr="000D5690" w:rsidTr="00E658B6">
        <w:trPr>
          <w:cantSplit/>
        </w:trPr>
        <w:tc>
          <w:tcPr>
            <w:tcW w:w="709" w:type="dxa"/>
            <w:gridSpan w:val="2"/>
          </w:tcPr>
          <w:p w:rsidR="006F367A" w:rsidRPr="000D5690" w:rsidRDefault="006F367A" w:rsidP="00E658B6">
            <w:pPr>
              <w:keepNext/>
              <w:spacing w:before="80" w:after="80"/>
              <w:jc w:val="left"/>
              <w:rPr>
                <w:sz w:val="16"/>
                <w:szCs w:val="16"/>
              </w:rPr>
            </w:pPr>
          </w:p>
        </w:tc>
        <w:tc>
          <w:tcPr>
            <w:tcW w:w="1790" w:type="dxa"/>
            <w:gridSpan w:val="2"/>
            <w:tcBorders>
              <w:top w:val="dotted" w:sz="2" w:space="0" w:color="auto"/>
              <w:bottom w:val="dotted" w:sz="2" w:space="0" w:color="auto"/>
            </w:tcBorders>
          </w:tcPr>
          <w:p w:rsidR="006F367A" w:rsidRPr="000D5690" w:rsidRDefault="006F367A" w:rsidP="00E658B6">
            <w:pPr>
              <w:keepNext/>
              <w:spacing w:before="80" w:after="80"/>
              <w:jc w:val="left"/>
            </w:pPr>
            <w:r w:rsidRPr="000D5690">
              <w:rPr>
                <w:sz w:val="16"/>
                <w:szCs w:val="16"/>
              </w:rPr>
              <w:t>upright</w:t>
            </w:r>
          </w:p>
        </w:tc>
        <w:tc>
          <w:tcPr>
            <w:tcW w:w="1917" w:type="dxa"/>
            <w:gridSpan w:val="2"/>
            <w:tcBorders>
              <w:top w:val="dotted" w:sz="2" w:space="0" w:color="auto"/>
              <w:bottom w:val="dotted" w:sz="2" w:space="0" w:color="auto"/>
            </w:tcBorders>
          </w:tcPr>
          <w:p w:rsidR="006F367A" w:rsidRPr="000D5690" w:rsidRDefault="006F367A" w:rsidP="00E658B6">
            <w:pPr>
              <w:keepNext/>
              <w:spacing w:before="80" w:after="80"/>
            </w:pPr>
          </w:p>
        </w:tc>
        <w:tc>
          <w:tcPr>
            <w:tcW w:w="1916" w:type="dxa"/>
            <w:gridSpan w:val="2"/>
            <w:tcBorders>
              <w:top w:val="dotted" w:sz="2" w:space="0" w:color="auto"/>
              <w:bottom w:val="dotted" w:sz="2" w:space="0" w:color="auto"/>
            </w:tcBorders>
          </w:tcPr>
          <w:p w:rsidR="006F367A" w:rsidRPr="000D5690" w:rsidRDefault="006F367A" w:rsidP="00E658B6">
            <w:pPr>
              <w:keepNext/>
              <w:spacing w:before="80" w:after="80"/>
            </w:pPr>
          </w:p>
        </w:tc>
        <w:tc>
          <w:tcPr>
            <w:tcW w:w="1923" w:type="dxa"/>
            <w:gridSpan w:val="2"/>
            <w:tcBorders>
              <w:top w:val="dotted" w:sz="2" w:space="0" w:color="auto"/>
              <w:bottom w:val="dotted" w:sz="2" w:space="0" w:color="auto"/>
            </w:tcBorders>
          </w:tcPr>
          <w:p w:rsidR="006F367A" w:rsidRPr="000D5690" w:rsidRDefault="006F367A" w:rsidP="000D5690">
            <w:pPr>
              <w:keepNext/>
              <w:spacing w:before="80" w:after="80"/>
              <w:jc w:val="left"/>
            </w:pPr>
            <w:r w:rsidRPr="000D5690">
              <w:rPr>
                <w:sz w:val="16"/>
                <w:szCs w:val="16"/>
                <w:lang w:val="es-ES_tradnl"/>
              </w:rPr>
              <w:t>erecto</w:t>
            </w:r>
          </w:p>
        </w:tc>
        <w:tc>
          <w:tcPr>
            <w:tcW w:w="1810" w:type="dxa"/>
            <w:tcBorders>
              <w:top w:val="dotted" w:sz="2" w:space="0" w:color="auto"/>
              <w:bottom w:val="dotted" w:sz="2" w:space="0" w:color="auto"/>
            </w:tcBorders>
          </w:tcPr>
          <w:p w:rsidR="006F367A" w:rsidRPr="000D5690" w:rsidRDefault="006F367A" w:rsidP="00E658B6">
            <w:pPr>
              <w:keepNext/>
              <w:spacing w:before="80" w:after="80"/>
            </w:pPr>
          </w:p>
        </w:tc>
        <w:tc>
          <w:tcPr>
            <w:tcW w:w="567" w:type="dxa"/>
            <w:tcBorders>
              <w:top w:val="dotted" w:sz="2" w:space="0" w:color="auto"/>
              <w:bottom w:val="dotted" w:sz="2" w:space="0" w:color="auto"/>
            </w:tcBorders>
          </w:tcPr>
          <w:p w:rsidR="006F367A" w:rsidRPr="000D5690" w:rsidRDefault="006F367A" w:rsidP="00E658B6">
            <w:pPr>
              <w:keepNext/>
              <w:spacing w:before="80" w:after="80"/>
              <w:jc w:val="center"/>
            </w:pPr>
            <w:r w:rsidRPr="000D5690">
              <w:rPr>
                <w:sz w:val="16"/>
                <w:szCs w:val="16"/>
              </w:rPr>
              <w:t>1</w:t>
            </w:r>
          </w:p>
        </w:tc>
      </w:tr>
      <w:tr w:rsidR="006F367A" w:rsidRPr="000D5690" w:rsidTr="00E658B6">
        <w:trPr>
          <w:cantSplit/>
        </w:trPr>
        <w:tc>
          <w:tcPr>
            <w:tcW w:w="709" w:type="dxa"/>
            <w:gridSpan w:val="2"/>
            <w:tcBorders>
              <w:bottom w:val="nil"/>
            </w:tcBorders>
          </w:tcPr>
          <w:p w:rsidR="006F367A" w:rsidRPr="000D5690" w:rsidRDefault="006F367A" w:rsidP="00E658B6">
            <w:pPr>
              <w:keepNext/>
              <w:spacing w:before="80" w:after="80"/>
              <w:jc w:val="left"/>
              <w:rPr>
                <w:sz w:val="16"/>
                <w:szCs w:val="16"/>
              </w:rPr>
            </w:pPr>
          </w:p>
        </w:tc>
        <w:tc>
          <w:tcPr>
            <w:tcW w:w="1790" w:type="dxa"/>
            <w:gridSpan w:val="2"/>
            <w:tcBorders>
              <w:top w:val="dotted" w:sz="2" w:space="0" w:color="auto"/>
              <w:bottom w:val="dotted" w:sz="2" w:space="0" w:color="auto"/>
            </w:tcBorders>
          </w:tcPr>
          <w:p w:rsidR="006F367A" w:rsidRPr="000D5690" w:rsidRDefault="006F367A" w:rsidP="00E658B6">
            <w:pPr>
              <w:keepNext/>
              <w:spacing w:before="80" w:after="80"/>
              <w:jc w:val="left"/>
            </w:pPr>
            <w:r w:rsidRPr="000D5690">
              <w:rPr>
                <w:sz w:val="16"/>
                <w:szCs w:val="16"/>
              </w:rPr>
              <w:t>semi upright</w:t>
            </w:r>
          </w:p>
        </w:tc>
        <w:tc>
          <w:tcPr>
            <w:tcW w:w="1917" w:type="dxa"/>
            <w:gridSpan w:val="2"/>
            <w:tcBorders>
              <w:top w:val="dotted" w:sz="2" w:space="0" w:color="auto"/>
              <w:bottom w:val="dotted" w:sz="2" w:space="0" w:color="auto"/>
            </w:tcBorders>
          </w:tcPr>
          <w:p w:rsidR="006F367A" w:rsidRPr="000D5690" w:rsidRDefault="006F367A" w:rsidP="00E658B6">
            <w:pPr>
              <w:keepNext/>
              <w:spacing w:before="80" w:after="80"/>
            </w:pPr>
          </w:p>
        </w:tc>
        <w:tc>
          <w:tcPr>
            <w:tcW w:w="1916" w:type="dxa"/>
            <w:gridSpan w:val="2"/>
            <w:tcBorders>
              <w:top w:val="dotted" w:sz="2" w:space="0" w:color="auto"/>
              <w:bottom w:val="dotted" w:sz="2" w:space="0" w:color="auto"/>
            </w:tcBorders>
          </w:tcPr>
          <w:p w:rsidR="006F367A" w:rsidRPr="000D5690" w:rsidRDefault="006F367A" w:rsidP="00E658B6">
            <w:pPr>
              <w:keepNext/>
              <w:spacing w:before="80" w:after="80"/>
            </w:pPr>
          </w:p>
        </w:tc>
        <w:tc>
          <w:tcPr>
            <w:tcW w:w="1923" w:type="dxa"/>
            <w:gridSpan w:val="2"/>
            <w:tcBorders>
              <w:top w:val="dotted" w:sz="2" w:space="0" w:color="auto"/>
              <w:bottom w:val="dotted" w:sz="2" w:space="0" w:color="auto"/>
            </w:tcBorders>
          </w:tcPr>
          <w:p w:rsidR="006F367A" w:rsidRPr="000D5690" w:rsidRDefault="006F367A" w:rsidP="000D5690">
            <w:pPr>
              <w:keepNext/>
              <w:spacing w:before="80" w:after="80"/>
              <w:jc w:val="left"/>
            </w:pPr>
            <w:proofErr w:type="spellStart"/>
            <w:r w:rsidRPr="000D5690">
              <w:rPr>
                <w:sz w:val="16"/>
                <w:szCs w:val="16"/>
                <w:lang w:val="es-ES_tradnl"/>
              </w:rPr>
              <w:t>semierecto</w:t>
            </w:r>
            <w:proofErr w:type="spellEnd"/>
          </w:p>
        </w:tc>
        <w:tc>
          <w:tcPr>
            <w:tcW w:w="1810" w:type="dxa"/>
            <w:tcBorders>
              <w:top w:val="dotted" w:sz="2" w:space="0" w:color="auto"/>
              <w:bottom w:val="dotted" w:sz="2" w:space="0" w:color="auto"/>
            </w:tcBorders>
          </w:tcPr>
          <w:p w:rsidR="006F367A" w:rsidRPr="000D5690" w:rsidRDefault="006F367A" w:rsidP="006F367A">
            <w:pPr>
              <w:keepNext/>
              <w:spacing w:before="80" w:after="80"/>
              <w:jc w:val="left"/>
            </w:pPr>
            <w:proofErr w:type="spellStart"/>
            <w:r w:rsidRPr="000D5690">
              <w:rPr>
                <w:sz w:val="16"/>
                <w:szCs w:val="16"/>
              </w:rPr>
              <w:t>Okayamazairai</w:t>
            </w:r>
            <w:proofErr w:type="spellEnd"/>
          </w:p>
        </w:tc>
        <w:tc>
          <w:tcPr>
            <w:tcW w:w="567" w:type="dxa"/>
            <w:tcBorders>
              <w:top w:val="dotted" w:sz="2" w:space="0" w:color="auto"/>
              <w:bottom w:val="dotted" w:sz="2" w:space="0" w:color="auto"/>
            </w:tcBorders>
          </w:tcPr>
          <w:p w:rsidR="006F367A" w:rsidRPr="000D5690" w:rsidRDefault="006F367A" w:rsidP="00E658B6">
            <w:pPr>
              <w:keepNext/>
              <w:spacing w:before="80" w:after="80"/>
              <w:jc w:val="center"/>
            </w:pPr>
            <w:r w:rsidRPr="000D5690">
              <w:rPr>
                <w:sz w:val="16"/>
                <w:szCs w:val="16"/>
              </w:rPr>
              <w:t>2</w:t>
            </w:r>
          </w:p>
        </w:tc>
      </w:tr>
      <w:tr w:rsidR="006F367A" w:rsidRPr="000D5690" w:rsidTr="00E658B6">
        <w:trPr>
          <w:cantSplit/>
        </w:trPr>
        <w:tc>
          <w:tcPr>
            <w:tcW w:w="709" w:type="dxa"/>
            <w:gridSpan w:val="2"/>
            <w:tcBorders>
              <w:bottom w:val="single" w:sz="4" w:space="0" w:color="auto"/>
            </w:tcBorders>
          </w:tcPr>
          <w:p w:rsidR="006F367A" w:rsidRPr="000D5690" w:rsidRDefault="006F367A" w:rsidP="00E658B6">
            <w:pPr>
              <w:keepNext/>
              <w:spacing w:before="80" w:after="80"/>
              <w:jc w:val="left"/>
              <w:rPr>
                <w:sz w:val="16"/>
                <w:szCs w:val="16"/>
              </w:rPr>
            </w:pPr>
          </w:p>
        </w:tc>
        <w:tc>
          <w:tcPr>
            <w:tcW w:w="1790" w:type="dxa"/>
            <w:gridSpan w:val="2"/>
            <w:tcBorders>
              <w:top w:val="dotted" w:sz="2" w:space="0" w:color="auto"/>
              <w:bottom w:val="single" w:sz="4" w:space="0" w:color="auto"/>
            </w:tcBorders>
          </w:tcPr>
          <w:p w:rsidR="006F367A" w:rsidRPr="000D5690" w:rsidRDefault="006F367A" w:rsidP="00E658B6">
            <w:pPr>
              <w:keepNext/>
              <w:spacing w:before="80" w:after="80"/>
              <w:jc w:val="left"/>
            </w:pPr>
            <w:r w:rsidRPr="000D5690">
              <w:rPr>
                <w:sz w:val="16"/>
                <w:szCs w:val="16"/>
              </w:rPr>
              <w:t>spreading</w:t>
            </w:r>
          </w:p>
        </w:tc>
        <w:tc>
          <w:tcPr>
            <w:tcW w:w="1917" w:type="dxa"/>
            <w:gridSpan w:val="2"/>
            <w:tcBorders>
              <w:top w:val="dotted" w:sz="2" w:space="0" w:color="auto"/>
              <w:bottom w:val="single" w:sz="4" w:space="0" w:color="auto"/>
            </w:tcBorders>
          </w:tcPr>
          <w:p w:rsidR="006F367A" w:rsidRPr="000D5690" w:rsidRDefault="006F367A" w:rsidP="00E658B6">
            <w:pPr>
              <w:keepNext/>
              <w:spacing w:before="80" w:after="80"/>
            </w:pPr>
          </w:p>
        </w:tc>
        <w:tc>
          <w:tcPr>
            <w:tcW w:w="1916" w:type="dxa"/>
            <w:gridSpan w:val="2"/>
            <w:tcBorders>
              <w:top w:val="dotted" w:sz="2" w:space="0" w:color="auto"/>
              <w:bottom w:val="single" w:sz="4" w:space="0" w:color="auto"/>
            </w:tcBorders>
          </w:tcPr>
          <w:p w:rsidR="006F367A" w:rsidRPr="000D5690" w:rsidRDefault="006F367A" w:rsidP="00E658B6">
            <w:pPr>
              <w:keepNext/>
              <w:spacing w:before="80" w:after="80"/>
            </w:pPr>
          </w:p>
        </w:tc>
        <w:tc>
          <w:tcPr>
            <w:tcW w:w="1923" w:type="dxa"/>
            <w:gridSpan w:val="2"/>
            <w:tcBorders>
              <w:top w:val="dotted" w:sz="2" w:space="0" w:color="auto"/>
              <w:bottom w:val="single" w:sz="4" w:space="0" w:color="auto"/>
            </w:tcBorders>
          </w:tcPr>
          <w:p w:rsidR="006F367A" w:rsidRPr="000D5690" w:rsidRDefault="006F367A" w:rsidP="000D5690">
            <w:pPr>
              <w:keepNext/>
              <w:spacing w:before="80" w:after="80"/>
              <w:jc w:val="left"/>
            </w:pPr>
            <w:r w:rsidRPr="000D5690">
              <w:rPr>
                <w:sz w:val="16"/>
                <w:szCs w:val="16"/>
                <w:lang w:val="es-ES_tradnl"/>
              </w:rPr>
              <w:t>extendido</w:t>
            </w:r>
          </w:p>
        </w:tc>
        <w:tc>
          <w:tcPr>
            <w:tcW w:w="1810" w:type="dxa"/>
            <w:tcBorders>
              <w:top w:val="dotted" w:sz="2" w:space="0" w:color="auto"/>
              <w:bottom w:val="single" w:sz="4" w:space="0" w:color="auto"/>
            </w:tcBorders>
          </w:tcPr>
          <w:p w:rsidR="006F367A" w:rsidRPr="000D5690" w:rsidRDefault="006F367A" w:rsidP="00E658B6">
            <w:pPr>
              <w:keepNext/>
              <w:spacing w:before="80" w:after="80"/>
            </w:pPr>
          </w:p>
        </w:tc>
        <w:tc>
          <w:tcPr>
            <w:tcW w:w="567" w:type="dxa"/>
            <w:tcBorders>
              <w:top w:val="dotted" w:sz="2" w:space="0" w:color="auto"/>
              <w:bottom w:val="single" w:sz="4" w:space="0" w:color="auto"/>
            </w:tcBorders>
          </w:tcPr>
          <w:p w:rsidR="006F367A" w:rsidRPr="000D5690" w:rsidRDefault="006F367A" w:rsidP="00E658B6">
            <w:pPr>
              <w:keepNext/>
              <w:spacing w:before="80" w:after="80"/>
              <w:jc w:val="center"/>
            </w:pPr>
            <w:r w:rsidRPr="000D5690">
              <w:rPr>
                <w:sz w:val="16"/>
                <w:szCs w:val="16"/>
              </w:rPr>
              <w:t>3</w:t>
            </w:r>
          </w:p>
        </w:tc>
      </w:tr>
    </w:tbl>
    <w:p w:rsidR="005253AC" w:rsidRPr="000D5690" w:rsidRDefault="005253AC" w:rsidP="005253AC"/>
    <w:p w:rsidR="005253AC" w:rsidRPr="000D5690" w:rsidRDefault="005253AC" w:rsidP="005253AC"/>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85553A" w:rsidRPr="000D5690">
        <w:rPr>
          <w:lang w:val="es-ES_tradnl"/>
        </w:rPr>
        <w:t xml:space="preserve">El TC convino en que </w:t>
      </w:r>
      <w:r w:rsidR="004734F3" w:rsidRPr="000D5690">
        <w:rPr>
          <w:lang w:val="es-ES_tradnl"/>
        </w:rPr>
        <w:t>en el campo “</w:t>
      </w:r>
      <w:r w:rsidR="004734F3" w:rsidRPr="000D5690">
        <w:rPr>
          <w:rFonts w:eastAsia="MS Mincho"/>
          <w:lang w:val="es-ES_tradnl"/>
        </w:rPr>
        <w:t>método de observación</w:t>
      </w:r>
      <w:r w:rsidR="004734F3" w:rsidRPr="000D5690">
        <w:rPr>
          <w:lang w:val="es-ES_tradnl"/>
        </w:rPr>
        <w:t xml:space="preserve">” debe figurar en primer lugar </w:t>
      </w:r>
      <w:r w:rsidR="0085553A" w:rsidRPr="000D5690">
        <w:rPr>
          <w:lang w:val="es-ES_tradnl"/>
        </w:rPr>
        <w:t>el método más comúnmente utilizado para la observación de un</w:t>
      </w:r>
      <w:r w:rsidR="004734F3" w:rsidRPr="000D5690">
        <w:rPr>
          <w:lang w:val="es-ES_tradnl"/>
        </w:rPr>
        <w:t xml:space="preserve"> carácter </w:t>
      </w:r>
      <w:r w:rsidR="0085553A" w:rsidRPr="000D5690">
        <w:rPr>
          <w:lang w:val="es-ES_tradnl"/>
        </w:rPr>
        <w:t xml:space="preserve">en la </w:t>
      </w:r>
      <w:r w:rsidR="004734F3" w:rsidRPr="000D5690">
        <w:rPr>
          <w:lang w:val="es-ES_tradnl"/>
        </w:rPr>
        <w:t>tabla de caracteres</w:t>
      </w:r>
      <w:r w:rsidR="0085553A" w:rsidRPr="000D5690">
        <w:rPr>
          <w:lang w:val="es-ES_tradnl"/>
        </w:rPr>
        <w:t>.</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4734F3" w:rsidRPr="000D5690">
        <w:rPr>
          <w:lang w:val="es-ES_tradnl"/>
        </w:rPr>
        <w:t>El TC señaló que la versión 1 de la plantilla en Internet de los documentos TG se concluyó antes de comenzar la elaboración del proyecto de</w:t>
      </w:r>
      <w:r w:rsidR="00B148BD" w:rsidRPr="000D5690">
        <w:rPr>
          <w:lang w:val="es-ES_tradnl"/>
        </w:rPr>
        <w:t xml:space="preserve"> directrices de examen para los </w:t>
      </w:r>
      <w:r w:rsidR="004734F3" w:rsidRPr="000D5690">
        <w:rPr>
          <w:lang w:val="es-ES_tradnl"/>
        </w:rPr>
        <w:t>TWP de</w:t>
      </w:r>
      <w:r w:rsidR="00B148BD" w:rsidRPr="000D5690">
        <w:rPr>
          <w:lang w:val="es-ES_tradnl"/>
        </w:rPr>
        <w:t xml:space="preserve"> </w:t>
      </w:r>
      <w:r w:rsidR="004734F3" w:rsidRPr="000D5690">
        <w:rPr>
          <w:lang w:val="es-ES_tradnl"/>
        </w:rPr>
        <w:t>2016, incluida la solución de las cuestiones indicadas en el párrafo 28 del documento TC/52/28.</w:t>
      </w:r>
      <w:r w:rsidR="005253AC" w:rsidRPr="00D6704A">
        <w:rPr>
          <w:lang w:val="es-ES"/>
        </w:rPr>
        <w:t xml:space="preserve">  </w:t>
      </w:r>
      <w:r w:rsidR="004734F3" w:rsidRPr="000D5690">
        <w:rPr>
          <w:lang w:val="es-ES_tradnl"/>
        </w:rPr>
        <w:t>El TC señaló también que la elaboración de la versión 2 de la plantilla en Internet de los documentos TG no comenzar</w:t>
      </w:r>
      <w:r w:rsidR="00C521DE" w:rsidRPr="000D5690">
        <w:rPr>
          <w:lang w:val="es-ES_tradnl"/>
        </w:rPr>
        <w:t>á</w:t>
      </w:r>
      <w:r w:rsidR="004734F3" w:rsidRPr="000D5690">
        <w:rPr>
          <w:lang w:val="es-ES_tradnl"/>
        </w:rPr>
        <w:t xml:space="preserve"> antes de 2018, a reserva de la disponibilidad de recursos, </w:t>
      </w:r>
      <w:r w:rsidR="006468AE" w:rsidRPr="000D5690">
        <w:rPr>
          <w:lang w:val="es-ES_tradnl"/>
        </w:rPr>
        <w:t xml:space="preserve">una vez </w:t>
      </w:r>
      <w:r w:rsidR="004734F3" w:rsidRPr="000D5690">
        <w:rPr>
          <w:lang w:val="es-ES_tradnl"/>
        </w:rPr>
        <w:t>que la versión 1 estuviera completamente estabilizada y probada.</w:t>
      </w:r>
      <w:r w:rsidR="005253AC" w:rsidRPr="00D6704A">
        <w:rPr>
          <w:lang w:val="es-ES"/>
        </w:rPr>
        <w:t xml:space="preserve"> </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6468AE" w:rsidRPr="000D5690">
        <w:rPr>
          <w:lang w:val="es-ES_tradnl"/>
        </w:rPr>
        <w:t xml:space="preserve">El TC </w:t>
      </w:r>
      <w:r w:rsidR="00C521DE" w:rsidRPr="000D5690">
        <w:rPr>
          <w:lang w:val="es-ES_tradnl"/>
        </w:rPr>
        <w:t xml:space="preserve">tomó nota de </w:t>
      </w:r>
      <w:r w:rsidR="006468AE" w:rsidRPr="000D5690">
        <w:rPr>
          <w:lang w:val="es-ES_tradnl"/>
        </w:rPr>
        <w:t>que todas las directrices de examen se generarán de manera automática mediante la plantilla en Internet de los documentos TG a partir de 2016.</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6468AE" w:rsidRPr="000D5690">
        <w:rPr>
          <w:lang w:val="es-ES_tradnl"/>
        </w:rPr>
        <w:t>El TC convino en revisar el documento TGP/7 con la intención de que incluya la introducción de la plantilla en Internet de los documentos TG una vez que la versión 1 esté completamente estabilizada y probada.</w:t>
      </w:r>
      <w:r w:rsidR="005253AC" w:rsidRPr="00D6704A">
        <w:rPr>
          <w:lang w:val="es-ES"/>
        </w:rPr>
        <w:t xml:space="preserve"> </w:t>
      </w:r>
    </w:p>
    <w:p w:rsidR="005253AC" w:rsidRPr="00D6704A" w:rsidRDefault="005253AC" w:rsidP="005253AC">
      <w:pPr>
        <w:rPr>
          <w:lang w:val="es-ES"/>
        </w:rPr>
      </w:pPr>
    </w:p>
    <w:p w:rsidR="005253AC" w:rsidRPr="00D6704A" w:rsidRDefault="005253AC" w:rsidP="005253AC">
      <w:pPr>
        <w:rPr>
          <w:lang w:val="es-ES"/>
        </w:rPr>
      </w:pPr>
    </w:p>
    <w:p w:rsidR="005253AC" w:rsidRPr="00D6704A" w:rsidRDefault="006468AE" w:rsidP="005253AC">
      <w:pPr>
        <w:pStyle w:val="Heading4"/>
        <w:rPr>
          <w:lang w:val="es-ES"/>
        </w:rPr>
      </w:pPr>
      <w:bookmarkStart w:id="20" w:name="_Toc374385123"/>
      <w:bookmarkStart w:id="21" w:name="_Toc374631061"/>
      <w:bookmarkStart w:id="22" w:name="_Toc374632533"/>
      <w:bookmarkStart w:id="23" w:name="_Toc374635733"/>
      <w:bookmarkStart w:id="24" w:name="_Toc378251522"/>
      <w:bookmarkStart w:id="25" w:name="_Toc381279983"/>
      <w:bookmarkStart w:id="26" w:name="_Toc386185985"/>
      <w:bookmarkStart w:id="27" w:name="_Toc419124874"/>
      <w:bookmarkStart w:id="28" w:name="_Toc442110579"/>
      <w:r w:rsidRPr="000D5690">
        <w:rPr>
          <w:lang w:val="es-ES_tradnl"/>
        </w:rPr>
        <w:t>TGP/8</w:t>
      </w:r>
      <w:proofErr w:type="gramStart"/>
      <w:r w:rsidRPr="000D5690">
        <w:rPr>
          <w:lang w:val="es-ES_tradnl"/>
        </w:rPr>
        <w:t>:</w:t>
      </w:r>
      <w:r w:rsidR="005253AC" w:rsidRPr="00D6704A">
        <w:rPr>
          <w:lang w:val="es-ES"/>
        </w:rPr>
        <w:t xml:space="preserve">  </w:t>
      </w:r>
      <w:bookmarkEnd w:id="20"/>
      <w:bookmarkEnd w:id="21"/>
      <w:bookmarkEnd w:id="22"/>
      <w:bookmarkEnd w:id="23"/>
      <w:bookmarkEnd w:id="24"/>
      <w:bookmarkEnd w:id="25"/>
      <w:bookmarkEnd w:id="26"/>
      <w:bookmarkEnd w:id="27"/>
      <w:bookmarkEnd w:id="28"/>
      <w:r w:rsidRPr="000D5690">
        <w:rPr>
          <w:lang w:val="es-ES_tradnl"/>
        </w:rPr>
        <w:t>Diseño</w:t>
      </w:r>
      <w:proofErr w:type="gramEnd"/>
      <w:r w:rsidRPr="000D5690">
        <w:rPr>
          <w:lang w:val="es-ES_tradnl"/>
        </w:rPr>
        <w:t xml:space="preserve"> de ensayos y técnicas utilizados en el examen de la distinción, la homogeneidad y la estabilidad</w:t>
      </w:r>
    </w:p>
    <w:p w:rsidR="005253AC" w:rsidRPr="00D6704A" w:rsidRDefault="005253AC" w:rsidP="005253AC">
      <w:pPr>
        <w:keepNext/>
        <w:rPr>
          <w:lang w:val="es-ES"/>
        </w:rPr>
      </w:pPr>
    </w:p>
    <w:p w:rsidR="005253AC" w:rsidRPr="00D6704A" w:rsidRDefault="005253AC" w:rsidP="0047214B">
      <w:pPr>
        <w:pStyle w:val="Heading5"/>
        <w:rPr>
          <w:lang w:val="es-ES"/>
        </w:rPr>
      </w:pPr>
      <w:bookmarkStart w:id="29" w:name="_Toc374385125"/>
      <w:bookmarkStart w:id="30" w:name="_Toc374631063"/>
      <w:bookmarkStart w:id="31" w:name="_Toc374632535"/>
      <w:bookmarkStart w:id="32" w:name="_Toc374635735"/>
      <w:bookmarkStart w:id="33" w:name="_Toc378251524"/>
      <w:bookmarkStart w:id="34" w:name="_Toc381279985"/>
      <w:bookmarkStart w:id="35" w:name="_Toc442110580"/>
      <w:r w:rsidRPr="00D6704A">
        <w:rPr>
          <w:lang w:val="es-ES"/>
        </w:rPr>
        <w:t>ii)</w:t>
      </w:r>
      <w:r w:rsidRPr="00D6704A">
        <w:rPr>
          <w:lang w:val="es-ES"/>
        </w:rPr>
        <w:tab/>
      </w:r>
      <w:bookmarkEnd w:id="29"/>
      <w:bookmarkEnd w:id="30"/>
      <w:bookmarkEnd w:id="31"/>
      <w:bookmarkEnd w:id="32"/>
      <w:bookmarkEnd w:id="33"/>
      <w:bookmarkEnd w:id="34"/>
      <w:bookmarkEnd w:id="35"/>
      <w:r w:rsidR="00435453" w:rsidRPr="000D5690">
        <w:rPr>
          <w:lang w:val="es-ES_tradnl"/>
        </w:rPr>
        <w:t>Criterio combinado interanual de homogeneidad (COYU)</w:t>
      </w:r>
    </w:p>
    <w:p w:rsidR="005253AC" w:rsidRPr="00D6704A" w:rsidRDefault="005253AC" w:rsidP="005253AC">
      <w:pPr>
        <w:keepNext/>
        <w:rPr>
          <w:snapToGrid w:val="0"/>
          <w:lang w:val="es-ES"/>
        </w:rPr>
      </w:pPr>
      <w:bookmarkStart w:id="36" w:name="_Toc374385117"/>
      <w:bookmarkStart w:id="37" w:name="_Toc374631054"/>
      <w:bookmarkStart w:id="38" w:name="_Toc374632526"/>
      <w:bookmarkStart w:id="39" w:name="_Toc374635726"/>
      <w:bookmarkStart w:id="40" w:name="_Toc378251525"/>
      <w:bookmarkStart w:id="41" w:name="_Toc381279986"/>
    </w:p>
    <w:p w:rsidR="005253AC" w:rsidRPr="00D6704A" w:rsidRDefault="00791298" w:rsidP="005253AC">
      <w:pPr>
        <w:rPr>
          <w:rFonts w:cs="Arial"/>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435453" w:rsidRPr="000D5690">
        <w:rPr>
          <w:lang w:val="es-ES_tradnl"/>
        </w:rPr>
        <w:t>El TC examinó el documento TC/52/17 y asistió a una ponencia de un experto del Reino Unido, de la que se proporciona una copia en el documento TC/52/17 </w:t>
      </w:r>
      <w:proofErr w:type="spellStart"/>
      <w:r w:rsidR="00435453" w:rsidRPr="000D5690">
        <w:rPr>
          <w:lang w:val="es-ES_tradnl"/>
        </w:rPr>
        <w:t>Add</w:t>
      </w:r>
      <w:proofErr w:type="spellEnd"/>
      <w:r w:rsidR="00435453" w:rsidRPr="000D5690">
        <w:rPr>
          <w:lang w:val="es-ES_tradnl"/>
        </w:rPr>
        <w:t>.</w:t>
      </w:r>
      <w:r w:rsidR="005253AC" w:rsidRPr="00D6704A">
        <w:rPr>
          <w:rFonts w:cs="Arial"/>
          <w:lang w:val="es-ES"/>
        </w:rPr>
        <w:t xml:space="preserve"> </w:t>
      </w:r>
      <w:r w:rsidR="00435453" w:rsidRPr="000D5690">
        <w:rPr>
          <w:rFonts w:cs="Arial"/>
          <w:lang w:val="es-ES_tradnl"/>
        </w:rPr>
        <w:t>(</w:t>
      </w:r>
      <w:proofErr w:type="gramStart"/>
      <w:r w:rsidR="00435453" w:rsidRPr="000D5690">
        <w:rPr>
          <w:rFonts w:cs="Arial"/>
          <w:lang w:val="es-ES_tradnl"/>
        </w:rPr>
        <w:t>solamente</w:t>
      </w:r>
      <w:proofErr w:type="gramEnd"/>
      <w:r w:rsidR="00435453" w:rsidRPr="000D5690">
        <w:rPr>
          <w:rFonts w:cs="Arial"/>
          <w:lang w:val="es-ES_tradnl"/>
        </w:rPr>
        <w:t xml:space="preserve"> en inglés).</w:t>
      </w:r>
    </w:p>
    <w:p w:rsidR="005253AC" w:rsidRPr="00D6704A" w:rsidRDefault="005253AC" w:rsidP="005253AC">
      <w:pPr>
        <w:keepNext/>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435453" w:rsidRPr="000D5690">
        <w:rPr>
          <w:lang w:val="es-ES_tradnl"/>
        </w:rPr>
        <w:t xml:space="preserve">El TC tomó nota de que en el ejercicio de prueba del módulo del programa informático sobre el nuevo método de cálculo del COYU participaron expertos de Alemania, Finlandia, Francia, </w:t>
      </w:r>
      <w:proofErr w:type="spellStart"/>
      <w:r w:rsidR="00435453" w:rsidRPr="000D5690">
        <w:rPr>
          <w:lang w:val="es-ES_tradnl"/>
        </w:rPr>
        <w:t>Kenya</w:t>
      </w:r>
      <w:proofErr w:type="spellEnd"/>
      <w:r w:rsidR="00435453" w:rsidRPr="000D5690">
        <w:rPr>
          <w:lang w:val="es-ES_tradnl"/>
        </w:rPr>
        <w:t xml:space="preserve"> y el Reino Unido.</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435453" w:rsidRPr="000D5690">
        <w:rPr>
          <w:lang w:val="es-ES_tradnl"/>
        </w:rPr>
        <w:t>El TC tomó nota de que el TWC convino en que el nuevo método de cálculo del COYU es adecuado en la práctica y convino en solicitar al experto del Reino Unido que proporcione orientación sobre la extrapolación cuando el nivel de expresión de la variedad candidata no se corresponde con el que presentan las variedades de referencia.</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435453" w:rsidRPr="000D5690">
        <w:rPr>
          <w:lang w:val="es-ES_tradnl"/>
        </w:rPr>
        <w:t xml:space="preserve">El TC </w:t>
      </w:r>
      <w:r w:rsidR="009E286B" w:rsidRPr="000D5690">
        <w:rPr>
          <w:lang w:val="es-ES_tradnl"/>
        </w:rPr>
        <w:t>convino en</w:t>
      </w:r>
      <w:r w:rsidR="00435453" w:rsidRPr="000D5690">
        <w:rPr>
          <w:lang w:val="es-ES_tradnl"/>
        </w:rPr>
        <w:t xml:space="preserve"> solicitar a los miembros de la Unión </w:t>
      </w:r>
      <w:r w:rsidR="009E286B" w:rsidRPr="000D5690">
        <w:rPr>
          <w:lang w:val="es-ES_tradnl"/>
        </w:rPr>
        <w:t xml:space="preserve">que </w:t>
      </w:r>
      <w:r w:rsidR="00435453" w:rsidRPr="000D5690">
        <w:rPr>
          <w:lang w:val="es-ES_tradnl"/>
        </w:rPr>
        <w:t>proporcion</w:t>
      </w:r>
      <w:r w:rsidR="009E286B" w:rsidRPr="000D5690">
        <w:rPr>
          <w:lang w:val="es-ES_tradnl"/>
        </w:rPr>
        <w:t>en</w:t>
      </w:r>
      <w:r w:rsidR="00435453" w:rsidRPr="000D5690">
        <w:rPr>
          <w:lang w:val="es-ES_tradnl"/>
        </w:rPr>
        <w:t xml:space="preserve"> </w:t>
      </w:r>
      <w:r w:rsidR="009E286B" w:rsidRPr="000D5690">
        <w:rPr>
          <w:lang w:val="es-ES_tradnl"/>
        </w:rPr>
        <w:t>a</w:t>
      </w:r>
      <w:r w:rsidR="00435453" w:rsidRPr="000D5690">
        <w:rPr>
          <w:lang w:val="es-ES_tradnl"/>
        </w:rPr>
        <w:t xml:space="preserve">l Reino Unido </w:t>
      </w:r>
      <w:r w:rsidR="009E286B" w:rsidRPr="000D5690">
        <w:rPr>
          <w:lang w:val="es-ES_tradnl"/>
        </w:rPr>
        <w:t xml:space="preserve">conjuntos de datos más grandes </w:t>
      </w:r>
      <w:r w:rsidR="00435453" w:rsidRPr="000D5690">
        <w:rPr>
          <w:lang w:val="es-ES_tradnl"/>
        </w:rPr>
        <w:t xml:space="preserve">para </w:t>
      </w:r>
      <w:r w:rsidR="009E286B" w:rsidRPr="000D5690">
        <w:rPr>
          <w:lang w:val="es-ES_tradnl"/>
        </w:rPr>
        <w:t>determinar los niveles de probabilidad del nuevo método</w:t>
      </w:r>
      <w:r w:rsidR="00435453" w:rsidRPr="000D5690">
        <w:rPr>
          <w:lang w:val="es-ES_tradnl"/>
        </w:rPr>
        <w:t xml:space="preserve"> </w:t>
      </w:r>
      <w:r w:rsidR="009E286B" w:rsidRPr="000D5690">
        <w:rPr>
          <w:lang w:val="es-ES_tradnl"/>
        </w:rPr>
        <w:t xml:space="preserve">tales </w:t>
      </w:r>
      <w:r w:rsidR="00435453" w:rsidRPr="000D5690">
        <w:rPr>
          <w:lang w:val="es-ES_tradnl"/>
        </w:rPr>
        <w:t xml:space="preserve">que los resultados </w:t>
      </w:r>
      <w:r w:rsidR="002D7BEB" w:rsidRPr="000D5690">
        <w:rPr>
          <w:lang w:val="es-ES_tradnl"/>
        </w:rPr>
        <w:t xml:space="preserve">sean equiparables a </w:t>
      </w:r>
      <w:r w:rsidR="009E286B" w:rsidRPr="000D5690">
        <w:rPr>
          <w:lang w:val="es-ES_tradnl"/>
        </w:rPr>
        <w:t xml:space="preserve">los obtenidos </w:t>
      </w:r>
      <w:r w:rsidR="00435453" w:rsidRPr="000D5690">
        <w:rPr>
          <w:lang w:val="es-ES_tradnl"/>
        </w:rPr>
        <w:t>utilizando los niveles de probabilidad anteriores.</w:t>
      </w:r>
      <w:r w:rsidR="005253AC" w:rsidRPr="00D6704A">
        <w:rPr>
          <w:lang w:val="es-ES"/>
        </w:rPr>
        <w:t xml:space="preserve">  </w:t>
      </w:r>
      <w:r w:rsidR="002D7BEB" w:rsidRPr="000D5690">
        <w:rPr>
          <w:lang w:val="es-ES_tradnl"/>
        </w:rPr>
        <w:t xml:space="preserve">Estos conjuntos de datos </w:t>
      </w:r>
      <w:r w:rsidR="009E286B" w:rsidRPr="000D5690">
        <w:rPr>
          <w:lang w:val="es-ES_tradnl"/>
        </w:rPr>
        <w:t>debían comprender al menos 100 variedades candidatas, contemplándose la posibilidad de que los datos de estas 100 variedades puedan proceder de varios años</w:t>
      </w:r>
      <w:r w:rsidR="002D7BEB" w:rsidRPr="000D5690">
        <w:rPr>
          <w:lang w:val="es-ES_tradnl"/>
        </w:rPr>
        <w:t>.</w:t>
      </w:r>
      <w:r w:rsidR="005253AC" w:rsidRPr="00D6704A">
        <w:rPr>
          <w:lang w:val="es-ES"/>
        </w:rPr>
        <w:t xml:space="preserve">  </w:t>
      </w:r>
      <w:r w:rsidR="002D7BEB" w:rsidRPr="000D5690">
        <w:rPr>
          <w:lang w:val="es-ES_tradnl"/>
        </w:rPr>
        <w:t>El TC señaló que la Oficina de la Unión emitir</w:t>
      </w:r>
      <w:r w:rsidR="00A643AB" w:rsidRPr="000D5690">
        <w:rPr>
          <w:lang w:val="es-ES_tradnl"/>
        </w:rPr>
        <w:t>á</w:t>
      </w:r>
      <w:r w:rsidR="002D7BEB" w:rsidRPr="000D5690">
        <w:rPr>
          <w:lang w:val="es-ES_tradnl"/>
        </w:rPr>
        <w:t xml:space="preserve"> una circular en la que invitar</w:t>
      </w:r>
      <w:r w:rsidR="00A643AB" w:rsidRPr="000D5690">
        <w:rPr>
          <w:lang w:val="es-ES_tradnl"/>
        </w:rPr>
        <w:t>á</w:t>
      </w:r>
      <w:r w:rsidR="002D7BEB" w:rsidRPr="000D5690">
        <w:rPr>
          <w:lang w:val="es-ES_tradnl"/>
        </w:rPr>
        <w:t xml:space="preserve"> a proporcionar conjuntos de datos.</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2D7BEB" w:rsidRPr="000D5690">
        <w:rPr>
          <w:lang w:val="es-ES_tradnl"/>
        </w:rPr>
        <w:t>El TC tomó nota de que el TWC había convenido en invitar a los expertos de China y Francia a sumarse a los siguientes pasos del ejercicio práctico y a aportar sus conjuntos de datos para las pruebas.</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2D7BEB" w:rsidRPr="000D5690">
        <w:rPr>
          <w:lang w:val="es-ES_tradnl"/>
        </w:rPr>
        <w:t xml:space="preserve">El TC tomó nota de que el TWC </w:t>
      </w:r>
      <w:r w:rsidR="00A643AB" w:rsidRPr="000D5690">
        <w:rPr>
          <w:lang w:val="es-ES_tradnl"/>
        </w:rPr>
        <w:t xml:space="preserve">convino en </w:t>
      </w:r>
      <w:r w:rsidR="002D7BEB" w:rsidRPr="000D5690">
        <w:rPr>
          <w:lang w:val="es-ES_tradnl"/>
        </w:rPr>
        <w:t>invitar al TWA a que aporte grandes conjuntos de datos de cultivos extensivos con objeto de determinar niveles de probabilidad adecuados para el nuevo método de cálculo del COYU.</w:t>
      </w:r>
    </w:p>
    <w:p w:rsidR="005253AC" w:rsidRPr="00D6704A" w:rsidRDefault="005253AC" w:rsidP="005253AC">
      <w:pPr>
        <w:rPr>
          <w:lang w:val="es-ES"/>
        </w:rPr>
      </w:pPr>
    </w:p>
    <w:p w:rsidR="005253AC" w:rsidRPr="00D6704A" w:rsidRDefault="005253AC" w:rsidP="0047214B">
      <w:pPr>
        <w:pStyle w:val="Heading5"/>
        <w:rPr>
          <w:lang w:val="es-ES"/>
        </w:rPr>
      </w:pPr>
      <w:bookmarkStart w:id="42" w:name="_Toc442110581"/>
      <w:r w:rsidRPr="00D6704A">
        <w:rPr>
          <w:lang w:val="es-ES"/>
        </w:rPr>
        <w:t>iii)</w:t>
      </w:r>
      <w:r w:rsidRPr="00D6704A">
        <w:rPr>
          <w:lang w:val="es-ES"/>
        </w:rPr>
        <w:tab/>
      </w:r>
      <w:bookmarkEnd w:id="36"/>
      <w:bookmarkEnd w:id="37"/>
      <w:bookmarkEnd w:id="38"/>
      <w:bookmarkEnd w:id="39"/>
      <w:bookmarkEnd w:id="40"/>
      <w:bookmarkEnd w:id="41"/>
      <w:bookmarkEnd w:id="42"/>
      <w:r w:rsidR="007A204A" w:rsidRPr="000D5690">
        <w:rPr>
          <w:lang w:val="es-ES_tradnl"/>
        </w:rPr>
        <w:t>Examen DHE de muestras en bloque</w:t>
      </w:r>
    </w:p>
    <w:p w:rsidR="005253AC" w:rsidRPr="00D6704A" w:rsidRDefault="005253AC" w:rsidP="0047214B">
      <w:pPr>
        <w:pStyle w:val="Heading5"/>
        <w:rPr>
          <w:lang w:val="es-ES"/>
        </w:rPr>
      </w:pPr>
    </w:p>
    <w:p w:rsidR="005253AC" w:rsidRPr="00D6704A" w:rsidRDefault="00791298" w:rsidP="005253AC">
      <w:pPr>
        <w:keepNext/>
        <w:rPr>
          <w:rFonts w:cs="Arial"/>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7A204A" w:rsidRPr="000D5690">
        <w:rPr>
          <w:lang w:val="es-ES_tradnl"/>
        </w:rPr>
        <w:t>El TC examinó el documento TC/52/18.</w:t>
      </w:r>
      <w:r w:rsidR="005253AC" w:rsidRPr="00D6704A">
        <w:rPr>
          <w:lang w:val="es-ES"/>
        </w:rPr>
        <w:t xml:space="preserve"> </w:t>
      </w:r>
    </w:p>
    <w:p w:rsidR="005253AC" w:rsidRPr="00D6704A" w:rsidRDefault="005253AC" w:rsidP="005253AC">
      <w:pPr>
        <w:keepNext/>
        <w:rPr>
          <w:rFonts w:cs="Arial"/>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7A204A" w:rsidRPr="000D5690">
        <w:rPr>
          <w:lang w:val="es-ES_tradnl"/>
        </w:rPr>
        <w:t>El TC convino en que se debe invitar a los Países Bajos a que elabore orientaciones, con ejemplos, para el examen DHE de muestras en bloque, a fin de incluirlas en una futura revisión del documento TGP/8, sobre la base siguiente:</w:t>
      </w:r>
    </w:p>
    <w:p w:rsidR="005253AC" w:rsidRPr="00D6704A" w:rsidRDefault="005253AC" w:rsidP="005253AC">
      <w:pPr>
        <w:rPr>
          <w:lang w:val="es-ES"/>
        </w:rPr>
      </w:pPr>
    </w:p>
    <w:p w:rsidR="005253AC" w:rsidRPr="00D6704A" w:rsidRDefault="007A204A" w:rsidP="007A204A">
      <w:pPr>
        <w:numPr>
          <w:ilvl w:val="0"/>
          <w:numId w:val="28"/>
        </w:numPr>
        <w:ind w:left="1134" w:hanging="567"/>
        <w:rPr>
          <w:lang w:val="es-ES"/>
        </w:rPr>
      </w:pPr>
      <w:r w:rsidRPr="000D5690">
        <w:rPr>
          <w:iCs/>
          <w:lang w:val="es-ES_tradnl"/>
        </w:rPr>
        <w:t>el carácter debe satisfacer los requisitos expuestos en la “Introducción general al examen de la distinción, la homogeneidad y la estabilidad y a la elaboración de descripciones armonizadas de las obtenciones vegetales” (véase el documento TG/1/3, Sección 4.2.1);</w:t>
      </w:r>
    </w:p>
    <w:p w:rsidR="005253AC" w:rsidRPr="00D6704A" w:rsidRDefault="005253AC" w:rsidP="005253AC">
      <w:pPr>
        <w:ind w:left="1134" w:hanging="567"/>
        <w:rPr>
          <w:lang w:val="es-ES"/>
        </w:rPr>
      </w:pPr>
    </w:p>
    <w:p w:rsidR="005253AC" w:rsidRPr="00D6704A" w:rsidRDefault="007A204A" w:rsidP="007A204A">
      <w:pPr>
        <w:numPr>
          <w:ilvl w:val="0"/>
          <w:numId w:val="28"/>
        </w:numPr>
        <w:ind w:left="1134" w:hanging="567"/>
        <w:rPr>
          <w:lang w:val="es-ES"/>
        </w:rPr>
      </w:pPr>
      <w:r w:rsidRPr="000D5690">
        <w:rPr>
          <w:lang w:val="es-ES_tradnl"/>
        </w:rPr>
        <w:t>debe conocerse el control genético del carácter;</w:t>
      </w:r>
    </w:p>
    <w:p w:rsidR="005253AC" w:rsidRPr="00D6704A" w:rsidRDefault="005253AC" w:rsidP="005253AC">
      <w:pPr>
        <w:ind w:left="1134" w:hanging="567"/>
        <w:rPr>
          <w:iCs/>
          <w:lang w:val="es-ES"/>
        </w:rPr>
      </w:pPr>
    </w:p>
    <w:p w:rsidR="005253AC" w:rsidRPr="00D6704A" w:rsidRDefault="007A204A" w:rsidP="007A204A">
      <w:pPr>
        <w:numPr>
          <w:ilvl w:val="0"/>
          <w:numId w:val="28"/>
        </w:numPr>
        <w:ind w:left="1134" w:hanging="567"/>
        <w:rPr>
          <w:iCs/>
          <w:lang w:val="es-ES"/>
        </w:rPr>
      </w:pPr>
      <w:r w:rsidRPr="000D5690">
        <w:rPr>
          <w:iCs/>
          <w:lang w:val="es-ES_tradnl"/>
        </w:rPr>
        <w:t>debe validarse la idoneidad del carácter mediante una evaluación inicial de la homogeneidad en plantas individuales;</w:t>
      </w:r>
      <w:r w:rsidR="005253AC" w:rsidRPr="00D6704A">
        <w:rPr>
          <w:iCs/>
          <w:lang w:val="es-ES"/>
        </w:rPr>
        <w:t xml:space="preserve"> </w:t>
      </w:r>
    </w:p>
    <w:p w:rsidR="005253AC" w:rsidRPr="00D6704A" w:rsidRDefault="005253AC" w:rsidP="005253AC">
      <w:pPr>
        <w:ind w:left="1134" w:hanging="567"/>
        <w:rPr>
          <w:iCs/>
          <w:lang w:val="es-ES"/>
        </w:rPr>
      </w:pPr>
    </w:p>
    <w:p w:rsidR="005253AC" w:rsidRPr="00D6704A" w:rsidRDefault="007A204A" w:rsidP="007A204A">
      <w:pPr>
        <w:numPr>
          <w:ilvl w:val="0"/>
          <w:numId w:val="28"/>
        </w:numPr>
        <w:ind w:left="1134" w:hanging="567"/>
        <w:rPr>
          <w:iCs/>
          <w:lang w:val="es-ES"/>
        </w:rPr>
      </w:pPr>
      <w:r w:rsidRPr="000D5690">
        <w:rPr>
          <w:lang w:val="es-ES_tradnl"/>
        </w:rPr>
        <w:t>debe proporcionarse información sobre la variación entre plantas y las diferencias entre ciclos de cultivo (datos obtenidos de la medición sistemática del carácter en años diferentes);</w:t>
      </w:r>
    </w:p>
    <w:p w:rsidR="005253AC" w:rsidRPr="00D6704A" w:rsidRDefault="005253AC" w:rsidP="005253AC">
      <w:pPr>
        <w:ind w:left="1134" w:hanging="567"/>
        <w:rPr>
          <w:iCs/>
          <w:lang w:val="es-ES"/>
        </w:rPr>
      </w:pPr>
    </w:p>
    <w:p w:rsidR="005253AC" w:rsidRPr="00D6704A" w:rsidRDefault="007A204A" w:rsidP="00F56B86">
      <w:pPr>
        <w:numPr>
          <w:ilvl w:val="0"/>
          <w:numId w:val="28"/>
        </w:numPr>
        <w:ind w:left="1134" w:hanging="567"/>
        <w:rPr>
          <w:lang w:val="es-ES"/>
        </w:rPr>
      </w:pPr>
      <w:r w:rsidRPr="000D5690">
        <w:rPr>
          <w:lang w:val="es-ES_tradnl"/>
        </w:rPr>
        <w:t>debe proporcionarse una descripción completa del método de evaluación;</w:t>
      </w:r>
    </w:p>
    <w:p w:rsidR="005253AC" w:rsidRPr="00D6704A" w:rsidRDefault="005253AC" w:rsidP="005253AC">
      <w:pPr>
        <w:ind w:left="1134" w:hanging="567"/>
        <w:rPr>
          <w:lang w:val="es-ES"/>
        </w:rPr>
      </w:pPr>
    </w:p>
    <w:p w:rsidR="005253AC" w:rsidRPr="00D6704A" w:rsidRDefault="00F56B86" w:rsidP="00F56B86">
      <w:pPr>
        <w:numPr>
          <w:ilvl w:val="0"/>
          <w:numId w:val="28"/>
        </w:numPr>
        <w:ind w:left="1134" w:hanging="567"/>
        <w:rPr>
          <w:lang w:val="es-ES"/>
        </w:rPr>
      </w:pPr>
      <w:r w:rsidRPr="000D5690">
        <w:rPr>
          <w:lang w:val="es-ES_tradnl"/>
        </w:rPr>
        <w:t>los niveles de expresión deben basarse en la variación existente entre variedades teniendo en cuenta la influencia del medio ambiente.</w:t>
      </w:r>
    </w:p>
    <w:p w:rsidR="005253AC" w:rsidRPr="000D5690" w:rsidRDefault="005253AC" w:rsidP="005253AC">
      <w:pPr>
        <w:rPr>
          <w:lang w:val="fi-FI"/>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F56B86" w:rsidRPr="000D5690">
        <w:rPr>
          <w:lang w:val="es-ES_tradnl"/>
        </w:rPr>
        <w:t xml:space="preserve">El TC convino en que </w:t>
      </w:r>
      <w:r w:rsidR="00F371CA" w:rsidRPr="000D5690">
        <w:rPr>
          <w:lang w:val="es-ES_tradnl"/>
        </w:rPr>
        <w:t xml:space="preserve">los TWP </w:t>
      </w:r>
      <w:r w:rsidR="00F56B86" w:rsidRPr="000D5690">
        <w:rPr>
          <w:lang w:val="es-ES_tradnl"/>
        </w:rPr>
        <w:t>debe</w:t>
      </w:r>
      <w:r w:rsidR="00F371CA" w:rsidRPr="000D5690">
        <w:rPr>
          <w:lang w:val="es-ES_tradnl"/>
        </w:rPr>
        <w:t>n</w:t>
      </w:r>
      <w:r w:rsidR="00F56B86" w:rsidRPr="000D5690">
        <w:rPr>
          <w:lang w:val="es-ES_tradnl"/>
        </w:rPr>
        <w:t xml:space="preserve"> examina</w:t>
      </w:r>
      <w:r w:rsidR="00F371CA" w:rsidRPr="000D5690">
        <w:rPr>
          <w:lang w:val="es-ES_tradnl"/>
        </w:rPr>
        <w:t xml:space="preserve">r el proyecto de orientación </w:t>
      </w:r>
      <w:r w:rsidR="00F56B86" w:rsidRPr="000D5690">
        <w:rPr>
          <w:lang w:val="es-ES_tradnl"/>
        </w:rPr>
        <w:t>en sus sesiones de 2016.</w:t>
      </w:r>
      <w:r w:rsidR="005253AC" w:rsidRPr="00D6704A">
        <w:rPr>
          <w:lang w:val="es-ES"/>
        </w:rPr>
        <w:t xml:space="preserve">  </w:t>
      </w:r>
    </w:p>
    <w:p w:rsidR="005253AC" w:rsidRPr="00D6704A" w:rsidRDefault="005253AC" w:rsidP="0047214B">
      <w:pPr>
        <w:pStyle w:val="Heading5"/>
        <w:rPr>
          <w:lang w:val="es-ES"/>
        </w:rPr>
      </w:pPr>
      <w:bookmarkStart w:id="43" w:name="_Toc374385126"/>
      <w:bookmarkStart w:id="44" w:name="_Toc374631064"/>
      <w:bookmarkStart w:id="45" w:name="_Toc374632536"/>
      <w:bookmarkStart w:id="46" w:name="_Toc374635736"/>
      <w:bookmarkStart w:id="47" w:name="_Toc378251526"/>
      <w:bookmarkStart w:id="48" w:name="_Toc381279987"/>
      <w:bookmarkStart w:id="49" w:name="_Toc442110582"/>
    </w:p>
    <w:p w:rsidR="005253AC" w:rsidRPr="00D6704A" w:rsidRDefault="005253AC" w:rsidP="0047214B">
      <w:pPr>
        <w:pStyle w:val="Heading5"/>
        <w:rPr>
          <w:lang w:val="es-ES"/>
        </w:rPr>
      </w:pPr>
      <w:r w:rsidRPr="00D6704A">
        <w:rPr>
          <w:lang w:val="es-ES"/>
        </w:rPr>
        <w:t>iv)</w:t>
      </w:r>
      <w:r w:rsidRPr="00D6704A">
        <w:rPr>
          <w:lang w:val="es-ES"/>
        </w:rPr>
        <w:tab/>
      </w:r>
      <w:bookmarkEnd w:id="43"/>
      <w:bookmarkEnd w:id="44"/>
      <w:bookmarkEnd w:id="45"/>
      <w:bookmarkEnd w:id="46"/>
      <w:bookmarkEnd w:id="47"/>
      <w:bookmarkEnd w:id="48"/>
      <w:bookmarkEnd w:id="49"/>
      <w:r w:rsidR="00F56B86" w:rsidRPr="000D5690">
        <w:rPr>
          <w:lang w:val="es-ES_tradnl"/>
        </w:rPr>
        <w:t>Tratamiento de datos para la evaluación de la distinción y la elaboración de descripciones de variedades</w:t>
      </w:r>
    </w:p>
    <w:p w:rsidR="005253AC" w:rsidRPr="00D6704A" w:rsidRDefault="005253AC" w:rsidP="005253AC">
      <w:pPr>
        <w:keepNext/>
        <w:rPr>
          <w:lang w:val="es-ES"/>
        </w:rPr>
      </w:pPr>
    </w:p>
    <w:p w:rsidR="005253AC" w:rsidRPr="00D6704A" w:rsidRDefault="00791298" w:rsidP="005253AC">
      <w:pPr>
        <w:keepNext/>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F56B86" w:rsidRPr="000D5690">
        <w:rPr>
          <w:lang w:val="es-ES_tradnl"/>
        </w:rPr>
        <w:t>El TC examinó el documento TC/52/19.</w:t>
      </w:r>
    </w:p>
    <w:p w:rsidR="005253AC" w:rsidRPr="00D6704A" w:rsidRDefault="005253AC" w:rsidP="005253AC">
      <w:pPr>
        <w:rPr>
          <w:lang w:val="es-ES"/>
        </w:rPr>
      </w:pPr>
    </w:p>
    <w:p w:rsidR="00FD07BC" w:rsidRPr="00D6704A" w:rsidRDefault="00791298" w:rsidP="00FD07B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C72A39" w:rsidRPr="000D5690">
        <w:rPr>
          <w:lang w:val="es-ES_tradnl"/>
        </w:rPr>
        <w:t xml:space="preserve">El TC tomó nota de que el TWC había examinado la información </w:t>
      </w:r>
      <w:r w:rsidR="002F0371" w:rsidRPr="000D5690">
        <w:rPr>
          <w:lang w:val="es-ES_tradnl"/>
        </w:rPr>
        <w:t>relativa a los pasos seguidos en los métodos, que los participantes facilitaron en el ejercicio práctico</w:t>
      </w:r>
      <w:r w:rsidR="00C72A39" w:rsidRPr="000D5690">
        <w:rPr>
          <w:lang w:val="es-ES_tradnl"/>
        </w:rPr>
        <w:t xml:space="preserve"> para determinar los </w:t>
      </w:r>
      <w:r w:rsidR="002F0371" w:rsidRPr="000D5690">
        <w:rPr>
          <w:lang w:val="es-ES_tradnl"/>
        </w:rPr>
        <w:t>aspectos comunes</w:t>
      </w:r>
      <w:r w:rsidR="00C72A39" w:rsidRPr="000D5690">
        <w:rPr>
          <w:lang w:val="es-ES_tradnl"/>
        </w:rPr>
        <w:t xml:space="preserve"> </w:t>
      </w:r>
      <w:r w:rsidR="002F0371" w:rsidRPr="000D5690">
        <w:rPr>
          <w:lang w:val="es-ES_tradnl"/>
        </w:rPr>
        <w:t>y los aspectos respecto de los cuales hay divergencia</w:t>
      </w:r>
      <w:r w:rsidR="00C72A39" w:rsidRPr="000D5690">
        <w:rPr>
          <w:lang w:val="es-ES_tradnl"/>
        </w:rPr>
        <w:t xml:space="preserve"> entre los métodos.</w:t>
      </w:r>
      <w:r w:rsidR="005253AC" w:rsidRPr="00D6704A">
        <w:rPr>
          <w:snapToGrid w:val="0"/>
          <w:lang w:val="es-ES"/>
        </w:rPr>
        <w:t xml:space="preserve">  </w:t>
      </w:r>
      <w:r w:rsidR="002F0371" w:rsidRPr="000D5690">
        <w:rPr>
          <w:snapToGrid w:val="0"/>
          <w:lang w:val="es-ES_tradnl"/>
        </w:rPr>
        <w:t>El TC también tomó nota de que el TWC había convenido en que los métodos para asignar una nota a las variedades candidatas presentaban algunas variaciones en el uso de la división entre niveles de espaciado equivalente, el uso de los resultados de variedades ejemplo y el dictamen de un experto en el cultivo.</w:t>
      </w:r>
    </w:p>
    <w:p w:rsidR="005253AC" w:rsidRPr="00D6704A" w:rsidRDefault="005253AC" w:rsidP="005253AC">
      <w:pPr>
        <w:rPr>
          <w:lang w:val="es-ES"/>
        </w:rPr>
      </w:pPr>
    </w:p>
    <w:p w:rsidR="005253AC" w:rsidRPr="00D6704A" w:rsidRDefault="00791298" w:rsidP="005253AC">
      <w:pPr>
        <w:rPr>
          <w:rFonts w:cs="Arial"/>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2F0371" w:rsidRPr="000D5690">
        <w:rPr>
          <w:lang w:val="es-ES_tradnl"/>
        </w:rPr>
        <w:t>El TC acordó solicitar a los TWP que, en sus sesiones de 2016, examinen el análisis proporcionado por el TWC, que se reproduce en el Anexo del documento TC/52/19.</w:t>
      </w:r>
      <w:r w:rsidR="005253AC" w:rsidRPr="00D6704A">
        <w:rPr>
          <w:lang w:val="es-ES"/>
        </w:rPr>
        <w:t xml:space="preserve">  </w:t>
      </w:r>
      <w:r w:rsidR="002F0371" w:rsidRPr="000D5690">
        <w:rPr>
          <w:rFonts w:cs="Arial"/>
          <w:lang w:val="es-ES_tradnl"/>
        </w:rPr>
        <w:t>El TC acordó solicitar al experto de Francia que proporcione más información sobre los datos analizados en el estudio.</w:t>
      </w:r>
      <w:r w:rsidR="005253AC" w:rsidRPr="00D6704A">
        <w:rPr>
          <w:rFonts w:cs="Arial"/>
          <w:lang w:val="es-ES"/>
        </w:rPr>
        <w:t xml:space="preserve"> </w:t>
      </w:r>
      <w:r w:rsidR="002F0371" w:rsidRPr="000D5690">
        <w:rPr>
          <w:lang w:val="es-ES_tradnl"/>
        </w:rPr>
        <w:t xml:space="preserve">El TC acordó asimismo </w:t>
      </w:r>
      <w:r w:rsidR="00712B28" w:rsidRPr="000D5690">
        <w:rPr>
          <w:lang w:val="es-ES_tradnl"/>
        </w:rPr>
        <w:t xml:space="preserve">solicitar </w:t>
      </w:r>
      <w:r w:rsidR="002F0371" w:rsidRPr="000D5690">
        <w:rPr>
          <w:lang w:val="es-ES_tradnl"/>
        </w:rPr>
        <w:t>que los participantes en el ejercicio práctico inform</w:t>
      </w:r>
      <w:r w:rsidR="00712B28" w:rsidRPr="000D5690">
        <w:rPr>
          <w:lang w:val="es-ES_tradnl"/>
        </w:rPr>
        <w:t xml:space="preserve">en </w:t>
      </w:r>
      <w:r w:rsidR="002F0371" w:rsidRPr="000D5690">
        <w:rPr>
          <w:lang w:val="es-ES_tradnl"/>
        </w:rPr>
        <w:t xml:space="preserve">sobre las razones y situaciones en las que las variedades ejemplo, </w:t>
      </w:r>
      <w:r w:rsidR="00712B28" w:rsidRPr="000D5690">
        <w:rPr>
          <w:snapToGrid w:val="0"/>
          <w:lang w:val="es-ES_tradnl"/>
        </w:rPr>
        <w:t>el dictamen de un experto en el cultivo</w:t>
      </w:r>
      <w:r w:rsidR="002F0371" w:rsidRPr="000D5690">
        <w:rPr>
          <w:lang w:val="es-ES_tradnl"/>
        </w:rPr>
        <w:t xml:space="preserve"> y los </w:t>
      </w:r>
      <w:r w:rsidR="00712B28" w:rsidRPr="000D5690">
        <w:rPr>
          <w:lang w:val="es-ES_tradnl"/>
        </w:rPr>
        <w:t>niveles de espaciado equivalente</w:t>
      </w:r>
      <w:r w:rsidR="002F0371" w:rsidRPr="000D5690">
        <w:rPr>
          <w:lang w:val="es-ES_tradnl"/>
        </w:rPr>
        <w:t xml:space="preserve"> sería</w:t>
      </w:r>
      <w:r w:rsidR="00712B28" w:rsidRPr="000D5690">
        <w:rPr>
          <w:lang w:val="es-ES_tradnl"/>
        </w:rPr>
        <w:t xml:space="preserve">n o </w:t>
      </w:r>
      <w:r w:rsidR="002F0371" w:rsidRPr="000D5690">
        <w:rPr>
          <w:lang w:val="es-ES_tradnl"/>
        </w:rPr>
        <w:t xml:space="preserve">no </w:t>
      </w:r>
      <w:r w:rsidR="00FD07BC" w:rsidRPr="000D5690">
        <w:rPr>
          <w:lang w:val="es-ES_tradnl"/>
        </w:rPr>
        <w:t>pertinentes a efectos de</w:t>
      </w:r>
      <w:r w:rsidR="002F0371" w:rsidRPr="000D5690">
        <w:rPr>
          <w:lang w:val="es-ES_tradnl"/>
        </w:rPr>
        <w:t xml:space="preserve"> la transformación de </w:t>
      </w:r>
      <w:r w:rsidR="00712B28" w:rsidRPr="000D5690">
        <w:rPr>
          <w:lang w:val="es-ES_tradnl"/>
        </w:rPr>
        <w:t xml:space="preserve">las </w:t>
      </w:r>
      <w:r w:rsidR="002F0371" w:rsidRPr="000D5690">
        <w:rPr>
          <w:lang w:val="es-ES_tradnl"/>
        </w:rPr>
        <w:t xml:space="preserve">observaciones en </w:t>
      </w:r>
      <w:r w:rsidR="00937DF6" w:rsidRPr="000D5690">
        <w:rPr>
          <w:lang w:val="es-ES_tradnl"/>
        </w:rPr>
        <w:t>niveles de expresión</w:t>
      </w:r>
      <w:r w:rsidR="002F0371" w:rsidRPr="000D5690">
        <w:rPr>
          <w:lang w:val="es-ES_tradnl"/>
        </w:rPr>
        <w:t>.</w:t>
      </w:r>
      <w:r w:rsidR="005253AC" w:rsidRPr="00D6704A">
        <w:rPr>
          <w:rFonts w:cs="Arial"/>
          <w:lang w:val="es-ES"/>
        </w:rPr>
        <w:t xml:space="preserve"> </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712B28" w:rsidRPr="000D5690">
        <w:rPr>
          <w:lang w:val="es-ES_tradnl"/>
        </w:rPr>
        <w:t>El TC coincidió con el TWC y el TWA en que la orientación sobre las “Diferentes formas que pueden adoptar las descripciones de variedades y la importancia de los niveles de escala”, que se reproduce en el Anexo I del documento TC/51/19, se debía utilizar como introducción de futuras orientaciones que se elaboren sobre el tratamiento de los datos destinados al examen de la distinción y a la elaboración de descripciones de variedades.</w:t>
      </w:r>
    </w:p>
    <w:p w:rsidR="005253AC" w:rsidRPr="00D6704A" w:rsidRDefault="005253AC" w:rsidP="005253AC">
      <w:pPr>
        <w:rPr>
          <w:lang w:val="es-ES"/>
        </w:rPr>
      </w:pPr>
    </w:p>
    <w:p w:rsidR="005253AC" w:rsidRPr="00D6704A" w:rsidRDefault="00C43AF2" w:rsidP="005253AC">
      <w:pPr>
        <w:pStyle w:val="Heading4"/>
        <w:rPr>
          <w:lang w:val="es-ES"/>
        </w:rPr>
      </w:pPr>
      <w:bookmarkStart w:id="50" w:name="_Toc412193732"/>
      <w:bookmarkStart w:id="51" w:name="_Toc419124875"/>
      <w:bookmarkStart w:id="52" w:name="_Toc442110583"/>
      <w:r w:rsidRPr="000D5690">
        <w:rPr>
          <w:lang w:val="es-ES_tradnl"/>
        </w:rPr>
        <w:t>TGP/10:</w:t>
      </w:r>
      <w:r w:rsidR="005253AC" w:rsidRPr="00D6704A">
        <w:rPr>
          <w:lang w:val="es-ES"/>
        </w:rPr>
        <w:t xml:space="preserve"> </w:t>
      </w:r>
      <w:bookmarkEnd w:id="50"/>
      <w:bookmarkEnd w:id="51"/>
      <w:bookmarkEnd w:id="52"/>
      <w:r w:rsidRPr="000D5690">
        <w:rPr>
          <w:lang w:val="es-ES_tradnl"/>
        </w:rPr>
        <w:t>Examen de la homogeneidad</w:t>
      </w:r>
    </w:p>
    <w:p w:rsidR="005253AC" w:rsidRPr="00D6704A" w:rsidRDefault="005253AC" w:rsidP="005253AC">
      <w:pPr>
        <w:keepNext/>
        <w:ind w:left="567"/>
        <w:rPr>
          <w:rFonts w:cs="Arial"/>
          <w:snapToGrid w:val="0"/>
          <w:lang w:val="es-ES"/>
        </w:rPr>
      </w:pPr>
    </w:p>
    <w:p w:rsidR="005253AC" w:rsidRPr="00D6704A" w:rsidRDefault="005253AC" w:rsidP="0047214B">
      <w:pPr>
        <w:pStyle w:val="Heading5"/>
        <w:rPr>
          <w:lang w:val="es-ES"/>
        </w:rPr>
      </w:pPr>
      <w:bookmarkStart w:id="53" w:name="_Toc412193733"/>
      <w:bookmarkStart w:id="54" w:name="_Toc442110584"/>
      <w:r w:rsidRPr="00D6704A">
        <w:rPr>
          <w:lang w:val="es-ES"/>
        </w:rPr>
        <w:t>v)</w:t>
      </w:r>
      <w:r w:rsidRPr="00D6704A">
        <w:rPr>
          <w:lang w:val="es-ES"/>
        </w:rPr>
        <w:tab/>
      </w:r>
      <w:r w:rsidR="00C43AF2" w:rsidRPr="000D5690">
        <w:rPr>
          <w:lang w:val="es-ES_tradnl"/>
        </w:rPr>
        <w:t>Nueva sección:</w:t>
      </w:r>
      <w:r w:rsidRPr="00D6704A">
        <w:rPr>
          <w:lang w:val="es-ES"/>
        </w:rPr>
        <w:t xml:space="preserve"> </w:t>
      </w:r>
      <w:bookmarkEnd w:id="53"/>
      <w:bookmarkEnd w:id="54"/>
      <w:r w:rsidR="00C43AF2" w:rsidRPr="000D5690">
        <w:rPr>
          <w:lang w:val="es-ES_tradnl"/>
        </w:rPr>
        <w:t xml:space="preserve">Evaluación de la homogeneidad de las plantas fuera de tipo mediante la observación de más de un ciclo de cultivo o mediante la observación de </w:t>
      </w:r>
      <w:proofErr w:type="spellStart"/>
      <w:r w:rsidR="00C43AF2" w:rsidRPr="000D5690">
        <w:rPr>
          <w:lang w:val="es-ES_tradnl"/>
        </w:rPr>
        <w:t>submuestras</w:t>
      </w:r>
      <w:proofErr w:type="spellEnd"/>
      <w:r w:rsidRPr="00D6704A">
        <w:rPr>
          <w:lang w:val="es-ES"/>
        </w:rPr>
        <w:t xml:space="preserve"> </w:t>
      </w:r>
    </w:p>
    <w:p w:rsidR="005253AC" w:rsidRPr="00D6704A" w:rsidRDefault="005253AC" w:rsidP="0047214B">
      <w:pPr>
        <w:pStyle w:val="Heading5"/>
        <w:rPr>
          <w:lang w:val="es-ES"/>
        </w:rPr>
      </w:pPr>
    </w:p>
    <w:p w:rsidR="005253AC" w:rsidRPr="00D6704A" w:rsidRDefault="00791298" w:rsidP="005253AC">
      <w:pPr>
        <w:keepNext/>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C43AF2" w:rsidRPr="000D5690">
        <w:rPr>
          <w:lang w:val="es-ES_tradnl"/>
        </w:rPr>
        <w:t>El TC examinó el documento TC/52/20 y asistió a una ponencia de un experto del Reino Unido sobre la evaluación de la homogeneidad de las plantas fuera de tipo mediante la observación de más de un ciclo de cultivo, de la que se proporciona una copia en el documento TC/52/20 </w:t>
      </w:r>
      <w:proofErr w:type="spellStart"/>
      <w:r w:rsidR="00C43AF2" w:rsidRPr="000D5690">
        <w:rPr>
          <w:lang w:val="es-ES_tradnl"/>
        </w:rPr>
        <w:t>Add</w:t>
      </w:r>
      <w:proofErr w:type="spellEnd"/>
      <w:r w:rsidR="00C43AF2" w:rsidRPr="000D5690">
        <w:rPr>
          <w:lang w:val="es-ES_tradnl"/>
        </w:rPr>
        <w:t>.</w:t>
      </w:r>
      <w:r w:rsidR="005253AC" w:rsidRPr="00D6704A">
        <w:rPr>
          <w:rFonts w:cs="Arial"/>
          <w:lang w:val="es-ES"/>
        </w:rPr>
        <w:t xml:space="preserve"> </w:t>
      </w:r>
      <w:r w:rsidR="00C43AF2" w:rsidRPr="000D5690">
        <w:rPr>
          <w:rFonts w:cs="Arial"/>
          <w:lang w:val="es-ES_tradnl"/>
        </w:rPr>
        <w:t>(</w:t>
      </w:r>
      <w:proofErr w:type="gramStart"/>
      <w:r w:rsidR="00C43AF2" w:rsidRPr="000D5690">
        <w:rPr>
          <w:rFonts w:cs="Arial"/>
          <w:lang w:val="es-ES_tradnl"/>
        </w:rPr>
        <w:t>solamente</w:t>
      </w:r>
      <w:proofErr w:type="gramEnd"/>
      <w:r w:rsidR="00C43AF2" w:rsidRPr="000D5690">
        <w:rPr>
          <w:rFonts w:cs="Arial"/>
          <w:lang w:val="es-ES_tradnl"/>
        </w:rPr>
        <w:t xml:space="preserve"> en inglés)</w:t>
      </w:r>
      <w:r w:rsidR="00C43AF2" w:rsidRPr="000D5690">
        <w:rPr>
          <w:lang w:val="es-ES_tradnl"/>
        </w:rPr>
        <w:t>.</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C43AF2" w:rsidRPr="000D5690">
        <w:rPr>
          <w:lang w:val="es-ES_tradnl"/>
        </w:rPr>
        <w:t>El TC convino en que los TWP deben examinar, en sus sesiones de 2016, el nuevo “Método 3: Combinar los resultados de dos ciclos de cultivo” propuesto para evaluar la homogeneidad de las plantas fuera de tipo, que figura en el Anexo I del documento TC/52/20.</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C43AF2" w:rsidRPr="000D5690">
        <w:rPr>
          <w:lang w:val="es-ES_tradnl"/>
        </w:rPr>
        <w:t>El TC tomó nota de que el TWA había convenido en solicitar una conexión por v</w:t>
      </w:r>
      <w:r w:rsidR="00045C19" w:rsidRPr="000D5690">
        <w:rPr>
          <w:lang w:val="es-ES_tradnl"/>
        </w:rPr>
        <w:t>i</w:t>
      </w:r>
      <w:r w:rsidR="00C43AF2" w:rsidRPr="000D5690">
        <w:rPr>
          <w:lang w:val="es-ES_tradnl"/>
        </w:rPr>
        <w:t>deo con los expertos del TWC para debatir el nuevo método propuesto, el “Método 3: Combinar los resultados de dos ciclos de cultivo”, en su cuadragésima quinta sesión que se celebrará en 2016, y convino en que la conexión por v</w:t>
      </w:r>
      <w:r w:rsidR="00045C19" w:rsidRPr="000D5690">
        <w:rPr>
          <w:lang w:val="es-ES_tradnl"/>
        </w:rPr>
        <w:t>i</w:t>
      </w:r>
      <w:r w:rsidR="00C43AF2" w:rsidRPr="000D5690">
        <w:rPr>
          <w:lang w:val="es-ES_tradnl"/>
        </w:rPr>
        <w:t>deo debía estar abierta a todos los expertos interesados.</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C43AF2" w:rsidRPr="000D5690">
        <w:rPr>
          <w:lang w:val="es-ES_tradnl"/>
        </w:rPr>
        <w:t xml:space="preserve">El TC </w:t>
      </w:r>
      <w:r w:rsidR="00E60155" w:rsidRPr="000D5690">
        <w:rPr>
          <w:lang w:val="es-ES_tradnl"/>
        </w:rPr>
        <w:t>convino en aclarar en el texto que el uso previsto de la orientación que figura en el Anexo I del documento TC/52/20 no es la evaluación de la homogeneidad de las plantas fuera de tipo en las mismas plantas en dos ciclos de cultivo</w:t>
      </w:r>
      <w:r w:rsidR="00C43AF2" w:rsidRPr="000D5690">
        <w:rPr>
          <w:lang w:val="es-ES_tradnl"/>
        </w:rPr>
        <w:t xml:space="preserve">, ya que </w:t>
      </w:r>
      <w:r w:rsidR="00E60155" w:rsidRPr="000D5690">
        <w:rPr>
          <w:lang w:val="es-ES_tradnl"/>
        </w:rPr>
        <w:t>las mismas plantas fuera de tipo observadas en el primer ciclo de cultivo seguirían siendo plantas fuera de tipo en el segundo ciclo de cultivo</w:t>
      </w:r>
      <w:r w:rsidR="00C43AF2" w:rsidRPr="000D5690">
        <w:rPr>
          <w:lang w:val="es-ES_tradnl"/>
        </w:rPr>
        <w:t>.</w:t>
      </w:r>
    </w:p>
    <w:p w:rsidR="005253AC" w:rsidRPr="00D6704A" w:rsidRDefault="005253AC" w:rsidP="005253AC">
      <w:pPr>
        <w:keepNext/>
        <w:rPr>
          <w:lang w:val="es-ES"/>
        </w:rPr>
      </w:pPr>
    </w:p>
    <w:p w:rsidR="005253AC" w:rsidRPr="00D6704A" w:rsidRDefault="00E60155" w:rsidP="005253AC">
      <w:pPr>
        <w:pStyle w:val="Heading3"/>
        <w:rPr>
          <w:lang w:val="es-ES"/>
        </w:rPr>
      </w:pPr>
      <w:r w:rsidRPr="000D5690">
        <w:rPr>
          <w:lang w:val="es-ES_tradnl"/>
        </w:rPr>
        <w:t>Nuevas propuestas de revisión de documentos TGP</w:t>
      </w:r>
    </w:p>
    <w:p w:rsidR="005253AC" w:rsidRPr="00D6704A" w:rsidRDefault="005253AC" w:rsidP="005253AC">
      <w:pPr>
        <w:rPr>
          <w:lang w:val="es-ES"/>
        </w:rPr>
      </w:pPr>
    </w:p>
    <w:p w:rsidR="005253AC" w:rsidRPr="00D6704A" w:rsidRDefault="00E60155" w:rsidP="005253AC">
      <w:pPr>
        <w:pStyle w:val="Heading4"/>
        <w:rPr>
          <w:lang w:val="es-ES"/>
        </w:rPr>
      </w:pPr>
      <w:bookmarkStart w:id="55" w:name="_Toc442110586"/>
      <w:r w:rsidRPr="000D5690">
        <w:rPr>
          <w:lang w:val="es-ES_tradnl"/>
        </w:rPr>
        <w:t>TGP/7:</w:t>
      </w:r>
      <w:r w:rsidR="005253AC" w:rsidRPr="00D6704A">
        <w:rPr>
          <w:lang w:val="es-ES"/>
        </w:rPr>
        <w:t xml:space="preserve"> </w:t>
      </w:r>
      <w:bookmarkEnd w:id="55"/>
      <w:r w:rsidRPr="000D5690">
        <w:rPr>
          <w:lang w:val="es-ES_tradnl"/>
        </w:rPr>
        <w:t>Elaboración de las directrices de examen</w:t>
      </w:r>
    </w:p>
    <w:p w:rsidR="005253AC" w:rsidRPr="00D6704A" w:rsidRDefault="005253AC" w:rsidP="005253AC">
      <w:pPr>
        <w:keepNext/>
        <w:rPr>
          <w:lang w:val="es-ES"/>
        </w:rPr>
      </w:pPr>
    </w:p>
    <w:p w:rsidR="005253AC" w:rsidRPr="00D6704A" w:rsidRDefault="005253AC" w:rsidP="0047214B">
      <w:pPr>
        <w:pStyle w:val="Heading5"/>
        <w:rPr>
          <w:lang w:val="es-ES"/>
        </w:rPr>
      </w:pPr>
      <w:r w:rsidRPr="00D6704A">
        <w:rPr>
          <w:lang w:val="es-ES"/>
        </w:rPr>
        <w:t>i)</w:t>
      </w:r>
      <w:r w:rsidRPr="00D6704A">
        <w:rPr>
          <w:lang w:val="es-ES"/>
        </w:rPr>
        <w:tab/>
      </w:r>
      <w:r w:rsidR="00E60155" w:rsidRPr="000D5690">
        <w:rPr>
          <w:lang w:val="es-ES_tradnl"/>
        </w:rPr>
        <w:t>Duración de los exámenes DHE en el sector frutícola</w:t>
      </w:r>
    </w:p>
    <w:p w:rsidR="005253AC" w:rsidRPr="00D6704A" w:rsidRDefault="005253AC" w:rsidP="005253AC">
      <w:pPr>
        <w:keepNext/>
        <w:rPr>
          <w:lang w:val="es-ES"/>
        </w:rPr>
      </w:pPr>
    </w:p>
    <w:p w:rsidR="005253AC" w:rsidRPr="00D6704A" w:rsidRDefault="00791298" w:rsidP="005253AC">
      <w:pPr>
        <w:keepNext/>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E60155" w:rsidRPr="000D5690">
        <w:rPr>
          <w:lang w:val="es-ES_tradnl"/>
        </w:rPr>
        <w:t xml:space="preserve">El TC </w:t>
      </w:r>
      <w:r w:rsidR="00ED759B" w:rsidRPr="000D5690">
        <w:rPr>
          <w:lang w:val="es-ES_tradnl"/>
        </w:rPr>
        <w:t>convino en considerar si procede modificar la orientación que figura en el documento TGP/7 sobre la duración del examen DHE para las plantas frutales</w:t>
      </w:r>
      <w:r w:rsidR="00E60155" w:rsidRPr="000D5690">
        <w:rPr>
          <w:lang w:val="es-ES_tradnl"/>
        </w:rPr>
        <w:t xml:space="preserve"> después de</w:t>
      </w:r>
      <w:r w:rsidR="00ED759B" w:rsidRPr="000D5690">
        <w:rPr>
          <w:lang w:val="es-ES_tradnl"/>
        </w:rPr>
        <w:t xml:space="preserve"> las</w:t>
      </w:r>
      <w:r w:rsidR="00E60155" w:rsidRPr="000D5690">
        <w:rPr>
          <w:lang w:val="es-ES_tradnl"/>
        </w:rPr>
        <w:t xml:space="preserve"> nuevas </w:t>
      </w:r>
      <w:r w:rsidR="00ED759B" w:rsidRPr="000D5690">
        <w:rPr>
          <w:lang w:val="es-ES_tradnl"/>
        </w:rPr>
        <w:t>deliberaciones d</w:t>
      </w:r>
      <w:r w:rsidR="00E60155" w:rsidRPr="000D5690">
        <w:rPr>
          <w:lang w:val="es-ES_tradnl"/>
        </w:rPr>
        <w:t>el TWF, en su reunión en 2016.</w:t>
      </w:r>
      <w:r w:rsidR="005253AC" w:rsidRPr="00D6704A">
        <w:rPr>
          <w:lang w:val="es-ES"/>
        </w:rPr>
        <w:t xml:space="preserve">  </w:t>
      </w:r>
      <w:r w:rsidR="00ED759B" w:rsidRPr="000D5690">
        <w:rPr>
          <w:lang w:val="es-ES_tradnl"/>
        </w:rPr>
        <w:t>En es</w:t>
      </w:r>
      <w:r w:rsidR="0090573F" w:rsidRPr="000D5690">
        <w:rPr>
          <w:lang w:val="es-ES_tradnl"/>
        </w:rPr>
        <w:t>t</w:t>
      </w:r>
      <w:r w:rsidR="00ED759B" w:rsidRPr="000D5690">
        <w:rPr>
          <w:lang w:val="es-ES_tradnl"/>
        </w:rPr>
        <w:t xml:space="preserve">e sentido, </w:t>
      </w:r>
      <w:r w:rsidR="0090573F" w:rsidRPr="000D5690">
        <w:rPr>
          <w:lang w:val="es-ES_tradnl"/>
        </w:rPr>
        <w:t>solicit</w:t>
      </w:r>
      <w:r w:rsidR="00ED759B" w:rsidRPr="000D5690">
        <w:rPr>
          <w:lang w:val="es-ES_tradnl"/>
        </w:rPr>
        <w:t xml:space="preserve">ó al TWF </w:t>
      </w:r>
      <w:r w:rsidR="0090573F" w:rsidRPr="000D5690">
        <w:rPr>
          <w:lang w:val="es-ES_tradnl"/>
        </w:rPr>
        <w:t xml:space="preserve">que examine </w:t>
      </w:r>
      <w:r w:rsidR="00ED759B" w:rsidRPr="000D5690">
        <w:rPr>
          <w:lang w:val="es-ES_tradnl"/>
        </w:rPr>
        <w:t xml:space="preserve">si la orientación </w:t>
      </w:r>
      <w:r w:rsidR="0090573F" w:rsidRPr="000D5690">
        <w:rPr>
          <w:lang w:val="es-ES_tradnl"/>
        </w:rPr>
        <w:t xml:space="preserve">que figura actualmente </w:t>
      </w:r>
      <w:r w:rsidR="00ED759B" w:rsidRPr="000D5690">
        <w:rPr>
          <w:lang w:val="es-ES_tradnl"/>
        </w:rPr>
        <w:t>en los documentos</w:t>
      </w:r>
      <w:r w:rsidR="0090573F" w:rsidRPr="000D5690">
        <w:rPr>
          <w:lang w:val="es-ES_tradnl"/>
        </w:rPr>
        <w:t> </w:t>
      </w:r>
      <w:r w:rsidR="00ED759B" w:rsidRPr="000D5690">
        <w:rPr>
          <w:lang w:val="es-ES_tradnl"/>
        </w:rPr>
        <w:t>TGP impid</w:t>
      </w:r>
      <w:r w:rsidR="0090573F" w:rsidRPr="000D5690">
        <w:rPr>
          <w:lang w:val="es-ES_tradnl"/>
        </w:rPr>
        <w:t xml:space="preserve">e </w:t>
      </w:r>
      <w:r w:rsidR="00ED759B" w:rsidRPr="000D5690">
        <w:rPr>
          <w:lang w:val="es-ES_tradnl"/>
        </w:rPr>
        <w:t>la conclusión de un examen</w:t>
      </w:r>
      <w:r w:rsidR="0090573F" w:rsidRPr="000D5690">
        <w:rPr>
          <w:lang w:val="es-ES_tradnl"/>
        </w:rPr>
        <w:t> </w:t>
      </w:r>
      <w:r w:rsidR="00ED759B" w:rsidRPr="000D5690">
        <w:rPr>
          <w:lang w:val="es-ES_tradnl"/>
        </w:rPr>
        <w:t>DHE después de un ciclo de cultivo.</w:t>
      </w:r>
    </w:p>
    <w:p w:rsidR="005253AC" w:rsidRPr="00D6704A" w:rsidRDefault="005253AC" w:rsidP="005253AC">
      <w:pPr>
        <w:rPr>
          <w:lang w:val="es-ES"/>
        </w:rPr>
      </w:pPr>
    </w:p>
    <w:p w:rsidR="005253AC" w:rsidRPr="00D6704A" w:rsidRDefault="0090573F" w:rsidP="005253AC">
      <w:pPr>
        <w:pStyle w:val="Heading4"/>
        <w:rPr>
          <w:lang w:val="es-ES"/>
        </w:rPr>
      </w:pPr>
      <w:bookmarkStart w:id="56" w:name="_Toc442110588"/>
      <w:r w:rsidRPr="000D5690">
        <w:rPr>
          <w:lang w:val="es-ES_tradnl"/>
        </w:rPr>
        <w:t>TGP/14:</w:t>
      </w:r>
      <w:r w:rsidR="005253AC" w:rsidRPr="00D6704A">
        <w:rPr>
          <w:lang w:val="es-ES"/>
        </w:rPr>
        <w:t xml:space="preserve"> </w:t>
      </w:r>
      <w:bookmarkEnd w:id="56"/>
      <w:r w:rsidRPr="000D5690">
        <w:rPr>
          <w:lang w:val="es-ES_tradnl"/>
        </w:rPr>
        <w:t>Glosario de términos utilizados en los documentos de la UPOV</w:t>
      </w:r>
    </w:p>
    <w:p w:rsidR="005253AC" w:rsidRPr="00D6704A" w:rsidRDefault="005253AC" w:rsidP="005253AC">
      <w:pPr>
        <w:rPr>
          <w:lang w:val="es-ES"/>
        </w:rPr>
      </w:pPr>
    </w:p>
    <w:p w:rsidR="005253AC" w:rsidRPr="00D6704A" w:rsidRDefault="005253AC" w:rsidP="0047214B">
      <w:pPr>
        <w:pStyle w:val="Heading5"/>
        <w:rPr>
          <w:lang w:val="es-ES"/>
        </w:rPr>
      </w:pPr>
      <w:r w:rsidRPr="00D6704A">
        <w:rPr>
          <w:lang w:val="es-ES"/>
        </w:rPr>
        <w:t>ii)</w:t>
      </w:r>
      <w:r w:rsidRPr="00D6704A">
        <w:rPr>
          <w:lang w:val="es-ES"/>
        </w:rPr>
        <w:tab/>
      </w:r>
      <w:r w:rsidR="0090573F" w:rsidRPr="000D5690">
        <w:rPr>
          <w:lang w:val="es-ES_tradnl"/>
        </w:rPr>
        <w:t>Definición de “recurvado”</w:t>
      </w:r>
    </w:p>
    <w:p w:rsidR="005253AC" w:rsidRPr="00D6704A" w:rsidRDefault="005253AC" w:rsidP="005253AC">
      <w:pPr>
        <w:rPr>
          <w:lang w:val="es-ES"/>
        </w:rPr>
      </w:pPr>
    </w:p>
    <w:p w:rsidR="005253AC" w:rsidRPr="00D6704A" w:rsidRDefault="00791298" w:rsidP="005253AC">
      <w:pPr>
        <w:keepNext/>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90573F" w:rsidRPr="000D5690">
        <w:rPr>
          <w:lang w:val="es-ES_tradnl"/>
        </w:rPr>
        <w:t xml:space="preserve">El TC tomó nota de los planes de la TWF de considerar </w:t>
      </w:r>
      <w:r w:rsidR="00A32165" w:rsidRPr="000D5690">
        <w:rPr>
          <w:lang w:val="es-ES_tradnl"/>
        </w:rPr>
        <w:t xml:space="preserve">la posibilidad de </w:t>
      </w:r>
      <w:r w:rsidR="0090573F" w:rsidRPr="000D5690">
        <w:rPr>
          <w:lang w:val="es-ES_tradnl"/>
        </w:rPr>
        <w:t>proponer que se revise la definición de “recurvado” que figura en el documento TGP/14.</w:t>
      </w:r>
    </w:p>
    <w:p w:rsidR="005253AC" w:rsidRPr="00D6704A" w:rsidRDefault="005253AC" w:rsidP="005253AC">
      <w:pPr>
        <w:rPr>
          <w:lang w:val="es-ES"/>
        </w:rPr>
      </w:pPr>
    </w:p>
    <w:p w:rsidR="005253AC" w:rsidRPr="00D6704A" w:rsidRDefault="0002402E" w:rsidP="005253AC">
      <w:pPr>
        <w:pStyle w:val="Heading3"/>
        <w:rPr>
          <w:lang w:val="es-ES"/>
        </w:rPr>
      </w:pPr>
      <w:r w:rsidRPr="000D5690">
        <w:rPr>
          <w:lang w:val="es-ES_tradnl"/>
        </w:rPr>
        <w:t>Programa para la elaboración de los documentos TGP</w:t>
      </w:r>
    </w:p>
    <w:p w:rsidR="005253AC" w:rsidRPr="00D6704A" w:rsidRDefault="005253AC" w:rsidP="005253AC">
      <w:pPr>
        <w:keepNext/>
        <w:rPr>
          <w:lang w:val="es-ES"/>
        </w:rPr>
      </w:pPr>
    </w:p>
    <w:p w:rsidR="005253AC" w:rsidRPr="00D6704A" w:rsidRDefault="00791298" w:rsidP="005253AC">
      <w:pPr>
        <w:keepNext/>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02402E" w:rsidRPr="000D5690">
        <w:rPr>
          <w:lang w:val="es-ES_tradnl"/>
        </w:rPr>
        <w:t>El TC aprobó el programa para l</w:t>
      </w:r>
      <w:r w:rsidR="00A32165" w:rsidRPr="000D5690">
        <w:rPr>
          <w:lang w:val="es-ES_tradnl"/>
        </w:rPr>
        <w:t>a elaboración de los documentos </w:t>
      </w:r>
      <w:r w:rsidR="0002402E" w:rsidRPr="000D5690">
        <w:rPr>
          <w:lang w:val="es-ES_tradnl"/>
        </w:rPr>
        <w:t xml:space="preserve">TGP que figura en el </w:t>
      </w:r>
      <w:r w:rsidR="00006E9C" w:rsidRPr="000D5690">
        <w:rPr>
          <w:lang w:val="es-ES_tradnl"/>
        </w:rPr>
        <w:t>A</w:t>
      </w:r>
      <w:r w:rsidR="0002402E" w:rsidRPr="000D5690">
        <w:rPr>
          <w:lang w:val="es-ES_tradnl"/>
        </w:rPr>
        <w:t>nexo</w:t>
      </w:r>
      <w:r w:rsidR="00006E9C" w:rsidRPr="000D5690">
        <w:rPr>
          <w:lang w:val="es-ES_tradnl"/>
        </w:rPr>
        <w:t> </w:t>
      </w:r>
      <w:r w:rsidR="0002402E" w:rsidRPr="000D5690">
        <w:rPr>
          <w:lang w:val="es-ES_tradnl"/>
        </w:rPr>
        <w:t>II del documento</w:t>
      </w:r>
      <w:r w:rsidR="00006E9C" w:rsidRPr="000D5690">
        <w:rPr>
          <w:lang w:val="es-ES_tradnl"/>
        </w:rPr>
        <w:t> </w:t>
      </w:r>
      <w:r w:rsidR="0002402E" w:rsidRPr="000D5690">
        <w:rPr>
          <w:lang w:val="es-ES_tradnl"/>
        </w:rPr>
        <w:t xml:space="preserve">TC/52/5, con sujeción a </w:t>
      </w:r>
      <w:r w:rsidR="00006E9C" w:rsidRPr="000D5690">
        <w:rPr>
          <w:lang w:val="es-ES_tradnl"/>
        </w:rPr>
        <w:t>la</w:t>
      </w:r>
      <w:r w:rsidR="0002402E" w:rsidRPr="000D5690">
        <w:rPr>
          <w:lang w:val="es-ES_tradnl"/>
        </w:rPr>
        <w:t xml:space="preserve">s conclusiones </w:t>
      </w:r>
      <w:r w:rsidR="00006E9C" w:rsidRPr="000D5690">
        <w:rPr>
          <w:lang w:val="es-ES_tradnl"/>
        </w:rPr>
        <w:t xml:space="preserve">expuestas </w:t>
      </w:r>
      <w:r w:rsidR="0002402E" w:rsidRPr="000D5690">
        <w:rPr>
          <w:lang w:val="es-ES_tradnl"/>
        </w:rPr>
        <w:t>anteriormente.</w:t>
      </w:r>
    </w:p>
    <w:p w:rsidR="005253AC" w:rsidRPr="00D6704A" w:rsidRDefault="005253AC" w:rsidP="005253AC">
      <w:pPr>
        <w:keepNext/>
        <w:rPr>
          <w:lang w:val="es-ES"/>
        </w:rPr>
      </w:pPr>
    </w:p>
    <w:p w:rsidR="005253AC" w:rsidRPr="00D6704A" w:rsidRDefault="00791298" w:rsidP="005253AC">
      <w:pPr>
        <w:keepNext/>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006E9C" w:rsidRPr="000D5690">
        <w:rPr>
          <w:lang w:val="es-ES_tradnl"/>
        </w:rPr>
        <w:t xml:space="preserve">El TC convino en que debía ofrecerse una explicación </w:t>
      </w:r>
      <w:r w:rsidR="00A32165" w:rsidRPr="000D5690">
        <w:rPr>
          <w:lang w:val="es-ES_tradnl"/>
        </w:rPr>
        <w:t>sobr</w:t>
      </w:r>
      <w:r w:rsidR="00006E9C" w:rsidRPr="000D5690">
        <w:rPr>
          <w:lang w:val="es-ES_tradnl"/>
        </w:rPr>
        <w:t>e los símbolos utilizados en el programa para la elaboración de los documentos TGP.</w:t>
      </w:r>
      <w:r w:rsidR="005253AC" w:rsidRPr="00D6704A">
        <w:rPr>
          <w:lang w:val="es-ES"/>
        </w:rPr>
        <w:t xml:space="preserve"> </w:t>
      </w:r>
    </w:p>
    <w:p w:rsidR="005253AC" w:rsidRPr="00D6704A" w:rsidRDefault="005253AC" w:rsidP="005253AC">
      <w:pPr>
        <w:rPr>
          <w:lang w:val="es-ES"/>
        </w:rPr>
      </w:pPr>
    </w:p>
    <w:p w:rsidR="005253AC" w:rsidRPr="00D6704A" w:rsidRDefault="005253AC" w:rsidP="005253AC">
      <w:pPr>
        <w:rPr>
          <w:lang w:val="es-ES"/>
        </w:rPr>
      </w:pPr>
    </w:p>
    <w:p w:rsidR="005253AC" w:rsidRPr="00D6704A" w:rsidRDefault="00FB5DF4" w:rsidP="005253AC">
      <w:pPr>
        <w:pStyle w:val="Heading2"/>
        <w:rPr>
          <w:lang w:val="es-ES"/>
        </w:rPr>
      </w:pPr>
      <w:r w:rsidRPr="000D5690">
        <w:rPr>
          <w:lang w:val="es-ES_tradnl"/>
        </w:rPr>
        <w:t>Técnicas moleculares</w:t>
      </w:r>
    </w:p>
    <w:p w:rsidR="005253AC" w:rsidRPr="00D6704A" w:rsidRDefault="005253AC" w:rsidP="005253AC">
      <w:pPr>
        <w:keepNext/>
        <w:rPr>
          <w:lang w:val="es-ES"/>
        </w:rPr>
      </w:pPr>
    </w:p>
    <w:p w:rsidR="005253AC" w:rsidRPr="00D6704A" w:rsidRDefault="00791298" w:rsidP="005253AC">
      <w:pPr>
        <w:keepNext/>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E34EA1" w:rsidRPr="000D5690">
        <w:rPr>
          <w:lang w:val="es-ES_tradnl"/>
        </w:rPr>
        <w:t>El TC examinó el documento TC/52/11.</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E34EA1" w:rsidRPr="000D5690">
        <w:rPr>
          <w:lang w:val="es-ES_tradnl"/>
        </w:rPr>
        <w:t xml:space="preserve">El TC tomó nota </w:t>
      </w:r>
      <w:r w:rsidR="00D760D1" w:rsidRPr="000D5690">
        <w:rPr>
          <w:lang w:val="es-ES_tradnl"/>
        </w:rPr>
        <w:t>del informe sobre las novedades que se han producido en los TWP y el BMT, según se expone en los párrafos 5 al 15 del documento </w:t>
      </w:r>
      <w:r w:rsidR="00E34EA1" w:rsidRPr="000D5690">
        <w:rPr>
          <w:lang w:val="es-ES_tradnl"/>
        </w:rPr>
        <w:t>TC/52/11.</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D760D1" w:rsidRPr="000D5690">
        <w:rPr>
          <w:lang w:val="es-ES_tradnl"/>
        </w:rPr>
        <w:t xml:space="preserve">El TC tomó nota de los planes de los Sistemas de semillas de la OCDE de organizar un </w:t>
      </w:r>
      <w:r w:rsidR="00A32165" w:rsidRPr="000D5690">
        <w:rPr>
          <w:lang w:val="es-ES_tradnl"/>
        </w:rPr>
        <w:t>t</w:t>
      </w:r>
      <w:r w:rsidR="00D760D1" w:rsidRPr="000D5690">
        <w:rPr>
          <w:lang w:val="es-ES_tradnl"/>
        </w:rPr>
        <w:t>aller conjunto entre la OCDE, la UPOV, la ISTA y la AOSA sobre técnicas bioquímicas y moleculares y fue informado verbalmente por el representante de la OECD de que el taller conjunto se celebraría en París (Francia) el 8 de junio de 2016.</w:t>
      </w:r>
      <w:r w:rsidR="005253AC" w:rsidRPr="00D6704A">
        <w:rPr>
          <w:lang w:val="es-ES"/>
        </w:rPr>
        <w:t xml:space="preserve"> </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D760D1" w:rsidRPr="000D5690">
        <w:rPr>
          <w:lang w:val="es-ES_tradnl"/>
        </w:rPr>
        <w:t>El TC señaló que, en su quincuagésima primera sesión, había acordado:</w:t>
      </w:r>
    </w:p>
    <w:p w:rsidR="005253AC" w:rsidRPr="00D6704A" w:rsidRDefault="005253AC" w:rsidP="005253AC">
      <w:pPr>
        <w:rPr>
          <w:lang w:val="es-ES"/>
        </w:rPr>
      </w:pPr>
    </w:p>
    <w:p w:rsidR="005253AC" w:rsidRPr="00D6704A" w:rsidRDefault="0047214B" w:rsidP="005253AC">
      <w:pPr>
        <w:ind w:left="1134" w:hanging="567"/>
        <w:rPr>
          <w:rFonts w:cs="Arial"/>
          <w:lang w:val="es-ES" w:eastAsia="ja-JP"/>
        </w:rPr>
      </w:pPr>
      <w:r w:rsidRPr="00D6704A">
        <w:rPr>
          <w:rFonts w:cs="Arial"/>
          <w:lang w:val="es-ES" w:eastAsia="ja-JP"/>
        </w:rPr>
        <w:t>a)</w:t>
      </w:r>
      <w:r w:rsidR="005253AC" w:rsidRPr="00D6704A">
        <w:rPr>
          <w:rFonts w:cs="Arial"/>
          <w:lang w:val="es-ES" w:eastAsia="ja-JP"/>
        </w:rPr>
        <w:tab/>
      </w:r>
      <w:r w:rsidR="00D760D1" w:rsidRPr="000D5690">
        <w:rPr>
          <w:rFonts w:cs="Arial"/>
          <w:lang w:val="es-ES_tradnl" w:eastAsia="ja-JP"/>
        </w:rPr>
        <w:t>elaborar un documento conjunto en el que se expliquen las características principales de los sistemas de la OCDE, la UPOV y la ISTA;</w:t>
      </w:r>
    </w:p>
    <w:p w:rsidR="005253AC" w:rsidRPr="00D6704A" w:rsidRDefault="0047214B" w:rsidP="005253AC">
      <w:pPr>
        <w:ind w:left="1134" w:hanging="567"/>
        <w:rPr>
          <w:rFonts w:cs="Arial"/>
          <w:sz w:val="18"/>
          <w:lang w:val="es-ES" w:eastAsia="ja-JP"/>
        </w:rPr>
      </w:pPr>
      <w:r w:rsidRPr="00D6704A">
        <w:rPr>
          <w:rFonts w:cs="Arial"/>
          <w:lang w:val="es-ES" w:eastAsia="ja-JP"/>
        </w:rPr>
        <w:t>b)</w:t>
      </w:r>
      <w:r w:rsidR="005253AC" w:rsidRPr="00D6704A">
        <w:rPr>
          <w:rFonts w:cs="Arial"/>
          <w:lang w:val="es-ES" w:eastAsia="ja-JP"/>
        </w:rPr>
        <w:tab/>
      </w:r>
      <w:r w:rsidR="00D760D1" w:rsidRPr="000D5690">
        <w:rPr>
          <w:rFonts w:cs="Arial"/>
          <w:lang w:val="es-ES_tradnl" w:eastAsia="ja-JP"/>
        </w:rPr>
        <w:t>realizar un inventario sobre la utilización de técnicas basadas en marcadores moleculares, por cultivos, con objeto de elaborar un documento conjunto de la UPOV, la OCDE y la ISTA en el que figure dicha información en un formato similar al del documento UPOV/INF/16 “Programas informáticos para intercambio”, con sujeción a la aprobación por el Consejo y en coordinación con la OCDE y la ISTA;</w:t>
      </w:r>
      <w:r w:rsidR="007B5979" w:rsidRPr="000D5690">
        <w:rPr>
          <w:rFonts w:cs="Arial"/>
          <w:lang w:val="es-ES_tradnl" w:eastAsia="ja-JP"/>
        </w:rPr>
        <w:t xml:space="preserve"> </w:t>
      </w:r>
      <w:r w:rsidR="00A32165" w:rsidRPr="000D5690">
        <w:rPr>
          <w:rFonts w:cs="Arial"/>
          <w:lang w:val="es-ES_tradnl" w:eastAsia="ja-JP"/>
        </w:rPr>
        <w:t xml:space="preserve"> </w:t>
      </w:r>
      <w:r w:rsidR="007B5979" w:rsidRPr="000D5690">
        <w:rPr>
          <w:rFonts w:cs="Arial"/>
          <w:lang w:val="es-ES_tradnl" w:eastAsia="ja-JP"/>
        </w:rPr>
        <w:t>y</w:t>
      </w:r>
      <w:r w:rsidR="005253AC" w:rsidRPr="00D6704A">
        <w:rPr>
          <w:rFonts w:cs="Arial"/>
          <w:lang w:val="es-ES" w:eastAsia="ja-JP"/>
        </w:rPr>
        <w:t xml:space="preserve"> </w:t>
      </w:r>
    </w:p>
    <w:p w:rsidR="005253AC" w:rsidRPr="00D6704A" w:rsidRDefault="0047214B" w:rsidP="005253AC">
      <w:pPr>
        <w:ind w:left="1134" w:hanging="567"/>
        <w:rPr>
          <w:rFonts w:cs="Arial"/>
          <w:lang w:val="es-ES" w:eastAsia="ja-JP"/>
        </w:rPr>
      </w:pPr>
      <w:r w:rsidRPr="00D6704A">
        <w:rPr>
          <w:rFonts w:cs="Arial"/>
          <w:lang w:val="es-ES" w:eastAsia="ja-JP"/>
        </w:rPr>
        <w:t>c)</w:t>
      </w:r>
      <w:r w:rsidR="005253AC" w:rsidRPr="00D6704A">
        <w:rPr>
          <w:rFonts w:cs="Arial"/>
          <w:lang w:val="es-ES" w:eastAsia="ja-JP"/>
        </w:rPr>
        <w:tab/>
      </w:r>
      <w:r w:rsidR="00CC7560" w:rsidRPr="000D5690">
        <w:rPr>
          <w:rFonts w:cs="Arial"/>
          <w:lang w:val="es-ES_tradnl" w:eastAsia="ja-JP"/>
        </w:rPr>
        <w:t xml:space="preserve">aprobar </w:t>
      </w:r>
      <w:r w:rsidR="007B5979" w:rsidRPr="000D5690">
        <w:rPr>
          <w:rFonts w:cs="Arial"/>
          <w:lang w:val="es-ES_tradnl" w:eastAsia="ja-JP"/>
        </w:rPr>
        <w:t>la propuesta de que, en su decimoquinta reunión, el BMT elabore listas de posibles iniciativas conjuntas con la OCDE y la ISTA relacionadas con las técnicas moleculares a fin de que las examine el TC, las cuales se presentarán al TC en su quincuagésima tercera sesión.</w:t>
      </w:r>
    </w:p>
    <w:p w:rsidR="005253AC" w:rsidRPr="00D6704A" w:rsidRDefault="005253AC" w:rsidP="005253AC">
      <w:pPr>
        <w:rPr>
          <w:rFonts w:cs="Arial"/>
          <w:lang w:val="es-ES" w:eastAsia="ja-JP"/>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CC7560" w:rsidRPr="000D5690">
        <w:rPr>
          <w:lang w:val="es-ES_tradnl"/>
        </w:rPr>
        <w:t>El TC convino en que el BMT deberá incluir la elaboración de una relación de la terminología (definiciones) utilizada por la UPOV, la OCDE y la ISTA en la lista de iniciativas conjuntas relacionadas con las técnicas moleculares, a fin de que las examine el TC en su quincuagésima tercera sesión.</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CC7560" w:rsidRPr="000D5690">
        <w:rPr>
          <w:lang w:val="es-ES_tradnl"/>
        </w:rPr>
        <w:t>El TC acordó una propuesta de pregunta y respuesta relativa a la información sobre la situación en la UPOV en lo que respecta al uso de técnicas moleculares, para un público más amplio, que incluya al público en general, con la redacción siguiente.</w:t>
      </w:r>
    </w:p>
    <w:p w:rsidR="005253AC" w:rsidRPr="00D6704A" w:rsidRDefault="005253AC" w:rsidP="005253AC">
      <w:pPr>
        <w:rPr>
          <w:lang w:val="es-ES"/>
        </w:rPr>
      </w:pPr>
    </w:p>
    <w:p w:rsidR="005253AC" w:rsidRPr="00D6704A" w:rsidRDefault="00CC7560" w:rsidP="005253AC">
      <w:pPr>
        <w:ind w:left="567"/>
        <w:rPr>
          <w:rFonts w:cs="Arial"/>
          <w:sz w:val="18"/>
          <w:szCs w:val="24"/>
          <w:lang w:val="es-ES"/>
        </w:rPr>
      </w:pPr>
      <w:r w:rsidRPr="000D5690">
        <w:rPr>
          <w:rFonts w:cs="Arial"/>
          <w:sz w:val="18"/>
          <w:szCs w:val="24"/>
          <w:lang w:val="es-ES_tradnl"/>
        </w:rPr>
        <w:t>“¿Es posible obtener la protección de una variedad sobre la base de su perfil de ADN?</w:t>
      </w:r>
    </w:p>
    <w:p w:rsidR="005253AC" w:rsidRPr="00D6704A" w:rsidRDefault="005253AC" w:rsidP="005253AC">
      <w:pPr>
        <w:ind w:left="567" w:right="567"/>
        <w:rPr>
          <w:rFonts w:cs="Arial"/>
          <w:sz w:val="18"/>
          <w:szCs w:val="24"/>
          <w:lang w:val="es-ES"/>
        </w:rPr>
      </w:pPr>
    </w:p>
    <w:p w:rsidR="005253AC" w:rsidRPr="00D6704A" w:rsidRDefault="00CC7560" w:rsidP="005253AC">
      <w:pPr>
        <w:ind w:left="567" w:right="567"/>
        <w:rPr>
          <w:rFonts w:cs="Arial"/>
          <w:sz w:val="18"/>
          <w:lang w:val="es-ES"/>
        </w:rPr>
      </w:pPr>
      <w:r w:rsidRPr="000D5690">
        <w:rPr>
          <w:rFonts w:cs="Arial"/>
          <w:sz w:val="18"/>
          <w:lang w:val="es-ES_tradnl"/>
        </w:rPr>
        <w:t>“Para obtener protección, una variedad ha de poder distinguirse claramente de todas las variedades existentes, sobre la base de caracteres que se expresan físicamente, por ejemplo, altura de la planta, época de floración, color del fruto, resistencia a las enfermedades, etcétera.</w:t>
      </w:r>
      <w:r w:rsidR="005253AC" w:rsidRPr="00D6704A">
        <w:rPr>
          <w:rFonts w:cs="Arial"/>
          <w:sz w:val="18"/>
          <w:lang w:val="es-ES"/>
        </w:rPr>
        <w:t xml:space="preserve">  </w:t>
      </w:r>
      <w:r w:rsidRPr="000D5690">
        <w:rPr>
          <w:rFonts w:cs="Arial"/>
          <w:sz w:val="18"/>
          <w:lang w:val="es-ES_tradnl"/>
        </w:rPr>
        <w:t>El perfil de ADN no es la base para obtener la protección de una variedad, aunque esta información puede utilizarse como información complementaria.</w:t>
      </w:r>
    </w:p>
    <w:p w:rsidR="005253AC" w:rsidRPr="00D6704A" w:rsidRDefault="005253AC" w:rsidP="005253AC">
      <w:pPr>
        <w:ind w:left="567" w:right="567"/>
        <w:rPr>
          <w:rFonts w:cs="Arial"/>
          <w:sz w:val="18"/>
          <w:szCs w:val="24"/>
          <w:lang w:val="es-ES"/>
        </w:rPr>
      </w:pPr>
    </w:p>
    <w:p w:rsidR="005253AC" w:rsidRPr="00D6704A" w:rsidRDefault="0097068F" w:rsidP="005253AC">
      <w:pPr>
        <w:ind w:left="567" w:right="567"/>
        <w:rPr>
          <w:rFonts w:cs="Arial"/>
          <w:sz w:val="18"/>
          <w:szCs w:val="24"/>
          <w:lang w:val="es-ES"/>
        </w:rPr>
      </w:pPr>
      <w:r w:rsidRPr="000D5690">
        <w:rPr>
          <w:rFonts w:cs="Arial"/>
          <w:sz w:val="18"/>
          <w:lang w:val="es-ES_tradnl"/>
        </w:rPr>
        <w:t>“</w:t>
      </w:r>
      <w:r w:rsidR="00942E0C" w:rsidRPr="000D5690">
        <w:rPr>
          <w:rFonts w:cs="Arial"/>
          <w:sz w:val="18"/>
          <w:szCs w:val="24"/>
          <w:lang w:val="es-ES_tradnl"/>
        </w:rPr>
        <w:t>En la pregunta frecuente ‘¿Permite la UPOV la utilización de técnicas moleculares (perfiles de ADN) en el examen de la distinción, la homogeneidad y la estabilidad (“DHE”)?’ figura una explicación más detallada.</w:t>
      </w:r>
    </w:p>
    <w:p w:rsidR="005253AC" w:rsidRPr="00D6704A" w:rsidRDefault="005253AC" w:rsidP="005253AC">
      <w:pPr>
        <w:ind w:left="567" w:right="567"/>
        <w:rPr>
          <w:rFonts w:cs="Arial"/>
          <w:sz w:val="18"/>
          <w:szCs w:val="24"/>
          <w:lang w:val="es-ES"/>
        </w:rPr>
      </w:pPr>
    </w:p>
    <w:p w:rsidR="005253AC" w:rsidRPr="00D6704A" w:rsidRDefault="00942E0C" w:rsidP="005253AC">
      <w:pPr>
        <w:ind w:left="567" w:right="567"/>
        <w:rPr>
          <w:rFonts w:cs="Arial"/>
          <w:sz w:val="18"/>
          <w:szCs w:val="24"/>
          <w:lang w:val="es-ES"/>
        </w:rPr>
      </w:pPr>
      <w:r w:rsidRPr="000D5690">
        <w:rPr>
          <w:rFonts w:cs="Arial"/>
          <w:sz w:val="18"/>
          <w:szCs w:val="24"/>
          <w:lang w:val="es-ES_tradnl"/>
        </w:rPr>
        <w:t>“Véase también:</w:t>
      </w:r>
    </w:p>
    <w:p w:rsidR="005253AC" w:rsidRPr="00D6704A" w:rsidRDefault="00942E0C" w:rsidP="005253AC">
      <w:pPr>
        <w:ind w:left="567" w:right="567"/>
        <w:rPr>
          <w:rFonts w:cs="Arial"/>
          <w:sz w:val="18"/>
          <w:szCs w:val="24"/>
          <w:lang w:val="es-ES" w:eastAsia="ja-JP"/>
        </w:rPr>
      </w:pPr>
      <w:r w:rsidRPr="000D5690">
        <w:rPr>
          <w:rFonts w:cs="Arial"/>
          <w:sz w:val="18"/>
          <w:szCs w:val="24"/>
          <w:lang w:val="es-ES_tradnl"/>
        </w:rPr>
        <w:t>“¿Qué requisitos ha de cumplir una obtención vegetal para recibir protección?”</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942E0C" w:rsidRPr="000D5690">
        <w:rPr>
          <w:lang w:val="es-ES_tradnl"/>
        </w:rPr>
        <w:t xml:space="preserve">El TC señaló que el punto 5 del orden del día del BMT “Informe sobre la labor relativa a las técnicas moleculares en relación con el examen DHE” </w:t>
      </w:r>
      <w:r w:rsidR="00EE00F4" w:rsidRPr="000D5690">
        <w:rPr>
          <w:lang w:val="es-ES_tradnl"/>
        </w:rPr>
        <w:t>ofrece</w:t>
      </w:r>
      <w:r w:rsidR="00942E0C" w:rsidRPr="000D5690">
        <w:rPr>
          <w:lang w:val="es-ES_tradnl"/>
        </w:rPr>
        <w:t xml:space="preserve">ría </w:t>
      </w:r>
      <w:r w:rsidR="00EE00F4" w:rsidRPr="000D5690">
        <w:rPr>
          <w:lang w:val="es-ES_tradnl"/>
        </w:rPr>
        <w:t xml:space="preserve">a </w:t>
      </w:r>
      <w:r w:rsidR="00942E0C" w:rsidRPr="000D5690">
        <w:rPr>
          <w:lang w:val="es-ES_tradnl"/>
        </w:rPr>
        <w:t xml:space="preserve">los miembros de la UPOV </w:t>
      </w:r>
      <w:r w:rsidR="00EE00F4" w:rsidRPr="000D5690">
        <w:rPr>
          <w:lang w:val="es-ES_tradnl"/>
        </w:rPr>
        <w:t xml:space="preserve">la oportunidad de </w:t>
      </w:r>
      <w:r w:rsidR="00942E0C" w:rsidRPr="000D5690">
        <w:rPr>
          <w:lang w:val="es-ES_tradnl"/>
        </w:rPr>
        <w:t xml:space="preserve">informar sobre </w:t>
      </w:r>
      <w:r w:rsidR="00EE00F4" w:rsidRPr="000D5690">
        <w:rPr>
          <w:lang w:val="es-ES_tradnl"/>
        </w:rPr>
        <w:t>las novedades más recientes</w:t>
      </w:r>
      <w:r w:rsidR="00942E0C" w:rsidRPr="000D5690">
        <w:rPr>
          <w:lang w:val="es-ES_tradnl"/>
        </w:rPr>
        <w:t xml:space="preserve"> relacionadas con </w:t>
      </w:r>
      <w:r w:rsidR="00EE00F4" w:rsidRPr="000D5690">
        <w:rPr>
          <w:lang w:val="es-ES_tradnl"/>
        </w:rPr>
        <w:t>la utilización de técnicas moleculares en el examen DHE</w:t>
      </w:r>
      <w:r w:rsidR="00942E0C" w:rsidRPr="000D5690">
        <w:rPr>
          <w:lang w:val="es-ES_tradnl"/>
        </w:rPr>
        <w:t xml:space="preserve">, y que podría </w:t>
      </w:r>
      <w:r w:rsidR="00EE00F4" w:rsidRPr="000D5690">
        <w:rPr>
          <w:lang w:val="es-ES_tradnl"/>
        </w:rPr>
        <w:t xml:space="preserve">servir de </w:t>
      </w:r>
      <w:r w:rsidR="00942E0C" w:rsidRPr="000D5690">
        <w:rPr>
          <w:lang w:val="es-ES_tradnl"/>
        </w:rPr>
        <w:t xml:space="preserve">base para proponer nuevos modelos de aplicación para su inclusión en el documento TGP/15 </w:t>
      </w:r>
      <w:r w:rsidR="00EE00F4" w:rsidRPr="000D5690">
        <w:rPr>
          <w:lang w:val="es-ES_tradnl"/>
        </w:rPr>
        <w:t>“Orientación sobre el uso de marcadores bioquímicos y moleculares en el examen de la distinción, la homogeneidad y la estabilidad (DHE)”</w:t>
      </w:r>
      <w:r w:rsidR="00942E0C" w:rsidRPr="000D5690">
        <w:rPr>
          <w:lang w:val="es-ES_tradnl"/>
        </w:rPr>
        <w:t>.</w:t>
      </w:r>
      <w:r w:rsidR="005253AC" w:rsidRPr="00D6704A">
        <w:rPr>
          <w:lang w:val="es-ES"/>
        </w:rPr>
        <w:t xml:space="preserve"> </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EE00F4" w:rsidRPr="000D5690">
        <w:rPr>
          <w:lang w:val="es-ES_tradnl"/>
        </w:rPr>
        <w:t>El TC tomó nota de que la Unión Europea estaba llevando a cabo un proyecto sobre la utilización de técnicas de marcadores moleculares en el examen DHE, en diferentes cultivos.</w:t>
      </w:r>
    </w:p>
    <w:p w:rsidR="005253AC" w:rsidRPr="00D6704A" w:rsidRDefault="005253AC" w:rsidP="005253AC">
      <w:pPr>
        <w:rPr>
          <w:lang w:val="es-ES"/>
        </w:rPr>
      </w:pPr>
    </w:p>
    <w:p w:rsidR="005253AC" w:rsidRPr="00D6704A" w:rsidRDefault="005253AC" w:rsidP="005253AC">
      <w:pPr>
        <w:rPr>
          <w:lang w:val="es-ES"/>
        </w:rPr>
      </w:pPr>
    </w:p>
    <w:p w:rsidR="005253AC" w:rsidRPr="00D6704A" w:rsidRDefault="00EE00F4" w:rsidP="005253AC">
      <w:pPr>
        <w:pStyle w:val="Heading2"/>
        <w:rPr>
          <w:lang w:val="es-ES"/>
        </w:rPr>
      </w:pPr>
      <w:r w:rsidRPr="000D5690">
        <w:rPr>
          <w:lang w:val="es-ES_tradnl"/>
        </w:rPr>
        <w:t>Sesión de debate</w:t>
      </w:r>
    </w:p>
    <w:p w:rsidR="005253AC" w:rsidRPr="00D6704A" w:rsidRDefault="005253AC" w:rsidP="005253AC">
      <w:pPr>
        <w:keepNext/>
        <w:autoSpaceDE w:val="0"/>
        <w:autoSpaceDN w:val="0"/>
        <w:adjustRightInd w:val="0"/>
        <w:rPr>
          <w:rFonts w:cs="Arial"/>
          <w:lang w:val="es-ES"/>
        </w:rPr>
      </w:pPr>
    </w:p>
    <w:p w:rsidR="005253AC" w:rsidRPr="00D6704A" w:rsidRDefault="0047214B" w:rsidP="005253AC">
      <w:pPr>
        <w:pStyle w:val="Heading3"/>
        <w:ind w:left="564" w:hanging="564"/>
        <w:rPr>
          <w:lang w:val="es-ES"/>
        </w:rPr>
      </w:pPr>
      <w:r w:rsidRPr="00D6704A">
        <w:rPr>
          <w:lang w:val="es-ES"/>
        </w:rPr>
        <w:t>a)</w:t>
      </w:r>
      <w:r w:rsidR="005253AC" w:rsidRPr="00D6704A">
        <w:rPr>
          <w:lang w:val="es-ES"/>
        </w:rPr>
        <w:tab/>
      </w:r>
      <w:r w:rsidR="00EE00F4" w:rsidRPr="000D5690">
        <w:rPr>
          <w:lang w:val="es-ES_tradnl"/>
        </w:rPr>
        <w:t>Debate sobre las descripciones de variedades y la función del material vegetal, incluido el número mínimo de ciclos de cultivo para el examen DHE</w:t>
      </w:r>
    </w:p>
    <w:p w:rsidR="005253AC" w:rsidRPr="00D6704A" w:rsidRDefault="005253AC" w:rsidP="005253AC">
      <w:pPr>
        <w:pStyle w:val="Heading3"/>
        <w:rPr>
          <w:lang w:val="es-ES"/>
        </w:rPr>
      </w:pPr>
    </w:p>
    <w:p w:rsidR="005253AC" w:rsidRPr="00D6704A" w:rsidRDefault="00791298" w:rsidP="005253AC">
      <w:pPr>
        <w:keepNext/>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9F59B6" w:rsidRPr="000D5690">
        <w:rPr>
          <w:lang w:val="es-ES_tradnl"/>
        </w:rPr>
        <w:t>El TC asistió a las siguientes ponencias sobre las descripciones de variedades y la función del material vegetal, incluido el número mínimo de ciclos de cultivo para el examen DHE (por orden de presentación):</w:t>
      </w:r>
    </w:p>
    <w:p w:rsidR="005253AC" w:rsidRPr="00D6704A" w:rsidRDefault="005253AC" w:rsidP="005253AC">
      <w:pPr>
        <w:rPr>
          <w:lang w:val="es-ES"/>
        </w:rPr>
      </w:pPr>
    </w:p>
    <w:tbl>
      <w:tblPr>
        <w:tblStyle w:val="TableGrid"/>
        <w:tblW w:w="9889" w:type="dxa"/>
        <w:tblLook w:val="04A0" w:firstRow="1" w:lastRow="0" w:firstColumn="1" w:lastColumn="0" w:noHBand="0" w:noVBand="1"/>
      </w:tblPr>
      <w:tblGrid>
        <w:gridCol w:w="5670"/>
        <w:gridCol w:w="4219"/>
      </w:tblGrid>
      <w:tr w:rsidR="005253AC" w:rsidRPr="000D5690" w:rsidTr="007703AE">
        <w:tc>
          <w:tcPr>
            <w:tcW w:w="5670" w:type="dxa"/>
          </w:tcPr>
          <w:p w:rsidR="005253AC" w:rsidRPr="000D5690" w:rsidRDefault="009F59B6" w:rsidP="000D5690">
            <w:pPr>
              <w:keepNext/>
              <w:spacing w:before="60" w:after="60"/>
              <w:ind w:right="34"/>
            </w:pPr>
            <w:r w:rsidRPr="000D5690">
              <w:t>Las descripciones de variedades y la función del material vegetal, incluido el número mínimo de ciclos de cultivo para el examen DHE</w:t>
            </w:r>
          </w:p>
        </w:tc>
        <w:tc>
          <w:tcPr>
            <w:tcW w:w="4219" w:type="dxa"/>
          </w:tcPr>
          <w:p w:rsidR="005253AC" w:rsidRPr="000D5690" w:rsidRDefault="009F59B6" w:rsidP="000D5690">
            <w:pPr>
              <w:keepNext/>
              <w:spacing w:before="60" w:after="60"/>
              <w:ind w:left="317" w:right="-108"/>
              <w:jc w:val="left"/>
            </w:pPr>
            <w:r w:rsidRPr="000D5690">
              <w:t>Francia (Sr. Richard Brand)</w:t>
            </w:r>
          </w:p>
        </w:tc>
      </w:tr>
      <w:tr w:rsidR="005253AC" w:rsidRPr="000D5690" w:rsidTr="007703AE">
        <w:tc>
          <w:tcPr>
            <w:tcW w:w="5670" w:type="dxa"/>
          </w:tcPr>
          <w:p w:rsidR="005253AC" w:rsidRPr="000D5690" w:rsidRDefault="009F59B6" w:rsidP="000D5690">
            <w:pPr>
              <w:keepNext/>
              <w:spacing w:before="60" w:after="60"/>
              <w:ind w:right="34"/>
            </w:pPr>
            <w:r w:rsidRPr="000D5690">
              <w:t>La elaboración y utilización de descripciones de variedades</w:t>
            </w:r>
          </w:p>
        </w:tc>
        <w:tc>
          <w:tcPr>
            <w:tcW w:w="4219" w:type="dxa"/>
          </w:tcPr>
          <w:p w:rsidR="005253AC" w:rsidRPr="000D5690" w:rsidRDefault="009F59B6" w:rsidP="000D5690">
            <w:pPr>
              <w:keepNext/>
              <w:spacing w:before="60" w:after="60"/>
              <w:ind w:left="317" w:right="-108"/>
              <w:jc w:val="left"/>
            </w:pPr>
            <w:r w:rsidRPr="000D5690">
              <w:t>Alemania (Sra. Beate Rücker)</w:t>
            </w:r>
          </w:p>
        </w:tc>
      </w:tr>
      <w:tr w:rsidR="005253AC" w:rsidRPr="00E30CEB" w:rsidTr="007703AE">
        <w:tc>
          <w:tcPr>
            <w:tcW w:w="5670" w:type="dxa"/>
          </w:tcPr>
          <w:p w:rsidR="005253AC" w:rsidRPr="000D5690" w:rsidRDefault="009F59B6" w:rsidP="000D5690">
            <w:pPr>
              <w:keepNext/>
              <w:spacing w:before="60" w:after="60"/>
              <w:ind w:right="34"/>
            </w:pPr>
            <w:r w:rsidRPr="000D5690">
              <w:t>El número mínimo de ciclos de cultivo</w:t>
            </w:r>
          </w:p>
        </w:tc>
        <w:tc>
          <w:tcPr>
            <w:tcW w:w="4219" w:type="dxa"/>
          </w:tcPr>
          <w:p w:rsidR="005253AC" w:rsidRPr="000D5690" w:rsidRDefault="009F59B6" w:rsidP="000D5690">
            <w:pPr>
              <w:keepNext/>
              <w:spacing w:before="60" w:after="60"/>
              <w:ind w:left="317" w:right="-108"/>
              <w:jc w:val="left"/>
            </w:pPr>
            <w:r w:rsidRPr="000D5690">
              <w:t xml:space="preserve">Países bajos (Sr. Kees van </w:t>
            </w:r>
            <w:proofErr w:type="spellStart"/>
            <w:r w:rsidRPr="000D5690">
              <w:t>Ettekoven</w:t>
            </w:r>
            <w:proofErr w:type="spellEnd"/>
            <w:r w:rsidRPr="000D5690">
              <w:t>)</w:t>
            </w:r>
          </w:p>
        </w:tc>
      </w:tr>
      <w:tr w:rsidR="005253AC" w:rsidRPr="000D5690" w:rsidTr="007703AE">
        <w:tc>
          <w:tcPr>
            <w:tcW w:w="5670" w:type="dxa"/>
          </w:tcPr>
          <w:p w:rsidR="005253AC" w:rsidRPr="000D5690" w:rsidRDefault="009F59B6" w:rsidP="000D5690">
            <w:pPr>
              <w:spacing w:before="60" w:after="60"/>
              <w:ind w:right="34"/>
            </w:pPr>
            <w:r w:rsidRPr="000D5690">
              <w:t>La utilización de las descripciones de variedades y la duración del examen: una perspectiva de Nueva Zelandia</w:t>
            </w:r>
          </w:p>
        </w:tc>
        <w:tc>
          <w:tcPr>
            <w:tcW w:w="4219" w:type="dxa"/>
          </w:tcPr>
          <w:p w:rsidR="005253AC" w:rsidRPr="00D6704A" w:rsidRDefault="009F59B6" w:rsidP="000D5690">
            <w:pPr>
              <w:spacing w:before="60" w:after="60"/>
              <w:ind w:left="317" w:right="-108"/>
              <w:jc w:val="left"/>
              <w:rPr>
                <w:lang w:val="en-US"/>
              </w:rPr>
            </w:pPr>
            <w:r w:rsidRPr="00D6704A">
              <w:rPr>
                <w:lang w:val="en-US"/>
              </w:rPr>
              <w:t xml:space="preserve">Nueva </w:t>
            </w:r>
            <w:proofErr w:type="spellStart"/>
            <w:r w:rsidRPr="00D6704A">
              <w:rPr>
                <w:lang w:val="en-US"/>
              </w:rPr>
              <w:t>Zelandia</w:t>
            </w:r>
            <w:proofErr w:type="spellEnd"/>
            <w:r w:rsidRPr="00D6704A">
              <w:rPr>
                <w:lang w:val="en-US"/>
              </w:rPr>
              <w:t xml:space="preserve"> (Sr. Chris Barnaby)</w:t>
            </w:r>
          </w:p>
        </w:tc>
      </w:tr>
    </w:tbl>
    <w:p w:rsidR="005253AC" w:rsidRPr="000D5690" w:rsidRDefault="005253AC" w:rsidP="005253AC"/>
    <w:p w:rsidR="005253AC" w:rsidRPr="00D6704A" w:rsidRDefault="0047214B" w:rsidP="005253AC">
      <w:pPr>
        <w:pStyle w:val="Heading3"/>
        <w:rPr>
          <w:lang w:val="es-ES"/>
        </w:rPr>
      </w:pPr>
      <w:r w:rsidRPr="00D6704A">
        <w:rPr>
          <w:lang w:val="es-ES"/>
        </w:rPr>
        <w:t>b)</w:t>
      </w:r>
      <w:r w:rsidR="005253AC" w:rsidRPr="00D6704A">
        <w:rPr>
          <w:lang w:val="es-ES"/>
        </w:rPr>
        <w:tab/>
      </w:r>
      <w:r w:rsidR="009F59B6" w:rsidRPr="000D5690">
        <w:rPr>
          <w:lang w:val="es-ES_tradnl"/>
        </w:rPr>
        <w:t>Debate sobre los parámetros de calidad en el examen DHE</w:t>
      </w:r>
    </w:p>
    <w:p w:rsidR="005253AC" w:rsidRPr="00D6704A" w:rsidRDefault="005253AC" w:rsidP="005253AC">
      <w:pPr>
        <w:pStyle w:val="Heading3"/>
        <w:rPr>
          <w:lang w:val="es-ES"/>
        </w:rPr>
      </w:pPr>
    </w:p>
    <w:p w:rsidR="005253AC" w:rsidRPr="00D6704A" w:rsidRDefault="00791298" w:rsidP="005253AC">
      <w:pPr>
        <w:keepNext/>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9F59B6" w:rsidRPr="000D5690">
        <w:rPr>
          <w:lang w:val="es-ES_tradnl"/>
        </w:rPr>
        <w:t>El TC asistió a las siguientes ponencias sobre parámetros de calidad en el examen DHE (por orden de presentación):</w:t>
      </w:r>
    </w:p>
    <w:p w:rsidR="005253AC" w:rsidRPr="00D6704A" w:rsidRDefault="005253AC" w:rsidP="005253AC">
      <w:pPr>
        <w:rPr>
          <w:lang w:val="es-ES"/>
        </w:rPr>
      </w:pPr>
    </w:p>
    <w:tbl>
      <w:tblPr>
        <w:tblStyle w:val="TableGrid"/>
        <w:tblW w:w="9889" w:type="dxa"/>
        <w:tblLook w:val="04A0" w:firstRow="1" w:lastRow="0" w:firstColumn="1" w:lastColumn="0" w:noHBand="0" w:noVBand="1"/>
      </w:tblPr>
      <w:tblGrid>
        <w:gridCol w:w="5670"/>
        <w:gridCol w:w="4219"/>
      </w:tblGrid>
      <w:tr w:rsidR="005253AC" w:rsidRPr="000D5690" w:rsidTr="007703AE">
        <w:tc>
          <w:tcPr>
            <w:tcW w:w="5670" w:type="dxa"/>
          </w:tcPr>
          <w:p w:rsidR="005253AC" w:rsidRPr="000D5690" w:rsidRDefault="0050267E" w:rsidP="000D5690">
            <w:pPr>
              <w:spacing w:before="60" w:after="60"/>
              <w:ind w:right="34"/>
            </w:pPr>
            <w:r w:rsidRPr="000D5690">
              <w:t>Los parámetros de calidad en el examen DHE</w:t>
            </w:r>
          </w:p>
        </w:tc>
        <w:tc>
          <w:tcPr>
            <w:tcW w:w="4219" w:type="dxa"/>
          </w:tcPr>
          <w:p w:rsidR="005253AC" w:rsidRPr="000D5690" w:rsidRDefault="00A32548" w:rsidP="000D5690">
            <w:pPr>
              <w:spacing w:before="60" w:after="60"/>
              <w:ind w:left="317" w:right="-108"/>
              <w:jc w:val="left"/>
            </w:pPr>
            <w:r w:rsidRPr="000D5690">
              <w:t xml:space="preserve">Unión Europea (Sr. Gerhard </w:t>
            </w:r>
            <w:proofErr w:type="spellStart"/>
            <w:r w:rsidRPr="000D5690">
              <w:t>Schuon</w:t>
            </w:r>
            <w:proofErr w:type="spellEnd"/>
            <w:r w:rsidRPr="000D5690">
              <w:t>)</w:t>
            </w:r>
          </w:p>
        </w:tc>
      </w:tr>
      <w:tr w:rsidR="005253AC" w:rsidRPr="00E30CEB" w:rsidTr="007703AE">
        <w:tc>
          <w:tcPr>
            <w:tcW w:w="5670" w:type="dxa"/>
          </w:tcPr>
          <w:p w:rsidR="005253AC" w:rsidRPr="000D5690" w:rsidRDefault="00A32548" w:rsidP="000D5690">
            <w:pPr>
              <w:spacing w:before="60" w:after="60"/>
              <w:ind w:right="34"/>
            </w:pPr>
            <w:r w:rsidRPr="000D5690">
              <w:t>Los parámetros de calidad en el examen DHE</w:t>
            </w:r>
            <w:r w:rsidR="005253AC" w:rsidRPr="000D5690">
              <w:t xml:space="preserve"> </w:t>
            </w:r>
          </w:p>
        </w:tc>
        <w:tc>
          <w:tcPr>
            <w:tcW w:w="4219" w:type="dxa"/>
          </w:tcPr>
          <w:p w:rsidR="005253AC" w:rsidRPr="000D5690" w:rsidRDefault="00A32548" w:rsidP="000D5690">
            <w:pPr>
              <w:spacing w:before="60" w:after="60"/>
              <w:ind w:left="317" w:right="-108"/>
              <w:jc w:val="left"/>
            </w:pPr>
            <w:r w:rsidRPr="000D5690">
              <w:t xml:space="preserve">Países Bajos (Sr. Kees van </w:t>
            </w:r>
            <w:proofErr w:type="spellStart"/>
            <w:r w:rsidRPr="000D5690">
              <w:t>Ettekoven</w:t>
            </w:r>
            <w:proofErr w:type="spellEnd"/>
            <w:r w:rsidRPr="000D5690">
              <w:t>)</w:t>
            </w:r>
          </w:p>
        </w:tc>
      </w:tr>
    </w:tbl>
    <w:p w:rsidR="005253AC" w:rsidRPr="00D6704A" w:rsidRDefault="005253AC" w:rsidP="005253AC">
      <w:pPr>
        <w:rPr>
          <w:lang w:val="es-ES"/>
        </w:rPr>
      </w:pPr>
    </w:p>
    <w:p w:rsidR="005253AC" w:rsidRPr="00D6704A" w:rsidRDefault="005253AC" w:rsidP="005253AC">
      <w:pPr>
        <w:rPr>
          <w:lang w:val="es-ES"/>
        </w:rPr>
      </w:pPr>
    </w:p>
    <w:p w:rsidR="005253AC" w:rsidRPr="00D6704A" w:rsidRDefault="0047214B" w:rsidP="005253AC">
      <w:pPr>
        <w:pStyle w:val="Heading3"/>
        <w:rPr>
          <w:lang w:val="es-ES"/>
        </w:rPr>
      </w:pPr>
      <w:r w:rsidRPr="00D6704A">
        <w:rPr>
          <w:lang w:val="es-ES"/>
        </w:rPr>
        <w:t>c)</w:t>
      </w:r>
      <w:r w:rsidR="005253AC" w:rsidRPr="00D6704A">
        <w:rPr>
          <w:lang w:val="es-ES"/>
        </w:rPr>
        <w:tab/>
      </w:r>
      <w:r w:rsidR="00A32548" w:rsidRPr="000D5690">
        <w:rPr>
          <w:lang w:val="es-ES_tradnl"/>
        </w:rPr>
        <w:t>Debate sobre el fomento de la elaboración de bases de datos</w:t>
      </w:r>
    </w:p>
    <w:p w:rsidR="005253AC" w:rsidRPr="00D6704A" w:rsidRDefault="005253AC" w:rsidP="005253AC">
      <w:pPr>
        <w:pStyle w:val="Heading3"/>
        <w:rPr>
          <w:lang w:val="es-ES"/>
        </w:rPr>
      </w:pPr>
    </w:p>
    <w:p w:rsidR="005253AC" w:rsidRPr="00D6704A" w:rsidRDefault="00791298" w:rsidP="005253AC">
      <w:pPr>
        <w:keepNext/>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A32548" w:rsidRPr="000D5690">
        <w:rPr>
          <w:lang w:val="es-ES_tradnl"/>
        </w:rPr>
        <w:t>El TC asistió a las siguientes ponencias sobre el fomento de la elaboración de bases de datos (por orden de presentación):</w:t>
      </w:r>
    </w:p>
    <w:p w:rsidR="005253AC" w:rsidRPr="00D6704A" w:rsidRDefault="005253AC" w:rsidP="005253AC">
      <w:pPr>
        <w:rPr>
          <w:lang w:val="es-ES"/>
        </w:rPr>
      </w:pPr>
    </w:p>
    <w:tbl>
      <w:tblPr>
        <w:tblStyle w:val="TableGrid"/>
        <w:tblW w:w="9889" w:type="dxa"/>
        <w:tblLook w:val="04A0" w:firstRow="1" w:lastRow="0" w:firstColumn="1" w:lastColumn="0" w:noHBand="0" w:noVBand="1"/>
      </w:tblPr>
      <w:tblGrid>
        <w:gridCol w:w="5670"/>
        <w:gridCol w:w="4219"/>
      </w:tblGrid>
      <w:tr w:rsidR="005253AC" w:rsidRPr="000D5690" w:rsidTr="007703AE">
        <w:tc>
          <w:tcPr>
            <w:tcW w:w="5670" w:type="dxa"/>
          </w:tcPr>
          <w:p w:rsidR="005253AC" w:rsidRPr="000D5690" w:rsidRDefault="00A32548" w:rsidP="000D5690">
            <w:pPr>
              <w:spacing w:before="60" w:after="60"/>
              <w:ind w:right="34"/>
            </w:pPr>
            <w:r w:rsidRPr="000D5690">
              <w:t>El fomento de la elaboración de bases de datos para el examen DHE</w:t>
            </w:r>
          </w:p>
        </w:tc>
        <w:tc>
          <w:tcPr>
            <w:tcW w:w="4219" w:type="dxa"/>
          </w:tcPr>
          <w:p w:rsidR="005253AC" w:rsidRPr="000D5690" w:rsidRDefault="00A32548" w:rsidP="000D5690">
            <w:pPr>
              <w:spacing w:before="60" w:after="60"/>
              <w:ind w:left="317" w:right="-108"/>
              <w:jc w:val="left"/>
            </w:pPr>
            <w:r w:rsidRPr="000D5690">
              <w:t>Francia (Sr. Richard Brand)</w:t>
            </w:r>
          </w:p>
        </w:tc>
      </w:tr>
      <w:tr w:rsidR="005253AC" w:rsidRPr="00E30CEB" w:rsidTr="007703AE">
        <w:tc>
          <w:tcPr>
            <w:tcW w:w="5670" w:type="dxa"/>
          </w:tcPr>
          <w:p w:rsidR="005253AC" w:rsidRPr="000D5690" w:rsidRDefault="00A32548" w:rsidP="000D5690">
            <w:pPr>
              <w:spacing w:before="60" w:after="60"/>
              <w:ind w:right="34"/>
            </w:pPr>
            <w:r w:rsidRPr="000D5690">
              <w:t>El fomento de la elaboración de bases de datos</w:t>
            </w:r>
          </w:p>
        </w:tc>
        <w:tc>
          <w:tcPr>
            <w:tcW w:w="4219" w:type="dxa"/>
          </w:tcPr>
          <w:p w:rsidR="005253AC" w:rsidRPr="000D5690" w:rsidRDefault="00A32548" w:rsidP="000D5690">
            <w:pPr>
              <w:spacing w:before="60" w:after="60"/>
              <w:ind w:left="317" w:right="-108"/>
              <w:jc w:val="left"/>
            </w:pPr>
            <w:r w:rsidRPr="000D5690">
              <w:t xml:space="preserve">Países Bajos (Sr. Kees van </w:t>
            </w:r>
            <w:proofErr w:type="spellStart"/>
            <w:r w:rsidRPr="000D5690">
              <w:t>Ettekoven</w:t>
            </w:r>
            <w:proofErr w:type="spellEnd"/>
            <w:r w:rsidRPr="000D5690">
              <w:t>)</w:t>
            </w:r>
          </w:p>
        </w:tc>
      </w:tr>
    </w:tbl>
    <w:p w:rsidR="005253AC" w:rsidRPr="00D6704A" w:rsidRDefault="005253AC" w:rsidP="005253AC">
      <w:pPr>
        <w:rPr>
          <w:lang w:val="es-ES"/>
        </w:rPr>
      </w:pPr>
    </w:p>
    <w:p w:rsidR="005253AC" w:rsidRPr="00D6704A" w:rsidRDefault="005253AC" w:rsidP="005253AC">
      <w:pPr>
        <w:rPr>
          <w:lang w:val="es-ES"/>
        </w:rPr>
      </w:pPr>
    </w:p>
    <w:p w:rsidR="005253AC" w:rsidRPr="00D6704A" w:rsidRDefault="0047214B" w:rsidP="005253AC">
      <w:pPr>
        <w:pStyle w:val="Heading3"/>
        <w:rPr>
          <w:lang w:val="es-ES"/>
        </w:rPr>
      </w:pPr>
      <w:r w:rsidRPr="00D6704A">
        <w:rPr>
          <w:lang w:val="es-ES"/>
        </w:rPr>
        <w:t>d)</w:t>
      </w:r>
      <w:r w:rsidR="005253AC" w:rsidRPr="00D6704A">
        <w:rPr>
          <w:lang w:val="es-ES"/>
        </w:rPr>
        <w:tab/>
      </w:r>
      <w:r w:rsidR="00A32548" w:rsidRPr="000D5690">
        <w:rPr>
          <w:lang w:val="es-ES_tradnl"/>
        </w:rPr>
        <w:t>Debate sobre la distancia mínima entre las variedades</w:t>
      </w:r>
    </w:p>
    <w:p w:rsidR="005253AC" w:rsidRPr="00D6704A" w:rsidRDefault="005253AC" w:rsidP="005253AC">
      <w:pPr>
        <w:keepNext/>
        <w:rPr>
          <w:lang w:val="es-ES"/>
        </w:rPr>
      </w:pPr>
    </w:p>
    <w:p w:rsidR="005253AC" w:rsidRPr="00D6704A" w:rsidRDefault="00791298" w:rsidP="005253AC">
      <w:pPr>
        <w:keepNext/>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A32548" w:rsidRPr="000D5690">
        <w:rPr>
          <w:lang w:val="es-ES_tradnl"/>
        </w:rPr>
        <w:t>El TC asistió a las siguientes ponencias sobre la distancia mínima entre las variedades (por orden de presentación):</w:t>
      </w:r>
    </w:p>
    <w:p w:rsidR="005253AC" w:rsidRPr="00D6704A" w:rsidRDefault="005253AC" w:rsidP="005253AC">
      <w:pPr>
        <w:rPr>
          <w:lang w:val="es-ES"/>
        </w:rPr>
      </w:pPr>
    </w:p>
    <w:tbl>
      <w:tblPr>
        <w:tblStyle w:val="TableGrid"/>
        <w:tblW w:w="9889" w:type="dxa"/>
        <w:tblLook w:val="04A0" w:firstRow="1" w:lastRow="0" w:firstColumn="1" w:lastColumn="0" w:noHBand="0" w:noVBand="1"/>
      </w:tblPr>
      <w:tblGrid>
        <w:gridCol w:w="5670"/>
        <w:gridCol w:w="4219"/>
      </w:tblGrid>
      <w:tr w:rsidR="005253AC" w:rsidRPr="00E30CEB" w:rsidTr="007703AE">
        <w:tc>
          <w:tcPr>
            <w:tcW w:w="5670" w:type="dxa"/>
          </w:tcPr>
          <w:p w:rsidR="005253AC" w:rsidRPr="000D5690" w:rsidRDefault="00355A0B" w:rsidP="000D5690">
            <w:pPr>
              <w:spacing w:before="60" w:after="60"/>
              <w:ind w:right="34"/>
              <w:jc w:val="left"/>
            </w:pPr>
            <w:r w:rsidRPr="000D5690">
              <w:t>La distancia mínima y la d</w:t>
            </w:r>
            <w:r w:rsidR="00A32548" w:rsidRPr="000D5690">
              <w:t>istinción</w:t>
            </w:r>
          </w:p>
        </w:tc>
        <w:tc>
          <w:tcPr>
            <w:tcW w:w="4219" w:type="dxa"/>
          </w:tcPr>
          <w:p w:rsidR="005253AC" w:rsidRPr="000D5690" w:rsidRDefault="00A32548" w:rsidP="000D5690">
            <w:pPr>
              <w:spacing w:before="60" w:after="60"/>
              <w:ind w:left="317" w:right="-108"/>
              <w:jc w:val="left"/>
            </w:pPr>
            <w:r w:rsidRPr="000D5690">
              <w:t xml:space="preserve">Asociación Internacional de Productores Hortícolas (AIPH) y Comunidad Internacional de Obtentores de Variedades Ornamentales y Frutales de Reproducción Asexuada (CIOPORA) (Sra. Dominique </w:t>
            </w:r>
            <w:proofErr w:type="spellStart"/>
            <w:r w:rsidRPr="000D5690">
              <w:t>Thevenon</w:t>
            </w:r>
            <w:proofErr w:type="spellEnd"/>
            <w:r w:rsidRPr="000D5690">
              <w:t>)</w:t>
            </w:r>
          </w:p>
        </w:tc>
      </w:tr>
      <w:tr w:rsidR="005253AC" w:rsidRPr="00E30CEB" w:rsidTr="007703AE">
        <w:tc>
          <w:tcPr>
            <w:tcW w:w="5670" w:type="dxa"/>
          </w:tcPr>
          <w:p w:rsidR="005253AC" w:rsidRPr="000D5690" w:rsidRDefault="00A32548" w:rsidP="000D5690">
            <w:pPr>
              <w:spacing w:before="60" w:after="60"/>
              <w:ind w:right="34"/>
            </w:pPr>
            <w:r w:rsidRPr="000D5690">
              <w:t>La distancia mínima: perspectiva de los cultivos agrícolas y hortícolas</w:t>
            </w:r>
          </w:p>
        </w:tc>
        <w:tc>
          <w:tcPr>
            <w:tcW w:w="4219" w:type="dxa"/>
          </w:tcPr>
          <w:p w:rsidR="005253AC" w:rsidRPr="000D5690" w:rsidRDefault="00A32548" w:rsidP="000D5690">
            <w:pPr>
              <w:spacing w:before="60" w:after="60"/>
              <w:ind w:left="317" w:right="-108"/>
              <w:jc w:val="left"/>
            </w:pPr>
            <w:r w:rsidRPr="000D5690">
              <w:t>Asociación Europea de Semillas (ESA) (Sr. </w:t>
            </w:r>
            <w:proofErr w:type="spellStart"/>
            <w:r w:rsidRPr="000D5690">
              <w:t>Bert</w:t>
            </w:r>
            <w:proofErr w:type="spellEnd"/>
            <w:r w:rsidRPr="000D5690">
              <w:t xml:space="preserve"> </w:t>
            </w:r>
            <w:proofErr w:type="spellStart"/>
            <w:r w:rsidRPr="000D5690">
              <w:t>Scholte</w:t>
            </w:r>
            <w:proofErr w:type="spellEnd"/>
            <w:r w:rsidRPr="000D5690">
              <w:t>)</w:t>
            </w:r>
          </w:p>
        </w:tc>
      </w:tr>
    </w:tbl>
    <w:p w:rsidR="005253AC" w:rsidRPr="00D6704A" w:rsidRDefault="005253AC" w:rsidP="005253AC">
      <w:pPr>
        <w:rPr>
          <w:lang w:val="es-ES"/>
        </w:rPr>
      </w:pPr>
    </w:p>
    <w:p w:rsidR="005253AC" w:rsidRPr="00D6704A" w:rsidRDefault="005253AC" w:rsidP="005253AC">
      <w:pPr>
        <w:rPr>
          <w:lang w:val="es-ES"/>
        </w:rPr>
      </w:pPr>
    </w:p>
    <w:p w:rsidR="005253AC" w:rsidRPr="00D6704A" w:rsidRDefault="00A32548" w:rsidP="005253AC">
      <w:pPr>
        <w:pStyle w:val="Heading2"/>
        <w:rPr>
          <w:lang w:val="es-ES"/>
        </w:rPr>
      </w:pPr>
      <w:r w:rsidRPr="000D5690">
        <w:rPr>
          <w:lang w:val="es-ES_tradnl"/>
        </w:rPr>
        <w:t>Asuntos relativos a las descripciones de variedades</w:t>
      </w:r>
    </w:p>
    <w:p w:rsidR="005253AC" w:rsidRPr="00D6704A" w:rsidRDefault="005253AC" w:rsidP="005253AC">
      <w:pPr>
        <w:keepNext/>
        <w:rPr>
          <w:lang w:val="es-ES"/>
        </w:rPr>
      </w:pPr>
    </w:p>
    <w:p w:rsidR="005253AC" w:rsidRPr="00D6704A" w:rsidRDefault="00791298" w:rsidP="005253AC">
      <w:pPr>
        <w:keepNext/>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413CEA" w:rsidRPr="000D5690">
        <w:rPr>
          <w:lang w:val="es-ES_tradnl"/>
        </w:rPr>
        <w:t>El TC examinó el documento TC/52/21.</w:t>
      </w:r>
    </w:p>
    <w:p w:rsidR="005253AC" w:rsidRPr="00D6704A" w:rsidRDefault="005253AC" w:rsidP="005253AC">
      <w:pPr>
        <w:keepNext/>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413CEA" w:rsidRPr="000D5690">
        <w:rPr>
          <w:lang w:val="es-ES_tradnl"/>
        </w:rPr>
        <w:t>El TC tomó nota de que, en su septuagésima primera sesión, el CAJ respaldó la conclusión extraída por el CAJ-AG en su novena sesión, sobre:</w:t>
      </w:r>
    </w:p>
    <w:p w:rsidR="005253AC" w:rsidRPr="00D6704A" w:rsidRDefault="005253AC" w:rsidP="005253AC">
      <w:pPr>
        <w:rPr>
          <w:lang w:val="es-ES"/>
        </w:rPr>
      </w:pPr>
    </w:p>
    <w:p w:rsidR="005253AC" w:rsidRPr="00D6704A" w:rsidRDefault="005253AC" w:rsidP="005253AC">
      <w:pPr>
        <w:rPr>
          <w:lang w:val="es-ES"/>
        </w:rPr>
      </w:pPr>
      <w:r w:rsidRPr="00D6704A">
        <w:rPr>
          <w:lang w:val="es-ES"/>
        </w:rPr>
        <w:tab/>
        <w:t>i)</w:t>
      </w:r>
      <w:r w:rsidRPr="00D6704A">
        <w:rPr>
          <w:lang w:val="es-ES"/>
        </w:rPr>
        <w:tab/>
      </w:r>
      <w:r w:rsidR="00413CEA" w:rsidRPr="000D5690">
        <w:rPr>
          <w:lang w:val="es-ES_tradnl"/>
        </w:rPr>
        <w:t xml:space="preserve">la finalidad de la descripción de la variedad elaborada en el momento en que se concede el derecho de obtentor (descripción original de la variedad), </w:t>
      </w:r>
      <w:r w:rsidR="00954F79" w:rsidRPr="000D5690">
        <w:rPr>
          <w:rFonts w:ascii="ArialMT" w:hAnsi="ArialMT" w:cs="ArialMT"/>
          <w:sz w:val="19"/>
          <w:szCs w:val="19"/>
          <w:lang w:val="es-ES"/>
        </w:rPr>
        <w:t>conforme se indica a continuación</w:t>
      </w:r>
      <w:r w:rsidR="00413CEA" w:rsidRPr="000D5690">
        <w:rPr>
          <w:lang w:val="es-ES_tradnl"/>
        </w:rPr>
        <w:t>:</w:t>
      </w:r>
    </w:p>
    <w:p w:rsidR="005253AC" w:rsidRPr="00D6704A" w:rsidRDefault="005253AC" w:rsidP="005253AC">
      <w:pPr>
        <w:rPr>
          <w:lang w:val="es-ES"/>
        </w:rPr>
      </w:pPr>
    </w:p>
    <w:p w:rsidR="005253AC" w:rsidRPr="00D6704A" w:rsidRDefault="005253AC" w:rsidP="005253AC">
      <w:pPr>
        <w:ind w:left="567" w:right="567"/>
        <w:rPr>
          <w:sz w:val="18"/>
          <w:lang w:val="es-ES"/>
        </w:rPr>
      </w:pPr>
      <w:r w:rsidRPr="00D6704A">
        <w:rPr>
          <w:sz w:val="18"/>
          <w:lang w:val="es-ES"/>
        </w:rPr>
        <w:t>“37.</w:t>
      </w:r>
      <w:r w:rsidRPr="00D6704A">
        <w:rPr>
          <w:sz w:val="18"/>
          <w:lang w:val="es-ES"/>
        </w:rPr>
        <w:tab/>
      </w:r>
      <w:r w:rsidR="00413CEA" w:rsidRPr="000D5690">
        <w:rPr>
          <w:sz w:val="18"/>
          <w:lang w:val="es-ES_tradnl"/>
        </w:rPr>
        <w:t>El CAJ-AG convino en que, de conformidad con la sección 6 “Informe de la UPOV sobre el examen técnico y sobre la descripción de variedades” del documento TGP/5 “Experiencia y cooperación en el examen DHE”, las finalidades de la descripción de la variedad que se elaboró cuando se concedió el derecho de obtentor (descripción original de la variedad) pueden resumirse en:</w:t>
      </w:r>
    </w:p>
    <w:p w:rsidR="005253AC" w:rsidRPr="00D6704A" w:rsidRDefault="005253AC" w:rsidP="005253AC">
      <w:pPr>
        <w:ind w:left="567" w:right="567"/>
        <w:rPr>
          <w:sz w:val="18"/>
          <w:lang w:val="es-ES"/>
        </w:rPr>
      </w:pPr>
    </w:p>
    <w:p w:rsidR="005253AC" w:rsidRPr="00D6704A" w:rsidRDefault="0047214B" w:rsidP="005253AC">
      <w:pPr>
        <w:keepNext/>
        <w:ind w:left="1134" w:right="567"/>
        <w:rPr>
          <w:sz w:val="18"/>
          <w:lang w:val="es-ES"/>
        </w:rPr>
      </w:pPr>
      <w:r w:rsidRPr="00D6704A">
        <w:rPr>
          <w:sz w:val="18"/>
          <w:lang w:val="es-ES"/>
        </w:rPr>
        <w:t>a)</w:t>
      </w:r>
      <w:r w:rsidR="005253AC" w:rsidRPr="00D6704A">
        <w:rPr>
          <w:sz w:val="18"/>
          <w:lang w:val="es-ES"/>
        </w:rPr>
        <w:tab/>
      </w:r>
      <w:r w:rsidR="00413CEA" w:rsidRPr="000D5690">
        <w:rPr>
          <w:sz w:val="18"/>
          <w:lang w:val="es-ES_tradnl"/>
        </w:rPr>
        <w:t>describir los caracteres de la variedad, e</w:t>
      </w:r>
    </w:p>
    <w:p w:rsidR="005253AC" w:rsidRPr="00D6704A" w:rsidRDefault="0047214B" w:rsidP="005253AC">
      <w:pPr>
        <w:ind w:left="1134" w:right="567"/>
        <w:rPr>
          <w:sz w:val="18"/>
          <w:lang w:val="es-ES"/>
        </w:rPr>
      </w:pPr>
      <w:r w:rsidRPr="00D6704A">
        <w:rPr>
          <w:sz w:val="18"/>
          <w:lang w:val="es-ES"/>
        </w:rPr>
        <w:t>b)</w:t>
      </w:r>
      <w:r w:rsidR="005253AC" w:rsidRPr="00D6704A">
        <w:rPr>
          <w:sz w:val="18"/>
          <w:lang w:val="es-ES"/>
        </w:rPr>
        <w:tab/>
      </w:r>
      <w:r w:rsidR="00413CEA" w:rsidRPr="000D5690">
        <w:rPr>
          <w:sz w:val="18"/>
          <w:lang w:val="es-ES_tradnl"/>
        </w:rPr>
        <w:t>identificar y enumerar las variedades similares y las diferencias con respecto a esas variedades;</w:t>
      </w:r>
      <w:r w:rsidR="005253AC" w:rsidRPr="00D6704A">
        <w:rPr>
          <w:sz w:val="18"/>
          <w:lang w:val="es-ES"/>
        </w:rPr>
        <w:t xml:space="preserve"> </w:t>
      </w:r>
    </w:p>
    <w:p w:rsidR="005253AC" w:rsidRPr="00D6704A" w:rsidRDefault="00413CEA" w:rsidP="005253AC">
      <w:pPr>
        <w:ind w:left="2835" w:right="567" w:hanging="1134"/>
        <w:rPr>
          <w:sz w:val="18"/>
          <w:lang w:val="es-ES"/>
        </w:rPr>
      </w:pPr>
      <w:proofErr w:type="gramStart"/>
      <w:r w:rsidRPr="000D5690">
        <w:rPr>
          <w:sz w:val="18"/>
          <w:lang w:val="es-ES_tradnl"/>
        </w:rPr>
        <w:t>junto</w:t>
      </w:r>
      <w:proofErr w:type="gramEnd"/>
      <w:r w:rsidRPr="000D5690">
        <w:rPr>
          <w:sz w:val="18"/>
          <w:lang w:val="es-ES_tradnl"/>
        </w:rPr>
        <w:t xml:space="preserve"> con la siguiente información basada en a) y b):</w:t>
      </w:r>
    </w:p>
    <w:p w:rsidR="005253AC" w:rsidRPr="00D6704A" w:rsidRDefault="005253AC" w:rsidP="005253AC">
      <w:pPr>
        <w:ind w:left="1701" w:right="567"/>
        <w:rPr>
          <w:sz w:val="18"/>
          <w:lang w:val="es-ES"/>
        </w:rPr>
      </w:pPr>
      <w:r w:rsidRPr="00D6704A">
        <w:rPr>
          <w:rFonts w:cs="Arial"/>
          <w:sz w:val="18"/>
          <w:lang w:val="es-ES"/>
        </w:rPr>
        <w:t>▪</w:t>
      </w:r>
      <w:r w:rsidRPr="00D6704A">
        <w:rPr>
          <w:sz w:val="18"/>
          <w:lang w:val="es-ES"/>
        </w:rPr>
        <w:tab/>
      </w:r>
      <w:r w:rsidR="009B05E0" w:rsidRPr="000D5690">
        <w:rPr>
          <w:sz w:val="18"/>
          <w:lang w:val="es-ES_tradnl"/>
        </w:rPr>
        <w:t>Fecha y número de documento de las Directrices de Examen de la UPOV;</w:t>
      </w:r>
    </w:p>
    <w:p w:rsidR="005253AC" w:rsidRPr="00D6704A" w:rsidRDefault="005253AC" w:rsidP="00CD3D58">
      <w:pPr>
        <w:ind w:left="2127" w:right="567" w:hanging="426"/>
        <w:rPr>
          <w:sz w:val="18"/>
          <w:lang w:val="es-ES"/>
        </w:rPr>
      </w:pPr>
      <w:r w:rsidRPr="00D6704A">
        <w:rPr>
          <w:rFonts w:cs="Arial"/>
          <w:sz w:val="18"/>
          <w:lang w:val="es-ES"/>
        </w:rPr>
        <w:t>▪</w:t>
      </w:r>
      <w:r w:rsidRPr="00D6704A">
        <w:rPr>
          <w:sz w:val="18"/>
          <w:lang w:val="es-ES"/>
        </w:rPr>
        <w:tab/>
      </w:r>
      <w:r w:rsidR="009B05E0" w:rsidRPr="000D5690">
        <w:rPr>
          <w:sz w:val="18"/>
          <w:lang w:val="es-ES_tradnl"/>
        </w:rPr>
        <w:t>Fecha y/o número de documento de las directrices de examen de la autoridad informante;</w:t>
      </w:r>
    </w:p>
    <w:p w:rsidR="005253AC" w:rsidRPr="00D6704A" w:rsidRDefault="005253AC" w:rsidP="005253AC">
      <w:pPr>
        <w:ind w:left="1701" w:right="567"/>
        <w:rPr>
          <w:sz w:val="18"/>
          <w:lang w:val="es-ES"/>
        </w:rPr>
      </w:pPr>
      <w:r w:rsidRPr="00D6704A">
        <w:rPr>
          <w:rFonts w:cs="Arial"/>
          <w:sz w:val="18"/>
          <w:lang w:val="es-ES"/>
        </w:rPr>
        <w:t>▪</w:t>
      </w:r>
      <w:r w:rsidRPr="00D6704A">
        <w:rPr>
          <w:sz w:val="18"/>
          <w:lang w:val="es-ES"/>
        </w:rPr>
        <w:tab/>
      </w:r>
      <w:r w:rsidR="009B05E0" w:rsidRPr="000D5690">
        <w:rPr>
          <w:sz w:val="18"/>
          <w:lang w:val="es-ES_tradnl"/>
        </w:rPr>
        <w:t>Autoridad informante;</w:t>
      </w:r>
    </w:p>
    <w:p w:rsidR="005253AC" w:rsidRPr="00D6704A" w:rsidRDefault="005253AC" w:rsidP="005253AC">
      <w:pPr>
        <w:ind w:left="1701" w:right="567"/>
        <w:rPr>
          <w:sz w:val="18"/>
          <w:lang w:val="es-ES"/>
        </w:rPr>
      </w:pPr>
      <w:r w:rsidRPr="00D6704A">
        <w:rPr>
          <w:rFonts w:cs="Arial"/>
          <w:sz w:val="18"/>
          <w:lang w:val="es-ES"/>
        </w:rPr>
        <w:t>▪</w:t>
      </w:r>
      <w:r w:rsidRPr="00D6704A">
        <w:rPr>
          <w:sz w:val="18"/>
          <w:lang w:val="es-ES"/>
        </w:rPr>
        <w:tab/>
      </w:r>
      <w:r w:rsidR="009B05E0" w:rsidRPr="000D5690">
        <w:rPr>
          <w:sz w:val="18"/>
          <w:lang w:val="es-ES_tradnl"/>
        </w:rPr>
        <w:t>Estación(es) y lugar(es) del examen;</w:t>
      </w:r>
    </w:p>
    <w:p w:rsidR="005253AC" w:rsidRPr="00D6704A" w:rsidRDefault="005253AC" w:rsidP="005253AC">
      <w:pPr>
        <w:ind w:left="1701" w:right="567"/>
        <w:rPr>
          <w:sz w:val="18"/>
          <w:lang w:val="es-ES"/>
        </w:rPr>
      </w:pPr>
      <w:r w:rsidRPr="00D6704A">
        <w:rPr>
          <w:rFonts w:cs="Arial"/>
          <w:sz w:val="18"/>
          <w:lang w:val="es-ES"/>
        </w:rPr>
        <w:t>▪</w:t>
      </w:r>
      <w:r w:rsidRPr="00D6704A">
        <w:rPr>
          <w:sz w:val="18"/>
          <w:lang w:val="es-ES"/>
        </w:rPr>
        <w:tab/>
      </w:r>
      <w:r w:rsidR="009B05E0" w:rsidRPr="000D5690">
        <w:rPr>
          <w:sz w:val="18"/>
          <w:lang w:val="es-ES_tradnl"/>
        </w:rPr>
        <w:t>Período de realización del examen;</w:t>
      </w:r>
    </w:p>
    <w:p w:rsidR="005253AC" w:rsidRPr="00D6704A" w:rsidRDefault="005253AC" w:rsidP="005253AC">
      <w:pPr>
        <w:ind w:left="1701" w:right="567"/>
        <w:rPr>
          <w:sz w:val="18"/>
          <w:lang w:val="es-ES"/>
        </w:rPr>
      </w:pPr>
      <w:r w:rsidRPr="00D6704A">
        <w:rPr>
          <w:rFonts w:cs="Arial"/>
          <w:sz w:val="18"/>
          <w:lang w:val="es-ES"/>
        </w:rPr>
        <w:t>▪</w:t>
      </w:r>
      <w:r w:rsidRPr="00D6704A">
        <w:rPr>
          <w:sz w:val="18"/>
          <w:lang w:val="es-ES"/>
        </w:rPr>
        <w:tab/>
      </w:r>
      <w:r w:rsidR="009B05E0" w:rsidRPr="000D5690">
        <w:rPr>
          <w:sz w:val="18"/>
          <w:lang w:val="es-ES_tradnl"/>
        </w:rPr>
        <w:t>Fecha y lugar de emisión del documento;</w:t>
      </w:r>
    </w:p>
    <w:p w:rsidR="005253AC" w:rsidRPr="00D6704A" w:rsidRDefault="005253AC" w:rsidP="005253AC">
      <w:pPr>
        <w:ind w:left="1701" w:right="567"/>
        <w:rPr>
          <w:sz w:val="18"/>
          <w:lang w:val="es-ES"/>
        </w:rPr>
      </w:pPr>
      <w:r w:rsidRPr="00D6704A">
        <w:rPr>
          <w:rFonts w:cs="Arial"/>
          <w:sz w:val="18"/>
          <w:lang w:val="es-ES"/>
        </w:rPr>
        <w:t>▪</w:t>
      </w:r>
      <w:r w:rsidRPr="00D6704A">
        <w:rPr>
          <w:sz w:val="18"/>
          <w:lang w:val="es-ES"/>
        </w:rPr>
        <w:tab/>
      </w:r>
      <w:r w:rsidR="009B05E0" w:rsidRPr="000D5690">
        <w:rPr>
          <w:sz w:val="18"/>
          <w:lang w:val="es-ES_tradnl"/>
        </w:rPr>
        <w:t>Grupo:</w:t>
      </w:r>
      <w:r w:rsidRPr="00D6704A">
        <w:rPr>
          <w:sz w:val="18"/>
          <w:lang w:val="es-ES"/>
        </w:rPr>
        <w:t xml:space="preserve"> </w:t>
      </w:r>
      <w:r w:rsidR="009B05E0" w:rsidRPr="000D5690">
        <w:rPr>
          <w:sz w:val="18"/>
          <w:lang w:val="es-ES_tradnl"/>
        </w:rPr>
        <w:t>(Cuadro:</w:t>
      </w:r>
      <w:r w:rsidRPr="00D6704A">
        <w:rPr>
          <w:sz w:val="18"/>
          <w:lang w:val="es-ES"/>
        </w:rPr>
        <w:t xml:space="preserve"> </w:t>
      </w:r>
      <w:r w:rsidR="009B05E0" w:rsidRPr="000D5690">
        <w:rPr>
          <w:sz w:val="18"/>
          <w:lang w:val="es-ES_tradnl"/>
        </w:rPr>
        <w:t>Caracteres;</w:t>
      </w:r>
      <w:r w:rsidRPr="00D6704A">
        <w:rPr>
          <w:sz w:val="18"/>
          <w:lang w:val="es-ES"/>
        </w:rPr>
        <w:t xml:space="preserve"> </w:t>
      </w:r>
      <w:r w:rsidR="009B05E0" w:rsidRPr="000D5690">
        <w:rPr>
          <w:sz w:val="18"/>
          <w:lang w:val="es-ES_tradnl"/>
        </w:rPr>
        <w:t>Niveles de expresión;</w:t>
      </w:r>
      <w:r w:rsidRPr="00D6704A">
        <w:rPr>
          <w:sz w:val="18"/>
          <w:lang w:val="es-ES"/>
        </w:rPr>
        <w:t xml:space="preserve"> </w:t>
      </w:r>
      <w:r w:rsidR="009B05E0" w:rsidRPr="000D5690">
        <w:rPr>
          <w:sz w:val="18"/>
          <w:lang w:val="es-ES_tradnl"/>
        </w:rPr>
        <w:t>Nota;</w:t>
      </w:r>
      <w:r w:rsidRPr="00D6704A">
        <w:rPr>
          <w:sz w:val="18"/>
          <w:lang w:val="es-ES"/>
        </w:rPr>
        <w:t xml:space="preserve"> </w:t>
      </w:r>
      <w:r w:rsidR="009B05E0" w:rsidRPr="000D5690">
        <w:rPr>
          <w:sz w:val="18"/>
          <w:lang w:val="es-ES_tradnl"/>
        </w:rPr>
        <w:t>Observaciones);</w:t>
      </w:r>
    </w:p>
    <w:p w:rsidR="005253AC" w:rsidRPr="00D6704A" w:rsidRDefault="005253AC" w:rsidP="005253AC">
      <w:pPr>
        <w:ind w:left="1701" w:right="567"/>
        <w:rPr>
          <w:sz w:val="18"/>
          <w:lang w:val="es-ES"/>
        </w:rPr>
      </w:pPr>
      <w:r w:rsidRPr="00D6704A">
        <w:rPr>
          <w:rFonts w:cs="Arial"/>
          <w:sz w:val="18"/>
          <w:lang w:val="es-ES"/>
        </w:rPr>
        <w:t>▪</w:t>
      </w:r>
      <w:r w:rsidRPr="00D6704A">
        <w:rPr>
          <w:sz w:val="18"/>
          <w:lang w:val="es-ES"/>
        </w:rPr>
        <w:tab/>
      </w:r>
      <w:r w:rsidR="009B05E0" w:rsidRPr="000D5690">
        <w:rPr>
          <w:sz w:val="18"/>
          <w:lang w:val="es-ES_tradnl"/>
        </w:rPr>
        <w:t>Información adicional</w:t>
      </w:r>
      <w:r w:rsidR="00B4075F" w:rsidRPr="000D5690">
        <w:rPr>
          <w:sz w:val="18"/>
          <w:lang w:val="es-ES_tradnl"/>
        </w:rPr>
        <w:t>;</w:t>
      </w:r>
    </w:p>
    <w:p w:rsidR="005253AC" w:rsidRPr="00D6704A" w:rsidRDefault="005253AC" w:rsidP="005253AC">
      <w:pPr>
        <w:ind w:left="1701" w:right="567"/>
        <w:rPr>
          <w:sz w:val="18"/>
          <w:lang w:val="es-ES"/>
        </w:rPr>
      </w:pPr>
      <w:r w:rsidRPr="00D6704A">
        <w:rPr>
          <w:sz w:val="18"/>
          <w:lang w:val="es-ES"/>
        </w:rPr>
        <w:tab/>
      </w:r>
      <w:r w:rsidR="0047214B" w:rsidRPr="00D6704A">
        <w:rPr>
          <w:sz w:val="18"/>
          <w:lang w:val="es-ES"/>
        </w:rPr>
        <w:t>a)</w:t>
      </w:r>
      <w:r w:rsidRPr="00D6704A">
        <w:rPr>
          <w:sz w:val="18"/>
          <w:lang w:val="es-ES"/>
        </w:rPr>
        <w:tab/>
      </w:r>
      <w:r w:rsidR="009B05E0" w:rsidRPr="000D5690">
        <w:rPr>
          <w:sz w:val="18"/>
          <w:lang w:val="es-ES_tradnl"/>
        </w:rPr>
        <w:t>Datos adicionales</w:t>
      </w:r>
    </w:p>
    <w:p w:rsidR="005253AC" w:rsidRPr="00D6704A" w:rsidRDefault="005253AC" w:rsidP="005253AC">
      <w:pPr>
        <w:ind w:left="1701" w:right="567"/>
        <w:rPr>
          <w:sz w:val="18"/>
          <w:lang w:val="es-ES"/>
        </w:rPr>
      </w:pPr>
      <w:r w:rsidRPr="00D6704A">
        <w:rPr>
          <w:sz w:val="18"/>
          <w:lang w:val="es-ES"/>
        </w:rPr>
        <w:tab/>
      </w:r>
      <w:r w:rsidR="0047214B" w:rsidRPr="00D6704A">
        <w:rPr>
          <w:sz w:val="18"/>
          <w:lang w:val="es-ES"/>
        </w:rPr>
        <w:t>b)</w:t>
      </w:r>
      <w:r w:rsidRPr="00D6704A">
        <w:rPr>
          <w:sz w:val="18"/>
          <w:lang w:val="es-ES"/>
        </w:rPr>
        <w:tab/>
      </w:r>
      <w:r w:rsidR="009B05E0" w:rsidRPr="000D5690">
        <w:rPr>
          <w:sz w:val="18"/>
          <w:lang w:val="es-ES_tradnl"/>
        </w:rPr>
        <w:t>Fotografía (si procede)</w:t>
      </w:r>
    </w:p>
    <w:p w:rsidR="005253AC" w:rsidRPr="00D6704A" w:rsidRDefault="005253AC" w:rsidP="005253AC">
      <w:pPr>
        <w:ind w:left="1701" w:right="567"/>
        <w:rPr>
          <w:sz w:val="18"/>
          <w:lang w:val="es-ES"/>
        </w:rPr>
      </w:pPr>
      <w:r w:rsidRPr="00D6704A">
        <w:rPr>
          <w:sz w:val="18"/>
          <w:lang w:val="es-ES"/>
        </w:rPr>
        <w:tab/>
      </w:r>
      <w:r w:rsidR="0047214B" w:rsidRPr="00D6704A">
        <w:rPr>
          <w:sz w:val="18"/>
          <w:lang w:val="es-ES"/>
        </w:rPr>
        <w:t>c)</w:t>
      </w:r>
      <w:r w:rsidRPr="00D6704A">
        <w:rPr>
          <w:sz w:val="18"/>
          <w:lang w:val="es-ES"/>
        </w:rPr>
        <w:tab/>
      </w:r>
      <w:r w:rsidR="009B05E0" w:rsidRPr="000D5690">
        <w:rPr>
          <w:sz w:val="18"/>
          <w:lang w:val="es-ES_tradnl"/>
        </w:rPr>
        <w:t>Versión de la Carta de Colores RHS empleada (cuando proceda)</w:t>
      </w:r>
    </w:p>
    <w:p w:rsidR="005253AC" w:rsidRPr="00D6704A" w:rsidRDefault="005253AC" w:rsidP="005253AC">
      <w:pPr>
        <w:ind w:left="1701" w:right="567"/>
        <w:rPr>
          <w:sz w:val="18"/>
          <w:lang w:val="es-ES"/>
        </w:rPr>
      </w:pPr>
      <w:r w:rsidRPr="00D6704A">
        <w:rPr>
          <w:sz w:val="18"/>
          <w:lang w:val="es-ES"/>
        </w:rPr>
        <w:tab/>
      </w:r>
      <w:r w:rsidR="0047214B" w:rsidRPr="00D6704A">
        <w:rPr>
          <w:sz w:val="18"/>
          <w:lang w:val="es-ES"/>
        </w:rPr>
        <w:t>d)</w:t>
      </w:r>
      <w:r w:rsidRPr="00D6704A">
        <w:rPr>
          <w:sz w:val="18"/>
          <w:lang w:val="es-ES"/>
        </w:rPr>
        <w:tab/>
      </w:r>
      <w:r w:rsidR="009B05E0" w:rsidRPr="000D5690">
        <w:rPr>
          <w:sz w:val="18"/>
          <w:lang w:val="es-ES_tradnl"/>
        </w:rPr>
        <w:t>Observaciones.”</w:t>
      </w:r>
    </w:p>
    <w:p w:rsidR="005253AC" w:rsidRPr="00D6704A" w:rsidRDefault="005253AC" w:rsidP="005253AC">
      <w:pPr>
        <w:rPr>
          <w:lang w:val="es-ES"/>
        </w:rPr>
      </w:pPr>
    </w:p>
    <w:p w:rsidR="005253AC" w:rsidRPr="00D6704A" w:rsidRDefault="009B05E0" w:rsidP="005253AC">
      <w:pPr>
        <w:ind w:left="567"/>
        <w:rPr>
          <w:lang w:val="es-ES"/>
        </w:rPr>
      </w:pPr>
      <w:proofErr w:type="gramStart"/>
      <w:r w:rsidRPr="000D5690">
        <w:rPr>
          <w:lang w:val="es-ES_tradnl"/>
        </w:rPr>
        <w:t>y</w:t>
      </w:r>
      <w:proofErr w:type="gramEnd"/>
    </w:p>
    <w:p w:rsidR="005253AC" w:rsidRPr="00D6704A" w:rsidRDefault="005253AC" w:rsidP="005253AC">
      <w:pPr>
        <w:rPr>
          <w:lang w:val="es-ES"/>
        </w:rPr>
      </w:pPr>
    </w:p>
    <w:p w:rsidR="005253AC" w:rsidRPr="00D6704A" w:rsidRDefault="005253AC" w:rsidP="005253AC">
      <w:pPr>
        <w:rPr>
          <w:lang w:val="es-ES"/>
        </w:rPr>
      </w:pPr>
      <w:r w:rsidRPr="00D6704A">
        <w:rPr>
          <w:lang w:val="es-ES"/>
        </w:rPr>
        <w:tab/>
        <w:t>ii)</w:t>
      </w:r>
      <w:r w:rsidRPr="00D6704A">
        <w:rPr>
          <w:lang w:val="es-ES"/>
        </w:rPr>
        <w:tab/>
      </w:r>
      <w:r w:rsidR="009B05E0" w:rsidRPr="000D5690">
        <w:rPr>
          <w:lang w:val="es-ES_tradnl"/>
        </w:rPr>
        <w:t xml:space="preserve">la situación de la descripción original de la variedad con respecto a la comprobación del material vegetal de una variedad protegida a efectos de la defensa del derecho de obtentor, </w:t>
      </w:r>
      <w:r w:rsidR="00954F79" w:rsidRPr="000D5690">
        <w:rPr>
          <w:rFonts w:ascii="ArialMT" w:hAnsi="ArialMT" w:cs="ArialMT"/>
          <w:sz w:val="19"/>
          <w:szCs w:val="19"/>
          <w:lang w:val="es-ES"/>
        </w:rPr>
        <w:t>conforme se indica a continuación:</w:t>
      </w:r>
    </w:p>
    <w:p w:rsidR="005253AC" w:rsidRPr="00D6704A" w:rsidRDefault="005253AC" w:rsidP="005253AC">
      <w:pPr>
        <w:rPr>
          <w:lang w:val="es-ES"/>
        </w:rPr>
      </w:pPr>
    </w:p>
    <w:p w:rsidR="005253AC" w:rsidRPr="00D6704A" w:rsidRDefault="005253AC" w:rsidP="005253AC">
      <w:pPr>
        <w:ind w:left="567" w:right="567"/>
        <w:rPr>
          <w:snapToGrid w:val="0"/>
          <w:spacing w:val="-2"/>
          <w:sz w:val="18"/>
          <w:szCs w:val="18"/>
          <w:lang w:val="es-ES"/>
        </w:rPr>
      </w:pPr>
      <w:r w:rsidRPr="00D6704A">
        <w:rPr>
          <w:snapToGrid w:val="0"/>
          <w:spacing w:val="-2"/>
          <w:sz w:val="18"/>
          <w:szCs w:val="18"/>
          <w:lang w:val="es-ES"/>
        </w:rPr>
        <w:t>“38.</w:t>
      </w:r>
      <w:r w:rsidRPr="00D6704A">
        <w:rPr>
          <w:snapToGrid w:val="0"/>
          <w:spacing w:val="-2"/>
          <w:sz w:val="18"/>
          <w:szCs w:val="18"/>
          <w:lang w:val="es-ES"/>
        </w:rPr>
        <w:tab/>
      </w:r>
      <w:r w:rsidR="009B05E0" w:rsidRPr="000D5690">
        <w:rPr>
          <w:snapToGrid w:val="0"/>
          <w:spacing w:val="-2"/>
          <w:sz w:val="18"/>
          <w:szCs w:val="18"/>
          <w:lang w:val="es-ES_tradnl"/>
        </w:rPr>
        <w:t>El CAJ-AG examinó la situación de la descripción original de la variedad con respecto a la comprobación del material vegetal de una variedad protegida a efectos de la defensa del derecho de obtentor y señaló que en las orientaciones de la UPOV relativas a la observancia de los derechos de los obtentores que figuran en el documento UPOV/EXN/ENF/1 “Notas explicativas sobre la defensa de los derechos del obtentor con arreglo al Convenio de la UPOV” se ofrece la siguiente explicación:</w:t>
      </w:r>
      <w:r w:rsidRPr="00D6704A">
        <w:rPr>
          <w:snapToGrid w:val="0"/>
          <w:spacing w:val="-2"/>
          <w:sz w:val="18"/>
          <w:szCs w:val="18"/>
          <w:lang w:val="es-ES"/>
        </w:rPr>
        <w:t xml:space="preserve"> </w:t>
      </w:r>
    </w:p>
    <w:p w:rsidR="005253AC" w:rsidRPr="00D6704A" w:rsidRDefault="009B05E0" w:rsidP="005253AC">
      <w:pPr>
        <w:pStyle w:val="ListParagraph"/>
        <w:ind w:left="567" w:right="567"/>
        <w:rPr>
          <w:rFonts w:ascii="Arial" w:hAnsi="Arial" w:cs="Arial"/>
          <w:snapToGrid w:val="0"/>
          <w:sz w:val="18"/>
          <w:szCs w:val="18"/>
          <w:lang w:val="es-ES"/>
        </w:rPr>
      </w:pPr>
      <w:r w:rsidRPr="000D5690">
        <w:rPr>
          <w:rFonts w:ascii="Arial" w:hAnsi="Arial" w:cs="Arial"/>
          <w:snapToGrid w:val="0"/>
          <w:sz w:val="18"/>
          <w:szCs w:val="18"/>
          <w:lang w:val="es-ES_tradnl"/>
        </w:rPr>
        <w:t>“SECCIÓN II:</w:t>
      </w:r>
      <w:r w:rsidR="005253AC" w:rsidRPr="00D6704A">
        <w:rPr>
          <w:rFonts w:ascii="Arial" w:hAnsi="Arial" w:cs="Arial"/>
          <w:snapToGrid w:val="0"/>
          <w:sz w:val="18"/>
          <w:szCs w:val="18"/>
          <w:lang w:val="es-ES"/>
        </w:rPr>
        <w:t xml:space="preserve"> </w:t>
      </w:r>
      <w:r w:rsidRPr="000D5690">
        <w:rPr>
          <w:rFonts w:ascii="Arial" w:hAnsi="Arial" w:cs="Arial"/>
          <w:snapToGrid w:val="0"/>
          <w:sz w:val="18"/>
          <w:szCs w:val="18"/>
          <w:lang w:val="es-ES_tradnl"/>
        </w:rPr>
        <w:t>Algunas medidas posibles para la defensa de los derechos de obtentor</w:t>
      </w:r>
      <w:r w:rsidR="005253AC" w:rsidRPr="00D6704A">
        <w:rPr>
          <w:rFonts w:ascii="Arial" w:hAnsi="Arial" w:cs="Arial"/>
          <w:snapToGrid w:val="0"/>
          <w:sz w:val="18"/>
          <w:szCs w:val="18"/>
          <w:lang w:val="es-ES"/>
        </w:rPr>
        <w:t xml:space="preserve"> </w:t>
      </w:r>
    </w:p>
    <w:p w:rsidR="005253AC" w:rsidRPr="00D6704A" w:rsidRDefault="009B05E0" w:rsidP="005253AC">
      <w:pPr>
        <w:pStyle w:val="ListParagraph"/>
        <w:ind w:left="567" w:right="567"/>
        <w:rPr>
          <w:rFonts w:ascii="Arial" w:hAnsi="Arial" w:cs="Arial"/>
          <w:snapToGrid w:val="0"/>
          <w:sz w:val="18"/>
          <w:szCs w:val="18"/>
          <w:lang w:val="es-ES"/>
        </w:rPr>
      </w:pPr>
      <w:r w:rsidRPr="000D5690">
        <w:rPr>
          <w:rFonts w:ascii="Arial" w:hAnsi="Arial" w:cs="Arial"/>
          <w:snapToGrid w:val="0"/>
          <w:sz w:val="18"/>
          <w:szCs w:val="18"/>
          <w:lang w:val="es-ES_tradnl"/>
        </w:rPr>
        <w:t>“Si bien el Convenio de la UPOV exige a los miembros de la Unión que prevean los recursos legales apropiados que permitan defender eficazmente los derechos de obtentor, corresponde a los obtentores la defensa de sus derechos.</w:t>
      </w:r>
    </w:p>
    <w:p w:rsidR="005253AC" w:rsidRPr="00D6704A" w:rsidRDefault="005253AC" w:rsidP="005253AC">
      <w:pPr>
        <w:pStyle w:val="ListParagraph"/>
        <w:ind w:left="567" w:right="567"/>
        <w:rPr>
          <w:rFonts w:ascii="Arial" w:hAnsi="Arial" w:cs="Arial"/>
          <w:snapToGrid w:val="0"/>
          <w:sz w:val="18"/>
          <w:szCs w:val="18"/>
          <w:lang w:val="es-ES"/>
        </w:rPr>
      </w:pPr>
      <w:r w:rsidRPr="00D6704A">
        <w:rPr>
          <w:rFonts w:ascii="Arial" w:hAnsi="Arial" w:cs="Arial"/>
          <w:snapToGrid w:val="0"/>
          <w:sz w:val="18"/>
          <w:szCs w:val="18"/>
          <w:lang w:val="es-ES"/>
        </w:rPr>
        <w:t>[…]</w:t>
      </w:r>
    </w:p>
    <w:p w:rsidR="005253AC" w:rsidRPr="00D6704A" w:rsidRDefault="005253AC" w:rsidP="005253AC">
      <w:pPr>
        <w:ind w:left="567" w:right="567"/>
        <w:rPr>
          <w:rFonts w:cs="Arial"/>
          <w:snapToGrid w:val="0"/>
          <w:sz w:val="18"/>
          <w:szCs w:val="18"/>
          <w:lang w:val="es-ES"/>
        </w:rPr>
      </w:pPr>
      <w:r w:rsidRPr="00D6704A">
        <w:rPr>
          <w:rFonts w:cs="Arial"/>
          <w:snapToGrid w:val="0"/>
          <w:sz w:val="18"/>
          <w:szCs w:val="18"/>
          <w:lang w:val="es-ES"/>
        </w:rPr>
        <w:t>“39.</w:t>
      </w:r>
      <w:r w:rsidRPr="00D6704A">
        <w:rPr>
          <w:rFonts w:cs="Arial"/>
          <w:snapToGrid w:val="0"/>
          <w:sz w:val="18"/>
          <w:szCs w:val="18"/>
          <w:lang w:val="es-ES"/>
        </w:rPr>
        <w:tab/>
      </w:r>
      <w:r w:rsidR="009B05E0" w:rsidRPr="000D5690">
        <w:rPr>
          <w:rFonts w:cs="Arial"/>
          <w:snapToGrid w:val="0"/>
          <w:sz w:val="18"/>
          <w:szCs w:val="18"/>
          <w:lang w:val="es-ES_tradnl"/>
        </w:rPr>
        <w:t>El CAJ-AG convino en que, en relación con el uso de la descripción original de la variedad, debía recordarse que la descripción de los caracteres de la variedad y la base para la distinción respecto de la variedad más similar están vinculadas a las circunstancias del examen DHE, según se expone en el párrafo 10.c) de este documento, a saber:</w:t>
      </w:r>
    </w:p>
    <w:p w:rsidR="005253AC" w:rsidRPr="00D6704A" w:rsidRDefault="005253AC" w:rsidP="005253AC">
      <w:pPr>
        <w:ind w:left="567" w:right="567"/>
        <w:rPr>
          <w:rFonts w:cs="Arial"/>
          <w:snapToGrid w:val="0"/>
          <w:sz w:val="18"/>
          <w:szCs w:val="18"/>
          <w:lang w:val="es-ES"/>
        </w:rPr>
      </w:pPr>
    </w:p>
    <w:p w:rsidR="005253AC" w:rsidRPr="00D6704A" w:rsidRDefault="009B05E0" w:rsidP="009B05E0">
      <w:pPr>
        <w:pStyle w:val="ListParagraph"/>
        <w:keepNext/>
        <w:numPr>
          <w:ilvl w:val="2"/>
          <w:numId w:val="29"/>
        </w:numPr>
        <w:tabs>
          <w:tab w:val="left" w:pos="567"/>
          <w:tab w:val="left" w:pos="1560"/>
        </w:tabs>
        <w:spacing w:before="0" w:beforeAutospacing="0" w:after="0" w:afterAutospacing="0" w:line="280" w:lineRule="auto"/>
        <w:ind w:left="567" w:right="567" w:firstLine="0"/>
        <w:contextualSpacing/>
        <w:jc w:val="both"/>
        <w:rPr>
          <w:rFonts w:ascii="Arial" w:hAnsi="Arial" w:cs="Arial"/>
          <w:sz w:val="18"/>
          <w:szCs w:val="18"/>
          <w:lang w:val="es-ES"/>
        </w:rPr>
      </w:pPr>
      <w:r w:rsidRPr="000D5690">
        <w:rPr>
          <w:rFonts w:ascii="Arial" w:hAnsi="Arial" w:cs="Arial"/>
          <w:sz w:val="18"/>
          <w:szCs w:val="18"/>
          <w:lang w:val="es-ES_tradnl"/>
        </w:rPr>
        <w:t>Fecha y número de documento de las Directrices de Examen de la UPOV;</w:t>
      </w:r>
    </w:p>
    <w:p w:rsidR="005253AC" w:rsidRPr="00D6704A" w:rsidRDefault="009B05E0" w:rsidP="009B05E0">
      <w:pPr>
        <w:pStyle w:val="ListParagraph"/>
        <w:numPr>
          <w:ilvl w:val="2"/>
          <w:numId w:val="29"/>
        </w:numPr>
        <w:tabs>
          <w:tab w:val="left" w:pos="567"/>
          <w:tab w:val="left" w:pos="1560"/>
          <w:tab w:val="left" w:pos="5103"/>
        </w:tabs>
        <w:spacing w:before="0" w:beforeAutospacing="0" w:after="0" w:afterAutospacing="0" w:line="280" w:lineRule="auto"/>
        <w:ind w:left="567" w:right="567" w:firstLine="0"/>
        <w:contextualSpacing/>
        <w:jc w:val="both"/>
        <w:rPr>
          <w:rFonts w:ascii="Arial" w:hAnsi="Arial" w:cs="Arial"/>
          <w:sz w:val="18"/>
          <w:szCs w:val="18"/>
          <w:lang w:val="es-ES"/>
        </w:rPr>
      </w:pPr>
      <w:r w:rsidRPr="000D5690">
        <w:rPr>
          <w:rFonts w:ascii="Arial" w:hAnsi="Arial" w:cs="Arial"/>
          <w:sz w:val="18"/>
          <w:szCs w:val="18"/>
          <w:lang w:val="es-ES_tradnl"/>
        </w:rPr>
        <w:t>Fecha y/o número de documento de las directrices de examen de la autoridad informante;</w:t>
      </w:r>
    </w:p>
    <w:p w:rsidR="005253AC" w:rsidRPr="000D5690" w:rsidRDefault="009B05E0" w:rsidP="009B05E0">
      <w:pPr>
        <w:pStyle w:val="ListParagraph"/>
        <w:numPr>
          <w:ilvl w:val="2"/>
          <w:numId w:val="29"/>
        </w:numPr>
        <w:tabs>
          <w:tab w:val="left" w:pos="567"/>
          <w:tab w:val="left" w:pos="1560"/>
          <w:tab w:val="left" w:pos="5103"/>
        </w:tabs>
        <w:spacing w:before="0" w:beforeAutospacing="0" w:after="0" w:afterAutospacing="0" w:line="280" w:lineRule="auto"/>
        <w:ind w:left="567" w:right="567" w:firstLine="0"/>
        <w:contextualSpacing/>
        <w:jc w:val="both"/>
        <w:rPr>
          <w:rFonts w:ascii="Arial" w:hAnsi="Arial" w:cs="Arial"/>
          <w:sz w:val="18"/>
          <w:szCs w:val="18"/>
        </w:rPr>
      </w:pPr>
      <w:r w:rsidRPr="000D5690">
        <w:rPr>
          <w:rFonts w:ascii="Arial" w:hAnsi="Arial" w:cs="Arial"/>
          <w:sz w:val="18"/>
          <w:szCs w:val="18"/>
          <w:lang w:val="es-ES_tradnl"/>
        </w:rPr>
        <w:t>Autoridad informante;</w:t>
      </w:r>
    </w:p>
    <w:p w:rsidR="005253AC" w:rsidRPr="00D6704A" w:rsidRDefault="009B05E0" w:rsidP="009B05E0">
      <w:pPr>
        <w:pStyle w:val="ListParagraph"/>
        <w:numPr>
          <w:ilvl w:val="2"/>
          <w:numId w:val="29"/>
        </w:numPr>
        <w:tabs>
          <w:tab w:val="left" w:pos="567"/>
          <w:tab w:val="left" w:pos="1560"/>
          <w:tab w:val="left" w:pos="5103"/>
        </w:tabs>
        <w:spacing w:before="0" w:beforeAutospacing="0" w:after="0" w:afterAutospacing="0" w:line="280" w:lineRule="auto"/>
        <w:ind w:left="567" w:right="567" w:firstLine="0"/>
        <w:contextualSpacing/>
        <w:jc w:val="both"/>
        <w:rPr>
          <w:rFonts w:ascii="Arial" w:hAnsi="Arial" w:cs="Arial"/>
          <w:sz w:val="18"/>
          <w:szCs w:val="18"/>
          <w:lang w:val="es-ES"/>
        </w:rPr>
      </w:pPr>
      <w:r w:rsidRPr="000D5690">
        <w:rPr>
          <w:rFonts w:ascii="Arial" w:hAnsi="Arial" w:cs="Arial"/>
          <w:sz w:val="18"/>
          <w:szCs w:val="18"/>
          <w:lang w:val="es-ES_tradnl"/>
        </w:rPr>
        <w:t>Estación(es) y lugar(es) del examen;</w:t>
      </w:r>
    </w:p>
    <w:p w:rsidR="005253AC" w:rsidRPr="00D6704A" w:rsidRDefault="009B05E0" w:rsidP="009B05E0">
      <w:pPr>
        <w:pStyle w:val="ListParagraph"/>
        <w:numPr>
          <w:ilvl w:val="2"/>
          <w:numId w:val="29"/>
        </w:numPr>
        <w:tabs>
          <w:tab w:val="left" w:pos="567"/>
          <w:tab w:val="left" w:pos="1560"/>
          <w:tab w:val="left" w:pos="5103"/>
        </w:tabs>
        <w:spacing w:before="0" w:beforeAutospacing="0" w:after="0" w:afterAutospacing="0" w:line="280" w:lineRule="auto"/>
        <w:ind w:left="567" w:right="567" w:firstLine="0"/>
        <w:contextualSpacing/>
        <w:jc w:val="both"/>
        <w:rPr>
          <w:rFonts w:ascii="Arial" w:hAnsi="Arial" w:cs="Arial"/>
          <w:sz w:val="18"/>
          <w:szCs w:val="18"/>
          <w:lang w:val="es-ES"/>
        </w:rPr>
      </w:pPr>
      <w:r w:rsidRPr="000D5690">
        <w:rPr>
          <w:rFonts w:ascii="Arial" w:hAnsi="Arial" w:cs="Arial"/>
          <w:sz w:val="18"/>
          <w:szCs w:val="18"/>
          <w:lang w:val="es-ES_tradnl"/>
        </w:rPr>
        <w:t>Período de realización del examen;</w:t>
      </w:r>
    </w:p>
    <w:p w:rsidR="005253AC" w:rsidRPr="00D6704A" w:rsidRDefault="009B05E0" w:rsidP="009B05E0">
      <w:pPr>
        <w:pStyle w:val="ListParagraph"/>
        <w:numPr>
          <w:ilvl w:val="2"/>
          <w:numId w:val="29"/>
        </w:numPr>
        <w:tabs>
          <w:tab w:val="left" w:pos="567"/>
          <w:tab w:val="left" w:pos="1560"/>
          <w:tab w:val="left" w:pos="5103"/>
        </w:tabs>
        <w:spacing w:before="0" w:beforeAutospacing="0" w:after="0" w:afterAutospacing="0" w:line="280" w:lineRule="auto"/>
        <w:ind w:left="567" w:right="567" w:firstLine="0"/>
        <w:contextualSpacing/>
        <w:jc w:val="both"/>
        <w:rPr>
          <w:rFonts w:ascii="Arial" w:hAnsi="Arial" w:cs="Arial"/>
          <w:sz w:val="18"/>
          <w:szCs w:val="18"/>
          <w:lang w:val="es-ES"/>
        </w:rPr>
      </w:pPr>
      <w:r w:rsidRPr="000D5690">
        <w:rPr>
          <w:rFonts w:ascii="Arial" w:hAnsi="Arial" w:cs="Arial"/>
          <w:sz w:val="18"/>
          <w:szCs w:val="18"/>
          <w:lang w:val="es-ES_tradnl"/>
        </w:rPr>
        <w:t>Fecha y lugar de emisión del documento;</w:t>
      </w:r>
    </w:p>
    <w:p w:rsidR="005253AC" w:rsidRPr="00D6704A" w:rsidRDefault="009B05E0" w:rsidP="00B4075F">
      <w:pPr>
        <w:pStyle w:val="ListParagraph"/>
        <w:numPr>
          <w:ilvl w:val="2"/>
          <w:numId w:val="29"/>
        </w:numPr>
        <w:tabs>
          <w:tab w:val="left" w:pos="1560"/>
        </w:tabs>
        <w:spacing w:before="0" w:beforeAutospacing="0" w:after="0" w:afterAutospacing="0" w:line="280" w:lineRule="auto"/>
        <w:ind w:left="567" w:right="567" w:firstLine="0"/>
        <w:contextualSpacing/>
        <w:jc w:val="both"/>
        <w:rPr>
          <w:rFonts w:ascii="Arial" w:hAnsi="Arial" w:cs="Arial"/>
          <w:sz w:val="18"/>
          <w:szCs w:val="18"/>
          <w:lang w:val="es-ES"/>
        </w:rPr>
      </w:pPr>
      <w:r w:rsidRPr="000D5690">
        <w:rPr>
          <w:rFonts w:ascii="Arial" w:hAnsi="Arial" w:cs="Arial"/>
          <w:sz w:val="18"/>
          <w:szCs w:val="18"/>
          <w:lang w:val="es-ES_tradnl"/>
        </w:rPr>
        <w:t>Grupo:</w:t>
      </w:r>
      <w:r w:rsidR="005253AC" w:rsidRPr="00D6704A">
        <w:rPr>
          <w:rFonts w:ascii="Arial" w:hAnsi="Arial" w:cs="Arial"/>
          <w:sz w:val="18"/>
          <w:szCs w:val="18"/>
          <w:lang w:val="es-ES"/>
        </w:rPr>
        <w:t xml:space="preserve"> </w:t>
      </w:r>
      <w:r w:rsidR="00B4075F" w:rsidRPr="000D5690">
        <w:rPr>
          <w:rFonts w:ascii="Arial" w:hAnsi="Arial" w:cs="Arial"/>
          <w:sz w:val="18"/>
          <w:szCs w:val="18"/>
          <w:lang w:val="es-ES_tradnl"/>
        </w:rPr>
        <w:t>(Cuadro:</w:t>
      </w:r>
      <w:r w:rsidR="005253AC" w:rsidRPr="00D6704A">
        <w:rPr>
          <w:rFonts w:ascii="Arial" w:hAnsi="Arial" w:cs="Arial"/>
          <w:sz w:val="18"/>
          <w:szCs w:val="18"/>
          <w:lang w:val="es-ES"/>
        </w:rPr>
        <w:t xml:space="preserve"> </w:t>
      </w:r>
      <w:r w:rsidR="00B4075F" w:rsidRPr="000D5690">
        <w:rPr>
          <w:rFonts w:ascii="Arial" w:hAnsi="Arial" w:cs="Arial"/>
          <w:sz w:val="18"/>
          <w:szCs w:val="18"/>
          <w:lang w:val="es-ES_tradnl"/>
        </w:rPr>
        <w:t>Caracteres;</w:t>
      </w:r>
      <w:r w:rsidR="005253AC" w:rsidRPr="00D6704A">
        <w:rPr>
          <w:rFonts w:ascii="Arial" w:hAnsi="Arial" w:cs="Arial"/>
          <w:sz w:val="18"/>
          <w:szCs w:val="18"/>
          <w:lang w:val="es-ES"/>
        </w:rPr>
        <w:t xml:space="preserve"> </w:t>
      </w:r>
      <w:r w:rsidR="00B4075F" w:rsidRPr="000D5690">
        <w:rPr>
          <w:rFonts w:ascii="Arial" w:hAnsi="Arial" w:cs="Arial"/>
          <w:sz w:val="18"/>
          <w:szCs w:val="18"/>
          <w:lang w:val="es-ES_tradnl"/>
        </w:rPr>
        <w:t>Niveles de expresión;</w:t>
      </w:r>
      <w:r w:rsidR="005253AC" w:rsidRPr="00D6704A">
        <w:rPr>
          <w:rFonts w:ascii="Arial" w:hAnsi="Arial" w:cs="Arial"/>
          <w:sz w:val="18"/>
          <w:szCs w:val="18"/>
          <w:lang w:val="es-ES"/>
        </w:rPr>
        <w:t xml:space="preserve"> </w:t>
      </w:r>
      <w:r w:rsidR="00B4075F" w:rsidRPr="000D5690">
        <w:rPr>
          <w:rFonts w:ascii="Arial" w:hAnsi="Arial" w:cs="Arial"/>
          <w:sz w:val="18"/>
          <w:szCs w:val="18"/>
          <w:lang w:val="es-ES_tradnl"/>
        </w:rPr>
        <w:t>Nota;</w:t>
      </w:r>
      <w:r w:rsidR="005253AC" w:rsidRPr="00D6704A">
        <w:rPr>
          <w:rFonts w:ascii="Arial" w:hAnsi="Arial" w:cs="Arial"/>
          <w:sz w:val="18"/>
          <w:szCs w:val="18"/>
          <w:lang w:val="es-ES"/>
        </w:rPr>
        <w:t xml:space="preserve"> </w:t>
      </w:r>
      <w:r w:rsidR="00B4075F" w:rsidRPr="000D5690">
        <w:rPr>
          <w:rFonts w:ascii="Arial" w:hAnsi="Arial" w:cs="Arial"/>
          <w:sz w:val="18"/>
          <w:szCs w:val="18"/>
          <w:lang w:val="es-ES_tradnl"/>
        </w:rPr>
        <w:t>Observaciones);</w:t>
      </w:r>
    </w:p>
    <w:p w:rsidR="005253AC" w:rsidRPr="000D5690" w:rsidRDefault="00B4075F" w:rsidP="00B4075F">
      <w:pPr>
        <w:pStyle w:val="ListParagraph"/>
        <w:numPr>
          <w:ilvl w:val="2"/>
          <w:numId w:val="29"/>
        </w:numPr>
        <w:tabs>
          <w:tab w:val="left" w:pos="1560"/>
        </w:tabs>
        <w:spacing w:before="0" w:beforeAutospacing="0" w:after="0" w:afterAutospacing="0" w:line="280" w:lineRule="auto"/>
        <w:ind w:left="567" w:right="567" w:firstLine="0"/>
        <w:contextualSpacing/>
        <w:jc w:val="both"/>
        <w:rPr>
          <w:rFonts w:ascii="Arial" w:hAnsi="Arial" w:cs="Arial"/>
          <w:sz w:val="18"/>
          <w:szCs w:val="18"/>
        </w:rPr>
      </w:pPr>
      <w:r w:rsidRPr="000D5690">
        <w:rPr>
          <w:rFonts w:ascii="Arial" w:hAnsi="Arial" w:cs="Arial"/>
          <w:sz w:val="18"/>
          <w:szCs w:val="18"/>
          <w:lang w:val="es-ES_tradnl"/>
        </w:rPr>
        <w:t>Información adicional;</w:t>
      </w:r>
    </w:p>
    <w:p w:rsidR="005253AC" w:rsidRPr="000D5690" w:rsidRDefault="005253AC" w:rsidP="00A10560">
      <w:pPr>
        <w:spacing w:line="280" w:lineRule="auto"/>
        <w:ind w:left="709" w:right="567"/>
        <w:rPr>
          <w:rFonts w:cs="Arial"/>
          <w:sz w:val="18"/>
          <w:szCs w:val="18"/>
        </w:rPr>
      </w:pPr>
      <w:r w:rsidRPr="000D5690">
        <w:rPr>
          <w:rFonts w:cs="Arial"/>
          <w:sz w:val="18"/>
          <w:szCs w:val="18"/>
        </w:rPr>
        <w:tab/>
      </w:r>
      <w:r w:rsidR="0047214B" w:rsidRPr="000D5690">
        <w:rPr>
          <w:rFonts w:cs="Arial"/>
          <w:sz w:val="18"/>
          <w:szCs w:val="18"/>
        </w:rPr>
        <w:t>a)</w:t>
      </w:r>
      <w:r w:rsidRPr="000D5690">
        <w:rPr>
          <w:rFonts w:cs="Arial"/>
          <w:sz w:val="18"/>
          <w:szCs w:val="18"/>
        </w:rPr>
        <w:tab/>
      </w:r>
      <w:r w:rsidR="00B4075F" w:rsidRPr="000D5690">
        <w:rPr>
          <w:rFonts w:cs="Arial"/>
          <w:sz w:val="18"/>
          <w:szCs w:val="18"/>
          <w:lang w:val="es-ES_tradnl"/>
        </w:rPr>
        <w:t>Datos adicionales</w:t>
      </w:r>
    </w:p>
    <w:p w:rsidR="005253AC" w:rsidRPr="000D5690" w:rsidRDefault="005253AC" w:rsidP="00A10560">
      <w:pPr>
        <w:spacing w:line="280" w:lineRule="auto"/>
        <w:ind w:left="709" w:right="567"/>
        <w:rPr>
          <w:rFonts w:cs="Arial"/>
          <w:color w:val="000000"/>
          <w:sz w:val="18"/>
          <w:szCs w:val="18"/>
        </w:rPr>
      </w:pPr>
      <w:r w:rsidRPr="000D5690">
        <w:rPr>
          <w:rFonts w:cs="Arial"/>
          <w:sz w:val="18"/>
          <w:szCs w:val="18"/>
        </w:rPr>
        <w:tab/>
      </w:r>
      <w:r w:rsidR="0047214B" w:rsidRPr="000D5690">
        <w:rPr>
          <w:rFonts w:cs="Arial"/>
          <w:color w:val="000000"/>
          <w:sz w:val="18"/>
          <w:szCs w:val="18"/>
        </w:rPr>
        <w:t>b)</w:t>
      </w:r>
      <w:r w:rsidRPr="000D5690">
        <w:rPr>
          <w:rFonts w:cs="Arial"/>
          <w:color w:val="000000"/>
          <w:sz w:val="18"/>
          <w:szCs w:val="18"/>
        </w:rPr>
        <w:tab/>
      </w:r>
      <w:r w:rsidR="00B4075F" w:rsidRPr="000D5690">
        <w:rPr>
          <w:rFonts w:cs="Arial"/>
          <w:color w:val="000000"/>
          <w:sz w:val="18"/>
          <w:szCs w:val="18"/>
          <w:lang w:val="es-ES_tradnl"/>
        </w:rPr>
        <w:t>Fotografía (si procede)</w:t>
      </w:r>
    </w:p>
    <w:p w:rsidR="005253AC" w:rsidRPr="00D6704A" w:rsidRDefault="005253AC" w:rsidP="00A10560">
      <w:pPr>
        <w:spacing w:line="280" w:lineRule="auto"/>
        <w:ind w:left="709" w:right="567"/>
        <w:rPr>
          <w:rFonts w:cs="Arial"/>
          <w:color w:val="000000"/>
          <w:sz w:val="18"/>
          <w:szCs w:val="18"/>
          <w:lang w:val="es-ES"/>
        </w:rPr>
      </w:pPr>
      <w:r w:rsidRPr="00D6704A">
        <w:rPr>
          <w:rFonts w:cs="Arial"/>
          <w:sz w:val="18"/>
          <w:szCs w:val="18"/>
          <w:lang w:val="es-ES"/>
        </w:rPr>
        <w:tab/>
      </w:r>
      <w:r w:rsidR="0047214B" w:rsidRPr="00D6704A">
        <w:rPr>
          <w:rFonts w:cs="Arial"/>
          <w:color w:val="000000"/>
          <w:sz w:val="18"/>
          <w:szCs w:val="18"/>
          <w:lang w:val="es-ES"/>
        </w:rPr>
        <w:t>c)</w:t>
      </w:r>
      <w:r w:rsidRPr="00D6704A">
        <w:rPr>
          <w:rFonts w:cs="Arial"/>
          <w:color w:val="000000"/>
          <w:sz w:val="18"/>
          <w:szCs w:val="18"/>
          <w:lang w:val="es-ES"/>
        </w:rPr>
        <w:tab/>
      </w:r>
      <w:r w:rsidR="00B4075F" w:rsidRPr="000D5690">
        <w:rPr>
          <w:rFonts w:cs="Arial"/>
          <w:color w:val="000000"/>
          <w:sz w:val="18"/>
          <w:szCs w:val="18"/>
          <w:lang w:val="es-ES_tradnl"/>
        </w:rPr>
        <w:t>Versión de la Carta de Colores RHS empleada (cuando proceda)</w:t>
      </w:r>
    </w:p>
    <w:p w:rsidR="005253AC" w:rsidRPr="00D6704A" w:rsidRDefault="005253AC" w:rsidP="00A10560">
      <w:pPr>
        <w:tabs>
          <w:tab w:val="left" w:pos="284"/>
        </w:tabs>
        <w:spacing w:line="280" w:lineRule="auto"/>
        <w:ind w:left="709" w:right="567"/>
        <w:rPr>
          <w:rFonts w:cs="Arial"/>
          <w:sz w:val="18"/>
          <w:szCs w:val="18"/>
          <w:lang w:val="es-ES"/>
        </w:rPr>
      </w:pPr>
      <w:r w:rsidRPr="00D6704A">
        <w:rPr>
          <w:rFonts w:cs="Arial"/>
          <w:sz w:val="18"/>
          <w:szCs w:val="18"/>
          <w:lang w:val="es-ES"/>
        </w:rPr>
        <w:tab/>
      </w:r>
      <w:r w:rsidR="0047214B" w:rsidRPr="00D6704A">
        <w:rPr>
          <w:rFonts w:cs="Arial"/>
          <w:sz w:val="18"/>
          <w:szCs w:val="18"/>
          <w:lang w:val="es-ES"/>
        </w:rPr>
        <w:t>d)</w:t>
      </w:r>
      <w:r w:rsidRPr="00D6704A">
        <w:rPr>
          <w:rFonts w:cs="Arial"/>
          <w:sz w:val="18"/>
          <w:szCs w:val="18"/>
          <w:lang w:val="es-ES"/>
        </w:rPr>
        <w:tab/>
      </w:r>
      <w:r w:rsidR="00B4075F" w:rsidRPr="000D5690">
        <w:rPr>
          <w:rFonts w:cs="Arial"/>
          <w:sz w:val="18"/>
          <w:szCs w:val="18"/>
          <w:lang w:val="es-ES_tradnl"/>
        </w:rPr>
        <w:t>Observaciones”</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B4075F" w:rsidRPr="000D5690">
        <w:rPr>
          <w:lang w:val="es-ES_tradnl"/>
        </w:rPr>
        <w:t>El TC tomó nota de las p</w:t>
      </w:r>
      <w:r w:rsidR="00E04168" w:rsidRPr="000D5690">
        <w:rPr>
          <w:lang w:val="es-ES_tradnl"/>
        </w:rPr>
        <w:t xml:space="preserve">onencias </w:t>
      </w:r>
      <w:r w:rsidR="00B4075F" w:rsidRPr="000D5690">
        <w:rPr>
          <w:lang w:val="es-ES_tradnl"/>
        </w:rPr>
        <w:t xml:space="preserve">sobre </w:t>
      </w:r>
      <w:r w:rsidR="00E04168" w:rsidRPr="000D5690">
        <w:rPr>
          <w:lang w:val="es-ES_tradnl"/>
        </w:rPr>
        <w:t>“</w:t>
      </w:r>
      <w:r w:rsidR="00B4075F" w:rsidRPr="000D5690">
        <w:rPr>
          <w:lang w:val="es-ES_tradnl"/>
        </w:rPr>
        <w:t>asuntos relativos a las descripciones de variedades</w:t>
      </w:r>
      <w:r w:rsidR="00E04168" w:rsidRPr="000D5690">
        <w:rPr>
          <w:lang w:val="es-ES_tradnl"/>
        </w:rPr>
        <w:t>”</w:t>
      </w:r>
      <w:r w:rsidR="00B4075F" w:rsidRPr="000D5690">
        <w:rPr>
          <w:lang w:val="es-ES_tradnl"/>
        </w:rPr>
        <w:t xml:space="preserve"> </w:t>
      </w:r>
      <w:r w:rsidR="00E04168" w:rsidRPr="000D5690">
        <w:rPr>
          <w:lang w:val="es-ES_tradnl"/>
        </w:rPr>
        <w:t xml:space="preserve">a las que asistieron los </w:t>
      </w:r>
      <w:r w:rsidR="00B4075F" w:rsidRPr="000D5690">
        <w:rPr>
          <w:lang w:val="es-ES_tradnl"/>
        </w:rPr>
        <w:t>TWP</w:t>
      </w:r>
      <w:r w:rsidR="00E04168" w:rsidRPr="000D5690">
        <w:rPr>
          <w:lang w:val="es-ES_tradnl"/>
        </w:rPr>
        <w:t>,</w:t>
      </w:r>
      <w:r w:rsidR="00B4075F" w:rsidRPr="000D5690">
        <w:rPr>
          <w:lang w:val="es-ES_tradnl"/>
        </w:rPr>
        <w:t xml:space="preserve"> en sus sesiones de 2015, </w:t>
      </w:r>
      <w:r w:rsidR="00E04168" w:rsidRPr="000D5690">
        <w:rPr>
          <w:lang w:val="es-ES_tradnl"/>
        </w:rPr>
        <w:t xml:space="preserve">que figuran </w:t>
      </w:r>
      <w:r w:rsidR="00B4075F" w:rsidRPr="000D5690">
        <w:rPr>
          <w:lang w:val="es-ES_tradnl"/>
        </w:rPr>
        <w:t>en el párrafo</w:t>
      </w:r>
      <w:r w:rsidR="00E04168" w:rsidRPr="000D5690">
        <w:rPr>
          <w:lang w:val="es-ES_tradnl"/>
        </w:rPr>
        <w:t> </w:t>
      </w:r>
      <w:r w:rsidR="00B4075F" w:rsidRPr="000D5690">
        <w:rPr>
          <w:lang w:val="es-ES_tradnl"/>
        </w:rPr>
        <w:t>17 del documento</w:t>
      </w:r>
      <w:r w:rsidR="00E04168" w:rsidRPr="000D5690">
        <w:rPr>
          <w:lang w:val="es-ES_tradnl"/>
        </w:rPr>
        <w:t> </w:t>
      </w:r>
      <w:r w:rsidR="00B4075F" w:rsidRPr="000D5690">
        <w:rPr>
          <w:lang w:val="es-ES_tradnl"/>
        </w:rPr>
        <w:t>TC/52/21.</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E04168" w:rsidRPr="000D5690">
        <w:rPr>
          <w:lang w:val="es-ES_tradnl"/>
        </w:rPr>
        <w:t>El TC tomó nota de las observaciones formuladas por los TWP en sus sesiones de 2015 sobre los asuntos relativos a las descripciones de variedades y la función del material vegetal utilizado como base para el examen DHE, según se expone en los párrafos 18 a 40 del documento TC/52/21.</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E04168" w:rsidRPr="000D5690">
        <w:rPr>
          <w:lang w:val="es-ES_tradnl"/>
        </w:rPr>
        <w:t>El TC convino en invitar a expertos a presentar antes los TWP, en sus sesiones de 2016, sus experiencias relativas a la función del material vegetal utilizado como base para el examen DHE respecto de los asuntos enumerados en el párrafo 5 del documento TC/52/21, que se reproduce a continuación:</w:t>
      </w:r>
    </w:p>
    <w:p w:rsidR="005253AC" w:rsidRPr="00D6704A" w:rsidRDefault="005253AC" w:rsidP="005253AC">
      <w:pPr>
        <w:rPr>
          <w:lang w:val="es-ES"/>
        </w:rPr>
      </w:pPr>
    </w:p>
    <w:p w:rsidR="005253AC" w:rsidRPr="00D6704A" w:rsidRDefault="0047214B" w:rsidP="00CD3D58">
      <w:pPr>
        <w:ind w:left="1418" w:hanging="709"/>
        <w:rPr>
          <w:rFonts w:cs="Arial"/>
          <w:lang w:val="es-ES"/>
        </w:rPr>
      </w:pPr>
      <w:r w:rsidRPr="00D6704A">
        <w:rPr>
          <w:rFonts w:cs="Arial"/>
          <w:lang w:val="es-ES"/>
        </w:rPr>
        <w:t>a)</w:t>
      </w:r>
      <w:r w:rsidR="005253AC" w:rsidRPr="00D6704A">
        <w:rPr>
          <w:rFonts w:cs="Arial"/>
          <w:lang w:val="es-ES"/>
        </w:rPr>
        <w:tab/>
      </w:r>
      <w:r w:rsidR="00E04168" w:rsidRPr="000D5690">
        <w:rPr>
          <w:rFonts w:cs="Arial"/>
          <w:lang w:val="es-ES_tradnl"/>
        </w:rPr>
        <w:t>el uso de informaciones, documentos o material proporcionados por el obtentor para controlar el mantenimiento de la variedad, conforme al párrafo 15 del documento CAJ-AG/13/8/4 “</w:t>
      </w:r>
      <w:proofErr w:type="spellStart"/>
      <w:r w:rsidR="00E04168" w:rsidRPr="000D5690">
        <w:rPr>
          <w:rFonts w:cs="Arial"/>
          <w:i/>
          <w:lang w:val="es-ES_tradnl"/>
        </w:rPr>
        <w:t>Matters</w:t>
      </w:r>
      <w:proofErr w:type="spellEnd"/>
      <w:r w:rsidR="00E04168" w:rsidRPr="000D5690">
        <w:rPr>
          <w:rFonts w:cs="Arial"/>
          <w:i/>
          <w:lang w:val="es-ES_tradnl"/>
        </w:rPr>
        <w:t xml:space="preserve"> </w:t>
      </w:r>
      <w:proofErr w:type="spellStart"/>
      <w:r w:rsidR="00E04168" w:rsidRPr="000D5690">
        <w:rPr>
          <w:rFonts w:cs="Arial"/>
          <w:i/>
          <w:lang w:val="es-ES_tradnl"/>
        </w:rPr>
        <w:t>concerning</w:t>
      </w:r>
      <w:proofErr w:type="spellEnd"/>
      <w:r w:rsidR="00E04168" w:rsidRPr="000D5690">
        <w:rPr>
          <w:rFonts w:cs="Arial"/>
          <w:i/>
          <w:lang w:val="es-ES_tradnl"/>
        </w:rPr>
        <w:t xml:space="preserve"> </w:t>
      </w:r>
      <w:proofErr w:type="spellStart"/>
      <w:r w:rsidR="00E04168" w:rsidRPr="000D5690">
        <w:rPr>
          <w:rFonts w:cs="Arial"/>
          <w:i/>
          <w:lang w:val="es-ES_tradnl"/>
        </w:rPr>
        <w:t>cancellation</w:t>
      </w:r>
      <w:proofErr w:type="spellEnd"/>
      <w:r w:rsidR="00E04168" w:rsidRPr="000D5690">
        <w:rPr>
          <w:rFonts w:cs="Arial"/>
          <w:i/>
          <w:lang w:val="es-ES_tradnl"/>
        </w:rPr>
        <w:t xml:space="preserve"> of </w:t>
      </w:r>
      <w:proofErr w:type="spellStart"/>
      <w:r w:rsidR="00E04168" w:rsidRPr="000D5690">
        <w:rPr>
          <w:rFonts w:cs="Arial"/>
          <w:i/>
          <w:lang w:val="es-ES_tradnl"/>
        </w:rPr>
        <w:t>the</w:t>
      </w:r>
      <w:proofErr w:type="spellEnd"/>
      <w:r w:rsidR="00E04168" w:rsidRPr="000D5690">
        <w:rPr>
          <w:rFonts w:cs="Arial"/>
          <w:i/>
          <w:lang w:val="es-ES_tradnl"/>
        </w:rPr>
        <w:t xml:space="preserve"> </w:t>
      </w:r>
      <w:proofErr w:type="spellStart"/>
      <w:r w:rsidR="00E04168" w:rsidRPr="000D5690">
        <w:rPr>
          <w:rFonts w:cs="Arial"/>
          <w:i/>
          <w:lang w:val="es-ES_tradnl"/>
        </w:rPr>
        <w:t>breeder's</w:t>
      </w:r>
      <w:proofErr w:type="spellEnd"/>
      <w:r w:rsidR="00E04168" w:rsidRPr="000D5690">
        <w:rPr>
          <w:rFonts w:cs="Arial"/>
          <w:i/>
          <w:lang w:val="es-ES_tradnl"/>
        </w:rPr>
        <w:t xml:space="preserve"> </w:t>
      </w:r>
      <w:proofErr w:type="spellStart"/>
      <w:r w:rsidR="00E04168" w:rsidRPr="000D5690">
        <w:rPr>
          <w:rFonts w:cs="Arial"/>
          <w:i/>
          <w:lang w:val="es-ES_tradnl"/>
        </w:rPr>
        <w:t>right</w:t>
      </w:r>
      <w:proofErr w:type="spellEnd"/>
      <w:r w:rsidR="00E04168" w:rsidRPr="000D5690">
        <w:rPr>
          <w:rFonts w:cs="Arial"/>
          <w:lang w:val="es-ES_tradnl"/>
        </w:rPr>
        <w:t>” (Asuntos relativos a la caducidad del derecho de obtentor), indicando que las informaciones, los documentos o el material pueden conservarse en otro país;</w:t>
      </w:r>
      <w:r w:rsidR="005253AC" w:rsidRPr="00D6704A">
        <w:rPr>
          <w:rFonts w:cs="Arial"/>
          <w:lang w:val="es-ES"/>
        </w:rPr>
        <w:t xml:space="preserve">  </w:t>
      </w:r>
    </w:p>
    <w:p w:rsidR="005253AC" w:rsidRPr="00D6704A" w:rsidRDefault="005253AC" w:rsidP="00CD3D58">
      <w:pPr>
        <w:tabs>
          <w:tab w:val="left" w:pos="7500"/>
        </w:tabs>
        <w:ind w:left="1418" w:hanging="709"/>
        <w:rPr>
          <w:rFonts w:cs="Arial"/>
          <w:lang w:val="es-ES"/>
        </w:rPr>
      </w:pPr>
    </w:p>
    <w:p w:rsidR="005253AC" w:rsidRPr="00D6704A" w:rsidRDefault="0047214B" w:rsidP="00CD3D58">
      <w:pPr>
        <w:ind w:left="1418" w:hanging="709"/>
        <w:rPr>
          <w:rFonts w:cs="Arial"/>
          <w:lang w:val="es-ES"/>
        </w:rPr>
      </w:pPr>
      <w:r w:rsidRPr="00D6704A">
        <w:rPr>
          <w:rFonts w:cs="Arial"/>
          <w:lang w:val="es-ES"/>
        </w:rPr>
        <w:t>b)</w:t>
      </w:r>
      <w:r w:rsidR="005253AC" w:rsidRPr="00D6704A">
        <w:rPr>
          <w:rFonts w:cs="Arial"/>
          <w:lang w:val="es-ES"/>
        </w:rPr>
        <w:tab/>
      </w:r>
      <w:r w:rsidR="00232381" w:rsidRPr="000D5690">
        <w:rPr>
          <w:rFonts w:cs="Arial"/>
          <w:lang w:val="es-ES_tradnl"/>
        </w:rPr>
        <w:t>el uso de directrices de examen diferentes de las empleadas en el examen de la distinción, la homogeneidad y la estabilidad (DHE), para controlar el mantenimiento de la variedad;</w:t>
      </w:r>
    </w:p>
    <w:p w:rsidR="005253AC" w:rsidRPr="00D6704A" w:rsidRDefault="005253AC" w:rsidP="005253AC">
      <w:pPr>
        <w:ind w:left="567" w:right="567"/>
        <w:rPr>
          <w:lang w:val="es-ES"/>
        </w:rPr>
      </w:pPr>
    </w:p>
    <w:p w:rsidR="005253AC" w:rsidRPr="00D6704A" w:rsidRDefault="0047214B" w:rsidP="00CD3D58">
      <w:pPr>
        <w:ind w:left="1418" w:hanging="709"/>
        <w:rPr>
          <w:lang w:val="es-ES"/>
        </w:rPr>
      </w:pPr>
      <w:r w:rsidRPr="00D6704A">
        <w:rPr>
          <w:lang w:val="es-ES"/>
        </w:rPr>
        <w:t>c)</w:t>
      </w:r>
      <w:r w:rsidR="005253AC" w:rsidRPr="00D6704A">
        <w:rPr>
          <w:lang w:val="es-ES"/>
        </w:rPr>
        <w:tab/>
      </w:r>
      <w:r w:rsidR="00232381" w:rsidRPr="000D5690">
        <w:rPr>
          <w:lang w:val="es-ES_tradnl"/>
        </w:rPr>
        <w:t>la situación de la descripción original de la variedad en lo referente a la comprobación de que el material vegetal corresponde a una variedad protegida a los fines de:</w:t>
      </w:r>
    </w:p>
    <w:p w:rsidR="005253AC" w:rsidRPr="00D6704A" w:rsidRDefault="005253AC" w:rsidP="005253AC">
      <w:pPr>
        <w:ind w:firstLine="567"/>
        <w:rPr>
          <w:lang w:val="es-ES"/>
        </w:rPr>
      </w:pPr>
    </w:p>
    <w:p w:rsidR="005253AC" w:rsidRPr="00D6704A" w:rsidRDefault="005253AC" w:rsidP="005253AC">
      <w:pPr>
        <w:ind w:left="1701" w:hanging="567"/>
        <w:rPr>
          <w:lang w:val="es-ES"/>
        </w:rPr>
      </w:pPr>
      <w:r w:rsidRPr="00D6704A">
        <w:rPr>
          <w:lang w:val="es-ES"/>
        </w:rPr>
        <w:t>i)</w:t>
      </w:r>
      <w:r w:rsidRPr="00D6704A">
        <w:rPr>
          <w:lang w:val="es-ES"/>
        </w:rPr>
        <w:tab/>
      </w:r>
      <w:r w:rsidR="00232381" w:rsidRPr="000D5690">
        <w:rPr>
          <w:lang w:val="es-ES_tradnl"/>
        </w:rPr>
        <w:t>controlar el mantenimiento de la variedad (artículo 22 del Acta de 1991, artículo 10 del Acta de 1978);</w:t>
      </w:r>
    </w:p>
    <w:p w:rsidR="005253AC" w:rsidRPr="00D6704A" w:rsidRDefault="005253AC" w:rsidP="00E91D19">
      <w:pPr>
        <w:ind w:left="1701" w:hanging="567"/>
        <w:rPr>
          <w:lang w:val="es-ES"/>
        </w:rPr>
      </w:pPr>
      <w:r w:rsidRPr="00D6704A">
        <w:rPr>
          <w:lang w:val="es-ES"/>
        </w:rPr>
        <w:t>ii)</w:t>
      </w:r>
      <w:r w:rsidRPr="00D6704A">
        <w:rPr>
          <w:lang w:val="es-ES"/>
        </w:rPr>
        <w:tab/>
      </w:r>
      <w:r w:rsidR="00232381" w:rsidRPr="000D5690">
        <w:rPr>
          <w:lang w:val="es-ES_tradnl"/>
        </w:rPr>
        <w:t>el examen de la distinción, la homogeneidad y la estabilidad (DHE) de las variedades candidatas;</w:t>
      </w:r>
      <w:r w:rsidRPr="00D6704A">
        <w:rPr>
          <w:lang w:val="es-ES"/>
        </w:rPr>
        <w:t xml:space="preserve">  </w:t>
      </w:r>
    </w:p>
    <w:p w:rsidR="005253AC" w:rsidRPr="00D6704A" w:rsidRDefault="005253AC" w:rsidP="005253AC">
      <w:pPr>
        <w:ind w:left="567" w:right="567"/>
        <w:rPr>
          <w:lang w:val="es-ES"/>
        </w:rPr>
      </w:pPr>
    </w:p>
    <w:p w:rsidR="005253AC" w:rsidRPr="00D6704A" w:rsidRDefault="0047214B" w:rsidP="00CD3D58">
      <w:pPr>
        <w:ind w:left="1418" w:hanging="709"/>
        <w:rPr>
          <w:lang w:val="es-ES"/>
        </w:rPr>
      </w:pPr>
      <w:r w:rsidRPr="00D6704A">
        <w:rPr>
          <w:lang w:val="es-ES"/>
        </w:rPr>
        <w:t>d)</w:t>
      </w:r>
      <w:r w:rsidR="005253AC" w:rsidRPr="00D6704A">
        <w:rPr>
          <w:lang w:val="es-ES"/>
        </w:rPr>
        <w:tab/>
      </w:r>
      <w:r w:rsidR="00232381" w:rsidRPr="000D5690">
        <w:rPr>
          <w:lang w:val="es-ES_tradnl"/>
        </w:rPr>
        <w:t>la situación de una descripción modificada de la variedad elaborada, por ejemplo, como consecuencia de:</w:t>
      </w:r>
    </w:p>
    <w:p w:rsidR="005253AC" w:rsidRPr="00D6704A" w:rsidRDefault="005253AC" w:rsidP="005253AC">
      <w:pPr>
        <w:ind w:right="567" w:firstLine="567"/>
        <w:rPr>
          <w:lang w:val="es-ES"/>
        </w:rPr>
      </w:pPr>
    </w:p>
    <w:p w:rsidR="005253AC" w:rsidRPr="00D6704A" w:rsidRDefault="005253AC" w:rsidP="005253AC">
      <w:pPr>
        <w:spacing w:after="60"/>
        <w:ind w:left="1701" w:hanging="567"/>
        <w:rPr>
          <w:lang w:val="es-ES"/>
        </w:rPr>
      </w:pPr>
      <w:r w:rsidRPr="00D6704A">
        <w:rPr>
          <w:lang w:val="es-ES"/>
        </w:rPr>
        <w:t>i)</w:t>
      </w:r>
      <w:r w:rsidRPr="00D6704A">
        <w:rPr>
          <w:lang w:val="es-ES"/>
        </w:rPr>
        <w:tab/>
      </w:r>
      <w:r w:rsidR="00232381" w:rsidRPr="000D5690">
        <w:rPr>
          <w:lang w:val="es-ES_tradnl"/>
        </w:rPr>
        <w:t xml:space="preserve">una </w:t>
      </w:r>
      <w:proofErr w:type="spellStart"/>
      <w:r w:rsidR="00232381" w:rsidRPr="000D5690">
        <w:rPr>
          <w:lang w:val="es-ES_tradnl"/>
        </w:rPr>
        <w:t>recalibración</w:t>
      </w:r>
      <w:proofErr w:type="spellEnd"/>
      <w:r w:rsidR="00232381" w:rsidRPr="000D5690">
        <w:rPr>
          <w:lang w:val="es-ES_tradnl"/>
        </w:rPr>
        <w:t xml:space="preserve"> de la escala en las directrices de examen (especialmente para los caracteres no señalados con asterisco);</w:t>
      </w:r>
    </w:p>
    <w:p w:rsidR="005253AC" w:rsidRPr="00D6704A" w:rsidRDefault="005253AC" w:rsidP="005253AC">
      <w:pPr>
        <w:spacing w:after="60"/>
        <w:ind w:left="1701" w:hanging="567"/>
        <w:rPr>
          <w:lang w:val="es-ES"/>
        </w:rPr>
      </w:pPr>
      <w:r w:rsidRPr="00D6704A">
        <w:rPr>
          <w:lang w:val="es-ES"/>
        </w:rPr>
        <w:t>ii)</w:t>
      </w:r>
      <w:r w:rsidRPr="00D6704A">
        <w:rPr>
          <w:lang w:val="es-ES"/>
        </w:rPr>
        <w:tab/>
      </w:r>
      <w:r w:rsidR="00232381" w:rsidRPr="000D5690">
        <w:rPr>
          <w:lang w:val="es-ES_tradnl"/>
        </w:rPr>
        <w:t>una variación resultante de las condiciones medioambientales en los años de ensayo de los caracteres que están influenciados por el medio ambiente;</w:t>
      </w:r>
    </w:p>
    <w:p w:rsidR="005253AC" w:rsidRPr="00D6704A" w:rsidRDefault="005253AC" w:rsidP="005253AC">
      <w:pPr>
        <w:spacing w:after="60"/>
        <w:ind w:left="1701" w:hanging="567"/>
        <w:rPr>
          <w:lang w:val="es-ES"/>
        </w:rPr>
      </w:pPr>
      <w:r w:rsidRPr="00D6704A">
        <w:rPr>
          <w:lang w:val="es-ES"/>
        </w:rPr>
        <w:t>iii)</w:t>
      </w:r>
      <w:r w:rsidRPr="00D6704A">
        <w:rPr>
          <w:lang w:val="es-ES"/>
        </w:rPr>
        <w:tab/>
      </w:r>
      <w:r w:rsidR="00232381" w:rsidRPr="000D5690">
        <w:rPr>
          <w:lang w:val="es-ES_tradnl"/>
        </w:rPr>
        <w:t>una variación resultante de las observaciones realizadas por distintos expertos;</w:t>
      </w:r>
      <w:r w:rsidRPr="00D6704A">
        <w:rPr>
          <w:lang w:val="es-ES"/>
        </w:rPr>
        <w:t xml:space="preserve">  </w:t>
      </w:r>
      <w:r w:rsidR="00232381" w:rsidRPr="000D5690">
        <w:rPr>
          <w:lang w:val="es-ES_tradnl"/>
        </w:rPr>
        <w:t>o</w:t>
      </w:r>
    </w:p>
    <w:p w:rsidR="005253AC" w:rsidRPr="00D6704A" w:rsidRDefault="005253AC" w:rsidP="005253AC">
      <w:pPr>
        <w:ind w:left="1701" w:hanging="567"/>
        <w:rPr>
          <w:lang w:val="es-ES"/>
        </w:rPr>
      </w:pPr>
      <w:r w:rsidRPr="00D6704A">
        <w:rPr>
          <w:lang w:val="es-ES"/>
        </w:rPr>
        <w:t>iv)</w:t>
      </w:r>
      <w:r w:rsidRPr="00D6704A">
        <w:rPr>
          <w:lang w:val="es-ES"/>
        </w:rPr>
        <w:tab/>
      </w:r>
      <w:r w:rsidR="00232381" w:rsidRPr="000D5690">
        <w:rPr>
          <w:lang w:val="es-ES_tradnl"/>
        </w:rPr>
        <w:t xml:space="preserve">la utilización de diferentes versiones de escalas (por ejemplo, diferentes versiones de la Carta de Colores RHS); </w:t>
      </w:r>
      <w:r w:rsidR="00B6654F" w:rsidRPr="000D5690">
        <w:rPr>
          <w:lang w:val="es-ES_tradnl"/>
        </w:rPr>
        <w:t xml:space="preserve"> </w:t>
      </w:r>
      <w:r w:rsidR="00232381" w:rsidRPr="000D5690">
        <w:rPr>
          <w:lang w:val="es-ES_tradnl"/>
        </w:rPr>
        <w:t>y</w:t>
      </w:r>
      <w:r w:rsidRPr="00D6704A">
        <w:rPr>
          <w:lang w:val="es-ES"/>
        </w:rPr>
        <w:t xml:space="preserve"> </w:t>
      </w:r>
    </w:p>
    <w:p w:rsidR="005253AC" w:rsidRPr="00D6704A" w:rsidRDefault="005253AC" w:rsidP="005253AC">
      <w:pPr>
        <w:ind w:left="567" w:right="567"/>
        <w:rPr>
          <w:lang w:val="es-ES"/>
        </w:rPr>
      </w:pPr>
    </w:p>
    <w:p w:rsidR="005253AC" w:rsidRPr="00D6704A" w:rsidRDefault="005253AC" w:rsidP="00E91D19">
      <w:pPr>
        <w:ind w:left="1418" w:hanging="709"/>
        <w:rPr>
          <w:lang w:val="es-ES"/>
        </w:rPr>
      </w:pPr>
      <w:r w:rsidRPr="00D6704A">
        <w:rPr>
          <w:lang w:val="es-ES"/>
        </w:rPr>
        <w:t>e)</w:t>
      </w:r>
      <w:r w:rsidRPr="00D6704A">
        <w:rPr>
          <w:lang w:val="es-ES"/>
        </w:rPr>
        <w:tab/>
      </w:r>
      <w:r w:rsidR="00232381" w:rsidRPr="000D5690">
        <w:rPr>
          <w:lang w:val="es-ES_tradnl"/>
        </w:rPr>
        <w:t>situaciones en las que con posterioridad se detecta un error en la descripción inicial de la variedad.</w:t>
      </w:r>
    </w:p>
    <w:p w:rsidR="005253AC" w:rsidRPr="00D6704A" w:rsidRDefault="005253AC" w:rsidP="005253AC">
      <w:pPr>
        <w:rPr>
          <w:lang w:val="es-ES"/>
        </w:rPr>
      </w:pPr>
    </w:p>
    <w:p w:rsidR="005253AC" w:rsidRPr="00D6704A" w:rsidRDefault="005253AC" w:rsidP="005253AC">
      <w:pPr>
        <w:rPr>
          <w:lang w:val="es-ES"/>
        </w:rPr>
      </w:pPr>
    </w:p>
    <w:p w:rsidR="005253AC" w:rsidRPr="00D6704A" w:rsidRDefault="00232381" w:rsidP="005253AC">
      <w:pPr>
        <w:pStyle w:val="Heading2"/>
        <w:rPr>
          <w:snapToGrid w:val="0"/>
          <w:lang w:val="es-ES"/>
        </w:rPr>
      </w:pPr>
      <w:r w:rsidRPr="000D5690">
        <w:rPr>
          <w:snapToGrid w:val="0"/>
          <w:lang w:val="es-ES_tradnl"/>
        </w:rPr>
        <w:t>Definición de grupos de color en referencia a la carta de colores RHS</w:t>
      </w:r>
    </w:p>
    <w:p w:rsidR="005253AC" w:rsidRPr="00D6704A" w:rsidRDefault="005253AC" w:rsidP="005253AC">
      <w:pPr>
        <w:keepNext/>
        <w:rPr>
          <w:lang w:val="es-ES"/>
        </w:rPr>
      </w:pPr>
    </w:p>
    <w:p w:rsidR="005253AC" w:rsidRPr="00D6704A" w:rsidRDefault="00791298" w:rsidP="005253AC">
      <w:pPr>
        <w:keepNext/>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3D556B" w:rsidRPr="000D5690">
        <w:rPr>
          <w:lang w:val="es-ES_tradnl"/>
        </w:rPr>
        <w:t>El TC examinó el documento TC/52/22.</w:t>
      </w:r>
    </w:p>
    <w:p w:rsidR="005253AC" w:rsidRPr="00D6704A" w:rsidRDefault="005253AC" w:rsidP="005253AC">
      <w:pPr>
        <w:keepNext/>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3D556B" w:rsidRPr="000D5690">
        <w:rPr>
          <w:lang w:val="es-ES_tradnl"/>
        </w:rPr>
        <w:t xml:space="preserve">El TC tomó nota de </w:t>
      </w:r>
      <w:r w:rsidR="003D556B" w:rsidRPr="000D5690">
        <w:rPr>
          <w:rFonts w:cs="Arial"/>
          <w:lang w:val="es-ES_tradnl"/>
        </w:rPr>
        <w:t>la información presentada y las observaciones formuladas por los TWP en 2015</w:t>
      </w:r>
      <w:r w:rsidR="003D556B" w:rsidRPr="000D5690">
        <w:rPr>
          <w:lang w:val="es-ES_tradnl"/>
        </w:rPr>
        <w:t>.</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3D556B" w:rsidRPr="000D5690">
        <w:rPr>
          <w:lang w:val="es-ES_tradnl"/>
        </w:rPr>
        <w:t>El TC tomó nota de que el TWO había convenido en solicitar al experto de Alemania que prepare un estudio —con el apoyo de los expertos de Australia, el Canadá, la Unión Europea, los Países Bajos, Nueva Zelandia y el Reino Unido— sobre la posibilidad de usar la sexta edición de la carta de colores RHS para definir los grupos de color a efectos de la agrupación de variedades y la organización del ensayo en cultivo.</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C848FC" w:rsidRPr="000D5690">
        <w:rPr>
          <w:lang w:val="es-ES_tradnl"/>
        </w:rPr>
        <w:t>El TC tomó nota de que el TWO había convenido en</w:t>
      </w:r>
      <w:r w:rsidR="003D556B" w:rsidRPr="000D5690">
        <w:rPr>
          <w:lang w:val="es-ES_tradnl"/>
        </w:rPr>
        <w:t xml:space="preserve"> </w:t>
      </w:r>
      <w:r w:rsidR="00C848FC" w:rsidRPr="000D5690">
        <w:rPr>
          <w:lang w:val="es-ES_tradnl"/>
        </w:rPr>
        <w:t>solicitar a un experto del Reino Unido que organice la recopilación de ejemplos de variedades a las que no corresponda un color en la sexta edición de la carta de colores RHS (lagunas) con miras a que se propongan nuevos colores y, en la medida de lo posible, se armonice la terminología</w:t>
      </w:r>
      <w:r w:rsidR="003D556B" w:rsidRPr="000D5690">
        <w:rPr>
          <w:lang w:val="es-ES_tradnl"/>
        </w:rPr>
        <w:t>.</w:t>
      </w:r>
      <w:r w:rsidR="005253AC" w:rsidRPr="00D6704A">
        <w:rPr>
          <w:lang w:val="es-ES"/>
        </w:rPr>
        <w:t xml:space="preserve">  </w:t>
      </w:r>
      <w:r w:rsidR="00C848FC" w:rsidRPr="000D5690">
        <w:rPr>
          <w:lang w:val="es-ES_tradnl"/>
        </w:rPr>
        <w:t xml:space="preserve">El TC convino en que </w:t>
      </w:r>
      <w:r w:rsidR="00B6654F" w:rsidRPr="000D5690">
        <w:rPr>
          <w:lang w:val="es-ES_tradnl"/>
        </w:rPr>
        <w:t xml:space="preserve">una mayor </w:t>
      </w:r>
      <w:r w:rsidR="00C848FC" w:rsidRPr="000D5690">
        <w:rPr>
          <w:lang w:val="es-ES_tradnl"/>
        </w:rPr>
        <w:t xml:space="preserve">cooperación con la Royal Horticultural </w:t>
      </w:r>
      <w:proofErr w:type="spellStart"/>
      <w:r w:rsidR="00C848FC" w:rsidRPr="000D5690">
        <w:rPr>
          <w:lang w:val="es-ES_tradnl"/>
        </w:rPr>
        <w:t>Society</w:t>
      </w:r>
      <w:proofErr w:type="spellEnd"/>
      <w:r w:rsidR="00C848FC" w:rsidRPr="000D5690">
        <w:rPr>
          <w:lang w:val="es-ES_tradnl"/>
        </w:rPr>
        <w:t xml:space="preserve"> (RHS) sería beneficios</w:t>
      </w:r>
      <w:r w:rsidR="00B6654F" w:rsidRPr="000D5690">
        <w:rPr>
          <w:lang w:val="es-ES_tradnl"/>
        </w:rPr>
        <w:t>a</w:t>
      </w:r>
      <w:r w:rsidR="00C848FC" w:rsidRPr="000D5690">
        <w:rPr>
          <w:lang w:val="es-ES_tradnl"/>
        </w:rPr>
        <w:t xml:space="preserve"> para la UPOV y la RHS y solicitó a la Oficina de la Unión que explore formas de </w:t>
      </w:r>
      <w:r w:rsidR="00B6654F" w:rsidRPr="000D5690">
        <w:rPr>
          <w:lang w:val="es-ES_tradnl"/>
        </w:rPr>
        <w:t xml:space="preserve">incrementar la </w:t>
      </w:r>
      <w:r w:rsidR="00C848FC" w:rsidRPr="000D5690">
        <w:rPr>
          <w:lang w:val="es-ES_tradnl"/>
        </w:rPr>
        <w:t>cooperación.</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C848FC" w:rsidRPr="000D5690">
        <w:rPr>
          <w:lang w:val="es-ES_tradnl"/>
        </w:rPr>
        <w:t>El TC tomó nota de que los nombres de los colores pueden ser relevantes para las denominaciones de variedades y podrían tener consecuencias en la aceptación de las denominaciones de variedades para algunos miembros de la UPOV.</w:t>
      </w:r>
    </w:p>
    <w:p w:rsidR="005253AC" w:rsidRPr="00D6704A" w:rsidRDefault="005253AC" w:rsidP="005253AC">
      <w:pPr>
        <w:rPr>
          <w:lang w:val="es-ES"/>
        </w:rPr>
      </w:pPr>
    </w:p>
    <w:p w:rsidR="005253AC" w:rsidRPr="00D6704A" w:rsidRDefault="005253AC" w:rsidP="005253AC">
      <w:pPr>
        <w:rPr>
          <w:lang w:val="es-ES"/>
        </w:rPr>
      </w:pPr>
    </w:p>
    <w:p w:rsidR="005253AC" w:rsidRPr="00D6704A" w:rsidRDefault="00E95649" w:rsidP="005253AC">
      <w:pPr>
        <w:pStyle w:val="Heading2"/>
        <w:rPr>
          <w:lang w:val="es-ES"/>
        </w:rPr>
      </w:pPr>
      <w:r w:rsidRPr="000D5690">
        <w:rPr>
          <w:snapToGrid w:val="0"/>
          <w:lang w:val="es-ES_tradnl"/>
        </w:rPr>
        <w:t>Métodos estadísticos aplicados a caracteres observados visualmente</w:t>
      </w:r>
    </w:p>
    <w:p w:rsidR="005253AC" w:rsidRPr="00D6704A" w:rsidRDefault="005253AC" w:rsidP="005253AC">
      <w:pPr>
        <w:keepNext/>
        <w:rPr>
          <w:lang w:val="es-ES"/>
        </w:rPr>
      </w:pPr>
    </w:p>
    <w:p w:rsidR="005253AC" w:rsidRPr="00D6704A" w:rsidRDefault="00791298" w:rsidP="005253AC">
      <w:pPr>
        <w:keepNext/>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E95649" w:rsidRPr="000D5690">
        <w:rPr>
          <w:lang w:val="es-ES_tradnl"/>
        </w:rPr>
        <w:t>El TC examinó el documento TC/52/23.</w:t>
      </w:r>
    </w:p>
    <w:p w:rsidR="005253AC" w:rsidRPr="00D6704A" w:rsidRDefault="005253AC" w:rsidP="005253AC">
      <w:pPr>
        <w:keepNext/>
        <w:rPr>
          <w:lang w:val="es-ES"/>
        </w:rPr>
      </w:pPr>
    </w:p>
    <w:p w:rsidR="005253AC" w:rsidRPr="00D6704A" w:rsidRDefault="00791298" w:rsidP="005253AC">
      <w:pPr>
        <w:keepNext/>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E95649" w:rsidRPr="000D5690">
        <w:rPr>
          <w:lang w:val="es-ES_tradnl"/>
        </w:rPr>
        <w:t xml:space="preserve">El TC tomó nota de que </w:t>
      </w:r>
      <w:r w:rsidR="00E95649" w:rsidRPr="000D5690">
        <w:rPr>
          <w:lang w:val="es-ES_tradnl" w:eastAsia="ja-JP"/>
        </w:rPr>
        <w:t>el TWF había convenido en que no se utilizan habitualmente métodos estadísticos en el ámbito de las plantas frutales, y de que el TWO había convenido en que no se utilizan para el análisis de caracteres observados visualmente en el examen DHE de plantas ornamentales</w:t>
      </w:r>
      <w:r w:rsidR="00E95649" w:rsidRPr="000D5690">
        <w:rPr>
          <w:lang w:val="es-ES_tradnl"/>
        </w:rPr>
        <w:t>.</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E95649" w:rsidRPr="000D5690">
        <w:rPr>
          <w:lang w:val="es-ES_tradnl"/>
        </w:rPr>
        <w:t>El TC tomó nota de que s</w:t>
      </w:r>
      <w:r w:rsidR="00E95649" w:rsidRPr="000D5690">
        <w:rPr>
          <w:lang w:val="es-ES_tradnl" w:eastAsia="ja-JP"/>
        </w:rPr>
        <w:t>e había invitado a China a presentar una ponencia en la trigésima cuarta sesión del TWC para describir los métodos estadísticos utilizados en el conjunto de programas informáticos DUSTC para el análisis de la distinción y la homogeneidad</w:t>
      </w:r>
      <w:r w:rsidR="00E95649" w:rsidRPr="000D5690">
        <w:rPr>
          <w:lang w:val="es-ES_tradnl"/>
        </w:rPr>
        <w:t>.</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E95649" w:rsidRPr="000D5690">
        <w:rPr>
          <w:lang w:val="es-ES_tradnl"/>
        </w:rPr>
        <w:t xml:space="preserve">El TC tomó nota </w:t>
      </w:r>
      <w:r w:rsidR="00E95649" w:rsidRPr="000D5690">
        <w:rPr>
          <w:lang w:val="es-ES_tradnl" w:eastAsia="ja-JP"/>
        </w:rPr>
        <w:t>de que Finlandia tenía previsto emplear el nuevo método estadístico descrito en el Anexo del documento </w:t>
      </w:r>
      <w:r w:rsidR="00E95649" w:rsidRPr="000D5690">
        <w:rPr>
          <w:lang w:val="es-ES_tradnl"/>
        </w:rPr>
        <w:t>TC/</w:t>
      </w:r>
      <w:r w:rsidR="00E95649" w:rsidRPr="000D5690">
        <w:rPr>
          <w:color w:val="000000"/>
          <w:lang w:val="es-ES_tradnl"/>
        </w:rPr>
        <w:t>52/23</w:t>
      </w:r>
      <w:r w:rsidR="00E95649" w:rsidRPr="000D5690">
        <w:rPr>
          <w:lang w:val="es-ES_tradnl" w:eastAsia="ja-JP"/>
        </w:rPr>
        <w:t xml:space="preserve"> para el análisis de siete caracteres ordinales observados visualmente en fleo, </w:t>
      </w:r>
      <w:proofErr w:type="spellStart"/>
      <w:r w:rsidR="00E95649" w:rsidRPr="000D5690">
        <w:rPr>
          <w:lang w:val="es-ES_tradnl" w:eastAsia="ja-JP"/>
        </w:rPr>
        <w:t>festuca</w:t>
      </w:r>
      <w:proofErr w:type="spellEnd"/>
      <w:r w:rsidR="00E95649" w:rsidRPr="000D5690">
        <w:rPr>
          <w:lang w:val="es-ES_tradnl" w:eastAsia="ja-JP"/>
        </w:rPr>
        <w:t xml:space="preserve"> pratense y </w:t>
      </w:r>
      <w:proofErr w:type="spellStart"/>
      <w:r w:rsidR="00E95649" w:rsidRPr="000D5690">
        <w:rPr>
          <w:lang w:val="es-ES_tradnl" w:eastAsia="ja-JP"/>
        </w:rPr>
        <w:t>festuca</w:t>
      </w:r>
      <w:proofErr w:type="spellEnd"/>
      <w:r w:rsidR="00E95649" w:rsidRPr="000D5690">
        <w:rPr>
          <w:lang w:val="es-ES_tradnl" w:eastAsia="ja-JP"/>
        </w:rPr>
        <w:t xml:space="preserve"> alta, trébol blanco y trébol rojo</w:t>
      </w:r>
      <w:r w:rsidR="00E95649" w:rsidRPr="000D5690">
        <w:rPr>
          <w:lang w:val="es-ES_tradnl"/>
        </w:rPr>
        <w:t>.</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E95649" w:rsidRPr="000D5690">
        <w:rPr>
          <w:lang w:val="es-ES_tradnl"/>
        </w:rPr>
        <w:t xml:space="preserve">El TC convino en que </w:t>
      </w:r>
      <w:r w:rsidR="00E95649" w:rsidRPr="000D5690">
        <w:rPr>
          <w:lang w:val="es-ES_tradnl" w:eastAsia="ja-JP"/>
        </w:rPr>
        <w:t>procede aclarar la nomenclatura de los diferentes métodos para evitar su confusión con otros métodos utilizados en la UPOV, como el COYD</w:t>
      </w:r>
      <w:r w:rsidR="00E95649" w:rsidRPr="000D5690">
        <w:rPr>
          <w:lang w:val="es-ES_tradnl"/>
        </w:rPr>
        <w:t>.</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E95649" w:rsidRPr="000D5690">
        <w:rPr>
          <w:lang w:val="es-ES_tradnl"/>
        </w:rPr>
        <w:t xml:space="preserve">El TC tomó nota de que </w:t>
      </w:r>
      <w:r w:rsidR="00E95649" w:rsidRPr="000D5690">
        <w:rPr>
          <w:lang w:val="es-ES_tradnl" w:eastAsia="ja-JP"/>
        </w:rPr>
        <w:t>el TWC había acogido con agrado el ofrecimiento de un experto de Francia de estudiar el desarrollo de programas informáticos para la aplicación del método elaborado por expertos de Dinamarca y Polonia, en colaboración con expertos de Finlandia y el Reino Unido</w:t>
      </w:r>
      <w:r w:rsidR="00E95649" w:rsidRPr="000D5690">
        <w:rPr>
          <w:lang w:val="es-ES_tradnl"/>
        </w:rPr>
        <w:t>.</w:t>
      </w:r>
    </w:p>
    <w:p w:rsidR="005253AC" w:rsidRPr="00D6704A" w:rsidRDefault="005253AC" w:rsidP="00E30CEB">
      <w:pPr>
        <w:rPr>
          <w:lang w:val="es-ES"/>
        </w:rPr>
      </w:pPr>
    </w:p>
    <w:p w:rsidR="005253AC" w:rsidRPr="00D6704A" w:rsidRDefault="005253AC" w:rsidP="00E30CEB">
      <w:pPr>
        <w:rPr>
          <w:lang w:val="es-ES"/>
        </w:rPr>
      </w:pPr>
    </w:p>
    <w:p w:rsidR="005253AC" w:rsidRPr="00D6704A" w:rsidRDefault="00221250" w:rsidP="005253AC">
      <w:pPr>
        <w:pStyle w:val="Heading2"/>
        <w:rPr>
          <w:lang w:val="es-ES"/>
        </w:rPr>
      </w:pPr>
      <w:r w:rsidRPr="000D5690">
        <w:rPr>
          <w:lang w:val="es-ES_tradnl"/>
        </w:rPr>
        <w:t>Denominaciones de variedades</w:t>
      </w:r>
    </w:p>
    <w:p w:rsidR="005253AC" w:rsidRPr="00D6704A" w:rsidRDefault="005253AC" w:rsidP="005253AC">
      <w:pPr>
        <w:keepNext/>
        <w:rPr>
          <w:lang w:val="es-ES"/>
        </w:rPr>
      </w:pPr>
    </w:p>
    <w:p w:rsidR="005253AC" w:rsidRPr="00D6704A" w:rsidRDefault="00791298" w:rsidP="005253AC">
      <w:pPr>
        <w:keepNext/>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221250" w:rsidRPr="000D5690">
        <w:rPr>
          <w:lang w:val="es-ES_tradnl"/>
        </w:rPr>
        <w:t>El TC examinó el documento TC/52/12.</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2E1EA2" w:rsidRPr="000D5690">
        <w:rPr>
          <w:lang w:val="es-ES_tradnl"/>
        </w:rPr>
        <w:t>El TC tomó nota de la labor del WG-DST sobre la posible elaboración de un instrumento de la UPOV de búsqueda de similitud a los fines de la denominación de variedades, incluido el estudio de prueba, tal como se expone en los párrafos 5 al 15 del documento TC/52/12.</w:t>
      </w:r>
    </w:p>
    <w:p w:rsidR="005253AC" w:rsidRPr="00D6704A" w:rsidRDefault="005253AC" w:rsidP="005253AC">
      <w:pPr>
        <w:rPr>
          <w:lang w:val="es-ES"/>
        </w:rPr>
      </w:pPr>
    </w:p>
    <w:p w:rsidR="005253AC" w:rsidRPr="00D6704A" w:rsidRDefault="00791298" w:rsidP="005253AC">
      <w:pPr>
        <w:rPr>
          <w:rFonts w:cs="Arial"/>
          <w:snapToGrid w:val="0"/>
          <w:sz w:val="18"/>
          <w:szCs w:val="18"/>
          <w:lang w:val="es-ES" w:eastAsia="ja-JP"/>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2E1EA2" w:rsidRPr="000D5690">
        <w:rPr>
          <w:lang w:val="es-ES_tradnl"/>
        </w:rPr>
        <w:t xml:space="preserve">El TC tomó nota de que el Consejo, en su cuadragésima novena sesión ordinaria, </w:t>
      </w:r>
      <w:r w:rsidR="0031031B" w:rsidRPr="000D5690">
        <w:rPr>
          <w:lang w:val="es-ES_tradnl"/>
        </w:rPr>
        <w:t xml:space="preserve">había </w:t>
      </w:r>
      <w:r w:rsidR="002E1EA2" w:rsidRPr="000D5690">
        <w:rPr>
          <w:lang w:val="es-ES_tradnl"/>
        </w:rPr>
        <w:t>aprob</w:t>
      </w:r>
      <w:r w:rsidR="0031031B" w:rsidRPr="000D5690">
        <w:rPr>
          <w:lang w:val="es-ES_tradnl"/>
        </w:rPr>
        <w:t>ado</w:t>
      </w:r>
      <w:r w:rsidR="002E1EA2" w:rsidRPr="000D5690">
        <w:rPr>
          <w:lang w:val="es-ES_tradnl"/>
        </w:rPr>
        <w:t xml:space="preserve"> la revisión del documento UPOV/INF/12 relativa a los cambios de denominación de variedades registradas, según se expone en el párrafo 17 del documento TC/52/12.</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2E1EA2" w:rsidRPr="000D5690">
        <w:rPr>
          <w:lang w:val="es-ES_tradnl"/>
        </w:rPr>
        <w:t>El TC tomó nota de que se había ampliado el mandato y la composición del WG-DST (con el nuevo nombre de WG-DEN) a fin de que formule recomendaciones para el CAJ en relación con la eventual revisión del documento UPOV/INF/12 “Notas explicativas sobre las denominaciones de variedades con arreglo al Convenio de la UPOV” y de que el WG-DEN se reunir</w:t>
      </w:r>
      <w:r w:rsidR="0031031B" w:rsidRPr="000D5690">
        <w:rPr>
          <w:lang w:val="es-ES_tradnl"/>
        </w:rPr>
        <w:t>á</w:t>
      </w:r>
      <w:r w:rsidR="002E1EA2" w:rsidRPr="000D5690">
        <w:rPr>
          <w:lang w:val="es-ES_tradnl"/>
        </w:rPr>
        <w:t xml:space="preserve"> el 18 de marzo de 2016.</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2E1EA2" w:rsidRPr="000D5690">
        <w:rPr>
          <w:lang w:val="es-ES_tradnl"/>
        </w:rPr>
        <w:t>El TC tomó nota de que la Oficina de la Unión había emitido una circular en la que se invitaba a los miembros y a los observadores del CAJ, así como a los miembros del WG-DST, a expresar su interés en participar en el WG-DEN y a formular comentarios acerca del documento UPOV/INF/12/5.</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A71D8F" w:rsidRPr="000D5690">
        <w:rPr>
          <w:lang w:val="es-ES_tradnl"/>
        </w:rPr>
        <w:t>La Unión Europea celebró la elaboración de un instrumento de la UPOV de búsqueda de similitud a los fines de la denominación de variedades, y recalcó la importancia de comparar los resultados del nuevo algoritmo con otros algoritmos anteriores para asegurarse de que constituir</w:t>
      </w:r>
      <w:r w:rsidR="0031031B" w:rsidRPr="000D5690">
        <w:rPr>
          <w:lang w:val="es-ES_tradnl"/>
        </w:rPr>
        <w:t>á</w:t>
      </w:r>
      <w:r w:rsidR="00A71D8F" w:rsidRPr="000D5690">
        <w:rPr>
          <w:lang w:val="es-ES_tradnl"/>
        </w:rPr>
        <w:t xml:space="preserve"> una mejora en términos de precisión y recuperación.</w:t>
      </w:r>
      <w:r w:rsidR="005253AC" w:rsidRPr="00D6704A">
        <w:rPr>
          <w:lang w:val="es-ES"/>
        </w:rPr>
        <w:t xml:space="preserve">  </w:t>
      </w:r>
      <w:r w:rsidR="00A71D8F" w:rsidRPr="000D5690">
        <w:rPr>
          <w:lang w:val="es-ES_tradnl"/>
        </w:rPr>
        <w:t xml:space="preserve">La Oficina de la Unión confirmó que el nuevo algoritmo estaría disponible para someterlo a pruebas en la base de datos PLUTO y confirmó que las pruebas y la evaluación del nuevo algoritmo, como mencionó la Unión Europea, </w:t>
      </w:r>
      <w:r w:rsidR="0031031B" w:rsidRPr="000D5690">
        <w:rPr>
          <w:lang w:val="es-ES_tradnl"/>
        </w:rPr>
        <w:t xml:space="preserve">son </w:t>
      </w:r>
      <w:r w:rsidR="00A71D8F" w:rsidRPr="000D5690">
        <w:rPr>
          <w:lang w:val="es-ES_tradnl"/>
        </w:rPr>
        <w:t>una parte integral de la labor.</w:t>
      </w:r>
    </w:p>
    <w:p w:rsidR="005253AC" w:rsidRPr="00D6704A" w:rsidRDefault="005253AC" w:rsidP="005253AC">
      <w:pPr>
        <w:rPr>
          <w:lang w:val="es-ES"/>
        </w:rPr>
      </w:pPr>
    </w:p>
    <w:p w:rsidR="005253AC" w:rsidRPr="00D6704A" w:rsidRDefault="005253AC" w:rsidP="005253AC">
      <w:pPr>
        <w:rPr>
          <w:lang w:val="es-ES"/>
        </w:rPr>
      </w:pPr>
    </w:p>
    <w:p w:rsidR="005253AC" w:rsidRPr="00D6704A" w:rsidRDefault="00A71D8F" w:rsidP="005253AC">
      <w:pPr>
        <w:pStyle w:val="Heading2"/>
        <w:rPr>
          <w:lang w:val="es-ES"/>
        </w:rPr>
      </w:pPr>
      <w:r w:rsidRPr="000D5690">
        <w:rPr>
          <w:lang w:val="es-ES_tradnl"/>
        </w:rPr>
        <w:t>Información y bases de datos</w:t>
      </w:r>
    </w:p>
    <w:p w:rsidR="005253AC" w:rsidRPr="00D6704A" w:rsidRDefault="005253AC" w:rsidP="005253AC">
      <w:pPr>
        <w:keepNext/>
        <w:rPr>
          <w:lang w:val="es-ES"/>
        </w:rPr>
      </w:pPr>
    </w:p>
    <w:p w:rsidR="005253AC" w:rsidRPr="00D6704A" w:rsidRDefault="00A71D8F" w:rsidP="005253AC">
      <w:pPr>
        <w:pStyle w:val="Heading3"/>
        <w:rPr>
          <w:lang w:val="es-ES"/>
        </w:rPr>
      </w:pPr>
      <w:r w:rsidRPr="000D5690">
        <w:rPr>
          <w:lang w:val="es-ES_tradnl"/>
        </w:rPr>
        <w:t>Bases de datos de información de la UPOV</w:t>
      </w:r>
    </w:p>
    <w:p w:rsidR="005253AC" w:rsidRPr="00D6704A" w:rsidRDefault="005253AC" w:rsidP="005253AC">
      <w:pPr>
        <w:keepNext/>
        <w:rPr>
          <w:lang w:val="es-ES"/>
        </w:rPr>
      </w:pPr>
    </w:p>
    <w:p w:rsidR="005253AC" w:rsidRPr="00D6704A" w:rsidRDefault="00791298" w:rsidP="005253AC">
      <w:pPr>
        <w:keepNext/>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7C0CFA" w:rsidRPr="000D5690">
        <w:rPr>
          <w:lang w:val="es-ES_tradnl"/>
        </w:rPr>
        <w:t>El TC examinó el documento TC/52/6.</w:t>
      </w:r>
    </w:p>
    <w:p w:rsidR="005253AC" w:rsidRPr="00D6704A" w:rsidRDefault="005253AC" w:rsidP="005253AC">
      <w:pPr>
        <w:rPr>
          <w:lang w:val="es-ES"/>
        </w:rPr>
      </w:pPr>
    </w:p>
    <w:p w:rsidR="005253AC" w:rsidRPr="00D6704A" w:rsidRDefault="007C0CFA" w:rsidP="005253AC">
      <w:pPr>
        <w:pStyle w:val="Heading4"/>
        <w:rPr>
          <w:lang w:val="es-ES"/>
        </w:rPr>
      </w:pPr>
      <w:r w:rsidRPr="000D5690">
        <w:rPr>
          <w:lang w:val="es-ES_tradnl"/>
        </w:rPr>
        <w:t>Sistema de códigos de la UPOV</w:t>
      </w:r>
    </w:p>
    <w:p w:rsidR="005253AC" w:rsidRPr="00D6704A" w:rsidRDefault="005253AC" w:rsidP="005253AC">
      <w:pPr>
        <w:keepNext/>
        <w:rPr>
          <w:lang w:val="es-ES"/>
        </w:rPr>
      </w:pPr>
    </w:p>
    <w:p w:rsidR="005253AC" w:rsidRPr="00D6704A" w:rsidRDefault="00791298" w:rsidP="005253AC">
      <w:pPr>
        <w:keepNext/>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7C0CFA" w:rsidRPr="000D5690">
        <w:rPr>
          <w:lang w:val="es-ES_tradnl"/>
        </w:rPr>
        <w:t>El TC tomó nota de que en 2015 se crearon 188 nuevos códigos UPOV y se introdujeron modificaciones en 11 códigos UPOV existentes, habiendo aumentado, al final de 2015, a 7.992 el número de códigos UPOV que contenía la base de datos GENIE.</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7C0CFA" w:rsidRPr="000D5690">
        <w:rPr>
          <w:lang w:val="es-ES_tradnl"/>
        </w:rPr>
        <w:t>La TC tomó nota de que la Oficina de la Unión elaborará cuadros de las adiciones y modificaciones de los códigos UPOV, con el fin de que sean verificados por las autoridades competentes, para cada una de las sesiones de los TWP que se celebrarán en 2016, según consta en el párrafo 8 del documento TC/52/6.</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FC0A1D" w:rsidRPr="000D5690">
        <w:rPr>
          <w:lang w:val="es-ES_tradnl"/>
        </w:rPr>
        <w:t>El TC convino en invitar a la Unión Europea a presentar una propuesta a los TWP, en sus sesiones de 2016, para revisar la Orientación acerca del sistema de códigos de la UPOV en lo que respecta a los códigos UPOV correspondientes a los géneros y especies híbridos.</w:t>
      </w:r>
    </w:p>
    <w:p w:rsidR="005253AC" w:rsidRPr="00D6704A" w:rsidRDefault="005253AC" w:rsidP="005253AC">
      <w:pPr>
        <w:rPr>
          <w:lang w:val="es-ES"/>
        </w:rPr>
      </w:pPr>
    </w:p>
    <w:p w:rsidR="005253AC" w:rsidRPr="00D6704A" w:rsidRDefault="00791298" w:rsidP="005253AC">
      <w:pPr>
        <w:keepNext/>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FC0A1D" w:rsidRPr="000D5690">
        <w:rPr>
          <w:lang w:val="es-ES_tradnl"/>
        </w:rPr>
        <w:t xml:space="preserve">El TC tomó nota de la intervención del Japón relativa a los nuevos procedimientos administrativos adoptados para facilitar el intercambio de informes de examen DHE entre el Japón y otros miembros de la UPOV y de que, </w:t>
      </w:r>
      <w:r w:rsidR="00A334E7" w:rsidRPr="000D5690">
        <w:rPr>
          <w:lang w:val="es-ES_tradnl"/>
        </w:rPr>
        <w:t>en consecuencia</w:t>
      </w:r>
      <w:r w:rsidR="00FC0A1D" w:rsidRPr="000D5690">
        <w:rPr>
          <w:lang w:val="es-ES_tradnl"/>
        </w:rPr>
        <w:t xml:space="preserve">, </w:t>
      </w:r>
      <w:r w:rsidR="00A334E7" w:rsidRPr="000D5690">
        <w:rPr>
          <w:lang w:val="es-ES_tradnl"/>
        </w:rPr>
        <w:t xml:space="preserve">los </w:t>
      </w:r>
      <w:r w:rsidR="00FC0A1D" w:rsidRPr="000D5690">
        <w:rPr>
          <w:lang w:val="es-ES_tradnl"/>
        </w:rPr>
        <w:t>informes de examen</w:t>
      </w:r>
      <w:r w:rsidR="00A334E7" w:rsidRPr="000D5690">
        <w:rPr>
          <w:lang w:val="es-ES_tradnl"/>
        </w:rPr>
        <w:t> </w:t>
      </w:r>
      <w:r w:rsidR="00FC0A1D" w:rsidRPr="000D5690">
        <w:rPr>
          <w:lang w:val="es-ES_tradnl"/>
        </w:rPr>
        <w:t xml:space="preserve">DHE </w:t>
      </w:r>
      <w:r w:rsidR="00A334E7" w:rsidRPr="000D5690">
        <w:rPr>
          <w:lang w:val="es-ES_tradnl"/>
        </w:rPr>
        <w:t xml:space="preserve">se proporcionarán </w:t>
      </w:r>
      <w:r w:rsidR="00FC0A1D" w:rsidRPr="000D5690">
        <w:rPr>
          <w:lang w:val="es-ES_tradnl"/>
        </w:rPr>
        <w:t>grat</w:t>
      </w:r>
      <w:r w:rsidR="00A334E7" w:rsidRPr="000D5690">
        <w:rPr>
          <w:lang w:val="es-ES_tradnl"/>
        </w:rPr>
        <w:t xml:space="preserve">is a </w:t>
      </w:r>
      <w:r w:rsidR="00FC0A1D" w:rsidRPr="000D5690">
        <w:rPr>
          <w:lang w:val="es-ES_tradnl"/>
        </w:rPr>
        <w:t>los miembros de la UPOV con l</w:t>
      </w:r>
      <w:r w:rsidR="00A334E7" w:rsidRPr="000D5690">
        <w:rPr>
          <w:lang w:val="es-ES_tradnl"/>
        </w:rPr>
        <w:t>os</w:t>
      </w:r>
      <w:r w:rsidR="00FC0A1D" w:rsidRPr="000D5690">
        <w:rPr>
          <w:lang w:val="es-ES_tradnl"/>
        </w:rPr>
        <w:t xml:space="preserve"> que </w:t>
      </w:r>
      <w:r w:rsidR="00A334E7" w:rsidRPr="000D5690">
        <w:rPr>
          <w:lang w:val="es-ES_tradnl"/>
        </w:rPr>
        <w:t xml:space="preserve">han firmado </w:t>
      </w:r>
      <w:r w:rsidR="00FC0A1D" w:rsidRPr="000D5690">
        <w:rPr>
          <w:lang w:val="es-ES_tradnl"/>
        </w:rPr>
        <w:t>un memorando de cooperación.</w:t>
      </w:r>
    </w:p>
    <w:p w:rsidR="005253AC" w:rsidRPr="00D6704A" w:rsidRDefault="005253AC" w:rsidP="005253AC">
      <w:pPr>
        <w:rPr>
          <w:lang w:val="es-ES"/>
        </w:rPr>
      </w:pPr>
    </w:p>
    <w:p w:rsidR="005253AC" w:rsidRPr="00D6704A" w:rsidRDefault="00A334E7" w:rsidP="005253AC">
      <w:pPr>
        <w:pStyle w:val="Heading4"/>
        <w:rPr>
          <w:lang w:val="es-ES"/>
        </w:rPr>
      </w:pPr>
      <w:r w:rsidRPr="000D5690">
        <w:rPr>
          <w:lang w:val="es-ES_tradnl"/>
        </w:rPr>
        <w:t>Base de datos PLUTO</w:t>
      </w:r>
    </w:p>
    <w:p w:rsidR="005253AC" w:rsidRPr="00D6704A" w:rsidRDefault="005253AC" w:rsidP="005253AC">
      <w:pPr>
        <w:keepNext/>
        <w:rPr>
          <w:lang w:val="es-ES"/>
        </w:rPr>
      </w:pPr>
    </w:p>
    <w:p w:rsidR="005253AC" w:rsidRPr="00D6704A" w:rsidRDefault="00791298" w:rsidP="005253AC">
      <w:pPr>
        <w:keepNext/>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A334E7" w:rsidRPr="000D5690">
        <w:rPr>
          <w:lang w:val="es-ES_tradnl"/>
        </w:rPr>
        <w:t>El TC tomó nota del resumen de las contribuciones realizadas a la base de datos PLUTO de 2012 a 2015 y sobre la situación actual de los miembros de la Unión en lo que respecta a la aportación de datos, tal como se indica en el Anexo del documento TC/</w:t>
      </w:r>
      <w:r w:rsidR="00A334E7" w:rsidRPr="000D5690">
        <w:rPr>
          <w:color w:val="000000"/>
          <w:lang w:val="es-ES_tradnl"/>
        </w:rPr>
        <w:t>52/6</w:t>
      </w:r>
      <w:r w:rsidR="00A334E7" w:rsidRPr="000D5690">
        <w:rPr>
          <w:lang w:val="es-ES_tradnl"/>
        </w:rPr>
        <w:t>.</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A334E7" w:rsidRPr="000D5690">
        <w:rPr>
          <w:lang w:val="es-ES_tradnl"/>
        </w:rPr>
        <w:t>El TC tomó nota de la introducción de una columna adicional en la que se indica la última fecha en que se proporcion</w:t>
      </w:r>
      <w:r w:rsidR="00777C02" w:rsidRPr="000D5690">
        <w:rPr>
          <w:lang w:val="es-ES_tradnl"/>
        </w:rPr>
        <w:t>ó</w:t>
      </w:r>
      <w:r w:rsidR="00A334E7" w:rsidRPr="000D5690">
        <w:rPr>
          <w:lang w:val="es-ES_tradnl"/>
        </w:rPr>
        <w:t xml:space="preserve"> la información en la base de datos PLUTO.</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A334E7" w:rsidRPr="000D5690">
        <w:rPr>
          <w:lang w:val="es-ES_tradnl"/>
        </w:rPr>
        <w:t>El TC tomó nota de la introducción de una función para la búsqueda de denominaciones utilizando los campos de datos “Denominación” y “Referencia del obtentor”, ya sea de manera individual o combinada, en la página de “Búsqueda por denominación” de la base de datos PLUTO.</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A334E7" w:rsidRPr="000D5690">
        <w:rPr>
          <w:lang w:val="es-ES_tradnl"/>
        </w:rPr>
        <w:t>El TC tomó nota de que el CAJ, en su septuagésima segunda sesión, acordó que el WG-DEN debía considerar las propuestas de ampliación del contenido de la base de datos PLUTO de modo que abarque todas las variedades reconocidas, incluidas las que no han sido registradas o protegidas o ya no lo están.</w:t>
      </w:r>
    </w:p>
    <w:p w:rsidR="005253AC" w:rsidRPr="00D6704A" w:rsidRDefault="005253AC" w:rsidP="005253AC">
      <w:pPr>
        <w:rPr>
          <w:lang w:val="es-ES"/>
        </w:rPr>
      </w:pPr>
    </w:p>
    <w:p w:rsidR="005253AC" w:rsidRPr="00D6704A" w:rsidRDefault="00791298" w:rsidP="005253AC">
      <w:pPr>
        <w:autoSpaceDE w:val="0"/>
        <w:autoSpaceDN w:val="0"/>
        <w:adjustRightInd w:val="0"/>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0E67FE" w:rsidRPr="000D5690">
        <w:rPr>
          <w:lang w:val="es-ES_tradnl"/>
        </w:rPr>
        <w:t>El TC tomó nota de la información relativa a los cursos de formación “Aportación de datos a la base de datos PLUTO”, celebrados en Ginebra en septiembre y octubre de 2015, según se expone en los párrafos 29 al 31 del documento TC/</w:t>
      </w:r>
      <w:r w:rsidR="000E67FE" w:rsidRPr="000D5690">
        <w:rPr>
          <w:color w:val="000000"/>
          <w:lang w:val="es-ES_tradnl"/>
        </w:rPr>
        <w:t xml:space="preserve">52/6, con la participación de expertos de los siguientes </w:t>
      </w:r>
      <w:r w:rsidR="000E67FE" w:rsidRPr="000D5690">
        <w:rPr>
          <w:lang w:val="es-ES_tradnl"/>
        </w:rPr>
        <w:t>miembros de la Unión:</w:t>
      </w:r>
      <w:r w:rsidR="005253AC" w:rsidRPr="00D6704A">
        <w:rPr>
          <w:lang w:val="es-ES"/>
        </w:rPr>
        <w:t xml:space="preserve">  </w:t>
      </w:r>
      <w:r w:rsidR="000E67FE" w:rsidRPr="000D5690">
        <w:rPr>
          <w:snapToGrid w:val="0"/>
          <w:lang w:val="es-ES_tradnl" w:eastAsia="ja-JP"/>
        </w:rPr>
        <w:t>Omán, Sudáfrica y la ex República Yugoslava de Macedonia (en inglés)</w:t>
      </w:r>
      <w:r w:rsidR="00954F79" w:rsidRPr="000D5690">
        <w:rPr>
          <w:snapToGrid w:val="0"/>
          <w:lang w:val="es-ES_tradnl" w:eastAsia="ja-JP"/>
        </w:rPr>
        <w:t xml:space="preserve">;  </w:t>
      </w:r>
      <w:r w:rsidR="000E67FE" w:rsidRPr="000D5690">
        <w:rPr>
          <w:snapToGrid w:val="0"/>
          <w:lang w:val="es-ES_tradnl" w:eastAsia="ja-JP"/>
        </w:rPr>
        <w:t>y la Argentina, Bolivia (Estado Plurinacional de), Chile, Colombia, Costa Rica, el Ecuador, México, Nicaragua, Panamá, el Paraguay y el Uruguay (en español).</w:t>
      </w:r>
    </w:p>
    <w:p w:rsidR="005253AC" w:rsidRPr="00D6704A" w:rsidRDefault="005253AC" w:rsidP="005253AC">
      <w:pPr>
        <w:rPr>
          <w:lang w:val="es-ES"/>
        </w:rPr>
      </w:pPr>
    </w:p>
    <w:p w:rsidR="005253AC" w:rsidRPr="00D6704A" w:rsidRDefault="000E67FE" w:rsidP="005253AC">
      <w:pPr>
        <w:pStyle w:val="Heading3"/>
        <w:rPr>
          <w:lang w:val="es-ES"/>
        </w:rPr>
      </w:pPr>
      <w:r w:rsidRPr="000D5690">
        <w:rPr>
          <w:lang w:val="es-ES_tradnl"/>
        </w:rPr>
        <w:t>Formulario electrónico de solicitud</w:t>
      </w:r>
    </w:p>
    <w:p w:rsidR="005253AC" w:rsidRPr="00D6704A" w:rsidRDefault="005253AC" w:rsidP="005253AC">
      <w:pPr>
        <w:rPr>
          <w:lang w:val="es-ES"/>
        </w:rPr>
      </w:pPr>
    </w:p>
    <w:p w:rsidR="005253AC" w:rsidRPr="00D6704A" w:rsidRDefault="00791298" w:rsidP="005253AC">
      <w:pPr>
        <w:keepNext/>
        <w:rPr>
          <w:snapToGrid w:val="0"/>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0E67FE" w:rsidRPr="000D5690">
        <w:rPr>
          <w:snapToGrid w:val="0"/>
          <w:lang w:val="es-ES_tradnl"/>
        </w:rPr>
        <w:t>El TC examinó el documento TC/52/7 y asistió a una ponencia de la Oficina de la Unión.</w:t>
      </w:r>
    </w:p>
    <w:p w:rsidR="005253AC" w:rsidRPr="00D6704A" w:rsidRDefault="005253AC" w:rsidP="005253AC">
      <w:pPr>
        <w:keepNext/>
        <w:rPr>
          <w:snapToGrid w:val="0"/>
          <w:lang w:val="es-ES"/>
        </w:rPr>
      </w:pPr>
    </w:p>
    <w:p w:rsidR="005253AC" w:rsidRPr="00D6704A" w:rsidRDefault="00791298" w:rsidP="005253AC">
      <w:pPr>
        <w:keepNext/>
        <w:rPr>
          <w:lang w:val="es-ES"/>
        </w:rPr>
      </w:pPr>
      <w:r w:rsidRPr="000D5690">
        <w:rPr>
          <w:snapToGrid w:val="0"/>
        </w:rPr>
        <w:fldChar w:fldCharType="begin"/>
      </w:r>
      <w:r w:rsidR="005253AC" w:rsidRPr="00D6704A">
        <w:rPr>
          <w:snapToGrid w:val="0"/>
          <w:lang w:val="es-ES"/>
        </w:rPr>
        <w:instrText xml:space="preserve"> AUTONUM  </w:instrText>
      </w:r>
      <w:r w:rsidRPr="000D5690">
        <w:rPr>
          <w:snapToGrid w:val="0"/>
        </w:rPr>
        <w:fldChar w:fldCharType="end"/>
      </w:r>
      <w:r w:rsidR="005253AC" w:rsidRPr="00D6704A">
        <w:rPr>
          <w:snapToGrid w:val="0"/>
          <w:lang w:val="es-ES"/>
        </w:rPr>
        <w:tab/>
      </w:r>
      <w:r w:rsidR="000B6D9A" w:rsidRPr="000D5690">
        <w:rPr>
          <w:snapToGrid w:val="0"/>
          <w:lang w:val="es-ES_tradnl"/>
        </w:rPr>
        <w:t>El TC tomó nota de las novedades relativas a la elaboración de un prototipo de formulario electrónico y de los planes para disponer de un prototipo completo (PV2) en funcionamiento antes de agosto de 2016, para una campaña de pruebas final en septiembre de 2016</w:t>
      </w:r>
      <w:r w:rsidR="002C021A" w:rsidRPr="000D5690">
        <w:rPr>
          <w:snapToGrid w:val="0"/>
          <w:lang w:val="es-ES_tradnl"/>
        </w:rPr>
        <w:t xml:space="preserve">, antes de la presentación en las sesiones del CAJ, el Comité Consultivo </w:t>
      </w:r>
      <w:r w:rsidR="006A4A47" w:rsidRPr="000D5690">
        <w:rPr>
          <w:snapToGrid w:val="0"/>
          <w:lang w:val="es-ES_tradnl"/>
        </w:rPr>
        <w:t xml:space="preserve">y el Consejo </w:t>
      </w:r>
      <w:r w:rsidR="002C021A" w:rsidRPr="000D5690">
        <w:rPr>
          <w:snapToGrid w:val="0"/>
          <w:lang w:val="es-ES_tradnl"/>
        </w:rPr>
        <w:t>en octubre de 2016</w:t>
      </w:r>
      <w:r w:rsidR="000B6D9A" w:rsidRPr="000D5690">
        <w:rPr>
          <w:snapToGrid w:val="0"/>
          <w:lang w:val="es-ES_tradnl"/>
        </w:rPr>
        <w:t>.</w:t>
      </w:r>
      <w:r w:rsidR="005253AC" w:rsidRPr="00D6704A">
        <w:rPr>
          <w:lang w:val="es-ES"/>
        </w:rPr>
        <w:t xml:space="preserve">  </w:t>
      </w:r>
      <w:r w:rsidR="006A4A47" w:rsidRPr="000D5690">
        <w:rPr>
          <w:lang w:val="es-ES_tradnl"/>
        </w:rPr>
        <w:t>El TC tomó nota de que se añadirán los siguientes cultivos con el siguiente orden de prioridad conforme al interés de los obtentores y las oficinas de protección de las obtenciones vegetales participantes y a la capacidad de estas para proporcionar la información pertinente de los cuestionarios técnicos:</w:t>
      </w:r>
    </w:p>
    <w:p w:rsidR="005253AC" w:rsidRPr="00D6704A" w:rsidRDefault="005253AC" w:rsidP="005253AC">
      <w:pPr>
        <w:pStyle w:val="Default"/>
        <w:jc w:val="both"/>
        <w:rPr>
          <w:rFonts w:cs="Times New Roman"/>
          <w:color w:val="auto"/>
          <w:sz w:val="20"/>
          <w:szCs w:val="20"/>
          <w:lang w:val="es-ES"/>
        </w:rPr>
      </w:pPr>
    </w:p>
    <w:p w:rsidR="005253AC" w:rsidRPr="000D5690" w:rsidRDefault="006A4A47" w:rsidP="006A4A47">
      <w:pPr>
        <w:pStyle w:val="Default"/>
        <w:numPr>
          <w:ilvl w:val="0"/>
          <w:numId w:val="30"/>
        </w:numPr>
        <w:ind w:left="993"/>
        <w:jc w:val="both"/>
        <w:rPr>
          <w:rFonts w:cs="Times New Roman"/>
          <w:color w:val="auto"/>
          <w:sz w:val="20"/>
          <w:szCs w:val="20"/>
        </w:rPr>
      </w:pPr>
      <w:r w:rsidRPr="000D5690">
        <w:rPr>
          <w:rFonts w:cs="Times New Roman"/>
          <w:color w:val="auto"/>
          <w:sz w:val="20"/>
          <w:szCs w:val="20"/>
          <w:lang w:val="es-ES_tradnl"/>
        </w:rPr>
        <w:t>rosal</w:t>
      </w:r>
    </w:p>
    <w:p w:rsidR="005253AC" w:rsidRPr="000D5690" w:rsidRDefault="006A4A47" w:rsidP="006A4A47">
      <w:pPr>
        <w:pStyle w:val="Default"/>
        <w:numPr>
          <w:ilvl w:val="0"/>
          <w:numId w:val="30"/>
        </w:numPr>
        <w:ind w:left="993"/>
        <w:jc w:val="both"/>
        <w:rPr>
          <w:rFonts w:cs="Times New Roman"/>
          <w:color w:val="auto"/>
          <w:sz w:val="20"/>
          <w:szCs w:val="20"/>
        </w:rPr>
      </w:pPr>
      <w:r w:rsidRPr="000D5690">
        <w:rPr>
          <w:rFonts w:cs="Times New Roman"/>
          <w:color w:val="auto"/>
          <w:sz w:val="20"/>
          <w:szCs w:val="20"/>
          <w:lang w:val="es-ES_tradnl"/>
        </w:rPr>
        <w:t>soja</w:t>
      </w:r>
    </w:p>
    <w:p w:rsidR="005253AC" w:rsidRPr="000D5690" w:rsidRDefault="006A4A47" w:rsidP="006A4A47">
      <w:pPr>
        <w:pStyle w:val="Default"/>
        <w:numPr>
          <w:ilvl w:val="0"/>
          <w:numId w:val="30"/>
        </w:numPr>
        <w:ind w:left="993"/>
        <w:jc w:val="both"/>
        <w:rPr>
          <w:rFonts w:cs="Times New Roman"/>
          <w:color w:val="auto"/>
          <w:sz w:val="20"/>
          <w:szCs w:val="20"/>
        </w:rPr>
      </w:pPr>
      <w:r w:rsidRPr="000D5690">
        <w:rPr>
          <w:rFonts w:cs="Times New Roman"/>
          <w:color w:val="auto"/>
          <w:sz w:val="20"/>
          <w:szCs w:val="20"/>
          <w:lang w:val="es-ES_tradnl"/>
        </w:rPr>
        <w:t>lechuga</w:t>
      </w:r>
    </w:p>
    <w:p w:rsidR="005253AC" w:rsidRPr="000D5690" w:rsidRDefault="006A4A47" w:rsidP="006A4A47">
      <w:pPr>
        <w:pStyle w:val="Default"/>
        <w:numPr>
          <w:ilvl w:val="0"/>
          <w:numId w:val="30"/>
        </w:numPr>
        <w:ind w:left="993"/>
        <w:jc w:val="both"/>
        <w:rPr>
          <w:rFonts w:cs="Times New Roman"/>
          <w:color w:val="auto"/>
          <w:sz w:val="20"/>
          <w:szCs w:val="20"/>
        </w:rPr>
      </w:pPr>
      <w:r w:rsidRPr="000D5690">
        <w:rPr>
          <w:rFonts w:cs="Times New Roman"/>
          <w:color w:val="auto"/>
          <w:sz w:val="20"/>
          <w:szCs w:val="20"/>
          <w:lang w:val="es-ES_tradnl"/>
        </w:rPr>
        <w:t>manzano: variedades frutales</w:t>
      </w:r>
    </w:p>
    <w:p w:rsidR="005253AC" w:rsidRPr="000D5690" w:rsidRDefault="006A4A47" w:rsidP="006A4A47">
      <w:pPr>
        <w:pStyle w:val="Default"/>
        <w:numPr>
          <w:ilvl w:val="0"/>
          <w:numId w:val="30"/>
        </w:numPr>
        <w:ind w:left="993"/>
        <w:jc w:val="both"/>
        <w:rPr>
          <w:rFonts w:cs="Times New Roman"/>
          <w:color w:val="auto"/>
          <w:sz w:val="20"/>
          <w:szCs w:val="20"/>
        </w:rPr>
      </w:pPr>
      <w:r w:rsidRPr="000D5690">
        <w:rPr>
          <w:rFonts w:cs="Times New Roman"/>
          <w:color w:val="auto"/>
          <w:sz w:val="20"/>
          <w:szCs w:val="20"/>
          <w:lang w:val="es-ES_tradnl"/>
        </w:rPr>
        <w:t>papa o patata</w:t>
      </w:r>
    </w:p>
    <w:p w:rsidR="005253AC" w:rsidRPr="000D5690" w:rsidRDefault="005253AC" w:rsidP="005253AC"/>
    <w:p w:rsidR="005253AC" w:rsidRPr="00D6704A" w:rsidRDefault="00791298" w:rsidP="005253AC">
      <w:pPr>
        <w:rPr>
          <w:rFonts w:cs="Arial"/>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6A4A47" w:rsidRPr="000D5690">
        <w:rPr>
          <w:lang w:val="es-ES_tradnl"/>
        </w:rPr>
        <w:t>La Delegación del Japón solicitó una aclaración acerca de los requisitos en materia de idiomas del formulario electrónico de solicitud.</w:t>
      </w:r>
      <w:r w:rsidR="0003601D" w:rsidRPr="00D6704A">
        <w:rPr>
          <w:lang w:val="es-ES"/>
        </w:rPr>
        <w:t xml:space="preserve"> </w:t>
      </w:r>
      <w:r w:rsidR="005253AC" w:rsidRPr="00D6704A">
        <w:rPr>
          <w:lang w:val="es-ES"/>
        </w:rPr>
        <w:t xml:space="preserve"> </w:t>
      </w:r>
      <w:r w:rsidR="006A4A47" w:rsidRPr="000D5690">
        <w:rPr>
          <w:lang w:val="es-ES_tradnl"/>
        </w:rPr>
        <w:t>La Oficina de la Unión aclaró que el formulario electrónico de solicitud permitirá a los usuarios ver todas las preguntas en cualquiera de las lenguas de los miembros de la UPOV participantes.</w:t>
      </w:r>
      <w:r w:rsidR="005253AC" w:rsidRPr="00D6704A">
        <w:rPr>
          <w:rFonts w:cs="Arial"/>
          <w:lang w:val="es-ES"/>
        </w:rPr>
        <w:t xml:space="preserve">  </w:t>
      </w:r>
      <w:r w:rsidR="006A4A47" w:rsidRPr="000D5690">
        <w:rPr>
          <w:rFonts w:cs="Arial"/>
          <w:lang w:val="es-ES_tradnl"/>
        </w:rPr>
        <w:t>No obstante, los usuarios deberán proporcionar la información solicitada en un idioma aceptado por la autoridad competente.</w:t>
      </w:r>
      <w:r w:rsidR="005253AC" w:rsidRPr="00D6704A">
        <w:rPr>
          <w:rFonts w:cs="Arial"/>
          <w:lang w:val="es-ES"/>
        </w:rPr>
        <w:t xml:space="preserve"> </w:t>
      </w:r>
      <w:r w:rsidR="006A4A47" w:rsidRPr="000D5690">
        <w:rPr>
          <w:rFonts w:cs="Arial"/>
          <w:lang w:val="es-ES_tradnl"/>
        </w:rPr>
        <w:t>El idioma o idiomas aceptables se indicar</w:t>
      </w:r>
      <w:r w:rsidR="00777C02" w:rsidRPr="000D5690">
        <w:rPr>
          <w:rFonts w:cs="Arial"/>
          <w:lang w:val="es-ES_tradnl"/>
        </w:rPr>
        <w:t>á</w:t>
      </w:r>
      <w:r w:rsidR="006A4A47" w:rsidRPr="000D5690">
        <w:rPr>
          <w:rFonts w:cs="Arial"/>
          <w:lang w:val="es-ES_tradnl"/>
        </w:rPr>
        <w:t>n en el formulario.</w:t>
      </w:r>
    </w:p>
    <w:p w:rsidR="005253AC" w:rsidRPr="00D6704A" w:rsidRDefault="005253AC" w:rsidP="005253AC">
      <w:pPr>
        <w:rPr>
          <w:lang w:val="es-ES"/>
        </w:rPr>
      </w:pPr>
    </w:p>
    <w:p w:rsidR="005253AC" w:rsidRPr="00D6704A" w:rsidRDefault="0003601D" w:rsidP="005253AC">
      <w:pPr>
        <w:pStyle w:val="Heading3"/>
        <w:rPr>
          <w:lang w:val="es-ES"/>
        </w:rPr>
      </w:pPr>
      <w:r w:rsidRPr="000D5690">
        <w:rPr>
          <w:lang w:val="es-ES_tradnl"/>
        </w:rPr>
        <w:t>Intercambio y uso de programas informáticos y equipos</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03601D" w:rsidRPr="000D5690">
        <w:rPr>
          <w:lang w:val="es-ES_tradnl"/>
        </w:rPr>
        <w:t>El TC examinó el documento TC/52/8.</w:t>
      </w:r>
    </w:p>
    <w:p w:rsidR="005253AC" w:rsidRPr="00D6704A" w:rsidRDefault="005253AC" w:rsidP="005253AC">
      <w:pPr>
        <w:rPr>
          <w:lang w:val="es-ES"/>
        </w:rPr>
      </w:pPr>
    </w:p>
    <w:p w:rsidR="005253AC" w:rsidRPr="00D6704A" w:rsidRDefault="0003601D" w:rsidP="005253AC">
      <w:pPr>
        <w:pStyle w:val="Heading4"/>
        <w:rPr>
          <w:rFonts w:eastAsia="MS Mincho"/>
          <w:lang w:val="es-ES"/>
        </w:rPr>
      </w:pPr>
      <w:r w:rsidRPr="000D5690">
        <w:rPr>
          <w:rFonts w:eastAsia="MS Mincho"/>
          <w:lang w:val="es-ES_tradnl"/>
        </w:rPr>
        <w:t>Documento UPOV/INF/16 “Programas informáticos para intercambio”</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F81553" w:rsidRPr="000D5690">
        <w:rPr>
          <w:lang w:val="es-ES_tradnl"/>
        </w:rPr>
        <w:t>El TC tomó nota de que el Consejo, en su cuadragésima novena sesión ordinaria celebrada en Ginebra el 29 de octubre de 2015, aprobó el documento UPOV/INF/16/5 “Programas informáticos para intercambio”.</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F81553" w:rsidRPr="000D5690">
        <w:rPr>
          <w:lang w:val="es-ES_tradnl"/>
        </w:rPr>
        <w:t>El TC tomó nota de que los debates sobre la inclusión del programa informático SISNAVA en el documento UPOV/INF/16 continuarán en el seno del TWC, a reserva de la conclusión de los debates sobre la variación de las descripciones de variedades con el paso de los años en distintos lugares.</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F81553" w:rsidRPr="000D5690">
        <w:rPr>
          <w:lang w:val="es-ES_tradnl"/>
        </w:rPr>
        <w:t>El TC convino en proponer la revisión del documento UPOV/INF/16/5 en lo relativo a la inclusión de información sobre el uso de programas informáticos por los miembros de la Unión, según se expone en el Anexo I del documento TC/52/8.</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F81553" w:rsidRPr="000D5690">
        <w:rPr>
          <w:lang w:val="es-ES_tradnl"/>
        </w:rPr>
        <w:t>El TC tomó nota de que las observaciones del TC, en su quincuagésima segunda sesión, relativas al uso de programas informáticos por los miembros de la Unión, se notificarán al CAJ en su septuagésima tercera sesión que se celebrará en Ginebra en octubre de 2016 y de que, si el CAJ lo aprueba, se presentará un proyecto de documento UPOV/INF/16/6 al Consejo para que considere su aprobación en su quincuagésima sesión ordinaria, que se celebrará el 28 de octubre de 2016.</w:t>
      </w:r>
    </w:p>
    <w:p w:rsidR="005253AC" w:rsidRPr="00D6704A" w:rsidRDefault="005253AC" w:rsidP="005253AC">
      <w:pPr>
        <w:rPr>
          <w:lang w:val="es-ES"/>
        </w:rPr>
      </w:pPr>
    </w:p>
    <w:p w:rsidR="005253AC" w:rsidRPr="00D6704A" w:rsidRDefault="00F81553" w:rsidP="005253AC">
      <w:pPr>
        <w:pStyle w:val="Heading4"/>
        <w:rPr>
          <w:lang w:val="es-ES" w:eastAsia="ja-JP"/>
        </w:rPr>
      </w:pPr>
      <w:r w:rsidRPr="000D5690">
        <w:rPr>
          <w:lang w:val="es-ES_tradnl"/>
        </w:rPr>
        <w:t>Documento UPOV/INF/22 “Programas informáticos y equipos utilizados por los miembros de la Unión”</w:t>
      </w:r>
    </w:p>
    <w:p w:rsidR="005253AC" w:rsidRPr="00D6704A" w:rsidRDefault="005253AC" w:rsidP="005253AC">
      <w:pPr>
        <w:keepNext/>
        <w:rPr>
          <w:lang w:val="es-ES"/>
        </w:rPr>
      </w:pPr>
    </w:p>
    <w:p w:rsidR="005253AC" w:rsidRPr="00D6704A" w:rsidRDefault="00791298" w:rsidP="005253AC">
      <w:pPr>
        <w:keepNext/>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F81553" w:rsidRPr="000D5690">
        <w:rPr>
          <w:lang w:val="es-ES_tradnl"/>
        </w:rPr>
        <w:t>El TC tomó nota de que el Consejo, en su cuadragésima novena sesión ordinaria celebrada en Ginebra el 29 de octubre de 2015, aprobó el documento UPOV/INF/22/2 “Programas informáticos y equipos utilizados por los miembros de la Unión”.</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861E99" w:rsidRPr="000D5690">
        <w:rPr>
          <w:lang w:val="es-ES_tradnl"/>
        </w:rPr>
        <w:t>El TC convino en proponer la revisión del documento UPOV/INF/22/2 en lo relativo a la inclusión de información sobre el uso de programas informáticos por los miembros de la Unión, según se expone en</w:t>
      </w:r>
      <w:r w:rsidR="00F81553" w:rsidRPr="000D5690">
        <w:rPr>
          <w:lang w:val="es-ES_tradnl"/>
        </w:rPr>
        <w:t xml:space="preserve"> el Anexo</w:t>
      </w:r>
      <w:r w:rsidR="00861E99" w:rsidRPr="000D5690">
        <w:rPr>
          <w:lang w:val="es-ES_tradnl"/>
        </w:rPr>
        <w:t> </w:t>
      </w:r>
      <w:r w:rsidR="00F81553" w:rsidRPr="000D5690">
        <w:rPr>
          <w:lang w:val="es-ES_tradnl"/>
        </w:rPr>
        <w:t>II del documento</w:t>
      </w:r>
      <w:r w:rsidR="00861E99" w:rsidRPr="000D5690">
        <w:rPr>
          <w:lang w:val="es-ES_tradnl"/>
        </w:rPr>
        <w:t> </w:t>
      </w:r>
      <w:r w:rsidR="00F81553" w:rsidRPr="000D5690">
        <w:rPr>
          <w:lang w:val="es-ES_tradnl"/>
        </w:rPr>
        <w:t>TC/52/8, con las modificaciones propuestas por el TC-EDC:</w:t>
      </w:r>
    </w:p>
    <w:p w:rsidR="005253AC" w:rsidRPr="00D6704A" w:rsidRDefault="005253AC" w:rsidP="005253AC">
      <w:pPr>
        <w:rPr>
          <w:lang w:val="es-ES"/>
        </w:rPr>
      </w:pPr>
    </w:p>
    <w:tbl>
      <w:tblPr>
        <w:tblStyle w:val="TableGrid"/>
        <w:tblW w:w="0" w:type="auto"/>
        <w:tblLook w:val="04A0" w:firstRow="1" w:lastRow="0" w:firstColumn="1" w:lastColumn="0" w:noHBand="0" w:noVBand="1"/>
      </w:tblPr>
      <w:tblGrid>
        <w:gridCol w:w="3686"/>
        <w:gridCol w:w="6061"/>
      </w:tblGrid>
      <w:tr w:rsidR="005253AC" w:rsidRPr="000D5690" w:rsidTr="000D1DB9">
        <w:tc>
          <w:tcPr>
            <w:tcW w:w="3686" w:type="dxa"/>
          </w:tcPr>
          <w:p w:rsidR="005253AC" w:rsidRPr="000D5690" w:rsidRDefault="00861E99" w:rsidP="000D5690">
            <w:r w:rsidRPr="000D5690">
              <w:t>Anexo II, Parte a), segunda fila</w:t>
            </w:r>
          </w:p>
        </w:tc>
        <w:tc>
          <w:tcPr>
            <w:tcW w:w="6061" w:type="dxa"/>
          </w:tcPr>
          <w:p w:rsidR="005253AC" w:rsidRPr="000D5690" w:rsidRDefault="00861E99" w:rsidP="000D5690">
            <w:pPr>
              <w:rPr>
                <w:lang w:val="fr-FR"/>
              </w:rPr>
            </w:pPr>
            <w:r w:rsidRPr="0060664B">
              <w:rPr>
                <w:strike/>
                <w:highlight w:val="lightGray"/>
              </w:rPr>
              <w:t>MS</w:t>
            </w:r>
            <w:r w:rsidRPr="0060664B">
              <w:rPr>
                <w:highlight w:val="lightGray"/>
              </w:rPr>
              <w:t xml:space="preserve"> </w:t>
            </w:r>
            <w:r w:rsidRPr="0060664B">
              <w:rPr>
                <w:highlight w:val="lightGray"/>
                <w:u w:val="single"/>
              </w:rPr>
              <w:t>Microsoft</w:t>
            </w:r>
            <w:r w:rsidRPr="000D5690">
              <w:t xml:space="preserve"> Office Professional Plus 2010</w:t>
            </w:r>
          </w:p>
        </w:tc>
      </w:tr>
      <w:tr w:rsidR="005253AC" w:rsidRPr="000D5690" w:rsidTr="000D1DB9">
        <w:tc>
          <w:tcPr>
            <w:tcW w:w="3686" w:type="dxa"/>
          </w:tcPr>
          <w:p w:rsidR="005253AC" w:rsidRPr="000D5690" w:rsidRDefault="00861E99" w:rsidP="000D5690">
            <w:r w:rsidRPr="000D5690">
              <w:t>Anexo II, Parte a), tercera fila</w:t>
            </w:r>
          </w:p>
        </w:tc>
        <w:tc>
          <w:tcPr>
            <w:tcW w:w="6061" w:type="dxa"/>
          </w:tcPr>
          <w:p w:rsidR="005253AC" w:rsidRPr="000D5690" w:rsidRDefault="00861E99" w:rsidP="000D5690">
            <w:r w:rsidRPr="0060664B">
              <w:rPr>
                <w:highlight w:val="lightGray"/>
                <w:u w:val="single"/>
              </w:rPr>
              <w:t>Microsoft</w:t>
            </w:r>
            <w:r w:rsidRPr="000D5690">
              <w:t xml:space="preserve"> Access</w:t>
            </w:r>
          </w:p>
        </w:tc>
      </w:tr>
      <w:tr w:rsidR="005253AC" w:rsidRPr="000D5690" w:rsidTr="000D1DB9">
        <w:tc>
          <w:tcPr>
            <w:tcW w:w="3686" w:type="dxa"/>
          </w:tcPr>
          <w:p w:rsidR="005253AC" w:rsidRPr="000D5690" w:rsidRDefault="00861E99" w:rsidP="000D5690">
            <w:r w:rsidRPr="000D5690">
              <w:t>Anexo II, Parte b), tercera fila</w:t>
            </w:r>
          </w:p>
        </w:tc>
        <w:tc>
          <w:tcPr>
            <w:tcW w:w="6061" w:type="dxa"/>
          </w:tcPr>
          <w:p w:rsidR="005253AC" w:rsidRPr="000D5690" w:rsidRDefault="00861E99" w:rsidP="000D5690">
            <w:r w:rsidRPr="0060664B">
              <w:rPr>
                <w:strike/>
                <w:highlight w:val="lightGray"/>
              </w:rPr>
              <w:t>PDF</w:t>
            </w:r>
            <w:r w:rsidRPr="0060664B">
              <w:rPr>
                <w:highlight w:val="lightGray"/>
              </w:rPr>
              <w:t xml:space="preserve"> </w:t>
            </w:r>
            <w:r w:rsidRPr="0060664B">
              <w:rPr>
                <w:highlight w:val="lightGray"/>
                <w:u w:val="single"/>
              </w:rPr>
              <w:t>Adobe Acrobat Reader</w:t>
            </w:r>
          </w:p>
        </w:tc>
      </w:tr>
      <w:tr w:rsidR="005253AC" w:rsidRPr="000D5690" w:rsidTr="000D1DB9">
        <w:tc>
          <w:tcPr>
            <w:tcW w:w="3686" w:type="dxa"/>
          </w:tcPr>
          <w:p w:rsidR="005253AC" w:rsidRPr="000D5690" w:rsidRDefault="00861E99" w:rsidP="000D5690">
            <w:r w:rsidRPr="000D5690">
              <w:t>Anexo II, Parte b), cuarta fila</w:t>
            </w:r>
          </w:p>
        </w:tc>
        <w:tc>
          <w:tcPr>
            <w:tcW w:w="6061" w:type="dxa"/>
          </w:tcPr>
          <w:p w:rsidR="005253AC" w:rsidRPr="00D6704A" w:rsidRDefault="00861E99" w:rsidP="000D5690">
            <w:pPr>
              <w:rPr>
                <w:lang w:val="en-US"/>
              </w:rPr>
            </w:pPr>
            <w:r w:rsidRPr="00D6704A">
              <w:rPr>
                <w:highlight w:val="lightGray"/>
                <w:u w:val="single"/>
                <w:lang w:val="en-US"/>
              </w:rPr>
              <w:t>Microsoft</w:t>
            </w:r>
            <w:r w:rsidRPr="00D6704A">
              <w:rPr>
                <w:u w:val="single"/>
                <w:lang w:val="en-US"/>
              </w:rPr>
              <w:t xml:space="preserve"> </w:t>
            </w:r>
            <w:r w:rsidRPr="00D6704A">
              <w:rPr>
                <w:lang w:val="en-US"/>
              </w:rPr>
              <w:t>Office (Word) y</w:t>
            </w:r>
            <w:r w:rsidRPr="00D6704A">
              <w:rPr>
                <w:strike/>
                <w:lang w:val="en-US"/>
              </w:rPr>
              <w:t xml:space="preserve"> </w:t>
            </w:r>
            <w:r w:rsidRPr="00D6704A">
              <w:rPr>
                <w:strike/>
                <w:highlight w:val="lightGray"/>
                <w:lang w:val="en-US"/>
              </w:rPr>
              <w:t xml:space="preserve">PDF </w:t>
            </w:r>
            <w:r w:rsidRPr="00D6704A">
              <w:rPr>
                <w:highlight w:val="lightGray"/>
                <w:u w:val="single"/>
                <w:lang w:val="en-US"/>
              </w:rPr>
              <w:t>Adobe Acrobat Reader</w:t>
            </w:r>
          </w:p>
        </w:tc>
      </w:tr>
    </w:tbl>
    <w:p w:rsidR="005253AC" w:rsidRPr="000D5690" w:rsidRDefault="005253AC" w:rsidP="005253AC"/>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t xml:space="preserve"> </w:t>
      </w:r>
      <w:r w:rsidR="00861E99" w:rsidRPr="000D5690">
        <w:rPr>
          <w:lang w:val="es-ES_tradnl"/>
        </w:rPr>
        <w:t>El TC tomó nota de que las observaciones formuladas por el TC acerca de la utilización de los programas informáticos por parte de los miembros de la Unión se notificarán al CAJ en su septuagésima tercera sesión y, previo acuerdo del CAJ, se presentará al Consejo un proyecto de documento</w:t>
      </w:r>
      <w:r w:rsidR="000D1DB9" w:rsidRPr="000D5690">
        <w:rPr>
          <w:lang w:val="es-ES_tradnl"/>
        </w:rPr>
        <w:t> </w:t>
      </w:r>
      <w:r w:rsidR="00861E99" w:rsidRPr="000D5690">
        <w:rPr>
          <w:lang w:val="es-ES_tradnl"/>
        </w:rPr>
        <w:t>UPOV/INF/22/3 para que considere su aprobación en su quincuagésima sesión ordinaria, que se celebrará el 28 de octubre de 2016.</w:t>
      </w:r>
    </w:p>
    <w:p w:rsidR="005253AC" w:rsidRPr="00D6704A" w:rsidRDefault="005253AC" w:rsidP="005253AC">
      <w:pPr>
        <w:rPr>
          <w:lang w:val="es-ES"/>
        </w:rPr>
      </w:pPr>
    </w:p>
    <w:p w:rsidR="005253AC" w:rsidRPr="00D6704A" w:rsidRDefault="000D1DB9" w:rsidP="005253AC">
      <w:pPr>
        <w:pStyle w:val="Heading3"/>
        <w:rPr>
          <w:lang w:val="es-ES"/>
        </w:rPr>
      </w:pPr>
      <w:r w:rsidRPr="000D5690">
        <w:rPr>
          <w:lang w:val="es-ES_tradnl"/>
        </w:rPr>
        <w:t>Bases de datos de descripciones de variedades</w:t>
      </w:r>
    </w:p>
    <w:p w:rsidR="005253AC" w:rsidRPr="00D6704A" w:rsidRDefault="005253AC" w:rsidP="005253AC">
      <w:pPr>
        <w:keepNext/>
        <w:rPr>
          <w:lang w:val="es-ES"/>
        </w:rPr>
      </w:pPr>
    </w:p>
    <w:p w:rsidR="005253AC" w:rsidRPr="00D6704A" w:rsidRDefault="00791298" w:rsidP="005253AC">
      <w:pPr>
        <w:keepNext/>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0D1DB9" w:rsidRPr="000D5690">
        <w:rPr>
          <w:lang w:val="es-ES_tradnl"/>
        </w:rPr>
        <w:t>El TC examinó el documento TC/52/9.</w:t>
      </w:r>
    </w:p>
    <w:p w:rsidR="005253AC" w:rsidRPr="00D6704A" w:rsidRDefault="005253AC" w:rsidP="005253AC">
      <w:pPr>
        <w:keepNext/>
        <w:rPr>
          <w:lang w:val="es-ES"/>
        </w:rPr>
      </w:pPr>
    </w:p>
    <w:p w:rsidR="005253AC" w:rsidRPr="00D6704A" w:rsidRDefault="00791298" w:rsidP="005253AC">
      <w:pPr>
        <w:autoSpaceDE w:val="0"/>
        <w:autoSpaceDN w:val="0"/>
        <w:adjustRightInd w:val="0"/>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B803BF" w:rsidRPr="000D5690">
        <w:rPr>
          <w:lang w:val="es-ES_tradnl"/>
        </w:rPr>
        <w:t xml:space="preserve">El TC tomó nota de que se incluye como punto 3 c) del orden del día de la quincuagésima segunda sesión del TC un punto de debate titulado </w:t>
      </w:r>
      <w:r w:rsidR="00B803BF" w:rsidRPr="000D5690">
        <w:rPr>
          <w:rFonts w:cs="Arial"/>
          <w:lang w:val="es-ES_tradnl"/>
        </w:rPr>
        <w:t>“</w:t>
      </w:r>
      <w:r w:rsidR="00B803BF" w:rsidRPr="000D5690">
        <w:rPr>
          <w:lang w:val="es-ES_tradnl"/>
        </w:rPr>
        <w:t>El fomento de la elaboración de bases de datos</w:t>
      </w:r>
      <w:r w:rsidR="00B803BF" w:rsidRPr="000D5690">
        <w:rPr>
          <w:rFonts w:cs="Arial"/>
          <w:lang w:val="es-ES_tradnl"/>
        </w:rPr>
        <w:t>”</w:t>
      </w:r>
      <w:r w:rsidR="00B803BF" w:rsidRPr="000D5690">
        <w:rPr>
          <w:lang w:val="es-ES_tradnl"/>
        </w:rPr>
        <w:t>.</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B803BF" w:rsidRPr="000D5690">
        <w:rPr>
          <w:lang w:val="es-ES_tradnl"/>
        </w:rPr>
        <w:t xml:space="preserve">El TC tomó nota de que </w:t>
      </w:r>
      <w:r w:rsidR="00252084" w:rsidRPr="000D5690">
        <w:rPr>
          <w:lang w:val="es-ES_tradnl"/>
        </w:rPr>
        <w:t xml:space="preserve">el TWC, en su trigésima tercera sesión, asistió a una ponencia de un experto de China sobre el análisis de la varianza de la interacción “variedad × lugar” (ambiente) de los caracteres QN empleando el módulo estadístico del nuevo programa informático “DUSTC” elaborado por su país, de la cual figura una </w:t>
      </w:r>
      <w:r w:rsidR="00777C02" w:rsidRPr="000D5690">
        <w:rPr>
          <w:lang w:val="es-ES_tradnl"/>
        </w:rPr>
        <w:t>copia en el documento TWC/33/27 </w:t>
      </w:r>
      <w:r w:rsidR="00252084" w:rsidRPr="000D5690">
        <w:rPr>
          <w:lang w:val="es-ES_tradnl"/>
        </w:rPr>
        <w:t>Rev.</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252084" w:rsidRPr="000D5690">
        <w:rPr>
          <w:lang w:val="es-ES_tradnl"/>
        </w:rPr>
        <w:t>El TC tomó nota de que el TWF, en su cuadragésima sexta sesión, convino en que las bases de datos morfológicos y moleculares de plantas frutales pueden ser útiles para el agrupamiento de variedades y la organización de los ensayos en cultivo, así como para el análisis de la distinción.</w:t>
      </w:r>
    </w:p>
    <w:p w:rsidR="005253AC" w:rsidRPr="00D6704A" w:rsidRDefault="005253AC" w:rsidP="005253AC">
      <w:pPr>
        <w:rPr>
          <w:lang w:val="es-ES"/>
        </w:rPr>
      </w:pPr>
    </w:p>
    <w:p w:rsidR="005253AC" w:rsidRPr="00D6704A" w:rsidRDefault="005253AC" w:rsidP="005253AC">
      <w:pPr>
        <w:rPr>
          <w:lang w:val="es-ES"/>
        </w:rPr>
      </w:pPr>
    </w:p>
    <w:p w:rsidR="005253AC" w:rsidRPr="00D6704A" w:rsidRDefault="00252084" w:rsidP="005253AC">
      <w:pPr>
        <w:pStyle w:val="Heading2"/>
        <w:rPr>
          <w:lang w:val="es-ES"/>
        </w:rPr>
      </w:pPr>
      <w:r w:rsidRPr="000D5690">
        <w:rPr>
          <w:lang w:val="es-ES_tradnl"/>
        </w:rPr>
        <w:t>Talleres preparatorios</w:t>
      </w:r>
    </w:p>
    <w:p w:rsidR="005253AC" w:rsidRPr="00D6704A" w:rsidRDefault="005253AC" w:rsidP="005253AC">
      <w:pPr>
        <w:keepNext/>
        <w:rPr>
          <w:lang w:val="es-ES"/>
        </w:rPr>
      </w:pPr>
    </w:p>
    <w:p w:rsidR="005253AC" w:rsidRPr="00D6704A" w:rsidRDefault="00791298" w:rsidP="005253AC">
      <w:pPr>
        <w:keepNext/>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252084" w:rsidRPr="000D5690">
        <w:rPr>
          <w:lang w:val="es-ES_tradnl"/>
        </w:rPr>
        <w:t>El TC examinó el documento TC/52/13.</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252084" w:rsidRPr="000D5690">
        <w:rPr>
          <w:lang w:val="es-ES_tradnl"/>
        </w:rPr>
        <w:t>El TC tomó nota del informe sobre los talleres preparatorios celebrados en 2015.</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252084" w:rsidRPr="000D5690">
        <w:rPr>
          <w:lang w:val="es-ES_tradnl"/>
        </w:rPr>
        <w:t>El TC aceptó el programa propuesto para los talleres preparatorios de 2016, según se expone en los párrafos 9 y 11 del documento TC/52/13.</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252084" w:rsidRPr="000D5690">
        <w:rPr>
          <w:lang w:val="es-ES_tradnl"/>
        </w:rPr>
        <w:t>El TC señaló que el párrafo 8 del documento TC/52/13 debe corregirse, con la siguiente redacción:</w:t>
      </w:r>
    </w:p>
    <w:p w:rsidR="005253AC" w:rsidRPr="000D5690" w:rsidRDefault="005253AC" w:rsidP="005253AC">
      <w:pPr>
        <w:rPr>
          <w:lang w:val="es-ES"/>
        </w:rPr>
      </w:pPr>
      <w:r w:rsidRPr="00D6704A">
        <w:rPr>
          <w:lang w:val="es-ES"/>
        </w:rPr>
        <w:tab/>
      </w:r>
      <w:r w:rsidR="00252084" w:rsidRPr="000D5690">
        <w:rPr>
          <w:lang w:val="es-ES_tradnl"/>
        </w:rPr>
        <w:t>TWA (</w:t>
      </w:r>
      <w:r w:rsidR="00252084" w:rsidRPr="0060664B">
        <w:rPr>
          <w:strike/>
          <w:highlight w:val="lightGray"/>
          <w:lang w:val="es-ES_tradnl"/>
        </w:rPr>
        <w:t>México</w:t>
      </w:r>
      <w:r w:rsidR="00252084" w:rsidRPr="0060664B">
        <w:rPr>
          <w:highlight w:val="lightGray"/>
          <w:lang w:val="es-ES_tradnl"/>
        </w:rPr>
        <w:t xml:space="preserve"> Japón)</w:t>
      </w:r>
    </w:p>
    <w:p w:rsidR="005253AC" w:rsidRPr="000D5690" w:rsidRDefault="005253AC" w:rsidP="005253AC">
      <w:pPr>
        <w:rPr>
          <w:lang w:val="es-ES"/>
        </w:rPr>
      </w:pPr>
      <w:r w:rsidRPr="000D5690">
        <w:rPr>
          <w:lang w:val="es-ES"/>
        </w:rPr>
        <w:tab/>
      </w:r>
      <w:r w:rsidR="00252084" w:rsidRPr="000D5690">
        <w:rPr>
          <w:lang w:val="es-ES_tradnl"/>
        </w:rPr>
        <w:t xml:space="preserve">TWV (Unión Europea </w:t>
      </w:r>
      <w:r w:rsidR="00252084" w:rsidRPr="0060664B">
        <w:rPr>
          <w:strike/>
          <w:highlight w:val="lightGray"/>
          <w:lang w:val="es-ES_tradnl"/>
        </w:rPr>
        <w:t>– Francia</w:t>
      </w:r>
      <w:r w:rsidR="00252084" w:rsidRPr="000D5690">
        <w:rPr>
          <w:lang w:val="es-ES_tradnl"/>
        </w:rPr>
        <w:t>)</w:t>
      </w:r>
    </w:p>
    <w:p w:rsidR="005253AC" w:rsidRPr="000D5690" w:rsidRDefault="005253AC" w:rsidP="005253AC">
      <w:pPr>
        <w:rPr>
          <w:lang w:val="es-ES"/>
        </w:rPr>
      </w:pPr>
    </w:p>
    <w:p w:rsidR="005253AC" w:rsidRPr="000D5690" w:rsidRDefault="005253AC" w:rsidP="005253AC">
      <w:pPr>
        <w:rPr>
          <w:lang w:val="es-ES"/>
        </w:rPr>
      </w:pPr>
    </w:p>
    <w:p w:rsidR="005253AC" w:rsidRPr="00D6704A" w:rsidRDefault="00252084" w:rsidP="005253AC">
      <w:pPr>
        <w:pStyle w:val="Heading2"/>
        <w:rPr>
          <w:lang w:val="es-ES"/>
        </w:rPr>
      </w:pPr>
      <w:r w:rsidRPr="000D5690">
        <w:rPr>
          <w:lang w:val="es-ES_tradnl"/>
        </w:rPr>
        <w:t>Directrices de examen</w:t>
      </w:r>
    </w:p>
    <w:p w:rsidR="005253AC" w:rsidRPr="00D6704A" w:rsidRDefault="005253AC" w:rsidP="005253AC">
      <w:pPr>
        <w:keepNext/>
        <w:rPr>
          <w:lang w:val="es-ES"/>
        </w:rPr>
      </w:pPr>
    </w:p>
    <w:p w:rsidR="005253AC" w:rsidRPr="00D6704A" w:rsidRDefault="00791298" w:rsidP="005253AC">
      <w:pPr>
        <w:keepNext/>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252084" w:rsidRPr="000D5690">
        <w:rPr>
          <w:lang w:val="es-ES_tradnl"/>
        </w:rPr>
        <w:t>El TC examinó los documentos </w:t>
      </w:r>
      <w:r w:rsidR="004803BD" w:rsidRPr="000D5690">
        <w:rPr>
          <w:lang w:val="es-ES_tradnl"/>
        </w:rPr>
        <w:t>TC/52/2, TC/52/24, TC/52/25, TC/52/26 y TC/52/27</w:t>
      </w:r>
      <w:r w:rsidR="00252084" w:rsidRPr="000D5690">
        <w:rPr>
          <w:lang w:val="es-ES_tradnl"/>
        </w:rPr>
        <w:t>.</w:t>
      </w:r>
    </w:p>
    <w:p w:rsidR="005253AC" w:rsidRPr="00D6704A" w:rsidRDefault="005253AC" w:rsidP="005253AC">
      <w:pPr>
        <w:rPr>
          <w:lang w:val="es-ES"/>
        </w:rPr>
      </w:pPr>
    </w:p>
    <w:p w:rsidR="005253AC" w:rsidRPr="00D6704A" w:rsidRDefault="00791298" w:rsidP="005253AC">
      <w:pPr>
        <w:rPr>
          <w:rFonts w:cs="Arial"/>
          <w:snapToGrid w:val="0"/>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4803BD" w:rsidRPr="000D5690">
        <w:rPr>
          <w:lang w:val="es-ES_tradnl"/>
        </w:rPr>
        <w:t xml:space="preserve">De conformidad con el procedimiento establecido en el documento TGP/7, el TC aprobó cinco nuevas directrices de examen para la ejecución del examen de la distinción, la homogeneidad y la estabilidad, dos directrices de examen revisadas y </w:t>
      </w:r>
      <w:r w:rsidR="007703AE">
        <w:rPr>
          <w:lang w:val="es-ES_tradnl"/>
        </w:rPr>
        <w:t>nueve</w:t>
      </w:r>
      <w:r w:rsidR="004803BD" w:rsidRPr="000D5690">
        <w:rPr>
          <w:lang w:val="es-ES_tradnl"/>
        </w:rPr>
        <w:t xml:space="preserve"> directrices de examen revisadas parcialmente que figuran en el siguiente cuadro basándose en las modificaciones que se especifican en el Anexo II del presente documento, así como los cambios lingüísticos recomendados por el TC-EDC, y convino en que se publiquen en el sitio web de la UPOV lo antes posible:</w:t>
      </w:r>
    </w:p>
    <w:p w:rsidR="005253AC" w:rsidRPr="00D6704A" w:rsidRDefault="005253AC" w:rsidP="005253AC">
      <w:pPr>
        <w:rPr>
          <w:rFonts w:cs="Arial"/>
          <w:snapToGrid w:val="0"/>
          <w:lang w:val="es-ES"/>
        </w:rPr>
      </w:pPr>
    </w:p>
    <w:tbl>
      <w:tblPr>
        <w:tblW w:w="9934" w:type="dxa"/>
        <w:tblInd w:w="96" w:type="dxa"/>
        <w:tblLayout w:type="fixed"/>
        <w:tblLook w:val="0020" w:firstRow="1" w:lastRow="0" w:firstColumn="0" w:lastColumn="0" w:noHBand="0" w:noVBand="0"/>
      </w:tblPr>
      <w:tblGrid>
        <w:gridCol w:w="484"/>
        <w:gridCol w:w="590"/>
        <w:gridCol w:w="1490"/>
        <w:gridCol w:w="142"/>
        <w:gridCol w:w="1275"/>
        <w:gridCol w:w="1418"/>
        <w:gridCol w:w="1417"/>
        <w:gridCol w:w="1418"/>
        <w:gridCol w:w="1700"/>
      </w:tblGrid>
      <w:tr w:rsidR="005253AC" w:rsidRPr="000D5690" w:rsidTr="00E658B6">
        <w:trPr>
          <w:cantSplit/>
          <w:trHeight w:val="1050"/>
          <w:tblHeader/>
        </w:trPr>
        <w:tc>
          <w:tcPr>
            <w:tcW w:w="484" w:type="dxa"/>
            <w:tcBorders>
              <w:top w:val="single" w:sz="4" w:space="0" w:color="auto"/>
              <w:bottom w:val="single" w:sz="4" w:space="0" w:color="auto"/>
            </w:tcBorders>
            <w:shd w:val="clear" w:color="auto" w:fill="D9D9D9"/>
            <w:noWrap/>
            <w:vAlign w:val="center"/>
          </w:tcPr>
          <w:p w:rsidR="005253AC" w:rsidRPr="000D5690" w:rsidRDefault="005253AC" w:rsidP="00E658B6">
            <w:pPr>
              <w:jc w:val="left"/>
              <w:rPr>
                <w:rFonts w:eastAsia="MS Mincho" w:cs="Arial"/>
                <w:bCs/>
                <w:dstrike/>
                <w:sz w:val="16"/>
                <w:szCs w:val="16"/>
                <w:lang w:eastAsia="ja-JP"/>
              </w:rPr>
            </w:pPr>
            <w:r w:rsidRPr="000D5690">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rsidR="005253AC" w:rsidRPr="000D5690" w:rsidRDefault="005253AC" w:rsidP="00E658B6">
            <w:pPr>
              <w:jc w:val="left"/>
              <w:rPr>
                <w:rFonts w:eastAsia="MS Mincho" w:cs="Arial"/>
                <w:bCs/>
                <w:dstrike/>
                <w:sz w:val="16"/>
                <w:szCs w:val="16"/>
                <w:lang w:eastAsia="ja-JP"/>
              </w:rPr>
            </w:pPr>
            <w:r w:rsidRPr="000D5690">
              <w:rPr>
                <w:rFonts w:eastAsia="MS Mincho" w:cs="Arial"/>
                <w:bCs/>
                <w:sz w:val="16"/>
                <w:szCs w:val="16"/>
                <w:lang w:eastAsia="ja-JP"/>
              </w:rPr>
              <w:t>TWP</w:t>
            </w:r>
          </w:p>
        </w:tc>
        <w:tc>
          <w:tcPr>
            <w:tcW w:w="1490" w:type="dxa"/>
            <w:tcBorders>
              <w:top w:val="single" w:sz="4" w:space="0" w:color="auto"/>
              <w:bottom w:val="single" w:sz="4" w:space="0" w:color="auto"/>
            </w:tcBorders>
            <w:shd w:val="clear" w:color="auto" w:fill="D9D9D9"/>
            <w:vAlign w:val="center"/>
          </w:tcPr>
          <w:p w:rsidR="005253AC" w:rsidRPr="000D5690" w:rsidRDefault="005253AC" w:rsidP="00E658B6">
            <w:pPr>
              <w:ind w:left="-36"/>
              <w:jc w:val="left"/>
              <w:rPr>
                <w:rFonts w:eastAsia="MS Mincho" w:cs="Arial"/>
                <w:bCs/>
                <w:dstrike/>
                <w:sz w:val="16"/>
                <w:szCs w:val="16"/>
                <w:lang w:eastAsia="ja-JP"/>
              </w:rPr>
            </w:pPr>
            <w:r w:rsidRPr="000D5690">
              <w:rPr>
                <w:rFonts w:eastAsia="MS Mincho" w:cs="Arial"/>
                <w:bCs/>
                <w:sz w:val="16"/>
                <w:szCs w:val="16"/>
                <w:lang w:val="fr-CH" w:eastAsia="ja-JP"/>
              </w:rPr>
              <w:t xml:space="preserve">Document No. </w:t>
            </w:r>
            <w:r w:rsidRPr="000D5690">
              <w:rPr>
                <w:rFonts w:eastAsia="MS Mincho" w:cs="Arial"/>
                <w:bCs/>
                <w:sz w:val="16"/>
                <w:szCs w:val="16"/>
                <w:lang w:val="fr-CH" w:eastAsia="ja-JP"/>
              </w:rPr>
              <w:br/>
              <w:t xml:space="preserve">No. du document </w:t>
            </w:r>
            <w:r w:rsidRPr="000D5690">
              <w:rPr>
                <w:rFonts w:eastAsia="MS Mincho" w:cs="Arial"/>
                <w:bCs/>
                <w:sz w:val="16"/>
                <w:szCs w:val="16"/>
                <w:lang w:val="fr-CH" w:eastAsia="ja-JP"/>
              </w:rPr>
              <w:br/>
            </w:r>
            <w:proofErr w:type="spellStart"/>
            <w:r w:rsidRPr="000D5690">
              <w:rPr>
                <w:rFonts w:eastAsia="MS Mincho" w:cs="Arial"/>
                <w:bCs/>
                <w:sz w:val="16"/>
                <w:szCs w:val="16"/>
                <w:lang w:val="fr-CH" w:eastAsia="ja-JP"/>
              </w:rPr>
              <w:t>Dokument</w:t>
            </w:r>
            <w:proofErr w:type="spellEnd"/>
            <w:r w:rsidRPr="000D5690">
              <w:rPr>
                <w:rFonts w:eastAsia="MS Mincho" w:cs="Arial"/>
                <w:bCs/>
                <w:sz w:val="16"/>
                <w:szCs w:val="16"/>
                <w:lang w:val="fr-CH" w:eastAsia="ja-JP"/>
              </w:rPr>
              <w:t xml:space="preserve">-Nr. </w:t>
            </w:r>
            <w:r w:rsidRPr="000D5690">
              <w:rPr>
                <w:rFonts w:eastAsia="MS Mincho" w:cs="Arial"/>
                <w:bCs/>
                <w:sz w:val="16"/>
                <w:szCs w:val="16"/>
                <w:lang w:val="fr-CH" w:eastAsia="ja-JP"/>
              </w:rPr>
              <w:br/>
            </w:r>
            <w:r w:rsidRPr="000D5690">
              <w:rPr>
                <w:rFonts w:eastAsia="MS Mincho" w:cs="Arial"/>
                <w:bCs/>
                <w:sz w:val="16"/>
                <w:szCs w:val="16"/>
                <w:lang w:eastAsia="ja-JP"/>
              </w:rPr>
              <w:t xml:space="preserve">No del </w:t>
            </w:r>
            <w:proofErr w:type="spellStart"/>
            <w:r w:rsidRPr="000D5690">
              <w:rPr>
                <w:rFonts w:eastAsia="MS Mincho" w:cs="Arial"/>
                <w:bCs/>
                <w:sz w:val="16"/>
                <w:szCs w:val="16"/>
                <w:lang w:eastAsia="ja-JP"/>
              </w:rPr>
              <w:t>documento</w:t>
            </w:r>
            <w:proofErr w:type="spellEnd"/>
          </w:p>
        </w:tc>
        <w:tc>
          <w:tcPr>
            <w:tcW w:w="1417" w:type="dxa"/>
            <w:gridSpan w:val="2"/>
            <w:tcBorders>
              <w:top w:val="single" w:sz="4" w:space="0" w:color="auto"/>
              <w:bottom w:val="single" w:sz="4" w:space="0" w:color="auto"/>
            </w:tcBorders>
            <w:shd w:val="clear" w:color="auto" w:fill="D9D9D9"/>
            <w:vAlign w:val="center"/>
          </w:tcPr>
          <w:p w:rsidR="005253AC" w:rsidRPr="000D5690" w:rsidRDefault="005253AC" w:rsidP="00E658B6">
            <w:pPr>
              <w:jc w:val="left"/>
              <w:rPr>
                <w:rFonts w:eastAsia="MS Mincho" w:cs="Arial"/>
                <w:bCs/>
                <w:dstrike/>
                <w:sz w:val="16"/>
                <w:szCs w:val="16"/>
                <w:lang w:eastAsia="ja-JP"/>
              </w:rPr>
            </w:pPr>
            <w:r w:rsidRPr="000D5690">
              <w:rPr>
                <w:rFonts w:eastAsia="MS Mincho" w:cs="Arial"/>
                <w:bCs/>
                <w:sz w:val="16"/>
                <w:szCs w:val="16"/>
                <w:lang w:eastAsia="ja-JP"/>
              </w:rPr>
              <w:t>English</w:t>
            </w:r>
          </w:p>
        </w:tc>
        <w:tc>
          <w:tcPr>
            <w:tcW w:w="1418" w:type="dxa"/>
            <w:tcBorders>
              <w:top w:val="single" w:sz="4" w:space="0" w:color="auto"/>
              <w:bottom w:val="single" w:sz="4" w:space="0" w:color="auto"/>
            </w:tcBorders>
            <w:shd w:val="clear" w:color="auto" w:fill="D9D9D9"/>
            <w:vAlign w:val="center"/>
          </w:tcPr>
          <w:p w:rsidR="005253AC" w:rsidRPr="000D5690" w:rsidRDefault="005253AC" w:rsidP="00E658B6">
            <w:pPr>
              <w:jc w:val="left"/>
              <w:rPr>
                <w:rFonts w:eastAsia="MS Mincho" w:cs="Arial"/>
                <w:dstrike/>
                <w:sz w:val="16"/>
                <w:szCs w:val="16"/>
                <w:lang w:eastAsia="ja-JP"/>
              </w:rPr>
            </w:pPr>
            <w:proofErr w:type="spellStart"/>
            <w:r w:rsidRPr="000D5690">
              <w:rPr>
                <w:rFonts w:eastAsia="MS Mincho" w:cs="Arial"/>
                <w:sz w:val="16"/>
                <w:szCs w:val="16"/>
                <w:lang w:eastAsia="ja-JP"/>
              </w:rPr>
              <w:t>Français</w:t>
            </w:r>
            <w:proofErr w:type="spellEnd"/>
          </w:p>
        </w:tc>
        <w:tc>
          <w:tcPr>
            <w:tcW w:w="1417" w:type="dxa"/>
            <w:tcBorders>
              <w:top w:val="single" w:sz="4" w:space="0" w:color="auto"/>
              <w:bottom w:val="single" w:sz="4" w:space="0" w:color="auto"/>
            </w:tcBorders>
            <w:shd w:val="clear" w:color="auto" w:fill="D9D9D9"/>
            <w:vAlign w:val="center"/>
          </w:tcPr>
          <w:p w:rsidR="005253AC" w:rsidRPr="000D5690" w:rsidRDefault="005253AC" w:rsidP="00E658B6">
            <w:pPr>
              <w:jc w:val="left"/>
              <w:rPr>
                <w:rFonts w:eastAsia="MS Mincho" w:cs="Arial"/>
                <w:dstrike/>
                <w:sz w:val="16"/>
                <w:szCs w:val="16"/>
                <w:lang w:eastAsia="ja-JP"/>
              </w:rPr>
            </w:pPr>
            <w:r w:rsidRPr="000D5690">
              <w:rPr>
                <w:rFonts w:eastAsia="MS Mincho" w:cs="Arial"/>
                <w:sz w:val="16"/>
                <w:szCs w:val="16"/>
                <w:lang w:eastAsia="ja-JP"/>
              </w:rPr>
              <w:t>Deutsch</w:t>
            </w:r>
          </w:p>
        </w:tc>
        <w:tc>
          <w:tcPr>
            <w:tcW w:w="1418" w:type="dxa"/>
            <w:tcBorders>
              <w:top w:val="single" w:sz="4" w:space="0" w:color="auto"/>
              <w:bottom w:val="single" w:sz="4" w:space="0" w:color="auto"/>
            </w:tcBorders>
            <w:shd w:val="clear" w:color="auto" w:fill="D9D9D9"/>
            <w:vAlign w:val="center"/>
          </w:tcPr>
          <w:p w:rsidR="005253AC" w:rsidRPr="000D5690" w:rsidRDefault="005253AC" w:rsidP="00E658B6">
            <w:pPr>
              <w:jc w:val="left"/>
              <w:rPr>
                <w:rFonts w:eastAsia="MS Mincho" w:cs="Arial"/>
                <w:dstrike/>
                <w:sz w:val="16"/>
                <w:szCs w:val="16"/>
                <w:lang w:eastAsia="ja-JP"/>
              </w:rPr>
            </w:pPr>
            <w:proofErr w:type="spellStart"/>
            <w:r w:rsidRPr="000D5690">
              <w:rPr>
                <w:rFonts w:eastAsia="MS Mincho" w:cs="Arial"/>
                <w:sz w:val="16"/>
                <w:szCs w:val="16"/>
                <w:lang w:eastAsia="ja-JP"/>
              </w:rPr>
              <w:t>Español</w:t>
            </w:r>
            <w:proofErr w:type="spellEnd"/>
          </w:p>
        </w:tc>
        <w:tc>
          <w:tcPr>
            <w:tcW w:w="1700" w:type="dxa"/>
            <w:tcBorders>
              <w:top w:val="single" w:sz="4" w:space="0" w:color="auto"/>
              <w:bottom w:val="single" w:sz="4" w:space="0" w:color="auto"/>
            </w:tcBorders>
            <w:shd w:val="clear" w:color="auto" w:fill="D9D9D9"/>
            <w:vAlign w:val="center"/>
          </w:tcPr>
          <w:p w:rsidR="005253AC" w:rsidRPr="000D5690" w:rsidRDefault="005253AC" w:rsidP="00E658B6">
            <w:pPr>
              <w:jc w:val="left"/>
              <w:rPr>
                <w:rFonts w:eastAsia="MS Mincho" w:cs="Arial"/>
                <w:sz w:val="16"/>
                <w:szCs w:val="16"/>
                <w:lang w:eastAsia="ja-JP"/>
              </w:rPr>
            </w:pPr>
            <w:r w:rsidRPr="000D5690">
              <w:rPr>
                <w:rFonts w:eastAsia="MS Mincho" w:cs="Arial"/>
                <w:sz w:val="16"/>
                <w:szCs w:val="16"/>
                <w:lang w:eastAsia="ja-JP"/>
              </w:rPr>
              <w:t>Botanical name</w:t>
            </w:r>
          </w:p>
        </w:tc>
      </w:tr>
      <w:tr w:rsidR="005253AC" w:rsidRPr="00E30CEB" w:rsidTr="00E658B6">
        <w:trPr>
          <w:cantSplit/>
          <w:trHeight w:val="255"/>
        </w:trPr>
        <w:tc>
          <w:tcPr>
            <w:tcW w:w="9934" w:type="dxa"/>
            <w:gridSpan w:val="9"/>
            <w:tcBorders>
              <w:top w:val="single" w:sz="4" w:space="0" w:color="auto"/>
              <w:left w:val="single" w:sz="4" w:space="0" w:color="auto"/>
              <w:bottom w:val="single" w:sz="4" w:space="0" w:color="auto"/>
              <w:right w:val="single" w:sz="4" w:space="0" w:color="auto"/>
            </w:tcBorders>
            <w:shd w:val="clear" w:color="auto" w:fill="auto"/>
            <w:noWrap/>
          </w:tcPr>
          <w:p w:rsidR="005253AC" w:rsidRPr="000D5690" w:rsidRDefault="005253AC" w:rsidP="00E658B6">
            <w:pPr>
              <w:spacing w:before="120" w:after="120"/>
              <w:ind w:left="-36"/>
              <w:jc w:val="left"/>
              <w:rPr>
                <w:rFonts w:eastAsia="MS Mincho" w:cs="Arial"/>
                <w:bCs/>
                <w:sz w:val="16"/>
                <w:szCs w:val="16"/>
                <w:u w:val="single"/>
                <w:lang w:val="fr-FR" w:eastAsia="ja-JP"/>
              </w:rPr>
            </w:pPr>
            <w:r w:rsidRPr="000D5690">
              <w:rPr>
                <w:rFonts w:cs="Arial"/>
                <w:bCs/>
                <w:sz w:val="16"/>
                <w:szCs w:val="16"/>
                <w:u w:val="single"/>
                <w:lang w:val="fr-FR"/>
              </w:rPr>
              <w:t>NEW TEST GUIDELINES / NOUVEAUX PRINCIPES DIRECTEURS D’EXAMEN / NEUE PRÜFUNGSRICHTILINIEN /</w:t>
            </w:r>
            <w:r w:rsidRPr="000D5690">
              <w:rPr>
                <w:rFonts w:cs="Arial"/>
                <w:bCs/>
                <w:sz w:val="16"/>
                <w:szCs w:val="16"/>
                <w:u w:val="single"/>
                <w:lang w:val="fr-FR"/>
              </w:rPr>
              <w:br/>
              <w:t>NUEVAS DIRECTRICES DE EXAMEN</w:t>
            </w:r>
          </w:p>
        </w:tc>
      </w:tr>
      <w:tr w:rsidR="005253AC" w:rsidRPr="000D5690" w:rsidTr="00E658B6">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5253AC" w:rsidRPr="000D5690" w:rsidRDefault="005253AC" w:rsidP="00E658B6">
            <w:pPr>
              <w:rPr>
                <w:rFonts w:cs="Arial"/>
                <w:dstrike/>
                <w:sz w:val="16"/>
                <w:szCs w:val="16"/>
              </w:rPr>
            </w:pPr>
            <w:r w:rsidRPr="000D5690">
              <w:rPr>
                <w:rFonts w:cs="Arial"/>
                <w:sz w:val="16"/>
                <w:szCs w:val="16"/>
              </w:rPr>
              <w:t>BR</w:t>
            </w:r>
          </w:p>
        </w:tc>
        <w:tc>
          <w:tcPr>
            <w:tcW w:w="590"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rPr>
                <w:rFonts w:cs="Arial"/>
                <w:dstrike/>
                <w:color w:val="000000"/>
                <w:sz w:val="16"/>
                <w:szCs w:val="16"/>
              </w:rPr>
            </w:pPr>
            <w:r w:rsidRPr="000D5690">
              <w:rPr>
                <w:rFonts w:cs="Arial"/>
                <w:color w:val="000000"/>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ind w:left="-36"/>
              <w:jc w:val="left"/>
              <w:rPr>
                <w:rFonts w:cs="Arial"/>
                <w:dstrike/>
                <w:spacing w:val="-6"/>
                <w:sz w:val="16"/>
                <w:szCs w:val="16"/>
              </w:rPr>
            </w:pPr>
            <w:r w:rsidRPr="000D5690">
              <w:rPr>
                <w:rFonts w:cs="Arial"/>
                <w:spacing w:val="-6"/>
                <w:sz w:val="16"/>
                <w:szCs w:val="16"/>
              </w:rPr>
              <w:t>TG/COCOS(proj.6)</w:t>
            </w:r>
          </w:p>
        </w:tc>
        <w:tc>
          <w:tcPr>
            <w:tcW w:w="1417" w:type="dxa"/>
            <w:gridSpan w:val="2"/>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szCs w:val="16"/>
              </w:rPr>
            </w:pPr>
            <w:r w:rsidRPr="000D5690">
              <w:rPr>
                <w:rFonts w:cs="Arial"/>
                <w:sz w:val="16"/>
                <w:szCs w:val="16"/>
              </w:rPr>
              <w:t>Coconut</w:t>
            </w:r>
          </w:p>
        </w:tc>
        <w:tc>
          <w:tcPr>
            <w:tcW w:w="1418"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szCs w:val="16"/>
              </w:rPr>
            </w:pPr>
            <w:proofErr w:type="spellStart"/>
            <w:r w:rsidRPr="000D5690">
              <w:rPr>
                <w:rFonts w:cs="Arial"/>
                <w:sz w:val="16"/>
                <w:szCs w:val="16"/>
              </w:rPr>
              <w:t>Cocotier</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szCs w:val="16"/>
              </w:rPr>
            </w:pPr>
            <w:proofErr w:type="spellStart"/>
            <w:r w:rsidRPr="000D5690">
              <w:rPr>
                <w:rFonts w:cs="Arial"/>
                <w:sz w:val="16"/>
                <w:szCs w:val="16"/>
              </w:rPr>
              <w:t>Kokosnuß</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szCs w:val="16"/>
              </w:rPr>
            </w:pPr>
            <w:proofErr w:type="spellStart"/>
            <w:r w:rsidRPr="000D5690">
              <w:rPr>
                <w:rFonts w:cs="Arial"/>
                <w:sz w:val="16"/>
                <w:szCs w:val="16"/>
              </w:rPr>
              <w:t>Cocotero</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sz w:val="16"/>
                <w:szCs w:val="16"/>
              </w:rPr>
            </w:pPr>
            <w:r w:rsidRPr="000D5690">
              <w:rPr>
                <w:rFonts w:cs="Arial"/>
                <w:sz w:val="16"/>
                <w:szCs w:val="16"/>
              </w:rPr>
              <w:t xml:space="preserve">Cocos </w:t>
            </w:r>
            <w:proofErr w:type="spellStart"/>
            <w:r w:rsidRPr="000D5690">
              <w:rPr>
                <w:rFonts w:cs="Arial"/>
                <w:sz w:val="16"/>
                <w:szCs w:val="16"/>
              </w:rPr>
              <w:t>nucifera</w:t>
            </w:r>
            <w:proofErr w:type="spellEnd"/>
            <w:r w:rsidRPr="000D5690">
              <w:rPr>
                <w:rFonts w:cs="Arial"/>
                <w:sz w:val="16"/>
                <w:szCs w:val="16"/>
              </w:rPr>
              <w:t xml:space="preserve"> L.</w:t>
            </w:r>
          </w:p>
        </w:tc>
      </w:tr>
      <w:tr w:rsidR="005253AC" w:rsidRPr="000D5690" w:rsidTr="00E658B6">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5253AC" w:rsidRPr="000D5690" w:rsidRDefault="005253AC" w:rsidP="00E658B6">
            <w:pPr>
              <w:rPr>
                <w:rFonts w:cs="Arial"/>
                <w:dstrike/>
                <w:sz w:val="16"/>
                <w:szCs w:val="16"/>
              </w:rPr>
            </w:pPr>
            <w:r w:rsidRPr="000D5690">
              <w:rPr>
                <w:rFonts w:cs="Arial"/>
                <w:sz w:val="16"/>
                <w:szCs w:val="16"/>
              </w:rPr>
              <w:t>NZ</w:t>
            </w:r>
          </w:p>
        </w:tc>
        <w:tc>
          <w:tcPr>
            <w:tcW w:w="590"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rPr>
                <w:rFonts w:cs="Arial"/>
                <w:dstrike/>
                <w:color w:val="000000"/>
                <w:sz w:val="16"/>
                <w:szCs w:val="16"/>
              </w:rPr>
            </w:pPr>
            <w:r w:rsidRPr="000D5690">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ind w:left="-36"/>
              <w:jc w:val="left"/>
              <w:rPr>
                <w:rFonts w:cs="Arial"/>
                <w:dstrike/>
                <w:spacing w:val="-6"/>
                <w:sz w:val="16"/>
                <w:szCs w:val="16"/>
              </w:rPr>
            </w:pPr>
            <w:r w:rsidRPr="000D5690">
              <w:rPr>
                <w:rFonts w:cs="Arial"/>
                <w:spacing w:val="-6"/>
                <w:sz w:val="16"/>
                <w:szCs w:val="16"/>
              </w:rPr>
              <w:t>TG/CORDY(proj.5)</w:t>
            </w:r>
          </w:p>
        </w:tc>
        <w:tc>
          <w:tcPr>
            <w:tcW w:w="1417" w:type="dxa"/>
            <w:gridSpan w:val="2"/>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szCs w:val="16"/>
              </w:rPr>
            </w:pPr>
            <w:proofErr w:type="spellStart"/>
            <w:r w:rsidRPr="000D5690">
              <w:rPr>
                <w:rFonts w:cs="Arial"/>
                <w:sz w:val="16"/>
                <w:szCs w:val="16"/>
              </w:rPr>
              <w:t>Cordyline</w:t>
            </w:r>
            <w:proofErr w:type="spellEnd"/>
            <w:r w:rsidRPr="000D5690">
              <w:rPr>
                <w:rFonts w:cs="Arial"/>
                <w:sz w:val="16"/>
                <w:szCs w:val="16"/>
              </w:rPr>
              <w:t xml:space="preserve">, Cabbage Tree, </w:t>
            </w:r>
            <w:proofErr w:type="spellStart"/>
            <w:r w:rsidRPr="000D5690">
              <w:rPr>
                <w:rFonts w:cs="Arial"/>
                <w:sz w:val="16"/>
                <w:szCs w:val="16"/>
              </w:rPr>
              <w:t>Torquay</w:t>
            </w:r>
            <w:proofErr w:type="spellEnd"/>
            <w:r w:rsidRPr="000D5690">
              <w:rPr>
                <w:rFonts w:cs="Arial"/>
                <w:sz w:val="16"/>
                <w:szCs w:val="16"/>
              </w:rPr>
              <w:t xml:space="preserve"> Palm</w:t>
            </w:r>
          </w:p>
        </w:tc>
        <w:tc>
          <w:tcPr>
            <w:tcW w:w="1418"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szCs w:val="16"/>
              </w:rPr>
            </w:pPr>
            <w:proofErr w:type="spellStart"/>
            <w:r w:rsidRPr="000D5690">
              <w:rPr>
                <w:rFonts w:cs="Arial"/>
                <w:sz w:val="16"/>
                <w:szCs w:val="16"/>
              </w:rPr>
              <w:t>Cordyline</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szCs w:val="16"/>
              </w:rPr>
            </w:pPr>
            <w:proofErr w:type="spellStart"/>
            <w:r w:rsidRPr="000D5690">
              <w:rPr>
                <w:rFonts w:cs="Arial"/>
                <w:sz w:val="16"/>
                <w:szCs w:val="16"/>
              </w:rPr>
              <w:t>Cordyline</w:t>
            </w:r>
            <w:proofErr w:type="spellEnd"/>
            <w:r w:rsidRPr="000D5690">
              <w:rPr>
                <w:rFonts w:cs="Arial"/>
                <w:sz w:val="16"/>
                <w:szCs w:val="16"/>
              </w:rPr>
              <w:t xml:space="preserve">; </w:t>
            </w:r>
            <w:proofErr w:type="spellStart"/>
            <w:r w:rsidRPr="000D5690">
              <w:rPr>
                <w:rFonts w:cs="Arial"/>
                <w:sz w:val="16"/>
                <w:szCs w:val="16"/>
              </w:rPr>
              <w:t>Keulenbaum</w:t>
            </w:r>
            <w:proofErr w:type="spellEnd"/>
            <w:r w:rsidRPr="000D5690">
              <w:rPr>
                <w:rFonts w:cs="Arial"/>
                <w:sz w:val="16"/>
                <w:szCs w:val="16"/>
              </w:rPr>
              <w:t xml:space="preserve">; </w:t>
            </w:r>
            <w:proofErr w:type="spellStart"/>
            <w:r w:rsidRPr="000D5690">
              <w:rPr>
                <w:rFonts w:cs="Arial"/>
                <w:sz w:val="16"/>
                <w:szCs w:val="16"/>
              </w:rPr>
              <w:t>Keulenlilie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szCs w:val="16"/>
              </w:rPr>
            </w:pPr>
            <w:proofErr w:type="spellStart"/>
            <w:r w:rsidRPr="000D5690">
              <w:rPr>
                <w:rFonts w:cs="Arial"/>
                <w:sz w:val="16"/>
                <w:szCs w:val="16"/>
              </w:rPr>
              <w:t>Cordyline</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sz w:val="16"/>
                <w:szCs w:val="16"/>
              </w:rPr>
            </w:pPr>
            <w:proofErr w:type="spellStart"/>
            <w:r w:rsidRPr="000D5690">
              <w:rPr>
                <w:rFonts w:cs="Arial"/>
                <w:sz w:val="16"/>
                <w:szCs w:val="16"/>
              </w:rPr>
              <w:t>Cordyline</w:t>
            </w:r>
            <w:proofErr w:type="spellEnd"/>
            <w:r w:rsidRPr="000D5690">
              <w:rPr>
                <w:rFonts w:cs="Arial"/>
                <w:sz w:val="16"/>
                <w:szCs w:val="16"/>
              </w:rPr>
              <w:t xml:space="preserve"> Comm. ex </w:t>
            </w:r>
            <w:proofErr w:type="spellStart"/>
            <w:r w:rsidRPr="000D5690">
              <w:rPr>
                <w:rFonts w:cs="Arial"/>
                <w:sz w:val="16"/>
                <w:szCs w:val="16"/>
              </w:rPr>
              <w:t>Juss</w:t>
            </w:r>
            <w:proofErr w:type="spellEnd"/>
            <w:r w:rsidRPr="000D5690">
              <w:rPr>
                <w:rFonts w:cs="Arial"/>
                <w:sz w:val="16"/>
                <w:szCs w:val="16"/>
              </w:rPr>
              <w:t xml:space="preserve">. </w:t>
            </w:r>
            <w:proofErr w:type="gramStart"/>
            <w:r w:rsidRPr="000D5690">
              <w:rPr>
                <w:rFonts w:cs="Arial"/>
                <w:sz w:val="16"/>
                <w:szCs w:val="16"/>
              </w:rPr>
              <w:t>excluding</w:t>
            </w:r>
            <w:proofErr w:type="gramEnd"/>
            <w:r w:rsidRPr="000D5690">
              <w:rPr>
                <w:rFonts w:cs="Arial"/>
                <w:sz w:val="16"/>
                <w:szCs w:val="16"/>
              </w:rPr>
              <w:t xml:space="preserve"> C. </w:t>
            </w:r>
            <w:proofErr w:type="spellStart"/>
            <w:r w:rsidRPr="000D5690">
              <w:rPr>
                <w:rFonts w:cs="Arial"/>
                <w:sz w:val="16"/>
                <w:szCs w:val="16"/>
              </w:rPr>
              <w:t>brasiliensis</w:t>
            </w:r>
            <w:proofErr w:type="spellEnd"/>
            <w:r w:rsidRPr="000D5690">
              <w:rPr>
                <w:rFonts w:cs="Arial"/>
                <w:sz w:val="16"/>
                <w:szCs w:val="16"/>
              </w:rPr>
              <w:t xml:space="preserve"> Planch. </w:t>
            </w:r>
            <w:proofErr w:type="gramStart"/>
            <w:r w:rsidRPr="000D5690">
              <w:rPr>
                <w:rFonts w:cs="Arial"/>
                <w:sz w:val="16"/>
                <w:szCs w:val="16"/>
              </w:rPr>
              <w:t>and</w:t>
            </w:r>
            <w:proofErr w:type="gramEnd"/>
            <w:r w:rsidRPr="000D5690">
              <w:rPr>
                <w:rFonts w:cs="Arial"/>
                <w:sz w:val="16"/>
                <w:szCs w:val="16"/>
              </w:rPr>
              <w:t xml:space="preserve"> C. </w:t>
            </w:r>
            <w:proofErr w:type="spellStart"/>
            <w:r w:rsidRPr="000D5690">
              <w:rPr>
                <w:rFonts w:cs="Arial"/>
                <w:sz w:val="16"/>
                <w:szCs w:val="16"/>
              </w:rPr>
              <w:t>fruticosa</w:t>
            </w:r>
            <w:proofErr w:type="spellEnd"/>
            <w:r w:rsidRPr="000D5690">
              <w:rPr>
                <w:rFonts w:cs="Arial"/>
                <w:sz w:val="16"/>
                <w:szCs w:val="16"/>
              </w:rPr>
              <w:t xml:space="preserve"> (L.) A. Chev.</w:t>
            </w:r>
          </w:p>
        </w:tc>
      </w:tr>
      <w:tr w:rsidR="005253AC" w:rsidRPr="000D5690" w:rsidTr="00E658B6">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5253AC" w:rsidRPr="000D5690" w:rsidRDefault="005253AC" w:rsidP="00E658B6">
            <w:pPr>
              <w:rPr>
                <w:rFonts w:cs="Arial"/>
                <w:dstrike/>
                <w:sz w:val="16"/>
                <w:szCs w:val="16"/>
              </w:rPr>
            </w:pPr>
            <w:r w:rsidRPr="000D5690">
              <w:rPr>
                <w:rFonts w:cs="Arial"/>
                <w:sz w:val="16"/>
                <w:szCs w:val="16"/>
              </w:rPr>
              <w:t>MX</w:t>
            </w:r>
          </w:p>
        </w:tc>
        <w:tc>
          <w:tcPr>
            <w:tcW w:w="590"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rPr>
                <w:rFonts w:cs="Arial"/>
                <w:dstrike/>
                <w:color w:val="000000"/>
                <w:sz w:val="16"/>
                <w:szCs w:val="16"/>
              </w:rPr>
            </w:pPr>
            <w:r w:rsidRPr="000D5690">
              <w:rPr>
                <w:rFonts w:cs="Arial"/>
                <w:color w:val="000000"/>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ind w:left="-36"/>
              <w:jc w:val="left"/>
              <w:rPr>
                <w:rFonts w:cs="Arial"/>
                <w:dstrike/>
                <w:sz w:val="16"/>
                <w:szCs w:val="16"/>
              </w:rPr>
            </w:pPr>
            <w:r w:rsidRPr="000D5690">
              <w:rPr>
                <w:rFonts w:cs="Arial"/>
                <w:sz w:val="16"/>
                <w:szCs w:val="16"/>
              </w:rPr>
              <w:t>TG/PERSE (proj.4) (Rootstock)</w:t>
            </w:r>
          </w:p>
        </w:tc>
        <w:tc>
          <w:tcPr>
            <w:tcW w:w="1417" w:type="dxa"/>
            <w:gridSpan w:val="2"/>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szCs w:val="16"/>
              </w:rPr>
            </w:pPr>
            <w:r w:rsidRPr="000D5690">
              <w:rPr>
                <w:rFonts w:cs="Arial"/>
                <w:sz w:val="16"/>
                <w:szCs w:val="16"/>
              </w:rPr>
              <w:t xml:space="preserve">Avocado; </w:t>
            </w:r>
            <w:proofErr w:type="spellStart"/>
            <w:r w:rsidRPr="000D5690">
              <w:rPr>
                <w:rFonts w:cs="Arial"/>
                <w:sz w:val="16"/>
                <w:szCs w:val="16"/>
              </w:rPr>
              <w:t>Coyo</w:t>
            </w:r>
            <w:proofErr w:type="spellEnd"/>
            <w:r w:rsidRPr="000D5690">
              <w:rPr>
                <w:rFonts w:cs="Arial"/>
                <w:sz w:val="16"/>
                <w:szCs w:val="16"/>
              </w:rPr>
              <w:t xml:space="preserve"> avocado (rootstock)</w:t>
            </w:r>
          </w:p>
        </w:tc>
        <w:tc>
          <w:tcPr>
            <w:tcW w:w="1418"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szCs w:val="16"/>
              </w:rPr>
            </w:pPr>
            <w:proofErr w:type="spellStart"/>
            <w:r w:rsidRPr="000D5690">
              <w:rPr>
                <w:rFonts w:cs="Arial"/>
                <w:sz w:val="16"/>
                <w:szCs w:val="16"/>
              </w:rPr>
              <w:t>Avocatier</w:t>
            </w:r>
            <w:proofErr w:type="spellEnd"/>
            <w:r w:rsidRPr="000D5690">
              <w:rPr>
                <w:rFonts w:cs="Arial"/>
                <w:sz w:val="16"/>
                <w:szCs w:val="16"/>
              </w:rPr>
              <w:t xml:space="preserve"> (Porte-</w:t>
            </w:r>
            <w:proofErr w:type="spellStart"/>
            <w:r w:rsidRPr="000D5690">
              <w:rPr>
                <w:rFonts w:cs="Arial"/>
                <w:sz w:val="16"/>
                <w:szCs w:val="16"/>
              </w:rPr>
              <w:t>greffe</w:t>
            </w:r>
            <w:proofErr w:type="spellEnd"/>
            <w:r w:rsidRPr="000D5690">
              <w:rPr>
                <w:rFonts w:cs="Arial"/>
                <w:sz w:val="16"/>
                <w:szCs w:val="16"/>
              </w:rPr>
              <w:t>)</w:t>
            </w:r>
          </w:p>
        </w:tc>
        <w:tc>
          <w:tcPr>
            <w:tcW w:w="1417"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szCs w:val="16"/>
              </w:rPr>
            </w:pPr>
            <w:r w:rsidRPr="000D5690">
              <w:rPr>
                <w:rFonts w:cs="Arial"/>
                <w:sz w:val="16"/>
                <w:szCs w:val="16"/>
              </w:rPr>
              <w:t xml:space="preserve">Avocado; </w:t>
            </w:r>
            <w:proofErr w:type="spellStart"/>
            <w:r w:rsidRPr="000D5690">
              <w:rPr>
                <w:rFonts w:cs="Arial"/>
                <w:sz w:val="16"/>
                <w:szCs w:val="16"/>
              </w:rPr>
              <w:t>wilde</w:t>
            </w:r>
            <w:proofErr w:type="spellEnd"/>
            <w:r w:rsidRPr="000D5690">
              <w:rPr>
                <w:rFonts w:cs="Arial"/>
                <w:sz w:val="16"/>
                <w:szCs w:val="16"/>
              </w:rPr>
              <w:t xml:space="preserve"> Avocado (</w:t>
            </w:r>
            <w:proofErr w:type="spellStart"/>
            <w:r w:rsidRPr="000D5690">
              <w:rPr>
                <w:rFonts w:cs="Arial"/>
                <w:sz w:val="16"/>
                <w:szCs w:val="16"/>
              </w:rPr>
              <w:t>Unterlagen</w:t>
            </w:r>
            <w:proofErr w:type="spellEnd"/>
            <w:r w:rsidRPr="000D5690">
              <w:rPr>
                <w:rFonts w:cs="Arial"/>
                <w:sz w:val="16"/>
                <w:szCs w:val="16"/>
              </w:rPr>
              <w:t>)</w:t>
            </w:r>
          </w:p>
        </w:tc>
        <w:tc>
          <w:tcPr>
            <w:tcW w:w="1418"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szCs w:val="16"/>
                <w:lang w:val="es-ES"/>
              </w:rPr>
            </w:pPr>
            <w:r w:rsidRPr="000D5690">
              <w:rPr>
                <w:rFonts w:cs="Arial"/>
                <w:sz w:val="16"/>
                <w:szCs w:val="16"/>
                <w:lang w:val="es-ES"/>
              </w:rPr>
              <w:t xml:space="preserve">Aguacate, Palta;  </w:t>
            </w:r>
            <w:proofErr w:type="spellStart"/>
            <w:r w:rsidRPr="000D5690">
              <w:rPr>
                <w:rFonts w:cs="Arial"/>
                <w:sz w:val="16"/>
                <w:szCs w:val="16"/>
                <w:lang w:val="es-ES"/>
              </w:rPr>
              <w:t>Chinini</w:t>
            </w:r>
            <w:proofErr w:type="spellEnd"/>
            <w:r w:rsidRPr="000D5690">
              <w:rPr>
                <w:rFonts w:cs="Arial"/>
                <w:sz w:val="16"/>
                <w:szCs w:val="16"/>
                <w:lang w:val="es-ES"/>
              </w:rPr>
              <w:t xml:space="preserve">; </w:t>
            </w:r>
            <w:proofErr w:type="spellStart"/>
            <w:r w:rsidRPr="000D5690">
              <w:rPr>
                <w:rFonts w:cs="Arial"/>
                <w:sz w:val="16"/>
                <w:szCs w:val="16"/>
                <w:lang w:val="es-ES"/>
              </w:rPr>
              <w:t>Coyó</w:t>
            </w:r>
            <w:proofErr w:type="spellEnd"/>
            <w:r w:rsidRPr="000D5690">
              <w:rPr>
                <w:rFonts w:cs="Arial"/>
                <w:sz w:val="16"/>
                <w:szCs w:val="16"/>
                <w:lang w:val="es-ES"/>
              </w:rPr>
              <w:t xml:space="preserve"> (Porta injerto)</w:t>
            </w:r>
          </w:p>
        </w:tc>
        <w:tc>
          <w:tcPr>
            <w:tcW w:w="1700"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sz w:val="16"/>
                <w:szCs w:val="16"/>
              </w:rPr>
            </w:pPr>
            <w:proofErr w:type="spellStart"/>
            <w:r w:rsidRPr="000D5690">
              <w:rPr>
                <w:rFonts w:cs="Arial"/>
                <w:sz w:val="16"/>
                <w:szCs w:val="16"/>
              </w:rPr>
              <w:t>Persea</w:t>
            </w:r>
            <w:proofErr w:type="spellEnd"/>
            <w:r w:rsidRPr="000D5690">
              <w:rPr>
                <w:rFonts w:cs="Arial"/>
                <w:sz w:val="16"/>
                <w:szCs w:val="16"/>
              </w:rPr>
              <w:t xml:space="preserve"> </w:t>
            </w:r>
            <w:proofErr w:type="spellStart"/>
            <w:r w:rsidRPr="000D5690">
              <w:rPr>
                <w:rFonts w:cs="Arial"/>
                <w:sz w:val="16"/>
                <w:szCs w:val="16"/>
              </w:rPr>
              <w:t>americana</w:t>
            </w:r>
            <w:proofErr w:type="spellEnd"/>
            <w:r w:rsidRPr="000D5690">
              <w:rPr>
                <w:rFonts w:cs="Arial"/>
                <w:sz w:val="16"/>
                <w:szCs w:val="16"/>
              </w:rPr>
              <w:t xml:space="preserve"> Mill.; </w:t>
            </w:r>
            <w:proofErr w:type="spellStart"/>
            <w:r w:rsidRPr="000D5690">
              <w:rPr>
                <w:rFonts w:cs="Arial"/>
                <w:sz w:val="16"/>
                <w:szCs w:val="16"/>
              </w:rPr>
              <w:t>Persea</w:t>
            </w:r>
            <w:proofErr w:type="spellEnd"/>
            <w:r w:rsidRPr="000D5690">
              <w:rPr>
                <w:rFonts w:cs="Arial"/>
                <w:sz w:val="16"/>
                <w:szCs w:val="16"/>
              </w:rPr>
              <w:t xml:space="preserve"> </w:t>
            </w:r>
            <w:proofErr w:type="spellStart"/>
            <w:r w:rsidRPr="000D5690">
              <w:rPr>
                <w:rFonts w:cs="Arial"/>
                <w:sz w:val="16"/>
                <w:szCs w:val="16"/>
              </w:rPr>
              <w:t>schiedeana</w:t>
            </w:r>
            <w:proofErr w:type="spellEnd"/>
            <w:r w:rsidRPr="000D5690">
              <w:rPr>
                <w:rFonts w:cs="Arial"/>
                <w:sz w:val="16"/>
                <w:szCs w:val="16"/>
              </w:rPr>
              <w:t xml:space="preserve"> </w:t>
            </w:r>
            <w:proofErr w:type="spellStart"/>
            <w:r w:rsidRPr="000D5690">
              <w:rPr>
                <w:rFonts w:cs="Arial"/>
                <w:sz w:val="16"/>
                <w:szCs w:val="16"/>
              </w:rPr>
              <w:t>Nees</w:t>
            </w:r>
            <w:proofErr w:type="spellEnd"/>
            <w:r w:rsidRPr="000D5690">
              <w:rPr>
                <w:rFonts w:cs="Arial"/>
                <w:sz w:val="16"/>
                <w:szCs w:val="16"/>
              </w:rPr>
              <w:t xml:space="preserve"> (Rootstock)</w:t>
            </w:r>
          </w:p>
        </w:tc>
      </w:tr>
      <w:tr w:rsidR="005253AC" w:rsidRPr="000D5690" w:rsidTr="00E658B6">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5253AC" w:rsidRPr="000D5690" w:rsidRDefault="005253AC" w:rsidP="00E658B6">
            <w:pPr>
              <w:rPr>
                <w:rFonts w:cs="Arial"/>
                <w:dstrike/>
                <w:sz w:val="16"/>
                <w:szCs w:val="16"/>
              </w:rPr>
            </w:pPr>
            <w:r w:rsidRPr="000D5690">
              <w:rPr>
                <w:rFonts w:cs="Arial"/>
                <w:sz w:val="16"/>
                <w:szCs w:val="16"/>
              </w:rPr>
              <w:t>ZA</w:t>
            </w:r>
          </w:p>
        </w:tc>
        <w:tc>
          <w:tcPr>
            <w:tcW w:w="590"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rPr>
                <w:rFonts w:cs="Arial"/>
                <w:dstrike/>
                <w:color w:val="000000"/>
                <w:sz w:val="16"/>
                <w:szCs w:val="16"/>
              </w:rPr>
            </w:pPr>
            <w:r w:rsidRPr="000D5690">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ind w:left="-36"/>
              <w:jc w:val="left"/>
              <w:rPr>
                <w:rFonts w:cs="Arial"/>
                <w:dstrike/>
                <w:sz w:val="16"/>
                <w:szCs w:val="16"/>
              </w:rPr>
            </w:pPr>
            <w:r w:rsidRPr="000D5690">
              <w:rPr>
                <w:rFonts w:cs="Arial"/>
                <w:sz w:val="16"/>
                <w:szCs w:val="16"/>
              </w:rPr>
              <w:t>TG/PLECT(proj.4)</w:t>
            </w:r>
          </w:p>
        </w:tc>
        <w:tc>
          <w:tcPr>
            <w:tcW w:w="1417" w:type="dxa"/>
            <w:gridSpan w:val="2"/>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szCs w:val="16"/>
              </w:rPr>
            </w:pPr>
            <w:proofErr w:type="spellStart"/>
            <w:r w:rsidRPr="000D5690">
              <w:rPr>
                <w:rFonts w:cs="Arial"/>
                <w:sz w:val="16"/>
                <w:szCs w:val="16"/>
              </w:rPr>
              <w:t>Plectranthus</w:t>
            </w:r>
            <w:proofErr w:type="spellEnd"/>
            <w:r w:rsidRPr="000D5690">
              <w:rPr>
                <w:rFonts w:cs="Arial"/>
                <w:sz w:val="16"/>
                <w:szCs w:val="16"/>
              </w:rPr>
              <w:t>, Spur Flower</w:t>
            </w:r>
          </w:p>
        </w:tc>
        <w:tc>
          <w:tcPr>
            <w:tcW w:w="1418"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szCs w:val="16"/>
              </w:rPr>
            </w:pPr>
            <w:proofErr w:type="spellStart"/>
            <w:r w:rsidRPr="000D5690">
              <w:rPr>
                <w:rFonts w:cs="Arial"/>
                <w:sz w:val="16"/>
                <w:szCs w:val="16"/>
              </w:rPr>
              <w:t>Plectranthe</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szCs w:val="16"/>
              </w:rPr>
            </w:pPr>
            <w:proofErr w:type="spellStart"/>
            <w:r w:rsidRPr="000D5690">
              <w:rPr>
                <w:rFonts w:cs="Arial"/>
                <w:sz w:val="16"/>
                <w:szCs w:val="16"/>
              </w:rPr>
              <w:t>Harfenstrauch</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szCs w:val="16"/>
              </w:rPr>
            </w:pPr>
            <w:proofErr w:type="spellStart"/>
            <w:r w:rsidRPr="000D5690">
              <w:rPr>
                <w:rFonts w:cs="Arial"/>
                <w:sz w:val="16"/>
                <w:szCs w:val="16"/>
              </w:rPr>
              <w:t>Plectranthus</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sz w:val="16"/>
                <w:szCs w:val="16"/>
              </w:rPr>
            </w:pPr>
            <w:proofErr w:type="spellStart"/>
            <w:r w:rsidRPr="000D5690">
              <w:rPr>
                <w:rFonts w:cs="Arial"/>
                <w:sz w:val="16"/>
                <w:szCs w:val="16"/>
              </w:rPr>
              <w:t>Plectranthus</w:t>
            </w:r>
            <w:proofErr w:type="spellEnd"/>
            <w:r w:rsidRPr="000D5690">
              <w:rPr>
                <w:rFonts w:cs="Arial"/>
                <w:sz w:val="16"/>
                <w:szCs w:val="16"/>
              </w:rPr>
              <w:t xml:space="preserve"> </w:t>
            </w:r>
            <w:proofErr w:type="spellStart"/>
            <w:r w:rsidRPr="000D5690">
              <w:rPr>
                <w:rFonts w:cs="Arial"/>
                <w:sz w:val="16"/>
                <w:szCs w:val="16"/>
              </w:rPr>
              <w:t>L’Hér</w:t>
            </w:r>
            <w:proofErr w:type="spellEnd"/>
            <w:r w:rsidRPr="000D5690">
              <w:rPr>
                <w:rFonts w:cs="Arial"/>
                <w:sz w:val="16"/>
                <w:szCs w:val="16"/>
              </w:rPr>
              <w:t xml:space="preserve">. excluding P. </w:t>
            </w:r>
            <w:proofErr w:type="spellStart"/>
            <w:r w:rsidRPr="000D5690">
              <w:rPr>
                <w:rFonts w:cs="Arial"/>
                <w:sz w:val="16"/>
                <w:szCs w:val="16"/>
              </w:rPr>
              <w:t>scutellarioides</w:t>
            </w:r>
            <w:proofErr w:type="spellEnd"/>
          </w:p>
        </w:tc>
      </w:tr>
      <w:tr w:rsidR="005253AC" w:rsidRPr="000D5690" w:rsidTr="00E658B6">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5253AC" w:rsidRPr="000D5690" w:rsidRDefault="005253AC" w:rsidP="00E658B6">
            <w:pPr>
              <w:rPr>
                <w:rFonts w:cs="Arial"/>
                <w:dstrike/>
                <w:sz w:val="16"/>
                <w:szCs w:val="16"/>
              </w:rPr>
            </w:pPr>
            <w:r w:rsidRPr="000D5690">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rPr>
                <w:rFonts w:cs="Arial"/>
                <w:dstrike/>
                <w:color w:val="000000"/>
                <w:sz w:val="16"/>
                <w:szCs w:val="16"/>
              </w:rPr>
            </w:pPr>
            <w:r w:rsidRPr="000D5690">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ind w:left="-36"/>
              <w:jc w:val="left"/>
              <w:rPr>
                <w:rFonts w:cs="Arial"/>
                <w:dstrike/>
                <w:sz w:val="16"/>
                <w:szCs w:val="16"/>
              </w:rPr>
            </w:pPr>
            <w:r w:rsidRPr="000D5690">
              <w:rPr>
                <w:rFonts w:cs="Arial"/>
                <w:sz w:val="16"/>
                <w:szCs w:val="16"/>
              </w:rPr>
              <w:t>TG/SALVI(proj.5)</w:t>
            </w:r>
          </w:p>
        </w:tc>
        <w:tc>
          <w:tcPr>
            <w:tcW w:w="1417" w:type="dxa"/>
            <w:gridSpan w:val="2"/>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szCs w:val="16"/>
              </w:rPr>
            </w:pPr>
            <w:r w:rsidRPr="000D5690">
              <w:rPr>
                <w:rFonts w:cs="Arial"/>
                <w:sz w:val="16"/>
                <w:szCs w:val="16"/>
              </w:rPr>
              <w:t>Salvia, Sage</w:t>
            </w:r>
          </w:p>
        </w:tc>
        <w:tc>
          <w:tcPr>
            <w:tcW w:w="1418"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szCs w:val="16"/>
              </w:rPr>
            </w:pPr>
            <w:proofErr w:type="spellStart"/>
            <w:r w:rsidRPr="000D5690">
              <w:rPr>
                <w:rFonts w:cs="Arial"/>
                <w:sz w:val="16"/>
                <w:szCs w:val="16"/>
              </w:rPr>
              <w:t>Sauge</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szCs w:val="16"/>
              </w:rPr>
            </w:pPr>
            <w:proofErr w:type="spellStart"/>
            <w:r w:rsidRPr="000D5690">
              <w:rPr>
                <w:rFonts w:cs="Arial"/>
                <w:sz w:val="16"/>
                <w:szCs w:val="16"/>
              </w:rPr>
              <w:t>Salbei</w:t>
            </w:r>
            <w:proofErr w:type="spellEnd"/>
            <w:r w:rsidRPr="000D5690">
              <w:rPr>
                <w:rFonts w:cs="Arial"/>
                <w:sz w:val="16"/>
                <w:szCs w:val="16"/>
              </w:rPr>
              <w:t xml:space="preserve">; </w:t>
            </w:r>
            <w:proofErr w:type="spellStart"/>
            <w:r w:rsidRPr="000D5690">
              <w:rPr>
                <w:rFonts w:cs="Arial"/>
                <w:sz w:val="16"/>
                <w:szCs w:val="16"/>
              </w:rPr>
              <w:t>Salvie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szCs w:val="16"/>
              </w:rPr>
            </w:pPr>
            <w:r w:rsidRPr="000D5690">
              <w:rPr>
                <w:rFonts w:cs="Arial"/>
                <w:sz w:val="16"/>
                <w:szCs w:val="16"/>
              </w:rPr>
              <w:t xml:space="preserve">Salvia </w:t>
            </w:r>
          </w:p>
        </w:tc>
        <w:tc>
          <w:tcPr>
            <w:tcW w:w="1700"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sz w:val="16"/>
                <w:szCs w:val="16"/>
              </w:rPr>
            </w:pPr>
            <w:r w:rsidRPr="000D5690">
              <w:rPr>
                <w:rFonts w:cs="Arial"/>
                <w:sz w:val="16"/>
                <w:szCs w:val="16"/>
              </w:rPr>
              <w:t>Salvia L.</w:t>
            </w:r>
          </w:p>
        </w:tc>
      </w:tr>
      <w:tr w:rsidR="005253AC" w:rsidRPr="00E30CEB" w:rsidTr="00E658B6">
        <w:tblPrEx>
          <w:tblLook w:val="0000" w:firstRow="0" w:lastRow="0" w:firstColumn="0" w:lastColumn="0" w:noHBand="0" w:noVBand="0"/>
        </w:tblPrEx>
        <w:trPr>
          <w:cantSplit/>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5253AC" w:rsidRPr="000D5690" w:rsidRDefault="005253AC" w:rsidP="00E658B6">
            <w:pPr>
              <w:spacing w:before="60" w:after="120"/>
              <w:ind w:left="-36"/>
              <w:jc w:val="left"/>
              <w:rPr>
                <w:rFonts w:eastAsia="MS Mincho" w:cs="Arial"/>
                <w:bCs/>
                <w:sz w:val="16"/>
                <w:szCs w:val="16"/>
                <w:u w:val="single"/>
                <w:lang w:val="fr-FR" w:eastAsia="ja-JP"/>
              </w:rPr>
            </w:pPr>
            <w:r w:rsidRPr="000D5690">
              <w:rPr>
                <w:rFonts w:eastAsia="MS Mincho" w:cs="Arial"/>
                <w:b/>
                <w:bCs/>
                <w:sz w:val="16"/>
                <w:szCs w:val="16"/>
                <w:u w:val="single"/>
                <w:lang w:val="fr-FR" w:eastAsia="ja-JP"/>
              </w:rPr>
              <w:t> </w:t>
            </w:r>
            <w:r w:rsidRPr="000D5690">
              <w:rPr>
                <w:rFonts w:cs="Arial"/>
                <w:bCs/>
                <w:sz w:val="16"/>
                <w:szCs w:val="16"/>
                <w:u w:val="single"/>
                <w:lang w:val="fr-FR"/>
              </w:rPr>
              <w:t xml:space="preserve">REVISIONS OF TEST GUIDELINES / </w:t>
            </w:r>
            <w:r w:rsidRPr="000D5690">
              <w:rPr>
                <w:rFonts w:cs="Arial"/>
                <w:sz w:val="16"/>
                <w:szCs w:val="16"/>
                <w:u w:val="single"/>
                <w:lang w:val="fr-FR"/>
              </w:rPr>
              <w:t>RÉVISIONS DE PRINCIPES DIRECTEURS D’EXAMEN ADOPTÉS / REVISIONEN ANGENOMMENER PRÜFUNGSRICHTLINIEN / REVISIONES DE DIRECTRICES DE EXAMEN ADOPTADAS</w:t>
            </w:r>
          </w:p>
        </w:tc>
      </w:tr>
      <w:tr w:rsidR="005253AC" w:rsidRPr="000D5690" w:rsidTr="00E658B6">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5253AC" w:rsidRPr="000D5690" w:rsidRDefault="005253AC" w:rsidP="00E658B6">
            <w:pPr>
              <w:rPr>
                <w:rFonts w:cs="Arial"/>
                <w:dstrike/>
                <w:sz w:val="16"/>
              </w:rPr>
            </w:pPr>
            <w:r w:rsidRPr="000D5690">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rPr>
                <w:rFonts w:cs="Arial"/>
                <w:dstrike/>
                <w:sz w:val="16"/>
              </w:rPr>
            </w:pPr>
            <w:r w:rsidRPr="000D5690">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ind w:left="-36"/>
              <w:rPr>
                <w:rFonts w:cs="Arial"/>
                <w:dstrike/>
                <w:sz w:val="16"/>
              </w:rPr>
            </w:pPr>
            <w:r w:rsidRPr="000D5690">
              <w:rPr>
                <w:rFonts w:cs="Arial"/>
                <w:sz w:val="16"/>
              </w:rPr>
              <w:t>TG/200/2(proj.4)</w:t>
            </w:r>
          </w:p>
        </w:tc>
        <w:tc>
          <w:tcPr>
            <w:tcW w:w="1275"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rPr>
            </w:pPr>
            <w:r w:rsidRPr="000D5690">
              <w:rPr>
                <w:rFonts w:cs="Arial"/>
                <w:sz w:val="16"/>
              </w:rPr>
              <w:t>Basil</w:t>
            </w:r>
          </w:p>
        </w:tc>
        <w:tc>
          <w:tcPr>
            <w:tcW w:w="1418"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rPr>
            </w:pPr>
            <w:proofErr w:type="spellStart"/>
            <w:r w:rsidRPr="000D5690">
              <w:rPr>
                <w:rFonts w:cs="Arial"/>
                <w:sz w:val="16"/>
              </w:rPr>
              <w:t>Basilic</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rPr>
            </w:pPr>
            <w:proofErr w:type="spellStart"/>
            <w:r w:rsidRPr="000D5690">
              <w:rPr>
                <w:rFonts w:cs="Arial"/>
                <w:sz w:val="16"/>
              </w:rPr>
              <w:t>Basilikum</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rPr>
            </w:pPr>
            <w:proofErr w:type="spellStart"/>
            <w:r w:rsidRPr="000D5690">
              <w:rPr>
                <w:rFonts w:cs="Arial"/>
                <w:sz w:val="16"/>
              </w:rPr>
              <w:t>Albahaca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sz w:val="16"/>
              </w:rPr>
            </w:pPr>
            <w:proofErr w:type="spellStart"/>
            <w:r w:rsidRPr="000D5690">
              <w:rPr>
                <w:rFonts w:cs="Arial"/>
                <w:sz w:val="16"/>
              </w:rPr>
              <w:t>Ocimum</w:t>
            </w:r>
            <w:proofErr w:type="spellEnd"/>
            <w:r w:rsidRPr="000D5690">
              <w:rPr>
                <w:rFonts w:cs="Arial"/>
                <w:sz w:val="16"/>
              </w:rPr>
              <w:t xml:space="preserve"> </w:t>
            </w:r>
            <w:proofErr w:type="spellStart"/>
            <w:r w:rsidRPr="000D5690">
              <w:rPr>
                <w:rFonts w:cs="Arial"/>
                <w:sz w:val="16"/>
              </w:rPr>
              <w:t>basilicum</w:t>
            </w:r>
            <w:proofErr w:type="spellEnd"/>
            <w:r w:rsidRPr="000D5690">
              <w:rPr>
                <w:rFonts w:cs="Arial"/>
                <w:sz w:val="16"/>
              </w:rPr>
              <w:t xml:space="preserve"> L.</w:t>
            </w:r>
          </w:p>
        </w:tc>
      </w:tr>
      <w:tr w:rsidR="005253AC" w:rsidRPr="000D5690" w:rsidTr="00E658B6">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5253AC" w:rsidRPr="000D5690" w:rsidRDefault="005253AC" w:rsidP="00E658B6">
            <w:pPr>
              <w:rPr>
                <w:rFonts w:cs="Arial"/>
                <w:dstrike/>
                <w:sz w:val="16"/>
              </w:rPr>
            </w:pPr>
            <w:r w:rsidRPr="000D5690">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rPr>
                <w:rFonts w:cs="Arial"/>
                <w:dstrike/>
                <w:sz w:val="16"/>
              </w:rPr>
            </w:pPr>
            <w:r w:rsidRPr="000D5690">
              <w:rPr>
                <w:rFonts w:cs="Arial"/>
                <w:sz w:val="16"/>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ind w:left="-36"/>
              <w:rPr>
                <w:rFonts w:cs="Arial"/>
                <w:dstrike/>
                <w:sz w:val="16"/>
              </w:rPr>
            </w:pPr>
            <w:r w:rsidRPr="000D5690">
              <w:rPr>
                <w:rFonts w:cs="Arial"/>
                <w:sz w:val="16"/>
              </w:rPr>
              <w:t>TG/207/2(proj.4)</w:t>
            </w:r>
          </w:p>
        </w:tc>
        <w:tc>
          <w:tcPr>
            <w:tcW w:w="1275"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rPr>
            </w:pPr>
            <w:proofErr w:type="spellStart"/>
            <w:r w:rsidRPr="000D5690">
              <w:rPr>
                <w:rFonts w:cs="Arial"/>
                <w:sz w:val="16"/>
              </w:rPr>
              <w:t>Calibrachoa</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rPr>
            </w:pPr>
            <w:proofErr w:type="spellStart"/>
            <w:r w:rsidRPr="000D5690">
              <w:rPr>
                <w:rFonts w:cs="Arial"/>
                <w:sz w:val="16"/>
              </w:rPr>
              <w:t>Calibrachoa</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rPr>
            </w:pPr>
            <w:proofErr w:type="spellStart"/>
            <w:r w:rsidRPr="000D5690">
              <w:rPr>
                <w:rFonts w:cs="Arial"/>
                <w:sz w:val="16"/>
              </w:rPr>
              <w:t>Calibrachoa</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rPr>
            </w:pPr>
            <w:proofErr w:type="spellStart"/>
            <w:r w:rsidRPr="000D5690">
              <w:rPr>
                <w:rFonts w:cs="Arial"/>
                <w:sz w:val="16"/>
              </w:rPr>
              <w:t>Calibrachoa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sz w:val="16"/>
              </w:rPr>
            </w:pPr>
            <w:proofErr w:type="spellStart"/>
            <w:r w:rsidRPr="000D5690">
              <w:rPr>
                <w:rFonts w:cs="Arial"/>
                <w:sz w:val="16"/>
              </w:rPr>
              <w:t>Calibrachoa</w:t>
            </w:r>
            <w:proofErr w:type="spellEnd"/>
            <w:r w:rsidRPr="000D5690">
              <w:rPr>
                <w:rFonts w:cs="Arial"/>
                <w:sz w:val="16"/>
              </w:rPr>
              <w:t xml:space="preserve"> </w:t>
            </w:r>
            <w:proofErr w:type="spellStart"/>
            <w:r w:rsidRPr="000D5690">
              <w:rPr>
                <w:rFonts w:cs="Arial"/>
                <w:sz w:val="16"/>
              </w:rPr>
              <w:t>Cerv</w:t>
            </w:r>
            <w:proofErr w:type="spellEnd"/>
            <w:r w:rsidRPr="000D5690">
              <w:rPr>
                <w:rFonts w:cs="Arial"/>
                <w:sz w:val="16"/>
              </w:rPr>
              <w:t>.</w:t>
            </w:r>
          </w:p>
        </w:tc>
      </w:tr>
      <w:tr w:rsidR="005253AC" w:rsidRPr="00E30CEB" w:rsidTr="00E658B6">
        <w:tblPrEx>
          <w:tblLook w:val="0000" w:firstRow="0" w:lastRow="0" w:firstColumn="0" w:lastColumn="0" w:noHBand="0" w:noVBand="0"/>
        </w:tblPrEx>
        <w:trPr>
          <w:cantSplit/>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5253AC" w:rsidRPr="000D5690" w:rsidRDefault="005253AC" w:rsidP="00E658B6">
            <w:pPr>
              <w:keepNext/>
              <w:spacing w:before="60" w:after="120"/>
              <w:ind w:left="-36"/>
              <w:jc w:val="left"/>
              <w:rPr>
                <w:rFonts w:eastAsia="MS Mincho" w:cs="Arial"/>
                <w:bCs/>
                <w:sz w:val="16"/>
                <w:szCs w:val="16"/>
                <w:u w:val="single"/>
                <w:lang w:val="fr-FR" w:eastAsia="ja-JP"/>
              </w:rPr>
            </w:pPr>
            <w:r w:rsidRPr="000D5690">
              <w:rPr>
                <w:rFonts w:cs="Arial"/>
                <w:bCs/>
                <w:sz w:val="16"/>
                <w:szCs w:val="16"/>
                <w:u w:val="single"/>
                <w:lang w:val="fr-FR"/>
              </w:rPr>
              <w:t xml:space="preserve">PARTIAL REVISIONS OF TEST GUIDELINES / </w:t>
            </w:r>
            <w:r w:rsidRPr="000D5690">
              <w:rPr>
                <w:rFonts w:cs="Arial"/>
                <w:sz w:val="16"/>
                <w:szCs w:val="16"/>
                <w:u w:val="single"/>
                <w:lang w:val="fr-FR"/>
              </w:rPr>
              <w:t>RÉVISIONS PARTIELLES DE PRINCIPES DIRECTEURS D’EXAMEN ADOPTÉS /</w:t>
            </w:r>
            <w:r w:rsidRPr="000D5690">
              <w:rPr>
                <w:rFonts w:cs="Arial"/>
                <w:sz w:val="16"/>
                <w:szCs w:val="16"/>
                <w:u w:val="single"/>
                <w:lang w:val="fr-FR"/>
              </w:rPr>
              <w:br/>
              <w:t>TEILREVISIONEN ANGENOMMENER PRÜFUNGSRICHTLINIEN / REVISIONES PARCIALES DE DIRECTRICES DE EXAMEN ADOPTADAS</w:t>
            </w:r>
          </w:p>
        </w:tc>
      </w:tr>
      <w:tr w:rsidR="005253AC" w:rsidRPr="00E30CEB" w:rsidTr="00E658B6">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5253AC" w:rsidRPr="000D5690" w:rsidRDefault="005253AC" w:rsidP="00E658B6">
            <w:pPr>
              <w:rPr>
                <w:rFonts w:cs="Arial"/>
                <w:dstrike/>
                <w:sz w:val="16"/>
              </w:rPr>
            </w:pPr>
            <w:r w:rsidRPr="000D5690">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rPr>
                <w:rFonts w:cs="Arial"/>
                <w:dstrike/>
                <w:sz w:val="16"/>
              </w:rPr>
            </w:pPr>
            <w:r w:rsidRPr="000D5690">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rPr>
            </w:pPr>
            <w:r w:rsidRPr="000D5690">
              <w:rPr>
                <w:rFonts w:cs="Arial"/>
                <w:sz w:val="16"/>
              </w:rPr>
              <w:t>TG/45/7 (document TC/52/27)</w:t>
            </w:r>
          </w:p>
        </w:tc>
        <w:tc>
          <w:tcPr>
            <w:tcW w:w="1275"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rPr>
            </w:pPr>
            <w:r w:rsidRPr="000D5690">
              <w:rPr>
                <w:rFonts w:cs="Arial"/>
                <w:sz w:val="16"/>
              </w:rPr>
              <w:t>Cauliflower</w:t>
            </w:r>
          </w:p>
        </w:tc>
        <w:tc>
          <w:tcPr>
            <w:tcW w:w="1418"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rPr>
            </w:pPr>
            <w:r w:rsidRPr="000D5690">
              <w:rPr>
                <w:sz w:val="16"/>
              </w:rPr>
              <w:t>Chou-fleur</w:t>
            </w:r>
          </w:p>
        </w:tc>
        <w:tc>
          <w:tcPr>
            <w:tcW w:w="1417"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rPr>
            </w:pPr>
            <w:proofErr w:type="spellStart"/>
            <w:r w:rsidRPr="000D5690">
              <w:rPr>
                <w:sz w:val="16"/>
              </w:rPr>
              <w:t>Blumenkohl</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rPr>
            </w:pPr>
            <w:proofErr w:type="spellStart"/>
            <w:r w:rsidRPr="000D5690">
              <w:rPr>
                <w:sz w:val="16"/>
              </w:rPr>
              <w:t>Coliflor</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sz w:val="16"/>
                <w:lang w:val="pt-BR"/>
              </w:rPr>
            </w:pPr>
            <w:r w:rsidRPr="000D5690">
              <w:rPr>
                <w:rFonts w:cs="Arial"/>
                <w:sz w:val="16"/>
                <w:lang w:val="pt-BR"/>
              </w:rPr>
              <w:t>Brassica oleracea L. convar. botrytis (L.) Alef. var. botrytis,</w:t>
            </w:r>
          </w:p>
          <w:p w:rsidR="005253AC" w:rsidRPr="000D5690" w:rsidRDefault="005253AC" w:rsidP="00E658B6">
            <w:pPr>
              <w:jc w:val="left"/>
              <w:rPr>
                <w:rFonts w:cs="Arial"/>
                <w:sz w:val="16"/>
                <w:lang w:val="pt-BR"/>
              </w:rPr>
            </w:pPr>
            <w:r w:rsidRPr="000D5690">
              <w:rPr>
                <w:rFonts w:cs="Arial"/>
                <w:sz w:val="16"/>
                <w:lang w:val="pt-BR"/>
              </w:rPr>
              <w:t>Brassica caulifloria Lizg.</w:t>
            </w:r>
          </w:p>
        </w:tc>
      </w:tr>
      <w:tr w:rsidR="005253AC" w:rsidRPr="000D5690" w:rsidTr="00E658B6">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5253AC" w:rsidRPr="000D5690" w:rsidRDefault="005253AC" w:rsidP="00E658B6">
            <w:pPr>
              <w:rPr>
                <w:rFonts w:cs="Arial"/>
                <w:dstrike/>
                <w:sz w:val="16"/>
              </w:rPr>
            </w:pPr>
            <w:r w:rsidRPr="000D5690">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rPr>
                <w:rFonts w:cs="Arial"/>
                <w:dstrike/>
                <w:sz w:val="16"/>
              </w:rPr>
            </w:pPr>
            <w:r w:rsidRPr="000D5690">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rPr>
            </w:pPr>
            <w:r w:rsidRPr="000D5690">
              <w:rPr>
                <w:rFonts w:cs="Arial"/>
                <w:sz w:val="16"/>
              </w:rPr>
              <w:t>TG/48/7 (document TC/52/27)</w:t>
            </w:r>
          </w:p>
        </w:tc>
        <w:tc>
          <w:tcPr>
            <w:tcW w:w="1275"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rPr>
            </w:pPr>
            <w:r w:rsidRPr="000D5690">
              <w:rPr>
                <w:rFonts w:cs="Arial"/>
                <w:sz w:val="16"/>
              </w:rPr>
              <w:t>Cabbage</w:t>
            </w:r>
          </w:p>
        </w:tc>
        <w:tc>
          <w:tcPr>
            <w:tcW w:w="1418"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rPr>
            </w:pPr>
            <w:r w:rsidRPr="000D5690">
              <w:rPr>
                <w:rFonts w:cs="Arial"/>
                <w:sz w:val="16"/>
              </w:rPr>
              <w:t xml:space="preserve">Chou </w:t>
            </w:r>
            <w:proofErr w:type="spellStart"/>
            <w:r w:rsidRPr="000D5690">
              <w:rPr>
                <w:rFonts w:cs="Arial"/>
                <w:sz w:val="16"/>
              </w:rPr>
              <w:t>pommé</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rPr>
            </w:pPr>
            <w:proofErr w:type="spellStart"/>
            <w:r w:rsidRPr="000D5690">
              <w:rPr>
                <w:rFonts w:cs="Arial"/>
                <w:sz w:val="16"/>
              </w:rPr>
              <w:t>Kopfkohl</w:t>
            </w:r>
            <w:proofErr w:type="spellEnd"/>
            <w:r w:rsidRPr="000D5690">
              <w:rPr>
                <w:rFonts w:cs="Arial"/>
                <w:sz w:val="16"/>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rPr>
            </w:pPr>
            <w:r w:rsidRPr="000D5690">
              <w:rPr>
                <w:rFonts w:cs="Arial"/>
                <w:sz w:val="16"/>
              </w:rPr>
              <w:t xml:space="preserve">Col, </w:t>
            </w:r>
            <w:proofErr w:type="spellStart"/>
            <w:r w:rsidRPr="000D5690">
              <w:rPr>
                <w:rFonts w:cs="Arial"/>
                <w:sz w:val="16"/>
              </w:rPr>
              <w:t>Repollo</w:t>
            </w:r>
            <w:proofErr w:type="spellEnd"/>
            <w:r w:rsidRPr="000D5690">
              <w:rPr>
                <w:rFonts w:cs="Arial"/>
                <w:sz w:val="16"/>
              </w:rPr>
              <w:t xml:space="preserve"> </w:t>
            </w:r>
          </w:p>
        </w:tc>
        <w:tc>
          <w:tcPr>
            <w:tcW w:w="1700"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sz w:val="16"/>
              </w:rPr>
            </w:pPr>
            <w:r w:rsidRPr="000D5690">
              <w:rPr>
                <w:rFonts w:cs="Arial"/>
                <w:sz w:val="16"/>
                <w:lang w:val="pt-BR"/>
              </w:rPr>
              <w:t xml:space="preserve">Brassica oleracea L. convar. capitata (L.) </w:t>
            </w:r>
            <w:proofErr w:type="spellStart"/>
            <w:r w:rsidRPr="000D5690">
              <w:rPr>
                <w:rFonts w:cs="Arial"/>
                <w:sz w:val="16"/>
              </w:rPr>
              <w:t>Alef</w:t>
            </w:r>
            <w:proofErr w:type="spellEnd"/>
            <w:r w:rsidRPr="000D5690">
              <w:rPr>
                <w:rFonts w:cs="Arial"/>
                <w:sz w:val="16"/>
              </w:rPr>
              <w:t>.</w:t>
            </w:r>
          </w:p>
        </w:tc>
      </w:tr>
      <w:tr w:rsidR="005253AC" w:rsidRPr="00E30CEB" w:rsidTr="00E658B6">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5253AC" w:rsidRPr="000D5690" w:rsidRDefault="005253AC" w:rsidP="00E658B6">
            <w:pPr>
              <w:rPr>
                <w:rFonts w:cs="Arial"/>
                <w:dstrike/>
                <w:sz w:val="16"/>
              </w:rPr>
            </w:pPr>
            <w:r w:rsidRPr="000D5690">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rPr>
                <w:rFonts w:cs="Arial"/>
                <w:dstrike/>
                <w:sz w:val="16"/>
              </w:rPr>
            </w:pPr>
            <w:r w:rsidRPr="000D5690">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rPr>
            </w:pPr>
            <w:r w:rsidRPr="000D5690">
              <w:rPr>
                <w:rFonts w:cs="Arial"/>
                <w:sz w:val="16"/>
              </w:rPr>
              <w:t>TG/54/7 (document TC/52/27)</w:t>
            </w:r>
          </w:p>
        </w:tc>
        <w:tc>
          <w:tcPr>
            <w:tcW w:w="1275"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rPr>
            </w:pPr>
            <w:r w:rsidRPr="000D5690">
              <w:rPr>
                <w:rFonts w:cs="Arial"/>
                <w:sz w:val="16"/>
              </w:rPr>
              <w:t>Brussels Sprouts</w:t>
            </w:r>
          </w:p>
        </w:tc>
        <w:tc>
          <w:tcPr>
            <w:tcW w:w="1418"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rPr>
            </w:pPr>
            <w:r w:rsidRPr="000D5690">
              <w:rPr>
                <w:rFonts w:cs="Arial"/>
                <w:sz w:val="16"/>
              </w:rPr>
              <w:t xml:space="preserve">Chou de </w:t>
            </w:r>
            <w:proofErr w:type="spellStart"/>
            <w:r w:rsidRPr="000D5690">
              <w:rPr>
                <w:rFonts w:cs="Arial"/>
                <w:sz w:val="16"/>
              </w:rPr>
              <w:t>Bruxelles</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rPr>
            </w:pPr>
            <w:proofErr w:type="spellStart"/>
            <w:r w:rsidRPr="000D5690">
              <w:rPr>
                <w:rFonts w:cs="Arial"/>
                <w:sz w:val="16"/>
              </w:rPr>
              <w:t>Rosenkohl</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rPr>
            </w:pPr>
            <w:r w:rsidRPr="000D5690">
              <w:rPr>
                <w:rFonts w:cs="Arial"/>
                <w:sz w:val="16"/>
              </w:rPr>
              <w:t xml:space="preserve">Col de </w:t>
            </w:r>
            <w:proofErr w:type="spellStart"/>
            <w:r w:rsidRPr="000D5690">
              <w:rPr>
                <w:rFonts w:cs="Arial"/>
                <w:sz w:val="16"/>
              </w:rPr>
              <w:t>Bruselas</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sz w:val="16"/>
                <w:lang w:val="pt-BR"/>
              </w:rPr>
            </w:pPr>
            <w:r w:rsidRPr="000D5690">
              <w:rPr>
                <w:rFonts w:cs="Arial"/>
                <w:sz w:val="16"/>
                <w:lang w:val="pt-BR"/>
              </w:rPr>
              <w:t>Brassica oleracea L. var. gemmifera DC.</w:t>
            </w:r>
          </w:p>
        </w:tc>
      </w:tr>
      <w:tr w:rsidR="005253AC" w:rsidRPr="000D5690" w:rsidTr="00E658B6">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5253AC" w:rsidRPr="000D5690" w:rsidRDefault="005253AC" w:rsidP="00E658B6">
            <w:pPr>
              <w:rPr>
                <w:rFonts w:cs="Arial"/>
                <w:dstrike/>
                <w:sz w:val="16"/>
              </w:rPr>
            </w:pPr>
            <w:r w:rsidRPr="000D5690">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rPr>
                <w:rFonts w:cs="Arial"/>
                <w:dstrike/>
                <w:sz w:val="16"/>
              </w:rPr>
            </w:pPr>
            <w:r w:rsidRPr="000D5690">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rPr>
            </w:pPr>
            <w:r w:rsidRPr="000D5690">
              <w:rPr>
                <w:rFonts w:cs="Arial"/>
                <w:sz w:val="16"/>
              </w:rPr>
              <w:t>TG/55/7 Rev. 3 (document TC/52/25)</w:t>
            </w:r>
          </w:p>
        </w:tc>
        <w:tc>
          <w:tcPr>
            <w:tcW w:w="1275"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rPr>
            </w:pPr>
            <w:r w:rsidRPr="000D5690">
              <w:rPr>
                <w:rFonts w:cs="Arial"/>
                <w:sz w:val="16"/>
              </w:rPr>
              <w:t>Spinach</w:t>
            </w:r>
          </w:p>
        </w:tc>
        <w:tc>
          <w:tcPr>
            <w:tcW w:w="1418"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rPr>
            </w:pPr>
            <w:proofErr w:type="spellStart"/>
            <w:r w:rsidRPr="000D5690">
              <w:rPr>
                <w:rFonts w:cs="Arial"/>
                <w:sz w:val="16"/>
              </w:rPr>
              <w:t>Épinard</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rPr>
            </w:pPr>
            <w:proofErr w:type="spellStart"/>
            <w:r w:rsidRPr="000D5690">
              <w:rPr>
                <w:rFonts w:cs="Arial"/>
                <w:sz w:val="16"/>
              </w:rPr>
              <w:t>Spinat</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rPr>
            </w:pPr>
            <w:proofErr w:type="spellStart"/>
            <w:r w:rsidRPr="000D5690">
              <w:rPr>
                <w:rFonts w:cs="Arial"/>
                <w:sz w:val="16"/>
              </w:rPr>
              <w:t>Espinaca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sz w:val="16"/>
              </w:rPr>
            </w:pPr>
            <w:proofErr w:type="spellStart"/>
            <w:r w:rsidRPr="000D5690">
              <w:rPr>
                <w:rFonts w:cs="Arial"/>
                <w:sz w:val="16"/>
              </w:rPr>
              <w:t>Spinacia</w:t>
            </w:r>
            <w:proofErr w:type="spellEnd"/>
            <w:r w:rsidRPr="000D5690">
              <w:rPr>
                <w:rFonts w:cs="Arial"/>
                <w:sz w:val="16"/>
              </w:rPr>
              <w:t xml:space="preserve"> </w:t>
            </w:r>
            <w:proofErr w:type="spellStart"/>
            <w:r w:rsidRPr="000D5690">
              <w:rPr>
                <w:rFonts w:cs="Arial"/>
                <w:sz w:val="16"/>
              </w:rPr>
              <w:t>oleracea</w:t>
            </w:r>
            <w:proofErr w:type="spellEnd"/>
            <w:r w:rsidRPr="000D5690">
              <w:rPr>
                <w:rFonts w:cs="Arial"/>
                <w:sz w:val="16"/>
              </w:rPr>
              <w:t xml:space="preserve"> L.</w:t>
            </w:r>
          </w:p>
        </w:tc>
      </w:tr>
      <w:tr w:rsidR="005253AC" w:rsidRPr="00E30CEB" w:rsidTr="00E658B6">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5253AC" w:rsidRPr="000D5690" w:rsidRDefault="005253AC" w:rsidP="00E658B6">
            <w:pPr>
              <w:rPr>
                <w:rFonts w:cs="Arial"/>
                <w:dstrike/>
                <w:sz w:val="16"/>
              </w:rPr>
            </w:pPr>
            <w:r w:rsidRPr="000D5690">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rPr>
                <w:rFonts w:cs="Arial"/>
                <w:dstrike/>
                <w:sz w:val="16"/>
              </w:rPr>
            </w:pPr>
            <w:r w:rsidRPr="000D5690">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rPr>
            </w:pPr>
            <w:r w:rsidRPr="000D5690">
              <w:rPr>
                <w:rFonts w:cs="Arial"/>
                <w:sz w:val="16"/>
              </w:rPr>
              <w:t>TG/63/7 - TG/64/7 (document TC/52/24)</w:t>
            </w:r>
          </w:p>
        </w:tc>
        <w:tc>
          <w:tcPr>
            <w:tcW w:w="1275"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rPr>
            </w:pPr>
            <w:r w:rsidRPr="000D5690">
              <w:rPr>
                <w:rFonts w:cs="Arial"/>
                <w:sz w:val="16"/>
              </w:rPr>
              <w:t xml:space="preserve">Black Radish </w:t>
            </w:r>
          </w:p>
        </w:tc>
        <w:tc>
          <w:tcPr>
            <w:tcW w:w="1418"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lang w:val="fr-FR"/>
              </w:rPr>
            </w:pPr>
            <w:r w:rsidRPr="000D5690">
              <w:rPr>
                <w:rFonts w:cs="Arial"/>
                <w:sz w:val="16"/>
                <w:lang w:val="fr-FR"/>
              </w:rPr>
              <w:t>Radis d’été, d’automne et d’hiver</w:t>
            </w:r>
          </w:p>
        </w:tc>
        <w:tc>
          <w:tcPr>
            <w:tcW w:w="1417"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rPr>
            </w:pPr>
            <w:proofErr w:type="spellStart"/>
            <w:r w:rsidRPr="000D5690">
              <w:rPr>
                <w:rFonts w:cs="Arial"/>
                <w:sz w:val="16"/>
              </w:rPr>
              <w:t>Rettich</w:t>
            </w:r>
            <w:proofErr w:type="spellEnd"/>
            <w:r w:rsidRPr="000D5690">
              <w:rPr>
                <w:rFonts w:cs="Arial"/>
                <w:sz w:val="16"/>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lang w:val="es-ES"/>
              </w:rPr>
            </w:pPr>
            <w:proofErr w:type="spellStart"/>
            <w:r w:rsidRPr="000D5690">
              <w:rPr>
                <w:rFonts w:cs="Arial"/>
                <w:sz w:val="16"/>
                <w:lang w:val="es-ES"/>
              </w:rPr>
              <w:t>Rabano</w:t>
            </w:r>
            <w:proofErr w:type="spellEnd"/>
            <w:r w:rsidRPr="000D5690">
              <w:rPr>
                <w:rFonts w:cs="Arial"/>
                <w:sz w:val="16"/>
                <w:lang w:val="es-ES"/>
              </w:rPr>
              <w:t xml:space="preserve"> de invierno,</w:t>
            </w:r>
            <w:r w:rsidRPr="000D5690">
              <w:rPr>
                <w:rFonts w:cs="Arial"/>
                <w:sz w:val="16"/>
                <w:lang w:val="es-ES"/>
              </w:rPr>
              <w:br/>
            </w:r>
            <w:proofErr w:type="spellStart"/>
            <w:r w:rsidRPr="000D5690">
              <w:rPr>
                <w:rFonts w:cs="Arial"/>
                <w:sz w:val="16"/>
                <w:lang w:val="es-ES"/>
              </w:rPr>
              <w:t>Rabano</w:t>
            </w:r>
            <w:proofErr w:type="spellEnd"/>
            <w:r w:rsidRPr="000D5690">
              <w:rPr>
                <w:rFonts w:cs="Arial"/>
                <w:sz w:val="16"/>
                <w:lang w:val="es-ES"/>
              </w:rPr>
              <w:t xml:space="preserve"> negro</w:t>
            </w:r>
          </w:p>
        </w:tc>
        <w:tc>
          <w:tcPr>
            <w:tcW w:w="1700"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sz w:val="16"/>
                <w:lang w:val="es-ES"/>
              </w:rPr>
            </w:pPr>
            <w:proofErr w:type="spellStart"/>
            <w:r w:rsidRPr="000D5690">
              <w:rPr>
                <w:rFonts w:cs="Arial"/>
                <w:sz w:val="16"/>
                <w:lang w:val="es-ES"/>
              </w:rPr>
              <w:t>Raphanus</w:t>
            </w:r>
            <w:proofErr w:type="spellEnd"/>
            <w:r w:rsidRPr="000D5690">
              <w:rPr>
                <w:rFonts w:cs="Arial"/>
                <w:sz w:val="16"/>
                <w:lang w:val="es-ES"/>
              </w:rPr>
              <w:t xml:space="preserve"> </w:t>
            </w:r>
            <w:proofErr w:type="spellStart"/>
            <w:r w:rsidRPr="000D5690">
              <w:rPr>
                <w:rFonts w:cs="Arial"/>
                <w:sz w:val="16"/>
                <w:lang w:val="es-ES"/>
              </w:rPr>
              <w:t>sativus</w:t>
            </w:r>
            <w:proofErr w:type="spellEnd"/>
            <w:r w:rsidRPr="000D5690">
              <w:rPr>
                <w:rFonts w:cs="Arial"/>
                <w:sz w:val="16"/>
                <w:lang w:val="es-ES"/>
              </w:rPr>
              <w:t xml:space="preserve"> L. </w:t>
            </w:r>
            <w:proofErr w:type="spellStart"/>
            <w:r w:rsidRPr="000D5690">
              <w:rPr>
                <w:rFonts w:cs="Arial"/>
                <w:sz w:val="16"/>
                <w:lang w:val="es-ES"/>
              </w:rPr>
              <w:t>var</w:t>
            </w:r>
            <w:proofErr w:type="spellEnd"/>
            <w:r w:rsidRPr="000D5690">
              <w:rPr>
                <w:rFonts w:cs="Arial"/>
                <w:sz w:val="16"/>
                <w:lang w:val="es-ES"/>
              </w:rPr>
              <w:t xml:space="preserve">. </w:t>
            </w:r>
            <w:proofErr w:type="spellStart"/>
            <w:proofErr w:type="gramStart"/>
            <w:r w:rsidRPr="000D5690">
              <w:rPr>
                <w:rFonts w:cs="Arial"/>
                <w:sz w:val="16"/>
                <w:lang w:val="es-ES"/>
              </w:rPr>
              <w:t>niger</w:t>
            </w:r>
            <w:proofErr w:type="spellEnd"/>
            <w:proofErr w:type="gramEnd"/>
            <w:r w:rsidRPr="000D5690">
              <w:rPr>
                <w:rFonts w:cs="Arial"/>
                <w:sz w:val="16"/>
                <w:lang w:val="es-ES"/>
              </w:rPr>
              <w:t xml:space="preserve"> (</w:t>
            </w:r>
            <w:proofErr w:type="spellStart"/>
            <w:r w:rsidRPr="000D5690">
              <w:rPr>
                <w:rFonts w:cs="Arial"/>
                <w:sz w:val="16"/>
                <w:lang w:val="es-ES"/>
              </w:rPr>
              <w:t>Mill</w:t>
            </w:r>
            <w:proofErr w:type="spellEnd"/>
            <w:r w:rsidRPr="000D5690">
              <w:rPr>
                <w:rFonts w:cs="Arial"/>
                <w:sz w:val="16"/>
                <w:lang w:val="es-ES"/>
              </w:rPr>
              <w:t xml:space="preserve">.) S. </w:t>
            </w:r>
            <w:proofErr w:type="spellStart"/>
            <w:r w:rsidRPr="000D5690">
              <w:rPr>
                <w:rFonts w:cs="Arial"/>
                <w:sz w:val="16"/>
                <w:lang w:val="es-ES"/>
              </w:rPr>
              <w:t>Kerner</w:t>
            </w:r>
            <w:proofErr w:type="spellEnd"/>
            <w:r w:rsidRPr="000D5690">
              <w:rPr>
                <w:rFonts w:cs="Arial"/>
                <w:sz w:val="16"/>
                <w:lang w:val="es-ES"/>
              </w:rPr>
              <w:t xml:space="preserve"> (</w:t>
            </w:r>
            <w:proofErr w:type="spellStart"/>
            <w:r w:rsidRPr="000D5690">
              <w:rPr>
                <w:rFonts w:cs="Arial"/>
                <w:sz w:val="16"/>
                <w:lang w:val="es-ES"/>
              </w:rPr>
              <w:t>Raphanus</w:t>
            </w:r>
            <w:proofErr w:type="spellEnd"/>
            <w:r w:rsidRPr="000D5690">
              <w:rPr>
                <w:rFonts w:cs="Arial"/>
                <w:sz w:val="16"/>
                <w:lang w:val="es-ES"/>
              </w:rPr>
              <w:t xml:space="preserve"> </w:t>
            </w:r>
            <w:proofErr w:type="spellStart"/>
            <w:r w:rsidRPr="000D5690">
              <w:rPr>
                <w:rFonts w:cs="Arial"/>
                <w:sz w:val="16"/>
                <w:lang w:val="es-ES"/>
              </w:rPr>
              <w:t>sativus</w:t>
            </w:r>
            <w:proofErr w:type="spellEnd"/>
            <w:r w:rsidRPr="000D5690">
              <w:rPr>
                <w:rFonts w:cs="Arial"/>
                <w:sz w:val="16"/>
                <w:lang w:val="es-ES"/>
              </w:rPr>
              <w:t xml:space="preserve"> L. </w:t>
            </w:r>
            <w:proofErr w:type="spellStart"/>
            <w:r w:rsidRPr="000D5690">
              <w:rPr>
                <w:rFonts w:cs="Arial"/>
                <w:sz w:val="16"/>
                <w:lang w:val="es-ES"/>
              </w:rPr>
              <w:t>var</w:t>
            </w:r>
            <w:proofErr w:type="spellEnd"/>
            <w:r w:rsidRPr="000D5690">
              <w:rPr>
                <w:rFonts w:cs="Arial"/>
                <w:sz w:val="16"/>
                <w:lang w:val="es-ES"/>
              </w:rPr>
              <w:t xml:space="preserve">. </w:t>
            </w:r>
            <w:proofErr w:type="spellStart"/>
            <w:r w:rsidRPr="000D5690">
              <w:rPr>
                <w:rFonts w:cs="Arial"/>
                <w:sz w:val="16"/>
                <w:lang w:val="es-ES"/>
              </w:rPr>
              <w:t>major</w:t>
            </w:r>
            <w:proofErr w:type="spellEnd"/>
            <w:r w:rsidRPr="000D5690">
              <w:rPr>
                <w:rFonts w:cs="Arial"/>
                <w:sz w:val="16"/>
                <w:lang w:val="es-ES"/>
              </w:rPr>
              <w:t xml:space="preserve"> A. </w:t>
            </w:r>
            <w:proofErr w:type="spellStart"/>
            <w:r w:rsidRPr="000D5690">
              <w:rPr>
                <w:rFonts w:cs="Arial"/>
                <w:sz w:val="16"/>
                <w:lang w:val="es-ES"/>
              </w:rPr>
              <w:t>Voss</w:t>
            </w:r>
            <w:proofErr w:type="spellEnd"/>
            <w:r w:rsidRPr="000D5690">
              <w:rPr>
                <w:rFonts w:cs="Arial"/>
                <w:sz w:val="16"/>
                <w:lang w:val="es-ES"/>
              </w:rPr>
              <w:t xml:space="preserve">, </w:t>
            </w:r>
            <w:proofErr w:type="spellStart"/>
            <w:r w:rsidRPr="000D5690">
              <w:rPr>
                <w:rFonts w:cs="Arial"/>
                <w:sz w:val="16"/>
                <w:lang w:val="es-ES"/>
              </w:rPr>
              <w:t>Raphanus</w:t>
            </w:r>
            <w:proofErr w:type="spellEnd"/>
            <w:r w:rsidRPr="000D5690">
              <w:rPr>
                <w:rFonts w:cs="Arial"/>
                <w:sz w:val="16"/>
                <w:lang w:val="es-ES"/>
              </w:rPr>
              <w:t xml:space="preserve"> </w:t>
            </w:r>
            <w:proofErr w:type="spellStart"/>
            <w:r w:rsidRPr="000D5690">
              <w:rPr>
                <w:rFonts w:cs="Arial"/>
                <w:sz w:val="16"/>
                <w:lang w:val="es-ES"/>
              </w:rPr>
              <w:t>sativus</w:t>
            </w:r>
            <w:proofErr w:type="spellEnd"/>
            <w:r w:rsidRPr="000D5690">
              <w:rPr>
                <w:rFonts w:cs="Arial"/>
                <w:sz w:val="16"/>
                <w:lang w:val="es-ES"/>
              </w:rPr>
              <w:t xml:space="preserve"> L. </w:t>
            </w:r>
            <w:proofErr w:type="spellStart"/>
            <w:r w:rsidRPr="000D5690">
              <w:rPr>
                <w:rFonts w:cs="Arial"/>
                <w:sz w:val="16"/>
                <w:lang w:val="es-ES"/>
              </w:rPr>
              <w:t>var</w:t>
            </w:r>
            <w:proofErr w:type="spellEnd"/>
            <w:r w:rsidRPr="000D5690">
              <w:rPr>
                <w:rFonts w:cs="Arial"/>
                <w:sz w:val="16"/>
                <w:lang w:val="es-ES"/>
              </w:rPr>
              <w:t>.</w:t>
            </w:r>
            <w:r w:rsidRPr="000D5690">
              <w:rPr>
                <w:rFonts w:cs="Arial"/>
                <w:sz w:val="16"/>
                <w:lang w:val="es-ES"/>
              </w:rPr>
              <w:br/>
            </w:r>
            <w:proofErr w:type="spellStart"/>
            <w:r w:rsidRPr="000D5690">
              <w:rPr>
                <w:rFonts w:cs="Arial"/>
                <w:sz w:val="16"/>
                <w:lang w:val="es-ES"/>
              </w:rPr>
              <w:t>longipinnatus</w:t>
            </w:r>
            <w:proofErr w:type="spellEnd"/>
            <w:r w:rsidRPr="000D5690">
              <w:rPr>
                <w:rFonts w:cs="Arial"/>
                <w:sz w:val="16"/>
                <w:lang w:val="es-ES"/>
              </w:rPr>
              <w:t xml:space="preserve"> L.H. Bailey)</w:t>
            </w:r>
          </w:p>
        </w:tc>
      </w:tr>
      <w:tr w:rsidR="005253AC" w:rsidRPr="000D5690" w:rsidTr="00E658B6">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5253AC" w:rsidRPr="000D5690" w:rsidRDefault="005253AC" w:rsidP="00E658B6">
            <w:pPr>
              <w:rPr>
                <w:rFonts w:cs="Arial"/>
                <w:dstrike/>
                <w:sz w:val="16"/>
              </w:rPr>
            </w:pPr>
            <w:r w:rsidRPr="000D5690">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rPr>
                <w:rFonts w:cs="Arial"/>
                <w:dstrike/>
                <w:sz w:val="16"/>
              </w:rPr>
            </w:pPr>
            <w:r w:rsidRPr="000D5690">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rPr>
            </w:pPr>
            <w:r w:rsidRPr="000D5690">
              <w:rPr>
                <w:rFonts w:cs="Arial"/>
                <w:sz w:val="16"/>
              </w:rPr>
              <w:t>TG/65/4 (document TC/52/27)</w:t>
            </w:r>
          </w:p>
        </w:tc>
        <w:tc>
          <w:tcPr>
            <w:tcW w:w="1275"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rPr>
            </w:pPr>
            <w:r w:rsidRPr="000D5690">
              <w:rPr>
                <w:rFonts w:cs="Arial"/>
                <w:sz w:val="16"/>
              </w:rPr>
              <w:t xml:space="preserve">Kohlrabi </w:t>
            </w:r>
          </w:p>
        </w:tc>
        <w:tc>
          <w:tcPr>
            <w:tcW w:w="1418"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rPr>
            </w:pPr>
            <w:r w:rsidRPr="000D5690">
              <w:rPr>
                <w:rFonts w:cs="Arial"/>
                <w:sz w:val="16"/>
              </w:rPr>
              <w:t xml:space="preserve">Chou-rave </w:t>
            </w:r>
          </w:p>
        </w:tc>
        <w:tc>
          <w:tcPr>
            <w:tcW w:w="1417"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rPr>
            </w:pPr>
            <w:r w:rsidRPr="000D5690">
              <w:rPr>
                <w:rFonts w:cs="Arial"/>
                <w:sz w:val="16"/>
              </w:rPr>
              <w:t xml:space="preserve">Kohlrabi </w:t>
            </w:r>
          </w:p>
        </w:tc>
        <w:tc>
          <w:tcPr>
            <w:tcW w:w="1418"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rPr>
            </w:pPr>
            <w:r w:rsidRPr="000D5690">
              <w:rPr>
                <w:rFonts w:cs="Arial"/>
                <w:sz w:val="16"/>
              </w:rPr>
              <w:t xml:space="preserve">Col </w:t>
            </w:r>
            <w:proofErr w:type="spellStart"/>
            <w:r w:rsidRPr="000D5690">
              <w:rPr>
                <w:rFonts w:cs="Arial"/>
                <w:sz w:val="16"/>
              </w:rPr>
              <w:t>rábano</w:t>
            </w:r>
            <w:proofErr w:type="spellEnd"/>
            <w:r w:rsidRPr="000D5690">
              <w:rPr>
                <w:rFonts w:cs="Arial"/>
                <w:sz w:val="16"/>
              </w:rPr>
              <w:t xml:space="preserve"> </w:t>
            </w:r>
          </w:p>
        </w:tc>
        <w:tc>
          <w:tcPr>
            <w:tcW w:w="1700"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sz w:val="16"/>
                <w:lang w:val="pt-BR"/>
              </w:rPr>
            </w:pPr>
            <w:r w:rsidRPr="000D5690">
              <w:rPr>
                <w:rFonts w:cs="Arial"/>
                <w:sz w:val="16"/>
                <w:lang w:val="pt-BR"/>
              </w:rPr>
              <w:t>Brassica oleracea L. var. gongylodes L.</w:t>
            </w:r>
          </w:p>
        </w:tc>
      </w:tr>
      <w:tr w:rsidR="005253AC" w:rsidRPr="00E30CEB" w:rsidTr="00E658B6">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5253AC" w:rsidRPr="000D5690" w:rsidRDefault="005253AC" w:rsidP="00E658B6">
            <w:pPr>
              <w:rPr>
                <w:rFonts w:cs="Arial"/>
                <w:dstrike/>
                <w:sz w:val="16"/>
              </w:rPr>
            </w:pPr>
            <w:r w:rsidRPr="000D5690">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rPr>
                <w:rFonts w:cs="Arial"/>
                <w:dstrike/>
                <w:sz w:val="16"/>
              </w:rPr>
            </w:pPr>
            <w:r w:rsidRPr="000D5690">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rPr>
            </w:pPr>
            <w:r w:rsidRPr="000D5690">
              <w:rPr>
                <w:rFonts w:cs="Arial"/>
                <w:sz w:val="16"/>
              </w:rPr>
              <w:t>TG/90/6 Corr. (document TC/52/27)</w:t>
            </w:r>
          </w:p>
        </w:tc>
        <w:tc>
          <w:tcPr>
            <w:tcW w:w="1275"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rPr>
            </w:pPr>
            <w:r w:rsidRPr="000D5690">
              <w:rPr>
                <w:rFonts w:cs="Arial"/>
                <w:sz w:val="16"/>
              </w:rPr>
              <w:t>Curly Kale</w:t>
            </w:r>
          </w:p>
        </w:tc>
        <w:tc>
          <w:tcPr>
            <w:tcW w:w="1418"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rPr>
            </w:pPr>
            <w:r w:rsidRPr="000D5690">
              <w:rPr>
                <w:rFonts w:cs="Arial"/>
                <w:sz w:val="16"/>
              </w:rPr>
              <w:t xml:space="preserve">Chou </w:t>
            </w:r>
            <w:proofErr w:type="spellStart"/>
            <w:r w:rsidRPr="000D5690">
              <w:rPr>
                <w:rFonts w:cs="Arial"/>
                <w:sz w:val="16"/>
              </w:rPr>
              <w:t>frisé</w:t>
            </w:r>
            <w:proofErr w:type="spellEnd"/>
            <w:r w:rsidRPr="000D5690">
              <w:rPr>
                <w:rFonts w:cs="Arial"/>
                <w:sz w:val="16"/>
              </w:rPr>
              <w:t xml:space="preserve"> </w:t>
            </w:r>
          </w:p>
        </w:tc>
        <w:tc>
          <w:tcPr>
            <w:tcW w:w="1417"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rPr>
            </w:pPr>
            <w:proofErr w:type="spellStart"/>
            <w:r w:rsidRPr="000D5690">
              <w:rPr>
                <w:rFonts w:cs="Arial"/>
                <w:sz w:val="16"/>
              </w:rPr>
              <w:t>Grünkohl</w:t>
            </w:r>
            <w:proofErr w:type="spellEnd"/>
            <w:r w:rsidRPr="000D5690">
              <w:rPr>
                <w:rFonts w:cs="Arial"/>
                <w:sz w:val="16"/>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rPr>
            </w:pPr>
            <w:r w:rsidRPr="000D5690">
              <w:rPr>
                <w:rFonts w:cs="Arial"/>
                <w:sz w:val="16"/>
              </w:rPr>
              <w:t xml:space="preserve">Col </w:t>
            </w:r>
            <w:proofErr w:type="spellStart"/>
            <w:r w:rsidRPr="000D5690">
              <w:rPr>
                <w:rFonts w:cs="Arial"/>
                <w:sz w:val="16"/>
              </w:rPr>
              <w:t>rizada</w:t>
            </w:r>
            <w:proofErr w:type="spellEnd"/>
            <w:r w:rsidRPr="000D5690">
              <w:rPr>
                <w:rFonts w:cs="Arial"/>
                <w:sz w:val="16"/>
              </w:rPr>
              <w:t xml:space="preserve"> </w:t>
            </w:r>
          </w:p>
        </w:tc>
        <w:tc>
          <w:tcPr>
            <w:tcW w:w="1700"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sz w:val="16"/>
                <w:lang w:val="pt-BR"/>
              </w:rPr>
            </w:pPr>
            <w:r w:rsidRPr="000D5690">
              <w:rPr>
                <w:rFonts w:cs="Arial"/>
                <w:sz w:val="16"/>
                <w:lang w:val="pt-BR"/>
              </w:rPr>
              <w:t>Brassica oleracea L. var. sabellica L.</w:t>
            </w:r>
          </w:p>
        </w:tc>
      </w:tr>
      <w:tr w:rsidR="005253AC" w:rsidRPr="00E30CEB" w:rsidTr="00E658B6">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5253AC" w:rsidRPr="000D5690" w:rsidRDefault="005253AC" w:rsidP="00E658B6">
            <w:pPr>
              <w:rPr>
                <w:rFonts w:cs="Arial"/>
                <w:dstrike/>
                <w:sz w:val="16"/>
              </w:rPr>
            </w:pPr>
            <w:r w:rsidRPr="000D5690">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rPr>
                <w:rFonts w:cs="Arial"/>
                <w:dstrike/>
                <w:sz w:val="16"/>
              </w:rPr>
            </w:pPr>
            <w:r w:rsidRPr="000D5690">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rPr>
            </w:pPr>
            <w:r w:rsidRPr="000D5690">
              <w:rPr>
                <w:rFonts w:cs="Arial"/>
                <w:sz w:val="16"/>
              </w:rPr>
              <w:t>TG/151/4 (document TC/52/27)</w:t>
            </w:r>
          </w:p>
        </w:tc>
        <w:tc>
          <w:tcPr>
            <w:tcW w:w="1275"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rPr>
            </w:pPr>
            <w:r w:rsidRPr="000D5690">
              <w:rPr>
                <w:rFonts w:cs="Arial"/>
                <w:sz w:val="16"/>
              </w:rPr>
              <w:t>Calabrese, Sprouting Broccoli</w:t>
            </w:r>
          </w:p>
        </w:tc>
        <w:tc>
          <w:tcPr>
            <w:tcW w:w="1418"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rPr>
            </w:pPr>
            <w:r w:rsidRPr="000D5690">
              <w:rPr>
                <w:rFonts w:cs="Arial"/>
                <w:sz w:val="16"/>
              </w:rPr>
              <w:t>Broccoli</w:t>
            </w:r>
          </w:p>
        </w:tc>
        <w:tc>
          <w:tcPr>
            <w:tcW w:w="1417"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rPr>
            </w:pPr>
            <w:proofErr w:type="spellStart"/>
            <w:r w:rsidRPr="000D5690">
              <w:rPr>
                <w:rFonts w:cs="Arial"/>
                <w:sz w:val="16"/>
              </w:rPr>
              <w:t>Brokkoli</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rPr>
            </w:pPr>
            <w:proofErr w:type="spellStart"/>
            <w:r w:rsidRPr="000D5690">
              <w:rPr>
                <w:rFonts w:cs="Arial"/>
                <w:sz w:val="16"/>
              </w:rPr>
              <w:t>Bróculi</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sz w:val="16"/>
                <w:lang w:val="es-ES"/>
              </w:rPr>
            </w:pPr>
            <w:r w:rsidRPr="000D5690">
              <w:rPr>
                <w:rFonts w:cs="Arial"/>
                <w:sz w:val="16"/>
                <w:lang w:val="pt-BR"/>
              </w:rPr>
              <w:t xml:space="preserve">Brassica oleracea L. convar. botrytis (L.) </w:t>
            </w:r>
            <w:proofErr w:type="spellStart"/>
            <w:r w:rsidRPr="000D5690">
              <w:rPr>
                <w:rFonts w:cs="Arial"/>
                <w:sz w:val="16"/>
                <w:lang w:val="es-ES"/>
              </w:rPr>
              <w:t>Alef</w:t>
            </w:r>
            <w:proofErr w:type="spellEnd"/>
            <w:r w:rsidRPr="000D5690">
              <w:rPr>
                <w:rFonts w:cs="Arial"/>
                <w:sz w:val="16"/>
                <w:lang w:val="es-ES"/>
              </w:rPr>
              <w:t xml:space="preserve">. </w:t>
            </w:r>
            <w:proofErr w:type="spellStart"/>
            <w:proofErr w:type="gramStart"/>
            <w:r w:rsidRPr="000D5690">
              <w:rPr>
                <w:rFonts w:cs="Arial"/>
                <w:sz w:val="16"/>
                <w:lang w:val="es-ES"/>
              </w:rPr>
              <w:t>var</w:t>
            </w:r>
            <w:proofErr w:type="spellEnd"/>
            <w:proofErr w:type="gramEnd"/>
            <w:r w:rsidRPr="000D5690">
              <w:rPr>
                <w:rFonts w:cs="Arial"/>
                <w:sz w:val="16"/>
                <w:lang w:val="es-ES"/>
              </w:rPr>
              <w:t xml:space="preserve">. </w:t>
            </w:r>
            <w:proofErr w:type="spellStart"/>
            <w:proofErr w:type="gramStart"/>
            <w:r w:rsidRPr="000D5690">
              <w:rPr>
                <w:rFonts w:cs="Arial"/>
                <w:sz w:val="16"/>
                <w:lang w:val="es-ES"/>
              </w:rPr>
              <w:t>cymosa</w:t>
            </w:r>
            <w:proofErr w:type="spellEnd"/>
            <w:proofErr w:type="gramEnd"/>
            <w:r w:rsidRPr="000D5690">
              <w:rPr>
                <w:rFonts w:cs="Arial"/>
                <w:sz w:val="16"/>
                <w:lang w:val="es-ES"/>
              </w:rPr>
              <w:t xml:space="preserve"> </w:t>
            </w:r>
            <w:proofErr w:type="spellStart"/>
            <w:r w:rsidRPr="000D5690">
              <w:rPr>
                <w:rFonts w:cs="Arial"/>
                <w:sz w:val="16"/>
                <w:lang w:val="es-ES"/>
              </w:rPr>
              <w:t>Duch</w:t>
            </w:r>
            <w:proofErr w:type="spellEnd"/>
            <w:r w:rsidRPr="000D5690">
              <w:rPr>
                <w:rFonts w:cs="Arial"/>
                <w:sz w:val="16"/>
                <w:lang w:val="es-ES"/>
              </w:rPr>
              <w:t>.</w:t>
            </w:r>
          </w:p>
        </w:tc>
      </w:tr>
      <w:tr w:rsidR="005253AC" w:rsidRPr="000D5690" w:rsidTr="00E658B6">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5253AC" w:rsidRPr="000D5690" w:rsidRDefault="005253AC" w:rsidP="00E658B6">
            <w:pPr>
              <w:rPr>
                <w:rFonts w:cs="Arial"/>
                <w:dstrike/>
                <w:sz w:val="16"/>
              </w:rPr>
            </w:pPr>
            <w:r w:rsidRPr="000D5690">
              <w:rPr>
                <w:rFonts w:cs="Arial"/>
                <w:sz w:val="16"/>
              </w:rPr>
              <w:t>QZ</w:t>
            </w:r>
          </w:p>
        </w:tc>
        <w:tc>
          <w:tcPr>
            <w:tcW w:w="590"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rPr>
                <w:rFonts w:cs="Arial"/>
                <w:dstrike/>
                <w:sz w:val="16"/>
              </w:rPr>
            </w:pPr>
            <w:r w:rsidRPr="000D5690">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rPr>
            </w:pPr>
            <w:r w:rsidRPr="000D5690">
              <w:rPr>
                <w:rFonts w:cs="Arial"/>
                <w:sz w:val="16"/>
              </w:rPr>
              <w:t>TG/294/1 Corr. (document TC/52/26)</w:t>
            </w:r>
          </w:p>
        </w:tc>
        <w:tc>
          <w:tcPr>
            <w:tcW w:w="1275"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rPr>
            </w:pPr>
            <w:r w:rsidRPr="000D5690">
              <w:rPr>
                <w:rFonts w:cs="Arial"/>
                <w:sz w:val="16"/>
              </w:rPr>
              <w:t xml:space="preserve">Tomato Rootstocks </w:t>
            </w:r>
          </w:p>
        </w:tc>
        <w:tc>
          <w:tcPr>
            <w:tcW w:w="1418"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rPr>
            </w:pPr>
            <w:r w:rsidRPr="000D5690">
              <w:rPr>
                <w:rFonts w:cs="Arial"/>
                <w:sz w:val="16"/>
              </w:rPr>
              <w:t>Porte-</w:t>
            </w:r>
            <w:proofErr w:type="spellStart"/>
            <w:r w:rsidRPr="000D5690">
              <w:rPr>
                <w:rFonts w:cs="Arial"/>
                <w:sz w:val="16"/>
              </w:rPr>
              <w:t>greffe</w:t>
            </w:r>
            <w:proofErr w:type="spellEnd"/>
            <w:r w:rsidRPr="000D5690">
              <w:rPr>
                <w:rFonts w:cs="Arial"/>
                <w:sz w:val="16"/>
              </w:rPr>
              <w:t xml:space="preserve"> de </w:t>
            </w:r>
            <w:proofErr w:type="spellStart"/>
            <w:r w:rsidRPr="000D5690">
              <w:rPr>
                <w:rFonts w:cs="Arial"/>
                <w:sz w:val="16"/>
              </w:rPr>
              <w:t>tomate</w:t>
            </w:r>
            <w:proofErr w:type="spellEnd"/>
            <w:r w:rsidRPr="000D5690">
              <w:rPr>
                <w:rFonts w:cs="Arial"/>
                <w:sz w:val="16"/>
              </w:rPr>
              <w:t xml:space="preserve"> </w:t>
            </w:r>
          </w:p>
        </w:tc>
        <w:tc>
          <w:tcPr>
            <w:tcW w:w="1417"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rPr>
            </w:pPr>
            <w:proofErr w:type="spellStart"/>
            <w:r w:rsidRPr="000D5690">
              <w:rPr>
                <w:rFonts w:cs="Arial"/>
                <w:sz w:val="16"/>
              </w:rPr>
              <w:t>Tomatenunterlagen</w:t>
            </w:r>
            <w:proofErr w:type="spellEnd"/>
            <w:r w:rsidRPr="000D5690">
              <w:rPr>
                <w:rFonts w:cs="Arial"/>
                <w:sz w:val="16"/>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dstrike/>
                <w:sz w:val="16"/>
              </w:rPr>
            </w:pPr>
            <w:proofErr w:type="spellStart"/>
            <w:r w:rsidRPr="000D5690">
              <w:rPr>
                <w:rFonts w:cs="Arial"/>
                <w:sz w:val="16"/>
              </w:rPr>
              <w:t>Portainjertos</w:t>
            </w:r>
            <w:proofErr w:type="spellEnd"/>
            <w:r w:rsidRPr="000D5690">
              <w:rPr>
                <w:rFonts w:cs="Arial"/>
                <w:sz w:val="16"/>
              </w:rPr>
              <w:t xml:space="preserve"> de </w:t>
            </w:r>
            <w:proofErr w:type="spellStart"/>
            <w:r w:rsidRPr="000D5690">
              <w:rPr>
                <w:rFonts w:cs="Arial"/>
                <w:sz w:val="16"/>
              </w:rPr>
              <w:t>tomate</w:t>
            </w:r>
            <w:proofErr w:type="spellEnd"/>
            <w:r w:rsidRPr="000D5690">
              <w:rPr>
                <w:rFonts w:cs="Arial"/>
                <w:sz w:val="16"/>
              </w:rPr>
              <w:t xml:space="preserve"> </w:t>
            </w:r>
          </w:p>
        </w:tc>
        <w:tc>
          <w:tcPr>
            <w:tcW w:w="1700" w:type="dxa"/>
            <w:tcBorders>
              <w:top w:val="single" w:sz="4" w:space="0" w:color="auto"/>
              <w:left w:val="nil"/>
              <w:bottom w:val="single" w:sz="4" w:space="0" w:color="auto"/>
              <w:right w:val="single" w:sz="4" w:space="0" w:color="auto"/>
            </w:tcBorders>
            <w:shd w:val="clear" w:color="auto" w:fill="auto"/>
          </w:tcPr>
          <w:p w:rsidR="005253AC" w:rsidRPr="000D5690" w:rsidRDefault="005253AC" w:rsidP="00E658B6">
            <w:pPr>
              <w:jc w:val="left"/>
              <w:rPr>
                <w:rFonts w:cs="Arial"/>
                <w:sz w:val="16"/>
                <w:lang w:val="pt-BR"/>
              </w:rPr>
            </w:pPr>
            <w:r w:rsidRPr="000D5690">
              <w:rPr>
                <w:rFonts w:cs="Arial"/>
                <w:sz w:val="16"/>
              </w:rPr>
              <w:t xml:space="preserve">Solanum </w:t>
            </w:r>
            <w:proofErr w:type="spellStart"/>
            <w:r w:rsidRPr="000D5690">
              <w:rPr>
                <w:rFonts w:cs="Arial"/>
                <w:sz w:val="16"/>
              </w:rPr>
              <w:t>lycopersicum</w:t>
            </w:r>
            <w:proofErr w:type="spellEnd"/>
            <w:r w:rsidRPr="000D5690">
              <w:rPr>
                <w:rFonts w:cs="Arial"/>
                <w:sz w:val="16"/>
              </w:rPr>
              <w:t xml:space="preserve"> L. x Solanum </w:t>
            </w:r>
            <w:proofErr w:type="spellStart"/>
            <w:r w:rsidRPr="000D5690">
              <w:rPr>
                <w:rFonts w:cs="Arial"/>
                <w:sz w:val="16"/>
              </w:rPr>
              <w:t>habrochaites</w:t>
            </w:r>
            <w:proofErr w:type="spellEnd"/>
            <w:r w:rsidRPr="000D5690">
              <w:rPr>
                <w:rFonts w:cs="Arial"/>
                <w:sz w:val="16"/>
              </w:rPr>
              <w:t xml:space="preserve"> S. Knapp &amp; D.M. Spooner; Solanum </w:t>
            </w:r>
            <w:proofErr w:type="spellStart"/>
            <w:r w:rsidRPr="000D5690">
              <w:rPr>
                <w:rFonts w:cs="Arial"/>
                <w:sz w:val="16"/>
              </w:rPr>
              <w:t>lycopersicum</w:t>
            </w:r>
            <w:proofErr w:type="spellEnd"/>
            <w:r w:rsidRPr="000D5690">
              <w:rPr>
                <w:rFonts w:cs="Arial"/>
                <w:sz w:val="16"/>
              </w:rPr>
              <w:t xml:space="preserve"> L. x Solanum </w:t>
            </w:r>
            <w:proofErr w:type="spellStart"/>
            <w:r w:rsidRPr="000D5690">
              <w:rPr>
                <w:rFonts w:cs="Arial"/>
                <w:sz w:val="16"/>
              </w:rPr>
              <w:t>peruvianum</w:t>
            </w:r>
            <w:proofErr w:type="spellEnd"/>
            <w:r w:rsidRPr="000D5690">
              <w:rPr>
                <w:rFonts w:cs="Arial"/>
                <w:sz w:val="16"/>
              </w:rPr>
              <w:t xml:space="preserve"> (L.) </w:t>
            </w:r>
            <w:r w:rsidRPr="000D5690">
              <w:rPr>
                <w:rFonts w:cs="Arial"/>
                <w:sz w:val="16"/>
                <w:lang w:val="pt-BR"/>
              </w:rPr>
              <w:t>Mill.; Solanum lycopersicum L. x Solanum cheesmaniae (L. Ridley) Fosberg</w:t>
            </w:r>
          </w:p>
        </w:tc>
      </w:tr>
    </w:tbl>
    <w:p w:rsidR="005253AC" w:rsidRPr="000D5690" w:rsidRDefault="005253AC" w:rsidP="005253AC">
      <w:pPr>
        <w:rPr>
          <w:lang w:val="pt-PT"/>
        </w:rPr>
      </w:pPr>
    </w:p>
    <w:p w:rsidR="005253AC" w:rsidRPr="00D6704A" w:rsidRDefault="00791298" w:rsidP="005253AC">
      <w:pPr>
        <w:rPr>
          <w:rFonts w:cs="Arial"/>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8E2D9A" w:rsidRPr="000D5690">
        <w:rPr>
          <w:lang w:val="es-ES_tradnl"/>
        </w:rPr>
        <w:t>Por</w:t>
      </w:r>
      <w:r w:rsidR="007F78F0" w:rsidRPr="000D5690">
        <w:rPr>
          <w:lang w:val="es-ES_tradnl"/>
        </w:rPr>
        <w:t xml:space="preserve"> petición del experto principal y Presidente del </w:t>
      </w:r>
      <w:r w:rsidR="007F78F0" w:rsidRPr="000D5690">
        <w:rPr>
          <w:rFonts w:cs="Arial"/>
          <w:lang w:val="es-ES_tradnl"/>
        </w:rPr>
        <w:t>TWO</w:t>
      </w:r>
      <w:r w:rsidR="007F78F0" w:rsidRPr="000D5690">
        <w:rPr>
          <w:lang w:val="es-ES_tradnl"/>
        </w:rPr>
        <w:t>, el Sr. </w:t>
      </w:r>
      <w:proofErr w:type="spellStart"/>
      <w:r w:rsidR="007F78F0" w:rsidRPr="000D5690">
        <w:rPr>
          <w:lang w:val="es-ES_tradnl"/>
        </w:rPr>
        <w:t>Kenji</w:t>
      </w:r>
      <w:proofErr w:type="spellEnd"/>
      <w:r w:rsidR="007F78F0" w:rsidRPr="000D5690">
        <w:rPr>
          <w:lang w:val="es-ES_tradnl"/>
        </w:rPr>
        <w:t xml:space="preserve"> </w:t>
      </w:r>
      <w:proofErr w:type="spellStart"/>
      <w:r w:rsidR="007F78F0" w:rsidRPr="000D5690">
        <w:rPr>
          <w:lang w:val="es-ES_tradnl"/>
        </w:rPr>
        <w:t>Numaguchi</w:t>
      </w:r>
      <w:proofErr w:type="spellEnd"/>
      <w:r w:rsidR="007F78F0" w:rsidRPr="000D5690">
        <w:rPr>
          <w:lang w:val="es-ES_tradnl"/>
        </w:rPr>
        <w:t xml:space="preserve"> (Japón), el proyecto de directrices de examen de </w:t>
      </w:r>
      <w:proofErr w:type="spellStart"/>
      <w:r w:rsidR="007F78F0" w:rsidRPr="000D5690">
        <w:rPr>
          <w:lang w:val="es-ES_tradnl"/>
        </w:rPr>
        <w:t>Aglaonema</w:t>
      </w:r>
      <w:proofErr w:type="spellEnd"/>
      <w:r w:rsidR="007F78F0" w:rsidRPr="000D5690">
        <w:rPr>
          <w:lang w:val="es-ES_tradnl"/>
        </w:rPr>
        <w:t xml:space="preserve"> (</w:t>
      </w:r>
      <w:proofErr w:type="spellStart"/>
      <w:r w:rsidR="007F78F0" w:rsidRPr="000D5690">
        <w:rPr>
          <w:i/>
          <w:lang w:val="es-ES_tradnl"/>
        </w:rPr>
        <w:t>Aglaonema</w:t>
      </w:r>
      <w:proofErr w:type="spellEnd"/>
      <w:r w:rsidR="007F78F0" w:rsidRPr="000D5690">
        <w:rPr>
          <w:lang w:val="es-ES_tradnl"/>
        </w:rPr>
        <w:t xml:space="preserve"> </w:t>
      </w:r>
      <w:proofErr w:type="spellStart"/>
      <w:r w:rsidR="007F78F0" w:rsidRPr="000D5690">
        <w:rPr>
          <w:lang w:val="es-ES_tradnl"/>
        </w:rPr>
        <w:t>Schott</w:t>
      </w:r>
      <w:proofErr w:type="spellEnd"/>
      <w:r w:rsidR="007F78F0" w:rsidRPr="000D5690">
        <w:rPr>
          <w:lang w:val="es-ES_tradnl"/>
        </w:rPr>
        <w:t xml:space="preserve">.) se debatirá de nuevo en el </w:t>
      </w:r>
      <w:r w:rsidR="007F78F0" w:rsidRPr="000D5690">
        <w:rPr>
          <w:rFonts w:cs="Arial"/>
          <w:lang w:val="es-ES_tradnl"/>
        </w:rPr>
        <w:t>TWO</w:t>
      </w:r>
      <w:r w:rsidR="007F78F0" w:rsidRPr="000D5690">
        <w:rPr>
          <w:lang w:val="es-ES_tradnl"/>
        </w:rPr>
        <w:t xml:space="preserve">, en su cuadragésima novena sesión, con el fin de examinar las observaciones del TC-EDC </w:t>
      </w:r>
      <w:r w:rsidR="008E2D9A" w:rsidRPr="000D5690">
        <w:rPr>
          <w:lang w:val="es-ES_tradnl"/>
        </w:rPr>
        <w:t>con respecto a</w:t>
      </w:r>
      <w:r w:rsidR="007F78F0" w:rsidRPr="000D5690">
        <w:rPr>
          <w:lang w:val="es-ES_tradnl"/>
        </w:rPr>
        <w:t xml:space="preserve">l </w:t>
      </w:r>
      <w:r w:rsidR="008E2D9A" w:rsidRPr="000D5690">
        <w:rPr>
          <w:lang w:val="es-ES_tradnl"/>
        </w:rPr>
        <w:t xml:space="preserve">método </w:t>
      </w:r>
      <w:r w:rsidR="007F78F0" w:rsidRPr="000D5690">
        <w:rPr>
          <w:lang w:val="es-ES_tradnl"/>
        </w:rPr>
        <w:t>de presenta</w:t>
      </w:r>
      <w:r w:rsidR="008E2D9A" w:rsidRPr="000D5690">
        <w:rPr>
          <w:lang w:val="es-ES_tradnl"/>
        </w:rPr>
        <w:t>ción de los</w:t>
      </w:r>
      <w:r w:rsidR="007F78F0" w:rsidRPr="000D5690">
        <w:rPr>
          <w:lang w:val="es-ES_tradnl"/>
        </w:rPr>
        <w:t xml:space="preserve"> caracter</w:t>
      </w:r>
      <w:r w:rsidR="008E2D9A" w:rsidRPr="000D5690">
        <w:rPr>
          <w:lang w:val="es-ES_tradnl"/>
        </w:rPr>
        <w:t xml:space="preserve">es relativos al </w:t>
      </w:r>
      <w:r w:rsidR="007F78F0" w:rsidRPr="000D5690">
        <w:rPr>
          <w:lang w:val="es-ES_tradnl"/>
        </w:rPr>
        <w:t>color.</w:t>
      </w:r>
    </w:p>
    <w:p w:rsidR="005253AC" w:rsidRPr="00D6704A" w:rsidRDefault="005253AC" w:rsidP="005253AC">
      <w:pPr>
        <w:rPr>
          <w:lang w:val="es-ES"/>
        </w:rPr>
      </w:pPr>
    </w:p>
    <w:p w:rsidR="005253AC" w:rsidRPr="00D6704A" w:rsidRDefault="00791298" w:rsidP="005253AC">
      <w:pPr>
        <w:rPr>
          <w:rFonts w:cs="Arial"/>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8E2D9A" w:rsidRPr="000D5690">
        <w:rPr>
          <w:lang w:val="es-ES_tradnl"/>
        </w:rPr>
        <w:t xml:space="preserve">Por petición del experto principal, el Sr. Nik Hulse </w:t>
      </w:r>
      <w:r w:rsidR="008E2D9A" w:rsidRPr="000D5690">
        <w:rPr>
          <w:rFonts w:cs="Arial"/>
          <w:lang w:val="es-ES_tradnl"/>
        </w:rPr>
        <w:t>(</w:t>
      </w:r>
      <w:r w:rsidR="008E2D9A" w:rsidRPr="000D5690">
        <w:rPr>
          <w:lang w:val="es-ES_tradnl"/>
        </w:rPr>
        <w:t xml:space="preserve">Australia), previa consulta con el Presidente del </w:t>
      </w:r>
      <w:r w:rsidR="008E2D9A" w:rsidRPr="000D5690">
        <w:rPr>
          <w:rFonts w:cs="Arial"/>
          <w:lang w:val="es-ES_tradnl"/>
        </w:rPr>
        <w:t>TWO</w:t>
      </w:r>
      <w:r w:rsidR="008E2D9A" w:rsidRPr="000D5690">
        <w:rPr>
          <w:lang w:val="es-ES_tradnl"/>
        </w:rPr>
        <w:t>, el Sr. </w:t>
      </w:r>
      <w:proofErr w:type="spellStart"/>
      <w:r w:rsidR="008E2D9A" w:rsidRPr="000D5690">
        <w:rPr>
          <w:lang w:val="es-ES_tradnl"/>
        </w:rPr>
        <w:t>Kenji</w:t>
      </w:r>
      <w:proofErr w:type="spellEnd"/>
      <w:r w:rsidR="008E2D9A" w:rsidRPr="000D5690">
        <w:rPr>
          <w:lang w:val="es-ES_tradnl"/>
        </w:rPr>
        <w:t xml:space="preserve"> </w:t>
      </w:r>
      <w:proofErr w:type="spellStart"/>
      <w:r w:rsidR="008E2D9A" w:rsidRPr="000D5690">
        <w:rPr>
          <w:lang w:val="es-ES_tradnl"/>
        </w:rPr>
        <w:t>Numaguchi</w:t>
      </w:r>
      <w:proofErr w:type="spellEnd"/>
      <w:r w:rsidR="008E2D9A" w:rsidRPr="000D5690">
        <w:rPr>
          <w:lang w:val="es-ES_tradnl"/>
        </w:rPr>
        <w:t xml:space="preserve"> </w:t>
      </w:r>
      <w:r w:rsidR="008E2D9A" w:rsidRPr="000D5690">
        <w:rPr>
          <w:rFonts w:cs="Arial"/>
          <w:lang w:val="es-ES_tradnl"/>
        </w:rPr>
        <w:t>(</w:t>
      </w:r>
      <w:r w:rsidR="008E2D9A" w:rsidRPr="000D5690">
        <w:rPr>
          <w:lang w:val="es-ES_tradnl"/>
        </w:rPr>
        <w:t xml:space="preserve">Japón), el proyecto de directrices de examen de </w:t>
      </w:r>
      <w:proofErr w:type="spellStart"/>
      <w:r w:rsidR="008D06B0" w:rsidRPr="000D5690">
        <w:rPr>
          <w:lang w:val="es-ES_tradnl"/>
        </w:rPr>
        <w:t>Grevillea</w:t>
      </w:r>
      <w:proofErr w:type="spellEnd"/>
      <w:r w:rsidR="008E2D9A" w:rsidRPr="000D5690">
        <w:rPr>
          <w:lang w:val="es-ES_tradnl"/>
        </w:rPr>
        <w:t xml:space="preserve"> (</w:t>
      </w:r>
      <w:proofErr w:type="spellStart"/>
      <w:r w:rsidR="008E2D9A" w:rsidRPr="000D5690">
        <w:rPr>
          <w:rFonts w:cs="Arial"/>
          <w:i/>
          <w:lang w:val="es-ES_tradnl"/>
        </w:rPr>
        <w:t>Grevillea</w:t>
      </w:r>
      <w:proofErr w:type="spellEnd"/>
      <w:r w:rsidR="008F4CA8" w:rsidRPr="000D5690">
        <w:rPr>
          <w:lang w:val="es-ES_tradnl"/>
        </w:rPr>
        <w:t xml:space="preserve"> R. Br. </w:t>
      </w:r>
      <w:proofErr w:type="spellStart"/>
      <w:r w:rsidR="008F4CA8" w:rsidRPr="000D5690">
        <w:rPr>
          <w:lang w:val="es-ES_tradnl"/>
        </w:rPr>
        <w:t>corr</w:t>
      </w:r>
      <w:proofErr w:type="spellEnd"/>
      <w:r w:rsidR="008F4CA8" w:rsidRPr="000D5690">
        <w:rPr>
          <w:lang w:val="es-ES_tradnl"/>
        </w:rPr>
        <w:t>. R. Br</w:t>
      </w:r>
      <w:r w:rsidR="008E2D9A" w:rsidRPr="000D5690">
        <w:rPr>
          <w:lang w:val="es-ES_tradnl"/>
        </w:rPr>
        <w:t xml:space="preserve">.) </w:t>
      </w:r>
      <w:proofErr w:type="gramStart"/>
      <w:r w:rsidR="008E2D9A" w:rsidRPr="000D5690">
        <w:rPr>
          <w:lang w:val="es-ES_tradnl"/>
        </w:rPr>
        <w:t>se</w:t>
      </w:r>
      <w:proofErr w:type="gramEnd"/>
      <w:r w:rsidR="008E2D9A" w:rsidRPr="000D5690">
        <w:rPr>
          <w:lang w:val="es-ES_tradnl"/>
        </w:rPr>
        <w:t xml:space="preserve"> debatirá de nuevo en el </w:t>
      </w:r>
      <w:r w:rsidR="008E2D9A" w:rsidRPr="000D5690">
        <w:rPr>
          <w:rFonts w:cs="Arial"/>
          <w:lang w:val="es-ES_tradnl"/>
        </w:rPr>
        <w:t>TWO</w:t>
      </w:r>
      <w:r w:rsidR="008E2D9A" w:rsidRPr="000D5690">
        <w:rPr>
          <w:lang w:val="es-ES_tradnl"/>
        </w:rPr>
        <w:t>, en su cuadragésima novena sesión, con el fin de aclarar los caracteres de la hoja.</w:t>
      </w:r>
    </w:p>
    <w:p w:rsidR="005253AC" w:rsidRPr="00D6704A" w:rsidRDefault="005253AC" w:rsidP="005253AC">
      <w:pPr>
        <w:rPr>
          <w:lang w:val="es-ES"/>
        </w:rPr>
      </w:pPr>
    </w:p>
    <w:p w:rsidR="005253AC" w:rsidRPr="00D6704A" w:rsidRDefault="008E2D9A" w:rsidP="005253AC">
      <w:pPr>
        <w:pStyle w:val="Heading3"/>
        <w:rPr>
          <w:lang w:val="es-ES"/>
        </w:rPr>
      </w:pPr>
      <w:r w:rsidRPr="000D5690">
        <w:rPr>
          <w:lang w:val="es-ES_tradnl"/>
        </w:rPr>
        <w:t>Correcciones de directrices de examen</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2B58D9" w:rsidRPr="000D5690">
        <w:rPr>
          <w:lang w:val="es-ES_tradnl"/>
        </w:rPr>
        <w:t>El TC tomó nota de que se había publicado en el sitio web de la UPOV una versión corregida de las directrices de examen del pepino en francés y español (documento TG/61/7 Rev. 2 </w:t>
      </w:r>
      <w:proofErr w:type="spellStart"/>
      <w:r w:rsidR="002B58D9" w:rsidRPr="000D5690">
        <w:rPr>
          <w:lang w:val="es-ES_tradnl"/>
        </w:rPr>
        <w:t>Corr</w:t>
      </w:r>
      <w:proofErr w:type="spellEnd"/>
      <w:r w:rsidR="002B58D9" w:rsidRPr="000D5690">
        <w:rPr>
          <w:lang w:val="es-ES_tradnl"/>
        </w:rPr>
        <w:t>.) y de que después de la sesión del TC se publicar</w:t>
      </w:r>
      <w:r w:rsidR="008F4CA8" w:rsidRPr="000D5690">
        <w:rPr>
          <w:lang w:val="es-ES_tradnl"/>
        </w:rPr>
        <w:t>á</w:t>
      </w:r>
      <w:r w:rsidR="002B58D9" w:rsidRPr="000D5690">
        <w:rPr>
          <w:lang w:val="es-ES_tradnl"/>
        </w:rPr>
        <w:t xml:space="preserve"> una versión corregida de las directrices de examen del calabacín (documento TG/119/4 </w:t>
      </w:r>
      <w:proofErr w:type="spellStart"/>
      <w:r w:rsidR="002B58D9" w:rsidRPr="000D5690">
        <w:rPr>
          <w:lang w:val="es-ES_tradnl"/>
        </w:rPr>
        <w:t>Corr</w:t>
      </w:r>
      <w:proofErr w:type="spellEnd"/>
      <w:r w:rsidR="002B58D9" w:rsidRPr="000D5690">
        <w:rPr>
          <w:lang w:val="es-ES_tradnl"/>
        </w:rPr>
        <w:t>.).</w:t>
      </w:r>
    </w:p>
    <w:p w:rsidR="005253AC" w:rsidRPr="00D6704A" w:rsidRDefault="005253AC" w:rsidP="005253AC">
      <w:pPr>
        <w:rPr>
          <w:lang w:val="es-ES"/>
        </w:rPr>
      </w:pPr>
    </w:p>
    <w:p w:rsidR="005253AC" w:rsidRPr="00D6704A" w:rsidRDefault="002B58D9" w:rsidP="005253AC">
      <w:pPr>
        <w:pStyle w:val="Heading3"/>
        <w:rPr>
          <w:lang w:val="es-ES"/>
        </w:rPr>
      </w:pPr>
      <w:r w:rsidRPr="000D5690">
        <w:rPr>
          <w:lang w:val="es-ES_tradnl"/>
        </w:rPr>
        <w:t>Proyectos de directrices de examen debatidos en los Grupos de Trabajo Técnico en 2015</w:t>
      </w:r>
    </w:p>
    <w:p w:rsidR="005253AC" w:rsidRPr="00D6704A" w:rsidRDefault="005253AC" w:rsidP="005253AC">
      <w:pPr>
        <w:keepNext/>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2B58D9" w:rsidRPr="000D5690">
        <w:rPr>
          <w:lang w:val="es-ES_tradnl"/>
        </w:rPr>
        <w:t>El TC tomó nota de la lista de los proyectos de directrices de examen debatidos por los TWP en sus reuniones de 2015, que figura en el Anexo II del documento TC/52/2.</w:t>
      </w:r>
    </w:p>
    <w:p w:rsidR="005253AC" w:rsidRPr="00D6704A" w:rsidRDefault="005253AC" w:rsidP="005253AC">
      <w:pPr>
        <w:rPr>
          <w:lang w:val="es-ES"/>
        </w:rPr>
      </w:pPr>
    </w:p>
    <w:p w:rsidR="005253AC" w:rsidRPr="00D6704A" w:rsidRDefault="002B58D9" w:rsidP="005253AC">
      <w:pPr>
        <w:pStyle w:val="Heading3"/>
        <w:rPr>
          <w:rFonts w:cs="Arial"/>
          <w:lang w:val="es-ES"/>
        </w:rPr>
      </w:pPr>
      <w:r w:rsidRPr="000D5690">
        <w:rPr>
          <w:lang w:val="es-ES_tradnl"/>
        </w:rPr>
        <w:t>Proyectos de directrices de examen que han de debatirse en los Grupos de Trabajo Técnico en 2016</w:t>
      </w:r>
    </w:p>
    <w:p w:rsidR="005253AC" w:rsidRPr="00D6704A" w:rsidRDefault="005253AC" w:rsidP="005253AC">
      <w:pPr>
        <w:keepNext/>
        <w:tabs>
          <w:tab w:val="left" w:pos="567"/>
        </w:tabs>
        <w:ind w:left="567" w:hanging="567"/>
        <w:outlineLvl w:val="0"/>
        <w:rPr>
          <w:rFonts w:cs="Arial"/>
          <w:lang w:val="es-ES"/>
        </w:rPr>
      </w:pPr>
    </w:p>
    <w:p w:rsidR="005253AC" w:rsidRPr="00D6704A" w:rsidRDefault="00791298" w:rsidP="005253AC">
      <w:pPr>
        <w:rPr>
          <w:rFonts w:cs="Arial"/>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2B58D9" w:rsidRPr="000D5690">
        <w:rPr>
          <w:lang w:val="es-ES_tradnl"/>
        </w:rPr>
        <w:t xml:space="preserve">El </w:t>
      </w:r>
      <w:r w:rsidR="0035339C" w:rsidRPr="000D5690">
        <w:rPr>
          <w:lang w:val="es-ES_tradnl"/>
        </w:rPr>
        <w:t xml:space="preserve">TC </w:t>
      </w:r>
      <w:r w:rsidR="002B58D9" w:rsidRPr="000D5690">
        <w:rPr>
          <w:lang w:val="es-ES_tradnl"/>
        </w:rPr>
        <w:t xml:space="preserve">aprobó los planes de elaboración de las nuevas directrices de examen y la revisión de las directrices de examen que figuran en el </w:t>
      </w:r>
      <w:r w:rsidR="0035339C" w:rsidRPr="000D5690">
        <w:rPr>
          <w:lang w:val="es-ES_tradnl"/>
        </w:rPr>
        <w:t>A</w:t>
      </w:r>
      <w:r w:rsidR="002B58D9" w:rsidRPr="000D5690">
        <w:rPr>
          <w:lang w:val="es-ES_tradnl"/>
        </w:rPr>
        <w:t>nexo</w:t>
      </w:r>
      <w:r w:rsidR="0035339C" w:rsidRPr="000D5690">
        <w:rPr>
          <w:lang w:val="es-ES_tradnl"/>
        </w:rPr>
        <w:t xml:space="preserve"> III </w:t>
      </w:r>
      <w:r w:rsidR="002B58D9" w:rsidRPr="000D5690">
        <w:rPr>
          <w:lang w:val="es-ES_tradnl"/>
        </w:rPr>
        <w:t>del documento</w:t>
      </w:r>
      <w:r w:rsidR="0035339C" w:rsidRPr="000D5690">
        <w:rPr>
          <w:lang w:val="es-ES_tradnl"/>
        </w:rPr>
        <w:t> TC</w:t>
      </w:r>
      <w:r w:rsidR="002B58D9" w:rsidRPr="000D5690">
        <w:rPr>
          <w:lang w:val="es-ES_tradnl"/>
        </w:rPr>
        <w:t>/52/2.</w:t>
      </w:r>
    </w:p>
    <w:p w:rsidR="005253AC" w:rsidRPr="00D6704A" w:rsidRDefault="005253AC" w:rsidP="005253AC">
      <w:pPr>
        <w:rPr>
          <w:rFonts w:cs="Arial"/>
          <w:lang w:val="es-ES"/>
        </w:rPr>
      </w:pPr>
    </w:p>
    <w:p w:rsidR="005253AC" w:rsidRPr="00D6704A" w:rsidRDefault="00791298" w:rsidP="005253AC">
      <w:pPr>
        <w:rPr>
          <w:rFonts w:cs="Arial"/>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35339C" w:rsidRPr="000D5690">
        <w:rPr>
          <w:rFonts w:cs="Arial"/>
          <w:lang w:val="es-ES_tradnl"/>
        </w:rPr>
        <w:t xml:space="preserve">El TC tomó nota de </w:t>
      </w:r>
      <w:r w:rsidR="008F4CA8" w:rsidRPr="000D5690">
        <w:rPr>
          <w:rFonts w:cs="Arial"/>
          <w:lang w:val="es-ES_tradnl"/>
        </w:rPr>
        <w:t xml:space="preserve">la solicitud formulada por </w:t>
      </w:r>
      <w:r w:rsidR="0035339C" w:rsidRPr="000D5690">
        <w:rPr>
          <w:rFonts w:cs="Arial"/>
          <w:lang w:val="es-ES_tradnl"/>
        </w:rPr>
        <w:t xml:space="preserve">el experto principal de las directrices de examen de la cebolla y chalota (documento TG/46/7), el Sr. Kees van </w:t>
      </w:r>
      <w:proofErr w:type="spellStart"/>
      <w:r w:rsidR="0035339C" w:rsidRPr="000D5690">
        <w:rPr>
          <w:rFonts w:cs="Arial"/>
          <w:lang w:val="es-ES_tradnl"/>
        </w:rPr>
        <w:t>Ettekoven</w:t>
      </w:r>
      <w:proofErr w:type="spellEnd"/>
      <w:r w:rsidR="0035339C" w:rsidRPr="000D5690">
        <w:rPr>
          <w:rFonts w:cs="Arial"/>
          <w:lang w:val="es-ES_tradnl"/>
        </w:rPr>
        <w:t xml:space="preserve"> (Países Bajos), </w:t>
      </w:r>
      <w:r w:rsidR="008F4CA8" w:rsidRPr="000D5690">
        <w:rPr>
          <w:rFonts w:cs="Arial"/>
          <w:lang w:val="es-ES_tradnl"/>
        </w:rPr>
        <w:t xml:space="preserve">de </w:t>
      </w:r>
      <w:r w:rsidR="0035339C" w:rsidRPr="000D5690">
        <w:rPr>
          <w:rFonts w:cs="Arial"/>
          <w:lang w:val="es-ES_tradnl"/>
        </w:rPr>
        <w:t>que estas directrices de examen se retir</w:t>
      </w:r>
      <w:r w:rsidR="008F4CA8" w:rsidRPr="000D5690">
        <w:rPr>
          <w:rFonts w:cs="Arial"/>
          <w:lang w:val="es-ES_tradnl"/>
        </w:rPr>
        <w:t>e</w:t>
      </w:r>
      <w:r w:rsidR="0035339C" w:rsidRPr="000D5690">
        <w:rPr>
          <w:rFonts w:cs="Arial"/>
          <w:lang w:val="es-ES_tradnl"/>
        </w:rPr>
        <w:t xml:space="preserve">n del orden del día </w:t>
      </w:r>
      <w:r w:rsidR="001A1D55" w:rsidRPr="000D5690">
        <w:rPr>
          <w:rFonts w:cs="Arial"/>
          <w:lang w:val="es-ES_tradnl"/>
        </w:rPr>
        <w:t>de la quincuagésima sesión del TWV</w:t>
      </w:r>
      <w:r w:rsidR="0035339C" w:rsidRPr="000D5690">
        <w:rPr>
          <w:rFonts w:cs="Arial"/>
          <w:lang w:val="es-ES_tradnl"/>
        </w:rPr>
        <w:t xml:space="preserve">, </w:t>
      </w:r>
      <w:r w:rsidR="001A1D55" w:rsidRPr="000D5690">
        <w:rPr>
          <w:rFonts w:cs="Arial"/>
          <w:lang w:val="es-ES_tradnl"/>
        </w:rPr>
        <w:t xml:space="preserve">que se celebrará en </w:t>
      </w:r>
      <w:r w:rsidR="0035339C" w:rsidRPr="000D5690">
        <w:rPr>
          <w:rFonts w:cs="Arial"/>
          <w:lang w:val="es-ES_tradnl"/>
        </w:rPr>
        <w:t>2016.</w:t>
      </w:r>
      <w:r w:rsidR="005253AC" w:rsidRPr="00D6704A">
        <w:rPr>
          <w:rFonts w:cs="Arial"/>
          <w:lang w:val="es-ES"/>
        </w:rPr>
        <w:t xml:space="preserve"> </w:t>
      </w:r>
    </w:p>
    <w:p w:rsidR="005253AC" w:rsidRPr="00D6704A" w:rsidRDefault="005253AC" w:rsidP="005253AC">
      <w:pPr>
        <w:rPr>
          <w:rFonts w:cs="Arial"/>
          <w:lang w:val="es-ES"/>
        </w:rPr>
      </w:pPr>
    </w:p>
    <w:p w:rsidR="005253AC" w:rsidRPr="00D6704A" w:rsidRDefault="00791298" w:rsidP="005253AC">
      <w:pPr>
        <w:rPr>
          <w:rFonts w:cs="Arial"/>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1A1D55" w:rsidRPr="000D5690">
        <w:rPr>
          <w:rFonts w:cs="Arial"/>
          <w:lang w:val="es-ES_tradnl"/>
        </w:rPr>
        <w:t>El TC convino en incluir en la quincuagésima sesión del TWV debates sobre la revisión parcial de las directrices de examen del tomate (documento TG/44/11 Rev.), carácter 57 “Resistencia al virus del rizado amarillo de la hoja del tomate (TYLCV)”, sobre la base de un documento que elaborará un experto de la Unión Europea.</w:t>
      </w:r>
    </w:p>
    <w:p w:rsidR="005253AC" w:rsidRPr="00D6704A" w:rsidRDefault="005253AC" w:rsidP="005253AC">
      <w:pPr>
        <w:rPr>
          <w:rFonts w:cs="Arial"/>
          <w:lang w:val="es-ES"/>
        </w:rPr>
      </w:pPr>
    </w:p>
    <w:p w:rsidR="005253AC" w:rsidRPr="00D6704A" w:rsidRDefault="00791298" w:rsidP="005253AC">
      <w:pPr>
        <w:rPr>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1A1D55" w:rsidRPr="000D5690">
        <w:rPr>
          <w:rFonts w:cs="Arial"/>
          <w:lang w:val="es-ES_tradnl"/>
        </w:rPr>
        <w:t xml:space="preserve">El TC convino en que la revisión parcial de las directrices de examen de la coliflor debe eliminarse de la </w:t>
      </w:r>
      <w:r w:rsidR="008F4CA8" w:rsidRPr="000D5690">
        <w:rPr>
          <w:rFonts w:cs="Arial"/>
          <w:lang w:val="es-ES_tradnl"/>
        </w:rPr>
        <w:t xml:space="preserve">enumeración </w:t>
      </w:r>
      <w:r w:rsidR="00E227ED" w:rsidRPr="000D5690">
        <w:rPr>
          <w:rFonts w:cs="Arial"/>
          <w:lang w:val="es-ES_tradnl"/>
        </w:rPr>
        <w:t xml:space="preserve">de asuntos </w:t>
      </w:r>
      <w:r w:rsidR="008F4CA8" w:rsidRPr="000D5690">
        <w:rPr>
          <w:rFonts w:cs="Arial"/>
          <w:lang w:val="es-ES_tradnl"/>
        </w:rPr>
        <w:t xml:space="preserve">para </w:t>
      </w:r>
      <w:r w:rsidR="001A1D55" w:rsidRPr="000D5690">
        <w:rPr>
          <w:rFonts w:cs="Arial"/>
          <w:lang w:val="es-ES_tradnl"/>
        </w:rPr>
        <w:t>debat</w:t>
      </w:r>
      <w:r w:rsidR="008F4CA8" w:rsidRPr="000D5690">
        <w:rPr>
          <w:rFonts w:cs="Arial"/>
          <w:lang w:val="es-ES_tradnl"/>
        </w:rPr>
        <w:t xml:space="preserve">e </w:t>
      </w:r>
      <w:r w:rsidR="001A1D55" w:rsidRPr="000D5690">
        <w:rPr>
          <w:rFonts w:cs="Arial"/>
          <w:lang w:val="es-ES_tradnl"/>
        </w:rPr>
        <w:t>en 2016.</w:t>
      </w:r>
    </w:p>
    <w:p w:rsidR="005253AC" w:rsidRPr="00D6704A" w:rsidRDefault="005253AC" w:rsidP="005253AC">
      <w:pPr>
        <w:rPr>
          <w:rFonts w:cs="Arial"/>
          <w:lang w:val="es-ES"/>
        </w:rPr>
      </w:pPr>
    </w:p>
    <w:p w:rsidR="005253AC" w:rsidRPr="00D6704A" w:rsidRDefault="00E227ED" w:rsidP="005253AC">
      <w:pPr>
        <w:pStyle w:val="Heading3"/>
        <w:rPr>
          <w:rFonts w:cs="Arial"/>
          <w:lang w:val="es-ES"/>
        </w:rPr>
      </w:pPr>
      <w:r w:rsidRPr="000D5690">
        <w:rPr>
          <w:lang w:val="es-ES_tradnl"/>
        </w:rPr>
        <w:t>Estado de las actuales directrices de examen o proyectos de directrices de examen</w:t>
      </w:r>
    </w:p>
    <w:p w:rsidR="005253AC" w:rsidRPr="00D6704A" w:rsidRDefault="005253AC" w:rsidP="005253AC">
      <w:pPr>
        <w:keepNext/>
        <w:rPr>
          <w:rFonts w:cs="Arial"/>
          <w:lang w:val="es-ES"/>
        </w:rPr>
      </w:pPr>
    </w:p>
    <w:p w:rsidR="005253AC" w:rsidRPr="00D6704A" w:rsidRDefault="00791298" w:rsidP="005253AC">
      <w:pPr>
        <w:keepNext/>
        <w:rPr>
          <w:rFonts w:cs="Arial"/>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E227ED" w:rsidRPr="000D5690">
        <w:rPr>
          <w:rFonts w:cs="Arial"/>
          <w:lang w:val="es-ES_tradnl"/>
        </w:rPr>
        <w:t>El TC tomó nota del estado de las actuales directrices de examen que figuran en el Anexo IV del documento TC/52/2.</w:t>
      </w:r>
    </w:p>
    <w:p w:rsidR="005253AC" w:rsidRPr="00D6704A" w:rsidRDefault="005253AC" w:rsidP="005253AC">
      <w:pPr>
        <w:rPr>
          <w:lang w:val="es-ES"/>
        </w:rPr>
      </w:pPr>
    </w:p>
    <w:p w:rsidR="005253AC" w:rsidRPr="00D6704A" w:rsidRDefault="00E227ED" w:rsidP="005253AC">
      <w:pPr>
        <w:pStyle w:val="Heading3"/>
        <w:rPr>
          <w:lang w:val="es-ES"/>
        </w:rPr>
      </w:pPr>
      <w:r w:rsidRPr="000D5690">
        <w:rPr>
          <w:lang w:val="es-ES_tradnl"/>
        </w:rPr>
        <w:t xml:space="preserve">Directrices de examen </w:t>
      </w:r>
      <w:r w:rsidR="00C60AA1" w:rsidRPr="000D5690">
        <w:rPr>
          <w:lang w:val="es-ES_tradnl"/>
        </w:rPr>
        <w:t>reemplazadas</w:t>
      </w:r>
    </w:p>
    <w:p w:rsidR="005253AC" w:rsidRPr="00D6704A" w:rsidRDefault="005253AC" w:rsidP="005253AC">
      <w:pPr>
        <w:keepNext/>
        <w:rPr>
          <w:lang w:val="es-ES"/>
        </w:rPr>
      </w:pPr>
    </w:p>
    <w:p w:rsidR="005253AC" w:rsidRPr="00D6704A" w:rsidRDefault="00791298" w:rsidP="005253AC">
      <w:pPr>
        <w:keepNext/>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C60AA1" w:rsidRPr="000D5690">
        <w:rPr>
          <w:lang w:val="es-ES_tradnl"/>
        </w:rPr>
        <w:t>El TC tomó nota de la lista de directrices de examen reemplazadas que figuran en el Anexo V del documento TC/52/2, y tomó nota de que las versiones reemplazadas de las directrices de examen están disponibles en la página de directrices de examen del sitio web de la UPOV.</w:t>
      </w:r>
    </w:p>
    <w:p w:rsidR="005253AC" w:rsidRPr="00D6704A" w:rsidRDefault="005253AC" w:rsidP="005253AC">
      <w:pPr>
        <w:pStyle w:val="Heading3"/>
        <w:rPr>
          <w:lang w:val="es-ES"/>
        </w:rPr>
      </w:pPr>
    </w:p>
    <w:p w:rsidR="005253AC" w:rsidRPr="00D6704A" w:rsidRDefault="00C60AA1" w:rsidP="005253AC">
      <w:pPr>
        <w:pStyle w:val="Heading3"/>
        <w:rPr>
          <w:lang w:val="es-ES"/>
        </w:rPr>
      </w:pPr>
      <w:r w:rsidRPr="000D5690">
        <w:rPr>
          <w:lang w:val="es-ES_tradnl"/>
        </w:rPr>
        <w:t>Publicación de las directrices de examen en el sitio web de la UPOV</w:t>
      </w:r>
    </w:p>
    <w:p w:rsidR="005253AC" w:rsidRPr="00D6704A" w:rsidRDefault="005253AC" w:rsidP="005253AC">
      <w:pPr>
        <w:keepNext/>
        <w:rPr>
          <w:lang w:val="es-ES"/>
        </w:rPr>
      </w:pPr>
    </w:p>
    <w:p w:rsidR="005253AC" w:rsidRPr="00D6704A" w:rsidRDefault="00791298" w:rsidP="005253AC">
      <w:pPr>
        <w:keepNext/>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C60AA1" w:rsidRPr="000D5690">
        <w:rPr>
          <w:lang w:val="es-ES_tradnl"/>
        </w:rPr>
        <w:t xml:space="preserve">El TC </w:t>
      </w:r>
      <w:r w:rsidR="00D96927" w:rsidRPr="000D5690">
        <w:rPr>
          <w:lang w:val="es-ES_tradnl"/>
        </w:rPr>
        <w:t>tomó nota de que</w:t>
      </w:r>
      <w:r w:rsidR="00C60AA1" w:rsidRPr="000D5690">
        <w:rPr>
          <w:lang w:val="es-ES_tradnl"/>
        </w:rPr>
        <w:t xml:space="preserve"> </w:t>
      </w:r>
      <w:r w:rsidR="00D96927" w:rsidRPr="000D5690">
        <w:rPr>
          <w:lang w:val="es-ES_tradnl"/>
        </w:rPr>
        <w:t xml:space="preserve">las revisiones parciales de las directrices de examen de </w:t>
      </w:r>
      <w:r w:rsidR="00D96927" w:rsidRPr="000D5690">
        <w:rPr>
          <w:i/>
          <w:lang w:val="es-ES_tradnl"/>
        </w:rPr>
        <w:t>Citrus</w:t>
      </w:r>
      <w:r w:rsidR="00D96927" w:rsidRPr="000D5690">
        <w:rPr>
          <w:lang w:val="es-ES_tradnl"/>
        </w:rPr>
        <w:t> L. se publicar</w:t>
      </w:r>
      <w:r w:rsidR="006717F5" w:rsidRPr="000D5690">
        <w:rPr>
          <w:lang w:val="es-ES_tradnl"/>
        </w:rPr>
        <w:t>o</w:t>
      </w:r>
      <w:r w:rsidR="00D96927" w:rsidRPr="000D5690">
        <w:rPr>
          <w:lang w:val="es-ES_tradnl"/>
        </w:rPr>
        <w:t>n en el sitio web de la UPOV para reflejar los cambios introducidos en la versión revisada de las directrices de examen del mandarino (documento</w:t>
      </w:r>
      <w:r w:rsidR="006717F5" w:rsidRPr="000D5690">
        <w:rPr>
          <w:lang w:val="es-ES_tradnl"/>
        </w:rPr>
        <w:t> </w:t>
      </w:r>
      <w:r w:rsidR="00D96927" w:rsidRPr="000D5690">
        <w:rPr>
          <w:lang w:val="es-ES_tradnl"/>
        </w:rPr>
        <w:t>TG/201/1 Rev.)</w:t>
      </w:r>
      <w:r w:rsidR="00C60AA1" w:rsidRPr="000D5690">
        <w:rPr>
          <w:lang w:val="es-ES_tradnl"/>
        </w:rPr>
        <w:t>.</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6717F5" w:rsidRPr="000D5690">
        <w:rPr>
          <w:lang w:val="es-ES_tradnl"/>
        </w:rPr>
        <w:t>El TC convino en que se debe informar de la fecha de publicación de las directrices de examen en la página de directrices de examen del sitio web de la UPOV.</w:t>
      </w:r>
    </w:p>
    <w:p w:rsidR="005253AC" w:rsidRPr="00D6704A" w:rsidRDefault="005253AC" w:rsidP="005253AC">
      <w:pPr>
        <w:rPr>
          <w:lang w:val="es-ES"/>
        </w:rPr>
      </w:pPr>
    </w:p>
    <w:p w:rsidR="005253AC" w:rsidRPr="00D6704A" w:rsidRDefault="005253AC" w:rsidP="005253AC">
      <w:pPr>
        <w:rPr>
          <w:lang w:val="es-ES"/>
        </w:rPr>
      </w:pPr>
    </w:p>
    <w:p w:rsidR="005253AC" w:rsidRPr="00D6704A" w:rsidRDefault="006717F5" w:rsidP="005253AC">
      <w:pPr>
        <w:pStyle w:val="Heading2"/>
        <w:rPr>
          <w:lang w:val="es-ES"/>
        </w:rPr>
      </w:pPr>
      <w:r w:rsidRPr="000D5690">
        <w:rPr>
          <w:lang w:val="es-ES_tradnl"/>
        </w:rPr>
        <w:t>Lista de géneros y especies respecto de los cuales las autoridades poseen experiencia práctica en el examen de la distinción, la homogeneidad y la estabilidad</w:t>
      </w:r>
    </w:p>
    <w:p w:rsidR="005253AC" w:rsidRPr="00D6704A" w:rsidRDefault="005253AC" w:rsidP="005253AC">
      <w:pPr>
        <w:keepNext/>
        <w:rPr>
          <w:lang w:val="es-ES"/>
        </w:rPr>
      </w:pPr>
    </w:p>
    <w:p w:rsidR="005253AC" w:rsidRPr="00D6704A" w:rsidRDefault="00791298" w:rsidP="005253AC">
      <w:pPr>
        <w:keepNext/>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6717F5" w:rsidRPr="000D5690">
        <w:rPr>
          <w:lang w:val="es-ES_tradnl"/>
        </w:rPr>
        <w:t>El TC examinó el documento TC/52/4 y tomó nota de que el número de géneros y especies respecto de los cuales los miembros de la unión indicaron que poseen experiencia práctica en el examen DHE había aumentado de 3.382 en 2015 a 3.462 en 2016 (+ 2,4%).</w:t>
      </w:r>
      <w:r w:rsidR="005253AC" w:rsidRPr="00D6704A">
        <w:rPr>
          <w:color w:val="000000"/>
          <w:lang w:val="es-ES"/>
        </w:rPr>
        <w:t xml:space="preserve">  </w:t>
      </w:r>
      <w:r w:rsidR="006717F5" w:rsidRPr="000D5690">
        <w:rPr>
          <w:color w:val="000000"/>
          <w:lang w:val="es-ES_tradnl"/>
        </w:rPr>
        <w:t>La información sobre los miembros de la Unión con experiencia práctica en el examen DHE puede consultarse libremente desde la base de datos GENIE.</w:t>
      </w:r>
    </w:p>
    <w:p w:rsidR="005253AC" w:rsidRPr="00D6704A" w:rsidRDefault="005253AC" w:rsidP="005253AC">
      <w:pPr>
        <w:rPr>
          <w:lang w:val="es-ES"/>
        </w:rPr>
      </w:pPr>
    </w:p>
    <w:p w:rsidR="005253AC" w:rsidRPr="00D6704A" w:rsidRDefault="005253AC" w:rsidP="005253AC">
      <w:pPr>
        <w:rPr>
          <w:lang w:val="es-ES"/>
        </w:rPr>
      </w:pPr>
    </w:p>
    <w:p w:rsidR="005253AC" w:rsidRPr="00D6704A" w:rsidRDefault="006717F5" w:rsidP="005253AC">
      <w:pPr>
        <w:keepNext/>
        <w:rPr>
          <w:u w:val="single"/>
          <w:lang w:val="es-ES"/>
        </w:rPr>
      </w:pPr>
      <w:r w:rsidRPr="000D5690">
        <w:rPr>
          <w:u w:val="single"/>
          <w:lang w:val="es-ES_tradnl"/>
        </w:rPr>
        <w:t>Programa de la quincuagésima tercera sesión</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9C472D" w:rsidRPr="000D5690">
        <w:rPr>
          <w:lang w:val="es-ES_tradnl"/>
        </w:rPr>
        <w:t>El TC examinó el debate sobre el número de ciclos de cultivo en el examen DHE y acordó invitar a los miembros de la Unión a que simulen el impacto de la utilización de diferentes números de ciclos de cultivo en las decisiones relativas a la DHE utilizando datos reales y a que informen sobre sus resultados en las sesiones de los TWP en 2016 y en la quincuagésima tercera sesión del TC.</w:t>
      </w:r>
      <w:r w:rsidR="005253AC" w:rsidRPr="00D6704A">
        <w:rPr>
          <w:lang w:val="es-ES"/>
        </w:rPr>
        <w:t xml:space="preserve"> </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9C472D" w:rsidRPr="000D5690">
        <w:rPr>
          <w:lang w:val="es-ES_tradnl"/>
        </w:rPr>
        <w:t xml:space="preserve">El TC </w:t>
      </w:r>
      <w:r w:rsidR="008F4CA8" w:rsidRPr="000D5690">
        <w:rPr>
          <w:lang w:val="es-ES_tradnl"/>
        </w:rPr>
        <w:t>tom</w:t>
      </w:r>
      <w:r w:rsidR="009C472D" w:rsidRPr="000D5690">
        <w:rPr>
          <w:lang w:val="es-ES_tradnl"/>
        </w:rPr>
        <w:t xml:space="preserve">ó </w:t>
      </w:r>
      <w:r w:rsidR="008F4CA8" w:rsidRPr="000D5690">
        <w:rPr>
          <w:lang w:val="es-ES_tradnl"/>
        </w:rPr>
        <w:t xml:space="preserve">nota de </w:t>
      </w:r>
      <w:r w:rsidR="009C472D" w:rsidRPr="000D5690">
        <w:rPr>
          <w:lang w:val="es-ES_tradnl"/>
        </w:rPr>
        <w:t xml:space="preserve">que la Oficina Comunitaria de Variedades Vegetales de la Unión Europea (OCVV) estaba llevando a cabo un estudio sobre la distancia mínima entre las variedades y </w:t>
      </w:r>
      <w:r w:rsidR="008F4CA8" w:rsidRPr="000D5690">
        <w:rPr>
          <w:lang w:val="es-ES_tradnl"/>
        </w:rPr>
        <w:t>de</w:t>
      </w:r>
      <w:r w:rsidR="009C472D" w:rsidRPr="000D5690">
        <w:rPr>
          <w:lang w:val="es-ES_tradnl"/>
        </w:rPr>
        <w:t xml:space="preserve"> que los resultados de este estudio se presentarán al TWF en su reunión en 2016.</w:t>
      </w:r>
      <w:r w:rsidR="005253AC" w:rsidRPr="00D6704A">
        <w:rPr>
          <w:lang w:val="es-ES"/>
        </w:rPr>
        <w:t xml:space="preserve">  </w:t>
      </w:r>
      <w:r w:rsidR="009C472D" w:rsidRPr="000D5690">
        <w:rPr>
          <w:lang w:val="es-ES_tradnl"/>
        </w:rPr>
        <w:t>El TC acordó incluir en su quincuagésima tercera sesión un punto del orden del día para examinar el estudio junto con las observaciones de los TWP.</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9C472D" w:rsidRPr="000D5690">
        <w:rPr>
          <w:lang w:val="es-ES_tradnl"/>
        </w:rPr>
        <w:t xml:space="preserve">El TC </w:t>
      </w:r>
      <w:r w:rsidR="003A7494" w:rsidRPr="000D5690">
        <w:rPr>
          <w:lang w:val="es-ES_tradnl"/>
        </w:rPr>
        <w:t xml:space="preserve">examinó </w:t>
      </w:r>
      <w:r w:rsidR="009C472D" w:rsidRPr="000D5690">
        <w:rPr>
          <w:lang w:val="es-ES_tradnl"/>
        </w:rPr>
        <w:t>l</w:t>
      </w:r>
      <w:r w:rsidR="003A7494" w:rsidRPr="000D5690">
        <w:rPr>
          <w:lang w:val="es-ES_tradnl"/>
        </w:rPr>
        <w:t xml:space="preserve">os debates </w:t>
      </w:r>
      <w:r w:rsidR="009C472D" w:rsidRPr="000D5690">
        <w:rPr>
          <w:lang w:val="es-ES_tradnl"/>
        </w:rPr>
        <w:t xml:space="preserve">sobre </w:t>
      </w:r>
      <w:r w:rsidR="003A7494" w:rsidRPr="000D5690">
        <w:rPr>
          <w:lang w:val="es-ES_tradnl"/>
        </w:rPr>
        <w:t>el fomento de la elaboración de bases de datos</w:t>
      </w:r>
      <w:r w:rsidR="009C472D" w:rsidRPr="000D5690">
        <w:rPr>
          <w:lang w:val="es-ES_tradnl"/>
        </w:rPr>
        <w:t xml:space="preserve"> y </w:t>
      </w:r>
      <w:r w:rsidR="003A7494" w:rsidRPr="000D5690">
        <w:rPr>
          <w:lang w:val="es-ES_tradnl"/>
        </w:rPr>
        <w:t xml:space="preserve">convino en </w:t>
      </w:r>
      <w:r w:rsidR="009C472D" w:rsidRPr="000D5690">
        <w:rPr>
          <w:lang w:val="es-ES_tradnl"/>
        </w:rPr>
        <w:t xml:space="preserve">invitar a los miembros de la Unión </w:t>
      </w:r>
      <w:r w:rsidR="003A7494" w:rsidRPr="000D5690">
        <w:rPr>
          <w:lang w:val="es-ES_tradnl"/>
        </w:rPr>
        <w:t xml:space="preserve">a que </w:t>
      </w:r>
      <w:r w:rsidR="009C472D" w:rsidRPr="000D5690">
        <w:rPr>
          <w:lang w:val="es-ES_tradnl"/>
        </w:rPr>
        <w:t xml:space="preserve">en la próxima sesión del BMT </w:t>
      </w:r>
      <w:r w:rsidR="003A7494" w:rsidRPr="000D5690">
        <w:rPr>
          <w:lang w:val="es-ES_tradnl"/>
        </w:rPr>
        <w:t xml:space="preserve">presenten ponencias </w:t>
      </w:r>
      <w:r w:rsidR="009C472D" w:rsidRPr="000D5690">
        <w:rPr>
          <w:lang w:val="es-ES_tradnl"/>
        </w:rPr>
        <w:t xml:space="preserve">sobre </w:t>
      </w:r>
      <w:r w:rsidR="003A7494" w:rsidRPr="000D5690">
        <w:rPr>
          <w:lang w:val="es-ES_tradnl"/>
        </w:rPr>
        <w:t xml:space="preserve">la manera en que </w:t>
      </w:r>
      <w:r w:rsidR="009C472D" w:rsidRPr="000D5690">
        <w:rPr>
          <w:lang w:val="es-ES_tradnl"/>
        </w:rPr>
        <w:t>podrían desarrollarse en la UPOV</w:t>
      </w:r>
      <w:r w:rsidR="003A7494" w:rsidRPr="000D5690">
        <w:rPr>
          <w:lang w:val="es-ES_tradnl"/>
        </w:rPr>
        <w:t xml:space="preserve"> bases de datos que contengan datos moleculares</w:t>
      </w:r>
      <w:r w:rsidR="009C472D" w:rsidRPr="000D5690">
        <w:rPr>
          <w:lang w:val="es-ES_tradnl"/>
        </w:rPr>
        <w:t>.</w:t>
      </w:r>
      <w:r w:rsidR="005253AC" w:rsidRPr="00D6704A">
        <w:rPr>
          <w:lang w:val="es-ES"/>
        </w:rPr>
        <w:t xml:space="preserve">  </w:t>
      </w:r>
      <w:r w:rsidR="003A7494" w:rsidRPr="000D5690">
        <w:rPr>
          <w:lang w:val="es-ES_tradnl"/>
        </w:rPr>
        <w:t xml:space="preserve">Señaló que el resultado de estos debates se </w:t>
      </w:r>
      <w:proofErr w:type="gramStart"/>
      <w:r w:rsidR="003A7494" w:rsidRPr="000D5690">
        <w:rPr>
          <w:lang w:val="es-ES_tradnl"/>
        </w:rPr>
        <w:t>comunicar</w:t>
      </w:r>
      <w:r w:rsidR="008F4CA8" w:rsidRPr="000D5690">
        <w:rPr>
          <w:lang w:val="es-ES_tradnl"/>
        </w:rPr>
        <w:t>á</w:t>
      </w:r>
      <w:r w:rsidR="003A7494" w:rsidRPr="000D5690">
        <w:rPr>
          <w:lang w:val="es-ES_tradnl"/>
        </w:rPr>
        <w:t>n</w:t>
      </w:r>
      <w:proofErr w:type="gramEnd"/>
      <w:r w:rsidR="003A7494" w:rsidRPr="000D5690">
        <w:rPr>
          <w:lang w:val="es-ES_tradnl"/>
        </w:rPr>
        <w:t xml:space="preserve"> al TC en su quincuagésima tercera sesión en el punto del orden del día “Bases de datos de descripciones de variedades”.</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104C49" w:rsidRPr="000D5690">
        <w:rPr>
          <w:lang w:val="es-ES_tradnl"/>
        </w:rPr>
        <w:t>Como resultado d</w:t>
      </w:r>
      <w:r w:rsidR="00347D02" w:rsidRPr="000D5690">
        <w:rPr>
          <w:lang w:val="es-ES_tradnl"/>
        </w:rPr>
        <w:t>el “</w:t>
      </w:r>
      <w:r w:rsidR="00104C49" w:rsidRPr="000D5690">
        <w:rPr>
          <w:lang w:val="es-ES_tradnl"/>
        </w:rPr>
        <w:t>d</w:t>
      </w:r>
      <w:r w:rsidR="00347D02" w:rsidRPr="000D5690">
        <w:rPr>
          <w:lang w:val="es-ES_tradnl"/>
        </w:rPr>
        <w:t xml:space="preserve">ebate sobre los parámetros de calidad en el examen DHE” (punto 3 del orden del día), el TC señaló que puede haber obstáculos para la cooperación en materia de examen, </w:t>
      </w:r>
      <w:r w:rsidR="00104C49" w:rsidRPr="000D5690">
        <w:rPr>
          <w:lang w:val="es-ES_tradnl"/>
        </w:rPr>
        <w:t xml:space="preserve">en particular </w:t>
      </w:r>
      <w:r w:rsidR="00347D02" w:rsidRPr="000D5690">
        <w:rPr>
          <w:lang w:val="es-ES_tradnl"/>
        </w:rPr>
        <w:t xml:space="preserve">en </w:t>
      </w:r>
      <w:r w:rsidR="00104C49" w:rsidRPr="000D5690">
        <w:rPr>
          <w:lang w:val="es-ES_tradnl"/>
        </w:rPr>
        <w:t>lo que concierne a</w:t>
      </w:r>
      <w:r w:rsidR="00347D02" w:rsidRPr="000D5690">
        <w:rPr>
          <w:lang w:val="es-ES_tradnl"/>
        </w:rPr>
        <w:t>l intercambio de informes de exámenes DHE, y acordó con</w:t>
      </w:r>
      <w:r w:rsidR="00104C49" w:rsidRPr="000D5690">
        <w:rPr>
          <w:lang w:val="es-ES_tradnl"/>
        </w:rPr>
        <w:t>t</w:t>
      </w:r>
      <w:r w:rsidR="00347D02" w:rsidRPr="000D5690">
        <w:rPr>
          <w:lang w:val="es-ES_tradnl"/>
        </w:rPr>
        <w:t>inuar analizando la situación.</w:t>
      </w:r>
      <w:r w:rsidR="005253AC" w:rsidRPr="00D6704A">
        <w:rPr>
          <w:lang w:val="es-ES"/>
        </w:rPr>
        <w:t xml:space="preserve">  </w:t>
      </w:r>
      <w:r w:rsidR="00347D02" w:rsidRPr="000D5690">
        <w:rPr>
          <w:lang w:val="es-ES_tradnl"/>
        </w:rPr>
        <w:t>El TC convino en que sería útil, como punto de partida para el debate, que la Oficina de la Unión realizara un estudio de la situación actual de los miembros de la Unión e informara de los resultados al TC en su quincuagésima tercera sesión.</w:t>
      </w:r>
    </w:p>
    <w:p w:rsidR="005253AC" w:rsidRPr="00D6704A" w:rsidRDefault="005253AC" w:rsidP="005253AC">
      <w:pPr>
        <w:rPr>
          <w:lang w:val="es-ES"/>
        </w:rPr>
      </w:pPr>
    </w:p>
    <w:p w:rsidR="005253AC" w:rsidRPr="00D6704A" w:rsidRDefault="00791298" w:rsidP="005253AC">
      <w:pPr>
        <w:keepNext/>
        <w:rPr>
          <w:lang w:val="es-ES"/>
        </w:rPr>
      </w:pPr>
      <w:r w:rsidRPr="000D5690">
        <w:rPr>
          <w:snapToGrid w:val="0"/>
        </w:rPr>
        <w:fldChar w:fldCharType="begin"/>
      </w:r>
      <w:r w:rsidR="005253AC" w:rsidRPr="00D6704A">
        <w:rPr>
          <w:snapToGrid w:val="0"/>
          <w:lang w:val="es-ES"/>
        </w:rPr>
        <w:instrText xml:space="preserve"> AUTONUM  </w:instrText>
      </w:r>
      <w:r w:rsidRPr="000D5690">
        <w:rPr>
          <w:snapToGrid w:val="0"/>
        </w:rPr>
        <w:fldChar w:fldCharType="end"/>
      </w:r>
      <w:r w:rsidR="005253AC" w:rsidRPr="00D6704A">
        <w:rPr>
          <w:snapToGrid w:val="0"/>
          <w:lang w:val="es-ES"/>
        </w:rPr>
        <w:tab/>
      </w:r>
      <w:r w:rsidR="00347D02" w:rsidRPr="000D5690">
        <w:rPr>
          <w:lang w:val="es-ES_tradnl"/>
        </w:rPr>
        <w:t xml:space="preserve">Se aprobó el siguiente proyecto de orden del día </w:t>
      </w:r>
      <w:r w:rsidR="002C41D2" w:rsidRPr="000D5690">
        <w:rPr>
          <w:lang w:val="es-ES_tradnl"/>
        </w:rPr>
        <w:t xml:space="preserve">para </w:t>
      </w:r>
      <w:r w:rsidR="00347D02" w:rsidRPr="000D5690">
        <w:rPr>
          <w:lang w:val="es-ES_tradnl"/>
        </w:rPr>
        <w:t xml:space="preserve">la quincuagésima tercera sesión del TC, que </w:t>
      </w:r>
      <w:r w:rsidR="002C41D2" w:rsidRPr="000D5690">
        <w:rPr>
          <w:lang w:val="es-ES_tradnl"/>
        </w:rPr>
        <w:t>se celebra</w:t>
      </w:r>
      <w:r w:rsidR="00347D02" w:rsidRPr="000D5690">
        <w:rPr>
          <w:lang w:val="es-ES_tradnl"/>
        </w:rPr>
        <w:t>rá en Ginebra en 2017:</w:t>
      </w:r>
    </w:p>
    <w:p w:rsidR="005253AC" w:rsidRPr="00D6704A" w:rsidRDefault="005253AC" w:rsidP="005253AC">
      <w:pPr>
        <w:rPr>
          <w:snapToGrid w:val="0"/>
          <w:lang w:val="es-ES"/>
        </w:rPr>
      </w:pPr>
    </w:p>
    <w:p w:rsidR="005253AC" w:rsidRPr="00D6704A" w:rsidRDefault="005253AC" w:rsidP="005253AC">
      <w:pPr>
        <w:spacing w:after="120"/>
        <w:ind w:left="1134" w:hanging="567"/>
        <w:rPr>
          <w:rFonts w:cs="Arial"/>
          <w:snapToGrid w:val="0"/>
          <w:lang w:val="es-ES"/>
        </w:rPr>
      </w:pPr>
      <w:r w:rsidRPr="00D6704A">
        <w:rPr>
          <w:rFonts w:cs="Arial"/>
          <w:snapToGrid w:val="0"/>
          <w:lang w:val="es-ES"/>
        </w:rPr>
        <w:t>1.</w:t>
      </w:r>
      <w:r w:rsidRPr="00D6704A">
        <w:rPr>
          <w:rFonts w:cs="Arial"/>
          <w:snapToGrid w:val="0"/>
          <w:lang w:val="es-ES"/>
        </w:rPr>
        <w:tab/>
      </w:r>
      <w:r w:rsidR="00347D02" w:rsidRPr="000D5690">
        <w:rPr>
          <w:rFonts w:cs="Arial"/>
          <w:snapToGrid w:val="0"/>
          <w:lang w:val="es-ES_tradnl"/>
        </w:rPr>
        <w:t>Apertura de la sesión</w:t>
      </w:r>
    </w:p>
    <w:p w:rsidR="005253AC" w:rsidRPr="00D6704A" w:rsidRDefault="005253AC" w:rsidP="005253AC">
      <w:pPr>
        <w:spacing w:after="120"/>
        <w:ind w:left="1134" w:hanging="567"/>
        <w:rPr>
          <w:rFonts w:cs="Arial"/>
          <w:snapToGrid w:val="0"/>
          <w:lang w:val="es-ES"/>
        </w:rPr>
      </w:pPr>
      <w:r w:rsidRPr="00D6704A">
        <w:rPr>
          <w:rFonts w:cs="Arial"/>
          <w:snapToGrid w:val="0"/>
          <w:lang w:val="es-ES"/>
        </w:rPr>
        <w:t>2.</w:t>
      </w:r>
      <w:r w:rsidRPr="00D6704A">
        <w:rPr>
          <w:rFonts w:cs="Arial"/>
          <w:snapToGrid w:val="0"/>
          <w:lang w:val="es-ES"/>
        </w:rPr>
        <w:tab/>
      </w:r>
      <w:r w:rsidR="002C41D2" w:rsidRPr="000D5690">
        <w:rPr>
          <w:rFonts w:cs="Arial"/>
          <w:snapToGrid w:val="0"/>
          <w:lang w:val="es-ES_tradnl"/>
        </w:rPr>
        <w:t>Aprobación del orden del día</w:t>
      </w:r>
    </w:p>
    <w:p w:rsidR="005253AC" w:rsidRPr="00D6704A" w:rsidRDefault="005253AC" w:rsidP="005253AC">
      <w:pPr>
        <w:spacing w:after="120"/>
        <w:ind w:left="1134" w:hanging="567"/>
        <w:rPr>
          <w:rFonts w:cs="Arial"/>
          <w:snapToGrid w:val="0"/>
          <w:lang w:val="es-ES"/>
        </w:rPr>
      </w:pPr>
      <w:r w:rsidRPr="00D6704A">
        <w:rPr>
          <w:rFonts w:cs="Arial"/>
          <w:snapToGrid w:val="0"/>
          <w:lang w:val="es-ES"/>
        </w:rPr>
        <w:t>3.</w:t>
      </w:r>
      <w:r w:rsidRPr="00D6704A">
        <w:rPr>
          <w:rFonts w:cs="Arial"/>
          <w:snapToGrid w:val="0"/>
          <w:lang w:val="es-ES"/>
        </w:rPr>
        <w:tab/>
      </w:r>
      <w:r w:rsidR="002C41D2" w:rsidRPr="000D5690">
        <w:rPr>
          <w:rFonts w:cs="Arial"/>
          <w:snapToGrid w:val="0"/>
          <w:lang w:val="es-ES_tradnl"/>
        </w:rPr>
        <w:t>Informe sobre las novedades acaecidas en la UPOV, donde figuran las cuestiones pertinentes examinadas en las últimas sesiones del Comité Administrativo y Jurídico, el Comité Consultivo y el Consejo</w:t>
      </w:r>
      <w:r w:rsidRPr="00D6704A">
        <w:rPr>
          <w:rFonts w:cs="Arial"/>
          <w:snapToGrid w:val="0"/>
          <w:lang w:val="es-ES"/>
        </w:rPr>
        <w:t xml:space="preserve"> </w:t>
      </w:r>
    </w:p>
    <w:p w:rsidR="005253AC" w:rsidRPr="00D6704A" w:rsidRDefault="005253AC" w:rsidP="005253AC">
      <w:pPr>
        <w:spacing w:after="120"/>
        <w:ind w:left="1134" w:hanging="567"/>
        <w:rPr>
          <w:lang w:val="es-ES"/>
        </w:rPr>
      </w:pPr>
      <w:r w:rsidRPr="00D6704A">
        <w:rPr>
          <w:rFonts w:cs="Arial"/>
          <w:snapToGrid w:val="0"/>
          <w:lang w:val="es-ES"/>
        </w:rPr>
        <w:t>4.</w:t>
      </w:r>
      <w:r w:rsidRPr="00D6704A">
        <w:rPr>
          <w:rFonts w:cs="Arial"/>
          <w:snapToGrid w:val="0"/>
          <w:lang w:val="es-ES"/>
        </w:rPr>
        <w:tab/>
      </w:r>
      <w:r w:rsidR="002C41D2" w:rsidRPr="000D5690">
        <w:rPr>
          <w:lang w:val="es-ES_tradnl"/>
        </w:rPr>
        <w:t>Informes sobre la labor de los Grupos de Trabajo Técnico, incluido el Grupo de Trabajo sobre Técnicas Bioquímicas y Moleculares, y Perfiles de ADN en particular (BMT)</w:t>
      </w:r>
    </w:p>
    <w:p w:rsidR="005253AC" w:rsidRPr="00D6704A" w:rsidRDefault="005253AC" w:rsidP="005253AC">
      <w:pPr>
        <w:spacing w:after="120"/>
        <w:ind w:left="1134" w:hanging="567"/>
        <w:rPr>
          <w:rFonts w:cs="Arial"/>
          <w:snapToGrid w:val="0"/>
          <w:lang w:val="es-ES"/>
        </w:rPr>
      </w:pPr>
      <w:r w:rsidRPr="00D6704A">
        <w:rPr>
          <w:rFonts w:cs="Arial"/>
          <w:snapToGrid w:val="0"/>
          <w:lang w:val="es-ES"/>
        </w:rPr>
        <w:t>5.</w:t>
      </w:r>
      <w:r w:rsidRPr="00D6704A">
        <w:rPr>
          <w:rFonts w:cs="Arial"/>
          <w:snapToGrid w:val="0"/>
          <w:lang w:val="es-ES"/>
        </w:rPr>
        <w:tab/>
      </w:r>
      <w:r w:rsidR="002C41D2" w:rsidRPr="000D5690">
        <w:rPr>
          <w:rFonts w:cs="Arial"/>
          <w:snapToGrid w:val="0"/>
          <w:lang w:val="es-ES_tradnl"/>
        </w:rPr>
        <w:t>Cuestiones planteadas por los Grupos de Trabajo Técnico</w:t>
      </w:r>
    </w:p>
    <w:p w:rsidR="005253AC" w:rsidRPr="00D6704A" w:rsidRDefault="005253AC" w:rsidP="00A10560">
      <w:pPr>
        <w:spacing w:after="120"/>
        <w:ind w:left="1134" w:hanging="567"/>
        <w:rPr>
          <w:rFonts w:cs="Arial"/>
          <w:snapToGrid w:val="0"/>
          <w:lang w:val="es-ES"/>
        </w:rPr>
      </w:pPr>
      <w:r w:rsidRPr="00D6704A">
        <w:rPr>
          <w:rFonts w:cs="Arial"/>
          <w:snapToGrid w:val="0"/>
          <w:lang w:val="es-ES"/>
        </w:rPr>
        <w:t>6.</w:t>
      </w:r>
      <w:r w:rsidRPr="00D6704A">
        <w:rPr>
          <w:rFonts w:cs="Arial"/>
          <w:snapToGrid w:val="0"/>
          <w:lang w:val="es-ES"/>
        </w:rPr>
        <w:tab/>
      </w:r>
      <w:r w:rsidR="002C41D2" w:rsidRPr="000D5690">
        <w:rPr>
          <w:rFonts w:cs="Arial"/>
          <w:snapToGrid w:val="0"/>
          <w:lang w:val="es-ES_tradnl"/>
        </w:rPr>
        <w:t>Documentos TGP</w:t>
      </w:r>
    </w:p>
    <w:p w:rsidR="005253AC" w:rsidRPr="00D6704A" w:rsidRDefault="005253AC" w:rsidP="005253AC">
      <w:pPr>
        <w:spacing w:after="120"/>
        <w:ind w:left="1134" w:hanging="567"/>
        <w:rPr>
          <w:rFonts w:cs="Arial"/>
          <w:snapToGrid w:val="0"/>
          <w:lang w:val="es-ES"/>
        </w:rPr>
      </w:pPr>
      <w:r w:rsidRPr="00D6704A">
        <w:rPr>
          <w:rFonts w:cs="Arial"/>
          <w:snapToGrid w:val="0"/>
          <w:lang w:val="es-ES"/>
        </w:rPr>
        <w:t>7.</w:t>
      </w:r>
      <w:r w:rsidRPr="00D6704A">
        <w:rPr>
          <w:rFonts w:cs="Arial"/>
          <w:snapToGrid w:val="0"/>
          <w:lang w:val="es-ES"/>
        </w:rPr>
        <w:tab/>
      </w:r>
      <w:r w:rsidR="002C41D2" w:rsidRPr="000D5690">
        <w:rPr>
          <w:rFonts w:cs="Arial"/>
          <w:snapToGrid w:val="0"/>
          <w:lang w:val="es-ES_tradnl"/>
        </w:rPr>
        <w:t>Técnicas moleculares</w:t>
      </w:r>
    </w:p>
    <w:p w:rsidR="005253AC" w:rsidRPr="00D6704A" w:rsidRDefault="005253AC" w:rsidP="005253AC">
      <w:pPr>
        <w:spacing w:after="120"/>
        <w:ind w:left="1134" w:hanging="567"/>
        <w:rPr>
          <w:lang w:val="es-ES"/>
        </w:rPr>
      </w:pPr>
      <w:r w:rsidRPr="00D6704A">
        <w:rPr>
          <w:lang w:val="es-ES"/>
        </w:rPr>
        <w:t>8.</w:t>
      </w:r>
      <w:r w:rsidRPr="00D6704A">
        <w:rPr>
          <w:lang w:val="es-ES"/>
        </w:rPr>
        <w:tab/>
      </w:r>
      <w:r w:rsidR="002C41D2" w:rsidRPr="000D5690">
        <w:rPr>
          <w:lang w:val="es-ES_tradnl"/>
        </w:rPr>
        <w:t>Determinación de umbrales calculados para excluir las variedades notoriamente conocidas del segundo ciclo de cultivo cuando se emplea el COYD (documento que elaborará el Reino Unido).</w:t>
      </w:r>
    </w:p>
    <w:p w:rsidR="005253AC" w:rsidRPr="00D6704A" w:rsidRDefault="005253AC" w:rsidP="005253AC">
      <w:pPr>
        <w:spacing w:after="120"/>
        <w:ind w:left="1134" w:hanging="567"/>
        <w:rPr>
          <w:lang w:val="es-ES"/>
        </w:rPr>
      </w:pPr>
      <w:r w:rsidRPr="00D6704A">
        <w:rPr>
          <w:lang w:val="es-ES"/>
        </w:rPr>
        <w:t>9.</w:t>
      </w:r>
      <w:r w:rsidRPr="00D6704A">
        <w:rPr>
          <w:lang w:val="es-ES"/>
        </w:rPr>
        <w:tab/>
      </w:r>
      <w:r w:rsidR="00147B82" w:rsidRPr="000D5690">
        <w:rPr>
          <w:lang w:val="es-ES_tradnl"/>
        </w:rPr>
        <w:t>Debate sobre:</w:t>
      </w:r>
    </w:p>
    <w:p w:rsidR="005253AC" w:rsidRPr="00D6704A" w:rsidRDefault="0047214B" w:rsidP="00A10560">
      <w:pPr>
        <w:spacing w:after="120"/>
        <w:ind w:left="1701" w:hanging="567"/>
        <w:rPr>
          <w:lang w:val="es-ES"/>
        </w:rPr>
      </w:pPr>
      <w:r w:rsidRPr="00D6704A">
        <w:rPr>
          <w:lang w:val="es-ES"/>
        </w:rPr>
        <w:t>a)</w:t>
      </w:r>
      <w:r w:rsidR="005253AC" w:rsidRPr="00D6704A">
        <w:rPr>
          <w:lang w:val="es-ES"/>
        </w:rPr>
        <w:tab/>
      </w:r>
      <w:r w:rsidR="00147B82" w:rsidRPr="000D5690">
        <w:rPr>
          <w:lang w:val="es-ES_tradnl"/>
        </w:rPr>
        <w:t xml:space="preserve">la </w:t>
      </w:r>
      <w:r w:rsidR="00147B82" w:rsidRPr="00A10560">
        <w:rPr>
          <w:rFonts w:cs="Arial"/>
          <w:snapToGrid w:val="0"/>
          <w:lang w:val="es-ES_tradnl"/>
        </w:rPr>
        <w:t>utilización</w:t>
      </w:r>
      <w:r w:rsidR="00147B82" w:rsidRPr="000D5690">
        <w:rPr>
          <w:lang w:val="es-ES_tradnl"/>
        </w:rPr>
        <w:t xml:space="preserve"> de caracteres de resistencia a las enfermedades y a los insectos en el examen DHE</w:t>
      </w:r>
      <w:r w:rsidR="005253AC" w:rsidRPr="00D6704A">
        <w:rPr>
          <w:lang w:val="es-ES"/>
        </w:rPr>
        <w:t xml:space="preserve"> </w:t>
      </w:r>
    </w:p>
    <w:p w:rsidR="005253AC" w:rsidRPr="00D6704A" w:rsidRDefault="0047214B" w:rsidP="00A10560">
      <w:pPr>
        <w:spacing w:after="120"/>
        <w:ind w:left="1701" w:hanging="567"/>
        <w:rPr>
          <w:lang w:val="es-ES"/>
        </w:rPr>
      </w:pPr>
      <w:r w:rsidRPr="00D6704A">
        <w:rPr>
          <w:lang w:val="es-ES"/>
        </w:rPr>
        <w:t>b)</w:t>
      </w:r>
      <w:r w:rsidR="005253AC" w:rsidRPr="00D6704A">
        <w:rPr>
          <w:lang w:val="es-ES"/>
        </w:rPr>
        <w:tab/>
      </w:r>
      <w:r w:rsidR="00147B82" w:rsidRPr="000D5690">
        <w:rPr>
          <w:lang w:val="es-ES_tradnl"/>
        </w:rPr>
        <w:t xml:space="preserve">la </w:t>
      </w:r>
      <w:r w:rsidR="00147B82" w:rsidRPr="00A10560">
        <w:rPr>
          <w:rFonts w:cs="Arial"/>
          <w:snapToGrid w:val="0"/>
          <w:lang w:val="es-ES_tradnl"/>
        </w:rPr>
        <w:t>gestión</w:t>
      </w:r>
      <w:r w:rsidR="00147B82" w:rsidRPr="000D5690">
        <w:rPr>
          <w:lang w:val="es-ES_tradnl"/>
        </w:rPr>
        <w:t xml:space="preserve"> de las colecciones de variedades</w:t>
      </w:r>
      <w:r w:rsidR="005253AC" w:rsidRPr="00D6704A">
        <w:rPr>
          <w:lang w:val="es-ES"/>
        </w:rPr>
        <w:t xml:space="preserve"> </w:t>
      </w:r>
    </w:p>
    <w:p w:rsidR="005253AC" w:rsidRPr="00D6704A" w:rsidRDefault="0047214B" w:rsidP="00A10560">
      <w:pPr>
        <w:spacing w:after="120"/>
        <w:ind w:left="1701" w:hanging="567"/>
        <w:rPr>
          <w:lang w:val="es-ES"/>
        </w:rPr>
      </w:pPr>
      <w:r w:rsidRPr="00D6704A">
        <w:rPr>
          <w:lang w:val="es-ES"/>
        </w:rPr>
        <w:t>c)</w:t>
      </w:r>
      <w:r w:rsidR="005253AC" w:rsidRPr="00D6704A">
        <w:rPr>
          <w:lang w:val="es-ES"/>
        </w:rPr>
        <w:tab/>
      </w:r>
      <w:r w:rsidR="00147B82" w:rsidRPr="000D5690">
        <w:rPr>
          <w:lang w:val="es-ES_tradnl"/>
        </w:rPr>
        <w:t xml:space="preserve">la </w:t>
      </w:r>
      <w:r w:rsidR="00147B82" w:rsidRPr="00A10560">
        <w:rPr>
          <w:rFonts w:cs="Arial"/>
          <w:snapToGrid w:val="0"/>
          <w:lang w:val="es-ES_tradnl"/>
        </w:rPr>
        <w:t>distancia</w:t>
      </w:r>
      <w:r w:rsidR="00147B82" w:rsidRPr="000D5690">
        <w:rPr>
          <w:lang w:val="es-ES_tradnl"/>
        </w:rPr>
        <w:t xml:space="preserve"> mínima entre las variedades</w:t>
      </w:r>
    </w:p>
    <w:p w:rsidR="005253AC" w:rsidRPr="00D6704A" w:rsidRDefault="0047214B" w:rsidP="00A10560">
      <w:pPr>
        <w:spacing w:after="120"/>
        <w:ind w:left="1701" w:hanging="567"/>
        <w:rPr>
          <w:lang w:val="es-ES"/>
        </w:rPr>
      </w:pPr>
      <w:r w:rsidRPr="00D6704A">
        <w:rPr>
          <w:lang w:val="es-ES"/>
        </w:rPr>
        <w:t>d)</w:t>
      </w:r>
      <w:r w:rsidR="005253AC" w:rsidRPr="00D6704A">
        <w:rPr>
          <w:lang w:val="es-ES"/>
        </w:rPr>
        <w:tab/>
      </w:r>
      <w:r w:rsidR="00147B82" w:rsidRPr="000D5690">
        <w:rPr>
          <w:lang w:val="es-ES_tradnl"/>
        </w:rPr>
        <w:t>la creciente participación de nuevos miembros de la Unión en la labor del TC y de los TWP</w:t>
      </w:r>
    </w:p>
    <w:p w:rsidR="005253AC" w:rsidRPr="00D6704A" w:rsidRDefault="005253AC" w:rsidP="005253AC">
      <w:pPr>
        <w:spacing w:after="120"/>
        <w:ind w:left="1134" w:hanging="567"/>
        <w:rPr>
          <w:lang w:val="es-ES"/>
        </w:rPr>
      </w:pPr>
      <w:r w:rsidRPr="00D6704A">
        <w:rPr>
          <w:lang w:val="es-ES"/>
        </w:rPr>
        <w:t>11.</w:t>
      </w:r>
      <w:r w:rsidRPr="00D6704A">
        <w:rPr>
          <w:lang w:val="es-ES"/>
        </w:rPr>
        <w:tab/>
      </w:r>
      <w:r w:rsidR="00147B82" w:rsidRPr="000D5690">
        <w:rPr>
          <w:lang w:val="es-ES_tradnl"/>
        </w:rPr>
        <w:t>Número de ciclos de cultivo</w:t>
      </w:r>
    </w:p>
    <w:p w:rsidR="005253AC" w:rsidRPr="00D6704A" w:rsidRDefault="005253AC" w:rsidP="005253AC">
      <w:pPr>
        <w:spacing w:after="120"/>
        <w:ind w:left="1134" w:hanging="567"/>
        <w:rPr>
          <w:lang w:val="es-ES"/>
        </w:rPr>
      </w:pPr>
      <w:r w:rsidRPr="00D6704A">
        <w:rPr>
          <w:lang w:val="es-ES"/>
        </w:rPr>
        <w:t>12.</w:t>
      </w:r>
      <w:r w:rsidRPr="00D6704A">
        <w:rPr>
          <w:lang w:val="es-ES"/>
        </w:rPr>
        <w:tab/>
      </w:r>
      <w:r w:rsidR="00147B82" w:rsidRPr="000D5690">
        <w:rPr>
          <w:lang w:val="es-ES_tradnl"/>
        </w:rPr>
        <w:t>Cooperación en materia de examen</w:t>
      </w:r>
    </w:p>
    <w:p w:rsidR="005253AC" w:rsidRPr="00D6704A" w:rsidRDefault="005253AC" w:rsidP="005253AC">
      <w:pPr>
        <w:spacing w:after="120"/>
        <w:ind w:left="1134" w:hanging="567"/>
        <w:rPr>
          <w:rFonts w:cs="Arial"/>
          <w:snapToGrid w:val="0"/>
          <w:lang w:val="es-ES"/>
        </w:rPr>
      </w:pPr>
      <w:r w:rsidRPr="00D6704A">
        <w:rPr>
          <w:rFonts w:cs="Arial"/>
          <w:snapToGrid w:val="0"/>
          <w:lang w:val="es-ES"/>
        </w:rPr>
        <w:t>13.</w:t>
      </w:r>
      <w:r w:rsidRPr="00D6704A">
        <w:rPr>
          <w:rFonts w:cs="Arial"/>
          <w:snapToGrid w:val="0"/>
          <w:lang w:val="es-ES"/>
        </w:rPr>
        <w:tab/>
      </w:r>
      <w:r w:rsidR="00147B82" w:rsidRPr="000D5690">
        <w:rPr>
          <w:rFonts w:cs="Arial"/>
          <w:snapToGrid w:val="0"/>
          <w:lang w:val="es-ES_tradnl"/>
        </w:rPr>
        <w:t>Métodos estadísticos aplicados a caracteres observados visualmente</w:t>
      </w:r>
    </w:p>
    <w:p w:rsidR="005253AC" w:rsidRPr="00D6704A" w:rsidRDefault="005253AC" w:rsidP="005253AC">
      <w:pPr>
        <w:spacing w:after="120"/>
        <w:ind w:left="1134" w:hanging="567"/>
        <w:rPr>
          <w:rFonts w:cs="Arial"/>
          <w:snapToGrid w:val="0"/>
          <w:lang w:val="es-ES"/>
        </w:rPr>
      </w:pPr>
      <w:r w:rsidRPr="00D6704A">
        <w:rPr>
          <w:rFonts w:cs="Arial"/>
          <w:snapToGrid w:val="0"/>
          <w:lang w:val="es-ES"/>
        </w:rPr>
        <w:t>14.</w:t>
      </w:r>
      <w:r w:rsidRPr="00D6704A">
        <w:rPr>
          <w:rFonts w:cs="Arial"/>
          <w:snapToGrid w:val="0"/>
          <w:lang w:val="es-ES"/>
        </w:rPr>
        <w:tab/>
      </w:r>
      <w:r w:rsidR="00147B82" w:rsidRPr="000D5690">
        <w:rPr>
          <w:rFonts w:cs="Arial"/>
          <w:snapToGrid w:val="0"/>
          <w:lang w:val="es-ES_tradnl"/>
        </w:rPr>
        <w:t>Talleres preparatorios</w:t>
      </w:r>
      <w:r w:rsidRPr="00D6704A">
        <w:rPr>
          <w:rFonts w:cs="Arial"/>
          <w:snapToGrid w:val="0"/>
          <w:lang w:val="es-ES"/>
        </w:rPr>
        <w:t xml:space="preserve"> </w:t>
      </w:r>
    </w:p>
    <w:p w:rsidR="005253AC" w:rsidRPr="00D6704A" w:rsidRDefault="005253AC" w:rsidP="005253AC">
      <w:pPr>
        <w:spacing w:after="120"/>
        <w:ind w:left="1134" w:hanging="567"/>
        <w:rPr>
          <w:rFonts w:cs="Arial"/>
          <w:snapToGrid w:val="0"/>
          <w:lang w:val="es-ES"/>
        </w:rPr>
      </w:pPr>
      <w:r w:rsidRPr="00D6704A">
        <w:rPr>
          <w:rFonts w:cs="Arial"/>
          <w:snapToGrid w:val="0"/>
          <w:lang w:val="es-ES"/>
        </w:rPr>
        <w:t>15.</w:t>
      </w:r>
      <w:r w:rsidRPr="00D6704A">
        <w:rPr>
          <w:rFonts w:cs="Arial"/>
          <w:snapToGrid w:val="0"/>
          <w:lang w:val="es-ES"/>
        </w:rPr>
        <w:tab/>
      </w:r>
      <w:r w:rsidR="00147B82" w:rsidRPr="000D5690">
        <w:rPr>
          <w:rFonts w:cs="Arial"/>
          <w:snapToGrid w:val="0"/>
          <w:lang w:val="es-ES_tradnl"/>
        </w:rPr>
        <w:t>Denominaciones de variedades</w:t>
      </w:r>
    </w:p>
    <w:p w:rsidR="005253AC" w:rsidRPr="00D6704A" w:rsidRDefault="005253AC" w:rsidP="005253AC">
      <w:pPr>
        <w:spacing w:after="120"/>
        <w:ind w:left="1134" w:hanging="567"/>
        <w:rPr>
          <w:rFonts w:cs="Arial"/>
          <w:snapToGrid w:val="0"/>
          <w:lang w:val="es-ES"/>
        </w:rPr>
      </w:pPr>
      <w:r w:rsidRPr="00D6704A">
        <w:rPr>
          <w:rFonts w:cs="Arial"/>
          <w:snapToGrid w:val="0"/>
          <w:lang w:val="es-ES"/>
        </w:rPr>
        <w:t>16.</w:t>
      </w:r>
      <w:r w:rsidRPr="00D6704A">
        <w:rPr>
          <w:rFonts w:cs="Arial"/>
          <w:snapToGrid w:val="0"/>
          <w:lang w:val="es-ES"/>
        </w:rPr>
        <w:tab/>
      </w:r>
      <w:r w:rsidR="00147B82" w:rsidRPr="000D5690">
        <w:rPr>
          <w:rFonts w:cs="Arial"/>
          <w:snapToGrid w:val="0"/>
          <w:lang w:val="es-ES_tradnl"/>
        </w:rPr>
        <w:t>Información y bases de datos</w:t>
      </w:r>
    </w:p>
    <w:p w:rsidR="005253AC" w:rsidRPr="00D6704A" w:rsidRDefault="0047214B" w:rsidP="005253AC">
      <w:pPr>
        <w:spacing w:after="120"/>
        <w:ind w:left="1701" w:hanging="567"/>
        <w:rPr>
          <w:rFonts w:cs="Arial"/>
          <w:snapToGrid w:val="0"/>
          <w:lang w:val="es-ES"/>
        </w:rPr>
      </w:pPr>
      <w:r w:rsidRPr="00D6704A">
        <w:rPr>
          <w:rFonts w:cs="Arial"/>
          <w:snapToGrid w:val="0"/>
          <w:lang w:val="es-ES"/>
        </w:rPr>
        <w:t>a)</w:t>
      </w:r>
      <w:r w:rsidR="005253AC" w:rsidRPr="00D6704A">
        <w:rPr>
          <w:rFonts w:cs="Arial"/>
          <w:snapToGrid w:val="0"/>
          <w:lang w:val="es-ES"/>
        </w:rPr>
        <w:tab/>
      </w:r>
      <w:r w:rsidR="00147B82" w:rsidRPr="000D5690">
        <w:rPr>
          <w:rFonts w:cs="Arial"/>
          <w:snapToGrid w:val="0"/>
          <w:lang w:val="es-ES_tradnl"/>
        </w:rPr>
        <w:t>Bases de datos de información de la UPOV</w:t>
      </w:r>
    </w:p>
    <w:p w:rsidR="005253AC" w:rsidRPr="00D6704A" w:rsidRDefault="0047214B" w:rsidP="005253AC">
      <w:pPr>
        <w:spacing w:after="120"/>
        <w:ind w:left="1701" w:hanging="567"/>
        <w:rPr>
          <w:rFonts w:cs="Arial"/>
          <w:snapToGrid w:val="0"/>
          <w:lang w:val="es-ES"/>
        </w:rPr>
      </w:pPr>
      <w:r w:rsidRPr="00D6704A">
        <w:rPr>
          <w:rFonts w:cs="Arial"/>
          <w:snapToGrid w:val="0"/>
          <w:lang w:val="es-ES"/>
        </w:rPr>
        <w:t>b)</w:t>
      </w:r>
      <w:r w:rsidR="005253AC" w:rsidRPr="00D6704A">
        <w:rPr>
          <w:rFonts w:cs="Arial"/>
          <w:snapToGrid w:val="0"/>
          <w:lang w:val="es-ES"/>
        </w:rPr>
        <w:tab/>
      </w:r>
      <w:r w:rsidR="00147B82" w:rsidRPr="000D5690">
        <w:rPr>
          <w:rFonts w:cs="Arial"/>
          <w:snapToGrid w:val="0"/>
          <w:lang w:val="es-ES_tradnl"/>
        </w:rPr>
        <w:t>Formulario electrónico de solicitud</w:t>
      </w:r>
      <w:r w:rsidR="005253AC" w:rsidRPr="00D6704A">
        <w:rPr>
          <w:rFonts w:cs="Arial"/>
          <w:snapToGrid w:val="0"/>
          <w:lang w:val="es-ES"/>
        </w:rPr>
        <w:t xml:space="preserve"> </w:t>
      </w:r>
    </w:p>
    <w:p w:rsidR="005253AC" w:rsidRPr="00D6704A" w:rsidRDefault="0047214B" w:rsidP="005253AC">
      <w:pPr>
        <w:spacing w:after="120"/>
        <w:ind w:left="1701" w:hanging="567"/>
        <w:rPr>
          <w:rFonts w:cs="Arial"/>
          <w:snapToGrid w:val="0"/>
          <w:lang w:val="es-ES"/>
        </w:rPr>
      </w:pPr>
      <w:r w:rsidRPr="00D6704A">
        <w:rPr>
          <w:rFonts w:cs="Arial"/>
          <w:snapToGrid w:val="0"/>
          <w:lang w:val="es-ES"/>
        </w:rPr>
        <w:t>c)</w:t>
      </w:r>
      <w:r w:rsidR="005253AC" w:rsidRPr="00D6704A">
        <w:rPr>
          <w:rFonts w:cs="Arial"/>
          <w:snapToGrid w:val="0"/>
          <w:lang w:val="es-ES"/>
        </w:rPr>
        <w:tab/>
      </w:r>
      <w:r w:rsidR="00147B82" w:rsidRPr="000D5690">
        <w:rPr>
          <w:rFonts w:cs="Arial"/>
          <w:snapToGrid w:val="0"/>
          <w:lang w:val="es-ES_tradnl"/>
        </w:rPr>
        <w:t>Intercambio y uso de programas informáticos y equipos</w:t>
      </w:r>
      <w:r w:rsidR="005253AC" w:rsidRPr="00D6704A">
        <w:rPr>
          <w:rFonts w:cs="Arial"/>
          <w:snapToGrid w:val="0"/>
          <w:lang w:val="es-ES"/>
        </w:rPr>
        <w:t xml:space="preserve"> </w:t>
      </w:r>
    </w:p>
    <w:p w:rsidR="005253AC" w:rsidRPr="00D6704A" w:rsidRDefault="0047214B" w:rsidP="005253AC">
      <w:pPr>
        <w:spacing w:after="120"/>
        <w:ind w:left="1701" w:hanging="567"/>
        <w:rPr>
          <w:rFonts w:cs="Arial"/>
          <w:snapToGrid w:val="0"/>
          <w:lang w:val="es-ES"/>
        </w:rPr>
      </w:pPr>
      <w:r w:rsidRPr="00D6704A">
        <w:rPr>
          <w:rFonts w:cs="Arial"/>
          <w:snapToGrid w:val="0"/>
          <w:lang w:val="es-ES"/>
        </w:rPr>
        <w:t>d)</w:t>
      </w:r>
      <w:r w:rsidR="005253AC" w:rsidRPr="00D6704A">
        <w:rPr>
          <w:rFonts w:cs="Arial"/>
          <w:snapToGrid w:val="0"/>
          <w:lang w:val="es-ES"/>
        </w:rPr>
        <w:tab/>
      </w:r>
      <w:r w:rsidR="00A019F4" w:rsidRPr="000D5690">
        <w:rPr>
          <w:rFonts w:cs="Arial"/>
          <w:snapToGrid w:val="0"/>
          <w:lang w:val="es-ES_tradnl"/>
        </w:rPr>
        <w:t>Bases de datos de descripciones de variedades</w:t>
      </w:r>
    </w:p>
    <w:p w:rsidR="005253AC" w:rsidRPr="00D6704A" w:rsidRDefault="005253AC" w:rsidP="005253AC">
      <w:pPr>
        <w:spacing w:after="120"/>
        <w:ind w:left="1134" w:hanging="567"/>
        <w:rPr>
          <w:rFonts w:cs="Arial"/>
          <w:snapToGrid w:val="0"/>
          <w:lang w:val="es-ES"/>
        </w:rPr>
      </w:pPr>
      <w:r w:rsidRPr="00D6704A">
        <w:rPr>
          <w:rFonts w:cs="Arial"/>
          <w:snapToGrid w:val="0"/>
          <w:lang w:val="es-ES"/>
        </w:rPr>
        <w:t>17.</w:t>
      </w:r>
      <w:r w:rsidRPr="00D6704A">
        <w:rPr>
          <w:rFonts w:cs="Arial"/>
          <w:snapToGrid w:val="0"/>
          <w:lang w:val="es-ES"/>
        </w:rPr>
        <w:tab/>
      </w:r>
      <w:r w:rsidR="00A019F4" w:rsidRPr="000D5690">
        <w:rPr>
          <w:rFonts w:cs="Arial"/>
          <w:snapToGrid w:val="0"/>
          <w:lang w:val="es-ES_tradnl"/>
        </w:rPr>
        <w:t>Lista de géneros y especies respecto de las cuales las autoridades poseen experiencia práctica en el examen de la distinción, la homogeneidad y la estabilidad</w:t>
      </w:r>
      <w:r w:rsidRPr="00D6704A">
        <w:rPr>
          <w:rFonts w:cs="Arial"/>
          <w:snapToGrid w:val="0"/>
          <w:lang w:val="es-ES"/>
        </w:rPr>
        <w:t xml:space="preserve"> </w:t>
      </w:r>
    </w:p>
    <w:p w:rsidR="005253AC" w:rsidRPr="00D6704A" w:rsidRDefault="005253AC" w:rsidP="005253AC">
      <w:pPr>
        <w:spacing w:after="120"/>
        <w:ind w:left="1134" w:hanging="567"/>
        <w:rPr>
          <w:rFonts w:cs="Arial"/>
          <w:snapToGrid w:val="0"/>
          <w:lang w:val="es-ES"/>
        </w:rPr>
      </w:pPr>
      <w:r w:rsidRPr="00D6704A">
        <w:rPr>
          <w:rFonts w:cs="Arial"/>
          <w:snapToGrid w:val="0"/>
          <w:lang w:val="es-ES"/>
        </w:rPr>
        <w:t>18.</w:t>
      </w:r>
      <w:r w:rsidRPr="00D6704A">
        <w:rPr>
          <w:rFonts w:cs="Arial"/>
          <w:snapToGrid w:val="0"/>
          <w:lang w:val="es-ES"/>
        </w:rPr>
        <w:tab/>
      </w:r>
      <w:r w:rsidR="00A019F4" w:rsidRPr="000D5690">
        <w:rPr>
          <w:rFonts w:cs="Arial"/>
          <w:snapToGrid w:val="0"/>
          <w:lang w:val="es-ES_tradnl"/>
        </w:rPr>
        <w:t>Directrices de examen</w:t>
      </w:r>
      <w:r w:rsidRPr="00D6704A">
        <w:rPr>
          <w:rFonts w:cs="Arial"/>
          <w:snapToGrid w:val="0"/>
          <w:lang w:val="es-ES"/>
        </w:rPr>
        <w:t xml:space="preserve"> </w:t>
      </w:r>
    </w:p>
    <w:p w:rsidR="005253AC" w:rsidRPr="00D6704A" w:rsidRDefault="005253AC" w:rsidP="005253AC">
      <w:pPr>
        <w:spacing w:after="120"/>
        <w:ind w:left="1134" w:hanging="567"/>
        <w:rPr>
          <w:rFonts w:cs="Arial"/>
          <w:snapToGrid w:val="0"/>
          <w:lang w:val="es-ES"/>
        </w:rPr>
      </w:pPr>
      <w:r w:rsidRPr="00D6704A">
        <w:rPr>
          <w:rFonts w:cs="Arial"/>
          <w:snapToGrid w:val="0"/>
          <w:lang w:val="es-ES"/>
        </w:rPr>
        <w:t>19.</w:t>
      </w:r>
      <w:r w:rsidRPr="00D6704A">
        <w:rPr>
          <w:rFonts w:cs="Arial"/>
          <w:snapToGrid w:val="0"/>
          <w:lang w:val="es-ES"/>
        </w:rPr>
        <w:tab/>
      </w:r>
      <w:r w:rsidR="00A019F4" w:rsidRPr="000D5690">
        <w:rPr>
          <w:rFonts w:cs="Arial"/>
          <w:snapToGrid w:val="0"/>
          <w:lang w:val="es-ES_tradnl"/>
        </w:rPr>
        <w:t>Orden del día de la quincuagésima cuarta sesión</w:t>
      </w:r>
      <w:r w:rsidRPr="00D6704A">
        <w:rPr>
          <w:rFonts w:cs="Arial"/>
          <w:snapToGrid w:val="0"/>
          <w:lang w:val="es-ES"/>
        </w:rPr>
        <w:t xml:space="preserve"> </w:t>
      </w:r>
    </w:p>
    <w:p w:rsidR="005253AC" w:rsidRPr="00D6704A" w:rsidRDefault="005253AC" w:rsidP="005253AC">
      <w:pPr>
        <w:spacing w:after="120"/>
        <w:ind w:left="1134" w:hanging="567"/>
        <w:rPr>
          <w:rFonts w:cs="Arial"/>
          <w:snapToGrid w:val="0"/>
          <w:lang w:val="es-ES"/>
        </w:rPr>
      </w:pPr>
      <w:r w:rsidRPr="00D6704A">
        <w:rPr>
          <w:rFonts w:cs="Arial"/>
          <w:snapToGrid w:val="0"/>
          <w:lang w:val="es-ES"/>
        </w:rPr>
        <w:t>20.</w:t>
      </w:r>
      <w:r w:rsidRPr="00D6704A">
        <w:rPr>
          <w:rFonts w:cs="Arial"/>
          <w:snapToGrid w:val="0"/>
          <w:lang w:val="es-ES"/>
        </w:rPr>
        <w:tab/>
      </w:r>
      <w:r w:rsidR="00A019F4" w:rsidRPr="000D5690">
        <w:rPr>
          <w:rFonts w:cs="Arial"/>
          <w:lang w:val="es-ES_tradnl"/>
        </w:rPr>
        <w:t>Aprobación del informe (si se dispone de tiempo suficiente)</w:t>
      </w:r>
    </w:p>
    <w:p w:rsidR="005253AC" w:rsidRPr="00D6704A" w:rsidRDefault="005253AC" w:rsidP="00A10560">
      <w:pPr>
        <w:spacing w:after="120"/>
        <w:ind w:left="1134" w:hanging="567"/>
        <w:rPr>
          <w:snapToGrid w:val="0"/>
          <w:lang w:val="es-ES"/>
        </w:rPr>
      </w:pPr>
      <w:r w:rsidRPr="00D6704A">
        <w:rPr>
          <w:snapToGrid w:val="0"/>
          <w:lang w:val="es-ES"/>
        </w:rPr>
        <w:t>21.</w:t>
      </w:r>
      <w:r w:rsidRPr="00D6704A">
        <w:rPr>
          <w:snapToGrid w:val="0"/>
          <w:lang w:val="es-ES"/>
        </w:rPr>
        <w:tab/>
      </w:r>
      <w:r w:rsidR="00A019F4" w:rsidRPr="00A10560">
        <w:rPr>
          <w:rFonts w:cs="Arial"/>
          <w:snapToGrid w:val="0"/>
          <w:lang w:val="es-ES_tradnl"/>
        </w:rPr>
        <w:t>Clausura</w:t>
      </w:r>
      <w:r w:rsidR="00A019F4" w:rsidRPr="000D5690">
        <w:rPr>
          <w:snapToGrid w:val="0"/>
          <w:lang w:val="es-ES_tradnl"/>
        </w:rPr>
        <w:t xml:space="preserve"> de la reunión</w:t>
      </w:r>
    </w:p>
    <w:p w:rsidR="005253AC" w:rsidRPr="00D6704A" w:rsidRDefault="005253AC" w:rsidP="005253AC">
      <w:pPr>
        <w:ind w:left="567"/>
        <w:rPr>
          <w:snapToGrid w:val="0"/>
          <w:lang w:val="es-ES"/>
        </w:rPr>
      </w:pPr>
    </w:p>
    <w:p w:rsidR="005253AC" w:rsidRPr="00D6704A" w:rsidRDefault="005253AC" w:rsidP="005253AC">
      <w:pPr>
        <w:jc w:val="left"/>
        <w:rPr>
          <w:lang w:val="es-ES"/>
        </w:rPr>
      </w:pPr>
    </w:p>
    <w:p w:rsidR="007703AE" w:rsidRDefault="007703AE">
      <w:pPr>
        <w:jc w:val="left"/>
        <w:rPr>
          <w:u w:val="single"/>
          <w:lang w:val="es-ES_tradnl"/>
        </w:rPr>
      </w:pPr>
      <w:r>
        <w:rPr>
          <w:u w:val="single"/>
          <w:lang w:val="es-ES_tradnl"/>
        </w:rPr>
        <w:br w:type="page"/>
      </w:r>
    </w:p>
    <w:p w:rsidR="005253AC" w:rsidRPr="00D6704A" w:rsidRDefault="00A019F4" w:rsidP="005253AC">
      <w:pPr>
        <w:rPr>
          <w:u w:val="single"/>
          <w:lang w:val="es-ES"/>
        </w:rPr>
      </w:pPr>
      <w:r w:rsidRPr="000D5690">
        <w:rPr>
          <w:u w:val="single"/>
          <w:lang w:val="es-ES_tradnl"/>
        </w:rPr>
        <w:t>Presidente y Vicepresidente</w:t>
      </w:r>
    </w:p>
    <w:p w:rsidR="005253AC" w:rsidRPr="00D6704A" w:rsidRDefault="005253AC" w:rsidP="005253AC">
      <w:pPr>
        <w:rPr>
          <w:lang w:val="es-ES"/>
        </w:rPr>
      </w:pPr>
    </w:p>
    <w:p w:rsidR="005253AC" w:rsidRPr="00D6704A" w:rsidRDefault="00791298" w:rsidP="005253AC">
      <w:pPr>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A019F4" w:rsidRPr="000D5690">
        <w:rPr>
          <w:lang w:val="es-ES_tradnl"/>
        </w:rPr>
        <w:t>El TC señaló que la presidencia del Sr. Alejandro Barrientos Priego (México) terminará en el momento de la clausura de la próxima sesión ordinaria del Consejo en octubre.</w:t>
      </w:r>
      <w:r w:rsidR="005253AC" w:rsidRPr="00D6704A">
        <w:rPr>
          <w:lang w:val="es-ES"/>
        </w:rPr>
        <w:t xml:space="preserve"> </w:t>
      </w:r>
      <w:r w:rsidR="00A019F4" w:rsidRPr="00D6704A">
        <w:rPr>
          <w:lang w:val="es-ES"/>
        </w:rPr>
        <w:t xml:space="preserve"> </w:t>
      </w:r>
      <w:r w:rsidR="00B12451" w:rsidRPr="000D5690">
        <w:rPr>
          <w:lang w:val="es-ES_tradnl"/>
        </w:rPr>
        <w:t>P</w:t>
      </w:r>
      <w:r w:rsidR="00A019F4" w:rsidRPr="000D5690">
        <w:rPr>
          <w:lang w:val="es-ES_tradnl"/>
        </w:rPr>
        <w:t xml:space="preserve">ropuso que el Consejo designe al Sr. Kees van </w:t>
      </w:r>
      <w:proofErr w:type="spellStart"/>
      <w:r w:rsidR="00A019F4" w:rsidRPr="000D5690">
        <w:rPr>
          <w:lang w:val="es-ES_tradnl"/>
        </w:rPr>
        <w:t>Ettekoven</w:t>
      </w:r>
      <w:proofErr w:type="spellEnd"/>
      <w:r w:rsidR="00A019F4" w:rsidRPr="000D5690">
        <w:rPr>
          <w:lang w:val="es-ES_tradnl"/>
        </w:rPr>
        <w:t xml:space="preserve"> (Países Bajos) nuevo Presidente y al </w:t>
      </w:r>
      <w:r w:rsidR="00B12451" w:rsidRPr="000D5690">
        <w:rPr>
          <w:lang w:val="es-ES_tradnl"/>
        </w:rPr>
        <w:t>Sr. </w:t>
      </w:r>
      <w:r w:rsidR="00A019F4" w:rsidRPr="000D5690">
        <w:rPr>
          <w:lang w:val="es-ES_tradnl"/>
        </w:rPr>
        <w:t xml:space="preserve">Nik Hulse (Australia) nuevo Vicepresidente del TC para el próximo </w:t>
      </w:r>
      <w:r w:rsidR="00B12451" w:rsidRPr="000D5690">
        <w:rPr>
          <w:lang w:val="es-ES_tradnl"/>
        </w:rPr>
        <w:t>trienio</w:t>
      </w:r>
      <w:r w:rsidR="00A019F4" w:rsidRPr="000D5690">
        <w:rPr>
          <w:lang w:val="es-ES_tradnl"/>
        </w:rPr>
        <w:t>.</w:t>
      </w:r>
    </w:p>
    <w:p w:rsidR="005253AC" w:rsidRPr="00D6704A" w:rsidRDefault="005253AC" w:rsidP="005253AC">
      <w:pPr>
        <w:rPr>
          <w:lang w:val="es-ES"/>
        </w:rPr>
      </w:pPr>
    </w:p>
    <w:p w:rsidR="005253AC" w:rsidRPr="00D6704A" w:rsidRDefault="005253AC" w:rsidP="005253AC">
      <w:pPr>
        <w:rPr>
          <w:lang w:val="es-ES"/>
        </w:rPr>
      </w:pPr>
    </w:p>
    <w:p w:rsidR="005253AC" w:rsidRPr="00D6704A" w:rsidRDefault="00B12451" w:rsidP="005253AC">
      <w:pPr>
        <w:pStyle w:val="Heading2"/>
        <w:rPr>
          <w:lang w:val="es-ES"/>
        </w:rPr>
      </w:pPr>
      <w:r w:rsidRPr="000D5690">
        <w:rPr>
          <w:lang w:val="es-ES_tradnl"/>
        </w:rPr>
        <w:t>Medalla de la UPOV</w:t>
      </w:r>
    </w:p>
    <w:p w:rsidR="005253AC" w:rsidRPr="00D6704A" w:rsidRDefault="005253AC" w:rsidP="005253AC">
      <w:pPr>
        <w:rPr>
          <w:lang w:val="es-ES"/>
        </w:rPr>
      </w:pPr>
    </w:p>
    <w:p w:rsidR="005253AC" w:rsidRPr="00D6704A" w:rsidRDefault="00791298" w:rsidP="005253AC">
      <w:pPr>
        <w:autoSpaceDE w:val="0"/>
        <w:autoSpaceDN w:val="0"/>
        <w:adjustRightInd w:val="0"/>
        <w:rPr>
          <w:lang w:val="es-ES"/>
        </w:rPr>
      </w:pPr>
      <w:r w:rsidRPr="000D5690">
        <w:rPr>
          <w:rFonts w:cs="Arial"/>
        </w:rPr>
        <w:fldChar w:fldCharType="begin"/>
      </w:r>
      <w:r w:rsidR="005253AC" w:rsidRPr="00D6704A">
        <w:rPr>
          <w:rFonts w:cs="Arial"/>
          <w:lang w:val="es-ES"/>
        </w:rPr>
        <w:instrText xml:space="preserve"> AUTONUM  </w:instrText>
      </w:r>
      <w:r w:rsidRPr="000D5690">
        <w:rPr>
          <w:rFonts w:cs="Arial"/>
        </w:rPr>
        <w:fldChar w:fldCharType="end"/>
      </w:r>
      <w:r w:rsidR="005253AC" w:rsidRPr="00D6704A">
        <w:rPr>
          <w:rFonts w:cs="Arial"/>
          <w:lang w:val="es-ES"/>
        </w:rPr>
        <w:tab/>
      </w:r>
      <w:r w:rsidR="00080E6D" w:rsidRPr="000D5690">
        <w:rPr>
          <w:rFonts w:cs="Arial"/>
          <w:lang w:val="es-ES_tradnl"/>
        </w:rPr>
        <w:t xml:space="preserve">En la clausura </w:t>
      </w:r>
      <w:r w:rsidR="00B12451" w:rsidRPr="000D5690">
        <w:rPr>
          <w:rFonts w:cs="Arial"/>
          <w:lang w:val="es-ES_tradnl"/>
        </w:rPr>
        <w:t>de la sesión, el Sr.</w:t>
      </w:r>
      <w:r w:rsidR="00080E6D" w:rsidRPr="000D5690">
        <w:rPr>
          <w:rFonts w:cs="Arial"/>
          <w:lang w:val="es-ES_tradnl"/>
        </w:rPr>
        <w:t> </w:t>
      </w:r>
      <w:r w:rsidR="00B12451" w:rsidRPr="000D5690">
        <w:rPr>
          <w:rFonts w:cs="Arial"/>
          <w:lang w:val="es-ES_tradnl"/>
        </w:rPr>
        <w:t xml:space="preserve">Alejandro Barrientos-Priego (México) </w:t>
      </w:r>
      <w:r w:rsidR="00080E6D" w:rsidRPr="000D5690">
        <w:rPr>
          <w:rFonts w:cs="Arial"/>
          <w:lang w:val="es-ES_tradnl"/>
        </w:rPr>
        <w:t xml:space="preserve">recibió la medalla de plata de la UPOV al término de su mandato como Presidente del TC durante el período </w:t>
      </w:r>
      <w:r w:rsidR="00B12451" w:rsidRPr="000D5690">
        <w:rPr>
          <w:rFonts w:cs="Arial"/>
          <w:lang w:val="es-ES_tradnl"/>
        </w:rPr>
        <w:t>2014-2016.</w:t>
      </w:r>
      <w:r w:rsidR="005253AC" w:rsidRPr="00D6704A">
        <w:rPr>
          <w:rFonts w:cs="Arial"/>
          <w:lang w:val="es-ES"/>
        </w:rPr>
        <w:t xml:space="preserve">  </w:t>
      </w:r>
      <w:r w:rsidR="00080E6D" w:rsidRPr="000D5690">
        <w:rPr>
          <w:rFonts w:cs="Arial"/>
          <w:lang w:val="es-ES_tradnl"/>
        </w:rPr>
        <w:t>En el acto de entrega de la medalla, el Sr. Francis Gurry, Secretario General de la UPOV, recordó que el Sr. Barrientos-Priego había sido el representante de México en el TWF de la UPOV desde 1999 y que durante ese período había</w:t>
      </w:r>
      <w:r w:rsidR="005253AC" w:rsidRPr="00D6704A">
        <w:rPr>
          <w:lang w:val="es-ES"/>
        </w:rPr>
        <w:t xml:space="preserve"> </w:t>
      </w:r>
      <w:r w:rsidR="00080E6D" w:rsidRPr="000D5690">
        <w:rPr>
          <w:lang w:val="es-ES_tradnl"/>
        </w:rPr>
        <w:t xml:space="preserve">actuado como experto principal de nueve directrices de examen de la UPOV (chumbera y xoconostles, aguacate, espino, vainilla, cacao, pitahaya, nogal </w:t>
      </w:r>
      <w:proofErr w:type="spellStart"/>
      <w:r w:rsidR="00080E6D" w:rsidRPr="000D5690">
        <w:rPr>
          <w:lang w:val="es-ES_tradnl"/>
        </w:rPr>
        <w:t>pecanero</w:t>
      </w:r>
      <w:proofErr w:type="spellEnd"/>
      <w:r w:rsidR="00080E6D" w:rsidRPr="000D5690">
        <w:rPr>
          <w:lang w:val="es-ES_tradnl"/>
        </w:rPr>
        <w:t xml:space="preserve">, papaya y </w:t>
      </w:r>
      <w:proofErr w:type="spellStart"/>
      <w:r w:rsidR="00080E6D" w:rsidRPr="000D5690">
        <w:rPr>
          <w:lang w:val="es-ES_tradnl"/>
        </w:rPr>
        <w:t>portainjerto</w:t>
      </w:r>
      <w:proofErr w:type="spellEnd"/>
      <w:r w:rsidR="00080E6D" w:rsidRPr="000D5690">
        <w:rPr>
          <w:lang w:val="es-ES_tradnl"/>
        </w:rPr>
        <w:t xml:space="preserve"> de aguacate),</w:t>
      </w:r>
      <w:r w:rsidR="005253AC" w:rsidRPr="00D6704A">
        <w:rPr>
          <w:lang w:val="es-ES"/>
        </w:rPr>
        <w:t xml:space="preserve"> </w:t>
      </w:r>
      <w:r w:rsidR="00080E6D" w:rsidRPr="000D5690">
        <w:rPr>
          <w:lang w:val="es-ES_tradnl"/>
        </w:rPr>
        <w:t>tras haber sido Presidente del TWF entre 2006 y 2008, Vicepresidente del TC entre 2011 y 2013 y Presidente del BMT entre 2012 y 2014.</w:t>
      </w:r>
      <w:r w:rsidR="005253AC" w:rsidRPr="00D6704A">
        <w:rPr>
          <w:lang w:val="es-ES"/>
        </w:rPr>
        <w:t xml:space="preserve"> </w:t>
      </w:r>
      <w:r w:rsidR="00080E6D" w:rsidRPr="000D5690">
        <w:rPr>
          <w:lang w:val="es-ES_tradnl"/>
        </w:rPr>
        <w:t>El Sr. Barrientos-Priego también ha participado como orador y formador en varias actividades de fortalecimiento de capacidades en América Latina y el Caribe.</w:t>
      </w:r>
    </w:p>
    <w:p w:rsidR="005253AC" w:rsidRPr="00D6704A" w:rsidRDefault="005253AC" w:rsidP="005253AC">
      <w:pPr>
        <w:autoSpaceDE w:val="0"/>
        <w:autoSpaceDN w:val="0"/>
        <w:adjustRightInd w:val="0"/>
        <w:rPr>
          <w:lang w:val="es-ES"/>
        </w:rPr>
      </w:pPr>
    </w:p>
    <w:p w:rsidR="005253AC" w:rsidRPr="00D6704A" w:rsidRDefault="00791298" w:rsidP="005253AC">
      <w:pPr>
        <w:autoSpaceDE w:val="0"/>
        <w:autoSpaceDN w:val="0"/>
        <w:adjustRightInd w:val="0"/>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F97387" w:rsidRPr="000D5690">
        <w:rPr>
          <w:lang w:val="es-ES_tradnl"/>
        </w:rPr>
        <w:t>Con respecto a los logros del TC bajo la presidencia del Sr. Barrientos-Priego, el Sr. Gurry destacó</w:t>
      </w:r>
      <w:r w:rsidR="00080E6D" w:rsidRPr="000D5690">
        <w:rPr>
          <w:lang w:val="es-ES_tradnl"/>
        </w:rPr>
        <w:t>:</w:t>
      </w:r>
      <w:r w:rsidR="005253AC" w:rsidRPr="00D6704A">
        <w:rPr>
          <w:lang w:val="es-ES"/>
        </w:rPr>
        <w:t xml:space="preserve"> </w:t>
      </w:r>
      <w:r w:rsidR="00F97387" w:rsidRPr="000D5690">
        <w:rPr>
          <w:lang w:val="es-ES_tradnl"/>
        </w:rPr>
        <w:t>un análisis para hallar la manera de mejorar la eficacia del TC, los TWP y los talleres preparatorios; la introducción en el TC de “sesiones de debate” sobre diversas cuestiones; la organización del seminario conjunto de la UPOV, la OCDE y la ISTA sobre técnicas moleculares; la aprobación del documento INF/22 “Programas informáticos y equipos utilizados por los miembros de la Unión”; la revisión de los documentos TGP/7 “Elaboración de las directrices de examen”, TGP/8 “Diseño de ensayos y técnicas utilizados en el examen de la distinción, la homogeneidad y la estabilidad” y TGP/14 “Glosario de términos utilizados en los documentos de la UPOV”; la introducción de la plantilla en Internet de los documentos TG para facilitar la elaboración de las directrices de examen y la aprobación de 56 directrices de examen nuevas o revisadas.</w:t>
      </w:r>
    </w:p>
    <w:p w:rsidR="005253AC" w:rsidRPr="00D6704A" w:rsidRDefault="005253AC" w:rsidP="005253AC">
      <w:pPr>
        <w:rPr>
          <w:lang w:val="es-ES"/>
        </w:rPr>
      </w:pPr>
    </w:p>
    <w:p w:rsidR="005253AC" w:rsidRPr="00D6704A" w:rsidRDefault="00791298" w:rsidP="005253AC">
      <w:pPr>
        <w:pStyle w:val="DecisionParagraphs"/>
        <w:rPr>
          <w:lang w:val="es-ES"/>
        </w:rPr>
      </w:pPr>
      <w:r w:rsidRPr="000D5690">
        <w:fldChar w:fldCharType="begin"/>
      </w:r>
      <w:r w:rsidR="005253AC" w:rsidRPr="00D6704A">
        <w:rPr>
          <w:lang w:val="es-ES"/>
        </w:rPr>
        <w:instrText xml:space="preserve"> AUTONUM  </w:instrText>
      </w:r>
      <w:r w:rsidRPr="000D5690">
        <w:fldChar w:fldCharType="end"/>
      </w:r>
      <w:r w:rsidR="005253AC" w:rsidRPr="00D6704A">
        <w:rPr>
          <w:lang w:val="es-ES"/>
        </w:rPr>
        <w:tab/>
      </w:r>
      <w:r w:rsidR="00F97387" w:rsidRPr="000D5690">
        <w:rPr>
          <w:lang w:val="es-ES_tradnl"/>
        </w:rPr>
        <w:t>El TC aprobó el presente informe en la clausura de la sesión el 16 de marzo de 2016.</w:t>
      </w:r>
    </w:p>
    <w:p w:rsidR="005253AC" w:rsidRPr="00D6704A" w:rsidRDefault="005253AC" w:rsidP="005253AC">
      <w:pPr>
        <w:rPr>
          <w:lang w:val="es-ES"/>
        </w:rPr>
      </w:pPr>
    </w:p>
    <w:p w:rsidR="005253AC" w:rsidRPr="00D6704A" w:rsidRDefault="005253AC" w:rsidP="005253AC">
      <w:pPr>
        <w:rPr>
          <w:lang w:val="es-ES"/>
        </w:rPr>
      </w:pPr>
    </w:p>
    <w:p w:rsidR="005253AC" w:rsidRPr="00D6704A" w:rsidRDefault="005253AC" w:rsidP="005253AC">
      <w:pPr>
        <w:rPr>
          <w:lang w:val="es-ES"/>
        </w:rPr>
      </w:pPr>
    </w:p>
    <w:p w:rsidR="005253AC" w:rsidRPr="000D5690" w:rsidRDefault="00F97387" w:rsidP="005253AC">
      <w:pPr>
        <w:jc w:val="right"/>
      </w:pPr>
      <w:r w:rsidRPr="00D6704A">
        <w:t>[</w:t>
      </w:r>
      <w:proofErr w:type="spellStart"/>
      <w:r w:rsidRPr="00D6704A">
        <w:t>Siguen</w:t>
      </w:r>
      <w:proofErr w:type="spellEnd"/>
      <w:r w:rsidRPr="00D6704A">
        <w:t xml:space="preserve"> </w:t>
      </w:r>
      <w:proofErr w:type="spellStart"/>
      <w:r w:rsidRPr="00D6704A">
        <w:t>los</w:t>
      </w:r>
      <w:proofErr w:type="spellEnd"/>
      <w:r w:rsidRPr="00D6704A">
        <w:t xml:space="preserve"> </w:t>
      </w:r>
      <w:proofErr w:type="spellStart"/>
      <w:r w:rsidRPr="00D6704A">
        <w:t>Anexos</w:t>
      </w:r>
      <w:proofErr w:type="spellEnd"/>
      <w:r w:rsidRPr="00D6704A">
        <w:t>]</w:t>
      </w:r>
    </w:p>
    <w:p w:rsidR="005253AC" w:rsidRPr="000D5690" w:rsidRDefault="005253AC" w:rsidP="005253AC"/>
    <w:p w:rsidR="005253AC" w:rsidRPr="000D5690" w:rsidRDefault="005253AC" w:rsidP="005253AC">
      <w:pPr>
        <w:sectPr w:rsidR="005253AC" w:rsidRPr="000D5690" w:rsidSect="00906DDC">
          <w:headerReference w:type="default" r:id="rId10"/>
          <w:pgSz w:w="11907" w:h="16840" w:code="9"/>
          <w:pgMar w:top="510" w:right="1134" w:bottom="1134" w:left="1134" w:header="510" w:footer="680" w:gutter="0"/>
          <w:cols w:space="720"/>
          <w:titlePg/>
        </w:sectPr>
      </w:pPr>
    </w:p>
    <w:p w:rsidR="005253AC" w:rsidRPr="000D5690" w:rsidRDefault="007703AE" w:rsidP="005253AC">
      <w:pPr>
        <w:pStyle w:val="TitleofDoc"/>
        <w:spacing w:before="0"/>
      </w:pPr>
      <w:r>
        <w:t>TC/52/29 Rev.</w:t>
      </w:r>
    </w:p>
    <w:p w:rsidR="005253AC" w:rsidRPr="000D5690" w:rsidRDefault="005253AC" w:rsidP="005253AC">
      <w:pPr>
        <w:pStyle w:val="TitleofDoc"/>
        <w:spacing w:before="0"/>
      </w:pPr>
    </w:p>
    <w:p w:rsidR="007703AE" w:rsidRPr="00233D14" w:rsidRDefault="007703AE" w:rsidP="007703AE">
      <w:pPr>
        <w:pStyle w:val="TitleofDoc"/>
        <w:spacing w:before="0"/>
      </w:pPr>
      <w:r w:rsidRPr="00233D14">
        <w:t>annexe I / annex I / anlage I / anexo I</w:t>
      </w:r>
    </w:p>
    <w:p w:rsidR="007703AE" w:rsidRPr="00233D14" w:rsidRDefault="007703AE" w:rsidP="007703AE">
      <w:pPr>
        <w:pStyle w:val="TitleofDoc"/>
        <w:spacing w:before="0"/>
      </w:pPr>
    </w:p>
    <w:p w:rsidR="007703AE" w:rsidRPr="00233D14" w:rsidRDefault="007703AE" w:rsidP="007703AE">
      <w:pPr>
        <w:pStyle w:val="TitleofDoc"/>
        <w:spacing w:before="0"/>
      </w:pPr>
    </w:p>
    <w:p w:rsidR="007703AE" w:rsidRDefault="007703AE" w:rsidP="007703AE">
      <w:pPr>
        <w:pStyle w:val="TitleofDoc"/>
        <w:spacing w:before="0"/>
        <w:rPr>
          <w:caps w:val="0"/>
        </w:rPr>
      </w:pPr>
      <w:r w:rsidRPr="00233D14">
        <w:t>LISTE DES PARTICIPANTS /</w:t>
      </w:r>
      <w:r w:rsidRPr="00233D14">
        <w:br/>
        <w:t>LIST OF PARTICIPANTS /</w:t>
      </w:r>
      <w:r w:rsidRPr="00233D14">
        <w:br/>
        <w:t>TEILNEHMERLISTE /</w:t>
      </w:r>
      <w:r w:rsidRPr="00233D14">
        <w:br/>
        <w:t>LISTA DE PARTICIPANTES</w:t>
      </w:r>
      <w:r w:rsidRPr="00233D14">
        <w:br/>
      </w:r>
      <w:r w:rsidRPr="00233D14">
        <w:br/>
        <w:t>(</w:t>
      </w:r>
      <w:proofErr w:type="spellStart"/>
      <w:r w:rsidRPr="00233D14">
        <w:rPr>
          <w:caps w:val="0"/>
        </w:rPr>
        <w:t>dans</w:t>
      </w:r>
      <w:proofErr w:type="spellEnd"/>
      <w:r w:rsidRPr="00233D14">
        <w:rPr>
          <w:caps w:val="0"/>
        </w:rPr>
        <w:t xml:space="preserve"> </w:t>
      </w:r>
      <w:proofErr w:type="spellStart"/>
      <w:r w:rsidRPr="00233D14">
        <w:rPr>
          <w:caps w:val="0"/>
        </w:rPr>
        <w:t>l’ordre</w:t>
      </w:r>
      <w:proofErr w:type="spellEnd"/>
      <w:r w:rsidRPr="00233D14">
        <w:rPr>
          <w:caps w:val="0"/>
        </w:rPr>
        <w:t xml:space="preserve"> </w:t>
      </w:r>
      <w:proofErr w:type="spellStart"/>
      <w:r w:rsidRPr="00233D14">
        <w:rPr>
          <w:caps w:val="0"/>
        </w:rPr>
        <w:t>alphabétique</w:t>
      </w:r>
      <w:proofErr w:type="spellEnd"/>
      <w:r w:rsidRPr="00233D14">
        <w:rPr>
          <w:caps w:val="0"/>
        </w:rPr>
        <w:t xml:space="preserve"> des </w:t>
      </w:r>
      <w:proofErr w:type="spellStart"/>
      <w:r w:rsidRPr="00233D14">
        <w:rPr>
          <w:caps w:val="0"/>
        </w:rPr>
        <w:t>noms</w:t>
      </w:r>
      <w:proofErr w:type="spellEnd"/>
      <w:r w:rsidRPr="00233D14">
        <w:rPr>
          <w:caps w:val="0"/>
        </w:rPr>
        <w:t xml:space="preserve"> </w:t>
      </w:r>
      <w:proofErr w:type="spellStart"/>
      <w:r w:rsidRPr="00233D14">
        <w:rPr>
          <w:caps w:val="0"/>
        </w:rPr>
        <w:t>français</w:t>
      </w:r>
      <w:proofErr w:type="spellEnd"/>
      <w:r w:rsidRPr="00233D14">
        <w:rPr>
          <w:caps w:val="0"/>
        </w:rPr>
        <w:t xml:space="preserve"> des </w:t>
      </w:r>
      <w:proofErr w:type="spellStart"/>
      <w:r w:rsidRPr="00233D14">
        <w:rPr>
          <w:caps w:val="0"/>
        </w:rPr>
        <w:t>membres</w:t>
      </w:r>
      <w:proofErr w:type="spellEnd"/>
      <w:r w:rsidRPr="00233D14">
        <w:rPr>
          <w:caps w:val="0"/>
        </w:rPr>
        <w:t xml:space="preserve"> / </w:t>
      </w:r>
      <w:r w:rsidRPr="00233D14">
        <w:rPr>
          <w:caps w:val="0"/>
        </w:rPr>
        <w:br/>
        <w:t xml:space="preserve">in the alphabetical order of the French names of the Members / </w:t>
      </w:r>
      <w:r w:rsidRPr="00233D14">
        <w:rPr>
          <w:caps w:val="0"/>
        </w:rPr>
        <w:br/>
        <w:t xml:space="preserve">in </w:t>
      </w:r>
      <w:proofErr w:type="spellStart"/>
      <w:r w:rsidRPr="00233D14">
        <w:rPr>
          <w:caps w:val="0"/>
        </w:rPr>
        <w:t>alphabetischer</w:t>
      </w:r>
      <w:proofErr w:type="spellEnd"/>
      <w:r w:rsidRPr="00233D14">
        <w:rPr>
          <w:caps w:val="0"/>
        </w:rPr>
        <w:t xml:space="preserve"> </w:t>
      </w:r>
      <w:proofErr w:type="spellStart"/>
      <w:r w:rsidRPr="00233D14">
        <w:rPr>
          <w:caps w:val="0"/>
        </w:rPr>
        <w:t>Reihenfolge</w:t>
      </w:r>
      <w:proofErr w:type="spellEnd"/>
      <w:r w:rsidRPr="00233D14">
        <w:rPr>
          <w:caps w:val="0"/>
        </w:rPr>
        <w:t xml:space="preserve"> der </w:t>
      </w:r>
      <w:proofErr w:type="spellStart"/>
      <w:r w:rsidRPr="00233D14">
        <w:rPr>
          <w:caps w:val="0"/>
        </w:rPr>
        <w:t>französischen</w:t>
      </w:r>
      <w:proofErr w:type="spellEnd"/>
      <w:r w:rsidRPr="00233D14">
        <w:rPr>
          <w:caps w:val="0"/>
        </w:rPr>
        <w:t xml:space="preserve"> </w:t>
      </w:r>
      <w:proofErr w:type="spellStart"/>
      <w:r w:rsidRPr="00233D14">
        <w:rPr>
          <w:caps w:val="0"/>
        </w:rPr>
        <w:t>Namen</w:t>
      </w:r>
      <w:proofErr w:type="spellEnd"/>
      <w:r w:rsidRPr="00233D14">
        <w:rPr>
          <w:caps w:val="0"/>
        </w:rPr>
        <w:t xml:space="preserve"> der </w:t>
      </w:r>
      <w:proofErr w:type="spellStart"/>
      <w:r w:rsidRPr="00233D14">
        <w:rPr>
          <w:caps w:val="0"/>
        </w:rPr>
        <w:t>Mitglieder</w:t>
      </w:r>
      <w:proofErr w:type="spellEnd"/>
      <w:r w:rsidRPr="00233D14">
        <w:rPr>
          <w:caps w:val="0"/>
        </w:rPr>
        <w:t xml:space="preserve"> / </w:t>
      </w:r>
      <w:r w:rsidRPr="00233D14">
        <w:rPr>
          <w:caps w:val="0"/>
        </w:rPr>
        <w:br/>
      </w:r>
      <w:proofErr w:type="spellStart"/>
      <w:r w:rsidRPr="00233D14">
        <w:rPr>
          <w:caps w:val="0"/>
        </w:rPr>
        <w:t>por</w:t>
      </w:r>
      <w:proofErr w:type="spellEnd"/>
      <w:r w:rsidRPr="00233D14">
        <w:rPr>
          <w:caps w:val="0"/>
        </w:rPr>
        <w:t xml:space="preserve"> </w:t>
      </w:r>
      <w:proofErr w:type="spellStart"/>
      <w:r w:rsidRPr="00233D14">
        <w:rPr>
          <w:caps w:val="0"/>
        </w:rPr>
        <w:t>orden</w:t>
      </w:r>
      <w:proofErr w:type="spellEnd"/>
      <w:r w:rsidRPr="00233D14">
        <w:rPr>
          <w:caps w:val="0"/>
        </w:rPr>
        <w:t xml:space="preserve"> </w:t>
      </w:r>
      <w:proofErr w:type="spellStart"/>
      <w:r w:rsidRPr="00233D14">
        <w:rPr>
          <w:caps w:val="0"/>
        </w:rPr>
        <w:t>alfabético</w:t>
      </w:r>
      <w:proofErr w:type="spellEnd"/>
      <w:r w:rsidRPr="00233D14">
        <w:rPr>
          <w:caps w:val="0"/>
        </w:rPr>
        <w:t xml:space="preserve"> de </w:t>
      </w:r>
      <w:proofErr w:type="spellStart"/>
      <w:r w:rsidRPr="00233D14">
        <w:rPr>
          <w:caps w:val="0"/>
        </w:rPr>
        <w:t>los</w:t>
      </w:r>
      <w:proofErr w:type="spellEnd"/>
      <w:r w:rsidRPr="00233D14">
        <w:rPr>
          <w:caps w:val="0"/>
        </w:rPr>
        <w:t xml:space="preserve"> </w:t>
      </w:r>
      <w:proofErr w:type="spellStart"/>
      <w:r w:rsidRPr="00233D14">
        <w:rPr>
          <w:caps w:val="0"/>
        </w:rPr>
        <w:t>nombres</w:t>
      </w:r>
      <w:proofErr w:type="spellEnd"/>
      <w:r w:rsidRPr="00233D14">
        <w:rPr>
          <w:caps w:val="0"/>
        </w:rPr>
        <w:t xml:space="preserve"> </w:t>
      </w:r>
      <w:proofErr w:type="spellStart"/>
      <w:r w:rsidRPr="00233D14">
        <w:rPr>
          <w:caps w:val="0"/>
        </w:rPr>
        <w:t>en</w:t>
      </w:r>
      <w:proofErr w:type="spellEnd"/>
      <w:r w:rsidRPr="00233D14">
        <w:rPr>
          <w:caps w:val="0"/>
        </w:rPr>
        <w:t xml:space="preserve"> </w:t>
      </w:r>
      <w:proofErr w:type="spellStart"/>
      <w:r w:rsidRPr="00233D14">
        <w:rPr>
          <w:caps w:val="0"/>
        </w:rPr>
        <w:t>francés</w:t>
      </w:r>
      <w:proofErr w:type="spellEnd"/>
      <w:r w:rsidRPr="00233D14">
        <w:rPr>
          <w:caps w:val="0"/>
        </w:rPr>
        <w:t xml:space="preserve"> de </w:t>
      </w:r>
      <w:proofErr w:type="spellStart"/>
      <w:r w:rsidRPr="00233D14">
        <w:rPr>
          <w:caps w:val="0"/>
        </w:rPr>
        <w:t>los</w:t>
      </w:r>
      <w:proofErr w:type="spellEnd"/>
      <w:r w:rsidRPr="00233D14">
        <w:rPr>
          <w:caps w:val="0"/>
        </w:rPr>
        <w:t xml:space="preserve"> </w:t>
      </w:r>
      <w:proofErr w:type="spellStart"/>
      <w:r w:rsidRPr="00233D14">
        <w:rPr>
          <w:caps w:val="0"/>
        </w:rPr>
        <w:t>miembros</w:t>
      </w:r>
      <w:proofErr w:type="spellEnd"/>
      <w:r w:rsidRPr="00233D14">
        <w:rPr>
          <w:caps w:val="0"/>
        </w:rPr>
        <w:t>)</w:t>
      </w:r>
    </w:p>
    <w:p w:rsidR="007703AE" w:rsidRDefault="007703AE" w:rsidP="007703AE">
      <w:pPr>
        <w:pStyle w:val="TitleofDoc"/>
        <w:spacing w:before="0"/>
        <w:rPr>
          <w:caps w:val="0"/>
        </w:rPr>
      </w:pPr>
    </w:p>
    <w:p w:rsidR="007703AE" w:rsidRPr="00D63BDD" w:rsidRDefault="007703AE" w:rsidP="007703AE">
      <w:pPr>
        <w:pStyle w:val="plheading"/>
        <w:rPr>
          <w:lang w:val="de-DE"/>
        </w:rPr>
      </w:pPr>
      <w:r w:rsidRPr="00D63BDD">
        <w:rPr>
          <w:lang w:val="de-DE"/>
        </w:rPr>
        <w:t>I. MEMBRES / MEMBERS / VERBANDSMITGLIEDER / MIEMBROS</w:t>
      </w:r>
    </w:p>
    <w:p w:rsidR="007703AE" w:rsidRPr="00087710" w:rsidRDefault="007703AE" w:rsidP="007703AE">
      <w:pPr>
        <w:pStyle w:val="plcountry"/>
        <w:rPr>
          <w:lang w:val="de-DE"/>
        </w:rPr>
      </w:pPr>
      <w:r w:rsidRPr="00841411">
        <w:rPr>
          <w:lang w:val="de-DE"/>
        </w:rPr>
        <w:t>ALLEMAGNE / GERMANY / DEUTSCHLAND / ALEMANIA</w:t>
      </w:r>
    </w:p>
    <w:p w:rsidR="007703AE" w:rsidRDefault="007703AE" w:rsidP="007703AE">
      <w:pPr>
        <w:pStyle w:val="pldetails"/>
        <w:rPr>
          <w:lang w:val="de-DE"/>
        </w:rPr>
      </w:pPr>
      <w:r>
        <w:rPr>
          <w:lang w:val="de-DE"/>
        </w:rPr>
        <w:t>Beate RÜCKER (M</w:t>
      </w:r>
      <w:r w:rsidRPr="00841411">
        <w:rPr>
          <w:lang w:val="de-DE"/>
        </w:rPr>
        <w:t>s.), Abteilungsleiterin Registerprüfung, Bundessortenamt, Hannover</w:t>
      </w:r>
      <w:r w:rsidRPr="00841411">
        <w:rPr>
          <w:lang w:val="de-DE"/>
        </w:rPr>
        <w:br/>
        <w:t xml:space="preserve">(e-mail: beate.ruecker@bundessortenamt.de) </w:t>
      </w:r>
    </w:p>
    <w:p w:rsidR="007703AE" w:rsidRPr="007A3873" w:rsidRDefault="007703AE" w:rsidP="007703AE">
      <w:pPr>
        <w:pStyle w:val="pldetails"/>
      </w:pPr>
      <w:r w:rsidRPr="007A3873">
        <w:t>Swenja TAMS</w:t>
      </w:r>
      <w:r>
        <w:t xml:space="preserve"> (Ms.), </w:t>
      </w:r>
      <w:r w:rsidRPr="007A3873">
        <w:t>Head of Section General affairs of DUS testing</w:t>
      </w:r>
      <w:r>
        <w:t xml:space="preserve">, </w:t>
      </w:r>
      <w:r w:rsidRPr="007A3873">
        <w:t xml:space="preserve">Bundessortenamt, Hannover </w:t>
      </w:r>
      <w:r>
        <w:br/>
        <w:t>(e-</w:t>
      </w:r>
      <w:r w:rsidRPr="007A3873">
        <w:t>mail: Swenja.Tams@bundessortenamt.de</w:t>
      </w:r>
      <w:r>
        <w:t>)</w:t>
      </w:r>
    </w:p>
    <w:p w:rsidR="007703AE" w:rsidRPr="002416E8" w:rsidRDefault="007703AE" w:rsidP="007703AE">
      <w:pPr>
        <w:pStyle w:val="plcountry"/>
        <w:rPr>
          <w:lang w:val="es-ES_tradnl"/>
        </w:rPr>
      </w:pPr>
      <w:r w:rsidRPr="002416E8">
        <w:rPr>
          <w:lang w:val="es-ES_tradnl"/>
        </w:rPr>
        <w:t>ARGENTINE / ARGENTINA / ARGENTINIEN / ARGENTINA</w:t>
      </w:r>
    </w:p>
    <w:p w:rsidR="007703AE" w:rsidRPr="003F5638" w:rsidRDefault="007703AE" w:rsidP="007703AE">
      <w:pPr>
        <w:pStyle w:val="pldetails"/>
        <w:rPr>
          <w:lang w:val="es-ES"/>
        </w:rPr>
      </w:pPr>
      <w:r w:rsidRPr="003F5638">
        <w:rPr>
          <w:lang w:val="es-ES"/>
        </w:rPr>
        <w:t xml:space="preserve">María Inés RODRIGUEZ (Sra.), Consejera, Misión Permanente de la República Argentina, Ginebra </w:t>
      </w:r>
      <w:r w:rsidRPr="003F5638">
        <w:rPr>
          <w:lang w:val="es-ES"/>
        </w:rPr>
        <w:br/>
        <w:t>(e-mail: mariaines.rodriguez@missionarg.ch)</w:t>
      </w:r>
    </w:p>
    <w:p w:rsidR="007703AE" w:rsidRPr="003F5638" w:rsidRDefault="007703AE" w:rsidP="007703AE">
      <w:pPr>
        <w:pStyle w:val="plcountry"/>
      </w:pPr>
      <w:r w:rsidRPr="003F5638">
        <w:t>AUSTRALIE / AUSTRALIA / AUSTRALIEN / AUSTRALIA</w:t>
      </w:r>
    </w:p>
    <w:p w:rsidR="007703AE" w:rsidRPr="00841411" w:rsidRDefault="007703AE" w:rsidP="007703AE">
      <w:pPr>
        <w:pStyle w:val="pldetails"/>
      </w:pPr>
      <w:r w:rsidRPr="003F5638">
        <w:t xml:space="preserve">Tanvir HOSSAIN, Senior Examiner, Plant Breeder's Rights Office, IP Australia, </w:t>
      </w:r>
      <w:r w:rsidRPr="00841411">
        <w:t>Woden</w:t>
      </w:r>
      <w:r w:rsidRPr="00841411">
        <w:br/>
        <w:t xml:space="preserve">(e-mail: tanvir.hossain@ipaustralia.gov.au) </w:t>
      </w:r>
    </w:p>
    <w:p w:rsidR="007703AE" w:rsidRPr="00841411" w:rsidRDefault="007703AE" w:rsidP="007703AE">
      <w:pPr>
        <w:pStyle w:val="plcountry"/>
        <w:rPr>
          <w:lang w:val="de-DE"/>
        </w:rPr>
      </w:pPr>
      <w:r w:rsidRPr="00841411">
        <w:rPr>
          <w:lang w:val="de-DE"/>
        </w:rPr>
        <w:t>AUTRICHE / AUSTRIA / ÖSTERREICH / AUSTRIA</w:t>
      </w:r>
    </w:p>
    <w:p w:rsidR="007703AE" w:rsidRPr="00087710" w:rsidRDefault="007703AE" w:rsidP="007703AE">
      <w:pPr>
        <w:pStyle w:val="pldetails"/>
        <w:rPr>
          <w:lang w:val="de-DE"/>
        </w:rPr>
      </w:pPr>
      <w:r w:rsidRPr="00841411">
        <w:rPr>
          <w:lang w:val="de-DE"/>
        </w:rPr>
        <w:t>Barbara FÜRNWEGER (Frau), Leiterin, Abteilung Sortenschutz und Registerprüfung, Institut für Saat- und Pflanzgut, Pflanzenschutzdienst und Bienen, Österreichische Agentur für Gesundheit und Ernährungssicherheit GmbH, Wien</w:t>
      </w:r>
      <w:r w:rsidRPr="00841411">
        <w:rPr>
          <w:lang w:val="de-DE"/>
        </w:rPr>
        <w:br/>
      </w:r>
      <w:r w:rsidRPr="00087710">
        <w:rPr>
          <w:lang w:val="de-DE"/>
        </w:rPr>
        <w:t xml:space="preserve">(e-mail: barbara.fuernweger@ages.at) </w:t>
      </w:r>
    </w:p>
    <w:p w:rsidR="007703AE" w:rsidRPr="001C7017" w:rsidRDefault="007703AE" w:rsidP="007703AE">
      <w:pPr>
        <w:pStyle w:val="plcountry"/>
        <w:rPr>
          <w:lang w:val="pt-BR"/>
        </w:rPr>
      </w:pPr>
      <w:r w:rsidRPr="001C7017">
        <w:rPr>
          <w:lang w:val="pt-BR"/>
        </w:rPr>
        <w:t>BRÉSIL / BRAZIL / BRASILIEN / BRASIL</w:t>
      </w:r>
    </w:p>
    <w:p w:rsidR="007703AE" w:rsidRPr="001C7017" w:rsidRDefault="007703AE" w:rsidP="007703AE">
      <w:pPr>
        <w:pStyle w:val="pldetails"/>
        <w:rPr>
          <w:lang w:val="pt-BR"/>
        </w:rPr>
      </w:pPr>
      <w:r w:rsidRPr="001C7017">
        <w:rPr>
          <w:lang w:val="pt-BR"/>
        </w:rPr>
        <w:t>Ricardo ZANATTA MACHADO, Fiscal Federal Agropecuário, Coordinador del SNPC, Servicio Nacional de Proteção de Cultivares (SNPC), Ministério da Agricultura, Pecuária e Abastecimento, Brasilia</w:t>
      </w:r>
      <w:r w:rsidRPr="001C7017">
        <w:rPr>
          <w:lang w:val="pt-BR"/>
        </w:rPr>
        <w:br/>
        <w:t xml:space="preserve">(e-mail: ricardo.machado@agricultura.gov.br) </w:t>
      </w:r>
    </w:p>
    <w:p w:rsidR="007703AE" w:rsidRPr="001C7017" w:rsidRDefault="007703AE" w:rsidP="007703AE">
      <w:pPr>
        <w:pStyle w:val="pldetails"/>
        <w:rPr>
          <w:lang w:val="pt-BR"/>
        </w:rPr>
      </w:pPr>
      <w:r w:rsidRPr="001C7017">
        <w:rPr>
          <w:lang w:val="pt-BR"/>
        </w:rPr>
        <w:t xml:space="preserve">Caué Oliveira FANHA, Third Secretary, Divisão de Propriedade Intelectual (DIPI) / Intellectual Property Division, Ministério das Relações Exteriores, Brasilia </w:t>
      </w:r>
      <w:r w:rsidRPr="001C7017">
        <w:rPr>
          <w:lang w:val="pt-BR"/>
        </w:rPr>
        <w:br/>
        <w:t>(e-mail: caue.fanha@itamaraty.gov.br)</w:t>
      </w:r>
    </w:p>
    <w:p w:rsidR="007703AE" w:rsidRPr="005474C0" w:rsidRDefault="007703AE" w:rsidP="007703AE">
      <w:pPr>
        <w:pStyle w:val="plcountry"/>
      </w:pPr>
      <w:r w:rsidRPr="005474C0">
        <w:t>CANADA / CANADA / KANADA / CANADÁ</w:t>
      </w:r>
    </w:p>
    <w:p w:rsidR="007703AE" w:rsidRPr="00D2267F" w:rsidRDefault="007703AE" w:rsidP="007703AE">
      <w:pPr>
        <w:pStyle w:val="pldetails"/>
      </w:pPr>
      <w:r w:rsidRPr="00D2267F">
        <w:t>Anthony PARKER, Commissioner, Plant Breeders' Rights Office, Canadian Food Inspection Agency (CFIA), Ottawa</w:t>
      </w:r>
      <w:r>
        <w:br/>
        <w:t>(e-mail: </w:t>
      </w:r>
      <w:r w:rsidRPr="00D2267F">
        <w:t xml:space="preserve">anthony.parker@inspection.gc.ca) </w:t>
      </w:r>
    </w:p>
    <w:p w:rsidR="007703AE" w:rsidRPr="002416E8" w:rsidRDefault="007703AE" w:rsidP="007703AE">
      <w:pPr>
        <w:pStyle w:val="plcountry"/>
        <w:rPr>
          <w:lang w:val="es-ES_tradnl"/>
        </w:rPr>
      </w:pPr>
      <w:r w:rsidRPr="002416E8">
        <w:rPr>
          <w:lang w:val="es-ES_tradnl"/>
        </w:rPr>
        <w:t>CHILI / CHILE / CHILE / CHILE</w:t>
      </w:r>
    </w:p>
    <w:p w:rsidR="007703AE" w:rsidRPr="002416E8" w:rsidRDefault="007703AE" w:rsidP="007703AE">
      <w:pPr>
        <w:pStyle w:val="pldetails"/>
        <w:rPr>
          <w:lang w:val="es-ES_tradnl"/>
        </w:rPr>
      </w:pPr>
      <w:r w:rsidRPr="002416E8">
        <w:rPr>
          <w:lang w:val="es-ES_tradnl"/>
        </w:rPr>
        <w:t>Guillermo Federico APARICIO MUÑOZ, Jefe División Semillas Servicio Agricola y Ganadero (SAG), División Semillas, Servicio Agrícola y Ganadero (SAG), Santiago de Chile</w:t>
      </w:r>
      <w:r w:rsidRPr="002416E8">
        <w:rPr>
          <w:lang w:val="es-ES_tradnl"/>
        </w:rPr>
        <w:br/>
        <w:t xml:space="preserve">(e-mail: guillermo.aparicio@sag.gob.cl) </w:t>
      </w:r>
    </w:p>
    <w:p w:rsidR="007703AE" w:rsidRPr="002416E8" w:rsidRDefault="007703AE" w:rsidP="007703AE">
      <w:pPr>
        <w:pStyle w:val="pldetails"/>
        <w:rPr>
          <w:lang w:val="es-ES_tradnl"/>
        </w:rPr>
      </w:pPr>
      <w:r w:rsidRPr="002416E8">
        <w:rPr>
          <w:lang w:val="es-ES_tradnl"/>
        </w:rPr>
        <w:t>Manuel TORO UGALDE, Jefe Sub Departamento, Registro de Variedades Protegidas, División Semillas, Servicio Agrícola y Ganadero (SAG), Santiago de Chile</w:t>
      </w:r>
      <w:r w:rsidRPr="002416E8">
        <w:rPr>
          <w:lang w:val="es-ES_tradnl"/>
        </w:rPr>
        <w:br/>
        <w:t xml:space="preserve">(e-mail: manuel.toro@sag.gob.cl) </w:t>
      </w:r>
    </w:p>
    <w:p w:rsidR="007703AE" w:rsidRPr="00841411" w:rsidRDefault="007703AE" w:rsidP="007703AE">
      <w:pPr>
        <w:pStyle w:val="plcountry"/>
      </w:pPr>
      <w:r w:rsidRPr="00841411">
        <w:t>CHINE / CHINA / CHINA / CHINA</w:t>
      </w:r>
    </w:p>
    <w:p w:rsidR="007703AE" w:rsidRPr="00841411" w:rsidRDefault="007703AE" w:rsidP="007703AE">
      <w:pPr>
        <w:pStyle w:val="pldetails"/>
      </w:pPr>
      <w:r w:rsidRPr="00841411">
        <w:t xml:space="preserve">Wang </w:t>
      </w:r>
      <w:r>
        <w:t>QI</w:t>
      </w:r>
      <w:r w:rsidRPr="00841411">
        <w:t>, Director, Division of Protection for New Varieties of Plants, Office of Protection of New Varieties of Plants, State Forestry Administration, Beijing</w:t>
      </w:r>
      <w:r w:rsidRPr="00841411">
        <w:br/>
        <w:t xml:space="preserve">(e-mail: wangqihq@sina.com) </w:t>
      </w:r>
    </w:p>
    <w:p w:rsidR="007703AE" w:rsidRPr="00841411" w:rsidRDefault="007703AE" w:rsidP="007703AE">
      <w:pPr>
        <w:pStyle w:val="pldetails"/>
      </w:pPr>
      <w:r w:rsidRPr="00841411">
        <w:t>Tang HAO, Division Director, Senior Agronomist, Division for Plant Variety Testing, Development Center of Science and Technology, Ministry of Agriculture, Beijing</w:t>
      </w:r>
      <w:r w:rsidRPr="00841411">
        <w:br/>
        <w:t xml:space="preserve">(e-mail: tanghao1973@126.com) </w:t>
      </w:r>
    </w:p>
    <w:p w:rsidR="007703AE" w:rsidRDefault="007703AE" w:rsidP="007703AE">
      <w:pPr>
        <w:pStyle w:val="pldetails"/>
      </w:pPr>
      <w:r w:rsidRPr="00841411">
        <w:t>Ling ZHANG (Ms.), Division 2, State Intellectual Property Office (SIPO), Beijing</w:t>
      </w:r>
      <w:r w:rsidRPr="00841411">
        <w:br/>
        <w:t xml:space="preserve">(e-mail: zhangling_1@sipo.gov.cn) </w:t>
      </w:r>
    </w:p>
    <w:p w:rsidR="007703AE" w:rsidRPr="00841411" w:rsidRDefault="007703AE" w:rsidP="007703AE">
      <w:pPr>
        <w:pStyle w:val="plcountry"/>
      </w:pPr>
      <w:r w:rsidRPr="00841411">
        <w:t>CROATIE / CROATIA / KROATIEN / CROACIA</w:t>
      </w:r>
    </w:p>
    <w:p w:rsidR="007703AE" w:rsidRPr="00841411" w:rsidRDefault="007703AE" w:rsidP="007703AE">
      <w:pPr>
        <w:pStyle w:val="pldetails"/>
      </w:pPr>
      <w:r w:rsidRPr="008A277D">
        <w:t>Ivana BULAJIĆ (Ms.), Head of Plant Health Service, Directorate for Food Quality and Fitosanitary Policy, Zagreb</w:t>
      </w:r>
      <w:r w:rsidRPr="008A277D">
        <w:br/>
        <w:t>(e-mail: ivana.bulajic@mps.hr)</w:t>
      </w:r>
      <w:r w:rsidRPr="00841411">
        <w:t xml:space="preserve"> </w:t>
      </w:r>
    </w:p>
    <w:p w:rsidR="007703AE" w:rsidRPr="002416E8" w:rsidRDefault="007703AE" w:rsidP="007703AE">
      <w:pPr>
        <w:pStyle w:val="plcountry"/>
        <w:rPr>
          <w:lang w:val="es-ES_tradnl"/>
        </w:rPr>
      </w:pPr>
      <w:r w:rsidRPr="002416E8">
        <w:rPr>
          <w:lang w:val="es-ES_tradnl"/>
        </w:rPr>
        <w:t>COLOMBIE / COLOMBIA / KOLUMBIEN / COLOMBIA</w:t>
      </w:r>
    </w:p>
    <w:p w:rsidR="007703AE" w:rsidRPr="002416E8" w:rsidRDefault="007703AE" w:rsidP="007703AE">
      <w:pPr>
        <w:pStyle w:val="pldetails"/>
        <w:rPr>
          <w:lang w:val="es-ES_tradnl"/>
        </w:rPr>
      </w:pPr>
      <w:r w:rsidRPr="00FA6E12">
        <w:rPr>
          <w:lang w:val="es-ES_tradnl"/>
        </w:rPr>
        <w:t xml:space="preserve">Juan Camilo SARETZKI-FORERO, Consejero, Misión Permanente de Colombia, Genève </w:t>
      </w:r>
      <w:r w:rsidRPr="00FA6E12">
        <w:rPr>
          <w:lang w:val="es-ES_tradnl"/>
        </w:rPr>
        <w:br/>
        <w:t xml:space="preserve">(e-mail: </w:t>
      </w:r>
      <w:r w:rsidRPr="00FA6E12">
        <w:rPr>
          <w:rFonts w:cs="Arial"/>
          <w:lang w:val="es-ES_tradnl"/>
        </w:rPr>
        <w:t>juan.saretzki@misioncolombia.ch</w:t>
      </w:r>
      <w:r w:rsidRPr="00FA6E12">
        <w:rPr>
          <w:lang w:val="es-ES_tradnl"/>
        </w:rPr>
        <w:t>)</w:t>
      </w:r>
    </w:p>
    <w:p w:rsidR="007703AE" w:rsidRPr="00841411" w:rsidRDefault="007703AE" w:rsidP="007703AE">
      <w:pPr>
        <w:pStyle w:val="plcountry"/>
      </w:pPr>
      <w:r w:rsidRPr="00841411">
        <w:t>DANEMARK / DENMARK / DÄNEMARK / DINAMARCA</w:t>
      </w:r>
    </w:p>
    <w:p w:rsidR="007703AE" w:rsidRPr="00841411" w:rsidRDefault="007703AE" w:rsidP="007703AE">
      <w:pPr>
        <w:pStyle w:val="pldetails"/>
      </w:pPr>
      <w:r w:rsidRPr="00841411">
        <w:t>Gerhard DENEKEN, Chief Executive, Tystofte Foundation, Skaelskoer</w:t>
      </w:r>
      <w:r w:rsidRPr="00841411">
        <w:br/>
        <w:t xml:space="preserve">(e-mail: gde@tystofte.dk) </w:t>
      </w:r>
    </w:p>
    <w:p w:rsidR="007703AE" w:rsidRPr="002416E8" w:rsidRDefault="007703AE" w:rsidP="007703AE">
      <w:pPr>
        <w:pStyle w:val="plcountry"/>
        <w:rPr>
          <w:lang w:val="es-ES_tradnl"/>
        </w:rPr>
      </w:pPr>
      <w:r w:rsidRPr="00123A0A">
        <w:rPr>
          <w:lang w:val="es-ES_tradnl"/>
        </w:rPr>
        <w:t>ÉQUATEUR / ECUADOR / ECUADOR / ECUADOR</w:t>
      </w:r>
    </w:p>
    <w:p w:rsidR="007703AE" w:rsidRDefault="007703AE" w:rsidP="007703AE">
      <w:pPr>
        <w:pStyle w:val="pldetails"/>
        <w:spacing w:line="240" w:lineRule="atLeast"/>
        <w:rPr>
          <w:lang w:val="es-ES_tradnl"/>
        </w:rPr>
      </w:pPr>
      <w:r>
        <w:rPr>
          <w:lang w:val="es-ES_tradnl"/>
        </w:rPr>
        <w:t>Ñusta MALDONADO (Sra.), Tercera Secretaria, Misión Permanente del Ecuador ante la OMC, Ginebra</w:t>
      </w:r>
      <w:r w:rsidRPr="002416E8">
        <w:rPr>
          <w:lang w:val="es-ES_tradnl"/>
        </w:rPr>
        <w:br/>
        <w:t xml:space="preserve">(e-mail: </w:t>
      </w:r>
      <w:r w:rsidRPr="00123A0A">
        <w:rPr>
          <w:lang w:val="es-ES_tradnl"/>
        </w:rPr>
        <w:t>nmaldonado@cancilleria.gob.ec</w:t>
      </w:r>
      <w:r w:rsidRPr="002416E8">
        <w:rPr>
          <w:lang w:val="es-ES_tradnl"/>
        </w:rPr>
        <w:t xml:space="preserve">) </w:t>
      </w:r>
    </w:p>
    <w:p w:rsidR="007703AE" w:rsidRPr="002416E8" w:rsidRDefault="007703AE" w:rsidP="007703AE">
      <w:pPr>
        <w:pStyle w:val="plcountry"/>
        <w:rPr>
          <w:lang w:val="es-ES_tradnl"/>
        </w:rPr>
      </w:pPr>
      <w:r w:rsidRPr="002416E8">
        <w:rPr>
          <w:lang w:val="es-ES_tradnl"/>
        </w:rPr>
        <w:t>ESPAGNE / SPAIN / SPANIEN / ESPAÑA</w:t>
      </w:r>
    </w:p>
    <w:p w:rsidR="007703AE" w:rsidRDefault="007703AE" w:rsidP="007703AE">
      <w:pPr>
        <w:pStyle w:val="pldetails"/>
        <w:rPr>
          <w:lang w:val="es-ES_tradnl"/>
        </w:rPr>
      </w:pPr>
      <w:r w:rsidRPr="002416E8">
        <w:rPr>
          <w:lang w:val="es-ES_tradnl"/>
        </w:rPr>
        <w:t xml:space="preserve">José Luis ALONSO PRADOS, Director Técnico, Dirección Técnica de Evaluación de Variedades y Productos Fitosantarios (DTEVPF), INIA, Madrid </w:t>
      </w:r>
      <w:r w:rsidRPr="002416E8">
        <w:rPr>
          <w:lang w:val="es-ES_tradnl"/>
        </w:rPr>
        <w:br/>
        <w:t xml:space="preserve">(e-mail: </w:t>
      </w:r>
      <w:hyperlink r:id="rId11" w:history="1">
        <w:r w:rsidRPr="002416E8">
          <w:rPr>
            <w:lang w:val="es-ES_tradnl"/>
          </w:rPr>
          <w:t>prados@inia.es</w:t>
        </w:r>
      </w:hyperlink>
      <w:r w:rsidRPr="002416E8">
        <w:rPr>
          <w:lang w:val="es-ES_tradnl"/>
        </w:rPr>
        <w:t xml:space="preserve">) </w:t>
      </w:r>
    </w:p>
    <w:p w:rsidR="007703AE" w:rsidRDefault="007703AE" w:rsidP="007703AE">
      <w:pPr>
        <w:pStyle w:val="pldetails"/>
        <w:rPr>
          <w:lang w:val="es-ES_tradnl"/>
        </w:rPr>
      </w:pPr>
      <w:r w:rsidRPr="002416E8">
        <w:rPr>
          <w:lang w:val="es-ES_tradnl"/>
        </w:rPr>
        <w:t>José Antonio SOBRINO MATE, Jefe del Servicio de Registro de Variedades, Subdirección General de Medios de Producción Agrícolas y Oficina Española de Variedades Vegetales (MPA y OEVV), Oficina Española de Variedades Vegetales, Ministerio de Agricultura, Alimentación y Medio Ambiente, Madrid</w:t>
      </w:r>
      <w:r w:rsidRPr="002416E8">
        <w:rPr>
          <w:lang w:val="es-ES_tradnl"/>
        </w:rPr>
        <w:br/>
        <w:t>(e-mail: </w:t>
      </w:r>
      <w:r w:rsidRPr="006F57F4">
        <w:rPr>
          <w:lang w:val="es-ES_tradnl"/>
        </w:rPr>
        <w:t>jasobrino@magrama.es</w:t>
      </w:r>
      <w:r w:rsidRPr="002416E8">
        <w:rPr>
          <w:lang w:val="es-ES_tradnl"/>
        </w:rPr>
        <w:t>)</w:t>
      </w:r>
    </w:p>
    <w:p w:rsidR="007703AE" w:rsidRPr="00377E63" w:rsidRDefault="007703AE" w:rsidP="007703AE">
      <w:pPr>
        <w:pStyle w:val="pldetails"/>
        <w:rPr>
          <w:lang w:val="es-ES_tradnl"/>
        </w:rPr>
      </w:pPr>
      <w:r w:rsidRPr="00D11E1B">
        <w:rPr>
          <w:lang w:val="es-ES_tradnl"/>
        </w:rPr>
        <w:t xml:space="preserve">Luis SALAICES SÁNCHEZ, Ministerio de Agricultura, Alimentación y Medio Ambiente (MAGRAMA), Madrid </w:t>
      </w:r>
      <w:r w:rsidRPr="00D11E1B">
        <w:rPr>
          <w:lang w:val="es-ES_tradnl"/>
        </w:rPr>
        <w:br/>
        <w:t xml:space="preserve">(e-mail: </w:t>
      </w:r>
      <w:hyperlink r:id="rId12" w:history="1">
        <w:r w:rsidRPr="00D11E1B">
          <w:rPr>
            <w:lang w:val="es-ES_tradnl"/>
          </w:rPr>
          <w:t>luis.salaices@magrama.es</w:t>
        </w:r>
      </w:hyperlink>
      <w:r w:rsidRPr="00D11E1B">
        <w:rPr>
          <w:lang w:val="es-ES_tradnl"/>
        </w:rPr>
        <w:t>)</w:t>
      </w:r>
    </w:p>
    <w:p w:rsidR="007703AE" w:rsidRPr="00087710" w:rsidRDefault="007703AE" w:rsidP="007703AE">
      <w:pPr>
        <w:pStyle w:val="plcountry"/>
      </w:pPr>
      <w:r w:rsidRPr="00087710">
        <w:t>ÉTATS-UNIS D'AMÉRIQUE / UNITED STATES OF AMERICA / VEREINIGTE STAATEN VON AMERIKA / ESTADOS UNIDOS DE AMÉRICA</w:t>
      </w:r>
    </w:p>
    <w:p w:rsidR="007703AE" w:rsidRPr="00132466" w:rsidRDefault="007703AE" w:rsidP="007703AE">
      <w:pPr>
        <w:pStyle w:val="pldetails"/>
      </w:pPr>
      <w:r w:rsidRPr="00132466">
        <w:t>Kitisri SUKHAPINDA (Ms.), Patent Attorney, Office of Policy and External Affairs, United States Patent and Trademark Office (USPTO), Department of Commerce, Alexandria</w:t>
      </w:r>
      <w:r w:rsidRPr="00132466">
        <w:br/>
        <w:t xml:space="preserve">(e-mail: kitisri.sukhapinda@uspto.gov) </w:t>
      </w:r>
    </w:p>
    <w:p w:rsidR="007703AE" w:rsidRDefault="007703AE" w:rsidP="007703AE">
      <w:pPr>
        <w:pStyle w:val="pldetails"/>
      </w:pPr>
      <w:r w:rsidRPr="00132466">
        <w:t>Ruihong GUO</w:t>
      </w:r>
      <w:r>
        <w:t xml:space="preserve"> (</w:t>
      </w:r>
      <w:r w:rsidRPr="00132466">
        <w:t>Ms.</w:t>
      </w:r>
      <w:r>
        <w:t>)</w:t>
      </w:r>
      <w:r w:rsidRPr="00132466">
        <w:t xml:space="preserve">, Deputy Administrator, AMS, Science &amp; Technology Program, United States Department of Agriculture (USDA), Washington D.C. </w:t>
      </w:r>
      <w:r w:rsidRPr="00132466">
        <w:br/>
        <w:t xml:space="preserve">(e-mail: </w:t>
      </w:r>
      <w:hyperlink r:id="rId13" w:history="1">
        <w:r w:rsidRPr="00E55107">
          <w:t>ruihong.guo@ams.usda.gov</w:t>
        </w:r>
      </w:hyperlink>
      <w:r w:rsidRPr="00132466">
        <w:t>)</w:t>
      </w:r>
    </w:p>
    <w:p w:rsidR="007703AE" w:rsidRDefault="007703AE" w:rsidP="007703AE">
      <w:pPr>
        <w:pStyle w:val="pldetails"/>
      </w:pPr>
      <w:r w:rsidRPr="00E55107">
        <w:t>Elaine WU</w:t>
      </w:r>
      <w:r>
        <w:t xml:space="preserve"> (</w:t>
      </w:r>
      <w:r w:rsidRPr="00E55107">
        <w:t>Ms.</w:t>
      </w:r>
      <w:r>
        <w:t xml:space="preserve">), </w:t>
      </w:r>
      <w:r w:rsidRPr="00E55107">
        <w:t xml:space="preserve">Attorney </w:t>
      </w:r>
      <w:r>
        <w:t>–</w:t>
      </w:r>
      <w:r w:rsidRPr="00E55107">
        <w:t xml:space="preserve"> Advisor</w:t>
      </w:r>
      <w:r>
        <w:t xml:space="preserve">, </w:t>
      </w:r>
      <w:r w:rsidRPr="00E55107">
        <w:t>United States Patent and Trademark Office</w:t>
      </w:r>
      <w:r>
        <w:t xml:space="preserve"> (USPTO), </w:t>
      </w:r>
      <w:r w:rsidRPr="00E55107">
        <w:t>Alexandria</w:t>
      </w:r>
      <w:r>
        <w:br/>
        <w:t>(e-</w:t>
      </w:r>
      <w:r w:rsidRPr="00E55107">
        <w:t xml:space="preserve">mail: </w:t>
      </w:r>
      <w:hyperlink r:id="rId14" w:history="1">
        <w:r w:rsidRPr="00E55107">
          <w:t>elaine.wu@uspto.gov</w:t>
        </w:r>
      </w:hyperlink>
      <w:r w:rsidRPr="00E55107">
        <w:t xml:space="preserve">) </w:t>
      </w:r>
    </w:p>
    <w:p w:rsidR="007703AE" w:rsidRPr="00FA6E12" w:rsidRDefault="007703AE" w:rsidP="007703AE">
      <w:pPr>
        <w:pStyle w:val="pldetails"/>
      </w:pPr>
      <w:r w:rsidRPr="00FA6E12">
        <w:t xml:space="preserve">Yasmine Nicole FULENA (Ms.), Intellectual Property Assistant, Permanent Mission of the United States, Chambésy </w:t>
      </w:r>
      <w:r w:rsidRPr="00FA6E12">
        <w:br/>
        <w:t>(e-mail: fulenayn@state.gov)</w:t>
      </w:r>
    </w:p>
    <w:p w:rsidR="007703AE" w:rsidRPr="005D2862" w:rsidRDefault="007703AE" w:rsidP="007703AE">
      <w:pPr>
        <w:pStyle w:val="plcountry"/>
        <w:ind w:right="-284"/>
        <w:rPr>
          <w:spacing w:val="-2"/>
          <w:lang w:val="fr-FR"/>
        </w:rPr>
      </w:pPr>
      <w:r w:rsidRPr="005D2862">
        <w:rPr>
          <w:spacing w:val="-2"/>
          <w:lang w:val="fr-FR"/>
        </w:rPr>
        <w:t>FÉDÉRATION DE RUSSIE / RUSSIAN FEDERATION / RUSSISCHE FÖDERATION / FEDERACIÓN DE RUSIA</w:t>
      </w:r>
    </w:p>
    <w:p w:rsidR="007703AE" w:rsidRPr="00841411" w:rsidRDefault="007703AE" w:rsidP="007703AE">
      <w:pPr>
        <w:pStyle w:val="pldetails"/>
      </w:pPr>
      <w:r w:rsidRPr="00F94EBE">
        <w:t xml:space="preserve">Ismail MERZHOEV, Deputy Chairman, State </w:t>
      </w:r>
      <w:r w:rsidRPr="00841411">
        <w:t>Commission of the Russian Federation for Selection Achievements Test and Protection, Moscow</w:t>
      </w:r>
      <w:r w:rsidRPr="00841411">
        <w:br/>
        <w:t xml:space="preserve">(e-mail: gossort@gossort.com) </w:t>
      </w:r>
    </w:p>
    <w:p w:rsidR="007703AE" w:rsidRPr="00841411" w:rsidRDefault="007703AE" w:rsidP="007703AE">
      <w:pPr>
        <w:pStyle w:val="pldetails"/>
      </w:pPr>
      <w:r w:rsidRPr="00841411">
        <w:t>Yury A. ROGOVSKIY, Deputy Chairman, Head of Methodology and International Cooperation, State Commission of the Russian Federation for Selection Achievements Test and Protection, Moscow</w:t>
      </w:r>
      <w:r w:rsidRPr="00841411">
        <w:br/>
        <w:t xml:space="preserve">(e-mail: yrogovskij@yandex.ru) </w:t>
      </w:r>
    </w:p>
    <w:p w:rsidR="007703AE" w:rsidRDefault="007703AE" w:rsidP="007703AE">
      <w:pPr>
        <w:pStyle w:val="pldetails"/>
      </w:pPr>
      <w:r w:rsidRPr="00841411">
        <w:t xml:space="preserve">Antonina TRETINNIKOVA (Ms.), Deputy Head, Methodology and International Cooperation Department, State Commission of the Russian Federation for Selection Achievements Test and </w:t>
      </w:r>
      <w:r w:rsidRPr="00D63BDD">
        <w:t>Protection, Moscow</w:t>
      </w:r>
      <w:r w:rsidRPr="00D63BDD">
        <w:br/>
        <w:t xml:space="preserve">(e-mail: tretinnikova@mail.ru) </w:t>
      </w:r>
    </w:p>
    <w:p w:rsidR="007703AE" w:rsidRPr="00D63BDD" w:rsidRDefault="007703AE" w:rsidP="007703AE">
      <w:pPr>
        <w:pStyle w:val="pldetails"/>
      </w:pPr>
      <w:r>
        <w:t xml:space="preserve">Olga LESNYKH (Ms.), Expert, State Commission of the Russian Federation for Selection Achievements Test and Protection, </w:t>
      </w:r>
      <w:r w:rsidRPr="0072714B">
        <w:t xml:space="preserve">Moscow </w:t>
      </w:r>
      <w:r>
        <w:br/>
        <w:t>(e-mail: L9152175502@yandex.ru)</w:t>
      </w:r>
    </w:p>
    <w:p w:rsidR="007703AE" w:rsidRPr="00392829" w:rsidRDefault="007703AE" w:rsidP="007703AE">
      <w:pPr>
        <w:pStyle w:val="plcountry"/>
        <w:rPr>
          <w:lang w:val="fr-CH"/>
        </w:rPr>
      </w:pPr>
      <w:r w:rsidRPr="00392829">
        <w:rPr>
          <w:lang w:val="fr-CH"/>
        </w:rPr>
        <w:t>FRANCE / FRANCE / FRANKREICH / FRANCIA</w:t>
      </w:r>
    </w:p>
    <w:p w:rsidR="007703AE" w:rsidRPr="007A3873" w:rsidRDefault="007703AE" w:rsidP="007703AE">
      <w:pPr>
        <w:pStyle w:val="pldetails"/>
        <w:rPr>
          <w:lang w:val="fr-CH"/>
        </w:rPr>
      </w:pPr>
      <w:r w:rsidRPr="00392829">
        <w:rPr>
          <w:lang w:val="fr-CH"/>
        </w:rPr>
        <w:t>Virginie BERTOUX (Madame), Responsable, Instance nationale des obtentions végétales (INOV), INOV</w:t>
      </w:r>
      <w:r w:rsidRPr="00392829">
        <w:rPr>
          <w:lang w:val="fr-CH"/>
        </w:rPr>
        <w:noBreakHyphen/>
        <w:t>GEVES, Beaucouzé</w:t>
      </w:r>
      <w:r w:rsidRPr="00392829">
        <w:rPr>
          <w:lang w:val="fr-CH"/>
        </w:rPr>
        <w:br/>
        <w:t>(e-mail: virg</w:t>
      </w:r>
      <w:r w:rsidRPr="007A3873">
        <w:rPr>
          <w:lang w:val="fr-CH"/>
        </w:rPr>
        <w:t xml:space="preserve">inie.bertoux@geves.fr) </w:t>
      </w:r>
    </w:p>
    <w:p w:rsidR="007703AE" w:rsidRPr="004170B0" w:rsidRDefault="007703AE" w:rsidP="007703AE">
      <w:pPr>
        <w:pStyle w:val="pldetails"/>
        <w:rPr>
          <w:lang w:val="fr-CH"/>
        </w:rPr>
      </w:pPr>
      <w:r w:rsidRPr="00605A96">
        <w:rPr>
          <w:lang w:val="fr-CH"/>
        </w:rPr>
        <w:t>Richard BRAND</w:t>
      </w:r>
      <w:r>
        <w:rPr>
          <w:lang w:val="fr-CH"/>
        </w:rPr>
        <w:t xml:space="preserve">, </w:t>
      </w:r>
      <w:r w:rsidRPr="00605A96">
        <w:rPr>
          <w:lang w:val="fr-CH"/>
        </w:rPr>
        <w:t>DUS Coordination</w:t>
      </w:r>
      <w:r>
        <w:rPr>
          <w:lang w:val="fr-CH"/>
        </w:rPr>
        <w:t xml:space="preserve">, </w:t>
      </w:r>
      <w:r w:rsidRPr="00605A96">
        <w:rPr>
          <w:lang w:val="fr-CH"/>
        </w:rPr>
        <w:t>Groupe d'étude et de contrôle des variétés et des semences (GEVES)</w:t>
      </w:r>
      <w:r>
        <w:rPr>
          <w:lang w:val="fr-CH"/>
        </w:rPr>
        <w:t xml:space="preserve">, </w:t>
      </w:r>
      <w:r w:rsidRPr="00605A96">
        <w:rPr>
          <w:lang w:val="fr-CH"/>
        </w:rPr>
        <w:t>Le Thor</w:t>
      </w:r>
      <w:r>
        <w:rPr>
          <w:lang w:val="fr-CH"/>
        </w:rPr>
        <w:br/>
      </w:r>
      <w:r w:rsidRPr="004170B0">
        <w:rPr>
          <w:lang w:val="fr-CH"/>
        </w:rPr>
        <w:t>(e-mail: richard.brand@geves.fr)</w:t>
      </w:r>
    </w:p>
    <w:p w:rsidR="007703AE" w:rsidRPr="00841411" w:rsidRDefault="007703AE" w:rsidP="007703AE">
      <w:pPr>
        <w:pStyle w:val="plcountry"/>
      </w:pPr>
      <w:r w:rsidRPr="00841411">
        <w:t>HONGRIE / HUNGARY / UNGARN / HUNGRÍA</w:t>
      </w:r>
    </w:p>
    <w:p w:rsidR="007703AE" w:rsidRDefault="007703AE" w:rsidP="007703AE">
      <w:pPr>
        <w:pStyle w:val="pldetails"/>
      </w:pPr>
      <w:r w:rsidRPr="00841411">
        <w:t>Tamás HARANGOZÓ, PVP Expert, Directorate of Plant Production and Horticulture, National Food Chain Safety Office (NÉBIH), Budapest</w:t>
      </w:r>
      <w:r w:rsidRPr="00841411">
        <w:br/>
        <w:t xml:space="preserve">(e-mail: harangozoT@nebih.gov.hu) </w:t>
      </w:r>
    </w:p>
    <w:p w:rsidR="007703AE" w:rsidRPr="00841411" w:rsidRDefault="007703AE" w:rsidP="007703AE">
      <w:pPr>
        <w:pStyle w:val="plcountry"/>
      </w:pPr>
      <w:r w:rsidRPr="00841411">
        <w:t>IRLANDE / IRELAND / IRLAND / IRLANDA</w:t>
      </w:r>
    </w:p>
    <w:p w:rsidR="007703AE" w:rsidRDefault="007703AE" w:rsidP="007703AE">
      <w:pPr>
        <w:pStyle w:val="pldetails"/>
      </w:pPr>
      <w:r w:rsidRPr="005F50AA">
        <w:t>Donal COLEMAN, Controller of Plant Breeders' Rights, National Crop Evaluation Centre, Department of Agriculture, Food and Marine, Leixlip</w:t>
      </w:r>
      <w:r w:rsidRPr="005F50AA">
        <w:br/>
        <w:t>(e-mail: donal.coleman@agriculture.gov.ie)</w:t>
      </w:r>
      <w:r w:rsidRPr="00841411">
        <w:t xml:space="preserve"> </w:t>
      </w:r>
    </w:p>
    <w:p w:rsidR="007703AE" w:rsidRPr="006F57F4" w:rsidRDefault="007703AE" w:rsidP="007703AE">
      <w:pPr>
        <w:pStyle w:val="plcountry"/>
        <w:rPr>
          <w:lang w:val="fr-CH"/>
        </w:rPr>
      </w:pPr>
      <w:r w:rsidRPr="006F57F4">
        <w:rPr>
          <w:lang w:val="fr-CH"/>
        </w:rPr>
        <w:t>ITALIE / ITALY / ITALIEN / ITALIA</w:t>
      </w:r>
    </w:p>
    <w:p w:rsidR="007703AE" w:rsidRDefault="007703AE" w:rsidP="007703AE">
      <w:pPr>
        <w:pStyle w:val="plcountry"/>
        <w:rPr>
          <w:caps w:val="0"/>
          <w:u w:val="none"/>
          <w:lang w:val="fr-CH"/>
        </w:rPr>
      </w:pPr>
      <w:r w:rsidRPr="00A266D2">
        <w:rPr>
          <w:caps w:val="0"/>
          <w:u w:val="none"/>
          <w:lang w:val="fr-CH"/>
        </w:rPr>
        <w:t>Francesca MARIANO NARNI (Ms.), Intern</w:t>
      </w:r>
      <w:r>
        <w:rPr>
          <w:caps w:val="0"/>
          <w:u w:val="none"/>
          <w:lang w:val="fr-CH"/>
        </w:rPr>
        <w:t xml:space="preserve">, </w:t>
      </w:r>
      <w:r w:rsidRPr="00A266D2">
        <w:rPr>
          <w:caps w:val="0"/>
          <w:u w:val="none"/>
          <w:lang w:val="fr-CH"/>
        </w:rPr>
        <w:t>Mission permanente de l’Italie auprès de l’Office des Nations Unies à Genève</w:t>
      </w:r>
      <w:r>
        <w:rPr>
          <w:caps w:val="0"/>
          <w:u w:val="none"/>
          <w:lang w:val="fr-CH"/>
        </w:rPr>
        <w:t xml:space="preserve">, </w:t>
      </w:r>
      <w:r w:rsidRPr="00A266D2">
        <w:rPr>
          <w:caps w:val="0"/>
          <w:u w:val="none"/>
          <w:lang w:val="fr-CH"/>
        </w:rPr>
        <w:t xml:space="preserve">Pregny </w:t>
      </w:r>
      <w:r>
        <w:rPr>
          <w:caps w:val="0"/>
          <w:u w:val="none"/>
          <w:lang w:val="fr-CH"/>
        </w:rPr>
        <w:br/>
        <w:t>(e-</w:t>
      </w:r>
      <w:r w:rsidRPr="00A266D2">
        <w:rPr>
          <w:caps w:val="0"/>
          <w:u w:val="none"/>
          <w:lang w:val="fr-CH"/>
        </w:rPr>
        <w:t>mail: wipostage@esteri.it</w:t>
      </w:r>
      <w:r>
        <w:rPr>
          <w:caps w:val="0"/>
          <w:u w:val="none"/>
          <w:lang w:val="fr-CH"/>
        </w:rPr>
        <w:t>)</w:t>
      </w:r>
    </w:p>
    <w:p w:rsidR="007703AE" w:rsidRPr="006F57F4" w:rsidRDefault="007703AE" w:rsidP="007703AE">
      <w:pPr>
        <w:pStyle w:val="plcountry"/>
      </w:pPr>
      <w:r w:rsidRPr="006F57F4">
        <w:t>JAPON / JAPAN / JAPAN / JAPÓN</w:t>
      </w:r>
    </w:p>
    <w:p w:rsidR="007703AE" w:rsidRPr="004170B0" w:rsidRDefault="007703AE" w:rsidP="007703AE">
      <w:pPr>
        <w:pStyle w:val="pldetails"/>
      </w:pPr>
      <w:r w:rsidRPr="002411E2">
        <w:t>Katsumi YAMAGUCHI</w:t>
      </w:r>
      <w:r>
        <w:t xml:space="preserve">, </w:t>
      </w:r>
      <w:r w:rsidRPr="002411E2">
        <w:t>Director</w:t>
      </w:r>
      <w:r>
        <w:t xml:space="preserve">, </w:t>
      </w:r>
      <w:r w:rsidRPr="002411E2">
        <w:t>Plant Variety Protection Office</w:t>
      </w:r>
      <w:r>
        <w:t xml:space="preserve">, </w:t>
      </w:r>
      <w:r w:rsidRPr="002411E2">
        <w:t>Intellectual Property Division</w:t>
      </w:r>
      <w:r>
        <w:t xml:space="preserve">, </w:t>
      </w:r>
      <w:r w:rsidRPr="002411E2">
        <w:t>Food Industry Affairs Bureau</w:t>
      </w:r>
      <w:r>
        <w:t xml:space="preserve">, </w:t>
      </w:r>
      <w:r w:rsidRPr="002411E2">
        <w:t>Ministry of Agriculture, Forestry and Fisheries (MAFF)</w:t>
      </w:r>
      <w:r>
        <w:t xml:space="preserve">, </w:t>
      </w:r>
      <w:r w:rsidRPr="002411E2">
        <w:t>Tokyo</w:t>
      </w:r>
      <w:r>
        <w:br/>
      </w:r>
      <w:r w:rsidRPr="004170B0">
        <w:t>(e-mail: katsumi_yamaguchi130@maff.go.jp)</w:t>
      </w:r>
    </w:p>
    <w:p w:rsidR="007703AE" w:rsidRDefault="007703AE" w:rsidP="007703AE">
      <w:pPr>
        <w:pStyle w:val="pldetails"/>
      </w:pPr>
      <w:r w:rsidRPr="00841411">
        <w:t>Kenji NUMAGUCHI, Senior Examiner, Plant Variety Protection Office, New Business and Intellectual Property Division,, Food Industry Affairs Bureau, Tokyo</w:t>
      </w:r>
      <w:r w:rsidRPr="00841411">
        <w:br/>
        <w:t xml:space="preserve">(e-mail: kenji_numaguchi760@maff.go.jp) </w:t>
      </w:r>
    </w:p>
    <w:p w:rsidR="007703AE" w:rsidRPr="004170B0" w:rsidRDefault="007703AE" w:rsidP="007703AE">
      <w:pPr>
        <w:pStyle w:val="pldetails"/>
      </w:pPr>
      <w:r w:rsidRPr="00841411">
        <w:t xml:space="preserve">Akira MIYAKE, Senior Policy Advisor, Intellectual Property Division, Food Industry Affairs </w:t>
      </w:r>
      <w:r w:rsidRPr="004170B0">
        <w:t>Bureau, Tokyo</w:t>
      </w:r>
      <w:r w:rsidRPr="004170B0">
        <w:br/>
        <w:t xml:space="preserve">(e-mail: akira_miyake630@maff.go.jp) </w:t>
      </w:r>
    </w:p>
    <w:p w:rsidR="007703AE" w:rsidRPr="00087710" w:rsidRDefault="007703AE" w:rsidP="007703AE">
      <w:pPr>
        <w:pStyle w:val="plcountry"/>
      </w:pPr>
      <w:r w:rsidRPr="00087710">
        <w:t>KENYA / KENYA / KENIA / KENYA</w:t>
      </w:r>
    </w:p>
    <w:p w:rsidR="007703AE" w:rsidRPr="00841411" w:rsidRDefault="007703AE" w:rsidP="007703AE">
      <w:pPr>
        <w:pStyle w:val="pldetails"/>
      </w:pPr>
      <w:r w:rsidRPr="00841411">
        <w:t>Simeon KIBET KOGO, General Manager - Quality Assurance, Kenya Plant Health Inspectorate Service (KEPHIS), Nairobi</w:t>
      </w:r>
      <w:r w:rsidRPr="00841411">
        <w:br/>
        <w:t xml:space="preserve">(e-mail: skibet@kephis.org) </w:t>
      </w:r>
    </w:p>
    <w:p w:rsidR="007703AE" w:rsidRPr="00841411" w:rsidRDefault="007703AE" w:rsidP="007703AE">
      <w:pPr>
        <w:pStyle w:val="plcountry"/>
      </w:pPr>
      <w:r w:rsidRPr="00841411">
        <w:t>LETTONIE / LATVIA / LETTLAND / LETONIA</w:t>
      </w:r>
    </w:p>
    <w:p w:rsidR="007703AE" w:rsidRPr="00841411" w:rsidRDefault="007703AE" w:rsidP="007703AE">
      <w:pPr>
        <w:pStyle w:val="pldetails"/>
      </w:pPr>
      <w:r w:rsidRPr="00841411">
        <w:t>Daiga BAJALE (Ms</w:t>
      </w:r>
      <w:r>
        <w:t>.</w:t>
      </w:r>
      <w:r w:rsidRPr="00841411">
        <w:t>), Senior Officer, Seed Control Department, Division of Seed Certification and Plant Variety Protection, State Plant Protection Service, Riga</w:t>
      </w:r>
      <w:r w:rsidRPr="00841411">
        <w:br/>
        <w:t>(e-mail: daiga.bajale@vaad.gov.lv)</w:t>
      </w:r>
    </w:p>
    <w:p w:rsidR="007703AE" w:rsidRPr="00841411" w:rsidRDefault="007703AE" w:rsidP="007703AE">
      <w:pPr>
        <w:pStyle w:val="plcountry"/>
        <w:rPr>
          <w:lang w:val="fr-CH"/>
        </w:rPr>
      </w:pPr>
      <w:r w:rsidRPr="00841411">
        <w:rPr>
          <w:lang w:val="fr-CH"/>
        </w:rPr>
        <w:t>MAROC / MOROCCO / MAROKKO / MARRUECOS</w:t>
      </w:r>
    </w:p>
    <w:p w:rsidR="007703AE" w:rsidRPr="00841411" w:rsidRDefault="007703AE" w:rsidP="007703AE">
      <w:pPr>
        <w:pStyle w:val="pldetails"/>
        <w:rPr>
          <w:lang w:val="fr-CH"/>
        </w:rPr>
      </w:pPr>
      <w:r>
        <w:rPr>
          <w:lang w:val="fr-CH"/>
        </w:rPr>
        <w:t>Zoubida TAOUSSI (M</w:t>
      </w:r>
      <w:r w:rsidRPr="00841411">
        <w:rPr>
          <w:lang w:val="fr-CH"/>
        </w:rPr>
        <w:t>s.), Chargée de la protection des obtentions végétales, Office National de Sécurité de Produits Alimentaires, Rabat</w:t>
      </w:r>
      <w:r w:rsidRPr="00841411">
        <w:rPr>
          <w:lang w:val="fr-CH"/>
        </w:rPr>
        <w:br/>
        <w:t xml:space="preserve">(e-mail: ztaoussi67@gmail.com) </w:t>
      </w:r>
    </w:p>
    <w:p w:rsidR="007703AE" w:rsidRPr="005D2862" w:rsidRDefault="007703AE" w:rsidP="007703AE">
      <w:pPr>
        <w:pStyle w:val="plcountry"/>
        <w:rPr>
          <w:lang w:val="fr-CH"/>
        </w:rPr>
      </w:pPr>
      <w:r w:rsidRPr="005D2862">
        <w:rPr>
          <w:lang w:val="fr-CH"/>
        </w:rPr>
        <w:t>MEXIQUE / MEXICO / MEXIKO / MÉXICO</w:t>
      </w:r>
    </w:p>
    <w:p w:rsidR="007703AE" w:rsidRPr="005D2862" w:rsidRDefault="007703AE" w:rsidP="007703AE">
      <w:pPr>
        <w:pStyle w:val="pldetails"/>
        <w:rPr>
          <w:lang w:val="fr-CH"/>
        </w:rPr>
      </w:pPr>
      <w:r w:rsidRPr="005D2862">
        <w:rPr>
          <w:lang w:val="fr-CH"/>
        </w:rPr>
        <w:t xml:space="preserve">Alejandro BARRIENTOS-PRIEGO, Profesor, Departamento de Fitotecnica, Universidad Autónoma de Chapingo (UACh), Chapingo </w:t>
      </w:r>
      <w:r w:rsidRPr="005D2862">
        <w:rPr>
          <w:lang w:val="fr-CH"/>
        </w:rPr>
        <w:br/>
        <w:t>(email: abarrien@correo.chapingo.mx)</w:t>
      </w:r>
    </w:p>
    <w:p w:rsidR="007703AE" w:rsidRPr="002416E8" w:rsidRDefault="007703AE" w:rsidP="007703AE">
      <w:pPr>
        <w:pStyle w:val="pldetails"/>
        <w:rPr>
          <w:lang w:val="es-ES_tradnl"/>
        </w:rPr>
      </w:pPr>
      <w:r w:rsidRPr="004A743C">
        <w:rPr>
          <w:lang w:val="es-ES_tradnl"/>
        </w:rPr>
        <w:t>Sara MANZANO MERINO</w:t>
      </w:r>
      <w:r>
        <w:rPr>
          <w:lang w:val="es-ES_tradnl"/>
        </w:rPr>
        <w:t xml:space="preserve"> (Ms.), </w:t>
      </w:r>
      <w:r w:rsidRPr="004A743C">
        <w:rPr>
          <w:lang w:val="es-ES_tradnl"/>
        </w:rPr>
        <w:t>Advisor</w:t>
      </w:r>
      <w:r>
        <w:rPr>
          <w:lang w:val="es-ES_tradnl"/>
        </w:rPr>
        <w:t xml:space="preserve">, </w:t>
      </w:r>
      <w:r w:rsidRPr="004A743C">
        <w:rPr>
          <w:lang w:val="es-ES_tradnl"/>
        </w:rPr>
        <w:t>Misión Permanente de México ante la Oficina de</w:t>
      </w:r>
      <w:r>
        <w:rPr>
          <w:lang w:val="es-ES_tradnl"/>
        </w:rPr>
        <w:t xml:space="preserve"> las Naciones Unidas en Ginebra, Genève </w:t>
      </w:r>
      <w:r>
        <w:rPr>
          <w:lang w:val="es-ES_tradnl"/>
        </w:rPr>
        <w:br/>
        <w:t>(e-</w:t>
      </w:r>
      <w:r w:rsidRPr="004A743C">
        <w:rPr>
          <w:lang w:val="es-ES_tradnl"/>
        </w:rPr>
        <w:t>mail: smanzano@sre.gob.mx</w:t>
      </w:r>
      <w:r>
        <w:rPr>
          <w:lang w:val="es-ES_tradnl"/>
        </w:rPr>
        <w:t>)</w:t>
      </w:r>
    </w:p>
    <w:p w:rsidR="007703AE" w:rsidRPr="005D2862" w:rsidRDefault="007703AE" w:rsidP="007703AE">
      <w:pPr>
        <w:pStyle w:val="plcountry"/>
        <w:rPr>
          <w:lang w:val="fr-FR"/>
        </w:rPr>
      </w:pPr>
      <w:r w:rsidRPr="005D2862">
        <w:rPr>
          <w:lang w:val="fr-FR"/>
        </w:rPr>
        <w:t>NOUVELLE-ZÉLANDE / NEW ZEALAND / NEUSEELAND / NUEVA ZELANDIA</w:t>
      </w:r>
    </w:p>
    <w:p w:rsidR="007703AE" w:rsidRPr="00841411" w:rsidRDefault="007703AE" w:rsidP="007703AE">
      <w:pPr>
        <w:pStyle w:val="pldetails"/>
      </w:pPr>
      <w:r w:rsidRPr="003F5638">
        <w:t>Christopher J. BARNABY, Assistant Commissioner / Principa</w:t>
      </w:r>
      <w:r w:rsidRPr="00841411">
        <w:t xml:space="preserve">l Examiner for Plant Variety Rights, Plant Variety Rights Office, Intellectual Property Office of New Zealand, </w:t>
      </w:r>
      <w:r>
        <w:t>Ministry of Business, Innovation and Employment</w:t>
      </w:r>
      <w:r w:rsidRPr="00841411">
        <w:t xml:space="preserve">, Christchurch </w:t>
      </w:r>
      <w:r>
        <w:br/>
      </w:r>
      <w:r w:rsidRPr="00841411">
        <w:t xml:space="preserve">(e-mail: Chris.Barnaby@pvr.govt.nz) </w:t>
      </w:r>
    </w:p>
    <w:p w:rsidR="007703AE" w:rsidRPr="00841411" w:rsidRDefault="007703AE" w:rsidP="007703AE">
      <w:pPr>
        <w:pStyle w:val="plcountry"/>
      </w:pPr>
      <w:r w:rsidRPr="00841411">
        <w:t>OMAN / OMAN / OMAN / OMÁN</w:t>
      </w:r>
    </w:p>
    <w:p w:rsidR="007703AE" w:rsidRDefault="007703AE" w:rsidP="007703AE">
      <w:pPr>
        <w:pStyle w:val="pldetails"/>
      </w:pPr>
      <w:r w:rsidRPr="00841411">
        <w:t>Ali AL LAWATI, Plant Genetic Resources Expert, The Research Council, Oman Animal and Plant</w:t>
      </w:r>
      <w:r>
        <w:t xml:space="preserve"> </w:t>
      </w:r>
      <w:r w:rsidRPr="00841411">
        <w:t>Genetic Resources, Muscat</w:t>
      </w:r>
      <w:r w:rsidRPr="00841411">
        <w:br/>
        <w:t>(e-mail: </w:t>
      </w:r>
      <w:r w:rsidRPr="00217BE7">
        <w:t>ali.allawati@trc.gov.om</w:t>
      </w:r>
      <w:r w:rsidRPr="00841411">
        <w:t xml:space="preserve">) </w:t>
      </w:r>
    </w:p>
    <w:p w:rsidR="007703AE" w:rsidRPr="005D2862" w:rsidRDefault="007703AE" w:rsidP="007703AE">
      <w:pPr>
        <w:pStyle w:val="plcountry"/>
        <w:rPr>
          <w:lang w:val="fr-FR"/>
        </w:rPr>
      </w:pPr>
      <w:r w:rsidRPr="005D2862">
        <w:rPr>
          <w:lang w:val="fr-FR"/>
        </w:rPr>
        <w:t xml:space="preserve">ORGANISATION AFRICAINE DE LA PROPRIÉTÉ INTELLECTUELLE (OAPI)/ </w:t>
      </w:r>
      <w:r w:rsidRPr="005D2862">
        <w:rPr>
          <w:lang w:val="fr-FR"/>
        </w:rPr>
        <w:br/>
        <w:t xml:space="preserve">AFRICAN INTELLECTUAL PROPERTY ORGANIZATION (OAPI)/ </w:t>
      </w:r>
      <w:r w:rsidRPr="005D2862">
        <w:rPr>
          <w:lang w:val="fr-FR"/>
        </w:rPr>
        <w:br/>
        <w:t xml:space="preserve">AFRIKANISCHE ORGANISATION FÜR GEISTIGES EIGENTUM (OAPI)/ </w:t>
      </w:r>
      <w:r w:rsidRPr="005D2862">
        <w:rPr>
          <w:lang w:val="fr-FR"/>
        </w:rPr>
        <w:br/>
        <w:t>ORGANIZACIÓN AFRICANA DE LA PROPIEDAD INTELECTUAL (OAPI)</w:t>
      </w:r>
    </w:p>
    <w:p w:rsidR="007703AE" w:rsidRDefault="007703AE" w:rsidP="007703AE">
      <w:pPr>
        <w:pStyle w:val="pldetails"/>
        <w:rPr>
          <w:lang w:val="fr-CH"/>
        </w:rPr>
      </w:pPr>
      <w:r w:rsidRPr="002F64DE">
        <w:rPr>
          <w:lang w:val="fr-CH"/>
        </w:rPr>
        <w:t>Julie</w:t>
      </w:r>
      <w:r w:rsidRPr="00841411">
        <w:rPr>
          <w:lang w:val="fr-CH"/>
        </w:rPr>
        <w:t>tte AYITE DOUMATEY (Madame), Directeur Général Adjoint, Organisation africaine de la propriété intellectuelle (OAPI), Yaoundé</w:t>
      </w:r>
      <w:r w:rsidRPr="00841411">
        <w:rPr>
          <w:lang w:val="fr-CH"/>
        </w:rPr>
        <w:br/>
        <w:t xml:space="preserve">(e-mail: ayijuliette@gmail.com) </w:t>
      </w:r>
    </w:p>
    <w:p w:rsidR="007703AE" w:rsidRPr="00841411" w:rsidRDefault="007703AE" w:rsidP="007703AE">
      <w:pPr>
        <w:pStyle w:val="pldetails"/>
        <w:rPr>
          <w:lang w:val="fr-CH"/>
        </w:rPr>
      </w:pPr>
      <w:r w:rsidRPr="00841411">
        <w:rPr>
          <w:lang w:val="fr-CH"/>
        </w:rPr>
        <w:t>Wéré Régine GAZARO (Madame), Directeur, Protection de la propriété industrielle, Organisation africaine de la propriété intellectuelle (OAPI), Yaoundé</w:t>
      </w:r>
      <w:r w:rsidRPr="00841411">
        <w:rPr>
          <w:lang w:val="fr-CH"/>
        </w:rPr>
        <w:br/>
        <w:t xml:space="preserve">(e-mail: were_regine@yahoo.fr) </w:t>
      </w:r>
    </w:p>
    <w:p w:rsidR="007703AE" w:rsidRDefault="007703AE" w:rsidP="007703AE">
      <w:pPr>
        <w:pStyle w:val="pldetails"/>
        <w:rPr>
          <w:lang w:val="fr-CH"/>
        </w:rPr>
      </w:pPr>
      <w:r w:rsidRPr="00841411">
        <w:rPr>
          <w:lang w:val="fr-CH"/>
        </w:rPr>
        <w:t>Mémassi DOSSO, Directeur du Département de la protection de la propriété industrielle, Organisation africaine de la propriété intellectuelle (OAPI), Yaoundé</w:t>
      </w:r>
      <w:r w:rsidRPr="00841411">
        <w:rPr>
          <w:lang w:val="fr-CH"/>
        </w:rPr>
        <w:br/>
        <w:t xml:space="preserve">(e-mail: dossomemassi59@gmail.com) </w:t>
      </w:r>
    </w:p>
    <w:p w:rsidR="007703AE" w:rsidRPr="005D2862" w:rsidRDefault="007703AE" w:rsidP="007703AE">
      <w:pPr>
        <w:pStyle w:val="plcountry"/>
        <w:rPr>
          <w:lang w:val="fr-CH"/>
        </w:rPr>
      </w:pPr>
      <w:r w:rsidRPr="005D2862">
        <w:rPr>
          <w:lang w:val="fr-CH"/>
        </w:rPr>
        <w:t>PANAMA / PANAMA / PANAMA / PANAMÁ</w:t>
      </w:r>
    </w:p>
    <w:p w:rsidR="007703AE" w:rsidRPr="005D2862" w:rsidRDefault="007703AE" w:rsidP="007703AE">
      <w:pPr>
        <w:pStyle w:val="pldetails"/>
        <w:rPr>
          <w:rFonts w:cs="Arial"/>
          <w:color w:val="000000"/>
          <w:lang w:val="fr-CH"/>
        </w:rPr>
      </w:pPr>
      <w:r w:rsidRPr="005D2862">
        <w:rPr>
          <w:lang w:val="fr-CH"/>
        </w:rPr>
        <w:t xml:space="preserve">Jacinto NAVARRO AROSEMENA, Examinador del Departamento de Variedades Vegetales, </w:t>
      </w:r>
      <w:r w:rsidRPr="005D2862">
        <w:rPr>
          <w:rFonts w:cs="Arial"/>
          <w:color w:val="000000"/>
          <w:lang w:val="fr-CH"/>
        </w:rPr>
        <w:t>Ministerio de Comercio e Industrias, Panama City</w:t>
      </w:r>
      <w:r w:rsidRPr="005D2862">
        <w:rPr>
          <w:rFonts w:cs="Arial"/>
          <w:color w:val="000000"/>
          <w:lang w:val="fr-CH"/>
        </w:rPr>
        <w:br/>
        <w:t xml:space="preserve">(e-mail: jacinto.navarro@mici.gob.pa) </w:t>
      </w:r>
    </w:p>
    <w:p w:rsidR="007703AE" w:rsidRPr="002416E8" w:rsidRDefault="007703AE" w:rsidP="007703AE">
      <w:pPr>
        <w:pStyle w:val="plcountry"/>
        <w:rPr>
          <w:lang w:val="es-ES_tradnl"/>
        </w:rPr>
      </w:pPr>
      <w:r w:rsidRPr="002416E8">
        <w:rPr>
          <w:lang w:val="es-ES_tradnl"/>
        </w:rPr>
        <w:t>PARAGUAY / PARAGUAY / PARAGUAY / PARAGUAY</w:t>
      </w:r>
    </w:p>
    <w:p w:rsidR="007703AE" w:rsidRPr="002416E8" w:rsidRDefault="007703AE" w:rsidP="007703AE">
      <w:pPr>
        <w:pStyle w:val="pldetails"/>
        <w:rPr>
          <w:lang w:val="es-ES_tradnl"/>
        </w:rPr>
      </w:pPr>
      <w:r w:rsidRPr="002416E8">
        <w:rPr>
          <w:lang w:val="es-ES_tradnl"/>
        </w:rPr>
        <w:t xml:space="preserve">Dólia Melania GARCETE G. (Sra.), Directora, Dirección de Semillas (DISE), Servicio Nacional de Calidad y Sanidad Vegetal y de Semillas (SENAVE), Asunción </w:t>
      </w:r>
      <w:r w:rsidRPr="002416E8">
        <w:rPr>
          <w:lang w:val="es-ES_tradnl"/>
        </w:rPr>
        <w:br/>
        <w:t>(e-mail: dolia.garcete@senave.gov.py)</w:t>
      </w:r>
    </w:p>
    <w:p w:rsidR="007703AE" w:rsidRPr="005D2862" w:rsidRDefault="007703AE" w:rsidP="007703AE">
      <w:pPr>
        <w:pStyle w:val="plcountry"/>
        <w:rPr>
          <w:lang w:val="fr-FR"/>
        </w:rPr>
      </w:pPr>
      <w:r w:rsidRPr="005D2862">
        <w:rPr>
          <w:lang w:val="fr-FR"/>
        </w:rPr>
        <w:t>PAYS-BAS / NETHERLANDS / NIEDERLANDE / PAÍSES BAJOS</w:t>
      </w:r>
    </w:p>
    <w:p w:rsidR="007703AE" w:rsidRDefault="007703AE" w:rsidP="007703AE">
      <w:pPr>
        <w:pStyle w:val="pldetails"/>
      </w:pPr>
      <w:r w:rsidRPr="00DD7648">
        <w:t>Marien VALSTAR</w:t>
      </w:r>
      <w:r>
        <w:t xml:space="preserve">, </w:t>
      </w:r>
      <w:r w:rsidRPr="00DD7648">
        <w:t>Senior Policy Officer</w:t>
      </w:r>
      <w:r>
        <w:t xml:space="preserve">, </w:t>
      </w:r>
      <w:r w:rsidRPr="00DD7648">
        <w:t>Seeds and Plant Propagation Material</w:t>
      </w:r>
      <w:r>
        <w:t xml:space="preserve">, </w:t>
      </w:r>
      <w:r w:rsidRPr="00DD7648">
        <w:t>Ministry of Economic Affairs, DG AGRO</w:t>
      </w:r>
      <w:r>
        <w:t xml:space="preserve">, </w:t>
      </w:r>
      <w:r w:rsidRPr="00DD7648">
        <w:t xml:space="preserve">Den </w:t>
      </w:r>
      <w:r>
        <w:t>Haag</w:t>
      </w:r>
      <w:r>
        <w:br/>
        <w:t>(e-</w:t>
      </w:r>
      <w:r w:rsidRPr="00DD7648">
        <w:t>mail: m.valstar@minez.nl</w:t>
      </w:r>
      <w:r>
        <w:t>)</w:t>
      </w:r>
    </w:p>
    <w:p w:rsidR="007703AE" w:rsidRDefault="007703AE" w:rsidP="007703AE">
      <w:pPr>
        <w:pStyle w:val="pldetails"/>
      </w:pPr>
      <w:r w:rsidRPr="00841411">
        <w:t>Kees VAN ETTEKOVEN, Head of Variety Testing Department, Naktuinbouw NL, Roelofarendsveen</w:t>
      </w:r>
      <w:r w:rsidRPr="00841411">
        <w:br/>
        <w:t xml:space="preserve">(e-mail: c.v.ettekoven@naktuinbouw.nl) </w:t>
      </w:r>
    </w:p>
    <w:p w:rsidR="007703AE" w:rsidRPr="00841411" w:rsidRDefault="007703AE" w:rsidP="007703AE">
      <w:pPr>
        <w:pStyle w:val="plcountry"/>
      </w:pPr>
      <w:r w:rsidRPr="00841411">
        <w:t>POLOGNE / POLAND / POLEN / POLONIA</w:t>
      </w:r>
    </w:p>
    <w:p w:rsidR="007703AE" w:rsidRPr="00841411" w:rsidRDefault="007703AE" w:rsidP="007703AE">
      <w:pPr>
        <w:pStyle w:val="pldetails"/>
      </w:pPr>
      <w:r w:rsidRPr="00841411">
        <w:t>Marcin KRÓL, Head, DUS Testing Department, Research Centre for Cultivar Testing (COBORU), Slupia Wielka</w:t>
      </w:r>
      <w:r w:rsidRPr="00841411">
        <w:br/>
        <w:t xml:space="preserve">(e-mail: m.krol@coboru.pl) </w:t>
      </w:r>
    </w:p>
    <w:p w:rsidR="007703AE" w:rsidRPr="00841411" w:rsidRDefault="007703AE" w:rsidP="007703AE">
      <w:pPr>
        <w:pStyle w:val="plcountry"/>
      </w:pPr>
      <w:r w:rsidRPr="00841411">
        <w:t>RÉPUBLIQUE DE CORÉE / REPUBLIC OF KOREA / REPUBLIK KOREA / REPÚBLICA DE COREA</w:t>
      </w:r>
    </w:p>
    <w:p w:rsidR="007703AE" w:rsidRPr="00841411" w:rsidRDefault="007703AE" w:rsidP="007703AE">
      <w:pPr>
        <w:pStyle w:val="pldetails"/>
      </w:pPr>
      <w:r w:rsidRPr="00841411">
        <w:t>Soon-Gee PARK, Deputy Head, Dongbu office, Korea Seed and Variety Service (KSVS), Gangwon-do</w:t>
      </w:r>
      <w:r w:rsidRPr="00841411">
        <w:br/>
        <w:t xml:space="preserve">(e-mail: sgpark98@korea.kr) </w:t>
      </w:r>
    </w:p>
    <w:p w:rsidR="007703AE" w:rsidRPr="009E013B" w:rsidRDefault="007703AE" w:rsidP="007703AE">
      <w:pPr>
        <w:pStyle w:val="pldetails"/>
      </w:pPr>
      <w:r w:rsidRPr="00841411">
        <w:t xml:space="preserve">Seung-In YI, Deputy Head, Plant Variety Protection Division, Korea Seed &amp; Variety Service </w:t>
      </w:r>
      <w:r w:rsidRPr="009E013B">
        <w:t>(KSVS), Gyeongsangbuk-Do</w:t>
      </w:r>
      <w:r w:rsidRPr="009E013B">
        <w:br/>
        <w:t xml:space="preserve">(e-mail: seedin@korea.kr) </w:t>
      </w:r>
    </w:p>
    <w:p w:rsidR="007703AE" w:rsidRPr="001C7017" w:rsidRDefault="007703AE" w:rsidP="007703AE">
      <w:pPr>
        <w:pStyle w:val="plcountry"/>
        <w:ind w:right="-284"/>
        <w:rPr>
          <w:spacing w:val="-2"/>
          <w:lang w:val="pt-BR"/>
        </w:rPr>
      </w:pPr>
      <w:r w:rsidRPr="001C7017">
        <w:rPr>
          <w:spacing w:val="-2"/>
          <w:lang w:val="pt-BR"/>
        </w:rPr>
        <w:t>RÉPUBLIQUE DE MOLDOVA / REPUBLIC OF MOLDOVA / REPUBLIK MOLDAU / REPÚBLICA DE MOLDOVA</w:t>
      </w:r>
    </w:p>
    <w:p w:rsidR="007703AE" w:rsidRPr="00841411" w:rsidRDefault="007703AE" w:rsidP="007703AE">
      <w:pPr>
        <w:pStyle w:val="pldetails"/>
      </w:pPr>
      <w:r w:rsidRPr="00841411">
        <w:t>Mihail MACHIDON, Chairman, State Commission for Crops Variety Testing and Registration (SCCVTR), Chisinau</w:t>
      </w:r>
      <w:r w:rsidRPr="00841411">
        <w:br/>
        <w:t xml:space="preserve">(e-mail: info@cstsp.md) </w:t>
      </w:r>
    </w:p>
    <w:p w:rsidR="007703AE" w:rsidRDefault="007703AE" w:rsidP="007703AE">
      <w:pPr>
        <w:pStyle w:val="pldetails"/>
      </w:pPr>
      <w:r w:rsidRPr="00841411">
        <w:t>Ala GUSAN (Ms.), Head, Inventions and Plant Varieties Department, State Agency on Intellectual Property (AGEPI), Chisinau</w:t>
      </w:r>
      <w:r w:rsidRPr="00841411">
        <w:br/>
        <w:t xml:space="preserve">(e-mail: ala.gusan@agepi.gov.md) </w:t>
      </w:r>
    </w:p>
    <w:p w:rsidR="007703AE" w:rsidRPr="004E03B4" w:rsidRDefault="007703AE" w:rsidP="007703AE">
      <w:pPr>
        <w:pStyle w:val="plcountry"/>
        <w:rPr>
          <w:lang w:eastAsia="zh-CN"/>
        </w:rPr>
      </w:pPr>
      <w:r w:rsidRPr="004E03B4">
        <w:rPr>
          <w:lang w:eastAsia="zh-CN"/>
        </w:rPr>
        <w:t>RÉPUBLIQUE TCHÈQUE / CZECH REPUBLIC / TSCHECHISCHE REPUBLIK / REPÚBLICA CHECA</w:t>
      </w:r>
    </w:p>
    <w:p w:rsidR="007703AE" w:rsidRPr="00A94BCA" w:rsidRDefault="007703AE" w:rsidP="007703AE">
      <w:pPr>
        <w:pStyle w:val="pldetails"/>
        <w:rPr>
          <w:lang w:eastAsia="zh-CN"/>
        </w:rPr>
      </w:pPr>
      <w:r w:rsidRPr="00A94BCA">
        <w:rPr>
          <w:lang w:eastAsia="zh-CN"/>
        </w:rPr>
        <w:t xml:space="preserve">Radmila </w:t>
      </w:r>
      <w:r w:rsidRPr="00300536">
        <w:rPr>
          <w:lang w:eastAsia="zh-CN"/>
        </w:rPr>
        <w:t>ŠAFAŘÍKOVÁ</w:t>
      </w:r>
      <w:r w:rsidRPr="00A94BCA">
        <w:rPr>
          <w:lang w:eastAsia="zh-CN"/>
        </w:rPr>
        <w:t xml:space="preserve"> (Ms.), Head of Division, Central Institute for Supervising and Testing in Agriculture (UKZUZ), National Plant Variety Office, Brno </w:t>
      </w:r>
      <w:r>
        <w:rPr>
          <w:lang w:eastAsia="zh-CN"/>
        </w:rPr>
        <w:br/>
      </w:r>
      <w:r w:rsidRPr="00A94BCA">
        <w:rPr>
          <w:lang w:eastAsia="zh-CN"/>
        </w:rPr>
        <w:t>(e-mail: radmila.safarikova@ukzuz.cz)</w:t>
      </w:r>
    </w:p>
    <w:p w:rsidR="007703AE" w:rsidRPr="00841411" w:rsidRDefault="007703AE" w:rsidP="007703AE">
      <w:pPr>
        <w:pStyle w:val="plcountry"/>
      </w:pPr>
      <w:r w:rsidRPr="00841411">
        <w:t>ROYAUME-UNI / UNITED KINGDOM / VEREINIGTES KÖNIGREICH / REINO UNIDO</w:t>
      </w:r>
    </w:p>
    <w:p w:rsidR="007703AE" w:rsidRDefault="007703AE" w:rsidP="007703AE">
      <w:pPr>
        <w:pStyle w:val="pldetails"/>
      </w:pPr>
      <w:r w:rsidRPr="00841411">
        <w:t>Mara RAMANS (Ms.), Technical Liaison Officer, Principal Plant Variety and Seeds Delivery, Animal and Plant Health Agency (APHA), Cambridge</w:t>
      </w:r>
      <w:r>
        <w:t xml:space="preserve"> </w:t>
      </w:r>
      <w:r w:rsidRPr="00841411">
        <w:br/>
        <w:t xml:space="preserve">(e-mail: mara.ramans@apha.gsi.gov.uk) </w:t>
      </w:r>
    </w:p>
    <w:p w:rsidR="007703AE" w:rsidRPr="00841411" w:rsidRDefault="007703AE" w:rsidP="007703AE">
      <w:pPr>
        <w:pStyle w:val="pldetails"/>
      </w:pPr>
      <w:r w:rsidRPr="00A44085">
        <w:t>Adrian M.I. ROBERTS</w:t>
      </w:r>
      <w:r>
        <w:t xml:space="preserve">, </w:t>
      </w:r>
      <w:r w:rsidRPr="00A44085">
        <w:t>External Development Manager</w:t>
      </w:r>
      <w:r>
        <w:t xml:space="preserve">, </w:t>
      </w:r>
      <w:r w:rsidRPr="00A44085">
        <w:t>Biomathematic</w:t>
      </w:r>
      <w:r>
        <w:t xml:space="preserve">s &amp; Statistics Scotland (BioSS), Edinburgh </w:t>
      </w:r>
      <w:r>
        <w:br/>
        <w:t>(e-</w:t>
      </w:r>
      <w:r w:rsidRPr="00A44085">
        <w:t>mail: adrian@bioss.ac.uk</w:t>
      </w:r>
      <w:r>
        <w:t>)</w:t>
      </w:r>
    </w:p>
    <w:p w:rsidR="007703AE" w:rsidRPr="00841411" w:rsidRDefault="007703AE" w:rsidP="007703AE">
      <w:pPr>
        <w:pStyle w:val="plcountry"/>
      </w:pPr>
      <w:r w:rsidRPr="00841411">
        <w:t>SLOVAQUIE / SLOVAKIA / SLOWAKEI / ESLOVAQUIA</w:t>
      </w:r>
    </w:p>
    <w:p w:rsidR="007703AE" w:rsidRPr="00841411" w:rsidRDefault="007703AE" w:rsidP="007703AE">
      <w:pPr>
        <w:pStyle w:val="pldetails"/>
      </w:pPr>
      <w:r w:rsidRPr="00841411">
        <w:t>Bronislava BÁTOROVÁ (Ms.), National Coordinator for the Cooperation of the Slovak Republic</w:t>
      </w:r>
      <w:r>
        <w:t xml:space="preserve"> </w:t>
      </w:r>
      <w:r w:rsidRPr="00841411">
        <w:t>with UPOV/ Senior Officer, Department of Variety Testing, Central Controlling and Testing Institute in Agriculture (ÚKSÚP), Nitra</w:t>
      </w:r>
      <w:r w:rsidRPr="00841411">
        <w:br/>
        <w:t xml:space="preserve">(e-mail: bronislava.batorova@uksup.sk) </w:t>
      </w:r>
    </w:p>
    <w:p w:rsidR="007703AE" w:rsidRPr="00841411" w:rsidRDefault="007703AE" w:rsidP="007703AE">
      <w:pPr>
        <w:pStyle w:val="pldetails"/>
      </w:pPr>
      <w:r w:rsidRPr="00841411">
        <w:t>Ľuba GASPAROVÁ (Ms.), Senior Officer, Deputy of the National Coordinator for the Cooperation of the Slovak Republic with UPOV, Central Controlling and Testing Institute in Agriculture (UKSUP), Bratislava</w:t>
      </w:r>
      <w:r w:rsidRPr="00841411">
        <w:br/>
        <w:t xml:space="preserve">(e-mail: Luba.Gasparova@uksup.sk) </w:t>
      </w:r>
    </w:p>
    <w:p w:rsidR="007703AE" w:rsidRPr="00841411" w:rsidRDefault="007703AE" w:rsidP="007703AE">
      <w:pPr>
        <w:pStyle w:val="plcountry"/>
      </w:pPr>
      <w:r w:rsidRPr="00841411">
        <w:t>SUISSE / SWITZERLAND / SCHWEIZ / SUIZA</w:t>
      </w:r>
    </w:p>
    <w:p w:rsidR="007703AE" w:rsidRDefault="007703AE" w:rsidP="007703AE">
      <w:pPr>
        <w:pStyle w:val="pldetails"/>
      </w:pPr>
      <w:r w:rsidRPr="00841411">
        <w:t>Manuela BRAND (Ms.), Plant Variety Rights Office, Federal Department of Economic Affairs, Education and Research (EAER), Plant Health and Varieties, Federal Office for Agriculture FOAG, Bern</w:t>
      </w:r>
      <w:r w:rsidRPr="00841411">
        <w:br/>
        <w:t xml:space="preserve">(e-mail: manuela.brand@blw.admin.ch) </w:t>
      </w:r>
    </w:p>
    <w:p w:rsidR="007703AE" w:rsidRPr="00841411" w:rsidRDefault="007703AE" w:rsidP="007703AE">
      <w:pPr>
        <w:pStyle w:val="plcountry"/>
      </w:pPr>
      <w:r w:rsidRPr="00841411">
        <w:t>TURQUIE / TURKEY / TÜRKEI / TURQUÍA</w:t>
      </w:r>
    </w:p>
    <w:p w:rsidR="007703AE" w:rsidRDefault="007703AE" w:rsidP="007703AE">
      <w:pPr>
        <w:pStyle w:val="pldetails"/>
        <w:rPr>
          <w:rFonts w:cs="Arial"/>
          <w:color w:val="000000"/>
        </w:rPr>
      </w:pPr>
      <w:r w:rsidRPr="00841411">
        <w:t xml:space="preserve">Mehmet ŞAHİN, Director, Variety Registration and Seed Certification Centre, Ministry of Food, </w:t>
      </w:r>
      <w:r w:rsidRPr="00841411">
        <w:rPr>
          <w:rFonts w:cs="Arial"/>
          <w:color w:val="000000"/>
        </w:rPr>
        <w:t>Agriculture and Livestock, Yenimahalle - Ankara</w:t>
      </w:r>
      <w:r w:rsidRPr="00841411">
        <w:rPr>
          <w:rFonts w:cs="Arial"/>
          <w:color w:val="000000"/>
        </w:rPr>
        <w:br/>
        <w:t xml:space="preserve">(e-mail: mehmet_sahin@gthb.gov.tr) </w:t>
      </w:r>
    </w:p>
    <w:p w:rsidR="007703AE" w:rsidRDefault="007703AE" w:rsidP="007703AE">
      <w:pPr>
        <w:pStyle w:val="pldetails"/>
        <w:rPr>
          <w:lang w:val="fr-CH"/>
        </w:rPr>
      </w:pPr>
      <w:r w:rsidRPr="00FA6E12">
        <w:rPr>
          <w:lang w:val="fr-CH"/>
        </w:rPr>
        <w:t xml:space="preserve">Osman GÖKTÜRK, Second Secretary, Mission Permanente de Turquie auprès de l'OMC, Genève </w:t>
      </w:r>
      <w:r w:rsidRPr="00FA6E12">
        <w:rPr>
          <w:lang w:val="fr-CH"/>
        </w:rPr>
        <w:br/>
        <w:t>(e-mail: osman.gokturk@mfa.gov.tr)</w:t>
      </w:r>
      <w:r>
        <w:rPr>
          <w:lang w:val="fr-CH"/>
        </w:rPr>
        <w:t xml:space="preserve"> </w:t>
      </w:r>
    </w:p>
    <w:p w:rsidR="007703AE" w:rsidRPr="003B0EF7" w:rsidRDefault="007703AE" w:rsidP="007703AE">
      <w:pPr>
        <w:pStyle w:val="pldetails"/>
      </w:pPr>
      <w:r w:rsidRPr="003B0EF7">
        <w:t>Mehmet SIĞIRCI</w:t>
      </w:r>
      <w:r>
        <w:t xml:space="preserve">, </w:t>
      </w:r>
      <w:r w:rsidRPr="003B0EF7">
        <w:t>Head</w:t>
      </w:r>
      <w:r>
        <w:t xml:space="preserve">, </w:t>
      </w:r>
      <w:r w:rsidRPr="003B0EF7">
        <w:t>Seed Department</w:t>
      </w:r>
      <w:r>
        <w:t xml:space="preserve">, </w:t>
      </w:r>
      <w:r w:rsidRPr="003B0EF7">
        <w:t>Ministry of Agriculture and Rural Affairs</w:t>
      </w:r>
      <w:r>
        <w:t>, Ankara</w:t>
      </w:r>
      <w:r>
        <w:br/>
        <w:t>(e-</w:t>
      </w:r>
      <w:r w:rsidRPr="003B0EF7">
        <w:t>mail: mehmet.sigirci@tarim.gov.tr</w:t>
      </w:r>
      <w:r>
        <w:t>)</w:t>
      </w:r>
    </w:p>
    <w:p w:rsidR="007703AE" w:rsidRPr="00CD613B" w:rsidRDefault="007703AE" w:rsidP="007703AE">
      <w:pPr>
        <w:pStyle w:val="pldetails"/>
      </w:pPr>
      <w:r w:rsidRPr="00CD613B">
        <w:t>Hasan ÇELEN</w:t>
      </w:r>
      <w:r>
        <w:t xml:space="preserve">, </w:t>
      </w:r>
      <w:r w:rsidRPr="00CD613B">
        <w:t>Variety Protection Expert</w:t>
      </w:r>
      <w:r>
        <w:t xml:space="preserve">, </w:t>
      </w:r>
      <w:r w:rsidRPr="00CD613B">
        <w:t>Ministry of Agriculture and Rural Affairs</w:t>
      </w:r>
      <w:r>
        <w:t xml:space="preserve">, </w:t>
      </w:r>
      <w:r w:rsidRPr="00CD613B">
        <w:t>General Directory of Protection and Control</w:t>
      </w:r>
      <w:r>
        <w:t xml:space="preserve">, Ankara </w:t>
      </w:r>
      <w:r>
        <w:br/>
        <w:t>(e-</w:t>
      </w:r>
      <w:r w:rsidRPr="00CD613B">
        <w:t>mail: hcelen@kkgm.gov.tr</w:t>
      </w:r>
      <w:r>
        <w:t>)</w:t>
      </w:r>
    </w:p>
    <w:p w:rsidR="007703AE" w:rsidRPr="00382E92" w:rsidRDefault="007703AE" w:rsidP="007703AE">
      <w:pPr>
        <w:pStyle w:val="plcountry"/>
        <w:rPr>
          <w:lang w:val="fr-CH"/>
        </w:rPr>
      </w:pPr>
      <w:r w:rsidRPr="00382E92">
        <w:rPr>
          <w:lang w:val="fr-CH"/>
        </w:rPr>
        <w:t>UNION EUROPÉENNE / EUROPEAN UNION / EUROPÄISCHE UNION / UNIÓN EUROPEA</w:t>
      </w:r>
    </w:p>
    <w:p w:rsidR="007703AE" w:rsidRDefault="007703AE" w:rsidP="007703AE">
      <w:pPr>
        <w:pStyle w:val="pldetails"/>
        <w:rPr>
          <w:lang w:val="fr-CH"/>
        </w:rPr>
      </w:pPr>
      <w:r w:rsidRPr="00382E92">
        <w:rPr>
          <w:lang w:val="fr-CH"/>
        </w:rPr>
        <w:t xml:space="preserve">Päivi MANNERKORPI (Ms.), Head of Sector - Unit E2, Plant </w:t>
      </w:r>
      <w:r w:rsidRPr="00087710">
        <w:rPr>
          <w:lang w:val="fr-CH"/>
        </w:rPr>
        <w:t>Reproductive Material, Direction Générale Santé et Protection des Con</w:t>
      </w:r>
      <w:r w:rsidRPr="00381382">
        <w:rPr>
          <w:lang w:val="fr-CH"/>
        </w:rPr>
        <w:t xml:space="preserve">sommateurs, Commission européenne (DG SANCO), Bruxelles </w:t>
      </w:r>
      <w:r w:rsidRPr="00381382">
        <w:rPr>
          <w:lang w:val="fr-CH"/>
        </w:rPr>
        <w:br/>
        <w:t xml:space="preserve">(e-mail: </w:t>
      </w:r>
      <w:r w:rsidRPr="007A7C1A">
        <w:rPr>
          <w:lang w:val="fr-CH"/>
        </w:rPr>
        <w:t>paivi.mannerkorpi@ec.europa.eu</w:t>
      </w:r>
      <w:r>
        <w:rPr>
          <w:lang w:val="fr-CH"/>
        </w:rPr>
        <w:t>)</w:t>
      </w:r>
    </w:p>
    <w:p w:rsidR="007703AE" w:rsidRDefault="007703AE" w:rsidP="007703AE">
      <w:pPr>
        <w:pStyle w:val="pldetails"/>
      </w:pPr>
      <w:r w:rsidRPr="00841411">
        <w:t>Carlos GODINHO, Vice-President, Community Plant Variety Office (CPVO), Angers</w:t>
      </w:r>
      <w:r w:rsidRPr="00841411">
        <w:br/>
        <w:t xml:space="preserve">(e-mail: godinho@cpvo.europa.eu) </w:t>
      </w:r>
      <w:r w:rsidRPr="0004111C">
        <w:t xml:space="preserve"> </w:t>
      </w:r>
    </w:p>
    <w:p w:rsidR="007703AE" w:rsidRPr="0004111C" w:rsidRDefault="007703AE" w:rsidP="007703AE">
      <w:pPr>
        <w:pStyle w:val="pldetails"/>
      </w:pPr>
      <w:r>
        <w:t xml:space="preserve">Marien </w:t>
      </w:r>
      <w:r w:rsidRPr="0004111C">
        <w:t>VALSTAR, Senior Policy Officer, Seeds and Plant Propagation Material, Ministry of Economic Affairs, DG AGRO, Den Haag</w:t>
      </w:r>
      <w:r w:rsidRPr="0004111C">
        <w:br/>
        <w:t>(e-mail: m.valstar@minez.nl)</w:t>
      </w:r>
    </w:p>
    <w:p w:rsidR="007703AE" w:rsidRDefault="007703AE" w:rsidP="007703AE">
      <w:pPr>
        <w:pStyle w:val="pldetails"/>
      </w:pPr>
      <w:r w:rsidRPr="00FA6E12">
        <w:t xml:space="preserve">Dirk THEOBALD, Head of the Technical Unit, Community Plant Variety Office (CPVO), Angers </w:t>
      </w:r>
      <w:r w:rsidRPr="00FA6E12">
        <w:br/>
        <w:t xml:space="preserve">(e-mail: theobald@cpvo.europa.eu) </w:t>
      </w:r>
    </w:p>
    <w:p w:rsidR="007703AE" w:rsidRPr="00731B6C" w:rsidRDefault="007703AE" w:rsidP="007703AE">
      <w:pPr>
        <w:pStyle w:val="pldetails"/>
      </w:pPr>
      <w:r w:rsidRPr="00537259">
        <w:t>Gerhard SCHUON, Quality Audit Team Manager, Community Plant Variety Office (CPVO), Angers</w:t>
      </w:r>
      <w:r w:rsidRPr="00537259">
        <w:br/>
        <w:t xml:space="preserve">(e-mail: </w:t>
      </w:r>
      <w:r w:rsidRPr="00537259">
        <w:rPr>
          <w:rFonts w:cs="Arial"/>
        </w:rPr>
        <w:t>schuon@cpvo.europa.eu</w:t>
      </w:r>
      <w:r w:rsidRPr="00537259">
        <w:t>)</w:t>
      </w:r>
    </w:p>
    <w:p w:rsidR="007703AE" w:rsidRPr="00EA609F" w:rsidRDefault="007703AE" w:rsidP="007703AE">
      <w:pPr>
        <w:pStyle w:val="plheading"/>
      </w:pPr>
      <w:r w:rsidRPr="00087710">
        <w:t>II. OBSERVATEURS / OBSERVERS / BEOBACHTER / OBSERVADORES</w:t>
      </w:r>
    </w:p>
    <w:p w:rsidR="007703AE" w:rsidRPr="00087710" w:rsidRDefault="007703AE" w:rsidP="007703AE">
      <w:pPr>
        <w:pStyle w:val="plcountry"/>
      </w:pPr>
      <w:r w:rsidRPr="00087710">
        <w:t>ARABIE SAOUDITE / SAUDI ARABIA / SAUDI-ARABIEN / ARABIA SAUDITA</w:t>
      </w:r>
    </w:p>
    <w:p w:rsidR="007703AE" w:rsidRDefault="007703AE" w:rsidP="007703AE">
      <w:pPr>
        <w:pStyle w:val="pldetails"/>
      </w:pPr>
      <w:r w:rsidRPr="00731B6C">
        <w:t xml:space="preserve">Fhead AL SUBAEI, DUS Examiner, General Directorate of Patents, King Abdulaziz City for </w:t>
      </w:r>
      <w:r w:rsidRPr="00841411">
        <w:t>Science and Technology (KACST), Riyadh</w:t>
      </w:r>
      <w:r w:rsidRPr="00841411">
        <w:br/>
        <w:t xml:space="preserve">(e-mail: fsubaei@kacst.edu.sa) </w:t>
      </w:r>
    </w:p>
    <w:p w:rsidR="007703AE" w:rsidRPr="002A556E" w:rsidRDefault="007703AE" w:rsidP="007703AE">
      <w:pPr>
        <w:pStyle w:val="plcountry"/>
      </w:pPr>
      <w:r w:rsidRPr="002A556E">
        <w:t>THAÏLANDE / THAILAND / THAILAND / TAILANDIA</w:t>
      </w:r>
    </w:p>
    <w:p w:rsidR="007703AE" w:rsidRPr="00FA6E12" w:rsidRDefault="007703AE" w:rsidP="007703AE">
      <w:pPr>
        <w:pStyle w:val="pldetails"/>
      </w:pPr>
      <w:r w:rsidRPr="00FA6E12">
        <w:t xml:space="preserve">Usana BERANANDA (Ms.), Minister, Deputy Permanent Representative, Permanent Mission of Thailand to the WTO, Cointrin </w:t>
      </w:r>
      <w:r w:rsidRPr="00FA6E12">
        <w:br/>
        <w:t>(e-mail: usana@thaiwto.com)</w:t>
      </w:r>
    </w:p>
    <w:p w:rsidR="007703AE" w:rsidRPr="002A556E" w:rsidRDefault="007703AE" w:rsidP="007703AE">
      <w:pPr>
        <w:pStyle w:val="pldetails"/>
      </w:pPr>
      <w:r w:rsidRPr="00FA6E12">
        <w:t xml:space="preserve">Pornthep SRITANOTORN, Minister Counsellor, Permanent Mission of Thailand to the WTO, Cointrin </w:t>
      </w:r>
      <w:r w:rsidRPr="00FA6E12">
        <w:br/>
        <w:t>(e-mail: pornthep@thaiwto.com)</w:t>
      </w:r>
      <w:r w:rsidRPr="002A556E">
        <w:t xml:space="preserve"> </w:t>
      </w:r>
    </w:p>
    <w:p w:rsidR="007703AE" w:rsidRDefault="007703AE" w:rsidP="007703AE">
      <w:pPr>
        <w:pStyle w:val="plheading"/>
        <w:rPr>
          <w:rFonts w:cs="Arial"/>
        </w:rPr>
      </w:pPr>
      <w:r w:rsidRPr="00841411">
        <w:rPr>
          <w:rFonts w:cs="Arial"/>
        </w:rPr>
        <w:t>III. ORGANISATIONS / ORGANIZATIONS / ORGANISATIONEN / ORGANIZACIONES</w:t>
      </w:r>
    </w:p>
    <w:p w:rsidR="007703AE" w:rsidRPr="00371CE1" w:rsidRDefault="007703AE" w:rsidP="007703AE">
      <w:pPr>
        <w:pStyle w:val="plcountry"/>
        <w:rPr>
          <w:color w:val="000000"/>
        </w:rPr>
      </w:pPr>
      <w:r w:rsidRPr="003D631D">
        <w:rPr>
          <w:color w:val="000000"/>
        </w:rPr>
        <w:t xml:space="preserve">ASSOCIATION INTERNATIONALE D'ESSAIS DE SEMENCES (ISTA) / INTERNATIONAL SEED TESTING ASSOCIATION (ISTA) / INTERNATIONALE VEREINIGUNG FÜR SAATGUTPRÜFUNG (ISTA) / </w:t>
      </w:r>
      <w:r w:rsidRPr="00371CE1">
        <w:rPr>
          <w:color w:val="000000"/>
        </w:rPr>
        <w:t>ASOCIACIÓN INTERNACIONAL PARA EL ENSAYO DE SEMILLAS (ISTA)</w:t>
      </w:r>
    </w:p>
    <w:p w:rsidR="007703AE" w:rsidRPr="00841411" w:rsidRDefault="007703AE" w:rsidP="007703AE">
      <w:pPr>
        <w:pStyle w:val="pldetails"/>
      </w:pPr>
      <w:r w:rsidRPr="00371CE1">
        <w:t xml:space="preserve">Benjamin KAUFMAN, Secretary General, International Seed Testing Association (ISTA), BASSERSDORF </w:t>
      </w:r>
      <w:r w:rsidRPr="00371CE1">
        <w:br/>
        <w:t>Email: beni.kaufman@ista.ch</w:t>
      </w:r>
    </w:p>
    <w:p w:rsidR="007703AE" w:rsidRPr="004E03B4" w:rsidRDefault="007703AE" w:rsidP="007703AE">
      <w:pPr>
        <w:pStyle w:val="plcountry"/>
        <w:rPr>
          <w:lang w:eastAsia="zh-CN"/>
        </w:rPr>
      </w:pPr>
      <w:r w:rsidRPr="004E03B4">
        <w:rPr>
          <w:lang w:eastAsia="zh-CN"/>
        </w:rPr>
        <w:t xml:space="preserve">ORGANISATION DE COOPÉRATION ET DE DÉVELOPPEMENT ÉCONOMIQUES (OCDE) / </w:t>
      </w:r>
      <w:r>
        <w:rPr>
          <w:lang w:eastAsia="zh-CN"/>
        </w:rPr>
        <w:br/>
      </w:r>
      <w:r w:rsidRPr="004E03B4">
        <w:rPr>
          <w:lang w:eastAsia="zh-CN"/>
        </w:rPr>
        <w:t xml:space="preserve">ORGANISATION FOR ECONOMIC CO-OPERATION AND DEVELOPMENT (OECD) / </w:t>
      </w:r>
      <w:r>
        <w:rPr>
          <w:lang w:eastAsia="zh-CN"/>
        </w:rPr>
        <w:br/>
      </w:r>
      <w:r w:rsidRPr="004E03B4">
        <w:rPr>
          <w:lang w:eastAsia="zh-CN"/>
        </w:rPr>
        <w:t xml:space="preserve">ORGANISATION FÜR WIRTSCHAFTLICHE ZUSAMMENARBEIT UND ENTWICKLUNG (OECD) / </w:t>
      </w:r>
      <w:r>
        <w:rPr>
          <w:lang w:eastAsia="zh-CN"/>
        </w:rPr>
        <w:br/>
      </w:r>
      <w:r w:rsidRPr="004E03B4">
        <w:rPr>
          <w:lang w:eastAsia="zh-CN"/>
        </w:rPr>
        <w:t>ORGANIZACIÓN DE COOPERACIÓN Y DESARROLLO ECONÓMICOS (OECD)</w:t>
      </w:r>
    </w:p>
    <w:p w:rsidR="007703AE" w:rsidRPr="00047CEB" w:rsidRDefault="007703AE" w:rsidP="007703AE">
      <w:pPr>
        <w:pStyle w:val="pldetails"/>
      </w:pPr>
      <w:r>
        <w:t xml:space="preserve">Csaba GASPAR, Programme Manager, OECD Seed Schemes &amp; OECD Forest Seed and Plant Scheme, </w:t>
      </w:r>
      <w:r w:rsidRPr="00047CEB">
        <w:t>Organisation for Economic Co-operation and Development (OECD)</w:t>
      </w:r>
      <w:r w:rsidRPr="00047CEB">
        <w:br/>
        <w:t>(e-mail: csaba.gaspar@oecd.org</w:t>
      </w:r>
      <w:r>
        <w:t>)</w:t>
      </w:r>
    </w:p>
    <w:p w:rsidR="007703AE" w:rsidRPr="00841411" w:rsidRDefault="007703AE" w:rsidP="007703AE">
      <w:pPr>
        <w:pStyle w:val="plcountry"/>
      </w:pPr>
      <w:r w:rsidRPr="00382E92">
        <w:t xml:space="preserve">COMMUNAUTÉ INTERNATIONALE DES OBTENTEURS DE PLANTES ORNEMENTALES ET FRUITIÈRES À REPRODUCTION ASEXUÉE (CIOPORA) / </w:t>
      </w:r>
      <w:r w:rsidRPr="00382E92">
        <w:br/>
        <w:t>INTERNATIONA</w:t>
      </w:r>
      <w:r w:rsidRPr="00841411">
        <w:t xml:space="preserve">L COMMUNITY  OF BREEDERS OF ASEXUALLY REPRODUCED ORNAMENTAL AND FRUIT PLANTS (CIOPORA) / </w:t>
      </w:r>
      <w:r w:rsidRPr="00841411">
        <w:br/>
        <w:t xml:space="preserve">INTERNATIONALE GEMEINSCHAFT DER ZÜCHTER VEGETATIV VERMEHRBARER ZIERUND OBSTPFLANZEN (CIOPORA) / </w:t>
      </w:r>
      <w:r w:rsidRPr="00841411">
        <w:br/>
        <w:t>COMUNIDAD INTERNACIONAL DE OBTENTORES DE VARIEDADES ORNAMENTALES Y FRUTALES DE REPRODUCCIÓN ASEXUADA (CIOPORA)</w:t>
      </w:r>
    </w:p>
    <w:p w:rsidR="007703AE" w:rsidRDefault="007703AE" w:rsidP="007703AE">
      <w:pPr>
        <w:pStyle w:val="pldetails"/>
        <w:rPr>
          <w:rFonts w:cs="Arial"/>
          <w:color w:val="000000"/>
          <w:lang w:val="fr-CH"/>
        </w:rPr>
      </w:pPr>
      <w:r w:rsidRPr="00D2267F">
        <w:rPr>
          <w:lang w:val="fr-CH"/>
        </w:rPr>
        <w:t xml:space="preserve">Hélène JOURDAN (Madame), Secrétaire générale, AOHE, Responsible COV &amp; Marques, </w:t>
      </w:r>
      <w:r w:rsidRPr="00D2267F">
        <w:rPr>
          <w:rFonts w:cs="Arial"/>
          <w:color w:val="000000"/>
          <w:lang w:val="fr-CH"/>
        </w:rPr>
        <w:t>Meilland International S.A., Association des Obtenteurs Horticoles Européens (AOHE), Le Luc en Provence</w:t>
      </w:r>
      <w:r w:rsidRPr="00D2267F">
        <w:rPr>
          <w:rFonts w:cs="Arial"/>
          <w:color w:val="000000"/>
          <w:lang w:val="fr-CH"/>
        </w:rPr>
        <w:br/>
        <w:t>(e-mail: </w:t>
      </w:r>
      <w:r w:rsidRPr="002F5A81">
        <w:rPr>
          <w:rFonts w:cs="Arial"/>
          <w:color w:val="000000"/>
          <w:lang w:val="fr-CH"/>
        </w:rPr>
        <w:t>licprot@meilland.com</w:t>
      </w:r>
      <w:r w:rsidRPr="00D2267F">
        <w:rPr>
          <w:rFonts w:cs="Arial"/>
          <w:color w:val="000000"/>
          <w:lang w:val="fr-CH"/>
        </w:rPr>
        <w:t xml:space="preserve">) </w:t>
      </w:r>
    </w:p>
    <w:p w:rsidR="007703AE" w:rsidRDefault="007703AE" w:rsidP="007703AE">
      <w:pPr>
        <w:pStyle w:val="pldetails"/>
      </w:pPr>
      <w:r w:rsidRPr="00841411">
        <w:t xml:space="preserve">José Ignacio CUBERO, Vice-Head Technical Expert for Biotecnology, Eurogenetic, Cordoba </w:t>
      </w:r>
      <w:r w:rsidRPr="00841411">
        <w:br/>
        <w:t xml:space="preserve">(e-mail: ge1cusaj@uco.es) </w:t>
      </w:r>
    </w:p>
    <w:p w:rsidR="007703AE" w:rsidRPr="00841411" w:rsidRDefault="007703AE" w:rsidP="007703AE">
      <w:pPr>
        <w:pStyle w:val="pldetails"/>
      </w:pPr>
      <w:r w:rsidRPr="00FA6E12">
        <w:t xml:space="preserve">Dominique THÉVENON (Madame), Board member, Treasurer – CIOPORA, AIGN®, International Community of Breeders of Asexually Reproduced Ornamental and Fruit Plants  (CIOPORA), Hamburg </w:t>
      </w:r>
      <w:r w:rsidRPr="00FA6E12">
        <w:br/>
        <w:t>(e-mail: t.dominique4@aliceadsl.fr)</w:t>
      </w:r>
      <w:r>
        <w:t xml:space="preserve"> </w:t>
      </w:r>
    </w:p>
    <w:p w:rsidR="007703AE" w:rsidRPr="008C7FAB" w:rsidRDefault="007703AE" w:rsidP="007703AE">
      <w:pPr>
        <w:pStyle w:val="plcountry"/>
        <w:rPr>
          <w:lang w:val="fr-CH"/>
        </w:rPr>
      </w:pPr>
      <w:r w:rsidRPr="008C7FAB">
        <w:rPr>
          <w:lang w:val="fr-CH"/>
        </w:rPr>
        <w:t>CROPLIFE INTERNATIONAL</w:t>
      </w:r>
    </w:p>
    <w:p w:rsidR="007703AE" w:rsidRPr="008C7FAB" w:rsidRDefault="007703AE" w:rsidP="007703AE">
      <w:pPr>
        <w:pStyle w:val="pldetails"/>
        <w:rPr>
          <w:lang w:val="fr-CH"/>
        </w:rPr>
      </w:pPr>
      <w:r w:rsidRPr="008C7FAB">
        <w:rPr>
          <w:lang w:val="fr-CH"/>
        </w:rPr>
        <w:t>Marcel BRUINS, Consultant, Cr</w:t>
      </w:r>
      <w:r>
        <w:rPr>
          <w:lang w:val="fr-CH"/>
        </w:rPr>
        <w:t>opLife International, Bruxelles</w:t>
      </w:r>
      <w:r w:rsidRPr="008C7FAB">
        <w:rPr>
          <w:lang w:val="fr-CH"/>
        </w:rPr>
        <w:t xml:space="preserve"> </w:t>
      </w:r>
      <w:r w:rsidRPr="008C7FAB">
        <w:rPr>
          <w:lang w:val="fr-CH"/>
        </w:rPr>
        <w:br/>
        <w:t xml:space="preserve">(e-mail: mbruins1964@gmail.com) </w:t>
      </w:r>
    </w:p>
    <w:p w:rsidR="007703AE" w:rsidRPr="00841411" w:rsidRDefault="007703AE" w:rsidP="007703AE">
      <w:pPr>
        <w:pStyle w:val="plcountry"/>
      </w:pPr>
      <w:r w:rsidRPr="00841411">
        <w:t>INTERNATIONAL SEED FEDERATION (ISF)</w:t>
      </w:r>
    </w:p>
    <w:p w:rsidR="007703AE" w:rsidRPr="00841411" w:rsidRDefault="007703AE" w:rsidP="007703AE">
      <w:pPr>
        <w:pStyle w:val="pldetails"/>
      </w:pPr>
      <w:r w:rsidRPr="00712DB3">
        <w:t xml:space="preserve">Stevan MADJARAC, Representative, American Seed Trade Association (ASTA), Alexandria </w:t>
      </w:r>
      <w:r w:rsidRPr="00712DB3">
        <w:br/>
        <w:t>(e-mail: smadjarac@gmail.com)</w:t>
      </w:r>
      <w:r w:rsidRPr="00841411">
        <w:t xml:space="preserve"> </w:t>
      </w:r>
    </w:p>
    <w:p w:rsidR="007703AE" w:rsidRDefault="007703AE" w:rsidP="007703AE">
      <w:pPr>
        <w:pStyle w:val="pldetails"/>
      </w:pPr>
      <w:r w:rsidRPr="00841411">
        <w:t>Szabolcs RUTHNER, Regulatory Affairs Executive, Internationa</w:t>
      </w:r>
      <w:r>
        <w:t>l Seed Federation (ISF), Nyon</w:t>
      </w:r>
      <w:r w:rsidRPr="00841411">
        <w:br/>
        <w:t xml:space="preserve">(e-mail: s.ruthner@worldseed.org) </w:t>
      </w:r>
    </w:p>
    <w:p w:rsidR="007703AE" w:rsidRPr="00D2267F" w:rsidRDefault="007703AE" w:rsidP="007703AE">
      <w:pPr>
        <w:pStyle w:val="pldetails"/>
        <w:rPr>
          <w:lang w:val="fr-CH"/>
        </w:rPr>
      </w:pPr>
      <w:r w:rsidRPr="00D2267F">
        <w:rPr>
          <w:lang w:val="fr-CH"/>
        </w:rPr>
        <w:t xml:space="preserve">François-Xavier MULLER, EU Corn Breeding IP/QMS Manager, Monsanto SAS, Monbéqui </w:t>
      </w:r>
      <w:r>
        <w:rPr>
          <w:lang w:val="fr-CH"/>
        </w:rPr>
        <w:br/>
      </w:r>
      <w:r w:rsidRPr="00D2267F">
        <w:rPr>
          <w:lang w:val="fr-CH"/>
        </w:rPr>
        <w:t xml:space="preserve">(e-mail: francois-xavier.muller@monsanto.com) </w:t>
      </w:r>
    </w:p>
    <w:p w:rsidR="007703AE" w:rsidRPr="006F57F4" w:rsidRDefault="007703AE" w:rsidP="007703AE">
      <w:pPr>
        <w:pStyle w:val="plcountry"/>
        <w:rPr>
          <w:lang w:val="fr-CH"/>
        </w:rPr>
      </w:pPr>
      <w:r w:rsidRPr="006F57F4">
        <w:rPr>
          <w:lang w:val="fr-CH"/>
        </w:rPr>
        <w:t>EUROPEAN SEED ASSOCIATION (ESA)</w:t>
      </w:r>
    </w:p>
    <w:p w:rsidR="007703AE" w:rsidRPr="006F57F4" w:rsidRDefault="007703AE" w:rsidP="007703AE">
      <w:pPr>
        <w:pStyle w:val="pldetails"/>
        <w:rPr>
          <w:lang w:val="fr-CH"/>
        </w:rPr>
      </w:pPr>
      <w:r w:rsidRPr="006F57F4">
        <w:rPr>
          <w:lang w:val="fr-CH"/>
        </w:rPr>
        <w:t xml:space="preserve">Bert SCHOLTE, Technical Director, European Seed Association (ESA), Brussels </w:t>
      </w:r>
      <w:r w:rsidRPr="006F57F4">
        <w:rPr>
          <w:lang w:val="fr-CH"/>
        </w:rPr>
        <w:br/>
        <w:t>(e-mail: </w:t>
      </w:r>
      <w:hyperlink r:id="rId15" w:history="1">
        <w:r w:rsidRPr="006F57F4">
          <w:rPr>
            <w:lang w:val="fr-CH"/>
          </w:rPr>
          <w:t>bertscholte@euroseeds.eu</w:t>
        </w:r>
      </w:hyperlink>
      <w:r w:rsidRPr="006F57F4">
        <w:rPr>
          <w:lang w:val="fr-CH"/>
        </w:rPr>
        <w:t xml:space="preserve">) </w:t>
      </w:r>
    </w:p>
    <w:p w:rsidR="007703AE" w:rsidRPr="006F57F4" w:rsidRDefault="007703AE" w:rsidP="007703AE">
      <w:pPr>
        <w:pStyle w:val="plheading"/>
        <w:spacing w:before="360"/>
        <w:rPr>
          <w:lang w:val="fr-CH"/>
        </w:rPr>
      </w:pPr>
      <w:r w:rsidRPr="006F57F4">
        <w:rPr>
          <w:lang w:val="fr-CH"/>
        </w:rPr>
        <w:t>IV. BUREAU DE L’OMPI / OFFICE OF WIPO / BÜRO DER WIPO / OFICINA DE LA OMPI</w:t>
      </w:r>
    </w:p>
    <w:p w:rsidR="007703AE" w:rsidRPr="0069746E" w:rsidRDefault="007703AE" w:rsidP="007703AE">
      <w:pPr>
        <w:pStyle w:val="pldetails"/>
        <w:rPr>
          <w:lang w:val="fr-CH"/>
        </w:rPr>
      </w:pPr>
      <w:r w:rsidRPr="0069746E">
        <w:rPr>
          <w:lang w:val="fr-CH"/>
        </w:rPr>
        <w:t>Lili CHEN (Ms.), Software Developer, Brand Databases Section, Global Databases Division</w:t>
      </w:r>
    </w:p>
    <w:p w:rsidR="007703AE" w:rsidRPr="0069746E" w:rsidRDefault="007703AE" w:rsidP="007703AE">
      <w:pPr>
        <w:pStyle w:val="plheading"/>
        <w:rPr>
          <w:rFonts w:cs="Arial"/>
          <w:lang w:val="fr-CH"/>
        </w:rPr>
      </w:pPr>
      <w:r w:rsidRPr="0069746E">
        <w:rPr>
          <w:rFonts w:cs="Arial"/>
          <w:lang w:val="fr-CH"/>
        </w:rPr>
        <w:t>V. BUREAU / OFFICER / VORSITZ / OFICINA</w:t>
      </w:r>
    </w:p>
    <w:p w:rsidR="007703AE" w:rsidRPr="0069746E" w:rsidRDefault="007703AE" w:rsidP="007703AE">
      <w:pPr>
        <w:pStyle w:val="pldetails"/>
        <w:rPr>
          <w:lang w:val="fr-CH"/>
        </w:rPr>
      </w:pPr>
      <w:r w:rsidRPr="0069746E">
        <w:rPr>
          <w:lang w:val="fr-CH"/>
        </w:rPr>
        <w:t>Alejandro BARRIENTOS-PRIEGO, Chair</w:t>
      </w:r>
    </w:p>
    <w:p w:rsidR="007703AE" w:rsidRPr="0069746E" w:rsidRDefault="007703AE" w:rsidP="007703AE">
      <w:pPr>
        <w:pStyle w:val="pldetails"/>
        <w:rPr>
          <w:lang w:val="fr-CH"/>
        </w:rPr>
      </w:pPr>
      <w:r w:rsidRPr="0069746E">
        <w:rPr>
          <w:lang w:val="fr-CH"/>
        </w:rPr>
        <w:t>Kees VAN ETTEKOVEN, Vice-Chair</w:t>
      </w:r>
    </w:p>
    <w:p w:rsidR="007703AE" w:rsidRPr="004071DD" w:rsidRDefault="007703AE" w:rsidP="007703AE">
      <w:pPr>
        <w:pStyle w:val="plheading"/>
        <w:keepLines/>
        <w:rPr>
          <w:rFonts w:cs="Arial"/>
        </w:rPr>
      </w:pPr>
      <w:r w:rsidRPr="004071DD">
        <w:rPr>
          <w:rFonts w:cs="Arial"/>
        </w:rPr>
        <w:t>VI. BUREAU DE L’UPOV / OFFICE OF UPOV / BÜRO DER UPOV / OFICINA DE LA UPOV</w:t>
      </w:r>
    </w:p>
    <w:p w:rsidR="007703AE" w:rsidRPr="00841411" w:rsidRDefault="007703AE" w:rsidP="007703AE">
      <w:pPr>
        <w:pStyle w:val="pldetails"/>
        <w:keepNext/>
      </w:pPr>
      <w:r w:rsidRPr="00841411">
        <w:t>Francis GURRY, Secretary-General</w:t>
      </w:r>
    </w:p>
    <w:p w:rsidR="007703AE" w:rsidRPr="00841411" w:rsidRDefault="007703AE" w:rsidP="007703AE">
      <w:pPr>
        <w:pStyle w:val="pldetails"/>
      </w:pPr>
      <w:r w:rsidRPr="00841411">
        <w:t>Peter BUTTON, Vice Secretary-General</w:t>
      </w:r>
    </w:p>
    <w:p w:rsidR="007703AE" w:rsidRPr="00841411" w:rsidRDefault="007703AE" w:rsidP="007703AE">
      <w:pPr>
        <w:pStyle w:val="pldetails"/>
      </w:pPr>
      <w:r w:rsidRPr="00841411">
        <w:t>Yolanda HUERTA (Ms.), Legal Counsel</w:t>
      </w:r>
    </w:p>
    <w:p w:rsidR="007703AE" w:rsidRPr="00841411" w:rsidRDefault="007703AE" w:rsidP="007703AE">
      <w:pPr>
        <w:pStyle w:val="pldetails"/>
      </w:pPr>
      <w:r w:rsidRPr="00841411">
        <w:t>Jun KOIDE, Technical/Regional Officer (Asia)</w:t>
      </w:r>
    </w:p>
    <w:p w:rsidR="007703AE" w:rsidRPr="00841411" w:rsidRDefault="007703AE" w:rsidP="007703AE">
      <w:pPr>
        <w:pStyle w:val="pldetails"/>
      </w:pPr>
      <w:r w:rsidRPr="00841411">
        <w:t>Ben RIVOIRE, Technical/Regional Officer (Africa, Arab countries)</w:t>
      </w:r>
    </w:p>
    <w:p w:rsidR="007703AE" w:rsidRPr="00841411" w:rsidRDefault="007703AE" w:rsidP="007703AE">
      <w:pPr>
        <w:pStyle w:val="pldetails"/>
      </w:pPr>
      <w:r w:rsidRPr="00841411">
        <w:t>Leontino TAVEIRA, Technical/Regional Officer (Latin America, Caribbean countries)</w:t>
      </w:r>
    </w:p>
    <w:p w:rsidR="007703AE" w:rsidRPr="00A07916" w:rsidRDefault="007703AE" w:rsidP="007703AE">
      <w:pPr>
        <w:pStyle w:val="pldetails"/>
      </w:pPr>
      <w:r w:rsidRPr="00A07916">
        <w:t xml:space="preserve">Hend MADHOUR (Ms.), Data Modeler </w:t>
      </w:r>
      <w:r>
        <w:t>and Business Needs Analyst</w:t>
      </w:r>
    </w:p>
    <w:p w:rsidR="007703AE" w:rsidRPr="001C7017" w:rsidRDefault="007703AE" w:rsidP="007703AE">
      <w:pPr>
        <w:pStyle w:val="pldetails"/>
      </w:pPr>
      <w:r w:rsidRPr="001C7017">
        <w:t>Romy OERTEL (Ms.), Secretary II</w:t>
      </w:r>
    </w:p>
    <w:p w:rsidR="007703AE" w:rsidRPr="001C7017" w:rsidRDefault="007703AE" w:rsidP="007703AE">
      <w:pPr>
        <w:jc w:val="left"/>
      </w:pPr>
    </w:p>
    <w:p w:rsidR="007703AE" w:rsidRPr="001C7017" w:rsidRDefault="007703AE" w:rsidP="007703AE">
      <w:pPr>
        <w:jc w:val="left"/>
      </w:pPr>
    </w:p>
    <w:p w:rsidR="007703AE" w:rsidRPr="0069746E" w:rsidRDefault="007703AE" w:rsidP="007703AE">
      <w:pPr>
        <w:keepNext/>
        <w:jc w:val="right"/>
        <w:rPr>
          <w:rFonts w:cs="Arial"/>
          <w:lang w:eastAsia="zh-CN"/>
        </w:rPr>
      </w:pPr>
      <w:r w:rsidRPr="0069746E">
        <w:rPr>
          <w:rFonts w:cs="Arial"/>
        </w:rPr>
        <w:t>[Annex II follows/</w:t>
      </w:r>
      <w:r w:rsidRPr="0069746E">
        <w:rPr>
          <w:rFonts w:cs="Arial"/>
        </w:rPr>
        <w:br/>
      </w:r>
      <w:proofErr w:type="spellStart"/>
      <w:r w:rsidRPr="0069746E">
        <w:rPr>
          <w:rFonts w:cs="Arial"/>
        </w:rPr>
        <w:t>L’annexe</w:t>
      </w:r>
      <w:proofErr w:type="spellEnd"/>
      <w:r w:rsidRPr="0069746E">
        <w:rPr>
          <w:rFonts w:cs="Arial"/>
        </w:rPr>
        <w:t xml:space="preserve"> II suit/</w:t>
      </w:r>
      <w:r w:rsidRPr="0069746E">
        <w:rPr>
          <w:rFonts w:cs="Arial"/>
        </w:rPr>
        <w:br/>
        <w:t xml:space="preserve">Anlage II </w:t>
      </w:r>
      <w:proofErr w:type="spellStart"/>
      <w:r w:rsidRPr="0069746E">
        <w:rPr>
          <w:rFonts w:cs="Arial"/>
        </w:rPr>
        <w:t>folgt</w:t>
      </w:r>
      <w:proofErr w:type="spellEnd"/>
      <w:r w:rsidRPr="0069746E">
        <w:rPr>
          <w:rFonts w:cs="Arial"/>
        </w:rPr>
        <w:t>/</w:t>
      </w:r>
      <w:r w:rsidRPr="0069746E">
        <w:rPr>
          <w:rFonts w:cs="Arial"/>
        </w:rPr>
        <w:br/>
      </w:r>
      <w:proofErr w:type="spellStart"/>
      <w:r w:rsidRPr="0069746E">
        <w:rPr>
          <w:rFonts w:cs="Arial"/>
        </w:rPr>
        <w:t>Sigue</w:t>
      </w:r>
      <w:proofErr w:type="spellEnd"/>
      <w:r w:rsidRPr="0069746E">
        <w:rPr>
          <w:rFonts w:cs="Arial"/>
        </w:rPr>
        <w:t xml:space="preserve"> el </w:t>
      </w:r>
      <w:proofErr w:type="spellStart"/>
      <w:r w:rsidRPr="0069746E">
        <w:rPr>
          <w:rFonts w:cs="Arial"/>
        </w:rPr>
        <w:t>Anexo</w:t>
      </w:r>
      <w:proofErr w:type="spellEnd"/>
      <w:r w:rsidRPr="0069746E">
        <w:rPr>
          <w:rFonts w:cs="Arial"/>
        </w:rPr>
        <w:t xml:space="preserve"> II]</w:t>
      </w:r>
    </w:p>
    <w:p w:rsidR="005253AC" w:rsidRPr="000D5690" w:rsidRDefault="005253AC" w:rsidP="005253AC">
      <w:pPr>
        <w:jc w:val="left"/>
        <w:rPr>
          <w:lang w:val="fr-FR"/>
        </w:rPr>
      </w:pPr>
    </w:p>
    <w:p w:rsidR="005253AC" w:rsidRPr="000D5690" w:rsidRDefault="005253AC" w:rsidP="005253AC">
      <w:pPr>
        <w:rPr>
          <w:lang w:val="fr-FR"/>
        </w:rPr>
        <w:sectPr w:rsidR="005253AC" w:rsidRPr="000D5690" w:rsidSect="00E658B6">
          <w:headerReference w:type="default" r:id="rId16"/>
          <w:pgSz w:w="11907" w:h="16840" w:code="9"/>
          <w:pgMar w:top="510" w:right="1134" w:bottom="1134" w:left="1134" w:header="510" w:footer="680" w:gutter="0"/>
          <w:pgNumType w:start="1"/>
          <w:cols w:space="720"/>
          <w:titlePg/>
        </w:sectPr>
      </w:pPr>
    </w:p>
    <w:p w:rsidR="005253AC" w:rsidRPr="00D6704A" w:rsidRDefault="00F347FD" w:rsidP="002F6105">
      <w:pPr>
        <w:ind w:left="-142" w:right="-142"/>
        <w:jc w:val="center"/>
        <w:rPr>
          <w:rFonts w:cs="Arial"/>
          <w:bCs/>
          <w:snapToGrid w:val="0"/>
          <w:lang w:val="es-ES"/>
        </w:rPr>
      </w:pPr>
      <w:r w:rsidRPr="000D5690">
        <w:rPr>
          <w:rFonts w:cs="Arial"/>
          <w:lang w:val="es-ES_tradnl"/>
        </w:rPr>
        <w:t xml:space="preserve">MODIFICACIONES PROPUESTAS EN </w:t>
      </w:r>
      <w:r w:rsidR="00455B0D" w:rsidRPr="000D5690">
        <w:rPr>
          <w:rFonts w:cs="Arial"/>
          <w:lang w:val="es-ES_tradnl"/>
        </w:rPr>
        <w:t>RELACIÓN</w:t>
      </w:r>
      <w:r w:rsidRPr="000D5690">
        <w:rPr>
          <w:rFonts w:cs="Arial"/>
          <w:lang w:val="es-ES_tradnl"/>
        </w:rPr>
        <w:t xml:space="preserve"> CON LOS PROYECTOS DE DIRECTRICES DE EXAMEN</w:t>
      </w:r>
    </w:p>
    <w:p w:rsidR="005253AC" w:rsidRPr="00D6704A" w:rsidRDefault="00F347FD" w:rsidP="005253AC">
      <w:pPr>
        <w:jc w:val="center"/>
        <w:rPr>
          <w:rFonts w:cs="Arial"/>
          <w:bCs/>
          <w:snapToGrid w:val="0"/>
          <w:lang w:val="es-ES"/>
        </w:rPr>
      </w:pPr>
      <w:r w:rsidRPr="000D5690">
        <w:rPr>
          <w:rFonts w:cs="Arial"/>
          <w:bCs/>
          <w:snapToGrid w:val="0"/>
          <w:lang w:val="es-ES_tradnl"/>
        </w:rPr>
        <w:t>ANTES DE SU ADOPCIÓN EN LA QUINCUAGÉSIMA SEGUNDA SESIÓN DEL</w:t>
      </w:r>
    </w:p>
    <w:p w:rsidR="005253AC" w:rsidRPr="00D6704A" w:rsidRDefault="00F347FD" w:rsidP="005253AC">
      <w:pPr>
        <w:jc w:val="center"/>
        <w:rPr>
          <w:rFonts w:cs="Arial"/>
          <w:bCs/>
          <w:snapToGrid w:val="0"/>
          <w:lang w:val="es-ES"/>
        </w:rPr>
      </w:pPr>
      <w:r w:rsidRPr="000D5690">
        <w:rPr>
          <w:rFonts w:cs="Arial"/>
          <w:bCs/>
          <w:snapToGrid w:val="0"/>
          <w:lang w:val="es-ES_tradnl"/>
        </w:rPr>
        <w:t>COMITÉ TÉCNICO (TC)</w:t>
      </w:r>
    </w:p>
    <w:p w:rsidR="005253AC" w:rsidRPr="00D6704A" w:rsidRDefault="005253AC" w:rsidP="005253AC">
      <w:pPr>
        <w:rPr>
          <w:snapToGrid w:val="0"/>
          <w:lang w:val="es-ES"/>
        </w:rPr>
      </w:pPr>
    </w:p>
    <w:p w:rsidR="005253AC" w:rsidRPr="00D6704A" w:rsidRDefault="005253AC" w:rsidP="005253AC">
      <w:pPr>
        <w:rPr>
          <w:snapToGrid w:val="0"/>
          <w:lang w:val="es-ES"/>
        </w:rPr>
      </w:pPr>
      <w:r w:rsidRPr="00D6704A">
        <w:rPr>
          <w:snapToGrid w:val="0"/>
          <w:lang w:val="es-ES"/>
        </w:rPr>
        <w:t>1.</w:t>
      </w:r>
      <w:r w:rsidRPr="00D6704A">
        <w:rPr>
          <w:snapToGrid w:val="0"/>
          <w:lang w:val="es-ES"/>
        </w:rPr>
        <w:tab/>
      </w:r>
      <w:r w:rsidR="00F347FD" w:rsidRPr="000D5690">
        <w:rPr>
          <w:snapToGrid w:val="0"/>
          <w:lang w:val="es-ES_tradnl"/>
        </w:rPr>
        <w:t>REVISIONES PARCIALES:</w:t>
      </w:r>
    </w:p>
    <w:p w:rsidR="005253AC" w:rsidRPr="00D6704A" w:rsidRDefault="005253AC" w:rsidP="005253AC">
      <w:pPr>
        <w:jc w:val="center"/>
        <w:rPr>
          <w:rFonts w:cs="Arial"/>
          <w:b/>
          <w:bCs/>
          <w:snapToGrid w:val="0"/>
          <w:lang w:val="es-ES"/>
        </w:rPr>
      </w:pPr>
    </w:p>
    <w:tbl>
      <w:tblPr>
        <w:tblW w:w="9670"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5253AC" w:rsidRPr="000D5690" w:rsidTr="00E658B6">
        <w:trPr>
          <w:cantSplit/>
          <w:jc w:val="center"/>
        </w:trPr>
        <w:tc>
          <w:tcPr>
            <w:tcW w:w="9670" w:type="dxa"/>
            <w:shd w:val="clear" w:color="auto" w:fill="D9D9D9"/>
            <w:vAlign w:val="center"/>
          </w:tcPr>
          <w:p w:rsidR="005253AC" w:rsidRPr="00D6704A" w:rsidRDefault="005253AC" w:rsidP="00E658B6">
            <w:pPr>
              <w:pStyle w:val="BodyText"/>
              <w:keepNext/>
              <w:tabs>
                <w:tab w:val="left" w:pos="1378"/>
              </w:tabs>
              <w:ind w:left="1803" w:hanging="1803"/>
              <w:jc w:val="left"/>
              <w:rPr>
                <w:rFonts w:cs="Arial"/>
                <w:b/>
                <w:iCs/>
                <w:lang w:val="es-ES"/>
              </w:rPr>
            </w:pPr>
            <w:r w:rsidRPr="00D6704A">
              <w:rPr>
                <w:rFonts w:cs="Arial"/>
                <w:b/>
                <w:iCs/>
                <w:lang w:val="es-ES"/>
              </w:rPr>
              <w:t>TC/52/24</w:t>
            </w:r>
            <w:r w:rsidRPr="00D6704A">
              <w:rPr>
                <w:rFonts w:cs="Arial"/>
                <w:b/>
                <w:iCs/>
                <w:lang w:val="es-ES"/>
              </w:rPr>
              <w:tab/>
            </w:r>
            <w:r w:rsidR="008769CE" w:rsidRPr="000D5690">
              <w:rPr>
                <w:rFonts w:cs="Arial"/>
                <w:b/>
                <w:iCs/>
                <w:lang w:val="es-ES_tradnl"/>
              </w:rPr>
              <w:t>Revisión parcial de las directrices de examen del rábano y el rábano negro</w:t>
            </w:r>
          </w:p>
          <w:p w:rsidR="005253AC" w:rsidRPr="000D5690" w:rsidRDefault="005253AC" w:rsidP="000D5690">
            <w:pPr>
              <w:pStyle w:val="BodyText"/>
              <w:keepNext/>
              <w:tabs>
                <w:tab w:val="left" w:pos="1378"/>
              </w:tabs>
              <w:ind w:left="1803" w:hanging="1803"/>
              <w:jc w:val="left"/>
              <w:rPr>
                <w:rFonts w:cs="Arial"/>
                <w:b/>
                <w:iCs/>
              </w:rPr>
            </w:pPr>
            <w:r w:rsidRPr="00D6704A">
              <w:rPr>
                <w:rFonts w:cs="Arial"/>
                <w:b/>
                <w:iCs/>
                <w:lang w:val="es-ES"/>
              </w:rPr>
              <w:tab/>
            </w:r>
            <w:r w:rsidR="008769CE" w:rsidRPr="000D5690">
              <w:rPr>
                <w:rFonts w:cs="Arial"/>
                <w:b/>
                <w:iCs/>
                <w:lang w:val="es-ES_tradnl"/>
              </w:rPr>
              <w:t>(documento TG/63/7-TG/64/7)</w:t>
            </w:r>
          </w:p>
        </w:tc>
      </w:tr>
    </w:tbl>
    <w:p w:rsidR="005253AC" w:rsidRPr="000D5690" w:rsidRDefault="005253AC" w:rsidP="005253AC">
      <w:pPr>
        <w:keepNext/>
        <w:jc w:val="center"/>
        <w:rPr>
          <w:rFonts w:cs="Arial"/>
          <w:b/>
          <w:bCs/>
          <w:snapToGrid w:val="0"/>
          <w:color w:val="000000"/>
        </w:rPr>
      </w:pPr>
    </w:p>
    <w:p w:rsidR="005253AC" w:rsidRPr="00D6704A" w:rsidRDefault="008769CE" w:rsidP="005253AC">
      <w:pPr>
        <w:autoSpaceDE w:val="0"/>
        <w:autoSpaceDN w:val="0"/>
        <w:adjustRightInd w:val="0"/>
        <w:ind w:firstLine="567"/>
        <w:jc w:val="left"/>
        <w:rPr>
          <w:rFonts w:cs="Arial"/>
          <w:lang w:val="es-ES"/>
        </w:rPr>
      </w:pPr>
      <w:r w:rsidRPr="000D5690">
        <w:rPr>
          <w:rFonts w:cs="Arial"/>
          <w:lang w:val="es-ES_tradnl"/>
        </w:rPr>
        <w:t>En el cuadro siguiente se recogen las observaciones formuladas por el Comité de Redacción Ampliado en su reunión celebrada los días 6 y 7 de enero de 2016.</w:t>
      </w:r>
      <w:r w:rsidR="005253AC" w:rsidRPr="00D6704A">
        <w:rPr>
          <w:rFonts w:cs="Arial"/>
          <w:lang w:val="es-ES"/>
        </w:rPr>
        <w:t xml:space="preserve">  </w:t>
      </w:r>
      <w:r w:rsidR="00761C69" w:rsidRPr="000D5690">
        <w:rPr>
          <w:rFonts w:cs="Arial"/>
          <w:lang w:val="es-ES_tradnl"/>
        </w:rPr>
        <w:t>Todas las observaciones se han incorporado ya en el documento TC/52/24, sometido a la consideración del TC:</w:t>
      </w:r>
    </w:p>
    <w:p w:rsidR="005253AC" w:rsidRPr="00D6704A" w:rsidRDefault="005253AC" w:rsidP="005253AC">
      <w:pPr>
        <w:keepNext/>
        <w:jc w:val="center"/>
        <w:rPr>
          <w:rFonts w:cs="Arial"/>
          <w:b/>
          <w:bCs/>
          <w:snapToGrid w:val="0"/>
          <w:color w:val="000000"/>
          <w:lang w:val="es-E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5253AC" w:rsidRPr="00E30CEB" w:rsidTr="00E658B6">
        <w:tc>
          <w:tcPr>
            <w:tcW w:w="1573" w:type="dxa"/>
          </w:tcPr>
          <w:p w:rsidR="005253AC" w:rsidRPr="000D5690" w:rsidRDefault="00761C69" w:rsidP="000D5690">
            <w:pPr>
              <w:jc w:val="left"/>
              <w:rPr>
                <w:rFonts w:cs="Arial"/>
              </w:rPr>
            </w:pPr>
            <w:r w:rsidRPr="000D5690">
              <w:rPr>
                <w:rFonts w:cs="Arial"/>
                <w:lang w:val="es-ES_tradnl"/>
              </w:rPr>
              <w:t>Car.</w:t>
            </w:r>
            <w:r w:rsidR="005253AC" w:rsidRPr="000D5690">
              <w:rPr>
                <w:rFonts w:cs="Arial"/>
              </w:rPr>
              <w:t xml:space="preserve"> 22</w:t>
            </w:r>
          </w:p>
        </w:tc>
        <w:tc>
          <w:tcPr>
            <w:tcW w:w="8208" w:type="dxa"/>
          </w:tcPr>
          <w:p w:rsidR="005253AC" w:rsidRPr="00D6704A" w:rsidRDefault="00761C69" w:rsidP="000D5690">
            <w:pPr>
              <w:keepNext/>
              <w:rPr>
                <w:rFonts w:cs="Arial"/>
                <w:lang w:val="es-ES"/>
              </w:rPr>
            </w:pPr>
            <w:r w:rsidRPr="000D5690">
              <w:rPr>
                <w:rFonts w:cs="Arial"/>
                <w:lang w:val="es-ES_tradnl"/>
              </w:rPr>
              <w:t>Debe rezar: “Rábano: color de la piel en el extremo del tallo”</w:t>
            </w:r>
          </w:p>
        </w:tc>
      </w:tr>
    </w:tbl>
    <w:p w:rsidR="005253AC" w:rsidRPr="00D6704A" w:rsidRDefault="005253AC" w:rsidP="005253AC">
      <w:pPr>
        <w:jc w:val="center"/>
        <w:rPr>
          <w:rFonts w:cs="Arial"/>
          <w:bCs/>
          <w:snapToGrid w:val="0"/>
          <w:lang w:val="es-ES"/>
        </w:rPr>
      </w:pPr>
    </w:p>
    <w:p w:rsidR="005253AC" w:rsidRPr="00D6704A" w:rsidRDefault="005253AC" w:rsidP="005253AC">
      <w:pPr>
        <w:jc w:val="center"/>
        <w:rPr>
          <w:rFonts w:cs="Arial"/>
          <w:bCs/>
          <w:snapToGrid w:val="0"/>
          <w:lang w:val="es-ES"/>
        </w:rPr>
      </w:pPr>
    </w:p>
    <w:tbl>
      <w:tblPr>
        <w:tblW w:w="9670"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5253AC" w:rsidRPr="00E30CEB" w:rsidTr="00E658B6">
        <w:trPr>
          <w:cantSplit/>
          <w:jc w:val="center"/>
        </w:trPr>
        <w:tc>
          <w:tcPr>
            <w:tcW w:w="9670" w:type="dxa"/>
            <w:shd w:val="clear" w:color="auto" w:fill="D9D9D9"/>
            <w:vAlign w:val="center"/>
          </w:tcPr>
          <w:p w:rsidR="005253AC" w:rsidRPr="00D6704A" w:rsidRDefault="005253AC" w:rsidP="000D5690">
            <w:pPr>
              <w:pStyle w:val="BodyText"/>
              <w:keepNext/>
              <w:tabs>
                <w:tab w:val="left" w:pos="1378"/>
              </w:tabs>
              <w:ind w:left="1803" w:hanging="1803"/>
              <w:jc w:val="left"/>
              <w:rPr>
                <w:rFonts w:cs="Arial"/>
                <w:b/>
                <w:iCs/>
                <w:lang w:val="es-ES"/>
              </w:rPr>
            </w:pPr>
            <w:r w:rsidRPr="00D6704A">
              <w:rPr>
                <w:rFonts w:cs="Arial"/>
                <w:b/>
                <w:iCs/>
                <w:lang w:val="es-ES"/>
              </w:rPr>
              <w:t>TC/52/25</w:t>
            </w:r>
            <w:r w:rsidRPr="00D6704A">
              <w:rPr>
                <w:rFonts w:cs="Arial"/>
                <w:b/>
                <w:iCs/>
                <w:lang w:val="es-ES"/>
              </w:rPr>
              <w:tab/>
            </w:r>
            <w:r w:rsidR="00761C69" w:rsidRPr="000D5690">
              <w:rPr>
                <w:rFonts w:cs="Arial"/>
                <w:b/>
                <w:iCs/>
                <w:lang w:val="es-ES_tradnl"/>
              </w:rPr>
              <w:t>Revisión parcial de las directrices de examen de la espinaca (documento TG/55/7 Rev.3)</w:t>
            </w:r>
          </w:p>
        </w:tc>
      </w:tr>
    </w:tbl>
    <w:p w:rsidR="005253AC" w:rsidRPr="00D6704A" w:rsidRDefault="005253AC" w:rsidP="005253AC">
      <w:pPr>
        <w:keepNext/>
        <w:jc w:val="center"/>
        <w:rPr>
          <w:rFonts w:cs="Arial"/>
          <w:b/>
          <w:bCs/>
          <w:snapToGrid w:val="0"/>
          <w:color w:val="000000"/>
          <w:lang w:val="es-ES"/>
        </w:rPr>
      </w:pPr>
    </w:p>
    <w:p w:rsidR="005253AC" w:rsidRPr="00D6704A" w:rsidRDefault="00761C69" w:rsidP="005253AC">
      <w:pPr>
        <w:autoSpaceDE w:val="0"/>
        <w:autoSpaceDN w:val="0"/>
        <w:adjustRightInd w:val="0"/>
        <w:ind w:firstLine="567"/>
        <w:jc w:val="left"/>
        <w:rPr>
          <w:rFonts w:cs="Arial"/>
          <w:lang w:val="es-ES"/>
        </w:rPr>
      </w:pPr>
      <w:r w:rsidRPr="000D5690">
        <w:rPr>
          <w:rFonts w:cs="Arial"/>
          <w:lang w:val="es-ES_tradnl"/>
        </w:rPr>
        <w:t>En el cuadro siguiente se recogen las observaciones formuladas por el Comité de Redacción Ampliado en su reunión celebrada los días 6 y 7 de enero de 2016.</w:t>
      </w:r>
      <w:r w:rsidR="005253AC" w:rsidRPr="00D6704A">
        <w:rPr>
          <w:rFonts w:cs="Arial"/>
          <w:lang w:val="es-ES"/>
        </w:rPr>
        <w:t xml:space="preserve"> </w:t>
      </w:r>
      <w:r w:rsidRPr="000D5690">
        <w:rPr>
          <w:rFonts w:cs="Arial"/>
          <w:lang w:val="es-ES_tradnl"/>
        </w:rPr>
        <w:t>Todas las observaciones se han incorporado ya en el documento TC/52/25, sometido a la consideración del TC:</w:t>
      </w:r>
    </w:p>
    <w:p w:rsidR="005253AC" w:rsidRPr="00D6704A" w:rsidRDefault="005253AC" w:rsidP="005253AC">
      <w:pPr>
        <w:keepNext/>
        <w:jc w:val="center"/>
        <w:rPr>
          <w:rFonts w:cs="Arial"/>
          <w:b/>
          <w:bCs/>
          <w:snapToGrid w:val="0"/>
          <w:color w:val="000000"/>
          <w:lang w:val="es-E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5253AC" w:rsidRPr="00E30CEB" w:rsidTr="00E658B6">
        <w:tc>
          <w:tcPr>
            <w:tcW w:w="1573" w:type="dxa"/>
          </w:tcPr>
          <w:p w:rsidR="005253AC" w:rsidRPr="000D5690" w:rsidRDefault="00761C69" w:rsidP="000D5690">
            <w:pPr>
              <w:jc w:val="left"/>
              <w:rPr>
                <w:rFonts w:cs="Arial"/>
              </w:rPr>
            </w:pPr>
            <w:r w:rsidRPr="000D5690">
              <w:rPr>
                <w:rFonts w:cs="Arial"/>
                <w:lang w:val="es-ES_tradnl"/>
              </w:rPr>
              <w:t>Pág. 3, párr. 3</w:t>
            </w:r>
          </w:p>
        </w:tc>
        <w:tc>
          <w:tcPr>
            <w:tcW w:w="8208" w:type="dxa"/>
          </w:tcPr>
          <w:p w:rsidR="005253AC" w:rsidRPr="000D5690" w:rsidRDefault="001D1934" w:rsidP="000D5690">
            <w:pPr>
              <w:keepNext/>
              <w:spacing w:line="240" w:lineRule="atLeast"/>
              <w:rPr>
                <w:rFonts w:cs="Arial"/>
                <w:lang w:val="fr-CH"/>
              </w:rPr>
            </w:pPr>
            <w:r w:rsidRPr="00D6704A">
              <w:rPr>
                <w:rFonts w:cs="Arial"/>
                <w:lang w:val="fr-FR"/>
              </w:rPr>
              <w:t xml:space="preserve">El texto de la </w:t>
            </w:r>
            <w:proofErr w:type="spellStart"/>
            <w:r w:rsidRPr="00D6704A">
              <w:rPr>
                <w:rFonts w:cs="Arial"/>
                <w:lang w:val="fr-FR"/>
              </w:rPr>
              <w:t>traducción</w:t>
            </w:r>
            <w:proofErr w:type="spellEnd"/>
            <w:r w:rsidRPr="00D6704A">
              <w:rPr>
                <w:rFonts w:cs="Arial"/>
                <w:lang w:val="fr-FR"/>
              </w:rPr>
              <w:t xml:space="preserve"> al </w:t>
            </w:r>
            <w:proofErr w:type="spellStart"/>
            <w:r w:rsidRPr="00D6704A">
              <w:rPr>
                <w:rFonts w:cs="Arial"/>
                <w:lang w:val="fr-FR"/>
              </w:rPr>
              <w:t>francés</w:t>
            </w:r>
            <w:proofErr w:type="spellEnd"/>
            <w:r w:rsidRPr="00D6704A">
              <w:rPr>
                <w:rFonts w:cs="Arial"/>
                <w:lang w:val="fr-FR"/>
              </w:rPr>
              <w:t xml:space="preserve"> </w:t>
            </w:r>
            <w:proofErr w:type="spellStart"/>
            <w:r w:rsidRPr="00D6704A">
              <w:rPr>
                <w:rFonts w:cs="Arial"/>
                <w:lang w:val="fr-FR"/>
              </w:rPr>
              <w:t>debe</w:t>
            </w:r>
            <w:proofErr w:type="spellEnd"/>
            <w:r w:rsidRPr="00D6704A">
              <w:rPr>
                <w:rFonts w:cs="Arial"/>
                <w:lang w:val="fr-FR"/>
              </w:rPr>
              <w:t xml:space="preserve"> </w:t>
            </w:r>
            <w:proofErr w:type="spellStart"/>
            <w:r w:rsidRPr="00D6704A">
              <w:rPr>
                <w:rFonts w:cs="Arial"/>
                <w:lang w:val="fr-FR"/>
              </w:rPr>
              <w:t>ser</w:t>
            </w:r>
            <w:proofErr w:type="spellEnd"/>
            <w:r w:rsidRPr="00D6704A">
              <w:rPr>
                <w:rFonts w:cs="Arial"/>
                <w:lang w:val="fr-FR"/>
              </w:rPr>
              <w:t xml:space="preserve"> el </w:t>
            </w:r>
            <w:proofErr w:type="spellStart"/>
            <w:r w:rsidRPr="00D6704A">
              <w:rPr>
                <w:rFonts w:cs="Arial"/>
                <w:lang w:val="fr-FR"/>
              </w:rPr>
              <w:t>siguiente</w:t>
            </w:r>
            <w:proofErr w:type="spellEnd"/>
            <w:r w:rsidRPr="00D6704A">
              <w:rPr>
                <w:rFonts w:cs="Arial"/>
                <w:lang w:val="fr-FR"/>
              </w:rPr>
              <w:t>:</w:t>
            </w:r>
            <w:r w:rsidR="005253AC" w:rsidRPr="000D5690">
              <w:rPr>
                <w:rFonts w:cs="Arial"/>
                <w:lang w:val="fr-CH"/>
              </w:rPr>
              <w:t xml:space="preserve"> </w:t>
            </w:r>
            <w:r w:rsidR="005253AC" w:rsidRPr="000D5690">
              <w:rPr>
                <w:lang w:val="fr-CH"/>
              </w:rPr>
              <w:t xml:space="preserve">“Les Races </w:t>
            </w:r>
            <w:proofErr w:type="spellStart"/>
            <w:r w:rsidR="005253AC" w:rsidRPr="000D5690">
              <w:rPr>
                <w:lang w:val="fr-CH"/>
              </w:rPr>
              <w:t>Pfs</w:t>
            </w:r>
            <w:proofErr w:type="spellEnd"/>
            <w:r w:rsidR="005253AC" w:rsidRPr="000D5690">
              <w:rPr>
                <w:lang w:val="fr-CH"/>
              </w:rPr>
              <w:t> : 1</w:t>
            </w:r>
            <w:r w:rsidR="005253AC" w:rsidRPr="000D5690">
              <w:rPr>
                <w:lang w:val="fr-CH"/>
              </w:rPr>
              <w:noBreakHyphen/>
              <w:t>8 et 10</w:t>
            </w:r>
            <w:r w:rsidR="005253AC" w:rsidRPr="000D5690">
              <w:rPr>
                <w:lang w:val="fr-CH"/>
              </w:rPr>
              <w:noBreakHyphen/>
              <w:t xml:space="preserve">15 de </w:t>
            </w:r>
            <w:proofErr w:type="spellStart"/>
            <w:r w:rsidR="005253AC" w:rsidRPr="000D5690">
              <w:rPr>
                <w:i/>
                <w:iCs/>
                <w:u w:val="single"/>
                <w:lang w:val="fr-CH"/>
              </w:rPr>
              <w:t>Peronospora</w:t>
            </w:r>
            <w:proofErr w:type="spellEnd"/>
            <w:r w:rsidR="005253AC" w:rsidRPr="000D5690">
              <w:rPr>
                <w:i/>
                <w:iCs/>
                <w:u w:val="single"/>
                <w:lang w:val="fr-CH"/>
              </w:rPr>
              <w:t xml:space="preserve"> </w:t>
            </w:r>
            <w:proofErr w:type="spellStart"/>
            <w:r w:rsidR="005253AC" w:rsidRPr="000D5690">
              <w:rPr>
                <w:i/>
                <w:iCs/>
                <w:u w:val="single"/>
                <w:lang w:val="fr-CH"/>
              </w:rPr>
              <w:t>farinosa</w:t>
            </w:r>
            <w:proofErr w:type="spellEnd"/>
            <w:r w:rsidR="005253AC" w:rsidRPr="000D5690">
              <w:rPr>
                <w:lang w:val="fr-CH"/>
              </w:rPr>
              <w:t xml:space="preserve"> f. </w:t>
            </w:r>
            <w:proofErr w:type="spellStart"/>
            <w:r w:rsidR="005253AC" w:rsidRPr="000D5690">
              <w:rPr>
                <w:lang w:val="fr-CH"/>
              </w:rPr>
              <w:t>sp</w:t>
            </w:r>
            <w:proofErr w:type="spellEnd"/>
            <w:r w:rsidR="005253AC" w:rsidRPr="000D5690">
              <w:rPr>
                <w:lang w:val="fr-CH"/>
              </w:rPr>
              <w:t xml:space="preserve">. </w:t>
            </w:r>
            <w:proofErr w:type="spellStart"/>
            <w:r w:rsidR="005253AC" w:rsidRPr="000D5690">
              <w:rPr>
                <w:i/>
                <w:iCs/>
                <w:lang w:val="fr-CH"/>
              </w:rPr>
              <w:t>spinaciae</w:t>
            </w:r>
            <w:proofErr w:type="spellEnd"/>
            <w:r w:rsidR="005253AC" w:rsidRPr="000D5690">
              <w:rPr>
                <w:lang w:val="fr-CH"/>
              </w:rPr>
              <w:t xml:space="preserve"> sont définies à l’aide d’une série de variétés témoins dites différentielles conformément au tableau suivant :…</w:t>
            </w:r>
            <w:r w:rsidR="005253AC" w:rsidRPr="000D5690">
              <w:rPr>
                <w:rFonts w:cs="Arial"/>
                <w:lang w:val="fr-CH"/>
              </w:rPr>
              <w:t xml:space="preserve"> ”</w:t>
            </w:r>
          </w:p>
        </w:tc>
      </w:tr>
    </w:tbl>
    <w:p w:rsidR="005253AC" w:rsidRPr="000D5690" w:rsidRDefault="005253AC" w:rsidP="005253AC">
      <w:pPr>
        <w:jc w:val="center"/>
        <w:rPr>
          <w:rFonts w:cs="Arial"/>
          <w:bCs/>
          <w:snapToGrid w:val="0"/>
          <w:lang w:val="fr-CH"/>
        </w:rPr>
      </w:pPr>
    </w:p>
    <w:p w:rsidR="005253AC" w:rsidRPr="000D5690" w:rsidRDefault="005253AC" w:rsidP="005253AC">
      <w:pPr>
        <w:jc w:val="center"/>
        <w:rPr>
          <w:rFonts w:cs="Arial"/>
          <w:bCs/>
          <w:snapToGrid w:val="0"/>
          <w:lang w:val="fr-CH"/>
        </w:rPr>
      </w:pPr>
    </w:p>
    <w:tbl>
      <w:tblPr>
        <w:tblW w:w="9670"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5253AC" w:rsidRPr="00E30CEB" w:rsidTr="00E658B6">
        <w:trPr>
          <w:cantSplit/>
          <w:jc w:val="center"/>
        </w:trPr>
        <w:tc>
          <w:tcPr>
            <w:tcW w:w="9670" w:type="dxa"/>
            <w:shd w:val="clear" w:color="auto" w:fill="D9D9D9"/>
            <w:vAlign w:val="center"/>
          </w:tcPr>
          <w:p w:rsidR="005253AC" w:rsidRPr="00D6704A" w:rsidRDefault="005253AC" w:rsidP="000D5690">
            <w:pPr>
              <w:pStyle w:val="BodyText"/>
              <w:keepNext/>
              <w:tabs>
                <w:tab w:val="left" w:pos="1378"/>
              </w:tabs>
              <w:ind w:left="1378" w:hanging="1378"/>
              <w:jc w:val="left"/>
              <w:rPr>
                <w:rFonts w:cs="Arial"/>
                <w:b/>
                <w:iCs/>
                <w:lang w:val="es-ES"/>
              </w:rPr>
            </w:pPr>
            <w:r w:rsidRPr="00D6704A">
              <w:rPr>
                <w:rFonts w:cs="Arial"/>
                <w:b/>
                <w:iCs/>
                <w:lang w:val="es-ES"/>
              </w:rPr>
              <w:t>TC/52/26</w:t>
            </w:r>
            <w:r w:rsidRPr="00D6704A">
              <w:rPr>
                <w:rFonts w:cs="Arial"/>
                <w:b/>
                <w:iCs/>
                <w:lang w:val="es-ES"/>
              </w:rPr>
              <w:tab/>
            </w:r>
            <w:r w:rsidR="001D1934" w:rsidRPr="000D5690">
              <w:rPr>
                <w:rFonts w:cs="Arial"/>
                <w:b/>
                <w:iCs/>
                <w:lang w:val="es-ES_tradnl"/>
              </w:rPr>
              <w:t xml:space="preserve">Revisión parcial de las directrices de examen del </w:t>
            </w:r>
            <w:proofErr w:type="spellStart"/>
            <w:r w:rsidR="001D1934" w:rsidRPr="000D5690">
              <w:rPr>
                <w:rFonts w:cs="Arial"/>
                <w:b/>
                <w:iCs/>
                <w:lang w:val="es-ES_tradnl"/>
              </w:rPr>
              <w:t>portainjerto</w:t>
            </w:r>
            <w:proofErr w:type="spellEnd"/>
            <w:r w:rsidR="001D1934" w:rsidRPr="000D5690">
              <w:rPr>
                <w:rFonts w:cs="Arial"/>
                <w:b/>
                <w:iCs/>
                <w:lang w:val="es-ES_tradnl"/>
              </w:rPr>
              <w:t xml:space="preserve"> del tomate (documento TG/294/1 </w:t>
            </w:r>
            <w:proofErr w:type="spellStart"/>
            <w:r w:rsidR="001D1934" w:rsidRPr="000D5690">
              <w:rPr>
                <w:rFonts w:cs="Arial"/>
                <w:b/>
                <w:iCs/>
                <w:lang w:val="es-ES_tradnl"/>
              </w:rPr>
              <w:t>Corr</w:t>
            </w:r>
            <w:proofErr w:type="spellEnd"/>
            <w:r w:rsidR="001D1934" w:rsidRPr="000D5690">
              <w:rPr>
                <w:rFonts w:cs="Arial"/>
                <w:b/>
                <w:iCs/>
                <w:lang w:val="es-ES_tradnl"/>
              </w:rPr>
              <w:t>.)</w:t>
            </w:r>
          </w:p>
        </w:tc>
      </w:tr>
    </w:tbl>
    <w:p w:rsidR="005253AC" w:rsidRPr="00D6704A" w:rsidRDefault="005253AC" w:rsidP="005253AC">
      <w:pPr>
        <w:keepNext/>
        <w:jc w:val="center"/>
        <w:rPr>
          <w:rFonts w:cs="Arial"/>
          <w:b/>
          <w:bCs/>
          <w:snapToGrid w:val="0"/>
          <w:color w:val="000000"/>
          <w:lang w:val="es-ES"/>
        </w:rPr>
      </w:pPr>
    </w:p>
    <w:p w:rsidR="005253AC" w:rsidRPr="00D6704A" w:rsidRDefault="001D1934" w:rsidP="005253AC">
      <w:pPr>
        <w:ind w:firstLine="567"/>
        <w:jc w:val="left"/>
        <w:rPr>
          <w:rFonts w:cs="Arial"/>
          <w:bCs/>
          <w:snapToGrid w:val="0"/>
          <w:lang w:val="es-ES"/>
        </w:rPr>
      </w:pPr>
      <w:r w:rsidRPr="000D5690">
        <w:rPr>
          <w:rFonts w:cs="Arial"/>
          <w:bCs/>
          <w:snapToGrid w:val="0"/>
          <w:lang w:val="es-ES_tradnl"/>
        </w:rPr>
        <w:t xml:space="preserve">Modificaciones propuestas por el TC-EDC en </w:t>
      </w:r>
      <w:r w:rsidR="000B5F70" w:rsidRPr="000D5690">
        <w:rPr>
          <w:rFonts w:cs="Arial"/>
          <w:bCs/>
          <w:snapToGrid w:val="0"/>
          <w:lang w:val="es-ES_tradnl"/>
        </w:rPr>
        <w:t xml:space="preserve">marzo </w:t>
      </w:r>
      <w:r w:rsidRPr="000D5690">
        <w:rPr>
          <w:rFonts w:cs="Arial"/>
          <w:bCs/>
          <w:snapToGrid w:val="0"/>
          <w:lang w:val="es-ES_tradnl"/>
        </w:rPr>
        <w:t>de 2016, que han de incluirse en las directrices de examen sometidas a la consideración del TC:</w:t>
      </w:r>
    </w:p>
    <w:p w:rsidR="005253AC" w:rsidRPr="00D6704A" w:rsidRDefault="005253AC" w:rsidP="005253AC">
      <w:pPr>
        <w:keepNext/>
        <w:jc w:val="center"/>
        <w:rPr>
          <w:rFonts w:cs="Arial"/>
          <w:b/>
          <w:bCs/>
          <w:snapToGrid w:val="0"/>
          <w:color w:val="000000"/>
          <w:lang w:val="es-E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5253AC" w:rsidRPr="00E30CEB" w:rsidTr="00E658B6">
        <w:tc>
          <w:tcPr>
            <w:tcW w:w="1573" w:type="dxa"/>
          </w:tcPr>
          <w:p w:rsidR="005253AC" w:rsidRPr="000D5690" w:rsidRDefault="001D1934" w:rsidP="000D5690">
            <w:pPr>
              <w:jc w:val="left"/>
              <w:rPr>
                <w:rFonts w:cs="Arial"/>
              </w:rPr>
            </w:pPr>
            <w:r w:rsidRPr="000D5690">
              <w:rPr>
                <w:rFonts w:cs="Arial"/>
                <w:lang w:val="es-ES_tradnl"/>
              </w:rPr>
              <w:t>Car.</w:t>
            </w:r>
            <w:r w:rsidR="005253AC" w:rsidRPr="000D5690">
              <w:rPr>
                <w:rFonts w:cs="Arial"/>
              </w:rPr>
              <w:t xml:space="preserve"> 28</w:t>
            </w:r>
          </w:p>
        </w:tc>
        <w:tc>
          <w:tcPr>
            <w:tcW w:w="8208" w:type="dxa"/>
          </w:tcPr>
          <w:p w:rsidR="005253AC" w:rsidRPr="00D6704A" w:rsidRDefault="001D1934" w:rsidP="00E658B6">
            <w:pPr>
              <w:keepNext/>
              <w:rPr>
                <w:rFonts w:cs="Arial"/>
                <w:lang w:val="es-ES"/>
              </w:rPr>
            </w:pPr>
            <w:r w:rsidRPr="000D5690">
              <w:rPr>
                <w:rFonts w:cs="Arial"/>
                <w:lang w:val="es-ES_tradnl"/>
              </w:rPr>
              <w:t>Como consecuencia de la supresión de</w:t>
            </w:r>
            <w:r w:rsidR="000B5F70" w:rsidRPr="000D5690">
              <w:rPr>
                <w:rFonts w:cs="Arial"/>
                <w:lang w:val="es-ES_tradnl"/>
              </w:rPr>
              <w:t>l</w:t>
            </w:r>
            <w:r w:rsidRPr="000D5690">
              <w:rPr>
                <w:rFonts w:cs="Arial"/>
                <w:lang w:val="es-ES_tradnl"/>
              </w:rPr>
              <w:t xml:space="preserve"> (*) del carácter 28, e</w:t>
            </w:r>
            <w:r w:rsidR="000B5F70" w:rsidRPr="000D5690">
              <w:rPr>
                <w:rFonts w:cs="Arial"/>
                <w:lang w:val="es-ES_tradnl"/>
              </w:rPr>
              <w:t>ste</w:t>
            </w:r>
            <w:r w:rsidRPr="000D5690">
              <w:rPr>
                <w:rFonts w:cs="Arial"/>
                <w:lang w:val="es-ES_tradnl"/>
              </w:rPr>
              <w:t xml:space="preserve"> carácter deberá eliminarse también del Capítulo 5.3 (caracteres de agrupamiento) y </w:t>
            </w:r>
            <w:r w:rsidR="004570E5" w:rsidRPr="000D5690">
              <w:rPr>
                <w:rFonts w:cs="Arial"/>
                <w:lang w:val="es-ES_tradnl"/>
              </w:rPr>
              <w:t>de</w:t>
            </w:r>
            <w:r w:rsidR="001578FE" w:rsidRPr="000D5690">
              <w:rPr>
                <w:rFonts w:cs="Arial"/>
                <w:lang w:val="es-ES_tradnl"/>
              </w:rPr>
              <w:t xml:space="preserve"> </w:t>
            </w:r>
            <w:r w:rsidR="004570E5" w:rsidRPr="000D5690">
              <w:rPr>
                <w:rFonts w:cs="Arial"/>
                <w:lang w:val="es-ES_tradnl"/>
              </w:rPr>
              <w:t>l</w:t>
            </w:r>
            <w:r w:rsidR="001578FE" w:rsidRPr="000D5690">
              <w:rPr>
                <w:rFonts w:cs="Arial"/>
                <w:lang w:val="es-ES_tradnl"/>
              </w:rPr>
              <w:t>a</w:t>
            </w:r>
            <w:r w:rsidR="004570E5" w:rsidRPr="000D5690">
              <w:rPr>
                <w:rFonts w:cs="Arial"/>
                <w:lang w:val="es-ES_tradnl"/>
              </w:rPr>
              <w:t xml:space="preserve"> </w:t>
            </w:r>
            <w:r w:rsidR="001578FE" w:rsidRPr="000D5690">
              <w:rPr>
                <w:rFonts w:cs="Arial"/>
                <w:lang w:val="es-ES_tradnl"/>
              </w:rPr>
              <w:t>sección</w:t>
            </w:r>
            <w:r w:rsidR="000B5F70" w:rsidRPr="000D5690">
              <w:rPr>
                <w:rFonts w:cs="Arial"/>
                <w:lang w:val="es-ES_tradnl"/>
              </w:rPr>
              <w:t> </w:t>
            </w:r>
            <w:r w:rsidRPr="000D5690">
              <w:rPr>
                <w:rFonts w:cs="Arial"/>
                <w:lang w:val="es-ES_tradnl"/>
              </w:rPr>
              <w:t>5</w:t>
            </w:r>
            <w:r w:rsidR="001578FE" w:rsidRPr="000D5690">
              <w:rPr>
                <w:rFonts w:cs="Arial"/>
                <w:lang w:val="es-ES_tradnl"/>
              </w:rPr>
              <w:t xml:space="preserve"> del cuestionario técnico</w:t>
            </w:r>
            <w:r w:rsidR="004570E5" w:rsidRPr="000D5690">
              <w:rPr>
                <w:rFonts w:cs="Arial"/>
                <w:lang w:val="es-ES_tradnl"/>
              </w:rPr>
              <w:t>.</w:t>
            </w:r>
          </w:p>
          <w:p w:rsidR="005253AC" w:rsidRPr="00D6704A" w:rsidRDefault="004570E5" w:rsidP="000D5690">
            <w:pPr>
              <w:keepNext/>
              <w:rPr>
                <w:rFonts w:cs="Arial"/>
                <w:i/>
                <w:lang w:val="es-ES"/>
              </w:rPr>
            </w:pPr>
            <w:r w:rsidRPr="000D5690">
              <w:rPr>
                <w:rFonts w:cs="Arial"/>
                <w:i/>
                <w:lang w:val="es-ES_tradnl"/>
              </w:rPr>
              <w:t>Aprobado por el TWV por correspondencia.</w:t>
            </w:r>
            <w:r w:rsidR="005253AC" w:rsidRPr="00D6704A">
              <w:rPr>
                <w:rFonts w:cs="Arial"/>
                <w:i/>
                <w:lang w:val="es-ES"/>
              </w:rPr>
              <w:t xml:space="preserve"> </w:t>
            </w:r>
          </w:p>
        </w:tc>
      </w:tr>
    </w:tbl>
    <w:p w:rsidR="005253AC" w:rsidRPr="00D6704A" w:rsidRDefault="005253AC" w:rsidP="005253AC">
      <w:pPr>
        <w:jc w:val="center"/>
        <w:rPr>
          <w:rFonts w:cs="Arial"/>
          <w:bCs/>
          <w:snapToGrid w:val="0"/>
          <w:lang w:val="es-ES"/>
        </w:rPr>
      </w:pPr>
    </w:p>
    <w:p w:rsidR="005253AC" w:rsidRPr="00D6704A" w:rsidRDefault="005253AC" w:rsidP="005253AC">
      <w:pPr>
        <w:jc w:val="center"/>
        <w:rPr>
          <w:rFonts w:cs="Arial"/>
          <w:bCs/>
          <w:snapToGrid w:val="0"/>
          <w:lang w:val="es-ES"/>
        </w:rPr>
      </w:pPr>
    </w:p>
    <w:tbl>
      <w:tblPr>
        <w:tblW w:w="9670"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5253AC" w:rsidRPr="00E30CEB" w:rsidTr="00E658B6">
        <w:trPr>
          <w:cantSplit/>
          <w:jc w:val="center"/>
        </w:trPr>
        <w:tc>
          <w:tcPr>
            <w:tcW w:w="9670" w:type="dxa"/>
            <w:shd w:val="clear" w:color="auto" w:fill="D9D9D9"/>
            <w:vAlign w:val="center"/>
          </w:tcPr>
          <w:p w:rsidR="005253AC" w:rsidRPr="00D6704A" w:rsidRDefault="005253AC" w:rsidP="000D5690">
            <w:pPr>
              <w:pStyle w:val="BodyText"/>
              <w:keepNext/>
              <w:tabs>
                <w:tab w:val="left" w:pos="1378"/>
              </w:tabs>
              <w:ind w:left="1378" w:hanging="1378"/>
              <w:jc w:val="left"/>
              <w:rPr>
                <w:rFonts w:cs="Arial"/>
                <w:b/>
                <w:iCs/>
                <w:lang w:val="es-ES"/>
              </w:rPr>
            </w:pPr>
            <w:r w:rsidRPr="00D6704A">
              <w:rPr>
                <w:rFonts w:cs="Arial"/>
                <w:b/>
                <w:iCs/>
                <w:lang w:val="es-ES"/>
              </w:rPr>
              <w:t>TC/52/27</w:t>
            </w:r>
            <w:r w:rsidRPr="00D6704A">
              <w:rPr>
                <w:rFonts w:cs="Arial"/>
                <w:b/>
                <w:iCs/>
                <w:lang w:val="es-ES"/>
              </w:rPr>
              <w:tab/>
            </w:r>
            <w:r w:rsidR="001578FE" w:rsidRPr="000D5690">
              <w:rPr>
                <w:rFonts w:cs="Arial"/>
                <w:b/>
                <w:iCs/>
                <w:lang w:val="es-ES_tradnl"/>
              </w:rPr>
              <w:t>Revisión parcial de las directrices de examen de las coles</w:t>
            </w:r>
          </w:p>
        </w:tc>
      </w:tr>
    </w:tbl>
    <w:p w:rsidR="005253AC" w:rsidRPr="00D6704A" w:rsidRDefault="005253AC" w:rsidP="005253AC">
      <w:pPr>
        <w:keepNext/>
        <w:jc w:val="center"/>
        <w:rPr>
          <w:rFonts w:cs="Arial"/>
          <w:b/>
          <w:bCs/>
          <w:snapToGrid w:val="0"/>
          <w:color w:val="000000"/>
          <w:lang w:val="es-ES"/>
        </w:rPr>
      </w:pPr>
    </w:p>
    <w:p w:rsidR="005253AC" w:rsidRPr="00D6704A" w:rsidRDefault="001578FE" w:rsidP="005253AC">
      <w:pPr>
        <w:autoSpaceDE w:val="0"/>
        <w:autoSpaceDN w:val="0"/>
        <w:adjustRightInd w:val="0"/>
        <w:ind w:firstLine="567"/>
        <w:jc w:val="left"/>
        <w:rPr>
          <w:rFonts w:cs="Arial"/>
          <w:lang w:val="es-ES"/>
        </w:rPr>
      </w:pPr>
      <w:r w:rsidRPr="000D5690">
        <w:rPr>
          <w:rFonts w:cs="Arial"/>
          <w:lang w:val="es-ES_tradnl"/>
        </w:rPr>
        <w:t>En el cuadro siguiente se recogen las observaciones formuladas por el comité de Redacción Ampliado en su reunión celebrada los días 6 y 7 de enero de 2016.</w:t>
      </w:r>
      <w:r w:rsidR="005253AC" w:rsidRPr="00D6704A">
        <w:rPr>
          <w:rFonts w:cs="Arial"/>
          <w:lang w:val="es-ES"/>
        </w:rPr>
        <w:t xml:space="preserve">  </w:t>
      </w:r>
      <w:r w:rsidRPr="000D5690">
        <w:rPr>
          <w:rFonts w:cs="Arial"/>
          <w:lang w:val="es-ES_tradnl"/>
        </w:rPr>
        <w:t>Todas las observaciones se han incorporado ya en el documento TC/52/27, sometido a la consideración del TC:</w:t>
      </w:r>
    </w:p>
    <w:p w:rsidR="005253AC" w:rsidRPr="00D6704A" w:rsidRDefault="005253AC" w:rsidP="005253AC">
      <w:pPr>
        <w:keepNext/>
        <w:jc w:val="center"/>
        <w:rPr>
          <w:rFonts w:cs="Arial"/>
          <w:b/>
          <w:bCs/>
          <w:snapToGrid w:val="0"/>
          <w:color w:val="000000"/>
          <w:lang w:val="es-E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5253AC" w:rsidRPr="00E30CEB" w:rsidTr="00E658B6">
        <w:trPr>
          <w:cantSplit/>
        </w:trPr>
        <w:tc>
          <w:tcPr>
            <w:tcW w:w="1573" w:type="dxa"/>
          </w:tcPr>
          <w:p w:rsidR="005253AC" w:rsidRPr="000D5690" w:rsidRDefault="001578FE" w:rsidP="00E658B6">
            <w:pPr>
              <w:jc w:val="left"/>
              <w:rPr>
                <w:rFonts w:cs="Arial"/>
              </w:rPr>
            </w:pPr>
            <w:r w:rsidRPr="000D5690">
              <w:rPr>
                <w:rFonts w:cs="Arial"/>
                <w:lang w:val="es-ES_tradnl"/>
              </w:rPr>
              <w:t>Pág</w:t>
            </w:r>
            <w:r w:rsidR="006C655F" w:rsidRPr="000D5690">
              <w:rPr>
                <w:rFonts w:cs="Arial"/>
                <w:lang w:val="es-ES_tradnl"/>
              </w:rPr>
              <w:t>.</w:t>
            </w:r>
            <w:r w:rsidRPr="000D5690">
              <w:rPr>
                <w:rFonts w:cs="Arial"/>
                <w:lang w:val="es-ES_tradnl"/>
              </w:rPr>
              <w:t> 2: coliflor</w:t>
            </w:r>
          </w:p>
          <w:p w:rsidR="005253AC" w:rsidRPr="000D5690" w:rsidRDefault="005253AC" w:rsidP="00E658B6">
            <w:pPr>
              <w:rPr>
                <w:rFonts w:cs="Arial"/>
              </w:rPr>
            </w:pPr>
            <w:r w:rsidRPr="000D5690">
              <w:rPr>
                <w:rFonts w:cs="Arial"/>
              </w:rPr>
              <w:t>Ad. 28</w:t>
            </w:r>
          </w:p>
        </w:tc>
        <w:tc>
          <w:tcPr>
            <w:tcW w:w="8208" w:type="dxa"/>
          </w:tcPr>
          <w:p w:rsidR="005253AC" w:rsidRPr="00D6704A" w:rsidRDefault="001578FE" w:rsidP="00E658B6">
            <w:pPr>
              <w:rPr>
                <w:rFonts w:cs="Arial"/>
                <w:lang w:val="es-ES"/>
              </w:rPr>
            </w:pPr>
            <w:r w:rsidRPr="000D5690">
              <w:rPr>
                <w:rFonts w:cs="Arial"/>
                <w:lang w:val="es-ES_tradnl"/>
              </w:rPr>
              <w:t xml:space="preserve">El texto de la segunda parte de la explicación relativa al </w:t>
            </w:r>
            <w:r w:rsidRPr="000D5690">
              <w:rPr>
                <w:lang w:val="es-ES_tradnl"/>
              </w:rPr>
              <w:t>análisis de marcadores de ADN y/o ensayo de campo debe ser el siguiente</w:t>
            </w:r>
            <w:r w:rsidRPr="000D5690">
              <w:rPr>
                <w:rFonts w:cs="Arial"/>
                <w:lang w:val="es-ES_tradnl"/>
              </w:rPr>
              <w:t>:</w:t>
            </w:r>
          </w:p>
          <w:p w:rsidR="005253AC" w:rsidRPr="00D6704A" w:rsidRDefault="001578FE" w:rsidP="00E658B6">
            <w:pPr>
              <w:rPr>
                <w:rFonts w:cs="Arial"/>
                <w:lang w:val="es-ES"/>
              </w:rPr>
            </w:pPr>
            <w:r w:rsidRPr="000D5690">
              <w:rPr>
                <w:rFonts w:cs="Arial"/>
                <w:lang w:val="es-ES_tradnl"/>
              </w:rPr>
              <w:t>“Análisis de marcadores de ADN y/o ensayo de campo:</w:t>
            </w:r>
          </w:p>
          <w:p w:rsidR="005253AC" w:rsidRPr="00D6704A" w:rsidRDefault="005253AC" w:rsidP="00E658B6">
            <w:pPr>
              <w:rPr>
                <w:rFonts w:cs="Arial"/>
                <w:lang w:val="es-ES"/>
              </w:rPr>
            </w:pPr>
          </w:p>
          <w:p w:rsidR="005253AC" w:rsidRPr="00D6704A" w:rsidRDefault="001578FE" w:rsidP="00E658B6">
            <w:pPr>
              <w:autoSpaceDE w:val="0"/>
              <w:autoSpaceDN w:val="0"/>
              <w:adjustRightInd w:val="0"/>
              <w:rPr>
                <w:rFonts w:cs="Arial"/>
                <w:lang w:val="es-ES"/>
              </w:rPr>
            </w:pPr>
            <w:r w:rsidRPr="000D5690">
              <w:rPr>
                <w:rFonts w:eastAsiaTheme="minorHAnsi" w:cs="Arial"/>
                <w:iCs/>
                <w:lang w:val="es-ES_tradnl"/>
              </w:rPr>
              <w:t>“</w:t>
            </w:r>
            <w:r w:rsidRPr="000D5690">
              <w:rPr>
                <w:lang w:val="es-ES_tradnl"/>
              </w:rPr>
              <w:t xml:space="preserve">Todas las variedades de las que el solicitante haya declarado en el cuestionario técnico que son totalmente </w:t>
            </w:r>
            <w:proofErr w:type="spellStart"/>
            <w:r w:rsidRPr="000D5690">
              <w:rPr>
                <w:lang w:val="es-ES_tradnl"/>
              </w:rPr>
              <w:t>androestériles</w:t>
            </w:r>
            <w:proofErr w:type="spellEnd"/>
            <w:r w:rsidRPr="000D5690">
              <w:rPr>
                <w:lang w:val="es-ES_tradnl"/>
              </w:rPr>
              <w:t xml:space="preserve"> (nivel 3) pueden examinarse en un ensayo de campo o mediante un análisis de marcadores de ADN</w:t>
            </w:r>
            <w:r w:rsidRPr="000D5690">
              <w:rPr>
                <w:rFonts w:eastAsiaTheme="minorHAnsi" w:cs="Arial"/>
                <w:iCs/>
                <w:lang w:val="es-ES_tradnl"/>
              </w:rPr>
              <w:t>.</w:t>
            </w:r>
            <w:r w:rsidR="005253AC" w:rsidRPr="00D6704A">
              <w:rPr>
                <w:rFonts w:eastAsiaTheme="minorHAnsi" w:cs="Arial"/>
                <w:iCs/>
                <w:lang w:val="es-ES"/>
              </w:rPr>
              <w:t xml:space="preserve">  </w:t>
            </w:r>
            <w:r w:rsidR="006C655F" w:rsidRPr="000D5690">
              <w:rPr>
                <w:rFonts w:eastAsiaTheme="minorHAnsi" w:cs="Arial"/>
                <w:iCs/>
                <w:lang w:val="es-ES_tradnl"/>
              </w:rPr>
              <w:t xml:space="preserve">Si en el análisis de marcadores de ADN no se detecta la presencia del marcador de </w:t>
            </w:r>
            <w:proofErr w:type="spellStart"/>
            <w:r w:rsidR="006C655F" w:rsidRPr="000D5690">
              <w:rPr>
                <w:rFonts w:eastAsiaTheme="minorHAnsi" w:cs="Arial"/>
                <w:iCs/>
                <w:lang w:val="es-ES_tradnl"/>
              </w:rPr>
              <w:t>androesterilidad</w:t>
            </w:r>
            <w:proofErr w:type="spellEnd"/>
            <w:r w:rsidR="006C655F" w:rsidRPr="000D5690">
              <w:rPr>
                <w:rFonts w:eastAsiaTheme="minorHAnsi" w:cs="Arial"/>
                <w:iCs/>
                <w:lang w:val="es-ES_tradnl"/>
              </w:rPr>
              <w:t xml:space="preserve"> citoplasmática (CMS), deberá realizarse un ensayo de campo para determinar si la variedad de la solicitud es </w:t>
            </w:r>
            <w:proofErr w:type="spellStart"/>
            <w:r w:rsidR="006C655F" w:rsidRPr="000D5690">
              <w:rPr>
                <w:rFonts w:eastAsiaTheme="minorHAnsi" w:cs="Arial"/>
                <w:iCs/>
                <w:lang w:val="es-ES_tradnl"/>
              </w:rPr>
              <w:t>androestéril</w:t>
            </w:r>
            <w:proofErr w:type="spellEnd"/>
            <w:r w:rsidR="006C655F" w:rsidRPr="000D5690">
              <w:rPr>
                <w:rFonts w:eastAsiaTheme="minorHAnsi" w:cs="Arial"/>
                <w:iCs/>
                <w:lang w:val="es-ES_tradnl"/>
              </w:rPr>
              <w:t xml:space="preserve"> (por otro mecanismo), parcialmente </w:t>
            </w:r>
            <w:proofErr w:type="spellStart"/>
            <w:r w:rsidR="006C655F" w:rsidRPr="000D5690">
              <w:rPr>
                <w:rFonts w:eastAsiaTheme="minorHAnsi" w:cs="Arial"/>
                <w:iCs/>
                <w:lang w:val="es-ES_tradnl"/>
              </w:rPr>
              <w:t>androestéril</w:t>
            </w:r>
            <w:proofErr w:type="spellEnd"/>
            <w:r w:rsidR="006C655F" w:rsidRPr="000D5690">
              <w:rPr>
                <w:rFonts w:eastAsiaTheme="minorHAnsi" w:cs="Arial"/>
                <w:iCs/>
                <w:lang w:val="es-ES_tradnl"/>
              </w:rPr>
              <w:t xml:space="preserve"> o fértil.</w:t>
            </w:r>
            <w:r w:rsidR="005253AC" w:rsidRPr="00D6704A">
              <w:rPr>
                <w:rFonts w:eastAsiaTheme="minorHAnsi" w:cs="Arial"/>
                <w:iCs/>
                <w:lang w:val="es-ES"/>
              </w:rPr>
              <w:t xml:space="preserve"> </w:t>
            </w:r>
            <w:r w:rsidR="006C655F" w:rsidRPr="000D5690">
              <w:rPr>
                <w:lang w:val="es-ES_tradnl"/>
              </w:rPr>
              <w:t xml:space="preserve">Todas aquellas variedades en cuya solicitud se declare que son fértiles o parcialmente </w:t>
            </w:r>
            <w:proofErr w:type="spellStart"/>
            <w:r w:rsidR="006C655F" w:rsidRPr="000D5690">
              <w:rPr>
                <w:lang w:val="es-ES_tradnl"/>
              </w:rPr>
              <w:t>androestériles</w:t>
            </w:r>
            <w:proofErr w:type="spellEnd"/>
            <w:r w:rsidR="006C655F" w:rsidRPr="000D5690">
              <w:rPr>
                <w:lang w:val="es-ES_tradnl"/>
              </w:rPr>
              <w:t xml:space="preserve"> han de examinarse en un ensayo de campo.</w:t>
            </w:r>
            <w:r w:rsidR="005253AC" w:rsidRPr="00D6704A">
              <w:rPr>
                <w:rFonts w:eastAsiaTheme="minorHAnsi" w:cs="Arial"/>
                <w:iCs/>
                <w:lang w:val="es-ES"/>
              </w:rPr>
              <w:t xml:space="preserve"> </w:t>
            </w:r>
          </w:p>
          <w:p w:rsidR="005253AC" w:rsidRPr="00D6704A" w:rsidRDefault="005253AC" w:rsidP="00E658B6">
            <w:pPr>
              <w:rPr>
                <w:rFonts w:cs="Arial"/>
                <w:i/>
                <w:lang w:val="es-ES"/>
              </w:rPr>
            </w:pPr>
          </w:p>
          <w:p w:rsidR="005253AC" w:rsidRPr="00D6704A" w:rsidRDefault="006C655F" w:rsidP="000D5690">
            <w:pPr>
              <w:autoSpaceDE w:val="0"/>
              <w:autoSpaceDN w:val="0"/>
              <w:adjustRightInd w:val="0"/>
              <w:rPr>
                <w:rFonts w:cs="Arial"/>
                <w:lang w:val="es-ES"/>
              </w:rPr>
            </w:pPr>
            <w:r w:rsidRPr="000D5690">
              <w:rPr>
                <w:rFonts w:cs="Arial"/>
                <w:lang w:val="es-ES_tradnl"/>
              </w:rPr>
              <w:t>“</w:t>
            </w:r>
            <w:r w:rsidRPr="000D5690">
              <w:rPr>
                <w:lang w:val="es-ES_tradnl"/>
              </w:rPr>
              <w:t>El ensayo de campo corresponde a una observación de tipo VS.</w:t>
            </w:r>
            <w:r w:rsidR="005253AC" w:rsidRPr="00D6704A">
              <w:rPr>
                <w:rFonts w:cs="Arial"/>
                <w:lang w:val="es-ES"/>
              </w:rPr>
              <w:t xml:space="preserve"> </w:t>
            </w:r>
            <w:r w:rsidRPr="000D5690">
              <w:rPr>
                <w:lang w:val="es-ES_tradnl"/>
              </w:rPr>
              <w:t xml:space="preserve">El análisis de marcadores de ADN corresponde a una observación de tipo MS. </w:t>
            </w:r>
          </w:p>
        </w:tc>
      </w:tr>
      <w:tr w:rsidR="005253AC" w:rsidRPr="00E30CEB" w:rsidTr="00E658B6">
        <w:trPr>
          <w:cantSplit/>
        </w:trPr>
        <w:tc>
          <w:tcPr>
            <w:tcW w:w="1573" w:type="dxa"/>
          </w:tcPr>
          <w:p w:rsidR="005253AC" w:rsidRPr="000D5690" w:rsidRDefault="006C655F" w:rsidP="00E658B6">
            <w:pPr>
              <w:jc w:val="left"/>
              <w:rPr>
                <w:rFonts w:cs="Arial"/>
              </w:rPr>
            </w:pPr>
            <w:r w:rsidRPr="000D5690">
              <w:rPr>
                <w:rFonts w:cs="Arial"/>
                <w:lang w:val="es-ES_tradnl"/>
              </w:rPr>
              <w:t>Pág. 3</w:t>
            </w:r>
            <w:r w:rsidR="0055381B" w:rsidRPr="000D5690">
              <w:rPr>
                <w:rFonts w:cs="Arial"/>
                <w:lang w:val="es-ES_tradnl"/>
              </w:rPr>
              <w:t>:</w:t>
            </w:r>
            <w:r w:rsidRPr="000D5690">
              <w:rPr>
                <w:rFonts w:cs="Arial"/>
                <w:lang w:val="es-ES_tradnl"/>
              </w:rPr>
              <w:t xml:space="preserve"> col repollo</w:t>
            </w:r>
          </w:p>
          <w:p w:rsidR="005253AC" w:rsidRPr="000D5690" w:rsidRDefault="005253AC" w:rsidP="00E658B6">
            <w:pPr>
              <w:rPr>
                <w:rFonts w:cs="Arial"/>
              </w:rPr>
            </w:pPr>
            <w:r w:rsidRPr="000D5690">
              <w:rPr>
                <w:rFonts w:cs="Arial"/>
              </w:rPr>
              <w:t>Ad. 35</w:t>
            </w:r>
          </w:p>
        </w:tc>
        <w:tc>
          <w:tcPr>
            <w:tcW w:w="8208" w:type="dxa"/>
          </w:tcPr>
          <w:p w:rsidR="005253AC" w:rsidRPr="00D6704A" w:rsidRDefault="006C655F" w:rsidP="000D5690">
            <w:pPr>
              <w:rPr>
                <w:rFonts w:cs="Arial"/>
                <w:lang w:val="es-ES"/>
              </w:rPr>
            </w:pPr>
            <w:r w:rsidRPr="000D5690">
              <w:rPr>
                <w:rFonts w:cs="Arial"/>
                <w:lang w:val="es-ES_tradnl"/>
              </w:rPr>
              <w:t xml:space="preserve">Debe rezar: </w:t>
            </w:r>
            <w:r w:rsidRPr="000D5690">
              <w:rPr>
                <w:rFonts w:eastAsiaTheme="minorHAnsi" w:cs="Arial"/>
                <w:iCs/>
                <w:lang w:val="es-ES_tradnl"/>
              </w:rPr>
              <w:t>“</w:t>
            </w:r>
            <w:r w:rsidRPr="000D5690">
              <w:rPr>
                <w:lang w:val="es-ES_tradnl"/>
              </w:rPr>
              <w:t xml:space="preserve">Todas las variedades de las que el solicitante haya declarado en el cuestionario técnico que son </w:t>
            </w:r>
            <w:proofErr w:type="spellStart"/>
            <w:r w:rsidRPr="000D5690">
              <w:rPr>
                <w:lang w:val="es-ES_tradnl"/>
              </w:rPr>
              <w:t>androestériles</w:t>
            </w:r>
            <w:proofErr w:type="spellEnd"/>
            <w:r w:rsidRPr="000D5690">
              <w:rPr>
                <w:lang w:val="es-ES_tradnl"/>
              </w:rPr>
              <w:t xml:space="preserve"> pueden examinarse en un ensayo de campo o mediante un análisis de marcadores de ADN.</w:t>
            </w:r>
            <w:r w:rsidR="005253AC" w:rsidRPr="00D6704A">
              <w:rPr>
                <w:rFonts w:eastAsiaTheme="minorHAnsi" w:cs="Arial"/>
                <w:iCs/>
                <w:lang w:val="es-ES"/>
              </w:rPr>
              <w:t xml:space="preserve">  </w:t>
            </w:r>
            <w:r w:rsidRPr="000D5690">
              <w:rPr>
                <w:lang w:val="es-ES_tradnl"/>
              </w:rPr>
              <w:t xml:space="preserve">Si en el análisis de marcadores de ADN no se detecta la presencia del marcador de </w:t>
            </w:r>
            <w:proofErr w:type="spellStart"/>
            <w:r w:rsidRPr="000D5690">
              <w:rPr>
                <w:lang w:val="es-ES_tradnl"/>
              </w:rPr>
              <w:t>androesterilidad</w:t>
            </w:r>
            <w:proofErr w:type="spellEnd"/>
            <w:r w:rsidRPr="000D5690">
              <w:rPr>
                <w:lang w:val="es-ES_tradnl"/>
              </w:rPr>
              <w:t xml:space="preserve"> citoplasmática (CMS), deberá realizarse un ensayo de campo para determinar si la variedad de la solicitud es </w:t>
            </w:r>
            <w:proofErr w:type="spellStart"/>
            <w:r w:rsidRPr="000D5690">
              <w:rPr>
                <w:lang w:val="es-ES_tradnl"/>
              </w:rPr>
              <w:t>androestéril</w:t>
            </w:r>
            <w:proofErr w:type="spellEnd"/>
            <w:r w:rsidRPr="000D5690">
              <w:rPr>
                <w:lang w:val="es-ES_tradnl"/>
              </w:rPr>
              <w:t xml:space="preserve"> (por otro mecanismo) o fértil.</w:t>
            </w:r>
            <w:r w:rsidR="005253AC" w:rsidRPr="00D6704A">
              <w:rPr>
                <w:rFonts w:eastAsiaTheme="minorHAnsi" w:cs="Arial"/>
                <w:iCs/>
                <w:lang w:val="es-ES"/>
              </w:rPr>
              <w:t xml:space="preserve"> </w:t>
            </w:r>
            <w:r w:rsidRPr="000D5690">
              <w:rPr>
                <w:lang w:val="es-ES_tradnl"/>
              </w:rPr>
              <w:t>Todas aquellas variedades en cuya solicitud se declare que son fértiles han de examinarse en un ensayo de campo.</w:t>
            </w:r>
            <w:r w:rsidRPr="000D5690">
              <w:rPr>
                <w:rFonts w:eastAsiaTheme="minorHAnsi" w:cs="Arial"/>
                <w:iCs/>
                <w:lang w:val="es-ES_tradnl"/>
              </w:rPr>
              <w:t>”</w:t>
            </w:r>
          </w:p>
        </w:tc>
      </w:tr>
      <w:tr w:rsidR="005253AC" w:rsidRPr="00E30CEB" w:rsidTr="00E658B6">
        <w:trPr>
          <w:cantSplit/>
        </w:trPr>
        <w:tc>
          <w:tcPr>
            <w:tcW w:w="1573" w:type="dxa"/>
          </w:tcPr>
          <w:p w:rsidR="005253AC" w:rsidRPr="000D5690" w:rsidRDefault="006C655F" w:rsidP="00E658B6">
            <w:pPr>
              <w:jc w:val="left"/>
              <w:rPr>
                <w:rFonts w:cs="Arial"/>
              </w:rPr>
            </w:pPr>
            <w:r w:rsidRPr="000D5690">
              <w:rPr>
                <w:rFonts w:cs="Arial"/>
                <w:lang w:val="es-ES_tradnl"/>
              </w:rPr>
              <w:t>Pág. 4</w:t>
            </w:r>
            <w:r w:rsidR="0055381B" w:rsidRPr="000D5690">
              <w:rPr>
                <w:rFonts w:cs="Arial"/>
                <w:lang w:val="es-ES_tradnl"/>
              </w:rPr>
              <w:t>:</w:t>
            </w:r>
            <w:r w:rsidRPr="000D5690">
              <w:rPr>
                <w:rFonts w:cs="Arial"/>
                <w:lang w:val="es-ES_tradnl"/>
              </w:rPr>
              <w:t xml:space="preserve"> col de Bruselas</w:t>
            </w:r>
          </w:p>
          <w:p w:rsidR="005253AC" w:rsidRPr="000D5690" w:rsidRDefault="005253AC" w:rsidP="00E658B6">
            <w:pPr>
              <w:rPr>
                <w:rFonts w:cs="Arial"/>
              </w:rPr>
            </w:pPr>
            <w:r w:rsidRPr="000D5690">
              <w:rPr>
                <w:rFonts w:cs="Arial"/>
              </w:rPr>
              <w:t>Ad. 21</w:t>
            </w:r>
          </w:p>
        </w:tc>
        <w:tc>
          <w:tcPr>
            <w:tcW w:w="8208" w:type="dxa"/>
          </w:tcPr>
          <w:p w:rsidR="005253AC" w:rsidRPr="00D6704A" w:rsidRDefault="006C655F" w:rsidP="000D5690">
            <w:pPr>
              <w:rPr>
                <w:rFonts w:eastAsiaTheme="minorHAnsi" w:cs="Arial"/>
                <w:iCs/>
                <w:lang w:val="es-ES"/>
              </w:rPr>
            </w:pPr>
            <w:r w:rsidRPr="000D5690">
              <w:rPr>
                <w:rFonts w:eastAsiaTheme="minorHAnsi" w:cs="Arial"/>
                <w:iCs/>
                <w:lang w:val="es-ES_tradnl"/>
              </w:rPr>
              <w:t xml:space="preserve">Debe rezar: “Todas las variedades de las que el solicitante haya declarado en el cuestionario técnico que son </w:t>
            </w:r>
            <w:proofErr w:type="spellStart"/>
            <w:r w:rsidRPr="000D5690">
              <w:rPr>
                <w:rFonts w:eastAsiaTheme="minorHAnsi" w:cs="Arial"/>
                <w:iCs/>
                <w:lang w:val="es-ES_tradnl"/>
              </w:rPr>
              <w:t>androestériles</w:t>
            </w:r>
            <w:proofErr w:type="spellEnd"/>
            <w:r w:rsidRPr="000D5690">
              <w:rPr>
                <w:rFonts w:eastAsiaTheme="minorHAnsi" w:cs="Arial"/>
                <w:iCs/>
                <w:lang w:val="es-ES_tradnl"/>
              </w:rPr>
              <w:t xml:space="preserve"> pueden examinarse en un ensayo de campo o mediante un análisis de marcadores de ADN.</w:t>
            </w:r>
            <w:r w:rsidR="005253AC" w:rsidRPr="00D6704A">
              <w:rPr>
                <w:rFonts w:eastAsiaTheme="minorHAnsi" w:cs="Arial"/>
                <w:iCs/>
                <w:lang w:val="es-ES"/>
              </w:rPr>
              <w:t xml:space="preserve">  </w:t>
            </w:r>
            <w:r w:rsidRPr="000D5690">
              <w:rPr>
                <w:rFonts w:eastAsiaTheme="minorHAnsi" w:cs="Arial"/>
                <w:iCs/>
                <w:lang w:val="es-ES_tradnl"/>
              </w:rPr>
              <w:t xml:space="preserve">Si en el análisis de marcadores de ADN no se detecta la presencia del marcador de </w:t>
            </w:r>
            <w:proofErr w:type="spellStart"/>
            <w:r w:rsidRPr="000D5690">
              <w:rPr>
                <w:rFonts w:eastAsiaTheme="minorHAnsi" w:cs="Arial"/>
                <w:iCs/>
                <w:lang w:val="es-ES_tradnl"/>
              </w:rPr>
              <w:t>androesterilidad</w:t>
            </w:r>
            <w:proofErr w:type="spellEnd"/>
            <w:r w:rsidRPr="000D5690">
              <w:rPr>
                <w:rFonts w:eastAsiaTheme="minorHAnsi" w:cs="Arial"/>
                <w:iCs/>
                <w:lang w:val="es-ES_tradnl"/>
              </w:rPr>
              <w:t xml:space="preserve"> citoplasmática (CMS), deberá realizarse un ensayo de campo para determinar si la variedad de la solicitud es </w:t>
            </w:r>
            <w:proofErr w:type="spellStart"/>
            <w:r w:rsidRPr="000D5690">
              <w:rPr>
                <w:rFonts w:eastAsiaTheme="minorHAnsi" w:cs="Arial"/>
                <w:iCs/>
                <w:lang w:val="es-ES_tradnl"/>
              </w:rPr>
              <w:t>androestéril</w:t>
            </w:r>
            <w:proofErr w:type="spellEnd"/>
            <w:r w:rsidRPr="000D5690">
              <w:rPr>
                <w:rFonts w:eastAsiaTheme="minorHAnsi" w:cs="Arial"/>
                <w:iCs/>
                <w:lang w:val="es-ES_tradnl"/>
              </w:rPr>
              <w:t xml:space="preserve"> (por otro mecanismo) o fértil.</w:t>
            </w:r>
            <w:r w:rsidR="005253AC" w:rsidRPr="00D6704A">
              <w:rPr>
                <w:rFonts w:eastAsiaTheme="minorHAnsi" w:cs="Arial"/>
                <w:iCs/>
                <w:lang w:val="es-ES"/>
              </w:rPr>
              <w:t xml:space="preserve"> </w:t>
            </w:r>
            <w:r w:rsidRPr="000D5690">
              <w:rPr>
                <w:rFonts w:eastAsiaTheme="minorHAnsi" w:cs="Arial"/>
                <w:iCs/>
                <w:lang w:val="es-ES_tradnl"/>
              </w:rPr>
              <w:t>Todas aquellas variedades en cuya solicitud se declare que son fértiles han de examinarse en un ensayo de campo.”</w:t>
            </w:r>
          </w:p>
        </w:tc>
      </w:tr>
      <w:tr w:rsidR="005253AC" w:rsidRPr="00E30CEB" w:rsidTr="00E658B6">
        <w:trPr>
          <w:cantSplit/>
        </w:trPr>
        <w:tc>
          <w:tcPr>
            <w:tcW w:w="1573" w:type="dxa"/>
          </w:tcPr>
          <w:p w:rsidR="005253AC" w:rsidRPr="000D5690" w:rsidRDefault="006C655F" w:rsidP="00E658B6">
            <w:pPr>
              <w:jc w:val="left"/>
              <w:rPr>
                <w:rFonts w:cs="Arial"/>
              </w:rPr>
            </w:pPr>
            <w:r w:rsidRPr="000D5690">
              <w:rPr>
                <w:rFonts w:cs="Arial"/>
                <w:lang w:val="es-ES_tradnl"/>
              </w:rPr>
              <w:t>Pág. 5</w:t>
            </w:r>
            <w:r w:rsidR="0055381B" w:rsidRPr="000D5690">
              <w:rPr>
                <w:rFonts w:cs="Arial"/>
                <w:lang w:val="es-ES_tradnl"/>
              </w:rPr>
              <w:t>:</w:t>
            </w:r>
            <w:r w:rsidRPr="000D5690">
              <w:rPr>
                <w:rFonts w:cs="Arial"/>
                <w:lang w:val="es-ES_tradnl"/>
              </w:rPr>
              <w:t xml:space="preserve"> colinabo</w:t>
            </w:r>
          </w:p>
          <w:p w:rsidR="005253AC" w:rsidRPr="000D5690" w:rsidRDefault="005253AC" w:rsidP="00E658B6">
            <w:pPr>
              <w:rPr>
                <w:rFonts w:cs="Arial"/>
              </w:rPr>
            </w:pPr>
            <w:r w:rsidRPr="000D5690">
              <w:rPr>
                <w:rFonts w:cs="Arial"/>
              </w:rPr>
              <w:t>Ad. 24</w:t>
            </w:r>
          </w:p>
        </w:tc>
        <w:tc>
          <w:tcPr>
            <w:tcW w:w="8208" w:type="dxa"/>
          </w:tcPr>
          <w:p w:rsidR="005253AC" w:rsidRPr="00D6704A" w:rsidRDefault="006C655F" w:rsidP="000D5690">
            <w:pPr>
              <w:rPr>
                <w:rFonts w:eastAsiaTheme="minorHAnsi" w:cs="Arial"/>
                <w:iCs/>
                <w:lang w:val="es-ES"/>
              </w:rPr>
            </w:pPr>
            <w:r w:rsidRPr="000D5690">
              <w:rPr>
                <w:rFonts w:eastAsiaTheme="minorHAnsi" w:cs="Arial"/>
                <w:iCs/>
                <w:lang w:val="es-ES_tradnl"/>
              </w:rPr>
              <w:t xml:space="preserve">Debe rezar: “Todas las variedades de las que el solicitante haya declarado en el cuestionario técnico que son </w:t>
            </w:r>
            <w:proofErr w:type="spellStart"/>
            <w:r w:rsidRPr="000D5690">
              <w:rPr>
                <w:rFonts w:eastAsiaTheme="minorHAnsi" w:cs="Arial"/>
                <w:iCs/>
                <w:lang w:val="es-ES_tradnl"/>
              </w:rPr>
              <w:t>androestériles</w:t>
            </w:r>
            <w:proofErr w:type="spellEnd"/>
            <w:r w:rsidRPr="000D5690">
              <w:rPr>
                <w:rFonts w:eastAsiaTheme="minorHAnsi" w:cs="Arial"/>
                <w:iCs/>
                <w:lang w:val="es-ES_tradnl"/>
              </w:rPr>
              <w:t xml:space="preserve"> pueden examinarse en un ensayo de campo o mediante un análisis de marcadores de ADN.</w:t>
            </w:r>
            <w:r w:rsidR="005253AC" w:rsidRPr="00D6704A">
              <w:rPr>
                <w:rFonts w:cs="Arial"/>
                <w:lang w:val="es-ES"/>
              </w:rPr>
              <w:t xml:space="preserve">  </w:t>
            </w:r>
            <w:r w:rsidR="0055381B" w:rsidRPr="000D5690">
              <w:rPr>
                <w:rFonts w:cs="Arial"/>
                <w:lang w:val="es-ES_tradnl"/>
              </w:rPr>
              <w:t xml:space="preserve">Si en el análisis de marcadores de ADN no se detecta la presencia del marcador de </w:t>
            </w:r>
            <w:proofErr w:type="spellStart"/>
            <w:r w:rsidR="0055381B" w:rsidRPr="000D5690">
              <w:rPr>
                <w:rFonts w:cs="Arial"/>
                <w:lang w:val="es-ES_tradnl"/>
              </w:rPr>
              <w:t>androesterilidad</w:t>
            </w:r>
            <w:proofErr w:type="spellEnd"/>
            <w:r w:rsidR="0055381B" w:rsidRPr="000D5690">
              <w:rPr>
                <w:rFonts w:cs="Arial"/>
                <w:lang w:val="es-ES_tradnl"/>
              </w:rPr>
              <w:t xml:space="preserve"> citoplasmática (CMS), deberá realizarse un ensayo de campo para determinar si la variedad de la solicitud es </w:t>
            </w:r>
            <w:proofErr w:type="spellStart"/>
            <w:r w:rsidR="0055381B" w:rsidRPr="000D5690">
              <w:rPr>
                <w:rFonts w:cs="Arial"/>
                <w:lang w:val="es-ES_tradnl"/>
              </w:rPr>
              <w:t>androestéril</w:t>
            </w:r>
            <w:proofErr w:type="spellEnd"/>
            <w:r w:rsidR="0055381B" w:rsidRPr="000D5690">
              <w:rPr>
                <w:rFonts w:cs="Arial"/>
                <w:lang w:val="es-ES_tradnl"/>
              </w:rPr>
              <w:t xml:space="preserve"> (por otro mecanismo) o fértil.</w:t>
            </w:r>
            <w:r w:rsidR="005253AC" w:rsidRPr="00D6704A">
              <w:rPr>
                <w:rFonts w:cs="Arial"/>
                <w:lang w:val="es-ES"/>
              </w:rPr>
              <w:t xml:space="preserve"> </w:t>
            </w:r>
            <w:r w:rsidR="0055381B" w:rsidRPr="000D5690">
              <w:rPr>
                <w:rFonts w:cs="Arial"/>
                <w:lang w:val="es-ES_tradnl"/>
              </w:rPr>
              <w:t>Todas aquellas variedades en cuya solicitud se declare que son fértiles han de examinarse en un ensayo de campo.”</w:t>
            </w:r>
          </w:p>
        </w:tc>
      </w:tr>
      <w:tr w:rsidR="005253AC" w:rsidRPr="00E30CEB" w:rsidTr="00E658B6">
        <w:trPr>
          <w:cantSplit/>
        </w:trPr>
        <w:tc>
          <w:tcPr>
            <w:tcW w:w="1573" w:type="dxa"/>
          </w:tcPr>
          <w:p w:rsidR="005253AC" w:rsidRPr="000D5690" w:rsidRDefault="0055381B" w:rsidP="00E658B6">
            <w:pPr>
              <w:jc w:val="left"/>
              <w:rPr>
                <w:rFonts w:cs="Arial"/>
              </w:rPr>
            </w:pPr>
            <w:r w:rsidRPr="000D5690">
              <w:rPr>
                <w:rFonts w:cs="Arial"/>
                <w:lang w:val="es-ES_tradnl"/>
              </w:rPr>
              <w:t xml:space="preserve">Pág. 6: </w:t>
            </w:r>
            <w:r w:rsidRPr="000D5690">
              <w:rPr>
                <w:lang w:val="es-ES_tradnl"/>
              </w:rPr>
              <w:t>brócoli</w:t>
            </w:r>
          </w:p>
          <w:p w:rsidR="005253AC" w:rsidRPr="000D5690" w:rsidRDefault="005253AC" w:rsidP="00E658B6">
            <w:pPr>
              <w:rPr>
                <w:rFonts w:cs="Arial"/>
              </w:rPr>
            </w:pPr>
            <w:r w:rsidRPr="000D5690">
              <w:rPr>
                <w:rFonts w:cs="Arial"/>
              </w:rPr>
              <w:t>Ad. 32</w:t>
            </w:r>
          </w:p>
        </w:tc>
        <w:tc>
          <w:tcPr>
            <w:tcW w:w="8208" w:type="dxa"/>
          </w:tcPr>
          <w:p w:rsidR="005253AC" w:rsidRPr="00D6704A" w:rsidRDefault="0055381B" w:rsidP="000D5690">
            <w:pPr>
              <w:rPr>
                <w:rFonts w:cs="Arial"/>
                <w:lang w:val="es-ES"/>
              </w:rPr>
            </w:pPr>
            <w:r w:rsidRPr="000D5690">
              <w:rPr>
                <w:rFonts w:eastAsiaTheme="minorHAnsi" w:cs="Arial"/>
                <w:iCs/>
                <w:lang w:val="es-ES_tradnl"/>
              </w:rPr>
              <w:t xml:space="preserve">Debe rezar: “Todas las variedades de las que el solicitante haya declarado en el cuestionario técnico que son </w:t>
            </w:r>
            <w:proofErr w:type="spellStart"/>
            <w:r w:rsidRPr="000D5690">
              <w:rPr>
                <w:rFonts w:eastAsiaTheme="minorHAnsi" w:cs="Arial"/>
                <w:iCs/>
                <w:lang w:val="es-ES_tradnl"/>
              </w:rPr>
              <w:t>androestériles</w:t>
            </w:r>
            <w:proofErr w:type="spellEnd"/>
            <w:r w:rsidRPr="000D5690">
              <w:rPr>
                <w:rFonts w:eastAsiaTheme="minorHAnsi" w:cs="Arial"/>
                <w:iCs/>
                <w:lang w:val="es-ES_tradnl"/>
              </w:rPr>
              <w:t xml:space="preserve"> pueden examinarse en un ensayo de campo o mediante un análisis de marcadores de ADN.</w:t>
            </w:r>
            <w:r w:rsidR="005253AC" w:rsidRPr="00D6704A">
              <w:rPr>
                <w:rFonts w:eastAsiaTheme="minorHAnsi" w:cs="Arial"/>
                <w:iCs/>
                <w:lang w:val="es-ES"/>
              </w:rPr>
              <w:t xml:space="preserve">  </w:t>
            </w:r>
            <w:r w:rsidRPr="000D5690">
              <w:rPr>
                <w:rFonts w:eastAsiaTheme="minorHAnsi" w:cs="Arial"/>
                <w:iCs/>
                <w:lang w:val="es-ES_tradnl"/>
              </w:rPr>
              <w:t xml:space="preserve">Si en el análisis de marcadores de ADN no se detecta la presencia del marcador de </w:t>
            </w:r>
            <w:proofErr w:type="spellStart"/>
            <w:r w:rsidRPr="000D5690">
              <w:rPr>
                <w:rFonts w:eastAsiaTheme="minorHAnsi" w:cs="Arial"/>
                <w:iCs/>
                <w:lang w:val="es-ES_tradnl"/>
              </w:rPr>
              <w:t>androesterilidad</w:t>
            </w:r>
            <w:proofErr w:type="spellEnd"/>
            <w:r w:rsidRPr="000D5690">
              <w:rPr>
                <w:rFonts w:eastAsiaTheme="minorHAnsi" w:cs="Arial"/>
                <w:iCs/>
                <w:lang w:val="es-ES_tradnl"/>
              </w:rPr>
              <w:t xml:space="preserve"> citoplasmática (CMS), deberá realizarse un ensayo de campo para determinar si la variedad de la solicitud es </w:t>
            </w:r>
            <w:proofErr w:type="spellStart"/>
            <w:r w:rsidRPr="000D5690">
              <w:rPr>
                <w:rFonts w:eastAsiaTheme="minorHAnsi" w:cs="Arial"/>
                <w:iCs/>
                <w:lang w:val="es-ES_tradnl"/>
              </w:rPr>
              <w:t>androestéril</w:t>
            </w:r>
            <w:proofErr w:type="spellEnd"/>
            <w:r w:rsidRPr="000D5690">
              <w:rPr>
                <w:rFonts w:eastAsiaTheme="minorHAnsi" w:cs="Arial"/>
                <w:iCs/>
                <w:lang w:val="es-ES_tradnl"/>
              </w:rPr>
              <w:t xml:space="preserve"> (por otro mecanismo) o fértil.</w:t>
            </w:r>
            <w:r w:rsidR="005253AC" w:rsidRPr="00D6704A">
              <w:rPr>
                <w:rFonts w:eastAsiaTheme="minorHAnsi" w:cs="Arial"/>
                <w:iCs/>
                <w:lang w:val="es-ES"/>
              </w:rPr>
              <w:t xml:space="preserve"> </w:t>
            </w:r>
            <w:r w:rsidRPr="000D5690">
              <w:rPr>
                <w:rFonts w:eastAsiaTheme="minorHAnsi" w:cs="Arial"/>
                <w:iCs/>
                <w:lang w:val="es-ES_tradnl"/>
              </w:rPr>
              <w:t>Todas aquellas variedades en cuya solicitud se declare que son fértiles han de examinarse en un ensayo de campo.”</w:t>
            </w:r>
          </w:p>
        </w:tc>
      </w:tr>
    </w:tbl>
    <w:p w:rsidR="005253AC" w:rsidRPr="00D6704A" w:rsidRDefault="005253AC" w:rsidP="005253AC">
      <w:pPr>
        <w:jc w:val="left"/>
        <w:rPr>
          <w:rFonts w:cs="Arial"/>
          <w:bCs/>
          <w:snapToGrid w:val="0"/>
          <w:lang w:val="es-ES"/>
        </w:rPr>
      </w:pPr>
    </w:p>
    <w:p w:rsidR="005253AC" w:rsidRPr="00D6704A" w:rsidRDefault="0047214B" w:rsidP="005253AC">
      <w:pPr>
        <w:ind w:firstLine="567"/>
        <w:jc w:val="left"/>
        <w:rPr>
          <w:rFonts w:cs="Arial"/>
          <w:bCs/>
          <w:snapToGrid w:val="0"/>
          <w:lang w:val="es-ES"/>
        </w:rPr>
      </w:pPr>
      <w:r w:rsidRPr="00D6704A">
        <w:rPr>
          <w:rFonts w:cs="Arial"/>
          <w:bCs/>
          <w:snapToGrid w:val="0"/>
          <w:lang w:val="es-ES"/>
        </w:rPr>
        <w:t>b)</w:t>
      </w:r>
      <w:r w:rsidR="005253AC" w:rsidRPr="00D6704A">
        <w:rPr>
          <w:rFonts w:cs="Arial"/>
          <w:bCs/>
          <w:snapToGrid w:val="0"/>
          <w:lang w:val="es-ES"/>
        </w:rPr>
        <w:tab/>
      </w:r>
      <w:r w:rsidR="0055381B" w:rsidRPr="000D5690">
        <w:rPr>
          <w:rFonts w:cs="Arial"/>
          <w:bCs/>
          <w:snapToGrid w:val="0"/>
          <w:lang w:val="es-ES_tradnl"/>
        </w:rPr>
        <w:t xml:space="preserve">Modificaciones propuestas por el TC-EDC en </w:t>
      </w:r>
      <w:r w:rsidR="000B5F70" w:rsidRPr="000D5690">
        <w:rPr>
          <w:rFonts w:cs="Arial"/>
          <w:bCs/>
          <w:snapToGrid w:val="0"/>
          <w:lang w:val="es-ES_tradnl"/>
        </w:rPr>
        <w:t xml:space="preserve">marzo </w:t>
      </w:r>
      <w:r w:rsidR="0055381B" w:rsidRPr="000D5690">
        <w:rPr>
          <w:rFonts w:cs="Arial"/>
          <w:bCs/>
          <w:snapToGrid w:val="0"/>
          <w:lang w:val="es-ES_tradnl"/>
        </w:rPr>
        <w:t>de 2016, que han de incluirse en las directrices de examen sometidas a la consideración del TC:</w:t>
      </w:r>
    </w:p>
    <w:p w:rsidR="005253AC" w:rsidRPr="00D6704A" w:rsidRDefault="005253AC" w:rsidP="005253AC">
      <w:pPr>
        <w:ind w:firstLine="567"/>
        <w:jc w:val="left"/>
        <w:rPr>
          <w:rFonts w:cs="Arial"/>
          <w:bCs/>
          <w:snapToGrid w:val="0"/>
          <w:lang w:val="es-E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5253AC" w:rsidRPr="00E30CEB" w:rsidTr="00E658B6">
        <w:trPr>
          <w:cantSplit/>
        </w:trPr>
        <w:tc>
          <w:tcPr>
            <w:tcW w:w="1573" w:type="dxa"/>
          </w:tcPr>
          <w:p w:rsidR="005253AC" w:rsidRPr="000D5690" w:rsidRDefault="0055381B" w:rsidP="000D5690">
            <w:pPr>
              <w:jc w:val="left"/>
              <w:rPr>
                <w:rFonts w:cs="Arial"/>
              </w:rPr>
            </w:pPr>
            <w:r w:rsidRPr="000D5690">
              <w:rPr>
                <w:rFonts w:cs="Arial"/>
                <w:lang w:val="es-ES_tradnl"/>
              </w:rPr>
              <w:t>Pág. 2: coliflor</w:t>
            </w:r>
          </w:p>
        </w:tc>
        <w:tc>
          <w:tcPr>
            <w:tcW w:w="8208" w:type="dxa"/>
          </w:tcPr>
          <w:p w:rsidR="005253AC" w:rsidRPr="00D6704A" w:rsidRDefault="0055381B" w:rsidP="00E658B6">
            <w:pPr>
              <w:rPr>
                <w:lang w:val="es-ES"/>
              </w:rPr>
            </w:pPr>
            <w:r w:rsidRPr="000D5690">
              <w:rPr>
                <w:lang w:val="es-ES_tradnl"/>
              </w:rPr>
              <w:t>Debe corregirse la errata en el nombre botánico:</w:t>
            </w:r>
            <w:r w:rsidR="005253AC" w:rsidRPr="00D6704A">
              <w:rPr>
                <w:lang w:val="es-ES"/>
              </w:rPr>
              <w:t xml:space="preserve"> </w:t>
            </w:r>
            <w:proofErr w:type="spellStart"/>
            <w:r w:rsidRPr="000D5690">
              <w:rPr>
                <w:rStyle w:val="Emphasis"/>
                <w:lang w:val="es-ES_tradnl"/>
              </w:rPr>
              <w:t>Brassica</w:t>
            </w:r>
            <w:proofErr w:type="spellEnd"/>
            <w:r w:rsidRPr="000D5690">
              <w:rPr>
                <w:rStyle w:val="Emphasis"/>
                <w:lang w:val="es-ES_tradnl"/>
              </w:rPr>
              <w:t xml:space="preserve"> </w:t>
            </w:r>
            <w:proofErr w:type="spellStart"/>
            <w:r w:rsidRPr="000D5690">
              <w:rPr>
                <w:rStyle w:val="Emphasis"/>
                <w:lang w:val="es-ES_tradnl"/>
              </w:rPr>
              <w:t>oleracea</w:t>
            </w:r>
            <w:proofErr w:type="spellEnd"/>
            <w:r w:rsidRPr="000D5690">
              <w:rPr>
                <w:rStyle w:val="Emphasis"/>
                <w:lang w:val="es-ES_tradnl"/>
              </w:rPr>
              <w:t xml:space="preserve"> </w:t>
            </w:r>
            <w:r w:rsidRPr="000D5690">
              <w:rPr>
                <w:rStyle w:val="Emphasis"/>
                <w:i w:val="0"/>
                <w:lang w:val="es-ES_tradnl"/>
              </w:rPr>
              <w:t xml:space="preserve">L. </w:t>
            </w:r>
            <w:proofErr w:type="spellStart"/>
            <w:r w:rsidRPr="000D5690">
              <w:rPr>
                <w:rStyle w:val="Emphasis"/>
                <w:i w:val="0"/>
                <w:lang w:val="es-ES_tradnl"/>
              </w:rPr>
              <w:t>convar</w:t>
            </w:r>
            <w:proofErr w:type="spellEnd"/>
            <w:r w:rsidRPr="000D5690">
              <w:rPr>
                <w:rStyle w:val="Emphasis"/>
                <w:i w:val="0"/>
                <w:lang w:val="es-ES_tradnl"/>
              </w:rPr>
              <w:t xml:space="preserve">. </w:t>
            </w:r>
            <w:proofErr w:type="spellStart"/>
            <w:proofErr w:type="gramStart"/>
            <w:r w:rsidRPr="000D5690">
              <w:rPr>
                <w:rStyle w:val="Emphasis"/>
                <w:lang w:val="es-ES_tradnl"/>
              </w:rPr>
              <w:t>botrytis</w:t>
            </w:r>
            <w:proofErr w:type="spellEnd"/>
            <w:proofErr w:type="gramEnd"/>
            <w:r w:rsidRPr="000D5690">
              <w:rPr>
                <w:rStyle w:val="Emphasis"/>
                <w:i w:val="0"/>
                <w:lang w:val="es-ES_tradnl"/>
              </w:rPr>
              <w:t xml:space="preserve"> (L.) </w:t>
            </w:r>
            <w:proofErr w:type="spellStart"/>
            <w:r w:rsidRPr="000D5690">
              <w:rPr>
                <w:rStyle w:val="Emphasis"/>
                <w:i w:val="0"/>
                <w:lang w:val="es-ES_tradnl"/>
              </w:rPr>
              <w:t>Alef</w:t>
            </w:r>
            <w:proofErr w:type="spellEnd"/>
            <w:r w:rsidRPr="000D5690">
              <w:rPr>
                <w:rStyle w:val="Emphasis"/>
                <w:i w:val="0"/>
                <w:lang w:val="es-ES_tradnl"/>
              </w:rPr>
              <w:t xml:space="preserve">. </w:t>
            </w:r>
            <w:proofErr w:type="spellStart"/>
            <w:proofErr w:type="gramStart"/>
            <w:r w:rsidRPr="000D5690">
              <w:rPr>
                <w:rStyle w:val="Emphasis"/>
                <w:i w:val="0"/>
                <w:lang w:val="es-ES_tradnl"/>
              </w:rPr>
              <w:t>var</w:t>
            </w:r>
            <w:proofErr w:type="spellEnd"/>
            <w:proofErr w:type="gramEnd"/>
            <w:r w:rsidRPr="000D5690">
              <w:rPr>
                <w:rStyle w:val="Emphasis"/>
                <w:i w:val="0"/>
                <w:lang w:val="es-ES_tradnl"/>
              </w:rPr>
              <w:t xml:space="preserve">. </w:t>
            </w:r>
            <w:proofErr w:type="spellStart"/>
            <w:proofErr w:type="gramStart"/>
            <w:r w:rsidRPr="000D5690">
              <w:rPr>
                <w:rStyle w:val="Emphasis"/>
                <w:b/>
                <w:i w:val="0"/>
                <w:lang w:val="es-ES_tradnl"/>
              </w:rPr>
              <w:t>botrytis</w:t>
            </w:r>
            <w:proofErr w:type="spellEnd"/>
            <w:proofErr w:type="gramEnd"/>
            <w:r w:rsidRPr="000D5690">
              <w:rPr>
                <w:rStyle w:val="Emphasis"/>
                <w:i w:val="0"/>
                <w:lang w:val="es-ES_tradnl"/>
              </w:rPr>
              <w:t xml:space="preserve"> L.,</w:t>
            </w:r>
            <w:r w:rsidRPr="000D5690">
              <w:rPr>
                <w:rStyle w:val="Emphasis"/>
                <w:lang w:val="es-ES_tradnl"/>
              </w:rPr>
              <w:t xml:space="preserve"> </w:t>
            </w:r>
            <w:r w:rsidRPr="000D5690">
              <w:rPr>
                <w:rStyle w:val="Emphasis"/>
                <w:i w:val="0"/>
                <w:lang w:val="es-ES_tradnl"/>
              </w:rPr>
              <w:t>en lugar de</w:t>
            </w:r>
            <w:r w:rsidRPr="000D5690">
              <w:rPr>
                <w:rStyle w:val="Emphasis"/>
                <w:lang w:val="es-ES_tradnl"/>
              </w:rPr>
              <w:t xml:space="preserve"> </w:t>
            </w:r>
            <w:proofErr w:type="spellStart"/>
            <w:r w:rsidRPr="000D5690">
              <w:rPr>
                <w:rStyle w:val="Emphasis"/>
                <w:lang w:val="es-ES_tradnl"/>
              </w:rPr>
              <w:t>Brassica</w:t>
            </w:r>
            <w:proofErr w:type="spellEnd"/>
            <w:r w:rsidRPr="000D5690">
              <w:rPr>
                <w:rStyle w:val="Emphasis"/>
                <w:lang w:val="es-ES_tradnl"/>
              </w:rPr>
              <w:t xml:space="preserve"> </w:t>
            </w:r>
            <w:proofErr w:type="spellStart"/>
            <w:r w:rsidRPr="000D5690">
              <w:rPr>
                <w:rStyle w:val="Emphasis"/>
                <w:lang w:val="es-ES_tradnl"/>
              </w:rPr>
              <w:t>oleracea</w:t>
            </w:r>
            <w:proofErr w:type="spellEnd"/>
            <w:r w:rsidRPr="000D5690">
              <w:rPr>
                <w:rStyle w:val="Emphasis"/>
                <w:i w:val="0"/>
                <w:lang w:val="es-ES_tradnl"/>
              </w:rPr>
              <w:t xml:space="preserve"> L. </w:t>
            </w:r>
            <w:proofErr w:type="spellStart"/>
            <w:r w:rsidRPr="000D5690">
              <w:rPr>
                <w:rStyle w:val="Emphasis"/>
                <w:i w:val="0"/>
                <w:lang w:val="es-ES_tradnl"/>
              </w:rPr>
              <w:t>convar</w:t>
            </w:r>
            <w:proofErr w:type="spellEnd"/>
            <w:r w:rsidRPr="000D5690">
              <w:rPr>
                <w:rStyle w:val="Emphasis"/>
                <w:i w:val="0"/>
                <w:lang w:val="es-ES_tradnl"/>
              </w:rPr>
              <w:t>.</w:t>
            </w:r>
            <w:r w:rsidRPr="000D5690">
              <w:rPr>
                <w:rStyle w:val="Emphasis"/>
                <w:lang w:val="es-ES_tradnl"/>
              </w:rPr>
              <w:t xml:space="preserve"> </w:t>
            </w:r>
            <w:proofErr w:type="spellStart"/>
            <w:proofErr w:type="gramStart"/>
            <w:r w:rsidRPr="000D5690">
              <w:rPr>
                <w:rStyle w:val="Emphasis"/>
                <w:lang w:val="es-ES_tradnl"/>
              </w:rPr>
              <w:t>botrytis</w:t>
            </w:r>
            <w:proofErr w:type="spellEnd"/>
            <w:proofErr w:type="gramEnd"/>
            <w:r w:rsidRPr="000D5690">
              <w:rPr>
                <w:rStyle w:val="Emphasis"/>
                <w:lang w:val="es-ES_tradnl"/>
              </w:rPr>
              <w:t xml:space="preserve"> </w:t>
            </w:r>
            <w:r w:rsidRPr="000D5690">
              <w:rPr>
                <w:rStyle w:val="Emphasis"/>
                <w:i w:val="0"/>
                <w:lang w:val="es-ES_tradnl"/>
              </w:rPr>
              <w:t xml:space="preserve">(L.) </w:t>
            </w:r>
            <w:proofErr w:type="spellStart"/>
            <w:r w:rsidRPr="000D5690">
              <w:rPr>
                <w:rStyle w:val="Emphasis"/>
                <w:i w:val="0"/>
                <w:lang w:val="es-ES_tradnl"/>
              </w:rPr>
              <w:t>Alef</w:t>
            </w:r>
            <w:proofErr w:type="spellEnd"/>
            <w:r w:rsidRPr="000D5690">
              <w:rPr>
                <w:rStyle w:val="Emphasis"/>
                <w:i w:val="0"/>
                <w:lang w:val="es-ES_tradnl"/>
              </w:rPr>
              <w:t xml:space="preserve">. </w:t>
            </w:r>
            <w:proofErr w:type="spellStart"/>
            <w:proofErr w:type="gramStart"/>
            <w:r w:rsidRPr="000D5690">
              <w:rPr>
                <w:rStyle w:val="Emphasis"/>
                <w:i w:val="0"/>
                <w:lang w:val="es-ES_tradnl"/>
              </w:rPr>
              <w:t>var</w:t>
            </w:r>
            <w:proofErr w:type="spellEnd"/>
            <w:proofErr w:type="gramEnd"/>
            <w:r w:rsidRPr="000D5690">
              <w:rPr>
                <w:rStyle w:val="Emphasis"/>
                <w:i w:val="0"/>
                <w:lang w:val="es-ES_tradnl"/>
              </w:rPr>
              <w:t>.</w:t>
            </w:r>
            <w:r w:rsidRPr="000D5690">
              <w:rPr>
                <w:rStyle w:val="Emphasis"/>
                <w:lang w:val="es-ES_tradnl"/>
              </w:rPr>
              <w:t xml:space="preserve"> </w:t>
            </w:r>
            <w:proofErr w:type="spellStart"/>
            <w:proofErr w:type="gramStart"/>
            <w:r w:rsidRPr="000D5690">
              <w:rPr>
                <w:rStyle w:val="Strong"/>
                <w:iCs/>
                <w:lang w:val="es-ES_tradnl"/>
              </w:rPr>
              <w:t>botryris</w:t>
            </w:r>
            <w:proofErr w:type="spellEnd"/>
            <w:proofErr w:type="gramEnd"/>
            <w:r w:rsidRPr="000D5690">
              <w:rPr>
                <w:rStyle w:val="Emphasis"/>
                <w:i w:val="0"/>
                <w:lang w:val="es-ES_tradnl"/>
              </w:rPr>
              <w:t xml:space="preserve"> L.</w:t>
            </w:r>
            <w:r w:rsidR="005253AC" w:rsidRPr="00D6704A">
              <w:rPr>
                <w:lang w:val="es-ES"/>
              </w:rPr>
              <w:t xml:space="preserve"> </w:t>
            </w:r>
          </w:p>
          <w:p w:rsidR="005253AC" w:rsidRPr="00D6704A" w:rsidRDefault="0055381B" w:rsidP="000D5690">
            <w:pPr>
              <w:rPr>
                <w:rFonts w:cs="Arial"/>
                <w:i/>
                <w:lang w:val="es-ES"/>
              </w:rPr>
            </w:pPr>
            <w:r w:rsidRPr="000D5690">
              <w:rPr>
                <w:i/>
                <w:lang w:val="es-ES_tradnl"/>
              </w:rPr>
              <w:t xml:space="preserve">La modificación debe </w:t>
            </w:r>
            <w:r w:rsidR="00455B0D" w:rsidRPr="000D5690">
              <w:rPr>
                <w:i/>
                <w:lang w:val="es-ES_tradnl"/>
              </w:rPr>
              <w:t>realizarse</w:t>
            </w:r>
            <w:r w:rsidRPr="000D5690">
              <w:rPr>
                <w:i/>
                <w:lang w:val="es-ES_tradnl"/>
              </w:rPr>
              <w:t xml:space="preserve"> en las directrices de examen aprobadas.</w:t>
            </w:r>
          </w:p>
        </w:tc>
      </w:tr>
      <w:tr w:rsidR="005253AC" w:rsidRPr="00E30CEB" w:rsidTr="00E658B6">
        <w:trPr>
          <w:cantSplit/>
        </w:trPr>
        <w:tc>
          <w:tcPr>
            <w:tcW w:w="1573" w:type="dxa"/>
          </w:tcPr>
          <w:p w:rsidR="005253AC" w:rsidRPr="000D5690" w:rsidRDefault="0055381B" w:rsidP="00E658B6">
            <w:pPr>
              <w:jc w:val="left"/>
              <w:rPr>
                <w:rFonts w:cs="Arial"/>
              </w:rPr>
            </w:pPr>
            <w:r w:rsidRPr="000D5690">
              <w:rPr>
                <w:rFonts w:cs="Arial"/>
                <w:lang w:val="es-ES_tradnl"/>
              </w:rPr>
              <w:t>Pág. 2: coliflor</w:t>
            </w:r>
          </w:p>
          <w:p w:rsidR="005253AC" w:rsidRPr="000D5690" w:rsidRDefault="005253AC" w:rsidP="0055381B">
            <w:pPr>
              <w:rPr>
                <w:rFonts w:cs="Arial"/>
              </w:rPr>
            </w:pPr>
            <w:r w:rsidRPr="000D5690">
              <w:rPr>
                <w:rFonts w:cs="Arial"/>
              </w:rPr>
              <w:t>Ad. 28</w:t>
            </w:r>
          </w:p>
        </w:tc>
        <w:tc>
          <w:tcPr>
            <w:tcW w:w="8208" w:type="dxa"/>
          </w:tcPr>
          <w:p w:rsidR="005253AC" w:rsidRPr="00D6704A" w:rsidRDefault="00C83CD6" w:rsidP="00E658B6">
            <w:pPr>
              <w:rPr>
                <w:rFonts w:cs="Arial"/>
                <w:lang w:val="es-ES"/>
              </w:rPr>
            </w:pPr>
            <w:r w:rsidRPr="000D5690">
              <w:rPr>
                <w:rFonts w:cs="Arial"/>
                <w:lang w:val="es-ES_tradnl"/>
              </w:rPr>
              <w:t>El texto de la primera parte de la explicación relativa al ensayo de campo debe ser el siguiente:</w:t>
            </w:r>
            <w:r w:rsidR="005253AC" w:rsidRPr="00D6704A">
              <w:rPr>
                <w:rFonts w:cs="Arial"/>
                <w:lang w:val="es-ES"/>
              </w:rPr>
              <w:t xml:space="preserve"> </w:t>
            </w:r>
          </w:p>
          <w:p w:rsidR="005253AC" w:rsidRPr="00D6704A" w:rsidRDefault="00C83CD6" w:rsidP="00E658B6">
            <w:pPr>
              <w:rPr>
                <w:rFonts w:cs="Arial"/>
                <w:lang w:val="es-ES"/>
              </w:rPr>
            </w:pPr>
            <w:r w:rsidRPr="000D5690">
              <w:rPr>
                <w:rFonts w:cs="Arial"/>
                <w:lang w:val="es-ES_tradnl"/>
              </w:rPr>
              <w:t>“Ensayo de campo:</w:t>
            </w:r>
          </w:p>
          <w:p w:rsidR="005253AC" w:rsidRPr="00D6704A" w:rsidRDefault="005253AC" w:rsidP="00E658B6">
            <w:pPr>
              <w:rPr>
                <w:rFonts w:cs="Arial"/>
                <w:lang w:val="es-ES"/>
              </w:rPr>
            </w:pPr>
          </w:p>
          <w:p w:rsidR="005253AC" w:rsidRPr="00D6704A" w:rsidRDefault="00C83CD6" w:rsidP="00E658B6">
            <w:pPr>
              <w:tabs>
                <w:tab w:val="left" w:pos="1560"/>
                <w:tab w:val="left" w:pos="1985"/>
              </w:tabs>
              <w:ind w:left="1985" w:hanging="1248"/>
              <w:rPr>
                <w:rFonts w:cs="Arial"/>
                <w:lang w:val="es-ES"/>
              </w:rPr>
            </w:pPr>
            <w:r w:rsidRPr="000D5690">
              <w:rPr>
                <w:rFonts w:cs="Arial"/>
                <w:lang w:val="es-ES_tradnl"/>
              </w:rPr>
              <w:t>“Ausente</w:t>
            </w:r>
            <w:r w:rsidR="005253AC" w:rsidRPr="00D6704A">
              <w:rPr>
                <w:rFonts w:cs="Arial"/>
                <w:lang w:val="es-ES"/>
              </w:rPr>
              <w:t xml:space="preserve"> </w:t>
            </w:r>
            <w:r w:rsidR="005253AC" w:rsidRPr="00D6704A">
              <w:rPr>
                <w:rFonts w:cs="Arial"/>
                <w:lang w:val="es-ES"/>
              </w:rPr>
              <w:tab/>
              <w:t xml:space="preserve">= </w:t>
            </w:r>
            <w:r w:rsidR="005253AC" w:rsidRPr="00D6704A">
              <w:rPr>
                <w:rFonts w:cs="Arial"/>
                <w:lang w:val="es-ES"/>
              </w:rPr>
              <w:tab/>
            </w:r>
            <w:r w:rsidRPr="000D5690">
              <w:rPr>
                <w:rFonts w:cs="Arial"/>
                <w:lang w:val="es-ES_tradnl"/>
              </w:rPr>
              <w:t xml:space="preserve">&gt;70% de las </w:t>
            </w:r>
            <w:r w:rsidRPr="000D5690">
              <w:rPr>
                <w:lang w:val="es-ES_tradnl"/>
              </w:rPr>
              <w:t>plantas fértiles (variedades de fecundación libre o variedades híbridas producidas utilizando el sistema de autoincompatibilidad)</w:t>
            </w:r>
          </w:p>
          <w:p w:rsidR="005253AC" w:rsidRPr="00D6704A" w:rsidRDefault="00C83CD6" w:rsidP="00E658B6">
            <w:pPr>
              <w:tabs>
                <w:tab w:val="left" w:pos="1560"/>
                <w:tab w:val="left" w:pos="1985"/>
              </w:tabs>
              <w:ind w:left="1560" w:hanging="823"/>
              <w:rPr>
                <w:rFonts w:cs="Arial"/>
                <w:lang w:val="es-ES"/>
              </w:rPr>
            </w:pPr>
            <w:r w:rsidRPr="000D5690">
              <w:rPr>
                <w:rFonts w:cs="Arial"/>
                <w:lang w:val="es-ES_tradnl"/>
              </w:rPr>
              <w:t>“Parcial</w:t>
            </w:r>
            <w:r w:rsidR="005253AC" w:rsidRPr="00D6704A">
              <w:rPr>
                <w:rFonts w:cs="Arial"/>
                <w:lang w:val="es-ES"/>
              </w:rPr>
              <w:tab/>
              <w:t xml:space="preserve">= </w:t>
            </w:r>
            <w:r w:rsidR="005253AC" w:rsidRPr="00D6704A">
              <w:rPr>
                <w:rFonts w:cs="Arial"/>
                <w:lang w:val="es-ES"/>
              </w:rPr>
              <w:tab/>
            </w:r>
            <w:r w:rsidRPr="000D5690">
              <w:rPr>
                <w:rFonts w:cs="Arial"/>
                <w:lang w:val="es-ES_tradnl"/>
              </w:rPr>
              <w:t xml:space="preserve">30% a 70% de las plantas fértiles </w:t>
            </w:r>
            <w:r w:rsidRPr="000D5690">
              <w:rPr>
                <w:lang w:val="es-ES_tradnl"/>
              </w:rPr>
              <w:t xml:space="preserve">(variedades híbridas producidas con </w:t>
            </w:r>
            <w:proofErr w:type="spellStart"/>
            <w:r w:rsidRPr="000D5690">
              <w:rPr>
                <w:lang w:val="es-ES_tradnl"/>
              </w:rPr>
              <w:t>androesterilidad</w:t>
            </w:r>
            <w:proofErr w:type="spellEnd"/>
            <w:r w:rsidRPr="000D5690">
              <w:rPr>
                <w:lang w:val="es-ES_tradnl"/>
              </w:rPr>
              <w:t xml:space="preserve"> genética en condición </w:t>
            </w:r>
            <w:proofErr w:type="spellStart"/>
            <w:r w:rsidRPr="000D5690">
              <w:rPr>
                <w:lang w:val="es-ES_tradnl"/>
              </w:rPr>
              <w:t>heterocigota</w:t>
            </w:r>
            <w:proofErr w:type="spellEnd"/>
            <w:r w:rsidRPr="000D5690">
              <w:rPr>
                <w:lang w:val="es-ES_tradnl"/>
              </w:rPr>
              <w:t>)</w:t>
            </w:r>
          </w:p>
          <w:p w:rsidR="005253AC" w:rsidRPr="00D6704A" w:rsidRDefault="00C83CD6" w:rsidP="000D5690">
            <w:pPr>
              <w:tabs>
                <w:tab w:val="left" w:pos="1560"/>
                <w:tab w:val="left" w:pos="1985"/>
              </w:tabs>
              <w:ind w:left="2005" w:hanging="1268"/>
              <w:rPr>
                <w:rFonts w:cs="Arial"/>
                <w:lang w:val="es-ES"/>
              </w:rPr>
            </w:pPr>
            <w:r w:rsidRPr="000D5690">
              <w:rPr>
                <w:rFonts w:cs="Arial"/>
                <w:lang w:val="es-ES_tradnl"/>
              </w:rPr>
              <w:t>“Total</w:t>
            </w:r>
            <w:r w:rsidR="005253AC" w:rsidRPr="00D6704A">
              <w:rPr>
                <w:rFonts w:cs="Arial"/>
                <w:lang w:val="es-ES"/>
              </w:rPr>
              <w:t xml:space="preserve"> </w:t>
            </w:r>
            <w:r w:rsidR="005253AC" w:rsidRPr="00D6704A">
              <w:rPr>
                <w:rFonts w:cs="Arial"/>
                <w:lang w:val="es-ES"/>
              </w:rPr>
              <w:tab/>
              <w:t xml:space="preserve">= </w:t>
            </w:r>
            <w:r w:rsidR="005253AC" w:rsidRPr="00D6704A">
              <w:rPr>
                <w:rFonts w:cs="Arial"/>
                <w:lang w:val="es-ES"/>
              </w:rPr>
              <w:tab/>
            </w:r>
            <w:r w:rsidRPr="000D5690">
              <w:rPr>
                <w:rFonts w:cs="Arial"/>
                <w:lang w:val="es-ES_tradnl"/>
              </w:rPr>
              <w:t xml:space="preserve">&lt;30% de las plantas fértiles (variedades híbridas producidas con </w:t>
            </w:r>
            <w:proofErr w:type="spellStart"/>
            <w:r w:rsidR="005D0EEB" w:rsidRPr="000D5690">
              <w:rPr>
                <w:rFonts w:cs="Arial"/>
                <w:lang w:val="es-ES_tradnl"/>
              </w:rPr>
              <w:t>andro</w:t>
            </w:r>
            <w:r w:rsidRPr="000D5690">
              <w:rPr>
                <w:rFonts w:cs="Arial"/>
                <w:lang w:val="es-ES_tradnl"/>
              </w:rPr>
              <w:t>esterilidad</w:t>
            </w:r>
            <w:proofErr w:type="spellEnd"/>
            <w:r w:rsidRPr="000D5690">
              <w:rPr>
                <w:rFonts w:cs="Arial"/>
                <w:lang w:val="es-ES_tradnl"/>
              </w:rPr>
              <w:t xml:space="preserve"> </w:t>
            </w:r>
            <w:proofErr w:type="spellStart"/>
            <w:r w:rsidRPr="000D5690">
              <w:rPr>
                <w:rFonts w:cs="Arial"/>
                <w:lang w:val="es-ES_tradnl"/>
              </w:rPr>
              <w:t>citoplá</w:t>
            </w:r>
            <w:r w:rsidR="005D0EEB" w:rsidRPr="000D5690">
              <w:rPr>
                <w:rFonts w:cs="Arial"/>
                <w:lang w:val="es-ES_tradnl"/>
              </w:rPr>
              <w:t>smi</w:t>
            </w:r>
            <w:r w:rsidRPr="000D5690">
              <w:rPr>
                <w:rFonts w:cs="Arial"/>
                <w:lang w:val="es-ES_tradnl"/>
              </w:rPr>
              <w:t>ca</w:t>
            </w:r>
            <w:proofErr w:type="spellEnd"/>
            <w:r w:rsidRPr="000D5690">
              <w:rPr>
                <w:rFonts w:cs="Arial"/>
                <w:lang w:val="es-ES_tradnl"/>
              </w:rPr>
              <w:t>)</w:t>
            </w:r>
            <w:r w:rsidR="005D0EEB" w:rsidRPr="000D5690">
              <w:rPr>
                <w:rFonts w:cs="Arial"/>
                <w:lang w:val="es-ES_tradnl"/>
              </w:rPr>
              <w:t>”</w:t>
            </w:r>
          </w:p>
        </w:tc>
      </w:tr>
      <w:tr w:rsidR="005253AC" w:rsidRPr="00E30CEB" w:rsidTr="00E658B6">
        <w:trPr>
          <w:cantSplit/>
        </w:trPr>
        <w:tc>
          <w:tcPr>
            <w:tcW w:w="1573" w:type="dxa"/>
          </w:tcPr>
          <w:p w:rsidR="005253AC" w:rsidRPr="000D5690" w:rsidRDefault="005D0EEB" w:rsidP="000D5690">
            <w:pPr>
              <w:jc w:val="left"/>
              <w:rPr>
                <w:rFonts w:cs="Arial"/>
              </w:rPr>
            </w:pPr>
            <w:r w:rsidRPr="000D5690">
              <w:rPr>
                <w:rFonts w:cs="Arial"/>
                <w:lang w:val="es-ES_tradnl"/>
              </w:rPr>
              <w:t>Pág. 6: brócoli</w:t>
            </w:r>
          </w:p>
        </w:tc>
        <w:tc>
          <w:tcPr>
            <w:tcW w:w="8208" w:type="dxa"/>
          </w:tcPr>
          <w:p w:rsidR="005253AC" w:rsidRPr="00D6704A" w:rsidRDefault="005D0EEB" w:rsidP="00E658B6">
            <w:pPr>
              <w:keepNext/>
              <w:rPr>
                <w:rFonts w:cs="Arial"/>
                <w:lang w:val="es-ES"/>
              </w:rPr>
            </w:pPr>
            <w:r w:rsidRPr="000D5690">
              <w:rPr>
                <w:rFonts w:cs="Arial"/>
                <w:lang w:val="es-ES_tradnl"/>
              </w:rPr>
              <w:t>Debe eliminarse la variedad ejemplo “</w:t>
            </w:r>
            <w:proofErr w:type="spellStart"/>
            <w:r w:rsidRPr="000D5690">
              <w:rPr>
                <w:rFonts w:cs="Arial"/>
                <w:lang w:val="es-ES_tradnl"/>
              </w:rPr>
              <w:t>Montop</w:t>
            </w:r>
            <w:proofErr w:type="spellEnd"/>
            <w:r w:rsidRPr="000D5690">
              <w:rPr>
                <w:rFonts w:cs="Arial"/>
                <w:lang w:val="es-ES_tradnl"/>
              </w:rPr>
              <w:t xml:space="preserve">” del nivel 9 “presente” del </w:t>
            </w:r>
            <w:r w:rsidR="000B5F70" w:rsidRPr="000D5690">
              <w:rPr>
                <w:rFonts w:cs="Arial"/>
                <w:lang w:val="es-ES_tradnl"/>
              </w:rPr>
              <w:t>carácter</w:t>
            </w:r>
            <w:r w:rsidRPr="000D5690">
              <w:rPr>
                <w:rFonts w:cs="Arial"/>
                <w:lang w:val="es-ES_tradnl"/>
              </w:rPr>
              <w:t> 32 “</w:t>
            </w:r>
            <w:proofErr w:type="spellStart"/>
            <w:r w:rsidRPr="000D5690">
              <w:rPr>
                <w:rFonts w:cs="Arial"/>
                <w:lang w:val="es-ES_tradnl"/>
              </w:rPr>
              <w:t>Androesterilidad</w:t>
            </w:r>
            <w:proofErr w:type="spellEnd"/>
            <w:r w:rsidRPr="000D5690">
              <w:rPr>
                <w:rFonts w:cs="Arial"/>
                <w:lang w:val="es-ES_tradnl"/>
              </w:rPr>
              <w:t>” en las directrices de examen del brócoli (documento TG/151/4).</w:t>
            </w:r>
          </w:p>
          <w:p w:rsidR="005253AC" w:rsidRPr="00D6704A" w:rsidRDefault="005D0EEB" w:rsidP="000D5690">
            <w:pPr>
              <w:keepNext/>
              <w:rPr>
                <w:rFonts w:cs="Arial"/>
                <w:i/>
                <w:lang w:val="es-ES"/>
              </w:rPr>
            </w:pPr>
            <w:r w:rsidRPr="000D5690">
              <w:rPr>
                <w:rFonts w:cs="Arial"/>
                <w:i/>
                <w:lang w:val="es-ES_tradnl"/>
              </w:rPr>
              <w:t>Se requiere la aprobación del TWV por correspondencia.</w:t>
            </w:r>
          </w:p>
        </w:tc>
      </w:tr>
      <w:tr w:rsidR="005253AC" w:rsidRPr="00E30CEB" w:rsidTr="00E658B6">
        <w:trPr>
          <w:cantSplit/>
        </w:trPr>
        <w:tc>
          <w:tcPr>
            <w:tcW w:w="1573" w:type="dxa"/>
          </w:tcPr>
          <w:p w:rsidR="005253AC" w:rsidRPr="000D5690" w:rsidRDefault="005D0EEB" w:rsidP="00E658B6">
            <w:pPr>
              <w:jc w:val="left"/>
              <w:rPr>
                <w:rFonts w:cs="Arial"/>
              </w:rPr>
            </w:pPr>
            <w:r w:rsidRPr="000D5690">
              <w:rPr>
                <w:rFonts w:cs="Arial"/>
                <w:lang w:val="es-ES_tradnl"/>
              </w:rPr>
              <w:t>Pág. 7:</w:t>
            </w:r>
            <w:r w:rsidR="005253AC" w:rsidRPr="000D5690">
              <w:rPr>
                <w:rFonts w:cs="Arial"/>
              </w:rPr>
              <w:t xml:space="preserve"> </w:t>
            </w:r>
          </w:p>
          <w:p w:rsidR="005253AC" w:rsidRPr="000D5690" w:rsidRDefault="005D0EEB" w:rsidP="000D5690">
            <w:pPr>
              <w:jc w:val="left"/>
              <w:rPr>
                <w:rFonts w:cs="Arial"/>
              </w:rPr>
            </w:pPr>
            <w:r w:rsidRPr="000D5690">
              <w:rPr>
                <w:rFonts w:cs="Arial"/>
                <w:lang w:val="es-ES_tradnl"/>
              </w:rPr>
              <w:t>berza</w:t>
            </w:r>
          </w:p>
        </w:tc>
        <w:tc>
          <w:tcPr>
            <w:tcW w:w="8208" w:type="dxa"/>
          </w:tcPr>
          <w:p w:rsidR="005253AC" w:rsidRPr="00D6704A" w:rsidRDefault="005D0EEB" w:rsidP="00E658B6">
            <w:pPr>
              <w:rPr>
                <w:rFonts w:cs="Arial"/>
                <w:lang w:val="es-ES"/>
              </w:rPr>
            </w:pPr>
            <w:r w:rsidRPr="000D5690">
              <w:rPr>
                <w:lang w:val="es-ES_tradnl"/>
              </w:rPr>
              <w:t>La traducción al español de “</w:t>
            </w:r>
            <w:proofErr w:type="spellStart"/>
            <w:r w:rsidRPr="000D5690">
              <w:rPr>
                <w:lang w:val="es-ES_tradnl"/>
              </w:rPr>
              <w:t>Curly</w:t>
            </w:r>
            <w:proofErr w:type="spellEnd"/>
            <w:r w:rsidRPr="000D5690">
              <w:rPr>
                <w:lang w:val="es-ES_tradnl"/>
              </w:rPr>
              <w:t xml:space="preserve"> </w:t>
            </w:r>
            <w:proofErr w:type="spellStart"/>
            <w:r w:rsidRPr="000D5690">
              <w:rPr>
                <w:lang w:val="es-ES_tradnl"/>
              </w:rPr>
              <w:t>Kale</w:t>
            </w:r>
            <w:proofErr w:type="spellEnd"/>
            <w:r w:rsidRPr="000D5690">
              <w:rPr>
                <w:lang w:val="es-ES_tradnl"/>
              </w:rPr>
              <w:t>” no debe ser “berza” sino “col rizada”.</w:t>
            </w:r>
          </w:p>
          <w:p w:rsidR="005253AC" w:rsidRPr="00D6704A" w:rsidRDefault="00C83153" w:rsidP="000D5690">
            <w:pPr>
              <w:rPr>
                <w:rFonts w:cs="Arial"/>
                <w:lang w:val="es-ES"/>
              </w:rPr>
            </w:pPr>
            <w:r w:rsidRPr="000D5690">
              <w:rPr>
                <w:i/>
                <w:lang w:val="es-ES_tradnl"/>
              </w:rPr>
              <w:t>La modificación se realizará en las directrices de examen aprobadas.</w:t>
            </w:r>
          </w:p>
        </w:tc>
      </w:tr>
    </w:tbl>
    <w:p w:rsidR="005253AC" w:rsidRPr="00D6704A" w:rsidRDefault="005253AC" w:rsidP="005253AC">
      <w:pPr>
        <w:ind w:firstLine="567"/>
        <w:jc w:val="left"/>
        <w:rPr>
          <w:rFonts w:cs="Arial"/>
          <w:bCs/>
          <w:snapToGrid w:val="0"/>
          <w:lang w:val="es-ES"/>
        </w:rPr>
      </w:pPr>
    </w:p>
    <w:p w:rsidR="005253AC" w:rsidRPr="00D6704A" w:rsidRDefault="005253AC" w:rsidP="005253AC">
      <w:pPr>
        <w:jc w:val="center"/>
        <w:rPr>
          <w:rFonts w:cs="Arial"/>
          <w:bCs/>
          <w:snapToGrid w:val="0"/>
          <w:lang w:val="es-ES"/>
        </w:rPr>
      </w:pPr>
    </w:p>
    <w:p w:rsidR="005253AC" w:rsidRPr="00D6704A" w:rsidRDefault="005253AC" w:rsidP="005253AC">
      <w:pPr>
        <w:jc w:val="center"/>
        <w:rPr>
          <w:rFonts w:cs="Arial"/>
          <w:bCs/>
          <w:snapToGrid w:val="0"/>
          <w:lang w:val="es-ES"/>
        </w:rPr>
      </w:pPr>
    </w:p>
    <w:p w:rsidR="005253AC" w:rsidRPr="00D6704A" w:rsidRDefault="005253AC" w:rsidP="005253AC">
      <w:pPr>
        <w:jc w:val="center"/>
        <w:rPr>
          <w:rFonts w:cs="Arial"/>
          <w:bCs/>
          <w:snapToGrid w:val="0"/>
          <w:lang w:val="es-ES"/>
        </w:rPr>
      </w:pPr>
    </w:p>
    <w:p w:rsidR="005253AC" w:rsidRPr="00D6704A" w:rsidRDefault="005253AC" w:rsidP="005253AC">
      <w:pPr>
        <w:jc w:val="center"/>
        <w:rPr>
          <w:rFonts w:cs="Arial"/>
          <w:b/>
          <w:bCs/>
          <w:snapToGrid w:val="0"/>
          <w:color w:val="000000"/>
          <w:lang w:val="es-ES"/>
        </w:rPr>
        <w:sectPr w:rsidR="005253AC" w:rsidRPr="00D6704A" w:rsidSect="00E658B6">
          <w:headerReference w:type="default" r:id="rId17"/>
          <w:headerReference w:type="first" r:id="rId18"/>
          <w:pgSz w:w="11907" w:h="16840" w:code="9"/>
          <w:pgMar w:top="510" w:right="1134" w:bottom="1134" w:left="1134" w:header="510" w:footer="680" w:gutter="0"/>
          <w:pgNumType w:start="1"/>
          <w:cols w:space="720"/>
          <w:titlePg/>
        </w:sectPr>
      </w:pPr>
    </w:p>
    <w:p w:rsidR="005253AC" w:rsidRPr="000D5690" w:rsidRDefault="005253AC" w:rsidP="005253AC">
      <w:pPr>
        <w:pStyle w:val="Heading1"/>
      </w:pPr>
      <w:r w:rsidRPr="000D5690">
        <w:t>2.</w:t>
      </w:r>
      <w:r w:rsidRPr="000D5690">
        <w:tab/>
      </w:r>
      <w:r w:rsidR="002832EA" w:rsidRPr="000D5690">
        <w:rPr>
          <w:lang w:val="es-ES_tradnl"/>
        </w:rPr>
        <w:t>NUEVAS DIRECTRICES DE EXAMEN</w:t>
      </w:r>
    </w:p>
    <w:p w:rsidR="005253AC" w:rsidRPr="000D5690" w:rsidRDefault="005253AC" w:rsidP="005253AC">
      <w:pPr>
        <w:keepNext/>
        <w:jc w:val="left"/>
        <w:rPr>
          <w:rFonts w:cs="Arial"/>
          <w:u w:val="single"/>
        </w:rPr>
      </w:pPr>
    </w:p>
    <w:tbl>
      <w:tblPr>
        <w:tblW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00"/>
        <w:gridCol w:w="2268"/>
      </w:tblGrid>
      <w:tr w:rsidR="005253AC" w:rsidRPr="000D5690" w:rsidTr="00B5691B">
        <w:trPr>
          <w:cantSplit/>
          <w:trHeight w:val="54"/>
        </w:trPr>
        <w:tc>
          <w:tcPr>
            <w:tcW w:w="3600" w:type="dxa"/>
            <w:shd w:val="clear" w:color="auto" w:fill="D9D9D9"/>
          </w:tcPr>
          <w:p w:rsidR="005253AC" w:rsidRPr="000D5690" w:rsidRDefault="00B5691B" w:rsidP="000D5690">
            <w:pPr>
              <w:pStyle w:val="TitleofDoc"/>
              <w:keepNext/>
              <w:tabs>
                <w:tab w:val="left" w:pos="5245"/>
                <w:tab w:val="left" w:pos="7008"/>
              </w:tabs>
              <w:spacing w:before="80" w:after="80"/>
              <w:jc w:val="left"/>
              <w:rPr>
                <w:rFonts w:cs="Arial"/>
                <w:caps w:val="0"/>
              </w:rPr>
            </w:pPr>
            <w:proofErr w:type="spellStart"/>
            <w:r w:rsidRPr="000D5690">
              <w:rPr>
                <w:rFonts w:cs="Arial"/>
                <w:caps w:val="0"/>
                <w:lang w:val="es-ES_tradnl"/>
              </w:rPr>
              <w:t>Aglaonema</w:t>
            </w:r>
            <w:proofErr w:type="spellEnd"/>
            <w:r w:rsidRPr="000D5690">
              <w:rPr>
                <w:rFonts w:cs="Arial"/>
                <w:caps w:val="0"/>
                <w:lang w:val="es-ES_tradnl"/>
              </w:rPr>
              <w:t xml:space="preserve"> (</w:t>
            </w:r>
            <w:proofErr w:type="spellStart"/>
            <w:r w:rsidRPr="000D5690">
              <w:rPr>
                <w:rFonts w:cs="Arial"/>
                <w:i/>
                <w:caps w:val="0"/>
                <w:lang w:val="es-ES_tradnl"/>
              </w:rPr>
              <w:t>Aglaonema</w:t>
            </w:r>
            <w:proofErr w:type="spellEnd"/>
            <w:r w:rsidRPr="000D5690">
              <w:rPr>
                <w:rFonts w:cs="Arial"/>
                <w:caps w:val="0"/>
                <w:lang w:val="es-ES_tradnl"/>
              </w:rPr>
              <w:t xml:space="preserve"> </w:t>
            </w:r>
            <w:proofErr w:type="spellStart"/>
            <w:r w:rsidRPr="000D5690">
              <w:rPr>
                <w:rFonts w:cs="Arial"/>
                <w:caps w:val="0"/>
                <w:lang w:val="es-ES_tradnl"/>
              </w:rPr>
              <w:t>Schott</w:t>
            </w:r>
            <w:proofErr w:type="spellEnd"/>
            <w:r w:rsidRPr="000D5690">
              <w:rPr>
                <w:rFonts w:cs="Arial"/>
                <w:caps w:val="0"/>
                <w:lang w:val="es-ES_tradnl"/>
              </w:rPr>
              <w:t>.)</w:t>
            </w:r>
          </w:p>
        </w:tc>
        <w:tc>
          <w:tcPr>
            <w:tcW w:w="2268" w:type="dxa"/>
            <w:shd w:val="clear" w:color="auto" w:fill="D9D9D9"/>
          </w:tcPr>
          <w:p w:rsidR="005253AC" w:rsidRPr="000D5690" w:rsidRDefault="005253AC" w:rsidP="00E658B6">
            <w:pPr>
              <w:pStyle w:val="TitleofDoc"/>
              <w:keepNext/>
              <w:tabs>
                <w:tab w:val="left" w:pos="5245"/>
                <w:tab w:val="left" w:pos="7008"/>
              </w:tabs>
              <w:spacing w:before="80" w:after="80"/>
              <w:jc w:val="left"/>
              <w:rPr>
                <w:rFonts w:cs="Arial"/>
                <w:caps w:val="0"/>
              </w:rPr>
            </w:pPr>
            <w:r w:rsidRPr="000D5690">
              <w:rPr>
                <w:rFonts w:cs="Arial"/>
                <w:caps w:val="0"/>
              </w:rPr>
              <w:t>TG/AGLAO(proj.6)</w:t>
            </w:r>
          </w:p>
        </w:tc>
      </w:tr>
    </w:tbl>
    <w:p w:rsidR="005253AC" w:rsidRPr="000D5690" w:rsidRDefault="005253AC" w:rsidP="005253AC">
      <w:pPr>
        <w:keepNext/>
        <w:jc w:val="left"/>
        <w:rPr>
          <w:rFonts w:cs="Arial"/>
          <w:lang w:val="de-DE"/>
        </w:rPr>
      </w:pPr>
    </w:p>
    <w:p w:rsidR="005253AC" w:rsidRPr="00D6704A" w:rsidRDefault="00B5691B" w:rsidP="005253AC">
      <w:pPr>
        <w:autoSpaceDE w:val="0"/>
        <w:autoSpaceDN w:val="0"/>
        <w:adjustRightInd w:val="0"/>
        <w:ind w:firstLine="567"/>
        <w:rPr>
          <w:rFonts w:cs="Arial"/>
          <w:lang w:val="es-ES"/>
        </w:rPr>
      </w:pPr>
      <w:r w:rsidRPr="000D5690">
        <w:rPr>
          <w:rFonts w:ascii="ArialMT" w:hAnsi="ArialMT" w:cs="ArialMT"/>
          <w:lang w:val="es-ES_tradnl"/>
        </w:rPr>
        <w:t>En su reunión celebrada en Ginebra los días 6 y 7 de enero de 2016, el TC-EDC examinó el documento </w:t>
      </w:r>
      <w:r w:rsidRPr="000D5690">
        <w:rPr>
          <w:rFonts w:cs="Arial"/>
          <w:caps/>
          <w:lang w:val="es-ES_tradnl"/>
        </w:rPr>
        <w:t>TG/</w:t>
      </w:r>
      <w:proofErr w:type="gramStart"/>
      <w:r w:rsidRPr="000D5690">
        <w:rPr>
          <w:rFonts w:cs="Arial"/>
          <w:caps/>
          <w:lang w:val="es-ES_tradnl"/>
        </w:rPr>
        <w:t>AGLAO(</w:t>
      </w:r>
      <w:proofErr w:type="gramEnd"/>
      <w:r w:rsidRPr="000D5690">
        <w:rPr>
          <w:rFonts w:cs="Arial"/>
          <w:lang w:val="es-ES_tradnl"/>
        </w:rPr>
        <w:t>proj</w:t>
      </w:r>
      <w:r w:rsidRPr="000D5690">
        <w:rPr>
          <w:rFonts w:cs="Arial"/>
          <w:caps/>
          <w:lang w:val="es-ES_tradnl"/>
        </w:rPr>
        <w:t>.6).</w:t>
      </w:r>
    </w:p>
    <w:p w:rsidR="005253AC" w:rsidRPr="00D6704A" w:rsidRDefault="005253AC" w:rsidP="005253AC">
      <w:pPr>
        <w:keepNext/>
        <w:rPr>
          <w:rFonts w:cs="Arial"/>
          <w:lang w:val="es-ES"/>
        </w:rPr>
      </w:pPr>
    </w:p>
    <w:p w:rsidR="005253AC" w:rsidRPr="00D6704A" w:rsidRDefault="00B5691B" w:rsidP="005253AC">
      <w:pPr>
        <w:ind w:firstLine="567"/>
        <w:rPr>
          <w:rFonts w:cs="Arial"/>
          <w:lang w:val="es-ES"/>
        </w:rPr>
      </w:pPr>
      <w:r w:rsidRPr="000D5690">
        <w:rPr>
          <w:rFonts w:cs="Arial"/>
          <w:lang w:val="es-ES_tradnl"/>
        </w:rPr>
        <w:t>El experto principal y Presidente del TWO, el Sr. </w:t>
      </w:r>
      <w:proofErr w:type="spellStart"/>
      <w:r w:rsidRPr="000D5690">
        <w:rPr>
          <w:rFonts w:cs="Arial"/>
          <w:lang w:val="es-ES_tradnl"/>
        </w:rPr>
        <w:t>Kenji</w:t>
      </w:r>
      <w:proofErr w:type="spellEnd"/>
      <w:r w:rsidRPr="000D5690">
        <w:rPr>
          <w:rFonts w:cs="Arial"/>
          <w:lang w:val="es-ES_tradnl"/>
        </w:rPr>
        <w:t xml:space="preserve"> </w:t>
      </w:r>
      <w:proofErr w:type="spellStart"/>
      <w:r w:rsidRPr="000D5690">
        <w:rPr>
          <w:rFonts w:cs="Arial"/>
          <w:lang w:val="es-ES_tradnl"/>
        </w:rPr>
        <w:t>Numaguchi</w:t>
      </w:r>
      <w:proofErr w:type="spellEnd"/>
      <w:r w:rsidRPr="000D5690">
        <w:rPr>
          <w:rFonts w:cs="Arial"/>
          <w:lang w:val="es-ES_tradnl"/>
        </w:rPr>
        <w:t xml:space="preserve"> (Japón), solicitó que el proyecto de directrices de examen de </w:t>
      </w:r>
      <w:proofErr w:type="spellStart"/>
      <w:r w:rsidRPr="000D5690">
        <w:rPr>
          <w:rFonts w:cs="Arial"/>
          <w:lang w:val="es-ES_tradnl"/>
        </w:rPr>
        <w:t>Aglaonema</w:t>
      </w:r>
      <w:proofErr w:type="spellEnd"/>
      <w:r w:rsidRPr="000D5690">
        <w:rPr>
          <w:rFonts w:cs="Arial"/>
          <w:lang w:val="es-ES_tradnl"/>
        </w:rPr>
        <w:t xml:space="preserve"> (</w:t>
      </w:r>
      <w:proofErr w:type="spellStart"/>
      <w:r w:rsidRPr="000D5690">
        <w:rPr>
          <w:rFonts w:cs="Arial"/>
          <w:i/>
          <w:lang w:val="es-ES_tradnl"/>
        </w:rPr>
        <w:t>Aglaonema</w:t>
      </w:r>
      <w:proofErr w:type="spellEnd"/>
      <w:r w:rsidRPr="000D5690">
        <w:rPr>
          <w:rFonts w:cs="Arial"/>
          <w:lang w:val="es-ES_tradnl"/>
        </w:rPr>
        <w:t xml:space="preserve"> </w:t>
      </w:r>
      <w:proofErr w:type="spellStart"/>
      <w:r w:rsidRPr="000D5690">
        <w:rPr>
          <w:rFonts w:cs="Arial"/>
          <w:lang w:val="es-ES_tradnl"/>
        </w:rPr>
        <w:t>Schott</w:t>
      </w:r>
      <w:proofErr w:type="spellEnd"/>
      <w:r w:rsidRPr="000D5690">
        <w:rPr>
          <w:rFonts w:cs="Arial"/>
          <w:lang w:val="es-ES_tradnl"/>
        </w:rPr>
        <w:t>.) se debata de nuevo en el TWO, en su cuadragésima novena sesión, con el fin de examinar las observaciones del TC-EDC</w:t>
      </w:r>
      <w:r w:rsidR="00782BD4" w:rsidRPr="000D5690">
        <w:rPr>
          <w:rFonts w:cs="Arial"/>
          <w:lang w:val="es-ES_tradnl"/>
        </w:rPr>
        <w:t>,</w:t>
      </w:r>
      <w:r w:rsidRPr="000D5690">
        <w:rPr>
          <w:rFonts w:cs="Arial"/>
          <w:lang w:val="es-ES_tradnl"/>
        </w:rPr>
        <w:t xml:space="preserve"> </w:t>
      </w:r>
      <w:r w:rsidR="00782BD4" w:rsidRPr="000D5690">
        <w:rPr>
          <w:rFonts w:cs="Arial"/>
          <w:lang w:val="es-ES_tradnl"/>
        </w:rPr>
        <w:t xml:space="preserve">que figuran a continuación, </w:t>
      </w:r>
      <w:r w:rsidRPr="000D5690">
        <w:rPr>
          <w:rFonts w:cs="Arial"/>
          <w:lang w:val="es-ES_tradnl"/>
        </w:rPr>
        <w:t>con respecto al método de presentación de los caracteres relativos al color.</w:t>
      </w:r>
    </w:p>
    <w:p w:rsidR="005253AC" w:rsidRPr="00D6704A" w:rsidRDefault="005253AC" w:rsidP="005253AC">
      <w:pPr>
        <w:ind w:firstLine="567"/>
        <w:rPr>
          <w:rFonts w:cs="Arial"/>
          <w:lang w:val="es-ES"/>
        </w:rPr>
      </w:pPr>
    </w:p>
    <w:p w:rsidR="005253AC" w:rsidRPr="00D6704A" w:rsidRDefault="00782BD4" w:rsidP="005253AC">
      <w:pPr>
        <w:autoSpaceDE w:val="0"/>
        <w:autoSpaceDN w:val="0"/>
        <w:adjustRightInd w:val="0"/>
        <w:ind w:firstLine="567"/>
        <w:rPr>
          <w:rFonts w:cs="Arial"/>
          <w:lang w:val="es-ES"/>
        </w:rPr>
      </w:pPr>
      <w:r w:rsidRPr="000D5690">
        <w:rPr>
          <w:rFonts w:ascii="ArialMT" w:hAnsi="ArialMT" w:cs="ArialMT"/>
          <w:lang w:val="es-ES_tradnl"/>
        </w:rPr>
        <w:t>Modificaciones del documento TG/AGLAO(proj.6), realizadas sobre la base de las observaciones recibidas de los miembros del Comité de Redacción Ampliado en enero de 201</w:t>
      </w:r>
      <w:r w:rsidR="008D06B0" w:rsidRPr="000D5690">
        <w:rPr>
          <w:rFonts w:ascii="ArialMT" w:hAnsi="ArialMT" w:cs="ArialMT"/>
          <w:lang w:val="es-ES_tradnl"/>
        </w:rPr>
        <w:t>6</w:t>
      </w:r>
      <w:r w:rsidRPr="000D5690">
        <w:rPr>
          <w:rFonts w:ascii="ArialMT" w:hAnsi="ArialMT" w:cs="ArialMT"/>
          <w:lang w:val="es-ES_tradnl"/>
        </w:rPr>
        <w:t>, que han de incluirse en el proyecto de directrices de examen (documento TG/AGLAO(proj.</w:t>
      </w:r>
      <w:r w:rsidR="000B5F70" w:rsidRPr="000D5690">
        <w:rPr>
          <w:rFonts w:ascii="ArialMT" w:hAnsi="ArialMT" w:cs="ArialMT"/>
          <w:lang w:val="es-ES_tradnl"/>
        </w:rPr>
        <w:t>7</w:t>
      </w:r>
      <w:r w:rsidRPr="000D5690">
        <w:rPr>
          <w:rFonts w:ascii="ArialMT" w:hAnsi="ArialMT" w:cs="ArialMT"/>
          <w:lang w:val="es-ES_tradnl"/>
        </w:rPr>
        <w:t>)), sometido a la consideración del TWO:</w:t>
      </w:r>
    </w:p>
    <w:p w:rsidR="005253AC" w:rsidRPr="00D6704A" w:rsidRDefault="005253AC" w:rsidP="005253AC">
      <w:pPr>
        <w:keepNext/>
        <w:jc w:val="left"/>
        <w:rPr>
          <w:rFonts w:cs="Arial"/>
          <w:lang w:val="es-ES"/>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5253AC" w:rsidRPr="00E30CEB" w:rsidTr="00E658B6">
        <w:trPr>
          <w:cantSplit/>
        </w:trPr>
        <w:tc>
          <w:tcPr>
            <w:tcW w:w="1573" w:type="dxa"/>
          </w:tcPr>
          <w:p w:rsidR="005253AC" w:rsidRPr="000D5690" w:rsidRDefault="00782BD4" w:rsidP="000D5690">
            <w:pPr>
              <w:jc w:val="left"/>
              <w:rPr>
                <w:rFonts w:cs="Arial"/>
              </w:rPr>
            </w:pPr>
            <w:r w:rsidRPr="000D5690">
              <w:rPr>
                <w:rFonts w:cs="Arial"/>
                <w:lang w:val="es-ES_tradnl"/>
              </w:rPr>
              <w:t>Tabla de caracteres</w:t>
            </w:r>
          </w:p>
        </w:tc>
        <w:tc>
          <w:tcPr>
            <w:tcW w:w="7925" w:type="dxa"/>
          </w:tcPr>
          <w:p w:rsidR="005253AC" w:rsidRPr="00D6704A" w:rsidRDefault="00782BD4" w:rsidP="000D5690">
            <w:pPr>
              <w:keepNext/>
              <w:rPr>
                <w:rFonts w:cs="Arial"/>
                <w:lang w:val="es-ES"/>
              </w:rPr>
            </w:pPr>
            <w:r w:rsidRPr="000D5690">
              <w:rPr>
                <w:rFonts w:cs="Arial"/>
                <w:lang w:val="es-ES_tradnl"/>
              </w:rPr>
              <w:t>El enfoque correspondiente a los caracteres relativos al color debe revisarse para evitar los caracteres QL relativos al color (véanse la siguientes observaciones detalladas)</w:t>
            </w:r>
            <w:r w:rsidR="006F72DC" w:rsidRPr="000D5690">
              <w:rPr>
                <w:rFonts w:cs="Arial"/>
                <w:lang w:val="es-ES_tradnl"/>
              </w:rPr>
              <w:t>.</w:t>
            </w:r>
          </w:p>
        </w:tc>
      </w:tr>
      <w:tr w:rsidR="005253AC" w:rsidRPr="00E30CEB" w:rsidTr="00E658B6">
        <w:trPr>
          <w:cantSplit/>
        </w:trPr>
        <w:tc>
          <w:tcPr>
            <w:tcW w:w="1573" w:type="dxa"/>
          </w:tcPr>
          <w:p w:rsidR="005253AC" w:rsidRPr="000D5690" w:rsidRDefault="006F72DC" w:rsidP="000D5690">
            <w:pPr>
              <w:jc w:val="left"/>
              <w:rPr>
                <w:rFonts w:cs="Arial"/>
              </w:rPr>
            </w:pPr>
            <w:r w:rsidRPr="000D5690">
              <w:rPr>
                <w:rFonts w:cs="Arial"/>
                <w:lang w:val="es-ES_tradnl"/>
              </w:rPr>
              <w:t>Car.</w:t>
            </w:r>
            <w:r w:rsidR="005253AC" w:rsidRPr="000D5690">
              <w:rPr>
                <w:rFonts w:cs="Arial"/>
              </w:rPr>
              <w:t xml:space="preserve"> 4</w:t>
            </w:r>
          </w:p>
        </w:tc>
        <w:tc>
          <w:tcPr>
            <w:tcW w:w="7925" w:type="dxa"/>
          </w:tcPr>
          <w:p w:rsidR="005253AC" w:rsidRPr="00D6704A" w:rsidRDefault="006F72DC" w:rsidP="000D5690">
            <w:pPr>
              <w:keepNext/>
              <w:rPr>
                <w:rFonts w:cs="Arial"/>
                <w:lang w:val="es-ES"/>
              </w:rPr>
            </w:pPr>
            <w:r w:rsidRPr="000D5690">
              <w:rPr>
                <w:rFonts w:cs="Arial"/>
                <w:lang w:val="es-ES_tradnl"/>
              </w:rPr>
              <w:t>Debe rezar:</w:t>
            </w:r>
            <w:r w:rsidR="005253AC" w:rsidRPr="00D6704A">
              <w:rPr>
                <w:rFonts w:cs="Arial"/>
                <w:lang w:val="es-ES"/>
              </w:rPr>
              <w:t xml:space="preserve"> </w:t>
            </w:r>
            <w:r w:rsidR="005C7207" w:rsidRPr="000D5690">
              <w:rPr>
                <w:rFonts w:cs="Arial"/>
                <w:lang w:val="es-ES_tradnl"/>
              </w:rPr>
              <w:t xml:space="preserve">“Vaina de la hoja: forma del hombro”, </w:t>
            </w:r>
            <w:r w:rsidR="000B5F70" w:rsidRPr="000D5690">
              <w:rPr>
                <w:rFonts w:cs="Arial"/>
                <w:lang w:val="es-ES_tradnl"/>
              </w:rPr>
              <w:t xml:space="preserve">con </w:t>
            </w:r>
            <w:r w:rsidR="005C7207" w:rsidRPr="000D5690">
              <w:rPr>
                <w:rFonts w:cs="Arial"/>
                <w:lang w:val="es-ES_tradnl"/>
              </w:rPr>
              <w:t xml:space="preserve">los </w:t>
            </w:r>
            <w:r w:rsidR="000B5F70" w:rsidRPr="000D5690">
              <w:rPr>
                <w:rFonts w:cs="Arial"/>
                <w:lang w:val="es-ES_tradnl"/>
              </w:rPr>
              <w:t xml:space="preserve">siguientes </w:t>
            </w:r>
            <w:r w:rsidR="005C7207" w:rsidRPr="000D5690">
              <w:rPr>
                <w:rFonts w:cs="Arial"/>
                <w:lang w:val="es-ES_tradnl"/>
              </w:rPr>
              <w:t>niveles 1 a 5</w:t>
            </w:r>
            <w:r w:rsidR="000B5F70" w:rsidRPr="000D5690">
              <w:rPr>
                <w:rFonts w:cs="Arial"/>
                <w:lang w:val="es-ES_tradnl"/>
              </w:rPr>
              <w:t>:</w:t>
            </w:r>
            <w:r w:rsidR="005C7207" w:rsidRPr="000D5690">
              <w:rPr>
                <w:rFonts w:cs="Arial"/>
                <w:lang w:val="es-ES_tradnl"/>
              </w:rPr>
              <w:t xml:space="preserve"> “muy inclinado”, “ligeramente inclinado”, “recto”, “ligeramente elevado”, “muy elevado”</w:t>
            </w:r>
          </w:p>
        </w:tc>
      </w:tr>
      <w:tr w:rsidR="005253AC" w:rsidRPr="00E30CEB" w:rsidTr="00E658B6">
        <w:trPr>
          <w:cantSplit/>
        </w:trPr>
        <w:tc>
          <w:tcPr>
            <w:tcW w:w="1573" w:type="dxa"/>
          </w:tcPr>
          <w:p w:rsidR="005253AC" w:rsidRPr="000D5690" w:rsidRDefault="008D2757" w:rsidP="000D5690">
            <w:pPr>
              <w:jc w:val="left"/>
              <w:rPr>
                <w:rFonts w:cs="Arial"/>
              </w:rPr>
            </w:pPr>
            <w:r w:rsidRPr="000D5690">
              <w:rPr>
                <w:rFonts w:cs="Arial"/>
                <w:lang w:val="es-ES_tradnl"/>
              </w:rPr>
              <w:t>Caracteres</w:t>
            </w:r>
            <w:r w:rsidR="005253AC" w:rsidRPr="000D5690">
              <w:rPr>
                <w:rFonts w:cs="Arial"/>
              </w:rPr>
              <w:t xml:space="preserve"> </w:t>
            </w:r>
            <w:r w:rsidRPr="000D5690">
              <w:rPr>
                <w:rFonts w:cs="Arial"/>
                <w:lang w:val="es-ES_tradnl"/>
              </w:rPr>
              <w:t>17 al 22</w:t>
            </w:r>
          </w:p>
        </w:tc>
        <w:tc>
          <w:tcPr>
            <w:tcW w:w="7925" w:type="dxa"/>
          </w:tcPr>
          <w:p w:rsidR="005253AC" w:rsidRPr="00D6704A" w:rsidRDefault="008D2757" w:rsidP="000D5690">
            <w:pPr>
              <w:rPr>
                <w:rFonts w:cs="Arial"/>
                <w:lang w:val="es-ES"/>
              </w:rPr>
            </w:pPr>
            <w:r w:rsidRPr="000D5690">
              <w:rPr>
                <w:rFonts w:cs="Arial"/>
                <w:lang w:val="es-ES_tradnl"/>
              </w:rPr>
              <w:t>Deben combinarse, con la redacción siguiente: “Limbo: forma de disposición del primer color”</w:t>
            </w:r>
            <w:r w:rsidR="00B165A4" w:rsidRPr="000D5690">
              <w:rPr>
                <w:rFonts w:cs="Arial"/>
                <w:lang w:val="es-ES_tradnl"/>
              </w:rPr>
              <w:t>,</w:t>
            </w:r>
            <w:r w:rsidRPr="000D5690">
              <w:rPr>
                <w:rFonts w:cs="Arial"/>
                <w:lang w:val="es-ES_tradnl"/>
              </w:rPr>
              <w:t xml:space="preserve"> con los niveles</w:t>
            </w:r>
            <w:r w:rsidR="00B165A4" w:rsidRPr="000D5690">
              <w:rPr>
                <w:rFonts w:cs="Arial"/>
                <w:lang w:val="es-ES_tradnl"/>
              </w:rPr>
              <w:t>:</w:t>
            </w:r>
            <w:r w:rsidRPr="000D5690">
              <w:rPr>
                <w:rFonts w:cs="Arial"/>
                <w:lang w:val="es-ES_tradnl"/>
              </w:rPr>
              <w:t xml:space="preserve"> “manchas pequeñas”, “manchas medianas”, “manchas grandes”, “rayas”, “zona del borde” y “liso o prácticamente liso”, y debe indicarse como PQ.</w:t>
            </w:r>
          </w:p>
        </w:tc>
      </w:tr>
      <w:tr w:rsidR="005253AC" w:rsidRPr="00E30CEB" w:rsidTr="00E658B6">
        <w:trPr>
          <w:cantSplit/>
        </w:trPr>
        <w:tc>
          <w:tcPr>
            <w:tcW w:w="1573" w:type="dxa"/>
          </w:tcPr>
          <w:p w:rsidR="005253AC" w:rsidRPr="000D5690" w:rsidRDefault="008D2757" w:rsidP="000D5690">
            <w:pPr>
              <w:jc w:val="left"/>
              <w:rPr>
                <w:rFonts w:cs="Arial"/>
              </w:rPr>
            </w:pPr>
            <w:r w:rsidRPr="000D5690">
              <w:rPr>
                <w:rFonts w:cs="Arial"/>
                <w:lang w:val="es-ES_tradnl"/>
              </w:rPr>
              <w:t>Car.</w:t>
            </w:r>
            <w:r w:rsidR="005253AC" w:rsidRPr="000D5690">
              <w:rPr>
                <w:rFonts w:cs="Arial"/>
              </w:rPr>
              <w:t xml:space="preserve"> 25</w:t>
            </w:r>
          </w:p>
        </w:tc>
        <w:tc>
          <w:tcPr>
            <w:tcW w:w="7925" w:type="dxa"/>
          </w:tcPr>
          <w:p w:rsidR="005253AC" w:rsidRPr="00D6704A" w:rsidRDefault="008D2757" w:rsidP="000D5690">
            <w:pPr>
              <w:rPr>
                <w:rFonts w:cs="Arial"/>
                <w:lang w:val="es-ES"/>
              </w:rPr>
            </w:pPr>
            <w:r w:rsidRPr="000D5690">
              <w:rPr>
                <w:rFonts w:cs="Arial"/>
                <w:lang w:val="es-ES_tradnl"/>
              </w:rPr>
              <w:t>Debe añadirse el nivel “ninguno”.</w:t>
            </w:r>
          </w:p>
        </w:tc>
      </w:tr>
      <w:tr w:rsidR="005253AC" w:rsidRPr="00E30CEB" w:rsidTr="00E658B6">
        <w:trPr>
          <w:cantSplit/>
        </w:trPr>
        <w:tc>
          <w:tcPr>
            <w:tcW w:w="1573" w:type="dxa"/>
          </w:tcPr>
          <w:p w:rsidR="005253AC" w:rsidRPr="000D5690" w:rsidRDefault="008D2757" w:rsidP="000D5690">
            <w:pPr>
              <w:jc w:val="left"/>
              <w:rPr>
                <w:rFonts w:cs="Arial"/>
              </w:rPr>
            </w:pPr>
            <w:r w:rsidRPr="000D5690">
              <w:rPr>
                <w:rFonts w:cs="Arial"/>
                <w:lang w:val="es-ES_tradnl"/>
              </w:rPr>
              <w:t>Caracteres</w:t>
            </w:r>
            <w:r w:rsidR="005253AC" w:rsidRPr="000D5690">
              <w:rPr>
                <w:rFonts w:cs="Arial"/>
              </w:rPr>
              <w:t xml:space="preserve"> </w:t>
            </w:r>
            <w:r w:rsidRPr="000D5690">
              <w:rPr>
                <w:rFonts w:cs="Arial"/>
                <w:lang w:val="es-ES_tradnl"/>
              </w:rPr>
              <w:t>26 al 31</w:t>
            </w:r>
          </w:p>
        </w:tc>
        <w:tc>
          <w:tcPr>
            <w:tcW w:w="7925" w:type="dxa"/>
          </w:tcPr>
          <w:p w:rsidR="005253AC" w:rsidRPr="00D6704A" w:rsidRDefault="008D2757" w:rsidP="000D5690">
            <w:pPr>
              <w:rPr>
                <w:rFonts w:cs="Arial"/>
                <w:lang w:val="es-ES"/>
              </w:rPr>
            </w:pPr>
            <w:r w:rsidRPr="000D5690">
              <w:rPr>
                <w:rFonts w:cs="Arial"/>
                <w:lang w:val="es-ES_tradnl"/>
              </w:rPr>
              <w:t xml:space="preserve">Deben combinarse, con la redacción siguiente: “Limbo: forma de disposición del </w:t>
            </w:r>
            <w:r w:rsidR="00422A5C" w:rsidRPr="000D5690">
              <w:rPr>
                <w:rFonts w:cs="Arial"/>
                <w:lang w:val="es-ES_tradnl"/>
              </w:rPr>
              <w:t xml:space="preserve">segundo </w:t>
            </w:r>
            <w:r w:rsidRPr="000D5690">
              <w:rPr>
                <w:rFonts w:cs="Arial"/>
                <w:lang w:val="es-ES_tradnl"/>
              </w:rPr>
              <w:t>color”</w:t>
            </w:r>
            <w:r w:rsidR="00B165A4" w:rsidRPr="000D5690">
              <w:rPr>
                <w:rFonts w:cs="Arial"/>
                <w:lang w:val="es-ES_tradnl"/>
              </w:rPr>
              <w:t>,</w:t>
            </w:r>
            <w:r w:rsidRPr="000D5690">
              <w:rPr>
                <w:rFonts w:cs="Arial"/>
                <w:lang w:val="es-ES_tradnl"/>
              </w:rPr>
              <w:t xml:space="preserve"> con los niveles</w:t>
            </w:r>
            <w:r w:rsidR="00B165A4" w:rsidRPr="000D5690">
              <w:rPr>
                <w:rFonts w:cs="Arial"/>
                <w:lang w:val="es-ES_tradnl"/>
              </w:rPr>
              <w:t>:</w:t>
            </w:r>
            <w:r w:rsidRPr="000D5690">
              <w:rPr>
                <w:rFonts w:cs="Arial"/>
                <w:lang w:val="es-ES_tradnl"/>
              </w:rPr>
              <w:t xml:space="preserve"> “manchas pequeñas”, “manchas medianas”, “manchas grandes”, “rayas”, “zona del borde” y “liso o prácticamente liso”, y debe indicarse como PQ.</w:t>
            </w:r>
          </w:p>
        </w:tc>
      </w:tr>
      <w:tr w:rsidR="005253AC" w:rsidRPr="00E30CEB" w:rsidTr="00E658B6">
        <w:trPr>
          <w:cantSplit/>
        </w:trPr>
        <w:tc>
          <w:tcPr>
            <w:tcW w:w="1573" w:type="dxa"/>
          </w:tcPr>
          <w:p w:rsidR="005253AC" w:rsidRPr="000D5690" w:rsidRDefault="00422A5C" w:rsidP="000D5690">
            <w:pPr>
              <w:jc w:val="left"/>
              <w:rPr>
                <w:rFonts w:cs="Arial"/>
              </w:rPr>
            </w:pPr>
            <w:r w:rsidRPr="000D5690">
              <w:rPr>
                <w:rFonts w:cs="Arial"/>
                <w:lang w:val="es-ES_tradnl"/>
              </w:rPr>
              <w:t>Car.</w:t>
            </w:r>
            <w:r w:rsidR="005253AC" w:rsidRPr="000D5690">
              <w:rPr>
                <w:rFonts w:cs="Arial"/>
              </w:rPr>
              <w:t xml:space="preserve"> 34</w:t>
            </w:r>
          </w:p>
        </w:tc>
        <w:tc>
          <w:tcPr>
            <w:tcW w:w="7925" w:type="dxa"/>
          </w:tcPr>
          <w:p w:rsidR="005253AC" w:rsidRPr="00D6704A" w:rsidRDefault="00422A5C" w:rsidP="000D5690">
            <w:pPr>
              <w:rPr>
                <w:rFonts w:cs="Arial"/>
                <w:lang w:val="es-ES"/>
              </w:rPr>
            </w:pPr>
            <w:r w:rsidRPr="000D5690">
              <w:rPr>
                <w:rFonts w:cs="Arial"/>
                <w:lang w:val="es-ES_tradnl"/>
              </w:rPr>
              <w:t>Debe añadirse el nivel “ninguno”.</w:t>
            </w:r>
          </w:p>
        </w:tc>
      </w:tr>
      <w:tr w:rsidR="005253AC" w:rsidRPr="00E30CEB" w:rsidTr="00E658B6">
        <w:trPr>
          <w:cantSplit/>
        </w:trPr>
        <w:tc>
          <w:tcPr>
            <w:tcW w:w="1573" w:type="dxa"/>
          </w:tcPr>
          <w:p w:rsidR="005253AC" w:rsidRPr="000D5690" w:rsidRDefault="00422A5C" w:rsidP="000D5690">
            <w:pPr>
              <w:jc w:val="left"/>
              <w:rPr>
                <w:rFonts w:cs="Arial"/>
              </w:rPr>
            </w:pPr>
            <w:r w:rsidRPr="000D5690">
              <w:rPr>
                <w:rFonts w:cs="Arial"/>
                <w:lang w:val="es-ES_tradnl"/>
              </w:rPr>
              <w:t>Caracteres</w:t>
            </w:r>
            <w:r w:rsidR="005253AC" w:rsidRPr="000D5690">
              <w:rPr>
                <w:rFonts w:cs="Arial"/>
              </w:rPr>
              <w:t xml:space="preserve"> </w:t>
            </w:r>
            <w:r w:rsidRPr="000D5690">
              <w:rPr>
                <w:rFonts w:cs="Arial"/>
                <w:lang w:val="es-ES_tradnl"/>
              </w:rPr>
              <w:t>35 al 40</w:t>
            </w:r>
          </w:p>
        </w:tc>
        <w:tc>
          <w:tcPr>
            <w:tcW w:w="7925" w:type="dxa"/>
          </w:tcPr>
          <w:p w:rsidR="005253AC" w:rsidRPr="00D6704A" w:rsidRDefault="00422A5C" w:rsidP="000D5690">
            <w:pPr>
              <w:rPr>
                <w:rFonts w:cs="Arial"/>
                <w:lang w:val="es-ES"/>
              </w:rPr>
            </w:pPr>
            <w:r w:rsidRPr="000D5690">
              <w:rPr>
                <w:rFonts w:cs="Arial"/>
                <w:lang w:val="es-ES_tradnl"/>
              </w:rPr>
              <w:t>Deben combinarse, con la redacción siguiente: “Limbo: forma de disposición del tercer color”</w:t>
            </w:r>
            <w:r w:rsidR="00B165A4" w:rsidRPr="000D5690">
              <w:rPr>
                <w:rFonts w:cs="Arial"/>
                <w:lang w:val="es-ES_tradnl"/>
              </w:rPr>
              <w:t>,</w:t>
            </w:r>
            <w:r w:rsidRPr="000D5690">
              <w:rPr>
                <w:rFonts w:cs="Arial"/>
                <w:lang w:val="es-ES_tradnl"/>
              </w:rPr>
              <w:t xml:space="preserve"> con los niveles</w:t>
            </w:r>
            <w:r w:rsidR="00B165A4" w:rsidRPr="000D5690">
              <w:rPr>
                <w:rFonts w:cs="Arial"/>
                <w:lang w:val="es-ES_tradnl"/>
              </w:rPr>
              <w:t>:</w:t>
            </w:r>
            <w:r w:rsidRPr="000D5690">
              <w:rPr>
                <w:rFonts w:cs="Arial"/>
                <w:lang w:val="es-ES_tradnl"/>
              </w:rPr>
              <w:t xml:space="preserve"> “manchas pequeñas”, “manchas medianas”, “manchas grandes”, “rayas”, “zona del borde” y “liso o prácticamente liso”, y debe indicarse como PQ.</w:t>
            </w:r>
          </w:p>
        </w:tc>
      </w:tr>
      <w:tr w:rsidR="005253AC" w:rsidRPr="00E30CEB" w:rsidTr="00E658B6">
        <w:trPr>
          <w:cantSplit/>
        </w:trPr>
        <w:tc>
          <w:tcPr>
            <w:tcW w:w="1573" w:type="dxa"/>
          </w:tcPr>
          <w:p w:rsidR="005253AC" w:rsidRPr="000D5690" w:rsidRDefault="00422A5C" w:rsidP="000D5690">
            <w:pPr>
              <w:jc w:val="left"/>
              <w:rPr>
                <w:rFonts w:cs="Arial"/>
              </w:rPr>
            </w:pPr>
            <w:r w:rsidRPr="000D5690">
              <w:rPr>
                <w:rFonts w:cs="Arial"/>
                <w:lang w:val="es-ES_tradnl"/>
              </w:rPr>
              <w:t>Car.</w:t>
            </w:r>
            <w:r w:rsidR="005253AC" w:rsidRPr="000D5690">
              <w:rPr>
                <w:rFonts w:cs="Arial"/>
              </w:rPr>
              <w:t xml:space="preserve"> 43</w:t>
            </w:r>
          </w:p>
        </w:tc>
        <w:tc>
          <w:tcPr>
            <w:tcW w:w="7925" w:type="dxa"/>
          </w:tcPr>
          <w:p w:rsidR="005253AC" w:rsidRPr="00D6704A" w:rsidRDefault="00422A5C" w:rsidP="000D5690">
            <w:pPr>
              <w:rPr>
                <w:rFonts w:cs="Arial"/>
                <w:lang w:val="es-ES"/>
              </w:rPr>
            </w:pPr>
            <w:r w:rsidRPr="000D5690">
              <w:rPr>
                <w:rFonts w:cs="Arial"/>
                <w:lang w:val="es-ES_tradnl"/>
              </w:rPr>
              <w:t>Debe añadirse el nivel “ninguno”.</w:t>
            </w:r>
          </w:p>
        </w:tc>
      </w:tr>
      <w:tr w:rsidR="005253AC" w:rsidRPr="00E30CEB" w:rsidTr="00E658B6">
        <w:trPr>
          <w:cantSplit/>
        </w:trPr>
        <w:tc>
          <w:tcPr>
            <w:tcW w:w="1573" w:type="dxa"/>
          </w:tcPr>
          <w:p w:rsidR="005253AC" w:rsidRPr="000D5690" w:rsidRDefault="00422A5C" w:rsidP="000D5690">
            <w:pPr>
              <w:jc w:val="left"/>
              <w:rPr>
                <w:rFonts w:cs="Arial"/>
              </w:rPr>
            </w:pPr>
            <w:r w:rsidRPr="000D5690">
              <w:rPr>
                <w:rFonts w:cs="Arial"/>
                <w:lang w:val="es-ES_tradnl"/>
              </w:rPr>
              <w:t>Caracteres</w:t>
            </w:r>
            <w:r w:rsidR="005253AC" w:rsidRPr="000D5690">
              <w:rPr>
                <w:rFonts w:cs="Arial"/>
              </w:rPr>
              <w:t xml:space="preserve"> </w:t>
            </w:r>
            <w:r w:rsidRPr="000D5690">
              <w:rPr>
                <w:rFonts w:cs="Arial"/>
                <w:lang w:val="es-ES_tradnl"/>
              </w:rPr>
              <w:t>44 al 49</w:t>
            </w:r>
          </w:p>
        </w:tc>
        <w:tc>
          <w:tcPr>
            <w:tcW w:w="7925" w:type="dxa"/>
          </w:tcPr>
          <w:p w:rsidR="005253AC" w:rsidRPr="00D6704A" w:rsidRDefault="00422A5C" w:rsidP="000D5690">
            <w:pPr>
              <w:rPr>
                <w:rFonts w:cs="Arial"/>
                <w:lang w:val="es-ES"/>
              </w:rPr>
            </w:pPr>
            <w:r w:rsidRPr="000D5690">
              <w:rPr>
                <w:rFonts w:cs="Arial"/>
                <w:lang w:val="es-ES_tradnl"/>
              </w:rPr>
              <w:t>Deben combinarse, con la redacción siguiente: “Limbo: forma de disposición del cuarto color”</w:t>
            </w:r>
            <w:r w:rsidR="00B165A4" w:rsidRPr="000D5690">
              <w:rPr>
                <w:rFonts w:cs="Arial"/>
                <w:lang w:val="es-ES_tradnl"/>
              </w:rPr>
              <w:t>,</w:t>
            </w:r>
            <w:r w:rsidRPr="000D5690">
              <w:rPr>
                <w:rFonts w:cs="Arial"/>
                <w:lang w:val="es-ES_tradnl"/>
              </w:rPr>
              <w:t xml:space="preserve"> con los niveles</w:t>
            </w:r>
            <w:r w:rsidR="00B165A4" w:rsidRPr="000D5690">
              <w:rPr>
                <w:rFonts w:cs="Arial"/>
                <w:lang w:val="es-ES_tradnl"/>
              </w:rPr>
              <w:t>:</w:t>
            </w:r>
            <w:r w:rsidRPr="000D5690">
              <w:rPr>
                <w:rFonts w:cs="Arial"/>
                <w:lang w:val="es-ES_tradnl"/>
              </w:rPr>
              <w:t xml:space="preserve"> “manchas pequeñas”, “manchas medianas”, “manchas grandes”, “rayas”, “zona del borde” y “liso o prácticamente liso”, y debe indicarse como PQ.</w:t>
            </w:r>
          </w:p>
        </w:tc>
      </w:tr>
      <w:tr w:rsidR="005253AC" w:rsidRPr="00E30CEB" w:rsidTr="00E658B6">
        <w:trPr>
          <w:cantSplit/>
        </w:trPr>
        <w:tc>
          <w:tcPr>
            <w:tcW w:w="1573" w:type="dxa"/>
          </w:tcPr>
          <w:p w:rsidR="005253AC" w:rsidRPr="000D5690" w:rsidRDefault="00422A5C" w:rsidP="000D5690">
            <w:pPr>
              <w:jc w:val="left"/>
              <w:rPr>
                <w:rFonts w:cs="Arial"/>
              </w:rPr>
            </w:pPr>
            <w:r w:rsidRPr="000D5690">
              <w:rPr>
                <w:rFonts w:cs="Arial"/>
                <w:lang w:val="es-ES_tradnl"/>
              </w:rPr>
              <w:t>Caracteres</w:t>
            </w:r>
            <w:r w:rsidR="005253AC" w:rsidRPr="000D5690">
              <w:rPr>
                <w:rFonts w:cs="Arial"/>
              </w:rPr>
              <w:t xml:space="preserve"> </w:t>
            </w:r>
            <w:r w:rsidRPr="000D5690">
              <w:rPr>
                <w:rFonts w:cs="Arial"/>
                <w:lang w:val="es-ES_tradnl"/>
              </w:rPr>
              <w:t>53 al 59</w:t>
            </w:r>
          </w:p>
        </w:tc>
        <w:tc>
          <w:tcPr>
            <w:tcW w:w="7925" w:type="dxa"/>
          </w:tcPr>
          <w:p w:rsidR="005253AC" w:rsidRPr="00D6704A" w:rsidRDefault="00422A5C" w:rsidP="000D5690">
            <w:pPr>
              <w:rPr>
                <w:rFonts w:cs="Arial"/>
                <w:lang w:val="es-ES"/>
              </w:rPr>
            </w:pPr>
            <w:r w:rsidRPr="000D5690">
              <w:rPr>
                <w:rFonts w:cs="Arial"/>
                <w:lang w:val="es-ES_tradnl"/>
              </w:rPr>
              <w:t>Deben combinarse, con la redacción siguiente: “Limbo: forma de disposición del primer color del envés”</w:t>
            </w:r>
            <w:r w:rsidR="00B165A4" w:rsidRPr="000D5690">
              <w:rPr>
                <w:rFonts w:cs="Arial"/>
                <w:lang w:val="es-ES_tradnl"/>
              </w:rPr>
              <w:t>,</w:t>
            </w:r>
            <w:r w:rsidRPr="000D5690">
              <w:rPr>
                <w:rFonts w:cs="Arial"/>
                <w:lang w:val="es-ES_tradnl"/>
              </w:rPr>
              <w:t xml:space="preserve"> con los niveles</w:t>
            </w:r>
            <w:r w:rsidR="00B165A4" w:rsidRPr="000D5690">
              <w:rPr>
                <w:rFonts w:cs="Arial"/>
                <w:lang w:val="es-ES_tradnl"/>
              </w:rPr>
              <w:t>:</w:t>
            </w:r>
            <w:r w:rsidRPr="000D5690">
              <w:rPr>
                <w:rFonts w:cs="Arial"/>
                <w:lang w:val="es-ES_tradnl"/>
              </w:rPr>
              <w:t xml:space="preserve"> “manchas pequeñas”, “manchas medianas”, “manchas grandes”, “rayas”, “zona del borde” y “liso o prácticamente liso”, y debe indicarse como PQ.</w:t>
            </w:r>
          </w:p>
        </w:tc>
      </w:tr>
      <w:tr w:rsidR="005253AC" w:rsidRPr="00E30CEB" w:rsidTr="00E658B6">
        <w:trPr>
          <w:cantSplit/>
        </w:trPr>
        <w:tc>
          <w:tcPr>
            <w:tcW w:w="1573" w:type="dxa"/>
          </w:tcPr>
          <w:p w:rsidR="005253AC" w:rsidRPr="000D5690" w:rsidRDefault="00422A5C" w:rsidP="000D5690">
            <w:pPr>
              <w:jc w:val="left"/>
              <w:rPr>
                <w:rFonts w:cs="Arial"/>
              </w:rPr>
            </w:pPr>
            <w:r w:rsidRPr="000D5690">
              <w:rPr>
                <w:rFonts w:cs="Arial"/>
                <w:lang w:val="es-ES_tradnl"/>
              </w:rPr>
              <w:t>Car.</w:t>
            </w:r>
            <w:r w:rsidR="005253AC" w:rsidRPr="000D5690">
              <w:rPr>
                <w:rFonts w:cs="Arial"/>
              </w:rPr>
              <w:t xml:space="preserve"> 61</w:t>
            </w:r>
          </w:p>
        </w:tc>
        <w:tc>
          <w:tcPr>
            <w:tcW w:w="7925" w:type="dxa"/>
          </w:tcPr>
          <w:p w:rsidR="005253AC" w:rsidRPr="00D6704A" w:rsidRDefault="00422A5C" w:rsidP="000D5690">
            <w:pPr>
              <w:rPr>
                <w:rFonts w:cs="Arial"/>
                <w:lang w:val="es-ES"/>
              </w:rPr>
            </w:pPr>
            <w:r w:rsidRPr="000D5690">
              <w:rPr>
                <w:rFonts w:cs="Arial"/>
                <w:lang w:val="es-ES_tradnl"/>
              </w:rPr>
              <w:t>Debe añadirse el nivel “ninguno”.</w:t>
            </w:r>
          </w:p>
        </w:tc>
      </w:tr>
      <w:tr w:rsidR="005253AC" w:rsidRPr="00E30CEB" w:rsidTr="00E658B6">
        <w:trPr>
          <w:cantSplit/>
        </w:trPr>
        <w:tc>
          <w:tcPr>
            <w:tcW w:w="1573" w:type="dxa"/>
          </w:tcPr>
          <w:p w:rsidR="005253AC" w:rsidRPr="000D5690" w:rsidRDefault="00422A5C" w:rsidP="000D5690">
            <w:pPr>
              <w:jc w:val="left"/>
              <w:rPr>
                <w:rFonts w:cs="Arial"/>
              </w:rPr>
            </w:pPr>
            <w:r w:rsidRPr="000D5690">
              <w:rPr>
                <w:rFonts w:cs="Arial"/>
                <w:lang w:val="es-ES_tradnl"/>
              </w:rPr>
              <w:t>Caracteres</w:t>
            </w:r>
            <w:r w:rsidR="005253AC" w:rsidRPr="000D5690">
              <w:rPr>
                <w:rFonts w:cs="Arial"/>
              </w:rPr>
              <w:t xml:space="preserve"> </w:t>
            </w:r>
            <w:r w:rsidRPr="000D5690">
              <w:rPr>
                <w:rFonts w:cs="Arial"/>
                <w:lang w:val="es-ES_tradnl"/>
              </w:rPr>
              <w:t>62 al 68</w:t>
            </w:r>
          </w:p>
        </w:tc>
        <w:tc>
          <w:tcPr>
            <w:tcW w:w="7925" w:type="dxa"/>
          </w:tcPr>
          <w:p w:rsidR="005253AC" w:rsidRPr="00D6704A" w:rsidRDefault="00422A5C" w:rsidP="000D5690">
            <w:pPr>
              <w:rPr>
                <w:rFonts w:cs="Arial"/>
                <w:lang w:val="es-ES"/>
              </w:rPr>
            </w:pPr>
            <w:r w:rsidRPr="000D5690">
              <w:rPr>
                <w:rFonts w:cs="Arial"/>
                <w:lang w:val="es-ES_tradnl"/>
              </w:rPr>
              <w:t>Deben combinarse, con la redacción siguiente: “Limbo: forma de disposición del segundo color del envés”</w:t>
            </w:r>
            <w:r w:rsidR="00B165A4" w:rsidRPr="000D5690">
              <w:rPr>
                <w:rFonts w:cs="Arial"/>
                <w:lang w:val="es-ES_tradnl"/>
              </w:rPr>
              <w:t>,</w:t>
            </w:r>
            <w:r w:rsidRPr="000D5690">
              <w:rPr>
                <w:rFonts w:cs="Arial"/>
                <w:lang w:val="es-ES_tradnl"/>
              </w:rPr>
              <w:t xml:space="preserve"> con los niveles</w:t>
            </w:r>
            <w:r w:rsidR="00B165A4" w:rsidRPr="000D5690">
              <w:rPr>
                <w:rFonts w:cs="Arial"/>
                <w:lang w:val="es-ES_tradnl"/>
              </w:rPr>
              <w:t>:</w:t>
            </w:r>
            <w:r w:rsidRPr="000D5690">
              <w:rPr>
                <w:rFonts w:cs="Arial"/>
                <w:lang w:val="es-ES_tradnl"/>
              </w:rPr>
              <w:t xml:space="preserve"> “manchas pequeñas”, “manchas medianas”, “manchas grandes”, “rayas”, “zona del borde” y “liso o prácticamente liso”, y debe indicarse como PQ.</w:t>
            </w:r>
          </w:p>
        </w:tc>
      </w:tr>
      <w:tr w:rsidR="005253AC" w:rsidRPr="00E30CEB" w:rsidTr="00E658B6">
        <w:trPr>
          <w:cantSplit/>
        </w:trPr>
        <w:tc>
          <w:tcPr>
            <w:tcW w:w="1573" w:type="dxa"/>
          </w:tcPr>
          <w:p w:rsidR="005253AC" w:rsidRPr="000D5690" w:rsidRDefault="00422A5C" w:rsidP="000D5690">
            <w:pPr>
              <w:jc w:val="left"/>
              <w:rPr>
                <w:rFonts w:cs="Arial"/>
              </w:rPr>
            </w:pPr>
            <w:r w:rsidRPr="000D5690">
              <w:rPr>
                <w:rFonts w:cs="Arial"/>
                <w:lang w:val="es-ES_tradnl"/>
              </w:rPr>
              <w:t>Car.</w:t>
            </w:r>
            <w:r w:rsidR="005253AC" w:rsidRPr="000D5690">
              <w:rPr>
                <w:rFonts w:cs="Arial"/>
              </w:rPr>
              <w:t xml:space="preserve"> 70</w:t>
            </w:r>
          </w:p>
        </w:tc>
        <w:tc>
          <w:tcPr>
            <w:tcW w:w="7925" w:type="dxa"/>
          </w:tcPr>
          <w:p w:rsidR="005253AC" w:rsidRPr="00D6704A" w:rsidRDefault="00422A5C" w:rsidP="000D5690">
            <w:pPr>
              <w:rPr>
                <w:rFonts w:cs="Arial"/>
                <w:lang w:val="es-ES"/>
              </w:rPr>
            </w:pPr>
            <w:r w:rsidRPr="000D5690">
              <w:rPr>
                <w:rFonts w:cs="Arial"/>
                <w:lang w:val="es-ES_tradnl"/>
              </w:rPr>
              <w:t>Debe añadirse el nivel “ninguno”.</w:t>
            </w:r>
          </w:p>
        </w:tc>
      </w:tr>
      <w:tr w:rsidR="005253AC" w:rsidRPr="00E30CEB" w:rsidTr="00E658B6">
        <w:trPr>
          <w:cantSplit/>
        </w:trPr>
        <w:tc>
          <w:tcPr>
            <w:tcW w:w="1573" w:type="dxa"/>
          </w:tcPr>
          <w:p w:rsidR="005253AC" w:rsidRPr="000D5690" w:rsidRDefault="00422A5C" w:rsidP="000D5690">
            <w:pPr>
              <w:jc w:val="left"/>
              <w:rPr>
                <w:rFonts w:cs="Arial"/>
              </w:rPr>
            </w:pPr>
            <w:r w:rsidRPr="000D5690">
              <w:rPr>
                <w:rFonts w:cs="Arial"/>
                <w:lang w:val="es-ES_tradnl"/>
              </w:rPr>
              <w:t>Caracteres</w:t>
            </w:r>
            <w:r w:rsidR="005253AC" w:rsidRPr="000D5690">
              <w:rPr>
                <w:rFonts w:cs="Arial"/>
              </w:rPr>
              <w:t xml:space="preserve"> </w:t>
            </w:r>
            <w:r w:rsidRPr="000D5690">
              <w:rPr>
                <w:rFonts w:cs="Arial"/>
                <w:lang w:val="es-ES_tradnl"/>
              </w:rPr>
              <w:t>71 al 76</w:t>
            </w:r>
          </w:p>
        </w:tc>
        <w:tc>
          <w:tcPr>
            <w:tcW w:w="7925" w:type="dxa"/>
          </w:tcPr>
          <w:p w:rsidR="005253AC" w:rsidRPr="00D6704A" w:rsidRDefault="00422A5C" w:rsidP="000D5690">
            <w:pPr>
              <w:rPr>
                <w:rFonts w:cs="Arial"/>
                <w:lang w:val="es-ES"/>
              </w:rPr>
            </w:pPr>
            <w:r w:rsidRPr="000D5690">
              <w:rPr>
                <w:rFonts w:cs="Arial"/>
                <w:lang w:val="es-ES_tradnl"/>
              </w:rPr>
              <w:t>Deben combinarse, con la redacción siguiente: “Limbo: forma de disposición del tercer color del envés”</w:t>
            </w:r>
            <w:r w:rsidR="00B165A4" w:rsidRPr="000D5690">
              <w:rPr>
                <w:rFonts w:cs="Arial"/>
                <w:lang w:val="es-ES_tradnl"/>
              </w:rPr>
              <w:t>,</w:t>
            </w:r>
            <w:r w:rsidRPr="000D5690">
              <w:rPr>
                <w:rFonts w:cs="Arial"/>
                <w:lang w:val="es-ES_tradnl"/>
              </w:rPr>
              <w:t xml:space="preserve"> con los niveles</w:t>
            </w:r>
            <w:r w:rsidR="00B165A4" w:rsidRPr="000D5690">
              <w:rPr>
                <w:rFonts w:cs="Arial"/>
                <w:lang w:val="es-ES_tradnl"/>
              </w:rPr>
              <w:t>:</w:t>
            </w:r>
            <w:r w:rsidRPr="000D5690">
              <w:rPr>
                <w:rFonts w:cs="Arial"/>
                <w:lang w:val="es-ES_tradnl"/>
              </w:rPr>
              <w:t xml:space="preserve"> “manchas pequeñas”, “manchas medianas”, “manchas grandes”, “rayas”, “zona del borde” y “liso o prácticamente liso”, y debe indicarse como PQ.</w:t>
            </w:r>
          </w:p>
        </w:tc>
      </w:tr>
      <w:tr w:rsidR="005253AC" w:rsidRPr="00E30CEB" w:rsidTr="00E658B6">
        <w:trPr>
          <w:cantSplit/>
        </w:trPr>
        <w:tc>
          <w:tcPr>
            <w:tcW w:w="1573" w:type="dxa"/>
          </w:tcPr>
          <w:p w:rsidR="005253AC" w:rsidRPr="000D5690" w:rsidRDefault="00422A5C" w:rsidP="000D5690">
            <w:pPr>
              <w:jc w:val="left"/>
              <w:rPr>
                <w:rFonts w:cs="Arial"/>
              </w:rPr>
            </w:pPr>
            <w:r w:rsidRPr="000D5690">
              <w:rPr>
                <w:rFonts w:cs="Arial"/>
                <w:lang w:val="es-ES_tradnl"/>
              </w:rPr>
              <w:t>Car.</w:t>
            </w:r>
            <w:r w:rsidR="005253AC" w:rsidRPr="000D5690">
              <w:rPr>
                <w:rFonts w:cs="Arial"/>
              </w:rPr>
              <w:t xml:space="preserve"> 83</w:t>
            </w:r>
          </w:p>
        </w:tc>
        <w:tc>
          <w:tcPr>
            <w:tcW w:w="7925" w:type="dxa"/>
          </w:tcPr>
          <w:p w:rsidR="005253AC" w:rsidRPr="00D6704A" w:rsidRDefault="00B165A4" w:rsidP="000D5690">
            <w:pPr>
              <w:rPr>
                <w:rFonts w:cs="Arial"/>
                <w:lang w:val="es-ES"/>
              </w:rPr>
            </w:pPr>
            <w:r w:rsidRPr="000D5690">
              <w:rPr>
                <w:rFonts w:cs="Arial"/>
                <w:lang w:val="es-ES_tradnl"/>
              </w:rPr>
              <w:t xml:space="preserve">Como </w:t>
            </w:r>
            <w:r w:rsidR="00422A5C" w:rsidRPr="000D5690">
              <w:rPr>
                <w:rFonts w:cs="Arial"/>
                <w:lang w:val="es-ES_tradnl"/>
              </w:rPr>
              <w:t xml:space="preserve">nivel 2 deberá </w:t>
            </w:r>
            <w:r w:rsidRPr="000D5690">
              <w:rPr>
                <w:rFonts w:cs="Arial"/>
                <w:lang w:val="es-ES_tradnl"/>
              </w:rPr>
              <w:t xml:space="preserve">figurar: </w:t>
            </w:r>
            <w:r w:rsidR="00422A5C" w:rsidRPr="000D5690">
              <w:rPr>
                <w:rFonts w:cs="Arial"/>
                <w:lang w:val="es-ES_tradnl"/>
              </w:rPr>
              <w:t>“al mismo nivel”.</w:t>
            </w:r>
          </w:p>
        </w:tc>
      </w:tr>
      <w:tr w:rsidR="005253AC" w:rsidRPr="00E30CEB" w:rsidTr="00E658B6">
        <w:trPr>
          <w:cantSplit/>
        </w:trPr>
        <w:tc>
          <w:tcPr>
            <w:tcW w:w="1573" w:type="dxa"/>
          </w:tcPr>
          <w:p w:rsidR="005253AC" w:rsidRPr="000D5690" w:rsidRDefault="000E3795" w:rsidP="000D5690">
            <w:pPr>
              <w:jc w:val="left"/>
              <w:rPr>
                <w:rFonts w:cs="Arial"/>
              </w:rPr>
            </w:pPr>
            <w:r w:rsidRPr="000D5690">
              <w:rPr>
                <w:rFonts w:cs="Arial"/>
                <w:lang w:val="es-ES_tradnl"/>
              </w:rPr>
              <w:t>8.1 e)</w:t>
            </w:r>
          </w:p>
        </w:tc>
        <w:tc>
          <w:tcPr>
            <w:tcW w:w="7925" w:type="dxa"/>
          </w:tcPr>
          <w:p w:rsidR="005253AC" w:rsidRPr="00D6704A" w:rsidRDefault="005253AC" w:rsidP="00E658B6">
            <w:pPr>
              <w:rPr>
                <w:rFonts w:cs="Arial"/>
                <w:lang w:val="es-ES"/>
              </w:rPr>
            </w:pPr>
            <w:r w:rsidRPr="00D6704A">
              <w:rPr>
                <w:rFonts w:cs="Arial"/>
                <w:lang w:val="es-ES"/>
              </w:rPr>
              <w:t xml:space="preserve">- </w:t>
            </w:r>
            <w:r w:rsidR="000E3795" w:rsidRPr="000D5690">
              <w:rPr>
                <w:rFonts w:cs="Arial"/>
                <w:lang w:val="es-ES_tradnl"/>
              </w:rPr>
              <w:t xml:space="preserve">La última frase del segundo párrafo deberá rezar: “… </w:t>
            </w:r>
            <w:r w:rsidR="000E3795" w:rsidRPr="000D5690">
              <w:rPr>
                <w:rFonts w:cs="Arial"/>
                <w:strike/>
                <w:lang w:val="es-ES_tradnl"/>
              </w:rPr>
              <w:t xml:space="preserve">a continuación </w:t>
            </w:r>
            <w:r w:rsidR="000E3795" w:rsidRPr="000D5690">
              <w:rPr>
                <w:rFonts w:cs="Arial"/>
                <w:lang w:val="es-ES_tradnl"/>
              </w:rPr>
              <w:t xml:space="preserve">se presentan </w:t>
            </w:r>
            <w:r w:rsidR="000E3795" w:rsidRPr="000D5690">
              <w:rPr>
                <w:rFonts w:cs="Arial"/>
                <w:u w:val="single"/>
                <w:lang w:val="es-ES_tradnl"/>
              </w:rPr>
              <w:t xml:space="preserve">los siguientes </w:t>
            </w:r>
            <w:r w:rsidR="000E3795" w:rsidRPr="000D5690">
              <w:rPr>
                <w:rFonts w:cs="Arial"/>
                <w:lang w:val="es-ES_tradnl"/>
              </w:rPr>
              <w:t>diferentes ejemplos prácticos:”</w:t>
            </w:r>
          </w:p>
          <w:p w:rsidR="005253AC" w:rsidRPr="00D6704A" w:rsidRDefault="005253AC" w:rsidP="000D5690">
            <w:pPr>
              <w:rPr>
                <w:rFonts w:cs="Arial"/>
                <w:lang w:val="es-ES"/>
              </w:rPr>
            </w:pPr>
            <w:r w:rsidRPr="00D6704A">
              <w:rPr>
                <w:rFonts w:cs="Arial"/>
                <w:lang w:val="es-ES"/>
              </w:rPr>
              <w:t xml:space="preserve">- </w:t>
            </w:r>
            <w:r w:rsidR="000E3795" w:rsidRPr="000D5690">
              <w:rPr>
                <w:rFonts w:cs="Arial"/>
                <w:lang w:val="es-ES_tradnl"/>
              </w:rPr>
              <w:t>Se deberán corregir los ejemplos prácticos en función de las modificaciones realizadas en la tabla de caracteres.</w:t>
            </w:r>
          </w:p>
        </w:tc>
      </w:tr>
      <w:tr w:rsidR="005253AC" w:rsidRPr="00E30CEB" w:rsidTr="00E658B6">
        <w:trPr>
          <w:cantSplit/>
        </w:trPr>
        <w:tc>
          <w:tcPr>
            <w:tcW w:w="1573" w:type="dxa"/>
          </w:tcPr>
          <w:p w:rsidR="005253AC" w:rsidRPr="000D5690" w:rsidRDefault="000E3795" w:rsidP="000D5690">
            <w:pPr>
              <w:jc w:val="left"/>
              <w:rPr>
                <w:rFonts w:cs="Arial"/>
              </w:rPr>
            </w:pPr>
            <w:r w:rsidRPr="000D5690">
              <w:rPr>
                <w:rFonts w:cs="Arial"/>
                <w:lang w:val="es-ES_tradnl"/>
              </w:rPr>
              <w:t>8.1 g)</w:t>
            </w:r>
          </w:p>
        </w:tc>
        <w:tc>
          <w:tcPr>
            <w:tcW w:w="7925" w:type="dxa"/>
          </w:tcPr>
          <w:p w:rsidR="005253AC" w:rsidRPr="00D6704A" w:rsidRDefault="005253AC" w:rsidP="00E658B6">
            <w:pPr>
              <w:rPr>
                <w:rFonts w:cs="Arial"/>
                <w:lang w:val="es-ES"/>
              </w:rPr>
            </w:pPr>
            <w:r w:rsidRPr="00D6704A">
              <w:rPr>
                <w:rFonts w:cs="Arial"/>
                <w:lang w:val="es-ES"/>
              </w:rPr>
              <w:t xml:space="preserve">- </w:t>
            </w:r>
            <w:r w:rsidR="000E3795" w:rsidRPr="000D5690">
              <w:rPr>
                <w:rFonts w:cs="Arial"/>
                <w:lang w:val="es-ES_tradnl"/>
              </w:rPr>
              <w:t>Se deberán eliminar las ilustraciones de manchas de la parte superior.</w:t>
            </w:r>
          </w:p>
          <w:p w:rsidR="005253AC" w:rsidRPr="00D6704A" w:rsidRDefault="005253AC" w:rsidP="00E658B6">
            <w:pPr>
              <w:rPr>
                <w:rFonts w:cs="Arial"/>
                <w:lang w:val="es-ES"/>
              </w:rPr>
            </w:pPr>
            <w:r w:rsidRPr="00D6704A">
              <w:rPr>
                <w:rFonts w:cs="Arial"/>
                <w:lang w:val="es-ES"/>
              </w:rPr>
              <w:t xml:space="preserve">- </w:t>
            </w:r>
            <w:r w:rsidR="000E3795" w:rsidRPr="000D5690">
              <w:rPr>
                <w:rFonts w:cs="Arial"/>
                <w:lang w:val="es-ES_tradnl"/>
              </w:rPr>
              <w:t>Se deberán añadir flechas que indiquen el tamaño de las manchas en las fotografías.</w:t>
            </w:r>
          </w:p>
          <w:p w:rsidR="005253AC" w:rsidRPr="00D6704A" w:rsidRDefault="005253AC" w:rsidP="000D5690">
            <w:pPr>
              <w:rPr>
                <w:rFonts w:cs="Arial"/>
                <w:lang w:val="es-ES"/>
              </w:rPr>
            </w:pPr>
            <w:r w:rsidRPr="00D6704A">
              <w:rPr>
                <w:rFonts w:cs="Arial"/>
                <w:lang w:val="es-ES"/>
              </w:rPr>
              <w:t xml:space="preserve">- </w:t>
            </w:r>
            <w:r w:rsidR="000E3795" w:rsidRPr="000D5690">
              <w:rPr>
                <w:rFonts w:cs="Arial"/>
                <w:lang w:val="es-ES_tradnl"/>
              </w:rPr>
              <w:t xml:space="preserve">Se deberá corregir en función de las modificaciones realizadas en la tabla de caracteres (utilícense ilustraciones para la </w:t>
            </w:r>
            <w:r w:rsidR="008C2C39" w:rsidRPr="000D5690">
              <w:rPr>
                <w:rFonts w:cs="Arial"/>
                <w:lang w:val="es-ES_tradnl"/>
              </w:rPr>
              <w:t xml:space="preserve">franja central </w:t>
            </w:r>
            <w:r w:rsidR="000E3795" w:rsidRPr="000D5690">
              <w:rPr>
                <w:rFonts w:cs="Arial"/>
                <w:lang w:val="es-ES_tradnl"/>
              </w:rPr>
              <w:t xml:space="preserve">y rayas para </w:t>
            </w:r>
            <w:r w:rsidR="007D7276" w:rsidRPr="000D5690">
              <w:rPr>
                <w:rFonts w:cs="Arial"/>
                <w:lang w:val="es-ES_tradnl"/>
              </w:rPr>
              <w:t xml:space="preserve">los </w:t>
            </w:r>
            <w:r w:rsidR="008C2C39" w:rsidRPr="000D5690">
              <w:rPr>
                <w:rFonts w:cs="Arial"/>
                <w:lang w:val="es-ES_tradnl"/>
              </w:rPr>
              <w:t>nivel</w:t>
            </w:r>
            <w:r w:rsidR="007D7276" w:rsidRPr="000D5690">
              <w:rPr>
                <w:rFonts w:cs="Arial"/>
                <w:lang w:val="es-ES_tradnl"/>
              </w:rPr>
              <w:t>es nuevos</w:t>
            </w:r>
            <w:r w:rsidR="000E3795" w:rsidRPr="000D5690">
              <w:rPr>
                <w:rFonts w:cs="Arial"/>
                <w:lang w:val="es-ES_tradnl"/>
              </w:rPr>
              <w:t>)</w:t>
            </w:r>
          </w:p>
        </w:tc>
      </w:tr>
      <w:tr w:rsidR="005253AC" w:rsidRPr="00E30CEB" w:rsidTr="00E658B6">
        <w:trPr>
          <w:cantSplit/>
        </w:trPr>
        <w:tc>
          <w:tcPr>
            <w:tcW w:w="1573" w:type="dxa"/>
          </w:tcPr>
          <w:p w:rsidR="005253AC" w:rsidRPr="000D5690" w:rsidRDefault="005253AC" w:rsidP="00E658B6">
            <w:pPr>
              <w:jc w:val="left"/>
              <w:rPr>
                <w:rFonts w:cs="Arial"/>
              </w:rPr>
            </w:pPr>
            <w:r w:rsidRPr="000D5690">
              <w:rPr>
                <w:rFonts w:cs="Arial"/>
              </w:rPr>
              <w:t>Ad. 79</w:t>
            </w:r>
          </w:p>
        </w:tc>
        <w:tc>
          <w:tcPr>
            <w:tcW w:w="7925" w:type="dxa"/>
          </w:tcPr>
          <w:p w:rsidR="005253AC" w:rsidRPr="00D6704A" w:rsidRDefault="008C2C39" w:rsidP="000D5690">
            <w:pPr>
              <w:rPr>
                <w:rFonts w:cs="Arial"/>
                <w:lang w:val="es-ES"/>
              </w:rPr>
            </w:pPr>
            <w:r w:rsidRPr="000D5690">
              <w:rPr>
                <w:rFonts w:cs="Arial"/>
                <w:lang w:val="es-ES_tradnl"/>
              </w:rPr>
              <w:t>El formato de la indicación “haz” en el nivel 1 deberá ser el mismo que el de los niveles 2 y 3.</w:t>
            </w:r>
          </w:p>
        </w:tc>
      </w:tr>
      <w:tr w:rsidR="005253AC" w:rsidRPr="00E30CEB" w:rsidTr="00E658B6">
        <w:trPr>
          <w:cantSplit/>
        </w:trPr>
        <w:tc>
          <w:tcPr>
            <w:tcW w:w="1573" w:type="dxa"/>
          </w:tcPr>
          <w:p w:rsidR="005253AC" w:rsidRPr="000D5690" w:rsidRDefault="005253AC" w:rsidP="00E658B6">
            <w:pPr>
              <w:jc w:val="left"/>
              <w:rPr>
                <w:rFonts w:cs="Arial"/>
              </w:rPr>
            </w:pPr>
            <w:r w:rsidRPr="000D5690">
              <w:rPr>
                <w:rFonts w:cs="Arial"/>
              </w:rPr>
              <w:t>9.</w:t>
            </w:r>
          </w:p>
        </w:tc>
        <w:tc>
          <w:tcPr>
            <w:tcW w:w="7925" w:type="dxa"/>
          </w:tcPr>
          <w:p w:rsidR="005253AC" w:rsidRPr="00D6704A" w:rsidRDefault="005253AC" w:rsidP="00E658B6">
            <w:pPr>
              <w:rPr>
                <w:lang w:val="es-ES"/>
              </w:rPr>
            </w:pPr>
            <w:r w:rsidRPr="00D6704A">
              <w:rPr>
                <w:rFonts w:cs="Arial"/>
                <w:lang w:val="es-ES"/>
              </w:rPr>
              <w:t xml:space="preserve">- </w:t>
            </w:r>
            <w:r w:rsidR="008C2C39" w:rsidRPr="000D5690">
              <w:rPr>
                <w:rFonts w:cs="Arial"/>
                <w:lang w:val="es-ES_tradnl"/>
              </w:rPr>
              <w:t>El texto de la primera referencia deberá ser: “</w:t>
            </w:r>
            <w:proofErr w:type="spellStart"/>
            <w:r w:rsidR="008C2C39" w:rsidRPr="000D5690">
              <w:rPr>
                <w:lang w:val="es-ES_tradnl"/>
              </w:rPr>
              <w:t>Nicolson</w:t>
            </w:r>
            <w:proofErr w:type="spellEnd"/>
            <w:r w:rsidR="008C2C39" w:rsidRPr="000D5690">
              <w:rPr>
                <w:lang w:val="es-ES_tradnl"/>
              </w:rPr>
              <w:t xml:space="preserve">, D.H., 1969: A </w:t>
            </w:r>
            <w:proofErr w:type="spellStart"/>
            <w:r w:rsidR="008C2C39" w:rsidRPr="000D5690">
              <w:rPr>
                <w:lang w:val="es-ES_tradnl"/>
              </w:rPr>
              <w:t>revision</w:t>
            </w:r>
            <w:proofErr w:type="spellEnd"/>
            <w:r w:rsidR="008C2C39" w:rsidRPr="000D5690">
              <w:rPr>
                <w:lang w:val="es-ES_tradnl"/>
              </w:rPr>
              <w:t xml:space="preserve"> of </w:t>
            </w:r>
            <w:proofErr w:type="spellStart"/>
            <w:r w:rsidR="008C2C39" w:rsidRPr="000D5690">
              <w:rPr>
                <w:lang w:val="es-ES_tradnl"/>
              </w:rPr>
              <w:t>genus</w:t>
            </w:r>
            <w:proofErr w:type="spellEnd"/>
            <w:r w:rsidR="008C2C39" w:rsidRPr="000D5690">
              <w:rPr>
                <w:lang w:val="es-ES_tradnl"/>
              </w:rPr>
              <w:t xml:space="preserve"> </w:t>
            </w:r>
            <w:proofErr w:type="spellStart"/>
            <w:r w:rsidR="008C2C39" w:rsidRPr="000D5690">
              <w:rPr>
                <w:i/>
                <w:lang w:val="es-ES_tradnl"/>
              </w:rPr>
              <w:t>Aglaonema</w:t>
            </w:r>
            <w:proofErr w:type="spellEnd"/>
            <w:r w:rsidR="008C2C39" w:rsidRPr="000D5690">
              <w:rPr>
                <w:lang w:val="es-ES_tradnl"/>
              </w:rPr>
              <w:t xml:space="preserve"> (</w:t>
            </w:r>
            <w:proofErr w:type="spellStart"/>
            <w:r w:rsidR="008C2C39" w:rsidRPr="000D5690">
              <w:rPr>
                <w:lang w:val="es-ES_tradnl"/>
              </w:rPr>
              <w:t>Araceae</w:t>
            </w:r>
            <w:proofErr w:type="spellEnd"/>
            <w:r w:rsidR="008C2C39" w:rsidRPr="000D5690">
              <w:rPr>
                <w:lang w:val="es-ES_tradnl"/>
              </w:rPr>
              <w:t xml:space="preserve">). </w:t>
            </w:r>
            <w:proofErr w:type="spellStart"/>
            <w:r w:rsidR="008C2C39" w:rsidRPr="000D5690">
              <w:rPr>
                <w:lang w:val="es-ES_tradnl"/>
              </w:rPr>
              <w:t>Smithsonian</w:t>
            </w:r>
            <w:proofErr w:type="spellEnd"/>
            <w:r w:rsidR="008C2C39" w:rsidRPr="000D5690">
              <w:rPr>
                <w:lang w:val="es-ES_tradnl"/>
              </w:rPr>
              <w:t xml:space="preserve"> </w:t>
            </w:r>
            <w:proofErr w:type="spellStart"/>
            <w:r w:rsidR="008C2C39" w:rsidRPr="000D5690">
              <w:rPr>
                <w:lang w:val="es-ES_tradnl"/>
              </w:rPr>
              <w:t>Institution</w:t>
            </w:r>
            <w:proofErr w:type="spellEnd"/>
            <w:r w:rsidR="008C2C39" w:rsidRPr="000D5690">
              <w:rPr>
                <w:lang w:val="es-ES_tradnl"/>
              </w:rPr>
              <w:t xml:space="preserve"> </w:t>
            </w:r>
            <w:proofErr w:type="spellStart"/>
            <w:r w:rsidR="008C2C39" w:rsidRPr="000D5690">
              <w:rPr>
                <w:lang w:val="es-ES_tradnl"/>
              </w:rPr>
              <w:t>Press</w:t>
            </w:r>
            <w:proofErr w:type="spellEnd"/>
            <w:r w:rsidR="008C2C39" w:rsidRPr="000D5690">
              <w:rPr>
                <w:lang w:val="es-ES_tradnl"/>
              </w:rPr>
              <w:t>. Washington, USA, 63 pp.”</w:t>
            </w:r>
          </w:p>
          <w:p w:rsidR="005253AC" w:rsidRPr="00D6704A" w:rsidRDefault="005253AC" w:rsidP="00E658B6">
            <w:pPr>
              <w:rPr>
                <w:lang w:val="es-ES"/>
              </w:rPr>
            </w:pPr>
            <w:r w:rsidRPr="00D6704A">
              <w:rPr>
                <w:lang w:val="es-ES"/>
              </w:rPr>
              <w:t xml:space="preserve">- </w:t>
            </w:r>
            <w:r w:rsidR="008C2C39" w:rsidRPr="000D5690">
              <w:rPr>
                <w:lang w:val="es-ES_tradnl"/>
              </w:rPr>
              <w:t>En la referencia "</w:t>
            </w:r>
            <w:proofErr w:type="spellStart"/>
            <w:r w:rsidR="008C2C39" w:rsidRPr="000D5690">
              <w:rPr>
                <w:lang w:val="es-ES_tradnl"/>
              </w:rPr>
              <w:t>Sinchaisri</w:t>
            </w:r>
            <w:proofErr w:type="spellEnd"/>
            <w:r w:rsidR="008C2C39" w:rsidRPr="000D5690">
              <w:rPr>
                <w:lang w:val="es-ES_tradnl"/>
              </w:rPr>
              <w:t>, N., et al.,"</w:t>
            </w:r>
            <w:r w:rsidRPr="00D6704A">
              <w:rPr>
                <w:lang w:val="es-ES"/>
              </w:rPr>
              <w:t xml:space="preserve"> </w:t>
            </w:r>
            <w:r w:rsidR="008C2C39" w:rsidRPr="000D5690">
              <w:rPr>
                <w:lang w:val="es-ES_tradnl"/>
              </w:rPr>
              <w:t>han de mencionarse todos los autores.</w:t>
            </w:r>
          </w:p>
          <w:p w:rsidR="005253AC" w:rsidRPr="00D6704A" w:rsidRDefault="005253AC" w:rsidP="00E658B6">
            <w:pPr>
              <w:rPr>
                <w:lang w:val="es-ES"/>
              </w:rPr>
            </w:pPr>
            <w:r w:rsidRPr="00D6704A">
              <w:rPr>
                <w:lang w:val="es-ES"/>
              </w:rPr>
              <w:t xml:space="preserve">- </w:t>
            </w:r>
            <w:r w:rsidR="008C2C39" w:rsidRPr="000D5690">
              <w:rPr>
                <w:lang w:val="es-ES_tradnl"/>
              </w:rPr>
              <w:t>En la referencia “</w:t>
            </w:r>
            <w:proofErr w:type="spellStart"/>
            <w:r w:rsidR="008C2C39" w:rsidRPr="000D5690">
              <w:rPr>
                <w:lang w:val="es-ES_tradnl"/>
              </w:rPr>
              <w:t>Thanabud</w:t>
            </w:r>
            <w:proofErr w:type="spellEnd"/>
            <w:r w:rsidR="008C2C39" w:rsidRPr="000D5690">
              <w:rPr>
                <w:lang w:val="es-ES_tradnl"/>
              </w:rPr>
              <w:t xml:space="preserve">, P., 2000:” se debe añadir la coma </w:t>
            </w:r>
            <w:r w:rsidR="00520928" w:rsidRPr="000D5690">
              <w:rPr>
                <w:lang w:val="es-ES_tradnl"/>
              </w:rPr>
              <w:t>que falta (después de “</w:t>
            </w:r>
            <w:proofErr w:type="spellStart"/>
            <w:r w:rsidR="00520928" w:rsidRPr="000D5690">
              <w:rPr>
                <w:lang w:val="es-ES_tradnl"/>
              </w:rPr>
              <w:t>Thanabud</w:t>
            </w:r>
            <w:proofErr w:type="spellEnd"/>
            <w:r w:rsidR="00520928" w:rsidRPr="000D5690">
              <w:rPr>
                <w:lang w:val="es-ES_tradnl"/>
              </w:rPr>
              <w:t>”</w:t>
            </w:r>
            <w:r w:rsidR="007D7276" w:rsidRPr="000D5690">
              <w:rPr>
                <w:lang w:val="es-ES_tradnl"/>
              </w:rPr>
              <w:t>)</w:t>
            </w:r>
            <w:r w:rsidR="00520928" w:rsidRPr="000D5690">
              <w:rPr>
                <w:lang w:val="es-ES_tradnl"/>
              </w:rPr>
              <w:t>.</w:t>
            </w:r>
          </w:p>
          <w:p w:rsidR="005253AC" w:rsidRPr="00D6704A" w:rsidRDefault="005253AC" w:rsidP="000D5690">
            <w:pPr>
              <w:jc w:val="left"/>
              <w:rPr>
                <w:rFonts w:cs="Arial"/>
                <w:lang w:val="es-ES"/>
              </w:rPr>
            </w:pPr>
            <w:r w:rsidRPr="00D6704A">
              <w:rPr>
                <w:lang w:val="es-ES"/>
              </w:rPr>
              <w:t xml:space="preserve">- </w:t>
            </w:r>
            <w:r w:rsidR="00520928" w:rsidRPr="000D5690">
              <w:rPr>
                <w:lang w:val="es-ES_tradnl"/>
              </w:rPr>
              <w:t>En la última referencia debe añadirse un espacio: “…, 239 pp.”</w:t>
            </w:r>
          </w:p>
        </w:tc>
      </w:tr>
      <w:tr w:rsidR="005253AC" w:rsidRPr="000D5690" w:rsidTr="00E658B6">
        <w:trPr>
          <w:cantSplit/>
        </w:trPr>
        <w:tc>
          <w:tcPr>
            <w:tcW w:w="1573" w:type="dxa"/>
          </w:tcPr>
          <w:p w:rsidR="005253AC" w:rsidRPr="000D5690" w:rsidDel="00B52312" w:rsidRDefault="00520928" w:rsidP="000D5690">
            <w:pPr>
              <w:jc w:val="left"/>
              <w:rPr>
                <w:rFonts w:cs="Arial"/>
              </w:rPr>
            </w:pPr>
            <w:r w:rsidRPr="000D5690">
              <w:rPr>
                <w:rFonts w:cs="Arial"/>
                <w:lang w:val="es-ES_tradnl"/>
              </w:rPr>
              <w:t>TQ 1</w:t>
            </w:r>
          </w:p>
        </w:tc>
        <w:tc>
          <w:tcPr>
            <w:tcW w:w="7925" w:type="dxa"/>
          </w:tcPr>
          <w:p w:rsidR="005253AC" w:rsidRPr="00D6704A" w:rsidRDefault="00520928" w:rsidP="00E658B6">
            <w:pPr>
              <w:rPr>
                <w:rFonts w:cs="Arial"/>
                <w:lang w:val="es-ES"/>
              </w:rPr>
            </w:pPr>
            <w:r w:rsidRPr="000D5690">
              <w:rPr>
                <w:rFonts w:cs="Arial"/>
                <w:lang w:val="es-ES_tradnl"/>
              </w:rPr>
              <w:t>Deberá figurar la información siguiente:</w:t>
            </w:r>
            <w:r w:rsidR="005253AC" w:rsidRPr="00D6704A">
              <w:rPr>
                <w:rFonts w:cs="Arial"/>
                <w:lang w:val="es-ES"/>
              </w:rPr>
              <w:t xml:space="preserve"> </w:t>
            </w:r>
          </w:p>
          <w:p w:rsidR="005253AC" w:rsidRPr="00D6704A" w:rsidRDefault="005253AC" w:rsidP="00E658B6">
            <w:pPr>
              <w:rPr>
                <w:rFonts w:cs="Arial"/>
                <w:lang w:val="es-ES"/>
              </w:rPr>
            </w:pPr>
            <w:r w:rsidRPr="00D6704A">
              <w:rPr>
                <w:rFonts w:cs="Arial"/>
                <w:lang w:val="es-ES"/>
              </w:rPr>
              <w:t>1.1</w:t>
            </w:r>
            <w:r w:rsidRPr="00D6704A">
              <w:rPr>
                <w:rFonts w:cs="Arial"/>
                <w:lang w:val="es-ES"/>
              </w:rPr>
              <w:tab/>
            </w:r>
            <w:r w:rsidR="00520928" w:rsidRPr="000D5690">
              <w:rPr>
                <w:rFonts w:cs="Arial"/>
                <w:lang w:val="es-ES_tradnl"/>
              </w:rPr>
              <w:t>Género</w:t>
            </w:r>
          </w:p>
          <w:p w:rsidR="005253AC" w:rsidRPr="00D6704A" w:rsidRDefault="005253AC" w:rsidP="00E658B6">
            <w:pPr>
              <w:rPr>
                <w:rFonts w:cs="Arial"/>
                <w:lang w:val="es-ES"/>
              </w:rPr>
            </w:pPr>
            <w:r w:rsidRPr="00D6704A">
              <w:rPr>
                <w:rFonts w:cs="Arial"/>
                <w:lang w:val="es-ES"/>
              </w:rPr>
              <w:t xml:space="preserve">1.1.1 </w:t>
            </w:r>
            <w:r w:rsidRPr="00D6704A">
              <w:rPr>
                <w:rFonts w:cs="Arial"/>
                <w:lang w:val="es-ES"/>
              </w:rPr>
              <w:tab/>
            </w:r>
            <w:r w:rsidR="00520928" w:rsidRPr="000D5690">
              <w:rPr>
                <w:rFonts w:cs="Arial"/>
                <w:lang w:val="es-ES_tradnl"/>
              </w:rPr>
              <w:t>Nombre botánico</w:t>
            </w:r>
          </w:p>
          <w:p w:rsidR="005253AC" w:rsidRPr="00D6704A" w:rsidRDefault="005253AC" w:rsidP="00E658B6">
            <w:pPr>
              <w:rPr>
                <w:rFonts w:cs="Arial"/>
                <w:lang w:val="es-ES"/>
              </w:rPr>
            </w:pPr>
            <w:r w:rsidRPr="00D6704A">
              <w:rPr>
                <w:rFonts w:cs="Arial"/>
                <w:lang w:val="es-ES"/>
              </w:rPr>
              <w:t xml:space="preserve">1.1.2 </w:t>
            </w:r>
            <w:r w:rsidRPr="00D6704A">
              <w:rPr>
                <w:rFonts w:cs="Arial"/>
                <w:lang w:val="es-ES"/>
              </w:rPr>
              <w:tab/>
            </w:r>
            <w:r w:rsidR="00520928" w:rsidRPr="000D5690">
              <w:rPr>
                <w:rFonts w:cs="Arial"/>
                <w:lang w:val="es-ES_tradnl"/>
              </w:rPr>
              <w:t>Nombre común</w:t>
            </w:r>
          </w:p>
          <w:p w:rsidR="005253AC" w:rsidRPr="00D6704A" w:rsidRDefault="005253AC" w:rsidP="00E658B6">
            <w:pPr>
              <w:rPr>
                <w:rFonts w:cs="Arial"/>
                <w:lang w:val="es-ES"/>
              </w:rPr>
            </w:pPr>
            <w:r w:rsidRPr="00D6704A">
              <w:rPr>
                <w:rFonts w:cs="Arial"/>
                <w:lang w:val="es-ES"/>
              </w:rPr>
              <w:t>1.2</w:t>
            </w:r>
            <w:r w:rsidRPr="00D6704A">
              <w:rPr>
                <w:rFonts w:cs="Arial"/>
                <w:lang w:val="es-ES"/>
              </w:rPr>
              <w:tab/>
            </w:r>
            <w:r w:rsidR="00520928" w:rsidRPr="000D5690">
              <w:rPr>
                <w:rFonts w:cs="Arial"/>
                <w:lang w:val="es-ES_tradnl"/>
              </w:rPr>
              <w:t>Especie (especifíquese)</w:t>
            </w:r>
          </w:p>
          <w:p w:rsidR="005253AC" w:rsidRPr="000D5690" w:rsidRDefault="005253AC" w:rsidP="00E658B6">
            <w:pPr>
              <w:rPr>
                <w:rFonts w:cs="Arial"/>
              </w:rPr>
            </w:pPr>
            <w:r w:rsidRPr="000D5690">
              <w:rPr>
                <w:rFonts w:cs="Arial"/>
              </w:rPr>
              <w:t xml:space="preserve">1.2.1 </w:t>
            </w:r>
            <w:r w:rsidRPr="000D5690">
              <w:rPr>
                <w:rFonts w:cs="Arial"/>
              </w:rPr>
              <w:tab/>
            </w:r>
            <w:r w:rsidR="00520928" w:rsidRPr="000D5690">
              <w:rPr>
                <w:rFonts w:cs="Arial"/>
                <w:lang w:val="es-ES_tradnl"/>
              </w:rPr>
              <w:t>Nombre botánico</w:t>
            </w:r>
          </w:p>
          <w:p w:rsidR="005253AC" w:rsidRPr="000D5690" w:rsidDel="00B52312" w:rsidRDefault="005253AC" w:rsidP="000D5690">
            <w:pPr>
              <w:rPr>
                <w:rFonts w:cs="Arial"/>
              </w:rPr>
            </w:pPr>
            <w:r w:rsidRPr="000D5690">
              <w:rPr>
                <w:rFonts w:cs="Arial"/>
              </w:rPr>
              <w:t xml:space="preserve">1.2.2 </w:t>
            </w:r>
            <w:r w:rsidRPr="000D5690">
              <w:rPr>
                <w:rFonts w:cs="Arial"/>
              </w:rPr>
              <w:tab/>
            </w:r>
            <w:r w:rsidR="00520928" w:rsidRPr="000D5690">
              <w:rPr>
                <w:rFonts w:cs="Arial"/>
                <w:lang w:val="es-ES_tradnl"/>
              </w:rPr>
              <w:t>Nombre común</w:t>
            </w:r>
          </w:p>
        </w:tc>
      </w:tr>
    </w:tbl>
    <w:p w:rsidR="005253AC" w:rsidRPr="000D5690" w:rsidRDefault="005253AC" w:rsidP="005253AC">
      <w:pPr>
        <w:keepNext/>
        <w:jc w:val="left"/>
        <w:rPr>
          <w:rFonts w:cs="Arial"/>
          <w:u w:val="single"/>
        </w:rPr>
      </w:pPr>
    </w:p>
    <w:p w:rsidR="005253AC" w:rsidRPr="000D5690" w:rsidRDefault="005253AC" w:rsidP="005253AC">
      <w:pPr>
        <w:keepNext/>
        <w:jc w:val="left"/>
        <w:rPr>
          <w:rFonts w:cs="Arial"/>
          <w:u w:val="single"/>
        </w:rPr>
      </w:pPr>
    </w:p>
    <w:tbl>
      <w:tblPr>
        <w:tblW w:w="6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167"/>
        <w:gridCol w:w="2268"/>
      </w:tblGrid>
      <w:tr w:rsidR="005253AC" w:rsidRPr="000D5690" w:rsidTr="00E658B6">
        <w:trPr>
          <w:cantSplit/>
          <w:trHeight w:val="315"/>
        </w:trPr>
        <w:tc>
          <w:tcPr>
            <w:tcW w:w="4167" w:type="dxa"/>
            <w:vMerge w:val="restart"/>
            <w:shd w:val="clear" w:color="auto" w:fill="D9D9D9"/>
            <w:vAlign w:val="center"/>
          </w:tcPr>
          <w:p w:rsidR="005253AC" w:rsidRPr="00D6704A" w:rsidRDefault="00DE606C" w:rsidP="000D5690">
            <w:pPr>
              <w:pStyle w:val="TitleofDoc"/>
              <w:keepNext/>
              <w:tabs>
                <w:tab w:val="left" w:pos="5245"/>
                <w:tab w:val="left" w:pos="7008"/>
              </w:tabs>
              <w:spacing w:before="80" w:after="80"/>
              <w:jc w:val="left"/>
              <w:rPr>
                <w:rFonts w:cs="Arial"/>
                <w:caps w:val="0"/>
                <w:lang w:val="es-ES"/>
              </w:rPr>
            </w:pPr>
            <w:proofErr w:type="spellStart"/>
            <w:r w:rsidRPr="000D5690">
              <w:rPr>
                <w:rFonts w:cs="Arial"/>
                <w:caps w:val="0"/>
                <w:lang w:val="es-ES_tradnl"/>
              </w:rPr>
              <w:t>Portainjertos</w:t>
            </w:r>
            <w:proofErr w:type="spellEnd"/>
            <w:r w:rsidRPr="000D5690">
              <w:rPr>
                <w:rFonts w:cs="Arial"/>
                <w:caps w:val="0"/>
                <w:lang w:val="es-ES_tradnl"/>
              </w:rPr>
              <w:t xml:space="preserve"> de aguacate</w:t>
            </w:r>
            <w:r w:rsidR="005253AC" w:rsidRPr="00D6704A">
              <w:rPr>
                <w:rFonts w:cs="Arial"/>
                <w:caps w:val="0"/>
                <w:lang w:val="es-ES"/>
              </w:rPr>
              <w:t xml:space="preserve"> (</w:t>
            </w:r>
            <w:proofErr w:type="spellStart"/>
            <w:r w:rsidR="005253AC" w:rsidRPr="00D6704A">
              <w:rPr>
                <w:rFonts w:cs="Arial"/>
                <w:i/>
                <w:caps w:val="0"/>
                <w:lang w:val="es-ES"/>
              </w:rPr>
              <w:t>Persea</w:t>
            </w:r>
            <w:proofErr w:type="spellEnd"/>
            <w:r w:rsidR="005253AC" w:rsidRPr="00D6704A">
              <w:rPr>
                <w:rFonts w:cs="Arial"/>
                <w:i/>
                <w:caps w:val="0"/>
                <w:lang w:val="es-ES"/>
              </w:rPr>
              <w:t xml:space="preserve"> americana </w:t>
            </w:r>
            <w:proofErr w:type="spellStart"/>
            <w:r w:rsidR="005253AC" w:rsidRPr="00D6704A">
              <w:rPr>
                <w:rFonts w:cs="Arial"/>
                <w:caps w:val="0"/>
                <w:lang w:val="es-ES"/>
              </w:rPr>
              <w:t>Mill</w:t>
            </w:r>
            <w:proofErr w:type="spellEnd"/>
            <w:r w:rsidR="005253AC" w:rsidRPr="00D6704A">
              <w:rPr>
                <w:rFonts w:cs="Arial"/>
                <w:i/>
                <w:caps w:val="0"/>
                <w:lang w:val="es-ES"/>
              </w:rPr>
              <w:t xml:space="preserve">., </w:t>
            </w:r>
            <w:proofErr w:type="spellStart"/>
            <w:r w:rsidR="005253AC" w:rsidRPr="00D6704A">
              <w:rPr>
                <w:rFonts w:cs="Arial"/>
                <w:i/>
                <w:caps w:val="0"/>
                <w:lang w:val="es-ES"/>
              </w:rPr>
              <w:t>Persea</w:t>
            </w:r>
            <w:proofErr w:type="spellEnd"/>
            <w:r w:rsidR="005253AC" w:rsidRPr="00D6704A">
              <w:rPr>
                <w:rFonts w:cs="Arial"/>
                <w:i/>
                <w:caps w:val="0"/>
                <w:lang w:val="es-ES"/>
              </w:rPr>
              <w:t xml:space="preserve"> </w:t>
            </w:r>
            <w:proofErr w:type="spellStart"/>
            <w:r w:rsidR="005253AC" w:rsidRPr="00D6704A">
              <w:rPr>
                <w:rFonts w:cs="Arial"/>
                <w:i/>
                <w:caps w:val="0"/>
                <w:lang w:val="es-ES"/>
              </w:rPr>
              <w:t>schiedeana</w:t>
            </w:r>
            <w:proofErr w:type="spellEnd"/>
            <w:r w:rsidR="005253AC" w:rsidRPr="00D6704A">
              <w:rPr>
                <w:rFonts w:cs="Arial"/>
                <w:i/>
                <w:caps w:val="0"/>
                <w:lang w:val="es-ES"/>
              </w:rPr>
              <w:t xml:space="preserve"> </w:t>
            </w:r>
            <w:proofErr w:type="spellStart"/>
            <w:r w:rsidR="005253AC" w:rsidRPr="00D6704A">
              <w:rPr>
                <w:rFonts w:cs="Arial"/>
                <w:caps w:val="0"/>
                <w:lang w:val="es-ES"/>
              </w:rPr>
              <w:t>Nees</w:t>
            </w:r>
            <w:proofErr w:type="spellEnd"/>
            <w:r w:rsidR="005253AC" w:rsidRPr="00D6704A">
              <w:rPr>
                <w:rFonts w:cs="Arial"/>
                <w:caps w:val="0"/>
                <w:lang w:val="es-ES"/>
              </w:rPr>
              <w:t>)</w:t>
            </w:r>
          </w:p>
        </w:tc>
        <w:tc>
          <w:tcPr>
            <w:tcW w:w="2268" w:type="dxa"/>
            <w:vMerge w:val="restart"/>
            <w:shd w:val="clear" w:color="auto" w:fill="D9D9D9"/>
            <w:vAlign w:val="center"/>
          </w:tcPr>
          <w:p w:rsidR="005253AC" w:rsidRPr="000D5690" w:rsidRDefault="005253AC" w:rsidP="00E658B6">
            <w:pPr>
              <w:spacing w:before="80" w:after="80"/>
              <w:jc w:val="left"/>
              <w:rPr>
                <w:iCs/>
                <w:snapToGrid w:val="0"/>
              </w:rPr>
            </w:pPr>
            <w:r w:rsidRPr="000D5690">
              <w:t>TG/PERSE(proj.4)</w:t>
            </w:r>
          </w:p>
        </w:tc>
      </w:tr>
      <w:tr w:rsidR="005253AC" w:rsidRPr="000D5690" w:rsidTr="00E658B6">
        <w:trPr>
          <w:cantSplit/>
          <w:trHeight w:val="230"/>
        </w:trPr>
        <w:tc>
          <w:tcPr>
            <w:tcW w:w="4167" w:type="dxa"/>
            <w:vMerge/>
            <w:shd w:val="clear" w:color="auto" w:fill="D9D9D9"/>
            <w:vAlign w:val="center"/>
          </w:tcPr>
          <w:p w:rsidR="005253AC" w:rsidRPr="000D5690" w:rsidRDefault="005253AC" w:rsidP="00E658B6">
            <w:pPr>
              <w:pStyle w:val="TitleofDoc"/>
              <w:keepNext/>
              <w:tabs>
                <w:tab w:val="left" w:pos="5245"/>
                <w:tab w:val="left" w:pos="7008"/>
              </w:tabs>
              <w:spacing w:before="0"/>
              <w:jc w:val="left"/>
              <w:rPr>
                <w:rFonts w:cs="Arial"/>
                <w:caps w:val="0"/>
              </w:rPr>
            </w:pPr>
          </w:p>
        </w:tc>
        <w:tc>
          <w:tcPr>
            <w:tcW w:w="2268" w:type="dxa"/>
            <w:vMerge/>
            <w:shd w:val="clear" w:color="auto" w:fill="D9D9D9"/>
            <w:vAlign w:val="center"/>
          </w:tcPr>
          <w:p w:rsidR="005253AC" w:rsidRPr="000D5690" w:rsidRDefault="005253AC" w:rsidP="00E658B6">
            <w:pPr>
              <w:rPr>
                <w:iCs/>
                <w:snapToGrid w:val="0"/>
                <w:lang w:val="fr-CH"/>
              </w:rPr>
            </w:pPr>
          </w:p>
        </w:tc>
      </w:tr>
    </w:tbl>
    <w:p w:rsidR="005253AC" w:rsidRPr="000D5690" w:rsidRDefault="005253AC" w:rsidP="005253AC">
      <w:pPr>
        <w:keepNext/>
        <w:jc w:val="left"/>
        <w:rPr>
          <w:rFonts w:cs="Arial"/>
          <w:lang w:val="fr-CH"/>
        </w:rPr>
      </w:pPr>
    </w:p>
    <w:p w:rsidR="005253AC" w:rsidRPr="00D6704A" w:rsidRDefault="0047214B" w:rsidP="005253AC">
      <w:pPr>
        <w:autoSpaceDE w:val="0"/>
        <w:autoSpaceDN w:val="0"/>
        <w:adjustRightInd w:val="0"/>
        <w:ind w:firstLine="567"/>
        <w:rPr>
          <w:rFonts w:cs="Arial"/>
          <w:lang w:val="es-ES"/>
        </w:rPr>
      </w:pPr>
      <w:r w:rsidRPr="00D6704A">
        <w:rPr>
          <w:rFonts w:cs="Arial"/>
          <w:lang w:val="es-ES"/>
        </w:rPr>
        <w:t>a)</w:t>
      </w:r>
      <w:r w:rsidR="005253AC" w:rsidRPr="00D6704A">
        <w:rPr>
          <w:rFonts w:cs="Arial"/>
          <w:lang w:val="es-ES"/>
        </w:rPr>
        <w:tab/>
      </w:r>
      <w:r w:rsidR="00DE606C" w:rsidRPr="000D5690">
        <w:rPr>
          <w:rFonts w:cs="Arial"/>
          <w:lang w:val="es-ES_tradnl"/>
        </w:rPr>
        <w:t>En el cuadro siguiente se recogen las observaciones formuladas por el Comité de Redacción Ampliado en su reunión celebrada los días 6 y 7 de enero de 2016.</w:t>
      </w:r>
      <w:r w:rsidR="005253AC" w:rsidRPr="00D6704A">
        <w:rPr>
          <w:rFonts w:cs="Arial"/>
          <w:lang w:val="es-ES"/>
        </w:rPr>
        <w:t xml:space="preserve"> </w:t>
      </w:r>
      <w:r w:rsidR="00DE606C" w:rsidRPr="000D5690">
        <w:rPr>
          <w:rFonts w:cs="Arial"/>
          <w:lang w:val="es-ES_tradnl"/>
        </w:rPr>
        <w:t xml:space="preserve">Todas las observaciones se han incorporado ya en </w:t>
      </w:r>
      <w:r w:rsidR="00364BA2" w:rsidRPr="000D5690">
        <w:rPr>
          <w:rFonts w:cs="Arial"/>
          <w:lang w:val="es-ES_tradnl"/>
        </w:rPr>
        <w:t>el proyecto de directrices de examen</w:t>
      </w:r>
      <w:r w:rsidR="00DE606C" w:rsidRPr="000D5690">
        <w:rPr>
          <w:rFonts w:cs="Arial"/>
          <w:lang w:val="es-ES_tradnl"/>
        </w:rPr>
        <w:t> </w:t>
      </w:r>
      <w:r w:rsidR="00DE606C" w:rsidRPr="000D5690">
        <w:rPr>
          <w:lang w:val="es-ES_tradnl"/>
        </w:rPr>
        <w:t>TG/</w:t>
      </w:r>
      <w:proofErr w:type="gramStart"/>
      <w:r w:rsidR="00DE606C" w:rsidRPr="000D5690">
        <w:rPr>
          <w:lang w:val="es-ES_tradnl"/>
        </w:rPr>
        <w:t>PERSE(</w:t>
      </w:r>
      <w:proofErr w:type="gramEnd"/>
      <w:r w:rsidR="00DE606C" w:rsidRPr="000D5690">
        <w:rPr>
          <w:lang w:val="es-ES_tradnl"/>
        </w:rPr>
        <w:t>proj.4)</w:t>
      </w:r>
      <w:r w:rsidR="00DE606C" w:rsidRPr="000D5690">
        <w:rPr>
          <w:rFonts w:cs="Arial"/>
          <w:lang w:val="es-ES_tradnl"/>
        </w:rPr>
        <w:t>, sometido a la consideración del TC:</w:t>
      </w:r>
    </w:p>
    <w:p w:rsidR="005253AC" w:rsidRPr="00D6704A" w:rsidRDefault="005253AC" w:rsidP="005253AC">
      <w:pPr>
        <w:keepNext/>
        <w:jc w:val="left"/>
        <w:rPr>
          <w:rFonts w:cs="Arial"/>
          <w:lang w:val="es-ES"/>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5253AC" w:rsidRPr="00E30CEB" w:rsidTr="00E658B6">
        <w:tc>
          <w:tcPr>
            <w:tcW w:w="1573" w:type="dxa"/>
          </w:tcPr>
          <w:p w:rsidR="005253AC" w:rsidRPr="000D5690" w:rsidRDefault="005253AC" w:rsidP="00E658B6">
            <w:pPr>
              <w:jc w:val="left"/>
              <w:rPr>
                <w:rFonts w:cs="Arial"/>
              </w:rPr>
            </w:pPr>
            <w:r w:rsidRPr="000D5690">
              <w:rPr>
                <w:rFonts w:cs="Arial"/>
              </w:rPr>
              <w:t>1.</w:t>
            </w:r>
          </w:p>
        </w:tc>
        <w:tc>
          <w:tcPr>
            <w:tcW w:w="7925" w:type="dxa"/>
          </w:tcPr>
          <w:p w:rsidR="005253AC" w:rsidRPr="00D6704A" w:rsidRDefault="005253AC" w:rsidP="00E658B6">
            <w:pPr>
              <w:keepNext/>
              <w:rPr>
                <w:rFonts w:cs="Arial"/>
                <w:lang w:val="es-ES"/>
              </w:rPr>
            </w:pPr>
            <w:r w:rsidRPr="00D6704A">
              <w:rPr>
                <w:rFonts w:cs="Arial"/>
                <w:lang w:val="es-ES"/>
              </w:rPr>
              <w:t xml:space="preserve">- </w:t>
            </w:r>
            <w:r w:rsidR="00921D1F" w:rsidRPr="000D5690">
              <w:rPr>
                <w:rFonts w:cs="Arial"/>
                <w:lang w:val="es-ES_tradnl"/>
              </w:rPr>
              <w:t xml:space="preserve">Debe rezar: “… empleadas como </w:t>
            </w:r>
            <w:proofErr w:type="spellStart"/>
            <w:r w:rsidR="00921D1F" w:rsidRPr="000D5690">
              <w:rPr>
                <w:rFonts w:cs="Arial"/>
                <w:lang w:val="es-ES_tradnl"/>
              </w:rPr>
              <w:t>portainjertos</w:t>
            </w:r>
            <w:proofErr w:type="spellEnd"/>
            <w:r w:rsidR="00921D1F" w:rsidRPr="000D5690">
              <w:rPr>
                <w:rFonts w:cs="Arial"/>
                <w:lang w:val="es-ES_tradnl"/>
              </w:rPr>
              <w:t>.”</w:t>
            </w:r>
          </w:p>
          <w:p w:rsidR="005253AC" w:rsidRPr="00D6704A" w:rsidRDefault="005253AC" w:rsidP="000D5690">
            <w:pPr>
              <w:keepNext/>
              <w:rPr>
                <w:rFonts w:cs="Arial"/>
                <w:lang w:val="es-ES"/>
              </w:rPr>
            </w:pPr>
            <w:r w:rsidRPr="00D6704A">
              <w:rPr>
                <w:rFonts w:cs="Arial"/>
                <w:lang w:val="es-ES"/>
              </w:rPr>
              <w:t xml:space="preserve">- </w:t>
            </w:r>
            <w:r w:rsidR="00921D1F" w:rsidRPr="000D5690">
              <w:rPr>
                <w:rFonts w:cs="Arial"/>
                <w:lang w:val="es-ES_tradnl"/>
              </w:rPr>
              <w:t>Debe actualizarse en función de los cambios en la cobertura de las directrices de examen.</w:t>
            </w:r>
          </w:p>
        </w:tc>
      </w:tr>
      <w:tr w:rsidR="005253AC" w:rsidRPr="00E30CEB" w:rsidTr="00E658B6">
        <w:tc>
          <w:tcPr>
            <w:tcW w:w="1573" w:type="dxa"/>
          </w:tcPr>
          <w:p w:rsidR="005253AC" w:rsidRPr="000D5690" w:rsidRDefault="005253AC" w:rsidP="00E658B6">
            <w:pPr>
              <w:jc w:val="left"/>
              <w:rPr>
                <w:rFonts w:cs="Arial"/>
              </w:rPr>
            </w:pPr>
            <w:r w:rsidRPr="000D5690">
              <w:rPr>
                <w:rFonts w:cs="Arial"/>
              </w:rPr>
              <w:t>4.2.2</w:t>
            </w:r>
          </w:p>
        </w:tc>
        <w:tc>
          <w:tcPr>
            <w:tcW w:w="7925" w:type="dxa"/>
          </w:tcPr>
          <w:p w:rsidR="005253AC" w:rsidRPr="00D6704A" w:rsidRDefault="00921D1F" w:rsidP="000D5690">
            <w:pPr>
              <w:keepNext/>
              <w:rPr>
                <w:rFonts w:cs="Arial"/>
                <w:lang w:val="es-ES"/>
              </w:rPr>
            </w:pPr>
            <w:r w:rsidRPr="000D5690">
              <w:rPr>
                <w:rFonts w:cs="Arial"/>
                <w:lang w:val="es-ES_tradnl"/>
              </w:rPr>
              <w:t>Debe eliminarse “en una muestra de 5 plantas” en la primera frase.</w:t>
            </w:r>
          </w:p>
        </w:tc>
      </w:tr>
      <w:tr w:rsidR="005253AC" w:rsidRPr="00E30CEB" w:rsidTr="00E658B6">
        <w:tc>
          <w:tcPr>
            <w:tcW w:w="1573" w:type="dxa"/>
          </w:tcPr>
          <w:p w:rsidR="005253AC" w:rsidRPr="000D5690" w:rsidRDefault="006469CB" w:rsidP="000D5690">
            <w:pPr>
              <w:jc w:val="left"/>
              <w:rPr>
                <w:rFonts w:cs="Arial"/>
              </w:rPr>
            </w:pPr>
            <w:r w:rsidRPr="000D5690">
              <w:rPr>
                <w:rFonts w:cs="Arial"/>
                <w:lang w:val="es-ES_tradnl"/>
              </w:rPr>
              <w:t>Car.</w:t>
            </w:r>
            <w:r w:rsidR="005253AC" w:rsidRPr="000D5690">
              <w:rPr>
                <w:rFonts w:cs="Arial"/>
              </w:rPr>
              <w:t xml:space="preserve"> 2 </w:t>
            </w:r>
          </w:p>
        </w:tc>
        <w:tc>
          <w:tcPr>
            <w:tcW w:w="7925" w:type="dxa"/>
          </w:tcPr>
          <w:p w:rsidR="005253AC" w:rsidRPr="00D6704A" w:rsidRDefault="006469CB" w:rsidP="000D5690">
            <w:pPr>
              <w:keepNext/>
              <w:rPr>
                <w:rFonts w:cs="Arial"/>
                <w:lang w:val="es-ES"/>
              </w:rPr>
            </w:pPr>
            <w:r w:rsidRPr="000D5690">
              <w:rPr>
                <w:rFonts w:cs="Arial"/>
                <w:lang w:val="es-ES_tradnl"/>
              </w:rPr>
              <w:t>Debe rezar: “Planta:</w:t>
            </w:r>
            <w:r w:rsidR="005253AC" w:rsidRPr="00D6704A">
              <w:rPr>
                <w:rFonts w:cs="Arial"/>
                <w:lang w:val="es-ES"/>
              </w:rPr>
              <w:t xml:space="preserve"> </w:t>
            </w:r>
            <w:r w:rsidRPr="000D5690">
              <w:rPr>
                <w:rFonts w:cs="Arial"/>
                <w:lang w:val="es-ES_tradnl"/>
              </w:rPr>
              <w:t>habito de crecimiento”.</w:t>
            </w:r>
          </w:p>
        </w:tc>
      </w:tr>
      <w:tr w:rsidR="005253AC" w:rsidRPr="00E30CEB" w:rsidTr="00E658B6">
        <w:tc>
          <w:tcPr>
            <w:tcW w:w="1573" w:type="dxa"/>
          </w:tcPr>
          <w:p w:rsidR="005253AC" w:rsidRPr="000D5690" w:rsidRDefault="006469CB" w:rsidP="000D5690">
            <w:pPr>
              <w:rPr>
                <w:rFonts w:cs="Arial"/>
              </w:rPr>
            </w:pPr>
            <w:r w:rsidRPr="000D5690">
              <w:rPr>
                <w:rFonts w:cs="Arial"/>
                <w:lang w:val="es-ES_tradnl"/>
              </w:rPr>
              <w:t>Car.</w:t>
            </w:r>
            <w:r w:rsidR="005253AC" w:rsidRPr="000D5690">
              <w:rPr>
                <w:rFonts w:cs="Arial"/>
              </w:rPr>
              <w:t xml:space="preserve"> 7</w:t>
            </w:r>
          </w:p>
        </w:tc>
        <w:tc>
          <w:tcPr>
            <w:tcW w:w="7925" w:type="dxa"/>
          </w:tcPr>
          <w:p w:rsidR="005253AC" w:rsidRPr="00D6704A" w:rsidRDefault="006469CB" w:rsidP="000D5690">
            <w:pPr>
              <w:rPr>
                <w:rFonts w:cs="Arial"/>
                <w:lang w:val="es-ES"/>
              </w:rPr>
            </w:pPr>
            <w:r w:rsidRPr="000D5690">
              <w:rPr>
                <w:rFonts w:cs="Arial"/>
                <w:lang w:val="es-ES_tradnl"/>
              </w:rPr>
              <w:t>Debe rezar: “Brote:</w:t>
            </w:r>
            <w:r w:rsidR="005253AC" w:rsidRPr="00D6704A">
              <w:rPr>
                <w:rFonts w:cs="Arial"/>
                <w:lang w:val="es-ES"/>
              </w:rPr>
              <w:t xml:space="preserve"> </w:t>
            </w:r>
            <w:r w:rsidRPr="000D5690">
              <w:rPr>
                <w:rFonts w:cs="Arial"/>
                <w:lang w:val="es-ES_tradnl"/>
              </w:rPr>
              <w:t>pubescencia de los entrenudos”.</w:t>
            </w:r>
          </w:p>
        </w:tc>
      </w:tr>
      <w:tr w:rsidR="005253AC" w:rsidRPr="00E30CEB" w:rsidTr="00E658B6">
        <w:tc>
          <w:tcPr>
            <w:tcW w:w="1573" w:type="dxa"/>
          </w:tcPr>
          <w:p w:rsidR="005253AC" w:rsidRPr="000D5690" w:rsidRDefault="006469CB" w:rsidP="000D5690">
            <w:pPr>
              <w:jc w:val="left"/>
              <w:rPr>
                <w:rFonts w:cs="Arial"/>
              </w:rPr>
            </w:pPr>
            <w:r w:rsidRPr="000D5690">
              <w:rPr>
                <w:rFonts w:cs="Arial"/>
                <w:lang w:val="es-ES_tradnl"/>
              </w:rPr>
              <w:t>Car.</w:t>
            </w:r>
            <w:r w:rsidR="005253AC" w:rsidRPr="000D5690">
              <w:rPr>
                <w:rFonts w:cs="Arial"/>
              </w:rPr>
              <w:t xml:space="preserve"> 17</w:t>
            </w:r>
          </w:p>
        </w:tc>
        <w:tc>
          <w:tcPr>
            <w:tcW w:w="7925" w:type="dxa"/>
          </w:tcPr>
          <w:p w:rsidR="005253AC" w:rsidRPr="00D6704A" w:rsidRDefault="006469CB" w:rsidP="000D5690">
            <w:pPr>
              <w:keepNext/>
              <w:rPr>
                <w:rFonts w:cs="Arial"/>
                <w:lang w:val="es-ES"/>
              </w:rPr>
            </w:pPr>
            <w:r w:rsidRPr="000D5690">
              <w:rPr>
                <w:rFonts w:cs="Arial"/>
                <w:lang w:val="es-ES_tradnl"/>
              </w:rPr>
              <w:t>El nivel 3 deber rezar: “rojo”.</w:t>
            </w:r>
          </w:p>
        </w:tc>
      </w:tr>
      <w:tr w:rsidR="005253AC" w:rsidRPr="000D5690" w:rsidTr="00E658B6">
        <w:tc>
          <w:tcPr>
            <w:tcW w:w="1573" w:type="dxa"/>
          </w:tcPr>
          <w:p w:rsidR="005253AC" w:rsidRPr="000D5690" w:rsidRDefault="006469CB" w:rsidP="000D5690">
            <w:pPr>
              <w:rPr>
                <w:rFonts w:cs="Arial"/>
              </w:rPr>
            </w:pPr>
            <w:r w:rsidRPr="000D5690">
              <w:rPr>
                <w:rFonts w:cs="Arial"/>
                <w:lang w:val="es-ES_tradnl"/>
              </w:rPr>
              <w:t>Car.</w:t>
            </w:r>
            <w:r w:rsidR="005253AC" w:rsidRPr="000D5690">
              <w:rPr>
                <w:rFonts w:cs="Arial"/>
              </w:rPr>
              <w:t xml:space="preserve"> 21</w:t>
            </w:r>
          </w:p>
        </w:tc>
        <w:tc>
          <w:tcPr>
            <w:tcW w:w="7925" w:type="dxa"/>
          </w:tcPr>
          <w:p w:rsidR="005253AC" w:rsidRPr="000D5690" w:rsidRDefault="006469CB" w:rsidP="000D5690">
            <w:pPr>
              <w:ind w:left="786" w:hanging="786"/>
              <w:rPr>
                <w:rFonts w:cs="Arial"/>
              </w:rPr>
            </w:pPr>
            <w:r w:rsidRPr="000D5690">
              <w:rPr>
                <w:rFonts w:cs="Arial"/>
                <w:lang w:val="es-ES_tradnl"/>
              </w:rPr>
              <w:t>Suprímase.</w:t>
            </w:r>
            <w:r w:rsidR="005253AC" w:rsidRPr="000D5690">
              <w:rPr>
                <w:rFonts w:cs="Arial"/>
              </w:rPr>
              <w:t xml:space="preserve"> </w:t>
            </w:r>
          </w:p>
        </w:tc>
      </w:tr>
      <w:tr w:rsidR="005253AC" w:rsidRPr="00E30CEB" w:rsidTr="00E658B6">
        <w:tc>
          <w:tcPr>
            <w:tcW w:w="1573" w:type="dxa"/>
          </w:tcPr>
          <w:p w:rsidR="005253AC" w:rsidRPr="000D5690" w:rsidRDefault="006469CB" w:rsidP="000D5690">
            <w:pPr>
              <w:jc w:val="left"/>
              <w:rPr>
                <w:rFonts w:cs="Arial"/>
              </w:rPr>
            </w:pPr>
            <w:r w:rsidRPr="000D5690">
              <w:rPr>
                <w:rFonts w:cs="Arial"/>
                <w:lang w:val="es-ES_tradnl"/>
              </w:rPr>
              <w:t>Car.</w:t>
            </w:r>
            <w:r w:rsidR="005253AC" w:rsidRPr="000D5690">
              <w:rPr>
                <w:rFonts w:cs="Arial"/>
              </w:rPr>
              <w:t xml:space="preserve"> 29</w:t>
            </w:r>
          </w:p>
        </w:tc>
        <w:tc>
          <w:tcPr>
            <w:tcW w:w="7925" w:type="dxa"/>
          </w:tcPr>
          <w:p w:rsidR="005253AC" w:rsidRPr="00D6704A" w:rsidRDefault="006469CB" w:rsidP="000D5690">
            <w:pPr>
              <w:keepNext/>
              <w:rPr>
                <w:rFonts w:cs="Arial"/>
                <w:lang w:val="es-ES"/>
              </w:rPr>
            </w:pPr>
            <w:r w:rsidRPr="000D5690">
              <w:rPr>
                <w:rFonts w:cs="Arial"/>
                <w:lang w:val="es-ES_tradnl"/>
              </w:rPr>
              <w:t>El nivel 2 debe rezar: “plana”.</w:t>
            </w:r>
          </w:p>
        </w:tc>
      </w:tr>
      <w:tr w:rsidR="005253AC" w:rsidRPr="00E30CEB" w:rsidTr="00E658B6">
        <w:tc>
          <w:tcPr>
            <w:tcW w:w="1573" w:type="dxa"/>
          </w:tcPr>
          <w:p w:rsidR="005253AC" w:rsidRPr="000D5690" w:rsidRDefault="003E4B12" w:rsidP="000D5690">
            <w:pPr>
              <w:rPr>
                <w:rFonts w:cs="Arial"/>
              </w:rPr>
            </w:pPr>
            <w:r w:rsidRPr="000D5690">
              <w:rPr>
                <w:rFonts w:cs="Arial"/>
                <w:lang w:val="es-ES_tradnl"/>
              </w:rPr>
              <w:t>Car.</w:t>
            </w:r>
            <w:r w:rsidR="005253AC" w:rsidRPr="000D5690">
              <w:rPr>
                <w:rFonts w:cs="Arial"/>
              </w:rPr>
              <w:t xml:space="preserve"> 31</w:t>
            </w:r>
          </w:p>
        </w:tc>
        <w:tc>
          <w:tcPr>
            <w:tcW w:w="7925" w:type="dxa"/>
          </w:tcPr>
          <w:p w:rsidR="005253AC" w:rsidRPr="00D6704A" w:rsidRDefault="003E4B12" w:rsidP="000D5690">
            <w:pPr>
              <w:rPr>
                <w:rFonts w:cs="Arial"/>
                <w:lang w:val="es-ES"/>
              </w:rPr>
            </w:pPr>
            <w:r w:rsidRPr="000D5690">
              <w:rPr>
                <w:rFonts w:cs="Arial"/>
                <w:snapToGrid w:val="0"/>
                <w:color w:val="000000"/>
                <w:lang w:val="es-ES_tradnl"/>
              </w:rPr>
              <w:t>Debe rezar: “Limbo:</w:t>
            </w:r>
            <w:r w:rsidR="005253AC" w:rsidRPr="00D6704A">
              <w:rPr>
                <w:rFonts w:cs="Arial"/>
                <w:snapToGrid w:val="0"/>
                <w:color w:val="000000"/>
                <w:lang w:val="es-ES"/>
              </w:rPr>
              <w:t xml:space="preserve"> </w:t>
            </w:r>
            <w:r w:rsidRPr="000D5690">
              <w:rPr>
                <w:rFonts w:cs="Arial"/>
                <w:snapToGrid w:val="0"/>
                <w:color w:val="000000"/>
                <w:lang w:val="es-ES_tradnl"/>
              </w:rPr>
              <w:t>densidad de la pubescencia del envés del nervio principal”.</w:t>
            </w:r>
          </w:p>
        </w:tc>
      </w:tr>
      <w:tr w:rsidR="005253AC" w:rsidRPr="00E30CEB" w:rsidTr="00E658B6">
        <w:tc>
          <w:tcPr>
            <w:tcW w:w="1573" w:type="dxa"/>
          </w:tcPr>
          <w:p w:rsidR="005253AC" w:rsidRPr="000D5690" w:rsidRDefault="003E4B12" w:rsidP="000D5690">
            <w:pPr>
              <w:rPr>
                <w:rFonts w:cs="Arial"/>
              </w:rPr>
            </w:pPr>
            <w:r w:rsidRPr="000D5690">
              <w:rPr>
                <w:rFonts w:cs="Arial"/>
                <w:lang w:val="es-ES_tradnl"/>
              </w:rPr>
              <w:t>Caracteres</w:t>
            </w:r>
            <w:r w:rsidR="005253AC" w:rsidRPr="000D5690">
              <w:rPr>
                <w:rFonts w:cs="Arial"/>
              </w:rPr>
              <w:t xml:space="preserve"> 33, 37</w:t>
            </w:r>
          </w:p>
        </w:tc>
        <w:tc>
          <w:tcPr>
            <w:tcW w:w="7925" w:type="dxa"/>
          </w:tcPr>
          <w:p w:rsidR="005253AC" w:rsidRPr="00D6704A" w:rsidRDefault="003E4B12" w:rsidP="000D5690">
            <w:pPr>
              <w:rPr>
                <w:rFonts w:cs="Arial"/>
                <w:lang w:val="es-ES"/>
              </w:rPr>
            </w:pPr>
            <w:r w:rsidRPr="000D5690">
              <w:rPr>
                <w:rFonts w:cs="Arial"/>
                <w:lang w:val="es-ES_tradnl"/>
              </w:rPr>
              <w:t xml:space="preserve">Deben trasladarse </w:t>
            </w:r>
            <w:r w:rsidR="005D1D27" w:rsidRPr="000D5690">
              <w:rPr>
                <w:rFonts w:cs="Arial"/>
                <w:lang w:val="es-ES_tradnl"/>
              </w:rPr>
              <w:t>para ocupar los lugares posteriores a</w:t>
            </w:r>
            <w:r w:rsidRPr="000D5690">
              <w:rPr>
                <w:rFonts w:cs="Arial"/>
                <w:lang w:val="es-ES_tradnl"/>
              </w:rPr>
              <w:t>l carácter 22.</w:t>
            </w:r>
          </w:p>
        </w:tc>
      </w:tr>
      <w:tr w:rsidR="005253AC" w:rsidRPr="00E30CEB" w:rsidTr="00E658B6">
        <w:tc>
          <w:tcPr>
            <w:tcW w:w="1573" w:type="dxa"/>
          </w:tcPr>
          <w:p w:rsidR="005253AC" w:rsidRPr="000D5690" w:rsidRDefault="003E4B12" w:rsidP="000D5690">
            <w:pPr>
              <w:rPr>
                <w:rFonts w:cs="Arial"/>
              </w:rPr>
            </w:pPr>
            <w:r w:rsidRPr="000D5690">
              <w:rPr>
                <w:rFonts w:cs="Arial"/>
                <w:lang w:val="es-ES_tradnl"/>
              </w:rPr>
              <w:t>Car.</w:t>
            </w:r>
            <w:r w:rsidR="005253AC" w:rsidRPr="000D5690">
              <w:rPr>
                <w:rFonts w:cs="Arial"/>
              </w:rPr>
              <w:t xml:space="preserve"> 35</w:t>
            </w:r>
          </w:p>
        </w:tc>
        <w:tc>
          <w:tcPr>
            <w:tcW w:w="7925" w:type="dxa"/>
          </w:tcPr>
          <w:p w:rsidR="005253AC" w:rsidRPr="00D6704A" w:rsidRDefault="003E4B12" w:rsidP="000D5690">
            <w:pPr>
              <w:rPr>
                <w:rFonts w:cs="Arial"/>
                <w:lang w:val="es-ES"/>
              </w:rPr>
            </w:pPr>
            <w:r w:rsidRPr="000D5690">
              <w:rPr>
                <w:rFonts w:cs="Arial"/>
                <w:lang w:val="es-ES_tradnl"/>
              </w:rPr>
              <w:t>El nivel 1 debe rezar: “ausente o poco profunda” (DE:</w:t>
            </w:r>
            <w:r w:rsidR="005253AC" w:rsidRPr="00D6704A">
              <w:rPr>
                <w:rFonts w:cs="Arial"/>
                <w:lang w:val="es-ES"/>
              </w:rPr>
              <w:t xml:space="preserve"> </w:t>
            </w:r>
            <w:r w:rsidRPr="000D5690">
              <w:rPr>
                <w:rFonts w:cs="Arial"/>
                <w:lang w:val="es-ES_tradnl"/>
              </w:rPr>
              <w:t>manténgase “</w:t>
            </w:r>
            <w:proofErr w:type="spellStart"/>
            <w:r w:rsidRPr="000D5690">
              <w:rPr>
                <w:rFonts w:cs="Arial"/>
                <w:lang w:val="es-ES_tradnl"/>
              </w:rPr>
              <w:t>flach</w:t>
            </w:r>
            <w:proofErr w:type="spellEnd"/>
            <w:r w:rsidRPr="000D5690">
              <w:rPr>
                <w:rFonts w:cs="Arial"/>
                <w:lang w:val="es-ES_tradnl"/>
              </w:rPr>
              <w:t>”).</w:t>
            </w:r>
          </w:p>
        </w:tc>
      </w:tr>
      <w:tr w:rsidR="005253AC" w:rsidRPr="000D5690" w:rsidTr="00E658B6">
        <w:tc>
          <w:tcPr>
            <w:tcW w:w="1573" w:type="dxa"/>
          </w:tcPr>
          <w:p w:rsidR="005253AC" w:rsidRPr="000D5690" w:rsidRDefault="003E4B12" w:rsidP="000D5690">
            <w:pPr>
              <w:jc w:val="left"/>
              <w:rPr>
                <w:rFonts w:cs="Arial"/>
              </w:rPr>
            </w:pPr>
            <w:r w:rsidRPr="000D5690">
              <w:rPr>
                <w:rFonts w:cs="Arial"/>
                <w:lang w:val="es-ES_tradnl"/>
              </w:rPr>
              <w:t>Car.</w:t>
            </w:r>
            <w:r w:rsidR="005253AC" w:rsidRPr="000D5690">
              <w:rPr>
                <w:rFonts w:cs="Arial"/>
              </w:rPr>
              <w:t xml:space="preserve"> 36</w:t>
            </w:r>
          </w:p>
        </w:tc>
        <w:tc>
          <w:tcPr>
            <w:tcW w:w="7925" w:type="dxa"/>
          </w:tcPr>
          <w:p w:rsidR="005253AC" w:rsidRPr="000D5690" w:rsidRDefault="005253AC" w:rsidP="000D5690">
            <w:pPr>
              <w:rPr>
                <w:rFonts w:cs="Arial"/>
              </w:rPr>
            </w:pPr>
            <w:r w:rsidRPr="000D5690">
              <w:rPr>
                <w:rFonts w:cs="Arial"/>
              </w:rPr>
              <w:t xml:space="preserve">- </w:t>
            </w:r>
            <w:r w:rsidR="003E4B12" w:rsidRPr="000D5690">
              <w:rPr>
                <w:rFonts w:cs="Arial"/>
                <w:lang w:val="es-ES_tradnl"/>
              </w:rPr>
              <w:t>Debe indicarse como QN.</w:t>
            </w:r>
          </w:p>
        </w:tc>
      </w:tr>
      <w:tr w:rsidR="005253AC" w:rsidRPr="00E30CEB" w:rsidTr="00E658B6">
        <w:tc>
          <w:tcPr>
            <w:tcW w:w="1573" w:type="dxa"/>
          </w:tcPr>
          <w:p w:rsidR="005253AC" w:rsidRPr="000D5690" w:rsidRDefault="005253AC" w:rsidP="00E658B6">
            <w:pPr>
              <w:rPr>
                <w:rFonts w:cs="Arial"/>
              </w:rPr>
            </w:pPr>
            <w:r w:rsidRPr="000D5690">
              <w:rPr>
                <w:rFonts w:cs="Arial"/>
              </w:rPr>
              <w:t>8.1</w:t>
            </w:r>
          </w:p>
        </w:tc>
        <w:tc>
          <w:tcPr>
            <w:tcW w:w="7925" w:type="dxa"/>
          </w:tcPr>
          <w:p w:rsidR="005253AC" w:rsidRPr="00D6704A" w:rsidRDefault="003E4B12" w:rsidP="00E658B6">
            <w:pPr>
              <w:ind w:left="502" w:hanging="425"/>
              <w:rPr>
                <w:rFonts w:cs="Arial"/>
                <w:lang w:val="es-ES"/>
              </w:rPr>
            </w:pPr>
            <w:r w:rsidRPr="000D5690">
              <w:rPr>
                <w:rFonts w:cs="Arial"/>
                <w:lang w:val="es-ES_tradnl"/>
              </w:rPr>
              <w:t>Debe rezar:</w:t>
            </w:r>
          </w:p>
          <w:p w:rsidR="005253AC" w:rsidRPr="00D6704A" w:rsidRDefault="005253AC" w:rsidP="00E658B6">
            <w:pPr>
              <w:ind w:left="502" w:hanging="425"/>
              <w:rPr>
                <w:rFonts w:cs="Arial"/>
                <w:lang w:val="es-ES"/>
              </w:rPr>
            </w:pPr>
            <w:r w:rsidRPr="00D6704A">
              <w:rPr>
                <w:rFonts w:cs="Arial"/>
                <w:lang w:val="es-ES"/>
              </w:rPr>
              <w:t>“</w:t>
            </w:r>
            <w:r w:rsidR="0047214B" w:rsidRPr="00D6704A">
              <w:rPr>
                <w:rFonts w:cs="Arial"/>
                <w:lang w:val="es-ES"/>
              </w:rPr>
              <w:t>a)</w:t>
            </w:r>
            <w:r w:rsidRPr="00D6704A">
              <w:rPr>
                <w:rFonts w:cs="Arial"/>
                <w:lang w:val="es-ES"/>
              </w:rPr>
              <w:tab/>
            </w:r>
            <w:r w:rsidR="003E4B12" w:rsidRPr="000D5690">
              <w:rPr>
                <w:rFonts w:cs="Arial"/>
                <w:lang w:val="es-ES_tradnl"/>
              </w:rPr>
              <w:t>Las observaciones se efectuarán en los brotes de la estación en curso, durante un período de crecimiento activo (</w:t>
            </w:r>
            <w:proofErr w:type="spellStart"/>
            <w:r w:rsidR="003E4B12" w:rsidRPr="000D5690">
              <w:rPr>
                <w:rFonts w:cs="Arial"/>
                <w:lang w:val="es-ES_tradnl"/>
              </w:rPr>
              <w:t>brotación</w:t>
            </w:r>
            <w:proofErr w:type="spellEnd"/>
            <w:r w:rsidR="003E4B12" w:rsidRPr="000D5690">
              <w:rPr>
                <w:rFonts w:cs="Arial"/>
                <w:lang w:val="es-ES_tradnl"/>
              </w:rPr>
              <w:t>).</w:t>
            </w:r>
          </w:p>
          <w:p w:rsidR="005253AC" w:rsidRPr="00D6704A" w:rsidRDefault="005253AC" w:rsidP="00E658B6">
            <w:pPr>
              <w:ind w:left="502" w:hanging="425"/>
              <w:rPr>
                <w:rFonts w:cs="Arial"/>
                <w:lang w:val="es-ES"/>
              </w:rPr>
            </w:pPr>
            <w:r w:rsidRPr="00D6704A">
              <w:rPr>
                <w:rFonts w:cs="Arial"/>
                <w:lang w:val="es-ES"/>
              </w:rPr>
              <w:t>“</w:t>
            </w:r>
            <w:r w:rsidR="0047214B" w:rsidRPr="00D6704A">
              <w:rPr>
                <w:rFonts w:cs="Arial"/>
                <w:lang w:val="es-ES"/>
              </w:rPr>
              <w:t>b)</w:t>
            </w:r>
            <w:r w:rsidRPr="00D6704A">
              <w:rPr>
                <w:rFonts w:cs="Arial"/>
                <w:lang w:val="es-ES"/>
              </w:rPr>
              <w:tab/>
            </w:r>
            <w:r w:rsidR="003E4B12" w:rsidRPr="000D5690">
              <w:rPr>
                <w:rFonts w:cs="Arial"/>
                <w:lang w:val="es-ES_tradnl"/>
              </w:rPr>
              <w:t xml:space="preserve">Las observaciones se efectuarán en las ramas o los tallos que no muestren indicios de nueva </w:t>
            </w:r>
            <w:proofErr w:type="spellStart"/>
            <w:r w:rsidR="003E4B12" w:rsidRPr="000D5690">
              <w:rPr>
                <w:rFonts w:cs="Arial"/>
                <w:lang w:val="es-ES_tradnl"/>
              </w:rPr>
              <w:t>brotación</w:t>
            </w:r>
            <w:proofErr w:type="spellEnd"/>
            <w:r w:rsidR="003E4B12" w:rsidRPr="000D5690">
              <w:rPr>
                <w:rFonts w:cs="Arial"/>
                <w:lang w:val="es-ES_tradnl"/>
              </w:rPr>
              <w:t xml:space="preserve"> en la parte externa del árbol.</w:t>
            </w:r>
            <w:r w:rsidRPr="00D6704A">
              <w:rPr>
                <w:rFonts w:cs="Arial"/>
                <w:lang w:val="es-ES"/>
              </w:rPr>
              <w:t xml:space="preserve">  </w:t>
            </w:r>
            <w:r w:rsidR="003E4B12" w:rsidRPr="000D5690">
              <w:rPr>
                <w:rFonts w:cs="Arial"/>
                <w:lang w:val="es-ES_tradnl"/>
              </w:rPr>
              <w:t xml:space="preserve">Las observaciones se efectuarán en el </w:t>
            </w:r>
            <w:r w:rsidR="003E4B12" w:rsidRPr="000D5690">
              <w:rPr>
                <w:rFonts w:cs="Arial"/>
                <w:u w:val="single"/>
                <w:lang w:val="es-ES_tradnl"/>
              </w:rPr>
              <w:t>tercio medio</w:t>
            </w:r>
            <w:r w:rsidR="003E4B12" w:rsidRPr="000D5690">
              <w:rPr>
                <w:rFonts w:cs="Arial"/>
                <w:lang w:val="es-ES_tradnl"/>
              </w:rPr>
              <w:t xml:space="preserve"> (subrayado) del brote de la última estación </w:t>
            </w:r>
            <w:r w:rsidR="00B44203" w:rsidRPr="000D5690">
              <w:rPr>
                <w:rFonts w:cs="Arial"/>
                <w:lang w:val="es-ES_tradnl"/>
              </w:rPr>
              <w:t xml:space="preserve">en curso </w:t>
            </w:r>
            <w:r w:rsidR="003E4B12" w:rsidRPr="000D5690">
              <w:rPr>
                <w:rFonts w:cs="Arial"/>
                <w:lang w:val="es-ES_tradnl"/>
              </w:rPr>
              <w:t>y cerca de la próxima emergencia de yemas.</w:t>
            </w:r>
          </w:p>
          <w:p w:rsidR="005253AC" w:rsidRPr="00D6704A" w:rsidRDefault="005253AC" w:rsidP="000D5690">
            <w:pPr>
              <w:ind w:left="502" w:hanging="425"/>
              <w:rPr>
                <w:rFonts w:cs="Arial"/>
                <w:lang w:val="es-ES"/>
              </w:rPr>
            </w:pPr>
            <w:r w:rsidRPr="00D6704A">
              <w:rPr>
                <w:rFonts w:cs="Arial"/>
                <w:lang w:val="es-ES"/>
              </w:rPr>
              <w:t>“</w:t>
            </w:r>
            <w:r w:rsidR="0047214B" w:rsidRPr="00D6704A">
              <w:rPr>
                <w:rFonts w:cs="Arial"/>
                <w:lang w:val="es-ES"/>
              </w:rPr>
              <w:t>c)</w:t>
            </w:r>
            <w:r w:rsidRPr="00D6704A">
              <w:rPr>
                <w:rFonts w:cs="Arial"/>
                <w:lang w:val="es-ES"/>
              </w:rPr>
              <w:tab/>
            </w:r>
            <w:r w:rsidR="00B44203" w:rsidRPr="000D5690">
              <w:rPr>
                <w:rFonts w:cs="Arial"/>
                <w:lang w:val="es-ES_tradnl"/>
              </w:rPr>
              <w:t xml:space="preserve">Las observaciones se efectuarán en las ramas o los tallos que no muestren indicios de nueva </w:t>
            </w:r>
            <w:proofErr w:type="spellStart"/>
            <w:r w:rsidR="00B44203" w:rsidRPr="000D5690">
              <w:rPr>
                <w:rFonts w:cs="Arial"/>
                <w:lang w:val="es-ES_tradnl"/>
              </w:rPr>
              <w:t>brotación</w:t>
            </w:r>
            <w:proofErr w:type="spellEnd"/>
            <w:r w:rsidR="00B44203" w:rsidRPr="000D5690">
              <w:rPr>
                <w:rFonts w:cs="Arial"/>
                <w:lang w:val="es-ES_tradnl"/>
              </w:rPr>
              <w:t xml:space="preserve"> en la parte externa del árbol.</w:t>
            </w:r>
            <w:r w:rsidRPr="00D6704A">
              <w:rPr>
                <w:rFonts w:cs="Arial"/>
                <w:lang w:val="es-ES"/>
              </w:rPr>
              <w:t xml:space="preserve">  </w:t>
            </w:r>
            <w:r w:rsidR="00B44203" w:rsidRPr="000D5690">
              <w:rPr>
                <w:rFonts w:cs="Arial"/>
                <w:lang w:val="es-ES_tradnl"/>
              </w:rPr>
              <w:t xml:space="preserve">Las observaciones se efectuarán en el </w:t>
            </w:r>
            <w:r w:rsidR="00B44203" w:rsidRPr="000D5690">
              <w:rPr>
                <w:rFonts w:cs="Arial"/>
                <w:u w:val="single"/>
                <w:lang w:val="es-ES_tradnl"/>
              </w:rPr>
              <w:t>tercio superior</w:t>
            </w:r>
            <w:r w:rsidR="00B44203" w:rsidRPr="000D5690">
              <w:rPr>
                <w:rFonts w:cs="Arial"/>
                <w:lang w:val="es-ES_tradnl"/>
              </w:rPr>
              <w:t xml:space="preserve"> (subrayado) del brote de la última estación en curso y cerca de la próxima emergencia de yemas.”</w:t>
            </w:r>
          </w:p>
        </w:tc>
      </w:tr>
      <w:tr w:rsidR="005253AC" w:rsidRPr="00E30CEB" w:rsidTr="00E658B6">
        <w:tc>
          <w:tcPr>
            <w:tcW w:w="1573" w:type="dxa"/>
          </w:tcPr>
          <w:p w:rsidR="005253AC" w:rsidRPr="000D5690" w:rsidRDefault="005253AC" w:rsidP="00E658B6">
            <w:pPr>
              <w:jc w:val="left"/>
              <w:rPr>
                <w:rFonts w:cs="Arial"/>
              </w:rPr>
            </w:pPr>
            <w:r w:rsidRPr="000D5690">
              <w:rPr>
                <w:rFonts w:cs="Arial"/>
              </w:rPr>
              <w:t xml:space="preserve">8.1 </w:t>
            </w:r>
            <w:r w:rsidR="0047214B" w:rsidRPr="000D5690">
              <w:rPr>
                <w:rFonts w:cs="Arial"/>
              </w:rPr>
              <w:t>b)</w:t>
            </w:r>
            <w:r w:rsidRPr="000D5690">
              <w:rPr>
                <w:rFonts w:cs="Arial"/>
              </w:rPr>
              <w:t xml:space="preserve">, </w:t>
            </w:r>
            <w:r w:rsidR="0047214B" w:rsidRPr="000D5690">
              <w:rPr>
                <w:rFonts w:cs="Arial"/>
              </w:rPr>
              <w:t>c)</w:t>
            </w:r>
          </w:p>
        </w:tc>
        <w:tc>
          <w:tcPr>
            <w:tcW w:w="7925" w:type="dxa"/>
          </w:tcPr>
          <w:p w:rsidR="005253AC" w:rsidRPr="00D6704A" w:rsidRDefault="00B44203" w:rsidP="000D5690">
            <w:pPr>
              <w:rPr>
                <w:rFonts w:cs="Arial"/>
                <w:lang w:val="es-ES"/>
              </w:rPr>
            </w:pPr>
            <w:r w:rsidRPr="000D5690">
              <w:rPr>
                <w:rFonts w:cs="Arial"/>
                <w:lang w:val="es-ES_tradnl"/>
              </w:rPr>
              <w:t>Debe eliminarse “en curso” después de “la última estación”.</w:t>
            </w:r>
          </w:p>
        </w:tc>
      </w:tr>
      <w:tr w:rsidR="005253AC" w:rsidRPr="00E30CEB" w:rsidTr="00E658B6">
        <w:tc>
          <w:tcPr>
            <w:tcW w:w="1573" w:type="dxa"/>
          </w:tcPr>
          <w:p w:rsidR="005253AC" w:rsidRPr="000D5690" w:rsidRDefault="005253AC" w:rsidP="00E658B6">
            <w:pPr>
              <w:jc w:val="left"/>
              <w:rPr>
                <w:rFonts w:cs="Arial"/>
              </w:rPr>
            </w:pPr>
            <w:r w:rsidRPr="000D5690">
              <w:rPr>
                <w:rFonts w:cs="Arial"/>
              </w:rPr>
              <w:t>Ad. 4</w:t>
            </w:r>
          </w:p>
        </w:tc>
        <w:tc>
          <w:tcPr>
            <w:tcW w:w="7925" w:type="dxa"/>
          </w:tcPr>
          <w:p w:rsidR="005253AC" w:rsidRPr="00D6704A" w:rsidRDefault="005253AC" w:rsidP="00E658B6">
            <w:pPr>
              <w:rPr>
                <w:rFonts w:cs="Arial"/>
                <w:lang w:val="es-ES"/>
              </w:rPr>
            </w:pPr>
            <w:r w:rsidRPr="00D6704A">
              <w:rPr>
                <w:rFonts w:cs="Arial"/>
                <w:lang w:val="es-ES"/>
              </w:rPr>
              <w:t xml:space="preserve">- </w:t>
            </w:r>
            <w:r w:rsidR="00B44203" w:rsidRPr="000D5690">
              <w:rPr>
                <w:rFonts w:cs="Arial"/>
                <w:lang w:val="es-ES_tradnl"/>
              </w:rPr>
              <w:t>Debe suprimirse “y”.</w:t>
            </w:r>
          </w:p>
          <w:p w:rsidR="005253AC" w:rsidRPr="00D6704A" w:rsidRDefault="005253AC" w:rsidP="000D5690">
            <w:pPr>
              <w:rPr>
                <w:rFonts w:cs="Arial"/>
                <w:lang w:val="es-ES"/>
              </w:rPr>
            </w:pPr>
            <w:r w:rsidRPr="00D6704A">
              <w:rPr>
                <w:rFonts w:cs="Arial"/>
                <w:lang w:val="es-ES"/>
              </w:rPr>
              <w:t xml:space="preserve">- </w:t>
            </w:r>
            <w:r w:rsidR="00B44203" w:rsidRPr="000D5690">
              <w:rPr>
                <w:rFonts w:cs="Arial"/>
                <w:lang w:val="es-ES_tradnl"/>
              </w:rPr>
              <w:t>Debe eliminarse “del tallo”.</w:t>
            </w:r>
          </w:p>
        </w:tc>
      </w:tr>
      <w:tr w:rsidR="005253AC" w:rsidRPr="00E30CEB" w:rsidTr="00E658B6">
        <w:tc>
          <w:tcPr>
            <w:tcW w:w="1573" w:type="dxa"/>
          </w:tcPr>
          <w:p w:rsidR="005253AC" w:rsidRPr="000D5690" w:rsidRDefault="005253AC" w:rsidP="00E658B6">
            <w:pPr>
              <w:jc w:val="left"/>
              <w:rPr>
                <w:rFonts w:cs="Arial"/>
              </w:rPr>
            </w:pPr>
            <w:r w:rsidRPr="000D5690">
              <w:rPr>
                <w:rFonts w:cs="Arial"/>
              </w:rPr>
              <w:t>9.</w:t>
            </w:r>
          </w:p>
        </w:tc>
        <w:tc>
          <w:tcPr>
            <w:tcW w:w="7925" w:type="dxa"/>
          </w:tcPr>
          <w:p w:rsidR="005253AC" w:rsidRPr="00D6704A" w:rsidRDefault="001E450C" w:rsidP="000D5690">
            <w:pPr>
              <w:rPr>
                <w:rFonts w:cs="Arial"/>
                <w:lang w:val="es-ES"/>
              </w:rPr>
            </w:pPr>
            <w:r w:rsidRPr="000D5690">
              <w:rPr>
                <w:rFonts w:cs="Arial"/>
                <w:lang w:val="es-ES_tradnl"/>
              </w:rPr>
              <w:t>S</w:t>
            </w:r>
            <w:r w:rsidR="00B44203" w:rsidRPr="000D5690">
              <w:rPr>
                <w:rFonts w:cs="Arial"/>
                <w:lang w:val="es-ES_tradnl"/>
              </w:rPr>
              <w:t>upr</w:t>
            </w:r>
            <w:r w:rsidRPr="000D5690">
              <w:rPr>
                <w:rFonts w:cs="Arial"/>
                <w:lang w:val="es-ES_tradnl"/>
              </w:rPr>
              <w:t xml:space="preserve">ímase </w:t>
            </w:r>
            <w:r w:rsidR="00B44203" w:rsidRPr="000D5690">
              <w:rPr>
                <w:rFonts w:cs="Arial"/>
                <w:lang w:val="es-ES_tradnl"/>
              </w:rPr>
              <w:t xml:space="preserve">la referencia a </w:t>
            </w:r>
            <w:r w:rsidRPr="000D5690">
              <w:rPr>
                <w:rFonts w:cs="Arial"/>
                <w:lang w:val="es-ES_tradnl"/>
              </w:rPr>
              <w:t xml:space="preserve">las directrices de examen del </w:t>
            </w:r>
            <w:r w:rsidR="00B44203" w:rsidRPr="000D5690">
              <w:rPr>
                <w:rFonts w:cs="Arial"/>
                <w:lang w:val="es-ES_tradnl"/>
              </w:rPr>
              <w:t xml:space="preserve">aguacate, que </w:t>
            </w:r>
            <w:r w:rsidR="00AB06C7" w:rsidRPr="000D5690">
              <w:rPr>
                <w:rFonts w:cs="Arial"/>
                <w:lang w:val="es-ES_tradnl"/>
              </w:rPr>
              <w:t xml:space="preserve">únicamente debe citarse </w:t>
            </w:r>
            <w:r w:rsidR="00B44203" w:rsidRPr="000D5690">
              <w:rPr>
                <w:rFonts w:cs="Arial"/>
                <w:lang w:val="es-ES_tradnl"/>
              </w:rPr>
              <w:t xml:space="preserve">en la </w:t>
            </w:r>
            <w:r w:rsidR="00AB06C7" w:rsidRPr="000D5690">
              <w:rPr>
                <w:rFonts w:cs="Arial"/>
                <w:lang w:val="es-ES_tradnl"/>
              </w:rPr>
              <w:t>portada.</w:t>
            </w:r>
          </w:p>
        </w:tc>
      </w:tr>
      <w:tr w:rsidR="005253AC" w:rsidRPr="00E30CEB" w:rsidTr="00E658B6">
        <w:tc>
          <w:tcPr>
            <w:tcW w:w="1573" w:type="dxa"/>
            <w:tcBorders>
              <w:top w:val="single" w:sz="4" w:space="0" w:color="auto"/>
              <w:left w:val="single" w:sz="4" w:space="0" w:color="auto"/>
              <w:bottom w:val="single" w:sz="4" w:space="0" w:color="auto"/>
              <w:right w:val="single" w:sz="4" w:space="0" w:color="auto"/>
            </w:tcBorders>
          </w:tcPr>
          <w:p w:rsidR="005253AC" w:rsidRPr="000D5690" w:rsidRDefault="00AB06C7" w:rsidP="000D5690">
            <w:pPr>
              <w:jc w:val="left"/>
              <w:rPr>
                <w:rFonts w:cs="Arial"/>
              </w:rPr>
            </w:pPr>
            <w:r w:rsidRPr="000D5690">
              <w:rPr>
                <w:rFonts w:cs="Arial"/>
                <w:lang w:val="es-ES_tradnl"/>
              </w:rPr>
              <w:t>TQ 1</w:t>
            </w:r>
          </w:p>
        </w:tc>
        <w:tc>
          <w:tcPr>
            <w:tcW w:w="7925" w:type="dxa"/>
            <w:tcBorders>
              <w:top w:val="single" w:sz="4" w:space="0" w:color="auto"/>
              <w:left w:val="single" w:sz="4" w:space="0" w:color="auto"/>
              <w:bottom w:val="single" w:sz="4" w:space="0" w:color="auto"/>
              <w:right w:val="single" w:sz="4" w:space="0" w:color="auto"/>
            </w:tcBorders>
          </w:tcPr>
          <w:p w:rsidR="005253AC" w:rsidRPr="00D6704A" w:rsidRDefault="00AB06C7" w:rsidP="000D5690">
            <w:pPr>
              <w:rPr>
                <w:rFonts w:cs="Arial"/>
                <w:lang w:val="es-ES"/>
              </w:rPr>
            </w:pPr>
            <w:r w:rsidRPr="000D5690">
              <w:rPr>
                <w:rFonts w:cs="Arial"/>
                <w:lang w:val="es-ES_tradnl"/>
              </w:rPr>
              <w:t xml:space="preserve">Debe </w:t>
            </w:r>
            <w:r w:rsidR="00AA3603" w:rsidRPr="000D5690">
              <w:rPr>
                <w:rFonts w:cs="Arial"/>
                <w:lang w:val="es-ES_tradnl"/>
              </w:rPr>
              <w:t xml:space="preserve">comprobarse y </w:t>
            </w:r>
            <w:r w:rsidRPr="000D5690">
              <w:rPr>
                <w:rFonts w:cs="Arial"/>
                <w:lang w:val="es-ES_tradnl"/>
              </w:rPr>
              <w:t>actualizarse en función de los cambios en la cobertura de las directrices de examen.</w:t>
            </w:r>
          </w:p>
        </w:tc>
      </w:tr>
    </w:tbl>
    <w:p w:rsidR="005253AC" w:rsidRPr="00D6704A" w:rsidRDefault="005253AC" w:rsidP="005253AC">
      <w:pPr>
        <w:jc w:val="left"/>
        <w:rPr>
          <w:rFonts w:cs="Arial"/>
          <w:u w:val="single"/>
          <w:lang w:val="es-ES"/>
        </w:rPr>
      </w:pPr>
    </w:p>
    <w:p w:rsidR="005253AC" w:rsidRPr="00D6704A" w:rsidRDefault="0047214B" w:rsidP="005253AC">
      <w:pPr>
        <w:autoSpaceDE w:val="0"/>
        <w:autoSpaceDN w:val="0"/>
        <w:adjustRightInd w:val="0"/>
        <w:ind w:firstLine="567"/>
        <w:rPr>
          <w:rFonts w:cs="Arial"/>
          <w:lang w:val="es-ES"/>
        </w:rPr>
      </w:pPr>
      <w:r w:rsidRPr="00D6704A">
        <w:rPr>
          <w:rFonts w:cs="Arial"/>
          <w:lang w:val="es-ES"/>
        </w:rPr>
        <w:t>b)</w:t>
      </w:r>
      <w:r w:rsidR="005253AC" w:rsidRPr="00D6704A">
        <w:rPr>
          <w:rFonts w:cs="Arial"/>
          <w:lang w:val="es-ES"/>
        </w:rPr>
        <w:tab/>
      </w:r>
      <w:r w:rsidR="00AA3603" w:rsidRPr="000D5690">
        <w:rPr>
          <w:rFonts w:cs="Arial"/>
          <w:lang w:val="es-ES_tradnl"/>
        </w:rPr>
        <w:t>Modificaciones propuestas por el TC-EDC en marzo de 2016, que han de incluirse en el documento sometido a la consideración del TC:</w:t>
      </w:r>
    </w:p>
    <w:p w:rsidR="005253AC" w:rsidRPr="00D6704A" w:rsidRDefault="005253AC" w:rsidP="005253AC">
      <w:pPr>
        <w:autoSpaceDE w:val="0"/>
        <w:autoSpaceDN w:val="0"/>
        <w:adjustRightInd w:val="0"/>
        <w:ind w:firstLine="567"/>
        <w:rPr>
          <w:rFonts w:cs="Arial"/>
          <w:u w:val="single"/>
          <w:lang w:val="es-ES"/>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938"/>
      </w:tblGrid>
      <w:tr w:rsidR="005253AC" w:rsidRPr="00E30CEB" w:rsidTr="00E658B6">
        <w:trPr>
          <w:cantSplit/>
        </w:trPr>
        <w:tc>
          <w:tcPr>
            <w:tcW w:w="1560" w:type="dxa"/>
          </w:tcPr>
          <w:p w:rsidR="005253AC" w:rsidRPr="000D5690" w:rsidRDefault="00AA3603" w:rsidP="000D5690">
            <w:pPr>
              <w:jc w:val="left"/>
              <w:rPr>
                <w:rFonts w:cs="Arial"/>
              </w:rPr>
            </w:pPr>
            <w:r w:rsidRPr="000D5690">
              <w:rPr>
                <w:rFonts w:cs="Arial"/>
                <w:lang w:val="es-ES_tradnl"/>
              </w:rPr>
              <w:t>Portada</w:t>
            </w:r>
          </w:p>
        </w:tc>
        <w:tc>
          <w:tcPr>
            <w:tcW w:w="7938" w:type="dxa"/>
          </w:tcPr>
          <w:p w:rsidR="005253AC" w:rsidRPr="00D6704A" w:rsidRDefault="00AA3603" w:rsidP="00E658B6">
            <w:pPr>
              <w:keepNext/>
              <w:rPr>
                <w:rFonts w:cs="Arial"/>
                <w:lang w:val="es-ES"/>
              </w:rPr>
            </w:pPr>
            <w:r w:rsidRPr="000D5690">
              <w:rPr>
                <w:rFonts w:cs="Arial"/>
                <w:lang w:val="es-ES_tradnl"/>
              </w:rPr>
              <w:t xml:space="preserve">Modifíquese la cobertura de las directrices de examen a: </w:t>
            </w:r>
            <w:proofErr w:type="spellStart"/>
            <w:r w:rsidRPr="000D5690">
              <w:rPr>
                <w:rFonts w:cs="Arial"/>
                <w:i/>
                <w:lang w:val="es-ES_tradnl"/>
              </w:rPr>
              <w:t>Persea</w:t>
            </w:r>
            <w:proofErr w:type="spellEnd"/>
            <w:r w:rsidRPr="000D5690">
              <w:rPr>
                <w:rFonts w:cs="Arial"/>
                <w:i/>
                <w:lang w:val="es-ES_tradnl"/>
              </w:rPr>
              <w:t xml:space="preserve"> americana</w:t>
            </w:r>
            <w:r w:rsidRPr="000D5690">
              <w:rPr>
                <w:rFonts w:cs="Arial"/>
                <w:lang w:val="es-ES_tradnl"/>
              </w:rPr>
              <w:t xml:space="preserve"> </w:t>
            </w:r>
            <w:proofErr w:type="spellStart"/>
            <w:r w:rsidRPr="000D5690">
              <w:rPr>
                <w:rFonts w:cs="Arial"/>
                <w:lang w:val="es-ES_tradnl"/>
              </w:rPr>
              <w:t>Mill</w:t>
            </w:r>
            <w:proofErr w:type="spellEnd"/>
            <w:r w:rsidRPr="000D5690">
              <w:rPr>
                <w:rFonts w:cs="Arial"/>
                <w:lang w:val="es-ES_tradnl"/>
              </w:rPr>
              <w:t xml:space="preserve">. </w:t>
            </w:r>
            <w:proofErr w:type="gramStart"/>
            <w:r w:rsidRPr="000D5690">
              <w:rPr>
                <w:rFonts w:cs="Arial"/>
                <w:lang w:val="es-ES_tradnl"/>
              </w:rPr>
              <w:t>y</w:t>
            </w:r>
            <w:proofErr w:type="gramEnd"/>
            <w:r w:rsidRPr="000D5690">
              <w:rPr>
                <w:rFonts w:cs="Arial"/>
                <w:lang w:val="es-ES_tradnl"/>
              </w:rPr>
              <w:t xml:space="preserve"> </w:t>
            </w:r>
            <w:proofErr w:type="spellStart"/>
            <w:r w:rsidRPr="000D5690">
              <w:rPr>
                <w:rFonts w:cs="Arial"/>
                <w:i/>
                <w:lang w:val="es-ES_tradnl"/>
              </w:rPr>
              <w:t>Persea</w:t>
            </w:r>
            <w:proofErr w:type="spellEnd"/>
            <w:r w:rsidRPr="000D5690">
              <w:rPr>
                <w:rFonts w:cs="Arial"/>
                <w:i/>
                <w:lang w:val="es-ES_tradnl"/>
              </w:rPr>
              <w:t xml:space="preserve"> </w:t>
            </w:r>
            <w:proofErr w:type="spellStart"/>
            <w:r w:rsidRPr="000D5690">
              <w:rPr>
                <w:rFonts w:cs="Arial"/>
                <w:i/>
                <w:lang w:val="es-ES_tradnl"/>
              </w:rPr>
              <w:t>schiedeana</w:t>
            </w:r>
            <w:proofErr w:type="spellEnd"/>
            <w:r w:rsidRPr="000D5690">
              <w:rPr>
                <w:rFonts w:cs="Arial"/>
                <w:lang w:val="es-ES_tradnl"/>
              </w:rPr>
              <w:t xml:space="preserve"> </w:t>
            </w:r>
            <w:proofErr w:type="spellStart"/>
            <w:r w:rsidRPr="000D5690">
              <w:rPr>
                <w:rFonts w:cs="Arial"/>
                <w:lang w:val="es-ES_tradnl"/>
              </w:rPr>
              <w:t>Nees</w:t>
            </w:r>
            <w:proofErr w:type="spellEnd"/>
            <w:r w:rsidRPr="000D5690">
              <w:rPr>
                <w:rFonts w:cs="Arial"/>
                <w:lang w:val="es-ES_tradnl"/>
              </w:rPr>
              <w:t xml:space="preserve"> (véase TQ</w:t>
            </w:r>
            <w:r w:rsidR="0045429A" w:rsidRPr="000D5690">
              <w:rPr>
                <w:rFonts w:cs="Arial"/>
                <w:lang w:val="es-ES_tradnl"/>
              </w:rPr>
              <w:t> </w:t>
            </w:r>
            <w:r w:rsidRPr="000D5690">
              <w:rPr>
                <w:rFonts w:cs="Arial"/>
                <w:lang w:val="es-ES_tradnl"/>
              </w:rPr>
              <w:t>1).</w:t>
            </w:r>
          </w:p>
          <w:p w:rsidR="005253AC" w:rsidRPr="00D6704A" w:rsidRDefault="00AA3603" w:rsidP="000D5690">
            <w:pPr>
              <w:keepNext/>
              <w:rPr>
                <w:rFonts w:cs="Arial"/>
                <w:i/>
                <w:lang w:val="es-ES"/>
              </w:rPr>
            </w:pPr>
            <w:r w:rsidRPr="000D5690">
              <w:rPr>
                <w:rFonts w:cs="Arial"/>
                <w:i/>
                <w:lang w:val="es-ES_tradnl"/>
              </w:rPr>
              <w:t>Deberá aprobarlo el TWF por correspondencia.</w:t>
            </w:r>
          </w:p>
        </w:tc>
      </w:tr>
      <w:tr w:rsidR="005253AC" w:rsidRPr="00E30CEB" w:rsidTr="00E658B6">
        <w:trPr>
          <w:cantSplit/>
        </w:trPr>
        <w:tc>
          <w:tcPr>
            <w:tcW w:w="1560" w:type="dxa"/>
          </w:tcPr>
          <w:p w:rsidR="005253AC" w:rsidRPr="000D5690" w:rsidRDefault="00AA3603" w:rsidP="000D5690">
            <w:pPr>
              <w:jc w:val="left"/>
              <w:rPr>
                <w:rFonts w:cs="Arial"/>
              </w:rPr>
            </w:pPr>
            <w:r w:rsidRPr="000D5690">
              <w:rPr>
                <w:rFonts w:cs="Arial"/>
                <w:lang w:val="es-ES_tradnl"/>
              </w:rPr>
              <w:t>Caracteres</w:t>
            </w:r>
            <w:r w:rsidR="005253AC" w:rsidRPr="000D5690">
              <w:rPr>
                <w:rFonts w:cs="Arial"/>
              </w:rPr>
              <w:t xml:space="preserve"> 4, 7, 8</w:t>
            </w:r>
          </w:p>
        </w:tc>
        <w:tc>
          <w:tcPr>
            <w:tcW w:w="7938" w:type="dxa"/>
          </w:tcPr>
          <w:p w:rsidR="005253AC" w:rsidRPr="00D6704A" w:rsidRDefault="00AA3603" w:rsidP="00E658B6">
            <w:pPr>
              <w:rPr>
                <w:rFonts w:cs="Arial"/>
                <w:lang w:val="es-ES"/>
              </w:rPr>
            </w:pPr>
            <w:r w:rsidRPr="000D5690">
              <w:rPr>
                <w:rFonts w:cs="Arial"/>
                <w:lang w:val="es-ES_tradnl"/>
              </w:rPr>
              <w:t>Proporciónense variedades ejemplo.</w:t>
            </w:r>
            <w:r w:rsidR="005253AC" w:rsidRPr="00D6704A">
              <w:rPr>
                <w:rFonts w:cs="Arial"/>
                <w:lang w:val="es-ES"/>
              </w:rPr>
              <w:t xml:space="preserve"> </w:t>
            </w:r>
          </w:p>
          <w:p w:rsidR="005253AC" w:rsidRPr="00D6704A" w:rsidRDefault="0045429A" w:rsidP="000D5690">
            <w:pPr>
              <w:rPr>
                <w:rFonts w:cs="Arial"/>
                <w:i/>
                <w:lang w:val="es-ES"/>
              </w:rPr>
            </w:pPr>
            <w:r w:rsidRPr="000D5690">
              <w:rPr>
                <w:rFonts w:cs="Arial"/>
                <w:i/>
                <w:lang w:val="es-ES_tradnl"/>
              </w:rPr>
              <w:t>P</w:t>
            </w:r>
            <w:r w:rsidR="00AA3603" w:rsidRPr="000D5690">
              <w:rPr>
                <w:rFonts w:cs="Arial"/>
                <w:i/>
                <w:lang w:val="es-ES_tradnl"/>
              </w:rPr>
              <w:t>roporcionadas por el experto principal</w:t>
            </w:r>
            <w:r w:rsidRPr="000D5690">
              <w:rPr>
                <w:rFonts w:cs="Arial"/>
                <w:i/>
                <w:lang w:val="es-ES_tradnl"/>
              </w:rPr>
              <w:t>;</w:t>
            </w:r>
            <w:r w:rsidR="00AA3603" w:rsidRPr="000D5690">
              <w:rPr>
                <w:rFonts w:cs="Arial"/>
                <w:i/>
                <w:lang w:val="es-ES_tradnl"/>
              </w:rPr>
              <w:t xml:space="preserve"> deberá aprobar</w:t>
            </w:r>
            <w:r w:rsidRPr="000D5690">
              <w:rPr>
                <w:rFonts w:cs="Arial"/>
                <w:i/>
                <w:lang w:val="es-ES_tradnl"/>
              </w:rPr>
              <w:t>las</w:t>
            </w:r>
            <w:r w:rsidR="00AA3603" w:rsidRPr="000D5690">
              <w:rPr>
                <w:rFonts w:cs="Arial"/>
                <w:i/>
                <w:lang w:val="es-ES_tradnl"/>
              </w:rPr>
              <w:t xml:space="preserve"> el TWF por correspondencia</w:t>
            </w:r>
          </w:p>
        </w:tc>
      </w:tr>
      <w:tr w:rsidR="005253AC" w:rsidRPr="00E30CEB" w:rsidTr="00E658B6">
        <w:trPr>
          <w:cantSplit/>
        </w:trPr>
        <w:tc>
          <w:tcPr>
            <w:tcW w:w="1560" w:type="dxa"/>
          </w:tcPr>
          <w:p w:rsidR="005253AC" w:rsidRPr="000D5690" w:rsidRDefault="00AA3603" w:rsidP="000D5690">
            <w:pPr>
              <w:jc w:val="left"/>
              <w:rPr>
                <w:rFonts w:cs="Arial"/>
              </w:rPr>
            </w:pPr>
            <w:r w:rsidRPr="000D5690">
              <w:rPr>
                <w:rFonts w:cs="Arial"/>
                <w:lang w:val="es-ES_tradnl"/>
              </w:rPr>
              <w:t>Car.</w:t>
            </w:r>
            <w:r w:rsidR="005253AC" w:rsidRPr="000D5690">
              <w:rPr>
                <w:rFonts w:cs="Arial"/>
              </w:rPr>
              <w:t xml:space="preserve"> 6</w:t>
            </w:r>
          </w:p>
        </w:tc>
        <w:tc>
          <w:tcPr>
            <w:tcW w:w="7938" w:type="dxa"/>
          </w:tcPr>
          <w:p w:rsidR="005253AC" w:rsidRPr="00D6704A" w:rsidRDefault="00AA3603" w:rsidP="000D5690">
            <w:pPr>
              <w:rPr>
                <w:rFonts w:cs="Arial"/>
                <w:lang w:val="es-ES"/>
              </w:rPr>
            </w:pPr>
            <w:r w:rsidRPr="000D5690">
              <w:rPr>
                <w:rFonts w:cs="Arial"/>
                <w:lang w:val="es-ES_tradnl"/>
              </w:rPr>
              <w:t>Debe rezar: “Tallo:</w:t>
            </w:r>
            <w:r w:rsidR="005253AC" w:rsidRPr="00D6704A">
              <w:rPr>
                <w:lang w:val="es-ES"/>
              </w:rPr>
              <w:t xml:space="preserve"> </w:t>
            </w:r>
            <w:r w:rsidRPr="000D5690">
              <w:rPr>
                <w:lang w:val="es-ES_tradnl"/>
              </w:rPr>
              <w:t xml:space="preserve">longitud </w:t>
            </w:r>
            <w:proofErr w:type="spellStart"/>
            <w:r w:rsidRPr="000D5690">
              <w:rPr>
                <w:lang w:val="es-ES_tradnl"/>
              </w:rPr>
              <w:t>de</w:t>
            </w:r>
            <w:r w:rsidR="000F2E72" w:rsidRPr="000D5690">
              <w:rPr>
                <w:strike/>
                <w:lang w:val="es-ES_tradnl"/>
              </w:rPr>
              <w:t>l</w:t>
            </w:r>
            <w:proofErr w:type="spellEnd"/>
            <w:r w:rsidR="000F2E72" w:rsidRPr="000D5690">
              <w:rPr>
                <w:strike/>
                <w:lang w:val="es-ES_tradnl"/>
              </w:rPr>
              <w:t xml:space="preserve"> </w:t>
            </w:r>
            <w:r w:rsidRPr="000D5690">
              <w:rPr>
                <w:u w:val="single"/>
                <w:lang w:val="es-ES_tradnl"/>
              </w:rPr>
              <w:t>los</w:t>
            </w:r>
            <w:r w:rsidRPr="000D5690">
              <w:rPr>
                <w:lang w:val="es-ES_tradnl"/>
              </w:rPr>
              <w:t xml:space="preserve"> entrenudo</w:t>
            </w:r>
            <w:r w:rsidRPr="000D5690">
              <w:rPr>
                <w:u w:val="single"/>
                <w:lang w:val="es-ES_tradnl"/>
              </w:rPr>
              <w:t>s</w:t>
            </w:r>
            <w:r w:rsidRPr="000D5690">
              <w:rPr>
                <w:lang w:val="es-ES_tradnl"/>
              </w:rPr>
              <w:t>”</w:t>
            </w:r>
            <w:r w:rsidR="000F2E72" w:rsidRPr="000D5690">
              <w:rPr>
                <w:lang w:val="es-ES_tradnl"/>
              </w:rPr>
              <w:t>.</w:t>
            </w:r>
          </w:p>
        </w:tc>
      </w:tr>
    </w:tbl>
    <w:p w:rsidR="005253AC" w:rsidRPr="00D6704A" w:rsidRDefault="005253AC" w:rsidP="005253AC">
      <w:pPr>
        <w:jc w:val="left"/>
        <w:rPr>
          <w:rFonts w:cs="Arial"/>
          <w:u w:val="single"/>
          <w:lang w:val="es-ES"/>
        </w:rPr>
      </w:pPr>
    </w:p>
    <w:p w:rsidR="005253AC" w:rsidRPr="00D6704A" w:rsidRDefault="005253AC" w:rsidP="005253AC">
      <w:pPr>
        <w:jc w:val="left"/>
        <w:rPr>
          <w:rFonts w:cs="Arial"/>
          <w:u w:val="single"/>
          <w:lang w:val="es-ES"/>
        </w:rPr>
      </w:pPr>
    </w:p>
    <w:tbl>
      <w:tblPr>
        <w:tblW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00"/>
        <w:gridCol w:w="2268"/>
      </w:tblGrid>
      <w:tr w:rsidR="005253AC" w:rsidRPr="000D5690" w:rsidTr="00E658B6">
        <w:trPr>
          <w:cantSplit/>
          <w:trHeight w:val="315"/>
        </w:trPr>
        <w:tc>
          <w:tcPr>
            <w:tcW w:w="3600" w:type="dxa"/>
            <w:vMerge w:val="restart"/>
            <w:shd w:val="clear" w:color="auto" w:fill="D9D9D9"/>
            <w:vAlign w:val="center"/>
          </w:tcPr>
          <w:p w:rsidR="005253AC" w:rsidRPr="000D5690" w:rsidRDefault="000F2E72" w:rsidP="000D5690">
            <w:pPr>
              <w:pStyle w:val="TitleofDoc"/>
              <w:keepNext/>
              <w:tabs>
                <w:tab w:val="left" w:pos="5245"/>
                <w:tab w:val="left" w:pos="7008"/>
              </w:tabs>
              <w:spacing w:before="80" w:after="80"/>
              <w:jc w:val="left"/>
              <w:rPr>
                <w:rFonts w:cs="Arial"/>
                <w:caps w:val="0"/>
              </w:rPr>
            </w:pPr>
            <w:r w:rsidRPr="000D5690">
              <w:rPr>
                <w:rFonts w:cs="Arial"/>
                <w:lang w:val="es-ES_tradnl"/>
              </w:rPr>
              <w:t>C</w:t>
            </w:r>
            <w:r w:rsidR="00C547A4" w:rsidRPr="000D5690">
              <w:rPr>
                <w:rFonts w:cs="Arial"/>
                <w:caps w:val="0"/>
                <w:lang w:val="es-ES_tradnl"/>
              </w:rPr>
              <w:t>ocotero</w:t>
            </w:r>
            <w:r w:rsidR="005253AC" w:rsidRPr="000D5690">
              <w:rPr>
                <w:rFonts w:cs="Arial"/>
                <w:caps w:val="0"/>
              </w:rPr>
              <w:t xml:space="preserve"> (</w:t>
            </w:r>
            <w:r w:rsidR="005253AC" w:rsidRPr="000D5690">
              <w:rPr>
                <w:rFonts w:cs="Arial"/>
                <w:i/>
                <w:caps w:val="0"/>
              </w:rPr>
              <w:t xml:space="preserve">Cocos </w:t>
            </w:r>
            <w:proofErr w:type="spellStart"/>
            <w:r w:rsidR="005253AC" w:rsidRPr="000D5690">
              <w:rPr>
                <w:rFonts w:cs="Arial"/>
                <w:i/>
                <w:caps w:val="0"/>
              </w:rPr>
              <w:t>nucifera</w:t>
            </w:r>
            <w:proofErr w:type="spellEnd"/>
            <w:r w:rsidR="005253AC" w:rsidRPr="000D5690">
              <w:rPr>
                <w:rFonts w:cs="Arial"/>
                <w:caps w:val="0"/>
              </w:rPr>
              <w:t xml:space="preserve"> L.)</w:t>
            </w:r>
          </w:p>
        </w:tc>
        <w:tc>
          <w:tcPr>
            <w:tcW w:w="2268" w:type="dxa"/>
            <w:vMerge w:val="restart"/>
            <w:shd w:val="clear" w:color="auto" w:fill="D9D9D9"/>
            <w:vAlign w:val="center"/>
          </w:tcPr>
          <w:p w:rsidR="005253AC" w:rsidRPr="000D5690" w:rsidRDefault="005253AC" w:rsidP="00E658B6">
            <w:pPr>
              <w:pStyle w:val="BodyText"/>
              <w:keepNext/>
              <w:spacing w:before="80" w:after="80"/>
              <w:jc w:val="left"/>
              <w:rPr>
                <w:rFonts w:cs="Arial"/>
                <w:iCs/>
                <w:snapToGrid w:val="0"/>
              </w:rPr>
            </w:pPr>
            <w:r w:rsidRPr="000D5690">
              <w:rPr>
                <w:rFonts w:cs="Arial"/>
                <w:caps/>
              </w:rPr>
              <w:t>TG/COCOS(proj.6)</w:t>
            </w:r>
          </w:p>
        </w:tc>
      </w:tr>
      <w:tr w:rsidR="005253AC" w:rsidRPr="000D5690" w:rsidTr="00E658B6">
        <w:trPr>
          <w:cantSplit/>
          <w:trHeight w:hRule="exact" w:val="74"/>
        </w:trPr>
        <w:tc>
          <w:tcPr>
            <w:tcW w:w="3600" w:type="dxa"/>
            <w:vMerge/>
            <w:shd w:val="clear" w:color="auto" w:fill="D9D9D9"/>
            <w:vAlign w:val="center"/>
          </w:tcPr>
          <w:p w:rsidR="005253AC" w:rsidRPr="000D5690" w:rsidRDefault="005253AC" w:rsidP="00E658B6">
            <w:pPr>
              <w:pStyle w:val="TitleofDoc"/>
              <w:keepNext/>
              <w:tabs>
                <w:tab w:val="left" w:pos="5245"/>
                <w:tab w:val="left" w:pos="7008"/>
              </w:tabs>
              <w:spacing w:before="0"/>
              <w:jc w:val="left"/>
              <w:rPr>
                <w:rFonts w:cs="Arial"/>
                <w:caps w:val="0"/>
              </w:rPr>
            </w:pPr>
          </w:p>
        </w:tc>
        <w:tc>
          <w:tcPr>
            <w:tcW w:w="2268" w:type="dxa"/>
            <w:vMerge/>
            <w:shd w:val="clear" w:color="auto" w:fill="D9D9D9"/>
            <w:vAlign w:val="center"/>
          </w:tcPr>
          <w:p w:rsidR="005253AC" w:rsidRPr="000D5690" w:rsidRDefault="005253AC" w:rsidP="00E658B6">
            <w:pPr>
              <w:pStyle w:val="BodyText"/>
              <w:keepNext/>
              <w:jc w:val="left"/>
              <w:rPr>
                <w:rFonts w:cs="Arial"/>
                <w:iCs/>
                <w:snapToGrid w:val="0"/>
              </w:rPr>
            </w:pPr>
          </w:p>
        </w:tc>
      </w:tr>
    </w:tbl>
    <w:p w:rsidR="005253AC" w:rsidRPr="000D5690" w:rsidRDefault="005253AC" w:rsidP="005253AC">
      <w:pPr>
        <w:keepNext/>
        <w:jc w:val="left"/>
        <w:rPr>
          <w:rFonts w:cs="Arial"/>
        </w:rPr>
      </w:pPr>
    </w:p>
    <w:p w:rsidR="005253AC" w:rsidRPr="00D6704A" w:rsidRDefault="0047214B" w:rsidP="005253AC">
      <w:pPr>
        <w:keepNext/>
        <w:autoSpaceDE w:val="0"/>
        <w:autoSpaceDN w:val="0"/>
        <w:adjustRightInd w:val="0"/>
        <w:ind w:firstLine="567"/>
        <w:rPr>
          <w:rFonts w:cs="Arial"/>
          <w:lang w:val="es-ES"/>
        </w:rPr>
      </w:pPr>
      <w:r w:rsidRPr="00D6704A">
        <w:rPr>
          <w:rFonts w:cs="Arial"/>
          <w:lang w:val="es-ES"/>
        </w:rPr>
        <w:t>a)</w:t>
      </w:r>
      <w:r w:rsidR="005253AC" w:rsidRPr="00D6704A">
        <w:rPr>
          <w:rFonts w:cs="Arial"/>
          <w:lang w:val="es-ES"/>
        </w:rPr>
        <w:tab/>
      </w:r>
      <w:r w:rsidR="000F2E72" w:rsidRPr="000D5690">
        <w:rPr>
          <w:rFonts w:cs="Arial"/>
          <w:lang w:val="es-ES_tradnl"/>
        </w:rPr>
        <w:t>En el cuadro siguiente se recogen las observaciones formuladas por el Comité de Redacción Ampliado en su reunión celebrada los días 6 y 7 de enero de 2016.</w:t>
      </w:r>
      <w:r w:rsidR="005253AC" w:rsidRPr="00D6704A">
        <w:rPr>
          <w:rFonts w:cs="Arial"/>
          <w:lang w:val="es-ES"/>
        </w:rPr>
        <w:t xml:space="preserve"> </w:t>
      </w:r>
      <w:r w:rsidR="000F2E72" w:rsidRPr="000D5690">
        <w:rPr>
          <w:rFonts w:cs="Arial"/>
          <w:lang w:val="es-ES_tradnl"/>
        </w:rPr>
        <w:t xml:space="preserve">Todas las observaciones se han incorporado ya en </w:t>
      </w:r>
      <w:r w:rsidR="00364BA2" w:rsidRPr="000D5690">
        <w:rPr>
          <w:rFonts w:cs="Arial"/>
          <w:lang w:val="es-ES_tradnl"/>
        </w:rPr>
        <w:t>el proyecto de directrices de examen</w:t>
      </w:r>
      <w:r w:rsidR="000F2E72" w:rsidRPr="000D5690">
        <w:rPr>
          <w:rFonts w:cs="Arial"/>
          <w:lang w:val="es-ES_tradnl"/>
        </w:rPr>
        <w:t> TG/</w:t>
      </w:r>
      <w:proofErr w:type="gramStart"/>
      <w:r w:rsidR="000F2E72" w:rsidRPr="000D5690">
        <w:rPr>
          <w:lang w:val="es-ES_tradnl"/>
        </w:rPr>
        <w:t>COCOS(</w:t>
      </w:r>
      <w:proofErr w:type="gramEnd"/>
      <w:r w:rsidR="000F2E72" w:rsidRPr="000D5690">
        <w:rPr>
          <w:lang w:val="es-ES_tradnl"/>
        </w:rPr>
        <w:t>proj.6)</w:t>
      </w:r>
      <w:r w:rsidR="000F2E72" w:rsidRPr="000D5690">
        <w:rPr>
          <w:rFonts w:cs="Arial"/>
          <w:lang w:val="es-ES_tradnl"/>
        </w:rPr>
        <w:t>, sometido a la consideración del TC:</w:t>
      </w:r>
    </w:p>
    <w:p w:rsidR="005253AC" w:rsidRPr="00D6704A" w:rsidRDefault="005253AC" w:rsidP="005253AC">
      <w:pPr>
        <w:keepNext/>
        <w:jc w:val="left"/>
        <w:rPr>
          <w:rFonts w:cs="Arial"/>
          <w:lang w:val="es-ES"/>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5253AC" w:rsidRPr="00E30CEB" w:rsidTr="00E658B6">
        <w:tc>
          <w:tcPr>
            <w:tcW w:w="1573" w:type="dxa"/>
          </w:tcPr>
          <w:p w:rsidR="005253AC" w:rsidRPr="000D5690" w:rsidRDefault="005253AC" w:rsidP="00E658B6">
            <w:pPr>
              <w:jc w:val="left"/>
              <w:rPr>
                <w:rFonts w:cs="Arial"/>
              </w:rPr>
            </w:pPr>
            <w:r w:rsidRPr="000D5690">
              <w:rPr>
                <w:rFonts w:cs="Arial"/>
              </w:rPr>
              <w:t xml:space="preserve">3.1.2 </w:t>
            </w:r>
          </w:p>
        </w:tc>
        <w:tc>
          <w:tcPr>
            <w:tcW w:w="7925" w:type="dxa"/>
          </w:tcPr>
          <w:p w:rsidR="005253AC" w:rsidRPr="00D6704A" w:rsidRDefault="000F2E72" w:rsidP="000D5690">
            <w:pPr>
              <w:keepNext/>
              <w:rPr>
                <w:rFonts w:cs="Arial"/>
                <w:lang w:val="es-ES"/>
              </w:rPr>
            </w:pPr>
            <w:r w:rsidRPr="000D5690">
              <w:rPr>
                <w:rFonts w:cs="Arial"/>
                <w:lang w:val="es-ES_tradnl"/>
              </w:rPr>
              <w:t>Debe rezar: “</w:t>
            </w:r>
            <w:proofErr w:type="spellStart"/>
            <w:r w:rsidRPr="000D5690">
              <w:rPr>
                <w:rFonts w:cs="Arial"/>
                <w:lang w:val="es-ES_tradnl"/>
              </w:rPr>
              <w:t>plants</w:t>
            </w:r>
            <w:proofErr w:type="spellEnd"/>
            <w:r w:rsidRPr="000D5690">
              <w:rPr>
                <w:rFonts w:cs="Arial"/>
                <w:lang w:val="es-ES_tradnl"/>
              </w:rPr>
              <w:t>” (con p minúscula, en la versión en inglés).</w:t>
            </w:r>
          </w:p>
        </w:tc>
      </w:tr>
      <w:tr w:rsidR="005253AC" w:rsidRPr="00E30CEB" w:rsidTr="00E658B6">
        <w:tc>
          <w:tcPr>
            <w:tcW w:w="1573" w:type="dxa"/>
          </w:tcPr>
          <w:p w:rsidR="005253AC" w:rsidRPr="000D5690" w:rsidRDefault="000F2E72" w:rsidP="000D5690">
            <w:pPr>
              <w:jc w:val="left"/>
              <w:rPr>
                <w:rFonts w:cs="Arial"/>
              </w:rPr>
            </w:pPr>
            <w:r w:rsidRPr="000D5690">
              <w:rPr>
                <w:rFonts w:cs="Arial"/>
                <w:lang w:val="es-ES_tradnl"/>
              </w:rPr>
              <w:t>Tabla de caracteres</w:t>
            </w:r>
          </w:p>
        </w:tc>
        <w:tc>
          <w:tcPr>
            <w:tcW w:w="7925" w:type="dxa"/>
          </w:tcPr>
          <w:p w:rsidR="005253AC" w:rsidRPr="00D6704A" w:rsidRDefault="000F2E72" w:rsidP="00E658B6">
            <w:pPr>
              <w:keepNext/>
              <w:rPr>
                <w:rFonts w:cs="Arial"/>
                <w:lang w:val="es-ES"/>
              </w:rPr>
            </w:pPr>
            <w:r w:rsidRPr="000D5690">
              <w:rPr>
                <w:rFonts w:cs="Arial"/>
                <w:lang w:val="es-ES_tradnl"/>
              </w:rPr>
              <w:t>Compruébese el orden de los caracteres</w:t>
            </w:r>
            <w:r w:rsidR="005253AC" w:rsidRPr="00D6704A">
              <w:rPr>
                <w:rFonts w:cs="Arial"/>
                <w:lang w:val="es-ES"/>
              </w:rPr>
              <w:t xml:space="preserve"> </w:t>
            </w:r>
            <w:r w:rsidRPr="000D5690">
              <w:rPr>
                <w:rFonts w:cs="Arial"/>
                <w:lang w:val="es-ES_tradnl"/>
              </w:rPr>
              <w:t>(por ejemplo: 9, 11, 13, 10, 12; véase el documento TGP/7)</w:t>
            </w:r>
          </w:p>
          <w:p w:rsidR="005253AC" w:rsidRPr="00D6704A" w:rsidRDefault="0045429A" w:rsidP="000D5690">
            <w:pPr>
              <w:keepNext/>
              <w:rPr>
                <w:rFonts w:cs="Arial"/>
                <w:i/>
                <w:lang w:val="es-ES"/>
              </w:rPr>
            </w:pPr>
            <w:r w:rsidRPr="000D5690">
              <w:rPr>
                <w:rFonts w:cs="Arial"/>
                <w:i/>
                <w:lang w:val="es-ES_tradnl"/>
              </w:rPr>
              <w:t xml:space="preserve">El experto principal ha </w:t>
            </w:r>
            <w:r w:rsidR="000F2E72" w:rsidRPr="000D5690">
              <w:rPr>
                <w:rFonts w:cs="Arial"/>
                <w:i/>
                <w:lang w:val="es-ES_tradnl"/>
              </w:rPr>
              <w:t xml:space="preserve">proporcionado </w:t>
            </w:r>
            <w:r w:rsidRPr="000D5690">
              <w:rPr>
                <w:rFonts w:cs="Arial"/>
                <w:i/>
                <w:lang w:val="es-ES_tradnl"/>
              </w:rPr>
              <w:t>el orden nuevo.</w:t>
            </w:r>
          </w:p>
        </w:tc>
      </w:tr>
      <w:tr w:rsidR="005253AC" w:rsidRPr="00E30CEB" w:rsidTr="00E658B6">
        <w:tc>
          <w:tcPr>
            <w:tcW w:w="1573" w:type="dxa"/>
          </w:tcPr>
          <w:p w:rsidR="005253AC" w:rsidRPr="000D5690" w:rsidRDefault="000F2E72" w:rsidP="000D5690">
            <w:pPr>
              <w:jc w:val="left"/>
              <w:rPr>
                <w:rFonts w:cs="Arial"/>
              </w:rPr>
            </w:pPr>
            <w:r w:rsidRPr="000D5690">
              <w:rPr>
                <w:rFonts w:cs="Arial"/>
                <w:lang w:val="es-ES_tradnl"/>
              </w:rPr>
              <w:t>Car.</w:t>
            </w:r>
            <w:r w:rsidR="005253AC" w:rsidRPr="000D5690">
              <w:rPr>
                <w:rFonts w:cs="Arial"/>
              </w:rPr>
              <w:t xml:space="preserve"> 2</w:t>
            </w:r>
          </w:p>
        </w:tc>
        <w:tc>
          <w:tcPr>
            <w:tcW w:w="7925" w:type="dxa"/>
          </w:tcPr>
          <w:p w:rsidR="005253AC" w:rsidRPr="00D6704A" w:rsidRDefault="000F2E72" w:rsidP="00E658B6">
            <w:pPr>
              <w:rPr>
                <w:rFonts w:cs="Arial"/>
                <w:lang w:val="es-ES"/>
              </w:rPr>
            </w:pPr>
            <w:r w:rsidRPr="000D5690">
              <w:rPr>
                <w:rFonts w:cs="Arial"/>
                <w:lang w:val="es-ES_tradnl"/>
              </w:rPr>
              <w:t>Compruébese si VG debe sustituirse por MG</w:t>
            </w:r>
            <w:r w:rsidR="0007062B" w:rsidRPr="000D5690">
              <w:rPr>
                <w:rFonts w:cs="Arial"/>
                <w:lang w:val="es-ES_tradnl"/>
              </w:rPr>
              <w:t>.</w:t>
            </w:r>
          </w:p>
          <w:p w:rsidR="005253AC" w:rsidRPr="00D6704A" w:rsidRDefault="0007062B" w:rsidP="000D5690">
            <w:pPr>
              <w:rPr>
                <w:rFonts w:cs="Arial"/>
                <w:i/>
                <w:lang w:val="es-ES"/>
              </w:rPr>
            </w:pPr>
            <w:r w:rsidRPr="000D5690">
              <w:rPr>
                <w:rFonts w:cs="Arial"/>
                <w:i/>
                <w:lang w:val="es-ES_tradnl"/>
              </w:rPr>
              <w:t>Experto principal:</w:t>
            </w:r>
            <w:r w:rsidR="005253AC" w:rsidRPr="00D6704A">
              <w:rPr>
                <w:rFonts w:cs="Arial"/>
                <w:i/>
                <w:lang w:val="es-ES"/>
              </w:rPr>
              <w:t xml:space="preserve">  </w:t>
            </w:r>
            <w:r w:rsidRPr="000D5690">
              <w:rPr>
                <w:rFonts w:cs="Arial"/>
                <w:i/>
                <w:lang w:val="es-ES_tradnl"/>
              </w:rPr>
              <w:t>sí, la indicación debe ser MG</w:t>
            </w:r>
          </w:p>
        </w:tc>
      </w:tr>
      <w:tr w:rsidR="005253AC" w:rsidRPr="00E30CEB" w:rsidTr="00E658B6">
        <w:tc>
          <w:tcPr>
            <w:tcW w:w="1573" w:type="dxa"/>
          </w:tcPr>
          <w:p w:rsidR="005253AC" w:rsidRPr="000D5690" w:rsidRDefault="0007062B" w:rsidP="000D5690">
            <w:pPr>
              <w:jc w:val="left"/>
              <w:rPr>
                <w:rFonts w:cs="Arial"/>
              </w:rPr>
            </w:pPr>
            <w:r w:rsidRPr="000D5690">
              <w:rPr>
                <w:rFonts w:cs="Arial"/>
                <w:lang w:val="es-ES_tradnl"/>
              </w:rPr>
              <w:t>Car.</w:t>
            </w:r>
            <w:r w:rsidR="005253AC" w:rsidRPr="000D5690">
              <w:rPr>
                <w:rFonts w:cs="Arial"/>
              </w:rPr>
              <w:t xml:space="preserve"> 10</w:t>
            </w:r>
          </w:p>
        </w:tc>
        <w:tc>
          <w:tcPr>
            <w:tcW w:w="7925" w:type="dxa"/>
          </w:tcPr>
          <w:p w:rsidR="005253AC" w:rsidRPr="00D6704A" w:rsidRDefault="005253AC" w:rsidP="00E658B6">
            <w:pPr>
              <w:rPr>
                <w:rFonts w:cs="Arial"/>
                <w:lang w:val="es-ES"/>
              </w:rPr>
            </w:pPr>
            <w:r w:rsidRPr="00D6704A">
              <w:rPr>
                <w:rFonts w:cs="Arial"/>
                <w:lang w:val="es-ES"/>
              </w:rPr>
              <w:t xml:space="preserve">- </w:t>
            </w:r>
            <w:r w:rsidR="0007062B" w:rsidRPr="000D5690">
              <w:rPr>
                <w:rFonts w:cs="Arial"/>
                <w:lang w:val="es-ES_tradnl"/>
              </w:rPr>
              <w:t>Debe rezar: “Pecíolo:</w:t>
            </w:r>
            <w:r w:rsidRPr="00D6704A">
              <w:rPr>
                <w:rFonts w:cs="Arial"/>
                <w:lang w:val="es-ES"/>
              </w:rPr>
              <w:t xml:space="preserve"> </w:t>
            </w:r>
            <w:r w:rsidR="0007062B" w:rsidRPr="000D5690">
              <w:rPr>
                <w:rFonts w:cs="Arial"/>
                <w:lang w:val="es-ES_tradnl"/>
              </w:rPr>
              <w:t>grosor”</w:t>
            </w:r>
          </w:p>
          <w:p w:rsidR="005253AC" w:rsidRPr="00D6704A" w:rsidRDefault="005253AC" w:rsidP="00E658B6">
            <w:pPr>
              <w:rPr>
                <w:rFonts w:cs="Arial"/>
                <w:lang w:val="es-ES"/>
              </w:rPr>
            </w:pPr>
            <w:r w:rsidRPr="00D6704A">
              <w:rPr>
                <w:rFonts w:cs="Arial"/>
                <w:lang w:val="es-ES"/>
              </w:rPr>
              <w:t xml:space="preserve">- </w:t>
            </w:r>
            <w:r w:rsidR="0007062B" w:rsidRPr="000D5690">
              <w:rPr>
                <w:rFonts w:cs="Arial"/>
                <w:lang w:val="es-ES_tradnl"/>
              </w:rPr>
              <w:t>El nivel 1 debe ser: “estrecho”.</w:t>
            </w:r>
          </w:p>
          <w:p w:rsidR="005253AC" w:rsidRPr="00D6704A" w:rsidRDefault="005253AC" w:rsidP="000D5690">
            <w:pPr>
              <w:rPr>
                <w:rFonts w:cs="Arial"/>
                <w:lang w:val="es-ES"/>
              </w:rPr>
            </w:pPr>
            <w:r w:rsidRPr="00D6704A">
              <w:rPr>
                <w:rFonts w:cs="Arial"/>
                <w:lang w:val="es-ES"/>
              </w:rPr>
              <w:t xml:space="preserve">- </w:t>
            </w:r>
            <w:r w:rsidR="0007062B" w:rsidRPr="000D5690">
              <w:rPr>
                <w:rFonts w:cs="Arial"/>
                <w:lang w:val="es-ES_tradnl"/>
              </w:rPr>
              <w:t>El nivel 3 debe ser: “ancho”.</w:t>
            </w:r>
          </w:p>
        </w:tc>
      </w:tr>
      <w:tr w:rsidR="005253AC" w:rsidRPr="00E30CEB" w:rsidTr="00E658B6">
        <w:tc>
          <w:tcPr>
            <w:tcW w:w="1573" w:type="dxa"/>
          </w:tcPr>
          <w:p w:rsidR="005253AC" w:rsidRPr="000D5690" w:rsidRDefault="0007062B" w:rsidP="000D5690">
            <w:pPr>
              <w:jc w:val="left"/>
              <w:rPr>
                <w:rFonts w:cs="Arial"/>
              </w:rPr>
            </w:pPr>
            <w:r w:rsidRPr="000D5690">
              <w:rPr>
                <w:rFonts w:cs="Arial"/>
                <w:lang w:val="es-ES_tradnl"/>
              </w:rPr>
              <w:t>Car.</w:t>
            </w:r>
            <w:r w:rsidR="005253AC" w:rsidRPr="000D5690">
              <w:rPr>
                <w:rFonts w:cs="Arial"/>
              </w:rPr>
              <w:t xml:space="preserve"> 12</w:t>
            </w:r>
          </w:p>
        </w:tc>
        <w:tc>
          <w:tcPr>
            <w:tcW w:w="7925" w:type="dxa"/>
          </w:tcPr>
          <w:p w:rsidR="005253AC" w:rsidRPr="00E30CEB" w:rsidRDefault="005253AC" w:rsidP="00E658B6">
            <w:pPr>
              <w:rPr>
                <w:rFonts w:cs="Arial"/>
                <w:lang w:val="es-ES"/>
              </w:rPr>
            </w:pPr>
            <w:r w:rsidRPr="00D6704A">
              <w:rPr>
                <w:rFonts w:cs="Arial"/>
                <w:lang w:val="es-ES"/>
              </w:rPr>
              <w:t xml:space="preserve">- </w:t>
            </w:r>
            <w:r w:rsidR="0007062B" w:rsidRPr="000D5690">
              <w:rPr>
                <w:rFonts w:cs="Arial"/>
                <w:lang w:val="es-ES_tradnl"/>
              </w:rPr>
              <w:t xml:space="preserve">¿Puede </w:t>
            </w:r>
            <w:r w:rsidR="00925716" w:rsidRPr="000D5690">
              <w:rPr>
                <w:rFonts w:cs="Arial"/>
                <w:lang w:val="es-ES_tradnl"/>
              </w:rPr>
              <w:t>un pecíolo presentar diferentes colores</w:t>
            </w:r>
            <w:r w:rsidR="0007062B" w:rsidRPr="000D5690">
              <w:rPr>
                <w:rFonts w:cs="Arial"/>
                <w:lang w:val="es-ES_tradnl"/>
              </w:rPr>
              <w:t>?</w:t>
            </w:r>
            <w:r w:rsidRPr="00D6704A">
              <w:rPr>
                <w:rFonts w:cs="Arial"/>
                <w:lang w:val="es-ES"/>
              </w:rPr>
              <w:t xml:space="preserve"> </w:t>
            </w:r>
            <w:r w:rsidR="00925716" w:rsidRPr="000D5690">
              <w:rPr>
                <w:rFonts w:cs="Arial"/>
                <w:lang w:val="es-ES_tradnl"/>
              </w:rPr>
              <w:t>(en caso afirmativo, compruébese si debe rezar: “Pecíolo:</w:t>
            </w:r>
            <w:r w:rsidRPr="00E30CEB">
              <w:rPr>
                <w:rFonts w:cs="Arial"/>
                <w:lang w:val="es-ES"/>
              </w:rPr>
              <w:t xml:space="preserve"> </w:t>
            </w:r>
            <w:r w:rsidR="00925716" w:rsidRPr="000D5690">
              <w:rPr>
                <w:rFonts w:cs="Arial"/>
                <w:lang w:val="es-ES_tradnl"/>
              </w:rPr>
              <w:t>color principal”.</w:t>
            </w:r>
          </w:p>
          <w:p w:rsidR="005253AC" w:rsidRPr="00D6704A" w:rsidRDefault="00925716" w:rsidP="00E658B6">
            <w:pPr>
              <w:rPr>
                <w:rFonts w:cs="Arial"/>
                <w:i/>
                <w:lang w:val="es-ES"/>
              </w:rPr>
            </w:pPr>
            <w:r w:rsidRPr="000D5690">
              <w:rPr>
                <w:rFonts w:cs="Arial"/>
                <w:i/>
                <w:lang w:val="es-ES_tradnl"/>
              </w:rPr>
              <w:t>Experto principal</w:t>
            </w:r>
            <w:proofErr w:type="gramStart"/>
            <w:r w:rsidRPr="000D5690">
              <w:rPr>
                <w:rFonts w:cs="Arial"/>
                <w:i/>
                <w:lang w:val="es-ES_tradnl"/>
              </w:rPr>
              <w:t>:</w:t>
            </w:r>
            <w:r w:rsidR="005253AC" w:rsidRPr="00D6704A">
              <w:rPr>
                <w:rFonts w:cs="Arial"/>
                <w:i/>
                <w:lang w:val="es-ES"/>
              </w:rPr>
              <w:t xml:space="preserve">  </w:t>
            </w:r>
            <w:r w:rsidRPr="000D5690">
              <w:rPr>
                <w:rFonts w:cs="Arial"/>
                <w:i/>
                <w:lang w:val="es-ES_tradnl"/>
              </w:rPr>
              <w:t>Debe</w:t>
            </w:r>
            <w:proofErr w:type="gramEnd"/>
            <w:r w:rsidRPr="000D5690">
              <w:rPr>
                <w:rFonts w:cs="Arial"/>
                <w:i/>
                <w:lang w:val="es-ES_tradnl"/>
              </w:rPr>
              <w:t xml:space="preserve"> rezar: “Pecíolo:</w:t>
            </w:r>
            <w:r w:rsidR="005253AC" w:rsidRPr="00D6704A">
              <w:rPr>
                <w:rFonts w:cs="Arial"/>
                <w:i/>
                <w:lang w:val="es-ES"/>
              </w:rPr>
              <w:t xml:space="preserve"> </w:t>
            </w:r>
            <w:r w:rsidRPr="000D5690">
              <w:rPr>
                <w:rFonts w:cs="Arial"/>
                <w:i/>
                <w:lang w:val="es-ES_tradnl"/>
              </w:rPr>
              <w:t>color principal”.</w:t>
            </w:r>
          </w:p>
          <w:p w:rsidR="005253AC" w:rsidRPr="00D6704A" w:rsidRDefault="005253AC" w:rsidP="00E658B6">
            <w:pPr>
              <w:rPr>
                <w:rFonts w:cs="Arial"/>
                <w:lang w:val="es-ES"/>
              </w:rPr>
            </w:pPr>
            <w:r w:rsidRPr="00D6704A">
              <w:rPr>
                <w:rFonts w:cs="Arial"/>
                <w:lang w:val="es-ES"/>
              </w:rPr>
              <w:t xml:space="preserve">- </w:t>
            </w:r>
            <w:r w:rsidR="00925716" w:rsidRPr="000D5690">
              <w:rPr>
                <w:rFonts w:cs="Arial"/>
                <w:lang w:val="es-ES_tradnl"/>
              </w:rPr>
              <w:t>Compruébese si debe añadirse una explicación sobre dónde observar el color del pecíolo.</w:t>
            </w:r>
          </w:p>
          <w:p w:rsidR="005253AC" w:rsidRPr="00D6704A" w:rsidRDefault="0045429A" w:rsidP="000D5690">
            <w:pPr>
              <w:rPr>
                <w:rFonts w:cs="Arial"/>
                <w:i/>
                <w:lang w:val="es-ES"/>
              </w:rPr>
            </w:pPr>
            <w:r w:rsidRPr="000D5690">
              <w:rPr>
                <w:rFonts w:cs="Arial"/>
                <w:i/>
                <w:lang w:val="es-ES_tradnl"/>
              </w:rPr>
              <w:t xml:space="preserve">El experto principal ha </w:t>
            </w:r>
            <w:r w:rsidR="00925716" w:rsidRPr="000D5690">
              <w:rPr>
                <w:rFonts w:cs="Arial"/>
                <w:i/>
                <w:lang w:val="es-ES_tradnl"/>
              </w:rPr>
              <w:t>proporcionad</w:t>
            </w:r>
            <w:r w:rsidRPr="000D5690">
              <w:rPr>
                <w:rFonts w:cs="Arial"/>
                <w:i/>
                <w:lang w:val="es-ES_tradnl"/>
              </w:rPr>
              <w:t>o la explicación.</w:t>
            </w:r>
          </w:p>
        </w:tc>
      </w:tr>
      <w:tr w:rsidR="005253AC" w:rsidRPr="00E30CEB" w:rsidTr="00E658B6">
        <w:tc>
          <w:tcPr>
            <w:tcW w:w="1573" w:type="dxa"/>
          </w:tcPr>
          <w:p w:rsidR="005253AC" w:rsidRPr="000D5690" w:rsidRDefault="00925716" w:rsidP="000D5690">
            <w:pPr>
              <w:rPr>
                <w:rFonts w:cs="Arial"/>
                <w:szCs w:val="22"/>
              </w:rPr>
            </w:pPr>
            <w:r w:rsidRPr="000D5690">
              <w:rPr>
                <w:rFonts w:cs="Arial"/>
                <w:szCs w:val="22"/>
                <w:lang w:val="es-ES_tradnl"/>
              </w:rPr>
              <w:t>Car.</w:t>
            </w:r>
            <w:r w:rsidR="005253AC" w:rsidRPr="000D5690">
              <w:rPr>
                <w:rFonts w:cs="Arial"/>
                <w:szCs w:val="22"/>
              </w:rPr>
              <w:t xml:space="preserve"> 23</w:t>
            </w:r>
          </w:p>
        </w:tc>
        <w:tc>
          <w:tcPr>
            <w:tcW w:w="7925" w:type="dxa"/>
          </w:tcPr>
          <w:p w:rsidR="005253AC" w:rsidRPr="00D6704A" w:rsidRDefault="00925716" w:rsidP="000D5690">
            <w:pPr>
              <w:rPr>
                <w:rFonts w:cs="Arial"/>
                <w:szCs w:val="22"/>
                <w:lang w:val="es-ES"/>
              </w:rPr>
            </w:pPr>
            <w:r w:rsidRPr="000D5690">
              <w:rPr>
                <w:rFonts w:cs="Arial"/>
                <w:szCs w:val="22"/>
                <w:lang w:val="es-ES_tradnl"/>
              </w:rPr>
              <w:t>Debe rezar: “Inflorescencia:</w:t>
            </w:r>
            <w:r w:rsidR="005253AC" w:rsidRPr="00D6704A">
              <w:rPr>
                <w:rFonts w:cs="Arial"/>
                <w:szCs w:val="22"/>
                <w:lang w:val="es-ES"/>
              </w:rPr>
              <w:t xml:space="preserve"> </w:t>
            </w:r>
            <w:r w:rsidRPr="000D5690">
              <w:rPr>
                <w:rFonts w:cs="Arial"/>
                <w:szCs w:val="22"/>
                <w:lang w:val="es-ES_tradnl"/>
              </w:rPr>
              <w:t>longitud de la espiguilla con flores femeninas”.</w:t>
            </w:r>
          </w:p>
        </w:tc>
      </w:tr>
      <w:tr w:rsidR="005253AC" w:rsidRPr="00E30CEB" w:rsidTr="00E658B6">
        <w:tc>
          <w:tcPr>
            <w:tcW w:w="1573" w:type="dxa"/>
          </w:tcPr>
          <w:p w:rsidR="005253AC" w:rsidRPr="000D5690" w:rsidRDefault="00925716" w:rsidP="000D5690">
            <w:pPr>
              <w:jc w:val="left"/>
              <w:rPr>
                <w:rFonts w:cs="Arial"/>
              </w:rPr>
            </w:pPr>
            <w:r w:rsidRPr="000D5690">
              <w:rPr>
                <w:rFonts w:cs="Arial"/>
                <w:lang w:val="es-ES_tradnl"/>
              </w:rPr>
              <w:t>Car.</w:t>
            </w:r>
            <w:r w:rsidR="005253AC" w:rsidRPr="000D5690">
              <w:rPr>
                <w:rFonts w:cs="Arial"/>
              </w:rPr>
              <w:t xml:space="preserve"> 25</w:t>
            </w:r>
          </w:p>
        </w:tc>
        <w:tc>
          <w:tcPr>
            <w:tcW w:w="7925" w:type="dxa"/>
          </w:tcPr>
          <w:p w:rsidR="005253AC" w:rsidRPr="00D6704A" w:rsidRDefault="00E54151" w:rsidP="00E658B6">
            <w:pPr>
              <w:rPr>
                <w:rFonts w:cs="Arial"/>
                <w:lang w:val="es-ES"/>
              </w:rPr>
            </w:pPr>
            <w:r w:rsidRPr="000D5690">
              <w:rPr>
                <w:rFonts w:cs="Arial"/>
                <w:lang w:val="es-ES_tradnl"/>
              </w:rPr>
              <w:t>Compruébese si debe rezar: “Fruto:</w:t>
            </w:r>
            <w:r w:rsidR="005253AC" w:rsidRPr="00D6704A">
              <w:rPr>
                <w:rFonts w:cs="Arial"/>
                <w:lang w:val="es-ES"/>
              </w:rPr>
              <w:t xml:space="preserve"> </w:t>
            </w:r>
            <w:r w:rsidRPr="000D5690">
              <w:rPr>
                <w:rFonts w:cs="Arial"/>
                <w:lang w:val="es-ES_tradnl"/>
              </w:rPr>
              <w:t>color principal”.</w:t>
            </w:r>
          </w:p>
          <w:p w:rsidR="005253AC" w:rsidRPr="00D6704A" w:rsidRDefault="00E54151" w:rsidP="000D5690">
            <w:pPr>
              <w:rPr>
                <w:rFonts w:cs="Arial"/>
                <w:i/>
                <w:lang w:val="es-ES"/>
              </w:rPr>
            </w:pPr>
            <w:r w:rsidRPr="000D5690">
              <w:rPr>
                <w:rFonts w:cs="Arial"/>
                <w:i/>
                <w:lang w:val="es-ES_tradnl"/>
              </w:rPr>
              <w:t>Experto principal:</w:t>
            </w:r>
            <w:r w:rsidR="005253AC" w:rsidRPr="00D6704A">
              <w:rPr>
                <w:rFonts w:cs="Arial"/>
                <w:i/>
                <w:lang w:val="es-ES"/>
              </w:rPr>
              <w:t xml:space="preserve">  </w:t>
            </w:r>
            <w:r w:rsidRPr="000D5690">
              <w:rPr>
                <w:rFonts w:cs="Arial"/>
                <w:i/>
                <w:lang w:val="es-ES_tradnl"/>
              </w:rPr>
              <w:t>sí</w:t>
            </w:r>
            <w:r w:rsidR="0045429A" w:rsidRPr="000D5690">
              <w:rPr>
                <w:rFonts w:cs="Arial"/>
                <w:i/>
                <w:lang w:val="es-ES_tradnl"/>
              </w:rPr>
              <w:t>,</w:t>
            </w:r>
            <w:r w:rsidRPr="000D5690">
              <w:rPr>
                <w:rFonts w:cs="Arial"/>
                <w:i/>
                <w:lang w:val="es-ES_tradnl"/>
              </w:rPr>
              <w:t xml:space="preserve"> y añádase la definición de color principal</w:t>
            </w:r>
          </w:p>
        </w:tc>
      </w:tr>
      <w:tr w:rsidR="005253AC" w:rsidRPr="000D5690" w:rsidTr="00E658B6">
        <w:tc>
          <w:tcPr>
            <w:tcW w:w="1573" w:type="dxa"/>
          </w:tcPr>
          <w:p w:rsidR="005253AC" w:rsidRPr="000D5690" w:rsidRDefault="00E54151" w:rsidP="000D5690">
            <w:pPr>
              <w:jc w:val="left"/>
              <w:rPr>
                <w:rFonts w:cs="Arial"/>
              </w:rPr>
            </w:pPr>
            <w:r w:rsidRPr="000D5690">
              <w:rPr>
                <w:rFonts w:cs="Arial"/>
                <w:lang w:val="es-ES_tradnl"/>
              </w:rPr>
              <w:t>Car.</w:t>
            </w:r>
            <w:r w:rsidR="005253AC" w:rsidRPr="000D5690">
              <w:rPr>
                <w:rFonts w:cs="Arial"/>
              </w:rPr>
              <w:t xml:space="preserve"> 30</w:t>
            </w:r>
          </w:p>
        </w:tc>
        <w:tc>
          <w:tcPr>
            <w:tcW w:w="7925" w:type="dxa"/>
          </w:tcPr>
          <w:p w:rsidR="005253AC" w:rsidRPr="00D6704A" w:rsidRDefault="00E54151" w:rsidP="00E658B6">
            <w:pPr>
              <w:rPr>
                <w:rFonts w:cs="Arial"/>
                <w:lang w:val="es-ES"/>
              </w:rPr>
            </w:pPr>
            <w:r w:rsidRPr="000D5690">
              <w:rPr>
                <w:rFonts w:cs="Arial"/>
                <w:lang w:val="es-ES_tradnl"/>
              </w:rPr>
              <w:t>Compruébese si debe rezar: “Carne:</w:t>
            </w:r>
            <w:r w:rsidR="005253AC" w:rsidRPr="00D6704A">
              <w:rPr>
                <w:rFonts w:cs="Arial"/>
                <w:lang w:val="es-ES"/>
              </w:rPr>
              <w:t xml:space="preserve"> </w:t>
            </w:r>
            <w:r w:rsidRPr="000D5690">
              <w:rPr>
                <w:rFonts w:cs="Arial"/>
                <w:lang w:val="es-ES_tradnl"/>
              </w:rPr>
              <w:t>grosor” o “Pulpa:</w:t>
            </w:r>
            <w:r w:rsidR="005253AC" w:rsidRPr="00D6704A">
              <w:rPr>
                <w:rFonts w:cs="Arial"/>
                <w:lang w:val="es-ES"/>
              </w:rPr>
              <w:t xml:space="preserve"> </w:t>
            </w:r>
            <w:r w:rsidRPr="000D5690">
              <w:rPr>
                <w:rFonts w:cs="Arial"/>
                <w:lang w:val="es-ES_tradnl"/>
              </w:rPr>
              <w:t>grosor”.</w:t>
            </w:r>
          </w:p>
          <w:p w:rsidR="005253AC" w:rsidRPr="000D5690" w:rsidDel="00584554" w:rsidRDefault="00E54151" w:rsidP="000D5690">
            <w:pPr>
              <w:rPr>
                <w:rFonts w:cs="Arial"/>
              </w:rPr>
            </w:pPr>
            <w:r w:rsidRPr="000D5690">
              <w:rPr>
                <w:rFonts w:cs="Arial"/>
                <w:i/>
                <w:lang w:val="es-ES_tradnl"/>
              </w:rPr>
              <w:t>Experto principal</w:t>
            </w:r>
            <w:proofErr w:type="gramStart"/>
            <w:r w:rsidRPr="000D5690">
              <w:rPr>
                <w:rFonts w:cs="Arial"/>
                <w:i/>
                <w:lang w:val="es-ES_tradnl"/>
              </w:rPr>
              <w:t>:</w:t>
            </w:r>
            <w:r w:rsidR="005253AC" w:rsidRPr="00D6704A">
              <w:rPr>
                <w:rFonts w:cs="Arial"/>
                <w:i/>
                <w:lang w:val="es-ES"/>
              </w:rPr>
              <w:t xml:space="preserve">  </w:t>
            </w:r>
            <w:r w:rsidRPr="000D5690">
              <w:rPr>
                <w:rFonts w:cs="Arial"/>
                <w:i/>
                <w:lang w:val="es-ES_tradnl"/>
              </w:rPr>
              <w:t>“</w:t>
            </w:r>
            <w:proofErr w:type="gramEnd"/>
            <w:r w:rsidRPr="000D5690">
              <w:rPr>
                <w:rFonts w:cs="Arial"/>
                <w:i/>
                <w:lang w:val="es-ES_tradnl"/>
              </w:rPr>
              <w:t>Carne” es el término técnico para definir la pulpa en esta especie, y lo utilizan comúnmente los expertos.</w:t>
            </w:r>
            <w:r w:rsidR="005253AC" w:rsidRPr="00D6704A">
              <w:rPr>
                <w:rFonts w:cs="Arial"/>
                <w:i/>
                <w:lang w:val="es-ES"/>
              </w:rPr>
              <w:t xml:space="preserve"> </w:t>
            </w:r>
            <w:r w:rsidRPr="000D5690">
              <w:rPr>
                <w:rFonts w:cs="Arial"/>
                <w:i/>
                <w:lang w:val="es-ES_tradnl"/>
              </w:rPr>
              <w:t>Quisiéramos mantener “Carne”.</w:t>
            </w:r>
          </w:p>
        </w:tc>
      </w:tr>
      <w:tr w:rsidR="005253AC" w:rsidRPr="00E30CEB" w:rsidTr="00E658B6">
        <w:tc>
          <w:tcPr>
            <w:tcW w:w="1573" w:type="dxa"/>
          </w:tcPr>
          <w:p w:rsidR="005253AC" w:rsidRPr="000D5690" w:rsidRDefault="005253AC" w:rsidP="00E658B6">
            <w:pPr>
              <w:jc w:val="left"/>
              <w:rPr>
                <w:rFonts w:cs="Arial"/>
              </w:rPr>
            </w:pPr>
            <w:r w:rsidRPr="000D5690">
              <w:rPr>
                <w:rFonts w:cs="Arial"/>
              </w:rPr>
              <w:t>Ad. 3</w:t>
            </w:r>
          </w:p>
        </w:tc>
        <w:tc>
          <w:tcPr>
            <w:tcW w:w="7925" w:type="dxa"/>
          </w:tcPr>
          <w:p w:rsidR="005253AC" w:rsidRPr="00D6704A" w:rsidRDefault="00595E1C" w:rsidP="000D5690">
            <w:pPr>
              <w:rPr>
                <w:rFonts w:cs="Arial"/>
                <w:lang w:val="es-ES"/>
              </w:rPr>
            </w:pPr>
            <w:r w:rsidRPr="000D5690">
              <w:rPr>
                <w:rFonts w:cs="Arial"/>
                <w:lang w:val="es-ES_tradnl"/>
              </w:rPr>
              <w:t>Debe rezar: “</w:t>
            </w:r>
            <w:r w:rsidRPr="000D5690">
              <w:rPr>
                <w:lang w:val="es-ES_tradnl"/>
              </w:rPr>
              <w:t>La época de aparición de la primera inflorescencia</w:t>
            </w:r>
            <w:r w:rsidRPr="000D5690">
              <w:rPr>
                <w:rFonts w:cs="Arial"/>
                <w:lang w:val="es-ES_tradnl"/>
              </w:rPr>
              <w:t xml:space="preserve"> es…”</w:t>
            </w:r>
          </w:p>
        </w:tc>
      </w:tr>
      <w:tr w:rsidR="005253AC" w:rsidRPr="00E30CEB" w:rsidTr="00E658B6">
        <w:tc>
          <w:tcPr>
            <w:tcW w:w="1573" w:type="dxa"/>
          </w:tcPr>
          <w:p w:rsidR="005253AC" w:rsidRPr="000D5690" w:rsidRDefault="005253AC" w:rsidP="00E658B6">
            <w:pPr>
              <w:jc w:val="left"/>
              <w:rPr>
                <w:rFonts w:cs="Arial"/>
                <w:dstrike/>
              </w:rPr>
            </w:pPr>
            <w:r w:rsidRPr="000D5690">
              <w:rPr>
                <w:rFonts w:cs="Arial"/>
              </w:rPr>
              <w:t>Ad. 9, 11, 13</w:t>
            </w:r>
          </w:p>
        </w:tc>
        <w:tc>
          <w:tcPr>
            <w:tcW w:w="7925" w:type="dxa"/>
          </w:tcPr>
          <w:p w:rsidR="005253AC" w:rsidRPr="00D6704A" w:rsidRDefault="00683B57" w:rsidP="00E658B6">
            <w:pPr>
              <w:rPr>
                <w:rFonts w:cs="Arial"/>
                <w:lang w:val="es-ES"/>
              </w:rPr>
            </w:pPr>
            <w:r w:rsidRPr="00D6704A">
              <w:rPr>
                <w:rFonts w:cs="Arial"/>
                <w:lang w:val="es-ES"/>
              </w:rPr>
              <w:t xml:space="preserve">- </w:t>
            </w:r>
            <w:r w:rsidRPr="000D5690">
              <w:rPr>
                <w:rFonts w:cs="Arial"/>
                <w:lang w:val="es-ES_tradnl"/>
              </w:rPr>
              <w:t>Corríjase la ortografía de “</w:t>
            </w:r>
            <w:proofErr w:type="spellStart"/>
            <w:r w:rsidRPr="000D5690">
              <w:rPr>
                <w:rFonts w:cs="Arial"/>
                <w:lang w:val="es-ES_tradnl"/>
              </w:rPr>
              <w:t>rachis</w:t>
            </w:r>
            <w:proofErr w:type="spellEnd"/>
            <w:r w:rsidRPr="000D5690">
              <w:rPr>
                <w:rFonts w:cs="Arial"/>
                <w:lang w:val="es-ES_tradnl"/>
              </w:rPr>
              <w:t>” en la ilustración (en la versión en inglés).</w:t>
            </w:r>
          </w:p>
          <w:p w:rsidR="005253AC" w:rsidRPr="00D6704A" w:rsidRDefault="00683B57" w:rsidP="000D5690">
            <w:pPr>
              <w:rPr>
                <w:rFonts w:cs="Arial"/>
                <w:lang w:val="es-ES"/>
              </w:rPr>
            </w:pPr>
            <w:r w:rsidRPr="00D6704A">
              <w:rPr>
                <w:rFonts w:cs="Arial"/>
                <w:lang w:val="es-ES"/>
              </w:rPr>
              <w:t xml:space="preserve">- </w:t>
            </w:r>
            <w:r w:rsidRPr="000D5690">
              <w:rPr>
                <w:rFonts w:cs="Arial"/>
                <w:lang w:val="es-ES_tradnl"/>
              </w:rPr>
              <w:t>Como el car</w:t>
            </w:r>
            <w:r w:rsidR="0045429A" w:rsidRPr="000D5690">
              <w:rPr>
                <w:rFonts w:cs="Arial"/>
                <w:lang w:val="es-ES_tradnl"/>
              </w:rPr>
              <w:t>ácter</w:t>
            </w:r>
            <w:r w:rsidRPr="000D5690">
              <w:rPr>
                <w:rFonts w:cs="Arial"/>
                <w:lang w:val="es-ES_tradnl"/>
              </w:rPr>
              <w:t xml:space="preserve"> 13 es VG/MS, </w:t>
            </w:r>
            <w:r w:rsidR="005257E9" w:rsidRPr="000D5690">
              <w:rPr>
                <w:rFonts w:cs="Arial"/>
                <w:lang w:val="es-ES_tradnl"/>
              </w:rPr>
              <w:t xml:space="preserve">“determinarse” debe reemplazarse </w:t>
            </w:r>
            <w:r w:rsidRPr="000D5690">
              <w:rPr>
                <w:rFonts w:cs="Arial"/>
                <w:lang w:val="es-ES_tradnl"/>
              </w:rPr>
              <w:t xml:space="preserve">por </w:t>
            </w:r>
            <w:r w:rsidR="005257E9" w:rsidRPr="000D5690">
              <w:rPr>
                <w:rFonts w:cs="Arial"/>
                <w:lang w:val="es-ES_tradnl"/>
              </w:rPr>
              <w:t>“observarse”.</w:t>
            </w:r>
          </w:p>
        </w:tc>
      </w:tr>
      <w:tr w:rsidR="005253AC" w:rsidRPr="000D5690" w:rsidTr="00E658B6">
        <w:tc>
          <w:tcPr>
            <w:tcW w:w="1573" w:type="dxa"/>
          </w:tcPr>
          <w:p w:rsidR="005253AC" w:rsidRPr="000D5690" w:rsidRDefault="005253AC" w:rsidP="00E658B6">
            <w:pPr>
              <w:jc w:val="left"/>
              <w:rPr>
                <w:rFonts w:cs="Arial"/>
              </w:rPr>
            </w:pPr>
            <w:r w:rsidRPr="000D5690">
              <w:rPr>
                <w:rFonts w:cs="Arial"/>
              </w:rPr>
              <w:t>Ad. 10</w:t>
            </w:r>
          </w:p>
        </w:tc>
        <w:tc>
          <w:tcPr>
            <w:tcW w:w="7925" w:type="dxa"/>
          </w:tcPr>
          <w:p w:rsidR="005253AC" w:rsidRPr="000D5690" w:rsidRDefault="005257E9" w:rsidP="000D5690">
            <w:pPr>
              <w:rPr>
                <w:rFonts w:cs="Arial"/>
              </w:rPr>
            </w:pPr>
            <w:r w:rsidRPr="000D5690">
              <w:rPr>
                <w:rFonts w:cs="Arial"/>
                <w:lang w:val="es-ES_tradnl"/>
              </w:rPr>
              <w:t>Elimínese “y la anchura”.</w:t>
            </w:r>
            <w:r w:rsidR="005253AC" w:rsidRPr="000D5690">
              <w:rPr>
                <w:rFonts w:cs="Arial"/>
              </w:rPr>
              <w:t xml:space="preserve"> </w:t>
            </w:r>
          </w:p>
        </w:tc>
      </w:tr>
      <w:tr w:rsidR="005253AC" w:rsidRPr="000D5690" w:rsidTr="00E658B6">
        <w:tc>
          <w:tcPr>
            <w:tcW w:w="1573" w:type="dxa"/>
          </w:tcPr>
          <w:p w:rsidR="005253AC" w:rsidRPr="000D5690" w:rsidRDefault="005253AC" w:rsidP="00E658B6">
            <w:pPr>
              <w:jc w:val="left"/>
              <w:rPr>
                <w:rFonts w:cs="Arial"/>
              </w:rPr>
            </w:pPr>
            <w:r w:rsidRPr="000D5690">
              <w:rPr>
                <w:rFonts w:cs="Arial"/>
              </w:rPr>
              <w:t>Ad. 11</w:t>
            </w:r>
          </w:p>
        </w:tc>
        <w:tc>
          <w:tcPr>
            <w:tcW w:w="7925" w:type="dxa"/>
          </w:tcPr>
          <w:p w:rsidR="005253AC" w:rsidRPr="000D5690" w:rsidRDefault="005257E9" w:rsidP="000D5690">
            <w:pPr>
              <w:rPr>
                <w:rFonts w:cs="Arial"/>
              </w:rPr>
            </w:pPr>
            <w:r w:rsidRPr="000D5690">
              <w:rPr>
                <w:rFonts w:cs="Arial"/>
                <w:lang w:val="es-ES_tradnl"/>
              </w:rPr>
              <w:t>Elimínese “grosor del pecíolo”.</w:t>
            </w:r>
            <w:r w:rsidR="005253AC" w:rsidRPr="000D5690">
              <w:rPr>
                <w:rFonts w:cs="Arial"/>
              </w:rPr>
              <w:t xml:space="preserve"> </w:t>
            </w:r>
          </w:p>
        </w:tc>
      </w:tr>
      <w:tr w:rsidR="005253AC" w:rsidRPr="00E30CEB" w:rsidTr="00E658B6">
        <w:tc>
          <w:tcPr>
            <w:tcW w:w="1573" w:type="dxa"/>
          </w:tcPr>
          <w:p w:rsidR="005253AC" w:rsidRPr="000D5690" w:rsidRDefault="005253AC" w:rsidP="00E658B6">
            <w:pPr>
              <w:jc w:val="left"/>
              <w:rPr>
                <w:rFonts w:cs="Arial"/>
                <w:dstrike/>
              </w:rPr>
            </w:pPr>
            <w:r w:rsidRPr="000D5690">
              <w:rPr>
                <w:rFonts w:cs="Arial"/>
              </w:rPr>
              <w:t>Ad. 20</w:t>
            </w:r>
          </w:p>
        </w:tc>
        <w:tc>
          <w:tcPr>
            <w:tcW w:w="7925" w:type="dxa"/>
          </w:tcPr>
          <w:p w:rsidR="005253AC" w:rsidRPr="00D6704A" w:rsidRDefault="00683B57" w:rsidP="00E658B6">
            <w:pPr>
              <w:rPr>
                <w:rFonts w:cs="Arial"/>
                <w:lang w:val="es-ES"/>
              </w:rPr>
            </w:pPr>
            <w:r w:rsidRPr="00D6704A">
              <w:rPr>
                <w:rFonts w:cs="Arial"/>
                <w:lang w:val="es-ES"/>
              </w:rPr>
              <w:t xml:space="preserve">- </w:t>
            </w:r>
            <w:r w:rsidR="005257E9" w:rsidRPr="000D5690">
              <w:rPr>
                <w:rFonts w:cs="Arial"/>
                <w:lang w:val="es-ES_tradnl"/>
              </w:rPr>
              <w:t>Debe rezar: “la última espiguilla” y “la primera espiguilla”.</w:t>
            </w:r>
          </w:p>
          <w:p w:rsidR="005253AC" w:rsidRPr="00D6704A" w:rsidRDefault="00683B57" w:rsidP="00E658B6">
            <w:pPr>
              <w:rPr>
                <w:rFonts w:cs="Arial"/>
                <w:lang w:val="es-ES"/>
              </w:rPr>
            </w:pPr>
            <w:r w:rsidRPr="00D6704A">
              <w:rPr>
                <w:rFonts w:cs="Arial"/>
                <w:lang w:val="es-ES"/>
              </w:rPr>
              <w:t xml:space="preserve">- </w:t>
            </w:r>
            <w:r w:rsidR="005257E9" w:rsidRPr="000D5690">
              <w:rPr>
                <w:rFonts w:cs="Arial"/>
                <w:lang w:val="es-ES_tradnl"/>
              </w:rPr>
              <w:t>Elimínese la fotografía de la derecha.</w:t>
            </w:r>
          </w:p>
          <w:p w:rsidR="005253AC" w:rsidRPr="00D6704A" w:rsidRDefault="00683B57" w:rsidP="000D5690">
            <w:pPr>
              <w:rPr>
                <w:rFonts w:cs="Arial"/>
                <w:lang w:val="es-ES"/>
              </w:rPr>
            </w:pPr>
            <w:r w:rsidRPr="00D6704A">
              <w:rPr>
                <w:rFonts w:cs="Arial"/>
                <w:lang w:val="es-ES"/>
              </w:rPr>
              <w:t xml:space="preserve">- </w:t>
            </w:r>
            <w:r w:rsidR="000351B7" w:rsidRPr="000D5690">
              <w:rPr>
                <w:rFonts w:cs="Arial"/>
                <w:lang w:val="es-ES_tradnl"/>
              </w:rPr>
              <w:t>A</w:t>
            </w:r>
            <w:r w:rsidR="005257E9" w:rsidRPr="000D5690">
              <w:rPr>
                <w:rFonts w:cs="Arial"/>
                <w:lang w:val="es-ES_tradnl"/>
              </w:rPr>
              <w:t>ñ</w:t>
            </w:r>
            <w:r w:rsidR="000351B7" w:rsidRPr="000D5690">
              <w:rPr>
                <w:rFonts w:cs="Arial"/>
                <w:lang w:val="es-ES_tradnl"/>
              </w:rPr>
              <w:t xml:space="preserve">ádase la </w:t>
            </w:r>
            <w:r w:rsidR="005257E9" w:rsidRPr="000D5690">
              <w:rPr>
                <w:rFonts w:cs="Arial"/>
                <w:lang w:val="es-ES_tradnl"/>
              </w:rPr>
              <w:t xml:space="preserve">explicación </w:t>
            </w:r>
            <w:r w:rsidR="000351B7" w:rsidRPr="000D5690">
              <w:rPr>
                <w:rFonts w:cs="Arial"/>
                <w:lang w:val="es-ES_tradnl"/>
              </w:rPr>
              <w:t>siguiente: “</w:t>
            </w:r>
            <w:r w:rsidR="005257E9" w:rsidRPr="000D5690">
              <w:rPr>
                <w:rFonts w:cs="Arial"/>
                <w:lang w:val="es-ES_tradnl"/>
              </w:rPr>
              <w:t xml:space="preserve">La </w:t>
            </w:r>
            <w:r w:rsidR="000351B7" w:rsidRPr="000D5690">
              <w:rPr>
                <w:lang w:val="es-ES_tradnl"/>
              </w:rPr>
              <w:t>longitud del eje central deberá observarse desde el punto de inserción de la primera espiguilla hasta el punto de inserción de la última espiguilla</w:t>
            </w:r>
            <w:r w:rsidR="005257E9" w:rsidRPr="000D5690">
              <w:rPr>
                <w:rFonts w:cs="Arial"/>
                <w:lang w:val="es-ES_tradnl"/>
              </w:rPr>
              <w:t>.</w:t>
            </w:r>
            <w:r w:rsidR="000351B7" w:rsidRPr="000D5690">
              <w:rPr>
                <w:rFonts w:cs="Arial"/>
                <w:lang w:val="es-ES_tradnl"/>
              </w:rPr>
              <w:t>”</w:t>
            </w:r>
          </w:p>
        </w:tc>
      </w:tr>
      <w:tr w:rsidR="005253AC" w:rsidRPr="00E30CEB" w:rsidTr="00E658B6">
        <w:tc>
          <w:tcPr>
            <w:tcW w:w="1573" w:type="dxa"/>
          </w:tcPr>
          <w:p w:rsidR="005253AC" w:rsidRPr="000D5690" w:rsidRDefault="005253AC" w:rsidP="00E658B6">
            <w:pPr>
              <w:rPr>
                <w:rFonts w:cs="Arial"/>
                <w:szCs w:val="22"/>
              </w:rPr>
            </w:pPr>
            <w:r w:rsidRPr="000D5690">
              <w:rPr>
                <w:rFonts w:cs="Arial"/>
                <w:szCs w:val="22"/>
              </w:rPr>
              <w:t>Ad. 23</w:t>
            </w:r>
          </w:p>
        </w:tc>
        <w:tc>
          <w:tcPr>
            <w:tcW w:w="7925" w:type="dxa"/>
          </w:tcPr>
          <w:p w:rsidR="005253AC" w:rsidRPr="00D6704A" w:rsidRDefault="000351B7" w:rsidP="000D5690">
            <w:pPr>
              <w:rPr>
                <w:rFonts w:cs="Arial"/>
                <w:szCs w:val="22"/>
                <w:lang w:val="es-ES"/>
              </w:rPr>
            </w:pPr>
            <w:r w:rsidRPr="000D5690">
              <w:rPr>
                <w:rFonts w:cs="Arial"/>
                <w:snapToGrid w:val="0"/>
                <w:color w:val="000000"/>
                <w:szCs w:val="22"/>
                <w:lang w:val="es-ES_tradnl"/>
              </w:rPr>
              <w:t xml:space="preserve">Debe rezar: “La </w:t>
            </w:r>
            <w:r w:rsidRPr="000D5690">
              <w:rPr>
                <w:lang w:val="es-ES_tradnl"/>
              </w:rPr>
              <w:t>longitud de la espiguilla con flores femeninas deberá observarse en la primera espiguilla con flores femeninas contando desde la base de la inflorescencia</w:t>
            </w:r>
            <w:r w:rsidRPr="000D5690">
              <w:rPr>
                <w:rFonts w:cs="Arial"/>
                <w:snapToGrid w:val="0"/>
                <w:color w:val="000000"/>
                <w:szCs w:val="22"/>
                <w:lang w:val="es-ES_tradnl"/>
              </w:rPr>
              <w:t>.”</w:t>
            </w:r>
          </w:p>
        </w:tc>
      </w:tr>
      <w:tr w:rsidR="005253AC" w:rsidRPr="00E30CEB" w:rsidTr="00E658B6">
        <w:tc>
          <w:tcPr>
            <w:tcW w:w="1573" w:type="dxa"/>
          </w:tcPr>
          <w:p w:rsidR="005253AC" w:rsidRPr="000D5690" w:rsidRDefault="005253AC" w:rsidP="00E658B6">
            <w:pPr>
              <w:jc w:val="left"/>
              <w:rPr>
                <w:rFonts w:cs="Arial"/>
              </w:rPr>
            </w:pPr>
            <w:r w:rsidRPr="000D5690">
              <w:rPr>
                <w:rFonts w:cs="Arial"/>
              </w:rPr>
              <w:t>Ad. 29</w:t>
            </w:r>
          </w:p>
        </w:tc>
        <w:tc>
          <w:tcPr>
            <w:tcW w:w="7925" w:type="dxa"/>
          </w:tcPr>
          <w:p w:rsidR="005253AC" w:rsidRPr="00D6704A" w:rsidRDefault="000351B7" w:rsidP="000D5690">
            <w:pPr>
              <w:rPr>
                <w:rFonts w:cs="Arial"/>
                <w:lang w:val="es-ES"/>
              </w:rPr>
            </w:pPr>
            <w:r w:rsidRPr="000D5690">
              <w:rPr>
                <w:rFonts w:cs="Arial"/>
                <w:lang w:val="es-ES_tradnl"/>
              </w:rPr>
              <w:t>Como el car</w:t>
            </w:r>
            <w:r w:rsidR="0045429A" w:rsidRPr="000D5690">
              <w:rPr>
                <w:rFonts w:cs="Arial"/>
                <w:lang w:val="es-ES_tradnl"/>
              </w:rPr>
              <w:t>ácter</w:t>
            </w:r>
            <w:r w:rsidRPr="000D5690">
              <w:rPr>
                <w:rFonts w:cs="Arial"/>
                <w:lang w:val="es-ES_tradnl"/>
              </w:rPr>
              <w:t> 29 es VG/MS, “determinarse” debe reemplazarse por “observarse”.</w:t>
            </w:r>
          </w:p>
        </w:tc>
      </w:tr>
      <w:tr w:rsidR="005253AC" w:rsidRPr="00E30CEB" w:rsidTr="00E658B6">
        <w:tc>
          <w:tcPr>
            <w:tcW w:w="1573" w:type="dxa"/>
          </w:tcPr>
          <w:p w:rsidR="005253AC" w:rsidRPr="000D5690" w:rsidRDefault="005253AC" w:rsidP="00E658B6">
            <w:pPr>
              <w:jc w:val="left"/>
              <w:rPr>
                <w:rFonts w:cs="Arial"/>
              </w:rPr>
            </w:pPr>
            <w:r w:rsidRPr="000D5690">
              <w:rPr>
                <w:rFonts w:cs="Arial"/>
              </w:rPr>
              <w:t>Ad. 30</w:t>
            </w:r>
          </w:p>
        </w:tc>
        <w:tc>
          <w:tcPr>
            <w:tcW w:w="7925" w:type="dxa"/>
          </w:tcPr>
          <w:p w:rsidR="005253AC" w:rsidRPr="00D6704A" w:rsidRDefault="000351B7" w:rsidP="000D5690">
            <w:pPr>
              <w:rPr>
                <w:rFonts w:cs="Arial"/>
                <w:lang w:val="es-ES"/>
              </w:rPr>
            </w:pPr>
            <w:r w:rsidRPr="000D5690">
              <w:rPr>
                <w:rFonts w:cs="Arial"/>
                <w:lang w:val="es-ES_tradnl"/>
              </w:rPr>
              <w:t>Como el car</w:t>
            </w:r>
            <w:r w:rsidR="0045429A" w:rsidRPr="000D5690">
              <w:rPr>
                <w:rFonts w:cs="Arial"/>
                <w:lang w:val="es-ES_tradnl"/>
              </w:rPr>
              <w:t>ácter</w:t>
            </w:r>
            <w:r w:rsidRPr="000D5690">
              <w:rPr>
                <w:rFonts w:cs="Arial"/>
                <w:lang w:val="es-ES_tradnl"/>
              </w:rPr>
              <w:t> 30 es VG, “determinarse” debe reemplazarse por “observarse”.</w:t>
            </w:r>
          </w:p>
        </w:tc>
      </w:tr>
    </w:tbl>
    <w:p w:rsidR="005253AC" w:rsidRPr="00D6704A" w:rsidRDefault="005253AC" w:rsidP="005253AC">
      <w:pPr>
        <w:jc w:val="left"/>
        <w:rPr>
          <w:rFonts w:cs="Arial"/>
          <w:u w:val="single"/>
          <w:lang w:val="es-ES"/>
        </w:rPr>
      </w:pPr>
    </w:p>
    <w:p w:rsidR="005253AC" w:rsidRPr="00D6704A" w:rsidRDefault="005253AC" w:rsidP="005253AC">
      <w:pPr>
        <w:jc w:val="left"/>
        <w:rPr>
          <w:rFonts w:cs="Arial"/>
          <w:u w:val="single"/>
          <w:lang w:val="es-ES"/>
        </w:rPr>
      </w:pPr>
    </w:p>
    <w:tbl>
      <w:tblPr>
        <w:tblW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00"/>
        <w:gridCol w:w="2268"/>
      </w:tblGrid>
      <w:tr w:rsidR="005253AC" w:rsidRPr="000D5690" w:rsidTr="00E658B6">
        <w:trPr>
          <w:cantSplit/>
          <w:trHeight w:val="315"/>
        </w:trPr>
        <w:tc>
          <w:tcPr>
            <w:tcW w:w="3600" w:type="dxa"/>
            <w:vMerge w:val="restart"/>
            <w:shd w:val="clear" w:color="auto" w:fill="D9D9D9"/>
            <w:vAlign w:val="center"/>
          </w:tcPr>
          <w:p w:rsidR="005253AC" w:rsidRPr="000D5690" w:rsidRDefault="000351B7" w:rsidP="000D5690">
            <w:pPr>
              <w:pStyle w:val="TitleofDoc"/>
              <w:keepNext/>
              <w:tabs>
                <w:tab w:val="left" w:pos="5245"/>
                <w:tab w:val="left" w:pos="7008"/>
              </w:tabs>
              <w:spacing w:before="80" w:after="80"/>
              <w:jc w:val="left"/>
              <w:rPr>
                <w:rFonts w:cs="Arial"/>
                <w:caps w:val="0"/>
                <w:lang w:val="fr-CH"/>
              </w:rPr>
            </w:pPr>
            <w:r w:rsidRPr="00D6704A">
              <w:rPr>
                <w:rFonts w:cs="Arial"/>
                <w:lang w:val="fr-FR"/>
              </w:rPr>
              <w:t>C</w:t>
            </w:r>
            <w:r w:rsidR="00C547A4" w:rsidRPr="00D6704A">
              <w:rPr>
                <w:rFonts w:cs="Arial"/>
                <w:caps w:val="0"/>
                <w:lang w:val="fr-FR"/>
              </w:rPr>
              <w:t>ordyline</w:t>
            </w:r>
            <w:r w:rsidR="005253AC" w:rsidRPr="000D5690">
              <w:rPr>
                <w:rFonts w:cs="Arial"/>
                <w:caps w:val="0"/>
                <w:lang w:val="fr-CH"/>
              </w:rPr>
              <w:t xml:space="preserve"> (</w:t>
            </w:r>
            <w:r w:rsidR="005253AC" w:rsidRPr="000D5690">
              <w:rPr>
                <w:rFonts w:cs="Arial"/>
                <w:i/>
                <w:caps w:val="0"/>
                <w:lang w:val="fr-CH"/>
              </w:rPr>
              <w:t xml:space="preserve">Cordyline </w:t>
            </w:r>
            <w:proofErr w:type="spellStart"/>
            <w:r w:rsidR="005253AC" w:rsidRPr="000D5690">
              <w:rPr>
                <w:rFonts w:cs="Arial"/>
                <w:caps w:val="0"/>
                <w:lang w:val="fr-CH"/>
              </w:rPr>
              <w:t>Comm</w:t>
            </w:r>
            <w:proofErr w:type="spellEnd"/>
            <w:r w:rsidR="005253AC" w:rsidRPr="000D5690">
              <w:rPr>
                <w:rFonts w:cs="Arial"/>
                <w:caps w:val="0"/>
                <w:lang w:val="fr-CH"/>
              </w:rPr>
              <w:t xml:space="preserve">. ex </w:t>
            </w:r>
            <w:proofErr w:type="spellStart"/>
            <w:r w:rsidR="005253AC" w:rsidRPr="000D5690">
              <w:rPr>
                <w:rFonts w:cs="Arial"/>
                <w:caps w:val="0"/>
                <w:lang w:val="fr-CH"/>
              </w:rPr>
              <w:t>Juss</w:t>
            </w:r>
            <w:proofErr w:type="spellEnd"/>
            <w:r w:rsidR="005253AC" w:rsidRPr="000D5690">
              <w:rPr>
                <w:rFonts w:cs="Arial"/>
                <w:caps w:val="0"/>
                <w:lang w:val="fr-CH"/>
              </w:rPr>
              <w:t>.)</w:t>
            </w:r>
          </w:p>
        </w:tc>
        <w:tc>
          <w:tcPr>
            <w:tcW w:w="2268" w:type="dxa"/>
            <w:vMerge w:val="restart"/>
            <w:shd w:val="clear" w:color="auto" w:fill="D9D9D9"/>
            <w:vAlign w:val="center"/>
          </w:tcPr>
          <w:p w:rsidR="005253AC" w:rsidRPr="000D5690" w:rsidRDefault="005253AC" w:rsidP="00E658B6">
            <w:pPr>
              <w:rPr>
                <w:iCs/>
                <w:snapToGrid w:val="0"/>
              </w:rPr>
            </w:pPr>
            <w:r w:rsidRPr="000D5690">
              <w:t>TG/CORDY(proj.5)</w:t>
            </w:r>
          </w:p>
        </w:tc>
      </w:tr>
      <w:tr w:rsidR="005253AC" w:rsidRPr="000D5690" w:rsidTr="00E658B6">
        <w:trPr>
          <w:cantSplit/>
          <w:trHeight w:val="230"/>
        </w:trPr>
        <w:tc>
          <w:tcPr>
            <w:tcW w:w="3600" w:type="dxa"/>
            <w:vMerge/>
            <w:shd w:val="clear" w:color="auto" w:fill="D9D9D9"/>
            <w:vAlign w:val="center"/>
          </w:tcPr>
          <w:p w:rsidR="005253AC" w:rsidRPr="000D5690" w:rsidRDefault="005253AC" w:rsidP="00E658B6">
            <w:pPr>
              <w:pStyle w:val="TitleofDoc"/>
              <w:keepNext/>
              <w:tabs>
                <w:tab w:val="left" w:pos="5245"/>
                <w:tab w:val="left" w:pos="7008"/>
              </w:tabs>
              <w:spacing w:before="0"/>
              <w:jc w:val="left"/>
              <w:rPr>
                <w:rFonts w:cs="Arial"/>
                <w:caps w:val="0"/>
              </w:rPr>
            </w:pPr>
          </w:p>
        </w:tc>
        <w:tc>
          <w:tcPr>
            <w:tcW w:w="2268" w:type="dxa"/>
            <w:vMerge/>
            <w:shd w:val="clear" w:color="auto" w:fill="D9D9D9"/>
            <w:vAlign w:val="center"/>
          </w:tcPr>
          <w:p w:rsidR="005253AC" w:rsidRPr="000D5690" w:rsidRDefault="005253AC" w:rsidP="00E658B6">
            <w:pPr>
              <w:pStyle w:val="BodyText"/>
              <w:keepNext/>
              <w:jc w:val="left"/>
              <w:rPr>
                <w:rFonts w:cs="Arial"/>
                <w:iCs/>
                <w:snapToGrid w:val="0"/>
              </w:rPr>
            </w:pPr>
          </w:p>
        </w:tc>
      </w:tr>
    </w:tbl>
    <w:p w:rsidR="005253AC" w:rsidRPr="000D5690" w:rsidRDefault="005253AC" w:rsidP="005253AC">
      <w:pPr>
        <w:keepNext/>
        <w:jc w:val="left"/>
        <w:rPr>
          <w:rFonts w:cs="Arial"/>
          <w:lang w:val="de-DE"/>
        </w:rPr>
      </w:pPr>
    </w:p>
    <w:p w:rsidR="005253AC" w:rsidRPr="00D6704A" w:rsidRDefault="0047214B" w:rsidP="005253AC">
      <w:pPr>
        <w:autoSpaceDE w:val="0"/>
        <w:autoSpaceDN w:val="0"/>
        <w:adjustRightInd w:val="0"/>
        <w:ind w:firstLine="567"/>
        <w:rPr>
          <w:rFonts w:cs="Arial"/>
          <w:lang w:val="es-ES"/>
        </w:rPr>
      </w:pPr>
      <w:r w:rsidRPr="00D6704A">
        <w:rPr>
          <w:rFonts w:cs="Arial"/>
          <w:lang w:val="es-ES"/>
        </w:rPr>
        <w:t>a)</w:t>
      </w:r>
      <w:r w:rsidR="005253AC" w:rsidRPr="00D6704A">
        <w:rPr>
          <w:rFonts w:cs="Arial"/>
          <w:lang w:val="es-ES"/>
        </w:rPr>
        <w:tab/>
      </w:r>
      <w:r w:rsidR="00BD45F1" w:rsidRPr="000D5690">
        <w:rPr>
          <w:rFonts w:cs="Arial"/>
          <w:lang w:val="es-ES_tradnl"/>
        </w:rPr>
        <w:t>En el cuadro siguiente se recogen las observaciones formuladas por el Comité de Redacción Ampliado en su reunión celebrada los días 6 y 7 de enero de 2016.</w:t>
      </w:r>
      <w:r w:rsidR="005253AC" w:rsidRPr="00D6704A">
        <w:rPr>
          <w:rFonts w:cs="Arial"/>
          <w:lang w:val="es-ES"/>
        </w:rPr>
        <w:t xml:space="preserve"> </w:t>
      </w:r>
      <w:r w:rsidR="00BD45F1" w:rsidRPr="000D5690">
        <w:rPr>
          <w:rFonts w:cs="Arial"/>
          <w:lang w:val="es-ES_tradnl"/>
        </w:rPr>
        <w:t xml:space="preserve">Todas las observaciones se han incorporado ya en </w:t>
      </w:r>
      <w:r w:rsidR="00364BA2" w:rsidRPr="000D5690">
        <w:rPr>
          <w:rFonts w:cs="Arial"/>
          <w:lang w:val="es-ES_tradnl"/>
        </w:rPr>
        <w:t>el proyecto de directrices de examen</w:t>
      </w:r>
      <w:r w:rsidR="00BD45F1" w:rsidRPr="000D5690">
        <w:rPr>
          <w:rFonts w:cs="Arial"/>
          <w:lang w:val="es-ES_tradnl"/>
        </w:rPr>
        <w:t> TG/</w:t>
      </w:r>
      <w:proofErr w:type="gramStart"/>
      <w:r w:rsidR="00BD45F1" w:rsidRPr="000D5690">
        <w:rPr>
          <w:rFonts w:cs="Arial"/>
          <w:lang w:val="es-ES_tradnl"/>
        </w:rPr>
        <w:t>CORDY(</w:t>
      </w:r>
      <w:proofErr w:type="gramEnd"/>
      <w:r w:rsidR="00BD45F1" w:rsidRPr="000D5690">
        <w:rPr>
          <w:rFonts w:cs="Arial"/>
          <w:lang w:val="es-ES_tradnl"/>
        </w:rPr>
        <w:t>proj.5), sometido a la consideración del TC:</w:t>
      </w:r>
    </w:p>
    <w:p w:rsidR="005253AC" w:rsidRPr="00D6704A" w:rsidRDefault="005253AC" w:rsidP="005253AC">
      <w:pPr>
        <w:keepNext/>
        <w:jc w:val="left"/>
        <w:rPr>
          <w:rFonts w:cs="Arial"/>
          <w:lang w:val="es-ES"/>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2"/>
        <w:gridCol w:w="7916"/>
      </w:tblGrid>
      <w:tr w:rsidR="005253AC" w:rsidRPr="00E30CEB" w:rsidTr="00E658B6">
        <w:trPr>
          <w:cantSplit/>
        </w:trPr>
        <w:tc>
          <w:tcPr>
            <w:tcW w:w="1582" w:type="dxa"/>
          </w:tcPr>
          <w:p w:rsidR="005253AC" w:rsidRPr="000D5690" w:rsidRDefault="00BD45F1" w:rsidP="000D5690">
            <w:pPr>
              <w:rPr>
                <w:rFonts w:cs="Arial"/>
                <w:szCs w:val="22"/>
              </w:rPr>
            </w:pPr>
            <w:r w:rsidRPr="000D5690">
              <w:rPr>
                <w:rFonts w:cs="Arial"/>
                <w:szCs w:val="22"/>
                <w:lang w:val="es-ES_tradnl"/>
              </w:rPr>
              <w:t>Portada</w:t>
            </w:r>
          </w:p>
        </w:tc>
        <w:tc>
          <w:tcPr>
            <w:tcW w:w="7916" w:type="dxa"/>
          </w:tcPr>
          <w:p w:rsidR="005253AC" w:rsidRPr="00D6704A" w:rsidRDefault="00683B57" w:rsidP="00E658B6">
            <w:pPr>
              <w:ind w:left="153" w:hanging="153"/>
              <w:rPr>
                <w:rFonts w:cs="Arial"/>
                <w:szCs w:val="22"/>
                <w:lang w:val="es-ES"/>
              </w:rPr>
            </w:pPr>
            <w:r w:rsidRPr="00D6704A">
              <w:rPr>
                <w:rFonts w:cs="Arial"/>
                <w:szCs w:val="22"/>
                <w:lang w:val="es-ES"/>
              </w:rPr>
              <w:t xml:space="preserve">- </w:t>
            </w:r>
            <w:r w:rsidR="002A73F4" w:rsidRPr="000D5690">
              <w:rPr>
                <w:rFonts w:cs="Arial"/>
                <w:szCs w:val="22"/>
                <w:lang w:val="es-ES_tradnl"/>
              </w:rPr>
              <w:t xml:space="preserve">Indíquense </w:t>
            </w:r>
            <w:r w:rsidR="00BD45F1" w:rsidRPr="000D5690">
              <w:rPr>
                <w:rFonts w:cs="Arial"/>
                <w:szCs w:val="22"/>
                <w:lang w:val="es-ES_tradnl"/>
              </w:rPr>
              <w:t xml:space="preserve">los mismos nombres comunes que en el cuestionario técnico (inglés: </w:t>
            </w:r>
            <w:proofErr w:type="spellStart"/>
            <w:r w:rsidR="002A73F4" w:rsidRPr="000D5690">
              <w:rPr>
                <w:rFonts w:cs="Arial"/>
                <w:szCs w:val="22"/>
                <w:lang w:val="es-ES_tradnl"/>
              </w:rPr>
              <w:t>Cordyline</w:t>
            </w:r>
            <w:proofErr w:type="spellEnd"/>
            <w:r w:rsidR="002A73F4" w:rsidRPr="000D5690">
              <w:rPr>
                <w:rFonts w:cs="Arial"/>
                <w:szCs w:val="22"/>
                <w:lang w:val="es-ES_tradnl"/>
              </w:rPr>
              <w:t xml:space="preserve">, </w:t>
            </w:r>
            <w:proofErr w:type="spellStart"/>
            <w:r w:rsidR="002A73F4" w:rsidRPr="000D5690">
              <w:rPr>
                <w:rFonts w:cs="Arial"/>
                <w:szCs w:val="22"/>
                <w:lang w:val="es-ES_tradnl"/>
              </w:rPr>
              <w:t>Cabbage</w:t>
            </w:r>
            <w:proofErr w:type="spellEnd"/>
            <w:r w:rsidR="002A73F4" w:rsidRPr="000D5690">
              <w:rPr>
                <w:rFonts w:cs="Arial"/>
                <w:szCs w:val="22"/>
                <w:lang w:val="es-ES_tradnl"/>
              </w:rPr>
              <w:t xml:space="preserve"> </w:t>
            </w:r>
            <w:proofErr w:type="spellStart"/>
            <w:r w:rsidR="002A73F4" w:rsidRPr="000D5690">
              <w:rPr>
                <w:rFonts w:cs="Arial"/>
                <w:szCs w:val="22"/>
                <w:lang w:val="es-ES_tradnl"/>
              </w:rPr>
              <w:t>Tree</w:t>
            </w:r>
            <w:proofErr w:type="spellEnd"/>
            <w:r w:rsidR="002A73F4" w:rsidRPr="000D5690">
              <w:rPr>
                <w:rFonts w:cs="Arial"/>
                <w:szCs w:val="22"/>
                <w:lang w:val="es-ES_tradnl"/>
              </w:rPr>
              <w:t xml:space="preserve">, </w:t>
            </w:r>
            <w:proofErr w:type="spellStart"/>
            <w:r w:rsidR="002A73F4" w:rsidRPr="000D5690">
              <w:rPr>
                <w:rFonts w:cs="Arial"/>
                <w:szCs w:val="22"/>
                <w:lang w:val="es-ES_tradnl"/>
              </w:rPr>
              <w:t>Torquay</w:t>
            </w:r>
            <w:proofErr w:type="spellEnd"/>
            <w:r w:rsidR="002A73F4" w:rsidRPr="000D5690">
              <w:rPr>
                <w:rFonts w:cs="Arial"/>
                <w:szCs w:val="22"/>
                <w:lang w:val="es-ES_tradnl"/>
              </w:rPr>
              <w:t xml:space="preserve"> Palm</w:t>
            </w:r>
            <w:r w:rsidR="00BD45F1" w:rsidRPr="000D5690">
              <w:rPr>
                <w:rFonts w:cs="Arial"/>
                <w:szCs w:val="22"/>
                <w:lang w:val="es-ES_tradnl"/>
              </w:rPr>
              <w:t>)</w:t>
            </w:r>
            <w:r w:rsidR="002A73F4" w:rsidRPr="000D5690">
              <w:rPr>
                <w:rFonts w:cs="Arial"/>
                <w:szCs w:val="22"/>
                <w:lang w:val="es-ES_tradnl"/>
              </w:rPr>
              <w:t>.</w:t>
            </w:r>
          </w:p>
          <w:p w:rsidR="005253AC" w:rsidRPr="00D6704A" w:rsidRDefault="00683B57" w:rsidP="000D5690">
            <w:pPr>
              <w:ind w:left="786" w:hanging="786"/>
              <w:rPr>
                <w:rFonts w:cs="Arial"/>
                <w:szCs w:val="22"/>
                <w:lang w:val="es-ES"/>
              </w:rPr>
            </w:pPr>
            <w:r w:rsidRPr="00D6704A">
              <w:rPr>
                <w:rFonts w:cs="Arial"/>
                <w:szCs w:val="22"/>
                <w:lang w:val="es-ES"/>
              </w:rPr>
              <w:t xml:space="preserve">- </w:t>
            </w:r>
            <w:r w:rsidR="002A73F4" w:rsidRPr="000D5690">
              <w:rPr>
                <w:rFonts w:cs="Arial"/>
                <w:szCs w:val="22"/>
                <w:lang w:val="es-ES_tradnl"/>
              </w:rPr>
              <w:t>Añádanse las especies excluidas en el cuadro de nombres (véase TQ1).</w:t>
            </w:r>
          </w:p>
        </w:tc>
      </w:tr>
      <w:tr w:rsidR="005253AC" w:rsidRPr="00E30CEB" w:rsidTr="00E658B6">
        <w:trPr>
          <w:cantSplit/>
        </w:trPr>
        <w:tc>
          <w:tcPr>
            <w:tcW w:w="1582" w:type="dxa"/>
          </w:tcPr>
          <w:p w:rsidR="005253AC" w:rsidRPr="000D5690" w:rsidRDefault="005253AC" w:rsidP="00E658B6">
            <w:pPr>
              <w:jc w:val="left"/>
              <w:rPr>
                <w:rFonts w:cs="Arial"/>
              </w:rPr>
            </w:pPr>
            <w:r w:rsidRPr="000D5690">
              <w:rPr>
                <w:rFonts w:cs="Arial"/>
              </w:rPr>
              <w:t>5.3</w:t>
            </w:r>
          </w:p>
        </w:tc>
        <w:tc>
          <w:tcPr>
            <w:tcW w:w="7916" w:type="dxa"/>
          </w:tcPr>
          <w:p w:rsidR="005253AC" w:rsidRPr="00D6704A" w:rsidRDefault="002A73F4" w:rsidP="000D5690">
            <w:pPr>
              <w:keepNext/>
              <w:rPr>
                <w:rFonts w:cs="Arial"/>
                <w:lang w:val="es-ES"/>
              </w:rPr>
            </w:pPr>
            <w:r w:rsidRPr="000D5690">
              <w:rPr>
                <w:rFonts w:cs="Arial"/>
                <w:lang w:val="es-ES_tradnl"/>
              </w:rPr>
              <w:t>Añádanse los grupos de color en los apartados 5.3 d) y e).</w:t>
            </w:r>
            <w:r w:rsidR="005253AC" w:rsidRPr="00D6704A">
              <w:rPr>
                <w:rFonts w:cs="Arial"/>
                <w:lang w:val="es-ES"/>
              </w:rPr>
              <w:t xml:space="preserve"> </w:t>
            </w:r>
          </w:p>
        </w:tc>
      </w:tr>
      <w:tr w:rsidR="005253AC" w:rsidRPr="00E30CEB" w:rsidTr="00E658B6">
        <w:trPr>
          <w:cantSplit/>
        </w:trPr>
        <w:tc>
          <w:tcPr>
            <w:tcW w:w="1582" w:type="dxa"/>
          </w:tcPr>
          <w:p w:rsidR="005253AC" w:rsidRPr="000D5690" w:rsidRDefault="002A73F4" w:rsidP="000D5690">
            <w:pPr>
              <w:jc w:val="left"/>
              <w:rPr>
                <w:rFonts w:cs="Arial"/>
              </w:rPr>
            </w:pPr>
            <w:r w:rsidRPr="000D5690">
              <w:rPr>
                <w:rFonts w:cs="Arial"/>
                <w:lang w:val="es-ES_tradnl"/>
              </w:rPr>
              <w:t>Car.</w:t>
            </w:r>
            <w:r w:rsidR="005253AC" w:rsidRPr="000D5690">
              <w:rPr>
                <w:rFonts w:cs="Arial"/>
              </w:rPr>
              <w:t xml:space="preserve"> 4</w:t>
            </w:r>
          </w:p>
        </w:tc>
        <w:tc>
          <w:tcPr>
            <w:tcW w:w="7916" w:type="dxa"/>
          </w:tcPr>
          <w:p w:rsidR="005253AC" w:rsidRPr="00D6704A" w:rsidRDefault="00683B57" w:rsidP="00E658B6">
            <w:pPr>
              <w:rPr>
                <w:rFonts w:cs="Arial"/>
                <w:lang w:val="es-ES"/>
              </w:rPr>
            </w:pPr>
            <w:r w:rsidRPr="00D6704A">
              <w:rPr>
                <w:rFonts w:cs="Arial"/>
                <w:lang w:val="es-ES"/>
              </w:rPr>
              <w:t xml:space="preserve">- </w:t>
            </w:r>
            <w:r w:rsidR="002A73F4" w:rsidRPr="000D5690">
              <w:rPr>
                <w:rFonts w:cs="Arial"/>
                <w:lang w:val="es-ES_tradnl"/>
              </w:rPr>
              <w:t>Compruébese si realmente es QL.</w:t>
            </w:r>
          </w:p>
          <w:p w:rsidR="005253AC" w:rsidRPr="00D6704A" w:rsidRDefault="002A73F4" w:rsidP="00E658B6">
            <w:pPr>
              <w:rPr>
                <w:rFonts w:cs="Arial"/>
                <w:i/>
                <w:lang w:val="es-ES"/>
              </w:rPr>
            </w:pPr>
            <w:r w:rsidRPr="000D5690">
              <w:rPr>
                <w:rFonts w:cs="Arial"/>
                <w:i/>
                <w:lang w:val="es-ES_tradnl"/>
              </w:rPr>
              <w:t>Experto principal</w:t>
            </w:r>
            <w:proofErr w:type="gramStart"/>
            <w:r w:rsidRPr="000D5690">
              <w:rPr>
                <w:rFonts w:cs="Arial"/>
                <w:i/>
                <w:lang w:val="es-ES_tradnl"/>
              </w:rPr>
              <w:t>:</w:t>
            </w:r>
            <w:r w:rsidR="005253AC" w:rsidRPr="00D6704A">
              <w:rPr>
                <w:rFonts w:cs="Arial"/>
                <w:i/>
                <w:lang w:val="es-ES"/>
              </w:rPr>
              <w:t xml:space="preserve">  </w:t>
            </w:r>
            <w:r w:rsidRPr="000D5690">
              <w:rPr>
                <w:rFonts w:cs="Arial"/>
                <w:i/>
                <w:lang w:val="es-ES_tradnl"/>
              </w:rPr>
              <w:t>La</w:t>
            </w:r>
            <w:proofErr w:type="gramEnd"/>
            <w:r w:rsidRPr="000D5690">
              <w:rPr>
                <w:rFonts w:cs="Arial"/>
                <w:i/>
                <w:lang w:val="es-ES_tradnl"/>
              </w:rPr>
              <w:t xml:space="preserve"> indicación QL es correcta: hay base genética.</w:t>
            </w:r>
          </w:p>
          <w:p w:rsidR="005253AC" w:rsidRPr="00D6704A" w:rsidRDefault="00683B57" w:rsidP="00E658B6">
            <w:pPr>
              <w:rPr>
                <w:rFonts w:cs="Arial"/>
                <w:lang w:val="es-ES"/>
              </w:rPr>
            </w:pPr>
            <w:r w:rsidRPr="00D6704A">
              <w:rPr>
                <w:rFonts w:cs="Arial"/>
                <w:lang w:val="es-ES"/>
              </w:rPr>
              <w:t xml:space="preserve">- </w:t>
            </w:r>
            <w:r w:rsidR="002A73F4" w:rsidRPr="000D5690">
              <w:rPr>
                <w:rFonts w:cs="Arial"/>
                <w:lang w:val="es-ES_tradnl"/>
              </w:rPr>
              <w:t>Compruébese si debe combinarse con el carácter 5, con nivel 1 “ausentes o pocas”.</w:t>
            </w:r>
          </w:p>
          <w:p w:rsidR="005253AC" w:rsidRPr="00D6704A" w:rsidRDefault="002A73F4" w:rsidP="000D5690">
            <w:pPr>
              <w:rPr>
                <w:rFonts w:cs="Arial"/>
                <w:i/>
                <w:lang w:val="es-ES"/>
              </w:rPr>
            </w:pPr>
            <w:r w:rsidRPr="000D5690">
              <w:rPr>
                <w:rFonts w:cs="Arial"/>
                <w:i/>
                <w:lang w:val="es-ES_tradnl"/>
              </w:rPr>
              <w:t>Experto principal</w:t>
            </w:r>
            <w:proofErr w:type="gramStart"/>
            <w:r w:rsidRPr="000D5690">
              <w:rPr>
                <w:rFonts w:cs="Arial"/>
                <w:i/>
                <w:lang w:val="es-ES_tradnl"/>
              </w:rPr>
              <w:t>:</w:t>
            </w:r>
            <w:r w:rsidR="005253AC" w:rsidRPr="00D6704A">
              <w:rPr>
                <w:rFonts w:cs="Arial"/>
                <w:i/>
                <w:lang w:val="es-ES"/>
              </w:rPr>
              <w:t xml:space="preserve">  </w:t>
            </w:r>
            <w:r w:rsidRPr="000D5690">
              <w:rPr>
                <w:rFonts w:cs="Arial"/>
                <w:i/>
                <w:lang w:val="es-ES_tradnl"/>
              </w:rPr>
              <w:t>Los</w:t>
            </w:r>
            <w:proofErr w:type="gramEnd"/>
            <w:r w:rsidRPr="000D5690">
              <w:rPr>
                <w:rFonts w:cs="Arial"/>
                <w:i/>
                <w:lang w:val="es-ES_tradnl"/>
              </w:rPr>
              <w:t xml:space="preserve"> caracteres 4 y 5 no deben combinarse.</w:t>
            </w:r>
          </w:p>
        </w:tc>
      </w:tr>
      <w:tr w:rsidR="005253AC" w:rsidRPr="00E30CEB" w:rsidTr="00E658B6">
        <w:trPr>
          <w:cantSplit/>
        </w:trPr>
        <w:tc>
          <w:tcPr>
            <w:tcW w:w="1582" w:type="dxa"/>
          </w:tcPr>
          <w:p w:rsidR="005253AC" w:rsidRPr="000D5690" w:rsidRDefault="002A73F4" w:rsidP="000D5690">
            <w:pPr>
              <w:jc w:val="left"/>
              <w:rPr>
                <w:rFonts w:cs="Arial"/>
              </w:rPr>
            </w:pPr>
            <w:r w:rsidRPr="000D5690">
              <w:rPr>
                <w:rFonts w:cs="Arial"/>
                <w:lang w:val="es-ES_tradnl"/>
              </w:rPr>
              <w:t>Caracteres</w:t>
            </w:r>
            <w:r w:rsidR="005253AC" w:rsidRPr="000D5690">
              <w:rPr>
                <w:rFonts w:cs="Arial"/>
              </w:rPr>
              <w:t xml:space="preserve"> </w:t>
            </w:r>
            <w:r w:rsidRPr="000D5690">
              <w:rPr>
                <w:rFonts w:cs="Arial"/>
                <w:lang w:val="es-ES_tradnl"/>
              </w:rPr>
              <w:t>9 a 12</w:t>
            </w:r>
          </w:p>
        </w:tc>
        <w:tc>
          <w:tcPr>
            <w:tcW w:w="7916" w:type="dxa"/>
          </w:tcPr>
          <w:p w:rsidR="005253AC" w:rsidRPr="00D6704A" w:rsidRDefault="003A2829" w:rsidP="00E658B6">
            <w:pPr>
              <w:rPr>
                <w:rFonts w:cs="Arial"/>
                <w:lang w:val="es-ES"/>
              </w:rPr>
            </w:pPr>
            <w:r w:rsidRPr="000D5690">
              <w:rPr>
                <w:rFonts w:cs="Arial"/>
                <w:lang w:val="es-ES_tradnl"/>
              </w:rPr>
              <w:t>Compruébese si realmente hay pecíolo (¿o se trata de la base de la hoja o una parte estrecha de la hoja?)</w:t>
            </w:r>
            <w:r w:rsidR="005253AC" w:rsidRPr="00D6704A">
              <w:rPr>
                <w:rFonts w:cs="Arial"/>
                <w:lang w:val="es-ES"/>
              </w:rPr>
              <w:t xml:space="preserve"> </w:t>
            </w:r>
          </w:p>
          <w:p w:rsidR="005253AC" w:rsidRPr="00D6704A" w:rsidRDefault="003A2829" w:rsidP="000D5690">
            <w:pPr>
              <w:rPr>
                <w:rFonts w:cs="Arial"/>
                <w:i/>
                <w:lang w:val="es-ES"/>
              </w:rPr>
            </w:pPr>
            <w:r w:rsidRPr="000D5690">
              <w:rPr>
                <w:rFonts w:cs="Arial"/>
                <w:i/>
                <w:lang w:val="es-ES_tradnl"/>
              </w:rPr>
              <w:t>Experto principal</w:t>
            </w:r>
            <w:proofErr w:type="gramStart"/>
            <w:r w:rsidRPr="000D5690">
              <w:rPr>
                <w:rFonts w:cs="Arial"/>
                <w:i/>
                <w:lang w:val="es-ES_tradnl"/>
              </w:rPr>
              <w:t>:</w:t>
            </w:r>
            <w:r w:rsidR="005253AC" w:rsidRPr="00D6704A">
              <w:rPr>
                <w:rFonts w:cs="Arial"/>
                <w:i/>
                <w:lang w:val="es-ES"/>
              </w:rPr>
              <w:t xml:space="preserve">  </w:t>
            </w:r>
            <w:r w:rsidRPr="000D5690">
              <w:rPr>
                <w:rFonts w:cs="Arial"/>
                <w:i/>
                <w:lang w:val="es-ES_tradnl"/>
              </w:rPr>
              <w:t>Sí</w:t>
            </w:r>
            <w:proofErr w:type="gramEnd"/>
            <w:r w:rsidRPr="000D5690">
              <w:rPr>
                <w:rFonts w:cs="Arial"/>
                <w:i/>
                <w:lang w:val="es-ES_tradnl"/>
              </w:rPr>
              <w:t>, hay peciolo.</w:t>
            </w:r>
          </w:p>
        </w:tc>
      </w:tr>
      <w:tr w:rsidR="005253AC" w:rsidRPr="00E30CEB" w:rsidTr="00E658B6">
        <w:trPr>
          <w:cantSplit/>
        </w:trPr>
        <w:tc>
          <w:tcPr>
            <w:tcW w:w="1582" w:type="dxa"/>
          </w:tcPr>
          <w:p w:rsidR="005253AC" w:rsidRPr="000D5690" w:rsidRDefault="003A2829" w:rsidP="000D5690">
            <w:pPr>
              <w:jc w:val="left"/>
              <w:rPr>
                <w:rFonts w:cs="Arial"/>
              </w:rPr>
            </w:pPr>
            <w:r w:rsidRPr="000D5690">
              <w:rPr>
                <w:rFonts w:cs="Arial"/>
                <w:lang w:val="es-ES_tradnl"/>
              </w:rPr>
              <w:t>Car.</w:t>
            </w:r>
            <w:r w:rsidR="005253AC" w:rsidRPr="000D5690">
              <w:rPr>
                <w:rFonts w:cs="Arial"/>
              </w:rPr>
              <w:t xml:space="preserve"> 10</w:t>
            </w:r>
          </w:p>
        </w:tc>
        <w:tc>
          <w:tcPr>
            <w:tcW w:w="7916" w:type="dxa"/>
          </w:tcPr>
          <w:p w:rsidR="005253AC" w:rsidRPr="00D6704A" w:rsidRDefault="003A2829" w:rsidP="00E658B6">
            <w:pPr>
              <w:rPr>
                <w:rFonts w:cs="Arial"/>
                <w:lang w:val="es-ES"/>
              </w:rPr>
            </w:pPr>
            <w:r w:rsidRPr="000D5690">
              <w:rPr>
                <w:rFonts w:cs="Arial"/>
                <w:lang w:val="es-ES_tradnl"/>
              </w:rPr>
              <w:t>Compruébese si el carácter se mide (en caso contrario, elimínese “MS”).</w:t>
            </w:r>
          </w:p>
          <w:p w:rsidR="005253AC" w:rsidRPr="00D6704A" w:rsidRDefault="003A2829" w:rsidP="000D5690">
            <w:pPr>
              <w:rPr>
                <w:rFonts w:cs="Arial"/>
                <w:i/>
                <w:lang w:val="es-ES"/>
              </w:rPr>
            </w:pPr>
            <w:r w:rsidRPr="000D5690">
              <w:rPr>
                <w:rFonts w:cs="Arial"/>
                <w:i/>
                <w:lang w:val="es-ES_tradnl"/>
              </w:rPr>
              <w:t>Experto principal</w:t>
            </w:r>
            <w:proofErr w:type="gramStart"/>
            <w:r w:rsidRPr="000D5690">
              <w:rPr>
                <w:rFonts w:cs="Arial"/>
                <w:i/>
                <w:lang w:val="es-ES_tradnl"/>
              </w:rPr>
              <w:t>:</w:t>
            </w:r>
            <w:r w:rsidR="005253AC" w:rsidRPr="00D6704A">
              <w:rPr>
                <w:rFonts w:cs="Arial"/>
                <w:i/>
                <w:lang w:val="es-ES"/>
              </w:rPr>
              <w:t xml:space="preserve">  </w:t>
            </w:r>
            <w:r w:rsidRPr="000D5690">
              <w:rPr>
                <w:rFonts w:cs="Arial"/>
                <w:i/>
                <w:lang w:val="es-ES_tradnl"/>
              </w:rPr>
              <w:t>Debe</w:t>
            </w:r>
            <w:proofErr w:type="gramEnd"/>
            <w:r w:rsidRPr="000D5690">
              <w:rPr>
                <w:rFonts w:cs="Arial"/>
                <w:i/>
                <w:lang w:val="es-ES_tradnl"/>
              </w:rPr>
              <w:t xml:space="preserve"> mantenerse la indicación “MS”, ya que puede medirse.</w:t>
            </w:r>
          </w:p>
        </w:tc>
      </w:tr>
      <w:tr w:rsidR="005253AC" w:rsidRPr="00E30CEB" w:rsidTr="00E658B6">
        <w:trPr>
          <w:cantSplit/>
        </w:trPr>
        <w:tc>
          <w:tcPr>
            <w:tcW w:w="1582" w:type="dxa"/>
          </w:tcPr>
          <w:p w:rsidR="005253AC" w:rsidRPr="000D5690" w:rsidRDefault="003A2829" w:rsidP="000D5690">
            <w:pPr>
              <w:jc w:val="left"/>
              <w:rPr>
                <w:rFonts w:cs="Arial"/>
              </w:rPr>
            </w:pPr>
            <w:r w:rsidRPr="000D5690">
              <w:rPr>
                <w:rFonts w:cs="Arial"/>
                <w:lang w:val="es-ES_tradnl"/>
              </w:rPr>
              <w:t>Car.</w:t>
            </w:r>
            <w:r w:rsidR="005253AC" w:rsidRPr="000D5690">
              <w:rPr>
                <w:rFonts w:cs="Arial"/>
              </w:rPr>
              <w:t xml:space="preserve"> 11</w:t>
            </w:r>
          </w:p>
        </w:tc>
        <w:tc>
          <w:tcPr>
            <w:tcW w:w="7916" w:type="dxa"/>
          </w:tcPr>
          <w:p w:rsidR="005253AC" w:rsidRPr="00D6704A" w:rsidRDefault="003A2829" w:rsidP="000D5690">
            <w:pPr>
              <w:rPr>
                <w:rFonts w:cs="Arial"/>
                <w:lang w:val="es-ES"/>
              </w:rPr>
            </w:pPr>
            <w:r w:rsidRPr="000D5690">
              <w:rPr>
                <w:rFonts w:cs="Arial"/>
                <w:lang w:val="es-ES_tradnl"/>
              </w:rPr>
              <w:t>Debe rezar: “…en la parte más estrecha”.</w:t>
            </w:r>
          </w:p>
        </w:tc>
      </w:tr>
      <w:tr w:rsidR="005253AC" w:rsidRPr="000D5690" w:rsidTr="00E658B6">
        <w:trPr>
          <w:cantSplit/>
        </w:trPr>
        <w:tc>
          <w:tcPr>
            <w:tcW w:w="1582" w:type="dxa"/>
          </w:tcPr>
          <w:p w:rsidR="005253AC" w:rsidRPr="000D5690" w:rsidRDefault="003A2829" w:rsidP="000D5690">
            <w:pPr>
              <w:jc w:val="left"/>
              <w:rPr>
                <w:rFonts w:cs="Arial"/>
              </w:rPr>
            </w:pPr>
            <w:r w:rsidRPr="000D5690">
              <w:rPr>
                <w:rFonts w:cs="Arial"/>
                <w:lang w:val="es-ES_tradnl"/>
              </w:rPr>
              <w:t>Caracteres</w:t>
            </w:r>
            <w:r w:rsidR="005253AC" w:rsidRPr="000D5690">
              <w:rPr>
                <w:rFonts w:cs="Arial"/>
              </w:rPr>
              <w:t xml:space="preserve"> 13, 14</w:t>
            </w:r>
          </w:p>
        </w:tc>
        <w:tc>
          <w:tcPr>
            <w:tcW w:w="7916" w:type="dxa"/>
          </w:tcPr>
          <w:p w:rsidR="005253AC" w:rsidRPr="000D5690" w:rsidRDefault="003A2829" w:rsidP="000D5690">
            <w:pPr>
              <w:rPr>
                <w:rFonts w:cs="Arial"/>
              </w:rPr>
            </w:pPr>
            <w:r w:rsidRPr="000D5690">
              <w:rPr>
                <w:rFonts w:cs="Arial"/>
                <w:lang w:val="es-ES_tradnl"/>
              </w:rPr>
              <w:t>Añádase “(d)”.</w:t>
            </w:r>
          </w:p>
        </w:tc>
      </w:tr>
      <w:tr w:rsidR="005253AC" w:rsidRPr="00E30CEB" w:rsidTr="00E658B6">
        <w:trPr>
          <w:cantSplit/>
        </w:trPr>
        <w:tc>
          <w:tcPr>
            <w:tcW w:w="1582" w:type="dxa"/>
          </w:tcPr>
          <w:p w:rsidR="005253AC" w:rsidRPr="000D5690" w:rsidRDefault="003A2829" w:rsidP="000D5690">
            <w:pPr>
              <w:rPr>
                <w:rFonts w:cs="Arial"/>
                <w:szCs w:val="22"/>
              </w:rPr>
            </w:pPr>
            <w:r w:rsidRPr="000D5690">
              <w:rPr>
                <w:rFonts w:cs="Arial"/>
                <w:szCs w:val="22"/>
                <w:lang w:val="es-ES_tradnl"/>
              </w:rPr>
              <w:t>Car.</w:t>
            </w:r>
            <w:r w:rsidR="005253AC" w:rsidRPr="000D5690">
              <w:rPr>
                <w:rFonts w:cs="Arial"/>
                <w:szCs w:val="22"/>
              </w:rPr>
              <w:t xml:space="preserve"> 17</w:t>
            </w:r>
          </w:p>
        </w:tc>
        <w:tc>
          <w:tcPr>
            <w:tcW w:w="7916" w:type="dxa"/>
          </w:tcPr>
          <w:p w:rsidR="005253AC" w:rsidRPr="00D6704A" w:rsidRDefault="00683B57" w:rsidP="00E658B6">
            <w:pPr>
              <w:ind w:left="786" w:hanging="786"/>
              <w:rPr>
                <w:rFonts w:cs="Arial"/>
                <w:szCs w:val="22"/>
                <w:lang w:val="es-ES"/>
              </w:rPr>
            </w:pPr>
            <w:r w:rsidRPr="00D6704A">
              <w:rPr>
                <w:rFonts w:cs="Arial"/>
                <w:szCs w:val="22"/>
                <w:lang w:val="es-ES"/>
              </w:rPr>
              <w:t xml:space="preserve">- </w:t>
            </w:r>
            <w:r w:rsidR="003A2829" w:rsidRPr="000D5690">
              <w:rPr>
                <w:rFonts w:cs="Arial"/>
                <w:szCs w:val="22"/>
                <w:lang w:val="es-ES_tradnl"/>
              </w:rPr>
              <w:t>Debe rezar: “Hoja:</w:t>
            </w:r>
            <w:r w:rsidR="005253AC" w:rsidRPr="00D6704A">
              <w:rPr>
                <w:rFonts w:cs="Arial"/>
                <w:szCs w:val="22"/>
                <w:lang w:val="es-ES"/>
              </w:rPr>
              <w:t xml:space="preserve"> </w:t>
            </w:r>
            <w:r w:rsidR="003A2829" w:rsidRPr="000D5690">
              <w:rPr>
                <w:rFonts w:cs="Arial"/>
                <w:szCs w:val="22"/>
                <w:lang w:val="es-ES_tradnl"/>
              </w:rPr>
              <w:t>nervadura”.</w:t>
            </w:r>
            <w:r w:rsidR="005253AC" w:rsidRPr="00D6704A">
              <w:rPr>
                <w:rFonts w:cs="Arial"/>
                <w:szCs w:val="22"/>
                <w:lang w:val="es-ES"/>
              </w:rPr>
              <w:t xml:space="preserve"> </w:t>
            </w:r>
          </w:p>
          <w:p w:rsidR="005253AC" w:rsidRPr="00D6704A" w:rsidRDefault="00683B57" w:rsidP="000D5690">
            <w:pPr>
              <w:rPr>
                <w:rFonts w:cs="Arial"/>
                <w:szCs w:val="22"/>
                <w:lang w:val="es-ES"/>
              </w:rPr>
            </w:pPr>
            <w:r w:rsidRPr="00D6704A">
              <w:rPr>
                <w:rFonts w:cs="Arial"/>
                <w:szCs w:val="22"/>
                <w:lang w:val="es-ES"/>
              </w:rPr>
              <w:t xml:space="preserve">- </w:t>
            </w:r>
            <w:r w:rsidR="00C03DD3" w:rsidRPr="000D5690">
              <w:rPr>
                <w:rFonts w:cs="Arial"/>
                <w:szCs w:val="22"/>
                <w:lang w:val="es-ES_tradnl"/>
              </w:rPr>
              <w:t xml:space="preserve">Como </w:t>
            </w:r>
            <w:r w:rsidR="003A2829" w:rsidRPr="000D5690">
              <w:rPr>
                <w:rFonts w:cs="Arial"/>
                <w:szCs w:val="22"/>
                <w:lang w:val="es-ES_tradnl"/>
              </w:rPr>
              <w:t xml:space="preserve">nivel 2 debe </w:t>
            </w:r>
            <w:r w:rsidR="00C03DD3" w:rsidRPr="000D5690">
              <w:rPr>
                <w:rFonts w:cs="Arial"/>
                <w:szCs w:val="22"/>
                <w:lang w:val="es-ES_tradnl"/>
              </w:rPr>
              <w:t>figur</w:t>
            </w:r>
            <w:r w:rsidR="003A2829" w:rsidRPr="000D5690">
              <w:rPr>
                <w:rFonts w:cs="Arial"/>
                <w:szCs w:val="22"/>
                <w:lang w:val="es-ES_tradnl"/>
              </w:rPr>
              <w:t>ar: “pinnada”.</w:t>
            </w:r>
          </w:p>
        </w:tc>
      </w:tr>
      <w:tr w:rsidR="005253AC" w:rsidRPr="000D5690" w:rsidTr="00E658B6">
        <w:trPr>
          <w:cantSplit/>
        </w:trPr>
        <w:tc>
          <w:tcPr>
            <w:tcW w:w="1582" w:type="dxa"/>
          </w:tcPr>
          <w:p w:rsidR="005253AC" w:rsidRPr="000D5690" w:rsidRDefault="003A2829" w:rsidP="000D5690">
            <w:pPr>
              <w:rPr>
                <w:rFonts w:cs="Arial"/>
                <w:szCs w:val="22"/>
              </w:rPr>
            </w:pPr>
            <w:r w:rsidRPr="000D5690">
              <w:rPr>
                <w:rFonts w:cs="Arial"/>
                <w:szCs w:val="22"/>
                <w:lang w:val="es-ES_tradnl"/>
              </w:rPr>
              <w:t>Car.</w:t>
            </w:r>
            <w:r w:rsidR="005253AC" w:rsidRPr="000D5690">
              <w:rPr>
                <w:rFonts w:cs="Arial"/>
                <w:szCs w:val="22"/>
              </w:rPr>
              <w:t xml:space="preserve"> 23</w:t>
            </w:r>
          </w:p>
        </w:tc>
        <w:tc>
          <w:tcPr>
            <w:tcW w:w="7916" w:type="dxa"/>
          </w:tcPr>
          <w:p w:rsidR="005253AC" w:rsidRPr="00D6704A" w:rsidRDefault="003A2829" w:rsidP="00E658B6">
            <w:pPr>
              <w:rPr>
                <w:rFonts w:cs="Arial"/>
                <w:szCs w:val="22"/>
                <w:lang w:val="es-ES"/>
              </w:rPr>
            </w:pPr>
            <w:r w:rsidRPr="000D5690">
              <w:rPr>
                <w:rFonts w:cs="Arial"/>
                <w:szCs w:val="22"/>
                <w:lang w:val="es-ES_tradnl"/>
              </w:rPr>
              <w:t>Compruébese si debe rezar: “Hoja:</w:t>
            </w:r>
            <w:r w:rsidR="005253AC" w:rsidRPr="00D6704A">
              <w:rPr>
                <w:rFonts w:cs="Arial"/>
                <w:szCs w:val="22"/>
                <w:lang w:val="es-ES"/>
              </w:rPr>
              <w:t xml:space="preserve"> </w:t>
            </w:r>
            <w:r w:rsidRPr="000D5690">
              <w:rPr>
                <w:rFonts w:cs="Arial"/>
                <w:szCs w:val="22"/>
                <w:lang w:val="es-ES_tradnl"/>
              </w:rPr>
              <w:t>color principal del envés”.</w:t>
            </w:r>
          </w:p>
          <w:p w:rsidR="005253AC" w:rsidRPr="000D5690" w:rsidRDefault="003A2829" w:rsidP="000D5690">
            <w:pPr>
              <w:rPr>
                <w:rFonts w:cs="Arial"/>
                <w:i/>
                <w:szCs w:val="22"/>
              </w:rPr>
            </w:pPr>
            <w:r w:rsidRPr="000D5690">
              <w:rPr>
                <w:rFonts w:cs="Arial"/>
                <w:i/>
                <w:szCs w:val="22"/>
                <w:lang w:val="es-ES_tradnl"/>
              </w:rPr>
              <w:t>Experto principal</w:t>
            </w:r>
            <w:proofErr w:type="gramStart"/>
            <w:r w:rsidRPr="000D5690">
              <w:rPr>
                <w:rFonts w:cs="Arial"/>
                <w:i/>
                <w:szCs w:val="22"/>
                <w:lang w:val="es-ES_tradnl"/>
              </w:rPr>
              <w:t>:</w:t>
            </w:r>
            <w:r w:rsidR="005253AC" w:rsidRPr="000D5690">
              <w:rPr>
                <w:rFonts w:cs="Arial"/>
                <w:i/>
                <w:szCs w:val="22"/>
              </w:rPr>
              <w:t xml:space="preserve">  </w:t>
            </w:r>
            <w:r w:rsidR="00230766" w:rsidRPr="000D5690">
              <w:rPr>
                <w:rFonts w:cs="Arial"/>
                <w:i/>
                <w:szCs w:val="22"/>
                <w:lang w:val="es-ES_tradnl"/>
              </w:rPr>
              <w:t>De</w:t>
            </w:r>
            <w:proofErr w:type="gramEnd"/>
            <w:r w:rsidR="00230766" w:rsidRPr="000D5690">
              <w:rPr>
                <w:rFonts w:cs="Arial"/>
                <w:i/>
                <w:szCs w:val="22"/>
                <w:lang w:val="es-ES_tradnl"/>
              </w:rPr>
              <w:t xml:space="preserve"> acuerdo.</w:t>
            </w:r>
          </w:p>
        </w:tc>
      </w:tr>
      <w:tr w:rsidR="005253AC" w:rsidRPr="00E30CEB" w:rsidTr="00E658B6">
        <w:trPr>
          <w:cantSplit/>
        </w:trPr>
        <w:tc>
          <w:tcPr>
            <w:tcW w:w="1582" w:type="dxa"/>
          </w:tcPr>
          <w:p w:rsidR="005253AC" w:rsidRPr="000D5690" w:rsidRDefault="005253AC" w:rsidP="00E658B6">
            <w:pPr>
              <w:rPr>
                <w:rFonts w:cs="Arial"/>
                <w:szCs w:val="22"/>
              </w:rPr>
            </w:pPr>
            <w:r w:rsidRPr="000D5690">
              <w:rPr>
                <w:rFonts w:cs="Arial"/>
                <w:szCs w:val="22"/>
              </w:rPr>
              <w:t xml:space="preserve">8.1 </w:t>
            </w:r>
            <w:r w:rsidR="0047214B" w:rsidRPr="000D5690">
              <w:rPr>
                <w:rFonts w:cs="Arial"/>
                <w:szCs w:val="22"/>
              </w:rPr>
              <w:t>c)</w:t>
            </w:r>
          </w:p>
        </w:tc>
        <w:tc>
          <w:tcPr>
            <w:tcW w:w="7916" w:type="dxa"/>
          </w:tcPr>
          <w:p w:rsidR="005253AC" w:rsidRPr="00D6704A" w:rsidRDefault="00230766" w:rsidP="00E658B6">
            <w:pPr>
              <w:rPr>
                <w:rFonts w:cs="Arial"/>
                <w:szCs w:val="22"/>
                <w:lang w:val="es-ES"/>
              </w:rPr>
            </w:pPr>
            <w:r w:rsidRPr="000D5690">
              <w:rPr>
                <w:rFonts w:cs="Arial"/>
                <w:szCs w:val="22"/>
                <w:lang w:val="es-ES_tradnl"/>
              </w:rPr>
              <w:t>Aclárese el significado de “</w:t>
            </w:r>
            <w:proofErr w:type="spellStart"/>
            <w:r w:rsidRPr="000D5690">
              <w:rPr>
                <w:rFonts w:cs="Arial"/>
                <w:szCs w:val="22"/>
                <w:lang w:val="es-ES_tradnl"/>
              </w:rPr>
              <w:t>inner</w:t>
            </w:r>
            <w:proofErr w:type="spellEnd"/>
            <w:r w:rsidRPr="000D5690">
              <w:rPr>
                <w:rFonts w:cs="Arial"/>
                <w:szCs w:val="22"/>
                <w:lang w:val="es-ES_tradnl"/>
              </w:rPr>
              <w:t xml:space="preserve">” </w:t>
            </w:r>
            <w:r w:rsidR="00C03DD3" w:rsidRPr="000D5690">
              <w:rPr>
                <w:rFonts w:cs="Arial"/>
                <w:szCs w:val="22"/>
                <w:lang w:val="es-ES_tradnl"/>
              </w:rPr>
              <w:t>en el texto inglés</w:t>
            </w:r>
            <w:r w:rsidRPr="000D5690">
              <w:rPr>
                <w:rFonts w:cs="Arial"/>
                <w:szCs w:val="22"/>
                <w:lang w:val="es-ES_tradnl"/>
              </w:rPr>
              <w:t>.</w:t>
            </w:r>
            <w:r w:rsidR="005253AC" w:rsidRPr="00D6704A">
              <w:rPr>
                <w:rFonts w:cs="Arial"/>
                <w:szCs w:val="22"/>
                <w:lang w:val="es-ES"/>
              </w:rPr>
              <w:t xml:space="preserve"> </w:t>
            </w:r>
            <w:r w:rsidRPr="000D5690">
              <w:rPr>
                <w:rFonts w:cs="Arial"/>
                <w:szCs w:val="22"/>
                <w:lang w:val="es-ES_tradnl"/>
              </w:rPr>
              <w:t xml:space="preserve">Compruébese si las observaciones deben realizarse en el lado superior </w:t>
            </w:r>
            <w:r w:rsidR="00C03DD3" w:rsidRPr="000D5690">
              <w:rPr>
                <w:rFonts w:cs="Arial"/>
                <w:szCs w:val="22"/>
                <w:lang w:val="es-ES_tradnl"/>
              </w:rPr>
              <w:t xml:space="preserve">(haz) </w:t>
            </w:r>
            <w:r w:rsidRPr="000D5690">
              <w:rPr>
                <w:rFonts w:cs="Arial"/>
                <w:szCs w:val="22"/>
                <w:lang w:val="es-ES_tradnl"/>
              </w:rPr>
              <w:t>de la hoja (¿o en la parte central de la planta?).</w:t>
            </w:r>
          </w:p>
          <w:p w:rsidR="005253AC" w:rsidRPr="00D6704A" w:rsidRDefault="00230766" w:rsidP="000D5690">
            <w:pPr>
              <w:rPr>
                <w:rFonts w:cs="Arial"/>
                <w:i/>
                <w:szCs w:val="22"/>
                <w:lang w:val="es-ES"/>
              </w:rPr>
            </w:pPr>
            <w:r w:rsidRPr="000D5690">
              <w:rPr>
                <w:rFonts w:cs="Arial"/>
                <w:i/>
                <w:szCs w:val="22"/>
                <w:lang w:val="es-ES_tradnl"/>
              </w:rPr>
              <w:t>Experto principal</w:t>
            </w:r>
            <w:proofErr w:type="gramStart"/>
            <w:r w:rsidRPr="000D5690">
              <w:rPr>
                <w:rFonts w:cs="Arial"/>
                <w:i/>
                <w:szCs w:val="22"/>
                <w:lang w:val="es-ES_tradnl"/>
              </w:rPr>
              <w:t>:</w:t>
            </w:r>
            <w:r w:rsidR="005253AC" w:rsidRPr="00D6704A">
              <w:rPr>
                <w:rFonts w:cs="Arial"/>
                <w:i/>
                <w:szCs w:val="22"/>
                <w:lang w:val="es-ES"/>
              </w:rPr>
              <w:t xml:space="preserve">  </w:t>
            </w:r>
            <w:r w:rsidRPr="000D5690">
              <w:rPr>
                <w:rFonts w:cs="Arial"/>
                <w:i/>
                <w:szCs w:val="22"/>
                <w:lang w:val="es-ES_tradnl"/>
              </w:rPr>
              <w:t>Se</w:t>
            </w:r>
            <w:proofErr w:type="gramEnd"/>
            <w:r w:rsidRPr="000D5690">
              <w:rPr>
                <w:rFonts w:cs="Arial"/>
                <w:i/>
                <w:szCs w:val="22"/>
                <w:lang w:val="es-ES_tradnl"/>
              </w:rPr>
              <w:t xml:space="preserve"> han utilizado</w:t>
            </w:r>
            <w:r w:rsidR="004A5222" w:rsidRPr="000D5690">
              <w:rPr>
                <w:rFonts w:cs="Arial"/>
                <w:i/>
                <w:szCs w:val="22"/>
                <w:lang w:val="es-ES_tradnl"/>
              </w:rPr>
              <w:t xml:space="preserve"> (en el texto inglés)</w:t>
            </w:r>
            <w:r w:rsidRPr="000D5690">
              <w:rPr>
                <w:rFonts w:cs="Arial"/>
                <w:i/>
                <w:szCs w:val="22"/>
                <w:lang w:val="es-ES_tradnl"/>
              </w:rPr>
              <w:t xml:space="preserve"> las expresiones “</w:t>
            </w:r>
            <w:proofErr w:type="spellStart"/>
            <w:r w:rsidRPr="000D5690">
              <w:rPr>
                <w:rFonts w:cs="Arial"/>
                <w:i/>
                <w:szCs w:val="22"/>
                <w:lang w:val="es-ES_tradnl"/>
              </w:rPr>
              <w:t>inner</w:t>
            </w:r>
            <w:proofErr w:type="spellEnd"/>
            <w:r w:rsidRPr="000D5690">
              <w:rPr>
                <w:rFonts w:cs="Arial"/>
                <w:i/>
                <w:szCs w:val="22"/>
                <w:lang w:val="es-ES_tradnl"/>
              </w:rPr>
              <w:t>” (interior) y “</w:t>
            </w:r>
            <w:proofErr w:type="spellStart"/>
            <w:r w:rsidRPr="000D5690">
              <w:rPr>
                <w:rFonts w:cs="Arial"/>
                <w:i/>
                <w:szCs w:val="22"/>
                <w:lang w:val="es-ES_tradnl"/>
              </w:rPr>
              <w:t>outer</w:t>
            </w:r>
            <w:proofErr w:type="spellEnd"/>
            <w:r w:rsidRPr="000D5690">
              <w:rPr>
                <w:rFonts w:cs="Arial"/>
                <w:i/>
                <w:szCs w:val="22"/>
                <w:lang w:val="es-ES_tradnl"/>
              </w:rPr>
              <w:t xml:space="preserve">” (exterior) porque la hoja puede estar erguida o </w:t>
            </w:r>
            <w:proofErr w:type="spellStart"/>
            <w:r w:rsidRPr="000D5690">
              <w:rPr>
                <w:rFonts w:cs="Arial"/>
                <w:i/>
                <w:szCs w:val="22"/>
                <w:lang w:val="es-ES_tradnl"/>
              </w:rPr>
              <w:t>semierguida</w:t>
            </w:r>
            <w:proofErr w:type="spellEnd"/>
            <w:r w:rsidRPr="000D5690">
              <w:rPr>
                <w:rFonts w:cs="Arial"/>
                <w:i/>
                <w:szCs w:val="22"/>
                <w:lang w:val="es-ES_tradnl"/>
              </w:rPr>
              <w:t>.</w:t>
            </w:r>
            <w:r w:rsidR="005253AC" w:rsidRPr="00D6704A">
              <w:rPr>
                <w:rFonts w:cs="Arial"/>
                <w:i/>
                <w:szCs w:val="22"/>
                <w:lang w:val="es-ES"/>
              </w:rPr>
              <w:t xml:space="preserve">  </w:t>
            </w:r>
            <w:r w:rsidR="004A5222" w:rsidRPr="000D5690">
              <w:rPr>
                <w:rFonts w:cs="Arial"/>
                <w:i/>
                <w:szCs w:val="22"/>
                <w:lang w:val="es-ES_tradnl"/>
              </w:rPr>
              <w:t>No hay objeción a utilizar (en el texto inglés) “</w:t>
            </w:r>
            <w:proofErr w:type="spellStart"/>
            <w:r w:rsidR="004A5222" w:rsidRPr="000D5690">
              <w:rPr>
                <w:rFonts w:cs="Arial"/>
                <w:i/>
                <w:szCs w:val="22"/>
                <w:lang w:val="es-ES_tradnl"/>
              </w:rPr>
              <w:t>upper</w:t>
            </w:r>
            <w:proofErr w:type="spellEnd"/>
            <w:r w:rsidR="004A5222" w:rsidRPr="000D5690">
              <w:rPr>
                <w:rFonts w:cs="Arial"/>
                <w:i/>
                <w:szCs w:val="22"/>
                <w:lang w:val="es-ES_tradnl"/>
              </w:rPr>
              <w:t>” (superior) y “</w:t>
            </w:r>
            <w:proofErr w:type="spellStart"/>
            <w:r w:rsidR="004A5222" w:rsidRPr="000D5690">
              <w:rPr>
                <w:rFonts w:cs="Arial"/>
                <w:i/>
                <w:szCs w:val="22"/>
                <w:lang w:val="es-ES_tradnl"/>
              </w:rPr>
              <w:t>lower</w:t>
            </w:r>
            <w:proofErr w:type="spellEnd"/>
            <w:r w:rsidR="004A5222" w:rsidRPr="000D5690">
              <w:rPr>
                <w:rFonts w:cs="Arial"/>
                <w:i/>
                <w:szCs w:val="22"/>
                <w:lang w:val="es-ES_tradnl"/>
              </w:rPr>
              <w:t>” (</w:t>
            </w:r>
            <w:r w:rsidR="00C03DD3" w:rsidRPr="000D5690">
              <w:rPr>
                <w:rFonts w:cs="Arial"/>
                <w:i/>
                <w:szCs w:val="22"/>
                <w:lang w:val="es-ES_tradnl"/>
              </w:rPr>
              <w:t>inferior) si resulta más claro.</w:t>
            </w:r>
          </w:p>
        </w:tc>
      </w:tr>
      <w:tr w:rsidR="005253AC" w:rsidRPr="00E30CEB" w:rsidTr="00E658B6">
        <w:trPr>
          <w:cantSplit/>
        </w:trPr>
        <w:tc>
          <w:tcPr>
            <w:tcW w:w="1582" w:type="dxa"/>
          </w:tcPr>
          <w:p w:rsidR="005253AC" w:rsidRPr="000D5690" w:rsidRDefault="004A5222" w:rsidP="000D5690">
            <w:pPr>
              <w:rPr>
                <w:rFonts w:cs="Arial"/>
              </w:rPr>
            </w:pPr>
            <w:r w:rsidRPr="000D5690">
              <w:rPr>
                <w:rFonts w:cs="Arial"/>
                <w:lang w:val="es-ES_tradnl"/>
              </w:rPr>
              <w:t>8.1 (e)</w:t>
            </w:r>
          </w:p>
        </w:tc>
        <w:tc>
          <w:tcPr>
            <w:tcW w:w="7916" w:type="dxa"/>
          </w:tcPr>
          <w:p w:rsidR="005253AC" w:rsidRPr="00D6704A" w:rsidRDefault="00683B57" w:rsidP="00E658B6">
            <w:pPr>
              <w:rPr>
                <w:rFonts w:cs="Arial"/>
                <w:snapToGrid w:val="0"/>
                <w:color w:val="000000"/>
                <w:lang w:val="es-ES"/>
              </w:rPr>
            </w:pPr>
            <w:r w:rsidRPr="00D6704A">
              <w:rPr>
                <w:rFonts w:cs="Arial"/>
                <w:snapToGrid w:val="0"/>
                <w:color w:val="000000"/>
                <w:lang w:val="es-ES"/>
              </w:rPr>
              <w:t xml:space="preserve">- </w:t>
            </w:r>
            <w:r w:rsidR="004A5222" w:rsidRPr="000D5690">
              <w:rPr>
                <w:rFonts w:cs="Arial"/>
                <w:snapToGrid w:val="0"/>
                <w:color w:val="000000"/>
                <w:lang w:val="es-ES_tradnl"/>
              </w:rPr>
              <w:t>La segunda frase debe rezar: “</w:t>
            </w:r>
            <w:r w:rsidR="004A5222" w:rsidRPr="000D5690">
              <w:rPr>
                <w:lang w:val="es-ES_tradnl"/>
              </w:rPr>
              <w:t>El color secundario es el que ocupa la segunda superficie más grande y el color terciario es el color que ocupa la tercera superficie más grande.</w:t>
            </w:r>
            <w:r w:rsidR="004A5222" w:rsidRPr="000D5690">
              <w:rPr>
                <w:rFonts w:cs="Arial"/>
                <w:snapToGrid w:val="0"/>
                <w:color w:val="000000"/>
                <w:lang w:val="es-ES_tradnl"/>
              </w:rPr>
              <w:t>”</w:t>
            </w:r>
          </w:p>
          <w:p w:rsidR="005253AC" w:rsidRPr="00D6704A" w:rsidRDefault="00683B57" w:rsidP="000D5690">
            <w:pPr>
              <w:rPr>
                <w:rFonts w:cs="Arial"/>
                <w:lang w:val="es-ES"/>
              </w:rPr>
            </w:pPr>
            <w:r w:rsidRPr="00D6704A">
              <w:rPr>
                <w:rFonts w:cs="Arial"/>
                <w:snapToGrid w:val="0"/>
                <w:color w:val="000000"/>
                <w:lang w:val="es-ES"/>
              </w:rPr>
              <w:t xml:space="preserve">- </w:t>
            </w:r>
            <w:r w:rsidR="004A5222" w:rsidRPr="000D5690">
              <w:rPr>
                <w:rFonts w:cs="Arial"/>
                <w:snapToGrid w:val="0"/>
                <w:color w:val="000000"/>
                <w:lang w:val="es-ES_tradnl"/>
              </w:rPr>
              <w:t>La última frase debe eliminarse.</w:t>
            </w:r>
            <w:r w:rsidR="005253AC" w:rsidRPr="00D6704A">
              <w:rPr>
                <w:rFonts w:cs="Arial"/>
                <w:snapToGrid w:val="0"/>
                <w:color w:val="000000"/>
                <w:lang w:val="es-ES"/>
              </w:rPr>
              <w:t xml:space="preserve"> </w:t>
            </w:r>
          </w:p>
        </w:tc>
      </w:tr>
      <w:tr w:rsidR="005253AC" w:rsidRPr="000D5690" w:rsidTr="00E658B6">
        <w:trPr>
          <w:cantSplit/>
        </w:trPr>
        <w:tc>
          <w:tcPr>
            <w:tcW w:w="1582" w:type="dxa"/>
          </w:tcPr>
          <w:p w:rsidR="005253AC" w:rsidRPr="000D5690" w:rsidRDefault="005253AC" w:rsidP="00E658B6">
            <w:pPr>
              <w:rPr>
                <w:rFonts w:cs="Arial"/>
              </w:rPr>
            </w:pPr>
            <w:r w:rsidRPr="000D5690">
              <w:rPr>
                <w:rFonts w:cs="Arial"/>
              </w:rPr>
              <w:t>Ad. 4, Ad. 5</w:t>
            </w:r>
          </w:p>
        </w:tc>
        <w:tc>
          <w:tcPr>
            <w:tcW w:w="7916" w:type="dxa"/>
          </w:tcPr>
          <w:p w:rsidR="005253AC" w:rsidRPr="000D5690" w:rsidRDefault="004A5222" w:rsidP="000D5690">
            <w:pPr>
              <w:rPr>
                <w:rFonts w:cs="Arial"/>
              </w:rPr>
            </w:pPr>
            <w:r w:rsidRPr="000D5690">
              <w:rPr>
                <w:rFonts w:cs="Arial"/>
                <w:lang w:val="es-ES_tradnl"/>
              </w:rPr>
              <w:t>Deben combinarse.</w:t>
            </w:r>
          </w:p>
        </w:tc>
      </w:tr>
      <w:tr w:rsidR="005253AC" w:rsidRPr="00E30CEB" w:rsidTr="00E658B6">
        <w:trPr>
          <w:cantSplit/>
        </w:trPr>
        <w:tc>
          <w:tcPr>
            <w:tcW w:w="1582" w:type="dxa"/>
          </w:tcPr>
          <w:p w:rsidR="005253AC" w:rsidRPr="000D5690" w:rsidRDefault="005253AC" w:rsidP="004A5222">
            <w:pPr>
              <w:rPr>
                <w:rFonts w:cs="Arial"/>
                <w:dstrike/>
                <w:szCs w:val="22"/>
              </w:rPr>
            </w:pPr>
            <w:r w:rsidRPr="000D5690">
              <w:rPr>
                <w:rFonts w:cs="Arial"/>
                <w:szCs w:val="22"/>
              </w:rPr>
              <w:t>Ad. 10, 11</w:t>
            </w:r>
          </w:p>
        </w:tc>
        <w:tc>
          <w:tcPr>
            <w:tcW w:w="7916" w:type="dxa"/>
          </w:tcPr>
          <w:p w:rsidR="005253AC" w:rsidRPr="00D6704A" w:rsidRDefault="00683B57" w:rsidP="00E658B6">
            <w:pPr>
              <w:rPr>
                <w:rFonts w:cs="Arial"/>
                <w:szCs w:val="22"/>
                <w:lang w:val="es-ES"/>
              </w:rPr>
            </w:pPr>
            <w:r w:rsidRPr="00D6704A">
              <w:rPr>
                <w:rFonts w:cs="Arial"/>
                <w:szCs w:val="22"/>
                <w:lang w:val="es-ES"/>
              </w:rPr>
              <w:t xml:space="preserve">- </w:t>
            </w:r>
            <w:r w:rsidR="00D57B47" w:rsidRPr="000D5690">
              <w:rPr>
                <w:rFonts w:cs="Arial"/>
                <w:szCs w:val="22"/>
                <w:lang w:val="es-ES_tradnl"/>
              </w:rPr>
              <w:t>La d</w:t>
            </w:r>
            <w:r w:rsidR="004A5222" w:rsidRPr="000D5690">
              <w:rPr>
                <w:rFonts w:cs="Arial"/>
                <w:szCs w:val="22"/>
                <w:lang w:val="es-ES_tradnl"/>
              </w:rPr>
              <w:t>efinición de</w:t>
            </w:r>
            <w:r w:rsidR="00D57B47" w:rsidRPr="000D5690">
              <w:rPr>
                <w:rFonts w:cs="Arial"/>
                <w:szCs w:val="22"/>
                <w:lang w:val="es-ES_tradnl"/>
              </w:rPr>
              <w:t>l</w:t>
            </w:r>
            <w:r w:rsidR="004A5222" w:rsidRPr="000D5690">
              <w:rPr>
                <w:rFonts w:cs="Arial"/>
                <w:szCs w:val="22"/>
                <w:lang w:val="es-ES_tradnl"/>
              </w:rPr>
              <w:t xml:space="preserve"> pecíolo no está clar</w:t>
            </w:r>
            <w:r w:rsidR="00D57B47" w:rsidRPr="000D5690">
              <w:rPr>
                <w:rFonts w:cs="Arial"/>
                <w:szCs w:val="22"/>
                <w:lang w:val="es-ES_tradnl"/>
              </w:rPr>
              <w:t>a</w:t>
            </w:r>
            <w:r w:rsidR="004A5222" w:rsidRPr="000D5690">
              <w:rPr>
                <w:rFonts w:cs="Arial"/>
                <w:szCs w:val="22"/>
                <w:lang w:val="es-ES_tradnl"/>
              </w:rPr>
              <w:t>.</w:t>
            </w:r>
            <w:r w:rsidR="005253AC" w:rsidRPr="00D6704A">
              <w:rPr>
                <w:rFonts w:cs="Arial"/>
                <w:szCs w:val="22"/>
                <w:lang w:val="es-ES"/>
              </w:rPr>
              <w:t xml:space="preserve"> </w:t>
            </w:r>
            <w:r w:rsidR="00D57B47" w:rsidRPr="000D5690">
              <w:rPr>
                <w:rFonts w:cs="Arial"/>
                <w:szCs w:val="22"/>
                <w:lang w:val="es-ES_tradnl"/>
              </w:rPr>
              <w:t>Se requiere una explicación escrita en la que se especifique dónde comienza y dónde finaliza el pecíolo.</w:t>
            </w:r>
          </w:p>
          <w:p w:rsidR="005253AC" w:rsidRPr="00D6704A" w:rsidRDefault="00D57B47" w:rsidP="00E658B6">
            <w:pPr>
              <w:rPr>
                <w:rFonts w:cs="Arial"/>
                <w:i/>
                <w:szCs w:val="22"/>
                <w:lang w:val="es-ES"/>
              </w:rPr>
            </w:pPr>
            <w:r w:rsidRPr="000D5690">
              <w:rPr>
                <w:rFonts w:cs="Arial"/>
                <w:i/>
                <w:szCs w:val="22"/>
                <w:lang w:val="es-ES_tradnl"/>
              </w:rPr>
              <w:t>El experto principal proporcionó la información solicitada.</w:t>
            </w:r>
          </w:p>
          <w:p w:rsidR="005253AC" w:rsidRPr="00D6704A" w:rsidRDefault="00683B57" w:rsidP="00E658B6">
            <w:pPr>
              <w:rPr>
                <w:rFonts w:cs="Arial"/>
                <w:szCs w:val="22"/>
                <w:lang w:val="es-ES"/>
              </w:rPr>
            </w:pPr>
            <w:r w:rsidRPr="00D6704A">
              <w:rPr>
                <w:rFonts w:cs="Arial"/>
                <w:szCs w:val="22"/>
                <w:lang w:val="es-ES"/>
              </w:rPr>
              <w:t xml:space="preserve">- </w:t>
            </w:r>
            <w:r w:rsidR="00D57B47" w:rsidRPr="000D5690">
              <w:rPr>
                <w:rFonts w:cs="Arial"/>
                <w:szCs w:val="22"/>
                <w:lang w:val="es-ES_tradnl"/>
              </w:rPr>
              <w:t>Compruébese la posición de l</w:t>
            </w:r>
            <w:r w:rsidR="00B93D82" w:rsidRPr="000D5690">
              <w:rPr>
                <w:rFonts w:cs="Arial"/>
                <w:szCs w:val="22"/>
                <w:lang w:val="es-ES_tradnl"/>
              </w:rPr>
              <w:t>a</w:t>
            </w:r>
            <w:r w:rsidR="00D57B47" w:rsidRPr="000D5690">
              <w:rPr>
                <w:rFonts w:cs="Arial"/>
                <w:szCs w:val="22"/>
                <w:lang w:val="es-ES_tradnl"/>
              </w:rPr>
              <w:t xml:space="preserve">s </w:t>
            </w:r>
            <w:r w:rsidR="00B93D82" w:rsidRPr="000D5690">
              <w:rPr>
                <w:rFonts w:cs="Arial"/>
                <w:szCs w:val="22"/>
                <w:lang w:val="es-ES_tradnl"/>
              </w:rPr>
              <w:t xml:space="preserve">líneas </w:t>
            </w:r>
            <w:r w:rsidR="00D57B47" w:rsidRPr="000D5690">
              <w:rPr>
                <w:rFonts w:cs="Arial"/>
                <w:szCs w:val="22"/>
                <w:lang w:val="es-ES_tradnl"/>
              </w:rPr>
              <w:t>y flechas</w:t>
            </w:r>
            <w:r w:rsidR="00B93D82" w:rsidRPr="000D5690">
              <w:rPr>
                <w:rFonts w:cs="Arial"/>
                <w:szCs w:val="22"/>
                <w:lang w:val="es-ES_tradnl"/>
              </w:rPr>
              <w:t xml:space="preserve"> indicadoras.</w:t>
            </w:r>
          </w:p>
          <w:p w:rsidR="005253AC" w:rsidRPr="00D6704A" w:rsidRDefault="00B93D82" w:rsidP="000D5690">
            <w:pPr>
              <w:rPr>
                <w:rFonts w:cs="Arial"/>
                <w:szCs w:val="22"/>
                <w:lang w:val="es-ES"/>
              </w:rPr>
            </w:pPr>
            <w:r w:rsidRPr="000D5690">
              <w:rPr>
                <w:rFonts w:cs="Arial"/>
                <w:i/>
                <w:szCs w:val="22"/>
                <w:lang w:val="es-ES_tradnl"/>
              </w:rPr>
              <w:t>Experto principal</w:t>
            </w:r>
            <w:proofErr w:type="gramStart"/>
            <w:r w:rsidRPr="000D5690">
              <w:rPr>
                <w:rFonts w:cs="Arial"/>
                <w:i/>
                <w:szCs w:val="22"/>
                <w:lang w:val="es-ES_tradnl"/>
              </w:rPr>
              <w:t>:</w:t>
            </w:r>
            <w:r w:rsidR="005253AC" w:rsidRPr="00D6704A">
              <w:rPr>
                <w:rFonts w:cs="Arial"/>
                <w:i/>
                <w:szCs w:val="22"/>
                <w:lang w:val="es-ES"/>
              </w:rPr>
              <w:t xml:space="preserve">  </w:t>
            </w:r>
            <w:r w:rsidRPr="000D5690">
              <w:rPr>
                <w:rFonts w:cs="Arial"/>
                <w:i/>
                <w:szCs w:val="22"/>
                <w:lang w:val="es-ES_tradnl"/>
              </w:rPr>
              <w:t>Las</w:t>
            </w:r>
            <w:proofErr w:type="gramEnd"/>
            <w:r w:rsidRPr="000D5690">
              <w:rPr>
                <w:rFonts w:cs="Arial"/>
                <w:i/>
                <w:szCs w:val="22"/>
                <w:lang w:val="es-ES_tradnl"/>
              </w:rPr>
              <w:t xml:space="preserve"> posiciones son correctas.</w:t>
            </w:r>
          </w:p>
        </w:tc>
      </w:tr>
      <w:tr w:rsidR="005253AC" w:rsidRPr="00E30CEB" w:rsidTr="00E658B6">
        <w:trPr>
          <w:cantSplit/>
        </w:trPr>
        <w:tc>
          <w:tcPr>
            <w:tcW w:w="1582" w:type="dxa"/>
          </w:tcPr>
          <w:p w:rsidR="005253AC" w:rsidRPr="000D5690" w:rsidRDefault="005253AC" w:rsidP="00E658B6">
            <w:pPr>
              <w:jc w:val="left"/>
              <w:rPr>
                <w:rFonts w:cs="Arial"/>
              </w:rPr>
            </w:pPr>
            <w:r w:rsidRPr="000D5690">
              <w:rPr>
                <w:rFonts w:cs="Arial"/>
              </w:rPr>
              <w:t>Ad. 12</w:t>
            </w:r>
          </w:p>
        </w:tc>
        <w:tc>
          <w:tcPr>
            <w:tcW w:w="7916" w:type="dxa"/>
          </w:tcPr>
          <w:p w:rsidR="005253AC" w:rsidRPr="00D6704A" w:rsidRDefault="00B93D82" w:rsidP="00E658B6">
            <w:pPr>
              <w:rPr>
                <w:lang w:val="es-ES"/>
              </w:rPr>
            </w:pPr>
            <w:r w:rsidRPr="000D5690">
              <w:rPr>
                <w:lang w:val="es-ES_tradnl"/>
              </w:rPr>
              <w:t>Añádase una explicación sobre la parte del pecíolo que debe evaluarse.</w:t>
            </w:r>
          </w:p>
          <w:p w:rsidR="005253AC" w:rsidRPr="00D6704A" w:rsidRDefault="00B93D82" w:rsidP="000D5690">
            <w:pPr>
              <w:rPr>
                <w:rFonts w:cs="Arial"/>
                <w:lang w:val="es-ES"/>
              </w:rPr>
            </w:pPr>
            <w:r w:rsidRPr="000D5690">
              <w:rPr>
                <w:rFonts w:cs="Arial"/>
                <w:i/>
                <w:szCs w:val="22"/>
                <w:lang w:val="es-ES_tradnl"/>
              </w:rPr>
              <w:t>El experto principal proporcionó la información solicitada.</w:t>
            </w:r>
          </w:p>
        </w:tc>
      </w:tr>
      <w:tr w:rsidR="005253AC" w:rsidRPr="00E30CEB" w:rsidTr="00E658B6">
        <w:trPr>
          <w:cantSplit/>
        </w:trPr>
        <w:tc>
          <w:tcPr>
            <w:tcW w:w="1582" w:type="dxa"/>
          </w:tcPr>
          <w:p w:rsidR="005253AC" w:rsidRPr="000D5690" w:rsidRDefault="005253AC" w:rsidP="00E658B6">
            <w:pPr>
              <w:jc w:val="left"/>
              <w:rPr>
                <w:rFonts w:cs="Arial"/>
              </w:rPr>
            </w:pPr>
            <w:r w:rsidRPr="000D5690">
              <w:rPr>
                <w:rFonts w:cs="Arial"/>
              </w:rPr>
              <w:t>Ad. 15</w:t>
            </w:r>
          </w:p>
        </w:tc>
        <w:tc>
          <w:tcPr>
            <w:tcW w:w="7916" w:type="dxa"/>
          </w:tcPr>
          <w:p w:rsidR="005253AC" w:rsidRPr="00D6704A" w:rsidRDefault="00B93D82" w:rsidP="00E658B6">
            <w:pPr>
              <w:rPr>
                <w:rFonts w:cs="Arial"/>
                <w:lang w:val="es-ES"/>
              </w:rPr>
            </w:pPr>
            <w:r w:rsidRPr="000D5690">
              <w:rPr>
                <w:rFonts w:cs="Arial"/>
                <w:lang w:val="es-ES_tradnl"/>
              </w:rPr>
              <w:t>Verifíquese, en función de si hay o no pecíolo (véanse las observaciones relativas a los caracteres 9 a 12).</w:t>
            </w:r>
          </w:p>
          <w:p w:rsidR="005253AC" w:rsidRPr="00D6704A" w:rsidRDefault="00B93D82" w:rsidP="000D5690">
            <w:pPr>
              <w:rPr>
                <w:rFonts w:cs="Arial"/>
                <w:lang w:val="es-ES"/>
              </w:rPr>
            </w:pPr>
            <w:r w:rsidRPr="000D5690">
              <w:rPr>
                <w:rFonts w:cs="Arial"/>
                <w:i/>
                <w:lang w:val="es-ES_tradnl"/>
              </w:rPr>
              <w:t>Experto principal</w:t>
            </w:r>
            <w:proofErr w:type="gramStart"/>
            <w:r w:rsidRPr="000D5690">
              <w:rPr>
                <w:rFonts w:cs="Arial"/>
                <w:i/>
                <w:lang w:val="es-ES_tradnl"/>
              </w:rPr>
              <w:t>:</w:t>
            </w:r>
            <w:r w:rsidR="005253AC" w:rsidRPr="00D6704A">
              <w:rPr>
                <w:rFonts w:cs="Arial"/>
                <w:i/>
                <w:lang w:val="es-ES"/>
              </w:rPr>
              <w:t xml:space="preserve">  </w:t>
            </w:r>
            <w:r w:rsidRPr="000D5690">
              <w:rPr>
                <w:rFonts w:cs="Arial"/>
                <w:i/>
                <w:lang w:val="es-ES_tradnl"/>
              </w:rPr>
              <w:t>Sí</w:t>
            </w:r>
            <w:proofErr w:type="gramEnd"/>
            <w:r w:rsidRPr="000D5690">
              <w:rPr>
                <w:rFonts w:cs="Arial"/>
                <w:i/>
                <w:lang w:val="es-ES_tradnl"/>
              </w:rPr>
              <w:t>, hay peciolo.</w:t>
            </w:r>
          </w:p>
        </w:tc>
      </w:tr>
      <w:tr w:rsidR="005253AC" w:rsidRPr="00E30CEB" w:rsidTr="00E658B6">
        <w:trPr>
          <w:cantSplit/>
        </w:trPr>
        <w:tc>
          <w:tcPr>
            <w:tcW w:w="1582" w:type="dxa"/>
          </w:tcPr>
          <w:p w:rsidR="005253AC" w:rsidRPr="000D5690" w:rsidRDefault="005253AC" w:rsidP="00E658B6">
            <w:pPr>
              <w:jc w:val="left"/>
              <w:rPr>
                <w:rFonts w:cs="Arial"/>
                <w:dstrike/>
              </w:rPr>
            </w:pPr>
            <w:r w:rsidRPr="000D5690">
              <w:rPr>
                <w:rFonts w:cs="Arial"/>
              </w:rPr>
              <w:t>9.</w:t>
            </w:r>
          </w:p>
        </w:tc>
        <w:tc>
          <w:tcPr>
            <w:tcW w:w="7916" w:type="dxa"/>
          </w:tcPr>
          <w:p w:rsidR="005253AC" w:rsidRPr="000D5690" w:rsidRDefault="00683B57" w:rsidP="00E658B6">
            <w:r w:rsidRPr="00D6704A">
              <w:rPr>
                <w:rFonts w:cs="Arial"/>
                <w:lang w:val="es-ES"/>
              </w:rPr>
              <w:t xml:space="preserve">- </w:t>
            </w:r>
            <w:r w:rsidR="00B93D82" w:rsidRPr="000D5690">
              <w:rPr>
                <w:rFonts w:cs="Arial"/>
                <w:lang w:val="es-ES_tradnl"/>
              </w:rPr>
              <w:t>La primera referencia debe rezar:</w:t>
            </w:r>
            <w:r w:rsidR="005253AC" w:rsidRPr="00D6704A">
              <w:rPr>
                <w:lang w:val="es-ES"/>
              </w:rPr>
              <w:t xml:space="preserve"> </w:t>
            </w:r>
            <w:r w:rsidR="00B93D82" w:rsidRPr="000D5690">
              <w:rPr>
                <w:rFonts w:cs="Arial"/>
                <w:lang w:val="es-ES_tradnl"/>
              </w:rPr>
              <w:t>“</w:t>
            </w:r>
            <w:proofErr w:type="gramStart"/>
            <w:r w:rsidR="00B93D82" w:rsidRPr="000D5690">
              <w:rPr>
                <w:rFonts w:cs="Arial"/>
                <w:lang w:val="es-ES_tradnl"/>
              </w:rPr>
              <w:t>…</w:t>
            </w:r>
            <w:r w:rsidR="00B93D82" w:rsidRPr="000D5690">
              <w:rPr>
                <w:lang w:val="es-ES_tradnl"/>
              </w:rPr>
              <w:t>(</w:t>
            </w:r>
            <w:proofErr w:type="spellStart"/>
            <w:proofErr w:type="gramEnd"/>
            <w:r w:rsidR="00B93D82" w:rsidRPr="000D5690">
              <w:rPr>
                <w:i/>
                <w:lang w:val="es-ES_tradnl"/>
              </w:rPr>
              <w:t>Cordyline</w:t>
            </w:r>
            <w:proofErr w:type="spellEnd"/>
            <w:r w:rsidR="00B93D82" w:rsidRPr="000D5690">
              <w:rPr>
                <w:i/>
                <w:lang w:val="es-ES_tradnl"/>
              </w:rPr>
              <w:t xml:space="preserve"> </w:t>
            </w:r>
            <w:proofErr w:type="spellStart"/>
            <w:r w:rsidR="00B93D82" w:rsidRPr="000D5690">
              <w:rPr>
                <w:lang w:val="es-ES_tradnl"/>
              </w:rPr>
              <w:t>spp</w:t>
            </w:r>
            <w:proofErr w:type="spellEnd"/>
            <w:r w:rsidR="00B93D82" w:rsidRPr="000D5690">
              <w:rPr>
                <w:lang w:val="es-ES_tradnl"/>
              </w:rPr>
              <w:t xml:space="preserve">.). </w:t>
            </w:r>
            <w:r w:rsidR="005253AC" w:rsidRPr="000D5690">
              <w:t>In: Oates MR (ed.). New Zealand plants and their story.  Proceedings of a Conference held in Wellington 1-3 October 1999. Lincoln, Royal New Zealand Institute of Horticulture, NZ. 87-91 pp.”</w:t>
            </w:r>
          </w:p>
          <w:p w:rsidR="005253AC" w:rsidRPr="00D6704A" w:rsidRDefault="00683B57" w:rsidP="00E658B6">
            <w:pPr>
              <w:rPr>
                <w:lang w:val="es-ES"/>
              </w:rPr>
            </w:pPr>
            <w:r w:rsidRPr="00D6704A">
              <w:rPr>
                <w:lang w:val="es-ES"/>
              </w:rPr>
              <w:t xml:space="preserve">- </w:t>
            </w:r>
            <w:r w:rsidR="00B93D82" w:rsidRPr="000D5690">
              <w:rPr>
                <w:lang w:val="es-ES_tradnl"/>
              </w:rPr>
              <w:t>La segunda referencia debe rezar:</w:t>
            </w:r>
            <w:r w:rsidR="005253AC" w:rsidRPr="00D6704A">
              <w:rPr>
                <w:lang w:val="es-ES"/>
              </w:rPr>
              <w:t xml:space="preserve"> “…Auckland, NZ.”</w:t>
            </w:r>
          </w:p>
          <w:p w:rsidR="005253AC" w:rsidRPr="00D6704A" w:rsidRDefault="00683B57" w:rsidP="00E658B6">
            <w:pPr>
              <w:rPr>
                <w:lang w:val="es-ES"/>
              </w:rPr>
            </w:pPr>
            <w:r w:rsidRPr="000D5690">
              <w:t xml:space="preserve">- </w:t>
            </w:r>
            <w:r w:rsidR="00B93D82" w:rsidRPr="00D6704A">
              <w:t xml:space="preserve">La </w:t>
            </w:r>
            <w:proofErr w:type="spellStart"/>
            <w:r w:rsidR="00B93D82" w:rsidRPr="00D6704A">
              <w:t>tercera</w:t>
            </w:r>
            <w:proofErr w:type="spellEnd"/>
            <w:r w:rsidR="00B93D82" w:rsidRPr="00D6704A">
              <w:t xml:space="preserve"> </w:t>
            </w:r>
            <w:proofErr w:type="spellStart"/>
            <w:r w:rsidR="00B93D82" w:rsidRPr="00D6704A">
              <w:t>referencia</w:t>
            </w:r>
            <w:proofErr w:type="spellEnd"/>
            <w:r w:rsidR="00B93D82" w:rsidRPr="00D6704A">
              <w:t xml:space="preserve"> </w:t>
            </w:r>
            <w:proofErr w:type="spellStart"/>
            <w:r w:rsidR="00B93D82" w:rsidRPr="00D6704A">
              <w:t>debe</w:t>
            </w:r>
            <w:proofErr w:type="spellEnd"/>
            <w:r w:rsidR="00B93D82" w:rsidRPr="00D6704A">
              <w:t xml:space="preserve"> </w:t>
            </w:r>
            <w:proofErr w:type="spellStart"/>
            <w:r w:rsidR="00B93D82" w:rsidRPr="00D6704A">
              <w:t>rezar</w:t>
            </w:r>
            <w:proofErr w:type="spellEnd"/>
            <w:r w:rsidR="00B93D82" w:rsidRPr="00D6704A">
              <w:t>:</w:t>
            </w:r>
            <w:r w:rsidR="005253AC" w:rsidRPr="000D5690">
              <w:t xml:space="preserve"> “Poole, A. L. and Adams, N. M., 1986: Trees and Shrubs of New Zealand; Government Printing Office Publishing. </w:t>
            </w:r>
            <w:r w:rsidR="005253AC" w:rsidRPr="00D6704A">
              <w:rPr>
                <w:lang w:val="es-ES"/>
              </w:rPr>
              <w:t>Wellington, NZ. 38-42 pp.”</w:t>
            </w:r>
          </w:p>
          <w:p w:rsidR="005253AC" w:rsidRPr="00D6704A" w:rsidRDefault="00683B57" w:rsidP="000D5690">
            <w:pPr>
              <w:rPr>
                <w:rFonts w:cs="Arial"/>
                <w:lang w:val="es-ES"/>
              </w:rPr>
            </w:pPr>
            <w:r w:rsidRPr="00D6704A">
              <w:rPr>
                <w:lang w:val="es-ES"/>
              </w:rPr>
              <w:t xml:space="preserve">- </w:t>
            </w:r>
            <w:r w:rsidR="00B93D82" w:rsidRPr="000D5690">
              <w:rPr>
                <w:lang w:val="es-ES_tradnl"/>
              </w:rPr>
              <w:t>La última referencia debe rezar:</w:t>
            </w:r>
            <w:r w:rsidR="005253AC" w:rsidRPr="00D6704A">
              <w:rPr>
                <w:lang w:val="es-ES"/>
              </w:rPr>
              <w:t xml:space="preserve"> “…</w:t>
            </w:r>
            <w:proofErr w:type="spellStart"/>
            <w:r w:rsidR="005253AC" w:rsidRPr="00D6704A">
              <w:rPr>
                <w:lang w:val="es-ES"/>
              </w:rPr>
              <w:t>Press</w:t>
            </w:r>
            <w:proofErr w:type="spellEnd"/>
            <w:r w:rsidR="005253AC" w:rsidRPr="00D6704A">
              <w:rPr>
                <w:lang w:val="es-ES"/>
              </w:rPr>
              <w:t xml:space="preserve">. </w:t>
            </w:r>
            <w:proofErr w:type="spellStart"/>
            <w:r w:rsidR="005253AC" w:rsidRPr="00D6704A">
              <w:rPr>
                <w:lang w:val="es-ES"/>
              </w:rPr>
              <w:t>Christchurch</w:t>
            </w:r>
            <w:proofErr w:type="spellEnd"/>
            <w:r w:rsidR="005253AC" w:rsidRPr="00D6704A">
              <w:rPr>
                <w:lang w:val="es-ES"/>
              </w:rPr>
              <w:t>, NZ.”</w:t>
            </w:r>
          </w:p>
        </w:tc>
      </w:tr>
      <w:tr w:rsidR="005253AC" w:rsidRPr="000D5690" w:rsidTr="00E658B6">
        <w:trPr>
          <w:cantSplit/>
        </w:trPr>
        <w:tc>
          <w:tcPr>
            <w:tcW w:w="1582" w:type="dxa"/>
          </w:tcPr>
          <w:p w:rsidR="005253AC" w:rsidRPr="000D5690" w:rsidRDefault="005253AC" w:rsidP="00E658B6">
            <w:pPr>
              <w:jc w:val="left"/>
              <w:rPr>
                <w:rFonts w:cs="Arial"/>
              </w:rPr>
            </w:pPr>
            <w:r w:rsidRPr="000D5690">
              <w:rPr>
                <w:rFonts w:cs="Arial"/>
              </w:rPr>
              <w:t>TQ 1</w:t>
            </w:r>
          </w:p>
        </w:tc>
        <w:tc>
          <w:tcPr>
            <w:tcW w:w="7916" w:type="dxa"/>
          </w:tcPr>
          <w:p w:rsidR="005253AC" w:rsidRPr="00D6704A" w:rsidRDefault="00D554C9" w:rsidP="00E658B6">
            <w:pPr>
              <w:rPr>
                <w:rFonts w:cs="Arial"/>
                <w:lang w:val="es-ES"/>
              </w:rPr>
            </w:pPr>
            <w:r w:rsidRPr="000D5690">
              <w:rPr>
                <w:rFonts w:cs="Arial"/>
                <w:lang w:val="es-ES_tradnl"/>
              </w:rPr>
              <w:t>Deberá figurar la información siguiente:</w:t>
            </w:r>
            <w:r w:rsidR="005253AC" w:rsidRPr="00D6704A">
              <w:rPr>
                <w:rFonts w:cs="Arial"/>
                <w:lang w:val="es-ES"/>
              </w:rPr>
              <w:t xml:space="preserve"> </w:t>
            </w:r>
          </w:p>
          <w:p w:rsidR="005253AC" w:rsidRPr="00D6704A" w:rsidRDefault="005253AC" w:rsidP="00E658B6">
            <w:pPr>
              <w:rPr>
                <w:rFonts w:cs="Arial"/>
                <w:lang w:val="es-ES"/>
              </w:rPr>
            </w:pPr>
            <w:r w:rsidRPr="00D6704A">
              <w:rPr>
                <w:rFonts w:cs="Arial"/>
                <w:lang w:val="es-ES"/>
              </w:rPr>
              <w:t>1.1</w:t>
            </w:r>
            <w:r w:rsidRPr="00D6704A">
              <w:rPr>
                <w:rFonts w:cs="Arial"/>
                <w:lang w:val="es-ES"/>
              </w:rPr>
              <w:tab/>
            </w:r>
            <w:r w:rsidR="00D554C9" w:rsidRPr="000D5690">
              <w:rPr>
                <w:rFonts w:cs="Arial"/>
                <w:lang w:val="es-ES_tradnl"/>
              </w:rPr>
              <w:t>Género</w:t>
            </w:r>
          </w:p>
          <w:p w:rsidR="005253AC" w:rsidRPr="00D6704A" w:rsidRDefault="005253AC" w:rsidP="00E658B6">
            <w:pPr>
              <w:rPr>
                <w:rFonts w:cs="Arial"/>
                <w:lang w:val="es-ES"/>
              </w:rPr>
            </w:pPr>
            <w:r w:rsidRPr="00D6704A">
              <w:rPr>
                <w:rFonts w:cs="Arial"/>
                <w:lang w:val="es-ES"/>
              </w:rPr>
              <w:t>1.1.1</w:t>
            </w:r>
            <w:r w:rsidRPr="00D6704A">
              <w:rPr>
                <w:rFonts w:cs="Arial"/>
                <w:lang w:val="es-ES"/>
              </w:rPr>
              <w:tab/>
            </w:r>
            <w:r w:rsidR="00D554C9" w:rsidRPr="000D5690">
              <w:rPr>
                <w:rFonts w:cs="Arial"/>
                <w:lang w:val="es-ES_tradnl"/>
              </w:rPr>
              <w:t>Nombre botánico</w:t>
            </w:r>
          </w:p>
          <w:p w:rsidR="005253AC" w:rsidRPr="00D6704A" w:rsidRDefault="005253AC" w:rsidP="00E658B6">
            <w:pPr>
              <w:rPr>
                <w:rFonts w:cs="Arial"/>
                <w:lang w:val="es-ES"/>
              </w:rPr>
            </w:pPr>
            <w:r w:rsidRPr="00D6704A">
              <w:rPr>
                <w:rFonts w:cs="Arial"/>
                <w:lang w:val="es-ES"/>
              </w:rPr>
              <w:t>1.1.2</w:t>
            </w:r>
            <w:r w:rsidRPr="00D6704A">
              <w:rPr>
                <w:rFonts w:cs="Arial"/>
                <w:lang w:val="es-ES"/>
              </w:rPr>
              <w:tab/>
            </w:r>
            <w:r w:rsidR="00D554C9" w:rsidRPr="000D5690">
              <w:rPr>
                <w:rFonts w:cs="Arial"/>
                <w:lang w:val="es-ES_tradnl"/>
              </w:rPr>
              <w:t>Nombre común</w:t>
            </w:r>
          </w:p>
          <w:p w:rsidR="005253AC" w:rsidRPr="00D6704A" w:rsidRDefault="005253AC" w:rsidP="00E658B6">
            <w:pPr>
              <w:rPr>
                <w:rFonts w:cs="Arial"/>
                <w:lang w:val="es-ES"/>
              </w:rPr>
            </w:pPr>
            <w:r w:rsidRPr="00D6704A">
              <w:rPr>
                <w:rFonts w:cs="Arial"/>
                <w:lang w:val="es-ES"/>
              </w:rPr>
              <w:t>1.2</w:t>
            </w:r>
            <w:r w:rsidRPr="00D6704A">
              <w:rPr>
                <w:rFonts w:cs="Arial"/>
                <w:lang w:val="es-ES"/>
              </w:rPr>
              <w:tab/>
            </w:r>
            <w:r w:rsidR="00D554C9" w:rsidRPr="000D5690">
              <w:rPr>
                <w:rFonts w:cs="Arial"/>
                <w:lang w:val="es-ES_tradnl"/>
              </w:rPr>
              <w:t>Especie (especifíquese)</w:t>
            </w:r>
          </w:p>
          <w:p w:rsidR="005253AC" w:rsidRPr="000D5690" w:rsidRDefault="005253AC" w:rsidP="00E658B6">
            <w:pPr>
              <w:rPr>
                <w:rFonts w:cs="Arial"/>
              </w:rPr>
            </w:pPr>
            <w:r w:rsidRPr="000D5690">
              <w:rPr>
                <w:rFonts w:cs="Arial"/>
              </w:rPr>
              <w:t>1.2.1</w:t>
            </w:r>
            <w:r w:rsidRPr="000D5690">
              <w:rPr>
                <w:rFonts w:cs="Arial"/>
              </w:rPr>
              <w:tab/>
            </w:r>
            <w:r w:rsidR="00D554C9" w:rsidRPr="000D5690">
              <w:rPr>
                <w:rFonts w:cs="Arial"/>
                <w:lang w:val="es-ES_tradnl"/>
              </w:rPr>
              <w:t>Nombre botánico</w:t>
            </w:r>
          </w:p>
          <w:p w:rsidR="005253AC" w:rsidRPr="000D5690" w:rsidRDefault="005253AC" w:rsidP="000D5690">
            <w:pPr>
              <w:rPr>
                <w:rFonts w:cs="Arial"/>
              </w:rPr>
            </w:pPr>
            <w:r w:rsidRPr="000D5690">
              <w:rPr>
                <w:rFonts w:cs="Arial"/>
              </w:rPr>
              <w:t>1.2.2</w:t>
            </w:r>
            <w:r w:rsidRPr="000D5690">
              <w:rPr>
                <w:rFonts w:cs="Arial"/>
              </w:rPr>
              <w:tab/>
            </w:r>
            <w:r w:rsidR="00D554C9" w:rsidRPr="000D5690">
              <w:rPr>
                <w:rFonts w:cs="Arial"/>
                <w:lang w:val="es-ES_tradnl"/>
              </w:rPr>
              <w:t>Nombre común</w:t>
            </w:r>
          </w:p>
        </w:tc>
      </w:tr>
    </w:tbl>
    <w:p w:rsidR="005253AC" w:rsidRPr="000D5690" w:rsidRDefault="005253AC" w:rsidP="005253AC">
      <w:pPr>
        <w:jc w:val="left"/>
        <w:rPr>
          <w:rFonts w:cs="Arial"/>
          <w:u w:val="single"/>
        </w:rPr>
      </w:pPr>
    </w:p>
    <w:p w:rsidR="005253AC" w:rsidRPr="00D6704A" w:rsidRDefault="0047214B" w:rsidP="005253AC">
      <w:pPr>
        <w:autoSpaceDE w:val="0"/>
        <w:autoSpaceDN w:val="0"/>
        <w:adjustRightInd w:val="0"/>
        <w:ind w:firstLine="567"/>
        <w:rPr>
          <w:rFonts w:cs="Arial"/>
          <w:u w:val="single"/>
          <w:lang w:val="es-ES"/>
        </w:rPr>
      </w:pPr>
      <w:r w:rsidRPr="00D6704A">
        <w:rPr>
          <w:rFonts w:cs="Arial"/>
          <w:lang w:val="es-ES"/>
        </w:rPr>
        <w:t>b)</w:t>
      </w:r>
      <w:r w:rsidR="005253AC" w:rsidRPr="00D6704A">
        <w:rPr>
          <w:rFonts w:cs="Arial"/>
          <w:lang w:val="es-ES"/>
        </w:rPr>
        <w:tab/>
      </w:r>
      <w:r w:rsidR="00D554C9" w:rsidRPr="000D5690">
        <w:rPr>
          <w:rFonts w:cs="Arial"/>
          <w:lang w:val="es-ES_tradnl"/>
        </w:rPr>
        <w:t xml:space="preserve">Modificaciones propuestas por el TC-EDC en marzo de 2016, </w:t>
      </w:r>
      <w:r w:rsidR="00D554C9" w:rsidRPr="000D5690">
        <w:rPr>
          <w:rFonts w:cs="Arial"/>
          <w:bCs/>
          <w:snapToGrid w:val="0"/>
          <w:lang w:val="es-ES_tradnl"/>
        </w:rPr>
        <w:t>que han de incluirse en el documento sometido a la consideración del TC</w:t>
      </w:r>
      <w:r w:rsidR="00D554C9" w:rsidRPr="000D5690">
        <w:rPr>
          <w:rFonts w:cs="Arial"/>
          <w:lang w:val="es-ES_tradnl"/>
        </w:rPr>
        <w:t>:</w:t>
      </w:r>
    </w:p>
    <w:p w:rsidR="005253AC" w:rsidRPr="00D6704A" w:rsidRDefault="005253AC" w:rsidP="005253AC">
      <w:pPr>
        <w:jc w:val="left"/>
        <w:rPr>
          <w:rFonts w:cs="Arial"/>
          <w:u w:val="single"/>
          <w:lang w:val="es-ES"/>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5253AC" w:rsidRPr="00E30CEB" w:rsidTr="00E658B6">
        <w:trPr>
          <w:cantSplit/>
        </w:trPr>
        <w:tc>
          <w:tcPr>
            <w:tcW w:w="1573" w:type="dxa"/>
          </w:tcPr>
          <w:p w:rsidR="005253AC" w:rsidRPr="000D5690" w:rsidRDefault="00D554C9" w:rsidP="000D5690">
            <w:pPr>
              <w:jc w:val="left"/>
              <w:rPr>
                <w:rFonts w:cs="Arial"/>
              </w:rPr>
            </w:pPr>
            <w:r w:rsidRPr="000D5690">
              <w:rPr>
                <w:rFonts w:cs="Arial"/>
                <w:lang w:val="es-ES_tradnl"/>
              </w:rPr>
              <w:t>Car.</w:t>
            </w:r>
            <w:r w:rsidR="005253AC" w:rsidRPr="000D5690">
              <w:rPr>
                <w:rFonts w:cs="Arial"/>
              </w:rPr>
              <w:t xml:space="preserve"> 9</w:t>
            </w:r>
          </w:p>
        </w:tc>
        <w:tc>
          <w:tcPr>
            <w:tcW w:w="7925" w:type="dxa"/>
          </w:tcPr>
          <w:p w:rsidR="005253AC" w:rsidRPr="00D6704A" w:rsidRDefault="00D554C9" w:rsidP="000D5690">
            <w:pPr>
              <w:rPr>
                <w:rFonts w:cs="Arial"/>
                <w:lang w:val="es-ES"/>
              </w:rPr>
            </w:pPr>
            <w:r w:rsidRPr="000D5690">
              <w:rPr>
                <w:rFonts w:cs="Arial"/>
                <w:lang w:val="es-ES_tradnl"/>
              </w:rPr>
              <w:t>Debe rezar: “Pecíolo:</w:t>
            </w:r>
            <w:r w:rsidR="005253AC" w:rsidRPr="00D6704A">
              <w:rPr>
                <w:rFonts w:cs="Arial"/>
                <w:lang w:val="es-ES"/>
              </w:rPr>
              <w:t xml:space="preserve"> </w:t>
            </w:r>
            <w:r w:rsidRPr="000D5690">
              <w:rPr>
                <w:rFonts w:cs="Arial"/>
                <w:lang w:val="es-ES_tradnl"/>
              </w:rPr>
              <w:t xml:space="preserve">color principal de la cara </w:t>
            </w:r>
            <w:r w:rsidRPr="000D5690">
              <w:rPr>
                <w:rFonts w:cs="Arial"/>
                <w:strike/>
                <w:lang w:val="es-ES_tradnl"/>
              </w:rPr>
              <w:t>interna</w:t>
            </w:r>
            <w:r w:rsidRPr="000D5690">
              <w:rPr>
                <w:rFonts w:cs="Arial"/>
                <w:lang w:val="es-ES_tradnl"/>
              </w:rPr>
              <w:t xml:space="preserve"> </w:t>
            </w:r>
            <w:r w:rsidRPr="000D5690">
              <w:rPr>
                <w:rFonts w:cs="Arial"/>
                <w:u w:val="single"/>
                <w:lang w:val="es-ES_tradnl"/>
              </w:rPr>
              <w:t>superior</w:t>
            </w:r>
            <w:r w:rsidRPr="000D5690">
              <w:rPr>
                <w:rFonts w:cs="Arial"/>
                <w:lang w:val="es-ES_tradnl"/>
              </w:rPr>
              <w:t>”.</w:t>
            </w:r>
            <w:r w:rsidR="005253AC" w:rsidRPr="00D6704A">
              <w:rPr>
                <w:rFonts w:cs="Arial"/>
                <w:lang w:val="es-ES"/>
              </w:rPr>
              <w:t xml:space="preserve"> </w:t>
            </w:r>
          </w:p>
        </w:tc>
      </w:tr>
      <w:tr w:rsidR="005253AC" w:rsidRPr="000D5690" w:rsidTr="00E658B6">
        <w:trPr>
          <w:cantSplit/>
        </w:trPr>
        <w:tc>
          <w:tcPr>
            <w:tcW w:w="1573" w:type="dxa"/>
          </w:tcPr>
          <w:p w:rsidR="005253AC" w:rsidRPr="000D5690" w:rsidRDefault="00D554C9" w:rsidP="000D5690">
            <w:pPr>
              <w:jc w:val="left"/>
              <w:rPr>
                <w:rFonts w:cs="Arial"/>
              </w:rPr>
            </w:pPr>
            <w:r w:rsidRPr="000D5690">
              <w:rPr>
                <w:rFonts w:cs="Arial"/>
                <w:lang w:val="es-ES_tradnl"/>
              </w:rPr>
              <w:t>Car.</w:t>
            </w:r>
            <w:r w:rsidR="005253AC" w:rsidRPr="000D5690">
              <w:rPr>
                <w:rFonts w:cs="Arial"/>
              </w:rPr>
              <w:t xml:space="preserve"> 21</w:t>
            </w:r>
          </w:p>
        </w:tc>
        <w:tc>
          <w:tcPr>
            <w:tcW w:w="7925" w:type="dxa"/>
          </w:tcPr>
          <w:p w:rsidR="005253AC" w:rsidRPr="000D5690" w:rsidRDefault="00D554C9" w:rsidP="000D5690">
            <w:pPr>
              <w:rPr>
                <w:rFonts w:cs="Arial"/>
              </w:rPr>
            </w:pPr>
            <w:r w:rsidRPr="000D5690">
              <w:rPr>
                <w:rFonts w:cs="Arial"/>
                <w:lang w:val="es-ES_tradnl"/>
              </w:rPr>
              <w:t>Añádase: “(e)”.</w:t>
            </w:r>
          </w:p>
        </w:tc>
      </w:tr>
      <w:tr w:rsidR="005253AC" w:rsidRPr="00E30CEB" w:rsidTr="00E658B6">
        <w:trPr>
          <w:cantSplit/>
        </w:trPr>
        <w:tc>
          <w:tcPr>
            <w:tcW w:w="1573" w:type="dxa"/>
          </w:tcPr>
          <w:p w:rsidR="005253AC" w:rsidRPr="000D5690" w:rsidRDefault="00D554C9" w:rsidP="000D5690">
            <w:pPr>
              <w:jc w:val="left"/>
              <w:rPr>
                <w:rFonts w:cs="Arial"/>
              </w:rPr>
            </w:pPr>
            <w:r w:rsidRPr="000D5690">
              <w:rPr>
                <w:rFonts w:cs="Arial"/>
                <w:lang w:val="es-ES_tradnl"/>
              </w:rPr>
              <w:t>8.1 (e)</w:t>
            </w:r>
          </w:p>
        </w:tc>
        <w:tc>
          <w:tcPr>
            <w:tcW w:w="7925" w:type="dxa"/>
          </w:tcPr>
          <w:p w:rsidR="005253AC" w:rsidRPr="00D6704A" w:rsidRDefault="00D554C9" w:rsidP="000D5690">
            <w:pPr>
              <w:rPr>
                <w:rFonts w:cs="Arial"/>
                <w:lang w:val="es-ES"/>
              </w:rPr>
            </w:pPr>
            <w:r w:rsidRPr="000D5690">
              <w:rPr>
                <w:rFonts w:cs="Arial"/>
                <w:lang w:val="es-ES_tradnl"/>
              </w:rPr>
              <w:t>Debe rezar: “</w:t>
            </w:r>
            <w:r w:rsidRPr="000D5690">
              <w:rPr>
                <w:rFonts w:cs="Arial"/>
                <w:snapToGrid w:val="0"/>
                <w:color w:val="000000"/>
                <w:lang w:val="es-ES_tradnl"/>
              </w:rPr>
              <w:t>El color principal es el que ocupa la mayor superficie</w:t>
            </w:r>
            <w:r w:rsidRPr="000D5690">
              <w:rPr>
                <w:rFonts w:cs="Arial"/>
                <w:strike/>
                <w:snapToGrid w:val="0"/>
                <w:color w:val="000000"/>
                <w:lang w:val="es-ES_tradnl"/>
              </w:rPr>
              <w:t xml:space="preserve"> de una hoja</w:t>
            </w:r>
            <w:r w:rsidRPr="000D5690">
              <w:rPr>
                <w:rFonts w:cs="Arial"/>
                <w:snapToGrid w:val="0"/>
                <w:color w:val="000000"/>
                <w:lang w:val="es-ES_tradnl"/>
              </w:rPr>
              <w:t>.</w:t>
            </w:r>
            <w:r w:rsidR="005253AC" w:rsidRPr="00D6704A">
              <w:rPr>
                <w:rFonts w:cs="Arial"/>
                <w:snapToGrid w:val="0"/>
                <w:color w:val="000000"/>
                <w:lang w:val="es-ES"/>
              </w:rPr>
              <w:t xml:space="preserve">  </w:t>
            </w:r>
            <w:r w:rsidRPr="000D5690">
              <w:rPr>
                <w:rFonts w:cs="Arial"/>
                <w:snapToGrid w:val="0"/>
                <w:color w:val="000000"/>
                <w:lang w:val="es-ES_tradnl"/>
              </w:rPr>
              <w:t>El color secundario es el que ocupa la segunda superficie más grande y el color terciario es el color que ocupa la tercera superficie más grande.</w:t>
            </w:r>
            <w:r w:rsidR="005253AC" w:rsidRPr="00D6704A">
              <w:rPr>
                <w:rFonts w:cs="Arial"/>
                <w:snapToGrid w:val="0"/>
                <w:color w:val="000000"/>
                <w:lang w:val="es-ES"/>
              </w:rPr>
              <w:t xml:space="preserve"> …”</w:t>
            </w:r>
          </w:p>
        </w:tc>
      </w:tr>
      <w:tr w:rsidR="005253AC" w:rsidRPr="00E30CEB" w:rsidTr="00E658B6">
        <w:trPr>
          <w:cantSplit/>
        </w:trPr>
        <w:tc>
          <w:tcPr>
            <w:tcW w:w="1573" w:type="dxa"/>
          </w:tcPr>
          <w:p w:rsidR="005253AC" w:rsidRPr="000D5690" w:rsidRDefault="005253AC" w:rsidP="00E658B6">
            <w:pPr>
              <w:rPr>
                <w:rFonts w:cs="Arial"/>
                <w:szCs w:val="22"/>
              </w:rPr>
            </w:pPr>
            <w:r w:rsidRPr="000D5690">
              <w:rPr>
                <w:rFonts w:cs="Arial"/>
                <w:szCs w:val="22"/>
              </w:rPr>
              <w:t>Ad. 14</w:t>
            </w:r>
          </w:p>
        </w:tc>
        <w:tc>
          <w:tcPr>
            <w:tcW w:w="7925" w:type="dxa"/>
          </w:tcPr>
          <w:p w:rsidR="005253AC" w:rsidRPr="00D6704A" w:rsidRDefault="00D554C9" w:rsidP="00E658B6">
            <w:pPr>
              <w:rPr>
                <w:rFonts w:cs="Arial"/>
                <w:szCs w:val="22"/>
                <w:lang w:val="es-ES"/>
              </w:rPr>
            </w:pPr>
            <w:r w:rsidRPr="000D5690">
              <w:rPr>
                <w:rFonts w:cs="Arial"/>
                <w:szCs w:val="22"/>
                <w:lang w:val="es-ES_tradnl"/>
              </w:rPr>
              <w:t>Elimínese la fotografía del nivel 2 y añádanse ilustraciones para los tres niveles.</w:t>
            </w:r>
          </w:p>
          <w:p w:rsidR="005253AC" w:rsidRPr="00D6704A" w:rsidRDefault="00B253A9" w:rsidP="000D5690">
            <w:pPr>
              <w:rPr>
                <w:rFonts w:cs="Arial"/>
                <w:i/>
                <w:szCs w:val="22"/>
                <w:lang w:val="es-ES"/>
              </w:rPr>
            </w:pPr>
            <w:r w:rsidRPr="000D5690">
              <w:rPr>
                <w:rFonts w:cs="Arial"/>
                <w:i/>
                <w:szCs w:val="22"/>
                <w:lang w:val="es-ES_tradnl"/>
              </w:rPr>
              <w:t xml:space="preserve">El experto principal ha </w:t>
            </w:r>
            <w:r w:rsidR="00D554C9" w:rsidRPr="000D5690">
              <w:rPr>
                <w:rFonts w:cs="Arial"/>
                <w:i/>
                <w:szCs w:val="22"/>
                <w:lang w:val="es-ES_tradnl"/>
              </w:rPr>
              <w:t>proporcionad</w:t>
            </w:r>
            <w:r w:rsidRPr="000D5690">
              <w:rPr>
                <w:rFonts w:cs="Arial"/>
                <w:i/>
                <w:szCs w:val="22"/>
                <w:lang w:val="es-ES_tradnl"/>
              </w:rPr>
              <w:t>o l</w:t>
            </w:r>
            <w:r w:rsidR="00D554C9" w:rsidRPr="000D5690">
              <w:rPr>
                <w:rFonts w:cs="Arial"/>
                <w:i/>
                <w:szCs w:val="22"/>
                <w:lang w:val="es-ES_tradnl"/>
              </w:rPr>
              <w:t>a</w:t>
            </w:r>
            <w:r w:rsidR="00510F68" w:rsidRPr="000D5690">
              <w:rPr>
                <w:rFonts w:cs="Arial"/>
                <w:i/>
                <w:szCs w:val="22"/>
                <w:lang w:val="es-ES_tradnl"/>
              </w:rPr>
              <w:t>s</w:t>
            </w:r>
            <w:r w:rsidR="00D554C9" w:rsidRPr="000D5690">
              <w:rPr>
                <w:rFonts w:cs="Arial"/>
                <w:i/>
                <w:szCs w:val="22"/>
                <w:lang w:val="es-ES_tradnl"/>
              </w:rPr>
              <w:t xml:space="preserve"> </w:t>
            </w:r>
            <w:r w:rsidRPr="000D5690">
              <w:rPr>
                <w:rFonts w:cs="Arial"/>
                <w:i/>
                <w:szCs w:val="22"/>
                <w:lang w:val="es-ES_tradnl"/>
              </w:rPr>
              <w:t>ilustraciones.</w:t>
            </w:r>
          </w:p>
        </w:tc>
      </w:tr>
      <w:tr w:rsidR="005253AC" w:rsidRPr="00E30CEB" w:rsidTr="00E658B6">
        <w:trPr>
          <w:cantSplit/>
        </w:trPr>
        <w:tc>
          <w:tcPr>
            <w:tcW w:w="1573" w:type="dxa"/>
          </w:tcPr>
          <w:p w:rsidR="005253AC" w:rsidRPr="000D5690" w:rsidRDefault="005253AC" w:rsidP="00E658B6">
            <w:pPr>
              <w:rPr>
                <w:rFonts w:cs="Arial"/>
                <w:szCs w:val="22"/>
              </w:rPr>
            </w:pPr>
            <w:r w:rsidRPr="000D5690">
              <w:rPr>
                <w:rFonts w:cs="Arial"/>
                <w:szCs w:val="22"/>
              </w:rPr>
              <w:t>Ad. 17</w:t>
            </w:r>
          </w:p>
        </w:tc>
        <w:tc>
          <w:tcPr>
            <w:tcW w:w="7925" w:type="dxa"/>
          </w:tcPr>
          <w:p w:rsidR="005253AC" w:rsidRPr="00D6704A" w:rsidRDefault="00510F68" w:rsidP="00E658B6">
            <w:pPr>
              <w:rPr>
                <w:rFonts w:cs="Arial"/>
                <w:szCs w:val="22"/>
                <w:lang w:val="es-ES"/>
              </w:rPr>
            </w:pPr>
            <w:r w:rsidRPr="000D5690">
              <w:rPr>
                <w:rFonts w:cs="Arial"/>
                <w:szCs w:val="22"/>
                <w:lang w:val="es-ES_tradnl"/>
              </w:rPr>
              <w:t>Las fotografías deben sustituirse por dibujos sencillos.</w:t>
            </w:r>
            <w:r w:rsidR="005253AC" w:rsidRPr="00D6704A">
              <w:rPr>
                <w:rFonts w:cs="Arial"/>
                <w:szCs w:val="22"/>
                <w:lang w:val="es-ES"/>
              </w:rPr>
              <w:t xml:space="preserve"> </w:t>
            </w:r>
          </w:p>
          <w:p w:rsidR="005253AC" w:rsidRPr="00D6704A" w:rsidRDefault="00510F68" w:rsidP="000D5690">
            <w:pPr>
              <w:rPr>
                <w:rFonts w:cs="Arial"/>
                <w:szCs w:val="22"/>
                <w:lang w:val="es-ES"/>
              </w:rPr>
            </w:pPr>
            <w:r w:rsidRPr="000D5690">
              <w:rPr>
                <w:rFonts w:cs="Arial"/>
                <w:i/>
                <w:szCs w:val="22"/>
                <w:lang w:val="es-ES_tradnl"/>
              </w:rPr>
              <w:t>El experto principal convino en proporcionar Ilustraciones.</w:t>
            </w:r>
            <w:r w:rsidR="005253AC" w:rsidRPr="00D6704A">
              <w:rPr>
                <w:rFonts w:cs="Arial"/>
                <w:i/>
                <w:szCs w:val="22"/>
                <w:lang w:val="es-ES"/>
              </w:rPr>
              <w:t xml:space="preserve"> </w:t>
            </w:r>
          </w:p>
        </w:tc>
      </w:tr>
      <w:tr w:rsidR="005253AC" w:rsidRPr="00E30CEB" w:rsidTr="00E658B6">
        <w:trPr>
          <w:cantSplit/>
        </w:trPr>
        <w:tc>
          <w:tcPr>
            <w:tcW w:w="1573" w:type="dxa"/>
          </w:tcPr>
          <w:p w:rsidR="005253AC" w:rsidRPr="000D5690" w:rsidRDefault="005253AC" w:rsidP="00E658B6">
            <w:pPr>
              <w:jc w:val="left"/>
              <w:rPr>
                <w:rFonts w:cs="Arial"/>
              </w:rPr>
            </w:pPr>
            <w:r w:rsidRPr="000D5690">
              <w:rPr>
                <w:rFonts w:cs="Arial"/>
              </w:rPr>
              <w:t>Ad. 21</w:t>
            </w:r>
          </w:p>
        </w:tc>
        <w:tc>
          <w:tcPr>
            <w:tcW w:w="7925" w:type="dxa"/>
          </w:tcPr>
          <w:p w:rsidR="005253AC" w:rsidRPr="00D6704A" w:rsidRDefault="00510F68" w:rsidP="00E658B6">
            <w:pPr>
              <w:rPr>
                <w:rFonts w:cs="Arial"/>
                <w:lang w:val="es-ES"/>
              </w:rPr>
            </w:pPr>
            <w:r w:rsidRPr="000D5690">
              <w:rPr>
                <w:rFonts w:cs="Arial"/>
                <w:lang w:val="es-ES_tradnl"/>
              </w:rPr>
              <w:t>Elimínense las fotografías.</w:t>
            </w:r>
          </w:p>
          <w:p w:rsidR="005253AC" w:rsidRPr="00D6704A" w:rsidRDefault="00510F68" w:rsidP="000D5690">
            <w:pPr>
              <w:rPr>
                <w:rFonts w:cs="Arial"/>
                <w:i/>
                <w:lang w:val="es-ES"/>
              </w:rPr>
            </w:pPr>
            <w:r w:rsidRPr="000D5690">
              <w:rPr>
                <w:rFonts w:cs="Arial"/>
                <w:i/>
                <w:lang w:val="es-ES_tradnl"/>
              </w:rPr>
              <w:t>El experto principal manifestó su acuerdo.</w:t>
            </w:r>
          </w:p>
        </w:tc>
      </w:tr>
      <w:tr w:rsidR="005253AC" w:rsidRPr="00E30CEB" w:rsidTr="00E658B6">
        <w:trPr>
          <w:cantSplit/>
        </w:trPr>
        <w:tc>
          <w:tcPr>
            <w:tcW w:w="1573" w:type="dxa"/>
          </w:tcPr>
          <w:p w:rsidR="005253AC" w:rsidRPr="000D5690" w:rsidRDefault="00510F68" w:rsidP="000D5690">
            <w:pPr>
              <w:jc w:val="left"/>
              <w:rPr>
                <w:rFonts w:cs="Arial"/>
              </w:rPr>
            </w:pPr>
            <w:r w:rsidRPr="000D5690">
              <w:rPr>
                <w:rFonts w:cs="Arial"/>
                <w:lang w:val="es-ES_tradnl"/>
              </w:rPr>
              <w:t>TQ 6</w:t>
            </w:r>
          </w:p>
        </w:tc>
        <w:tc>
          <w:tcPr>
            <w:tcW w:w="7925" w:type="dxa"/>
          </w:tcPr>
          <w:p w:rsidR="005253AC" w:rsidRPr="00D6704A" w:rsidRDefault="00510F68" w:rsidP="00E658B6">
            <w:pPr>
              <w:rPr>
                <w:rFonts w:cs="Arial"/>
                <w:lang w:val="es-ES"/>
              </w:rPr>
            </w:pPr>
            <w:r w:rsidRPr="000D5690">
              <w:rPr>
                <w:rFonts w:cs="Arial"/>
                <w:lang w:val="es-ES_tradnl"/>
              </w:rPr>
              <w:t>Sustitúyase el ejemplo (el ejemplo actual no se corresponde con la Tabla de caracteres).</w:t>
            </w:r>
          </w:p>
          <w:p w:rsidR="005253AC" w:rsidRPr="00D6704A" w:rsidRDefault="00510F68" w:rsidP="000D5690">
            <w:pPr>
              <w:rPr>
                <w:rFonts w:cs="Arial"/>
                <w:i/>
                <w:lang w:val="es-ES"/>
              </w:rPr>
            </w:pPr>
            <w:r w:rsidRPr="000D5690">
              <w:rPr>
                <w:rFonts w:cs="Arial"/>
                <w:i/>
                <w:lang w:val="es-ES_tradnl"/>
              </w:rPr>
              <w:t>Experto principal</w:t>
            </w:r>
            <w:proofErr w:type="gramStart"/>
            <w:r w:rsidRPr="000D5690">
              <w:rPr>
                <w:rFonts w:cs="Arial"/>
                <w:i/>
                <w:lang w:val="es-ES_tradnl"/>
              </w:rPr>
              <w:t>:</w:t>
            </w:r>
            <w:r w:rsidR="005253AC" w:rsidRPr="00D6704A">
              <w:rPr>
                <w:rFonts w:cs="Arial"/>
                <w:i/>
                <w:lang w:val="es-ES"/>
              </w:rPr>
              <w:t xml:space="preserve">  </w:t>
            </w:r>
            <w:r w:rsidRPr="000D5690">
              <w:rPr>
                <w:rFonts w:cs="Arial"/>
                <w:i/>
                <w:lang w:val="es-ES_tradnl"/>
              </w:rPr>
              <w:t>El</w:t>
            </w:r>
            <w:proofErr w:type="gramEnd"/>
            <w:r w:rsidRPr="000D5690">
              <w:rPr>
                <w:rFonts w:cs="Arial"/>
                <w:i/>
                <w:lang w:val="es-ES_tradnl"/>
              </w:rPr>
              <w:t xml:space="preserve"> nombre del carácter debe rezar: “Limbo:</w:t>
            </w:r>
            <w:r w:rsidR="005253AC" w:rsidRPr="00D6704A">
              <w:rPr>
                <w:rFonts w:cs="Arial"/>
                <w:i/>
                <w:lang w:val="es-ES"/>
              </w:rPr>
              <w:t xml:space="preserve"> </w:t>
            </w:r>
            <w:r w:rsidRPr="000D5690">
              <w:rPr>
                <w:rFonts w:cs="Arial"/>
                <w:i/>
                <w:lang w:val="es-ES_tradnl"/>
              </w:rPr>
              <w:t>anchura”.</w:t>
            </w:r>
          </w:p>
        </w:tc>
      </w:tr>
    </w:tbl>
    <w:p w:rsidR="005253AC" w:rsidRPr="00D6704A" w:rsidRDefault="005253AC" w:rsidP="005253AC">
      <w:pPr>
        <w:jc w:val="left"/>
        <w:rPr>
          <w:rFonts w:cs="Arial"/>
          <w:u w:val="single"/>
          <w:lang w:val="es-ES"/>
        </w:rPr>
      </w:pPr>
    </w:p>
    <w:p w:rsidR="005253AC" w:rsidRPr="00D6704A" w:rsidRDefault="005253AC" w:rsidP="005253AC">
      <w:pPr>
        <w:jc w:val="left"/>
        <w:rPr>
          <w:rFonts w:cs="Arial"/>
          <w:u w:val="single"/>
          <w:lang w:val="es-ES"/>
        </w:rPr>
      </w:pPr>
    </w:p>
    <w:tbl>
      <w:tblPr>
        <w:tblW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00"/>
        <w:gridCol w:w="2268"/>
      </w:tblGrid>
      <w:tr w:rsidR="005253AC" w:rsidRPr="000D5690" w:rsidTr="00E658B6">
        <w:trPr>
          <w:cantSplit/>
          <w:trHeight w:val="315"/>
        </w:trPr>
        <w:tc>
          <w:tcPr>
            <w:tcW w:w="3600" w:type="dxa"/>
            <w:vMerge w:val="restart"/>
            <w:shd w:val="clear" w:color="auto" w:fill="D9D9D9"/>
            <w:vAlign w:val="center"/>
          </w:tcPr>
          <w:p w:rsidR="005253AC" w:rsidRPr="000D5690" w:rsidRDefault="008D06B0" w:rsidP="000D5690">
            <w:pPr>
              <w:pStyle w:val="TitleofDoc"/>
              <w:keepNext/>
              <w:tabs>
                <w:tab w:val="left" w:pos="5245"/>
                <w:tab w:val="left" w:pos="7008"/>
              </w:tabs>
              <w:spacing w:before="80" w:after="80"/>
              <w:jc w:val="left"/>
              <w:rPr>
                <w:rFonts w:cs="Arial"/>
                <w:caps w:val="0"/>
                <w:lang w:val="fr-CH"/>
              </w:rPr>
            </w:pPr>
            <w:proofErr w:type="spellStart"/>
            <w:r w:rsidRPr="000D5690">
              <w:rPr>
                <w:rFonts w:cs="Arial"/>
                <w:lang w:val="es-ES_tradnl"/>
              </w:rPr>
              <w:t>G</w:t>
            </w:r>
            <w:r w:rsidR="00C547A4" w:rsidRPr="000D5690">
              <w:rPr>
                <w:rFonts w:cs="Arial"/>
                <w:caps w:val="0"/>
                <w:lang w:val="es-ES_tradnl"/>
              </w:rPr>
              <w:t>revillea</w:t>
            </w:r>
            <w:proofErr w:type="spellEnd"/>
            <w:r w:rsidR="005253AC" w:rsidRPr="000D5690">
              <w:rPr>
                <w:rFonts w:cs="Arial"/>
                <w:caps w:val="0"/>
                <w:lang w:val="es-ES"/>
              </w:rPr>
              <w:t xml:space="preserve"> (</w:t>
            </w:r>
            <w:proofErr w:type="spellStart"/>
            <w:r w:rsidR="005253AC" w:rsidRPr="000D5690">
              <w:rPr>
                <w:rFonts w:cs="Arial"/>
                <w:i/>
                <w:caps w:val="0"/>
                <w:lang w:val="es-ES"/>
              </w:rPr>
              <w:t>Grevillea</w:t>
            </w:r>
            <w:proofErr w:type="spellEnd"/>
            <w:r w:rsidR="005253AC" w:rsidRPr="000D5690">
              <w:rPr>
                <w:rFonts w:cs="Arial"/>
                <w:caps w:val="0"/>
                <w:lang w:val="es-ES"/>
              </w:rPr>
              <w:t xml:space="preserve"> R. Br. </w:t>
            </w:r>
            <w:proofErr w:type="spellStart"/>
            <w:r w:rsidR="005253AC" w:rsidRPr="000D5690">
              <w:rPr>
                <w:rFonts w:cs="Arial"/>
                <w:caps w:val="0"/>
                <w:lang w:val="es-ES"/>
              </w:rPr>
              <w:t>corr</w:t>
            </w:r>
            <w:proofErr w:type="spellEnd"/>
            <w:r w:rsidR="005253AC" w:rsidRPr="000D5690">
              <w:rPr>
                <w:rFonts w:cs="Arial"/>
                <w:caps w:val="0"/>
                <w:lang w:val="es-ES"/>
              </w:rPr>
              <w:t xml:space="preserve">. </w:t>
            </w:r>
            <w:r w:rsidR="005253AC" w:rsidRPr="000D5690">
              <w:rPr>
                <w:rFonts w:cs="Arial"/>
                <w:caps w:val="0"/>
              </w:rPr>
              <w:t>R. Br.)</w:t>
            </w:r>
          </w:p>
        </w:tc>
        <w:tc>
          <w:tcPr>
            <w:tcW w:w="2268" w:type="dxa"/>
            <w:vMerge w:val="restart"/>
            <w:shd w:val="clear" w:color="auto" w:fill="D9D9D9"/>
            <w:vAlign w:val="center"/>
          </w:tcPr>
          <w:p w:rsidR="005253AC" w:rsidRPr="000D5690" w:rsidRDefault="005253AC" w:rsidP="00E658B6">
            <w:pPr>
              <w:rPr>
                <w:iCs/>
                <w:snapToGrid w:val="0"/>
              </w:rPr>
            </w:pPr>
            <w:r w:rsidRPr="000D5690">
              <w:t>TG/GREVI(proj.4)</w:t>
            </w:r>
          </w:p>
        </w:tc>
      </w:tr>
      <w:tr w:rsidR="005253AC" w:rsidRPr="000D5690" w:rsidTr="00E658B6">
        <w:trPr>
          <w:cantSplit/>
          <w:trHeight w:val="230"/>
        </w:trPr>
        <w:tc>
          <w:tcPr>
            <w:tcW w:w="3600" w:type="dxa"/>
            <w:vMerge/>
            <w:shd w:val="clear" w:color="auto" w:fill="D9D9D9"/>
            <w:vAlign w:val="center"/>
          </w:tcPr>
          <w:p w:rsidR="005253AC" w:rsidRPr="000D5690" w:rsidRDefault="005253AC" w:rsidP="00E658B6">
            <w:pPr>
              <w:pStyle w:val="TitleofDoc"/>
              <w:keepNext/>
              <w:tabs>
                <w:tab w:val="left" w:pos="5245"/>
                <w:tab w:val="left" w:pos="7008"/>
              </w:tabs>
              <w:spacing w:before="0"/>
              <w:jc w:val="left"/>
              <w:rPr>
                <w:rFonts w:cs="Arial"/>
                <w:caps w:val="0"/>
              </w:rPr>
            </w:pPr>
          </w:p>
        </w:tc>
        <w:tc>
          <w:tcPr>
            <w:tcW w:w="2268" w:type="dxa"/>
            <w:vMerge/>
            <w:shd w:val="clear" w:color="auto" w:fill="D9D9D9"/>
            <w:vAlign w:val="center"/>
          </w:tcPr>
          <w:p w:rsidR="005253AC" w:rsidRPr="000D5690" w:rsidRDefault="005253AC" w:rsidP="00E658B6">
            <w:pPr>
              <w:pStyle w:val="BodyText"/>
              <w:keepNext/>
              <w:jc w:val="left"/>
              <w:rPr>
                <w:rFonts w:cs="Arial"/>
                <w:iCs/>
                <w:snapToGrid w:val="0"/>
              </w:rPr>
            </w:pPr>
          </w:p>
        </w:tc>
      </w:tr>
    </w:tbl>
    <w:p w:rsidR="005253AC" w:rsidRPr="000D5690" w:rsidRDefault="005253AC" w:rsidP="005253AC">
      <w:pPr>
        <w:keepNext/>
        <w:autoSpaceDE w:val="0"/>
        <w:autoSpaceDN w:val="0"/>
        <w:adjustRightInd w:val="0"/>
        <w:ind w:firstLine="567"/>
        <w:rPr>
          <w:rFonts w:ascii="ArialMT" w:hAnsi="ArialMT" w:cs="ArialMT"/>
        </w:rPr>
      </w:pPr>
    </w:p>
    <w:p w:rsidR="005253AC" w:rsidRPr="00D6704A" w:rsidRDefault="008D06B0" w:rsidP="005253AC">
      <w:pPr>
        <w:keepNext/>
        <w:autoSpaceDE w:val="0"/>
        <w:autoSpaceDN w:val="0"/>
        <w:adjustRightInd w:val="0"/>
        <w:ind w:firstLine="567"/>
        <w:rPr>
          <w:rFonts w:cs="Arial"/>
          <w:lang w:val="es-ES"/>
        </w:rPr>
      </w:pPr>
      <w:r w:rsidRPr="000D5690">
        <w:rPr>
          <w:rFonts w:ascii="ArialMT" w:hAnsi="ArialMT" w:cs="ArialMT"/>
          <w:lang w:val="es-ES_tradnl"/>
        </w:rPr>
        <w:t>En su reunión celebrada en Ginebra los días 6 y 7 de enero de 2016, el TC-EDC examinó el documento TG/</w:t>
      </w:r>
      <w:proofErr w:type="gramStart"/>
      <w:r w:rsidRPr="000D5690">
        <w:rPr>
          <w:rFonts w:ascii="ArialMT" w:hAnsi="ArialMT" w:cs="ArialMT"/>
          <w:lang w:val="es-ES_tradnl"/>
        </w:rPr>
        <w:t>GREVI(</w:t>
      </w:r>
      <w:proofErr w:type="gramEnd"/>
      <w:r w:rsidRPr="000D5690">
        <w:rPr>
          <w:rFonts w:ascii="ArialMT" w:hAnsi="ArialMT" w:cs="ArialMT"/>
          <w:lang w:val="es-ES_tradnl"/>
        </w:rPr>
        <w:t>proj.4).</w:t>
      </w:r>
    </w:p>
    <w:p w:rsidR="005253AC" w:rsidRPr="00D6704A" w:rsidRDefault="005253AC" w:rsidP="005253AC">
      <w:pPr>
        <w:rPr>
          <w:rFonts w:cs="Arial"/>
          <w:lang w:val="es-ES"/>
        </w:rPr>
      </w:pPr>
    </w:p>
    <w:p w:rsidR="005253AC" w:rsidRPr="00D6704A" w:rsidRDefault="008D06B0" w:rsidP="005253AC">
      <w:pPr>
        <w:ind w:firstLine="567"/>
        <w:rPr>
          <w:rFonts w:cs="Arial"/>
          <w:lang w:val="es-ES"/>
        </w:rPr>
      </w:pPr>
      <w:r w:rsidRPr="000D5690">
        <w:rPr>
          <w:rFonts w:cs="Arial"/>
          <w:lang w:val="es-ES_tradnl"/>
        </w:rPr>
        <w:t>El experto principal, el Sr. Nik Hulse (Australia), previa consulta con el Presidente del TWO, el Sr. </w:t>
      </w:r>
      <w:proofErr w:type="spellStart"/>
      <w:r w:rsidRPr="000D5690">
        <w:rPr>
          <w:rFonts w:cs="Arial"/>
          <w:lang w:val="es-ES_tradnl"/>
        </w:rPr>
        <w:t>Kenji</w:t>
      </w:r>
      <w:proofErr w:type="spellEnd"/>
      <w:r w:rsidRPr="000D5690">
        <w:rPr>
          <w:rFonts w:cs="Arial"/>
          <w:lang w:val="es-ES_tradnl"/>
        </w:rPr>
        <w:t xml:space="preserve"> </w:t>
      </w:r>
      <w:proofErr w:type="spellStart"/>
      <w:r w:rsidRPr="000D5690">
        <w:rPr>
          <w:rFonts w:cs="Arial"/>
          <w:lang w:val="es-ES_tradnl"/>
        </w:rPr>
        <w:t>Numaguchi</w:t>
      </w:r>
      <w:proofErr w:type="spellEnd"/>
      <w:r w:rsidRPr="000D5690">
        <w:rPr>
          <w:rFonts w:cs="Arial"/>
          <w:lang w:val="es-ES_tradnl"/>
        </w:rPr>
        <w:t xml:space="preserve"> (Japón), solicitó que el proyecto de directrices de examen de </w:t>
      </w:r>
      <w:proofErr w:type="spellStart"/>
      <w:r w:rsidRPr="000D5690">
        <w:rPr>
          <w:rFonts w:cs="Arial"/>
          <w:lang w:val="es-ES_tradnl"/>
        </w:rPr>
        <w:t>Grevillea</w:t>
      </w:r>
      <w:proofErr w:type="spellEnd"/>
      <w:r w:rsidRPr="000D5690">
        <w:rPr>
          <w:rFonts w:cs="Arial"/>
          <w:lang w:val="es-ES_tradnl"/>
        </w:rPr>
        <w:t xml:space="preserve"> (</w:t>
      </w:r>
      <w:proofErr w:type="spellStart"/>
      <w:r w:rsidRPr="000D5690">
        <w:rPr>
          <w:rFonts w:cs="Arial"/>
          <w:i/>
          <w:lang w:val="es-ES_tradnl"/>
        </w:rPr>
        <w:t>Grevillea</w:t>
      </w:r>
      <w:proofErr w:type="spellEnd"/>
      <w:r w:rsidR="00EA314D" w:rsidRPr="000D5690">
        <w:rPr>
          <w:rFonts w:cs="Arial"/>
          <w:lang w:val="es-ES_tradnl"/>
        </w:rPr>
        <w:t xml:space="preserve"> R. Br. </w:t>
      </w:r>
      <w:proofErr w:type="spellStart"/>
      <w:r w:rsidR="00EA314D" w:rsidRPr="000D5690">
        <w:rPr>
          <w:rFonts w:cs="Arial"/>
          <w:lang w:val="es-ES_tradnl"/>
        </w:rPr>
        <w:t>corr</w:t>
      </w:r>
      <w:proofErr w:type="spellEnd"/>
      <w:r w:rsidR="00EA314D" w:rsidRPr="000D5690">
        <w:rPr>
          <w:rFonts w:cs="Arial"/>
          <w:lang w:val="es-ES_tradnl"/>
        </w:rPr>
        <w:t>. R. Br</w:t>
      </w:r>
      <w:r w:rsidRPr="000D5690">
        <w:rPr>
          <w:rFonts w:cs="Arial"/>
          <w:lang w:val="es-ES_tradnl"/>
        </w:rPr>
        <w:t xml:space="preserve">.) </w:t>
      </w:r>
      <w:proofErr w:type="gramStart"/>
      <w:r w:rsidRPr="000D5690">
        <w:rPr>
          <w:rFonts w:cs="Arial"/>
          <w:lang w:val="es-ES_tradnl"/>
        </w:rPr>
        <w:t>se</w:t>
      </w:r>
      <w:proofErr w:type="gramEnd"/>
      <w:r w:rsidRPr="000D5690">
        <w:rPr>
          <w:rFonts w:cs="Arial"/>
          <w:lang w:val="es-ES_tradnl"/>
        </w:rPr>
        <w:t xml:space="preserve"> debata de nuevo en el TWO, en su cuadragésima novena sesión, con el fin de aclarar los caracteres de la hoja.</w:t>
      </w:r>
    </w:p>
    <w:p w:rsidR="005253AC" w:rsidRPr="00D6704A" w:rsidRDefault="005253AC" w:rsidP="005253AC">
      <w:pPr>
        <w:ind w:firstLine="567"/>
        <w:rPr>
          <w:rFonts w:cs="Arial"/>
          <w:lang w:val="es-ES"/>
        </w:rPr>
      </w:pPr>
    </w:p>
    <w:p w:rsidR="005253AC" w:rsidRPr="00D6704A" w:rsidRDefault="008D06B0" w:rsidP="005253AC">
      <w:pPr>
        <w:autoSpaceDE w:val="0"/>
        <w:autoSpaceDN w:val="0"/>
        <w:adjustRightInd w:val="0"/>
        <w:ind w:firstLine="567"/>
        <w:rPr>
          <w:rFonts w:cs="Arial"/>
          <w:lang w:val="es-ES"/>
        </w:rPr>
      </w:pPr>
      <w:r w:rsidRPr="000D5690">
        <w:rPr>
          <w:rFonts w:ascii="ArialMT" w:hAnsi="ArialMT" w:cs="ArialMT"/>
          <w:lang w:val="es-ES_tradnl"/>
        </w:rPr>
        <w:t>Modificaciones del documento TG/GREVI(proj.4), realizadas sobre la base de las observaciones recibidas de los miembros del Comité de Redacción Ampliado en enero de 2016, que han de incluirse en el proyecto de directrices de examen (documento TG/GREVI(proj.5)), sometido a la consideración del TWO:</w:t>
      </w:r>
    </w:p>
    <w:p w:rsidR="005253AC" w:rsidRPr="00D6704A" w:rsidRDefault="005253AC" w:rsidP="005253AC">
      <w:pPr>
        <w:keepNext/>
        <w:jc w:val="left"/>
        <w:rPr>
          <w:rFonts w:cs="Arial"/>
          <w:lang w:val="es-ES"/>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5253AC" w:rsidRPr="00E30CEB" w:rsidTr="00E658B6">
        <w:trPr>
          <w:cantSplit/>
        </w:trPr>
        <w:tc>
          <w:tcPr>
            <w:tcW w:w="1573" w:type="dxa"/>
          </w:tcPr>
          <w:p w:rsidR="005253AC" w:rsidRPr="000D5690" w:rsidRDefault="005253AC" w:rsidP="00E658B6">
            <w:pPr>
              <w:jc w:val="left"/>
              <w:rPr>
                <w:rFonts w:cs="Arial"/>
              </w:rPr>
            </w:pPr>
            <w:r w:rsidRPr="000D5690">
              <w:rPr>
                <w:rFonts w:cs="Arial"/>
              </w:rPr>
              <w:t>5.3</w:t>
            </w:r>
          </w:p>
        </w:tc>
        <w:tc>
          <w:tcPr>
            <w:tcW w:w="7925" w:type="dxa"/>
          </w:tcPr>
          <w:p w:rsidR="005253AC" w:rsidRPr="00D6704A" w:rsidRDefault="008D06B0" w:rsidP="000D5690">
            <w:pPr>
              <w:keepNext/>
              <w:rPr>
                <w:rFonts w:cs="Arial"/>
                <w:lang w:val="es-ES"/>
              </w:rPr>
            </w:pPr>
            <w:r w:rsidRPr="000D5690">
              <w:rPr>
                <w:rFonts w:cs="Arial"/>
                <w:lang w:val="es-ES_tradnl"/>
              </w:rPr>
              <w:t>Añádanse los grupos de color en el apartado 5.3 e).</w:t>
            </w:r>
            <w:r w:rsidR="005253AC" w:rsidRPr="00D6704A">
              <w:rPr>
                <w:rFonts w:cs="Arial"/>
                <w:lang w:val="es-ES"/>
              </w:rPr>
              <w:t xml:space="preserve"> </w:t>
            </w:r>
          </w:p>
        </w:tc>
      </w:tr>
      <w:tr w:rsidR="005253AC" w:rsidRPr="00E30CEB" w:rsidTr="00E658B6">
        <w:trPr>
          <w:cantSplit/>
        </w:trPr>
        <w:tc>
          <w:tcPr>
            <w:tcW w:w="1573" w:type="dxa"/>
          </w:tcPr>
          <w:p w:rsidR="005253AC" w:rsidRPr="000D5690" w:rsidRDefault="008D06B0" w:rsidP="000D5690">
            <w:pPr>
              <w:jc w:val="left"/>
              <w:rPr>
                <w:rFonts w:cs="Arial"/>
              </w:rPr>
            </w:pPr>
            <w:r w:rsidRPr="000D5690">
              <w:rPr>
                <w:rFonts w:cs="Arial"/>
                <w:lang w:val="es-ES_tradnl"/>
              </w:rPr>
              <w:t>Tabla de caracteres</w:t>
            </w:r>
          </w:p>
        </w:tc>
        <w:tc>
          <w:tcPr>
            <w:tcW w:w="7925" w:type="dxa"/>
            <w:shd w:val="clear" w:color="auto" w:fill="auto"/>
          </w:tcPr>
          <w:p w:rsidR="005253AC" w:rsidRPr="00D6704A" w:rsidRDefault="008D06B0" w:rsidP="00E658B6">
            <w:pPr>
              <w:keepNext/>
              <w:rPr>
                <w:rFonts w:cs="Arial"/>
                <w:lang w:val="es-ES"/>
              </w:rPr>
            </w:pPr>
            <w:r w:rsidRPr="000D5690">
              <w:rPr>
                <w:rFonts w:cs="Arial"/>
                <w:lang w:val="es-ES_tradnl"/>
              </w:rPr>
              <w:t>Presentación de los caracteres de la hoja:</w:t>
            </w:r>
          </w:p>
          <w:p w:rsidR="005253AC" w:rsidRPr="00D6704A" w:rsidRDefault="00683B57" w:rsidP="00E658B6">
            <w:pPr>
              <w:keepNext/>
              <w:rPr>
                <w:rFonts w:cs="Arial"/>
                <w:lang w:val="es-ES"/>
              </w:rPr>
            </w:pPr>
            <w:r w:rsidRPr="00D6704A">
              <w:rPr>
                <w:rFonts w:cs="Arial"/>
                <w:lang w:val="es-ES"/>
              </w:rPr>
              <w:t xml:space="preserve">- </w:t>
            </w:r>
            <w:r w:rsidR="00DE3951" w:rsidRPr="000D5690">
              <w:rPr>
                <w:rFonts w:cs="Arial"/>
                <w:lang w:val="es-ES_tradnl"/>
              </w:rPr>
              <w:t>D</w:t>
            </w:r>
            <w:r w:rsidR="008D06B0" w:rsidRPr="000D5690">
              <w:rPr>
                <w:rFonts w:cs="Arial"/>
                <w:lang w:val="es-ES_tradnl"/>
              </w:rPr>
              <w:t xml:space="preserve">efínase la </w:t>
            </w:r>
            <w:r w:rsidR="008D06B0" w:rsidRPr="000D5690">
              <w:rPr>
                <w:lang w:val="es-ES_tradnl"/>
              </w:rPr>
              <w:t>división del limbo</w:t>
            </w:r>
            <w:r w:rsidR="008D06B0" w:rsidRPr="000D5690">
              <w:rPr>
                <w:rFonts w:cs="Arial"/>
                <w:lang w:val="es-ES_tradnl"/>
              </w:rPr>
              <w:t xml:space="preserve"> y las diferencias </w:t>
            </w:r>
            <w:r w:rsidR="00DE3951" w:rsidRPr="000D5690">
              <w:rPr>
                <w:rFonts w:cs="Arial"/>
                <w:lang w:val="es-ES_tradnl"/>
              </w:rPr>
              <w:t xml:space="preserve">respecto </w:t>
            </w:r>
            <w:r w:rsidR="008D06B0" w:rsidRPr="000D5690">
              <w:rPr>
                <w:rFonts w:cs="Arial"/>
                <w:lang w:val="es-ES_tradnl"/>
              </w:rPr>
              <w:t>de</w:t>
            </w:r>
            <w:r w:rsidR="00DE3951" w:rsidRPr="000D5690">
              <w:rPr>
                <w:rFonts w:cs="Arial"/>
                <w:lang w:val="es-ES_tradnl"/>
              </w:rPr>
              <w:t>l</w:t>
            </w:r>
            <w:r w:rsidR="008D06B0" w:rsidRPr="000D5690">
              <w:rPr>
                <w:rFonts w:cs="Arial"/>
                <w:lang w:val="es-ES_tradnl"/>
              </w:rPr>
              <w:t xml:space="preserve"> lobulado (</w:t>
            </w:r>
            <w:r w:rsidR="00DE3951" w:rsidRPr="000D5690">
              <w:rPr>
                <w:rFonts w:cs="Arial"/>
                <w:lang w:val="es-ES_tradnl"/>
              </w:rPr>
              <w:t xml:space="preserve">limbo entero o </w:t>
            </w:r>
            <w:r w:rsidR="008D06B0" w:rsidRPr="000D5690">
              <w:rPr>
                <w:rFonts w:cs="Arial"/>
                <w:lang w:val="es-ES_tradnl"/>
              </w:rPr>
              <w:t>dividido)</w:t>
            </w:r>
            <w:r w:rsidR="00DE3951" w:rsidRPr="000D5690">
              <w:rPr>
                <w:rFonts w:cs="Arial"/>
                <w:lang w:val="es-ES_tradnl"/>
              </w:rPr>
              <w:t>.</w:t>
            </w:r>
          </w:p>
          <w:p w:rsidR="005253AC" w:rsidRPr="00D6704A" w:rsidRDefault="00683B57" w:rsidP="00E658B6">
            <w:pPr>
              <w:keepNext/>
              <w:rPr>
                <w:rFonts w:cs="Arial"/>
                <w:lang w:val="es-ES"/>
              </w:rPr>
            </w:pPr>
            <w:r w:rsidRPr="00D6704A">
              <w:rPr>
                <w:rFonts w:cs="Arial"/>
                <w:lang w:val="es-ES"/>
              </w:rPr>
              <w:t xml:space="preserve">- </w:t>
            </w:r>
            <w:r w:rsidR="00DE3951" w:rsidRPr="000D5690">
              <w:rPr>
                <w:rFonts w:cs="Arial"/>
                <w:lang w:val="es-ES_tradnl"/>
              </w:rPr>
              <w:t>Aclárese qué caracteres corresponden a cada tipo de limbo.</w:t>
            </w:r>
          </w:p>
          <w:p w:rsidR="005253AC" w:rsidRPr="00D6704A" w:rsidRDefault="00683B57" w:rsidP="000D5690">
            <w:pPr>
              <w:keepNext/>
              <w:rPr>
                <w:rFonts w:cs="Arial"/>
                <w:lang w:val="es-ES"/>
              </w:rPr>
            </w:pPr>
            <w:r w:rsidRPr="00D6704A">
              <w:rPr>
                <w:rFonts w:cs="Arial"/>
                <w:lang w:val="es-ES"/>
              </w:rPr>
              <w:t xml:space="preserve">- </w:t>
            </w:r>
            <w:r w:rsidR="00DE3951" w:rsidRPr="000D5690">
              <w:rPr>
                <w:rFonts w:cs="Arial"/>
                <w:lang w:val="es-ES_tradnl"/>
              </w:rPr>
              <w:t>Compruébense las variedades ejemplo (por ejemplo, “</w:t>
            </w:r>
            <w:proofErr w:type="spellStart"/>
            <w:r w:rsidR="00DE3951" w:rsidRPr="000D5690">
              <w:rPr>
                <w:rFonts w:cs="Arial"/>
                <w:lang w:val="es-ES_tradnl"/>
              </w:rPr>
              <w:t>Callum’s</w:t>
            </w:r>
            <w:proofErr w:type="spellEnd"/>
            <w:r w:rsidR="00DE3951" w:rsidRPr="000D5690">
              <w:rPr>
                <w:rFonts w:cs="Arial"/>
                <w:lang w:val="es-ES_tradnl"/>
              </w:rPr>
              <w:t xml:space="preserve"> Gold” se utiliza en el carácter 12 para la división terciaria del limbo y se utiliza posteriormente restringiendo los caracteres a las variedades con presencia únicamente de división primaria del limbo).</w:t>
            </w:r>
          </w:p>
        </w:tc>
      </w:tr>
      <w:tr w:rsidR="005253AC" w:rsidRPr="00E30CEB" w:rsidTr="00E658B6">
        <w:trPr>
          <w:cantSplit/>
        </w:trPr>
        <w:tc>
          <w:tcPr>
            <w:tcW w:w="1573" w:type="dxa"/>
          </w:tcPr>
          <w:p w:rsidR="005253AC" w:rsidRPr="000D5690" w:rsidRDefault="00DE3951" w:rsidP="000D5690">
            <w:pPr>
              <w:jc w:val="left"/>
              <w:rPr>
                <w:rFonts w:cs="Arial"/>
              </w:rPr>
            </w:pPr>
            <w:r w:rsidRPr="000D5690">
              <w:rPr>
                <w:rFonts w:cs="Arial"/>
                <w:lang w:val="es-ES_tradnl"/>
              </w:rPr>
              <w:t>Car.</w:t>
            </w:r>
            <w:r w:rsidR="005253AC" w:rsidRPr="000D5690">
              <w:rPr>
                <w:rFonts w:cs="Arial"/>
              </w:rPr>
              <w:t xml:space="preserve"> 10</w:t>
            </w:r>
          </w:p>
        </w:tc>
        <w:tc>
          <w:tcPr>
            <w:tcW w:w="7925" w:type="dxa"/>
          </w:tcPr>
          <w:p w:rsidR="005253AC" w:rsidRPr="00D6704A" w:rsidRDefault="00683B57" w:rsidP="00E658B6">
            <w:pPr>
              <w:keepNext/>
              <w:rPr>
                <w:rFonts w:cs="Arial"/>
                <w:lang w:val="es-ES"/>
              </w:rPr>
            </w:pPr>
            <w:r w:rsidRPr="00D6704A">
              <w:rPr>
                <w:rFonts w:cs="Arial"/>
                <w:lang w:val="es-ES"/>
              </w:rPr>
              <w:t xml:space="preserve">- </w:t>
            </w:r>
            <w:r w:rsidR="00DE3951" w:rsidRPr="000D5690">
              <w:rPr>
                <w:rFonts w:cs="Arial"/>
                <w:lang w:val="es-ES_tradnl"/>
              </w:rPr>
              <w:t>Debe rezar: “Hoja:</w:t>
            </w:r>
            <w:r w:rsidR="005253AC" w:rsidRPr="00D6704A">
              <w:rPr>
                <w:rFonts w:cs="Arial"/>
                <w:lang w:val="es-ES"/>
              </w:rPr>
              <w:t xml:space="preserve"> </w:t>
            </w:r>
            <w:r w:rsidR="00AA5CED" w:rsidRPr="000D5690">
              <w:rPr>
                <w:rFonts w:cs="Arial"/>
                <w:lang w:val="es-ES_tradnl"/>
              </w:rPr>
              <w:t>limbo”.</w:t>
            </w:r>
          </w:p>
          <w:p w:rsidR="005253AC" w:rsidRPr="00D6704A" w:rsidRDefault="00683B57" w:rsidP="00E658B6">
            <w:pPr>
              <w:keepNext/>
              <w:rPr>
                <w:rFonts w:cs="Arial"/>
                <w:lang w:val="es-ES"/>
              </w:rPr>
            </w:pPr>
            <w:r w:rsidRPr="00D6704A">
              <w:rPr>
                <w:rFonts w:cs="Arial"/>
                <w:lang w:val="es-ES"/>
              </w:rPr>
              <w:t xml:space="preserve">- </w:t>
            </w:r>
            <w:r w:rsidR="00AA5CED" w:rsidRPr="000D5690">
              <w:rPr>
                <w:rFonts w:cs="Arial"/>
                <w:lang w:val="es-ES_tradnl"/>
              </w:rPr>
              <w:t>Deben figurar los niveles 1 “entero” y 2 “dividido”.</w:t>
            </w:r>
          </w:p>
          <w:p w:rsidR="005253AC" w:rsidRPr="00D6704A" w:rsidRDefault="00683B57" w:rsidP="000D5690">
            <w:pPr>
              <w:keepNext/>
              <w:rPr>
                <w:rFonts w:cs="Arial"/>
                <w:lang w:val="es-ES"/>
              </w:rPr>
            </w:pPr>
            <w:r w:rsidRPr="00D6704A">
              <w:rPr>
                <w:rFonts w:cs="Arial"/>
                <w:lang w:val="es-ES"/>
              </w:rPr>
              <w:t xml:space="preserve">- </w:t>
            </w:r>
            <w:r w:rsidR="00AA5CED" w:rsidRPr="000D5690">
              <w:rPr>
                <w:rFonts w:cs="Arial"/>
                <w:lang w:val="es-ES_tradnl"/>
              </w:rPr>
              <w:t>Compruébese si se debe combinar con el car</w:t>
            </w:r>
            <w:r w:rsidR="006F7B90" w:rsidRPr="000D5690">
              <w:rPr>
                <w:rFonts w:cs="Arial"/>
                <w:lang w:val="es-ES_tradnl"/>
              </w:rPr>
              <w:t>ácter</w:t>
            </w:r>
            <w:r w:rsidR="00AA5CED" w:rsidRPr="000D5690">
              <w:rPr>
                <w:rFonts w:cs="Arial"/>
                <w:lang w:val="es-ES_tradnl"/>
              </w:rPr>
              <w:t> 12, si no es claramente QL.</w:t>
            </w:r>
          </w:p>
        </w:tc>
      </w:tr>
      <w:tr w:rsidR="005253AC" w:rsidRPr="00E30CEB" w:rsidTr="00E658B6">
        <w:trPr>
          <w:cantSplit/>
        </w:trPr>
        <w:tc>
          <w:tcPr>
            <w:tcW w:w="1573" w:type="dxa"/>
          </w:tcPr>
          <w:p w:rsidR="005253AC" w:rsidRPr="000D5690" w:rsidRDefault="00AA5CED" w:rsidP="000D5690">
            <w:pPr>
              <w:jc w:val="left"/>
              <w:rPr>
                <w:rFonts w:cs="Arial"/>
                <w:szCs w:val="22"/>
              </w:rPr>
            </w:pPr>
            <w:r w:rsidRPr="000D5690">
              <w:rPr>
                <w:rFonts w:cs="Arial"/>
                <w:szCs w:val="22"/>
                <w:lang w:val="es-ES_tradnl"/>
              </w:rPr>
              <w:t>Car.</w:t>
            </w:r>
            <w:r w:rsidR="005253AC" w:rsidRPr="000D5690">
              <w:rPr>
                <w:rFonts w:cs="Arial"/>
                <w:szCs w:val="22"/>
              </w:rPr>
              <w:t xml:space="preserve"> 12, Ad. 12</w:t>
            </w:r>
          </w:p>
        </w:tc>
        <w:tc>
          <w:tcPr>
            <w:tcW w:w="7925" w:type="dxa"/>
          </w:tcPr>
          <w:p w:rsidR="005253AC" w:rsidRPr="00D6704A" w:rsidRDefault="00286B92" w:rsidP="00E658B6">
            <w:pPr>
              <w:rPr>
                <w:rFonts w:cs="Arial"/>
                <w:szCs w:val="22"/>
                <w:lang w:val="es-ES"/>
              </w:rPr>
            </w:pPr>
            <w:r w:rsidRPr="000D5690">
              <w:rPr>
                <w:rFonts w:cs="Arial"/>
                <w:szCs w:val="22"/>
                <w:lang w:val="es-ES_tradnl"/>
              </w:rPr>
              <w:t>Hoja:</w:t>
            </w:r>
            <w:r w:rsidR="005253AC" w:rsidRPr="00D6704A">
              <w:rPr>
                <w:rFonts w:cs="Arial"/>
                <w:szCs w:val="22"/>
                <w:lang w:val="es-ES"/>
              </w:rPr>
              <w:t xml:space="preserve"> </w:t>
            </w:r>
            <w:r w:rsidRPr="000D5690">
              <w:rPr>
                <w:rFonts w:cs="Arial"/>
                <w:szCs w:val="22"/>
                <w:lang w:val="es-ES_tradnl"/>
              </w:rPr>
              <w:t>tipo de lobulado: ¿primario/secundario/terciario?</w:t>
            </w:r>
          </w:p>
          <w:p w:rsidR="005253AC" w:rsidRPr="00D6704A" w:rsidRDefault="00286B92" w:rsidP="000D5690">
            <w:pPr>
              <w:rPr>
                <w:rFonts w:cs="Arial"/>
                <w:szCs w:val="22"/>
                <w:lang w:val="es-ES"/>
              </w:rPr>
            </w:pPr>
            <w:r w:rsidRPr="000D5690">
              <w:rPr>
                <w:rFonts w:cs="Arial"/>
                <w:szCs w:val="22"/>
                <w:lang w:val="es-ES_tradnl"/>
              </w:rPr>
              <w:t xml:space="preserve">El Ad. 12 resulta confuso: no guarda relación con las hojas que </w:t>
            </w:r>
            <w:r w:rsidR="000564D5" w:rsidRPr="000D5690">
              <w:rPr>
                <w:rFonts w:cs="Arial"/>
                <w:szCs w:val="22"/>
                <w:lang w:val="es-ES_tradnl"/>
              </w:rPr>
              <w:t>figur</w:t>
            </w:r>
            <w:r w:rsidRPr="000D5690">
              <w:rPr>
                <w:rFonts w:cs="Arial"/>
                <w:szCs w:val="22"/>
                <w:lang w:val="es-ES_tradnl"/>
              </w:rPr>
              <w:t>an en los Ad. 6, 13 y 16.</w:t>
            </w:r>
          </w:p>
        </w:tc>
      </w:tr>
      <w:tr w:rsidR="005253AC" w:rsidRPr="00E30CEB" w:rsidTr="00E658B6">
        <w:trPr>
          <w:cantSplit/>
        </w:trPr>
        <w:tc>
          <w:tcPr>
            <w:tcW w:w="1573" w:type="dxa"/>
          </w:tcPr>
          <w:p w:rsidR="005253AC" w:rsidRPr="000D5690" w:rsidRDefault="000564D5" w:rsidP="000D5690">
            <w:pPr>
              <w:jc w:val="left"/>
              <w:rPr>
                <w:rFonts w:cs="Arial"/>
              </w:rPr>
            </w:pPr>
            <w:r w:rsidRPr="000D5690">
              <w:rPr>
                <w:rFonts w:cs="Arial"/>
                <w:lang w:val="es-ES_tradnl"/>
              </w:rPr>
              <w:t>Car.</w:t>
            </w:r>
            <w:r w:rsidR="005253AC" w:rsidRPr="000D5690">
              <w:rPr>
                <w:rFonts w:cs="Arial"/>
              </w:rPr>
              <w:t xml:space="preserve"> 13</w:t>
            </w:r>
          </w:p>
        </w:tc>
        <w:tc>
          <w:tcPr>
            <w:tcW w:w="7925" w:type="dxa"/>
          </w:tcPr>
          <w:p w:rsidR="005253AC" w:rsidRPr="00D6704A" w:rsidRDefault="00683B57" w:rsidP="00E658B6">
            <w:pPr>
              <w:keepNext/>
              <w:rPr>
                <w:rFonts w:cs="Arial"/>
                <w:lang w:val="es-ES"/>
              </w:rPr>
            </w:pPr>
            <w:r w:rsidRPr="00D6704A">
              <w:rPr>
                <w:rFonts w:cs="Arial"/>
                <w:lang w:val="es-ES"/>
              </w:rPr>
              <w:t xml:space="preserve">- </w:t>
            </w:r>
            <w:r w:rsidR="000564D5" w:rsidRPr="000D5690">
              <w:rPr>
                <w:rFonts w:cs="Arial"/>
                <w:lang w:val="es-ES_tradnl"/>
              </w:rPr>
              <w:t>Compruébese si debe rezar: “Hoja:</w:t>
            </w:r>
            <w:r w:rsidR="005253AC" w:rsidRPr="00D6704A">
              <w:rPr>
                <w:rFonts w:cs="Arial"/>
                <w:lang w:val="es-ES"/>
              </w:rPr>
              <w:t xml:space="preserve"> </w:t>
            </w:r>
            <w:r w:rsidR="000564D5" w:rsidRPr="000D5690">
              <w:rPr>
                <w:rFonts w:cs="Arial"/>
                <w:lang w:val="es-ES_tradnl"/>
              </w:rPr>
              <w:t xml:space="preserve">profundidad de los senos </w:t>
            </w:r>
            <w:r w:rsidR="000564D5" w:rsidRPr="000D5690">
              <w:rPr>
                <w:rFonts w:cs="Arial"/>
                <w:u w:val="single"/>
                <w:lang w:val="es-ES_tradnl"/>
              </w:rPr>
              <w:t>primarios</w:t>
            </w:r>
            <w:r w:rsidR="000564D5" w:rsidRPr="000D5690">
              <w:rPr>
                <w:rFonts w:cs="Arial"/>
                <w:lang w:val="es-ES_tradnl"/>
              </w:rPr>
              <w:t>”.</w:t>
            </w:r>
          </w:p>
          <w:p w:rsidR="005253AC" w:rsidRPr="00D6704A" w:rsidRDefault="00683B57" w:rsidP="000D5690">
            <w:pPr>
              <w:keepNext/>
              <w:rPr>
                <w:rFonts w:cs="Arial"/>
                <w:lang w:val="es-ES"/>
              </w:rPr>
            </w:pPr>
            <w:r w:rsidRPr="00D6704A">
              <w:rPr>
                <w:rFonts w:cs="Arial"/>
                <w:lang w:val="es-ES"/>
              </w:rPr>
              <w:t xml:space="preserve">- </w:t>
            </w:r>
            <w:r w:rsidR="000564D5" w:rsidRPr="000D5690">
              <w:rPr>
                <w:rFonts w:cs="Arial"/>
                <w:szCs w:val="22"/>
                <w:lang w:val="es-ES_tradnl"/>
              </w:rPr>
              <w:t>Deben figurar los niveles: “poco profundo”, “medio”, “profundo”.</w:t>
            </w:r>
          </w:p>
        </w:tc>
      </w:tr>
      <w:tr w:rsidR="005253AC" w:rsidRPr="00E30CEB" w:rsidTr="00E658B6">
        <w:trPr>
          <w:cantSplit/>
        </w:trPr>
        <w:tc>
          <w:tcPr>
            <w:tcW w:w="1573" w:type="dxa"/>
          </w:tcPr>
          <w:p w:rsidR="005253AC" w:rsidRPr="000D5690" w:rsidRDefault="000564D5" w:rsidP="000D5690">
            <w:pPr>
              <w:rPr>
                <w:rFonts w:cs="Arial"/>
                <w:szCs w:val="22"/>
              </w:rPr>
            </w:pPr>
            <w:r w:rsidRPr="000D5690">
              <w:rPr>
                <w:rFonts w:cs="Arial"/>
                <w:szCs w:val="22"/>
                <w:lang w:val="es-ES_tradnl"/>
              </w:rPr>
              <w:t>Car.</w:t>
            </w:r>
            <w:r w:rsidR="005253AC" w:rsidRPr="000D5690">
              <w:rPr>
                <w:rFonts w:cs="Arial"/>
                <w:szCs w:val="22"/>
              </w:rPr>
              <w:t xml:space="preserve"> 13, 18</w:t>
            </w:r>
          </w:p>
        </w:tc>
        <w:tc>
          <w:tcPr>
            <w:tcW w:w="7925" w:type="dxa"/>
          </w:tcPr>
          <w:p w:rsidR="005253AC" w:rsidRPr="00D6704A" w:rsidRDefault="000564D5" w:rsidP="000D5690">
            <w:pPr>
              <w:rPr>
                <w:rFonts w:cs="Arial"/>
                <w:szCs w:val="22"/>
                <w:lang w:val="es-ES"/>
              </w:rPr>
            </w:pPr>
            <w:r w:rsidRPr="000D5690">
              <w:rPr>
                <w:rFonts w:cs="Arial"/>
                <w:szCs w:val="22"/>
                <w:lang w:val="es-ES_tradnl"/>
              </w:rPr>
              <w:t>Aclárese la diferencia entre los caracteres 13 y 18.</w:t>
            </w:r>
          </w:p>
        </w:tc>
      </w:tr>
      <w:tr w:rsidR="005253AC" w:rsidRPr="00E30CEB" w:rsidTr="00E658B6">
        <w:trPr>
          <w:cantSplit/>
        </w:trPr>
        <w:tc>
          <w:tcPr>
            <w:tcW w:w="1573" w:type="dxa"/>
          </w:tcPr>
          <w:p w:rsidR="005253AC" w:rsidRPr="000D5690" w:rsidRDefault="000564D5" w:rsidP="000D5690">
            <w:pPr>
              <w:jc w:val="left"/>
              <w:rPr>
                <w:rFonts w:cs="Arial"/>
              </w:rPr>
            </w:pPr>
            <w:r w:rsidRPr="000D5690">
              <w:rPr>
                <w:rFonts w:cs="Arial"/>
                <w:lang w:val="es-ES_tradnl"/>
              </w:rPr>
              <w:t>Car.</w:t>
            </w:r>
            <w:r w:rsidR="005253AC" w:rsidRPr="000D5690">
              <w:rPr>
                <w:rFonts w:cs="Arial"/>
              </w:rPr>
              <w:t xml:space="preserve"> 14</w:t>
            </w:r>
          </w:p>
        </w:tc>
        <w:tc>
          <w:tcPr>
            <w:tcW w:w="7925" w:type="dxa"/>
          </w:tcPr>
          <w:p w:rsidR="005253AC" w:rsidRPr="00D6704A" w:rsidRDefault="000564D5" w:rsidP="000D5690">
            <w:pPr>
              <w:keepNext/>
              <w:rPr>
                <w:rFonts w:cs="Arial"/>
                <w:lang w:val="es-ES"/>
              </w:rPr>
            </w:pPr>
            <w:r w:rsidRPr="000D5690">
              <w:rPr>
                <w:rFonts w:cs="Arial"/>
                <w:lang w:val="es-ES_tradnl"/>
              </w:rPr>
              <w:t>Compruébese si debe rezar: “Hoja:</w:t>
            </w:r>
            <w:r w:rsidR="005253AC" w:rsidRPr="00D6704A">
              <w:rPr>
                <w:rFonts w:cs="Arial"/>
                <w:lang w:val="es-ES"/>
              </w:rPr>
              <w:t xml:space="preserve"> </w:t>
            </w:r>
            <w:r w:rsidRPr="000D5690">
              <w:rPr>
                <w:rFonts w:cs="Arial"/>
                <w:lang w:val="es-ES_tradnl"/>
              </w:rPr>
              <w:t xml:space="preserve">número de lóbulos </w:t>
            </w:r>
            <w:r w:rsidRPr="000D5690">
              <w:rPr>
                <w:rFonts w:cs="Arial"/>
                <w:u w:val="single"/>
                <w:lang w:val="es-ES_tradnl"/>
              </w:rPr>
              <w:t>primarios</w:t>
            </w:r>
            <w:r w:rsidRPr="000D5690">
              <w:rPr>
                <w:rFonts w:cs="Arial"/>
                <w:lang w:val="es-ES_tradnl"/>
              </w:rPr>
              <w:t>”.</w:t>
            </w:r>
          </w:p>
        </w:tc>
      </w:tr>
      <w:tr w:rsidR="005253AC" w:rsidRPr="00E30CEB" w:rsidTr="00E658B6">
        <w:trPr>
          <w:cantSplit/>
        </w:trPr>
        <w:tc>
          <w:tcPr>
            <w:tcW w:w="1573" w:type="dxa"/>
          </w:tcPr>
          <w:p w:rsidR="005253AC" w:rsidRPr="000D5690" w:rsidRDefault="000564D5" w:rsidP="00E658B6">
            <w:pPr>
              <w:rPr>
                <w:rFonts w:cs="Arial"/>
                <w:szCs w:val="22"/>
              </w:rPr>
            </w:pPr>
            <w:r w:rsidRPr="000D5690">
              <w:rPr>
                <w:rFonts w:cs="Arial"/>
                <w:szCs w:val="22"/>
                <w:lang w:val="es-ES_tradnl"/>
              </w:rPr>
              <w:t>Caracteres</w:t>
            </w:r>
            <w:r w:rsidR="005253AC" w:rsidRPr="000D5690">
              <w:rPr>
                <w:rFonts w:cs="Arial"/>
                <w:szCs w:val="22"/>
              </w:rPr>
              <w:t xml:space="preserve"> 15, 21</w:t>
            </w:r>
          </w:p>
          <w:p w:rsidR="005253AC" w:rsidRPr="000D5690" w:rsidRDefault="000564D5" w:rsidP="000D5690">
            <w:pPr>
              <w:rPr>
                <w:rFonts w:cs="Arial"/>
                <w:szCs w:val="22"/>
              </w:rPr>
            </w:pPr>
            <w:r w:rsidRPr="000D5690">
              <w:rPr>
                <w:rFonts w:cs="Arial"/>
                <w:szCs w:val="22"/>
                <w:lang w:val="es-ES_tradnl"/>
              </w:rPr>
              <w:t>Ad.</w:t>
            </w:r>
            <w:r w:rsidR="005253AC" w:rsidRPr="000D5690">
              <w:rPr>
                <w:rFonts w:cs="Arial"/>
                <w:szCs w:val="22"/>
              </w:rPr>
              <w:t xml:space="preserve"> </w:t>
            </w:r>
            <w:r w:rsidRPr="000D5690">
              <w:rPr>
                <w:rFonts w:cs="Arial"/>
                <w:szCs w:val="22"/>
                <w:lang w:val="es-ES_tradnl"/>
              </w:rPr>
              <w:t>15 y 21.</w:t>
            </w:r>
          </w:p>
        </w:tc>
        <w:tc>
          <w:tcPr>
            <w:tcW w:w="7925" w:type="dxa"/>
          </w:tcPr>
          <w:p w:rsidR="005253AC" w:rsidRPr="00D6704A" w:rsidRDefault="000564D5" w:rsidP="000D5690">
            <w:pPr>
              <w:rPr>
                <w:rFonts w:cs="Arial"/>
                <w:szCs w:val="22"/>
                <w:lang w:val="es-ES"/>
              </w:rPr>
            </w:pPr>
            <w:r w:rsidRPr="000D5690">
              <w:rPr>
                <w:rFonts w:cs="Arial"/>
                <w:szCs w:val="22"/>
                <w:lang w:val="es-ES_tradnl"/>
              </w:rPr>
              <w:t>Aclárese si ambos caracteres corresponden a la misma hoja.</w:t>
            </w:r>
          </w:p>
        </w:tc>
      </w:tr>
      <w:tr w:rsidR="005253AC" w:rsidRPr="00E30CEB" w:rsidTr="00E658B6">
        <w:trPr>
          <w:cantSplit/>
        </w:trPr>
        <w:tc>
          <w:tcPr>
            <w:tcW w:w="1573" w:type="dxa"/>
          </w:tcPr>
          <w:p w:rsidR="005253AC" w:rsidRPr="000D5690" w:rsidRDefault="000564D5" w:rsidP="000D5690">
            <w:pPr>
              <w:jc w:val="left"/>
              <w:rPr>
                <w:rFonts w:cs="Arial"/>
              </w:rPr>
            </w:pPr>
            <w:r w:rsidRPr="000D5690">
              <w:rPr>
                <w:rFonts w:cs="Arial"/>
                <w:lang w:val="es-ES_tradnl"/>
              </w:rPr>
              <w:t>Car.</w:t>
            </w:r>
            <w:r w:rsidR="005253AC" w:rsidRPr="000D5690">
              <w:rPr>
                <w:rFonts w:cs="Arial"/>
              </w:rPr>
              <w:t xml:space="preserve"> 16</w:t>
            </w:r>
          </w:p>
        </w:tc>
        <w:tc>
          <w:tcPr>
            <w:tcW w:w="7925" w:type="dxa"/>
          </w:tcPr>
          <w:p w:rsidR="005253AC" w:rsidRPr="00D6704A" w:rsidRDefault="000564D5" w:rsidP="000D5690">
            <w:pPr>
              <w:keepNext/>
              <w:rPr>
                <w:rFonts w:cs="Arial"/>
                <w:lang w:val="es-ES"/>
              </w:rPr>
            </w:pPr>
            <w:r w:rsidRPr="000D5690">
              <w:rPr>
                <w:rFonts w:cs="Arial"/>
                <w:lang w:val="es-ES_tradnl"/>
              </w:rPr>
              <w:t>El nivel 3 deber rezar: “truncado”.</w:t>
            </w:r>
          </w:p>
        </w:tc>
      </w:tr>
      <w:tr w:rsidR="005253AC" w:rsidRPr="00E30CEB" w:rsidTr="00E658B6">
        <w:trPr>
          <w:cantSplit/>
        </w:trPr>
        <w:tc>
          <w:tcPr>
            <w:tcW w:w="1573" w:type="dxa"/>
          </w:tcPr>
          <w:p w:rsidR="005253AC" w:rsidRPr="000D5690" w:rsidRDefault="000564D5" w:rsidP="000D5690">
            <w:pPr>
              <w:jc w:val="left"/>
              <w:rPr>
                <w:rFonts w:cs="Arial"/>
              </w:rPr>
            </w:pPr>
            <w:r w:rsidRPr="000D5690">
              <w:rPr>
                <w:rFonts w:cs="Arial"/>
                <w:lang w:val="es-ES_tradnl"/>
              </w:rPr>
              <w:t>Car.</w:t>
            </w:r>
            <w:r w:rsidR="005253AC" w:rsidRPr="000D5690">
              <w:rPr>
                <w:rFonts w:cs="Arial"/>
              </w:rPr>
              <w:t xml:space="preserve"> 18</w:t>
            </w:r>
          </w:p>
        </w:tc>
        <w:tc>
          <w:tcPr>
            <w:tcW w:w="7925" w:type="dxa"/>
          </w:tcPr>
          <w:p w:rsidR="005253AC" w:rsidRPr="00D6704A" w:rsidRDefault="00683B57" w:rsidP="00E658B6">
            <w:pPr>
              <w:keepNext/>
              <w:rPr>
                <w:rFonts w:cs="Arial"/>
                <w:lang w:val="es-ES"/>
              </w:rPr>
            </w:pPr>
            <w:r w:rsidRPr="00D6704A">
              <w:rPr>
                <w:rFonts w:cs="Arial"/>
                <w:lang w:val="es-ES"/>
              </w:rPr>
              <w:t xml:space="preserve">- </w:t>
            </w:r>
            <w:r w:rsidR="000564D5" w:rsidRPr="000D5690">
              <w:rPr>
                <w:rFonts w:cs="Arial"/>
                <w:lang w:val="es-ES_tradnl"/>
              </w:rPr>
              <w:t>Compruébese si debe rezar: “Hoja:</w:t>
            </w:r>
            <w:r w:rsidR="005253AC" w:rsidRPr="00D6704A">
              <w:rPr>
                <w:rFonts w:cs="Arial"/>
                <w:lang w:val="es-ES"/>
              </w:rPr>
              <w:t xml:space="preserve"> </w:t>
            </w:r>
            <w:r w:rsidR="000564D5" w:rsidRPr="000D5690">
              <w:rPr>
                <w:rFonts w:cs="Arial"/>
                <w:lang w:val="es-ES_tradnl"/>
              </w:rPr>
              <w:t xml:space="preserve">longitud de los lóbulos </w:t>
            </w:r>
            <w:r w:rsidR="000564D5" w:rsidRPr="000D5690">
              <w:rPr>
                <w:rFonts w:cs="Arial"/>
                <w:u w:val="single"/>
                <w:lang w:val="es-ES_tradnl"/>
              </w:rPr>
              <w:t>primarios</w:t>
            </w:r>
            <w:r w:rsidR="000564D5" w:rsidRPr="000D5690">
              <w:rPr>
                <w:rFonts w:cs="Arial"/>
                <w:lang w:val="es-ES_tradnl"/>
              </w:rPr>
              <w:t>”.</w:t>
            </w:r>
          </w:p>
          <w:p w:rsidR="005253AC" w:rsidRPr="00D6704A" w:rsidRDefault="00683B57" w:rsidP="000D5690">
            <w:pPr>
              <w:keepNext/>
              <w:rPr>
                <w:rFonts w:cs="Arial"/>
                <w:lang w:val="es-ES"/>
              </w:rPr>
            </w:pPr>
            <w:r w:rsidRPr="00D6704A">
              <w:rPr>
                <w:rFonts w:cs="Arial"/>
                <w:lang w:val="es-ES"/>
              </w:rPr>
              <w:t xml:space="preserve">- </w:t>
            </w:r>
            <w:r w:rsidR="00B30134" w:rsidRPr="000D5690">
              <w:rPr>
                <w:rFonts w:cs="Arial"/>
                <w:lang w:val="es-ES_tradnl"/>
              </w:rPr>
              <w:t>I</w:t>
            </w:r>
            <w:r w:rsidR="000564D5" w:rsidRPr="000D5690">
              <w:rPr>
                <w:rFonts w:cs="Arial"/>
                <w:lang w:val="es-ES_tradnl"/>
              </w:rPr>
              <w:t>nd</w:t>
            </w:r>
            <w:r w:rsidR="00B30134" w:rsidRPr="000D5690">
              <w:rPr>
                <w:rFonts w:cs="Arial"/>
                <w:lang w:val="es-ES_tradnl"/>
              </w:rPr>
              <w:t xml:space="preserve">íquese la parte de la hoja </w:t>
            </w:r>
            <w:r w:rsidR="000564D5" w:rsidRPr="000D5690">
              <w:rPr>
                <w:rFonts w:cs="Arial"/>
                <w:lang w:val="es-ES_tradnl"/>
              </w:rPr>
              <w:t xml:space="preserve">que </w:t>
            </w:r>
            <w:r w:rsidR="00B30134" w:rsidRPr="000D5690">
              <w:rPr>
                <w:rFonts w:cs="Arial"/>
                <w:lang w:val="es-ES_tradnl"/>
              </w:rPr>
              <w:t xml:space="preserve">debe </w:t>
            </w:r>
            <w:r w:rsidR="000564D5" w:rsidRPr="000D5690">
              <w:rPr>
                <w:rFonts w:cs="Arial"/>
                <w:lang w:val="es-ES_tradnl"/>
              </w:rPr>
              <w:t>observa</w:t>
            </w:r>
            <w:r w:rsidR="00B30134" w:rsidRPr="000D5690">
              <w:rPr>
                <w:rFonts w:cs="Arial"/>
                <w:lang w:val="es-ES_tradnl"/>
              </w:rPr>
              <w:t>rse</w:t>
            </w:r>
            <w:r w:rsidR="000564D5" w:rsidRPr="000D5690">
              <w:rPr>
                <w:rFonts w:cs="Arial"/>
                <w:lang w:val="es-ES_tradnl"/>
              </w:rPr>
              <w:t xml:space="preserve"> (</w:t>
            </w:r>
            <w:r w:rsidR="00B30134" w:rsidRPr="000D5690">
              <w:rPr>
                <w:rFonts w:cs="Arial"/>
                <w:lang w:val="es-ES_tradnl"/>
              </w:rPr>
              <w:t>¿</w:t>
            </w:r>
            <w:r w:rsidR="000564D5" w:rsidRPr="000D5690">
              <w:rPr>
                <w:rFonts w:cs="Arial"/>
                <w:lang w:val="es-ES_tradnl"/>
              </w:rPr>
              <w:t>tercio medio?)</w:t>
            </w:r>
            <w:r w:rsidR="00B30134" w:rsidRPr="000D5690">
              <w:rPr>
                <w:rFonts w:cs="Arial"/>
                <w:lang w:val="es-ES_tradnl"/>
              </w:rPr>
              <w:t>.</w:t>
            </w:r>
          </w:p>
        </w:tc>
      </w:tr>
      <w:tr w:rsidR="005253AC" w:rsidRPr="00E30CEB" w:rsidTr="00E658B6">
        <w:trPr>
          <w:cantSplit/>
        </w:trPr>
        <w:tc>
          <w:tcPr>
            <w:tcW w:w="1573" w:type="dxa"/>
          </w:tcPr>
          <w:p w:rsidR="005253AC" w:rsidRPr="000D5690" w:rsidRDefault="00B30134" w:rsidP="000D5690">
            <w:pPr>
              <w:jc w:val="left"/>
              <w:rPr>
                <w:rFonts w:cs="Arial"/>
              </w:rPr>
            </w:pPr>
            <w:r w:rsidRPr="000D5690">
              <w:rPr>
                <w:rFonts w:cs="Arial"/>
                <w:lang w:val="es-ES_tradnl"/>
              </w:rPr>
              <w:t>Car.</w:t>
            </w:r>
            <w:r w:rsidR="005253AC" w:rsidRPr="000D5690">
              <w:rPr>
                <w:rFonts w:cs="Arial"/>
              </w:rPr>
              <w:t xml:space="preserve"> 19</w:t>
            </w:r>
          </w:p>
        </w:tc>
        <w:tc>
          <w:tcPr>
            <w:tcW w:w="7925" w:type="dxa"/>
          </w:tcPr>
          <w:p w:rsidR="005253AC" w:rsidRPr="00D6704A" w:rsidRDefault="00683B57" w:rsidP="000D5690">
            <w:pPr>
              <w:keepNext/>
              <w:rPr>
                <w:rFonts w:cs="Arial"/>
                <w:lang w:val="es-ES"/>
              </w:rPr>
            </w:pPr>
            <w:r w:rsidRPr="00D6704A">
              <w:rPr>
                <w:rFonts w:cs="Arial"/>
                <w:lang w:val="es-ES"/>
              </w:rPr>
              <w:t xml:space="preserve">- </w:t>
            </w:r>
            <w:r w:rsidR="00B30134" w:rsidRPr="000D5690">
              <w:rPr>
                <w:rFonts w:cs="Arial"/>
                <w:lang w:val="es-ES_tradnl"/>
              </w:rPr>
              <w:t>Compruébese si debe rezar: “Hoja:</w:t>
            </w:r>
            <w:r w:rsidR="005253AC" w:rsidRPr="00D6704A">
              <w:rPr>
                <w:rFonts w:cs="Arial"/>
                <w:lang w:val="es-ES"/>
              </w:rPr>
              <w:t xml:space="preserve"> </w:t>
            </w:r>
            <w:r w:rsidR="00D868C4" w:rsidRPr="000D5690">
              <w:rPr>
                <w:rFonts w:cs="Arial"/>
                <w:lang w:val="es-ES_tradnl"/>
              </w:rPr>
              <w:t>anchura</w:t>
            </w:r>
            <w:r w:rsidR="00B30134" w:rsidRPr="000D5690">
              <w:rPr>
                <w:rFonts w:cs="Arial"/>
                <w:lang w:val="es-ES_tradnl"/>
              </w:rPr>
              <w:t xml:space="preserve"> de los lóbulos </w:t>
            </w:r>
            <w:r w:rsidR="00B30134" w:rsidRPr="000D5690">
              <w:rPr>
                <w:rFonts w:cs="Arial"/>
                <w:u w:val="single"/>
                <w:lang w:val="es-ES_tradnl"/>
              </w:rPr>
              <w:t>primarios</w:t>
            </w:r>
            <w:r w:rsidR="00B30134" w:rsidRPr="000D5690">
              <w:rPr>
                <w:rFonts w:cs="Arial"/>
                <w:lang w:val="es-ES_tradnl"/>
              </w:rPr>
              <w:t>”.</w:t>
            </w:r>
          </w:p>
        </w:tc>
      </w:tr>
      <w:tr w:rsidR="005253AC" w:rsidRPr="00E30CEB" w:rsidTr="00E658B6">
        <w:trPr>
          <w:cantSplit/>
        </w:trPr>
        <w:tc>
          <w:tcPr>
            <w:tcW w:w="1573" w:type="dxa"/>
          </w:tcPr>
          <w:p w:rsidR="005253AC" w:rsidRPr="000D5690" w:rsidRDefault="00B30134" w:rsidP="000D5690">
            <w:pPr>
              <w:rPr>
                <w:rFonts w:cs="Arial"/>
                <w:szCs w:val="22"/>
              </w:rPr>
            </w:pPr>
            <w:r w:rsidRPr="000D5690">
              <w:rPr>
                <w:rFonts w:cs="Arial"/>
                <w:szCs w:val="22"/>
                <w:lang w:val="es-ES_tradnl"/>
              </w:rPr>
              <w:t>Car.</w:t>
            </w:r>
            <w:r w:rsidR="005253AC" w:rsidRPr="000D5690">
              <w:rPr>
                <w:rFonts w:cs="Arial"/>
                <w:szCs w:val="22"/>
              </w:rPr>
              <w:t xml:space="preserve"> 27</w:t>
            </w:r>
          </w:p>
        </w:tc>
        <w:tc>
          <w:tcPr>
            <w:tcW w:w="7925" w:type="dxa"/>
          </w:tcPr>
          <w:p w:rsidR="005253AC" w:rsidRPr="00D6704A" w:rsidRDefault="00B30134" w:rsidP="00E658B6">
            <w:pPr>
              <w:rPr>
                <w:rFonts w:cs="Arial"/>
                <w:szCs w:val="22"/>
                <w:lang w:val="es-ES"/>
              </w:rPr>
            </w:pPr>
            <w:r w:rsidRPr="000D5690">
              <w:rPr>
                <w:rFonts w:cs="Arial"/>
                <w:szCs w:val="22"/>
                <w:lang w:val="es-ES_tradnl"/>
              </w:rPr>
              <w:t>Debe trasladarse a continuación del carácter 7.</w:t>
            </w:r>
          </w:p>
          <w:p w:rsidR="005253AC" w:rsidRPr="00D6704A" w:rsidRDefault="00B30134" w:rsidP="000D5690">
            <w:pPr>
              <w:rPr>
                <w:rFonts w:cs="Arial"/>
                <w:szCs w:val="22"/>
                <w:lang w:val="es-ES"/>
              </w:rPr>
            </w:pPr>
            <w:r w:rsidRPr="000D5690">
              <w:rPr>
                <w:rFonts w:cs="Arial"/>
                <w:szCs w:val="22"/>
                <w:lang w:val="es-ES_tradnl"/>
              </w:rPr>
              <w:t>Véase la observación relativa al Ad. 6.</w:t>
            </w:r>
          </w:p>
        </w:tc>
      </w:tr>
      <w:tr w:rsidR="005253AC" w:rsidRPr="000D5690" w:rsidTr="00E658B6">
        <w:trPr>
          <w:cantSplit/>
        </w:trPr>
        <w:tc>
          <w:tcPr>
            <w:tcW w:w="1573" w:type="dxa"/>
          </w:tcPr>
          <w:p w:rsidR="005253AC" w:rsidRPr="000D5690" w:rsidRDefault="00B30134" w:rsidP="000D5690">
            <w:pPr>
              <w:jc w:val="left"/>
              <w:rPr>
                <w:rFonts w:cs="Arial"/>
              </w:rPr>
            </w:pPr>
            <w:r w:rsidRPr="000D5690">
              <w:rPr>
                <w:rFonts w:cs="Arial"/>
                <w:lang w:val="es-ES_tradnl"/>
              </w:rPr>
              <w:t>Car.</w:t>
            </w:r>
            <w:r w:rsidR="005253AC" w:rsidRPr="000D5690">
              <w:rPr>
                <w:rFonts w:cs="Arial"/>
              </w:rPr>
              <w:t xml:space="preserve"> 28</w:t>
            </w:r>
          </w:p>
        </w:tc>
        <w:tc>
          <w:tcPr>
            <w:tcW w:w="7925" w:type="dxa"/>
          </w:tcPr>
          <w:p w:rsidR="005253AC" w:rsidRPr="000D5690" w:rsidRDefault="00B30134" w:rsidP="000D5690">
            <w:pPr>
              <w:keepNext/>
              <w:rPr>
                <w:rFonts w:cs="Arial"/>
              </w:rPr>
            </w:pPr>
            <w:r w:rsidRPr="000D5690">
              <w:rPr>
                <w:rFonts w:cs="Arial"/>
                <w:lang w:val="es-ES_tradnl"/>
              </w:rPr>
              <w:t>Indíquese como QN.</w:t>
            </w:r>
          </w:p>
        </w:tc>
      </w:tr>
      <w:tr w:rsidR="005253AC" w:rsidRPr="00E30CEB" w:rsidTr="00E658B6">
        <w:trPr>
          <w:cantSplit/>
        </w:trPr>
        <w:tc>
          <w:tcPr>
            <w:tcW w:w="1573" w:type="dxa"/>
          </w:tcPr>
          <w:p w:rsidR="005253AC" w:rsidRPr="000D5690" w:rsidRDefault="00B30134" w:rsidP="000D5690">
            <w:pPr>
              <w:jc w:val="left"/>
              <w:rPr>
                <w:rFonts w:cs="Arial"/>
              </w:rPr>
            </w:pPr>
            <w:r w:rsidRPr="000D5690">
              <w:rPr>
                <w:rFonts w:cs="Arial"/>
                <w:lang w:val="es-ES_tradnl"/>
              </w:rPr>
              <w:t>Car.</w:t>
            </w:r>
            <w:r w:rsidR="005253AC" w:rsidRPr="000D5690">
              <w:rPr>
                <w:rFonts w:cs="Arial"/>
              </w:rPr>
              <w:t xml:space="preserve"> 33</w:t>
            </w:r>
          </w:p>
        </w:tc>
        <w:tc>
          <w:tcPr>
            <w:tcW w:w="7925" w:type="dxa"/>
          </w:tcPr>
          <w:p w:rsidR="005253AC" w:rsidRPr="00D6704A" w:rsidRDefault="00683B57" w:rsidP="00E658B6">
            <w:pPr>
              <w:keepNext/>
              <w:rPr>
                <w:rFonts w:cs="Arial"/>
                <w:lang w:val="es-ES"/>
              </w:rPr>
            </w:pPr>
            <w:r w:rsidRPr="00D6704A">
              <w:rPr>
                <w:rFonts w:cs="Arial"/>
                <w:lang w:val="es-ES"/>
              </w:rPr>
              <w:t xml:space="preserve">- </w:t>
            </w:r>
            <w:r w:rsidR="00B30134" w:rsidRPr="000D5690">
              <w:rPr>
                <w:rFonts w:cs="Arial"/>
                <w:lang w:val="es-ES_tradnl"/>
              </w:rPr>
              <w:t>“Irregular” no es un tipo.</w:t>
            </w:r>
          </w:p>
          <w:p w:rsidR="005253AC" w:rsidRPr="00D6704A" w:rsidRDefault="00683B57" w:rsidP="000D5690">
            <w:pPr>
              <w:keepNext/>
              <w:rPr>
                <w:rFonts w:cs="Arial"/>
                <w:lang w:val="es-ES"/>
              </w:rPr>
            </w:pPr>
            <w:r w:rsidRPr="00D6704A">
              <w:rPr>
                <w:rFonts w:cs="Arial"/>
                <w:lang w:val="es-ES"/>
              </w:rPr>
              <w:t xml:space="preserve">- </w:t>
            </w:r>
            <w:r w:rsidR="00B30134" w:rsidRPr="000D5690">
              <w:rPr>
                <w:rFonts w:cs="Arial"/>
                <w:lang w:val="es-ES_tradnl"/>
              </w:rPr>
              <w:t>Como nivel 6 debe figurar “oval”.</w:t>
            </w:r>
          </w:p>
        </w:tc>
      </w:tr>
      <w:tr w:rsidR="005253AC" w:rsidRPr="00E30CEB" w:rsidTr="00E658B6">
        <w:trPr>
          <w:cantSplit/>
        </w:trPr>
        <w:tc>
          <w:tcPr>
            <w:tcW w:w="1573" w:type="dxa"/>
          </w:tcPr>
          <w:p w:rsidR="005253AC" w:rsidRPr="000D5690" w:rsidRDefault="00B30134" w:rsidP="000D5690">
            <w:pPr>
              <w:jc w:val="left"/>
              <w:rPr>
                <w:rFonts w:cs="Arial"/>
              </w:rPr>
            </w:pPr>
            <w:r w:rsidRPr="000D5690">
              <w:rPr>
                <w:rFonts w:cs="Arial"/>
                <w:lang w:val="es-ES_tradnl"/>
              </w:rPr>
              <w:t>Car.</w:t>
            </w:r>
            <w:r w:rsidR="005253AC" w:rsidRPr="000D5690">
              <w:rPr>
                <w:rFonts w:cs="Arial"/>
              </w:rPr>
              <w:t xml:space="preserve"> 34</w:t>
            </w:r>
          </w:p>
        </w:tc>
        <w:tc>
          <w:tcPr>
            <w:tcW w:w="7925" w:type="dxa"/>
          </w:tcPr>
          <w:p w:rsidR="005253AC" w:rsidRPr="00D6704A" w:rsidRDefault="00683B57" w:rsidP="00E658B6">
            <w:pPr>
              <w:keepNext/>
              <w:rPr>
                <w:rFonts w:cs="Arial"/>
                <w:lang w:val="es-ES"/>
              </w:rPr>
            </w:pPr>
            <w:r w:rsidRPr="00D6704A">
              <w:rPr>
                <w:rFonts w:cs="Arial"/>
                <w:lang w:val="es-ES"/>
              </w:rPr>
              <w:t xml:space="preserve">- </w:t>
            </w:r>
            <w:r w:rsidR="00B30134" w:rsidRPr="000D5690">
              <w:rPr>
                <w:rFonts w:cs="Arial"/>
                <w:lang w:val="es-ES_tradnl"/>
              </w:rPr>
              <w:t>Compruébese si procede intercambiar el orden de los niveles (2) “</w:t>
            </w:r>
            <w:proofErr w:type="spellStart"/>
            <w:r w:rsidR="00B30134" w:rsidRPr="000D5690">
              <w:rPr>
                <w:rFonts w:cs="Arial"/>
                <w:lang w:val="es-ES_tradnl"/>
              </w:rPr>
              <w:t>basípeta</w:t>
            </w:r>
            <w:proofErr w:type="spellEnd"/>
            <w:r w:rsidR="00B30134" w:rsidRPr="000D5690">
              <w:rPr>
                <w:rFonts w:cs="Arial"/>
                <w:lang w:val="es-ES_tradnl"/>
              </w:rPr>
              <w:t>” y (3) “sincrónica”.</w:t>
            </w:r>
            <w:r w:rsidR="005253AC" w:rsidRPr="00D6704A">
              <w:rPr>
                <w:rFonts w:cs="Arial"/>
                <w:lang w:val="es-ES"/>
              </w:rPr>
              <w:t xml:space="preserve"> </w:t>
            </w:r>
          </w:p>
          <w:p w:rsidR="005253AC" w:rsidRPr="00D6704A" w:rsidRDefault="00683B57" w:rsidP="000D5690">
            <w:pPr>
              <w:keepNext/>
              <w:rPr>
                <w:rFonts w:cs="Arial"/>
                <w:lang w:val="es-ES"/>
              </w:rPr>
            </w:pPr>
            <w:r w:rsidRPr="00D6704A">
              <w:rPr>
                <w:rFonts w:cs="Arial"/>
                <w:lang w:val="es-ES"/>
              </w:rPr>
              <w:t xml:space="preserve">- </w:t>
            </w:r>
            <w:r w:rsidR="00E2307F" w:rsidRPr="000D5690">
              <w:rPr>
                <w:rFonts w:cs="Arial"/>
                <w:lang w:val="es-ES_tradnl"/>
              </w:rPr>
              <w:t>Compruébese si realmente es QL.</w:t>
            </w:r>
          </w:p>
        </w:tc>
      </w:tr>
      <w:tr w:rsidR="005253AC" w:rsidRPr="00E30CEB" w:rsidTr="00E658B6">
        <w:trPr>
          <w:cantSplit/>
        </w:trPr>
        <w:tc>
          <w:tcPr>
            <w:tcW w:w="1573" w:type="dxa"/>
          </w:tcPr>
          <w:p w:rsidR="005253AC" w:rsidRPr="000D5690" w:rsidRDefault="00E2307F" w:rsidP="000D5690">
            <w:pPr>
              <w:jc w:val="left"/>
              <w:rPr>
                <w:rFonts w:cs="Arial"/>
              </w:rPr>
            </w:pPr>
            <w:r w:rsidRPr="000D5690">
              <w:rPr>
                <w:rFonts w:cs="Arial"/>
                <w:lang w:val="es-ES_tradnl"/>
              </w:rPr>
              <w:t>Caracteres</w:t>
            </w:r>
            <w:r w:rsidR="005253AC" w:rsidRPr="000D5690">
              <w:rPr>
                <w:rFonts w:cs="Arial"/>
              </w:rPr>
              <w:t xml:space="preserve"> 35, 43, 62</w:t>
            </w:r>
          </w:p>
        </w:tc>
        <w:tc>
          <w:tcPr>
            <w:tcW w:w="7925" w:type="dxa"/>
          </w:tcPr>
          <w:p w:rsidR="005253AC" w:rsidRPr="00D6704A" w:rsidRDefault="00E2307F" w:rsidP="000D5690">
            <w:pPr>
              <w:keepNext/>
              <w:rPr>
                <w:rFonts w:cs="Arial"/>
                <w:lang w:val="es-ES"/>
              </w:rPr>
            </w:pPr>
            <w:r w:rsidRPr="000D5690">
              <w:rPr>
                <w:rFonts w:cs="Arial"/>
                <w:lang w:val="es-ES_tradnl"/>
              </w:rPr>
              <w:t>Compruébese si existen variedades ejemplo para el nivel 7 “negro” o si podría suprimirse.</w:t>
            </w:r>
          </w:p>
        </w:tc>
      </w:tr>
      <w:tr w:rsidR="005253AC" w:rsidRPr="00E30CEB" w:rsidTr="00E658B6">
        <w:trPr>
          <w:cantSplit/>
        </w:trPr>
        <w:tc>
          <w:tcPr>
            <w:tcW w:w="1573" w:type="dxa"/>
          </w:tcPr>
          <w:p w:rsidR="005253AC" w:rsidRPr="000D5690" w:rsidRDefault="00E2307F" w:rsidP="000D5690">
            <w:pPr>
              <w:rPr>
                <w:rFonts w:cs="Arial"/>
                <w:szCs w:val="22"/>
              </w:rPr>
            </w:pPr>
            <w:r w:rsidRPr="000D5690">
              <w:rPr>
                <w:rFonts w:cs="Arial"/>
                <w:szCs w:val="22"/>
                <w:lang w:val="es-ES_tradnl"/>
              </w:rPr>
              <w:t>Caracteres</w:t>
            </w:r>
            <w:r w:rsidR="005253AC" w:rsidRPr="000D5690">
              <w:rPr>
                <w:rFonts w:cs="Arial"/>
                <w:szCs w:val="22"/>
              </w:rPr>
              <w:t xml:space="preserve"> 36, 37</w:t>
            </w:r>
          </w:p>
        </w:tc>
        <w:tc>
          <w:tcPr>
            <w:tcW w:w="7925" w:type="dxa"/>
          </w:tcPr>
          <w:p w:rsidR="005253AC" w:rsidRPr="00D6704A" w:rsidRDefault="00E2307F" w:rsidP="000D5690">
            <w:pPr>
              <w:rPr>
                <w:rFonts w:cs="Arial"/>
                <w:szCs w:val="22"/>
                <w:lang w:val="es-ES"/>
              </w:rPr>
            </w:pPr>
            <w:r w:rsidRPr="000D5690">
              <w:rPr>
                <w:rFonts w:cs="Arial"/>
                <w:szCs w:val="22"/>
                <w:lang w:val="es-ES_tradnl"/>
              </w:rPr>
              <w:t>Uno de los dos puede eliminarse (véase también el carácter 31).</w:t>
            </w:r>
          </w:p>
        </w:tc>
      </w:tr>
      <w:tr w:rsidR="005253AC" w:rsidRPr="00E30CEB" w:rsidTr="00E658B6">
        <w:trPr>
          <w:cantSplit/>
        </w:trPr>
        <w:tc>
          <w:tcPr>
            <w:tcW w:w="1573" w:type="dxa"/>
          </w:tcPr>
          <w:p w:rsidR="005253AC" w:rsidRPr="000D5690" w:rsidRDefault="00E2307F" w:rsidP="000D5690">
            <w:pPr>
              <w:jc w:val="left"/>
              <w:rPr>
                <w:rFonts w:cs="Arial"/>
              </w:rPr>
            </w:pPr>
            <w:r w:rsidRPr="000D5690">
              <w:rPr>
                <w:rFonts w:cs="Arial"/>
                <w:lang w:val="es-ES_tradnl"/>
              </w:rPr>
              <w:t>Car.</w:t>
            </w:r>
            <w:r w:rsidR="005253AC" w:rsidRPr="000D5690">
              <w:rPr>
                <w:rFonts w:cs="Arial"/>
              </w:rPr>
              <w:t xml:space="preserve"> 39</w:t>
            </w:r>
          </w:p>
        </w:tc>
        <w:tc>
          <w:tcPr>
            <w:tcW w:w="7925" w:type="dxa"/>
          </w:tcPr>
          <w:p w:rsidR="005253AC" w:rsidRPr="00D6704A" w:rsidRDefault="00E2307F" w:rsidP="000D5690">
            <w:pPr>
              <w:keepNext/>
              <w:rPr>
                <w:rFonts w:cs="Arial"/>
                <w:lang w:val="es-ES"/>
              </w:rPr>
            </w:pPr>
            <w:r w:rsidRPr="000D5690">
              <w:rPr>
                <w:rFonts w:cs="Arial"/>
                <w:lang w:val="es-ES_tradnl"/>
              </w:rPr>
              <w:t>Deben figurar los niveles siguientes:</w:t>
            </w:r>
            <w:r w:rsidR="005253AC" w:rsidRPr="00D6704A">
              <w:rPr>
                <w:rFonts w:cs="Arial"/>
                <w:lang w:val="es-ES"/>
              </w:rPr>
              <w:t xml:space="preserve"> </w:t>
            </w:r>
            <w:r w:rsidRPr="000D5690">
              <w:rPr>
                <w:rFonts w:cs="Arial"/>
                <w:lang w:val="es-ES_tradnl"/>
              </w:rPr>
              <w:t>(1) hacia arriba, (2) hacia afuera, (3) hacia abajo.</w:t>
            </w:r>
          </w:p>
        </w:tc>
      </w:tr>
      <w:tr w:rsidR="005253AC" w:rsidRPr="000D5690" w:rsidTr="00E658B6">
        <w:trPr>
          <w:cantSplit/>
        </w:trPr>
        <w:tc>
          <w:tcPr>
            <w:tcW w:w="1573" w:type="dxa"/>
          </w:tcPr>
          <w:p w:rsidR="005253AC" w:rsidRPr="000D5690" w:rsidRDefault="00E2307F" w:rsidP="000D5690">
            <w:pPr>
              <w:rPr>
                <w:rFonts w:cs="Arial"/>
                <w:szCs w:val="22"/>
              </w:rPr>
            </w:pPr>
            <w:r w:rsidRPr="000D5690">
              <w:rPr>
                <w:rFonts w:cs="Arial"/>
                <w:szCs w:val="22"/>
                <w:lang w:val="es-ES_tradnl"/>
              </w:rPr>
              <w:t>Car.</w:t>
            </w:r>
            <w:r w:rsidR="005253AC" w:rsidRPr="000D5690">
              <w:rPr>
                <w:rFonts w:cs="Arial"/>
                <w:szCs w:val="22"/>
              </w:rPr>
              <w:t xml:space="preserve"> 43</w:t>
            </w:r>
          </w:p>
        </w:tc>
        <w:tc>
          <w:tcPr>
            <w:tcW w:w="7925" w:type="dxa"/>
          </w:tcPr>
          <w:p w:rsidR="005253AC" w:rsidRPr="000D5690" w:rsidRDefault="00E2307F" w:rsidP="000D5690">
            <w:pPr>
              <w:rPr>
                <w:rFonts w:cs="Arial"/>
                <w:szCs w:val="22"/>
              </w:rPr>
            </w:pPr>
            <w:r w:rsidRPr="000D5690">
              <w:rPr>
                <w:rFonts w:cs="Arial"/>
                <w:szCs w:val="22"/>
                <w:lang w:val="es-ES_tradnl"/>
              </w:rPr>
              <w:t>Suprímase (véase el carácter 50).</w:t>
            </w:r>
          </w:p>
        </w:tc>
      </w:tr>
      <w:tr w:rsidR="005253AC" w:rsidRPr="00E30CEB" w:rsidTr="00E658B6">
        <w:trPr>
          <w:cantSplit/>
        </w:trPr>
        <w:tc>
          <w:tcPr>
            <w:tcW w:w="1573" w:type="dxa"/>
          </w:tcPr>
          <w:p w:rsidR="005253AC" w:rsidRPr="000D5690" w:rsidRDefault="00E2307F" w:rsidP="000D5690">
            <w:pPr>
              <w:jc w:val="left"/>
              <w:rPr>
                <w:rFonts w:cs="Arial"/>
              </w:rPr>
            </w:pPr>
            <w:r w:rsidRPr="000D5690">
              <w:rPr>
                <w:rFonts w:cs="Arial"/>
                <w:lang w:val="es-ES_tradnl"/>
              </w:rPr>
              <w:t>Caracteres</w:t>
            </w:r>
            <w:r w:rsidR="005253AC" w:rsidRPr="000D5690">
              <w:rPr>
                <w:rFonts w:cs="Arial"/>
              </w:rPr>
              <w:t xml:space="preserve"> 48, 49</w:t>
            </w:r>
          </w:p>
        </w:tc>
        <w:tc>
          <w:tcPr>
            <w:tcW w:w="7925" w:type="dxa"/>
          </w:tcPr>
          <w:p w:rsidR="005253AC" w:rsidRPr="00D6704A" w:rsidRDefault="00E2307F" w:rsidP="000D5690">
            <w:pPr>
              <w:keepNext/>
              <w:rPr>
                <w:rFonts w:cs="Arial"/>
                <w:lang w:val="es-ES"/>
              </w:rPr>
            </w:pPr>
            <w:r w:rsidRPr="000D5690">
              <w:rPr>
                <w:rFonts w:cs="Arial"/>
                <w:lang w:val="es-ES_tradnl"/>
              </w:rPr>
              <w:t>Compruébese si “cohesión” es el término correcto.</w:t>
            </w:r>
          </w:p>
        </w:tc>
      </w:tr>
      <w:tr w:rsidR="005253AC" w:rsidRPr="000D5690" w:rsidTr="00E658B6">
        <w:trPr>
          <w:cantSplit/>
        </w:trPr>
        <w:tc>
          <w:tcPr>
            <w:tcW w:w="1573" w:type="dxa"/>
          </w:tcPr>
          <w:p w:rsidR="005253AC" w:rsidRPr="000D5690" w:rsidRDefault="00E2307F" w:rsidP="000D5690">
            <w:pPr>
              <w:jc w:val="left"/>
              <w:rPr>
                <w:rFonts w:cs="Arial"/>
              </w:rPr>
            </w:pPr>
            <w:r w:rsidRPr="000D5690">
              <w:rPr>
                <w:rFonts w:cs="Arial"/>
                <w:lang w:val="es-ES_tradnl"/>
              </w:rPr>
              <w:t>Car.</w:t>
            </w:r>
            <w:r w:rsidR="005253AC" w:rsidRPr="000D5690">
              <w:rPr>
                <w:rFonts w:cs="Arial"/>
              </w:rPr>
              <w:t xml:space="preserve"> 53</w:t>
            </w:r>
          </w:p>
        </w:tc>
        <w:tc>
          <w:tcPr>
            <w:tcW w:w="7925" w:type="dxa"/>
          </w:tcPr>
          <w:p w:rsidR="005253AC" w:rsidRPr="000D5690" w:rsidRDefault="00E2307F" w:rsidP="000D5690">
            <w:pPr>
              <w:keepNext/>
              <w:rPr>
                <w:rFonts w:cs="Arial"/>
              </w:rPr>
            </w:pPr>
            <w:r w:rsidRPr="000D5690">
              <w:rPr>
                <w:rFonts w:cs="Arial"/>
                <w:lang w:val="es-ES_tradnl"/>
              </w:rPr>
              <w:t>Debe figurar: “muy curvado”.</w:t>
            </w:r>
            <w:r w:rsidRPr="000D5690">
              <w:rPr>
                <w:rFonts w:cs="Arial"/>
              </w:rPr>
              <w:t xml:space="preserve"> </w:t>
            </w:r>
          </w:p>
        </w:tc>
      </w:tr>
      <w:tr w:rsidR="005253AC" w:rsidRPr="00E30CEB" w:rsidTr="00E658B6">
        <w:trPr>
          <w:cantSplit/>
        </w:trPr>
        <w:tc>
          <w:tcPr>
            <w:tcW w:w="1573" w:type="dxa"/>
          </w:tcPr>
          <w:p w:rsidR="005253AC" w:rsidRPr="000D5690" w:rsidRDefault="00E2307F" w:rsidP="000D5690">
            <w:pPr>
              <w:jc w:val="left"/>
              <w:rPr>
                <w:rFonts w:cs="Arial"/>
              </w:rPr>
            </w:pPr>
            <w:r w:rsidRPr="000D5690">
              <w:rPr>
                <w:rFonts w:cs="Arial"/>
                <w:lang w:val="es-ES_tradnl"/>
              </w:rPr>
              <w:t>Car.</w:t>
            </w:r>
            <w:r w:rsidR="005253AC" w:rsidRPr="000D5690">
              <w:rPr>
                <w:rFonts w:cs="Arial"/>
              </w:rPr>
              <w:t xml:space="preserve"> 58</w:t>
            </w:r>
          </w:p>
        </w:tc>
        <w:tc>
          <w:tcPr>
            <w:tcW w:w="7925" w:type="dxa"/>
          </w:tcPr>
          <w:p w:rsidR="005253AC" w:rsidRPr="00D6704A" w:rsidRDefault="00014A89" w:rsidP="000D5690">
            <w:pPr>
              <w:keepNext/>
              <w:rPr>
                <w:rFonts w:cs="Arial"/>
                <w:lang w:val="es-ES"/>
              </w:rPr>
            </w:pPr>
            <w:r w:rsidRPr="000D5690">
              <w:rPr>
                <w:rFonts w:cs="Arial"/>
                <w:lang w:val="es-ES_tradnl"/>
              </w:rPr>
              <w:t>Debe rezar: “Pistilo:</w:t>
            </w:r>
            <w:r w:rsidR="005253AC" w:rsidRPr="00D6704A">
              <w:rPr>
                <w:rFonts w:cs="Arial"/>
                <w:lang w:val="es-ES"/>
              </w:rPr>
              <w:t xml:space="preserve"> </w:t>
            </w:r>
            <w:r w:rsidRPr="000D5690">
              <w:rPr>
                <w:rFonts w:cs="Arial"/>
                <w:lang w:val="es-ES_tradnl"/>
              </w:rPr>
              <w:t xml:space="preserve">longitud en relación </w:t>
            </w:r>
            <w:r w:rsidRPr="000D5690">
              <w:rPr>
                <w:rFonts w:cs="Arial"/>
                <w:u w:val="single"/>
                <w:lang w:val="es-ES_tradnl"/>
              </w:rPr>
              <w:t>con el</w:t>
            </w:r>
            <w:r w:rsidRPr="000D5690">
              <w:rPr>
                <w:rFonts w:cs="Arial"/>
                <w:lang w:val="es-ES_tradnl"/>
              </w:rPr>
              <w:t xml:space="preserve"> perianto”.</w:t>
            </w:r>
            <w:r w:rsidRPr="00D6704A">
              <w:rPr>
                <w:rFonts w:cs="Arial"/>
                <w:lang w:val="es-ES"/>
              </w:rPr>
              <w:t xml:space="preserve"> </w:t>
            </w:r>
          </w:p>
        </w:tc>
      </w:tr>
      <w:tr w:rsidR="005253AC" w:rsidRPr="00E30CEB" w:rsidTr="00E658B6">
        <w:trPr>
          <w:cantSplit/>
        </w:trPr>
        <w:tc>
          <w:tcPr>
            <w:tcW w:w="1573" w:type="dxa"/>
          </w:tcPr>
          <w:p w:rsidR="005253AC" w:rsidRPr="000D5690" w:rsidRDefault="005253AC" w:rsidP="00E658B6">
            <w:pPr>
              <w:rPr>
                <w:rFonts w:cs="Arial"/>
              </w:rPr>
            </w:pPr>
            <w:r w:rsidRPr="000D5690">
              <w:rPr>
                <w:rFonts w:cs="Arial"/>
              </w:rPr>
              <w:t xml:space="preserve">8.1 </w:t>
            </w:r>
            <w:r w:rsidR="0047214B" w:rsidRPr="000D5690">
              <w:rPr>
                <w:rFonts w:cs="Arial"/>
              </w:rPr>
              <w:t>b)</w:t>
            </w:r>
          </w:p>
        </w:tc>
        <w:tc>
          <w:tcPr>
            <w:tcW w:w="7925" w:type="dxa"/>
          </w:tcPr>
          <w:p w:rsidR="005253AC" w:rsidRPr="00D6704A" w:rsidRDefault="00014A89" w:rsidP="000D5690">
            <w:pPr>
              <w:rPr>
                <w:rFonts w:cs="Arial"/>
                <w:lang w:val="es-ES"/>
              </w:rPr>
            </w:pPr>
            <w:r w:rsidRPr="000D5690">
              <w:rPr>
                <w:rFonts w:cs="Arial"/>
                <w:lang w:val="es-ES_tradnl"/>
              </w:rPr>
              <w:t>Solo afecta al carácter 4.</w:t>
            </w:r>
            <w:r w:rsidR="005253AC" w:rsidRPr="00D6704A">
              <w:rPr>
                <w:rFonts w:cs="Arial"/>
                <w:lang w:val="es-ES"/>
              </w:rPr>
              <w:t xml:space="preserve"> </w:t>
            </w:r>
            <w:r w:rsidRPr="000D5690">
              <w:rPr>
                <w:rFonts w:cs="Arial"/>
                <w:lang w:val="es-ES_tradnl"/>
              </w:rPr>
              <w:t>Debe trasladarse al Ad. 4.</w:t>
            </w:r>
          </w:p>
        </w:tc>
      </w:tr>
      <w:tr w:rsidR="005253AC" w:rsidRPr="00E30CEB" w:rsidTr="00E658B6">
        <w:trPr>
          <w:cantSplit/>
        </w:trPr>
        <w:tc>
          <w:tcPr>
            <w:tcW w:w="1573" w:type="dxa"/>
          </w:tcPr>
          <w:p w:rsidR="005253AC" w:rsidRPr="000D5690" w:rsidRDefault="005253AC" w:rsidP="00E658B6">
            <w:pPr>
              <w:rPr>
                <w:rFonts w:cs="Arial"/>
                <w:dstrike/>
              </w:rPr>
            </w:pPr>
            <w:r w:rsidRPr="000D5690">
              <w:rPr>
                <w:rFonts w:cs="Arial"/>
              </w:rPr>
              <w:t xml:space="preserve">8.1 </w:t>
            </w:r>
            <w:r w:rsidR="0047214B" w:rsidRPr="000D5690">
              <w:rPr>
                <w:rFonts w:cs="Arial"/>
              </w:rPr>
              <w:t>c)</w:t>
            </w:r>
          </w:p>
        </w:tc>
        <w:tc>
          <w:tcPr>
            <w:tcW w:w="7925" w:type="dxa"/>
          </w:tcPr>
          <w:p w:rsidR="005253AC" w:rsidRPr="00D6704A" w:rsidRDefault="00683B57" w:rsidP="00E658B6">
            <w:pPr>
              <w:rPr>
                <w:rFonts w:cs="Arial"/>
                <w:lang w:val="es-ES"/>
              </w:rPr>
            </w:pPr>
            <w:r w:rsidRPr="00D6704A">
              <w:rPr>
                <w:rFonts w:cs="Arial"/>
                <w:lang w:val="es-ES"/>
              </w:rPr>
              <w:t xml:space="preserve">- </w:t>
            </w:r>
            <w:r w:rsidR="00014A89" w:rsidRPr="000D5690">
              <w:rPr>
                <w:rFonts w:cs="Arial"/>
                <w:lang w:val="es-ES_tradnl"/>
              </w:rPr>
              <w:t>Se deben comprobar las indicaciones; por ejemplo, la 7 no es correcta.</w:t>
            </w:r>
          </w:p>
          <w:p w:rsidR="005253AC" w:rsidRPr="00D6704A" w:rsidRDefault="00683B57" w:rsidP="000D5690">
            <w:pPr>
              <w:rPr>
                <w:rFonts w:cs="Arial"/>
                <w:lang w:val="es-ES"/>
              </w:rPr>
            </w:pPr>
            <w:r w:rsidRPr="00D6704A">
              <w:rPr>
                <w:rFonts w:cs="Arial"/>
                <w:lang w:val="es-ES"/>
              </w:rPr>
              <w:t xml:space="preserve">- </w:t>
            </w:r>
            <w:r w:rsidR="00014A89" w:rsidRPr="000D5690">
              <w:rPr>
                <w:rFonts w:cs="Arial"/>
                <w:lang w:val="es-ES_tradnl"/>
              </w:rPr>
              <w:t>Debe indicarse la longitud del pedúnculo (car</w:t>
            </w:r>
            <w:r w:rsidR="005859E1" w:rsidRPr="000D5690">
              <w:rPr>
                <w:rFonts w:cs="Arial"/>
                <w:lang w:val="es-ES_tradnl"/>
              </w:rPr>
              <w:t>ácter</w:t>
            </w:r>
            <w:r w:rsidR="00014A89" w:rsidRPr="000D5690">
              <w:rPr>
                <w:rFonts w:cs="Arial"/>
                <w:lang w:val="es-ES_tradnl"/>
              </w:rPr>
              <w:t> 40).</w:t>
            </w:r>
          </w:p>
        </w:tc>
      </w:tr>
      <w:tr w:rsidR="005253AC" w:rsidRPr="00E30CEB" w:rsidTr="00E658B6">
        <w:trPr>
          <w:cantSplit/>
        </w:trPr>
        <w:tc>
          <w:tcPr>
            <w:tcW w:w="1573" w:type="dxa"/>
          </w:tcPr>
          <w:p w:rsidR="005253AC" w:rsidRPr="000D5690" w:rsidRDefault="005253AC" w:rsidP="00E658B6">
            <w:pPr>
              <w:rPr>
                <w:rFonts w:cs="Arial"/>
                <w:dstrike/>
              </w:rPr>
            </w:pPr>
            <w:r w:rsidRPr="000D5690">
              <w:rPr>
                <w:rFonts w:cs="Arial"/>
              </w:rPr>
              <w:t>Ad. 6</w:t>
            </w:r>
          </w:p>
        </w:tc>
        <w:tc>
          <w:tcPr>
            <w:tcW w:w="7925" w:type="dxa"/>
          </w:tcPr>
          <w:p w:rsidR="005253AC" w:rsidRPr="00D6704A" w:rsidRDefault="00683B57" w:rsidP="00E658B6">
            <w:pPr>
              <w:rPr>
                <w:rFonts w:cs="Arial"/>
                <w:lang w:val="es-ES"/>
              </w:rPr>
            </w:pPr>
            <w:r w:rsidRPr="00D6704A">
              <w:rPr>
                <w:rFonts w:cs="Arial"/>
                <w:lang w:val="es-ES"/>
              </w:rPr>
              <w:t xml:space="preserve">- </w:t>
            </w:r>
            <w:r w:rsidR="00014A89" w:rsidRPr="000D5690">
              <w:rPr>
                <w:rFonts w:cs="Arial"/>
                <w:lang w:val="es-ES_tradnl"/>
              </w:rPr>
              <w:t>Se deben utilizar las mismas ilustraciones para los caracteres 6, 7 y 27.</w:t>
            </w:r>
          </w:p>
          <w:p w:rsidR="005253AC" w:rsidRPr="00D6704A" w:rsidRDefault="00683B57" w:rsidP="000D5690">
            <w:pPr>
              <w:rPr>
                <w:rFonts w:cs="Arial"/>
                <w:lang w:val="es-ES"/>
              </w:rPr>
            </w:pPr>
            <w:r w:rsidRPr="00D6704A">
              <w:rPr>
                <w:rFonts w:cs="Arial"/>
                <w:lang w:val="es-ES"/>
              </w:rPr>
              <w:t xml:space="preserve">- </w:t>
            </w:r>
            <w:r w:rsidR="00014A89" w:rsidRPr="000D5690">
              <w:rPr>
                <w:rFonts w:cs="Arial"/>
                <w:lang w:val="es-ES_tradnl"/>
              </w:rPr>
              <w:t>Añádase el carácter 7: “Hoja: anchura del limbo”.</w:t>
            </w:r>
          </w:p>
        </w:tc>
      </w:tr>
      <w:tr w:rsidR="005253AC" w:rsidRPr="00E30CEB" w:rsidTr="00E658B6">
        <w:trPr>
          <w:cantSplit/>
        </w:trPr>
        <w:tc>
          <w:tcPr>
            <w:tcW w:w="1573" w:type="dxa"/>
          </w:tcPr>
          <w:p w:rsidR="005253AC" w:rsidRPr="000D5690" w:rsidRDefault="005253AC" w:rsidP="00E658B6">
            <w:pPr>
              <w:jc w:val="left"/>
              <w:rPr>
                <w:rFonts w:cs="Arial"/>
              </w:rPr>
            </w:pPr>
            <w:r w:rsidRPr="000D5690">
              <w:rPr>
                <w:rFonts w:cs="Arial"/>
              </w:rPr>
              <w:t>Ad. 11</w:t>
            </w:r>
          </w:p>
        </w:tc>
        <w:tc>
          <w:tcPr>
            <w:tcW w:w="7925" w:type="dxa"/>
          </w:tcPr>
          <w:p w:rsidR="005253AC" w:rsidRPr="00D6704A" w:rsidRDefault="00765D58" w:rsidP="000D5690">
            <w:pPr>
              <w:keepNext/>
              <w:rPr>
                <w:rFonts w:cs="Arial"/>
                <w:lang w:val="es-ES"/>
              </w:rPr>
            </w:pPr>
            <w:r w:rsidRPr="000D5690">
              <w:rPr>
                <w:rFonts w:cs="Arial"/>
                <w:lang w:val="es-ES_tradnl"/>
              </w:rPr>
              <w:t xml:space="preserve">La </w:t>
            </w:r>
            <w:r w:rsidR="00014A89" w:rsidRPr="000D5690">
              <w:rPr>
                <w:rFonts w:cs="Arial"/>
                <w:lang w:val="es-ES_tradnl"/>
              </w:rPr>
              <w:t xml:space="preserve">ilustración </w:t>
            </w:r>
            <w:r w:rsidRPr="000D5690">
              <w:rPr>
                <w:rFonts w:cs="Arial"/>
                <w:lang w:val="es-ES_tradnl"/>
              </w:rPr>
              <w:t>correspondiente a</w:t>
            </w:r>
            <w:r w:rsidR="00014A89" w:rsidRPr="000D5690">
              <w:rPr>
                <w:rFonts w:cs="Arial"/>
                <w:lang w:val="es-ES_tradnl"/>
              </w:rPr>
              <w:t xml:space="preserve">l </w:t>
            </w:r>
            <w:r w:rsidRPr="000D5690">
              <w:rPr>
                <w:rFonts w:cs="Arial"/>
                <w:lang w:val="es-ES_tradnl"/>
              </w:rPr>
              <w:t>nivel </w:t>
            </w:r>
            <w:r w:rsidR="00014A89" w:rsidRPr="000D5690">
              <w:rPr>
                <w:rFonts w:cs="Arial"/>
                <w:lang w:val="es-ES_tradnl"/>
              </w:rPr>
              <w:t xml:space="preserve">3 </w:t>
            </w:r>
            <w:r w:rsidRPr="000D5690">
              <w:rPr>
                <w:rFonts w:cs="Arial"/>
                <w:lang w:val="es-ES_tradnl"/>
              </w:rPr>
              <w:t xml:space="preserve">debe </w:t>
            </w:r>
            <w:r w:rsidR="00014A89" w:rsidRPr="000D5690">
              <w:rPr>
                <w:rFonts w:cs="Arial"/>
                <w:lang w:val="es-ES_tradnl"/>
              </w:rPr>
              <w:t>traslada</w:t>
            </w:r>
            <w:r w:rsidRPr="000D5690">
              <w:rPr>
                <w:rFonts w:cs="Arial"/>
                <w:lang w:val="es-ES_tradnl"/>
              </w:rPr>
              <w:t xml:space="preserve">rse </w:t>
            </w:r>
            <w:r w:rsidR="00014A89" w:rsidRPr="000D5690">
              <w:rPr>
                <w:rFonts w:cs="Arial"/>
                <w:lang w:val="es-ES_tradnl"/>
              </w:rPr>
              <w:t>hasta la misma c</w:t>
            </w:r>
            <w:r w:rsidRPr="000D5690">
              <w:rPr>
                <w:rFonts w:cs="Arial"/>
                <w:lang w:val="es-ES_tradnl"/>
              </w:rPr>
              <w:t>elda que la correspondiente al nivel </w:t>
            </w:r>
            <w:r w:rsidR="00014A89" w:rsidRPr="000D5690">
              <w:rPr>
                <w:rFonts w:cs="Arial"/>
                <w:lang w:val="es-ES_tradnl"/>
              </w:rPr>
              <w:t>4 (</w:t>
            </w:r>
            <w:r w:rsidRPr="000D5690">
              <w:rPr>
                <w:rFonts w:cs="Arial"/>
                <w:lang w:val="es-ES_tradnl"/>
              </w:rPr>
              <w:t xml:space="preserve">en los niveles </w:t>
            </w:r>
            <w:r w:rsidR="00014A89" w:rsidRPr="000D5690">
              <w:rPr>
                <w:rFonts w:cs="Arial"/>
                <w:lang w:val="es-ES_tradnl"/>
              </w:rPr>
              <w:t xml:space="preserve">3 y 4 </w:t>
            </w:r>
            <w:r w:rsidRPr="000D5690">
              <w:rPr>
                <w:rFonts w:cs="Arial"/>
                <w:lang w:val="es-ES_tradnl"/>
              </w:rPr>
              <w:t xml:space="preserve">la </w:t>
            </w:r>
            <w:r w:rsidR="00014A89" w:rsidRPr="000D5690">
              <w:rPr>
                <w:rFonts w:cs="Arial"/>
                <w:lang w:val="es-ES_tradnl"/>
              </w:rPr>
              <w:t>relación longitud</w:t>
            </w:r>
            <w:r w:rsidRPr="000D5690">
              <w:rPr>
                <w:rFonts w:cs="Arial"/>
                <w:lang w:val="es-ES_tradnl"/>
              </w:rPr>
              <w:t>/</w:t>
            </w:r>
            <w:r w:rsidR="00014A89" w:rsidRPr="000D5690">
              <w:rPr>
                <w:rFonts w:cs="Arial"/>
                <w:lang w:val="es-ES_tradnl"/>
              </w:rPr>
              <w:t>anch</w:t>
            </w:r>
            <w:r w:rsidRPr="000D5690">
              <w:rPr>
                <w:rFonts w:cs="Arial"/>
                <w:lang w:val="es-ES_tradnl"/>
              </w:rPr>
              <w:t>ura es la misma;</w:t>
            </w:r>
            <w:r w:rsidR="00014A89" w:rsidRPr="000D5690">
              <w:rPr>
                <w:rFonts w:cs="Arial"/>
                <w:lang w:val="es-ES_tradnl"/>
              </w:rPr>
              <w:t xml:space="preserve"> sol</w:t>
            </w:r>
            <w:r w:rsidRPr="000D5690">
              <w:rPr>
                <w:rFonts w:cs="Arial"/>
                <w:lang w:val="es-ES_tradnl"/>
              </w:rPr>
              <w:t>o se diferencian en el perfil</w:t>
            </w:r>
            <w:r w:rsidR="00014A89" w:rsidRPr="000D5690">
              <w:rPr>
                <w:rFonts w:cs="Arial"/>
                <w:lang w:val="es-ES_tradnl"/>
              </w:rPr>
              <w:t>)</w:t>
            </w:r>
            <w:r w:rsidRPr="000D5690">
              <w:rPr>
                <w:rFonts w:cs="Arial"/>
                <w:lang w:val="es-ES_tradnl"/>
              </w:rPr>
              <w:t>.</w:t>
            </w:r>
          </w:p>
        </w:tc>
      </w:tr>
      <w:tr w:rsidR="005253AC" w:rsidRPr="00E30CEB" w:rsidTr="00E658B6">
        <w:trPr>
          <w:cantSplit/>
        </w:trPr>
        <w:tc>
          <w:tcPr>
            <w:tcW w:w="1573" w:type="dxa"/>
          </w:tcPr>
          <w:p w:rsidR="005253AC" w:rsidRPr="000D5690" w:rsidRDefault="005253AC" w:rsidP="00E658B6">
            <w:pPr>
              <w:jc w:val="left"/>
              <w:rPr>
                <w:rFonts w:cs="Arial"/>
              </w:rPr>
            </w:pPr>
            <w:r w:rsidRPr="000D5690">
              <w:rPr>
                <w:rFonts w:cs="Arial"/>
              </w:rPr>
              <w:t>Ad. 12</w:t>
            </w:r>
          </w:p>
        </w:tc>
        <w:tc>
          <w:tcPr>
            <w:tcW w:w="7925" w:type="dxa"/>
          </w:tcPr>
          <w:p w:rsidR="005253AC" w:rsidRPr="00D6704A" w:rsidRDefault="00FF35C6" w:rsidP="000D5690">
            <w:pPr>
              <w:keepNext/>
              <w:rPr>
                <w:rFonts w:cs="Arial"/>
                <w:lang w:val="es-ES"/>
              </w:rPr>
            </w:pPr>
            <w:r w:rsidRPr="000D5690">
              <w:rPr>
                <w:rFonts w:cs="Arial"/>
                <w:lang w:val="es-ES_tradnl"/>
              </w:rPr>
              <w:t>Compruébese si procede sustituirlo por ilustraciones precisas.</w:t>
            </w:r>
          </w:p>
        </w:tc>
      </w:tr>
      <w:tr w:rsidR="005253AC" w:rsidRPr="000D5690" w:rsidTr="00E658B6">
        <w:trPr>
          <w:cantSplit/>
        </w:trPr>
        <w:tc>
          <w:tcPr>
            <w:tcW w:w="1573" w:type="dxa"/>
          </w:tcPr>
          <w:p w:rsidR="005253AC" w:rsidRPr="000D5690" w:rsidRDefault="005253AC" w:rsidP="00E658B6">
            <w:pPr>
              <w:jc w:val="left"/>
              <w:rPr>
                <w:rFonts w:cs="Arial"/>
              </w:rPr>
            </w:pPr>
            <w:r w:rsidRPr="000D5690">
              <w:rPr>
                <w:rFonts w:cs="Arial"/>
              </w:rPr>
              <w:t>Ad. 17</w:t>
            </w:r>
          </w:p>
        </w:tc>
        <w:tc>
          <w:tcPr>
            <w:tcW w:w="7925" w:type="dxa"/>
          </w:tcPr>
          <w:p w:rsidR="005253AC" w:rsidRPr="000D5690" w:rsidRDefault="00FF35C6" w:rsidP="000D5690">
            <w:pPr>
              <w:keepNext/>
              <w:rPr>
                <w:rFonts w:cs="Arial"/>
              </w:rPr>
            </w:pPr>
            <w:r w:rsidRPr="000D5690">
              <w:rPr>
                <w:rFonts w:cs="Arial"/>
                <w:lang w:val="es-ES_tradnl"/>
              </w:rPr>
              <w:t>Combínese con el Ad. 13.</w:t>
            </w:r>
          </w:p>
        </w:tc>
      </w:tr>
      <w:tr w:rsidR="005253AC" w:rsidRPr="00E30CEB" w:rsidTr="00E658B6">
        <w:trPr>
          <w:cantSplit/>
        </w:trPr>
        <w:tc>
          <w:tcPr>
            <w:tcW w:w="1573" w:type="dxa"/>
          </w:tcPr>
          <w:p w:rsidR="005253AC" w:rsidRPr="000D5690" w:rsidRDefault="00FF35C6" w:rsidP="000D5690">
            <w:pPr>
              <w:jc w:val="left"/>
              <w:rPr>
                <w:rFonts w:cs="Arial"/>
              </w:rPr>
            </w:pPr>
            <w:r w:rsidRPr="000D5690">
              <w:rPr>
                <w:rFonts w:cs="Arial"/>
                <w:lang w:val="es-ES_tradnl"/>
              </w:rPr>
              <w:t>Ad.</w:t>
            </w:r>
            <w:r w:rsidR="005253AC" w:rsidRPr="000D5690">
              <w:rPr>
                <w:rFonts w:cs="Arial"/>
              </w:rPr>
              <w:t xml:space="preserve"> 18, 19</w:t>
            </w:r>
          </w:p>
        </w:tc>
        <w:tc>
          <w:tcPr>
            <w:tcW w:w="7925" w:type="dxa"/>
          </w:tcPr>
          <w:p w:rsidR="005253AC" w:rsidRPr="00D6704A" w:rsidRDefault="00683B57" w:rsidP="00E658B6">
            <w:pPr>
              <w:rPr>
                <w:rFonts w:cs="Arial"/>
                <w:lang w:val="es-ES"/>
              </w:rPr>
            </w:pPr>
            <w:r w:rsidRPr="00D6704A">
              <w:rPr>
                <w:rFonts w:cs="Arial"/>
                <w:lang w:val="es-ES"/>
              </w:rPr>
              <w:t xml:space="preserve">- </w:t>
            </w:r>
            <w:r w:rsidR="00FF35C6" w:rsidRPr="000D5690">
              <w:rPr>
                <w:rFonts w:cs="Arial"/>
                <w:lang w:val="es-ES_tradnl"/>
              </w:rPr>
              <w:t>Combínense.</w:t>
            </w:r>
          </w:p>
          <w:p w:rsidR="005253AC" w:rsidRPr="00D6704A" w:rsidRDefault="00683B57" w:rsidP="000D5690">
            <w:pPr>
              <w:rPr>
                <w:rFonts w:cs="Arial"/>
                <w:lang w:val="es-ES"/>
              </w:rPr>
            </w:pPr>
            <w:r w:rsidRPr="00D6704A">
              <w:rPr>
                <w:lang w:val="es-ES"/>
              </w:rPr>
              <w:t xml:space="preserve">- </w:t>
            </w:r>
            <w:r w:rsidR="00FF35C6" w:rsidRPr="000D5690">
              <w:rPr>
                <w:lang w:val="es-ES_tradnl"/>
              </w:rPr>
              <w:t>Especifíquese qué lóbulo debe observarse.</w:t>
            </w:r>
          </w:p>
        </w:tc>
      </w:tr>
      <w:tr w:rsidR="005253AC" w:rsidRPr="00E30CEB" w:rsidTr="00E658B6">
        <w:trPr>
          <w:cantSplit/>
        </w:trPr>
        <w:tc>
          <w:tcPr>
            <w:tcW w:w="1573" w:type="dxa"/>
          </w:tcPr>
          <w:p w:rsidR="005253AC" w:rsidRPr="000D5690" w:rsidRDefault="005253AC" w:rsidP="00E658B6">
            <w:pPr>
              <w:jc w:val="left"/>
              <w:rPr>
                <w:rFonts w:cs="Arial"/>
                <w:dstrike/>
              </w:rPr>
            </w:pPr>
            <w:r w:rsidRPr="000D5690">
              <w:rPr>
                <w:rFonts w:cs="Arial"/>
              </w:rPr>
              <w:t>Ad. 33</w:t>
            </w:r>
          </w:p>
        </w:tc>
        <w:tc>
          <w:tcPr>
            <w:tcW w:w="7925" w:type="dxa"/>
          </w:tcPr>
          <w:p w:rsidR="005253AC" w:rsidRPr="00D6704A" w:rsidRDefault="00683B57" w:rsidP="00E658B6">
            <w:pPr>
              <w:rPr>
                <w:rFonts w:cs="Arial"/>
                <w:lang w:val="es-ES"/>
              </w:rPr>
            </w:pPr>
            <w:r w:rsidRPr="00D6704A">
              <w:rPr>
                <w:rFonts w:cs="Arial"/>
                <w:lang w:val="es-ES"/>
              </w:rPr>
              <w:t xml:space="preserve">- </w:t>
            </w:r>
            <w:r w:rsidR="00FF35C6" w:rsidRPr="000D5690">
              <w:rPr>
                <w:rFonts w:cs="Arial"/>
                <w:lang w:val="es-ES_tradnl"/>
              </w:rPr>
              <w:t>No está claro qué partes de la inflorescencia se examinan.</w:t>
            </w:r>
          </w:p>
          <w:p w:rsidR="005253AC" w:rsidRPr="00D6704A" w:rsidRDefault="00683B57" w:rsidP="000D5690">
            <w:pPr>
              <w:rPr>
                <w:rFonts w:cs="Arial"/>
                <w:lang w:val="es-ES"/>
              </w:rPr>
            </w:pPr>
            <w:r w:rsidRPr="00D6704A">
              <w:rPr>
                <w:rFonts w:cs="Arial"/>
                <w:lang w:val="es-ES"/>
              </w:rPr>
              <w:t xml:space="preserve">- </w:t>
            </w:r>
            <w:r w:rsidR="00FF35C6" w:rsidRPr="000D5690">
              <w:rPr>
                <w:rFonts w:cs="Arial"/>
                <w:lang w:val="es-ES_tradnl"/>
              </w:rPr>
              <w:t xml:space="preserve">La ilustración correspondiente al nivel “triangular” no </w:t>
            </w:r>
            <w:r w:rsidR="005859E1" w:rsidRPr="000D5690">
              <w:rPr>
                <w:rFonts w:cs="Arial"/>
                <w:lang w:val="es-ES_tradnl"/>
              </w:rPr>
              <w:t>resulta</w:t>
            </w:r>
            <w:r w:rsidR="00FF35C6" w:rsidRPr="000D5690">
              <w:rPr>
                <w:rFonts w:cs="Arial"/>
                <w:lang w:val="es-ES_tradnl"/>
              </w:rPr>
              <w:t xml:space="preserve"> clara.</w:t>
            </w:r>
          </w:p>
        </w:tc>
      </w:tr>
      <w:tr w:rsidR="005253AC" w:rsidRPr="00E30CEB" w:rsidTr="00E658B6">
        <w:trPr>
          <w:cantSplit/>
        </w:trPr>
        <w:tc>
          <w:tcPr>
            <w:tcW w:w="1573" w:type="dxa"/>
          </w:tcPr>
          <w:p w:rsidR="005253AC" w:rsidRPr="000D5690" w:rsidRDefault="005253AC" w:rsidP="00E658B6">
            <w:pPr>
              <w:jc w:val="left"/>
              <w:rPr>
                <w:rFonts w:cs="Arial"/>
              </w:rPr>
            </w:pPr>
            <w:r w:rsidRPr="000D5690">
              <w:rPr>
                <w:rFonts w:cs="Arial"/>
              </w:rPr>
              <w:t>Ad. 48</w:t>
            </w:r>
          </w:p>
        </w:tc>
        <w:tc>
          <w:tcPr>
            <w:tcW w:w="7925" w:type="dxa"/>
          </w:tcPr>
          <w:p w:rsidR="005253AC" w:rsidRPr="00D6704A" w:rsidRDefault="00FF35C6" w:rsidP="000D5690">
            <w:pPr>
              <w:rPr>
                <w:rFonts w:cs="Arial"/>
                <w:lang w:val="es-ES"/>
              </w:rPr>
            </w:pPr>
            <w:r w:rsidRPr="000D5690">
              <w:rPr>
                <w:rFonts w:cs="Arial"/>
                <w:lang w:val="es-ES_tradnl"/>
              </w:rPr>
              <w:t>Añádase un diagrama para indicar los “t</w:t>
            </w:r>
            <w:r w:rsidR="00455B0D" w:rsidRPr="000D5690">
              <w:rPr>
                <w:rFonts w:cs="Arial"/>
                <w:lang w:val="es-ES_tradnl"/>
              </w:rPr>
              <w:t>é</w:t>
            </w:r>
            <w:r w:rsidRPr="000D5690">
              <w:rPr>
                <w:rFonts w:cs="Arial"/>
                <w:lang w:val="es-ES_tradnl"/>
              </w:rPr>
              <w:t>palos” y la “</w:t>
            </w:r>
            <w:r w:rsidRPr="000D5690">
              <w:rPr>
                <w:lang w:val="es-ES_tradnl"/>
              </w:rPr>
              <w:t>parte del tépalo unida</w:t>
            </w:r>
            <w:r w:rsidRPr="000D5690">
              <w:rPr>
                <w:rFonts w:cs="Arial"/>
                <w:lang w:val="es-ES_tradnl"/>
              </w:rPr>
              <w:t>”.</w:t>
            </w:r>
          </w:p>
        </w:tc>
      </w:tr>
      <w:tr w:rsidR="005253AC" w:rsidRPr="000D5690" w:rsidTr="00E658B6">
        <w:trPr>
          <w:cantSplit/>
        </w:trPr>
        <w:tc>
          <w:tcPr>
            <w:tcW w:w="1573" w:type="dxa"/>
          </w:tcPr>
          <w:p w:rsidR="005253AC" w:rsidRPr="000D5690" w:rsidRDefault="005253AC" w:rsidP="00E658B6">
            <w:pPr>
              <w:jc w:val="left"/>
              <w:rPr>
                <w:rFonts w:cs="Arial"/>
              </w:rPr>
            </w:pPr>
            <w:r w:rsidRPr="000D5690">
              <w:rPr>
                <w:rFonts w:cs="Arial"/>
              </w:rPr>
              <w:t xml:space="preserve">9. </w:t>
            </w:r>
          </w:p>
        </w:tc>
        <w:tc>
          <w:tcPr>
            <w:tcW w:w="7925" w:type="dxa"/>
          </w:tcPr>
          <w:p w:rsidR="005253AC" w:rsidRPr="000D5690" w:rsidRDefault="00FF35C6" w:rsidP="000D5690">
            <w:pPr>
              <w:rPr>
                <w:rFonts w:cs="Arial"/>
              </w:rPr>
            </w:pPr>
            <w:proofErr w:type="spellStart"/>
            <w:r w:rsidRPr="00D6704A">
              <w:rPr>
                <w:rFonts w:cs="Arial"/>
              </w:rPr>
              <w:t>Debe</w:t>
            </w:r>
            <w:proofErr w:type="spellEnd"/>
            <w:r w:rsidRPr="00D6704A">
              <w:rPr>
                <w:rFonts w:cs="Arial"/>
              </w:rPr>
              <w:t xml:space="preserve"> </w:t>
            </w:r>
            <w:proofErr w:type="spellStart"/>
            <w:r w:rsidRPr="00D6704A">
              <w:rPr>
                <w:rFonts w:cs="Arial"/>
              </w:rPr>
              <w:t>rezar</w:t>
            </w:r>
            <w:proofErr w:type="spellEnd"/>
            <w:r w:rsidRPr="00D6704A">
              <w:rPr>
                <w:rFonts w:cs="Arial"/>
              </w:rPr>
              <w:t>:</w:t>
            </w:r>
            <w:r w:rsidR="005253AC" w:rsidRPr="000D5690">
              <w:rPr>
                <w:rFonts w:cs="Arial"/>
              </w:rPr>
              <w:t xml:space="preserve"> “</w:t>
            </w:r>
            <w:r w:rsidR="005253AC" w:rsidRPr="000D5690">
              <w:t xml:space="preserve">McGillivray, D. J. and </w:t>
            </w:r>
            <w:proofErr w:type="spellStart"/>
            <w:r w:rsidR="005253AC" w:rsidRPr="000D5690">
              <w:t>Makinson</w:t>
            </w:r>
            <w:proofErr w:type="spellEnd"/>
            <w:r w:rsidR="005253AC" w:rsidRPr="000D5690">
              <w:t>, R. O</w:t>
            </w:r>
            <w:proofErr w:type="gramStart"/>
            <w:r w:rsidR="005253AC" w:rsidRPr="000D5690">
              <w:t>., …”</w:t>
            </w:r>
            <w:proofErr w:type="gramEnd"/>
          </w:p>
        </w:tc>
      </w:tr>
      <w:tr w:rsidR="005253AC" w:rsidRPr="00E30CEB" w:rsidTr="00E658B6">
        <w:trPr>
          <w:cantSplit/>
        </w:trPr>
        <w:tc>
          <w:tcPr>
            <w:tcW w:w="1573" w:type="dxa"/>
          </w:tcPr>
          <w:p w:rsidR="005253AC" w:rsidRPr="000D5690" w:rsidRDefault="005253AC" w:rsidP="00E658B6">
            <w:pPr>
              <w:jc w:val="left"/>
              <w:rPr>
                <w:rFonts w:cs="Arial"/>
              </w:rPr>
            </w:pPr>
            <w:r w:rsidRPr="000D5690">
              <w:rPr>
                <w:rFonts w:cs="Arial"/>
              </w:rPr>
              <w:t>TQ 1</w:t>
            </w:r>
          </w:p>
        </w:tc>
        <w:tc>
          <w:tcPr>
            <w:tcW w:w="7925" w:type="dxa"/>
          </w:tcPr>
          <w:p w:rsidR="005253AC" w:rsidRPr="00D6704A" w:rsidRDefault="00756ED7" w:rsidP="000D5690">
            <w:pPr>
              <w:keepNext/>
              <w:rPr>
                <w:rFonts w:cs="Arial"/>
                <w:lang w:val="es-ES"/>
              </w:rPr>
            </w:pPr>
            <w:r w:rsidRPr="000D5690">
              <w:rPr>
                <w:rFonts w:cs="Arial"/>
                <w:lang w:val="es-ES_tradnl"/>
              </w:rPr>
              <w:t xml:space="preserve">Compruébese si deben incluirse cuadros </w:t>
            </w:r>
            <w:r w:rsidR="005859E1" w:rsidRPr="000D5690">
              <w:rPr>
                <w:rFonts w:cs="Arial"/>
                <w:lang w:val="es-ES_tradnl"/>
              </w:rPr>
              <w:t xml:space="preserve">titulados </w:t>
            </w:r>
            <w:r w:rsidRPr="000D5690">
              <w:rPr>
                <w:rFonts w:cs="Arial"/>
                <w:lang w:val="es-ES_tradnl"/>
              </w:rPr>
              <w:t>“género”; “especie (especifíquese)” y “nombre común”.</w:t>
            </w:r>
          </w:p>
        </w:tc>
      </w:tr>
      <w:tr w:rsidR="005253AC" w:rsidRPr="000D5690" w:rsidTr="00E658B6">
        <w:trPr>
          <w:cantSplit/>
        </w:trPr>
        <w:tc>
          <w:tcPr>
            <w:tcW w:w="1573" w:type="dxa"/>
          </w:tcPr>
          <w:p w:rsidR="005253AC" w:rsidRPr="000D5690" w:rsidRDefault="005253AC" w:rsidP="00756ED7">
            <w:pPr>
              <w:rPr>
                <w:rFonts w:cs="Arial"/>
              </w:rPr>
            </w:pPr>
            <w:r w:rsidRPr="000D5690">
              <w:rPr>
                <w:rFonts w:cs="Arial"/>
              </w:rPr>
              <w:t>TQ 1.3</w:t>
            </w:r>
          </w:p>
        </w:tc>
        <w:tc>
          <w:tcPr>
            <w:tcW w:w="7925" w:type="dxa"/>
          </w:tcPr>
          <w:p w:rsidR="005253AC" w:rsidRPr="000D5690" w:rsidRDefault="00756ED7" w:rsidP="000D5690">
            <w:pPr>
              <w:rPr>
                <w:rFonts w:cs="Arial"/>
              </w:rPr>
            </w:pPr>
            <w:r w:rsidRPr="000D5690">
              <w:rPr>
                <w:rFonts w:cs="Arial"/>
                <w:lang w:val="es-ES_tradnl"/>
              </w:rPr>
              <w:t>Debe rezar: “1.3 Especie (especifíquese)”.</w:t>
            </w:r>
          </w:p>
        </w:tc>
      </w:tr>
    </w:tbl>
    <w:p w:rsidR="005253AC" w:rsidRPr="000D5690" w:rsidRDefault="005253AC" w:rsidP="005253AC">
      <w:pPr>
        <w:jc w:val="left"/>
        <w:rPr>
          <w:rFonts w:cs="Arial"/>
          <w:u w:val="single"/>
        </w:rPr>
      </w:pPr>
    </w:p>
    <w:p w:rsidR="005253AC" w:rsidRPr="000D5690" w:rsidRDefault="005253AC" w:rsidP="005253AC">
      <w:pPr>
        <w:jc w:val="left"/>
        <w:rPr>
          <w:rFonts w:cs="Arial"/>
          <w:u w:val="single"/>
        </w:rPr>
      </w:pPr>
    </w:p>
    <w:tbl>
      <w:tblPr>
        <w:tblW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00"/>
        <w:gridCol w:w="2268"/>
      </w:tblGrid>
      <w:tr w:rsidR="005253AC" w:rsidRPr="000D5690" w:rsidTr="00E658B6">
        <w:trPr>
          <w:cantSplit/>
          <w:trHeight w:val="315"/>
        </w:trPr>
        <w:tc>
          <w:tcPr>
            <w:tcW w:w="3600" w:type="dxa"/>
            <w:vMerge w:val="restart"/>
            <w:shd w:val="clear" w:color="auto" w:fill="D9D9D9"/>
            <w:vAlign w:val="center"/>
          </w:tcPr>
          <w:p w:rsidR="005253AC" w:rsidRPr="000D5690" w:rsidRDefault="00921D83" w:rsidP="000D5690">
            <w:pPr>
              <w:pStyle w:val="TitleofDoc"/>
              <w:keepNext/>
              <w:tabs>
                <w:tab w:val="left" w:pos="5245"/>
                <w:tab w:val="left" w:pos="7008"/>
              </w:tabs>
              <w:spacing w:before="80" w:after="80"/>
              <w:jc w:val="left"/>
              <w:rPr>
                <w:rFonts w:cs="Arial"/>
                <w:caps w:val="0"/>
                <w:lang w:val="fr-CH"/>
              </w:rPr>
            </w:pPr>
            <w:proofErr w:type="spellStart"/>
            <w:r w:rsidRPr="000D5690">
              <w:rPr>
                <w:rFonts w:cs="Arial"/>
                <w:lang w:val="es-ES_tradnl"/>
              </w:rPr>
              <w:t>P</w:t>
            </w:r>
            <w:r w:rsidR="00C547A4" w:rsidRPr="000D5690">
              <w:rPr>
                <w:rFonts w:cs="Arial"/>
                <w:caps w:val="0"/>
                <w:lang w:val="es-ES_tradnl"/>
              </w:rPr>
              <w:t>lectranthus</w:t>
            </w:r>
            <w:proofErr w:type="spellEnd"/>
            <w:r w:rsidR="005253AC" w:rsidRPr="000D5690">
              <w:rPr>
                <w:rFonts w:cs="Arial"/>
                <w:caps w:val="0"/>
              </w:rPr>
              <w:t xml:space="preserve"> (</w:t>
            </w:r>
            <w:proofErr w:type="spellStart"/>
            <w:r w:rsidR="005253AC" w:rsidRPr="000D5690">
              <w:rPr>
                <w:rFonts w:cs="Arial"/>
                <w:i/>
                <w:caps w:val="0"/>
              </w:rPr>
              <w:t>Plectranthus</w:t>
            </w:r>
            <w:proofErr w:type="spellEnd"/>
            <w:r w:rsidR="005253AC" w:rsidRPr="000D5690">
              <w:rPr>
                <w:rFonts w:cs="Arial"/>
                <w:caps w:val="0"/>
              </w:rPr>
              <w:t xml:space="preserve"> </w:t>
            </w:r>
            <w:proofErr w:type="spellStart"/>
            <w:r w:rsidR="005253AC" w:rsidRPr="000D5690">
              <w:rPr>
                <w:rFonts w:cs="Arial"/>
                <w:caps w:val="0"/>
              </w:rPr>
              <w:t>L’Hér</w:t>
            </w:r>
            <w:proofErr w:type="spellEnd"/>
            <w:r w:rsidR="005253AC" w:rsidRPr="000D5690">
              <w:rPr>
                <w:rFonts w:cs="Arial"/>
                <w:caps w:val="0"/>
              </w:rPr>
              <w:t>.)</w:t>
            </w:r>
          </w:p>
        </w:tc>
        <w:tc>
          <w:tcPr>
            <w:tcW w:w="2268" w:type="dxa"/>
            <w:vMerge w:val="restart"/>
            <w:shd w:val="clear" w:color="auto" w:fill="D9D9D9"/>
            <w:vAlign w:val="center"/>
          </w:tcPr>
          <w:p w:rsidR="005253AC" w:rsidRPr="000D5690" w:rsidRDefault="005253AC" w:rsidP="00E658B6">
            <w:pPr>
              <w:rPr>
                <w:iCs/>
                <w:snapToGrid w:val="0"/>
              </w:rPr>
            </w:pPr>
            <w:r w:rsidRPr="000D5690">
              <w:t>TG/PLECT(proj.4)</w:t>
            </w:r>
          </w:p>
        </w:tc>
      </w:tr>
      <w:tr w:rsidR="005253AC" w:rsidRPr="000D5690" w:rsidTr="00E658B6">
        <w:trPr>
          <w:cantSplit/>
          <w:trHeight w:val="230"/>
        </w:trPr>
        <w:tc>
          <w:tcPr>
            <w:tcW w:w="3600" w:type="dxa"/>
            <w:vMerge/>
            <w:shd w:val="clear" w:color="auto" w:fill="D9D9D9"/>
            <w:vAlign w:val="center"/>
          </w:tcPr>
          <w:p w:rsidR="005253AC" w:rsidRPr="000D5690" w:rsidRDefault="005253AC" w:rsidP="00E658B6">
            <w:pPr>
              <w:pStyle w:val="TitleofDoc"/>
              <w:keepNext/>
              <w:tabs>
                <w:tab w:val="left" w:pos="5245"/>
                <w:tab w:val="left" w:pos="7008"/>
              </w:tabs>
              <w:spacing w:before="0"/>
              <w:jc w:val="left"/>
              <w:rPr>
                <w:rFonts w:cs="Arial"/>
                <w:caps w:val="0"/>
              </w:rPr>
            </w:pPr>
          </w:p>
        </w:tc>
        <w:tc>
          <w:tcPr>
            <w:tcW w:w="2268" w:type="dxa"/>
            <w:vMerge/>
            <w:shd w:val="clear" w:color="auto" w:fill="D9D9D9"/>
            <w:vAlign w:val="center"/>
          </w:tcPr>
          <w:p w:rsidR="005253AC" w:rsidRPr="000D5690" w:rsidRDefault="005253AC" w:rsidP="00E658B6">
            <w:pPr>
              <w:pStyle w:val="BodyText"/>
              <w:keepNext/>
              <w:jc w:val="left"/>
              <w:rPr>
                <w:rFonts w:cs="Arial"/>
                <w:iCs/>
                <w:snapToGrid w:val="0"/>
              </w:rPr>
            </w:pPr>
          </w:p>
        </w:tc>
      </w:tr>
    </w:tbl>
    <w:p w:rsidR="005253AC" w:rsidRPr="000D5690" w:rsidRDefault="005253AC" w:rsidP="005253AC">
      <w:pPr>
        <w:keepNext/>
        <w:jc w:val="left"/>
        <w:rPr>
          <w:rFonts w:cs="Arial"/>
          <w:lang w:val="de-DE"/>
        </w:rPr>
      </w:pPr>
    </w:p>
    <w:p w:rsidR="005253AC" w:rsidRPr="00D6704A" w:rsidRDefault="0047214B" w:rsidP="005253AC">
      <w:pPr>
        <w:autoSpaceDE w:val="0"/>
        <w:autoSpaceDN w:val="0"/>
        <w:adjustRightInd w:val="0"/>
        <w:ind w:firstLine="567"/>
        <w:rPr>
          <w:rFonts w:cs="Arial"/>
          <w:lang w:val="es-ES"/>
        </w:rPr>
      </w:pPr>
      <w:r w:rsidRPr="00D6704A">
        <w:rPr>
          <w:rFonts w:cs="Arial"/>
          <w:lang w:val="es-ES"/>
        </w:rPr>
        <w:t>a)</w:t>
      </w:r>
      <w:r w:rsidR="005253AC" w:rsidRPr="00D6704A">
        <w:rPr>
          <w:rFonts w:cs="Arial"/>
          <w:lang w:val="es-ES"/>
        </w:rPr>
        <w:tab/>
      </w:r>
      <w:r w:rsidR="005B4660" w:rsidRPr="000D5690">
        <w:rPr>
          <w:rFonts w:cs="Arial"/>
          <w:lang w:val="es-ES_tradnl"/>
        </w:rPr>
        <w:t>En el cuadro siguiente se recogen las observaciones formuladas por el Comité de Redacción Ampliado en su reunión celebrada los días 6 y 7 de enero de 2016.</w:t>
      </w:r>
      <w:r w:rsidR="005253AC" w:rsidRPr="00D6704A">
        <w:rPr>
          <w:rFonts w:cs="Arial"/>
          <w:lang w:val="es-ES"/>
        </w:rPr>
        <w:t xml:space="preserve"> </w:t>
      </w:r>
      <w:r w:rsidR="005B4660" w:rsidRPr="000D5690">
        <w:rPr>
          <w:rFonts w:cs="Arial"/>
          <w:lang w:val="es-ES_tradnl"/>
        </w:rPr>
        <w:t xml:space="preserve">Todas las observaciones se han incorporado ya en </w:t>
      </w:r>
      <w:r w:rsidR="00364BA2" w:rsidRPr="000D5690">
        <w:rPr>
          <w:rFonts w:cs="Arial"/>
          <w:lang w:val="es-ES_tradnl"/>
        </w:rPr>
        <w:t>el proyecto de directrices de examen</w:t>
      </w:r>
      <w:r w:rsidR="005B4660" w:rsidRPr="000D5690">
        <w:rPr>
          <w:rFonts w:cs="Arial"/>
          <w:lang w:val="es-ES_tradnl"/>
        </w:rPr>
        <w:t> TG/</w:t>
      </w:r>
      <w:proofErr w:type="gramStart"/>
      <w:r w:rsidR="005B4660" w:rsidRPr="000D5690">
        <w:rPr>
          <w:rFonts w:cs="Arial"/>
          <w:lang w:val="es-ES_tradnl"/>
        </w:rPr>
        <w:t>PLECT(</w:t>
      </w:r>
      <w:proofErr w:type="gramEnd"/>
      <w:r w:rsidR="005B4660" w:rsidRPr="000D5690">
        <w:rPr>
          <w:rFonts w:cs="Arial"/>
          <w:lang w:val="es-ES_tradnl"/>
        </w:rPr>
        <w:t>proj.4), sometido a la consideración del TC:</w:t>
      </w:r>
    </w:p>
    <w:p w:rsidR="005253AC" w:rsidRPr="00D6704A" w:rsidRDefault="005253AC" w:rsidP="005253AC">
      <w:pPr>
        <w:keepNext/>
        <w:jc w:val="left"/>
        <w:rPr>
          <w:rFonts w:cs="Arial"/>
          <w:lang w:val="es-ES"/>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5253AC" w:rsidRPr="00E30CEB" w:rsidTr="00E658B6">
        <w:tc>
          <w:tcPr>
            <w:tcW w:w="1573" w:type="dxa"/>
          </w:tcPr>
          <w:p w:rsidR="005253AC" w:rsidRPr="000D5690" w:rsidRDefault="005B4660" w:rsidP="000D5690">
            <w:pPr>
              <w:jc w:val="left"/>
              <w:rPr>
                <w:rFonts w:cs="Arial"/>
              </w:rPr>
            </w:pPr>
            <w:r w:rsidRPr="000D5690">
              <w:rPr>
                <w:rFonts w:cs="Arial"/>
                <w:lang w:val="es-ES_tradnl"/>
              </w:rPr>
              <w:t>Car.</w:t>
            </w:r>
            <w:r w:rsidR="005253AC" w:rsidRPr="000D5690">
              <w:rPr>
                <w:rFonts w:cs="Arial"/>
              </w:rPr>
              <w:t xml:space="preserve"> 16</w:t>
            </w:r>
          </w:p>
        </w:tc>
        <w:tc>
          <w:tcPr>
            <w:tcW w:w="7925" w:type="dxa"/>
          </w:tcPr>
          <w:p w:rsidR="005253AC" w:rsidRPr="00D6704A" w:rsidRDefault="005B4660" w:rsidP="000D5690">
            <w:pPr>
              <w:rPr>
                <w:rFonts w:cs="Arial"/>
                <w:lang w:val="es-ES"/>
              </w:rPr>
            </w:pPr>
            <w:r w:rsidRPr="000D5690">
              <w:rPr>
                <w:rFonts w:cs="Arial"/>
                <w:lang w:val="es-ES_tradnl"/>
              </w:rPr>
              <w:t>Como nivel 2 debe figurar: “solo en los nervios”.</w:t>
            </w:r>
          </w:p>
        </w:tc>
      </w:tr>
      <w:tr w:rsidR="005253AC" w:rsidRPr="00E30CEB" w:rsidTr="00E658B6">
        <w:tc>
          <w:tcPr>
            <w:tcW w:w="1573" w:type="dxa"/>
          </w:tcPr>
          <w:p w:rsidR="005253AC" w:rsidRPr="000D5690" w:rsidRDefault="005B4660" w:rsidP="000D5690">
            <w:pPr>
              <w:jc w:val="left"/>
              <w:rPr>
                <w:rFonts w:cs="Arial"/>
              </w:rPr>
            </w:pPr>
            <w:r w:rsidRPr="000D5690">
              <w:rPr>
                <w:rFonts w:cs="Arial"/>
                <w:lang w:val="es-ES_tradnl"/>
              </w:rPr>
              <w:t>Car.</w:t>
            </w:r>
            <w:r w:rsidR="005253AC" w:rsidRPr="000D5690">
              <w:rPr>
                <w:rFonts w:cs="Arial"/>
              </w:rPr>
              <w:t xml:space="preserve"> 23</w:t>
            </w:r>
          </w:p>
        </w:tc>
        <w:tc>
          <w:tcPr>
            <w:tcW w:w="7925" w:type="dxa"/>
          </w:tcPr>
          <w:p w:rsidR="005253AC" w:rsidRPr="00D6704A" w:rsidRDefault="005B4660" w:rsidP="00E658B6">
            <w:pPr>
              <w:rPr>
                <w:rFonts w:cs="Arial"/>
                <w:lang w:val="es-ES"/>
              </w:rPr>
            </w:pPr>
            <w:r w:rsidRPr="000D5690">
              <w:rPr>
                <w:rFonts w:cs="Arial"/>
                <w:lang w:val="es-ES_tradnl"/>
              </w:rPr>
              <w:t xml:space="preserve">Añádase una explicación para aclarar a qué se refiere concretamente la pigmentación </w:t>
            </w:r>
            <w:proofErr w:type="spellStart"/>
            <w:r w:rsidRPr="000D5690">
              <w:rPr>
                <w:rFonts w:cs="Arial"/>
                <w:lang w:val="es-ES_tradnl"/>
              </w:rPr>
              <w:t>antociánica</w:t>
            </w:r>
            <w:proofErr w:type="spellEnd"/>
            <w:r w:rsidRPr="000D5690">
              <w:rPr>
                <w:rFonts w:cs="Arial"/>
                <w:lang w:val="es-ES_tradnl"/>
              </w:rPr>
              <w:t>.</w:t>
            </w:r>
          </w:p>
          <w:p w:rsidR="005253AC" w:rsidRPr="00D6704A" w:rsidRDefault="005B4660" w:rsidP="000D5690">
            <w:pPr>
              <w:rPr>
                <w:rFonts w:cs="Arial"/>
                <w:i/>
                <w:lang w:val="es-ES"/>
              </w:rPr>
            </w:pPr>
            <w:r w:rsidRPr="000D5690">
              <w:rPr>
                <w:rFonts w:cs="Arial"/>
                <w:i/>
                <w:lang w:val="es-ES_tradnl"/>
              </w:rPr>
              <w:t>Experto principal</w:t>
            </w:r>
            <w:proofErr w:type="gramStart"/>
            <w:r w:rsidRPr="000D5690">
              <w:rPr>
                <w:rFonts w:cs="Arial"/>
                <w:i/>
                <w:lang w:val="es-ES_tradnl"/>
              </w:rPr>
              <w:t>:</w:t>
            </w:r>
            <w:r w:rsidR="005253AC" w:rsidRPr="00D6704A">
              <w:rPr>
                <w:rFonts w:cs="Arial"/>
                <w:i/>
                <w:lang w:val="es-ES"/>
              </w:rPr>
              <w:t xml:space="preserve">  </w:t>
            </w:r>
            <w:r w:rsidRPr="000D5690">
              <w:rPr>
                <w:rFonts w:cs="Arial"/>
                <w:i/>
                <w:lang w:val="es-ES_tradnl"/>
              </w:rPr>
              <w:t>Añádase</w:t>
            </w:r>
            <w:proofErr w:type="gramEnd"/>
            <w:r w:rsidRPr="000D5690">
              <w:rPr>
                <w:rFonts w:cs="Arial"/>
                <w:i/>
                <w:lang w:val="es-ES_tradnl"/>
              </w:rPr>
              <w:t xml:space="preserve"> al apartado 8.1 b) la explicación siguiente: “La pubescencia y la pigmentación </w:t>
            </w:r>
            <w:proofErr w:type="spellStart"/>
            <w:r w:rsidRPr="000D5690">
              <w:rPr>
                <w:rFonts w:cs="Arial"/>
                <w:i/>
                <w:lang w:val="es-ES_tradnl"/>
              </w:rPr>
              <w:t>antociánica</w:t>
            </w:r>
            <w:proofErr w:type="spellEnd"/>
            <w:r w:rsidRPr="000D5690">
              <w:rPr>
                <w:rFonts w:cs="Arial"/>
                <w:i/>
                <w:lang w:val="es-ES_tradnl"/>
              </w:rPr>
              <w:t xml:space="preserve"> de la rama floral deberán observarse en el tercio medio del raquis.”</w:t>
            </w:r>
          </w:p>
        </w:tc>
      </w:tr>
      <w:tr w:rsidR="005253AC" w:rsidRPr="00E30CEB" w:rsidTr="00E658B6">
        <w:tc>
          <w:tcPr>
            <w:tcW w:w="1573" w:type="dxa"/>
          </w:tcPr>
          <w:p w:rsidR="005253AC" w:rsidRPr="000D5690" w:rsidRDefault="005B4660" w:rsidP="000D5690">
            <w:pPr>
              <w:jc w:val="left"/>
              <w:rPr>
                <w:rFonts w:cs="Arial"/>
              </w:rPr>
            </w:pPr>
            <w:r w:rsidRPr="000D5690">
              <w:rPr>
                <w:rFonts w:cs="Arial"/>
                <w:lang w:val="es-ES_tradnl"/>
              </w:rPr>
              <w:t>Car.</w:t>
            </w:r>
            <w:r w:rsidR="005253AC" w:rsidRPr="000D5690">
              <w:rPr>
                <w:rFonts w:cs="Arial"/>
              </w:rPr>
              <w:t xml:space="preserve"> 31</w:t>
            </w:r>
          </w:p>
        </w:tc>
        <w:tc>
          <w:tcPr>
            <w:tcW w:w="7925" w:type="dxa"/>
          </w:tcPr>
          <w:p w:rsidR="005253AC" w:rsidRPr="00D6704A" w:rsidRDefault="005B4660" w:rsidP="000D5690">
            <w:pPr>
              <w:keepNext/>
              <w:rPr>
                <w:rFonts w:cs="Arial"/>
                <w:lang w:val="es-ES"/>
              </w:rPr>
            </w:pPr>
            <w:r w:rsidRPr="000D5690">
              <w:rPr>
                <w:rFonts w:cs="Arial"/>
                <w:lang w:val="es-ES_tradnl"/>
              </w:rPr>
              <w:t>Añádase: “de la cara externa”.</w:t>
            </w:r>
          </w:p>
        </w:tc>
      </w:tr>
      <w:tr w:rsidR="005253AC" w:rsidRPr="00E30CEB" w:rsidTr="00E658B6">
        <w:tc>
          <w:tcPr>
            <w:tcW w:w="1573" w:type="dxa"/>
          </w:tcPr>
          <w:p w:rsidR="005253AC" w:rsidRPr="000D5690" w:rsidRDefault="005B4660" w:rsidP="000D5690">
            <w:pPr>
              <w:jc w:val="left"/>
              <w:rPr>
                <w:rFonts w:cs="Arial"/>
              </w:rPr>
            </w:pPr>
            <w:r w:rsidRPr="000D5690">
              <w:rPr>
                <w:rFonts w:cs="Arial"/>
                <w:lang w:val="es-ES_tradnl"/>
              </w:rPr>
              <w:t>Car.</w:t>
            </w:r>
            <w:r w:rsidR="005253AC" w:rsidRPr="000D5690">
              <w:rPr>
                <w:rFonts w:cs="Arial"/>
              </w:rPr>
              <w:t xml:space="preserve"> 34</w:t>
            </w:r>
          </w:p>
        </w:tc>
        <w:tc>
          <w:tcPr>
            <w:tcW w:w="7925" w:type="dxa"/>
          </w:tcPr>
          <w:p w:rsidR="005253AC" w:rsidRPr="00D6704A" w:rsidRDefault="003A68EA" w:rsidP="00E658B6">
            <w:pPr>
              <w:rPr>
                <w:rFonts w:cs="Arial"/>
                <w:lang w:val="es-ES"/>
              </w:rPr>
            </w:pPr>
            <w:r w:rsidRPr="000D5690">
              <w:rPr>
                <w:rFonts w:cs="Arial"/>
                <w:lang w:val="es-ES_tradnl"/>
              </w:rPr>
              <w:t>E</w:t>
            </w:r>
            <w:r w:rsidR="005B4660" w:rsidRPr="000D5690">
              <w:rPr>
                <w:rFonts w:cs="Arial"/>
                <w:lang w:val="es-ES_tradnl"/>
              </w:rPr>
              <w:t>xpl</w:t>
            </w:r>
            <w:r w:rsidRPr="000D5690">
              <w:rPr>
                <w:rFonts w:cs="Arial"/>
                <w:lang w:val="es-ES_tradnl"/>
              </w:rPr>
              <w:t xml:space="preserve">íquese qué </w:t>
            </w:r>
            <w:r w:rsidR="005B4660" w:rsidRPr="000D5690">
              <w:rPr>
                <w:rFonts w:cs="Arial"/>
                <w:lang w:val="es-ES_tradnl"/>
              </w:rPr>
              <w:t xml:space="preserve">hace </w:t>
            </w:r>
            <w:r w:rsidRPr="000D5690">
              <w:rPr>
                <w:rFonts w:cs="Arial"/>
                <w:lang w:val="es-ES_tradnl"/>
              </w:rPr>
              <w:t xml:space="preserve">que </w:t>
            </w:r>
            <w:r w:rsidR="005B4660" w:rsidRPr="000D5690">
              <w:rPr>
                <w:rFonts w:cs="Arial"/>
                <w:lang w:val="es-ES_tradnl"/>
              </w:rPr>
              <w:t>l</w:t>
            </w:r>
            <w:r w:rsidRPr="000D5690">
              <w:rPr>
                <w:rFonts w:cs="Arial"/>
                <w:lang w:val="es-ES_tradnl"/>
              </w:rPr>
              <w:t>o</w:t>
            </w:r>
            <w:r w:rsidR="005B4660" w:rsidRPr="000D5690">
              <w:rPr>
                <w:rFonts w:cs="Arial"/>
                <w:lang w:val="es-ES_tradnl"/>
              </w:rPr>
              <w:t xml:space="preserve">s </w:t>
            </w:r>
            <w:r w:rsidRPr="000D5690">
              <w:rPr>
                <w:rFonts w:cs="Arial"/>
                <w:lang w:val="es-ES_tradnl"/>
              </w:rPr>
              <w:t xml:space="preserve">lunares </w:t>
            </w:r>
            <w:r w:rsidR="005B4660" w:rsidRPr="000D5690">
              <w:rPr>
                <w:rFonts w:cs="Arial"/>
                <w:lang w:val="es-ES_tradnl"/>
              </w:rPr>
              <w:t xml:space="preserve">o marcas </w:t>
            </w:r>
            <w:r w:rsidRPr="000D5690">
              <w:rPr>
                <w:rFonts w:cs="Arial"/>
                <w:lang w:val="es-ES_tradnl"/>
              </w:rPr>
              <w:t xml:space="preserve">sean </w:t>
            </w:r>
            <w:r w:rsidR="005B4660" w:rsidRPr="000D5690">
              <w:rPr>
                <w:rFonts w:cs="Arial"/>
                <w:lang w:val="es-ES_tradnl"/>
              </w:rPr>
              <w:t>prominentes (</w:t>
            </w:r>
            <w:r w:rsidRPr="000D5690">
              <w:rPr>
                <w:rFonts w:cs="Arial"/>
                <w:lang w:val="es-ES_tradnl"/>
              </w:rPr>
              <w:t xml:space="preserve">¿el </w:t>
            </w:r>
            <w:r w:rsidR="005B4660" w:rsidRPr="000D5690">
              <w:rPr>
                <w:rFonts w:cs="Arial"/>
                <w:lang w:val="es-ES_tradnl"/>
              </w:rPr>
              <w:t xml:space="preserve">contraste </w:t>
            </w:r>
            <w:r w:rsidRPr="000D5690">
              <w:rPr>
                <w:rFonts w:cs="Arial"/>
                <w:lang w:val="es-ES_tradnl"/>
              </w:rPr>
              <w:t xml:space="preserve">entre los </w:t>
            </w:r>
            <w:r w:rsidR="005B4660" w:rsidRPr="000D5690">
              <w:rPr>
                <w:rFonts w:cs="Arial"/>
                <w:lang w:val="es-ES_tradnl"/>
              </w:rPr>
              <w:t>color</w:t>
            </w:r>
            <w:r w:rsidRPr="000D5690">
              <w:rPr>
                <w:rFonts w:cs="Arial"/>
                <w:lang w:val="es-ES_tradnl"/>
              </w:rPr>
              <w:t>es o el</w:t>
            </w:r>
            <w:r w:rsidR="005B4660" w:rsidRPr="000D5690">
              <w:rPr>
                <w:rFonts w:cs="Arial"/>
                <w:lang w:val="es-ES_tradnl"/>
              </w:rPr>
              <w:t xml:space="preserve"> tamaño?)</w:t>
            </w:r>
            <w:r w:rsidRPr="000D5690">
              <w:rPr>
                <w:rFonts w:cs="Arial"/>
                <w:lang w:val="es-ES_tradnl"/>
              </w:rPr>
              <w:t>.</w:t>
            </w:r>
          </w:p>
          <w:p w:rsidR="005253AC" w:rsidRPr="00D6704A" w:rsidRDefault="003A68EA" w:rsidP="000D5690">
            <w:pPr>
              <w:rPr>
                <w:rFonts w:cs="Arial"/>
                <w:lang w:val="es-ES"/>
              </w:rPr>
            </w:pPr>
            <w:r w:rsidRPr="000D5690">
              <w:rPr>
                <w:rFonts w:cs="Arial"/>
                <w:i/>
                <w:lang w:val="es-ES_tradnl"/>
              </w:rPr>
              <w:t>El experto principal proporcionó la información solicitada.</w:t>
            </w:r>
          </w:p>
        </w:tc>
      </w:tr>
      <w:tr w:rsidR="005253AC" w:rsidRPr="00E30CEB" w:rsidTr="00E658B6">
        <w:tc>
          <w:tcPr>
            <w:tcW w:w="1573" w:type="dxa"/>
          </w:tcPr>
          <w:p w:rsidR="005253AC" w:rsidRPr="000D5690" w:rsidRDefault="005253AC" w:rsidP="00E658B6">
            <w:pPr>
              <w:jc w:val="left"/>
              <w:rPr>
                <w:rFonts w:cs="Arial"/>
              </w:rPr>
            </w:pPr>
            <w:r w:rsidRPr="000D5690">
              <w:rPr>
                <w:rFonts w:cs="Arial"/>
              </w:rPr>
              <w:t>9.</w:t>
            </w:r>
          </w:p>
        </w:tc>
        <w:tc>
          <w:tcPr>
            <w:tcW w:w="7925" w:type="dxa"/>
          </w:tcPr>
          <w:p w:rsidR="005253AC" w:rsidRPr="00D6704A" w:rsidRDefault="00683B57" w:rsidP="00E658B6">
            <w:pPr>
              <w:rPr>
                <w:rFonts w:cs="Arial"/>
                <w:lang w:val="es-ES"/>
              </w:rPr>
            </w:pPr>
            <w:r w:rsidRPr="000D5690">
              <w:t xml:space="preserve">- </w:t>
            </w:r>
            <w:proofErr w:type="spellStart"/>
            <w:r w:rsidR="003A68EA" w:rsidRPr="00D6704A">
              <w:t>Debe</w:t>
            </w:r>
            <w:proofErr w:type="spellEnd"/>
            <w:r w:rsidR="003A68EA" w:rsidRPr="00D6704A">
              <w:t xml:space="preserve"> </w:t>
            </w:r>
            <w:proofErr w:type="spellStart"/>
            <w:r w:rsidR="003A68EA" w:rsidRPr="00D6704A">
              <w:t>rezar</w:t>
            </w:r>
            <w:proofErr w:type="spellEnd"/>
            <w:r w:rsidR="003A68EA" w:rsidRPr="00D6704A">
              <w:t>:</w:t>
            </w:r>
            <w:r w:rsidR="005253AC" w:rsidRPr="000D5690">
              <w:t xml:space="preserve"> “Van Jaarsveld, E.J., 1981: The S.A. </w:t>
            </w:r>
            <w:proofErr w:type="spellStart"/>
            <w:r w:rsidR="005253AC" w:rsidRPr="000D5690">
              <w:t>Plectranthus</w:t>
            </w:r>
            <w:proofErr w:type="spellEnd"/>
            <w:r w:rsidR="005253AC" w:rsidRPr="000D5690">
              <w:t xml:space="preserve"> species as Garden Plants.  National Botanic Gardens of South Africa.  </w:t>
            </w:r>
            <w:r w:rsidR="005253AC" w:rsidRPr="00D6704A">
              <w:rPr>
                <w:lang w:val="es-ES"/>
              </w:rPr>
              <w:t>Cape Town, ZA, 9 pp.”</w:t>
            </w:r>
            <w:r w:rsidR="005253AC" w:rsidRPr="00D6704A">
              <w:rPr>
                <w:rFonts w:cs="Arial"/>
                <w:lang w:val="es-ES"/>
              </w:rPr>
              <w:t xml:space="preserve"> </w:t>
            </w:r>
          </w:p>
          <w:p w:rsidR="005253AC" w:rsidRPr="00D6704A" w:rsidRDefault="00683B57" w:rsidP="00E658B6">
            <w:pPr>
              <w:rPr>
                <w:rFonts w:cs="Arial"/>
                <w:lang w:val="es-ES"/>
              </w:rPr>
            </w:pPr>
            <w:r w:rsidRPr="00D6704A">
              <w:rPr>
                <w:rFonts w:cs="Arial"/>
                <w:lang w:val="es-ES"/>
              </w:rPr>
              <w:t xml:space="preserve">- </w:t>
            </w:r>
            <w:r w:rsidR="003A68EA" w:rsidRPr="000D5690">
              <w:rPr>
                <w:rFonts w:cs="Arial"/>
                <w:lang w:val="es-ES_tradnl"/>
              </w:rPr>
              <w:t xml:space="preserve">Complétese la referencia “Van </w:t>
            </w:r>
            <w:proofErr w:type="spellStart"/>
            <w:r w:rsidR="003A68EA" w:rsidRPr="000D5690">
              <w:rPr>
                <w:rFonts w:cs="Arial"/>
                <w:lang w:val="es-ES_tradnl"/>
              </w:rPr>
              <w:t>Jaarsveld</w:t>
            </w:r>
            <w:proofErr w:type="spellEnd"/>
            <w:r w:rsidR="003A68EA" w:rsidRPr="000D5690">
              <w:rPr>
                <w:rFonts w:cs="Arial"/>
                <w:lang w:val="es-ES_tradnl"/>
              </w:rPr>
              <w:t xml:space="preserve">, E.J. </w:t>
            </w:r>
            <w:proofErr w:type="spellStart"/>
            <w:r w:rsidR="003A68EA" w:rsidRPr="000D5690">
              <w:rPr>
                <w:rFonts w:cs="Arial"/>
                <w:lang w:val="es-ES_tradnl"/>
              </w:rPr>
              <w:t>The</w:t>
            </w:r>
            <w:proofErr w:type="spellEnd"/>
            <w:r w:rsidR="003A68EA" w:rsidRPr="000D5690">
              <w:rPr>
                <w:rFonts w:cs="Arial"/>
                <w:lang w:val="es-ES_tradnl"/>
              </w:rPr>
              <w:t xml:space="preserve"> </w:t>
            </w:r>
            <w:proofErr w:type="spellStart"/>
            <w:r w:rsidR="003A68EA" w:rsidRPr="000D5690">
              <w:rPr>
                <w:rFonts w:cs="Arial"/>
                <w:lang w:val="es-ES_tradnl"/>
              </w:rPr>
              <w:t>Plectranthus</w:t>
            </w:r>
            <w:proofErr w:type="spellEnd"/>
            <w:r w:rsidR="003A68EA" w:rsidRPr="000D5690">
              <w:rPr>
                <w:rFonts w:cs="Arial"/>
                <w:lang w:val="es-ES_tradnl"/>
              </w:rPr>
              <w:t>...” (</w:t>
            </w:r>
            <w:proofErr w:type="gramStart"/>
            <w:r w:rsidR="003A68EA" w:rsidRPr="000D5690">
              <w:rPr>
                <w:rFonts w:cs="Arial"/>
                <w:lang w:val="es-ES_tradnl"/>
              </w:rPr>
              <w:t>falta</w:t>
            </w:r>
            <w:proofErr w:type="gramEnd"/>
            <w:r w:rsidR="003A68EA" w:rsidRPr="000D5690">
              <w:rPr>
                <w:rFonts w:cs="Arial"/>
                <w:lang w:val="es-ES_tradnl"/>
              </w:rPr>
              <w:t xml:space="preserve"> el año).</w:t>
            </w:r>
          </w:p>
          <w:p w:rsidR="005253AC" w:rsidRPr="00D6704A" w:rsidRDefault="003A68EA" w:rsidP="000D5690">
            <w:pPr>
              <w:rPr>
                <w:rFonts w:cs="Arial"/>
                <w:lang w:val="es-ES"/>
              </w:rPr>
            </w:pPr>
            <w:r w:rsidRPr="000D5690">
              <w:rPr>
                <w:rFonts w:cs="Arial"/>
                <w:i/>
                <w:lang w:val="es-ES_tradnl"/>
              </w:rPr>
              <w:t>El experto principal proporcionó la información solicitada.</w:t>
            </w:r>
          </w:p>
        </w:tc>
      </w:tr>
    </w:tbl>
    <w:p w:rsidR="005253AC" w:rsidRPr="00D6704A" w:rsidRDefault="005253AC" w:rsidP="005253AC">
      <w:pPr>
        <w:jc w:val="left"/>
        <w:rPr>
          <w:rFonts w:cs="Arial"/>
          <w:u w:val="single"/>
          <w:lang w:val="es-ES"/>
        </w:rPr>
      </w:pPr>
    </w:p>
    <w:p w:rsidR="005253AC" w:rsidRPr="00D6704A" w:rsidRDefault="0047214B" w:rsidP="005253AC">
      <w:pPr>
        <w:autoSpaceDE w:val="0"/>
        <w:autoSpaceDN w:val="0"/>
        <w:adjustRightInd w:val="0"/>
        <w:ind w:firstLine="567"/>
        <w:rPr>
          <w:rFonts w:cs="Arial"/>
          <w:u w:val="single"/>
          <w:lang w:val="es-ES"/>
        </w:rPr>
      </w:pPr>
      <w:r w:rsidRPr="00D6704A">
        <w:rPr>
          <w:rFonts w:cs="Arial"/>
          <w:lang w:val="es-ES"/>
        </w:rPr>
        <w:t>b)</w:t>
      </w:r>
      <w:r w:rsidR="005253AC" w:rsidRPr="00D6704A">
        <w:rPr>
          <w:rFonts w:cs="Arial"/>
          <w:lang w:val="es-ES"/>
        </w:rPr>
        <w:tab/>
      </w:r>
      <w:r w:rsidR="003A68EA" w:rsidRPr="000D5690">
        <w:rPr>
          <w:rFonts w:cs="Arial"/>
          <w:lang w:val="es-ES_tradnl"/>
        </w:rPr>
        <w:t>Modificaciones propuestas por el TC-EDC en marzo de 2016, que han de incluirse en el documento sometido a la consideración del TC:</w:t>
      </w:r>
    </w:p>
    <w:p w:rsidR="005253AC" w:rsidRPr="00D6704A" w:rsidRDefault="005253AC" w:rsidP="005253AC">
      <w:pPr>
        <w:jc w:val="left"/>
        <w:rPr>
          <w:rFonts w:cs="Arial"/>
          <w:u w:val="single"/>
          <w:lang w:val="es-ES"/>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5253AC" w:rsidRPr="00E30CEB" w:rsidTr="00E658B6">
        <w:tc>
          <w:tcPr>
            <w:tcW w:w="1573" w:type="dxa"/>
          </w:tcPr>
          <w:p w:rsidR="005253AC" w:rsidRPr="000D5690" w:rsidRDefault="003A68EA" w:rsidP="000D5690">
            <w:pPr>
              <w:jc w:val="left"/>
              <w:rPr>
                <w:rFonts w:cs="Arial"/>
              </w:rPr>
            </w:pPr>
            <w:r w:rsidRPr="000D5690">
              <w:rPr>
                <w:rFonts w:cs="Arial"/>
                <w:lang w:val="es-ES_tradnl"/>
              </w:rPr>
              <w:t>Car.</w:t>
            </w:r>
            <w:r w:rsidR="005253AC" w:rsidRPr="000D5690">
              <w:rPr>
                <w:rFonts w:cs="Arial"/>
              </w:rPr>
              <w:t xml:space="preserve"> 1</w:t>
            </w:r>
          </w:p>
        </w:tc>
        <w:tc>
          <w:tcPr>
            <w:tcW w:w="7925" w:type="dxa"/>
          </w:tcPr>
          <w:p w:rsidR="005253AC" w:rsidRPr="00D6704A" w:rsidRDefault="003A68EA" w:rsidP="00E658B6">
            <w:pPr>
              <w:keepNext/>
              <w:rPr>
                <w:rFonts w:cs="Arial"/>
                <w:lang w:val="es-ES"/>
              </w:rPr>
            </w:pPr>
            <w:r w:rsidRPr="000D5690">
              <w:rPr>
                <w:rFonts w:cs="Arial"/>
                <w:lang w:val="es-ES_tradnl"/>
              </w:rPr>
              <w:t xml:space="preserve">Compruébese si debe indicarse como PQ (debido al nivel “rastrera”) y si solo debe presentar 4 </w:t>
            </w:r>
            <w:r w:rsidR="00937DF6" w:rsidRPr="000D5690">
              <w:rPr>
                <w:rFonts w:cs="Arial"/>
                <w:lang w:val="es-ES_tradnl"/>
              </w:rPr>
              <w:t>niveles de expresión</w:t>
            </w:r>
            <w:r w:rsidRPr="000D5690">
              <w:rPr>
                <w:rFonts w:cs="Arial"/>
                <w:lang w:val="es-ES_tradnl"/>
              </w:rPr>
              <w:t>.</w:t>
            </w:r>
          </w:p>
          <w:p w:rsidR="005253AC" w:rsidRPr="00D6704A" w:rsidRDefault="003A68EA" w:rsidP="00E658B6">
            <w:pPr>
              <w:keepNext/>
              <w:rPr>
                <w:rFonts w:cs="Arial"/>
                <w:i/>
                <w:lang w:val="es-ES"/>
              </w:rPr>
            </w:pPr>
            <w:r w:rsidRPr="000D5690">
              <w:rPr>
                <w:rFonts w:cs="Arial"/>
                <w:i/>
                <w:lang w:val="es-ES_tradnl"/>
              </w:rPr>
              <w:t>Experto principal:</w:t>
            </w:r>
            <w:r w:rsidR="005253AC" w:rsidRPr="00D6704A">
              <w:rPr>
                <w:rFonts w:cs="Arial"/>
                <w:i/>
                <w:lang w:val="es-ES"/>
              </w:rPr>
              <w:t xml:space="preserve"> </w:t>
            </w:r>
            <w:r w:rsidRPr="000D5690">
              <w:rPr>
                <w:rFonts w:cs="Arial"/>
                <w:i/>
                <w:lang w:val="es-ES_tradnl"/>
              </w:rPr>
              <w:t>De acuerdo.</w:t>
            </w:r>
          </w:p>
          <w:p w:rsidR="005253AC" w:rsidRPr="00D6704A" w:rsidRDefault="003A68EA" w:rsidP="00E658B6">
            <w:pPr>
              <w:keepNext/>
              <w:rPr>
                <w:rFonts w:cs="Arial"/>
                <w:i/>
                <w:lang w:val="es-ES"/>
              </w:rPr>
            </w:pPr>
            <w:r w:rsidRPr="000D5690">
              <w:rPr>
                <w:rFonts w:cs="Arial"/>
                <w:i/>
                <w:lang w:val="es-ES_tradnl"/>
              </w:rPr>
              <w:t>El TWO confirmó por correspondencia que la indicación QN es correcta.</w:t>
            </w:r>
          </w:p>
          <w:p w:rsidR="005253AC" w:rsidRPr="00D6704A" w:rsidRDefault="003A68EA" w:rsidP="000D5690">
            <w:pPr>
              <w:keepNext/>
              <w:rPr>
                <w:rFonts w:cs="Arial"/>
                <w:i/>
                <w:lang w:val="es-ES"/>
              </w:rPr>
            </w:pPr>
            <w:r w:rsidRPr="000D5690">
              <w:rPr>
                <w:rFonts w:cs="Arial"/>
                <w:i/>
                <w:lang w:val="es-ES_tradnl"/>
              </w:rPr>
              <w:t>Experto principal:</w:t>
            </w:r>
            <w:r w:rsidR="005253AC" w:rsidRPr="00D6704A">
              <w:rPr>
                <w:rFonts w:cs="Arial"/>
                <w:i/>
                <w:lang w:val="es-ES"/>
              </w:rPr>
              <w:t xml:space="preserve"> </w:t>
            </w:r>
            <w:r w:rsidRPr="000D5690">
              <w:rPr>
                <w:rFonts w:cs="Arial"/>
                <w:i/>
                <w:lang w:val="es-ES_tradnl"/>
              </w:rPr>
              <w:t xml:space="preserve">Deben figurar los niveles siguientes: (1) erguido, (3) </w:t>
            </w:r>
            <w:proofErr w:type="spellStart"/>
            <w:r w:rsidRPr="000D5690">
              <w:rPr>
                <w:rFonts w:cs="Arial"/>
                <w:i/>
                <w:lang w:val="es-ES_tradnl"/>
              </w:rPr>
              <w:t>semierguido</w:t>
            </w:r>
            <w:proofErr w:type="spellEnd"/>
            <w:r w:rsidRPr="000D5690">
              <w:rPr>
                <w:rFonts w:cs="Arial"/>
                <w:i/>
                <w:lang w:val="es-ES_tradnl"/>
              </w:rPr>
              <w:t xml:space="preserve">, (5) extendida, (7) </w:t>
            </w:r>
            <w:proofErr w:type="spellStart"/>
            <w:r w:rsidRPr="000D5690">
              <w:rPr>
                <w:rFonts w:cs="Arial"/>
                <w:i/>
                <w:lang w:val="es-ES_tradnl"/>
              </w:rPr>
              <w:t>semi</w:t>
            </w:r>
            <w:r w:rsidR="00315595" w:rsidRPr="000D5690">
              <w:rPr>
                <w:rFonts w:cs="Arial"/>
                <w:i/>
                <w:lang w:val="es-ES_tradnl"/>
              </w:rPr>
              <w:t>r</w:t>
            </w:r>
            <w:r w:rsidR="00455B0D" w:rsidRPr="000D5690">
              <w:rPr>
                <w:rFonts w:cs="Arial"/>
                <w:i/>
                <w:lang w:val="es-ES_tradnl"/>
              </w:rPr>
              <w:t>r</w:t>
            </w:r>
            <w:r w:rsidR="00315595" w:rsidRPr="000D5690">
              <w:rPr>
                <w:rFonts w:cs="Arial"/>
                <w:i/>
                <w:lang w:val="es-ES_tradnl"/>
              </w:rPr>
              <w:t>astrera</w:t>
            </w:r>
            <w:proofErr w:type="spellEnd"/>
            <w:r w:rsidRPr="000D5690">
              <w:rPr>
                <w:rFonts w:cs="Arial"/>
                <w:i/>
                <w:lang w:val="es-ES_tradnl"/>
              </w:rPr>
              <w:t xml:space="preserve">, (9) </w:t>
            </w:r>
            <w:r w:rsidR="00315595" w:rsidRPr="000D5690">
              <w:rPr>
                <w:rFonts w:cs="Arial"/>
                <w:i/>
                <w:lang w:val="es-ES_tradnl"/>
              </w:rPr>
              <w:t>rastrer</w:t>
            </w:r>
            <w:r w:rsidRPr="000D5690">
              <w:rPr>
                <w:rFonts w:cs="Arial"/>
                <w:i/>
                <w:lang w:val="es-ES_tradnl"/>
              </w:rPr>
              <w:t>a</w:t>
            </w:r>
            <w:r w:rsidR="00315595" w:rsidRPr="000D5690">
              <w:rPr>
                <w:rFonts w:cs="Arial"/>
                <w:i/>
                <w:lang w:val="es-ES_tradnl"/>
              </w:rPr>
              <w:t>.</w:t>
            </w:r>
          </w:p>
        </w:tc>
      </w:tr>
    </w:tbl>
    <w:p w:rsidR="005253AC" w:rsidRPr="00D6704A" w:rsidRDefault="005253AC" w:rsidP="005253AC">
      <w:pPr>
        <w:jc w:val="left"/>
        <w:rPr>
          <w:rFonts w:cs="Arial"/>
          <w:u w:val="single"/>
          <w:lang w:val="es-ES"/>
        </w:rPr>
      </w:pPr>
    </w:p>
    <w:p w:rsidR="005253AC" w:rsidRPr="00D6704A" w:rsidRDefault="005253AC" w:rsidP="005253AC">
      <w:pPr>
        <w:jc w:val="left"/>
        <w:rPr>
          <w:rFonts w:cs="Arial"/>
          <w:u w:val="single"/>
          <w:lang w:val="es-ES"/>
        </w:rPr>
      </w:pPr>
    </w:p>
    <w:tbl>
      <w:tblPr>
        <w:tblW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00"/>
        <w:gridCol w:w="2268"/>
      </w:tblGrid>
      <w:tr w:rsidR="005253AC" w:rsidRPr="000D5690" w:rsidTr="00E658B6">
        <w:trPr>
          <w:cantSplit/>
          <w:trHeight w:val="315"/>
        </w:trPr>
        <w:tc>
          <w:tcPr>
            <w:tcW w:w="3600" w:type="dxa"/>
            <w:vMerge w:val="restart"/>
            <w:shd w:val="clear" w:color="auto" w:fill="D9D9D9"/>
            <w:vAlign w:val="center"/>
          </w:tcPr>
          <w:p w:rsidR="005253AC" w:rsidRPr="000D5690" w:rsidRDefault="005253AC" w:rsidP="00315595">
            <w:pPr>
              <w:pStyle w:val="TitleofDoc"/>
              <w:keepNext/>
              <w:tabs>
                <w:tab w:val="left" w:pos="5245"/>
                <w:tab w:val="left" w:pos="7008"/>
              </w:tabs>
              <w:spacing w:before="80" w:after="80"/>
              <w:jc w:val="left"/>
              <w:rPr>
                <w:rFonts w:cs="Arial"/>
                <w:caps w:val="0"/>
                <w:lang w:val="fr-CH"/>
              </w:rPr>
            </w:pPr>
            <w:r w:rsidRPr="000D5690">
              <w:rPr>
                <w:rFonts w:cs="Arial"/>
                <w:caps w:val="0"/>
              </w:rPr>
              <w:t>Salvia (</w:t>
            </w:r>
            <w:r w:rsidRPr="000D5690">
              <w:rPr>
                <w:rFonts w:cs="Arial"/>
                <w:i/>
                <w:caps w:val="0"/>
              </w:rPr>
              <w:t>Salvia</w:t>
            </w:r>
            <w:r w:rsidRPr="000D5690">
              <w:rPr>
                <w:rFonts w:cs="Arial"/>
                <w:caps w:val="0"/>
              </w:rPr>
              <w:t xml:space="preserve"> L.)</w:t>
            </w:r>
          </w:p>
        </w:tc>
        <w:tc>
          <w:tcPr>
            <w:tcW w:w="2268" w:type="dxa"/>
            <w:vMerge w:val="restart"/>
            <w:shd w:val="clear" w:color="auto" w:fill="D9D9D9"/>
            <w:vAlign w:val="center"/>
          </w:tcPr>
          <w:p w:rsidR="005253AC" w:rsidRPr="000D5690" w:rsidRDefault="005253AC" w:rsidP="00E658B6">
            <w:pPr>
              <w:rPr>
                <w:iCs/>
                <w:snapToGrid w:val="0"/>
              </w:rPr>
            </w:pPr>
            <w:r w:rsidRPr="000D5690">
              <w:rPr>
                <w:rFonts w:cs="Arial"/>
                <w:caps/>
              </w:rPr>
              <w:t>TG/SALVI(</w:t>
            </w:r>
            <w:r w:rsidRPr="000D5690">
              <w:rPr>
                <w:rFonts w:cs="Arial"/>
              </w:rPr>
              <w:t>proj</w:t>
            </w:r>
            <w:r w:rsidRPr="000D5690">
              <w:rPr>
                <w:rFonts w:cs="Arial"/>
                <w:caps/>
              </w:rPr>
              <w:t>.4)</w:t>
            </w:r>
          </w:p>
        </w:tc>
      </w:tr>
      <w:tr w:rsidR="005253AC" w:rsidRPr="000D5690" w:rsidTr="00E658B6">
        <w:trPr>
          <w:cantSplit/>
          <w:trHeight w:hRule="exact" w:val="74"/>
        </w:trPr>
        <w:tc>
          <w:tcPr>
            <w:tcW w:w="3600" w:type="dxa"/>
            <w:vMerge/>
            <w:shd w:val="clear" w:color="auto" w:fill="D9D9D9"/>
            <w:vAlign w:val="center"/>
          </w:tcPr>
          <w:p w:rsidR="005253AC" w:rsidRPr="000D5690" w:rsidRDefault="005253AC" w:rsidP="00E658B6">
            <w:pPr>
              <w:pStyle w:val="TitleofDoc"/>
              <w:keepNext/>
              <w:tabs>
                <w:tab w:val="left" w:pos="5245"/>
                <w:tab w:val="left" w:pos="7008"/>
              </w:tabs>
              <w:spacing w:before="0"/>
              <w:jc w:val="left"/>
              <w:rPr>
                <w:rFonts w:cs="Arial"/>
                <w:caps w:val="0"/>
              </w:rPr>
            </w:pPr>
          </w:p>
        </w:tc>
        <w:tc>
          <w:tcPr>
            <w:tcW w:w="2268" w:type="dxa"/>
            <w:vMerge/>
            <w:shd w:val="clear" w:color="auto" w:fill="D9D9D9"/>
            <w:vAlign w:val="center"/>
          </w:tcPr>
          <w:p w:rsidR="005253AC" w:rsidRPr="000D5690" w:rsidRDefault="005253AC" w:rsidP="00E658B6">
            <w:pPr>
              <w:pStyle w:val="BodyText"/>
              <w:keepNext/>
              <w:jc w:val="left"/>
              <w:rPr>
                <w:rFonts w:cs="Arial"/>
                <w:iCs/>
                <w:snapToGrid w:val="0"/>
              </w:rPr>
            </w:pPr>
          </w:p>
        </w:tc>
      </w:tr>
    </w:tbl>
    <w:p w:rsidR="005253AC" w:rsidRPr="000D5690" w:rsidRDefault="005253AC" w:rsidP="005253AC">
      <w:pPr>
        <w:keepNext/>
        <w:jc w:val="left"/>
        <w:rPr>
          <w:rFonts w:cs="Arial"/>
          <w:lang w:val="de-DE"/>
        </w:rPr>
      </w:pPr>
    </w:p>
    <w:p w:rsidR="005253AC" w:rsidRPr="00D6704A" w:rsidRDefault="0047214B" w:rsidP="005253AC">
      <w:pPr>
        <w:autoSpaceDE w:val="0"/>
        <w:autoSpaceDN w:val="0"/>
        <w:adjustRightInd w:val="0"/>
        <w:ind w:firstLine="567"/>
        <w:rPr>
          <w:rFonts w:cs="Arial"/>
          <w:lang w:val="es-ES"/>
        </w:rPr>
      </w:pPr>
      <w:r w:rsidRPr="00D6704A">
        <w:rPr>
          <w:rFonts w:cs="Arial"/>
          <w:lang w:val="es-ES"/>
        </w:rPr>
        <w:t>a)</w:t>
      </w:r>
      <w:r w:rsidR="005253AC" w:rsidRPr="00D6704A">
        <w:rPr>
          <w:rFonts w:cs="Arial"/>
          <w:lang w:val="es-ES"/>
        </w:rPr>
        <w:tab/>
      </w:r>
      <w:r w:rsidR="005E294F" w:rsidRPr="000D5690">
        <w:rPr>
          <w:rFonts w:cs="Arial"/>
          <w:lang w:val="es-ES_tradnl"/>
        </w:rPr>
        <w:t>En el cuadro siguiente se recogen las observaciones formuladas por el Comité de Redacción Ampliado en su reunión celebrada los días 6 y 7 de enero de 2016.</w:t>
      </w:r>
      <w:r w:rsidR="005253AC" w:rsidRPr="00D6704A">
        <w:rPr>
          <w:rFonts w:cs="Arial"/>
          <w:lang w:val="es-ES"/>
        </w:rPr>
        <w:t xml:space="preserve"> </w:t>
      </w:r>
      <w:r w:rsidR="005E294F" w:rsidRPr="000D5690">
        <w:rPr>
          <w:rFonts w:cs="Arial"/>
          <w:lang w:val="es-ES_tradnl"/>
        </w:rPr>
        <w:t xml:space="preserve">Todas las observaciones se han incorporado ya en </w:t>
      </w:r>
      <w:r w:rsidR="00364BA2" w:rsidRPr="000D5690">
        <w:rPr>
          <w:rFonts w:cs="Arial"/>
          <w:lang w:val="es-ES_tradnl"/>
        </w:rPr>
        <w:t>el proyecto de directrices de examen</w:t>
      </w:r>
      <w:r w:rsidR="005E294F" w:rsidRPr="000D5690">
        <w:rPr>
          <w:rFonts w:cs="Arial"/>
          <w:lang w:val="es-ES_tradnl"/>
        </w:rPr>
        <w:t> TG/</w:t>
      </w:r>
      <w:proofErr w:type="gramStart"/>
      <w:r w:rsidR="005E294F" w:rsidRPr="000D5690">
        <w:rPr>
          <w:rFonts w:cs="Arial"/>
          <w:lang w:val="es-ES_tradnl"/>
        </w:rPr>
        <w:t>SALVI(</w:t>
      </w:r>
      <w:proofErr w:type="gramEnd"/>
      <w:r w:rsidR="005E294F" w:rsidRPr="000D5690">
        <w:rPr>
          <w:rFonts w:cs="Arial"/>
          <w:lang w:val="es-ES_tradnl"/>
        </w:rPr>
        <w:t>proj.4), sometido a la consideración del TC:</w:t>
      </w:r>
    </w:p>
    <w:p w:rsidR="005253AC" w:rsidRPr="00D6704A" w:rsidRDefault="005253AC" w:rsidP="005253AC">
      <w:pPr>
        <w:keepNext/>
        <w:jc w:val="left"/>
        <w:rPr>
          <w:rFonts w:cs="Arial"/>
          <w:lang w:val="es-ES"/>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5253AC" w:rsidRPr="00E30CEB" w:rsidTr="00E658B6">
        <w:tc>
          <w:tcPr>
            <w:tcW w:w="1573" w:type="dxa"/>
          </w:tcPr>
          <w:p w:rsidR="005253AC" w:rsidRPr="000D5690" w:rsidRDefault="005E294F" w:rsidP="000D5690">
            <w:pPr>
              <w:jc w:val="left"/>
              <w:rPr>
                <w:rFonts w:cs="Arial"/>
              </w:rPr>
            </w:pPr>
            <w:r w:rsidRPr="000D5690">
              <w:rPr>
                <w:rFonts w:cs="Arial"/>
                <w:lang w:val="es-ES_tradnl"/>
              </w:rPr>
              <w:t>Portada</w:t>
            </w:r>
          </w:p>
        </w:tc>
        <w:tc>
          <w:tcPr>
            <w:tcW w:w="7925" w:type="dxa"/>
          </w:tcPr>
          <w:p w:rsidR="005253AC" w:rsidRPr="00D6704A" w:rsidRDefault="005E294F" w:rsidP="000D5690">
            <w:pPr>
              <w:keepNext/>
              <w:rPr>
                <w:rFonts w:cs="Arial"/>
                <w:lang w:val="es-ES"/>
              </w:rPr>
            </w:pPr>
            <w:r w:rsidRPr="000D5690">
              <w:rPr>
                <w:rFonts w:cs="Arial"/>
                <w:lang w:val="es-ES_tradnl"/>
              </w:rPr>
              <w:t>Añádase el nombre común en alemán: “</w:t>
            </w:r>
            <w:proofErr w:type="spellStart"/>
            <w:r w:rsidRPr="000D5690">
              <w:rPr>
                <w:rFonts w:cs="Arial"/>
                <w:lang w:val="es-ES_tradnl"/>
              </w:rPr>
              <w:t>Salvie</w:t>
            </w:r>
            <w:proofErr w:type="spellEnd"/>
            <w:r w:rsidRPr="000D5690">
              <w:rPr>
                <w:rFonts w:cs="Arial"/>
                <w:lang w:val="es-ES_tradnl"/>
              </w:rPr>
              <w:t>”.</w:t>
            </w:r>
          </w:p>
        </w:tc>
      </w:tr>
      <w:tr w:rsidR="005253AC" w:rsidRPr="00E30CEB" w:rsidTr="00E658B6">
        <w:tc>
          <w:tcPr>
            <w:tcW w:w="1573" w:type="dxa"/>
          </w:tcPr>
          <w:p w:rsidR="005253AC" w:rsidRPr="000D5690" w:rsidRDefault="005253AC" w:rsidP="00E658B6">
            <w:pPr>
              <w:jc w:val="left"/>
              <w:rPr>
                <w:rFonts w:cs="Arial"/>
                <w:dstrike/>
              </w:rPr>
            </w:pPr>
            <w:r w:rsidRPr="000D5690">
              <w:rPr>
                <w:rFonts w:cs="Arial"/>
              </w:rPr>
              <w:t>1.</w:t>
            </w:r>
          </w:p>
        </w:tc>
        <w:tc>
          <w:tcPr>
            <w:tcW w:w="7925" w:type="dxa"/>
          </w:tcPr>
          <w:p w:rsidR="005253AC" w:rsidRPr="00D6704A" w:rsidRDefault="00683B57" w:rsidP="00E658B6">
            <w:pPr>
              <w:keepNext/>
              <w:rPr>
                <w:rFonts w:cs="Arial"/>
                <w:lang w:val="es-ES"/>
              </w:rPr>
            </w:pPr>
            <w:r w:rsidRPr="00D6704A">
              <w:rPr>
                <w:rFonts w:cs="Arial"/>
                <w:lang w:val="es-ES"/>
              </w:rPr>
              <w:t xml:space="preserve">- </w:t>
            </w:r>
            <w:r w:rsidR="005E294F" w:rsidRPr="000D5690">
              <w:rPr>
                <w:rFonts w:cs="Arial"/>
                <w:lang w:val="es-ES_tradnl"/>
              </w:rPr>
              <w:t>Debe rezar: “… para examinar las variedades de tipo culinario o medicinal…”</w:t>
            </w:r>
          </w:p>
          <w:p w:rsidR="005253AC" w:rsidRPr="00D6704A" w:rsidRDefault="00683B57" w:rsidP="000D5690">
            <w:pPr>
              <w:rPr>
                <w:rFonts w:cs="Arial"/>
                <w:lang w:val="es-ES"/>
              </w:rPr>
            </w:pPr>
            <w:r w:rsidRPr="00D6704A">
              <w:rPr>
                <w:rFonts w:cs="Arial"/>
                <w:lang w:val="es-ES"/>
              </w:rPr>
              <w:t xml:space="preserve">- </w:t>
            </w:r>
            <w:r w:rsidR="005E294F" w:rsidRPr="000D5690">
              <w:rPr>
                <w:rFonts w:cs="Arial"/>
                <w:lang w:val="es-ES_tradnl"/>
              </w:rPr>
              <w:t>El segundo párrafo debe rezar: “</w:t>
            </w:r>
            <w:r w:rsidR="00730AC6" w:rsidRPr="000D5690">
              <w:rPr>
                <w:lang w:val="es-ES_tradnl"/>
              </w:rPr>
              <w:t>Los caracteres incluidos en las presentes directrices de examen se han elaborado a los fines de distinguir las variedades ornamentales</w:t>
            </w:r>
            <w:r w:rsidR="005E294F" w:rsidRPr="000D5690">
              <w:rPr>
                <w:lang w:val="es-ES_tradnl"/>
              </w:rPr>
              <w:t>.</w:t>
            </w:r>
            <w:r w:rsidR="005253AC" w:rsidRPr="00D6704A">
              <w:rPr>
                <w:lang w:val="es-ES"/>
              </w:rPr>
              <w:t xml:space="preserve">  </w:t>
            </w:r>
            <w:r w:rsidR="00730AC6" w:rsidRPr="000D5690">
              <w:rPr>
                <w:lang w:val="es-ES_tradnl"/>
              </w:rPr>
              <w:t>También pueden utilizarse para distinguir las variedades culinarias o medicinales y podrían necesitarse otros caracteres y niveles de expresión.”</w:t>
            </w:r>
          </w:p>
        </w:tc>
      </w:tr>
      <w:tr w:rsidR="005253AC" w:rsidRPr="00E30CEB" w:rsidTr="00E658B6">
        <w:tc>
          <w:tcPr>
            <w:tcW w:w="1573" w:type="dxa"/>
          </w:tcPr>
          <w:p w:rsidR="005253AC" w:rsidRPr="000D5690" w:rsidRDefault="005253AC" w:rsidP="00E658B6">
            <w:pPr>
              <w:jc w:val="left"/>
              <w:rPr>
                <w:rFonts w:cs="Arial"/>
              </w:rPr>
            </w:pPr>
            <w:r w:rsidRPr="000D5690">
              <w:rPr>
                <w:rFonts w:cs="Arial"/>
              </w:rPr>
              <w:t>2.2</w:t>
            </w:r>
          </w:p>
        </w:tc>
        <w:tc>
          <w:tcPr>
            <w:tcW w:w="7925" w:type="dxa"/>
          </w:tcPr>
          <w:p w:rsidR="005253AC" w:rsidRPr="00D6704A" w:rsidRDefault="00730AC6" w:rsidP="000D5690">
            <w:pPr>
              <w:rPr>
                <w:rFonts w:cs="Arial"/>
                <w:lang w:val="es-ES"/>
              </w:rPr>
            </w:pPr>
            <w:r w:rsidRPr="000D5690">
              <w:rPr>
                <w:rFonts w:cs="Arial"/>
                <w:lang w:val="es-ES_tradnl"/>
              </w:rPr>
              <w:t>Elimínese la coma después de “…</w:t>
            </w:r>
            <w:proofErr w:type="spellStart"/>
            <w:r w:rsidRPr="000D5690">
              <w:rPr>
                <w:rFonts w:cs="Arial"/>
                <w:lang w:val="es-ES_tradnl"/>
              </w:rPr>
              <w:t>plants</w:t>
            </w:r>
            <w:proofErr w:type="spellEnd"/>
            <w:r w:rsidRPr="000D5690">
              <w:rPr>
                <w:rFonts w:cs="Arial"/>
                <w:lang w:val="es-ES_tradnl"/>
              </w:rPr>
              <w:t>…”</w:t>
            </w:r>
            <w:r w:rsidRPr="00D6704A">
              <w:rPr>
                <w:rFonts w:cs="Arial"/>
                <w:lang w:val="es-ES"/>
              </w:rPr>
              <w:t xml:space="preserve"> </w:t>
            </w:r>
          </w:p>
        </w:tc>
      </w:tr>
      <w:tr w:rsidR="005253AC" w:rsidRPr="00E30CEB" w:rsidTr="00E658B6">
        <w:tc>
          <w:tcPr>
            <w:tcW w:w="1573" w:type="dxa"/>
          </w:tcPr>
          <w:p w:rsidR="005253AC" w:rsidRPr="000D5690" w:rsidRDefault="005253AC" w:rsidP="00E658B6">
            <w:pPr>
              <w:jc w:val="left"/>
              <w:rPr>
                <w:rFonts w:cs="Arial"/>
              </w:rPr>
            </w:pPr>
            <w:r w:rsidRPr="000D5690">
              <w:rPr>
                <w:rFonts w:cs="Arial"/>
              </w:rPr>
              <w:t>2.3, 3.4.2</w:t>
            </w:r>
          </w:p>
        </w:tc>
        <w:tc>
          <w:tcPr>
            <w:tcW w:w="7925" w:type="dxa"/>
          </w:tcPr>
          <w:p w:rsidR="005253AC" w:rsidRPr="00D6704A" w:rsidRDefault="00730AC6" w:rsidP="000D5690">
            <w:pPr>
              <w:rPr>
                <w:rFonts w:cs="Arial"/>
                <w:lang w:val="es-ES"/>
              </w:rPr>
            </w:pPr>
            <w:r w:rsidRPr="000D5690">
              <w:rPr>
                <w:rFonts w:cs="Arial"/>
                <w:lang w:val="es-ES_tradnl"/>
              </w:rPr>
              <w:t xml:space="preserve">Añádase un </w:t>
            </w:r>
            <w:proofErr w:type="spellStart"/>
            <w:r w:rsidRPr="000D5690">
              <w:rPr>
                <w:rFonts w:cs="Arial"/>
                <w:lang w:val="es-ES_tradnl"/>
              </w:rPr>
              <w:t>guión</w:t>
            </w:r>
            <w:proofErr w:type="spellEnd"/>
            <w:r w:rsidRPr="000D5690">
              <w:rPr>
                <w:rFonts w:cs="Arial"/>
                <w:lang w:val="es-ES_tradnl"/>
              </w:rPr>
              <w:t xml:space="preserve"> para que rece: “</w:t>
            </w:r>
            <w:proofErr w:type="spellStart"/>
            <w:r w:rsidRPr="000D5690">
              <w:rPr>
                <w:rFonts w:cs="Arial"/>
                <w:lang w:val="es-ES_tradnl"/>
              </w:rPr>
              <w:t>seed-propagated</w:t>
            </w:r>
            <w:proofErr w:type="spellEnd"/>
            <w:r w:rsidRPr="000D5690">
              <w:rPr>
                <w:rFonts w:cs="Arial"/>
                <w:lang w:val="es-ES_tradnl"/>
              </w:rPr>
              <w:t xml:space="preserve"> </w:t>
            </w:r>
            <w:proofErr w:type="spellStart"/>
            <w:r w:rsidRPr="000D5690">
              <w:rPr>
                <w:rFonts w:cs="Arial"/>
                <w:lang w:val="es-ES_tradnl"/>
              </w:rPr>
              <w:t>varieties</w:t>
            </w:r>
            <w:proofErr w:type="spellEnd"/>
            <w:r w:rsidRPr="000D5690">
              <w:rPr>
                <w:rFonts w:cs="Arial"/>
                <w:lang w:val="es-ES_tradnl"/>
              </w:rPr>
              <w:t>”</w:t>
            </w:r>
            <w:r w:rsidRPr="00D6704A">
              <w:rPr>
                <w:rFonts w:cs="Arial"/>
                <w:lang w:val="es-ES"/>
              </w:rPr>
              <w:t xml:space="preserve"> </w:t>
            </w:r>
          </w:p>
        </w:tc>
      </w:tr>
      <w:tr w:rsidR="005253AC" w:rsidRPr="00E30CEB" w:rsidTr="00E658B6">
        <w:tc>
          <w:tcPr>
            <w:tcW w:w="1573" w:type="dxa"/>
          </w:tcPr>
          <w:p w:rsidR="005253AC" w:rsidRPr="000D5690" w:rsidRDefault="005253AC" w:rsidP="00E658B6">
            <w:pPr>
              <w:jc w:val="left"/>
              <w:rPr>
                <w:rFonts w:cs="Arial"/>
              </w:rPr>
            </w:pPr>
            <w:r w:rsidRPr="000D5690">
              <w:rPr>
                <w:rFonts w:cs="Arial"/>
              </w:rPr>
              <w:t>4.2.3</w:t>
            </w:r>
          </w:p>
        </w:tc>
        <w:tc>
          <w:tcPr>
            <w:tcW w:w="7925" w:type="dxa"/>
          </w:tcPr>
          <w:p w:rsidR="005253AC" w:rsidRPr="00D6704A" w:rsidRDefault="0049182F" w:rsidP="00E658B6">
            <w:pPr>
              <w:rPr>
                <w:rFonts w:cs="Arial"/>
                <w:lang w:val="es-ES"/>
              </w:rPr>
            </w:pPr>
            <w:r w:rsidRPr="000D5690">
              <w:rPr>
                <w:rFonts w:cs="Arial"/>
                <w:lang w:val="es-ES_tradnl"/>
              </w:rPr>
              <w:t xml:space="preserve">Consúltese al experto principal si en el género hay especies </w:t>
            </w:r>
            <w:proofErr w:type="spellStart"/>
            <w:r w:rsidRPr="000D5690">
              <w:rPr>
                <w:rFonts w:cs="Arial"/>
                <w:lang w:val="es-ES_tradnl"/>
              </w:rPr>
              <w:t>autógamas</w:t>
            </w:r>
            <w:proofErr w:type="spellEnd"/>
            <w:r w:rsidRPr="000D5690">
              <w:rPr>
                <w:rFonts w:cs="Arial"/>
                <w:lang w:val="es-ES_tradnl"/>
              </w:rPr>
              <w:t xml:space="preserve"> </w:t>
            </w:r>
            <w:r w:rsidRPr="000D5690">
              <w:rPr>
                <w:rFonts w:cs="Arial"/>
                <w:u w:val="single"/>
                <w:lang w:val="es-ES_tradnl"/>
              </w:rPr>
              <w:t>y</w:t>
            </w:r>
            <w:r w:rsidRPr="000D5690">
              <w:rPr>
                <w:rFonts w:cs="Arial"/>
                <w:lang w:val="es-ES_tradnl"/>
              </w:rPr>
              <w:t xml:space="preserve"> </w:t>
            </w:r>
            <w:proofErr w:type="spellStart"/>
            <w:r w:rsidRPr="000D5690">
              <w:rPr>
                <w:rFonts w:cs="Arial"/>
                <w:lang w:val="es-ES_tradnl"/>
              </w:rPr>
              <w:t>alógamas</w:t>
            </w:r>
            <w:proofErr w:type="spellEnd"/>
            <w:r w:rsidRPr="000D5690">
              <w:rPr>
                <w:rFonts w:cs="Arial"/>
                <w:lang w:val="es-ES_tradnl"/>
              </w:rPr>
              <w:t>.</w:t>
            </w:r>
          </w:p>
          <w:p w:rsidR="005253AC" w:rsidRPr="00D6704A" w:rsidRDefault="0049182F" w:rsidP="00E658B6">
            <w:pPr>
              <w:rPr>
                <w:rFonts w:cs="Arial"/>
                <w:i/>
                <w:lang w:val="es-ES"/>
              </w:rPr>
            </w:pPr>
            <w:r w:rsidRPr="000D5690">
              <w:rPr>
                <w:rFonts w:cs="Arial"/>
                <w:i/>
                <w:lang w:val="es-ES_tradnl"/>
              </w:rPr>
              <w:t>Experto principal:</w:t>
            </w:r>
            <w:r w:rsidR="005253AC" w:rsidRPr="00D6704A">
              <w:rPr>
                <w:rFonts w:cs="Arial"/>
                <w:i/>
                <w:lang w:val="es-ES"/>
              </w:rPr>
              <w:t xml:space="preserve"> </w:t>
            </w:r>
            <w:r w:rsidRPr="000D5690">
              <w:rPr>
                <w:rFonts w:cs="Arial"/>
                <w:i/>
                <w:lang w:val="es-ES_tradnl"/>
              </w:rPr>
              <w:t>E</w:t>
            </w:r>
            <w:r w:rsidR="004472F6" w:rsidRPr="000D5690">
              <w:rPr>
                <w:rFonts w:cs="Arial"/>
                <w:i/>
                <w:lang w:val="es-ES_tradnl"/>
              </w:rPr>
              <w:t>n e</w:t>
            </w:r>
            <w:r w:rsidRPr="000D5690">
              <w:rPr>
                <w:rFonts w:cs="Arial"/>
                <w:i/>
                <w:lang w:val="es-ES_tradnl"/>
              </w:rPr>
              <w:t>l libro técnico de la salvia</w:t>
            </w:r>
            <w:r w:rsidR="004472F6" w:rsidRPr="000D5690">
              <w:rPr>
                <w:rFonts w:cs="Arial"/>
                <w:i/>
                <w:lang w:val="es-ES_tradnl"/>
              </w:rPr>
              <w:t xml:space="preserve"> figuraba el siguiente texto:</w:t>
            </w:r>
          </w:p>
          <w:p w:rsidR="005253AC" w:rsidRPr="00D6704A" w:rsidRDefault="004472F6" w:rsidP="000D5690">
            <w:pPr>
              <w:rPr>
                <w:rFonts w:cs="Arial"/>
                <w:lang w:val="es-ES"/>
              </w:rPr>
            </w:pPr>
            <w:r w:rsidRPr="000D5690">
              <w:rPr>
                <w:rFonts w:cs="Arial"/>
                <w:i/>
                <w:lang w:val="es-ES_tradnl"/>
              </w:rPr>
              <w:t xml:space="preserve">“Las especies de flores grandes son principalmente </w:t>
            </w:r>
            <w:proofErr w:type="spellStart"/>
            <w:r w:rsidRPr="000D5690">
              <w:rPr>
                <w:rFonts w:cs="Arial"/>
                <w:i/>
                <w:lang w:val="es-ES_tradnl"/>
              </w:rPr>
              <w:t>alógamas</w:t>
            </w:r>
            <w:proofErr w:type="spellEnd"/>
            <w:r w:rsidRPr="000D5690">
              <w:rPr>
                <w:rFonts w:cs="Arial"/>
                <w:i/>
                <w:lang w:val="es-ES_tradnl"/>
              </w:rPr>
              <w:t xml:space="preserve"> y las de flores pequeñas son principalmente </w:t>
            </w:r>
            <w:proofErr w:type="spellStart"/>
            <w:r w:rsidRPr="000D5690">
              <w:rPr>
                <w:rFonts w:cs="Arial"/>
                <w:i/>
                <w:lang w:val="es-ES_tradnl"/>
              </w:rPr>
              <w:t>autógamas</w:t>
            </w:r>
            <w:proofErr w:type="spellEnd"/>
            <w:r w:rsidRPr="000D5690">
              <w:rPr>
                <w:rFonts w:cs="Arial"/>
                <w:i/>
                <w:lang w:val="es-ES_tradnl"/>
              </w:rPr>
              <w:t>.”</w:t>
            </w:r>
            <w:r w:rsidR="005253AC" w:rsidRPr="00D6704A">
              <w:rPr>
                <w:rFonts w:cs="Arial"/>
                <w:i/>
                <w:lang w:val="es-ES"/>
              </w:rPr>
              <w:t xml:space="preserve"> </w:t>
            </w:r>
            <w:r w:rsidR="005253AC" w:rsidRPr="000D5690">
              <w:rPr>
                <w:rFonts w:cs="Arial"/>
                <w:i/>
              </w:rPr>
              <w:t xml:space="preserve">(Yeo, C., 1995: Salvias. Pleasant View Nursery. Newton Abbot, Devon, GB, p.8).  </w:t>
            </w:r>
            <w:r w:rsidRPr="000D5690">
              <w:rPr>
                <w:rFonts w:cs="Arial"/>
                <w:i/>
                <w:lang w:val="es-ES_tradnl"/>
              </w:rPr>
              <w:t>Por lo tanto, se incluyeron las secciones 4.2.3 (</w:t>
            </w:r>
            <w:proofErr w:type="spellStart"/>
            <w:r w:rsidRPr="000D5690">
              <w:rPr>
                <w:rFonts w:cs="Arial"/>
                <w:i/>
                <w:lang w:val="es-ES_tradnl"/>
              </w:rPr>
              <w:t>autógamas</w:t>
            </w:r>
            <w:proofErr w:type="spellEnd"/>
            <w:r w:rsidRPr="000D5690">
              <w:rPr>
                <w:rFonts w:cs="Arial"/>
                <w:i/>
                <w:lang w:val="es-ES_tradnl"/>
              </w:rPr>
              <w:t>) y 4.2.4 (</w:t>
            </w:r>
            <w:proofErr w:type="spellStart"/>
            <w:r w:rsidRPr="000D5690">
              <w:rPr>
                <w:rFonts w:cs="Arial"/>
                <w:i/>
                <w:lang w:val="es-ES_tradnl"/>
              </w:rPr>
              <w:t>alógamas</w:t>
            </w:r>
            <w:proofErr w:type="spellEnd"/>
            <w:r w:rsidRPr="000D5690">
              <w:rPr>
                <w:rFonts w:cs="Arial"/>
                <w:i/>
                <w:lang w:val="es-ES_tradnl"/>
              </w:rPr>
              <w:t>).</w:t>
            </w:r>
          </w:p>
        </w:tc>
      </w:tr>
      <w:tr w:rsidR="005253AC" w:rsidRPr="00E30CEB" w:rsidTr="00E658B6">
        <w:tc>
          <w:tcPr>
            <w:tcW w:w="1573" w:type="dxa"/>
          </w:tcPr>
          <w:p w:rsidR="005253AC" w:rsidRPr="000D5690" w:rsidRDefault="004472F6" w:rsidP="000D5690">
            <w:pPr>
              <w:jc w:val="left"/>
              <w:rPr>
                <w:rFonts w:cs="Arial"/>
              </w:rPr>
            </w:pPr>
            <w:r w:rsidRPr="000D5690">
              <w:rPr>
                <w:rFonts w:cs="Arial"/>
                <w:lang w:val="es-ES_tradnl"/>
              </w:rPr>
              <w:t>Car.</w:t>
            </w:r>
            <w:r w:rsidR="005253AC" w:rsidRPr="000D5690">
              <w:rPr>
                <w:rFonts w:cs="Arial"/>
              </w:rPr>
              <w:t xml:space="preserve"> 4</w:t>
            </w:r>
          </w:p>
        </w:tc>
        <w:tc>
          <w:tcPr>
            <w:tcW w:w="7925" w:type="dxa"/>
          </w:tcPr>
          <w:p w:rsidR="005253AC" w:rsidRPr="00D6704A" w:rsidRDefault="004472F6" w:rsidP="00E658B6">
            <w:pPr>
              <w:rPr>
                <w:rFonts w:cs="Arial"/>
                <w:lang w:val="es-ES"/>
              </w:rPr>
            </w:pPr>
            <w:r w:rsidRPr="000D5690">
              <w:rPr>
                <w:rFonts w:cs="Arial"/>
                <w:lang w:val="es-ES_tradnl"/>
              </w:rPr>
              <w:t>Compruébese si deben añadirse variedades ejemplo para los niveles 1) y 5).</w:t>
            </w:r>
          </w:p>
          <w:p w:rsidR="005253AC" w:rsidRPr="00D6704A" w:rsidRDefault="004472F6" w:rsidP="000D5690">
            <w:pPr>
              <w:rPr>
                <w:rFonts w:cs="Arial"/>
                <w:i/>
                <w:lang w:val="es-ES"/>
              </w:rPr>
            </w:pPr>
            <w:r w:rsidRPr="000D5690">
              <w:rPr>
                <w:rFonts w:cs="Arial"/>
                <w:i/>
                <w:lang w:val="es-ES_tradnl"/>
              </w:rPr>
              <w:t>El experto principal proporcionó la información solicitada.</w:t>
            </w:r>
          </w:p>
        </w:tc>
      </w:tr>
      <w:tr w:rsidR="005253AC" w:rsidRPr="00E30CEB" w:rsidTr="00E658B6">
        <w:tc>
          <w:tcPr>
            <w:tcW w:w="1573" w:type="dxa"/>
          </w:tcPr>
          <w:p w:rsidR="005253AC" w:rsidRPr="000D5690" w:rsidRDefault="004472F6" w:rsidP="000D5690">
            <w:pPr>
              <w:jc w:val="left"/>
              <w:rPr>
                <w:rFonts w:cs="Arial"/>
              </w:rPr>
            </w:pPr>
            <w:r w:rsidRPr="000D5690">
              <w:rPr>
                <w:rFonts w:cs="Arial"/>
                <w:lang w:val="es-ES_tradnl"/>
              </w:rPr>
              <w:t>Car.</w:t>
            </w:r>
            <w:r w:rsidR="005253AC" w:rsidRPr="000D5690">
              <w:rPr>
                <w:rFonts w:cs="Arial"/>
              </w:rPr>
              <w:t xml:space="preserve"> 5</w:t>
            </w:r>
          </w:p>
        </w:tc>
        <w:tc>
          <w:tcPr>
            <w:tcW w:w="7925" w:type="dxa"/>
          </w:tcPr>
          <w:p w:rsidR="005253AC" w:rsidRPr="00D6704A" w:rsidRDefault="004472F6" w:rsidP="00E658B6">
            <w:pPr>
              <w:ind w:left="786" w:hanging="786"/>
              <w:rPr>
                <w:rFonts w:cs="Arial"/>
                <w:lang w:val="es-ES"/>
              </w:rPr>
            </w:pPr>
            <w:r w:rsidRPr="000D5690">
              <w:rPr>
                <w:rFonts w:cs="Arial"/>
                <w:lang w:val="es-ES_tradnl"/>
              </w:rPr>
              <w:t>Proporciónense variedades ejemplo.</w:t>
            </w:r>
          </w:p>
          <w:p w:rsidR="005253AC" w:rsidRPr="00D6704A" w:rsidRDefault="004472F6" w:rsidP="000D5690">
            <w:pPr>
              <w:ind w:left="786" w:hanging="786"/>
              <w:rPr>
                <w:rFonts w:cs="Arial"/>
                <w:lang w:val="es-ES"/>
              </w:rPr>
            </w:pPr>
            <w:r w:rsidRPr="000D5690">
              <w:rPr>
                <w:rFonts w:cs="Arial"/>
                <w:i/>
                <w:lang w:val="es-ES_tradnl"/>
              </w:rPr>
              <w:t>El experto principal proporcionó la información solicitada.</w:t>
            </w:r>
          </w:p>
        </w:tc>
      </w:tr>
      <w:tr w:rsidR="005253AC" w:rsidRPr="00E30CEB" w:rsidTr="00E658B6">
        <w:tc>
          <w:tcPr>
            <w:tcW w:w="1573" w:type="dxa"/>
          </w:tcPr>
          <w:p w:rsidR="005253AC" w:rsidRPr="000D5690" w:rsidRDefault="004472F6" w:rsidP="000D5690">
            <w:pPr>
              <w:jc w:val="left"/>
              <w:rPr>
                <w:rFonts w:cs="Arial"/>
              </w:rPr>
            </w:pPr>
            <w:r w:rsidRPr="000D5690">
              <w:rPr>
                <w:rFonts w:cs="Arial"/>
                <w:lang w:val="es-ES_tradnl"/>
              </w:rPr>
              <w:t>Caracteres</w:t>
            </w:r>
            <w:r w:rsidR="005253AC" w:rsidRPr="000D5690">
              <w:rPr>
                <w:rFonts w:cs="Arial"/>
              </w:rPr>
              <w:t xml:space="preserve"> </w:t>
            </w:r>
            <w:r w:rsidRPr="000D5690">
              <w:rPr>
                <w:rFonts w:cs="Arial"/>
                <w:lang w:val="es-ES_tradnl"/>
              </w:rPr>
              <w:t>16 al 19</w:t>
            </w:r>
          </w:p>
        </w:tc>
        <w:tc>
          <w:tcPr>
            <w:tcW w:w="7925" w:type="dxa"/>
          </w:tcPr>
          <w:p w:rsidR="005253AC" w:rsidRPr="00D6704A" w:rsidRDefault="004472F6" w:rsidP="000D5690">
            <w:pPr>
              <w:rPr>
                <w:rFonts w:cs="Arial"/>
                <w:lang w:val="es-ES"/>
              </w:rPr>
            </w:pPr>
            <w:r w:rsidRPr="000D5690">
              <w:rPr>
                <w:rFonts w:cs="Arial"/>
                <w:lang w:val="es-ES_tradnl"/>
              </w:rPr>
              <w:t>Suprímase “del haz”; véase b).</w:t>
            </w:r>
          </w:p>
        </w:tc>
      </w:tr>
      <w:tr w:rsidR="005253AC" w:rsidRPr="00E30CEB" w:rsidTr="00E658B6">
        <w:tc>
          <w:tcPr>
            <w:tcW w:w="1573" w:type="dxa"/>
          </w:tcPr>
          <w:p w:rsidR="005253AC" w:rsidRPr="000D5690" w:rsidRDefault="004472F6" w:rsidP="000D5690">
            <w:pPr>
              <w:jc w:val="left"/>
              <w:rPr>
                <w:rFonts w:cs="Arial"/>
              </w:rPr>
            </w:pPr>
            <w:r w:rsidRPr="000D5690">
              <w:rPr>
                <w:rFonts w:cs="Arial"/>
                <w:lang w:val="es-ES_tradnl"/>
              </w:rPr>
              <w:t>Car.</w:t>
            </w:r>
            <w:r w:rsidR="005253AC" w:rsidRPr="000D5690">
              <w:rPr>
                <w:rFonts w:cs="Arial"/>
              </w:rPr>
              <w:t xml:space="preserve"> 27</w:t>
            </w:r>
          </w:p>
        </w:tc>
        <w:tc>
          <w:tcPr>
            <w:tcW w:w="7925" w:type="dxa"/>
          </w:tcPr>
          <w:p w:rsidR="005253AC" w:rsidRPr="00D6704A" w:rsidRDefault="00683B57" w:rsidP="00E658B6">
            <w:pPr>
              <w:rPr>
                <w:rFonts w:cs="Arial"/>
                <w:lang w:val="es-ES"/>
              </w:rPr>
            </w:pPr>
            <w:r w:rsidRPr="00D6704A">
              <w:rPr>
                <w:rFonts w:cs="Arial"/>
                <w:lang w:val="es-ES"/>
              </w:rPr>
              <w:t xml:space="preserve">- </w:t>
            </w:r>
            <w:r w:rsidR="000E38AC" w:rsidRPr="000D5690">
              <w:rPr>
                <w:rFonts w:cs="Arial"/>
                <w:lang w:val="es-ES_tradnl"/>
              </w:rPr>
              <w:t>Como nivel 1</w:t>
            </w:r>
            <w:r w:rsidR="004472F6" w:rsidRPr="000D5690">
              <w:rPr>
                <w:rFonts w:cs="Arial"/>
                <w:lang w:val="es-ES_tradnl"/>
              </w:rPr>
              <w:t xml:space="preserve"> debe figurar: “erecto”.</w:t>
            </w:r>
          </w:p>
          <w:p w:rsidR="005253AC" w:rsidRPr="00D6704A" w:rsidRDefault="00683B57" w:rsidP="000D5690">
            <w:pPr>
              <w:rPr>
                <w:rFonts w:cs="Arial"/>
                <w:lang w:val="es-ES"/>
              </w:rPr>
            </w:pPr>
            <w:r w:rsidRPr="00D6704A">
              <w:rPr>
                <w:rFonts w:cs="Arial"/>
                <w:lang w:val="es-ES"/>
              </w:rPr>
              <w:t xml:space="preserve">- </w:t>
            </w:r>
            <w:r w:rsidR="000E38AC" w:rsidRPr="000D5690">
              <w:rPr>
                <w:rFonts w:cs="Arial"/>
                <w:lang w:val="es-ES_tradnl"/>
              </w:rPr>
              <w:t>Como nivel 2 debe figurar: “</w:t>
            </w:r>
            <w:proofErr w:type="spellStart"/>
            <w:r w:rsidR="000E38AC" w:rsidRPr="000D5690">
              <w:rPr>
                <w:rFonts w:cs="Arial"/>
                <w:lang w:val="es-ES_tradnl"/>
              </w:rPr>
              <w:t>semierecto</w:t>
            </w:r>
            <w:proofErr w:type="spellEnd"/>
            <w:r w:rsidR="000E38AC" w:rsidRPr="000D5690">
              <w:rPr>
                <w:rFonts w:cs="Arial"/>
                <w:lang w:val="es-ES_tradnl"/>
              </w:rPr>
              <w:t>”.</w:t>
            </w:r>
          </w:p>
        </w:tc>
      </w:tr>
      <w:tr w:rsidR="005253AC" w:rsidRPr="00E30CEB" w:rsidTr="00E658B6">
        <w:tc>
          <w:tcPr>
            <w:tcW w:w="1573" w:type="dxa"/>
          </w:tcPr>
          <w:p w:rsidR="005253AC" w:rsidRPr="000D5690" w:rsidRDefault="000E38AC" w:rsidP="000D5690">
            <w:pPr>
              <w:jc w:val="left"/>
              <w:rPr>
                <w:rFonts w:cs="Arial"/>
              </w:rPr>
            </w:pPr>
            <w:r w:rsidRPr="000D5690">
              <w:rPr>
                <w:rFonts w:cs="Arial"/>
                <w:lang w:val="es-ES_tradnl"/>
              </w:rPr>
              <w:t>Car.</w:t>
            </w:r>
            <w:r w:rsidR="005253AC" w:rsidRPr="000D5690">
              <w:rPr>
                <w:rFonts w:cs="Arial"/>
              </w:rPr>
              <w:t xml:space="preserve"> 28</w:t>
            </w:r>
          </w:p>
        </w:tc>
        <w:tc>
          <w:tcPr>
            <w:tcW w:w="7925" w:type="dxa"/>
          </w:tcPr>
          <w:p w:rsidR="005253AC" w:rsidRPr="00D6704A" w:rsidRDefault="000E38AC" w:rsidP="00E658B6">
            <w:pPr>
              <w:rPr>
                <w:rFonts w:cs="Arial"/>
                <w:lang w:val="es-ES"/>
              </w:rPr>
            </w:pPr>
            <w:r w:rsidRPr="000D5690">
              <w:rPr>
                <w:rFonts w:cs="Arial"/>
                <w:lang w:val="es-ES_tradnl"/>
              </w:rPr>
              <w:t>Añádase una explicación o ilustración para aclarar el concepto “persistencia”.</w:t>
            </w:r>
          </w:p>
          <w:p w:rsidR="005253AC" w:rsidRPr="00D6704A" w:rsidRDefault="000E38AC" w:rsidP="000D5690">
            <w:pPr>
              <w:rPr>
                <w:rFonts w:cs="Arial"/>
                <w:lang w:val="es-ES"/>
              </w:rPr>
            </w:pPr>
            <w:r w:rsidRPr="000D5690">
              <w:rPr>
                <w:rFonts w:cs="Arial"/>
                <w:i/>
                <w:lang w:val="es-ES_tradnl"/>
              </w:rPr>
              <w:t>El experto principal proporcionó la información solicitada.</w:t>
            </w:r>
          </w:p>
        </w:tc>
      </w:tr>
      <w:tr w:rsidR="005253AC" w:rsidRPr="00E30CEB" w:rsidTr="00E658B6">
        <w:tc>
          <w:tcPr>
            <w:tcW w:w="1573" w:type="dxa"/>
          </w:tcPr>
          <w:p w:rsidR="005253AC" w:rsidRPr="000D5690" w:rsidRDefault="000E38AC" w:rsidP="000D5690">
            <w:pPr>
              <w:jc w:val="left"/>
              <w:rPr>
                <w:rFonts w:cs="Arial"/>
              </w:rPr>
            </w:pPr>
            <w:r w:rsidRPr="000D5690">
              <w:rPr>
                <w:rFonts w:cs="Arial"/>
                <w:lang w:val="es-ES_tradnl"/>
              </w:rPr>
              <w:t>Caracteres</w:t>
            </w:r>
            <w:r w:rsidR="005253AC" w:rsidRPr="000D5690">
              <w:rPr>
                <w:rFonts w:cs="Arial"/>
              </w:rPr>
              <w:t xml:space="preserve"> </w:t>
            </w:r>
            <w:r w:rsidRPr="000D5690">
              <w:rPr>
                <w:rFonts w:cs="Arial"/>
                <w:lang w:val="es-ES_tradnl"/>
              </w:rPr>
              <w:t>38 al 46</w:t>
            </w:r>
          </w:p>
        </w:tc>
        <w:tc>
          <w:tcPr>
            <w:tcW w:w="7925" w:type="dxa"/>
          </w:tcPr>
          <w:p w:rsidR="005253AC" w:rsidRPr="00D6704A" w:rsidRDefault="000E38AC" w:rsidP="000D5690">
            <w:pPr>
              <w:rPr>
                <w:rFonts w:cs="Arial"/>
                <w:lang w:val="es-ES"/>
              </w:rPr>
            </w:pPr>
            <w:r w:rsidRPr="000D5690">
              <w:rPr>
                <w:rFonts w:cs="Arial"/>
                <w:lang w:val="es-ES_tradnl"/>
              </w:rPr>
              <w:t>Sustitúyase “Labio superior/inferior de la corola” por “Labio superior/inferior”.</w:t>
            </w:r>
            <w:r w:rsidR="005253AC" w:rsidRPr="00D6704A">
              <w:rPr>
                <w:rFonts w:cs="Arial"/>
                <w:lang w:val="es-ES"/>
              </w:rPr>
              <w:t xml:space="preserve"> </w:t>
            </w:r>
          </w:p>
        </w:tc>
      </w:tr>
      <w:tr w:rsidR="005253AC" w:rsidRPr="00E30CEB" w:rsidTr="00E658B6">
        <w:tc>
          <w:tcPr>
            <w:tcW w:w="1573" w:type="dxa"/>
          </w:tcPr>
          <w:p w:rsidR="005253AC" w:rsidRPr="000D5690" w:rsidRDefault="000E38AC" w:rsidP="000D5690">
            <w:pPr>
              <w:jc w:val="left"/>
              <w:rPr>
                <w:rFonts w:cs="Arial"/>
              </w:rPr>
            </w:pPr>
            <w:r w:rsidRPr="000D5690">
              <w:rPr>
                <w:rFonts w:cs="Arial"/>
                <w:lang w:val="es-ES_tradnl"/>
              </w:rPr>
              <w:t>Car.</w:t>
            </w:r>
            <w:r w:rsidR="005253AC" w:rsidRPr="000D5690">
              <w:rPr>
                <w:rFonts w:cs="Arial"/>
              </w:rPr>
              <w:t xml:space="preserve"> 45</w:t>
            </w:r>
          </w:p>
        </w:tc>
        <w:tc>
          <w:tcPr>
            <w:tcW w:w="7925" w:type="dxa"/>
          </w:tcPr>
          <w:p w:rsidR="005253AC" w:rsidRPr="00D6704A" w:rsidRDefault="000E38AC" w:rsidP="000D5690">
            <w:pPr>
              <w:rPr>
                <w:rFonts w:cs="Arial"/>
                <w:lang w:val="es-ES"/>
              </w:rPr>
            </w:pPr>
            <w:r w:rsidRPr="000D5690">
              <w:rPr>
                <w:rFonts w:cs="Arial"/>
                <w:lang w:val="es-ES_tradnl"/>
              </w:rPr>
              <w:t>Como nivel 5 debe figurar: “en toda la superficie”.</w:t>
            </w:r>
          </w:p>
        </w:tc>
      </w:tr>
      <w:tr w:rsidR="005253AC" w:rsidRPr="00E30CEB" w:rsidTr="00E658B6">
        <w:tc>
          <w:tcPr>
            <w:tcW w:w="1573" w:type="dxa"/>
          </w:tcPr>
          <w:p w:rsidR="005253AC" w:rsidRPr="000D5690" w:rsidRDefault="005253AC" w:rsidP="00E658B6">
            <w:pPr>
              <w:jc w:val="left"/>
              <w:rPr>
                <w:rFonts w:cs="Arial"/>
              </w:rPr>
            </w:pPr>
            <w:r w:rsidRPr="000D5690">
              <w:rPr>
                <w:rFonts w:cs="Arial"/>
              </w:rPr>
              <w:t xml:space="preserve">8.1 </w:t>
            </w:r>
            <w:r w:rsidR="0047214B" w:rsidRPr="000D5690">
              <w:rPr>
                <w:rFonts w:cs="Arial"/>
              </w:rPr>
              <w:t>a)</w:t>
            </w:r>
          </w:p>
        </w:tc>
        <w:tc>
          <w:tcPr>
            <w:tcW w:w="7925" w:type="dxa"/>
          </w:tcPr>
          <w:p w:rsidR="005253AC" w:rsidRPr="00D6704A" w:rsidRDefault="000E38AC" w:rsidP="000D5690">
            <w:pPr>
              <w:rPr>
                <w:rFonts w:cs="Arial"/>
                <w:lang w:val="es-ES"/>
              </w:rPr>
            </w:pPr>
            <w:r w:rsidRPr="000D5690">
              <w:rPr>
                <w:rFonts w:cs="Arial"/>
                <w:lang w:val="es-ES_tradnl"/>
              </w:rPr>
              <w:t>La explicación es aplicable a todos los caracteres.</w:t>
            </w:r>
            <w:r w:rsidR="005253AC" w:rsidRPr="00D6704A">
              <w:rPr>
                <w:rFonts w:cs="Arial"/>
                <w:lang w:val="es-ES"/>
              </w:rPr>
              <w:t xml:space="preserve"> </w:t>
            </w:r>
            <w:r w:rsidRPr="000D5690">
              <w:rPr>
                <w:rFonts w:cs="Arial"/>
                <w:lang w:val="es-ES_tradnl"/>
              </w:rPr>
              <w:t>Suprímase a) y añádase una frase al principio de 8.1.</w:t>
            </w:r>
          </w:p>
        </w:tc>
      </w:tr>
      <w:tr w:rsidR="005253AC" w:rsidRPr="00E30CEB" w:rsidTr="00E658B6">
        <w:tc>
          <w:tcPr>
            <w:tcW w:w="1573" w:type="dxa"/>
          </w:tcPr>
          <w:p w:rsidR="005253AC" w:rsidRPr="000D5690" w:rsidRDefault="005253AC" w:rsidP="00E658B6">
            <w:pPr>
              <w:jc w:val="left"/>
              <w:rPr>
                <w:rFonts w:cs="Arial"/>
              </w:rPr>
            </w:pPr>
            <w:r w:rsidRPr="000D5690">
              <w:rPr>
                <w:rFonts w:cs="Arial"/>
              </w:rPr>
              <w:t>Ad. 22</w:t>
            </w:r>
          </w:p>
        </w:tc>
        <w:tc>
          <w:tcPr>
            <w:tcW w:w="7925" w:type="dxa"/>
          </w:tcPr>
          <w:p w:rsidR="005253AC" w:rsidRPr="00D6704A" w:rsidRDefault="000E38AC" w:rsidP="000D5690">
            <w:pPr>
              <w:rPr>
                <w:rFonts w:cs="Arial"/>
                <w:lang w:val="es-ES"/>
              </w:rPr>
            </w:pPr>
            <w:r w:rsidRPr="000D5690">
              <w:rPr>
                <w:rFonts w:cs="Arial"/>
                <w:lang w:val="es-ES_tradnl"/>
              </w:rPr>
              <w:t>Elimínese la ilustración correspondiente al nivel 2 (no está clara y no es necesaria para ilustrar el nivel 2).</w:t>
            </w:r>
          </w:p>
        </w:tc>
      </w:tr>
      <w:tr w:rsidR="005253AC" w:rsidRPr="00E30CEB" w:rsidTr="00E658B6">
        <w:tc>
          <w:tcPr>
            <w:tcW w:w="1573" w:type="dxa"/>
          </w:tcPr>
          <w:p w:rsidR="005253AC" w:rsidRPr="000D5690" w:rsidRDefault="005253AC" w:rsidP="00E658B6">
            <w:pPr>
              <w:jc w:val="left"/>
              <w:rPr>
                <w:rFonts w:cs="Arial"/>
              </w:rPr>
            </w:pPr>
            <w:r w:rsidRPr="000D5690">
              <w:rPr>
                <w:rFonts w:cs="Arial"/>
              </w:rPr>
              <w:t>Ad. 42</w:t>
            </w:r>
          </w:p>
        </w:tc>
        <w:tc>
          <w:tcPr>
            <w:tcW w:w="7925" w:type="dxa"/>
          </w:tcPr>
          <w:p w:rsidR="005253AC" w:rsidRPr="00D6704A" w:rsidRDefault="000E38AC" w:rsidP="00E658B6">
            <w:pPr>
              <w:rPr>
                <w:rFonts w:cs="Arial"/>
                <w:lang w:val="es-ES"/>
              </w:rPr>
            </w:pPr>
            <w:r w:rsidRPr="000D5690">
              <w:rPr>
                <w:rFonts w:cs="Arial"/>
                <w:lang w:val="es-ES_tradnl"/>
              </w:rPr>
              <w:t>Si es posible, sustitúyase la fotografía correspondiente a</w:t>
            </w:r>
            <w:r w:rsidR="00F42390" w:rsidRPr="000D5690">
              <w:rPr>
                <w:rFonts w:cs="Arial"/>
                <w:lang w:val="es-ES_tradnl"/>
              </w:rPr>
              <w:t>l nivel de expresión</w:t>
            </w:r>
            <w:r w:rsidRPr="000D5690">
              <w:rPr>
                <w:rFonts w:cs="Arial"/>
                <w:lang w:val="es-ES_tradnl"/>
              </w:rPr>
              <w:t> 1.</w:t>
            </w:r>
          </w:p>
          <w:p w:rsidR="005253AC" w:rsidRPr="00D6704A" w:rsidRDefault="000E38AC" w:rsidP="000D5690">
            <w:pPr>
              <w:rPr>
                <w:rFonts w:cs="Arial"/>
                <w:b/>
                <w:lang w:val="es-ES"/>
              </w:rPr>
            </w:pPr>
            <w:r w:rsidRPr="000D5690">
              <w:rPr>
                <w:rFonts w:cs="Arial"/>
                <w:i/>
                <w:lang w:val="es-ES_tradnl"/>
              </w:rPr>
              <w:t>El experto principal proporcionó la información solicitada.</w:t>
            </w:r>
          </w:p>
        </w:tc>
      </w:tr>
    </w:tbl>
    <w:p w:rsidR="005253AC" w:rsidRPr="00D6704A" w:rsidRDefault="005253AC" w:rsidP="005253AC">
      <w:pPr>
        <w:jc w:val="left"/>
        <w:rPr>
          <w:rFonts w:cs="Arial"/>
          <w:u w:val="single"/>
          <w:lang w:val="es-ES"/>
        </w:rPr>
      </w:pPr>
    </w:p>
    <w:p w:rsidR="005253AC" w:rsidRPr="00D6704A" w:rsidRDefault="0047214B" w:rsidP="005253AC">
      <w:pPr>
        <w:autoSpaceDE w:val="0"/>
        <w:autoSpaceDN w:val="0"/>
        <w:adjustRightInd w:val="0"/>
        <w:ind w:firstLine="567"/>
        <w:rPr>
          <w:rFonts w:cs="Arial"/>
          <w:u w:val="single"/>
          <w:lang w:val="es-ES"/>
        </w:rPr>
      </w:pPr>
      <w:r w:rsidRPr="00D6704A">
        <w:rPr>
          <w:rFonts w:cs="Arial"/>
          <w:lang w:val="es-ES"/>
        </w:rPr>
        <w:t>b)</w:t>
      </w:r>
      <w:r w:rsidR="005253AC" w:rsidRPr="00D6704A">
        <w:rPr>
          <w:rFonts w:cs="Arial"/>
          <w:lang w:val="es-ES"/>
        </w:rPr>
        <w:tab/>
      </w:r>
      <w:r w:rsidR="000E38AC" w:rsidRPr="000D5690">
        <w:rPr>
          <w:rFonts w:cs="Arial"/>
          <w:lang w:val="es-ES_tradnl"/>
        </w:rPr>
        <w:t>Modificaciones propuestas por el TC-EDC en marzo de 2016, que han de incorporarse en el documento sometido a la consideración del TC:</w:t>
      </w:r>
    </w:p>
    <w:p w:rsidR="005253AC" w:rsidRPr="00D6704A" w:rsidRDefault="005253AC" w:rsidP="005253AC">
      <w:pPr>
        <w:jc w:val="left"/>
        <w:rPr>
          <w:rFonts w:cs="Arial"/>
          <w:u w:val="single"/>
          <w:lang w:val="es-ES"/>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5253AC" w:rsidRPr="00E30CEB" w:rsidTr="00E658B6">
        <w:trPr>
          <w:cantSplit/>
        </w:trPr>
        <w:tc>
          <w:tcPr>
            <w:tcW w:w="1573" w:type="dxa"/>
          </w:tcPr>
          <w:p w:rsidR="005253AC" w:rsidRPr="000D5690" w:rsidRDefault="005253AC" w:rsidP="00E658B6">
            <w:pPr>
              <w:jc w:val="left"/>
              <w:rPr>
                <w:rFonts w:cs="Arial"/>
              </w:rPr>
            </w:pPr>
            <w:r w:rsidRPr="000D5690">
              <w:rPr>
                <w:rFonts w:cs="Arial"/>
              </w:rPr>
              <w:t>1.</w:t>
            </w:r>
          </w:p>
        </w:tc>
        <w:tc>
          <w:tcPr>
            <w:tcW w:w="7925" w:type="dxa"/>
          </w:tcPr>
          <w:p w:rsidR="005253AC" w:rsidRPr="00D6704A" w:rsidRDefault="000E38AC" w:rsidP="000D5690">
            <w:pPr>
              <w:rPr>
                <w:rFonts w:cs="Arial"/>
                <w:lang w:val="es-ES"/>
              </w:rPr>
            </w:pPr>
            <w:r w:rsidRPr="000D5690">
              <w:rPr>
                <w:rFonts w:cs="Arial"/>
                <w:lang w:val="es-ES_tradnl"/>
              </w:rPr>
              <w:t>Debe rezar: “Los caracteres incluidos en las presentes directrices de examen se han elaborado a los fines de distinguir las variedades ornamentales.</w:t>
            </w:r>
            <w:r w:rsidR="005253AC" w:rsidRPr="00D6704A">
              <w:rPr>
                <w:rFonts w:cs="Arial"/>
                <w:lang w:val="es-ES"/>
              </w:rPr>
              <w:t xml:space="preserve">  </w:t>
            </w:r>
            <w:r w:rsidRPr="000D5690">
              <w:rPr>
                <w:rFonts w:cs="Arial"/>
                <w:lang w:val="es-ES_tradnl"/>
              </w:rPr>
              <w:t>También puede</w:t>
            </w:r>
            <w:r w:rsidR="00AD0231" w:rsidRPr="000D5690">
              <w:rPr>
                <w:rFonts w:cs="Arial"/>
                <w:lang w:val="es-ES_tradnl"/>
              </w:rPr>
              <w:t>n</w:t>
            </w:r>
            <w:r w:rsidRPr="000D5690">
              <w:rPr>
                <w:rFonts w:cs="Arial"/>
                <w:lang w:val="es-ES_tradnl"/>
              </w:rPr>
              <w:t xml:space="preserve"> </w:t>
            </w:r>
            <w:r w:rsidR="00AD0231" w:rsidRPr="000D5690">
              <w:rPr>
                <w:rFonts w:cs="Arial"/>
                <w:lang w:val="es-ES_tradnl"/>
              </w:rPr>
              <w:t xml:space="preserve">utilizarse </w:t>
            </w:r>
            <w:r w:rsidRPr="000D5690">
              <w:rPr>
                <w:rFonts w:cs="Arial"/>
                <w:lang w:val="es-ES_tradnl"/>
              </w:rPr>
              <w:t xml:space="preserve">para distinguir </w:t>
            </w:r>
            <w:r w:rsidR="00AD0231" w:rsidRPr="000D5690">
              <w:rPr>
                <w:rFonts w:cs="Arial"/>
                <w:lang w:val="es-ES_tradnl"/>
              </w:rPr>
              <w:t xml:space="preserve">las </w:t>
            </w:r>
            <w:r w:rsidRPr="000D5690">
              <w:rPr>
                <w:rFonts w:cs="Arial"/>
                <w:lang w:val="es-ES_tradnl"/>
              </w:rPr>
              <w:t xml:space="preserve">variedades </w:t>
            </w:r>
            <w:r w:rsidR="00AD0231" w:rsidRPr="000D5690">
              <w:rPr>
                <w:rFonts w:cs="Arial"/>
                <w:lang w:val="es-ES_tradnl"/>
              </w:rPr>
              <w:t xml:space="preserve">culinarias o medicinales </w:t>
            </w:r>
            <w:r w:rsidRPr="000D5690">
              <w:rPr>
                <w:rFonts w:cs="Arial"/>
                <w:lang w:val="es-ES_tradnl"/>
              </w:rPr>
              <w:t xml:space="preserve">aunque </w:t>
            </w:r>
            <w:r w:rsidR="00AD0231" w:rsidRPr="000D5690">
              <w:rPr>
                <w:lang w:val="es-ES_tradnl"/>
              </w:rPr>
              <w:t>podrían necesitarse otros caracteres y niveles de expresión</w:t>
            </w:r>
            <w:r w:rsidRPr="000D5690">
              <w:rPr>
                <w:rFonts w:cs="Arial"/>
                <w:lang w:val="es-ES_tradnl"/>
              </w:rPr>
              <w:t>.</w:t>
            </w:r>
            <w:r w:rsidR="00AD0231" w:rsidRPr="000D5690">
              <w:rPr>
                <w:rFonts w:cs="Arial"/>
                <w:lang w:val="es-ES_tradnl"/>
              </w:rPr>
              <w:t>”</w:t>
            </w:r>
          </w:p>
        </w:tc>
      </w:tr>
      <w:tr w:rsidR="005253AC" w:rsidRPr="000D5690" w:rsidTr="00E658B6">
        <w:trPr>
          <w:cantSplit/>
        </w:trPr>
        <w:tc>
          <w:tcPr>
            <w:tcW w:w="1573" w:type="dxa"/>
          </w:tcPr>
          <w:p w:rsidR="005253AC" w:rsidRPr="000D5690" w:rsidRDefault="00AD0231" w:rsidP="000D5690">
            <w:pPr>
              <w:jc w:val="left"/>
              <w:rPr>
                <w:rFonts w:cs="Arial"/>
              </w:rPr>
            </w:pPr>
            <w:r w:rsidRPr="000D5690">
              <w:rPr>
                <w:rFonts w:cs="Arial"/>
                <w:lang w:val="es-ES_tradnl"/>
              </w:rPr>
              <w:t>Car.</w:t>
            </w:r>
            <w:r w:rsidR="005253AC" w:rsidRPr="000D5690">
              <w:rPr>
                <w:rFonts w:cs="Arial"/>
              </w:rPr>
              <w:t xml:space="preserve"> 18</w:t>
            </w:r>
          </w:p>
        </w:tc>
        <w:tc>
          <w:tcPr>
            <w:tcW w:w="7925" w:type="dxa"/>
          </w:tcPr>
          <w:p w:rsidR="005253AC" w:rsidRPr="000D5690" w:rsidRDefault="00AD0231" w:rsidP="000D5690">
            <w:pPr>
              <w:rPr>
                <w:rFonts w:cs="Arial"/>
              </w:rPr>
            </w:pPr>
            <w:r w:rsidRPr="000D5690">
              <w:rPr>
                <w:rFonts w:cs="Arial"/>
                <w:lang w:val="es-ES_tradnl"/>
              </w:rPr>
              <w:t xml:space="preserve">Añádase </w:t>
            </w:r>
            <w:r w:rsidR="00F42390" w:rsidRPr="000D5690">
              <w:rPr>
                <w:lang w:val="es-ES_tradnl"/>
              </w:rPr>
              <w:t>“(</w:t>
            </w:r>
            <w:r w:rsidRPr="000D5690">
              <w:rPr>
                <w:rFonts w:cs="Arial"/>
                <w:lang w:val="es-ES_tradnl"/>
              </w:rPr>
              <w:t>b)</w:t>
            </w:r>
            <w:r w:rsidR="00F42390" w:rsidRPr="000D5690">
              <w:rPr>
                <w:rFonts w:cs="Arial"/>
              </w:rPr>
              <w:t>”</w:t>
            </w:r>
            <w:r w:rsidRPr="000D5690">
              <w:rPr>
                <w:rFonts w:cs="Arial"/>
                <w:lang w:val="es-ES_tradnl"/>
              </w:rPr>
              <w:t>.</w:t>
            </w:r>
          </w:p>
        </w:tc>
      </w:tr>
      <w:tr w:rsidR="005253AC" w:rsidRPr="00E30CEB" w:rsidTr="00E658B6">
        <w:trPr>
          <w:cantSplit/>
        </w:trPr>
        <w:tc>
          <w:tcPr>
            <w:tcW w:w="1573" w:type="dxa"/>
          </w:tcPr>
          <w:p w:rsidR="005253AC" w:rsidRPr="000D5690" w:rsidRDefault="00AD0231" w:rsidP="000D5690">
            <w:pPr>
              <w:jc w:val="left"/>
              <w:rPr>
                <w:rFonts w:cs="Arial"/>
              </w:rPr>
            </w:pPr>
            <w:r w:rsidRPr="000D5690">
              <w:rPr>
                <w:rFonts w:cs="Arial"/>
                <w:lang w:val="es-ES_tradnl"/>
              </w:rPr>
              <w:t>Caracteres</w:t>
            </w:r>
            <w:r w:rsidR="005253AC" w:rsidRPr="000D5690">
              <w:rPr>
                <w:rFonts w:cs="Arial"/>
              </w:rPr>
              <w:t xml:space="preserve"> </w:t>
            </w:r>
            <w:r w:rsidRPr="000D5690">
              <w:rPr>
                <w:rFonts w:cs="Arial"/>
                <w:lang w:val="es-ES_tradnl"/>
              </w:rPr>
              <w:t>23, 24, 29, 31, 34 a 36, 41</w:t>
            </w:r>
          </w:p>
        </w:tc>
        <w:tc>
          <w:tcPr>
            <w:tcW w:w="7925" w:type="dxa"/>
          </w:tcPr>
          <w:p w:rsidR="00F42390" w:rsidRPr="00D6704A" w:rsidRDefault="00AD0231" w:rsidP="00F42390">
            <w:pPr>
              <w:rPr>
                <w:rFonts w:cs="Arial"/>
                <w:lang w:val="es-ES"/>
              </w:rPr>
            </w:pPr>
            <w:r w:rsidRPr="000D5690">
              <w:rPr>
                <w:rFonts w:cs="Arial"/>
                <w:lang w:val="es-ES_tradnl"/>
              </w:rPr>
              <w:t>Compruébese si la indicación MG es pertinente.</w:t>
            </w:r>
            <w:r w:rsidR="005253AC" w:rsidRPr="00D6704A">
              <w:rPr>
                <w:rFonts w:cs="Arial"/>
                <w:lang w:val="es-ES"/>
              </w:rPr>
              <w:t xml:space="preserve"> </w:t>
            </w:r>
            <w:r w:rsidRPr="000D5690">
              <w:rPr>
                <w:rFonts w:cs="Arial"/>
                <w:lang w:val="es-ES_tradnl"/>
              </w:rPr>
              <w:t>Probablemente debería</w:t>
            </w:r>
            <w:r w:rsidR="00F42390" w:rsidRPr="000D5690">
              <w:rPr>
                <w:rFonts w:cs="Arial"/>
                <w:lang w:val="es-ES_tradnl"/>
              </w:rPr>
              <w:t>n</w:t>
            </w:r>
            <w:r w:rsidRPr="000D5690">
              <w:rPr>
                <w:rFonts w:cs="Arial"/>
                <w:lang w:val="es-ES_tradnl"/>
              </w:rPr>
              <w:t xml:space="preserve"> indicarse como VG/MS.</w:t>
            </w:r>
          </w:p>
          <w:p w:rsidR="005253AC" w:rsidRPr="00D6704A" w:rsidRDefault="00AD0231" w:rsidP="00E658B6">
            <w:pPr>
              <w:rPr>
                <w:rFonts w:cs="Arial"/>
                <w:lang w:val="es-ES"/>
              </w:rPr>
            </w:pPr>
            <w:r w:rsidRPr="000D5690">
              <w:rPr>
                <w:rFonts w:cs="Arial"/>
                <w:lang w:val="es-ES_tradnl"/>
              </w:rPr>
              <w:t>Experto principal</w:t>
            </w:r>
            <w:proofErr w:type="gramStart"/>
            <w:r w:rsidRPr="000D5690">
              <w:rPr>
                <w:rFonts w:cs="Arial"/>
                <w:lang w:val="es-ES_tradnl"/>
              </w:rPr>
              <w:t>:</w:t>
            </w:r>
            <w:r w:rsidR="005253AC" w:rsidRPr="00D6704A">
              <w:rPr>
                <w:rFonts w:cs="Arial"/>
                <w:lang w:val="es-ES"/>
              </w:rPr>
              <w:t xml:space="preserve">  </w:t>
            </w:r>
            <w:r w:rsidRPr="000D5690">
              <w:rPr>
                <w:rFonts w:cs="Arial"/>
                <w:lang w:val="es-ES_tradnl"/>
              </w:rPr>
              <w:t>Deberán</w:t>
            </w:r>
            <w:proofErr w:type="gramEnd"/>
            <w:r w:rsidRPr="000D5690">
              <w:rPr>
                <w:rFonts w:cs="Arial"/>
                <w:lang w:val="es-ES_tradnl"/>
              </w:rPr>
              <w:t xml:space="preserve"> indicarse como VG/MS.</w:t>
            </w:r>
          </w:p>
          <w:p w:rsidR="005253AC" w:rsidRPr="00D6704A" w:rsidRDefault="00AD0231" w:rsidP="000D5690">
            <w:pPr>
              <w:rPr>
                <w:rFonts w:cs="Arial"/>
                <w:i/>
                <w:lang w:val="es-ES"/>
              </w:rPr>
            </w:pPr>
            <w:r w:rsidRPr="000D5690">
              <w:rPr>
                <w:rFonts w:cs="Arial"/>
                <w:i/>
                <w:lang w:val="es-ES_tradnl"/>
              </w:rPr>
              <w:t>Se requiere la aprobación, por correspondencia, del TWO.</w:t>
            </w:r>
          </w:p>
        </w:tc>
      </w:tr>
      <w:tr w:rsidR="005253AC" w:rsidRPr="00E30CEB" w:rsidTr="00E658B6">
        <w:trPr>
          <w:cantSplit/>
        </w:trPr>
        <w:tc>
          <w:tcPr>
            <w:tcW w:w="1573" w:type="dxa"/>
          </w:tcPr>
          <w:p w:rsidR="005253AC" w:rsidRPr="000D5690" w:rsidRDefault="005253AC" w:rsidP="00E658B6">
            <w:pPr>
              <w:jc w:val="left"/>
              <w:rPr>
                <w:rFonts w:cs="Arial"/>
              </w:rPr>
            </w:pPr>
            <w:r w:rsidRPr="000D5690">
              <w:rPr>
                <w:rFonts w:cs="Arial"/>
              </w:rPr>
              <w:t>Ad. 28</w:t>
            </w:r>
          </w:p>
        </w:tc>
        <w:tc>
          <w:tcPr>
            <w:tcW w:w="7925" w:type="dxa"/>
          </w:tcPr>
          <w:p w:rsidR="005253AC" w:rsidRPr="00D6704A" w:rsidRDefault="00AD0231" w:rsidP="000D5690">
            <w:pPr>
              <w:rPr>
                <w:rFonts w:cs="Arial"/>
                <w:lang w:val="es-ES"/>
              </w:rPr>
            </w:pPr>
            <w:r w:rsidRPr="000D5690">
              <w:rPr>
                <w:rFonts w:cs="Arial"/>
                <w:lang w:val="es-ES_tradnl"/>
              </w:rPr>
              <w:t xml:space="preserve">Debe rezar: “La persistencia de las brácteas debe observarse en la etapa de floración, cuando la bráctea </w:t>
            </w:r>
            <w:r w:rsidRPr="000D5690">
              <w:rPr>
                <w:rFonts w:cs="Arial"/>
                <w:strike/>
                <w:lang w:val="es-ES_tradnl"/>
              </w:rPr>
              <w:t xml:space="preserve">sale </w:t>
            </w:r>
            <w:r w:rsidRPr="000D5690">
              <w:rPr>
                <w:rFonts w:cs="Arial"/>
                <w:u w:val="single"/>
                <w:lang w:val="es-ES_tradnl"/>
              </w:rPr>
              <w:t xml:space="preserve">se desprende </w:t>
            </w:r>
            <w:r w:rsidRPr="000D5690">
              <w:rPr>
                <w:rFonts w:cs="Arial"/>
                <w:lang w:val="es-ES_tradnl"/>
              </w:rPr>
              <w:t>de la inflorescencia</w:t>
            </w:r>
            <w:r w:rsidRPr="000D5690">
              <w:rPr>
                <w:lang w:val="es-ES_tradnl"/>
              </w:rPr>
              <w:t>.</w:t>
            </w:r>
            <w:r w:rsidR="005253AC" w:rsidRPr="00D6704A">
              <w:rPr>
                <w:lang w:val="es-ES"/>
              </w:rPr>
              <w:t xml:space="preserve"> …</w:t>
            </w:r>
            <w:r w:rsidR="005253AC" w:rsidRPr="00D6704A">
              <w:rPr>
                <w:rFonts w:cs="Arial"/>
                <w:lang w:val="es-ES"/>
              </w:rPr>
              <w:t>”</w:t>
            </w:r>
          </w:p>
        </w:tc>
      </w:tr>
    </w:tbl>
    <w:p w:rsidR="005253AC" w:rsidRPr="00D6704A" w:rsidRDefault="005253AC" w:rsidP="005253AC">
      <w:pPr>
        <w:jc w:val="left"/>
        <w:rPr>
          <w:rFonts w:cs="Arial"/>
          <w:u w:val="single"/>
          <w:lang w:val="es-ES"/>
        </w:rPr>
      </w:pPr>
    </w:p>
    <w:p w:rsidR="005253AC" w:rsidRPr="00D6704A" w:rsidRDefault="005253AC" w:rsidP="005253AC">
      <w:pPr>
        <w:jc w:val="left"/>
        <w:rPr>
          <w:rFonts w:cs="Arial"/>
          <w:u w:val="single"/>
          <w:lang w:val="es-ES"/>
        </w:rPr>
      </w:pPr>
    </w:p>
    <w:p w:rsidR="005253AC" w:rsidRPr="000D5690" w:rsidRDefault="005253AC" w:rsidP="005253AC">
      <w:pPr>
        <w:pStyle w:val="Heading1"/>
      </w:pPr>
      <w:r w:rsidRPr="000D5690">
        <w:t>3.</w:t>
      </w:r>
      <w:r w:rsidRPr="000D5690">
        <w:tab/>
      </w:r>
      <w:r w:rsidR="00AD0231" w:rsidRPr="000D5690">
        <w:rPr>
          <w:lang w:val="es-ES_tradnl"/>
        </w:rPr>
        <w:t>REVISIONES</w:t>
      </w:r>
    </w:p>
    <w:p w:rsidR="005253AC" w:rsidRPr="000D5690" w:rsidRDefault="005253AC" w:rsidP="005253AC">
      <w:pPr>
        <w:keepNext/>
        <w:jc w:val="left"/>
        <w:rPr>
          <w:rFonts w:cs="Arial"/>
          <w:u w:val="single"/>
        </w:rPr>
      </w:pPr>
    </w:p>
    <w:tbl>
      <w:tblPr>
        <w:tblW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00"/>
        <w:gridCol w:w="2268"/>
      </w:tblGrid>
      <w:tr w:rsidR="005253AC" w:rsidRPr="000D5690" w:rsidTr="00E658B6">
        <w:trPr>
          <w:cantSplit/>
          <w:trHeight w:val="315"/>
        </w:trPr>
        <w:tc>
          <w:tcPr>
            <w:tcW w:w="3600" w:type="dxa"/>
            <w:vMerge w:val="restart"/>
            <w:shd w:val="clear" w:color="auto" w:fill="D9D9D9"/>
            <w:vAlign w:val="center"/>
          </w:tcPr>
          <w:p w:rsidR="005253AC" w:rsidRPr="000D5690" w:rsidRDefault="00AD0231" w:rsidP="000D5690">
            <w:pPr>
              <w:pStyle w:val="TitleofDoc"/>
              <w:keepNext/>
              <w:tabs>
                <w:tab w:val="left" w:pos="5245"/>
                <w:tab w:val="left" w:pos="7008"/>
              </w:tabs>
              <w:spacing w:before="80" w:after="80"/>
              <w:jc w:val="left"/>
              <w:rPr>
                <w:rFonts w:cs="Arial"/>
                <w:caps w:val="0"/>
              </w:rPr>
            </w:pPr>
            <w:r w:rsidRPr="000D5690">
              <w:rPr>
                <w:rFonts w:cs="Arial"/>
                <w:lang w:val="es-ES_tradnl"/>
              </w:rPr>
              <w:t>A</w:t>
            </w:r>
            <w:r w:rsidR="00C547A4" w:rsidRPr="000D5690">
              <w:rPr>
                <w:rFonts w:cs="Arial"/>
                <w:caps w:val="0"/>
                <w:lang w:val="es-ES_tradnl"/>
              </w:rPr>
              <w:t>lbahaca</w:t>
            </w:r>
            <w:r w:rsidR="005253AC" w:rsidRPr="000D5690">
              <w:rPr>
                <w:rFonts w:cs="Arial"/>
                <w:caps w:val="0"/>
              </w:rPr>
              <w:t xml:space="preserve"> (</w:t>
            </w:r>
            <w:proofErr w:type="spellStart"/>
            <w:r w:rsidR="005253AC" w:rsidRPr="000D5690">
              <w:rPr>
                <w:i/>
                <w:caps w:val="0"/>
              </w:rPr>
              <w:t>Ocimum</w:t>
            </w:r>
            <w:proofErr w:type="spellEnd"/>
            <w:r w:rsidR="005253AC" w:rsidRPr="000D5690">
              <w:rPr>
                <w:i/>
                <w:caps w:val="0"/>
              </w:rPr>
              <w:t xml:space="preserve"> </w:t>
            </w:r>
            <w:proofErr w:type="spellStart"/>
            <w:r w:rsidR="005253AC" w:rsidRPr="000D5690">
              <w:rPr>
                <w:i/>
                <w:caps w:val="0"/>
              </w:rPr>
              <w:t>basilicum</w:t>
            </w:r>
            <w:proofErr w:type="spellEnd"/>
            <w:r w:rsidR="005253AC" w:rsidRPr="000D5690">
              <w:rPr>
                <w:caps w:val="0"/>
              </w:rPr>
              <w:t xml:space="preserve"> </w:t>
            </w:r>
            <w:r w:rsidR="005253AC" w:rsidRPr="000D5690">
              <w:t>L.</w:t>
            </w:r>
            <w:r w:rsidR="005253AC" w:rsidRPr="000D5690">
              <w:rPr>
                <w:rFonts w:cs="Arial"/>
                <w:caps w:val="0"/>
              </w:rPr>
              <w:t>)</w:t>
            </w:r>
          </w:p>
        </w:tc>
        <w:tc>
          <w:tcPr>
            <w:tcW w:w="2268" w:type="dxa"/>
            <w:vMerge w:val="restart"/>
            <w:shd w:val="clear" w:color="auto" w:fill="D9D9D9"/>
            <w:vAlign w:val="center"/>
          </w:tcPr>
          <w:p w:rsidR="005253AC" w:rsidRPr="000D5690" w:rsidRDefault="005253AC" w:rsidP="00E658B6">
            <w:pPr>
              <w:keepNext/>
              <w:rPr>
                <w:iCs/>
                <w:snapToGrid w:val="0"/>
              </w:rPr>
            </w:pPr>
            <w:r w:rsidRPr="000D5690">
              <w:rPr>
                <w:rFonts w:cs="Arial"/>
                <w:caps/>
              </w:rPr>
              <w:t>TG/200/2(</w:t>
            </w:r>
            <w:r w:rsidRPr="000D5690">
              <w:rPr>
                <w:rFonts w:cs="Arial"/>
              </w:rPr>
              <w:t>proj</w:t>
            </w:r>
            <w:r w:rsidRPr="000D5690">
              <w:rPr>
                <w:rFonts w:cs="Arial"/>
                <w:caps/>
              </w:rPr>
              <w:t>.4)</w:t>
            </w:r>
          </w:p>
        </w:tc>
      </w:tr>
      <w:tr w:rsidR="005253AC" w:rsidRPr="000D5690" w:rsidTr="00E658B6">
        <w:trPr>
          <w:cantSplit/>
          <w:trHeight w:val="230"/>
        </w:trPr>
        <w:tc>
          <w:tcPr>
            <w:tcW w:w="3600" w:type="dxa"/>
            <w:vMerge/>
            <w:shd w:val="clear" w:color="auto" w:fill="D9D9D9"/>
            <w:vAlign w:val="center"/>
          </w:tcPr>
          <w:p w:rsidR="005253AC" w:rsidRPr="000D5690" w:rsidRDefault="005253AC" w:rsidP="00E658B6">
            <w:pPr>
              <w:pStyle w:val="TitleofDoc"/>
              <w:keepNext/>
              <w:tabs>
                <w:tab w:val="left" w:pos="5245"/>
                <w:tab w:val="left" w:pos="7008"/>
              </w:tabs>
              <w:spacing w:before="0"/>
              <w:jc w:val="left"/>
              <w:rPr>
                <w:rFonts w:cs="Arial"/>
                <w:caps w:val="0"/>
              </w:rPr>
            </w:pPr>
          </w:p>
        </w:tc>
        <w:tc>
          <w:tcPr>
            <w:tcW w:w="2268" w:type="dxa"/>
            <w:vMerge/>
            <w:shd w:val="clear" w:color="auto" w:fill="D9D9D9"/>
            <w:vAlign w:val="center"/>
          </w:tcPr>
          <w:p w:rsidR="005253AC" w:rsidRPr="000D5690" w:rsidRDefault="005253AC" w:rsidP="00E658B6">
            <w:pPr>
              <w:pStyle w:val="BodyText"/>
              <w:keepNext/>
              <w:jc w:val="left"/>
              <w:rPr>
                <w:rFonts w:cs="Arial"/>
                <w:iCs/>
                <w:snapToGrid w:val="0"/>
              </w:rPr>
            </w:pPr>
          </w:p>
        </w:tc>
      </w:tr>
    </w:tbl>
    <w:p w:rsidR="005253AC" w:rsidRPr="000D5690" w:rsidRDefault="005253AC" w:rsidP="005253AC">
      <w:pPr>
        <w:keepNext/>
        <w:jc w:val="left"/>
        <w:rPr>
          <w:rFonts w:cs="Arial"/>
          <w:lang w:val="de-DE"/>
        </w:rPr>
      </w:pPr>
    </w:p>
    <w:p w:rsidR="005253AC" w:rsidRPr="00D6704A" w:rsidRDefault="0047214B" w:rsidP="005253AC">
      <w:pPr>
        <w:keepNext/>
        <w:autoSpaceDE w:val="0"/>
        <w:autoSpaceDN w:val="0"/>
        <w:adjustRightInd w:val="0"/>
        <w:ind w:firstLine="567"/>
        <w:rPr>
          <w:rFonts w:cs="Arial"/>
          <w:lang w:val="es-ES"/>
        </w:rPr>
      </w:pPr>
      <w:r w:rsidRPr="00D6704A">
        <w:rPr>
          <w:rFonts w:cs="Arial"/>
          <w:lang w:val="es-ES"/>
        </w:rPr>
        <w:t>a)</w:t>
      </w:r>
      <w:r w:rsidR="005253AC" w:rsidRPr="00D6704A">
        <w:rPr>
          <w:rFonts w:cs="Arial"/>
          <w:lang w:val="es-ES"/>
        </w:rPr>
        <w:tab/>
      </w:r>
      <w:r w:rsidR="00FC1B45" w:rsidRPr="000D5690">
        <w:rPr>
          <w:rFonts w:cs="Arial"/>
          <w:lang w:val="es-ES_tradnl"/>
        </w:rPr>
        <w:t>En el cuadro siguiente se recogen las observaciones formuladas por el Comité de Redacción Ampliado en su reunión celebrada los días 6 y 7 de enero de 2016.</w:t>
      </w:r>
      <w:r w:rsidR="005253AC" w:rsidRPr="00D6704A">
        <w:rPr>
          <w:rFonts w:cs="Arial"/>
          <w:lang w:val="es-ES"/>
        </w:rPr>
        <w:t xml:space="preserve"> </w:t>
      </w:r>
      <w:r w:rsidR="00FC1B45" w:rsidRPr="000D5690">
        <w:rPr>
          <w:rFonts w:cs="Arial"/>
          <w:lang w:val="es-ES_tradnl"/>
        </w:rPr>
        <w:t>Todas las observaciones se han incorporado ya en el proyecto de directrices de examen TG/200/2(proj.4), sometido a la consideración del TC:</w:t>
      </w:r>
    </w:p>
    <w:p w:rsidR="005253AC" w:rsidRPr="00D6704A" w:rsidRDefault="005253AC" w:rsidP="005253AC">
      <w:pPr>
        <w:jc w:val="left"/>
        <w:rPr>
          <w:rFonts w:cs="Arial"/>
          <w:lang w:val="es-ES"/>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5253AC" w:rsidRPr="00E30CEB" w:rsidTr="00E658B6">
        <w:tc>
          <w:tcPr>
            <w:tcW w:w="1573" w:type="dxa"/>
          </w:tcPr>
          <w:p w:rsidR="005253AC" w:rsidRPr="000D5690" w:rsidRDefault="00FC1B45" w:rsidP="000D5690">
            <w:pPr>
              <w:jc w:val="left"/>
              <w:rPr>
                <w:rFonts w:cs="Arial"/>
              </w:rPr>
            </w:pPr>
            <w:r w:rsidRPr="000D5690">
              <w:rPr>
                <w:rFonts w:cs="Arial"/>
                <w:lang w:val="es-ES_tradnl"/>
              </w:rPr>
              <w:t>Car.</w:t>
            </w:r>
            <w:r w:rsidR="005253AC" w:rsidRPr="000D5690">
              <w:rPr>
                <w:rFonts w:cs="Arial"/>
              </w:rPr>
              <w:t xml:space="preserve"> 1</w:t>
            </w:r>
          </w:p>
        </w:tc>
        <w:tc>
          <w:tcPr>
            <w:tcW w:w="7925" w:type="dxa"/>
          </w:tcPr>
          <w:p w:rsidR="005253AC" w:rsidRPr="00D6704A" w:rsidRDefault="00FC1B45" w:rsidP="000D5690">
            <w:pPr>
              <w:keepNext/>
              <w:rPr>
                <w:rFonts w:cs="Arial"/>
                <w:lang w:val="es-ES"/>
              </w:rPr>
            </w:pPr>
            <w:r w:rsidRPr="000D5690">
              <w:rPr>
                <w:rFonts w:cs="Arial"/>
                <w:lang w:val="es-ES_tradnl"/>
              </w:rPr>
              <w:t xml:space="preserve">Deben figurar los niveles siguientes: erguida (1), erguida a </w:t>
            </w:r>
            <w:proofErr w:type="spellStart"/>
            <w:r w:rsidRPr="000D5690">
              <w:rPr>
                <w:rFonts w:cs="Arial"/>
                <w:lang w:val="es-ES_tradnl"/>
              </w:rPr>
              <w:t>semierguida</w:t>
            </w:r>
            <w:proofErr w:type="spellEnd"/>
            <w:r w:rsidRPr="000D5690">
              <w:rPr>
                <w:rFonts w:cs="Arial"/>
                <w:lang w:val="es-ES_tradnl"/>
              </w:rPr>
              <w:t xml:space="preserve"> (2) y </w:t>
            </w:r>
            <w:proofErr w:type="spellStart"/>
            <w:r w:rsidRPr="000D5690">
              <w:rPr>
                <w:rFonts w:cs="Arial"/>
                <w:lang w:val="es-ES_tradnl"/>
              </w:rPr>
              <w:t>semierguida</w:t>
            </w:r>
            <w:proofErr w:type="spellEnd"/>
            <w:r w:rsidRPr="000D5690">
              <w:rPr>
                <w:rFonts w:cs="Arial"/>
                <w:lang w:val="es-ES_tradnl"/>
              </w:rPr>
              <w:t xml:space="preserve"> (3).</w:t>
            </w:r>
          </w:p>
        </w:tc>
      </w:tr>
      <w:tr w:rsidR="005253AC" w:rsidRPr="00E30CEB" w:rsidTr="00E658B6">
        <w:tc>
          <w:tcPr>
            <w:tcW w:w="1573" w:type="dxa"/>
          </w:tcPr>
          <w:p w:rsidR="005253AC" w:rsidRPr="000D5690" w:rsidRDefault="00FC1B45" w:rsidP="000D5690">
            <w:pPr>
              <w:rPr>
                <w:rFonts w:cs="Arial"/>
              </w:rPr>
            </w:pPr>
            <w:r w:rsidRPr="000D5690">
              <w:rPr>
                <w:rFonts w:cs="Arial"/>
                <w:lang w:val="es-ES_tradnl"/>
              </w:rPr>
              <w:t>Car.</w:t>
            </w:r>
            <w:r w:rsidR="005253AC" w:rsidRPr="000D5690">
              <w:rPr>
                <w:rFonts w:cs="Arial"/>
              </w:rPr>
              <w:t xml:space="preserve"> 7</w:t>
            </w:r>
          </w:p>
        </w:tc>
        <w:tc>
          <w:tcPr>
            <w:tcW w:w="7925" w:type="dxa"/>
          </w:tcPr>
          <w:p w:rsidR="005253AC" w:rsidRPr="00D6704A" w:rsidRDefault="00FC1B45" w:rsidP="000D5690">
            <w:pPr>
              <w:rPr>
                <w:rFonts w:cs="Arial"/>
                <w:lang w:val="es-ES"/>
              </w:rPr>
            </w:pPr>
            <w:r w:rsidRPr="000D5690">
              <w:rPr>
                <w:rFonts w:cs="Arial"/>
                <w:lang w:val="es-ES_tradnl"/>
              </w:rPr>
              <w:t>Debe rezar: “Limbo:</w:t>
            </w:r>
            <w:r w:rsidR="005253AC" w:rsidRPr="00D6704A">
              <w:rPr>
                <w:rFonts w:cs="Arial"/>
                <w:lang w:val="es-ES"/>
              </w:rPr>
              <w:t xml:space="preserve"> </w:t>
            </w:r>
            <w:r w:rsidRPr="000D5690">
              <w:rPr>
                <w:rFonts w:cs="Arial"/>
                <w:lang w:val="es-ES_tradnl"/>
              </w:rPr>
              <w:t xml:space="preserve">intensidad de la pigmentación </w:t>
            </w:r>
            <w:proofErr w:type="spellStart"/>
            <w:r w:rsidRPr="000D5690">
              <w:rPr>
                <w:rFonts w:cs="Arial"/>
                <w:lang w:val="es-ES_tradnl"/>
              </w:rPr>
              <w:t>antociánica</w:t>
            </w:r>
            <w:proofErr w:type="spellEnd"/>
            <w:r w:rsidRPr="000D5690">
              <w:rPr>
                <w:rFonts w:cs="Arial"/>
                <w:lang w:val="es-ES_tradnl"/>
              </w:rPr>
              <w:t>”.</w:t>
            </w:r>
          </w:p>
        </w:tc>
      </w:tr>
      <w:tr w:rsidR="005253AC" w:rsidRPr="00E30CEB" w:rsidTr="00E658B6">
        <w:tc>
          <w:tcPr>
            <w:tcW w:w="1573" w:type="dxa"/>
          </w:tcPr>
          <w:p w:rsidR="005253AC" w:rsidRPr="000D5690" w:rsidRDefault="00FC1B45" w:rsidP="000D5690">
            <w:pPr>
              <w:jc w:val="left"/>
              <w:rPr>
                <w:rFonts w:cs="Arial"/>
              </w:rPr>
            </w:pPr>
            <w:r w:rsidRPr="000D5690">
              <w:rPr>
                <w:rFonts w:cs="Arial"/>
                <w:lang w:val="es-ES_tradnl"/>
              </w:rPr>
              <w:t>Car.</w:t>
            </w:r>
            <w:r w:rsidR="005253AC" w:rsidRPr="000D5690">
              <w:rPr>
                <w:rFonts w:cs="Arial"/>
              </w:rPr>
              <w:t xml:space="preserve"> 8</w:t>
            </w:r>
          </w:p>
        </w:tc>
        <w:tc>
          <w:tcPr>
            <w:tcW w:w="7925" w:type="dxa"/>
          </w:tcPr>
          <w:p w:rsidR="005253AC" w:rsidRPr="00D6704A" w:rsidRDefault="00683B57" w:rsidP="00E658B6">
            <w:pPr>
              <w:keepNext/>
              <w:rPr>
                <w:rFonts w:cs="Arial"/>
                <w:lang w:val="es-ES"/>
              </w:rPr>
            </w:pPr>
            <w:r w:rsidRPr="00D6704A">
              <w:rPr>
                <w:rFonts w:cs="Arial"/>
                <w:lang w:val="es-ES"/>
              </w:rPr>
              <w:t xml:space="preserve">- </w:t>
            </w:r>
            <w:r w:rsidR="00FC1B45" w:rsidRPr="000D5690">
              <w:rPr>
                <w:rFonts w:cs="Arial"/>
                <w:lang w:val="es-ES_tradnl"/>
              </w:rPr>
              <w:t>Debe rezar: “Limbo:</w:t>
            </w:r>
            <w:r w:rsidR="005253AC" w:rsidRPr="00D6704A">
              <w:rPr>
                <w:lang w:val="es-ES"/>
              </w:rPr>
              <w:t xml:space="preserve"> </w:t>
            </w:r>
            <w:r w:rsidR="00FC1B45" w:rsidRPr="000D5690">
              <w:rPr>
                <w:lang w:val="es-ES_tradnl"/>
              </w:rPr>
              <w:t xml:space="preserve">distribución de la pigmentación </w:t>
            </w:r>
            <w:proofErr w:type="spellStart"/>
            <w:r w:rsidR="00FC1B45" w:rsidRPr="000D5690">
              <w:rPr>
                <w:lang w:val="es-ES_tradnl"/>
              </w:rPr>
              <w:t>antociánica</w:t>
            </w:r>
            <w:proofErr w:type="spellEnd"/>
            <w:r w:rsidR="00FC1B45" w:rsidRPr="000D5690">
              <w:rPr>
                <w:lang w:val="es-ES_tradnl"/>
              </w:rPr>
              <w:t>”.</w:t>
            </w:r>
          </w:p>
          <w:p w:rsidR="005253AC" w:rsidRPr="00D6704A" w:rsidRDefault="00683B57" w:rsidP="00E658B6">
            <w:pPr>
              <w:keepNext/>
              <w:rPr>
                <w:rFonts w:cs="Arial"/>
                <w:lang w:val="es-ES"/>
              </w:rPr>
            </w:pPr>
            <w:r w:rsidRPr="00D6704A">
              <w:rPr>
                <w:rFonts w:cs="Arial"/>
                <w:lang w:val="es-ES"/>
              </w:rPr>
              <w:t xml:space="preserve">- </w:t>
            </w:r>
            <w:r w:rsidR="00FC1B45" w:rsidRPr="000D5690">
              <w:rPr>
                <w:rFonts w:cs="Arial"/>
                <w:lang w:val="es-ES_tradnl"/>
              </w:rPr>
              <w:t>El nivel 1 debe rezar: “principalmente a lo largo de los nervios”.</w:t>
            </w:r>
          </w:p>
          <w:p w:rsidR="005253AC" w:rsidRPr="00D6704A" w:rsidRDefault="00683B57" w:rsidP="000D5690">
            <w:pPr>
              <w:keepNext/>
              <w:rPr>
                <w:rFonts w:cs="Arial"/>
                <w:lang w:val="es-ES"/>
              </w:rPr>
            </w:pPr>
            <w:r w:rsidRPr="00D6704A">
              <w:rPr>
                <w:rFonts w:cs="Arial"/>
                <w:lang w:val="es-ES"/>
              </w:rPr>
              <w:t xml:space="preserve">- </w:t>
            </w:r>
            <w:r w:rsidR="00FC1B45" w:rsidRPr="000D5690">
              <w:rPr>
                <w:rFonts w:cs="Arial"/>
                <w:lang w:val="es-ES_tradnl"/>
              </w:rPr>
              <w:t>El nivel 3 debe rezar: “</w:t>
            </w:r>
            <w:r w:rsidR="00FC1B45" w:rsidRPr="000D5690">
              <w:rPr>
                <w:lang w:val="es-ES_tradnl"/>
              </w:rPr>
              <w:t>en las partes basal y central”.</w:t>
            </w:r>
          </w:p>
        </w:tc>
      </w:tr>
      <w:tr w:rsidR="005253AC" w:rsidRPr="000D5690" w:rsidTr="00E658B6">
        <w:tc>
          <w:tcPr>
            <w:tcW w:w="1573" w:type="dxa"/>
          </w:tcPr>
          <w:p w:rsidR="005253AC" w:rsidRPr="000D5690" w:rsidRDefault="00FC1B45" w:rsidP="000D5690">
            <w:pPr>
              <w:jc w:val="left"/>
              <w:rPr>
                <w:rFonts w:cs="Arial"/>
              </w:rPr>
            </w:pPr>
            <w:r w:rsidRPr="000D5690">
              <w:rPr>
                <w:rFonts w:cs="Arial"/>
                <w:lang w:val="es-ES_tradnl"/>
              </w:rPr>
              <w:t>Car.</w:t>
            </w:r>
            <w:r w:rsidR="005253AC" w:rsidRPr="000D5690">
              <w:rPr>
                <w:rFonts w:cs="Arial"/>
              </w:rPr>
              <w:t xml:space="preserve"> 15</w:t>
            </w:r>
          </w:p>
        </w:tc>
        <w:tc>
          <w:tcPr>
            <w:tcW w:w="7925" w:type="dxa"/>
          </w:tcPr>
          <w:p w:rsidR="005253AC" w:rsidRPr="000D5690" w:rsidRDefault="00FC1B45" w:rsidP="000D5690">
            <w:pPr>
              <w:keepNext/>
              <w:rPr>
                <w:rFonts w:cs="Arial"/>
              </w:rPr>
            </w:pPr>
            <w:r w:rsidRPr="000D5690">
              <w:rPr>
                <w:rFonts w:cs="Arial"/>
                <w:lang w:val="es-ES_tradnl"/>
              </w:rPr>
              <w:t>Añádase “(a)</w:t>
            </w:r>
            <w:r w:rsidRPr="000D5690">
              <w:rPr>
                <w:lang w:val="es-ES_tradnl"/>
              </w:rPr>
              <w:t>”</w:t>
            </w:r>
            <w:r w:rsidRPr="000D5690">
              <w:rPr>
                <w:rFonts w:cs="Arial"/>
                <w:lang w:val="es-ES_tradnl"/>
              </w:rPr>
              <w:t>.</w:t>
            </w:r>
          </w:p>
        </w:tc>
      </w:tr>
      <w:tr w:rsidR="005253AC" w:rsidRPr="000D5690" w:rsidTr="00E658B6">
        <w:tc>
          <w:tcPr>
            <w:tcW w:w="1573" w:type="dxa"/>
          </w:tcPr>
          <w:p w:rsidR="005253AC" w:rsidRPr="000D5690" w:rsidRDefault="00FC1B45" w:rsidP="000D5690">
            <w:pPr>
              <w:jc w:val="left"/>
              <w:rPr>
                <w:rFonts w:cs="Arial"/>
              </w:rPr>
            </w:pPr>
            <w:r w:rsidRPr="000D5690">
              <w:rPr>
                <w:rFonts w:cs="Arial"/>
                <w:lang w:val="es-ES_tradnl"/>
              </w:rPr>
              <w:t>Car.</w:t>
            </w:r>
            <w:r w:rsidR="005253AC" w:rsidRPr="000D5690">
              <w:rPr>
                <w:rFonts w:cs="Arial"/>
              </w:rPr>
              <w:t xml:space="preserve"> 18</w:t>
            </w:r>
          </w:p>
        </w:tc>
        <w:tc>
          <w:tcPr>
            <w:tcW w:w="7925" w:type="dxa"/>
          </w:tcPr>
          <w:p w:rsidR="005253AC" w:rsidRPr="00D6704A" w:rsidRDefault="00683B57" w:rsidP="00E658B6">
            <w:pPr>
              <w:rPr>
                <w:rFonts w:cs="Arial"/>
                <w:lang w:val="es-ES"/>
              </w:rPr>
            </w:pPr>
            <w:r w:rsidRPr="00D6704A">
              <w:rPr>
                <w:rFonts w:cs="Arial"/>
                <w:lang w:val="es-ES"/>
              </w:rPr>
              <w:t xml:space="preserve">- </w:t>
            </w:r>
            <w:r w:rsidR="003475E5" w:rsidRPr="000D5690">
              <w:rPr>
                <w:rFonts w:cs="Arial"/>
                <w:lang w:val="es-ES_tradnl"/>
              </w:rPr>
              <w:t>Debe</w:t>
            </w:r>
            <w:r w:rsidR="00FC1B45" w:rsidRPr="000D5690">
              <w:rPr>
                <w:rFonts w:cs="Arial"/>
                <w:lang w:val="es-ES_tradnl"/>
              </w:rPr>
              <w:t xml:space="preserve"> rezar: “Flor:</w:t>
            </w:r>
            <w:r w:rsidR="005253AC" w:rsidRPr="00D6704A">
              <w:rPr>
                <w:rFonts w:cs="Arial"/>
                <w:lang w:val="es-ES"/>
              </w:rPr>
              <w:t xml:space="preserve"> </w:t>
            </w:r>
            <w:r w:rsidR="00FC1B45" w:rsidRPr="000D5690">
              <w:rPr>
                <w:rFonts w:cs="Arial"/>
                <w:lang w:val="es-ES_tradnl"/>
              </w:rPr>
              <w:t>vellosidad del sépalo superior” (véase la ilustración en 8.1 b)).</w:t>
            </w:r>
          </w:p>
          <w:p w:rsidR="005253AC" w:rsidRPr="000D5690" w:rsidRDefault="00683B57" w:rsidP="00FC1B45">
            <w:pPr>
              <w:rPr>
                <w:rFonts w:cs="Arial"/>
                <w:lang w:val="de-DE"/>
              </w:rPr>
            </w:pPr>
            <w:r w:rsidRPr="000D5690">
              <w:rPr>
                <w:rFonts w:cs="Arial"/>
                <w:lang w:val="de-DE"/>
              </w:rPr>
              <w:t xml:space="preserve">- </w:t>
            </w:r>
            <w:r w:rsidR="005253AC" w:rsidRPr="000D5690">
              <w:rPr>
                <w:rFonts w:cs="Arial"/>
                <w:lang w:val="de-DE"/>
              </w:rPr>
              <w:t>(DE: Blüte: Behaarung des oberen Kelchblattes)</w:t>
            </w:r>
          </w:p>
        </w:tc>
      </w:tr>
      <w:tr w:rsidR="005253AC" w:rsidRPr="00E30CEB" w:rsidTr="00E658B6">
        <w:tc>
          <w:tcPr>
            <w:tcW w:w="1573" w:type="dxa"/>
          </w:tcPr>
          <w:p w:rsidR="005253AC" w:rsidRPr="000D5690" w:rsidRDefault="005253AC" w:rsidP="00E658B6">
            <w:pPr>
              <w:rPr>
                <w:rFonts w:cs="Arial"/>
              </w:rPr>
            </w:pPr>
            <w:r w:rsidRPr="000D5690">
              <w:rPr>
                <w:rFonts w:cs="Arial"/>
              </w:rPr>
              <w:t xml:space="preserve">8.1 </w:t>
            </w:r>
            <w:r w:rsidR="0047214B" w:rsidRPr="000D5690">
              <w:rPr>
                <w:rFonts w:cs="Arial"/>
              </w:rPr>
              <w:t>a)</w:t>
            </w:r>
          </w:p>
        </w:tc>
        <w:tc>
          <w:tcPr>
            <w:tcW w:w="7925" w:type="dxa"/>
          </w:tcPr>
          <w:p w:rsidR="005253AC" w:rsidRPr="00D6704A" w:rsidRDefault="00A10D83" w:rsidP="000D5690">
            <w:pPr>
              <w:tabs>
                <w:tab w:val="left" w:pos="1418"/>
              </w:tabs>
              <w:rPr>
                <w:rFonts w:cs="Arial"/>
                <w:lang w:val="es-ES"/>
              </w:rPr>
            </w:pPr>
            <w:r w:rsidRPr="000D5690">
              <w:rPr>
                <w:rFonts w:cs="Arial"/>
                <w:lang w:val="es-ES_tradnl"/>
              </w:rPr>
              <w:t>Debe rezar: “</w:t>
            </w:r>
            <w:r w:rsidRPr="000D5690">
              <w:rPr>
                <w:lang w:val="es-ES_tradnl"/>
              </w:rPr>
              <w:t>Las observaciones deberán efectuarse en hojas externas plenamente desarrolladas de la parte central de la planta.”</w:t>
            </w:r>
          </w:p>
        </w:tc>
      </w:tr>
      <w:tr w:rsidR="005253AC" w:rsidRPr="00E30CEB" w:rsidTr="00E658B6">
        <w:tc>
          <w:tcPr>
            <w:tcW w:w="1573" w:type="dxa"/>
          </w:tcPr>
          <w:p w:rsidR="005253AC" w:rsidRPr="000D5690" w:rsidRDefault="005253AC" w:rsidP="00E658B6">
            <w:pPr>
              <w:jc w:val="left"/>
              <w:rPr>
                <w:rFonts w:cs="Arial"/>
              </w:rPr>
            </w:pPr>
            <w:r w:rsidRPr="000D5690">
              <w:rPr>
                <w:rFonts w:cs="Arial"/>
              </w:rPr>
              <w:t xml:space="preserve">8.1 </w:t>
            </w:r>
            <w:r w:rsidR="0047214B" w:rsidRPr="000D5690">
              <w:rPr>
                <w:rFonts w:cs="Arial"/>
              </w:rPr>
              <w:t>b)</w:t>
            </w:r>
          </w:p>
        </w:tc>
        <w:tc>
          <w:tcPr>
            <w:tcW w:w="7925" w:type="dxa"/>
          </w:tcPr>
          <w:p w:rsidR="005253AC" w:rsidRPr="00D6704A" w:rsidRDefault="00A10D83" w:rsidP="000D5690">
            <w:pPr>
              <w:rPr>
                <w:rFonts w:cs="Arial"/>
                <w:lang w:val="es-ES"/>
              </w:rPr>
            </w:pPr>
            <w:r w:rsidRPr="000D5690">
              <w:rPr>
                <w:rFonts w:cs="Arial"/>
                <w:lang w:val="es-ES_tradnl"/>
              </w:rPr>
              <w:t>Debe rezar “sépalo superior” en lugar de “bráctea”.</w:t>
            </w:r>
          </w:p>
        </w:tc>
      </w:tr>
      <w:tr w:rsidR="005253AC" w:rsidRPr="000D5690" w:rsidTr="00E658B6">
        <w:tc>
          <w:tcPr>
            <w:tcW w:w="1573" w:type="dxa"/>
          </w:tcPr>
          <w:p w:rsidR="005253AC" w:rsidRPr="000D5690" w:rsidDel="00FD1D9C" w:rsidRDefault="005253AC" w:rsidP="00E658B6">
            <w:pPr>
              <w:rPr>
                <w:rFonts w:cs="Arial"/>
              </w:rPr>
            </w:pPr>
            <w:r w:rsidRPr="000D5690">
              <w:rPr>
                <w:rFonts w:cs="Arial"/>
              </w:rPr>
              <w:t>Ad. 2</w:t>
            </w:r>
          </w:p>
        </w:tc>
        <w:tc>
          <w:tcPr>
            <w:tcW w:w="7925" w:type="dxa"/>
          </w:tcPr>
          <w:p w:rsidR="005253AC" w:rsidRPr="000D5690" w:rsidDel="00FD1D9C" w:rsidRDefault="00A10D83" w:rsidP="000D5690">
            <w:pPr>
              <w:rPr>
                <w:rFonts w:cs="Arial"/>
              </w:rPr>
            </w:pPr>
            <w:r w:rsidRPr="000D5690">
              <w:rPr>
                <w:rFonts w:cs="Arial"/>
                <w:lang w:val="es-ES_tradnl"/>
              </w:rPr>
              <w:t>Sustitúyase “medirse” por “observarse” (car. VG).</w:t>
            </w:r>
          </w:p>
        </w:tc>
      </w:tr>
      <w:tr w:rsidR="005253AC" w:rsidRPr="000D5690" w:rsidTr="00E658B6">
        <w:tc>
          <w:tcPr>
            <w:tcW w:w="1573" w:type="dxa"/>
          </w:tcPr>
          <w:p w:rsidR="005253AC" w:rsidRPr="000D5690" w:rsidRDefault="005253AC" w:rsidP="00E658B6">
            <w:pPr>
              <w:rPr>
                <w:rFonts w:cs="Arial"/>
              </w:rPr>
            </w:pPr>
            <w:r w:rsidRPr="000D5690">
              <w:rPr>
                <w:rFonts w:cs="Arial"/>
              </w:rPr>
              <w:t>Ad. 9</w:t>
            </w:r>
          </w:p>
        </w:tc>
        <w:tc>
          <w:tcPr>
            <w:tcW w:w="7925" w:type="dxa"/>
          </w:tcPr>
          <w:p w:rsidR="005253AC" w:rsidRPr="000D5690" w:rsidRDefault="00A10D83" w:rsidP="000D5690">
            <w:pPr>
              <w:rPr>
                <w:rFonts w:cs="Arial"/>
              </w:rPr>
            </w:pPr>
            <w:r w:rsidRPr="000D5690">
              <w:rPr>
                <w:rFonts w:cs="Arial"/>
                <w:lang w:val="es-ES_tradnl"/>
              </w:rPr>
              <w:t>Suprímase.</w:t>
            </w:r>
          </w:p>
        </w:tc>
      </w:tr>
      <w:tr w:rsidR="005253AC" w:rsidRPr="00E30CEB" w:rsidTr="00E658B6">
        <w:tc>
          <w:tcPr>
            <w:tcW w:w="1573" w:type="dxa"/>
          </w:tcPr>
          <w:p w:rsidR="005253AC" w:rsidRPr="000D5690" w:rsidRDefault="005253AC" w:rsidP="00E658B6">
            <w:pPr>
              <w:jc w:val="left"/>
              <w:rPr>
                <w:rFonts w:cs="Arial"/>
              </w:rPr>
            </w:pPr>
            <w:r w:rsidRPr="000D5690">
              <w:rPr>
                <w:rFonts w:cs="Arial"/>
              </w:rPr>
              <w:t>Ad. 16</w:t>
            </w:r>
          </w:p>
        </w:tc>
        <w:tc>
          <w:tcPr>
            <w:tcW w:w="7925" w:type="dxa"/>
          </w:tcPr>
          <w:p w:rsidR="005253AC" w:rsidRPr="00D6704A" w:rsidRDefault="00A10D83" w:rsidP="000D5690">
            <w:pPr>
              <w:rPr>
                <w:rFonts w:cs="Arial"/>
                <w:lang w:val="es-ES"/>
              </w:rPr>
            </w:pPr>
            <w:r w:rsidRPr="000D5690">
              <w:rPr>
                <w:rFonts w:cs="Arial"/>
                <w:lang w:val="es-ES_tradnl"/>
              </w:rPr>
              <w:t>Debe rezar: “</w:t>
            </w:r>
            <w:r w:rsidRPr="000D5690">
              <w:rPr>
                <w:lang w:val="es-ES_tradnl"/>
              </w:rPr>
              <w:t>La longitud deberá observarse en el tallo floral principal</w:t>
            </w:r>
            <w:r w:rsidRPr="000D5690">
              <w:rPr>
                <w:rFonts w:cs="Arial"/>
                <w:lang w:val="es-ES_tradnl"/>
              </w:rPr>
              <w:t>.”</w:t>
            </w:r>
          </w:p>
        </w:tc>
      </w:tr>
      <w:tr w:rsidR="005253AC" w:rsidRPr="00E30CEB" w:rsidTr="00E658B6">
        <w:tc>
          <w:tcPr>
            <w:tcW w:w="1573" w:type="dxa"/>
          </w:tcPr>
          <w:p w:rsidR="005253AC" w:rsidRPr="000D5690" w:rsidRDefault="005253AC" w:rsidP="00E658B6">
            <w:pPr>
              <w:jc w:val="left"/>
              <w:rPr>
                <w:rFonts w:cs="Arial"/>
                <w:dstrike/>
              </w:rPr>
            </w:pPr>
            <w:r w:rsidRPr="000D5690">
              <w:rPr>
                <w:rFonts w:cs="Arial"/>
              </w:rPr>
              <w:t>Ad. 21</w:t>
            </w:r>
          </w:p>
        </w:tc>
        <w:tc>
          <w:tcPr>
            <w:tcW w:w="7925" w:type="dxa"/>
          </w:tcPr>
          <w:p w:rsidR="005253AC" w:rsidRPr="00D6704A" w:rsidRDefault="00683B57" w:rsidP="00E658B6">
            <w:pPr>
              <w:rPr>
                <w:rFonts w:cs="Arial"/>
                <w:lang w:val="es-ES"/>
              </w:rPr>
            </w:pPr>
            <w:r w:rsidRPr="00D6704A">
              <w:rPr>
                <w:rFonts w:cs="Arial"/>
                <w:lang w:val="es-ES"/>
              </w:rPr>
              <w:t xml:space="preserve">- </w:t>
            </w:r>
            <w:r w:rsidR="00A10D83" w:rsidRPr="000D5690">
              <w:rPr>
                <w:rFonts w:cs="Arial"/>
                <w:lang w:val="es-ES_tradnl"/>
              </w:rPr>
              <w:t>Debe rezar: “</w:t>
            </w:r>
            <w:r w:rsidR="00A10D83" w:rsidRPr="000D5690">
              <w:rPr>
                <w:lang w:val="es-ES_tradnl"/>
              </w:rPr>
              <w:t>El comienzo de la floración es</w:t>
            </w:r>
            <w:r w:rsidR="00A10D83" w:rsidRPr="000D5690">
              <w:rPr>
                <w:rFonts w:cs="Arial"/>
                <w:lang w:val="es-ES_tradnl"/>
              </w:rPr>
              <w:t>…”</w:t>
            </w:r>
          </w:p>
          <w:p w:rsidR="005253AC" w:rsidRPr="00E30CEB" w:rsidRDefault="00683B57" w:rsidP="000D5690">
            <w:pPr>
              <w:rPr>
                <w:rFonts w:cs="Arial"/>
                <w:lang w:val="es-ES"/>
              </w:rPr>
            </w:pPr>
            <w:r w:rsidRPr="00D6704A">
              <w:rPr>
                <w:rFonts w:cs="Arial"/>
                <w:lang w:val="es-ES"/>
              </w:rPr>
              <w:t xml:space="preserve">- </w:t>
            </w:r>
            <w:r w:rsidR="00660B52" w:rsidRPr="000D5690">
              <w:rPr>
                <w:rFonts w:cs="Arial"/>
                <w:lang w:val="es-ES_tradnl"/>
              </w:rPr>
              <w:t>E</w:t>
            </w:r>
            <w:r w:rsidR="00A10D83" w:rsidRPr="000D5690">
              <w:rPr>
                <w:rFonts w:cs="Arial"/>
                <w:lang w:val="es-ES_tradnl"/>
              </w:rPr>
              <w:t>specif</w:t>
            </w:r>
            <w:r w:rsidR="00660B52" w:rsidRPr="000D5690">
              <w:rPr>
                <w:rFonts w:cs="Arial"/>
                <w:lang w:val="es-ES_tradnl"/>
              </w:rPr>
              <w:t xml:space="preserve">íquese </w:t>
            </w:r>
            <w:r w:rsidR="00A10D83" w:rsidRPr="000D5690">
              <w:rPr>
                <w:rFonts w:cs="Arial"/>
                <w:lang w:val="es-ES_tradnl"/>
              </w:rPr>
              <w:t>el significado de</w:t>
            </w:r>
            <w:r w:rsidR="00660B52" w:rsidRPr="000D5690">
              <w:rPr>
                <w:rFonts w:cs="Arial"/>
                <w:lang w:val="es-ES_tradnl"/>
              </w:rPr>
              <w:t xml:space="preserve"> </w:t>
            </w:r>
            <w:r w:rsidR="00A10D83" w:rsidRPr="000D5690">
              <w:rPr>
                <w:rFonts w:cs="Arial"/>
                <w:lang w:val="es-ES_tradnl"/>
              </w:rPr>
              <w:t>“</w:t>
            </w:r>
            <w:r w:rsidR="00660B52" w:rsidRPr="000D5690">
              <w:rPr>
                <w:rFonts w:cs="Arial"/>
                <w:lang w:val="es-ES_tradnl"/>
              </w:rPr>
              <w:t xml:space="preserve">haya </w:t>
            </w:r>
            <w:r w:rsidR="00A10D83" w:rsidRPr="000D5690">
              <w:rPr>
                <w:rFonts w:cs="Arial"/>
                <w:lang w:val="es-ES_tradnl"/>
              </w:rPr>
              <w:t>flo</w:t>
            </w:r>
            <w:r w:rsidR="00660B52" w:rsidRPr="000D5690">
              <w:rPr>
                <w:rFonts w:cs="Arial"/>
                <w:lang w:val="es-ES_tradnl"/>
              </w:rPr>
              <w:t>recido</w:t>
            </w:r>
            <w:r w:rsidR="00A10D83" w:rsidRPr="000D5690">
              <w:rPr>
                <w:rFonts w:cs="Arial"/>
                <w:lang w:val="es-ES_tradnl"/>
              </w:rPr>
              <w:t>” (p. ej. ¿</w:t>
            </w:r>
            <w:proofErr w:type="spellStart"/>
            <w:r w:rsidR="00A10D83" w:rsidRPr="000D5690">
              <w:rPr>
                <w:rFonts w:cs="Arial"/>
                <w:lang w:val="es-ES_tradnl"/>
              </w:rPr>
              <w:t>cuando</w:t>
            </w:r>
            <w:proofErr w:type="spellEnd"/>
            <w:r w:rsidR="00A10D83" w:rsidRPr="000D5690">
              <w:rPr>
                <w:rFonts w:cs="Arial"/>
                <w:lang w:val="es-ES_tradnl"/>
              </w:rPr>
              <w:t xml:space="preserve"> se hayan abierto el 10% de las flores?)</w:t>
            </w:r>
            <w:r w:rsidR="00B8540F" w:rsidRPr="000D5690">
              <w:rPr>
                <w:rFonts w:cs="Arial"/>
                <w:lang w:val="es-ES_tradnl"/>
              </w:rPr>
              <w:t>.</w:t>
            </w:r>
          </w:p>
        </w:tc>
      </w:tr>
      <w:tr w:rsidR="005253AC" w:rsidRPr="00E30CEB" w:rsidTr="00E658B6">
        <w:tc>
          <w:tcPr>
            <w:tcW w:w="1573" w:type="dxa"/>
          </w:tcPr>
          <w:p w:rsidR="005253AC" w:rsidRPr="000D5690" w:rsidRDefault="005253AC" w:rsidP="00E658B6">
            <w:pPr>
              <w:jc w:val="left"/>
              <w:rPr>
                <w:rFonts w:cs="Arial"/>
              </w:rPr>
            </w:pPr>
            <w:r w:rsidRPr="000D5690">
              <w:rPr>
                <w:rFonts w:cs="Arial"/>
              </w:rPr>
              <w:t>9.</w:t>
            </w:r>
          </w:p>
        </w:tc>
        <w:tc>
          <w:tcPr>
            <w:tcW w:w="7925" w:type="dxa"/>
          </w:tcPr>
          <w:p w:rsidR="005253AC" w:rsidRPr="00D6704A" w:rsidRDefault="00B8540F" w:rsidP="000D5690">
            <w:pPr>
              <w:rPr>
                <w:rFonts w:cs="Arial"/>
                <w:lang w:val="es-ES"/>
              </w:rPr>
            </w:pPr>
            <w:r w:rsidRPr="000D5690">
              <w:rPr>
                <w:rFonts w:cs="Arial"/>
                <w:lang w:val="es-ES_tradnl"/>
              </w:rPr>
              <w:t>El orden de las dos primeras referencias de la bibliografía debe invertirse (para mantener el orden alfabético).</w:t>
            </w:r>
          </w:p>
        </w:tc>
      </w:tr>
      <w:tr w:rsidR="005253AC" w:rsidRPr="00E30CEB" w:rsidTr="00E658B6">
        <w:tc>
          <w:tcPr>
            <w:tcW w:w="1573" w:type="dxa"/>
          </w:tcPr>
          <w:p w:rsidR="005253AC" w:rsidRPr="000D5690" w:rsidRDefault="005253AC" w:rsidP="00B8540F">
            <w:pPr>
              <w:rPr>
                <w:rFonts w:cs="Arial"/>
              </w:rPr>
            </w:pPr>
            <w:r w:rsidRPr="000D5690">
              <w:rPr>
                <w:rFonts w:cs="Arial"/>
              </w:rPr>
              <w:t>TQ 4.2</w:t>
            </w:r>
          </w:p>
        </w:tc>
        <w:tc>
          <w:tcPr>
            <w:tcW w:w="7925" w:type="dxa"/>
          </w:tcPr>
          <w:p w:rsidR="005253AC" w:rsidRPr="00D6704A" w:rsidRDefault="00364BA2" w:rsidP="000D5690">
            <w:pPr>
              <w:rPr>
                <w:rFonts w:cs="Arial"/>
                <w:lang w:val="es-ES"/>
              </w:rPr>
            </w:pPr>
            <w:r w:rsidRPr="000D5690">
              <w:rPr>
                <w:rFonts w:cs="Arial"/>
                <w:lang w:val="es-ES_tradnl"/>
              </w:rPr>
              <w:t>Suprímase la sección sobre la fórmula de los híbridos.</w:t>
            </w:r>
            <w:r w:rsidR="005253AC" w:rsidRPr="00D6704A">
              <w:rPr>
                <w:rFonts w:cs="Arial"/>
                <w:lang w:val="es-ES"/>
              </w:rPr>
              <w:t xml:space="preserve"> </w:t>
            </w:r>
            <w:r w:rsidRPr="000D5690">
              <w:rPr>
                <w:rFonts w:cs="Arial"/>
                <w:lang w:val="es-ES_tradnl"/>
              </w:rPr>
              <w:t>No hay experiencia con híbridos hasta el momento; las líneas parentales se incluirían en el examen.</w:t>
            </w:r>
          </w:p>
        </w:tc>
      </w:tr>
    </w:tbl>
    <w:p w:rsidR="005253AC" w:rsidRPr="00D6704A" w:rsidRDefault="005253AC" w:rsidP="005253AC">
      <w:pPr>
        <w:jc w:val="left"/>
        <w:rPr>
          <w:rFonts w:cs="Arial"/>
          <w:lang w:val="es-ES"/>
        </w:rPr>
      </w:pPr>
    </w:p>
    <w:p w:rsidR="005253AC" w:rsidRPr="00D6704A" w:rsidRDefault="0047214B" w:rsidP="005253AC">
      <w:pPr>
        <w:autoSpaceDE w:val="0"/>
        <w:autoSpaceDN w:val="0"/>
        <w:adjustRightInd w:val="0"/>
        <w:ind w:firstLine="567"/>
        <w:rPr>
          <w:rFonts w:cs="Arial"/>
          <w:u w:val="single"/>
          <w:lang w:val="es-ES"/>
        </w:rPr>
      </w:pPr>
      <w:r w:rsidRPr="00D6704A">
        <w:rPr>
          <w:rFonts w:cs="Arial"/>
          <w:lang w:val="es-ES"/>
        </w:rPr>
        <w:t>b)</w:t>
      </w:r>
      <w:r w:rsidR="005253AC" w:rsidRPr="00D6704A">
        <w:rPr>
          <w:rFonts w:cs="Arial"/>
          <w:lang w:val="es-ES"/>
        </w:rPr>
        <w:tab/>
      </w:r>
      <w:r w:rsidR="001D4930" w:rsidRPr="000D5690">
        <w:rPr>
          <w:rFonts w:cs="Arial"/>
          <w:lang w:val="es-ES_tradnl"/>
        </w:rPr>
        <w:t>Modificaciones propuestas por el TC-EDC en marzo de 2016, que han de incorporarse en el documento sometido a la consideración del TC:</w:t>
      </w:r>
    </w:p>
    <w:p w:rsidR="005253AC" w:rsidRPr="00D6704A" w:rsidRDefault="005253AC" w:rsidP="005253AC">
      <w:pPr>
        <w:jc w:val="left"/>
        <w:rPr>
          <w:rFonts w:cs="Arial"/>
          <w:lang w:val="es-ES"/>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5253AC" w:rsidRPr="00E30CEB" w:rsidTr="00E658B6">
        <w:tc>
          <w:tcPr>
            <w:tcW w:w="1573" w:type="dxa"/>
          </w:tcPr>
          <w:p w:rsidR="005253AC" w:rsidRPr="000D5690" w:rsidRDefault="001D4930" w:rsidP="000D5690">
            <w:pPr>
              <w:jc w:val="left"/>
              <w:rPr>
                <w:rFonts w:cs="Arial"/>
              </w:rPr>
            </w:pPr>
            <w:r w:rsidRPr="000D5690">
              <w:rPr>
                <w:rFonts w:cs="Arial"/>
                <w:lang w:val="es-ES_tradnl"/>
              </w:rPr>
              <w:t>Tabla de caracteres</w:t>
            </w:r>
          </w:p>
        </w:tc>
        <w:tc>
          <w:tcPr>
            <w:tcW w:w="7925" w:type="dxa"/>
          </w:tcPr>
          <w:p w:rsidR="005253AC" w:rsidRPr="00D6704A" w:rsidRDefault="001D4930" w:rsidP="00E658B6">
            <w:pPr>
              <w:keepNext/>
              <w:rPr>
                <w:rFonts w:cs="Arial"/>
                <w:lang w:val="es-ES"/>
              </w:rPr>
            </w:pPr>
            <w:r w:rsidRPr="000D5690">
              <w:rPr>
                <w:rFonts w:cs="Arial"/>
                <w:lang w:val="es-ES_tradnl"/>
              </w:rPr>
              <w:t>Compruébese si deben añadirse más (*).</w:t>
            </w:r>
          </w:p>
          <w:p w:rsidR="005253AC" w:rsidRPr="00D6704A" w:rsidRDefault="001D4930" w:rsidP="00E658B6">
            <w:pPr>
              <w:rPr>
                <w:i/>
                <w:lang w:val="es-ES"/>
              </w:rPr>
            </w:pPr>
            <w:r w:rsidRPr="000D5690">
              <w:rPr>
                <w:rFonts w:cs="Arial"/>
                <w:i/>
                <w:lang w:val="es-ES_tradnl"/>
              </w:rPr>
              <w:t>Experto principal:</w:t>
            </w:r>
            <w:r w:rsidR="005253AC" w:rsidRPr="00D6704A">
              <w:rPr>
                <w:rFonts w:cs="Arial"/>
                <w:i/>
                <w:lang w:val="es-ES"/>
              </w:rPr>
              <w:t xml:space="preserve">  </w:t>
            </w:r>
            <w:r w:rsidRPr="000D5690">
              <w:rPr>
                <w:i/>
                <w:lang w:val="es-ES_tradnl"/>
              </w:rPr>
              <w:t>Proponemos añadir otro (*) a los caracteres siguientes:</w:t>
            </w:r>
          </w:p>
          <w:p w:rsidR="005253AC" w:rsidRPr="00D6704A" w:rsidRDefault="001D4930" w:rsidP="00E658B6">
            <w:pPr>
              <w:rPr>
                <w:i/>
                <w:lang w:val="es-ES"/>
              </w:rPr>
            </w:pPr>
            <w:r w:rsidRPr="000D5690">
              <w:rPr>
                <w:i/>
                <w:lang w:val="es-ES_tradnl"/>
              </w:rPr>
              <w:t>car</w:t>
            </w:r>
            <w:r w:rsidR="008A34C9" w:rsidRPr="000D5690">
              <w:rPr>
                <w:i/>
                <w:lang w:val="es-ES_tradnl"/>
              </w:rPr>
              <w:t>ácter</w:t>
            </w:r>
            <w:r w:rsidR="005253AC" w:rsidRPr="00D6704A">
              <w:rPr>
                <w:i/>
                <w:lang w:val="es-ES"/>
              </w:rPr>
              <w:t xml:space="preserve"> </w:t>
            </w:r>
            <w:r w:rsidRPr="000D5690">
              <w:rPr>
                <w:i/>
                <w:lang w:val="es-ES_tradnl"/>
              </w:rPr>
              <w:t>2: “Planta:</w:t>
            </w:r>
            <w:r w:rsidR="005253AC" w:rsidRPr="00D6704A">
              <w:rPr>
                <w:i/>
                <w:lang w:val="es-ES"/>
              </w:rPr>
              <w:t xml:space="preserve"> </w:t>
            </w:r>
            <w:r w:rsidRPr="000D5690">
              <w:rPr>
                <w:i/>
                <w:lang w:val="es-ES_tradnl"/>
              </w:rPr>
              <w:t>altura” (se incluyó * en las directrices de examen anteriores)</w:t>
            </w:r>
          </w:p>
          <w:p w:rsidR="005253AC" w:rsidRPr="00D6704A" w:rsidRDefault="008A34C9" w:rsidP="00E658B6">
            <w:pPr>
              <w:rPr>
                <w:i/>
                <w:lang w:val="es-ES"/>
              </w:rPr>
            </w:pPr>
            <w:r w:rsidRPr="000D5690">
              <w:rPr>
                <w:i/>
                <w:lang w:val="es-ES_tradnl"/>
              </w:rPr>
              <w:t>carácter</w:t>
            </w:r>
            <w:r w:rsidR="005253AC" w:rsidRPr="00D6704A">
              <w:rPr>
                <w:i/>
                <w:lang w:val="es-ES"/>
              </w:rPr>
              <w:t xml:space="preserve"> </w:t>
            </w:r>
            <w:r w:rsidR="001D4930" w:rsidRPr="000D5690">
              <w:rPr>
                <w:i/>
                <w:lang w:val="es-ES_tradnl"/>
              </w:rPr>
              <w:t>8 “Limbo:</w:t>
            </w:r>
            <w:r w:rsidR="005253AC" w:rsidRPr="00D6704A">
              <w:rPr>
                <w:i/>
                <w:lang w:val="es-ES"/>
              </w:rPr>
              <w:t xml:space="preserve"> </w:t>
            </w:r>
            <w:r w:rsidR="001D4930" w:rsidRPr="000D5690">
              <w:rPr>
                <w:i/>
                <w:lang w:val="es-ES_tradnl"/>
              </w:rPr>
              <w:t xml:space="preserve">distribución de la pigmentación </w:t>
            </w:r>
            <w:proofErr w:type="spellStart"/>
            <w:r w:rsidR="001D4930" w:rsidRPr="000D5690">
              <w:rPr>
                <w:i/>
                <w:lang w:val="es-ES_tradnl"/>
              </w:rPr>
              <w:t>antociánica</w:t>
            </w:r>
            <w:proofErr w:type="spellEnd"/>
            <w:r w:rsidR="001D4930" w:rsidRPr="000D5690">
              <w:rPr>
                <w:i/>
                <w:lang w:val="es-ES_tradnl"/>
              </w:rPr>
              <w:t>”</w:t>
            </w:r>
          </w:p>
          <w:p w:rsidR="005253AC" w:rsidRPr="00D6704A" w:rsidRDefault="008A34C9" w:rsidP="00E658B6">
            <w:pPr>
              <w:rPr>
                <w:i/>
                <w:lang w:val="es-ES"/>
              </w:rPr>
            </w:pPr>
            <w:r w:rsidRPr="000D5690">
              <w:rPr>
                <w:i/>
                <w:lang w:val="es-ES_tradnl"/>
              </w:rPr>
              <w:t>carácter</w:t>
            </w:r>
            <w:r w:rsidR="005253AC" w:rsidRPr="00D6704A">
              <w:rPr>
                <w:i/>
                <w:lang w:val="es-ES"/>
              </w:rPr>
              <w:t xml:space="preserve"> </w:t>
            </w:r>
            <w:r w:rsidR="001D4930" w:rsidRPr="000D5690">
              <w:rPr>
                <w:i/>
                <w:lang w:val="es-ES_tradnl"/>
              </w:rPr>
              <w:t>16 “Tallo floral:</w:t>
            </w:r>
            <w:r w:rsidR="005253AC" w:rsidRPr="00D6704A">
              <w:rPr>
                <w:i/>
                <w:lang w:val="es-ES"/>
              </w:rPr>
              <w:t xml:space="preserve"> </w:t>
            </w:r>
            <w:r w:rsidR="001D4930" w:rsidRPr="000D5690">
              <w:rPr>
                <w:i/>
                <w:lang w:val="es-ES_tradnl"/>
              </w:rPr>
              <w:t>longitud” (se incluyó * en las directrices de examen anteriores)</w:t>
            </w:r>
          </w:p>
          <w:p w:rsidR="005253AC" w:rsidRPr="00D6704A" w:rsidRDefault="008A34C9" w:rsidP="00E658B6">
            <w:pPr>
              <w:rPr>
                <w:i/>
                <w:lang w:val="es-ES"/>
              </w:rPr>
            </w:pPr>
            <w:r w:rsidRPr="000D5690">
              <w:rPr>
                <w:i/>
                <w:lang w:val="es-ES_tradnl"/>
              </w:rPr>
              <w:t>carácter</w:t>
            </w:r>
            <w:r w:rsidR="005253AC" w:rsidRPr="00D6704A">
              <w:rPr>
                <w:i/>
                <w:lang w:val="es-ES"/>
              </w:rPr>
              <w:t xml:space="preserve"> </w:t>
            </w:r>
            <w:r w:rsidR="001D4930" w:rsidRPr="000D5690">
              <w:rPr>
                <w:i/>
                <w:lang w:val="es-ES_tradnl"/>
              </w:rPr>
              <w:t>17 “Tallo floral:</w:t>
            </w:r>
            <w:r w:rsidR="005253AC" w:rsidRPr="00D6704A">
              <w:rPr>
                <w:i/>
                <w:lang w:val="es-ES"/>
              </w:rPr>
              <w:t xml:space="preserve"> </w:t>
            </w:r>
            <w:r w:rsidR="001D4930" w:rsidRPr="000D5690">
              <w:rPr>
                <w:i/>
                <w:lang w:val="es-ES_tradnl"/>
              </w:rPr>
              <w:t xml:space="preserve">longitud </w:t>
            </w:r>
            <w:proofErr w:type="spellStart"/>
            <w:r w:rsidR="001D4930" w:rsidRPr="000D5690">
              <w:rPr>
                <w:i/>
                <w:lang w:val="es-ES_tradnl"/>
              </w:rPr>
              <w:t>del</w:t>
            </w:r>
            <w:proofErr w:type="spellEnd"/>
            <w:r w:rsidR="001D4930" w:rsidRPr="000D5690">
              <w:rPr>
                <w:i/>
                <w:lang w:val="es-ES_tradnl"/>
              </w:rPr>
              <w:t xml:space="preserve"> los entrenudos”</w:t>
            </w:r>
            <w:r w:rsidR="005253AC" w:rsidRPr="00D6704A">
              <w:rPr>
                <w:i/>
                <w:lang w:val="es-ES"/>
              </w:rPr>
              <w:t xml:space="preserve"> </w:t>
            </w:r>
          </w:p>
          <w:p w:rsidR="005253AC" w:rsidRPr="00D6704A" w:rsidRDefault="008A34C9" w:rsidP="00E658B6">
            <w:pPr>
              <w:rPr>
                <w:i/>
                <w:lang w:val="es-ES"/>
              </w:rPr>
            </w:pPr>
            <w:r w:rsidRPr="000D5690">
              <w:rPr>
                <w:i/>
                <w:lang w:val="es-ES_tradnl"/>
              </w:rPr>
              <w:t>carácter</w:t>
            </w:r>
            <w:r w:rsidR="005253AC" w:rsidRPr="00D6704A">
              <w:rPr>
                <w:i/>
                <w:lang w:val="es-ES"/>
              </w:rPr>
              <w:t xml:space="preserve"> </w:t>
            </w:r>
            <w:r w:rsidR="001D4930" w:rsidRPr="000D5690">
              <w:rPr>
                <w:i/>
                <w:lang w:val="es-ES_tradnl"/>
              </w:rPr>
              <w:t>19 “Flor:</w:t>
            </w:r>
            <w:r w:rsidR="005253AC" w:rsidRPr="00D6704A">
              <w:rPr>
                <w:i/>
                <w:lang w:val="es-ES"/>
              </w:rPr>
              <w:t xml:space="preserve"> </w:t>
            </w:r>
            <w:r w:rsidR="001D4930" w:rsidRPr="000D5690">
              <w:rPr>
                <w:i/>
                <w:lang w:val="es-ES_tradnl"/>
              </w:rPr>
              <w:t>color de la corola”</w:t>
            </w:r>
          </w:p>
          <w:p w:rsidR="005253AC" w:rsidRPr="00D6704A" w:rsidRDefault="008A34C9" w:rsidP="00E658B6">
            <w:pPr>
              <w:rPr>
                <w:i/>
                <w:lang w:val="es-ES"/>
              </w:rPr>
            </w:pPr>
            <w:r w:rsidRPr="000D5690">
              <w:rPr>
                <w:i/>
                <w:lang w:val="es-ES_tradnl"/>
              </w:rPr>
              <w:t>carácter</w:t>
            </w:r>
            <w:r w:rsidR="005253AC" w:rsidRPr="00D6704A">
              <w:rPr>
                <w:i/>
                <w:lang w:val="es-ES"/>
              </w:rPr>
              <w:t xml:space="preserve"> </w:t>
            </w:r>
            <w:r w:rsidR="001D4930" w:rsidRPr="000D5690">
              <w:rPr>
                <w:i/>
                <w:lang w:val="es-ES_tradnl"/>
              </w:rPr>
              <w:t>20 “Flor:</w:t>
            </w:r>
            <w:r w:rsidR="005253AC" w:rsidRPr="00D6704A">
              <w:rPr>
                <w:i/>
                <w:lang w:val="es-ES"/>
              </w:rPr>
              <w:t xml:space="preserve"> </w:t>
            </w:r>
            <w:r w:rsidR="001D4930" w:rsidRPr="000D5690">
              <w:rPr>
                <w:i/>
                <w:lang w:val="es-ES_tradnl"/>
              </w:rPr>
              <w:t>color del estilo”</w:t>
            </w:r>
          </w:p>
          <w:p w:rsidR="005253AC" w:rsidRPr="00D6704A" w:rsidRDefault="001D4930" w:rsidP="000D5690">
            <w:pPr>
              <w:rPr>
                <w:rFonts w:cs="Arial"/>
                <w:lang w:val="es-ES"/>
              </w:rPr>
            </w:pPr>
            <w:r w:rsidRPr="000D5690">
              <w:rPr>
                <w:i/>
                <w:lang w:val="es-ES_tradnl"/>
              </w:rPr>
              <w:t>Se requiere la aprobación del TWV por correspondencia.</w:t>
            </w:r>
          </w:p>
        </w:tc>
      </w:tr>
      <w:tr w:rsidR="005253AC" w:rsidRPr="000D5690" w:rsidTr="00E658B6">
        <w:tc>
          <w:tcPr>
            <w:tcW w:w="1573" w:type="dxa"/>
          </w:tcPr>
          <w:p w:rsidR="005253AC" w:rsidRPr="000D5690" w:rsidRDefault="001D4930" w:rsidP="000D5690">
            <w:pPr>
              <w:rPr>
                <w:rFonts w:cs="Arial"/>
              </w:rPr>
            </w:pPr>
            <w:r w:rsidRPr="000D5690">
              <w:rPr>
                <w:rFonts w:cs="Arial"/>
                <w:lang w:val="es-ES_tradnl"/>
              </w:rPr>
              <w:t>Car.</w:t>
            </w:r>
            <w:r w:rsidR="005253AC" w:rsidRPr="000D5690">
              <w:rPr>
                <w:rFonts w:cs="Arial"/>
              </w:rPr>
              <w:t xml:space="preserve"> 19</w:t>
            </w:r>
          </w:p>
        </w:tc>
        <w:tc>
          <w:tcPr>
            <w:tcW w:w="7925" w:type="dxa"/>
          </w:tcPr>
          <w:p w:rsidR="005253AC" w:rsidRPr="00D6704A" w:rsidRDefault="001D4930" w:rsidP="00E658B6">
            <w:pPr>
              <w:rPr>
                <w:rFonts w:cs="Arial"/>
                <w:lang w:val="es-ES"/>
              </w:rPr>
            </w:pPr>
            <w:r w:rsidRPr="000D5690">
              <w:rPr>
                <w:rFonts w:cs="Arial"/>
                <w:lang w:val="es-ES_tradnl"/>
              </w:rPr>
              <w:t>Añádase “(*)”; véase TQ 5.</w:t>
            </w:r>
          </w:p>
          <w:p w:rsidR="005253AC" w:rsidRPr="000D5690" w:rsidRDefault="001D4930" w:rsidP="000D5690">
            <w:pPr>
              <w:rPr>
                <w:rFonts w:cs="Arial"/>
                <w:i/>
              </w:rPr>
            </w:pPr>
            <w:r w:rsidRPr="000D5690">
              <w:rPr>
                <w:rFonts w:cs="Arial"/>
                <w:i/>
                <w:lang w:val="es-ES_tradnl"/>
              </w:rPr>
              <w:t xml:space="preserve">Véase la </w:t>
            </w:r>
            <w:r w:rsidR="007F52E3" w:rsidRPr="000D5690">
              <w:rPr>
                <w:rFonts w:cs="Arial"/>
                <w:i/>
                <w:lang w:val="es-ES_tradnl"/>
              </w:rPr>
              <w:t xml:space="preserve">anterior </w:t>
            </w:r>
            <w:r w:rsidRPr="000D5690">
              <w:rPr>
                <w:rFonts w:cs="Arial"/>
                <w:i/>
                <w:lang w:val="es-ES_tradnl"/>
              </w:rPr>
              <w:t>observación general sobre la Tabla de caracteres.</w:t>
            </w:r>
            <w:r w:rsidR="005253AC" w:rsidRPr="00D6704A">
              <w:rPr>
                <w:rFonts w:cs="Arial"/>
                <w:i/>
                <w:lang w:val="es-ES"/>
              </w:rPr>
              <w:t xml:space="preserve">  </w:t>
            </w:r>
            <w:r w:rsidRPr="000D5690">
              <w:rPr>
                <w:i/>
                <w:lang w:val="es-ES_tradnl"/>
              </w:rPr>
              <w:t>Se requiere la aprobación del TWV por correspondencia.</w:t>
            </w:r>
          </w:p>
        </w:tc>
      </w:tr>
      <w:tr w:rsidR="005253AC" w:rsidRPr="00E30CEB" w:rsidTr="00E658B6">
        <w:tc>
          <w:tcPr>
            <w:tcW w:w="1573" w:type="dxa"/>
          </w:tcPr>
          <w:p w:rsidR="005253AC" w:rsidRPr="000D5690" w:rsidRDefault="005253AC" w:rsidP="001D4930">
            <w:pPr>
              <w:jc w:val="left"/>
              <w:rPr>
                <w:rFonts w:cs="Arial"/>
              </w:rPr>
            </w:pPr>
            <w:r w:rsidRPr="000D5690">
              <w:rPr>
                <w:rFonts w:cs="Arial"/>
              </w:rPr>
              <w:t>TQ 5</w:t>
            </w:r>
          </w:p>
        </w:tc>
        <w:tc>
          <w:tcPr>
            <w:tcW w:w="7925" w:type="dxa"/>
          </w:tcPr>
          <w:p w:rsidR="005253AC" w:rsidRPr="00D6704A" w:rsidRDefault="001D4930" w:rsidP="00E658B6">
            <w:pPr>
              <w:rPr>
                <w:rFonts w:cs="Arial"/>
                <w:lang w:val="es-ES"/>
              </w:rPr>
            </w:pPr>
            <w:r w:rsidRPr="000D5690">
              <w:rPr>
                <w:rFonts w:cs="Arial"/>
                <w:lang w:val="es-ES_tradnl"/>
              </w:rPr>
              <w:t>Compruébese si debe añadirse el carácter 4 en el capítulo 5.3 (</w:t>
            </w:r>
            <w:r w:rsidR="00F6625D" w:rsidRPr="000D5690">
              <w:rPr>
                <w:lang w:val="es-ES_tradnl"/>
              </w:rPr>
              <w:t>caracteres de agrupamiento</w:t>
            </w:r>
            <w:r w:rsidRPr="000D5690">
              <w:rPr>
                <w:rFonts w:cs="Arial"/>
                <w:lang w:val="es-ES_tradnl"/>
              </w:rPr>
              <w:t>)</w:t>
            </w:r>
            <w:r w:rsidR="00F6625D" w:rsidRPr="000D5690">
              <w:rPr>
                <w:rFonts w:cs="Arial"/>
                <w:lang w:val="es-ES_tradnl"/>
              </w:rPr>
              <w:t>.</w:t>
            </w:r>
          </w:p>
          <w:p w:rsidR="005253AC" w:rsidRPr="00D6704A" w:rsidRDefault="00F6625D" w:rsidP="000D5690">
            <w:pPr>
              <w:rPr>
                <w:rFonts w:cs="Arial"/>
                <w:i/>
                <w:lang w:val="es-ES"/>
              </w:rPr>
            </w:pPr>
            <w:r w:rsidRPr="000D5690">
              <w:rPr>
                <w:rFonts w:cs="Arial"/>
                <w:i/>
                <w:lang w:val="es-ES_tradnl"/>
              </w:rPr>
              <w:t>Experto principal</w:t>
            </w:r>
            <w:proofErr w:type="gramStart"/>
            <w:r w:rsidRPr="000D5690">
              <w:rPr>
                <w:rFonts w:cs="Arial"/>
                <w:i/>
                <w:lang w:val="es-ES_tradnl"/>
              </w:rPr>
              <w:t>:</w:t>
            </w:r>
            <w:r w:rsidR="005253AC" w:rsidRPr="00D6704A">
              <w:rPr>
                <w:rFonts w:cs="Arial"/>
                <w:i/>
                <w:lang w:val="es-ES"/>
              </w:rPr>
              <w:t xml:space="preserve">  </w:t>
            </w:r>
            <w:r w:rsidRPr="000D5690">
              <w:rPr>
                <w:i/>
                <w:lang w:val="es-ES_tradnl"/>
              </w:rPr>
              <w:t>No</w:t>
            </w:r>
            <w:proofErr w:type="gramEnd"/>
            <w:r w:rsidRPr="000D5690">
              <w:rPr>
                <w:i/>
                <w:lang w:val="es-ES_tradnl"/>
              </w:rPr>
              <w:t xml:space="preserve"> debe </w:t>
            </w:r>
            <w:r w:rsidR="007F52E3" w:rsidRPr="000D5690">
              <w:rPr>
                <w:i/>
                <w:lang w:val="es-ES_tradnl"/>
              </w:rPr>
              <w:t xml:space="preserve">haber </w:t>
            </w:r>
            <w:r w:rsidRPr="000D5690">
              <w:rPr>
                <w:i/>
                <w:lang w:val="es-ES_tradnl"/>
              </w:rPr>
              <w:t>agrupa</w:t>
            </w:r>
            <w:r w:rsidR="007F52E3" w:rsidRPr="000D5690">
              <w:rPr>
                <w:i/>
                <w:lang w:val="es-ES_tradnl"/>
              </w:rPr>
              <w:t xml:space="preserve">miento </w:t>
            </w:r>
            <w:r w:rsidRPr="000D5690">
              <w:rPr>
                <w:i/>
                <w:lang w:val="es-ES_tradnl"/>
              </w:rPr>
              <w:t>con el carácter 4 “Limbo: forma”, s</w:t>
            </w:r>
            <w:r w:rsidR="007F52E3" w:rsidRPr="000D5690">
              <w:rPr>
                <w:i/>
                <w:lang w:val="es-ES_tradnl"/>
              </w:rPr>
              <w:t>ino que s</w:t>
            </w:r>
            <w:r w:rsidRPr="000D5690">
              <w:rPr>
                <w:i/>
                <w:lang w:val="es-ES_tradnl"/>
              </w:rPr>
              <w:t xml:space="preserve">olo </w:t>
            </w:r>
            <w:r w:rsidR="007F52E3" w:rsidRPr="000D5690">
              <w:rPr>
                <w:i/>
                <w:lang w:val="es-ES_tradnl"/>
              </w:rPr>
              <w:t xml:space="preserve">debe figurar </w:t>
            </w:r>
            <w:r w:rsidRPr="000D5690">
              <w:rPr>
                <w:i/>
                <w:lang w:val="es-ES_tradnl"/>
              </w:rPr>
              <w:t xml:space="preserve">en </w:t>
            </w:r>
            <w:r w:rsidR="007F52E3" w:rsidRPr="000D5690">
              <w:rPr>
                <w:i/>
                <w:lang w:val="es-ES_tradnl"/>
              </w:rPr>
              <w:t>el cuestionario técnico</w:t>
            </w:r>
            <w:r w:rsidRPr="000D5690">
              <w:rPr>
                <w:i/>
                <w:lang w:val="es-ES_tradnl"/>
              </w:rPr>
              <w:t>.</w:t>
            </w:r>
          </w:p>
        </w:tc>
      </w:tr>
    </w:tbl>
    <w:p w:rsidR="005253AC" w:rsidRPr="00D6704A" w:rsidRDefault="005253AC" w:rsidP="005253AC">
      <w:pPr>
        <w:jc w:val="left"/>
        <w:rPr>
          <w:rFonts w:cs="Arial"/>
          <w:lang w:val="es-ES"/>
        </w:rPr>
      </w:pPr>
    </w:p>
    <w:p w:rsidR="005253AC" w:rsidRPr="00D6704A" w:rsidRDefault="005253AC" w:rsidP="005253AC">
      <w:pPr>
        <w:jc w:val="left"/>
        <w:rPr>
          <w:rFonts w:cs="Arial"/>
          <w:lang w:val="es-ES"/>
        </w:rPr>
      </w:pPr>
    </w:p>
    <w:tbl>
      <w:tblPr>
        <w:tblW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00"/>
        <w:gridCol w:w="2268"/>
      </w:tblGrid>
      <w:tr w:rsidR="005253AC" w:rsidRPr="000D5690" w:rsidTr="00E658B6">
        <w:trPr>
          <w:cantSplit/>
          <w:trHeight w:val="315"/>
        </w:trPr>
        <w:tc>
          <w:tcPr>
            <w:tcW w:w="3600" w:type="dxa"/>
            <w:vMerge w:val="restart"/>
            <w:shd w:val="clear" w:color="auto" w:fill="D9D9D9"/>
            <w:vAlign w:val="center"/>
          </w:tcPr>
          <w:p w:rsidR="005253AC" w:rsidRPr="000D5690" w:rsidRDefault="00F6625D" w:rsidP="000D5690">
            <w:pPr>
              <w:pStyle w:val="TitleofDoc"/>
              <w:keepNext/>
              <w:tabs>
                <w:tab w:val="left" w:pos="5245"/>
                <w:tab w:val="left" w:pos="7008"/>
              </w:tabs>
              <w:spacing w:before="80" w:after="80"/>
              <w:jc w:val="left"/>
              <w:rPr>
                <w:rFonts w:cs="Arial"/>
                <w:caps w:val="0"/>
                <w:lang w:val="es-ES"/>
              </w:rPr>
            </w:pPr>
            <w:proofErr w:type="spellStart"/>
            <w:r w:rsidRPr="000D5690">
              <w:rPr>
                <w:rFonts w:cs="Arial"/>
                <w:lang w:val="es-ES_tradnl"/>
              </w:rPr>
              <w:t>C</w:t>
            </w:r>
            <w:r w:rsidR="00C547A4" w:rsidRPr="000D5690">
              <w:rPr>
                <w:rFonts w:cs="Arial"/>
                <w:caps w:val="0"/>
                <w:lang w:val="es-ES_tradnl"/>
              </w:rPr>
              <w:t>alibrachoa</w:t>
            </w:r>
            <w:proofErr w:type="spellEnd"/>
            <w:r w:rsidR="005253AC" w:rsidRPr="000D5690">
              <w:rPr>
                <w:rFonts w:cs="Arial"/>
                <w:caps w:val="0"/>
                <w:lang w:val="es-ES"/>
              </w:rPr>
              <w:t xml:space="preserve"> (</w:t>
            </w:r>
            <w:proofErr w:type="spellStart"/>
            <w:r w:rsidR="005253AC" w:rsidRPr="000D5690">
              <w:rPr>
                <w:rFonts w:cs="Arial"/>
                <w:i/>
                <w:caps w:val="0"/>
                <w:lang w:val="es-ES"/>
              </w:rPr>
              <w:t>Calibrachoa</w:t>
            </w:r>
            <w:proofErr w:type="spellEnd"/>
            <w:r w:rsidR="005253AC" w:rsidRPr="000D5690">
              <w:rPr>
                <w:rFonts w:cs="Arial"/>
                <w:caps w:val="0"/>
                <w:lang w:val="es-ES"/>
              </w:rPr>
              <w:t xml:space="preserve"> </w:t>
            </w:r>
            <w:proofErr w:type="spellStart"/>
            <w:r w:rsidR="005253AC" w:rsidRPr="000D5690">
              <w:rPr>
                <w:rFonts w:cs="Arial"/>
                <w:caps w:val="0"/>
                <w:lang w:val="es-ES"/>
              </w:rPr>
              <w:t>Cerv</w:t>
            </w:r>
            <w:proofErr w:type="spellEnd"/>
            <w:r w:rsidR="005253AC" w:rsidRPr="000D5690">
              <w:rPr>
                <w:rFonts w:cs="Arial"/>
                <w:caps w:val="0"/>
                <w:lang w:val="es-ES"/>
              </w:rPr>
              <w:t>.)</w:t>
            </w:r>
          </w:p>
        </w:tc>
        <w:tc>
          <w:tcPr>
            <w:tcW w:w="2268" w:type="dxa"/>
            <w:vMerge w:val="restart"/>
            <w:shd w:val="clear" w:color="auto" w:fill="D9D9D9"/>
            <w:vAlign w:val="center"/>
          </w:tcPr>
          <w:p w:rsidR="005253AC" w:rsidRPr="000D5690" w:rsidRDefault="005253AC" w:rsidP="00E658B6">
            <w:pPr>
              <w:keepNext/>
              <w:rPr>
                <w:iCs/>
                <w:snapToGrid w:val="0"/>
              </w:rPr>
            </w:pPr>
            <w:r w:rsidRPr="000D5690">
              <w:rPr>
                <w:rFonts w:cs="Arial"/>
                <w:caps/>
              </w:rPr>
              <w:t>TG/207/2(</w:t>
            </w:r>
            <w:r w:rsidRPr="000D5690">
              <w:rPr>
                <w:rFonts w:cs="Arial"/>
              </w:rPr>
              <w:t>proj</w:t>
            </w:r>
            <w:r w:rsidRPr="000D5690">
              <w:rPr>
                <w:rFonts w:cs="Arial"/>
                <w:caps/>
              </w:rPr>
              <w:t>.4)</w:t>
            </w:r>
          </w:p>
        </w:tc>
      </w:tr>
      <w:tr w:rsidR="005253AC" w:rsidRPr="000D5690" w:rsidTr="00E658B6">
        <w:trPr>
          <w:cantSplit/>
          <w:trHeight w:hRule="exact" w:val="74"/>
        </w:trPr>
        <w:tc>
          <w:tcPr>
            <w:tcW w:w="3600" w:type="dxa"/>
            <w:vMerge/>
            <w:shd w:val="clear" w:color="auto" w:fill="D9D9D9"/>
            <w:vAlign w:val="center"/>
          </w:tcPr>
          <w:p w:rsidR="005253AC" w:rsidRPr="000D5690" w:rsidRDefault="005253AC" w:rsidP="00E658B6">
            <w:pPr>
              <w:pStyle w:val="TitleofDoc"/>
              <w:keepNext/>
              <w:tabs>
                <w:tab w:val="left" w:pos="5245"/>
                <w:tab w:val="left" w:pos="7008"/>
              </w:tabs>
              <w:spacing w:before="0"/>
              <w:jc w:val="left"/>
              <w:rPr>
                <w:rFonts w:cs="Arial"/>
                <w:caps w:val="0"/>
              </w:rPr>
            </w:pPr>
          </w:p>
        </w:tc>
        <w:tc>
          <w:tcPr>
            <w:tcW w:w="2268" w:type="dxa"/>
            <w:vMerge/>
            <w:shd w:val="clear" w:color="auto" w:fill="D9D9D9"/>
            <w:vAlign w:val="center"/>
          </w:tcPr>
          <w:p w:rsidR="005253AC" w:rsidRPr="000D5690" w:rsidRDefault="005253AC" w:rsidP="00E658B6">
            <w:pPr>
              <w:pStyle w:val="BodyText"/>
              <w:keepNext/>
              <w:jc w:val="left"/>
              <w:rPr>
                <w:rFonts w:cs="Arial"/>
                <w:iCs/>
                <w:snapToGrid w:val="0"/>
              </w:rPr>
            </w:pPr>
          </w:p>
        </w:tc>
      </w:tr>
    </w:tbl>
    <w:p w:rsidR="005253AC" w:rsidRPr="000D5690" w:rsidRDefault="005253AC" w:rsidP="005253AC">
      <w:pPr>
        <w:keepNext/>
        <w:jc w:val="left"/>
        <w:rPr>
          <w:rFonts w:cs="Arial"/>
          <w:lang w:val="de-DE"/>
        </w:rPr>
      </w:pPr>
    </w:p>
    <w:p w:rsidR="005253AC" w:rsidRPr="00D6704A" w:rsidRDefault="0047214B" w:rsidP="005253AC">
      <w:pPr>
        <w:keepNext/>
        <w:autoSpaceDE w:val="0"/>
        <w:autoSpaceDN w:val="0"/>
        <w:adjustRightInd w:val="0"/>
        <w:ind w:firstLine="567"/>
        <w:rPr>
          <w:rFonts w:cs="Arial"/>
          <w:lang w:val="es-ES"/>
        </w:rPr>
      </w:pPr>
      <w:r w:rsidRPr="00D6704A">
        <w:rPr>
          <w:rFonts w:cs="Arial"/>
          <w:lang w:val="es-ES"/>
        </w:rPr>
        <w:t>a)</w:t>
      </w:r>
      <w:r w:rsidR="005253AC" w:rsidRPr="00D6704A">
        <w:rPr>
          <w:rFonts w:cs="Arial"/>
          <w:lang w:val="es-ES"/>
        </w:rPr>
        <w:tab/>
      </w:r>
      <w:r w:rsidR="00F6625D" w:rsidRPr="000D5690">
        <w:rPr>
          <w:rFonts w:cs="Arial"/>
          <w:lang w:val="es-ES_tradnl"/>
        </w:rPr>
        <w:t>En el cuadro siguiente se recogen las observaciones formuladas por el Comité de Redacción Ampliado en su reunión celebrada los días 6 y 7 de enero de 2016.</w:t>
      </w:r>
      <w:r w:rsidR="005253AC" w:rsidRPr="00D6704A">
        <w:rPr>
          <w:rFonts w:cs="Arial"/>
          <w:lang w:val="es-ES"/>
        </w:rPr>
        <w:t xml:space="preserve"> </w:t>
      </w:r>
      <w:r w:rsidR="00F6625D" w:rsidRPr="000D5690">
        <w:rPr>
          <w:rFonts w:cs="Arial"/>
          <w:lang w:val="es-ES_tradnl"/>
        </w:rPr>
        <w:t>Todas las observaciones se han incorporado ya en el proyecto de directrices de examen TG/207/2(proj.4), sometido a la consideración del TC:</w:t>
      </w:r>
    </w:p>
    <w:p w:rsidR="005253AC" w:rsidRPr="00D6704A" w:rsidRDefault="005253AC" w:rsidP="005253AC">
      <w:pPr>
        <w:keepNext/>
        <w:jc w:val="left"/>
        <w:rPr>
          <w:rFonts w:cs="Arial"/>
          <w:lang w:val="es-ES"/>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5253AC" w:rsidRPr="00E30CEB" w:rsidTr="00E658B6">
        <w:trPr>
          <w:cantSplit/>
        </w:trPr>
        <w:tc>
          <w:tcPr>
            <w:tcW w:w="1573" w:type="dxa"/>
          </w:tcPr>
          <w:p w:rsidR="005253AC" w:rsidRPr="000D5690" w:rsidRDefault="000A7687" w:rsidP="000D5690">
            <w:pPr>
              <w:jc w:val="left"/>
              <w:rPr>
                <w:rFonts w:cs="Arial"/>
              </w:rPr>
            </w:pPr>
            <w:r w:rsidRPr="000D5690">
              <w:rPr>
                <w:rFonts w:cs="Arial"/>
                <w:lang w:val="es-ES_tradnl"/>
              </w:rPr>
              <w:t>Portada</w:t>
            </w:r>
          </w:p>
        </w:tc>
        <w:tc>
          <w:tcPr>
            <w:tcW w:w="7925" w:type="dxa"/>
          </w:tcPr>
          <w:p w:rsidR="005253AC" w:rsidRPr="00D6704A" w:rsidRDefault="000A7687" w:rsidP="000D5690">
            <w:pPr>
              <w:keepNext/>
              <w:rPr>
                <w:rFonts w:cs="Arial"/>
                <w:lang w:val="es-ES"/>
              </w:rPr>
            </w:pPr>
            <w:r w:rsidRPr="000D5690">
              <w:rPr>
                <w:rFonts w:cs="Arial"/>
                <w:lang w:val="es-ES_tradnl"/>
              </w:rPr>
              <w:t>Como nombre botánico debe figurar: “</w:t>
            </w:r>
            <w:proofErr w:type="spellStart"/>
            <w:r w:rsidRPr="000D5690">
              <w:rPr>
                <w:i/>
                <w:iCs/>
                <w:lang w:val="es-ES_tradnl"/>
              </w:rPr>
              <w:t>Calibrachoa</w:t>
            </w:r>
            <w:proofErr w:type="spellEnd"/>
            <w:r w:rsidRPr="000D5690">
              <w:rPr>
                <w:lang w:val="es-ES_tradnl"/>
              </w:rPr>
              <w:t> </w:t>
            </w:r>
            <w:proofErr w:type="spellStart"/>
            <w:r w:rsidRPr="000D5690">
              <w:rPr>
                <w:lang w:val="es-ES_tradnl"/>
              </w:rPr>
              <w:t>Cerv</w:t>
            </w:r>
            <w:proofErr w:type="spellEnd"/>
            <w:r w:rsidRPr="000D5690">
              <w:rPr>
                <w:lang w:val="es-ES_tradnl"/>
              </w:rPr>
              <w:t>.”</w:t>
            </w:r>
          </w:p>
        </w:tc>
      </w:tr>
      <w:tr w:rsidR="005253AC" w:rsidRPr="00E30CEB" w:rsidTr="00E658B6">
        <w:trPr>
          <w:cantSplit/>
        </w:trPr>
        <w:tc>
          <w:tcPr>
            <w:tcW w:w="1573" w:type="dxa"/>
          </w:tcPr>
          <w:p w:rsidR="005253AC" w:rsidRPr="000D5690" w:rsidRDefault="000A7687" w:rsidP="000D5690">
            <w:pPr>
              <w:jc w:val="left"/>
              <w:rPr>
                <w:rFonts w:cs="Arial"/>
              </w:rPr>
            </w:pPr>
            <w:r w:rsidRPr="000D5690">
              <w:rPr>
                <w:rFonts w:cs="Arial"/>
                <w:lang w:val="es-ES_tradnl"/>
              </w:rPr>
              <w:t>Car.</w:t>
            </w:r>
            <w:r w:rsidR="005253AC" w:rsidRPr="000D5690">
              <w:rPr>
                <w:rFonts w:cs="Arial"/>
              </w:rPr>
              <w:t xml:space="preserve"> 6</w:t>
            </w:r>
          </w:p>
        </w:tc>
        <w:tc>
          <w:tcPr>
            <w:tcW w:w="7925" w:type="dxa"/>
          </w:tcPr>
          <w:p w:rsidR="005253AC" w:rsidRPr="00D6704A" w:rsidRDefault="000A7687" w:rsidP="000D5690">
            <w:pPr>
              <w:keepNext/>
              <w:rPr>
                <w:rFonts w:cs="Arial"/>
                <w:lang w:val="es-ES"/>
              </w:rPr>
            </w:pPr>
            <w:r w:rsidRPr="000D5690">
              <w:rPr>
                <w:rFonts w:cs="Arial"/>
                <w:lang w:val="es-ES_tradnl"/>
              </w:rPr>
              <w:t xml:space="preserve">Como nivel 2 debe figurar “obtuso” (véase la ilustración en </w:t>
            </w:r>
            <w:r w:rsidR="0086398C" w:rsidRPr="000D5690">
              <w:rPr>
                <w:rFonts w:cs="Arial"/>
                <w:lang w:val="es-ES_tradnl"/>
              </w:rPr>
              <w:t xml:space="preserve">el </w:t>
            </w:r>
            <w:r w:rsidRPr="000D5690">
              <w:rPr>
                <w:rFonts w:cs="Arial"/>
                <w:lang w:val="es-ES_tradnl"/>
              </w:rPr>
              <w:t>Ad. 6).</w:t>
            </w:r>
          </w:p>
        </w:tc>
      </w:tr>
      <w:tr w:rsidR="005253AC" w:rsidRPr="00E30CEB" w:rsidTr="00E658B6">
        <w:trPr>
          <w:cantSplit/>
        </w:trPr>
        <w:tc>
          <w:tcPr>
            <w:tcW w:w="1573" w:type="dxa"/>
          </w:tcPr>
          <w:p w:rsidR="005253AC" w:rsidRPr="000D5690" w:rsidRDefault="000A7687" w:rsidP="000D5690">
            <w:pPr>
              <w:jc w:val="left"/>
              <w:rPr>
                <w:rFonts w:cs="Arial"/>
              </w:rPr>
            </w:pPr>
            <w:r w:rsidRPr="000D5690">
              <w:rPr>
                <w:rFonts w:cs="Arial"/>
                <w:lang w:val="es-ES_tradnl"/>
              </w:rPr>
              <w:t>Car.</w:t>
            </w:r>
            <w:r w:rsidR="005253AC" w:rsidRPr="000D5690">
              <w:rPr>
                <w:rFonts w:cs="Arial"/>
              </w:rPr>
              <w:t xml:space="preserve"> 11</w:t>
            </w:r>
          </w:p>
        </w:tc>
        <w:tc>
          <w:tcPr>
            <w:tcW w:w="7925" w:type="dxa"/>
          </w:tcPr>
          <w:p w:rsidR="005253AC" w:rsidRPr="00D6704A" w:rsidRDefault="000A7687" w:rsidP="000D5690">
            <w:pPr>
              <w:keepNext/>
              <w:rPr>
                <w:rFonts w:cs="Arial"/>
                <w:lang w:val="es-ES"/>
              </w:rPr>
            </w:pPr>
            <w:r w:rsidRPr="000D5690">
              <w:rPr>
                <w:rFonts w:cs="Arial"/>
                <w:lang w:val="es-ES_tradnl"/>
              </w:rPr>
              <w:t>Como variedad ejemplo para el nivel 5 debe figurar “</w:t>
            </w:r>
            <w:proofErr w:type="spellStart"/>
            <w:r w:rsidRPr="000D5690">
              <w:rPr>
                <w:rFonts w:cs="Arial"/>
                <w:lang w:val="es-ES_tradnl"/>
              </w:rPr>
              <w:t>Dualkospi</w:t>
            </w:r>
            <w:proofErr w:type="spellEnd"/>
            <w:r w:rsidRPr="000D5690">
              <w:rPr>
                <w:rFonts w:cs="Arial"/>
                <w:lang w:val="es-ES_tradnl"/>
              </w:rPr>
              <w:t>”.</w:t>
            </w:r>
          </w:p>
        </w:tc>
      </w:tr>
      <w:tr w:rsidR="005253AC" w:rsidRPr="00E30CEB" w:rsidTr="00E658B6">
        <w:trPr>
          <w:cantSplit/>
        </w:trPr>
        <w:tc>
          <w:tcPr>
            <w:tcW w:w="1573" w:type="dxa"/>
          </w:tcPr>
          <w:p w:rsidR="005253AC" w:rsidRPr="000D5690" w:rsidRDefault="000A7687" w:rsidP="000D5690">
            <w:pPr>
              <w:jc w:val="left"/>
              <w:rPr>
                <w:rFonts w:cs="Arial"/>
              </w:rPr>
            </w:pPr>
            <w:r w:rsidRPr="000D5690">
              <w:rPr>
                <w:rFonts w:cs="Arial"/>
                <w:lang w:val="es-ES_tradnl"/>
              </w:rPr>
              <w:t>Caracteres</w:t>
            </w:r>
            <w:r w:rsidR="005253AC" w:rsidRPr="000D5690">
              <w:rPr>
                <w:rFonts w:cs="Arial"/>
              </w:rPr>
              <w:t xml:space="preserve"> 17, 18</w:t>
            </w:r>
          </w:p>
        </w:tc>
        <w:tc>
          <w:tcPr>
            <w:tcW w:w="7925" w:type="dxa"/>
          </w:tcPr>
          <w:p w:rsidR="005253AC" w:rsidRPr="00D6704A" w:rsidRDefault="000A7687" w:rsidP="000D5690">
            <w:pPr>
              <w:keepNext/>
              <w:rPr>
                <w:rFonts w:cs="Arial"/>
                <w:lang w:val="es-ES"/>
              </w:rPr>
            </w:pPr>
            <w:r w:rsidRPr="000D5690">
              <w:rPr>
                <w:rFonts w:cs="Arial"/>
                <w:lang w:val="es-ES_tradnl"/>
              </w:rPr>
              <w:t>Debe rezar: “</w:t>
            </w:r>
            <w:r w:rsidRPr="000D5690">
              <w:rPr>
                <w:u w:val="single"/>
                <w:lang w:val="es-ES_tradnl"/>
              </w:rPr>
              <w:t>Solo variedades con tipo de flor: simple:</w:t>
            </w:r>
            <w:r w:rsidRPr="000D5690">
              <w:rPr>
                <w:rFonts w:cs="Arial"/>
                <w:lang w:val="es-ES_tradnl"/>
              </w:rPr>
              <w:t>”.</w:t>
            </w:r>
          </w:p>
        </w:tc>
      </w:tr>
      <w:tr w:rsidR="005253AC" w:rsidRPr="00E30CEB" w:rsidTr="00E658B6">
        <w:trPr>
          <w:cantSplit/>
        </w:trPr>
        <w:tc>
          <w:tcPr>
            <w:tcW w:w="1573" w:type="dxa"/>
          </w:tcPr>
          <w:p w:rsidR="005253AC" w:rsidRPr="000D5690" w:rsidRDefault="000A7687" w:rsidP="000D5690">
            <w:pPr>
              <w:jc w:val="left"/>
              <w:rPr>
                <w:rFonts w:cs="Arial"/>
              </w:rPr>
            </w:pPr>
            <w:r w:rsidRPr="000D5690">
              <w:rPr>
                <w:rFonts w:cs="Arial"/>
                <w:lang w:val="es-ES_tradnl"/>
              </w:rPr>
              <w:t>Car.</w:t>
            </w:r>
            <w:r w:rsidR="005253AC" w:rsidRPr="000D5690">
              <w:rPr>
                <w:rFonts w:cs="Arial"/>
              </w:rPr>
              <w:t xml:space="preserve"> 18</w:t>
            </w:r>
          </w:p>
        </w:tc>
        <w:tc>
          <w:tcPr>
            <w:tcW w:w="7925" w:type="dxa"/>
          </w:tcPr>
          <w:p w:rsidR="005253AC" w:rsidRPr="00D6704A" w:rsidRDefault="000A7687" w:rsidP="000D5690">
            <w:pPr>
              <w:keepNext/>
              <w:rPr>
                <w:rFonts w:cs="Arial"/>
                <w:lang w:val="es-ES"/>
              </w:rPr>
            </w:pPr>
            <w:r w:rsidRPr="000D5690">
              <w:rPr>
                <w:rFonts w:cs="Arial"/>
                <w:lang w:val="es-ES_tradnl"/>
              </w:rPr>
              <w:t>Como nivel</w:t>
            </w:r>
            <w:r w:rsidR="0086398C" w:rsidRPr="000D5690">
              <w:rPr>
                <w:rFonts w:cs="Arial"/>
                <w:lang w:val="es-ES_tradnl"/>
              </w:rPr>
              <w:t> </w:t>
            </w:r>
            <w:r w:rsidRPr="000D5690">
              <w:rPr>
                <w:rFonts w:cs="Arial"/>
                <w:lang w:val="es-ES_tradnl"/>
              </w:rPr>
              <w:t>1 debe figurar “parcialmente redondeada</w:t>
            </w:r>
            <w:r w:rsidR="0086398C" w:rsidRPr="000D5690">
              <w:rPr>
                <w:rFonts w:cs="Arial"/>
                <w:lang w:val="es-ES_tradnl"/>
              </w:rPr>
              <w:t>” y como nivel </w:t>
            </w:r>
            <w:r w:rsidRPr="000D5690">
              <w:rPr>
                <w:rFonts w:cs="Arial"/>
                <w:lang w:val="es-ES_tradnl"/>
              </w:rPr>
              <w:t>3 “parcialmente estrellada”.</w:t>
            </w:r>
          </w:p>
        </w:tc>
      </w:tr>
      <w:tr w:rsidR="005253AC" w:rsidRPr="00E30CEB" w:rsidTr="00E658B6">
        <w:trPr>
          <w:cantSplit/>
        </w:trPr>
        <w:tc>
          <w:tcPr>
            <w:tcW w:w="1573" w:type="dxa"/>
          </w:tcPr>
          <w:p w:rsidR="005253AC" w:rsidRPr="000D5690" w:rsidRDefault="000A7687" w:rsidP="000D5690">
            <w:pPr>
              <w:jc w:val="left"/>
              <w:rPr>
                <w:rFonts w:cs="Arial"/>
              </w:rPr>
            </w:pPr>
            <w:r w:rsidRPr="000D5690">
              <w:rPr>
                <w:rFonts w:cs="Arial"/>
                <w:lang w:val="es-ES_tradnl"/>
              </w:rPr>
              <w:t>Car.</w:t>
            </w:r>
            <w:r w:rsidR="005253AC" w:rsidRPr="000D5690">
              <w:rPr>
                <w:rFonts w:cs="Arial"/>
              </w:rPr>
              <w:t xml:space="preserve"> 20</w:t>
            </w:r>
          </w:p>
        </w:tc>
        <w:tc>
          <w:tcPr>
            <w:tcW w:w="7925" w:type="dxa"/>
          </w:tcPr>
          <w:p w:rsidR="005253AC" w:rsidRPr="00D6704A" w:rsidRDefault="000A7687" w:rsidP="000D5690">
            <w:pPr>
              <w:keepNext/>
              <w:rPr>
                <w:rFonts w:cs="Arial"/>
                <w:lang w:val="es-ES"/>
              </w:rPr>
            </w:pPr>
            <w:r w:rsidRPr="000D5690">
              <w:rPr>
                <w:rFonts w:cs="Arial"/>
                <w:lang w:val="es-ES_tradnl"/>
              </w:rPr>
              <w:t>Debe rezar: “</w:t>
            </w:r>
            <w:r w:rsidRPr="000D5690">
              <w:rPr>
                <w:u w:val="single"/>
                <w:lang w:val="es-ES_tradnl"/>
              </w:rPr>
              <w:t>Solo variedades con tipo de flor: simple:</w:t>
            </w:r>
            <w:r w:rsidRPr="000D5690">
              <w:rPr>
                <w:lang w:val="es-ES_tradnl"/>
              </w:rPr>
              <w:t>”.</w:t>
            </w:r>
          </w:p>
        </w:tc>
      </w:tr>
      <w:tr w:rsidR="005253AC" w:rsidRPr="000D5690" w:rsidTr="00E658B6">
        <w:trPr>
          <w:cantSplit/>
        </w:trPr>
        <w:tc>
          <w:tcPr>
            <w:tcW w:w="1573" w:type="dxa"/>
          </w:tcPr>
          <w:p w:rsidR="005253AC" w:rsidRPr="000D5690" w:rsidRDefault="000A7687" w:rsidP="000D5690">
            <w:pPr>
              <w:jc w:val="left"/>
              <w:rPr>
                <w:rFonts w:cs="Arial"/>
              </w:rPr>
            </w:pPr>
            <w:r w:rsidRPr="000D5690">
              <w:rPr>
                <w:rFonts w:cs="Arial"/>
                <w:lang w:val="es-ES_tradnl"/>
              </w:rPr>
              <w:t>Car.</w:t>
            </w:r>
            <w:r w:rsidR="005253AC" w:rsidRPr="000D5690">
              <w:rPr>
                <w:rFonts w:cs="Arial"/>
              </w:rPr>
              <w:t xml:space="preserve"> 24</w:t>
            </w:r>
          </w:p>
        </w:tc>
        <w:tc>
          <w:tcPr>
            <w:tcW w:w="7925" w:type="dxa"/>
          </w:tcPr>
          <w:p w:rsidR="005253AC" w:rsidRPr="00D6704A" w:rsidRDefault="000A7687" w:rsidP="00E658B6">
            <w:pPr>
              <w:keepNext/>
              <w:rPr>
                <w:rFonts w:cs="Arial"/>
                <w:lang w:val="es-ES"/>
              </w:rPr>
            </w:pPr>
            <w:r w:rsidRPr="000D5690">
              <w:rPr>
                <w:rFonts w:cs="Arial"/>
                <w:lang w:val="es-ES_tradnl"/>
              </w:rPr>
              <w:t>Compruébese si debe rezar “Flor: cambio de color durante el periodo de cultivo” y cons</w:t>
            </w:r>
            <w:r w:rsidR="003656AA" w:rsidRPr="000D5690">
              <w:rPr>
                <w:rFonts w:cs="Arial"/>
                <w:lang w:val="es-ES_tradnl"/>
              </w:rPr>
              <w:t xml:space="preserve">últese </w:t>
            </w:r>
            <w:r w:rsidRPr="000D5690">
              <w:rPr>
                <w:rFonts w:cs="Arial"/>
                <w:lang w:val="es-ES_tradnl"/>
              </w:rPr>
              <w:t xml:space="preserve">al experto principal si debe trasladarse </w:t>
            </w:r>
            <w:r w:rsidR="0086398C" w:rsidRPr="000D5690">
              <w:rPr>
                <w:rFonts w:cs="Arial"/>
                <w:lang w:val="es-ES_tradnl"/>
              </w:rPr>
              <w:t xml:space="preserve">a continuación </w:t>
            </w:r>
            <w:r w:rsidRPr="000D5690">
              <w:rPr>
                <w:rFonts w:cs="Arial"/>
                <w:lang w:val="es-ES_tradnl"/>
              </w:rPr>
              <w:t>del carácter 26.</w:t>
            </w:r>
          </w:p>
          <w:p w:rsidR="005253AC" w:rsidRPr="000D5690" w:rsidRDefault="003656AA" w:rsidP="000D5690">
            <w:pPr>
              <w:keepNext/>
              <w:rPr>
                <w:rFonts w:cs="Arial"/>
                <w:i/>
              </w:rPr>
            </w:pPr>
            <w:r w:rsidRPr="000D5690">
              <w:rPr>
                <w:rFonts w:cs="Arial"/>
                <w:i/>
                <w:lang w:val="es-ES_tradnl"/>
              </w:rPr>
              <w:t>Experto principal:</w:t>
            </w:r>
            <w:r w:rsidR="005253AC" w:rsidRPr="000D5690">
              <w:rPr>
                <w:rFonts w:cs="Arial"/>
                <w:i/>
              </w:rPr>
              <w:t xml:space="preserve"> </w:t>
            </w:r>
            <w:r w:rsidRPr="000D5690">
              <w:rPr>
                <w:rFonts w:cs="Arial"/>
                <w:i/>
                <w:lang w:val="es-ES_tradnl"/>
              </w:rPr>
              <w:t>De acuerdo.</w:t>
            </w:r>
          </w:p>
        </w:tc>
      </w:tr>
      <w:tr w:rsidR="005253AC" w:rsidRPr="00E30CEB" w:rsidTr="00E658B6">
        <w:trPr>
          <w:cantSplit/>
        </w:trPr>
        <w:tc>
          <w:tcPr>
            <w:tcW w:w="1573" w:type="dxa"/>
          </w:tcPr>
          <w:p w:rsidR="005253AC" w:rsidRPr="000D5690" w:rsidRDefault="005253AC" w:rsidP="00E658B6">
            <w:pPr>
              <w:jc w:val="left"/>
              <w:rPr>
                <w:rFonts w:cs="Arial"/>
              </w:rPr>
            </w:pPr>
            <w:r w:rsidRPr="000D5690">
              <w:rPr>
                <w:rFonts w:cs="Arial"/>
              </w:rPr>
              <w:t xml:space="preserve">8.1 </w:t>
            </w:r>
            <w:r w:rsidR="0047214B" w:rsidRPr="000D5690">
              <w:rPr>
                <w:rFonts w:cs="Arial"/>
              </w:rPr>
              <w:t>b)</w:t>
            </w:r>
          </w:p>
        </w:tc>
        <w:tc>
          <w:tcPr>
            <w:tcW w:w="7925" w:type="dxa"/>
          </w:tcPr>
          <w:p w:rsidR="005253AC" w:rsidRPr="00D6704A" w:rsidRDefault="003656AA" w:rsidP="000D5690">
            <w:pPr>
              <w:rPr>
                <w:rFonts w:cs="Arial"/>
                <w:lang w:val="es-ES"/>
              </w:rPr>
            </w:pPr>
            <w:r w:rsidRPr="000D5690">
              <w:rPr>
                <w:lang w:val="es-ES_tradnl"/>
              </w:rPr>
              <w:t>La segunda frase debe rezar: “Las observaciones de las variedades con color de la flor cambiante se deberán efectuar en el color de flor que predomine durante el periodo de cultivo.”</w:t>
            </w:r>
            <w:r w:rsidR="005253AC" w:rsidRPr="00D6704A">
              <w:rPr>
                <w:lang w:val="es-ES"/>
              </w:rPr>
              <w:t xml:space="preserve">  </w:t>
            </w:r>
          </w:p>
        </w:tc>
      </w:tr>
      <w:tr w:rsidR="005253AC" w:rsidRPr="00E30CEB" w:rsidTr="00E658B6">
        <w:trPr>
          <w:cantSplit/>
        </w:trPr>
        <w:tc>
          <w:tcPr>
            <w:tcW w:w="1573" w:type="dxa"/>
          </w:tcPr>
          <w:p w:rsidR="005253AC" w:rsidRPr="000D5690" w:rsidRDefault="005253AC" w:rsidP="00E658B6">
            <w:pPr>
              <w:jc w:val="left"/>
              <w:rPr>
                <w:rFonts w:cs="Arial"/>
              </w:rPr>
            </w:pPr>
            <w:r w:rsidRPr="000D5690">
              <w:rPr>
                <w:rFonts w:cs="Arial"/>
              </w:rPr>
              <w:t>Ad. 16</w:t>
            </w:r>
          </w:p>
        </w:tc>
        <w:tc>
          <w:tcPr>
            <w:tcW w:w="7925" w:type="dxa"/>
          </w:tcPr>
          <w:p w:rsidR="005253AC" w:rsidRPr="00D6704A" w:rsidRDefault="003656AA" w:rsidP="000D5690">
            <w:pPr>
              <w:rPr>
                <w:lang w:val="es-ES"/>
              </w:rPr>
            </w:pPr>
            <w:r w:rsidRPr="000D5690">
              <w:rPr>
                <w:lang w:val="es-ES_tradnl"/>
              </w:rPr>
              <w:t>En la segunda frase de la explicación, debe sustituirse “(carácter 18)” por “(carácter 17)”.</w:t>
            </w:r>
          </w:p>
        </w:tc>
      </w:tr>
      <w:tr w:rsidR="005253AC" w:rsidRPr="00E30CEB" w:rsidTr="00E658B6">
        <w:trPr>
          <w:cantSplit/>
        </w:trPr>
        <w:tc>
          <w:tcPr>
            <w:tcW w:w="1573" w:type="dxa"/>
          </w:tcPr>
          <w:p w:rsidR="005253AC" w:rsidRPr="000D5690" w:rsidRDefault="005253AC" w:rsidP="00E658B6">
            <w:pPr>
              <w:jc w:val="left"/>
              <w:rPr>
                <w:rFonts w:cs="Arial"/>
                <w:dstrike/>
              </w:rPr>
            </w:pPr>
            <w:r w:rsidRPr="000D5690">
              <w:rPr>
                <w:rFonts w:cs="Arial"/>
              </w:rPr>
              <w:t>Ad. 24</w:t>
            </w:r>
          </w:p>
        </w:tc>
        <w:tc>
          <w:tcPr>
            <w:tcW w:w="7925" w:type="dxa"/>
          </w:tcPr>
          <w:p w:rsidR="005253AC" w:rsidRPr="00D6704A" w:rsidRDefault="00683B57" w:rsidP="000D5690">
            <w:pPr>
              <w:rPr>
                <w:lang w:val="es-ES"/>
              </w:rPr>
            </w:pPr>
            <w:r w:rsidRPr="00D6704A">
              <w:rPr>
                <w:lang w:val="es-ES"/>
              </w:rPr>
              <w:t xml:space="preserve">- </w:t>
            </w:r>
            <w:r w:rsidR="003656AA" w:rsidRPr="000D5690">
              <w:rPr>
                <w:lang w:val="es-ES_tradnl"/>
              </w:rPr>
              <w:t xml:space="preserve">Debe figurar: “En algunas variedades de </w:t>
            </w:r>
            <w:proofErr w:type="spellStart"/>
            <w:r w:rsidR="003656AA" w:rsidRPr="000D5690">
              <w:rPr>
                <w:i/>
                <w:iCs/>
                <w:lang w:val="es-ES_tradnl"/>
              </w:rPr>
              <w:t>Calibrachoa</w:t>
            </w:r>
            <w:proofErr w:type="spellEnd"/>
            <w:r w:rsidR="003656AA" w:rsidRPr="000D5690">
              <w:rPr>
                <w:lang w:val="es-ES_tradnl"/>
              </w:rPr>
              <w:t>, las flores reaccionan intensamente a las condiciones de luz y temperatura.</w:t>
            </w:r>
            <w:r w:rsidR="005253AC" w:rsidRPr="00D6704A">
              <w:rPr>
                <w:lang w:val="es-ES"/>
              </w:rPr>
              <w:t xml:space="preserve">  </w:t>
            </w:r>
            <w:r w:rsidR="003656AA" w:rsidRPr="000D5690">
              <w:rPr>
                <w:lang w:val="es-ES_tradnl"/>
              </w:rPr>
              <w:t>En consecuencia, las flores al mismo estado de desarrollo pueden ser de color principal o secundario diferente en una misma planta durante el período de cultivo.”</w:t>
            </w:r>
          </w:p>
        </w:tc>
      </w:tr>
    </w:tbl>
    <w:p w:rsidR="005253AC" w:rsidRPr="00D6704A" w:rsidRDefault="005253AC" w:rsidP="005253AC">
      <w:pPr>
        <w:jc w:val="left"/>
        <w:rPr>
          <w:rFonts w:cs="Arial"/>
          <w:lang w:val="es-ES"/>
        </w:rPr>
      </w:pPr>
    </w:p>
    <w:p w:rsidR="005253AC" w:rsidRPr="00D6704A" w:rsidRDefault="0047214B" w:rsidP="005253AC">
      <w:pPr>
        <w:autoSpaceDE w:val="0"/>
        <w:autoSpaceDN w:val="0"/>
        <w:adjustRightInd w:val="0"/>
        <w:ind w:firstLine="567"/>
        <w:rPr>
          <w:rFonts w:cs="Arial"/>
          <w:u w:val="single"/>
          <w:lang w:val="es-ES"/>
        </w:rPr>
      </w:pPr>
      <w:r w:rsidRPr="00D6704A">
        <w:rPr>
          <w:rFonts w:cs="Arial"/>
          <w:lang w:val="es-ES"/>
        </w:rPr>
        <w:t>b)</w:t>
      </w:r>
      <w:r w:rsidR="005253AC" w:rsidRPr="00D6704A">
        <w:rPr>
          <w:rFonts w:cs="Arial"/>
          <w:lang w:val="es-ES"/>
        </w:rPr>
        <w:tab/>
      </w:r>
      <w:r w:rsidR="003656AA" w:rsidRPr="000D5690">
        <w:rPr>
          <w:rFonts w:cs="Arial"/>
          <w:lang w:val="es-ES_tradnl"/>
        </w:rPr>
        <w:t>Modificaciones propuestas por el TC-EDC en marzo de 2016, que han de incorporarse en el documento sometido a la consideración del TC:</w:t>
      </w:r>
    </w:p>
    <w:p w:rsidR="005253AC" w:rsidRPr="00D6704A" w:rsidRDefault="005253AC" w:rsidP="005253AC">
      <w:pPr>
        <w:jc w:val="left"/>
        <w:rPr>
          <w:rFonts w:cs="Arial"/>
          <w:u w:val="single"/>
          <w:lang w:val="es-ES"/>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5253AC" w:rsidRPr="000D5690" w:rsidTr="00E658B6">
        <w:trPr>
          <w:cantSplit/>
        </w:trPr>
        <w:tc>
          <w:tcPr>
            <w:tcW w:w="1573" w:type="dxa"/>
          </w:tcPr>
          <w:p w:rsidR="005253AC" w:rsidRPr="000D5690" w:rsidRDefault="003656AA" w:rsidP="000D5690">
            <w:pPr>
              <w:jc w:val="left"/>
              <w:rPr>
                <w:rFonts w:cs="Arial"/>
              </w:rPr>
            </w:pPr>
            <w:r w:rsidRPr="000D5690">
              <w:rPr>
                <w:rFonts w:cs="Arial"/>
                <w:lang w:val="es-ES_tradnl"/>
              </w:rPr>
              <w:t>Car.</w:t>
            </w:r>
            <w:r w:rsidR="005253AC" w:rsidRPr="000D5690">
              <w:rPr>
                <w:rFonts w:cs="Arial"/>
              </w:rPr>
              <w:t xml:space="preserve"> 26</w:t>
            </w:r>
          </w:p>
        </w:tc>
        <w:tc>
          <w:tcPr>
            <w:tcW w:w="7925" w:type="dxa"/>
          </w:tcPr>
          <w:p w:rsidR="005253AC" w:rsidRPr="000D5690" w:rsidRDefault="003656AA" w:rsidP="000D5690">
            <w:pPr>
              <w:rPr>
                <w:rFonts w:cs="Arial"/>
              </w:rPr>
            </w:pPr>
            <w:r w:rsidRPr="000D5690">
              <w:rPr>
                <w:rFonts w:cs="Arial"/>
                <w:lang w:val="es-ES_tradnl"/>
              </w:rPr>
              <w:t xml:space="preserve">Añádase </w:t>
            </w:r>
            <w:r w:rsidR="00F42390" w:rsidRPr="000D5690">
              <w:rPr>
                <w:lang w:val="es-ES_tradnl"/>
              </w:rPr>
              <w:t>“(</w:t>
            </w:r>
            <w:r w:rsidRPr="000D5690">
              <w:rPr>
                <w:rFonts w:cs="Arial"/>
                <w:lang w:val="es-ES_tradnl"/>
              </w:rPr>
              <w:t>b)</w:t>
            </w:r>
            <w:r w:rsidR="00F42390" w:rsidRPr="000D5690">
              <w:rPr>
                <w:lang w:val="es-ES_tradnl"/>
              </w:rPr>
              <w:t>”</w:t>
            </w:r>
            <w:r w:rsidRPr="000D5690">
              <w:rPr>
                <w:rFonts w:cs="Arial"/>
                <w:lang w:val="es-ES_tradnl"/>
              </w:rPr>
              <w:t>.</w:t>
            </w:r>
          </w:p>
        </w:tc>
      </w:tr>
    </w:tbl>
    <w:p w:rsidR="005253AC" w:rsidRPr="000D5690" w:rsidRDefault="005253AC" w:rsidP="005253AC">
      <w:pPr>
        <w:jc w:val="left"/>
        <w:rPr>
          <w:rFonts w:cs="Arial"/>
        </w:rPr>
      </w:pPr>
    </w:p>
    <w:p w:rsidR="005253AC" w:rsidRPr="000D5690" w:rsidRDefault="005253AC" w:rsidP="005253AC">
      <w:pPr>
        <w:jc w:val="left"/>
        <w:rPr>
          <w:rFonts w:cs="Arial"/>
        </w:rPr>
      </w:pPr>
    </w:p>
    <w:p w:rsidR="005253AC" w:rsidRPr="000D5690" w:rsidRDefault="005253AC" w:rsidP="005253AC">
      <w:pPr>
        <w:jc w:val="left"/>
        <w:rPr>
          <w:rFonts w:cs="Arial"/>
        </w:rPr>
      </w:pPr>
    </w:p>
    <w:p w:rsidR="00361821" w:rsidRPr="00D6704A" w:rsidRDefault="003656AA" w:rsidP="005A1169">
      <w:pPr>
        <w:jc w:val="right"/>
        <w:rPr>
          <w:rFonts w:cs="Arial"/>
          <w:lang w:val="es-ES"/>
        </w:rPr>
      </w:pPr>
      <w:r w:rsidRPr="000D5690">
        <w:rPr>
          <w:rFonts w:cs="Arial"/>
          <w:lang w:val="es-ES_tradnl"/>
        </w:rPr>
        <w:t>[Fin del Anexo II y del documento]</w:t>
      </w:r>
    </w:p>
    <w:sectPr w:rsidR="00361821" w:rsidRPr="00D6704A" w:rsidSect="00E047CC">
      <w:headerReference w:type="default" r:id="rId19"/>
      <w:headerReference w:type="first" r:id="rId20"/>
      <w:pgSz w:w="11907" w:h="16840" w:code="9"/>
      <w:pgMar w:top="510" w:right="1134" w:bottom="1134" w:left="1134" w:header="51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D58" w:rsidRDefault="00CD3D58" w:rsidP="00F45372">
      <w:r>
        <w:separator/>
      </w:r>
    </w:p>
    <w:p w:rsidR="00CD3D58" w:rsidRDefault="00CD3D58" w:rsidP="00F45372"/>
    <w:p w:rsidR="00CD3D58" w:rsidRDefault="00CD3D58" w:rsidP="00F45372"/>
  </w:endnote>
  <w:endnote w:type="continuationSeparator" w:id="0">
    <w:p w:rsidR="00CD3D58" w:rsidRDefault="00CD3D58" w:rsidP="00F45372">
      <w:r>
        <w:separator/>
      </w:r>
    </w:p>
    <w:p w:rsidR="00CD3D58" w:rsidRPr="00970020" w:rsidRDefault="00CD3D58">
      <w:pPr>
        <w:pStyle w:val="Footer"/>
        <w:spacing w:after="60"/>
        <w:rPr>
          <w:sz w:val="18"/>
          <w:lang w:val="fr-CH"/>
        </w:rPr>
      </w:pPr>
      <w:r w:rsidRPr="00970020">
        <w:rPr>
          <w:sz w:val="18"/>
          <w:lang w:val="fr-CH"/>
        </w:rPr>
        <w:t>[Suite de la note de la page précédente]</w:t>
      </w:r>
    </w:p>
    <w:p w:rsidR="00CD3D58" w:rsidRPr="00970020" w:rsidRDefault="00CD3D58" w:rsidP="00F45372">
      <w:pPr>
        <w:rPr>
          <w:lang w:val="fr-CH"/>
        </w:rPr>
      </w:pPr>
    </w:p>
    <w:p w:rsidR="00CD3D58" w:rsidRPr="00970020" w:rsidRDefault="00CD3D58" w:rsidP="00F45372">
      <w:pPr>
        <w:rPr>
          <w:lang w:val="fr-CH"/>
        </w:rPr>
      </w:pPr>
    </w:p>
  </w:endnote>
  <w:endnote w:type="continuationNotice" w:id="1">
    <w:p w:rsidR="00CD3D58" w:rsidRPr="00970020" w:rsidRDefault="00CD3D58" w:rsidP="00F45372">
      <w:pPr>
        <w:rPr>
          <w:lang w:val="fr-CH"/>
        </w:rPr>
      </w:pPr>
      <w:r w:rsidRPr="00970020">
        <w:rPr>
          <w:lang w:val="fr-CH"/>
        </w:rPr>
        <w:t>[Suite de la note page suivante]</w:t>
      </w:r>
    </w:p>
    <w:p w:rsidR="00CD3D58" w:rsidRPr="00970020" w:rsidRDefault="00CD3D58" w:rsidP="00F45372">
      <w:pPr>
        <w:rPr>
          <w:lang w:val="fr-CH"/>
        </w:rPr>
      </w:pPr>
    </w:p>
    <w:p w:rsidR="00CD3D58" w:rsidRPr="00970020" w:rsidRDefault="00CD3D58"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D58" w:rsidRDefault="00CD3D58" w:rsidP="00F45372">
      <w:r>
        <w:separator/>
      </w:r>
    </w:p>
  </w:footnote>
  <w:footnote w:type="continuationSeparator" w:id="0">
    <w:p w:rsidR="00CD3D58" w:rsidRDefault="00CD3D58" w:rsidP="00F45372">
      <w:r>
        <w:separator/>
      </w:r>
    </w:p>
  </w:footnote>
  <w:footnote w:type="continuationNotice" w:id="1">
    <w:p w:rsidR="00CD3D58" w:rsidRPr="00905020" w:rsidRDefault="00CD3D58" w:rsidP="0090502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D58" w:rsidRPr="00C5280D" w:rsidRDefault="007703AE" w:rsidP="00EB048E">
    <w:pPr>
      <w:pStyle w:val="Header"/>
      <w:rPr>
        <w:rStyle w:val="PageNumber"/>
        <w:lang w:val="en-US"/>
      </w:rPr>
    </w:pPr>
    <w:r>
      <w:rPr>
        <w:rStyle w:val="PageNumber"/>
        <w:lang w:val="en-US"/>
      </w:rPr>
      <w:t>TC/52/29 Rev.</w:t>
    </w:r>
  </w:p>
  <w:p w:rsidR="00CD3D58" w:rsidRPr="00C5280D" w:rsidRDefault="00CD3D58" w:rsidP="00EB048E">
    <w:pPr>
      <w:pStyle w:val="Header"/>
      <w:rPr>
        <w:lang w:val="en-US"/>
      </w:rPr>
    </w:pPr>
    <w:proofErr w:type="spellStart"/>
    <w:proofErr w:type="gramStart"/>
    <w:r>
      <w:rPr>
        <w:lang w:val="en-US"/>
      </w:rPr>
      <w:t>página</w:t>
    </w:r>
    <w:proofErr w:type="spellEnd"/>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41842">
      <w:rPr>
        <w:rStyle w:val="PageNumber"/>
        <w:noProof/>
        <w:lang w:val="en-US"/>
      </w:rPr>
      <w:t>30</w:t>
    </w:r>
    <w:r w:rsidRPr="00C5280D">
      <w:rPr>
        <w:rStyle w:val="PageNumber"/>
        <w:lang w:val="en-US"/>
      </w:rPr>
      <w:fldChar w:fldCharType="end"/>
    </w:r>
  </w:p>
  <w:p w:rsidR="00CD3D58" w:rsidRPr="00C5280D" w:rsidRDefault="00CD3D58" w:rsidP="00E658B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D58" w:rsidRPr="001C7017" w:rsidRDefault="007703AE" w:rsidP="00EB048E">
    <w:pPr>
      <w:pStyle w:val="Header"/>
      <w:rPr>
        <w:rStyle w:val="PageNumber"/>
        <w:lang w:val="pt-BR"/>
      </w:rPr>
    </w:pPr>
    <w:r>
      <w:rPr>
        <w:rStyle w:val="PageNumber"/>
        <w:lang w:val="pt-BR"/>
      </w:rPr>
      <w:t>TC/52/29 Rev.</w:t>
    </w:r>
  </w:p>
  <w:p w:rsidR="00CD3D58" w:rsidRPr="001C7017" w:rsidRDefault="00CD3D58" w:rsidP="00E658B6">
    <w:pPr>
      <w:pStyle w:val="Header"/>
      <w:rPr>
        <w:lang w:val="pt-BR"/>
      </w:rPr>
    </w:pPr>
    <w:r w:rsidRPr="0032029D">
      <w:rPr>
        <w:lang w:val="pt-BR"/>
      </w:rPr>
      <w:t>Annex I / Annexe I / Anlage I / Anexo I</w:t>
    </w:r>
    <w:r w:rsidRPr="0032029D">
      <w:rPr>
        <w:lang w:val="pt-BR"/>
      </w:rPr>
      <w:br/>
    </w:r>
    <w:r w:rsidRPr="001C7017">
      <w:rPr>
        <w:lang w:val="pt-BR"/>
      </w:rPr>
      <w:t xml:space="preserve">page </w:t>
    </w:r>
    <w:r w:rsidRPr="003F5638">
      <w:rPr>
        <w:lang w:val="en-US"/>
      </w:rPr>
      <w:fldChar w:fldCharType="begin"/>
    </w:r>
    <w:r w:rsidRPr="001C7017">
      <w:rPr>
        <w:lang w:val="pt-BR"/>
      </w:rPr>
      <w:instrText xml:space="preserve"> PAGE   \* MERGEFORMAT </w:instrText>
    </w:r>
    <w:r w:rsidRPr="003F5638">
      <w:rPr>
        <w:lang w:val="en-US"/>
      </w:rPr>
      <w:fldChar w:fldCharType="separate"/>
    </w:r>
    <w:r w:rsidR="00041842">
      <w:rPr>
        <w:noProof/>
        <w:lang w:val="pt-BR"/>
      </w:rPr>
      <w:t>7</w:t>
    </w:r>
    <w:r w:rsidRPr="003F5638">
      <w:rPr>
        <w:noProof/>
        <w:lang w:val="en-US"/>
      </w:rPr>
      <w:fldChar w:fldCharType="end"/>
    </w:r>
    <w:r w:rsidRPr="001C7017">
      <w:rPr>
        <w:lang w:val="pt-BR"/>
      </w:rPr>
      <w:t xml:space="preserve"> / Seite </w:t>
    </w:r>
    <w:r w:rsidRPr="003F5638">
      <w:rPr>
        <w:lang w:val="en-US"/>
      </w:rPr>
      <w:fldChar w:fldCharType="begin"/>
    </w:r>
    <w:r w:rsidRPr="001C7017">
      <w:rPr>
        <w:lang w:val="pt-BR"/>
      </w:rPr>
      <w:instrText xml:space="preserve"> PAGE   \* MERGEFORMAT </w:instrText>
    </w:r>
    <w:r w:rsidRPr="003F5638">
      <w:rPr>
        <w:lang w:val="en-US"/>
      </w:rPr>
      <w:fldChar w:fldCharType="separate"/>
    </w:r>
    <w:r w:rsidR="00041842">
      <w:rPr>
        <w:noProof/>
        <w:lang w:val="pt-BR"/>
      </w:rPr>
      <w:t>7</w:t>
    </w:r>
    <w:r w:rsidRPr="003F5638">
      <w:rPr>
        <w:noProof/>
        <w:lang w:val="en-US"/>
      </w:rPr>
      <w:fldChar w:fldCharType="end"/>
    </w:r>
    <w:r w:rsidRPr="001C7017">
      <w:rPr>
        <w:lang w:val="pt-BR"/>
      </w:rPr>
      <w:t xml:space="preserve"> / página </w:t>
    </w:r>
    <w:r w:rsidRPr="003F5638">
      <w:rPr>
        <w:lang w:val="en-US"/>
      </w:rPr>
      <w:fldChar w:fldCharType="begin"/>
    </w:r>
    <w:r w:rsidRPr="001C7017">
      <w:rPr>
        <w:lang w:val="pt-BR"/>
      </w:rPr>
      <w:instrText xml:space="preserve"> PAGE   \* MERGEFORMAT </w:instrText>
    </w:r>
    <w:r w:rsidRPr="003F5638">
      <w:rPr>
        <w:lang w:val="en-US"/>
      </w:rPr>
      <w:fldChar w:fldCharType="separate"/>
    </w:r>
    <w:r w:rsidR="00041842">
      <w:rPr>
        <w:noProof/>
        <w:lang w:val="pt-BR"/>
      </w:rPr>
      <w:t>7</w:t>
    </w:r>
    <w:r w:rsidRPr="003F5638">
      <w:rPr>
        <w:noProof/>
        <w:lang w:val="en-US"/>
      </w:rPr>
      <w:fldChar w:fldCharType="end"/>
    </w:r>
  </w:p>
  <w:p w:rsidR="00CD3D58" w:rsidRPr="001C7017" w:rsidRDefault="00CD3D58" w:rsidP="00E658B6">
    <w:pPr>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D58" w:rsidRPr="005A7A0C" w:rsidRDefault="007703AE" w:rsidP="00E658B6">
    <w:pPr>
      <w:pStyle w:val="Header"/>
      <w:rPr>
        <w:lang w:val="en-US"/>
      </w:rPr>
    </w:pPr>
    <w:r>
      <w:rPr>
        <w:lang w:val="en-US"/>
      </w:rPr>
      <w:t>TC/52/29 Rev.</w:t>
    </w:r>
  </w:p>
  <w:p w:rsidR="00CD3D58" w:rsidRPr="005A7A0C" w:rsidRDefault="00CD3D58" w:rsidP="005253AC">
    <w:pPr>
      <w:pStyle w:val="Header"/>
      <w:rPr>
        <w:lang w:val="en-US"/>
      </w:rPr>
    </w:pPr>
    <w:proofErr w:type="spellStart"/>
    <w:r>
      <w:rPr>
        <w:lang w:val="en-US"/>
      </w:rPr>
      <w:t>An</w:t>
    </w:r>
    <w:r w:rsidRPr="005A7A0C">
      <w:rPr>
        <w:lang w:val="en-US"/>
      </w:rPr>
      <w:t>ex</w:t>
    </w:r>
    <w:r>
      <w:rPr>
        <w:lang w:val="en-US"/>
      </w:rPr>
      <w:t>o</w:t>
    </w:r>
    <w:proofErr w:type="spellEnd"/>
    <w:r w:rsidRPr="005A7A0C">
      <w:rPr>
        <w:lang w:val="en-US"/>
      </w:rPr>
      <w:t xml:space="preserve"> II, </w:t>
    </w:r>
    <w:proofErr w:type="spellStart"/>
    <w:r w:rsidRPr="005A7A0C">
      <w:rPr>
        <w:lang w:val="en-US"/>
      </w:rPr>
      <w:t>p</w:t>
    </w:r>
    <w:r>
      <w:rPr>
        <w:lang w:val="en-US"/>
      </w:rPr>
      <w:t>ágina</w:t>
    </w:r>
    <w:proofErr w:type="spellEnd"/>
    <w:r>
      <w:rPr>
        <w:lang w:val="en-US"/>
      </w:rPr>
      <w:t xml:space="preserve"> </w:t>
    </w:r>
    <w:r w:rsidRPr="005A7A0C">
      <w:rPr>
        <w:lang w:val="en-US"/>
      </w:rPr>
      <w:fldChar w:fldCharType="begin"/>
    </w:r>
    <w:r w:rsidRPr="005A7A0C">
      <w:rPr>
        <w:lang w:val="en-US"/>
      </w:rPr>
      <w:instrText xml:space="preserve"> PAGE   \* MERGEFORMAT </w:instrText>
    </w:r>
    <w:r w:rsidRPr="005A7A0C">
      <w:rPr>
        <w:lang w:val="en-US"/>
      </w:rPr>
      <w:fldChar w:fldCharType="separate"/>
    </w:r>
    <w:r w:rsidR="00041842">
      <w:rPr>
        <w:noProof/>
        <w:lang w:val="en-US"/>
      </w:rPr>
      <w:t>2</w:t>
    </w:r>
    <w:r w:rsidRPr="005A7A0C">
      <w:rPr>
        <w:noProof/>
        <w:lang w:val="en-US"/>
      </w:rPr>
      <w:fldChar w:fldCharType="end"/>
    </w:r>
  </w:p>
  <w:p w:rsidR="00CD3D58" w:rsidRPr="005A7A0C" w:rsidRDefault="00CD3D58">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D58" w:rsidRPr="005253AC" w:rsidRDefault="007703AE" w:rsidP="00E658B6">
    <w:pPr>
      <w:pStyle w:val="Header"/>
      <w:rPr>
        <w:lang w:val="es-ES"/>
      </w:rPr>
    </w:pPr>
    <w:r>
      <w:rPr>
        <w:lang w:val="es-ES"/>
      </w:rPr>
      <w:t>TC/52/29 Rev.</w:t>
    </w:r>
  </w:p>
  <w:p w:rsidR="00CD3D58" w:rsidRPr="005253AC" w:rsidRDefault="00CD3D58" w:rsidP="00E658B6">
    <w:pPr>
      <w:pStyle w:val="Header"/>
      <w:rPr>
        <w:lang w:val="es-ES"/>
      </w:rPr>
    </w:pPr>
  </w:p>
  <w:p w:rsidR="00CD3D58" w:rsidRPr="005253AC" w:rsidRDefault="00CD3D58" w:rsidP="00E658B6">
    <w:pPr>
      <w:pStyle w:val="Header"/>
      <w:rPr>
        <w:lang w:val="es-ES"/>
      </w:rPr>
    </w:pPr>
    <w:r w:rsidRPr="005253AC">
      <w:rPr>
        <w:lang w:val="es-ES"/>
      </w:rPr>
      <w:t>ANEXO II</w:t>
    </w:r>
  </w:p>
  <w:p w:rsidR="00CD3D58" w:rsidRPr="005253AC" w:rsidRDefault="00CD3D58">
    <w:pPr>
      <w:pStyle w:val="Header"/>
      <w:rPr>
        <w:lang w:val="es-E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D58" w:rsidRPr="005253AC" w:rsidRDefault="007703AE" w:rsidP="005253AC">
    <w:pPr>
      <w:pStyle w:val="Header"/>
      <w:rPr>
        <w:rStyle w:val="PageNumber"/>
        <w:lang w:val="es-ES"/>
      </w:rPr>
    </w:pPr>
    <w:r>
      <w:rPr>
        <w:rStyle w:val="PageNumber"/>
        <w:lang w:val="es-ES"/>
      </w:rPr>
      <w:t>TC/52/29 Rev.</w:t>
    </w:r>
  </w:p>
  <w:p w:rsidR="00CD3D58" w:rsidRPr="005253AC" w:rsidRDefault="00CD3D58" w:rsidP="005253AC">
    <w:pPr>
      <w:pStyle w:val="Header"/>
      <w:rPr>
        <w:lang w:val="es-ES"/>
      </w:rPr>
    </w:pPr>
    <w:r w:rsidRPr="005253AC">
      <w:rPr>
        <w:lang w:val="es-ES"/>
      </w:rPr>
      <w:t xml:space="preserve">Anexo II, página </w:t>
    </w:r>
    <w:r w:rsidRPr="005253AC">
      <w:rPr>
        <w:lang w:val="es-ES"/>
      </w:rPr>
      <w:fldChar w:fldCharType="begin"/>
    </w:r>
    <w:r w:rsidRPr="005253AC">
      <w:rPr>
        <w:lang w:val="es-ES"/>
      </w:rPr>
      <w:instrText xml:space="preserve"> PAGE   \* MERGEFORMAT </w:instrText>
    </w:r>
    <w:r w:rsidRPr="005253AC">
      <w:rPr>
        <w:lang w:val="es-ES"/>
      </w:rPr>
      <w:fldChar w:fldCharType="separate"/>
    </w:r>
    <w:r w:rsidR="00041842">
      <w:rPr>
        <w:noProof/>
        <w:lang w:val="es-ES"/>
      </w:rPr>
      <w:t>11</w:t>
    </w:r>
    <w:r w:rsidRPr="005253AC">
      <w:rPr>
        <w:noProof/>
        <w:lang w:val="es-ES"/>
      </w:rPr>
      <w:fldChar w:fldCharType="end"/>
    </w:r>
  </w:p>
  <w:p w:rsidR="00CD3D58" w:rsidRPr="005253AC" w:rsidRDefault="00CD3D58" w:rsidP="005253AC">
    <w:pPr>
      <w:jc w:val="center"/>
      <w:rPr>
        <w:lang w:val="es-E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D58" w:rsidRDefault="007703AE" w:rsidP="00E658B6">
    <w:pPr>
      <w:pStyle w:val="Header"/>
      <w:rPr>
        <w:lang w:val="fr-CH"/>
      </w:rPr>
    </w:pPr>
    <w:r>
      <w:rPr>
        <w:lang w:val="fr-CH"/>
      </w:rPr>
      <w:t xml:space="preserve">TC/52/29 </w:t>
    </w:r>
    <w:proofErr w:type="spellStart"/>
    <w:r>
      <w:rPr>
        <w:lang w:val="fr-CH"/>
      </w:rPr>
      <w:t>Rev</w:t>
    </w:r>
    <w:proofErr w:type="spellEnd"/>
    <w:r>
      <w:rPr>
        <w:lang w:val="fr-CH"/>
      </w:rPr>
      <w:t>.</w:t>
    </w:r>
  </w:p>
  <w:p w:rsidR="00CD3D58" w:rsidRPr="005A7A0C" w:rsidRDefault="00CD3D58" w:rsidP="005253AC">
    <w:pPr>
      <w:pStyle w:val="Header"/>
      <w:rPr>
        <w:lang w:val="en-US"/>
      </w:rPr>
    </w:pPr>
    <w:proofErr w:type="spellStart"/>
    <w:r>
      <w:rPr>
        <w:lang w:val="en-US"/>
      </w:rPr>
      <w:t>An</w:t>
    </w:r>
    <w:r w:rsidRPr="005A7A0C">
      <w:rPr>
        <w:lang w:val="en-US"/>
      </w:rPr>
      <w:t>ex</w:t>
    </w:r>
    <w:r>
      <w:rPr>
        <w:lang w:val="en-US"/>
      </w:rPr>
      <w:t>o</w:t>
    </w:r>
    <w:proofErr w:type="spellEnd"/>
    <w:r w:rsidRPr="005A7A0C">
      <w:rPr>
        <w:lang w:val="en-US"/>
      </w:rPr>
      <w:t xml:space="preserve"> II, </w:t>
    </w:r>
    <w:proofErr w:type="spellStart"/>
    <w:r w:rsidRPr="005A7A0C">
      <w:rPr>
        <w:lang w:val="en-US"/>
      </w:rPr>
      <w:t>p</w:t>
    </w:r>
    <w:r>
      <w:rPr>
        <w:lang w:val="en-US"/>
      </w:rPr>
      <w:t>ágina</w:t>
    </w:r>
    <w:proofErr w:type="spellEnd"/>
    <w:r>
      <w:rPr>
        <w:lang w:val="en-US"/>
      </w:rPr>
      <w:t xml:space="preserve"> </w:t>
    </w:r>
    <w:r w:rsidRPr="005A7A0C">
      <w:rPr>
        <w:lang w:val="en-US"/>
      </w:rPr>
      <w:fldChar w:fldCharType="begin"/>
    </w:r>
    <w:r w:rsidRPr="005A7A0C">
      <w:rPr>
        <w:lang w:val="en-US"/>
      </w:rPr>
      <w:instrText xml:space="preserve"> PAGE   \* MERGEFORMAT </w:instrText>
    </w:r>
    <w:r w:rsidRPr="005A7A0C">
      <w:rPr>
        <w:lang w:val="en-US"/>
      </w:rPr>
      <w:fldChar w:fldCharType="separate"/>
    </w:r>
    <w:r w:rsidR="00041842">
      <w:rPr>
        <w:noProof/>
        <w:lang w:val="en-US"/>
      </w:rPr>
      <w:t>3</w:t>
    </w:r>
    <w:r w:rsidRPr="005A7A0C">
      <w:rPr>
        <w:noProof/>
        <w:lang w:val="en-US"/>
      </w:rPr>
      <w:fldChar w:fldCharType="end"/>
    </w:r>
  </w:p>
  <w:p w:rsidR="00CD3D58" w:rsidRDefault="00CD3D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80494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B74AEB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03AB2B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01876A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6D851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A4E08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27455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0AAFF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4483E5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184C596"/>
    <w:lvl w:ilvl="0">
      <w:start w:val="1"/>
      <w:numFmt w:val="bullet"/>
      <w:lvlText w:val=""/>
      <w:lvlJc w:val="left"/>
      <w:pPr>
        <w:tabs>
          <w:tab w:val="num" w:pos="360"/>
        </w:tabs>
        <w:ind w:left="360" w:hanging="360"/>
      </w:pPr>
      <w:rPr>
        <w:rFonts w:ascii="Symbol" w:hAnsi="Symbol" w:hint="default"/>
      </w:rPr>
    </w:lvl>
  </w:abstractNum>
  <w:abstractNum w:abstractNumId="10">
    <w:nsid w:val="0AAE6E24"/>
    <w:multiLevelType w:val="hybridMultilevel"/>
    <w:tmpl w:val="7EC85364"/>
    <w:lvl w:ilvl="0" w:tplc="8AFE977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FB4888"/>
    <w:multiLevelType w:val="hybridMultilevel"/>
    <w:tmpl w:val="BCD4A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21137D"/>
    <w:multiLevelType w:val="hybridMultilevel"/>
    <w:tmpl w:val="C3F2ADC4"/>
    <w:lvl w:ilvl="0" w:tplc="8B5CD19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7404A9"/>
    <w:multiLevelType w:val="hybridMultilevel"/>
    <w:tmpl w:val="4C6C24DC"/>
    <w:lvl w:ilvl="0" w:tplc="20C0E7D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nsid w:val="18152454"/>
    <w:multiLevelType w:val="hybridMultilevel"/>
    <w:tmpl w:val="A57AB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3D1B75"/>
    <w:multiLevelType w:val="hybridMultilevel"/>
    <w:tmpl w:val="D654F4B6"/>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1E7348E7"/>
    <w:multiLevelType w:val="hybridMultilevel"/>
    <w:tmpl w:val="03B0D01C"/>
    <w:lvl w:ilvl="0" w:tplc="604A7942">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0092B0F"/>
    <w:multiLevelType w:val="hybridMultilevel"/>
    <w:tmpl w:val="62969500"/>
    <w:lvl w:ilvl="0" w:tplc="0409000F">
      <w:start w:val="1"/>
      <w:numFmt w:val="decimal"/>
      <w:lvlText w:val="%1."/>
      <w:lvlJc w:val="left"/>
      <w:pPr>
        <w:ind w:left="106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nsid w:val="21405F5D"/>
    <w:multiLevelType w:val="hybridMultilevel"/>
    <w:tmpl w:val="8E6658C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E13B2C"/>
    <w:multiLevelType w:val="hybridMultilevel"/>
    <w:tmpl w:val="349C9EB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152A2F"/>
    <w:multiLevelType w:val="singleLevel"/>
    <w:tmpl w:val="04090019"/>
    <w:lvl w:ilvl="0">
      <w:start w:val="1"/>
      <w:numFmt w:val="lowerLetter"/>
      <w:lvlText w:val="(%1)"/>
      <w:lvlJc w:val="left"/>
      <w:pPr>
        <w:tabs>
          <w:tab w:val="num" w:pos="360"/>
        </w:tabs>
        <w:ind w:left="360" w:hanging="360"/>
      </w:pPr>
    </w:lvl>
  </w:abstractNum>
  <w:abstractNum w:abstractNumId="21">
    <w:nsid w:val="2CC07DC8"/>
    <w:multiLevelType w:val="hybridMultilevel"/>
    <w:tmpl w:val="F36E64D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6E3A1E"/>
    <w:multiLevelType w:val="hybridMultilevel"/>
    <w:tmpl w:val="A402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61408B"/>
    <w:multiLevelType w:val="hybridMultilevel"/>
    <w:tmpl w:val="DF6CACF0"/>
    <w:lvl w:ilvl="0" w:tplc="0809000F">
      <w:start w:val="1"/>
      <w:numFmt w:val="decimal"/>
      <w:lvlText w:val="%1."/>
      <w:lvlJc w:val="left"/>
      <w:pPr>
        <w:ind w:left="360" w:hanging="360"/>
      </w:pPr>
    </w:lvl>
    <w:lvl w:ilvl="1" w:tplc="04090017">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334A4B92"/>
    <w:multiLevelType w:val="singleLevel"/>
    <w:tmpl w:val="0409000F"/>
    <w:lvl w:ilvl="0">
      <w:start w:val="1"/>
      <w:numFmt w:val="decimal"/>
      <w:lvlText w:val="%1."/>
      <w:lvlJc w:val="left"/>
      <w:pPr>
        <w:tabs>
          <w:tab w:val="num" w:pos="360"/>
        </w:tabs>
        <w:ind w:left="360" w:hanging="360"/>
      </w:pPr>
    </w:lvl>
  </w:abstractNum>
  <w:abstractNum w:abstractNumId="25">
    <w:nsid w:val="35FE117F"/>
    <w:multiLevelType w:val="hybridMultilevel"/>
    <w:tmpl w:val="EA7E6684"/>
    <w:lvl w:ilvl="0" w:tplc="0C0A0017">
      <w:start w:val="1"/>
      <w:numFmt w:val="lowerLetter"/>
      <w:lvlText w:val="%1)"/>
      <w:lvlJc w:val="left"/>
      <w:pPr>
        <w:ind w:left="1494" w:hanging="360"/>
      </w:p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6">
    <w:nsid w:val="3C4B4723"/>
    <w:multiLevelType w:val="hybridMultilevel"/>
    <w:tmpl w:val="B6B01DEA"/>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7">
    <w:nsid w:val="3E354B4B"/>
    <w:multiLevelType w:val="multilevel"/>
    <w:tmpl w:val="60F068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EAF00DD"/>
    <w:multiLevelType w:val="hybridMultilevel"/>
    <w:tmpl w:val="C0169D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5B2AF2"/>
    <w:multiLevelType w:val="hybridMultilevel"/>
    <w:tmpl w:val="79AE6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075894"/>
    <w:multiLevelType w:val="hybridMultilevel"/>
    <w:tmpl w:val="FDCABA6A"/>
    <w:lvl w:ilvl="0" w:tplc="04090001">
      <w:start w:val="1"/>
      <w:numFmt w:val="bullet"/>
      <w:lvlText w:val=""/>
      <w:lvlJc w:val="left"/>
      <w:pPr>
        <w:ind w:left="1853" w:hanging="360"/>
      </w:pPr>
      <w:rPr>
        <w:rFonts w:ascii="Symbol" w:hAnsi="Symbol" w:hint="default"/>
      </w:rPr>
    </w:lvl>
    <w:lvl w:ilvl="1" w:tplc="04090003" w:tentative="1">
      <w:start w:val="1"/>
      <w:numFmt w:val="bullet"/>
      <w:lvlText w:val="o"/>
      <w:lvlJc w:val="left"/>
      <w:pPr>
        <w:ind w:left="2573" w:hanging="360"/>
      </w:pPr>
      <w:rPr>
        <w:rFonts w:ascii="Courier New" w:hAnsi="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31">
    <w:nsid w:val="46E62735"/>
    <w:multiLevelType w:val="hybridMultilevel"/>
    <w:tmpl w:val="0854D8B0"/>
    <w:lvl w:ilvl="0" w:tplc="D124CC2A">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4C743694"/>
    <w:multiLevelType w:val="hybridMultilevel"/>
    <w:tmpl w:val="4D74D27A"/>
    <w:lvl w:ilvl="0" w:tplc="B2387A04">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4E777821"/>
    <w:multiLevelType w:val="hybridMultilevel"/>
    <w:tmpl w:val="44A6EB50"/>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nsid w:val="55C769DC"/>
    <w:multiLevelType w:val="hybridMultilevel"/>
    <w:tmpl w:val="3CD628DA"/>
    <w:lvl w:ilvl="0" w:tplc="290E460A">
      <w:start w:val="8"/>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nsid w:val="576E5080"/>
    <w:multiLevelType w:val="hybridMultilevel"/>
    <w:tmpl w:val="10BEA48C"/>
    <w:lvl w:ilvl="0" w:tplc="0C0A0017">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FC31741"/>
    <w:multiLevelType w:val="hybridMultilevel"/>
    <w:tmpl w:val="0A92BE7A"/>
    <w:lvl w:ilvl="0" w:tplc="92AA238C">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nsid w:val="6A823DC3"/>
    <w:multiLevelType w:val="hybridMultilevel"/>
    <w:tmpl w:val="764258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8">
    <w:nsid w:val="6CE974C8"/>
    <w:multiLevelType w:val="hybridMultilevel"/>
    <w:tmpl w:val="1168130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7368B3"/>
    <w:multiLevelType w:val="hybridMultilevel"/>
    <w:tmpl w:val="EBFE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DB60EA"/>
    <w:multiLevelType w:val="hybridMultilevel"/>
    <w:tmpl w:val="45289DBA"/>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1">
    <w:nsid w:val="7A77042D"/>
    <w:multiLevelType w:val="hybridMultilevel"/>
    <w:tmpl w:val="C6A8A29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2">
    <w:nsid w:val="7AD51284"/>
    <w:multiLevelType w:val="hybridMultilevel"/>
    <w:tmpl w:val="E94EF58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8D04CB"/>
    <w:multiLevelType w:val="hybridMultilevel"/>
    <w:tmpl w:val="FC32B2D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26"/>
  </w:num>
  <w:num w:numId="13">
    <w:abstractNumId w:val="41"/>
  </w:num>
  <w:num w:numId="14">
    <w:abstractNumId w:val="40"/>
  </w:num>
  <w:num w:numId="15">
    <w:abstractNumId w:val="44"/>
  </w:num>
  <w:num w:numId="16">
    <w:abstractNumId w:val="39"/>
  </w:num>
  <w:num w:numId="17">
    <w:abstractNumId w:val="30"/>
  </w:num>
  <w:num w:numId="18">
    <w:abstractNumId w:val="23"/>
  </w:num>
  <w:num w:numId="19">
    <w:abstractNumId w:val="21"/>
  </w:num>
  <w:num w:numId="20">
    <w:abstractNumId w:val="38"/>
  </w:num>
  <w:num w:numId="21">
    <w:abstractNumId w:val="10"/>
  </w:num>
  <w:num w:numId="22">
    <w:abstractNumId w:val="19"/>
  </w:num>
  <w:num w:numId="23">
    <w:abstractNumId w:val="18"/>
  </w:num>
  <w:num w:numId="24">
    <w:abstractNumId w:val="24"/>
  </w:num>
  <w:num w:numId="25">
    <w:abstractNumId w:val="20"/>
  </w:num>
  <w:num w:numId="26">
    <w:abstractNumId w:val="29"/>
  </w:num>
  <w:num w:numId="27">
    <w:abstractNumId w:val="22"/>
  </w:num>
  <w:num w:numId="28">
    <w:abstractNumId w:val="28"/>
  </w:num>
  <w:num w:numId="29">
    <w:abstractNumId w:val="43"/>
  </w:num>
  <w:num w:numId="30">
    <w:abstractNumId w:val="15"/>
  </w:num>
  <w:num w:numId="31">
    <w:abstractNumId w:val="33"/>
  </w:num>
  <w:num w:numId="32">
    <w:abstractNumId w:val="42"/>
  </w:num>
  <w:num w:numId="33">
    <w:abstractNumId w:val="13"/>
  </w:num>
  <w:num w:numId="34">
    <w:abstractNumId w:val="36"/>
  </w:num>
  <w:num w:numId="35">
    <w:abstractNumId w:val="34"/>
  </w:num>
  <w:num w:numId="36">
    <w:abstractNumId w:val="11"/>
  </w:num>
  <w:num w:numId="37">
    <w:abstractNumId w:val="31"/>
  </w:num>
  <w:num w:numId="38">
    <w:abstractNumId w:val="17"/>
  </w:num>
  <w:num w:numId="39">
    <w:abstractNumId w:val="14"/>
  </w:num>
  <w:num w:numId="40">
    <w:abstractNumId w:val="32"/>
  </w:num>
  <w:num w:numId="41">
    <w:abstractNumId w:val="12"/>
  </w:num>
  <w:num w:numId="42">
    <w:abstractNumId w:val="27"/>
  </w:num>
  <w:num w:numId="43">
    <w:abstractNumId w:val="25"/>
  </w:num>
  <w:num w:numId="44">
    <w:abstractNumId w:val="35"/>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s>
  <w:rsids>
    <w:rsidRoot w:val="00537A08"/>
    <w:rsid w:val="00006E9C"/>
    <w:rsid w:val="00010CF3"/>
    <w:rsid w:val="00011E27"/>
    <w:rsid w:val="000148BC"/>
    <w:rsid w:val="00014A89"/>
    <w:rsid w:val="000171B9"/>
    <w:rsid w:val="0002402E"/>
    <w:rsid w:val="00024AB8"/>
    <w:rsid w:val="00030854"/>
    <w:rsid w:val="000351B7"/>
    <w:rsid w:val="0003601D"/>
    <w:rsid w:val="00036028"/>
    <w:rsid w:val="00037793"/>
    <w:rsid w:val="00041842"/>
    <w:rsid w:val="00042914"/>
    <w:rsid w:val="00044642"/>
    <w:rsid w:val="000446B9"/>
    <w:rsid w:val="00045C19"/>
    <w:rsid w:val="00047E21"/>
    <w:rsid w:val="000564D5"/>
    <w:rsid w:val="00057137"/>
    <w:rsid w:val="00060A49"/>
    <w:rsid w:val="0007062B"/>
    <w:rsid w:val="00080960"/>
    <w:rsid w:val="00080E6D"/>
    <w:rsid w:val="00085505"/>
    <w:rsid w:val="00092282"/>
    <w:rsid w:val="000A1BB1"/>
    <w:rsid w:val="000A7687"/>
    <w:rsid w:val="000B5F70"/>
    <w:rsid w:val="000B6D9A"/>
    <w:rsid w:val="000C7021"/>
    <w:rsid w:val="000D1DB9"/>
    <w:rsid w:val="000D5690"/>
    <w:rsid w:val="000D6BBC"/>
    <w:rsid w:val="000D7780"/>
    <w:rsid w:val="000E3795"/>
    <w:rsid w:val="000E38AC"/>
    <w:rsid w:val="000E67FE"/>
    <w:rsid w:val="000E708D"/>
    <w:rsid w:val="000F2E72"/>
    <w:rsid w:val="000F5E25"/>
    <w:rsid w:val="00104C49"/>
    <w:rsid w:val="00105929"/>
    <w:rsid w:val="001131D5"/>
    <w:rsid w:val="00141DB8"/>
    <w:rsid w:val="001479AA"/>
    <w:rsid w:val="00147B82"/>
    <w:rsid w:val="001578FE"/>
    <w:rsid w:val="0017474A"/>
    <w:rsid w:val="001758C6"/>
    <w:rsid w:val="00184D5D"/>
    <w:rsid w:val="00191634"/>
    <w:rsid w:val="00192AEB"/>
    <w:rsid w:val="001A0C93"/>
    <w:rsid w:val="001A1D55"/>
    <w:rsid w:val="001A2DF5"/>
    <w:rsid w:val="001A6D50"/>
    <w:rsid w:val="001A6DD1"/>
    <w:rsid w:val="001C7942"/>
    <w:rsid w:val="001D1934"/>
    <w:rsid w:val="001D301F"/>
    <w:rsid w:val="001D4930"/>
    <w:rsid w:val="001E450C"/>
    <w:rsid w:val="001F043C"/>
    <w:rsid w:val="002041AF"/>
    <w:rsid w:val="0021332C"/>
    <w:rsid w:val="00213982"/>
    <w:rsid w:val="00221250"/>
    <w:rsid w:val="00230766"/>
    <w:rsid w:val="00232381"/>
    <w:rsid w:val="00235267"/>
    <w:rsid w:val="0024416D"/>
    <w:rsid w:val="00252084"/>
    <w:rsid w:val="00252BBB"/>
    <w:rsid w:val="00266E18"/>
    <w:rsid w:val="002800A0"/>
    <w:rsid w:val="002801B3"/>
    <w:rsid w:val="00281060"/>
    <w:rsid w:val="002832EA"/>
    <w:rsid w:val="00283919"/>
    <w:rsid w:val="00286B92"/>
    <w:rsid w:val="002940E8"/>
    <w:rsid w:val="002A455A"/>
    <w:rsid w:val="002A5069"/>
    <w:rsid w:val="002A56DD"/>
    <w:rsid w:val="002A6E50"/>
    <w:rsid w:val="002A73F4"/>
    <w:rsid w:val="002B58D9"/>
    <w:rsid w:val="002B5E69"/>
    <w:rsid w:val="002B6551"/>
    <w:rsid w:val="002C021A"/>
    <w:rsid w:val="002C256A"/>
    <w:rsid w:val="002C41D2"/>
    <w:rsid w:val="002D7BEB"/>
    <w:rsid w:val="002E1EA2"/>
    <w:rsid w:val="002F0371"/>
    <w:rsid w:val="002F6105"/>
    <w:rsid w:val="002F7D51"/>
    <w:rsid w:val="003012D9"/>
    <w:rsid w:val="00305A7F"/>
    <w:rsid w:val="0031031B"/>
    <w:rsid w:val="003152FE"/>
    <w:rsid w:val="00315595"/>
    <w:rsid w:val="00320AE8"/>
    <w:rsid w:val="00325544"/>
    <w:rsid w:val="00327436"/>
    <w:rsid w:val="00344BD6"/>
    <w:rsid w:val="00344DD2"/>
    <w:rsid w:val="00346AA9"/>
    <w:rsid w:val="003475E5"/>
    <w:rsid w:val="00347D02"/>
    <w:rsid w:val="0035339C"/>
    <w:rsid w:val="0035528D"/>
    <w:rsid w:val="00355983"/>
    <w:rsid w:val="00355A0B"/>
    <w:rsid w:val="00361821"/>
    <w:rsid w:val="00364BA2"/>
    <w:rsid w:val="003656AA"/>
    <w:rsid w:val="00366D8A"/>
    <w:rsid w:val="00370631"/>
    <w:rsid w:val="00377903"/>
    <w:rsid w:val="003831FF"/>
    <w:rsid w:val="003A2829"/>
    <w:rsid w:val="003A68EA"/>
    <w:rsid w:val="003A7494"/>
    <w:rsid w:val="003B07B7"/>
    <w:rsid w:val="003B70C7"/>
    <w:rsid w:val="003C148A"/>
    <w:rsid w:val="003C66E2"/>
    <w:rsid w:val="003D1DB9"/>
    <w:rsid w:val="003D227C"/>
    <w:rsid w:val="003D2B4D"/>
    <w:rsid w:val="003D556B"/>
    <w:rsid w:val="003D7E71"/>
    <w:rsid w:val="003E2EF9"/>
    <w:rsid w:val="003E4B12"/>
    <w:rsid w:val="003E6509"/>
    <w:rsid w:val="003F2239"/>
    <w:rsid w:val="00405130"/>
    <w:rsid w:val="004065C9"/>
    <w:rsid w:val="00413CEA"/>
    <w:rsid w:val="00422A5C"/>
    <w:rsid w:val="004317B9"/>
    <w:rsid w:val="00435453"/>
    <w:rsid w:val="00444A88"/>
    <w:rsid w:val="004472F6"/>
    <w:rsid w:val="0045429A"/>
    <w:rsid w:val="00455B0D"/>
    <w:rsid w:val="004570E5"/>
    <w:rsid w:val="004673EC"/>
    <w:rsid w:val="0047214B"/>
    <w:rsid w:val="004734F3"/>
    <w:rsid w:val="00474DA4"/>
    <w:rsid w:val="004803BD"/>
    <w:rsid w:val="00481B03"/>
    <w:rsid w:val="0049182F"/>
    <w:rsid w:val="004A5222"/>
    <w:rsid w:val="004A6F86"/>
    <w:rsid w:val="004C15D7"/>
    <w:rsid w:val="004D047D"/>
    <w:rsid w:val="004F011A"/>
    <w:rsid w:val="004F1D89"/>
    <w:rsid w:val="004F305A"/>
    <w:rsid w:val="0050267E"/>
    <w:rsid w:val="00503EC2"/>
    <w:rsid w:val="00510F68"/>
    <w:rsid w:val="00511133"/>
    <w:rsid w:val="00512164"/>
    <w:rsid w:val="00520297"/>
    <w:rsid w:val="00520928"/>
    <w:rsid w:val="00522AA3"/>
    <w:rsid w:val="00524DA8"/>
    <w:rsid w:val="005253AC"/>
    <w:rsid w:val="005257E9"/>
    <w:rsid w:val="005338F9"/>
    <w:rsid w:val="00537A08"/>
    <w:rsid w:val="0054281C"/>
    <w:rsid w:val="0055268D"/>
    <w:rsid w:val="0055381B"/>
    <w:rsid w:val="00554B1F"/>
    <w:rsid w:val="00576BE4"/>
    <w:rsid w:val="00576BF0"/>
    <w:rsid w:val="005800A7"/>
    <w:rsid w:val="00584D42"/>
    <w:rsid w:val="005859E1"/>
    <w:rsid w:val="00595E1C"/>
    <w:rsid w:val="005A1169"/>
    <w:rsid w:val="005A400A"/>
    <w:rsid w:val="005B4660"/>
    <w:rsid w:val="005C7207"/>
    <w:rsid w:val="005D0EEB"/>
    <w:rsid w:val="005D1D27"/>
    <w:rsid w:val="005E294F"/>
    <w:rsid w:val="005E2A10"/>
    <w:rsid w:val="00601C2F"/>
    <w:rsid w:val="0060664B"/>
    <w:rsid w:val="00612379"/>
    <w:rsid w:val="0061555F"/>
    <w:rsid w:val="00616E89"/>
    <w:rsid w:val="00625523"/>
    <w:rsid w:val="00632A67"/>
    <w:rsid w:val="00633BFC"/>
    <w:rsid w:val="00641200"/>
    <w:rsid w:val="00641B50"/>
    <w:rsid w:val="006468AE"/>
    <w:rsid w:val="006469CB"/>
    <w:rsid w:val="00647A87"/>
    <w:rsid w:val="00660B52"/>
    <w:rsid w:val="006717F5"/>
    <w:rsid w:val="0067321D"/>
    <w:rsid w:val="00682177"/>
    <w:rsid w:val="00683B57"/>
    <w:rsid w:val="00683C06"/>
    <w:rsid w:val="00687EB4"/>
    <w:rsid w:val="0069259A"/>
    <w:rsid w:val="006A1ECF"/>
    <w:rsid w:val="006A4A47"/>
    <w:rsid w:val="006A5FC6"/>
    <w:rsid w:val="006B17D2"/>
    <w:rsid w:val="006C0266"/>
    <w:rsid w:val="006C224E"/>
    <w:rsid w:val="006C2F04"/>
    <w:rsid w:val="006C55C5"/>
    <w:rsid w:val="006C655F"/>
    <w:rsid w:val="006D780A"/>
    <w:rsid w:val="006F367A"/>
    <w:rsid w:val="006F72DC"/>
    <w:rsid w:val="006F7B90"/>
    <w:rsid w:val="00706C07"/>
    <w:rsid w:val="007115E8"/>
    <w:rsid w:val="00712B28"/>
    <w:rsid w:val="0071701C"/>
    <w:rsid w:val="0072052D"/>
    <w:rsid w:val="00721575"/>
    <w:rsid w:val="00730AC6"/>
    <w:rsid w:val="00730BE9"/>
    <w:rsid w:val="00732DEC"/>
    <w:rsid w:val="00735BD5"/>
    <w:rsid w:val="00753A37"/>
    <w:rsid w:val="00753DA8"/>
    <w:rsid w:val="007556F6"/>
    <w:rsid w:val="007557CE"/>
    <w:rsid w:val="00756ED7"/>
    <w:rsid w:val="00760EEF"/>
    <w:rsid w:val="00761C69"/>
    <w:rsid w:val="00765D58"/>
    <w:rsid w:val="007703AE"/>
    <w:rsid w:val="00777C02"/>
    <w:rsid w:val="00777EE5"/>
    <w:rsid w:val="00782BD4"/>
    <w:rsid w:val="00784836"/>
    <w:rsid w:val="0079023E"/>
    <w:rsid w:val="00791298"/>
    <w:rsid w:val="00793CDA"/>
    <w:rsid w:val="007A0404"/>
    <w:rsid w:val="007A204A"/>
    <w:rsid w:val="007A2854"/>
    <w:rsid w:val="007A28CD"/>
    <w:rsid w:val="007B5979"/>
    <w:rsid w:val="007C0CFA"/>
    <w:rsid w:val="007C4A99"/>
    <w:rsid w:val="007C5529"/>
    <w:rsid w:val="007C6464"/>
    <w:rsid w:val="007C6F0F"/>
    <w:rsid w:val="007D0B9D"/>
    <w:rsid w:val="007D140D"/>
    <w:rsid w:val="007D19B0"/>
    <w:rsid w:val="007D7276"/>
    <w:rsid w:val="007E3E09"/>
    <w:rsid w:val="007F498F"/>
    <w:rsid w:val="007F4BB2"/>
    <w:rsid w:val="007F52E3"/>
    <w:rsid w:val="007F78F0"/>
    <w:rsid w:val="007F7F60"/>
    <w:rsid w:val="008020F7"/>
    <w:rsid w:val="0080679D"/>
    <w:rsid w:val="00807FDE"/>
    <w:rsid w:val="008108B0"/>
    <w:rsid w:val="00811B20"/>
    <w:rsid w:val="0082296E"/>
    <w:rsid w:val="00824099"/>
    <w:rsid w:val="0083268D"/>
    <w:rsid w:val="0085232B"/>
    <w:rsid w:val="00853E47"/>
    <w:rsid w:val="0085553A"/>
    <w:rsid w:val="00861E99"/>
    <w:rsid w:val="00862244"/>
    <w:rsid w:val="0086398C"/>
    <w:rsid w:val="00867AC1"/>
    <w:rsid w:val="008769CE"/>
    <w:rsid w:val="008803B8"/>
    <w:rsid w:val="008A1693"/>
    <w:rsid w:val="008A34C9"/>
    <w:rsid w:val="008A3DEF"/>
    <w:rsid w:val="008A743F"/>
    <w:rsid w:val="008B31EF"/>
    <w:rsid w:val="008C0970"/>
    <w:rsid w:val="008C2C39"/>
    <w:rsid w:val="008D06B0"/>
    <w:rsid w:val="008D2757"/>
    <w:rsid w:val="008D2CF7"/>
    <w:rsid w:val="008D3729"/>
    <w:rsid w:val="008E2D9A"/>
    <w:rsid w:val="008F4CA8"/>
    <w:rsid w:val="008F7550"/>
    <w:rsid w:val="00900C26"/>
    <w:rsid w:val="0090197F"/>
    <w:rsid w:val="00903A97"/>
    <w:rsid w:val="00905020"/>
    <w:rsid w:val="0090573F"/>
    <w:rsid w:val="00906DDC"/>
    <w:rsid w:val="00921D1F"/>
    <w:rsid w:val="00921D83"/>
    <w:rsid w:val="00925716"/>
    <w:rsid w:val="00934E09"/>
    <w:rsid w:val="00936253"/>
    <w:rsid w:val="00937DF6"/>
    <w:rsid w:val="00942E0C"/>
    <w:rsid w:val="00943B88"/>
    <w:rsid w:val="00952DD4"/>
    <w:rsid w:val="00954F79"/>
    <w:rsid w:val="00970020"/>
    <w:rsid w:val="0097068F"/>
    <w:rsid w:val="00970FED"/>
    <w:rsid w:val="00997029"/>
    <w:rsid w:val="009A4871"/>
    <w:rsid w:val="009A6068"/>
    <w:rsid w:val="009A6DAE"/>
    <w:rsid w:val="009B05E0"/>
    <w:rsid w:val="009C472D"/>
    <w:rsid w:val="009D4911"/>
    <w:rsid w:val="009D690D"/>
    <w:rsid w:val="009E112A"/>
    <w:rsid w:val="009E286B"/>
    <w:rsid w:val="009E65B6"/>
    <w:rsid w:val="009F59B6"/>
    <w:rsid w:val="009F6F62"/>
    <w:rsid w:val="00A019F4"/>
    <w:rsid w:val="00A049DD"/>
    <w:rsid w:val="00A07F32"/>
    <w:rsid w:val="00A10560"/>
    <w:rsid w:val="00A10D83"/>
    <w:rsid w:val="00A13C6F"/>
    <w:rsid w:val="00A17E95"/>
    <w:rsid w:val="00A237E3"/>
    <w:rsid w:val="00A259EC"/>
    <w:rsid w:val="00A32165"/>
    <w:rsid w:val="00A32548"/>
    <w:rsid w:val="00A334E7"/>
    <w:rsid w:val="00A37B04"/>
    <w:rsid w:val="00A37F63"/>
    <w:rsid w:val="00A4250E"/>
    <w:rsid w:val="00A42AC3"/>
    <w:rsid w:val="00A430CF"/>
    <w:rsid w:val="00A47CDB"/>
    <w:rsid w:val="00A52A0E"/>
    <w:rsid w:val="00A54309"/>
    <w:rsid w:val="00A61818"/>
    <w:rsid w:val="00A643AB"/>
    <w:rsid w:val="00A71D8F"/>
    <w:rsid w:val="00A803C8"/>
    <w:rsid w:val="00A83B02"/>
    <w:rsid w:val="00A9517B"/>
    <w:rsid w:val="00A9577F"/>
    <w:rsid w:val="00A961C0"/>
    <w:rsid w:val="00AA3603"/>
    <w:rsid w:val="00AA5CED"/>
    <w:rsid w:val="00AA65E7"/>
    <w:rsid w:val="00AA6DBC"/>
    <w:rsid w:val="00AB06C7"/>
    <w:rsid w:val="00AB176C"/>
    <w:rsid w:val="00AB284D"/>
    <w:rsid w:val="00AB2B93"/>
    <w:rsid w:val="00AB7E5B"/>
    <w:rsid w:val="00AD0231"/>
    <w:rsid w:val="00AD2208"/>
    <w:rsid w:val="00AD28C6"/>
    <w:rsid w:val="00AE0EF1"/>
    <w:rsid w:val="00AE3A08"/>
    <w:rsid w:val="00AF0291"/>
    <w:rsid w:val="00AF39A2"/>
    <w:rsid w:val="00B04650"/>
    <w:rsid w:val="00B07301"/>
    <w:rsid w:val="00B12451"/>
    <w:rsid w:val="00B148BD"/>
    <w:rsid w:val="00B165A4"/>
    <w:rsid w:val="00B224DE"/>
    <w:rsid w:val="00B253A9"/>
    <w:rsid w:val="00B30134"/>
    <w:rsid w:val="00B327E2"/>
    <w:rsid w:val="00B4075F"/>
    <w:rsid w:val="00B43ABD"/>
    <w:rsid w:val="00B44203"/>
    <w:rsid w:val="00B5691B"/>
    <w:rsid w:val="00B6654F"/>
    <w:rsid w:val="00B803BF"/>
    <w:rsid w:val="00B80444"/>
    <w:rsid w:val="00B813DC"/>
    <w:rsid w:val="00B830E0"/>
    <w:rsid w:val="00B84BBD"/>
    <w:rsid w:val="00B8540F"/>
    <w:rsid w:val="00B87B25"/>
    <w:rsid w:val="00B93D82"/>
    <w:rsid w:val="00BA43FB"/>
    <w:rsid w:val="00BC127D"/>
    <w:rsid w:val="00BC1A78"/>
    <w:rsid w:val="00BC1FE6"/>
    <w:rsid w:val="00BD45F1"/>
    <w:rsid w:val="00BE34CE"/>
    <w:rsid w:val="00BE581A"/>
    <w:rsid w:val="00C03DD3"/>
    <w:rsid w:val="00C061B6"/>
    <w:rsid w:val="00C13808"/>
    <w:rsid w:val="00C2044E"/>
    <w:rsid w:val="00C2446C"/>
    <w:rsid w:val="00C36AE5"/>
    <w:rsid w:val="00C41F17"/>
    <w:rsid w:val="00C42EF6"/>
    <w:rsid w:val="00C43AF2"/>
    <w:rsid w:val="00C521DE"/>
    <w:rsid w:val="00C547A4"/>
    <w:rsid w:val="00C5791C"/>
    <w:rsid w:val="00C57C1E"/>
    <w:rsid w:val="00C60AA1"/>
    <w:rsid w:val="00C66290"/>
    <w:rsid w:val="00C72A39"/>
    <w:rsid w:val="00C72B7A"/>
    <w:rsid w:val="00C8303F"/>
    <w:rsid w:val="00C83153"/>
    <w:rsid w:val="00C83832"/>
    <w:rsid w:val="00C83CD6"/>
    <w:rsid w:val="00C848FC"/>
    <w:rsid w:val="00C86735"/>
    <w:rsid w:val="00C973F2"/>
    <w:rsid w:val="00CA774A"/>
    <w:rsid w:val="00CC11B0"/>
    <w:rsid w:val="00CC2DB3"/>
    <w:rsid w:val="00CC7560"/>
    <w:rsid w:val="00CD3D58"/>
    <w:rsid w:val="00CF0211"/>
    <w:rsid w:val="00CF7E36"/>
    <w:rsid w:val="00D17133"/>
    <w:rsid w:val="00D261C5"/>
    <w:rsid w:val="00D26DDD"/>
    <w:rsid w:val="00D3708D"/>
    <w:rsid w:val="00D40426"/>
    <w:rsid w:val="00D52014"/>
    <w:rsid w:val="00D554C9"/>
    <w:rsid w:val="00D57B47"/>
    <w:rsid w:val="00D57C96"/>
    <w:rsid w:val="00D6449D"/>
    <w:rsid w:val="00D6704A"/>
    <w:rsid w:val="00D702C2"/>
    <w:rsid w:val="00D760D1"/>
    <w:rsid w:val="00D868C4"/>
    <w:rsid w:val="00D91203"/>
    <w:rsid w:val="00D95174"/>
    <w:rsid w:val="00D96927"/>
    <w:rsid w:val="00DA4685"/>
    <w:rsid w:val="00DA6F36"/>
    <w:rsid w:val="00DB596E"/>
    <w:rsid w:val="00DB6491"/>
    <w:rsid w:val="00DC00EA"/>
    <w:rsid w:val="00DC2F70"/>
    <w:rsid w:val="00DE3951"/>
    <w:rsid w:val="00DE3D77"/>
    <w:rsid w:val="00DE5643"/>
    <w:rsid w:val="00DE606C"/>
    <w:rsid w:val="00E0245B"/>
    <w:rsid w:val="00E04168"/>
    <w:rsid w:val="00E047CC"/>
    <w:rsid w:val="00E136A0"/>
    <w:rsid w:val="00E227ED"/>
    <w:rsid w:val="00E2307F"/>
    <w:rsid w:val="00E24523"/>
    <w:rsid w:val="00E30CEB"/>
    <w:rsid w:val="00E34EA1"/>
    <w:rsid w:val="00E4262B"/>
    <w:rsid w:val="00E50918"/>
    <w:rsid w:val="00E54151"/>
    <w:rsid w:val="00E541C9"/>
    <w:rsid w:val="00E60155"/>
    <w:rsid w:val="00E658B6"/>
    <w:rsid w:val="00E72D49"/>
    <w:rsid w:val="00E7593C"/>
    <w:rsid w:val="00E7678A"/>
    <w:rsid w:val="00E841A6"/>
    <w:rsid w:val="00E90EEF"/>
    <w:rsid w:val="00E91D19"/>
    <w:rsid w:val="00E93477"/>
    <w:rsid w:val="00E935F1"/>
    <w:rsid w:val="00E94A81"/>
    <w:rsid w:val="00E95649"/>
    <w:rsid w:val="00EA1FFB"/>
    <w:rsid w:val="00EA314D"/>
    <w:rsid w:val="00EA479A"/>
    <w:rsid w:val="00EA5245"/>
    <w:rsid w:val="00EB048E"/>
    <w:rsid w:val="00EB23F3"/>
    <w:rsid w:val="00EB6008"/>
    <w:rsid w:val="00EC0EDD"/>
    <w:rsid w:val="00ED759B"/>
    <w:rsid w:val="00EE00F4"/>
    <w:rsid w:val="00EE34DF"/>
    <w:rsid w:val="00EE77EF"/>
    <w:rsid w:val="00EF2F89"/>
    <w:rsid w:val="00EF43B9"/>
    <w:rsid w:val="00F07B53"/>
    <w:rsid w:val="00F1237A"/>
    <w:rsid w:val="00F22CBD"/>
    <w:rsid w:val="00F347FD"/>
    <w:rsid w:val="00F371CA"/>
    <w:rsid w:val="00F42390"/>
    <w:rsid w:val="00F45372"/>
    <w:rsid w:val="00F52130"/>
    <w:rsid w:val="00F559E2"/>
    <w:rsid w:val="00F560F7"/>
    <w:rsid w:val="00F56B86"/>
    <w:rsid w:val="00F6334D"/>
    <w:rsid w:val="00F64A12"/>
    <w:rsid w:val="00F6515A"/>
    <w:rsid w:val="00F6625D"/>
    <w:rsid w:val="00F77156"/>
    <w:rsid w:val="00F77B84"/>
    <w:rsid w:val="00F81553"/>
    <w:rsid w:val="00F87878"/>
    <w:rsid w:val="00F96DC0"/>
    <w:rsid w:val="00F97387"/>
    <w:rsid w:val="00FA49AB"/>
    <w:rsid w:val="00FB5DF4"/>
    <w:rsid w:val="00FC0A1D"/>
    <w:rsid w:val="00FC1B45"/>
    <w:rsid w:val="00FD07BC"/>
    <w:rsid w:val="00FD7EB7"/>
    <w:rsid w:val="00FE10E6"/>
    <w:rsid w:val="00FE39C7"/>
    <w:rsid w:val="00FE4F39"/>
    <w:rsid w:val="00FF3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aliases w:val="COMMON NAME,common"/>
    <w:next w:val="Normal"/>
    <w:link w:val="Heading1Char"/>
    <w:autoRedefine/>
    <w:qFormat/>
    <w:rsid w:val="00370631"/>
    <w:pPr>
      <w:keepNext/>
      <w:jc w:val="both"/>
      <w:outlineLvl w:val="0"/>
    </w:pPr>
    <w:rPr>
      <w:rFonts w:ascii="Arial" w:hAnsi="Arial"/>
      <w:caps/>
    </w:rPr>
  </w:style>
  <w:style w:type="paragraph" w:styleId="Heading2">
    <w:name w:val="heading 2"/>
    <w:next w:val="Normal"/>
    <w:link w:val="Heading2Char"/>
    <w:autoRedefine/>
    <w:qFormat/>
    <w:rsid w:val="00370631"/>
    <w:pPr>
      <w:keepNext/>
      <w:jc w:val="both"/>
      <w:outlineLvl w:val="1"/>
    </w:pPr>
    <w:rPr>
      <w:rFonts w:ascii="Arial" w:hAnsi="Arial"/>
      <w:u w:val="single"/>
    </w:rPr>
  </w:style>
  <w:style w:type="paragraph" w:styleId="Heading3">
    <w:name w:val="heading 3"/>
    <w:next w:val="Normal"/>
    <w:link w:val="Heading3Char"/>
    <w:autoRedefine/>
    <w:qFormat/>
    <w:rsid w:val="00370631"/>
    <w:pPr>
      <w:keepNext/>
      <w:jc w:val="both"/>
      <w:outlineLvl w:val="2"/>
    </w:pPr>
    <w:rPr>
      <w:rFonts w:ascii="Arial" w:hAnsi="Arial"/>
      <w:i/>
    </w:rPr>
  </w:style>
  <w:style w:type="paragraph" w:styleId="Heading4">
    <w:name w:val="heading 4"/>
    <w:next w:val="Normal"/>
    <w:link w:val="Heading4Char"/>
    <w:autoRedefine/>
    <w:qFormat/>
    <w:rsid w:val="00370631"/>
    <w:pPr>
      <w:keepNext/>
      <w:ind w:left="567"/>
      <w:jc w:val="both"/>
      <w:outlineLvl w:val="3"/>
    </w:pPr>
    <w:rPr>
      <w:rFonts w:ascii="Arial" w:hAnsi="Arial"/>
      <w:u w:val="single"/>
      <w:lang w:val="fr-FR"/>
    </w:rPr>
  </w:style>
  <w:style w:type="paragraph" w:styleId="Heading5">
    <w:name w:val="heading 5"/>
    <w:next w:val="Normal"/>
    <w:link w:val="Heading5Char"/>
    <w:autoRedefine/>
    <w:qFormat/>
    <w:rsid w:val="0047214B"/>
    <w:pPr>
      <w:keepNext/>
      <w:ind w:left="1134" w:hanging="567"/>
      <w:jc w:val="both"/>
      <w:outlineLvl w:val="4"/>
    </w:pPr>
    <w:rPr>
      <w:rFonts w:ascii="Arial" w:hAnsi="Arial"/>
      <w:i/>
    </w:rPr>
  </w:style>
  <w:style w:type="paragraph" w:styleId="Heading6">
    <w:name w:val="heading 6"/>
    <w:basedOn w:val="Normal"/>
    <w:next w:val="Normal"/>
    <w:link w:val="Heading6Char"/>
    <w:qFormat/>
    <w:rsid w:val="005253AC"/>
    <w:pPr>
      <w:outlineLvl w:val="5"/>
    </w:pPr>
    <w:rPr>
      <w:lang w:val="es-ES_tradnl"/>
    </w:rPr>
  </w:style>
  <w:style w:type="paragraph" w:styleId="Heading7">
    <w:name w:val="heading 7"/>
    <w:basedOn w:val="Normal"/>
    <w:next w:val="Normal"/>
    <w:link w:val="Heading7Char"/>
    <w:qFormat/>
    <w:rsid w:val="005253AC"/>
    <w:pPr>
      <w:spacing w:before="240" w:after="60"/>
      <w:outlineLvl w:val="6"/>
    </w:pPr>
    <w:rPr>
      <w:szCs w:val="24"/>
    </w:rPr>
  </w:style>
  <w:style w:type="paragraph" w:styleId="Heading8">
    <w:name w:val="heading 8"/>
    <w:basedOn w:val="Normal"/>
    <w:next w:val="Normal"/>
    <w:link w:val="Heading8Char"/>
    <w:qFormat/>
    <w:rsid w:val="005253AC"/>
    <w:pPr>
      <w:keepNext/>
      <w:jc w:val="center"/>
      <w:outlineLvl w:val="7"/>
    </w:pPr>
    <w:rPr>
      <w:u w:val="single"/>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6D780A"/>
    <w:pPr>
      <w:tabs>
        <w:tab w:val="center" w:pos="4536"/>
        <w:tab w:val="right" w:pos="9072"/>
      </w:tabs>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905020"/>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link w:val="pldetailsChar"/>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370631"/>
    <w:pPr>
      <w:tabs>
        <w:tab w:val="right" w:leader="dot" w:pos="9639"/>
      </w:tabs>
      <w:contextualSpacing/>
      <w:jc w:val="center"/>
    </w:pPr>
    <w:rPr>
      <w:rFonts w:ascii="Arial" w:hAnsi="Arial"/>
      <w:caps/>
    </w:rPr>
  </w:style>
  <w:style w:type="paragraph" w:styleId="TOC5">
    <w:name w:val="toc 5"/>
    <w:next w:val="Normal"/>
    <w:autoRedefine/>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character" w:customStyle="1" w:styleId="Heading1Char">
    <w:name w:val="Heading 1 Char"/>
    <w:aliases w:val="COMMON NAME Char,common Char"/>
    <w:basedOn w:val="DefaultParagraphFont"/>
    <w:link w:val="Heading1"/>
    <w:locked/>
    <w:rsid w:val="00FD7EB7"/>
    <w:rPr>
      <w:rFonts w:ascii="Arial" w:hAnsi="Arial"/>
      <w:caps/>
    </w:rPr>
  </w:style>
  <w:style w:type="character" w:customStyle="1" w:styleId="Heading2Char">
    <w:name w:val="Heading 2 Char"/>
    <w:basedOn w:val="DefaultParagraphFont"/>
    <w:link w:val="Heading2"/>
    <w:locked/>
    <w:rsid w:val="00FD7EB7"/>
    <w:rPr>
      <w:rFonts w:ascii="Arial" w:hAnsi="Arial"/>
      <w:u w:val="single"/>
    </w:rPr>
  </w:style>
  <w:style w:type="character" w:customStyle="1" w:styleId="Heading3Char">
    <w:name w:val="Heading 3 Char"/>
    <w:basedOn w:val="DefaultParagraphFont"/>
    <w:link w:val="Heading3"/>
    <w:locked/>
    <w:rsid w:val="00FD7EB7"/>
    <w:rPr>
      <w:rFonts w:ascii="Arial" w:hAnsi="Arial"/>
      <w:i/>
    </w:rPr>
  </w:style>
  <w:style w:type="character" w:customStyle="1" w:styleId="Heading4Char">
    <w:name w:val="Heading 4 Char"/>
    <w:basedOn w:val="DefaultParagraphFont"/>
    <w:link w:val="Heading4"/>
    <w:locked/>
    <w:rsid w:val="00FD7EB7"/>
    <w:rPr>
      <w:rFonts w:ascii="Arial" w:hAnsi="Arial"/>
      <w:u w:val="single"/>
      <w:lang w:val="fr-FR"/>
    </w:rPr>
  </w:style>
  <w:style w:type="character" w:customStyle="1" w:styleId="Heading5Char">
    <w:name w:val="Heading 5 Char"/>
    <w:basedOn w:val="DefaultParagraphFont"/>
    <w:link w:val="Heading5"/>
    <w:locked/>
    <w:rsid w:val="0047214B"/>
    <w:rPr>
      <w:rFonts w:ascii="Arial" w:hAnsi="Arial"/>
      <w:i/>
    </w:rPr>
  </w:style>
  <w:style w:type="character" w:customStyle="1" w:styleId="Heading9Char">
    <w:name w:val="Heading 9 Char"/>
    <w:basedOn w:val="DefaultParagraphFont"/>
    <w:link w:val="Heading9"/>
    <w:uiPriority w:val="99"/>
    <w:locked/>
    <w:rsid w:val="00FD7EB7"/>
    <w:rPr>
      <w:rFonts w:ascii="Arial" w:hAnsi="Arial"/>
      <w:i/>
      <w:sz w:val="18"/>
    </w:rPr>
  </w:style>
  <w:style w:type="character" w:customStyle="1" w:styleId="HeaderChar">
    <w:name w:val="Header Char"/>
    <w:basedOn w:val="DefaultParagraphFont"/>
    <w:link w:val="Header"/>
    <w:uiPriority w:val="99"/>
    <w:locked/>
    <w:rsid w:val="00FD7EB7"/>
    <w:rPr>
      <w:rFonts w:ascii="Arial" w:hAnsi="Arial"/>
      <w:lang w:val="fr-FR"/>
    </w:rPr>
  </w:style>
  <w:style w:type="character" w:customStyle="1" w:styleId="FooterChar">
    <w:name w:val="Footer Char"/>
    <w:aliases w:val="doc_path_name Char"/>
    <w:basedOn w:val="DefaultParagraphFont"/>
    <w:link w:val="Footer"/>
    <w:locked/>
    <w:rsid w:val="00FD7EB7"/>
    <w:rPr>
      <w:rFonts w:ascii="Arial" w:hAnsi="Arial"/>
      <w:sz w:val="14"/>
    </w:rPr>
  </w:style>
  <w:style w:type="character" w:customStyle="1" w:styleId="TitleChar">
    <w:name w:val="Title Char"/>
    <w:basedOn w:val="DefaultParagraphFont"/>
    <w:link w:val="Title"/>
    <w:uiPriority w:val="99"/>
    <w:locked/>
    <w:rsid w:val="00FD7EB7"/>
    <w:rPr>
      <w:rFonts w:ascii="Arial" w:hAnsi="Arial"/>
      <w:b/>
      <w:caps/>
      <w:kern w:val="28"/>
      <w:sz w:val="30"/>
    </w:rPr>
  </w:style>
  <w:style w:type="character" w:customStyle="1" w:styleId="FootnoteTextChar">
    <w:name w:val="Footnote Text Char"/>
    <w:basedOn w:val="DefaultParagraphFont"/>
    <w:link w:val="FootnoteText"/>
    <w:locked/>
    <w:rsid w:val="00FD7EB7"/>
    <w:rPr>
      <w:rFonts w:ascii="Arial" w:hAnsi="Arial"/>
      <w:sz w:val="16"/>
    </w:rPr>
  </w:style>
  <w:style w:type="character" w:customStyle="1" w:styleId="ClosingChar">
    <w:name w:val="Closing Char"/>
    <w:basedOn w:val="DefaultParagraphFont"/>
    <w:link w:val="Closing"/>
    <w:uiPriority w:val="99"/>
    <w:locked/>
    <w:rsid w:val="00FD7EB7"/>
    <w:rPr>
      <w:rFonts w:ascii="Arial" w:hAnsi="Arial"/>
    </w:rPr>
  </w:style>
  <w:style w:type="character" w:customStyle="1" w:styleId="MacroTextChar">
    <w:name w:val="Macro Text Char"/>
    <w:basedOn w:val="DefaultParagraphFont"/>
    <w:link w:val="MacroText"/>
    <w:uiPriority w:val="99"/>
    <w:semiHidden/>
    <w:locked/>
    <w:rsid w:val="00FD7EB7"/>
    <w:rPr>
      <w:rFonts w:ascii="Courier New" w:hAnsi="Courier New"/>
      <w:sz w:val="16"/>
    </w:rPr>
  </w:style>
  <w:style w:type="character" w:customStyle="1" w:styleId="SignatureChar">
    <w:name w:val="Signature Char"/>
    <w:basedOn w:val="DefaultParagraphFont"/>
    <w:link w:val="Signature"/>
    <w:uiPriority w:val="99"/>
    <w:locked/>
    <w:rsid w:val="00FD7EB7"/>
    <w:rPr>
      <w:rFonts w:ascii="Arial" w:hAnsi="Arial"/>
    </w:rPr>
  </w:style>
  <w:style w:type="character" w:customStyle="1" w:styleId="BodyTextChar">
    <w:name w:val="Body Text Char"/>
    <w:basedOn w:val="DefaultParagraphFont"/>
    <w:link w:val="BodyText"/>
    <w:locked/>
    <w:rsid w:val="00FD7EB7"/>
    <w:rPr>
      <w:rFonts w:ascii="Arial" w:hAnsi="Arial"/>
    </w:rPr>
  </w:style>
  <w:style w:type="character" w:customStyle="1" w:styleId="EndnoteTextChar">
    <w:name w:val="Endnote Text Char"/>
    <w:basedOn w:val="DefaultParagraphFont"/>
    <w:link w:val="EndnoteText"/>
    <w:uiPriority w:val="99"/>
    <w:semiHidden/>
    <w:locked/>
    <w:rsid w:val="00FD7EB7"/>
    <w:rPr>
      <w:rFonts w:ascii="Arial" w:hAnsi="Arial"/>
    </w:rPr>
  </w:style>
  <w:style w:type="character" w:customStyle="1" w:styleId="DateChar">
    <w:name w:val="Date Char"/>
    <w:basedOn w:val="DefaultParagraphFont"/>
    <w:link w:val="Date"/>
    <w:uiPriority w:val="99"/>
    <w:semiHidden/>
    <w:locked/>
    <w:rsid w:val="00FD7EB7"/>
    <w:rPr>
      <w:rFonts w:ascii="Arial" w:hAnsi="Arial"/>
      <w:b/>
      <w:sz w:val="22"/>
    </w:rPr>
  </w:style>
  <w:style w:type="paragraph" w:customStyle="1" w:styleId="style1">
    <w:name w:val="style1"/>
    <w:basedOn w:val="Normal"/>
    <w:uiPriority w:val="99"/>
    <w:rsid w:val="00FD7EB7"/>
    <w:pPr>
      <w:jc w:val="left"/>
    </w:pPr>
    <w:rPr>
      <w:rFonts w:ascii="Times New Roman" w:hAnsi="Times New Roman"/>
      <w:sz w:val="24"/>
      <w:szCs w:val="24"/>
    </w:rPr>
  </w:style>
  <w:style w:type="paragraph" w:customStyle="1" w:styleId="normaltg">
    <w:name w:val="normaltg"/>
    <w:basedOn w:val="Normal"/>
    <w:uiPriority w:val="99"/>
    <w:rsid w:val="00FD7EB7"/>
    <w:pPr>
      <w:spacing w:before="100" w:beforeAutospacing="1" w:after="100" w:afterAutospacing="1"/>
      <w:jc w:val="left"/>
    </w:pPr>
    <w:rPr>
      <w:rFonts w:ascii="Times New Roman" w:hAnsi="Times New Roman"/>
      <w:sz w:val="24"/>
      <w:szCs w:val="24"/>
      <w:lang w:val="fr-FR" w:eastAsia="fr-FR"/>
    </w:rPr>
  </w:style>
  <w:style w:type="paragraph" w:styleId="ListParagraph">
    <w:name w:val="List Paragraph"/>
    <w:basedOn w:val="Normal"/>
    <w:uiPriority w:val="34"/>
    <w:qFormat/>
    <w:rsid w:val="00FD7EB7"/>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uiPriority w:val="99"/>
    <w:rsid w:val="00FD7EB7"/>
    <w:pPr>
      <w:spacing w:before="120" w:after="120"/>
      <w:ind w:left="284" w:right="284" w:hanging="284"/>
      <w:contextualSpacing w:val="0"/>
      <w:jc w:val="left"/>
    </w:pPr>
    <w:rPr>
      <w:noProof/>
    </w:rPr>
  </w:style>
  <w:style w:type="paragraph" w:customStyle="1" w:styleId="Normaltg0">
    <w:name w:val="Normaltg"/>
    <w:basedOn w:val="Normal"/>
    <w:link w:val="NormaltgChar"/>
    <w:rsid w:val="00FD7EB7"/>
    <w:pPr>
      <w:tabs>
        <w:tab w:val="left" w:pos="709"/>
        <w:tab w:val="left" w:pos="1418"/>
      </w:tabs>
    </w:pPr>
    <w:rPr>
      <w:rFonts w:ascii="Times New Roman" w:eastAsia="MS Mincho" w:hAnsi="Times New Roman"/>
      <w:sz w:val="24"/>
    </w:rPr>
  </w:style>
  <w:style w:type="paragraph" w:customStyle="1" w:styleId="Normalt">
    <w:name w:val="Normalt"/>
    <w:basedOn w:val="Normal"/>
    <w:uiPriority w:val="99"/>
    <w:rsid w:val="00FD7EB7"/>
    <w:pPr>
      <w:spacing w:before="120" w:after="120"/>
      <w:jc w:val="left"/>
    </w:pPr>
    <w:rPr>
      <w:rFonts w:ascii="Times New Roman" w:hAnsi="Times New Roman"/>
      <w:noProof/>
      <w:lang w:eastAsia="es-ES"/>
    </w:rPr>
  </w:style>
  <w:style w:type="paragraph" w:customStyle="1" w:styleId="Normaltb">
    <w:name w:val="Normaltb"/>
    <w:basedOn w:val="Normalt"/>
    <w:uiPriority w:val="99"/>
    <w:rsid w:val="00FD7EB7"/>
    <w:pPr>
      <w:keepNext/>
    </w:pPr>
    <w:rPr>
      <w:b/>
    </w:rPr>
  </w:style>
  <w:style w:type="paragraph" w:customStyle="1" w:styleId="ecxmsonormal">
    <w:name w:val="ecxmsonormal"/>
    <w:basedOn w:val="Normal"/>
    <w:uiPriority w:val="99"/>
    <w:rsid w:val="00FD7EB7"/>
    <w:pPr>
      <w:spacing w:before="100" w:beforeAutospacing="1" w:after="100" w:afterAutospacing="1"/>
      <w:jc w:val="left"/>
    </w:pPr>
    <w:rPr>
      <w:rFonts w:ascii="Times New Roman" w:hAnsi="Times New Roman"/>
      <w:sz w:val="24"/>
      <w:szCs w:val="24"/>
      <w:lang w:val="es-ES" w:eastAsia="es-ES"/>
    </w:rPr>
  </w:style>
  <w:style w:type="paragraph" w:customStyle="1" w:styleId="Default">
    <w:name w:val="Default"/>
    <w:rsid w:val="00FD7EB7"/>
    <w:pPr>
      <w:autoSpaceDE w:val="0"/>
      <w:autoSpaceDN w:val="0"/>
      <w:adjustRightInd w:val="0"/>
    </w:pPr>
    <w:rPr>
      <w:rFonts w:ascii="Arial" w:hAnsi="Arial" w:cs="Arial"/>
      <w:color w:val="000000"/>
      <w:sz w:val="24"/>
      <w:szCs w:val="24"/>
    </w:rPr>
  </w:style>
  <w:style w:type="table" w:styleId="TableGrid">
    <w:name w:val="Table Grid"/>
    <w:basedOn w:val="TableNormal"/>
    <w:rsid w:val="00FD7EB7"/>
    <w:rPr>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uiPriority w:val="99"/>
    <w:rsid w:val="00FD7EB7"/>
    <w:rPr>
      <w:rFonts w:cs="Times New Roman"/>
    </w:rPr>
  </w:style>
  <w:style w:type="character" w:customStyle="1" w:styleId="Heading6Char">
    <w:name w:val="Heading 6 Char"/>
    <w:basedOn w:val="DefaultParagraphFont"/>
    <w:link w:val="Heading6"/>
    <w:rsid w:val="005253AC"/>
    <w:rPr>
      <w:rFonts w:ascii="Arial" w:hAnsi="Arial"/>
      <w:lang w:val="es-ES_tradnl"/>
    </w:rPr>
  </w:style>
  <w:style w:type="character" w:customStyle="1" w:styleId="Heading7Char">
    <w:name w:val="Heading 7 Char"/>
    <w:basedOn w:val="DefaultParagraphFont"/>
    <w:link w:val="Heading7"/>
    <w:rsid w:val="005253AC"/>
    <w:rPr>
      <w:rFonts w:ascii="Arial" w:hAnsi="Arial"/>
      <w:szCs w:val="24"/>
    </w:rPr>
  </w:style>
  <w:style w:type="character" w:customStyle="1" w:styleId="Heading8Char">
    <w:name w:val="Heading 8 Char"/>
    <w:basedOn w:val="DefaultParagraphFont"/>
    <w:link w:val="Heading8"/>
    <w:rsid w:val="005253AC"/>
    <w:rPr>
      <w:rFonts w:ascii="Arial" w:hAnsi="Arial"/>
      <w:u w:val="single"/>
    </w:rPr>
  </w:style>
  <w:style w:type="character" w:styleId="Emphasis">
    <w:name w:val="Emphasis"/>
    <w:basedOn w:val="DefaultParagraphFont"/>
    <w:qFormat/>
    <w:rsid w:val="005253AC"/>
    <w:rPr>
      <w:i/>
      <w:iCs/>
    </w:rPr>
  </w:style>
  <w:style w:type="character" w:customStyle="1" w:styleId="DecisionParagraphsChar">
    <w:name w:val="DecisionParagraphs Char"/>
    <w:link w:val="DecisionParagraphs"/>
    <w:rsid w:val="005253AC"/>
    <w:rPr>
      <w:rFonts w:ascii="Arial" w:hAnsi="Arial"/>
      <w:i/>
    </w:rPr>
  </w:style>
  <w:style w:type="paragraph" w:customStyle="1" w:styleId="tgchartextcentered">
    <w:name w:val="tg_char_text_centered"/>
    <w:basedOn w:val="Normal"/>
    <w:rsid w:val="005253AC"/>
    <w:pPr>
      <w:spacing w:before="80" w:after="80"/>
      <w:jc w:val="center"/>
    </w:pPr>
    <w:rPr>
      <w:b/>
      <w:sz w:val="16"/>
    </w:rPr>
  </w:style>
  <w:style w:type="paragraph" w:customStyle="1" w:styleId="tgchartext">
    <w:name w:val="tg_char_text"/>
    <w:basedOn w:val="Normal"/>
    <w:rsid w:val="005253AC"/>
    <w:pPr>
      <w:spacing w:before="80" w:after="80"/>
      <w:jc w:val="left"/>
    </w:pPr>
    <w:rPr>
      <w:sz w:val="16"/>
    </w:rPr>
  </w:style>
  <w:style w:type="character" w:customStyle="1" w:styleId="pldetailsChar">
    <w:name w:val="pldetails Char"/>
    <w:link w:val="pldetails"/>
    <w:locked/>
    <w:rsid w:val="005253AC"/>
    <w:rPr>
      <w:rFonts w:ascii="Arial" w:hAnsi="Arial"/>
      <w:noProof/>
      <w:snapToGrid w:val="0"/>
    </w:rPr>
  </w:style>
  <w:style w:type="paragraph" w:styleId="NormalWeb">
    <w:name w:val="Normal (Web)"/>
    <w:basedOn w:val="Normal"/>
    <w:rsid w:val="005253AC"/>
    <w:pPr>
      <w:spacing w:before="100" w:beforeAutospacing="1" w:after="100" w:afterAutospacing="1"/>
      <w:jc w:val="left"/>
    </w:pPr>
    <w:rPr>
      <w:szCs w:val="24"/>
    </w:rPr>
  </w:style>
  <w:style w:type="paragraph" w:customStyle="1" w:styleId="pdflink">
    <w:name w:val="pdflink"/>
    <w:basedOn w:val="Normal"/>
    <w:next w:val="Normal"/>
    <w:rsid w:val="005253AC"/>
    <w:rPr>
      <w:color w:val="800000"/>
      <w:u w:val="words"/>
    </w:rPr>
  </w:style>
  <w:style w:type="paragraph" w:customStyle="1" w:styleId="Draft">
    <w:name w:val="Draft"/>
    <w:basedOn w:val="Normal"/>
    <w:next w:val="preparedby"/>
    <w:rsid w:val="005253AC"/>
    <w:pPr>
      <w:spacing w:before="720" w:after="480"/>
      <w:jc w:val="center"/>
    </w:pPr>
    <w:rPr>
      <w:caps/>
      <w:sz w:val="28"/>
    </w:rPr>
  </w:style>
  <w:style w:type="paragraph" w:customStyle="1" w:styleId="quote1">
    <w:name w:val="quote1"/>
    <w:basedOn w:val="Normal"/>
    <w:semiHidden/>
    <w:rsid w:val="005253AC"/>
    <w:pPr>
      <w:ind w:left="567" w:right="565" w:firstLine="567"/>
    </w:pPr>
    <w:rPr>
      <w:snapToGrid w:val="0"/>
      <w:sz w:val="22"/>
      <w:szCs w:val="22"/>
    </w:rPr>
  </w:style>
  <w:style w:type="paragraph" w:customStyle="1" w:styleId="tqparabox">
    <w:name w:val="tqparabox"/>
    <w:basedOn w:val="Normal"/>
    <w:rsid w:val="005253AC"/>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5253AC"/>
    <w:pPr>
      <w:ind w:left="1200"/>
    </w:pPr>
  </w:style>
  <w:style w:type="paragraph" w:styleId="BodyTextIndent">
    <w:name w:val="Body Text Indent"/>
    <w:basedOn w:val="Normal"/>
    <w:link w:val="BodyTextIndentChar"/>
    <w:rsid w:val="005253AC"/>
    <w:pPr>
      <w:ind w:left="567"/>
    </w:pPr>
    <w:rPr>
      <w:lang w:val="es-ES_tradnl"/>
    </w:rPr>
  </w:style>
  <w:style w:type="character" w:customStyle="1" w:styleId="BodyTextIndentChar">
    <w:name w:val="Body Text Indent Char"/>
    <w:basedOn w:val="DefaultParagraphFont"/>
    <w:link w:val="BodyTextIndent"/>
    <w:rsid w:val="005253AC"/>
    <w:rPr>
      <w:rFonts w:ascii="Arial" w:hAnsi="Arial"/>
      <w:lang w:val="es-ES_tradnl"/>
    </w:rPr>
  </w:style>
  <w:style w:type="paragraph" w:customStyle="1" w:styleId="twpcheck">
    <w:name w:val="twpcheck"/>
    <w:basedOn w:val="Normal"/>
    <w:rsid w:val="005253AC"/>
    <w:pPr>
      <w:spacing w:before="80" w:after="80"/>
      <w:jc w:val="left"/>
    </w:pPr>
    <w:rPr>
      <w:rFonts w:cs="Arial"/>
      <w:snapToGrid w:val="0"/>
      <w:sz w:val="16"/>
      <w:szCs w:val="16"/>
    </w:rPr>
  </w:style>
  <w:style w:type="paragraph" w:customStyle="1" w:styleId="DecisionInvitingPara">
    <w:name w:val="Decision Inviting Para."/>
    <w:basedOn w:val="Normal"/>
    <w:rsid w:val="005253AC"/>
    <w:pPr>
      <w:ind w:left="4536"/>
    </w:pPr>
    <w:rPr>
      <w:i/>
      <w:lang w:val="es-ES_tradnl"/>
    </w:rPr>
  </w:style>
  <w:style w:type="paragraph" w:customStyle="1" w:styleId="Enttepair">
    <w:name w:val="Entête_pair"/>
    <w:basedOn w:val="Normal"/>
    <w:next w:val="Normal"/>
    <w:rsid w:val="005253AC"/>
    <w:pPr>
      <w:pBdr>
        <w:bottom w:val="single" w:sz="4" w:space="1" w:color="auto"/>
      </w:pBdr>
      <w:jc w:val="left"/>
    </w:pPr>
    <w:rPr>
      <w:szCs w:val="24"/>
    </w:rPr>
  </w:style>
  <w:style w:type="paragraph" w:customStyle="1" w:styleId="Entteimpair">
    <w:name w:val="Entête_impair"/>
    <w:basedOn w:val="Normal"/>
    <w:next w:val="Normal"/>
    <w:rsid w:val="005253AC"/>
    <w:pPr>
      <w:pBdr>
        <w:bottom w:val="single" w:sz="4" w:space="1" w:color="auto"/>
      </w:pBdr>
      <w:jc w:val="right"/>
    </w:pPr>
  </w:style>
  <w:style w:type="paragraph" w:styleId="E-mailSignature">
    <w:name w:val="E-mail Signature"/>
    <w:basedOn w:val="Normal"/>
    <w:link w:val="E-mailSignatureChar"/>
    <w:rsid w:val="005253AC"/>
  </w:style>
  <w:style w:type="character" w:customStyle="1" w:styleId="E-mailSignatureChar">
    <w:name w:val="E-mail Signature Char"/>
    <w:basedOn w:val="DefaultParagraphFont"/>
    <w:link w:val="E-mailSignature"/>
    <w:rsid w:val="005253AC"/>
    <w:rPr>
      <w:rFonts w:ascii="Arial" w:hAnsi="Arial"/>
    </w:rPr>
  </w:style>
  <w:style w:type="paragraph" w:styleId="EnvelopeAddress">
    <w:name w:val="envelope address"/>
    <w:basedOn w:val="Normal"/>
    <w:rsid w:val="005253AC"/>
    <w:pPr>
      <w:framePr w:w="7920" w:h="1980" w:hRule="exact" w:hSpace="180" w:wrap="auto" w:hAnchor="page" w:xAlign="center" w:yAlign="bottom"/>
      <w:ind w:left="2880"/>
    </w:pPr>
    <w:rPr>
      <w:rFonts w:cs="Arial"/>
      <w:szCs w:val="24"/>
    </w:rPr>
  </w:style>
  <w:style w:type="paragraph" w:styleId="EnvelopeReturn">
    <w:name w:val="envelope return"/>
    <w:basedOn w:val="Normal"/>
    <w:rsid w:val="005253AC"/>
    <w:rPr>
      <w:rFonts w:cs="Arial"/>
    </w:rPr>
  </w:style>
  <w:style w:type="character" w:styleId="HTMLAcronym">
    <w:name w:val="HTML Acronym"/>
    <w:basedOn w:val="DefaultParagraphFont"/>
    <w:rsid w:val="005253AC"/>
  </w:style>
  <w:style w:type="paragraph" w:styleId="HTMLAddress">
    <w:name w:val="HTML Address"/>
    <w:basedOn w:val="Normal"/>
    <w:link w:val="HTMLAddressChar"/>
    <w:rsid w:val="005253AC"/>
    <w:rPr>
      <w:i/>
      <w:iCs/>
    </w:rPr>
  </w:style>
  <w:style w:type="character" w:customStyle="1" w:styleId="HTMLAddressChar">
    <w:name w:val="HTML Address Char"/>
    <w:basedOn w:val="DefaultParagraphFont"/>
    <w:link w:val="HTMLAddress"/>
    <w:rsid w:val="005253AC"/>
    <w:rPr>
      <w:rFonts w:ascii="Arial" w:hAnsi="Arial"/>
      <w:i/>
      <w:iCs/>
    </w:rPr>
  </w:style>
  <w:style w:type="character" w:styleId="HTMLCite">
    <w:name w:val="HTML Cite"/>
    <w:basedOn w:val="DefaultParagraphFont"/>
    <w:rsid w:val="005253AC"/>
    <w:rPr>
      <w:i/>
      <w:iCs/>
    </w:rPr>
  </w:style>
  <w:style w:type="character" w:styleId="HTMLCode">
    <w:name w:val="HTML Code"/>
    <w:basedOn w:val="DefaultParagraphFont"/>
    <w:rsid w:val="005253AC"/>
    <w:rPr>
      <w:rFonts w:ascii="Courier New" w:hAnsi="Courier New" w:cs="Courier New"/>
      <w:sz w:val="20"/>
      <w:szCs w:val="20"/>
    </w:rPr>
  </w:style>
  <w:style w:type="character" w:styleId="HTMLDefinition">
    <w:name w:val="HTML Definition"/>
    <w:basedOn w:val="DefaultParagraphFont"/>
    <w:rsid w:val="005253AC"/>
    <w:rPr>
      <w:i/>
      <w:iCs/>
    </w:rPr>
  </w:style>
  <w:style w:type="character" w:styleId="HTMLKeyboard">
    <w:name w:val="HTML Keyboard"/>
    <w:basedOn w:val="DefaultParagraphFont"/>
    <w:rsid w:val="005253AC"/>
    <w:rPr>
      <w:rFonts w:ascii="Courier New" w:hAnsi="Courier New" w:cs="Courier New"/>
      <w:sz w:val="20"/>
      <w:szCs w:val="20"/>
    </w:rPr>
  </w:style>
  <w:style w:type="paragraph" w:styleId="HTMLPreformatted">
    <w:name w:val="HTML Preformatted"/>
    <w:basedOn w:val="Normal"/>
    <w:link w:val="HTMLPreformattedChar"/>
    <w:rsid w:val="005253AC"/>
    <w:rPr>
      <w:rFonts w:ascii="Courier New" w:hAnsi="Courier New" w:cs="Courier New"/>
    </w:rPr>
  </w:style>
  <w:style w:type="character" w:customStyle="1" w:styleId="HTMLPreformattedChar">
    <w:name w:val="HTML Preformatted Char"/>
    <w:basedOn w:val="DefaultParagraphFont"/>
    <w:link w:val="HTMLPreformatted"/>
    <w:rsid w:val="005253AC"/>
    <w:rPr>
      <w:rFonts w:ascii="Courier New" w:hAnsi="Courier New" w:cs="Courier New"/>
    </w:rPr>
  </w:style>
  <w:style w:type="character" w:styleId="HTMLSample">
    <w:name w:val="HTML Sample"/>
    <w:basedOn w:val="DefaultParagraphFont"/>
    <w:rsid w:val="005253AC"/>
    <w:rPr>
      <w:rFonts w:ascii="Courier New" w:hAnsi="Courier New" w:cs="Courier New"/>
    </w:rPr>
  </w:style>
  <w:style w:type="character" w:styleId="HTMLTypewriter">
    <w:name w:val="HTML Typewriter"/>
    <w:basedOn w:val="DefaultParagraphFont"/>
    <w:rsid w:val="005253AC"/>
    <w:rPr>
      <w:rFonts w:ascii="Courier New" w:hAnsi="Courier New" w:cs="Courier New"/>
      <w:sz w:val="20"/>
      <w:szCs w:val="20"/>
    </w:rPr>
  </w:style>
  <w:style w:type="character" w:styleId="HTMLVariable">
    <w:name w:val="HTML Variable"/>
    <w:basedOn w:val="DefaultParagraphFont"/>
    <w:rsid w:val="005253AC"/>
    <w:rPr>
      <w:i/>
      <w:iCs/>
    </w:rPr>
  </w:style>
  <w:style w:type="character" w:styleId="LineNumber">
    <w:name w:val="line number"/>
    <w:basedOn w:val="DefaultParagraphFont"/>
    <w:rsid w:val="005253AC"/>
  </w:style>
  <w:style w:type="paragraph" w:styleId="List">
    <w:name w:val="List"/>
    <w:basedOn w:val="Normal"/>
    <w:rsid w:val="005253AC"/>
    <w:pPr>
      <w:ind w:left="360" w:hanging="360"/>
    </w:pPr>
  </w:style>
  <w:style w:type="paragraph" w:styleId="List2">
    <w:name w:val="List 2"/>
    <w:basedOn w:val="Normal"/>
    <w:rsid w:val="005253AC"/>
    <w:pPr>
      <w:ind w:left="720" w:hanging="360"/>
    </w:pPr>
  </w:style>
  <w:style w:type="paragraph" w:styleId="List3">
    <w:name w:val="List 3"/>
    <w:basedOn w:val="Normal"/>
    <w:rsid w:val="005253AC"/>
    <w:pPr>
      <w:ind w:left="1080" w:hanging="360"/>
    </w:pPr>
  </w:style>
  <w:style w:type="paragraph" w:styleId="List4">
    <w:name w:val="List 4"/>
    <w:basedOn w:val="Normal"/>
    <w:rsid w:val="005253AC"/>
    <w:pPr>
      <w:ind w:left="1440" w:hanging="360"/>
    </w:pPr>
  </w:style>
  <w:style w:type="paragraph" w:styleId="List5">
    <w:name w:val="List 5"/>
    <w:basedOn w:val="Normal"/>
    <w:rsid w:val="005253AC"/>
    <w:pPr>
      <w:ind w:left="1800" w:hanging="360"/>
    </w:pPr>
  </w:style>
  <w:style w:type="paragraph" w:styleId="ListBullet">
    <w:name w:val="List Bullet"/>
    <w:basedOn w:val="Normal"/>
    <w:autoRedefine/>
    <w:rsid w:val="005253AC"/>
    <w:pPr>
      <w:tabs>
        <w:tab w:val="num" w:pos="360"/>
      </w:tabs>
      <w:ind w:left="360" w:hanging="360"/>
    </w:pPr>
    <w:rPr>
      <w:bCs/>
      <w:szCs w:val="24"/>
      <w:lang w:val="es-ES" w:eastAsia="zh-CN"/>
    </w:rPr>
  </w:style>
  <w:style w:type="paragraph" w:styleId="ListBullet2">
    <w:name w:val="List Bullet 2"/>
    <w:basedOn w:val="Normal"/>
    <w:rsid w:val="005253AC"/>
    <w:pPr>
      <w:tabs>
        <w:tab w:val="num" w:pos="720"/>
      </w:tabs>
      <w:ind w:left="720" w:hanging="360"/>
    </w:pPr>
  </w:style>
  <w:style w:type="paragraph" w:styleId="ListBullet3">
    <w:name w:val="List Bullet 3"/>
    <w:basedOn w:val="Normal"/>
    <w:rsid w:val="005253AC"/>
    <w:pPr>
      <w:tabs>
        <w:tab w:val="num" w:pos="1080"/>
      </w:tabs>
      <w:ind w:left="1080" w:hanging="360"/>
    </w:pPr>
  </w:style>
  <w:style w:type="paragraph" w:styleId="ListBullet4">
    <w:name w:val="List Bullet 4"/>
    <w:basedOn w:val="Normal"/>
    <w:rsid w:val="005253AC"/>
    <w:pPr>
      <w:tabs>
        <w:tab w:val="num" w:pos="1440"/>
      </w:tabs>
      <w:ind w:left="1440" w:hanging="360"/>
    </w:pPr>
  </w:style>
  <w:style w:type="paragraph" w:styleId="ListBullet5">
    <w:name w:val="List Bullet 5"/>
    <w:basedOn w:val="Normal"/>
    <w:rsid w:val="005253AC"/>
    <w:pPr>
      <w:tabs>
        <w:tab w:val="num" w:pos="1800"/>
      </w:tabs>
      <w:ind w:left="1800" w:hanging="360"/>
    </w:pPr>
  </w:style>
  <w:style w:type="paragraph" w:styleId="ListContinue">
    <w:name w:val="List Continue"/>
    <w:basedOn w:val="Normal"/>
    <w:rsid w:val="005253AC"/>
    <w:pPr>
      <w:spacing w:after="120"/>
      <w:ind w:left="360"/>
    </w:pPr>
  </w:style>
  <w:style w:type="paragraph" w:styleId="ListContinue2">
    <w:name w:val="List Continue 2"/>
    <w:basedOn w:val="Normal"/>
    <w:rsid w:val="005253AC"/>
    <w:pPr>
      <w:spacing w:after="120"/>
      <w:ind w:left="720"/>
    </w:pPr>
  </w:style>
  <w:style w:type="paragraph" w:styleId="ListContinue3">
    <w:name w:val="List Continue 3"/>
    <w:basedOn w:val="Normal"/>
    <w:rsid w:val="005253AC"/>
    <w:pPr>
      <w:spacing w:after="120"/>
      <w:ind w:left="1080"/>
    </w:pPr>
  </w:style>
  <w:style w:type="paragraph" w:styleId="ListContinue4">
    <w:name w:val="List Continue 4"/>
    <w:basedOn w:val="Normal"/>
    <w:rsid w:val="005253AC"/>
    <w:pPr>
      <w:spacing w:after="120"/>
      <w:ind w:left="1440"/>
    </w:pPr>
  </w:style>
  <w:style w:type="paragraph" w:styleId="ListContinue5">
    <w:name w:val="List Continue 5"/>
    <w:basedOn w:val="Normal"/>
    <w:rsid w:val="005253AC"/>
    <w:pPr>
      <w:spacing w:after="120"/>
      <w:ind w:left="1800"/>
    </w:pPr>
  </w:style>
  <w:style w:type="paragraph" w:styleId="ListNumber">
    <w:name w:val="List Number"/>
    <w:basedOn w:val="Normal"/>
    <w:rsid w:val="005253AC"/>
    <w:pPr>
      <w:tabs>
        <w:tab w:val="num" w:pos="360"/>
      </w:tabs>
      <w:ind w:left="360" w:hanging="360"/>
    </w:pPr>
  </w:style>
  <w:style w:type="paragraph" w:styleId="ListNumber2">
    <w:name w:val="List Number 2"/>
    <w:basedOn w:val="Normal"/>
    <w:rsid w:val="005253AC"/>
    <w:pPr>
      <w:tabs>
        <w:tab w:val="num" w:pos="720"/>
      </w:tabs>
      <w:ind w:left="720" w:hanging="360"/>
    </w:pPr>
  </w:style>
  <w:style w:type="paragraph" w:styleId="ListNumber3">
    <w:name w:val="List Number 3"/>
    <w:basedOn w:val="Normal"/>
    <w:rsid w:val="005253AC"/>
    <w:pPr>
      <w:tabs>
        <w:tab w:val="num" w:pos="1080"/>
      </w:tabs>
      <w:ind w:left="1080" w:hanging="360"/>
    </w:pPr>
  </w:style>
  <w:style w:type="paragraph" w:styleId="ListNumber4">
    <w:name w:val="List Number 4"/>
    <w:basedOn w:val="Normal"/>
    <w:rsid w:val="005253AC"/>
    <w:pPr>
      <w:tabs>
        <w:tab w:val="num" w:pos="1440"/>
      </w:tabs>
      <w:ind w:left="1440" w:hanging="360"/>
    </w:pPr>
  </w:style>
  <w:style w:type="paragraph" w:styleId="ListNumber5">
    <w:name w:val="List Number 5"/>
    <w:basedOn w:val="Normal"/>
    <w:rsid w:val="005253AC"/>
    <w:pPr>
      <w:tabs>
        <w:tab w:val="num" w:pos="1800"/>
      </w:tabs>
      <w:ind w:left="1800" w:hanging="360"/>
    </w:pPr>
  </w:style>
  <w:style w:type="paragraph" w:styleId="MessageHeader">
    <w:name w:val="Message Header"/>
    <w:basedOn w:val="Normal"/>
    <w:link w:val="MessageHeaderChar"/>
    <w:rsid w:val="005253AC"/>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5253AC"/>
    <w:rPr>
      <w:rFonts w:ascii="Arial" w:hAnsi="Arial" w:cs="Arial"/>
      <w:szCs w:val="24"/>
      <w:shd w:val="pct20" w:color="auto" w:fill="auto"/>
    </w:rPr>
  </w:style>
  <w:style w:type="paragraph" w:styleId="NoteHeading">
    <w:name w:val="Note Heading"/>
    <w:basedOn w:val="Normal"/>
    <w:next w:val="Normal"/>
    <w:link w:val="NoteHeadingChar"/>
    <w:rsid w:val="005253AC"/>
  </w:style>
  <w:style w:type="character" w:customStyle="1" w:styleId="NoteHeadingChar">
    <w:name w:val="Note Heading Char"/>
    <w:basedOn w:val="DefaultParagraphFont"/>
    <w:link w:val="NoteHeading"/>
    <w:rsid w:val="005253AC"/>
    <w:rPr>
      <w:rFonts w:ascii="Arial" w:hAnsi="Arial"/>
    </w:rPr>
  </w:style>
  <w:style w:type="paragraph" w:styleId="Salutation">
    <w:name w:val="Salutation"/>
    <w:basedOn w:val="Normal"/>
    <w:next w:val="Normal"/>
    <w:link w:val="SalutationChar"/>
    <w:rsid w:val="005253AC"/>
  </w:style>
  <w:style w:type="character" w:customStyle="1" w:styleId="SalutationChar">
    <w:name w:val="Salutation Char"/>
    <w:basedOn w:val="DefaultParagraphFont"/>
    <w:link w:val="Salutation"/>
    <w:rsid w:val="005253AC"/>
    <w:rPr>
      <w:rFonts w:ascii="Arial" w:hAnsi="Arial"/>
    </w:rPr>
  </w:style>
  <w:style w:type="character" w:styleId="Strong">
    <w:name w:val="Strong"/>
    <w:basedOn w:val="DefaultParagraphFont"/>
    <w:qFormat/>
    <w:rsid w:val="005253AC"/>
    <w:rPr>
      <w:b/>
      <w:bCs/>
    </w:rPr>
  </w:style>
  <w:style w:type="paragraph" w:styleId="Subtitle">
    <w:name w:val="Subtitle"/>
    <w:basedOn w:val="Normal"/>
    <w:link w:val="SubtitleChar"/>
    <w:qFormat/>
    <w:rsid w:val="005253AC"/>
    <w:pPr>
      <w:spacing w:after="60"/>
      <w:jc w:val="center"/>
      <w:outlineLvl w:val="1"/>
    </w:pPr>
    <w:rPr>
      <w:rFonts w:cs="Arial"/>
      <w:szCs w:val="24"/>
    </w:rPr>
  </w:style>
  <w:style w:type="character" w:customStyle="1" w:styleId="SubtitleChar">
    <w:name w:val="Subtitle Char"/>
    <w:basedOn w:val="DefaultParagraphFont"/>
    <w:link w:val="Subtitle"/>
    <w:rsid w:val="005253AC"/>
    <w:rPr>
      <w:rFonts w:ascii="Arial" w:hAnsi="Arial" w:cs="Arial"/>
      <w:szCs w:val="24"/>
    </w:rPr>
  </w:style>
  <w:style w:type="table" w:styleId="Table3Deffects1">
    <w:name w:val="Table 3D effects 1"/>
    <w:basedOn w:val="TableNormal"/>
    <w:rsid w:val="005253A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53A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253A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253A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53A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253A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253A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253A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253A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253A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253A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253A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253A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253A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253A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253A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253A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5253A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253A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253A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253A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253A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253A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253A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253A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253A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253A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253A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253A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253A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253A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253A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253A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253A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253A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253A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253A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253A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253A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253A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253A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253A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253A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5253AC"/>
    <w:pPr>
      <w:ind w:left="1440"/>
    </w:pPr>
  </w:style>
  <w:style w:type="paragraph" w:styleId="TOC8">
    <w:name w:val="toc 8"/>
    <w:basedOn w:val="Normal"/>
    <w:next w:val="Normal"/>
    <w:autoRedefine/>
    <w:rsid w:val="005253AC"/>
    <w:pPr>
      <w:ind w:left="1680"/>
    </w:pPr>
  </w:style>
  <w:style w:type="paragraph" w:styleId="TOC9">
    <w:name w:val="toc 9"/>
    <w:basedOn w:val="Normal"/>
    <w:next w:val="Normal"/>
    <w:autoRedefine/>
    <w:rsid w:val="005253AC"/>
    <w:pPr>
      <w:ind w:left="1920"/>
    </w:pPr>
  </w:style>
  <w:style w:type="character" w:styleId="FollowedHyperlink">
    <w:name w:val="FollowedHyperlink"/>
    <w:basedOn w:val="DefaultParagraphFont"/>
    <w:rsid w:val="005253AC"/>
    <w:rPr>
      <w:color w:val="606420"/>
      <w:u w:val="single"/>
    </w:rPr>
  </w:style>
  <w:style w:type="paragraph" w:styleId="BlockText">
    <w:name w:val="Block Text"/>
    <w:basedOn w:val="Normal"/>
    <w:rsid w:val="005253AC"/>
    <w:pPr>
      <w:ind w:left="567" w:right="566"/>
    </w:pPr>
    <w:rPr>
      <w:sz w:val="22"/>
    </w:rPr>
  </w:style>
  <w:style w:type="paragraph" w:styleId="Caption">
    <w:name w:val="caption"/>
    <w:basedOn w:val="Normal"/>
    <w:next w:val="Normal"/>
    <w:qFormat/>
    <w:rsid w:val="005253AC"/>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5253AC"/>
    <w:rPr>
      <w:sz w:val="22"/>
      <w:lang w:val="es-ES_tradnl"/>
    </w:rPr>
  </w:style>
  <w:style w:type="character" w:customStyle="1" w:styleId="CommentTextChar">
    <w:name w:val="Comment Text Char"/>
    <w:basedOn w:val="DefaultParagraphFont"/>
    <w:link w:val="CommentText"/>
    <w:rsid w:val="005253AC"/>
    <w:rPr>
      <w:rFonts w:ascii="Arial" w:hAnsi="Arial"/>
      <w:sz w:val="22"/>
      <w:lang w:val="es-ES_tradnl"/>
    </w:rPr>
  </w:style>
  <w:style w:type="paragraph" w:customStyle="1" w:styleId="Committee">
    <w:name w:val="Committee"/>
    <w:basedOn w:val="Title"/>
    <w:rsid w:val="005253AC"/>
    <w:rPr>
      <w:caps w:val="0"/>
    </w:rPr>
  </w:style>
  <w:style w:type="paragraph" w:customStyle="1" w:styleId="n">
    <w:name w:val="n"/>
    <w:basedOn w:val="Header"/>
    <w:rsid w:val="005253AC"/>
    <w:pPr>
      <w:tabs>
        <w:tab w:val="clear" w:pos="4536"/>
        <w:tab w:val="clear" w:pos="9072"/>
      </w:tabs>
    </w:pPr>
  </w:style>
  <w:style w:type="paragraph" w:customStyle="1" w:styleId="TitleofSection">
    <w:name w:val="Title of Section"/>
    <w:basedOn w:val="TitleofDoc"/>
    <w:rsid w:val="005253AC"/>
    <w:pPr>
      <w:spacing w:before="120" w:after="120"/>
    </w:pPr>
    <w:rPr>
      <w:b/>
      <w:caps w:val="0"/>
      <w:lang w:eastAsia="de-DE"/>
    </w:rPr>
  </w:style>
  <w:style w:type="paragraph" w:customStyle="1" w:styleId="TOCAnnex">
    <w:name w:val="TOC Annex"/>
    <w:basedOn w:val="Normal"/>
    <w:rsid w:val="005253AC"/>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5253AC"/>
    <w:pPr>
      <w:jc w:val="center"/>
    </w:pPr>
    <w:rPr>
      <w:b/>
      <w:caps/>
      <w:szCs w:val="24"/>
    </w:rPr>
  </w:style>
  <w:style w:type="paragraph" w:customStyle="1" w:styleId="Notetoarticle">
    <w:name w:val="Note to article"/>
    <w:basedOn w:val="Normal"/>
    <w:semiHidden/>
    <w:rsid w:val="005253AC"/>
  </w:style>
  <w:style w:type="paragraph" w:styleId="PlainText">
    <w:name w:val="Plain Text"/>
    <w:basedOn w:val="Normal"/>
    <w:link w:val="PlainTextChar"/>
    <w:rsid w:val="005253AC"/>
    <w:rPr>
      <w:rFonts w:ascii="Courier New" w:hAnsi="Courier New" w:cs="Courier New"/>
      <w:lang w:eastAsia="fr-FR"/>
    </w:rPr>
  </w:style>
  <w:style w:type="character" w:customStyle="1" w:styleId="PlainTextChar">
    <w:name w:val="Plain Text Char"/>
    <w:basedOn w:val="DefaultParagraphFont"/>
    <w:link w:val="PlainText"/>
    <w:rsid w:val="005253AC"/>
    <w:rPr>
      <w:rFonts w:ascii="Courier New" w:hAnsi="Courier New" w:cs="Courier New"/>
      <w:lang w:eastAsia="fr-FR"/>
    </w:rPr>
  </w:style>
  <w:style w:type="character" w:styleId="CommentReference">
    <w:name w:val="annotation reference"/>
    <w:basedOn w:val="DefaultParagraphFont"/>
    <w:rsid w:val="005253AC"/>
    <w:rPr>
      <w:rFonts w:cs="Times New Roman"/>
      <w:sz w:val="16"/>
      <w:szCs w:val="16"/>
    </w:rPr>
  </w:style>
  <w:style w:type="paragraph" w:styleId="Revision">
    <w:name w:val="Revision"/>
    <w:hidden/>
    <w:uiPriority w:val="99"/>
    <w:semiHidden/>
    <w:rsid w:val="005253AC"/>
    <w:rPr>
      <w:rFonts w:ascii="Arial" w:hAnsi="Arial"/>
    </w:rPr>
  </w:style>
  <w:style w:type="paragraph" w:styleId="CommentSubject">
    <w:name w:val="annotation subject"/>
    <w:basedOn w:val="CommentText"/>
    <w:next w:val="CommentText"/>
    <w:link w:val="CommentSubjectChar"/>
    <w:rsid w:val="005253AC"/>
    <w:rPr>
      <w:b/>
      <w:bCs/>
      <w:sz w:val="20"/>
      <w:lang w:val="en-US"/>
    </w:rPr>
  </w:style>
  <w:style w:type="character" w:customStyle="1" w:styleId="CommentSubjectChar">
    <w:name w:val="Comment Subject Char"/>
    <w:basedOn w:val="CommentTextChar"/>
    <w:link w:val="CommentSubject"/>
    <w:rsid w:val="005253AC"/>
    <w:rPr>
      <w:rFonts w:ascii="Arial" w:hAnsi="Arial"/>
      <w:b/>
      <w:bCs/>
      <w:sz w:val="22"/>
      <w:lang w:val="es-ES_tradnl"/>
    </w:rPr>
  </w:style>
  <w:style w:type="character" w:customStyle="1" w:styleId="NormaltgChar">
    <w:name w:val="Normaltg Char"/>
    <w:link w:val="Normaltg0"/>
    <w:rsid w:val="005253AC"/>
    <w:rPr>
      <w:rFonts w:eastAsia="MS Mincho"/>
      <w:sz w:val="24"/>
    </w:rPr>
  </w:style>
  <w:style w:type="character" w:customStyle="1" w:styleId="hps">
    <w:name w:val="hps"/>
    <w:basedOn w:val="DefaultParagraphFont"/>
    <w:rsid w:val="005253AC"/>
  </w:style>
  <w:style w:type="character" w:customStyle="1" w:styleId="Standaardalinea-lettertype">
    <w:name w:val="Standaardalinea-lettertype"/>
    <w:rsid w:val="005253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aliases w:val="COMMON NAME,common"/>
    <w:next w:val="Normal"/>
    <w:link w:val="Heading1Char"/>
    <w:autoRedefine/>
    <w:qFormat/>
    <w:rsid w:val="00370631"/>
    <w:pPr>
      <w:keepNext/>
      <w:jc w:val="both"/>
      <w:outlineLvl w:val="0"/>
    </w:pPr>
    <w:rPr>
      <w:rFonts w:ascii="Arial" w:hAnsi="Arial"/>
      <w:caps/>
    </w:rPr>
  </w:style>
  <w:style w:type="paragraph" w:styleId="Heading2">
    <w:name w:val="heading 2"/>
    <w:next w:val="Normal"/>
    <w:link w:val="Heading2Char"/>
    <w:autoRedefine/>
    <w:qFormat/>
    <w:rsid w:val="00370631"/>
    <w:pPr>
      <w:keepNext/>
      <w:jc w:val="both"/>
      <w:outlineLvl w:val="1"/>
    </w:pPr>
    <w:rPr>
      <w:rFonts w:ascii="Arial" w:hAnsi="Arial"/>
      <w:u w:val="single"/>
    </w:rPr>
  </w:style>
  <w:style w:type="paragraph" w:styleId="Heading3">
    <w:name w:val="heading 3"/>
    <w:next w:val="Normal"/>
    <w:link w:val="Heading3Char"/>
    <w:autoRedefine/>
    <w:qFormat/>
    <w:rsid w:val="00370631"/>
    <w:pPr>
      <w:keepNext/>
      <w:jc w:val="both"/>
      <w:outlineLvl w:val="2"/>
    </w:pPr>
    <w:rPr>
      <w:rFonts w:ascii="Arial" w:hAnsi="Arial"/>
      <w:i/>
    </w:rPr>
  </w:style>
  <w:style w:type="paragraph" w:styleId="Heading4">
    <w:name w:val="heading 4"/>
    <w:next w:val="Normal"/>
    <w:link w:val="Heading4Char"/>
    <w:autoRedefine/>
    <w:qFormat/>
    <w:rsid w:val="00370631"/>
    <w:pPr>
      <w:keepNext/>
      <w:ind w:left="567"/>
      <w:jc w:val="both"/>
      <w:outlineLvl w:val="3"/>
    </w:pPr>
    <w:rPr>
      <w:rFonts w:ascii="Arial" w:hAnsi="Arial"/>
      <w:u w:val="single"/>
      <w:lang w:val="fr-FR"/>
    </w:rPr>
  </w:style>
  <w:style w:type="paragraph" w:styleId="Heading5">
    <w:name w:val="heading 5"/>
    <w:next w:val="Normal"/>
    <w:link w:val="Heading5Char"/>
    <w:autoRedefine/>
    <w:qFormat/>
    <w:rsid w:val="0047214B"/>
    <w:pPr>
      <w:keepNext/>
      <w:ind w:left="1134" w:hanging="567"/>
      <w:jc w:val="both"/>
      <w:outlineLvl w:val="4"/>
    </w:pPr>
    <w:rPr>
      <w:rFonts w:ascii="Arial" w:hAnsi="Arial"/>
      <w:i/>
    </w:rPr>
  </w:style>
  <w:style w:type="paragraph" w:styleId="Heading6">
    <w:name w:val="heading 6"/>
    <w:basedOn w:val="Normal"/>
    <w:next w:val="Normal"/>
    <w:link w:val="Heading6Char"/>
    <w:qFormat/>
    <w:rsid w:val="005253AC"/>
    <w:pPr>
      <w:outlineLvl w:val="5"/>
    </w:pPr>
    <w:rPr>
      <w:lang w:val="es-ES_tradnl"/>
    </w:rPr>
  </w:style>
  <w:style w:type="paragraph" w:styleId="Heading7">
    <w:name w:val="heading 7"/>
    <w:basedOn w:val="Normal"/>
    <w:next w:val="Normal"/>
    <w:link w:val="Heading7Char"/>
    <w:qFormat/>
    <w:rsid w:val="005253AC"/>
    <w:pPr>
      <w:spacing w:before="240" w:after="60"/>
      <w:outlineLvl w:val="6"/>
    </w:pPr>
    <w:rPr>
      <w:szCs w:val="24"/>
    </w:rPr>
  </w:style>
  <w:style w:type="paragraph" w:styleId="Heading8">
    <w:name w:val="heading 8"/>
    <w:basedOn w:val="Normal"/>
    <w:next w:val="Normal"/>
    <w:link w:val="Heading8Char"/>
    <w:qFormat/>
    <w:rsid w:val="005253AC"/>
    <w:pPr>
      <w:keepNext/>
      <w:jc w:val="center"/>
      <w:outlineLvl w:val="7"/>
    </w:pPr>
    <w:rPr>
      <w:u w:val="single"/>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6D780A"/>
    <w:pPr>
      <w:tabs>
        <w:tab w:val="center" w:pos="4536"/>
        <w:tab w:val="right" w:pos="9072"/>
      </w:tabs>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905020"/>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link w:val="pldetailsChar"/>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370631"/>
    <w:pPr>
      <w:tabs>
        <w:tab w:val="right" w:leader="dot" w:pos="9639"/>
      </w:tabs>
      <w:contextualSpacing/>
      <w:jc w:val="center"/>
    </w:pPr>
    <w:rPr>
      <w:rFonts w:ascii="Arial" w:hAnsi="Arial"/>
      <w:caps/>
    </w:rPr>
  </w:style>
  <w:style w:type="paragraph" w:styleId="TOC5">
    <w:name w:val="toc 5"/>
    <w:next w:val="Normal"/>
    <w:autoRedefine/>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character" w:customStyle="1" w:styleId="Heading1Char">
    <w:name w:val="Heading 1 Char"/>
    <w:aliases w:val="COMMON NAME Char,common Char"/>
    <w:basedOn w:val="DefaultParagraphFont"/>
    <w:link w:val="Heading1"/>
    <w:locked/>
    <w:rsid w:val="00FD7EB7"/>
    <w:rPr>
      <w:rFonts w:ascii="Arial" w:hAnsi="Arial"/>
      <w:caps/>
    </w:rPr>
  </w:style>
  <w:style w:type="character" w:customStyle="1" w:styleId="Heading2Char">
    <w:name w:val="Heading 2 Char"/>
    <w:basedOn w:val="DefaultParagraphFont"/>
    <w:link w:val="Heading2"/>
    <w:locked/>
    <w:rsid w:val="00FD7EB7"/>
    <w:rPr>
      <w:rFonts w:ascii="Arial" w:hAnsi="Arial"/>
      <w:u w:val="single"/>
    </w:rPr>
  </w:style>
  <w:style w:type="character" w:customStyle="1" w:styleId="Heading3Char">
    <w:name w:val="Heading 3 Char"/>
    <w:basedOn w:val="DefaultParagraphFont"/>
    <w:link w:val="Heading3"/>
    <w:locked/>
    <w:rsid w:val="00FD7EB7"/>
    <w:rPr>
      <w:rFonts w:ascii="Arial" w:hAnsi="Arial"/>
      <w:i/>
    </w:rPr>
  </w:style>
  <w:style w:type="character" w:customStyle="1" w:styleId="Heading4Char">
    <w:name w:val="Heading 4 Char"/>
    <w:basedOn w:val="DefaultParagraphFont"/>
    <w:link w:val="Heading4"/>
    <w:locked/>
    <w:rsid w:val="00FD7EB7"/>
    <w:rPr>
      <w:rFonts w:ascii="Arial" w:hAnsi="Arial"/>
      <w:u w:val="single"/>
      <w:lang w:val="fr-FR"/>
    </w:rPr>
  </w:style>
  <w:style w:type="character" w:customStyle="1" w:styleId="Heading5Char">
    <w:name w:val="Heading 5 Char"/>
    <w:basedOn w:val="DefaultParagraphFont"/>
    <w:link w:val="Heading5"/>
    <w:locked/>
    <w:rsid w:val="0047214B"/>
    <w:rPr>
      <w:rFonts w:ascii="Arial" w:hAnsi="Arial"/>
      <w:i/>
    </w:rPr>
  </w:style>
  <w:style w:type="character" w:customStyle="1" w:styleId="Heading9Char">
    <w:name w:val="Heading 9 Char"/>
    <w:basedOn w:val="DefaultParagraphFont"/>
    <w:link w:val="Heading9"/>
    <w:uiPriority w:val="99"/>
    <w:locked/>
    <w:rsid w:val="00FD7EB7"/>
    <w:rPr>
      <w:rFonts w:ascii="Arial" w:hAnsi="Arial"/>
      <w:i/>
      <w:sz w:val="18"/>
    </w:rPr>
  </w:style>
  <w:style w:type="character" w:customStyle="1" w:styleId="HeaderChar">
    <w:name w:val="Header Char"/>
    <w:basedOn w:val="DefaultParagraphFont"/>
    <w:link w:val="Header"/>
    <w:uiPriority w:val="99"/>
    <w:locked/>
    <w:rsid w:val="00FD7EB7"/>
    <w:rPr>
      <w:rFonts w:ascii="Arial" w:hAnsi="Arial"/>
      <w:lang w:val="fr-FR"/>
    </w:rPr>
  </w:style>
  <w:style w:type="character" w:customStyle="1" w:styleId="FooterChar">
    <w:name w:val="Footer Char"/>
    <w:aliases w:val="doc_path_name Char"/>
    <w:basedOn w:val="DefaultParagraphFont"/>
    <w:link w:val="Footer"/>
    <w:locked/>
    <w:rsid w:val="00FD7EB7"/>
    <w:rPr>
      <w:rFonts w:ascii="Arial" w:hAnsi="Arial"/>
      <w:sz w:val="14"/>
    </w:rPr>
  </w:style>
  <w:style w:type="character" w:customStyle="1" w:styleId="TitleChar">
    <w:name w:val="Title Char"/>
    <w:basedOn w:val="DefaultParagraphFont"/>
    <w:link w:val="Title"/>
    <w:uiPriority w:val="99"/>
    <w:locked/>
    <w:rsid w:val="00FD7EB7"/>
    <w:rPr>
      <w:rFonts w:ascii="Arial" w:hAnsi="Arial"/>
      <w:b/>
      <w:caps/>
      <w:kern w:val="28"/>
      <w:sz w:val="30"/>
    </w:rPr>
  </w:style>
  <w:style w:type="character" w:customStyle="1" w:styleId="FootnoteTextChar">
    <w:name w:val="Footnote Text Char"/>
    <w:basedOn w:val="DefaultParagraphFont"/>
    <w:link w:val="FootnoteText"/>
    <w:locked/>
    <w:rsid w:val="00FD7EB7"/>
    <w:rPr>
      <w:rFonts w:ascii="Arial" w:hAnsi="Arial"/>
      <w:sz w:val="16"/>
    </w:rPr>
  </w:style>
  <w:style w:type="character" w:customStyle="1" w:styleId="ClosingChar">
    <w:name w:val="Closing Char"/>
    <w:basedOn w:val="DefaultParagraphFont"/>
    <w:link w:val="Closing"/>
    <w:uiPriority w:val="99"/>
    <w:locked/>
    <w:rsid w:val="00FD7EB7"/>
    <w:rPr>
      <w:rFonts w:ascii="Arial" w:hAnsi="Arial"/>
    </w:rPr>
  </w:style>
  <w:style w:type="character" w:customStyle="1" w:styleId="MacroTextChar">
    <w:name w:val="Macro Text Char"/>
    <w:basedOn w:val="DefaultParagraphFont"/>
    <w:link w:val="MacroText"/>
    <w:uiPriority w:val="99"/>
    <w:semiHidden/>
    <w:locked/>
    <w:rsid w:val="00FD7EB7"/>
    <w:rPr>
      <w:rFonts w:ascii="Courier New" w:hAnsi="Courier New"/>
      <w:sz w:val="16"/>
    </w:rPr>
  </w:style>
  <w:style w:type="character" w:customStyle="1" w:styleId="SignatureChar">
    <w:name w:val="Signature Char"/>
    <w:basedOn w:val="DefaultParagraphFont"/>
    <w:link w:val="Signature"/>
    <w:uiPriority w:val="99"/>
    <w:locked/>
    <w:rsid w:val="00FD7EB7"/>
    <w:rPr>
      <w:rFonts w:ascii="Arial" w:hAnsi="Arial"/>
    </w:rPr>
  </w:style>
  <w:style w:type="character" w:customStyle="1" w:styleId="BodyTextChar">
    <w:name w:val="Body Text Char"/>
    <w:basedOn w:val="DefaultParagraphFont"/>
    <w:link w:val="BodyText"/>
    <w:locked/>
    <w:rsid w:val="00FD7EB7"/>
    <w:rPr>
      <w:rFonts w:ascii="Arial" w:hAnsi="Arial"/>
    </w:rPr>
  </w:style>
  <w:style w:type="character" w:customStyle="1" w:styleId="EndnoteTextChar">
    <w:name w:val="Endnote Text Char"/>
    <w:basedOn w:val="DefaultParagraphFont"/>
    <w:link w:val="EndnoteText"/>
    <w:uiPriority w:val="99"/>
    <w:semiHidden/>
    <w:locked/>
    <w:rsid w:val="00FD7EB7"/>
    <w:rPr>
      <w:rFonts w:ascii="Arial" w:hAnsi="Arial"/>
    </w:rPr>
  </w:style>
  <w:style w:type="character" w:customStyle="1" w:styleId="DateChar">
    <w:name w:val="Date Char"/>
    <w:basedOn w:val="DefaultParagraphFont"/>
    <w:link w:val="Date"/>
    <w:uiPriority w:val="99"/>
    <w:semiHidden/>
    <w:locked/>
    <w:rsid w:val="00FD7EB7"/>
    <w:rPr>
      <w:rFonts w:ascii="Arial" w:hAnsi="Arial"/>
      <w:b/>
      <w:sz w:val="22"/>
    </w:rPr>
  </w:style>
  <w:style w:type="paragraph" w:customStyle="1" w:styleId="style1">
    <w:name w:val="style1"/>
    <w:basedOn w:val="Normal"/>
    <w:uiPriority w:val="99"/>
    <w:rsid w:val="00FD7EB7"/>
    <w:pPr>
      <w:jc w:val="left"/>
    </w:pPr>
    <w:rPr>
      <w:rFonts w:ascii="Times New Roman" w:hAnsi="Times New Roman"/>
      <w:sz w:val="24"/>
      <w:szCs w:val="24"/>
    </w:rPr>
  </w:style>
  <w:style w:type="paragraph" w:customStyle="1" w:styleId="normaltg">
    <w:name w:val="normaltg"/>
    <w:basedOn w:val="Normal"/>
    <w:uiPriority w:val="99"/>
    <w:rsid w:val="00FD7EB7"/>
    <w:pPr>
      <w:spacing w:before="100" w:beforeAutospacing="1" w:after="100" w:afterAutospacing="1"/>
      <w:jc w:val="left"/>
    </w:pPr>
    <w:rPr>
      <w:rFonts w:ascii="Times New Roman" w:hAnsi="Times New Roman"/>
      <w:sz w:val="24"/>
      <w:szCs w:val="24"/>
      <w:lang w:val="fr-FR" w:eastAsia="fr-FR"/>
    </w:rPr>
  </w:style>
  <w:style w:type="paragraph" w:styleId="ListParagraph">
    <w:name w:val="List Paragraph"/>
    <w:basedOn w:val="Normal"/>
    <w:uiPriority w:val="34"/>
    <w:qFormat/>
    <w:rsid w:val="00FD7EB7"/>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uiPriority w:val="99"/>
    <w:rsid w:val="00FD7EB7"/>
    <w:pPr>
      <w:spacing w:before="120" w:after="120"/>
      <w:ind w:left="284" w:right="284" w:hanging="284"/>
      <w:contextualSpacing w:val="0"/>
      <w:jc w:val="left"/>
    </w:pPr>
    <w:rPr>
      <w:noProof/>
    </w:rPr>
  </w:style>
  <w:style w:type="paragraph" w:customStyle="1" w:styleId="Normaltg0">
    <w:name w:val="Normaltg"/>
    <w:basedOn w:val="Normal"/>
    <w:link w:val="NormaltgChar"/>
    <w:rsid w:val="00FD7EB7"/>
    <w:pPr>
      <w:tabs>
        <w:tab w:val="left" w:pos="709"/>
        <w:tab w:val="left" w:pos="1418"/>
      </w:tabs>
    </w:pPr>
    <w:rPr>
      <w:rFonts w:ascii="Times New Roman" w:eastAsia="MS Mincho" w:hAnsi="Times New Roman"/>
      <w:sz w:val="24"/>
    </w:rPr>
  </w:style>
  <w:style w:type="paragraph" w:customStyle="1" w:styleId="Normalt">
    <w:name w:val="Normalt"/>
    <w:basedOn w:val="Normal"/>
    <w:uiPriority w:val="99"/>
    <w:rsid w:val="00FD7EB7"/>
    <w:pPr>
      <w:spacing w:before="120" w:after="120"/>
      <w:jc w:val="left"/>
    </w:pPr>
    <w:rPr>
      <w:rFonts w:ascii="Times New Roman" w:hAnsi="Times New Roman"/>
      <w:noProof/>
      <w:lang w:eastAsia="es-ES"/>
    </w:rPr>
  </w:style>
  <w:style w:type="paragraph" w:customStyle="1" w:styleId="Normaltb">
    <w:name w:val="Normaltb"/>
    <w:basedOn w:val="Normalt"/>
    <w:uiPriority w:val="99"/>
    <w:rsid w:val="00FD7EB7"/>
    <w:pPr>
      <w:keepNext/>
    </w:pPr>
    <w:rPr>
      <w:b/>
    </w:rPr>
  </w:style>
  <w:style w:type="paragraph" w:customStyle="1" w:styleId="ecxmsonormal">
    <w:name w:val="ecxmsonormal"/>
    <w:basedOn w:val="Normal"/>
    <w:uiPriority w:val="99"/>
    <w:rsid w:val="00FD7EB7"/>
    <w:pPr>
      <w:spacing w:before="100" w:beforeAutospacing="1" w:after="100" w:afterAutospacing="1"/>
      <w:jc w:val="left"/>
    </w:pPr>
    <w:rPr>
      <w:rFonts w:ascii="Times New Roman" w:hAnsi="Times New Roman"/>
      <w:sz w:val="24"/>
      <w:szCs w:val="24"/>
      <w:lang w:val="es-ES" w:eastAsia="es-ES"/>
    </w:rPr>
  </w:style>
  <w:style w:type="paragraph" w:customStyle="1" w:styleId="Default">
    <w:name w:val="Default"/>
    <w:rsid w:val="00FD7EB7"/>
    <w:pPr>
      <w:autoSpaceDE w:val="0"/>
      <w:autoSpaceDN w:val="0"/>
      <w:adjustRightInd w:val="0"/>
    </w:pPr>
    <w:rPr>
      <w:rFonts w:ascii="Arial" w:hAnsi="Arial" w:cs="Arial"/>
      <w:color w:val="000000"/>
      <w:sz w:val="24"/>
      <w:szCs w:val="24"/>
    </w:rPr>
  </w:style>
  <w:style w:type="table" w:styleId="TableGrid">
    <w:name w:val="Table Grid"/>
    <w:basedOn w:val="TableNormal"/>
    <w:rsid w:val="00FD7EB7"/>
    <w:rPr>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uiPriority w:val="99"/>
    <w:rsid w:val="00FD7EB7"/>
    <w:rPr>
      <w:rFonts w:cs="Times New Roman"/>
    </w:rPr>
  </w:style>
  <w:style w:type="character" w:customStyle="1" w:styleId="Heading6Char">
    <w:name w:val="Heading 6 Char"/>
    <w:basedOn w:val="DefaultParagraphFont"/>
    <w:link w:val="Heading6"/>
    <w:rsid w:val="005253AC"/>
    <w:rPr>
      <w:rFonts w:ascii="Arial" w:hAnsi="Arial"/>
      <w:lang w:val="es-ES_tradnl"/>
    </w:rPr>
  </w:style>
  <w:style w:type="character" w:customStyle="1" w:styleId="Heading7Char">
    <w:name w:val="Heading 7 Char"/>
    <w:basedOn w:val="DefaultParagraphFont"/>
    <w:link w:val="Heading7"/>
    <w:rsid w:val="005253AC"/>
    <w:rPr>
      <w:rFonts w:ascii="Arial" w:hAnsi="Arial"/>
      <w:szCs w:val="24"/>
    </w:rPr>
  </w:style>
  <w:style w:type="character" w:customStyle="1" w:styleId="Heading8Char">
    <w:name w:val="Heading 8 Char"/>
    <w:basedOn w:val="DefaultParagraphFont"/>
    <w:link w:val="Heading8"/>
    <w:rsid w:val="005253AC"/>
    <w:rPr>
      <w:rFonts w:ascii="Arial" w:hAnsi="Arial"/>
      <w:u w:val="single"/>
    </w:rPr>
  </w:style>
  <w:style w:type="character" w:styleId="Emphasis">
    <w:name w:val="Emphasis"/>
    <w:basedOn w:val="DefaultParagraphFont"/>
    <w:qFormat/>
    <w:rsid w:val="005253AC"/>
    <w:rPr>
      <w:i/>
      <w:iCs/>
    </w:rPr>
  </w:style>
  <w:style w:type="character" w:customStyle="1" w:styleId="DecisionParagraphsChar">
    <w:name w:val="DecisionParagraphs Char"/>
    <w:link w:val="DecisionParagraphs"/>
    <w:rsid w:val="005253AC"/>
    <w:rPr>
      <w:rFonts w:ascii="Arial" w:hAnsi="Arial"/>
      <w:i/>
    </w:rPr>
  </w:style>
  <w:style w:type="paragraph" w:customStyle="1" w:styleId="tgchartextcentered">
    <w:name w:val="tg_char_text_centered"/>
    <w:basedOn w:val="Normal"/>
    <w:rsid w:val="005253AC"/>
    <w:pPr>
      <w:spacing w:before="80" w:after="80"/>
      <w:jc w:val="center"/>
    </w:pPr>
    <w:rPr>
      <w:b/>
      <w:sz w:val="16"/>
    </w:rPr>
  </w:style>
  <w:style w:type="paragraph" w:customStyle="1" w:styleId="tgchartext">
    <w:name w:val="tg_char_text"/>
    <w:basedOn w:val="Normal"/>
    <w:rsid w:val="005253AC"/>
    <w:pPr>
      <w:spacing w:before="80" w:after="80"/>
      <w:jc w:val="left"/>
    </w:pPr>
    <w:rPr>
      <w:sz w:val="16"/>
    </w:rPr>
  </w:style>
  <w:style w:type="character" w:customStyle="1" w:styleId="pldetailsChar">
    <w:name w:val="pldetails Char"/>
    <w:link w:val="pldetails"/>
    <w:locked/>
    <w:rsid w:val="005253AC"/>
    <w:rPr>
      <w:rFonts w:ascii="Arial" w:hAnsi="Arial"/>
      <w:noProof/>
      <w:snapToGrid w:val="0"/>
    </w:rPr>
  </w:style>
  <w:style w:type="paragraph" w:styleId="NormalWeb">
    <w:name w:val="Normal (Web)"/>
    <w:basedOn w:val="Normal"/>
    <w:rsid w:val="005253AC"/>
    <w:pPr>
      <w:spacing w:before="100" w:beforeAutospacing="1" w:after="100" w:afterAutospacing="1"/>
      <w:jc w:val="left"/>
    </w:pPr>
    <w:rPr>
      <w:szCs w:val="24"/>
    </w:rPr>
  </w:style>
  <w:style w:type="paragraph" w:customStyle="1" w:styleId="pdflink">
    <w:name w:val="pdflink"/>
    <w:basedOn w:val="Normal"/>
    <w:next w:val="Normal"/>
    <w:rsid w:val="005253AC"/>
    <w:rPr>
      <w:color w:val="800000"/>
      <w:u w:val="words"/>
    </w:rPr>
  </w:style>
  <w:style w:type="paragraph" w:customStyle="1" w:styleId="Draft">
    <w:name w:val="Draft"/>
    <w:basedOn w:val="Normal"/>
    <w:next w:val="preparedby"/>
    <w:rsid w:val="005253AC"/>
    <w:pPr>
      <w:spacing w:before="720" w:after="480"/>
      <w:jc w:val="center"/>
    </w:pPr>
    <w:rPr>
      <w:caps/>
      <w:sz w:val="28"/>
    </w:rPr>
  </w:style>
  <w:style w:type="paragraph" w:customStyle="1" w:styleId="quote1">
    <w:name w:val="quote1"/>
    <w:basedOn w:val="Normal"/>
    <w:semiHidden/>
    <w:rsid w:val="005253AC"/>
    <w:pPr>
      <w:ind w:left="567" w:right="565" w:firstLine="567"/>
    </w:pPr>
    <w:rPr>
      <w:snapToGrid w:val="0"/>
      <w:sz w:val="22"/>
      <w:szCs w:val="22"/>
    </w:rPr>
  </w:style>
  <w:style w:type="paragraph" w:customStyle="1" w:styleId="tqparabox">
    <w:name w:val="tqparabox"/>
    <w:basedOn w:val="Normal"/>
    <w:rsid w:val="005253AC"/>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5253AC"/>
    <w:pPr>
      <w:ind w:left="1200"/>
    </w:pPr>
  </w:style>
  <w:style w:type="paragraph" w:styleId="BodyTextIndent">
    <w:name w:val="Body Text Indent"/>
    <w:basedOn w:val="Normal"/>
    <w:link w:val="BodyTextIndentChar"/>
    <w:rsid w:val="005253AC"/>
    <w:pPr>
      <w:ind w:left="567"/>
    </w:pPr>
    <w:rPr>
      <w:lang w:val="es-ES_tradnl"/>
    </w:rPr>
  </w:style>
  <w:style w:type="character" w:customStyle="1" w:styleId="BodyTextIndentChar">
    <w:name w:val="Body Text Indent Char"/>
    <w:basedOn w:val="DefaultParagraphFont"/>
    <w:link w:val="BodyTextIndent"/>
    <w:rsid w:val="005253AC"/>
    <w:rPr>
      <w:rFonts w:ascii="Arial" w:hAnsi="Arial"/>
      <w:lang w:val="es-ES_tradnl"/>
    </w:rPr>
  </w:style>
  <w:style w:type="paragraph" w:customStyle="1" w:styleId="twpcheck">
    <w:name w:val="twpcheck"/>
    <w:basedOn w:val="Normal"/>
    <w:rsid w:val="005253AC"/>
    <w:pPr>
      <w:spacing w:before="80" w:after="80"/>
      <w:jc w:val="left"/>
    </w:pPr>
    <w:rPr>
      <w:rFonts w:cs="Arial"/>
      <w:snapToGrid w:val="0"/>
      <w:sz w:val="16"/>
      <w:szCs w:val="16"/>
    </w:rPr>
  </w:style>
  <w:style w:type="paragraph" w:customStyle="1" w:styleId="DecisionInvitingPara">
    <w:name w:val="Decision Inviting Para."/>
    <w:basedOn w:val="Normal"/>
    <w:rsid w:val="005253AC"/>
    <w:pPr>
      <w:ind w:left="4536"/>
    </w:pPr>
    <w:rPr>
      <w:i/>
      <w:lang w:val="es-ES_tradnl"/>
    </w:rPr>
  </w:style>
  <w:style w:type="paragraph" w:customStyle="1" w:styleId="Enttepair">
    <w:name w:val="Entête_pair"/>
    <w:basedOn w:val="Normal"/>
    <w:next w:val="Normal"/>
    <w:rsid w:val="005253AC"/>
    <w:pPr>
      <w:pBdr>
        <w:bottom w:val="single" w:sz="4" w:space="1" w:color="auto"/>
      </w:pBdr>
      <w:jc w:val="left"/>
    </w:pPr>
    <w:rPr>
      <w:szCs w:val="24"/>
    </w:rPr>
  </w:style>
  <w:style w:type="paragraph" w:customStyle="1" w:styleId="Entteimpair">
    <w:name w:val="Entête_impair"/>
    <w:basedOn w:val="Normal"/>
    <w:next w:val="Normal"/>
    <w:rsid w:val="005253AC"/>
    <w:pPr>
      <w:pBdr>
        <w:bottom w:val="single" w:sz="4" w:space="1" w:color="auto"/>
      </w:pBdr>
      <w:jc w:val="right"/>
    </w:pPr>
  </w:style>
  <w:style w:type="paragraph" w:styleId="E-mailSignature">
    <w:name w:val="E-mail Signature"/>
    <w:basedOn w:val="Normal"/>
    <w:link w:val="E-mailSignatureChar"/>
    <w:rsid w:val="005253AC"/>
  </w:style>
  <w:style w:type="character" w:customStyle="1" w:styleId="E-mailSignatureChar">
    <w:name w:val="E-mail Signature Char"/>
    <w:basedOn w:val="DefaultParagraphFont"/>
    <w:link w:val="E-mailSignature"/>
    <w:rsid w:val="005253AC"/>
    <w:rPr>
      <w:rFonts w:ascii="Arial" w:hAnsi="Arial"/>
    </w:rPr>
  </w:style>
  <w:style w:type="paragraph" w:styleId="EnvelopeAddress">
    <w:name w:val="envelope address"/>
    <w:basedOn w:val="Normal"/>
    <w:rsid w:val="005253AC"/>
    <w:pPr>
      <w:framePr w:w="7920" w:h="1980" w:hRule="exact" w:hSpace="180" w:wrap="auto" w:hAnchor="page" w:xAlign="center" w:yAlign="bottom"/>
      <w:ind w:left="2880"/>
    </w:pPr>
    <w:rPr>
      <w:rFonts w:cs="Arial"/>
      <w:szCs w:val="24"/>
    </w:rPr>
  </w:style>
  <w:style w:type="paragraph" w:styleId="EnvelopeReturn">
    <w:name w:val="envelope return"/>
    <w:basedOn w:val="Normal"/>
    <w:rsid w:val="005253AC"/>
    <w:rPr>
      <w:rFonts w:cs="Arial"/>
    </w:rPr>
  </w:style>
  <w:style w:type="character" w:styleId="HTMLAcronym">
    <w:name w:val="HTML Acronym"/>
    <w:basedOn w:val="DefaultParagraphFont"/>
    <w:rsid w:val="005253AC"/>
  </w:style>
  <w:style w:type="paragraph" w:styleId="HTMLAddress">
    <w:name w:val="HTML Address"/>
    <w:basedOn w:val="Normal"/>
    <w:link w:val="HTMLAddressChar"/>
    <w:rsid w:val="005253AC"/>
    <w:rPr>
      <w:i/>
      <w:iCs/>
    </w:rPr>
  </w:style>
  <w:style w:type="character" w:customStyle="1" w:styleId="HTMLAddressChar">
    <w:name w:val="HTML Address Char"/>
    <w:basedOn w:val="DefaultParagraphFont"/>
    <w:link w:val="HTMLAddress"/>
    <w:rsid w:val="005253AC"/>
    <w:rPr>
      <w:rFonts w:ascii="Arial" w:hAnsi="Arial"/>
      <w:i/>
      <w:iCs/>
    </w:rPr>
  </w:style>
  <w:style w:type="character" w:styleId="HTMLCite">
    <w:name w:val="HTML Cite"/>
    <w:basedOn w:val="DefaultParagraphFont"/>
    <w:rsid w:val="005253AC"/>
    <w:rPr>
      <w:i/>
      <w:iCs/>
    </w:rPr>
  </w:style>
  <w:style w:type="character" w:styleId="HTMLCode">
    <w:name w:val="HTML Code"/>
    <w:basedOn w:val="DefaultParagraphFont"/>
    <w:rsid w:val="005253AC"/>
    <w:rPr>
      <w:rFonts w:ascii="Courier New" w:hAnsi="Courier New" w:cs="Courier New"/>
      <w:sz w:val="20"/>
      <w:szCs w:val="20"/>
    </w:rPr>
  </w:style>
  <w:style w:type="character" w:styleId="HTMLDefinition">
    <w:name w:val="HTML Definition"/>
    <w:basedOn w:val="DefaultParagraphFont"/>
    <w:rsid w:val="005253AC"/>
    <w:rPr>
      <w:i/>
      <w:iCs/>
    </w:rPr>
  </w:style>
  <w:style w:type="character" w:styleId="HTMLKeyboard">
    <w:name w:val="HTML Keyboard"/>
    <w:basedOn w:val="DefaultParagraphFont"/>
    <w:rsid w:val="005253AC"/>
    <w:rPr>
      <w:rFonts w:ascii="Courier New" w:hAnsi="Courier New" w:cs="Courier New"/>
      <w:sz w:val="20"/>
      <w:szCs w:val="20"/>
    </w:rPr>
  </w:style>
  <w:style w:type="paragraph" w:styleId="HTMLPreformatted">
    <w:name w:val="HTML Preformatted"/>
    <w:basedOn w:val="Normal"/>
    <w:link w:val="HTMLPreformattedChar"/>
    <w:rsid w:val="005253AC"/>
    <w:rPr>
      <w:rFonts w:ascii="Courier New" w:hAnsi="Courier New" w:cs="Courier New"/>
    </w:rPr>
  </w:style>
  <w:style w:type="character" w:customStyle="1" w:styleId="HTMLPreformattedChar">
    <w:name w:val="HTML Preformatted Char"/>
    <w:basedOn w:val="DefaultParagraphFont"/>
    <w:link w:val="HTMLPreformatted"/>
    <w:rsid w:val="005253AC"/>
    <w:rPr>
      <w:rFonts w:ascii="Courier New" w:hAnsi="Courier New" w:cs="Courier New"/>
    </w:rPr>
  </w:style>
  <w:style w:type="character" w:styleId="HTMLSample">
    <w:name w:val="HTML Sample"/>
    <w:basedOn w:val="DefaultParagraphFont"/>
    <w:rsid w:val="005253AC"/>
    <w:rPr>
      <w:rFonts w:ascii="Courier New" w:hAnsi="Courier New" w:cs="Courier New"/>
    </w:rPr>
  </w:style>
  <w:style w:type="character" w:styleId="HTMLTypewriter">
    <w:name w:val="HTML Typewriter"/>
    <w:basedOn w:val="DefaultParagraphFont"/>
    <w:rsid w:val="005253AC"/>
    <w:rPr>
      <w:rFonts w:ascii="Courier New" w:hAnsi="Courier New" w:cs="Courier New"/>
      <w:sz w:val="20"/>
      <w:szCs w:val="20"/>
    </w:rPr>
  </w:style>
  <w:style w:type="character" w:styleId="HTMLVariable">
    <w:name w:val="HTML Variable"/>
    <w:basedOn w:val="DefaultParagraphFont"/>
    <w:rsid w:val="005253AC"/>
    <w:rPr>
      <w:i/>
      <w:iCs/>
    </w:rPr>
  </w:style>
  <w:style w:type="character" w:styleId="LineNumber">
    <w:name w:val="line number"/>
    <w:basedOn w:val="DefaultParagraphFont"/>
    <w:rsid w:val="005253AC"/>
  </w:style>
  <w:style w:type="paragraph" w:styleId="List">
    <w:name w:val="List"/>
    <w:basedOn w:val="Normal"/>
    <w:rsid w:val="005253AC"/>
    <w:pPr>
      <w:ind w:left="360" w:hanging="360"/>
    </w:pPr>
  </w:style>
  <w:style w:type="paragraph" w:styleId="List2">
    <w:name w:val="List 2"/>
    <w:basedOn w:val="Normal"/>
    <w:rsid w:val="005253AC"/>
    <w:pPr>
      <w:ind w:left="720" w:hanging="360"/>
    </w:pPr>
  </w:style>
  <w:style w:type="paragraph" w:styleId="List3">
    <w:name w:val="List 3"/>
    <w:basedOn w:val="Normal"/>
    <w:rsid w:val="005253AC"/>
    <w:pPr>
      <w:ind w:left="1080" w:hanging="360"/>
    </w:pPr>
  </w:style>
  <w:style w:type="paragraph" w:styleId="List4">
    <w:name w:val="List 4"/>
    <w:basedOn w:val="Normal"/>
    <w:rsid w:val="005253AC"/>
    <w:pPr>
      <w:ind w:left="1440" w:hanging="360"/>
    </w:pPr>
  </w:style>
  <w:style w:type="paragraph" w:styleId="List5">
    <w:name w:val="List 5"/>
    <w:basedOn w:val="Normal"/>
    <w:rsid w:val="005253AC"/>
    <w:pPr>
      <w:ind w:left="1800" w:hanging="360"/>
    </w:pPr>
  </w:style>
  <w:style w:type="paragraph" w:styleId="ListBullet">
    <w:name w:val="List Bullet"/>
    <w:basedOn w:val="Normal"/>
    <w:autoRedefine/>
    <w:rsid w:val="005253AC"/>
    <w:pPr>
      <w:tabs>
        <w:tab w:val="num" w:pos="360"/>
      </w:tabs>
      <w:ind w:left="360" w:hanging="360"/>
    </w:pPr>
    <w:rPr>
      <w:bCs/>
      <w:szCs w:val="24"/>
      <w:lang w:val="es-ES" w:eastAsia="zh-CN"/>
    </w:rPr>
  </w:style>
  <w:style w:type="paragraph" w:styleId="ListBullet2">
    <w:name w:val="List Bullet 2"/>
    <w:basedOn w:val="Normal"/>
    <w:rsid w:val="005253AC"/>
    <w:pPr>
      <w:tabs>
        <w:tab w:val="num" w:pos="720"/>
      </w:tabs>
      <w:ind w:left="720" w:hanging="360"/>
    </w:pPr>
  </w:style>
  <w:style w:type="paragraph" w:styleId="ListBullet3">
    <w:name w:val="List Bullet 3"/>
    <w:basedOn w:val="Normal"/>
    <w:rsid w:val="005253AC"/>
    <w:pPr>
      <w:tabs>
        <w:tab w:val="num" w:pos="1080"/>
      </w:tabs>
      <w:ind w:left="1080" w:hanging="360"/>
    </w:pPr>
  </w:style>
  <w:style w:type="paragraph" w:styleId="ListBullet4">
    <w:name w:val="List Bullet 4"/>
    <w:basedOn w:val="Normal"/>
    <w:rsid w:val="005253AC"/>
    <w:pPr>
      <w:tabs>
        <w:tab w:val="num" w:pos="1440"/>
      </w:tabs>
      <w:ind w:left="1440" w:hanging="360"/>
    </w:pPr>
  </w:style>
  <w:style w:type="paragraph" w:styleId="ListBullet5">
    <w:name w:val="List Bullet 5"/>
    <w:basedOn w:val="Normal"/>
    <w:rsid w:val="005253AC"/>
    <w:pPr>
      <w:tabs>
        <w:tab w:val="num" w:pos="1800"/>
      </w:tabs>
      <w:ind w:left="1800" w:hanging="360"/>
    </w:pPr>
  </w:style>
  <w:style w:type="paragraph" w:styleId="ListContinue">
    <w:name w:val="List Continue"/>
    <w:basedOn w:val="Normal"/>
    <w:rsid w:val="005253AC"/>
    <w:pPr>
      <w:spacing w:after="120"/>
      <w:ind w:left="360"/>
    </w:pPr>
  </w:style>
  <w:style w:type="paragraph" w:styleId="ListContinue2">
    <w:name w:val="List Continue 2"/>
    <w:basedOn w:val="Normal"/>
    <w:rsid w:val="005253AC"/>
    <w:pPr>
      <w:spacing w:after="120"/>
      <w:ind w:left="720"/>
    </w:pPr>
  </w:style>
  <w:style w:type="paragraph" w:styleId="ListContinue3">
    <w:name w:val="List Continue 3"/>
    <w:basedOn w:val="Normal"/>
    <w:rsid w:val="005253AC"/>
    <w:pPr>
      <w:spacing w:after="120"/>
      <w:ind w:left="1080"/>
    </w:pPr>
  </w:style>
  <w:style w:type="paragraph" w:styleId="ListContinue4">
    <w:name w:val="List Continue 4"/>
    <w:basedOn w:val="Normal"/>
    <w:rsid w:val="005253AC"/>
    <w:pPr>
      <w:spacing w:after="120"/>
      <w:ind w:left="1440"/>
    </w:pPr>
  </w:style>
  <w:style w:type="paragraph" w:styleId="ListContinue5">
    <w:name w:val="List Continue 5"/>
    <w:basedOn w:val="Normal"/>
    <w:rsid w:val="005253AC"/>
    <w:pPr>
      <w:spacing w:after="120"/>
      <w:ind w:left="1800"/>
    </w:pPr>
  </w:style>
  <w:style w:type="paragraph" w:styleId="ListNumber">
    <w:name w:val="List Number"/>
    <w:basedOn w:val="Normal"/>
    <w:rsid w:val="005253AC"/>
    <w:pPr>
      <w:tabs>
        <w:tab w:val="num" w:pos="360"/>
      </w:tabs>
      <w:ind w:left="360" w:hanging="360"/>
    </w:pPr>
  </w:style>
  <w:style w:type="paragraph" w:styleId="ListNumber2">
    <w:name w:val="List Number 2"/>
    <w:basedOn w:val="Normal"/>
    <w:rsid w:val="005253AC"/>
    <w:pPr>
      <w:tabs>
        <w:tab w:val="num" w:pos="720"/>
      </w:tabs>
      <w:ind w:left="720" w:hanging="360"/>
    </w:pPr>
  </w:style>
  <w:style w:type="paragraph" w:styleId="ListNumber3">
    <w:name w:val="List Number 3"/>
    <w:basedOn w:val="Normal"/>
    <w:rsid w:val="005253AC"/>
    <w:pPr>
      <w:tabs>
        <w:tab w:val="num" w:pos="1080"/>
      </w:tabs>
      <w:ind w:left="1080" w:hanging="360"/>
    </w:pPr>
  </w:style>
  <w:style w:type="paragraph" w:styleId="ListNumber4">
    <w:name w:val="List Number 4"/>
    <w:basedOn w:val="Normal"/>
    <w:rsid w:val="005253AC"/>
    <w:pPr>
      <w:tabs>
        <w:tab w:val="num" w:pos="1440"/>
      </w:tabs>
      <w:ind w:left="1440" w:hanging="360"/>
    </w:pPr>
  </w:style>
  <w:style w:type="paragraph" w:styleId="ListNumber5">
    <w:name w:val="List Number 5"/>
    <w:basedOn w:val="Normal"/>
    <w:rsid w:val="005253AC"/>
    <w:pPr>
      <w:tabs>
        <w:tab w:val="num" w:pos="1800"/>
      </w:tabs>
      <w:ind w:left="1800" w:hanging="360"/>
    </w:pPr>
  </w:style>
  <w:style w:type="paragraph" w:styleId="MessageHeader">
    <w:name w:val="Message Header"/>
    <w:basedOn w:val="Normal"/>
    <w:link w:val="MessageHeaderChar"/>
    <w:rsid w:val="005253AC"/>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5253AC"/>
    <w:rPr>
      <w:rFonts w:ascii="Arial" w:hAnsi="Arial" w:cs="Arial"/>
      <w:szCs w:val="24"/>
      <w:shd w:val="pct20" w:color="auto" w:fill="auto"/>
    </w:rPr>
  </w:style>
  <w:style w:type="paragraph" w:styleId="NoteHeading">
    <w:name w:val="Note Heading"/>
    <w:basedOn w:val="Normal"/>
    <w:next w:val="Normal"/>
    <w:link w:val="NoteHeadingChar"/>
    <w:rsid w:val="005253AC"/>
  </w:style>
  <w:style w:type="character" w:customStyle="1" w:styleId="NoteHeadingChar">
    <w:name w:val="Note Heading Char"/>
    <w:basedOn w:val="DefaultParagraphFont"/>
    <w:link w:val="NoteHeading"/>
    <w:rsid w:val="005253AC"/>
    <w:rPr>
      <w:rFonts w:ascii="Arial" w:hAnsi="Arial"/>
    </w:rPr>
  </w:style>
  <w:style w:type="paragraph" w:styleId="Salutation">
    <w:name w:val="Salutation"/>
    <w:basedOn w:val="Normal"/>
    <w:next w:val="Normal"/>
    <w:link w:val="SalutationChar"/>
    <w:rsid w:val="005253AC"/>
  </w:style>
  <w:style w:type="character" w:customStyle="1" w:styleId="SalutationChar">
    <w:name w:val="Salutation Char"/>
    <w:basedOn w:val="DefaultParagraphFont"/>
    <w:link w:val="Salutation"/>
    <w:rsid w:val="005253AC"/>
    <w:rPr>
      <w:rFonts w:ascii="Arial" w:hAnsi="Arial"/>
    </w:rPr>
  </w:style>
  <w:style w:type="character" w:styleId="Strong">
    <w:name w:val="Strong"/>
    <w:basedOn w:val="DefaultParagraphFont"/>
    <w:qFormat/>
    <w:rsid w:val="005253AC"/>
    <w:rPr>
      <w:b/>
      <w:bCs/>
    </w:rPr>
  </w:style>
  <w:style w:type="paragraph" w:styleId="Subtitle">
    <w:name w:val="Subtitle"/>
    <w:basedOn w:val="Normal"/>
    <w:link w:val="SubtitleChar"/>
    <w:qFormat/>
    <w:rsid w:val="005253AC"/>
    <w:pPr>
      <w:spacing w:after="60"/>
      <w:jc w:val="center"/>
      <w:outlineLvl w:val="1"/>
    </w:pPr>
    <w:rPr>
      <w:rFonts w:cs="Arial"/>
      <w:szCs w:val="24"/>
    </w:rPr>
  </w:style>
  <w:style w:type="character" w:customStyle="1" w:styleId="SubtitleChar">
    <w:name w:val="Subtitle Char"/>
    <w:basedOn w:val="DefaultParagraphFont"/>
    <w:link w:val="Subtitle"/>
    <w:rsid w:val="005253AC"/>
    <w:rPr>
      <w:rFonts w:ascii="Arial" w:hAnsi="Arial" w:cs="Arial"/>
      <w:szCs w:val="24"/>
    </w:rPr>
  </w:style>
  <w:style w:type="table" w:styleId="Table3Deffects1">
    <w:name w:val="Table 3D effects 1"/>
    <w:basedOn w:val="TableNormal"/>
    <w:rsid w:val="005253A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53A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253A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253A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53A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253A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253A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253A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253A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253A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253A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253A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253A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253A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253A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253A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253A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5253A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253A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253A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253A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253A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253A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253A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253A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253A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253A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253A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253A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253A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253A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253A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253A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253A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253A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253A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253A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253A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253A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253A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253A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253A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253A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5253AC"/>
    <w:pPr>
      <w:ind w:left="1440"/>
    </w:pPr>
  </w:style>
  <w:style w:type="paragraph" w:styleId="TOC8">
    <w:name w:val="toc 8"/>
    <w:basedOn w:val="Normal"/>
    <w:next w:val="Normal"/>
    <w:autoRedefine/>
    <w:rsid w:val="005253AC"/>
    <w:pPr>
      <w:ind w:left="1680"/>
    </w:pPr>
  </w:style>
  <w:style w:type="paragraph" w:styleId="TOC9">
    <w:name w:val="toc 9"/>
    <w:basedOn w:val="Normal"/>
    <w:next w:val="Normal"/>
    <w:autoRedefine/>
    <w:rsid w:val="005253AC"/>
    <w:pPr>
      <w:ind w:left="1920"/>
    </w:pPr>
  </w:style>
  <w:style w:type="character" w:styleId="FollowedHyperlink">
    <w:name w:val="FollowedHyperlink"/>
    <w:basedOn w:val="DefaultParagraphFont"/>
    <w:rsid w:val="005253AC"/>
    <w:rPr>
      <w:color w:val="606420"/>
      <w:u w:val="single"/>
    </w:rPr>
  </w:style>
  <w:style w:type="paragraph" w:styleId="BlockText">
    <w:name w:val="Block Text"/>
    <w:basedOn w:val="Normal"/>
    <w:rsid w:val="005253AC"/>
    <w:pPr>
      <w:ind w:left="567" w:right="566"/>
    </w:pPr>
    <w:rPr>
      <w:sz w:val="22"/>
    </w:rPr>
  </w:style>
  <w:style w:type="paragraph" w:styleId="Caption">
    <w:name w:val="caption"/>
    <w:basedOn w:val="Normal"/>
    <w:next w:val="Normal"/>
    <w:qFormat/>
    <w:rsid w:val="005253AC"/>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5253AC"/>
    <w:rPr>
      <w:sz w:val="22"/>
      <w:lang w:val="es-ES_tradnl"/>
    </w:rPr>
  </w:style>
  <w:style w:type="character" w:customStyle="1" w:styleId="CommentTextChar">
    <w:name w:val="Comment Text Char"/>
    <w:basedOn w:val="DefaultParagraphFont"/>
    <w:link w:val="CommentText"/>
    <w:rsid w:val="005253AC"/>
    <w:rPr>
      <w:rFonts w:ascii="Arial" w:hAnsi="Arial"/>
      <w:sz w:val="22"/>
      <w:lang w:val="es-ES_tradnl"/>
    </w:rPr>
  </w:style>
  <w:style w:type="paragraph" w:customStyle="1" w:styleId="Committee">
    <w:name w:val="Committee"/>
    <w:basedOn w:val="Title"/>
    <w:rsid w:val="005253AC"/>
    <w:rPr>
      <w:caps w:val="0"/>
    </w:rPr>
  </w:style>
  <w:style w:type="paragraph" w:customStyle="1" w:styleId="n">
    <w:name w:val="n"/>
    <w:basedOn w:val="Header"/>
    <w:rsid w:val="005253AC"/>
    <w:pPr>
      <w:tabs>
        <w:tab w:val="clear" w:pos="4536"/>
        <w:tab w:val="clear" w:pos="9072"/>
      </w:tabs>
    </w:pPr>
  </w:style>
  <w:style w:type="paragraph" w:customStyle="1" w:styleId="TitleofSection">
    <w:name w:val="Title of Section"/>
    <w:basedOn w:val="TitleofDoc"/>
    <w:rsid w:val="005253AC"/>
    <w:pPr>
      <w:spacing w:before="120" w:after="120"/>
    </w:pPr>
    <w:rPr>
      <w:b/>
      <w:caps w:val="0"/>
      <w:lang w:eastAsia="de-DE"/>
    </w:rPr>
  </w:style>
  <w:style w:type="paragraph" w:customStyle="1" w:styleId="TOCAnnex">
    <w:name w:val="TOC Annex"/>
    <w:basedOn w:val="Normal"/>
    <w:rsid w:val="005253AC"/>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5253AC"/>
    <w:pPr>
      <w:jc w:val="center"/>
    </w:pPr>
    <w:rPr>
      <w:b/>
      <w:caps/>
      <w:szCs w:val="24"/>
    </w:rPr>
  </w:style>
  <w:style w:type="paragraph" w:customStyle="1" w:styleId="Notetoarticle">
    <w:name w:val="Note to article"/>
    <w:basedOn w:val="Normal"/>
    <w:semiHidden/>
    <w:rsid w:val="005253AC"/>
  </w:style>
  <w:style w:type="paragraph" w:styleId="PlainText">
    <w:name w:val="Plain Text"/>
    <w:basedOn w:val="Normal"/>
    <w:link w:val="PlainTextChar"/>
    <w:rsid w:val="005253AC"/>
    <w:rPr>
      <w:rFonts w:ascii="Courier New" w:hAnsi="Courier New" w:cs="Courier New"/>
      <w:lang w:eastAsia="fr-FR"/>
    </w:rPr>
  </w:style>
  <w:style w:type="character" w:customStyle="1" w:styleId="PlainTextChar">
    <w:name w:val="Plain Text Char"/>
    <w:basedOn w:val="DefaultParagraphFont"/>
    <w:link w:val="PlainText"/>
    <w:rsid w:val="005253AC"/>
    <w:rPr>
      <w:rFonts w:ascii="Courier New" w:hAnsi="Courier New" w:cs="Courier New"/>
      <w:lang w:eastAsia="fr-FR"/>
    </w:rPr>
  </w:style>
  <w:style w:type="character" w:styleId="CommentReference">
    <w:name w:val="annotation reference"/>
    <w:basedOn w:val="DefaultParagraphFont"/>
    <w:rsid w:val="005253AC"/>
    <w:rPr>
      <w:rFonts w:cs="Times New Roman"/>
      <w:sz w:val="16"/>
      <w:szCs w:val="16"/>
    </w:rPr>
  </w:style>
  <w:style w:type="paragraph" w:styleId="Revision">
    <w:name w:val="Revision"/>
    <w:hidden/>
    <w:uiPriority w:val="99"/>
    <w:semiHidden/>
    <w:rsid w:val="005253AC"/>
    <w:rPr>
      <w:rFonts w:ascii="Arial" w:hAnsi="Arial"/>
    </w:rPr>
  </w:style>
  <w:style w:type="paragraph" w:styleId="CommentSubject">
    <w:name w:val="annotation subject"/>
    <w:basedOn w:val="CommentText"/>
    <w:next w:val="CommentText"/>
    <w:link w:val="CommentSubjectChar"/>
    <w:rsid w:val="005253AC"/>
    <w:rPr>
      <w:b/>
      <w:bCs/>
      <w:sz w:val="20"/>
      <w:lang w:val="en-US"/>
    </w:rPr>
  </w:style>
  <w:style w:type="character" w:customStyle="1" w:styleId="CommentSubjectChar">
    <w:name w:val="Comment Subject Char"/>
    <w:basedOn w:val="CommentTextChar"/>
    <w:link w:val="CommentSubject"/>
    <w:rsid w:val="005253AC"/>
    <w:rPr>
      <w:rFonts w:ascii="Arial" w:hAnsi="Arial"/>
      <w:b/>
      <w:bCs/>
      <w:sz w:val="22"/>
      <w:lang w:val="es-ES_tradnl"/>
    </w:rPr>
  </w:style>
  <w:style w:type="character" w:customStyle="1" w:styleId="NormaltgChar">
    <w:name w:val="Normaltg Char"/>
    <w:link w:val="Normaltg0"/>
    <w:rsid w:val="005253AC"/>
    <w:rPr>
      <w:rFonts w:eastAsia="MS Mincho"/>
      <w:sz w:val="24"/>
    </w:rPr>
  </w:style>
  <w:style w:type="character" w:customStyle="1" w:styleId="hps">
    <w:name w:val="hps"/>
    <w:basedOn w:val="DefaultParagraphFont"/>
    <w:rsid w:val="005253AC"/>
  </w:style>
  <w:style w:type="character" w:customStyle="1" w:styleId="Standaardalinea-lettertype">
    <w:name w:val="Standaardalinea-lettertype"/>
    <w:rsid w:val="00525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uihong.guo@ams.usda.gov"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luis.salaices@magrama.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ados@inia.es" TargetMode="External"/><Relationship Id="rId5" Type="http://schemas.openxmlformats.org/officeDocument/2006/relationships/settings" Target="settings.xml"/><Relationship Id="rId15" Type="http://schemas.openxmlformats.org/officeDocument/2006/relationships/hyperlink" Target="mailto:bertscholte@euroseeds.eu" TargetMode="Externa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elaine.wu@uspto.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D9AA24-97E8-476D-A4BF-EE142080A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48</Pages>
  <Words>25293</Words>
  <Characters>137868</Characters>
  <Application>Microsoft Office Word</Application>
  <DocSecurity>0</DocSecurity>
  <Lines>1148</Lines>
  <Paragraphs>325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TC/55/29</vt:lpstr>
      <vt:lpstr>TC/55/29</vt:lpstr>
    </vt:vector>
  </TitlesOfParts>
  <Company>UPOV</Company>
  <LinksUpToDate>false</LinksUpToDate>
  <CharactersWithSpaces>162836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TC/55/29</dc:title>
  <dc:creator>Héctor</dc:creator>
  <cp:lastModifiedBy>SANCHEZ-VIZCAINO GOMEZ Rosa Maria</cp:lastModifiedBy>
  <cp:revision>6</cp:revision>
  <cp:lastPrinted>2016-09-15T09:14:00Z</cp:lastPrinted>
  <dcterms:created xsi:type="dcterms:W3CDTF">2016-08-01T09:42:00Z</dcterms:created>
  <dcterms:modified xsi:type="dcterms:W3CDTF">2016-09-15T09:14:00Z</dcterms:modified>
</cp:coreProperties>
</file>