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42005B" w:rsidTr="00C13808">
        <w:trPr>
          <w:trHeight w:val="1760"/>
        </w:trPr>
        <w:tc>
          <w:tcPr>
            <w:tcW w:w="4243" w:type="dxa"/>
          </w:tcPr>
          <w:p w:rsidR="000D7780" w:rsidRPr="008D3729" w:rsidRDefault="000D7780" w:rsidP="00F45372"/>
        </w:tc>
        <w:tc>
          <w:tcPr>
            <w:tcW w:w="1646" w:type="dxa"/>
            <w:vAlign w:val="center"/>
          </w:tcPr>
          <w:p w:rsidR="004F1D89" w:rsidRPr="008D3729" w:rsidRDefault="004F1D89" w:rsidP="00F45372">
            <w:pPr>
              <w:pStyle w:val="LogoUPOV"/>
            </w:pPr>
            <w:r>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74D43" w:rsidRDefault="00A47CDB" w:rsidP="00F45372">
            <w:pPr>
              <w:pStyle w:val="Lettrine"/>
              <w:rPr>
                <w:lang w:val="es-ES"/>
              </w:rPr>
            </w:pPr>
            <w:r w:rsidRPr="00374D43">
              <w:rPr>
                <w:lang w:val="es-ES"/>
              </w:rPr>
              <w:t>S</w:t>
            </w:r>
          </w:p>
          <w:p w:rsidR="000D7780" w:rsidRPr="00374D43" w:rsidRDefault="008A1693" w:rsidP="00F45372">
            <w:pPr>
              <w:pStyle w:val="Docoriginal"/>
              <w:rPr>
                <w:lang w:val="es-ES"/>
              </w:rPr>
            </w:pPr>
            <w:r w:rsidRPr="00374D43">
              <w:rPr>
                <w:lang w:val="es-ES"/>
              </w:rPr>
              <w:t>TC/52/</w:t>
            </w:r>
            <w:bookmarkStart w:id="0" w:name="Code"/>
            <w:bookmarkEnd w:id="0"/>
            <w:r w:rsidRPr="00374D43">
              <w:rPr>
                <w:lang w:val="es-ES"/>
              </w:rPr>
              <w:t>21</w:t>
            </w:r>
          </w:p>
          <w:p w:rsidR="000D7780" w:rsidRPr="00374D43" w:rsidRDefault="0061555F" w:rsidP="00F45372">
            <w:pPr>
              <w:pStyle w:val="Docoriginal"/>
              <w:rPr>
                <w:b w:val="0"/>
                <w:spacing w:val="0"/>
                <w:lang w:val="es-ES"/>
              </w:rPr>
            </w:pPr>
            <w:r w:rsidRPr="00374D43">
              <w:rPr>
                <w:rStyle w:val="StyleDoclangBold"/>
                <w:b/>
                <w:spacing w:val="0"/>
                <w:lang w:val="es-ES"/>
              </w:rPr>
              <w:t>ORIGINAL:</w:t>
            </w:r>
            <w:r w:rsidRPr="00374D43">
              <w:rPr>
                <w:rStyle w:val="StyleDocoriginalNotBold1"/>
                <w:spacing w:val="0"/>
                <w:lang w:val="es-ES"/>
              </w:rPr>
              <w:t xml:space="preserve">  </w:t>
            </w:r>
            <w:bookmarkStart w:id="1" w:name="Original"/>
            <w:bookmarkEnd w:id="1"/>
            <w:r w:rsidRPr="00374D43">
              <w:rPr>
                <w:b w:val="0"/>
                <w:spacing w:val="0"/>
                <w:lang w:val="es-ES"/>
              </w:rPr>
              <w:t>Inglés</w:t>
            </w:r>
          </w:p>
          <w:p w:rsidR="000D7780" w:rsidRPr="00374D43" w:rsidRDefault="00A47CDB" w:rsidP="009F4C9F">
            <w:pPr>
              <w:pStyle w:val="Docoriginal"/>
              <w:rPr>
                <w:lang w:val="es-ES"/>
              </w:rPr>
            </w:pPr>
            <w:r w:rsidRPr="00374D43">
              <w:rPr>
                <w:lang w:val="es-ES"/>
              </w:rPr>
              <w:t>FECHA:</w:t>
            </w:r>
            <w:r w:rsidRPr="00374D43">
              <w:rPr>
                <w:b w:val="0"/>
                <w:spacing w:val="0"/>
                <w:lang w:val="es-ES"/>
              </w:rPr>
              <w:t xml:space="preserve"> </w:t>
            </w:r>
            <w:r w:rsidRPr="00374D43">
              <w:rPr>
                <w:rStyle w:val="StyleDocoriginalNotBold1"/>
                <w:spacing w:val="0"/>
                <w:lang w:val="es-ES"/>
              </w:rPr>
              <w:t xml:space="preserve"> </w:t>
            </w:r>
            <w:bookmarkStart w:id="2" w:name="Date"/>
            <w:bookmarkEnd w:id="2"/>
            <w:r w:rsidR="00374D43" w:rsidRPr="00374D43">
              <w:rPr>
                <w:rStyle w:val="StyleDocoriginalNotBold1"/>
                <w:spacing w:val="0"/>
                <w:lang w:val="es-ES"/>
              </w:rPr>
              <w:t>26</w:t>
            </w:r>
            <w:r w:rsidRPr="00374D43">
              <w:rPr>
                <w:rStyle w:val="StyleDocoriginalNotBold1"/>
                <w:spacing w:val="0"/>
                <w:lang w:val="es-ES"/>
              </w:rPr>
              <w:t xml:space="preserve"> de enero</w:t>
            </w:r>
            <w:r w:rsidRPr="00374D43">
              <w:rPr>
                <w:b w:val="0"/>
                <w:spacing w:val="0"/>
                <w:lang w:val="es-ES"/>
              </w:rPr>
              <w:t xml:space="preserve"> de 2016</w:t>
            </w:r>
          </w:p>
        </w:tc>
      </w:tr>
      <w:tr w:rsidR="00C735D0" w:rsidRPr="0042005B" w:rsidTr="00C13808">
        <w:tc>
          <w:tcPr>
            <w:tcW w:w="10131" w:type="dxa"/>
            <w:gridSpan w:val="3"/>
          </w:tcPr>
          <w:p w:rsidR="00C735D0" w:rsidRPr="008D3729" w:rsidRDefault="00C735D0" w:rsidP="00602538">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pPr>
            <w:proofErr w:type="spellStart"/>
            <w:r>
              <w:t>Ginebra</w:t>
            </w:r>
            <w:proofErr w:type="spellEnd"/>
          </w:p>
        </w:tc>
      </w:tr>
    </w:tbl>
    <w:p w:rsidR="000D7780" w:rsidRPr="008D3729" w:rsidRDefault="00A47CDB" w:rsidP="00F45372">
      <w:pPr>
        <w:pStyle w:val="Sessiontc"/>
      </w:pPr>
      <w:r>
        <w:t>Comité TÉCNICO</w:t>
      </w:r>
    </w:p>
    <w:p w:rsidR="00E047CC" w:rsidRPr="007F0F19" w:rsidRDefault="007F4BB2" w:rsidP="00E047CC">
      <w:pPr>
        <w:pStyle w:val="Sessiontcplacedate"/>
        <w:rPr>
          <w:lang w:val="es-ES"/>
        </w:rPr>
      </w:pPr>
      <w:r w:rsidRPr="007F0F19">
        <w:rPr>
          <w:lang w:val="es-ES"/>
        </w:rPr>
        <w:t>Quincuagésima segunda sesión</w:t>
      </w:r>
      <w:r w:rsidRPr="007F0F19">
        <w:rPr>
          <w:lang w:val="es-ES"/>
        </w:rPr>
        <w:br/>
        <w:t>Ginebra, 14 a 16 de marzo de 2016</w:t>
      </w:r>
    </w:p>
    <w:p w:rsidR="00E047CC" w:rsidRPr="007F0F19" w:rsidRDefault="002B4186" w:rsidP="00E047CC">
      <w:pPr>
        <w:pStyle w:val="Titleofdoc0"/>
        <w:rPr>
          <w:lang w:val="es-ES"/>
        </w:rPr>
      </w:pPr>
      <w:bookmarkStart w:id="3" w:name="TitleOfDoc"/>
      <w:bookmarkEnd w:id="3"/>
      <w:r w:rsidRPr="007F0F19">
        <w:rPr>
          <w:lang w:val="es-ES"/>
        </w:rPr>
        <w:t>Asuntos relativos a las descripciones de variedades</w:t>
      </w:r>
    </w:p>
    <w:p w:rsidR="00E047CC" w:rsidRPr="007F0F19" w:rsidRDefault="00E047CC" w:rsidP="00E047CC">
      <w:pPr>
        <w:pStyle w:val="preparedby1"/>
        <w:rPr>
          <w:lang w:val="es-ES"/>
        </w:rPr>
      </w:pPr>
      <w:bookmarkStart w:id="4" w:name="Prepared"/>
      <w:bookmarkEnd w:id="4"/>
      <w:r w:rsidRPr="007F0F19">
        <w:rPr>
          <w:lang w:val="es-ES"/>
        </w:rPr>
        <w:t>Documento preparado por la Oficina de la Unión</w:t>
      </w:r>
      <w:r w:rsidRPr="007F0F19">
        <w:rPr>
          <w:lang w:val="es-ES"/>
        </w:rPr>
        <w:br/>
      </w:r>
      <w:r w:rsidRPr="007F0F19">
        <w:rPr>
          <w:lang w:val="es-ES"/>
        </w:rPr>
        <w:br/>
      </w:r>
      <w:r w:rsidRPr="007F0F19">
        <w:rPr>
          <w:color w:val="A6A6A6"/>
          <w:lang w:val="es-ES"/>
        </w:rPr>
        <w:t>Descargo de responsabilidad:  el presente documento no constituye</w:t>
      </w:r>
      <w:r w:rsidRPr="007F0F19">
        <w:rPr>
          <w:color w:val="A6A6A6"/>
          <w:lang w:val="es-ES"/>
        </w:rPr>
        <w:br/>
        <w:t>un documento de política u orientación de la UPOV</w:t>
      </w:r>
    </w:p>
    <w:p w:rsidR="002B4186" w:rsidRPr="007F0F19" w:rsidRDefault="002B4186" w:rsidP="002B4186">
      <w:pPr>
        <w:rPr>
          <w:lang w:val="es-ES"/>
        </w:rPr>
      </w:pPr>
      <w:bookmarkStart w:id="5" w:name="_Toc418531189"/>
      <w:r w:rsidRPr="007F0F19">
        <w:rPr>
          <w:lang w:val="es-ES"/>
        </w:rPr>
        <w:t>RESUMEN</w:t>
      </w:r>
    </w:p>
    <w:p w:rsidR="002B4186" w:rsidRPr="007F0F19" w:rsidRDefault="002B4186" w:rsidP="002B4186">
      <w:pPr>
        <w:rPr>
          <w:lang w:val="es-ES"/>
        </w:rPr>
      </w:pPr>
    </w:p>
    <w:p w:rsidR="002B4186" w:rsidRPr="007F0F19" w:rsidRDefault="0063524C" w:rsidP="002B4186">
      <w:pPr>
        <w:rPr>
          <w:snapToGrid w:val="0"/>
          <w:lang w:val="es-ES"/>
        </w:rPr>
      </w:pPr>
      <w:r w:rsidRPr="007C63B0">
        <w:rPr>
          <w:snapToGrid w:val="0"/>
        </w:rPr>
        <w:fldChar w:fldCharType="begin"/>
      </w:r>
      <w:r w:rsidR="002B4186" w:rsidRPr="007F0F19">
        <w:rPr>
          <w:snapToGrid w:val="0"/>
          <w:lang w:val="es-ES"/>
        </w:rPr>
        <w:instrText xml:space="preserve"> AUTONUM  </w:instrText>
      </w:r>
      <w:r w:rsidRPr="007C63B0">
        <w:rPr>
          <w:snapToGrid w:val="0"/>
        </w:rPr>
        <w:fldChar w:fldCharType="end"/>
      </w:r>
      <w:r w:rsidR="002B4186" w:rsidRPr="007F0F19">
        <w:rPr>
          <w:lang w:val="es-ES"/>
        </w:rPr>
        <w:tab/>
      </w:r>
      <w:r w:rsidR="002B4186" w:rsidRPr="007F0F19">
        <w:rPr>
          <w:snapToGrid w:val="0"/>
          <w:lang w:val="es-ES"/>
        </w:rPr>
        <w:t xml:space="preserve">El presente documento tiene por objeto examinar los asuntos referidos a la verificación de la conformidad del mantenimiento de la variedad y </w:t>
      </w:r>
      <w:r w:rsidR="002B4186" w:rsidRPr="007F0F19">
        <w:rPr>
          <w:lang w:val="es-ES"/>
        </w:rPr>
        <w:t>referidos a las descripciones de variedades, que el Comité Administrativo y Jurídico remitió al Comité Técnico, y analizar la función del material vegetal utilizado como base para el examen DHE respecto de esos asuntos</w:t>
      </w:r>
      <w:r w:rsidR="002B4186" w:rsidRPr="007F0F19">
        <w:rPr>
          <w:snapToGrid w:val="0"/>
          <w:lang w:val="es-ES"/>
        </w:rPr>
        <w:t>.</w:t>
      </w:r>
    </w:p>
    <w:p w:rsidR="002B4186" w:rsidRPr="007F0F19" w:rsidRDefault="002B4186" w:rsidP="002B4186">
      <w:pPr>
        <w:rPr>
          <w:snapToGrid w:val="0"/>
          <w:lang w:val="es-ES"/>
        </w:rPr>
      </w:pPr>
    </w:p>
    <w:p w:rsidR="002B4186" w:rsidRPr="007F0F19" w:rsidRDefault="0063524C" w:rsidP="002B4186">
      <w:pPr>
        <w:tabs>
          <w:tab w:val="left" w:pos="567"/>
          <w:tab w:val="left" w:pos="1134"/>
          <w:tab w:val="left" w:pos="5387"/>
        </w:tabs>
        <w:rPr>
          <w:lang w:val="es-ES"/>
        </w:rPr>
      </w:pPr>
      <w:r w:rsidRPr="000D1759">
        <w:fldChar w:fldCharType="begin"/>
      </w:r>
      <w:r w:rsidR="002B4186" w:rsidRPr="007F0F19">
        <w:rPr>
          <w:lang w:val="es-ES"/>
        </w:rPr>
        <w:instrText xml:space="preserve"> AUTONUM  </w:instrText>
      </w:r>
      <w:r w:rsidRPr="000D1759">
        <w:fldChar w:fldCharType="end"/>
      </w:r>
      <w:r w:rsidR="002B4186" w:rsidRPr="007F0F19">
        <w:rPr>
          <w:lang w:val="es-ES"/>
        </w:rPr>
        <w:tab/>
        <w:t>Se invita al TC a:</w:t>
      </w:r>
    </w:p>
    <w:p w:rsidR="002B4186" w:rsidRPr="007F0F19" w:rsidRDefault="002B4186" w:rsidP="002B4186">
      <w:pPr>
        <w:tabs>
          <w:tab w:val="left" w:pos="567"/>
          <w:tab w:val="left" w:pos="1134"/>
          <w:tab w:val="left" w:pos="5387"/>
        </w:tabs>
        <w:rPr>
          <w:lang w:val="es-ES"/>
        </w:rPr>
      </w:pPr>
    </w:p>
    <w:p w:rsidR="002B4186" w:rsidRPr="007F0F19" w:rsidRDefault="002B4186" w:rsidP="002B4186">
      <w:pPr>
        <w:tabs>
          <w:tab w:val="left" w:pos="567"/>
          <w:tab w:val="left" w:pos="1134"/>
          <w:tab w:val="left" w:pos="5387"/>
          <w:tab w:val="left" w:pos="5954"/>
        </w:tabs>
        <w:rPr>
          <w:lang w:val="es-ES"/>
        </w:rPr>
      </w:pPr>
      <w:r w:rsidRPr="007F0F19">
        <w:rPr>
          <w:lang w:val="es-ES"/>
        </w:rPr>
        <w:tab/>
        <w:t>a)</w:t>
      </w:r>
      <w:r w:rsidRPr="007F0F19">
        <w:rPr>
          <w:lang w:val="es-ES"/>
        </w:rPr>
        <w:tab/>
        <w:t>tomar nota de que, en su septuagésima primera sesión, el CAJ respaldó la conclusión extraída por el CAJ-AG en su novena sesión, sobre:</w:t>
      </w:r>
    </w:p>
    <w:p w:rsidR="002B4186" w:rsidRPr="007F0F19" w:rsidRDefault="002B4186" w:rsidP="002B4186">
      <w:pPr>
        <w:tabs>
          <w:tab w:val="left" w:pos="567"/>
          <w:tab w:val="left" w:pos="1134"/>
          <w:tab w:val="left" w:pos="5387"/>
          <w:tab w:val="left" w:pos="5954"/>
        </w:tabs>
        <w:rPr>
          <w:lang w:val="es-ES"/>
        </w:rPr>
      </w:pPr>
    </w:p>
    <w:p w:rsidR="002B4186" w:rsidRPr="007F0F19" w:rsidRDefault="002B4186" w:rsidP="002B4186">
      <w:pPr>
        <w:tabs>
          <w:tab w:val="left" w:pos="567"/>
          <w:tab w:val="left" w:pos="1134"/>
          <w:tab w:val="left" w:pos="5387"/>
          <w:tab w:val="left" w:pos="5954"/>
        </w:tabs>
        <w:rPr>
          <w:lang w:val="es-ES"/>
        </w:rPr>
      </w:pPr>
      <w:r w:rsidRPr="007F0F19">
        <w:rPr>
          <w:lang w:val="es-ES"/>
        </w:rPr>
        <w:tab/>
      </w:r>
      <w:r w:rsidRPr="007F0F19">
        <w:rPr>
          <w:lang w:val="es-ES"/>
        </w:rPr>
        <w:tab/>
        <w:t>i) la finalidad de la descripción de la variedad elaborada en el momento en que se concede el derecho de obtentor (descripción original de la variedad), según figura en el párrafo 12 del presente documento;  y</w:t>
      </w:r>
    </w:p>
    <w:p w:rsidR="002B4186" w:rsidRPr="007F0F19" w:rsidRDefault="002B4186" w:rsidP="002B4186">
      <w:pPr>
        <w:tabs>
          <w:tab w:val="left" w:pos="567"/>
          <w:tab w:val="left" w:pos="1134"/>
          <w:tab w:val="left" w:pos="5387"/>
          <w:tab w:val="left" w:pos="5954"/>
        </w:tabs>
        <w:rPr>
          <w:lang w:val="es-ES"/>
        </w:rPr>
      </w:pPr>
    </w:p>
    <w:p w:rsidR="002B4186" w:rsidRPr="007F0F19" w:rsidRDefault="002B4186" w:rsidP="002B4186">
      <w:pPr>
        <w:tabs>
          <w:tab w:val="left" w:pos="567"/>
          <w:tab w:val="left" w:pos="1134"/>
          <w:tab w:val="left" w:pos="5387"/>
          <w:tab w:val="left" w:pos="5954"/>
        </w:tabs>
        <w:rPr>
          <w:lang w:val="es-ES"/>
        </w:rPr>
      </w:pPr>
      <w:r w:rsidRPr="007F0F19">
        <w:rPr>
          <w:lang w:val="es-ES"/>
        </w:rPr>
        <w:tab/>
      </w:r>
      <w:r w:rsidRPr="007F0F19">
        <w:rPr>
          <w:lang w:val="es-ES"/>
        </w:rPr>
        <w:tab/>
        <w:t>ii) la situación de la descripción original de la variedad con relación a la comprobación de que el material vegetal corresponde a una variedad protegida a los fines de la defensa del derecho de obtentor, según se expone en el párrafo 13 del presente documento;</w:t>
      </w:r>
    </w:p>
    <w:p w:rsidR="002B4186" w:rsidRPr="007F0F19" w:rsidRDefault="002B4186" w:rsidP="002B4186">
      <w:pPr>
        <w:tabs>
          <w:tab w:val="left" w:pos="567"/>
          <w:tab w:val="left" w:pos="1134"/>
          <w:tab w:val="left" w:pos="5387"/>
          <w:tab w:val="left" w:pos="5954"/>
        </w:tabs>
        <w:rPr>
          <w:lang w:val="es-ES"/>
        </w:rPr>
      </w:pPr>
    </w:p>
    <w:p w:rsidR="002B4186" w:rsidRPr="007F0F19" w:rsidRDefault="002B4186" w:rsidP="002B4186">
      <w:pPr>
        <w:tabs>
          <w:tab w:val="left" w:pos="567"/>
          <w:tab w:val="left" w:pos="1134"/>
          <w:tab w:val="left" w:pos="5387"/>
          <w:tab w:val="left" w:pos="5954"/>
        </w:tabs>
        <w:rPr>
          <w:lang w:val="es-ES"/>
        </w:rPr>
      </w:pPr>
      <w:r w:rsidRPr="007F0F19">
        <w:rPr>
          <w:lang w:val="es-ES"/>
        </w:rPr>
        <w:tab/>
        <w:t>b)</w:t>
      </w:r>
      <w:r w:rsidRPr="007F0F19">
        <w:rPr>
          <w:lang w:val="es-ES"/>
        </w:rPr>
        <w:tab/>
        <w:t>tomar nota de las ponencias sobre “asuntos relativos a las descripciones de variedades” presentadas a los TWP, en sus sesiones de 2015, según se expone en el párrafo 17 de este documento;</w:t>
      </w:r>
    </w:p>
    <w:p w:rsidR="002B4186" w:rsidRPr="007F0F19" w:rsidRDefault="002B4186" w:rsidP="002B4186">
      <w:pPr>
        <w:tabs>
          <w:tab w:val="left" w:pos="567"/>
          <w:tab w:val="left" w:pos="1134"/>
          <w:tab w:val="left" w:pos="5387"/>
          <w:tab w:val="left" w:pos="5954"/>
        </w:tabs>
        <w:rPr>
          <w:lang w:val="es-ES"/>
        </w:rPr>
      </w:pPr>
    </w:p>
    <w:p w:rsidR="002B4186" w:rsidRPr="007F0F19" w:rsidRDefault="002B4186" w:rsidP="002B4186">
      <w:pPr>
        <w:keepLines/>
        <w:tabs>
          <w:tab w:val="left" w:pos="567"/>
          <w:tab w:val="left" w:pos="1134"/>
          <w:tab w:val="left" w:pos="5387"/>
          <w:tab w:val="left" w:pos="5954"/>
        </w:tabs>
        <w:rPr>
          <w:lang w:val="es-ES"/>
        </w:rPr>
      </w:pPr>
      <w:r w:rsidRPr="007F0F19">
        <w:rPr>
          <w:lang w:val="es-ES"/>
        </w:rPr>
        <w:tab/>
        <w:t>c)</w:t>
      </w:r>
      <w:r w:rsidRPr="007F0F19">
        <w:rPr>
          <w:lang w:val="es-ES"/>
        </w:rPr>
        <w:tab/>
        <w:t>tomar nota de los comentarios de los TWP, en sus sesiones de 2015, sobre las cuestiones relativas a las descripciones de variedades y la función del material vegetal utilizado como base para el examen DHE, según se expone en los párrafos 18 a 40 de este documento;  y</w:t>
      </w:r>
    </w:p>
    <w:p w:rsidR="002B4186" w:rsidRPr="007F0F19" w:rsidRDefault="002B4186" w:rsidP="002B4186">
      <w:pPr>
        <w:tabs>
          <w:tab w:val="left" w:pos="567"/>
          <w:tab w:val="left" w:pos="1134"/>
          <w:tab w:val="left" w:pos="5387"/>
          <w:tab w:val="left" w:pos="5954"/>
        </w:tabs>
        <w:rPr>
          <w:lang w:val="es-ES"/>
        </w:rPr>
      </w:pPr>
    </w:p>
    <w:p w:rsidR="002B4186" w:rsidRPr="007F0F19" w:rsidRDefault="002B4186" w:rsidP="002B4186">
      <w:pPr>
        <w:tabs>
          <w:tab w:val="left" w:pos="567"/>
          <w:tab w:val="left" w:pos="1134"/>
        </w:tabs>
        <w:rPr>
          <w:lang w:val="es-ES"/>
        </w:rPr>
      </w:pPr>
      <w:r w:rsidRPr="007F0F19">
        <w:rPr>
          <w:lang w:val="es-ES"/>
        </w:rPr>
        <w:tab/>
        <w:t>d)</w:t>
      </w:r>
      <w:r w:rsidRPr="007F0F19">
        <w:rPr>
          <w:lang w:val="es-ES"/>
        </w:rPr>
        <w:tab/>
        <w:t>considerar si procede invitar a expertos a presentar ante los TWP, en sus sesiones de 2016, sus experiencias relativas a la función del material vegetal utilizado como base para el examen DHE respecto de los asuntos enumerados en el párrafo 5 del presente documento.</w:t>
      </w:r>
    </w:p>
    <w:p w:rsidR="002B4186" w:rsidRPr="007F0F19" w:rsidRDefault="002B4186" w:rsidP="002B4186">
      <w:pPr>
        <w:tabs>
          <w:tab w:val="left" w:pos="567"/>
          <w:tab w:val="left" w:pos="1134"/>
        </w:tabs>
        <w:rPr>
          <w:rFonts w:eastAsia="SimSun"/>
          <w:lang w:val="es-ES"/>
        </w:rPr>
      </w:pPr>
      <w:r w:rsidRPr="007F0F19">
        <w:rPr>
          <w:lang w:val="es-ES"/>
        </w:rPr>
        <w:br w:type="page"/>
      </w:r>
    </w:p>
    <w:p w:rsidR="002B4186" w:rsidRPr="007F0F19" w:rsidRDefault="0063524C" w:rsidP="002B4186">
      <w:pPr>
        <w:rPr>
          <w:snapToGrid w:val="0"/>
          <w:lang w:val="es-ES"/>
        </w:rPr>
      </w:pPr>
      <w:r w:rsidRPr="00E25395">
        <w:lastRenderedPageBreak/>
        <w:fldChar w:fldCharType="begin"/>
      </w:r>
      <w:r w:rsidR="002B4186" w:rsidRPr="007F0F19">
        <w:rPr>
          <w:lang w:val="es-ES"/>
        </w:rPr>
        <w:instrText xml:space="preserve"> AUTONUM  </w:instrText>
      </w:r>
      <w:r w:rsidRPr="00E25395">
        <w:fldChar w:fldCharType="end"/>
      </w:r>
      <w:r w:rsidR="002B4186" w:rsidRPr="007F0F19">
        <w:rPr>
          <w:lang w:val="es-ES"/>
        </w:rPr>
        <w:tab/>
        <w:t>La estructura de este documento es la</w:t>
      </w:r>
      <w:r w:rsidR="002B4186" w:rsidRPr="007F0F19">
        <w:rPr>
          <w:snapToGrid w:val="0"/>
          <w:lang w:val="es-ES"/>
        </w:rPr>
        <w:t xml:space="preserve"> siguiente:</w:t>
      </w:r>
    </w:p>
    <w:p w:rsidR="002B4186" w:rsidRPr="007F0F19" w:rsidRDefault="002B4186" w:rsidP="002B4186">
      <w:pPr>
        <w:rPr>
          <w:lang w:val="es-ES"/>
        </w:rPr>
      </w:pPr>
    </w:p>
    <w:p w:rsidR="00DA743F" w:rsidRDefault="0063524C">
      <w:pPr>
        <w:pStyle w:val="TOC1"/>
        <w:rPr>
          <w:rFonts w:asciiTheme="minorHAnsi" w:eastAsiaTheme="minorEastAsia" w:hAnsiTheme="minorHAnsi" w:cstheme="minorBidi"/>
          <w:caps w:val="0"/>
          <w:noProof/>
          <w:sz w:val="22"/>
          <w:szCs w:val="22"/>
        </w:rPr>
      </w:pPr>
      <w:r>
        <w:rPr>
          <w:noProof/>
        </w:rPr>
        <w:fldChar w:fldCharType="begin"/>
      </w:r>
      <w:r w:rsidR="002B4186">
        <w:instrText xml:space="preserve"> TOC \o "1-3" \h \z \u </w:instrText>
      </w:r>
      <w:r>
        <w:rPr>
          <w:noProof/>
        </w:rPr>
        <w:fldChar w:fldCharType="separate"/>
      </w:r>
      <w:hyperlink w:anchor="_Toc441743995" w:history="1">
        <w:r w:rsidR="00DA743F" w:rsidRPr="00465262">
          <w:rPr>
            <w:rStyle w:val="Hyperlink"/>
            <w:noProof/>
          </w:rPr>
          <w:t>Antecedentes</w:t>
        </w:r>
        <w:r w:rsidR="00DA743F">
          <w:rPr>
            <w:noProof/>
            <w:webHidden/>
          </w:rPr>
          <w:tab/>
        </w:r>
        <w:r w:rsidR="00DA743F">
          <w:rPr>
            <w:noProof/>
            <w:webHidden/>
          </w:rPr>
          <w:fldChar w:fldCharType="begin"/>
        </w:r>
        <w:r w:rsidR="00DA743F">
          <w:rPr>
            <w:noProof/>
            <w:webHidden/>
          </w:rPr>
          <w:instrText xml:space="preserve"> PAGEREF _Toc441743995 \h </w:instrText>
        </w:r>
        <w:r w:rsidR="00DA743F">
          <w:rPr>
            <w:noProof/>
            <w:webHidden/>
          </w:rPr>
        </w:r>
        <w:r w:rsidR="00DA743F">
          <w:rPr>
            <w:noProof/>
            <w:webHidden/>
          </w:rPr>
          <w:fldChar w:fldCharType="separate"/>
        </w:r>
        <w:r w:rsidR="00DA743F">
          <w:rPr>
            <w:noProof/>
            <w:webHidden/>
          </w:rPr>
          <w:t>2</w:t>
        </w:r>
        <w:r w:rsidR="00DA743F">
          <w:rPr>
            <w:noProof/>
            <w:webHidden/>
          </w:rPr>
          <w:fldChar w:fldCharType="end"/>
        </w:r>
      </w:hyperlink>
    </w:p>
    <w:p w:rsidR="00DA743F" w:rsidRDefault="007C352A">
      <w:pPr>
        <w:pStyle w:val="TOC1"/>
        <w:rPr>
          <w:rFonts w:asciiTheme="minorHAnsi" w:eastAsiaTheme="minorEastAsia" w:hAnsiTheme="minorHAnsi" w:cstheme="minorBidi"/>
          <w:caps w:val="0"/>
          <w:noProof/>
          <w:sz w:val="22"/>
          <w:szCs w:val="22"/>
        </w:rPr>
      </w:pPr>
      <w:hyperlink w:anchor="_Toc441743996" w:history="1">
        <w:r w:rsidR="00DA743F" w:rsidRPr="00465262">
          <w:rPr>
            <w:rStyle w:val="Hyperlink"/>
            <w:noProof/>
          </w:rPr>
          <w:t>Novedades acaecidas en el Comité Técnico en 2015</w:t>
        </w:r>
        <w:r w:rsidR="00DA743F">
          <w:rPr>
            <w:noProof/>
            <w:webHidden/>
          </w:rPr>
          <w:tab/>
        </w:r>
        <w:r w:rsidR="00DA743F">
          <w:rPr>
            <w:noProof/>
            <w:webHidden/>
          </w:rPr>
          <w:fldChar w:fldCharType="begin"/>
        </w:r>
        <w:r w:rsidR="00DA743F">
          <w:rPr>
            <w:noProof/>
            <w:webHidden/>
          </w:rPr>
          <w:instrText xml:space="preserve"> PAGEREF _Toc441743996 \h </w:instrText>
        </w:r>
        <w:r w:rsidR="00DA743F">
          <w:rPr>
            <w:noProof/>
            <w:webHidden/>
          </w:rPr>
        </w:r>
        <w:r w:rsidR="00DA743F">
          <w:rPr>
            <w:noProof/>
            <w:webHidden/>
          </w:rPr>
          <w:fldChar w:fldCharType="separate"/>
        </w:r>
        <w:r w:rsidR="00DA743F">
          <w:rPr>
            <w:noProof/>
            <w:webHidden/>
          </w:rPr>
          <w:t>3</w:t>
        </w:r>
        <w:r w:rsidR="00DA743F">
          <w:rPr>
            <w:noProof/>
            <w:webHidden/>
          </w:rPr>
          <w:fldChar w:fldCharType="end"/>
        </w:r>
      </w:hyperlink>
    </w:p>
    <w:p w:rsidR="00DA743F" w:rsidRDefault="007C352A">
      <w:pPr>
        <w:pStyle w:val="TOC1"/>
        <w:rPr>
          <w:rFonts w:asciiTheme="minorHAnsi" w:eastAsiaTheme="minorEastAsia" w:hAnsiTheme="minorHAnsi" w:cstheme="minorBidi"/>
          <w:caps w:val="0"/>
          <w:noProof/>
          <w:sz w:val="22"/>
          <w:szCs w:val="22"/>
        </w:rPr>
      </w:pPr>
      <w:hyperlink w:anchor="_Toc441743997" w:history="1">
        <w:r w:rsidR="00DA743F" w:rsidRPr="00465262">
          <w:rPr>
            <w:rStyle w:val="Hyperlink"/>
            <w:noProof/>
          </w:rPr>
          <w:t>Novedades acaecidas en el CAJ en 2015</w:t>
        </w:r>
        <w:r w:rsidR="00DA743F">
          <w:rPr>
            <w:noProof/>
            <w:webHidden/>
          </w:rPr>
          <w:tab/>
        </w:r>
        <w:r w:rsidR="00DA743F">
          <w:rPr>
            <w:noProof/>
            <w:webHidden/>
          </w:rPr>
          <w:fldChar w:fldCharType="begin"/>
        </w:r>
        <w:r w:rsidR="00DA743F">
          <w:rPr>
            <w:noProof/>
            <w:webHidden/>
          </w:rPr>
          <w:instrText xml:space="preserve"> PAGEREF _Toc441743997 \h </w:instrText>
        </w:r>
        <w:r w:rsidR="00DA743F">
          <w:rPr>
            <w:noProof/>
            <w:webHidden/>
          </w:rPr>
        </w:r>
        <w:r w:rsidR="00DA743F">
          <w:rPr>
            <w:noProof/>
            <w:webHidden/>
          </w:rPr>
          <w:fldChar w:fldCharType="separate"/>
        </w:r>
        <w:r w:rsidR="00DA743F">
          <w:rPr>
            <w:noProof/>
            <w:webHidden/>
          </w:rPr>
          <w:t>3</w:t>
        </w:r>
        <w:r w:rsidR="00DA743F">
          <w:rPr>
            <w:noProof/>
            <w:webHidden/>
          </w:rPr>
          <w:fldChar w:fldCharType="end"/>
        </w:r>
      </w:hyperlink>
    </w:p>
    <w:p w:rsidR="00DA743F" w:rsidRDefault="007C352A">
      <w:pPr>
        <w:pStyle w:val="TOC1"/>
        <w:rPr>
          <w:rFonts w:asciiTheme="minorHAnsi" w:eastAsiaTheme="minorEastAsia" w:hAnsiTheme="minorHAnsi" w:cstheme="minorBidi"/>
          <w:caps w:val="0"/>
          <w:noProof/>
          <w:sz w:val="22"/>
          <w:szCs w:val="22"/>
        </w:rPr>
      </w:pPr>
      <w:hyperlink w:anchor="_Toc441743998" w:history="1">
        <w:r w:rsidR="00DA743F" w:rsidRPr="00465262">
          <w:rPr>
            <w:rStyle w:val="Hyperlink"/>
            <w:noProof/>
          </w:rPr>
          <w:t>Presentaciones a los TWP en sus reuniones de 2015</w:t>
        </w:r>
        <w:r w:rsidR="00DA743F">
          <w:rPr>
            <w:noProof/>
            <w:webHidden/>
          </w:rPr>
          <w:tab/>
        </w:r>
        <w:r w:rsidR="00DA743F">
          <w:rPr>
            <w:noProof/>
            <w:webHidden/>
          </w:rPr>
          <w:fldChar w:fldCharType="begin"/>
        </w:r>
        <w:r w:rsidR="00DA743F">
          <w:rPr>
            <w:noProof/>
            <w:webHidden/>
          </w:rPr>
          <w:instrText xml:space="preserve"> PAGEREF _Toc441743998 \h </w:instrText>
        </w:r>
        <w:r w:rsidR="00DA743F">
          <w:rPr>
            <w:noProof/>
            <w:webHidden/>
          </w:rPr>
        </w:r>
        <w:r w:rsidR="00DA743F">
          <w:rPr>
            <w:noProof/>
            <w:webHidden/>
          </w:rPr>
          <w:fldChar w:fldCharType="separate"/>
        </w:r>
        <w:r w:rsidR="00DA743F">
          <w:rPr>
            <w:noProof/>
            <w:webHidden/>
          </w:rPr>
          <w:t>4</w:t>
        </w:r>
        <w:r w:rsidR="00DA743F">
          <w:rPr>
            <w:noProof/>
            <w:webHidden/>
          </w:rPr>
          <w:fldChar w:fldCharType="end"/>
        </w:r>
      </w:hyperlink>
    </w:p>
    <w:p w:rsidR="00DA743F" w:rsidRDefault="007C352A">
      <w:pPr>
        <w:pStyle w:val="TOC1"/>
        <w:rPr>
          <w:rFonts w:asciiTheme="minorHAnsi" w:eastAsiaTheme="minorEastAsia" w:hAnsiTheme="minorHAnsi" w:cstheme="minorBidi"/>
          <w:caps w:val="0"/>
          <w:noProof/>
          <w:sz w:val="22"/>
          <w:szCs w:val="22"/>
        </w:rPr>
      </w:pPr>
      <w:hyperlink w:anchor="_Toc441743999" w:history="1">
        <w:r w:rsidR="00DA743F" w:rsidRPr="00465262">
          <w:rPr>
            <w:rStyle w:val="Hyperlink"/>
            <w:noProof/>
          </w:rPr>
          <w:t>Observaciones de los Grupos de Trabajo Técnico</w:t>
        </w:r>
        <w:r w:rsidR="00374D43">
          <w:rPr>
            <w:rStyle w:val="Hyperlink"/>
            <w:noProof/>
          </w:rPr>
          <w:t>S</w:t>
        </w:r>
        <w:r w:rsidR="00DA743F">
          <w:rPr>
            <w:noProof/>
            <w:webHidden/>
          </w:rPr>
          <w:tab/>
        </w:r>
        <w:r w:rsidR="00DA743F">
          <w:rPr>
            <w:noProof/>
            <w:webHidden/>
          </w:rPr>
          <w:fldChar w:fldCharType="begin"/>
        </w:r>
        <w:r w:rsidR="00DA743F">
          <w:rPr>
            <w:noProof/>
            <w:webHidden/>
          </w:rPr>
          <w:instrText xml:space="preserve"> PAGEREF _Toc441743999 \h </w:instrText>
        </w:r>
        <w:r w:rsidR="00DA743F">
          <w:rPr>
            <w:noProof/>
            <w:webHidden/>
          </w:rPr>
        </w:r>
        <w:r w:rsidR="00DA743F">
          <w:rPr>
            <w:noProof/>
            <w:webHidden/>
          </w:rPr>
          <w:fldChar w:fldCharType="separate"/>
        </w:r>
        <w:r w:rsidR="00DA743F">
          <w:rPr>
            <w:noProof/>
            <w:webHidden/>
          </w:rPr>
          <w:t>6</w:t>
        </w:r>
        <w:r w:rsidR="00DA743F">
          <w:rPr>
            <w:noProof/>
            <w:webHidden/>
          </w:rPr>
          <w:fldChar w:fldCharType="end"/>
        </w:r>
      </w:hyperlink>
    </w:p>
    <w:p w:rsidR="00DA743F" w:rsidRDefault="007C352A">
      <w:pPr>
        <w:pStyle w:val="TOC2"/>
        <w:rPr>
          <w:rFonts w:asciiTheme="minorHAnsi" w:eastAsiaTheme="minorEastAsia" w:hAnsiTheme="minorHAnsi" w:cstheme="minorBidi"/>
          <w:smallCaps w:val="0"/>
          <w:noProof/>
          <w:sz w:val="22"/>
          <w:szCs w:val="22"/>
        </w:rPr>
      </w:pPr>
      <w:hyperlink w:anchor="_Toc441744000" w:history="1">
        <w:r w:rsidR="00DA743F" w:rsidRPr="00465262">
          <w:rPr>
            <w:rStyle w:val="Hyperlink"/>
            <w:iCs/>
            <w:noProof/>
          </w:rPr>
          <w:t>Grupo de Trabajo Técnico sobre Hortalizas</w:t>
        </w:r>
        <w:r w:rsidR="00DA743F">
          <w:rPr>
            <w:noProof/>
            <w:webHidden/>
          </w:rPr>
          <w:tab/>
        </w:r>
        <w:r w:rsidR="00DA743F">
          <w:rPr>
            <w:noProof/>
            <w:webHidden/>
          </w:rPr>
          <w:fldChar w:fldCharType="begin"/>
        </w:r>
        <w:r w:rsidR="00DA743F">
          <w:rPr>
            <w:noProof/>
            <w:webHidden/>
          </w:rPr>
          <w:instrText xml:space="preserve"> PAGEREF _Toc441744000 \h </w:instrText>
        </w:r>
        <w:r w:rsidR="00DA743F">
          <w:rPr>
            <w:noProof/>
            <w:webHidden/>
          </w:rPr>
        </w:r>
        <w:r w:rsidR="00DA743F">
          <w:rPr>
            <w:noProof/>
            <w:webHidden/>
          </w:rPr>
          <w:fldChar w:fldCharType="separate"/>
        </w:r>
        <w:r w:rsidR="00DA743F">
          <w:rPr>
            <w:noProof/>
            <w:webHidden/>
          </w:rPr>
          <w:t>6</w:t>
        </w:r>
        <w:r w:rsidR="00DA743F">
          <w:rPr>
            <w:noProof/>
            <w:webHidden/>
          </w:rPr>
          <w:fldChar w:fldCharType="end"/>
        </w:r>
      </w:hyperlink>
    </w:p>
    <w:p w:rsidR="00DA743F" w:rsidRDefault="007C352A">
      <w:pPr>
        <w:pStyle w:val="TOC2"/>
        <w:rPr>
          <w:rFonts w:asciiTheme="minorHAnsi" w:eastAsiaTheme="minorEastAsia" w:hAnsiTheme="minorHAnsi" w:cstheme="minorBidi"/>
          <w:smallCaps w:val="0"/>
          <w:noProof/>
          <w:sz w:val="22"/>
          <w:szCs w:val="22"/>
        </w:rPr>
      </w:pPr>
      <w:hyperlink w:anchor="_Toc441744001" w:history="1">
        <w:r w:rsidR="00DA743F" w:rsidRPr="00465262">
          <w:rPr>
            <w:rStyle w:val="Hyperlink"/>
            <w:noProof/>
          </w:rPr>
          <w:t>Grupo de Trabajo Técnico sobre Automatización y Programas Informáticos</w:t>
        </w:r>
        <w:r w:rsidR="00DA743F">
          <w:rPr>
            <w:noProof/>
            <w:webHidden/>
          </w:rPr>
          <w:tab/>
        </w:r>
        <w:r w:rsidR="00DA743F">
          <w:rPr>
            <w:noProof/>
            <w:webHidden/>
          </w:rPr>
          <w:fldChar w:fldCharType="begin"/>
        </w:r>
        <w:r w:rsidR="00DA743F">
          <w:rPr>
            <w:noProof/>
            <w:webHidden/>
          </w:rPr>
          <w:instrText xml:space="preserve"> PAGEREF _Toc441744001 \h </w:instrText>
        </w:r>
        <w:r w:rsidR="00DA743F">
          <w:rPr>
            <w:noProof/>
            <w:webHidden/>
          </w:rPr>
        </w:r>
        <w:r w:rsidR="00DA743F">
          <w:rPr>
            <w:noProof/>
            <w:webHidden/>
          </w:rPr>
          <w:fldChar w:fldCharType="separate"/>
        </w:r>
        <w:r w:rsidR="00DA743F">
          <w:rPr>
            <w:noProof/>
            <w:webHidden/>
          </w:rPr>
          <w:t>6</w:t>
        </w:r>
        <w:r w:rsidR="00DA743F">
          <w:rPr>
            <w:noProof/>
            <w:webHidden/>
          </w:rPr>
          <w:fldChar w:fldCharType="end"/>
        </w:r>
      </w:hyperlink>
    </w:p>
    <w:p w:rsidR="00DA743F" w:rsidRDefault="007C352A">
      <w:pPr>
        <w:pStyle w:val="TOC3"/>
        <w:rPr>
          <w:rFonts w:asciiTheme="minorHAnsi" w:eastAsiaTheme="minorEastAsia" w:hAnsiTheme="minorHAnsi" w:cstheme="minorBidi"/>
          <w:noProof/>
          <w:sz w:val="22"/>
          <w:szCs w:val="22"/>
        </w:rPr>
      </w:pPr>
      <w:hyperlink w:anchor="_Toc441744002" w:history="1">
        <w:r w:rsidR="00DA743F" w:rsidRPr="00465262">
          <w:rPr>
            <w:rStyle w:val="Hyperlink"/>
            <w:noProof/>
          </w:rPr>
          <w:t>Control del mantenimiento de la variedad</w:t>
        </w:r>
        <w:r w:rsidR="00DA743F">
          <w:rPr>
            <w:noProof/>
            <w:webHidden/>
          </w:rPr>
          <w:tab/>
        </w:r>
        <w:r w:rsidR="00DA743F">
          <w:rPr>
            <w:noProof/>
            <w:webHidden/>
          </w:rPr>
          <w:fldChar w:fldCharType="begin"/>
        </w:r>
        <w:r w:rsidR="00DA743F">
          <w:rPr>
            <w:noProof/>
            <w:webHidden/>
          </w:rPr>
          <w:instrText xml:space="preserve"> PAGEREF _Toc441744002 \h </w:instrText>
        </w:r>
        <w:r w:rsidR="00DA743F">
          <w:rPr>
            <w:noProof/>
            <w:webHidden/>
          </w:rPr>
        </w:r>
        <w:r w:rsidR="00DA743F">
          <w:rPr>
            <w:noProof/>
            <w:webHidden/>
          </w:rPr>
          <w:fldChar w:fldCharType="separate"/>
        </w:r>
        <w:r w:rsidR="00DA743F">
          <w:rPr>
            <w:noProof/>
            <w:webHidden/>
          </w:rPr>
          <w:t>6</w:t>
        </w:r>
        <w:r w:rsidR="00DA743F">
          <w:rPr>
            <w:noProof/>
            <w:webHidden/>
          </w:rPr>
          <w:fldChar w:fldCharType="end"/>
        </w:r>
      </w:hyperlink>
    </w:p>
    <w:p w:rsidR="00DA743F" w:rsidRDefault="007C352A">
      <w:pPr>
        <w:pStyle w:val="TOC3"/>
        <w:rPr>
          <w:rFonts w:asciiTheme="minorHAnsi" w:eastAsiaTheme="minorEastAsia" w:hAnsiTheme="minorHAnsi" w:cstheme="minorBidi"/>
          <w:noProof/>
          <w:sz w:val="22"/>
          <w:szCs w:val="22"/>
        </w:rPr>
      </w:pPr>
      <w:hyperlink w:anchor="_Toc441744003" w:history="1">
        <w:r w:rsidR="00DA743F" w:rsidRPr="00465262">
          <w:rPr>
            <w:rStyle w:val="Hyperlink"/>
            <w:noProof/>
          </w:rPr>
          <w:t>Asuntos relativos a las descripciones de variedades</w:t>
        </w:r>
        <w:r w:rsidR="00DA743F">
          <w:rPr>
            <w:noProof/>
            <w:webHidden/>
          </w:rPr>
          <w:tab/>
        </w:r>
        <w:r w:rsidR="00DA743F">
          <w:rPr>
            <w:noProof/>
            <w:webHidden/>
          </w:rPr>
          <w:fldChar w:fldCharType="begin"/>
        </w:r>
        <w:r w:rsidR="00DA743F">
          <w:rPr>
            <w:noProof/>
            <w:webHidden/>
          </w:rPr>
          <w:instrText xml:space="preserve"> PAGEREF _Toc441744003 \h </w:instrText>
        </w:r>
        <w:r w:rsidR="00DA743F">
          <w:rPr>
            <w:noProof/>
            <w:webHidden/>
          </w:rPr>
        </w:r>
        <w:r w:rsidR="00DA743F">
          <w:rPr>
            <w:noProof/>
            <w:webHidden/>
          </w:rPr>
          <w:fldChar w:fldCharType="separate"/>
        </w:r>
        <w:r w:rsidR="00DA743F">
          <w:rPr>
            <w:noProof/>
            <w:webHidden/>
          </w:rPr>
          <w:t>6</w:t>
        </w:r>
        <w:r w:rsidR="00DA743F">
          <w:rPr>
            <w:noProof/>
            <w:webHidden/>
          </w:rPr>
          <w:fldChar w:fldCharType="end"/>
        </w:r>
      </w:hyperlink>
    </w:p>
    <w:p w:rsidR="00DA743F" w:rsidRDefault="007C352A">
      <w:pPr>
        <w:pStyle w:val="TOC2"/>
        <w:rPr>
          <w:rFonts w:asciiTheme="minorHAnsi" w:eastAsiaTheme="minorEastAsia" w:hAnsiTheme="minorHAnsi" w:cstheme="minorBidi"/>
          <w:smallCaps w:val="0"/>
          <w:noProof/>
          <w:sz w:val="22"/>
          <w:szCs w:val="22"/>
        </w:rPr>
      </w:pPr>
      <w:hyperlink w:anchor="_Toc441744004" w:history="1">
        <w:r w:rsidR="00DA743F" w:rsidRPr="00465262">
          <w:rPr>
            <w:rStyle w:val="Hyperlink"/>
            <w:noProof/>
          </w:rPr>
          <w:t>Grupo de Trabajo Técnico sobre Plantas Agrícolas</w:t>
        </w:r>
        <w:r w:rsidR="00DA743F">
          <w:rPr>
            <w:noProof/>
            <w:webHidden/>
          </w:rPr>
          <w:tab/>
        </w:r>
        <w:r w:rsidR="00DA743F">
          <w:rPr>
            <w:noProof/>
            <w:webHidden/>
          </w:rPr>
          <w:fldChar w:fldCharType="begin"/>
        </w:r>
        <w:r w:rsidR="00DA743F">
          <w:rPr>
            <w:noProof/>
            <w:webHidden/>
          </w:rPr>
          <w:instrText xml:space="preserve"> PAGEREF _Toc441744004 \h </w:instrText>
        </w:r>
        <w:r w:rsidR="00DA743F">
          <w:rPr>
            <w:noProof/>
            <w:webHidden/>
          </w:rPr>
        </w:r>
        <w:r w:rsidR="00DA743F">
          <w:rPr>
            <w:noProof/>
            <w:webHidden/>
          </w:rPr>
          <w:fldChar w:fldCharType="separate"/>
        </w:r>
        <w:r w:rsidR="00DA743F">
          <w:rPr>
            <w:noProof/>
            <w:webHidden/>
          </w:rPr>
          <w:t>7</w:t>
        </w:r>
        <w:r w:rsidR="00DA743F">
          <w:rPr>
            <w:noProof/>
            <w:webHidden/>
          </w:rPr>
          <w:fldChar w:fldCharType="end"/>
        </w:r>
      </w:hyperlink>
    </w:p>
    <w:p w:rsidR="00DA743F" w:rsidRDefault="007C352A">
      <w:pPr>
        <w:pStyle w:val="TOC2"/>
        <w:rPr>
          <w:rFonts w:asciiTheme="minorHAnsi" w:eastAsiaTheme="minorEastAsia" w:hAnsiTheme="minorHAnsi" w:cstheme="minorBidi"/>
          <w:smallCaps w:val="0"/>
          <w:noProof/>
          <w:sz w:val="22"/>
          <w:szCs w:val="22"/>
        </w:rPr>
      </w:pPr>
      <w:hyperlink w:anchor="_Toc441744005" w:history="1">
        <w:r w:rsidR="00DA743F" w:rsidRPr="00465262">
          <w:rPr>
            <w:rStyle w:val="Hyperlink"/>
            <w:noProof/>
          </w:rPr>
          <w:t>Grupo de Trabajo Técnico sobre Plantas Frutales</w:t>
        </w:r>
        <w:r w:rsidR="00DA743F">
          <w:rPr>
            <w:noProof/>
            <w:webHidden/>
          </w:rPr>
          <w:tab/>
        </w:r>
        <w:r w:rsidR="00DA743F">
          <w:rPr>
            <w:noProof/>
            <w:webHidden/>
          </w:rPr>
          <w:fldChar w:fldCharType="begin"/>
        </w:r>
        <w:r w:rsidR="00DA743F">
          <w:rPr>
            <w:noProof/>
            <w:webHidden/>
          </w:rPr>
          <w:instrText xml:space="preserve"> PAGEREF _Toc441744005 \h </w:instrText>
        </w:r>
        <w:r w:rsidR="00DA743F">
          <w:rPr>
            <w:noProof/>
            <w:webHidden/>
          </w:rPr>
        </w:r>
        <w:r w:rsidR="00DA743F">
          <w:rPr>
            <w:noProof/>
            <w:webHidden/>
          </w:rPr>
          <w:fldChar w:fldCharType="separate"/>
        </w:r>
        <w:r w:rsidR="00DA743F">
          <w:rPr>
            <w:noProof/>
            <w:webHidden/>
          </w:rPr>
          <w:t>7</w:t>
        </w:r>
        <w:r w:rsidR="00DA743F">
          <w:rPr>
            <w:noProof/>
            <w:webHidden/>
          </w:rPr>
          <w:fldChar w:fldCharType="end"/>
        </w:r>
      </w:hyperlink>
    </w:p>
    <w:p w:rsidR="00DA743F" w:rsidRDefault="007C352A">
      <w:pPr>
        <w:pStyle w:val="TOC2"/>
        <w:rPr>
          <w:rFonts w:asciiTheme="minorHAnsi" w:eastAsiaTheme="minorEastAsia" w:hAnsiTheme="minorHAnsi" w:cstheme="minorBidi"/>
          <w:smallCaps w:val="0"/>
          <w:noProof/>
          <w:sz w:val="22"/>
          <w:szCs w:val="22"/>
        </w:rPr>
      </w:pPr>
      <w:hyperlink w:anchor="_Toc441744006" w:history="1">
        <w:r w:rsidR="00DA743F" w:rsidRPr="00465262">
          <w:rPr>
            <w:rStyle w:val="Hyperlink"/>
            <w:noProof/>
          </w:rPr>
          <w:t>Grupo de Trabajo Técnico sobre Plantas Ornamentales</w:t>
        </w:r>
        <w:r w:rsidR="00DA743F">
          <w:rPr>
            <w:noProof/>
            <w:webHidden/>
          </w:rPr>
          <w:tab/>
        </w:r>
        <w:r w:rsidR="00DA743F">
          <w:rPr>
            <w:noProof/>
            <w:webHidden/>
          </w:rPr>
          <w:fldChar w:fldCharType="begin"/>
        </w:r>
        <w:r w:rsidR="00DA743F">
          <w:rPr>
            <w:noProof/>
            <w:webHidden/>
          </w:rPr>
          <w:instrText xml:space="preserve"> PAGEREF _Toc441744006 \h </w:instrText>
        </w:r>
        <w:r w:rsidR="00DA743F">
          <w:rPr>
            <w:noProof/>
            <w:webHidden/>
          </w:rPr>
        </w:r>
        <w:r w:rsidR="00DA743F">
          <w:rPr>
            <w:noProof/>
            <w:webHidden/>
          </w:rPr>
          <w:fldChar w:fldCharType="separate"/>
        </w:r>
        <w:r w:rsidR="00DA743F">
          <w:rPr>
            <w:noProof/>
            <w:webHidden/>
          </w:rPr>
          <w:t>7</w:t>
        </w:r>
        <w:r w:rsidR="00DA743F">
          <w:rPr>
            <w:noProof/>
            <w:webHidden/>
          </w:rPr>
          <w:fldChar w:fldCharType="end"/>
        </w:r>
      </w:hyperlink>
    </w:p>
    <w:p w:rsidR="002B4186" w:rsidRDefault="0063524C" w:rsidP="002B4186">
      <w:pPr>
        <w:pStyle w:val="TOC1"/>
        <w:rPr>
          <w:rFonts w:asciiTheme="minorHAnsi" w:eastAsiaTheme="minorEastAsia" w:hAnsiTheme="minorHAnsi" w:cstheme="minorBidi"/>
          <w:caps w:val="0"/>
          <w:noProof/>
          <w:sz w:val="22"/>
          <w:szCs w:val="22"/>
        </w:rPr>
      </w:pPr>
      <w:r>
        <w:fldChar w:fldCharType="end"/>
      </w:r>
    </w:p>
    <w:p w:rsidR="002B4186" w:rsidRPr="007F0F19" w:rsidRDefault="0063524C" w:rsidP="002B4186">
      <w:pPr>
        <w:rPr>
          <w:rFonts w:cs="Arial"/>
          <w:lang w:val="es-ES"/>
        </w:rPr>
      </w:pPr>
      <w:r w:rsidRPr="00803FBF">
        <w:rPr>
          <w:rFonts w:cs="Arial"/>
        </w:rPr>
        <w:fldChar w:fldCharType="begin"/>
      </w:r>
      <w:r w:rsidR="002B4186" w:rsidRPr="007F0F19">
        <w:rPr>
          <w:rFonts w:cs="Arial"/>
          <w:lang w:val="es-ES"/>
        </w:rPr>
        <w:instrText xml:space="preserve"> AUTONUM  </w:instrText>
      </w:r>
      <w:r w:rsidRPr="00803FBF">
        <w:rPr>
          <w:rFonts w:cs="Arial"/>
        </w:rPr>
        <w:fldChar w:fldCharType="end"/>
      </w:r>
      <w:r w:rsidR="002B4186" w:rsidRPr="007F0F19">
        <w:rPr>
          <w:lang w:val="es-ES"/>
        </w:rPr>
        <w:tab/>
        <w:t>En el presente documento se utilizan las siguientes abreviaturas:</w:t>
      </w:r>
    </w:p>
    <w:p w:rsidR="002B4186" w:rsidRPr="007F0F19" w:rsidRDefault="002B4186" w:rsidP="002B4186">
      <w:pPr>
        <w:ind w:left="1701" w:hanging="1134"/>
        <w:rPr>
          <w:rFonts w:cs="Arial"/>
          <w:lang w:val="es-ES"/>
        </w:rPr>
      </w:pPr>
    </w:p>
    <w:p w:rsidR="002B4186" w:rsidRPr="007F0F19" w:rsidRDefault="002B4186" w:rsidP="002B4186">
      <w:pPr>
        <w:ind w:left="1701" w:hanging="1134"/>
        <w:rPr>
          <w:rFonts w:cs="Arial"/>
          <w:lang w:val="es-ES"/>
        </w:rPr>
      </w:pPr>
      <w:r w:rsidRPr="007F0F19">
        <w:rPr>
          <w:lang w:val="es-ES"/>
        </w:rPr>
        <w:t xml:space="preserve">CAJ:  </w:t>
      </w:r>
      <w:r w:rsidRPr="007F0F19">
        <w:rPr>
          <w:lang w:val="es-ES"/>
        </w:rPr>
        <w:tab/>
        <w:t xml:space="preserve">Comité Administrativo y Jurídico </w:t>
      </w:r>
    </w:p>
    <w:p w:rsidR="002B4186" w:rsidRPr="007F0F19" w:rsidRDefault="002B4186" w:rsidP="002B4186">
      <w:pPr>
        <w:ind w:left="1701" w:hanging="1134"/>
        <w:rPr>
          <w:rFonts w:cs="Arial"/>
          <w:lang w:val="es-ES"/>
        </w:rPr>
      </w:pPr>
      <w:r w:rsidRPr="007F0F19">
        <w:rPr>
          <w:lang w:val="es-ES"/>
        </w:rPr>
        <w:t xml:space="preserve">TC:  </w:t>
      </w:r>
      <w:r w:rsidRPr="007F0F19">
        <w:rPr>
          <w:lang w:val="es-ES"/>
        </w:rPr>
        <w:tab/>
        <w:t>Comité Técnico</w:t>
      </w:r>
    </w:p>
    <w:p w:rsidR="002B4186" w:rsidRPr="007F0F19" w:rsidRDefault="002B4186" w:rsidP="002B4186">
      <w:pPr>
        <w:ind w:left="1701" w:hanging="1134"/>
        <w:rPr>
          <w:rFonts w:cs="Arial"/>
          <w:lang w:val="es-ES"/>
        </w:rPr>
      </w:pPr>
      <w:r w:rsidRPr="007F0F19">
        <w:rPr>
          <w:lang w:val="es-ES"/>
        </w:rPr>
        <w:t xml:space="preserve">TC-EDC:  </w:t>
      </w:r>
      <w:r w:rsidRPr="007F0F19">
        <w:rPr>
          <w:lang w:val="es-ES"/>
        </w:rPr>
        <w:tab/>
        <w:t>Comité de Redacción Ampliado</w:t>
      </w:r>
    </w:p>
    <w:p w:rsidR="002B4186" w:rsidRPr="007F0F19" w:rsidRDefault="002B4186" w:rsidP="002B4186">
      <w:pPr>
        <w:ind w:left="1701" w:hanging="1134"/>
        <w:rPr>
          <w:rFonts w:cs="Arial"/>
          <w:lang w:val="es-ES"/>
        </w:rPr>
      </w:pPr>
      <w:r w:rsidRPr="007F0F19">
        <w:rPr>
          <w:lang w:val="es-ES"/>
        </w:rPr>
        <w:t xml:space="preserve">TWA:  </w:t>
      </w:r>
      <w:r w:rsidRPr="007F0F19">
        <w:rPr>
          <w:lang w:val="es-ES"/>
        </w:rPr>
        <w:tab/>
        <w:t>Grupo de Trabajo Técnico sobre Plantas Agrícolas</w:t>
      </w:r>
    </w:p>
    <w:p w:rsidR="002B4186" w:rsidRPr="007F0F19" w:rsidRDefault="002B4186" w:rsidP="002B4186">
      <w:pPr>
        <w:ind w:left="1701" w:hanging="1134"/>
        <w:rPr>
          <w:rFonts w:cs="Arial"/>
          <w:lang w:val="es-ES"/>
        </w:rPr>
      </w:pPr>
      <w:r w:rsidRPr="007F0F19">
        <w:rPr>
          <w:lang w:val="es-ES"/>
        </w:rPr>
        <w:t xml:space="preserve">TWC:  </w:t>
      </w:r>
      <w:r w:rsidRPr="007F0F19">
        <w:rPr>
          <w:lang w:val="es-ES"/>
        </w:rPr>
        <w:tab/>
        <w:t>Grupo de Trabajo Técnico sobre Automatización y Programas Informáticos</w:t>
      </w:r>
    </w:p>
    <w:p w:rsidR="002B4186" w:rsidRPr="007F0F19" w:rsidRDefault="002B4186" w:rsidP="002B4186">
      <w:pPr>
        <w:ind w:left="1701" w:hanging="1134"/>
        <w:rPr>
          <w:rFonts w:cs="Arial"/>
          <w:lang w:val="es-ES"/>
        </w:rPr>
      </w:pPr>
      <w:r w:rsidRPr="007F0F19">
        <w:rPr>
          <w:lang w:val="es-ES"/>
        </w:rPr>
        <w:t xml:space="preserve">TWF:  </w:t>
      </w:r>
      <w:r w:rsidRPr="007F0F19">
        <w:rPr>
          <w:lang w:val="es-ES"/>
        </w:rPr>
        <w:tab/>
        <w:t xml:space="preserve">Grupo de Trabajo Técnico sobre Plantas Frutales </w:t>
      </w:r>
    </w:p>
    <w:p w:rsidR="002B4186" w:rsidRPr="007F0F19" w:rsidRDefault="002B4186" w:rsidP="002B4186">
      <w:pPr>
        <w:ind w:left="1701" w:hanging="1134"/>
        <w:rPr>
          <w:rFonts w:cs="Arial"/>
          <w:lang w:val="es-ES"/>
        </w:rPr>
      </w:pPr>
      <w:r w:rsidRPr="007F0F19">
        <w:rPr>
          <w:lang w:val="es-ES"/>
        </w:rPr>
        <w:t xml:space="preserve">TWO:  </w:t>
      </w:r>
      <w:r w:rsidRPr="007F0F19">
        <w:rPr>
          <w:lang w:val="es-ES"/>
        </w:rPr>
        <w:tab/>
        <w:t xml:space="preserve">Grupo de Trabajo Técnico sobre Plantas Ornamentales y Árboles Forestales </w:t>
      </w:r>
    </w:p>
    <w:p w:rsidR="002B4186" w:rsidRPr="007F0F19" w:rsidRDefault="002B4186" w:rsidP="002B4186">
      <w:pPr>
        <w:ind w:left="1701" w:hanging="1134"/>
        <w:rPr>
          <w:rFonts w:cs="Arial"/>
          <w:lang w:val="es-ES"/>
        </w:rPr>
      </w:pPr>
      <w:r w:rsidRPr="007F0F19">
        <w:rPr>
          <w:lang w:val="es-ES"/>
        </w:rPr>
        <w:t xml:space="preserve">TWV:  </w:t>
      </w:r>
      <w:r w:rsidRPr="007F0F19">
        <w:rPr>
          <w:lang w:val="es-ES"/>
        </w:rPr>
        <w:tab/>
        <w:t>Grupo de Trabajo Técnico sobre Hortalizas</w:t>
      </w:r>
    </w:p>
    <w:p w:rsidR="002B4186" w:rsidRPr="007F0F19" w:rsidRDefault="002B4186" w:rsidP="002B4186">
      <w:pPr>
        <w:ind w:firstLine="567"/>
        <w:rPr>
          <w:rFonts w:cs="Arial"/>
          <w:color w:val="000000"/>
          <w:lang w:val="es-ES"/>
        </w:rPr>
      </w:pPr>
      <w:r w:rsidRPr="007F0F19">
        <w:rPr>
          <w:color w:val="000000"/>
          <w:lang w:val="es-ES"/>
        </w:rPr>
        <w:t>TWP:</w:t>
      </w:r>
      <w:r w:rsidRPr="007F0F19">
        <w:rPr>
          <w:lang w:val="es-ES"/>
        </w:rPr>
        <w:tab/>
      </w:r>
      <w:r w:rsidR="00DA743F" w:rsidRPr="007F0F19">
        <w:rPr>
          <w:lang w:val="es-ES"/>
        </w:rPr>
        <w:tab/>
      </w:r>
      <w:r w:rsidRPr="007F0F19">
        <w:rPr>
          <w:color w:val="000000"/>
          <w:lang w:val="es-ES"/>
        </w:rPr>
        <w:t>Grupos de Trabajo Técnico</w:t>
      </w:r>
      <w:r w:rsidR="00374D43">
        <w:rPr>
          <w:color w:val="000000"/>
          <w:lang w:val="es-ES"/>
        </w:rPr>
        <w:t>s</w:t>
      </w:r>
    </w:p>
    <w:p w:rsidR="002B4186" w:rsidRPr="007F0F19" w:rsidRDefault="002B4186" w:rsidP="002B4186">
      <w:pPr>
        <w:rPr>
          <w:lang w:val="es-ES"/>
        </w:rPr>
      </w:pPr>
    </w:p>
    <w:p w:rsidR="002B4186" w:rsidRPr="007F0F19" w:rsidRDefault="002B4186" w:rsidP="002B4186">
      <w:pPr>
        <w:jc w:val="left"/>
        <w:rPr>
          <w:lang w:val="es-ES"/>
        </w:rPr>
      </w:pPr>
    </w:p>
    <w:p w:rsidR="002B4186" w:rsidRPr="007F0F19" w:rsidRDefault="002B4186" w:rsidP="002B4186">
      <w:pPr>
        <w:pStyle w:val="Heading1"/>
        <w:rPr>
          <w:lang w:val="es-ES"/>
        </w:rPr>
      </w:pPr>
      <w:bookmarkStart w:id="6" w:name="_Toc440985313"/>
      <w:bookmarkStart w:id="7" w:name="_Toc441743995"/>
      <w:bookmarkStart w:id="8" w:name="_Toc418531190"/>
      <w:bookmarkEnd w:id="5"/>
      <w:r w:rsidRPr="007F0F19">
        <w:rPr>
          <w:lang w:val="es-ES"/>
        </w:rPr>
        <w:t>Antecedentes</w:t>
      </w:r>
      <w:bookmarkEnd w:id="6"/>
      <w:bookmarkEnd w:id="7"/>
    </w:p>
    <w:p w:rsidR="002B4186" w:rsidRPr="007F0F19" w:rsidRDefault="002B4186" w:rsidP="002B4186">
      <w:pPr>
        <w:rPr>
          <w:lang w:val="es-ES"/>
        </w:rPr>
      </w:pPr>
    </w:p>
    <w:bookmarkEnd w:id="8"/>
    <w:p w:rsidR="002B4186" w:rsidRPr="007F0F19" w:rsidRDefault="0063524C" w:rsidP="002B4186">
      <w:pPr>
        <w:rPr>
          <w:rFonts w:cs="Arial"/>
          <w:lang w:val="es-ES"/>
        </w:rPr>
      </w:pPr>
      <w:r w:rsidRPr="00697F3F">
        <w:rPr>
          <w:rFonts w:cs="Arial"/>
        </w:rPr>
        <w:fldChar w:fldCharType="begin"/>
      </w:r>
      <w:r w:rsidR="002B4186" w:rsidRPr="007F0F19">
        <w:rPr>
          <w:rFonts w:cs="Arial"/>
          <w:lang w:val="es-ES"/>
        </w:rPr>
        <w:instrText xml:space="preserve"> AUTONUM  </w:instrText>
      </w:r>
      <w:r w:rsidRPr="00697F3F">
        <w:rPr>
          <w:rFonts w:cs="Arial"/>
        </w:rPr>
        <w:fldChar w:fldCharType="end"/>
      </w:r>
      <w:r w:rsidR="002B4186" w:rsidRPr="007F0F19">
        <w:rPr>
          <w:lang w:val="es-ES"/>
        </w:rPr>
        <w:tab/>
        <w:t>El CAJ, en su sexagésima novena sesión, celebrada en Ginebra el 10 de abril de 2014, de conformidad con la propuesta del CAJ-AG, convino en invitar al TC a contemplar la posibilidad de elaborar orientación adicional sobre los siguientes asuntos relativos a las descripciones de variedades (véase el párrafo 19 del documento CAJ/69/13 “Informe”):</w:t>
      </w:r>
    </w:p>
    <w:p w:rsidR="002B4186" w:rsidRPr="007F0F19" w:rsidRDefault="002B4186" w:rsidP="002B4186">
      <w:pPr>
        <w:tabs>
          <w:tab w:val="left" w:pos="810"/>
        </w:tabs>
        <w:rPr>
          <w:rFonts w:cs="Arial"/>
          <w:lang w:val="es-ES"/>
        </w:rPr>
      </w:pPr>
    </w:p>
    <w:p w:rsidR="002B4186" w:rsidRPr="007F0F19" w:rsidRDefault="002B4186" w:rsidP="002B4186">
      <w:pPr>
        <w:rPr>
          <w:rFonts w:cs="Arial"/>
          <w:lang w:val="es-ES"/>
        </w:rPr>
      </w:pPr>
      <w:r w:rsidRPr="007F0F19">
        <w:rPr>
          <w:lang w:val="es-ES"/>
        </w:rPr>
        <w:tab/>
        <w:t>a)</w:t>
      </w:r>
      <w:r w:rsidRPr="007F0F19">
        <w:rPr>
          <w:lang w:val="es-ES"/>
        </w:rPr>
        <w:tab/>
        <w:t>el uso de informaciones, documentos o material proporcionados por el obtentor para controlar el mantenimiento de la variedad, conforme al párrafo 15 del documento CAJ-AG/13/8/4 “</w:t>
      </w:r>
      <w:proofErr w:type="spellStart"/>
      <w:r w:rsidR="0042005B" w:rsidRPr="0042005B">
        <w:rPr>
          <w:i/>
          <w:lang w:val="es-ES"/>
        </w:rPr>
        <w:t>Matters</w:t>
      </w:r>
      <w:proofErr w:type="spellEnd"/>
      <w:r w:rsidR="0042005B" w:rsidRPr="0042005B">
        <w:rPr>
          <w:i/>
          <w:lang w:val="es-ES"/>
        </w:rPr>
        <w:t xml:space="preserve"> </w:t>
      </w:r>
      <w:proofErr w:type="spellStart"/>
      <w:r w:rsidR="0042005B" w:rsidRPr="0042005B">
        <w:rPr>
          <w:i/>
          <w:lang w:val="es-ES"/>
        </w:rPr>
        <w:t>concerning</w:t>
      </w:r>
      <w:proofErr w:type="spellEnd"/>
      <w:r w:rsidR="0042005B" w:rsidRPr="0042005B">
        <w:rPr>
          <w:i/>
          <w:lang w:val="es-ES"/>
        </w:rPr>
        <w:t xml:space="preserve"> </w:t>
      </w:r>
      <w:proofErr w:type="spellStart"/>
      <w:r w:rsidR="0042005B" w:rsidRPr="0042005B">
        <w:rPr>
          <w:i/>
          <w:lang w:val="es-ES"/>
        </w:rPr>
        <w:t>cancellation</w:t>
      </w:r>
      <w:proofErr w:type="spellEnd"/>
      <w:r w:rsidR="0042005B" w:rsidRPr="0042005B">
        <w:rPr>
          <w:i/>
          <w:lang w:val="es-ES"/>
        </w:rPr>
        <w:t xml:space="preserve"> of </w:t>
      </w:r>
      <w:proofErr w:type="spellStart"/>
      <w:r w:rsidR="0042005B" w:rsidRPr="0042005B">
        <w:rPr>
          <w:i/>
          <w:lang w:val="es-ES"/>
        </w:rPr>
        <w:t>the</w:t>
      </w:r>
      <w:proofErr w:type="spellEnd"/>
      <w:r w:rsidR="0042005B" w:rsidRPr="0042005B">
        <w:rPr>
          <w:i/>
          <w:lang w:val="es-ES"/>
        </w:rPr>
        <w:t xml:space="preserve"> </w:t>
      </w:r>
      <w:proofErr w:type="spellStart"/>
      <w:r w:rsidR="0042005B" w:rsidRPr="0042005B">
        <w:rPr>
          <w:i/>
          <w:lang w:val="es-ES"/>
        </w:rPr>
        <w:t>breeder's</w:t>
      </w:r>
      <w:proofErr w:type="spellEnd"/>
      <w:r w:rsidR="0042005B" w:rsidRPr="0042005B">
        <w:rPr>
          <w:i/>
          <w:lang w:val="es-ES"/>
        </w:rPr>
        <w:t xml:space="preserve"> </w:t>
      </w:r>
      <w:proofErr w:type="spellStart"/>
      <w:r w:rsidR="0042005B" w:rsidRPr="0042005B">
        <w:rPr>
          <w:i/>
          <w:lang w:val="es-ES"/>
        </w:rPr>
        <w:t>right</w:t>
      </w:r>
      <w:proofErr w:type="spellEnd"/>
      <w:r w:rsidR="0042005B" w:rsidRPr="0042005B">
        <w:rPr>
          <w:lang w:val="es-ES"/>
        </w:rPr>
        <w:t>”</w:t>
      </w:r>
      <w:r w:rsidR="0042005B">
        <w:rPr>
          <w:lang w:val="es-ES"/>
        </w:rPr>
        <w:t xml:space="preserve"> (</w:t>
      </w:r>
      <w:r w:rsidRPr="007F0F19">
        <w:rPr>
          <w:lang w:val="es-ES"/>
        </w:rPr>
        <w:t>Asuntos relativos a la caducidad del derecho de obtentor</w:t>
      </w:r>
      <w:r w:rsidR="0042005B">
        <w:rPr>
          <w:lang w:val="es-ES"/>
        </w:rPr>
        <w:t>)</w:t>
      </w:r>
      <w:r w:rsidRPr="007F0F19">
        <w:rPr>
          <w:lang w:val="es-ES"/>
        </w:rPr>
        <w:t>, indicando que las informaciones, los documentos o el material pueden conservarse en otro país;</w:t>
      </w:r>
      <w:r w:rsidR="008D5CC8" w:rsidRPr="007F0F19">
        <w:rPr>
          <w:lang w:val="es-ES"/>
        </w:rPr>
        <w:t xml:space="preserve">  </w:t>
      </w:r>
    </w:p>
    <w:p w:rsidR="002B4186" w:rsidRPr="007F0F19" w:rsidRDefault="002B4186" w:rsidP="002B4186">
      <w:pPr>
        <w:tabs>
          <w:tab w:val="left" w:pos="7500"/>
        </w:tabs>
        <w:rPr>
          <w:rFonts w:cs="Arial"/>
          <w:lang w:val="es-ES"/>
        </w:rPr>
      </w:pPr>
    </w:p>
    <w:p w:rsidR="002B4186" w:rsidRPr="007F0F19" w:rsidRDefault="002B4186" w:rsidP="002B4186">
      <w:pPr>
        <w:rPr>
          <w:rFonts w:cs="Arial"/>
          <w:lang w:val="es-ES"/>
        </w:rPr>
      </w:pPr>
      <w:r w:rsidRPr="007F0F19">
        <w:rPr>
          <w:lang w:val="es-ES"/>
        </w:rPr>
        <w:tab/>
        <w:t>b)</w:t>
      </w:r>
      <w:r w:rsidRPr="007F0F19">
        <w:rPr>
          <w:lang w:val="es-ES"/>
        </w:rPr>
        <w:tab/>
        <w:t>el uso de directrices de examen diferentes de las empleadas en el examen de la distinción, la homogeneidad y la estabilidad (DHE) para controlar el mantenimiento de la variedad;</w:t>
      </w:r>
    </w:p>
    <w:p w:rsidR="002B4186" w:rsidRPr="007F0F19" w:rsidRDefault="002B4186" w:rsidP="002B4186">
      <w:pPr>
        <w:ind w:left="567" w:right="567"/>
        <w:rPr>
          <w:lang w:val="es-ES"/>
        </w:rPr>
      </w:pPr>
    </w:p>
    <w:p w:rsidR="002B4186" w:rsidRPr="007F0F19" w:rsidRDefault="002B4186" w:rsidP="002B4186">
      <w:pPr>
        <w:ind w:firstLine="567"/>
        <w:rPr>
          <w:lang w:val="es-ES"/>
        </w:rPr>
      </w:pPr>
      <w:r w:rsidRPr="007F0F19">
        <w:rPr>
          <w:lang w:val="es-ES"/>
        </w:rPr>
        <w:t>c)</w:t>
      </w:r>
      <w:r w:rsidRPr="007F0F19">
        <w:rPr>
          <w:lang w:val="es-ES"/>
        </w:rPr>
        <w:tab/>
        <w:t>la situación de la descripción original de la variedad en lo referente a la comprobación de que el material vegetal corresponde a una variedad protegida a los fines de:</w:t>
      </w:r>
    </w:p>
    <w:p w:rsidR="002B4186" w:rsidRPr="007F0F19" w:rsidRDefault="002B4186" w:rsidP="002B4186">
      <w:pPr>
        <w:ind w:firstLine="567"/>
        <w:rPr>
          <w:lang w:val="es-ES"/>
        </w:rPr>
      </w:pPr>
    </w:p>
    <w:p w:rsidR="002B4186" w:rsidRPr="007F0F19" w:rsidRDefault="002B4186" w:rsidP="002B4186">
      <w:pPr>
        <w:ind w:left="1701" w:hanging="567"/>
        <w:rPr>
          <w:lang w:val="es-ES"/>
        </w:rPr>
      </w:pPr>
      <w:r w:rsidRPr="007F0F19">
        <w:rPr>
          <w:lang w:val="es-ES"/>
        </w:rPr>
        <w:t>i)</w:t>
      </w:r>
      <w:r w:rsidRPr="007F0F19">
        <w:rPr>
          <w:lang w:val="es-ES"/>
        </w:rPr>
        <w:tab/>
        <w:t>controlar el mantenimiento de la variedad (artículo 22 del Acta de 1991, artículo 10 del Acta de 1978);</w:t>
      </w:r>
    </w:p>
    <w:p w:rsidR="002B4186" w:rsidRPr="007F0F19" w:rsidRDefault="002B4186" w:rsidP="00EE141D">
      <w:pPr>
        <w:ind w:left="1701" w:hanging="567"/>
        <w:rPr>
          <w:lang w:val="es-ES"/>
        </w:rPr>
      </w:pPr>
      <w:r w:rsidRPr="007F0F19">
        <w:rPr>
          <w:lang w:val="es-ES"/>
        </w:rPr>
        <w:t>ii)</w:t>
      </w:r>
      <w:r w:rsidRPr="007F0F19">
        <w:rPr>
          <w:lang w:val="es-ES"/>
        </w:rPr>
        <w:tab/>
        <w:t xml:space="preserve">el examen de la distinción, la homogeneidad y la estabilidad (DHE) de las variedades candidatas;  </w:t>
      </w:r>
    </w:p>
    <w:p w:rsidR="002B4186" w:rsidRPr="007F0F19" w:rsidRDefault="002B4186" w:rsidP="002B4186">
      <w:pPr>
        <w:ind w:left="567" w:right="567"/>
        <w:rPr>
          <w:lang w:val="es-ES"/>
        </w:rPr>
      </w:pPr>
    </w:p>
    <w:p w:rsidR="002B4186" w:rsidRPr="007F0F19" w:rsidRDefault="002B4186" w:rsidP="002B4186">
      <w:pPr>
        <w:ind w:right="567" w:firstLine="567"/>
        <w:rPr>
          <w:lang w:val="es-ES"/>
        </w:rPr>
      </w:pPr>
      <w:r w:rsidRPr="007F0F19">
        <w:rPr>
          <w:lang w:val="es-ES"/>
        </w:rPr>
        <w:t>d)</w:t>
      </w:r>
      <w:r w:rsidRPr="007F0F19">
        <w:rPr>
          <w:lang w:val="es-ES"/>
        </w:rPr>
        <w:tab/>
        <w:t>la situación de una descripción modificada de la variedad elaborada, por ejemplo, como consecuencia de:</w:t>
      </w:r>
    </w:p>
    <w:p w:rsidR="002B4186" w:rsidRPr="007F0F19" w:rsidRDefault="002B4186" w:rsidP="002B4186">
      <w:pPr>
        <w:ind w:right="567" w:firstLine="567"/>
        <w:rPr>
          <w:lang w:val="es-ES"/>
        </w:rPr>
      </w:pPr>
    </w:p>
    <w:p w:rsidR="002B4186" w:rsidRPr="007F0F19" w:rsidRDefault="002B4186" w:rsidP="002B4186">
      <w:pPr>
        <w:spacing w:after="60"/>
        <w:ind w:left="1701" w:hanging="567"/>
        <w:rPr>
          <w:lang w:val="es-ES"/>
        </w:rPr>
      </w:pPr>
      <w:r w:rsidRPr="007F0F19">
        <w:rPr>
          <w:lang w:val="es-ES"/>
        </w:rPr>
        <w:t>i)</w:t>
      </w:r>
      <w:r w:rsidRPr="007F0F19">
        <w:rPr>
          <w:lang w:val="es-ES"/>
        </w:rPr>
        <w:tab/>
        <w:t>una recalibración de la escala en las directrices de examen (especialmente para los caracteres no señalados con asterisco);</w:t>
      </w:r>
    </w:p>
    <w:p w:rsidR="002B4186" w:rsidRPr="007F0F19" w:rsidRDefault="002B4186" w:rsidP="002B4186">
      <w:pPr>
        <w:spacing w:after="60"/>
        <w:ind w:left="1701" w:hanging="567"/>
        <w:rPr>
          <w:lang w:val="es-ES"/>
        </w:rPr>
      </w:pPr>
      <w:r w:rsidRPr="007F0F19">
        <w:rPr>
          <w:lang w:val="es-ES"/>
        </w:rPr>
        <w:t>ii)</w:t>
      </w:r>
      <w:r w:rsidRPr="007F0F19">
        <w:rPr>
          <w:lang w:val="es-ES"/>
        </w:rPr>
        <w:tab/>
        <w:t>una variación resultante de las condiciones medioambientales en los años de ensayo de los caracteres que están influenciados por el medio ambiente;</w:t>
      </w:r>
    </w:p>
    <w:p w:rsidR="002B4186" w:rsidRPr="007F0F19" w:rsidRDefault="002B4186" w:rsidP="002B4186">
      <w:pPr>
        <w:spacing w:after="60"/>
        <w:ind w:left="1701" w:hanging="567"/>
        <w:rPr>
          <w:lang w:val="es-ES"/>
        </w:rPr>
      </w:pPr>
      <w:r w:rsidRPr="007F0F19">
        <w:rPr>
          <w:lang w:val="es-ES"/>
        </w:rPr>
        <w:t>iii)</w:t>
      </w:r>
      <w:r w:rsidRPr="007F0F19">
        <w:rPr>
          <w:lang w:val="es-ES"/>
        </w:rPr>
        <w:tab/>
        <w:t>una variación resultante de las observaciones realizadas por distintos expertos;  o</w:t>
      </w:r>
    </w:p>
    <w:p w:rsidR="002B4186" w:rsidRPr="007F0F19" w:rsidRDefault="002B4186" w:rsidP="002B4186">
      <w:pPr>
        <w:ind w:left="1701" w:hanging="567"/>
        <w:rPr>
          <w:lang w:val="es-ES"/>
        </w:rPr>
      </w:pPr>
      <w:r w:rsidRPr="007F0F19">
        <w:rPr>
          <w:lang w:val="es-ES"/>
        </w:rPr>
        <w:t>iv)</w:t>
      </w:r>
      <w:r w:rsidRPr="007F0F19">
        <w:rPr>
          <w:lang w:val="es-ES"/>
        </w:rPr>
        <w:tab/>
        <w:t xml:space="preserve">la utilización de diferentes versiones de escalas (por ejemplo, diferentes versiones de la Carta de Colores RHS);  y </w:t>
      </w:r>
    </w:p>
    <w:p w:rsidR="002B4186" w:rsidRPr="007F0F19" w:rsidRDefault="002B4186" w:rsidP="002B4186">
      <w:pPr>
        <w:ind w:left="567" w:right="567"/>
        <w:rPr>
          <w:lang w:val="es-ES"/>
        </w:rPr>
      </w:pPr>
    </w:p>
    <w:p w:rsidR="002B4186" w:rsidRPr="007F0F19" w:rsidRDefault="002B4186" w:rsidP="002B4186">
      <w:pPr>
        <w:ind w:left="567" w:right="567"/>
        <w:rPr>
          <w:lang w:val="es-ES"/>
        </w:rPr>
      </w:pPr>
      <w:r w:rsidRPr="007F0F19">
        <w:rPr>
          <w:lang w:val="es-ES"/>
        </w:rPr>
        <w:t>e)</w:t>
      </w:r>
      <w:r w:rsidRPr="007F0F19">
        <w:rPr>
          <w:lang w:val="es-ES"/>
        </w:rPr>
        <w:tab/>
        <w:t>situaciones en las que con posterioridad se detecta un error en la descripción inicial de la variedad.</w:t>
      </w:r>
    </w:p>
    <w:p w:rsidR="002B4186" w:rsidRDefault="002B4186" w:rsidP="002B4186">
      <w:pPr>
        <w:ind w:left="567" w:right="567"/>
        <w:rPr>
          <w:sz w:val="18"/>
          <w:szCs w:val="18"/>
          <w:lang w:val="es-ES"/>
        </w:rPr>
      </w:pPr>
    </w:p>
    <w:p w:rsidR="00374D43" w:rsidRPr="007F0F19" w:rsidRDefault="00374D43" w:rsidP="002B4186">
      <w:pPr>
        <w:ind w:left="567" w:right="567"/>
        <w:rPr>
          <w:sz w:val="18"/>
          <w:szCs w:val="18"/>
          <w:lang w:val="es-ES"/>
        </w:rPr>
      </w:pPr>
    </w:p>
    <w:p w:rsidR="002B4186" w:rsidRPr="007F0F19" w:rsidRDefault="002B4186" w:rsidP="002B4186">
      <w:pPr>
        <w:pStyle w:val="Heading1"/>
        <w:rPr>
          <w:lang w:val="es-ES"/>
        </w:rPr>
      </w:pPr>
      <w:bookmarkStart w:id="9" w:name="_Toc418531193"/>
      <w:bookmarkStart w:id="10" w:name="_Toc440985314"/>
      <w:bookmarkStart w:id="11" w:name="_Toc441743996"/>
      <w:r w:rsidRPr="007F0F19">
        <w:rPr>
          <w:lang w:val="es-ES"/>
        </w:rPr>
        <w:t>Novedades acaecidas en el Comité Técnico</w:t>
      </w:r>
      <w:bookmarkEnd w:id="9"/>
      <w:r w:rsidRPr="007F0F19">
        <w:rPr>
          <w:lang w:val="es-ES"/>
        </w:rPr>
        <w:t xml:space="preserve"> en 2015</w:t>
      </w:r>
      <w:bookmarkEnd w:id="10"/>
      <w:bookmarkEnd w:id="11"/>
    </w:p>
    <w:p w:rsidR="002B4186" w:rsidRPr="007F0F19" w:rsidRDefault="002B4186" w:rsidP="002B4186">
      <w:pPr>
        <w:keepNext/>
        <w:jc w:val="left"/>
        <w:rPr>
          <w:lang w:val="es-ES"/>
        </w:rPr>
      </w:pPr>
    </w:p>
    <w:p w:rsidR="002B4186" w:rsidRPr="007F0F19" w:rsidRDefault="0063524C" w:rsidP="002B4186">
      <w:pPr>
        <w:rPr>
          <w:lang w:val="es-ES"/>
        </w:rPr>
      </w:pPr>
      <w:r w:rsidRPr="00804825">
        <w:fldChar w:fldCharType="begin"/>
      </w:r>
      <w:r w:rsidR="002B4186" w:rsidRPr="007F0F19">
        <w:rPr>
          <w:lang w:val="es-ES"/>
        </w:rPr>
        <w:instrText xml:space="preserve"> AUTONUM  </w:instrText>
      </w:r>
      <w:r w:rsidRPr="00804825">
        <w:fldChar w:fldCharType="end"/>
      </w:r>
      <w:r w:rsidR="002B4186" w:rsidRPr="007F0F19">
        <w:rPr>
          <w:lang w:val="es-ES"/>
        </w:rPr>
        <w:tab/>
        <w:t>En su quincuagésima primera sesión, celebrada en Ginebra del 23 al 25 de marzo de 2015, el TC examinó el documento TC/51/38 “Asuntos relativos a las descripciones de variedades” (véanse los párrafos 214 a 219 el documento TC/51/39 “Informe”).</w:t>
      </w:r>
    </w:p>
    <w:p w:rsidR="002B4186" w:rsidRPr="007F0F19" w:rsidRDefault="002B4186" w:rsidP="002B4186">
      <w:pPr>
        <w:rPr>
          <w:lang w:val="es-ES"/>
        </w:rPr>
      </w:pPr>
    </w:p>
    <w:p w:rsidR="002B4186" w:rsidRPr="007F0F19" w:rsidRDefault="0063524C" w:rsidP="002B4186">
      <w:pPr>
        <w:rPr>
          <w:lang w:val="es-ES"/>
        </w:rPr>
      </w:pPr>
      <w:r>
        <w:fldChar w:fldCharType="begin"/>
      </w:r>
      <w:r w:rsidR="002B4186" w:rsidRPr="007F0F19">
        <w:rPr>
          <w:lang w:val="es-ES"/>
        </w:rPr>
        <w:instrText xml:space="preserve"> AUTONUM  </w:instrText>
      </w:r>
      <w:r>
        <w:fldChar w:fldCharType="end"/>
      </w:r>
      <w:r w:rsidR="002B4186" w:rsidRPr="007F0F19">
        <w:rPr>
          <w:lang w:val="es-ES"/>
        </w:rPr>
        <w:tab/>
        <w:t>El TC acordó invitar a expertos a presentar ante los TWP, en sus sesiones de 2015, sus experiencias relativas al uso de información, documentos o material proporcionados por el obtentor para controlar el mantenimiento de la variedad y el uso de directrices de examen diferentes de las empleadas en el examen DHE para controlar el mantenimiento de la variedad.</w:t>
      </w:r>
    </w:p>
    <w:p w:rsidR="002B4186" w:rsidRPr="007F0F19" w:rsidRDefault="002B4186" w:rsidP="002B4186">
      <w:pPr>
        <w:rPr>
          <w:lang w:val="es-ES"/>
        </w:rPr>
      </w:pPr>
    </w:p>
    <w:p w:rsidR="002B4186" w:rsidRPr="007F0F19" w:rsidRDefault="0063524C" w:rsidP="002B4186">
      <w:pPr>
        <w:rPr>
          <w:lang w:val="es-ES"/>
        </w:rPr>
      </w:pPr>
      <w:r w:rsidRPr="00804825">
        <w:fldChar w:fldCharType="begin"/>
      </w:r>
      <w:r w:rsidR="002B4186" w:rsidRPr="007F0F19">
        <w:rPr>
          <w:lang w:val="es-ES"/>
        </w:rPr>
        <w:instrText xml:space="preserve"> AUTONUM  </w:instrText>
      </w:r>
      <w:r w:rsidRPr="00804825">
        <w:fldChar w:fldCharType="end"/>
      </w:r>
      <w:r w:rsidR="002B4186" w:rsidRPr="007F0F19">
        <w:rPr>
          <w:lang w:val="es-ES"/>
        </w:rPr>
        <w:tab/>
        <w:t>El TC señaló que existen distintos enfoques para generar descripciones de variedades y controlar el mantenimiento de las variedades en distintos miembros de la UPOV y en virtud de distintos sistemas de examen DHE.</w:t>
      </w:r>
    </w:p>
    <w:p w:rsidR="002B4186" w:rsidRPr="007F0F19" w:rsidRDefault="002B4186" w:rsidP="002B4186">
      <w:pPr>
        <w:rPr>
          <w:lang w:val="es-ES"/>
        </w:rPr>
      </w:pPr>
    </w:p>
    <w:p w:rsidR="002B4186" w:rsidRPr="007F0F19" w:rsidRDefault="0063524C" w:rsidP="002B4186">
      <w:pPr>
        <w:rPr>
          <w:lang w:val="es-ES"/>
        </w:rPr>
      </w:pPr>
      <w:r w:rsidRPr="00804825">
        <w:fldChar w:fldCharType="begin"/>
      </w:r>
      <w:r w:rsidR="002B4186" w:rsidRPr="007F0F19">
        <w:rPr>
          <w:lang w:val="es-ES"/>
        </w:rPr>
        <w:instrText xml:space="preserve"> AUTONUM  </w:instrText>
      </w:r>
      <w:r w:rsidRPr="00804825">
        <w:fldChar w:fldCharType="end"/>
      </w:r>
      <w:r w:rsidR="002B4186" w:rsidRPr="007F0F19">
        <w:rPr>
          <w:lang w:val="es-ES"/>
        </w:rPr>
        <w:tab/>
        <w:t xml:space="preserve">El TC tomó nota de la información contenida en los párrafos 9 a 12 del documento TC/51/38 en referencia a los asuntos relativos a las descripciones de variedades que se exponen en el párrafo 8 del documento TC/51/38. </w:t>
      </w:r>
    </w:p>
    <w:p w:rsidR="002B4186" w:rsidRPr="007F0F19" w:rsidRDefault="002B4186" w:rsidP="002B4186">
      <w:pPr>
        <w:rPr>
          <w:lang w:val="es-ES"/>
        </w:rPr>
      </w:pPr>
    </w:p>
    <w:p w:rsidR="002B4186" w:rsidRPr="007F0F19" w:rsidRDefault="0063524C" w:rsidP="002B4186">
      <w:pPr>
        <w:rPr>
          <w:lang w:val="es-ES"/>
        </w:rPr>
      </w:pPr>
      <w:r w:rsidRPr="00804825">
        <w:fldChar w:fldCharType="begin"/>
      </w:r>
      <w:r w:rsidR="002B4186" w:rsidRPr="007F0F19">
        <w:rPr>
          <w:lang w:val="es-ES"/>
        </w:rPr>
        <w:instrText xml:space="preserve"> AUTONUM  </w:instrText>
      </w:r>
      <w:r w:rsidRPr="00804825">
        <w:fldChar w:fldCharType="end"/>
      </w:r>
      <w:r w:rsidR="002B4186" w:rsidRPr="007F0F19">
        <w:rPr>
          <w:lang w:val="es-ES"/>
        </w:rPr>
        <w:tab/>
        <w:t>El TC acordó invitar a expertos a presentar a los TWP, en sus sesiones de 2015, una ponencia sobre la forma en que se generan las descripciones de variedades en el examen DHE, cómo se utilizan después de la concesión de un derecho de obtentor y la forma en que se controla el mantenimiento de las variedades.  En particular, el TC tomó nota de la posible influencia de la interacción entre el genotipo y el ambiente en la descripción de la variedad.</w:t>
      </w:r>
    </w:p>
    <w:p w:rsidR="002B4186" w:rsidRPr="007F0F19" w:rsidRDefault="002B4186" w:rsidP="002B4186">
      <w:pPr>
        <w:rPr>
          <w:lang w:val="es-ES"/>
        </w:rPr>
      </w:pPr>
    </w:p>
    <w:p w:rsidR="002B4186" w:rsidRPr="007F0F19" w:rsidRDefault="0063524C" w:rsidP="002B4186">
      <w:pPr>
        <w:rPr>
          <w:lang w:val="es-ES"/>
        </w:rPr>
      </w:pPr>
      <w:r w:rsidRPr="00804825">
        <w:fldChar w:fldCharType="begin"/>
      </w:r>
      <w:r w:rsidR="002B4186" w:rsidRPr="007F0F19">
        <w:rPr>
          <w:lang w:val="es-ES"/>
        </w:rPr>
        <w:instrText xml:space="preserve"> AUTONUM  </w:instrText>
      </w:r>
      <w:r w:rsidRPr="00804825">
        <w:fldChar w:fldCharType="end"/>
      </w:r>
      <w:r w:rsidR="002B4186" w:rsidRPr="007F0F19">
        <w:rPr>
          <w:lang w:val="es-ES"/>
        </w:rPr>
        <w:tab/>
        <w:t>El TC convino en que también debería invitarse a expertos a presentar a los TWP, en sus sesiones de 2015, la función del material vegetal utilizado como base para el examen DHE con respecto a los asuntos enumerados en el párrafo 8 del documento TC/51/38.</w:t>
      </w:r>
    </w:p>
    <w:p w:rsidR="002B4186" w:rsidRPr="007F0F19" w:rsidRDefault="002B4186" w:rsidP="002B4186">
      <w:pPr>
        <w:rPr>
          <w:lang w:val="es-ES"/>
        </w:rPr>
      </w:pPr>
    </w:p>
    <w:p w:rsidR="002B4186" w:rsidRPr="007F0F19" w:rsidRDefault="002B4186" w:rsidP="002B4186">
      <w:pPr>
        <w:rPr>
          <w:lang w:val="es-ES"/>
        </w:rPr>
      </w:pPr>
    </w:p>
    <w:p w:rsidR="002B4186" w:rsidRPr="007F0F19" w:rsidRDefault="002B4186" w:rsidP="002B4186">
      <w:pPr>
        <w:pStyle w:val="Heading1"/>
        <w:rPr>
          <w:lang w:val="es-ES"/>
        </w:rPr>
      </w:pPr>
      <w:bookmarkStart w:id="12" w:name="_Toc440985315"/>
      <w:bookmarkStart w:id="13" w:name="_Toc441743997"/>
      <w:r w:rsidRPr="007F0F19">
        <w:rPr>
          <w:lang w:val="es-ES"/>
        </w:rPr>
        <w:t>Novedades acaecidas en el CAJ en 2015</w:t>
      </w:r>
      <w:bookmarkEnd w:id="12"/>
      <w:bookmarkEnd w:id="13"/>
    </w:p>
    <w:p w:rsidR="002B4186" w:rsidRPr="007F0F19" w:rsidRDefault="002B4186" w:rsidP="002B4186">
      <w:pPr>
        <w:ind w:left="567" w:right="567"/>
        <w:rPr>
          <w:sz w:val="18"/>
          <w:szCs w:val="18"/>
          <w:lang w:val="es-ES"/>
        </w:rPr>
      </w:pPr>
    </w:p>
    <w:p w:rsidR="002B4186" w:rsidRPr="007F0F19" w:rsidRDefault="0063524C" w:rsidP="002B4186">
      <w:pPr>
        <w:rPr>
          <w:lang w:val="es-ES"/>
        </w:rPr>
      </w:pPr>
      <w:r w:rsidRPr="007528A3">
        <w:fldChar w:fldCharType="begin"/>
      </w:r>
      <w:r w:rsidR="002B4186" w:rsidRPr="007F0F19">
        <w:rPr>
          <w:lang w:val="es-ES"/>
        </w:rPr>
        <w:instrText xml:space="preserve"> AUTONUM  </w:instrText>
      </w:r>
      <w:r w:rsidRPr="007528A3">
        <w:fldChar w:fldCharType="end"/>
      </w:r>
      <w:r w:rsidR="002B4186" w:rsidRPr="007F0F19">
        <w:rPr>
          <w:lang w:val="es-ES"/>
        </w:rPr>
        <w:tab/>
        <w:t>En su septuagésima primera sesión, celebrada en Ginebra el 26 de marzo de 2015, el CAJ respaldó la conclusión, extraída por el CAJ-AG en su novena sesión, sobre la finalidad o finalidades de la descripción de la variedad que se elaboró cuando se concedió el derecho de obtentor (descripción original de la variedad), según figura en el párrafo 37 del documento CAJ/71/2, conforme se indica a continuación (véanse los párrafos 30 a 33 del documento CAJ/71/11 “Informe”):</w:t>
      </w:r>
    </w:p>
    <w:p w:rsidR="002B4186" w:rsidRPr="007F0F19" w:rsidRDefault="002B4186" w:rsidP="002B4186">
      <w:pPr>
        <w:rPr>
          <w:lang w:val="es-ES"/>
        </w:rPr>
      </w:pPr>
    </w:p>
    <w:p w:rsidR="002B4186" w:rsidRPr="00374D43" w:rsidRDefault="002B4186" w:rsidP="002B4186">
      <w:pPr>
        <w:ind w:left="567" w:right="567"/>
        <w:rPr>
          <w:sz w:val="18"/>
          <w:szCs w:val="18"/>
          <w:lang w:val="es-ES"/>
        </w:rPr>
      </w:pPr>
      <w:r w:rsidRPr="00374D43">
        <w:rPr>
          <w:sz w:val="18"/>
          <w:szCs w:val="18"/>
          <w:lang w:val="es-ES"/>
        </w:rPr>
        <w:t>“37.</w:t>
      </w:r>
      <w:r w:rsidRPr="00374D43">
        <w:rPr>
          <w:sz w:val="18"/>
          <w:szCs w:val="18"/>
          <w:lang w:val="es-ES"/>
        </w:rPr>
        <w:tab/>
        <w:t>El CAJ-AG convino en que, de conformidad con la sección 6 “Informe de la UPOV sobre el examen técnico y sobre la descripción de variedades” del documento TGP/5 “Experiencia y cooperación en el examen DHE”, las finalidades de la descripción de la variedad que se elaboró cuando se concedió el derecho de obtentor (descripción original de la variedad) pueden resumirse en:</w:t>
      </w:r>
    </w:p>
    <w:p w:rsidR="002B4186" w:rsidRPr="00374D43" w:rsidRDefault="002B4186" w:rsidP="002B4186">
      <w:pPr>
        <w:ind w:left="567" w:right="567"/>
        <w:rPr>
          <w:sz w:val="18"/>
          <w:szCs w:val="18"/>
          <w:lang w:val="es-ES"/>
        </w:rPr>
      </w:pPr>
    </w:p>
    <w:p w:rsidR="002B4186" w:rsidRPr="00374D43" w:rsidRDefault="002B4186" w:rsidP="002B4186">
      <w:pPr>
        <w:ind w:left="1134" w:right="567"/>
        <w:rPr>
          <w:sz w:val="18"/>
          <w:szCs w:val="18"/>
          <w:lang w:val="es-ES"/>
        </w:rPr>
      </w:pPr>
      <w:r w:rsidRPr="00374D43">
        <w:rPr>
          <w:sz w:val="18"/>
          <w:szCs w:val="18"/>
          <w:lang w:val="es-ES"/>
        </w:rPr>
        <w:t>a)</w:t>
      </w:r>
      <w:r w:rsidRPr="00374D43">
        <w:rPr>
          <w:sz w:val="18"/>
          <w:szCs w:val="18"/>
          <w:lang w:val="es-ES"/>
        </w:rPr>
        <w:tab/>
        <w:t>describir los caracteres de la variedad, e</w:t>
      </w:r>
    </w:p>
    <w:p w:rsidR="002B4186" w:rsidRPr="00374D43" w:rsidRDefault="002B4186" w:rsidP="00EE141D">
      <w:pPr>
        <w:ind w:left="1701" w:right="567" w:hanging="567"/>
        <w:rPr>
          <w:sz w:val="18"/>
          <w:szCs w:val="18"/>
          <w:lang w:val="es-ES"/>
        </w:rPr>
      </w:pPr>
      <w:r w:rsidRPr="00374D43">
        <w:rPr>
          <w:sz w:val="18"/>
          <w:szCs w:val="18"/>
          <w:lang w:val="es-ES"/>
        </w:rPr>
        <w:t>b)</w:t>
      </w:r>
      <w:r w:rsidRPr="00374D43">
        <w:rPr>
          <w:sz w:val="18"/>
          <w:szCs w:val="18"/>
          <w:lang w:val="es-ES"/>
        </w:rPr>
        <w:tab/>
        <w:t xml:space="preserve">identificar y enumerar las variedades similares y las diferencias con respecto a esas variedades; </w:t>
      </w:r>
    </w:p>
    <w:p w:rsidR="002B4186" w:rsidRPr="00374D43" w:rsidRDefault="002B4186" w:rsidP="002B4186">
      <w:pPr>
        <w:ind w:left="2835" w:right="567" w:hanging="1134"/>
        <w:rPr>
          <w:sz w:val="18"/>
          <w:szCs w:val="18"/>
          <w:lang w:val="es-ES"/>
        </w:rPr>
      </w:pPr>
      <w:proofErr w:type="gramStart"/>
      <w:r w:rsidRPr="00374D43">
        <w:rPr>
          <w:sz w:val="18"/>
          <w:szCs w:val="18"/>
          <w:lang w:val="es-ES"/>
        </w:rPr>
        <w:t>junto</w:t>
      </w:r>
      <w:proofErr w:type="gramEnd"/>
      <w:r w:rsidRPr="00374D43">
        <w:rPr>
          <w:sz w:val="18"/>
          <w:szCs w:val="18"/>
          <w:lang w:val="es-ES"/>
        </w:rPr>
        <w:t xml:space="preserve"> con la siguiente información basada en a) y b):</w:t>
      </w:r>
    </w:p>
    <w:p w:rsidR="002B4186" w:rsidRPr="00374D43" w:rsidRDefault="002B4186" w:rsidP="002B4186">
      <w:pPr>
        <w:ind w:left="1701" w:right="567"/>
        <w:rPr>
          <w:sz w:val="18"/>
          <w:szCs w:val="18"/>
          <w:lang w:val="es-ES"/>
        </w:rPr>
      </w:pPr>
      <w:r w:rsidRPr="00374D43">
        <w:rPr>
          <w:sz w:val="18"/>
          <w:szCs w:val="18"/>
          <w:lang w:val="es-ES"/>
        </w:rPr>
        <w:t>▪</w:t>
      </w:r>
      <w:r w:rsidRPr="00374D43">
        <w:rPr>
          <w:sz w:val="18"/>
          <w:szCs w:val="18"/>
          <w:lang w:val="es-ES"/>
        </w:rPr>
        <w:tab/>
        <w:t>Fecha y número de documento de las Directrices de Examen de la UPOV;</w:t>
      </w:r>
    </w:p>
    <w:p w:rsidR="002B4186" w:rsidRPr="00374D43" w:rsidRDefault="002B4186" w:rsidP="00EE141D">
      <w:pPr>
        <w:ind w:left="2268" w:right="567" w:hanging="567"/>
        <w:rPr>
          <w:sz w:val="18"/>
          <w:szCs w:val="18"/>
          <w:lang w:val="es-ES"/>
        </w:rPr>
      </w:pPr>
      <w:r w:rsidRPr="00374D43">
        <w:rPr>
          <w:sz w:val="18"/>
          <w:szCs w:val="18"/>
          <w:lang w:val="es-ES"/>
        </w:rPr>
        <w:t>▪</w:t>
      </w:r>
      <w:r w:rsidRPr="00374D43">
        <w:rPr>
          <w:sz w:val="18"/>
          <w:szCs w:val="18"/>
          <w:lang w:val="es-ES"/>
        </w:rPr>
        <w:tab/>
        <w:t>Fecha y/o número de documento de las directrices de examen de la autoridad informante;</w:t>
      </w:r>
    </w:p>
    <w:p w:rsidR="002B4186" w:rsidRPr="00374D43" w:rsidRDefault="002B4186" w:rsidP="002B4186">
      <w:pPr>
        <w:ind w:left="1701" w:right="567"/>
        <w:rPr>
          <w:sz w:val="18"/>
          <w:szCs w:val="18"/>
          <w:lang w:val="es-ES"/>
        </w:rPr>
      </w:pPr>
      <w:r w:rsidRPr="00374D43">
        <w:rPr>
          <w:sz w:val="18"/>
          <w:szCs w:val="18"/>
          <w:lang w:val="es-ES"/>
        </w:rPr>
        <w:t>▪</w:t>
      </w:r>
      <w:r w:rsidRPr="00374D43">
        <w:rPr>
          <w:sz w:val="18"/>
          <w:szCs w:val="18"/>
          <w:lang w:val="es-ES"/>
        </w:rPr>
        <w:tab/>
        <w:t>Autoridad informante;</w:t>
      </w:r>
    </w:p>
    <w:p w:rsidR="002B4186" w:rsidRPr="00374D43" w:rsidRDefault="002B4186" w:rsidP="002B4186">
      <w:pPr>
        <w:ind w:left="1701" w:right="567"/>
        <w:rPr>
          <w:sz w:val="18"/>
          <w:szCs w:val="18"/>
          <w:lang w:val="es-ES"/>
        </w:rPr>
      </w:pPr>
      <w:r w:rsidRPr="00374D43">
        <w:rPr>
          <w:sz w:val="18"/>
          <w:szCs w:val="18"/>
          <w:lang w:val="es-ES"/>
        </w:rPr>
        <w:t>▪</w:t>
      </w:r>
      <w:r w:rsidRPr="00374D43">
        <w:rPr>
          <w:sz w:val="18"/>
          <w:szCs w:val="18"/>
          <w:lang w:val="es-ES"/>
        </w:rPr>
        <w:tab/>
        <w:t>Estación(es) y lugar(es) del examen;</w:t>
      </w:r>
    </w:p>
    <w:p w:rsidR="002B4186" w:rsidRPr="00374D43" w:rsidRDefault="002B4186" w:rsidP="002B4186">
      <w:pPr>
        <w:ind w:left="1701" w:right="567"/>
        <w:rPr>
          <w:sz w:val="18"/>
          <w:szCs w:val="18"/>
          <w:lang w:val="es-ES"/>
        </w:rPr>
      </w:pPr>
      <w:r w:rsidRPr="00374D43">
        <w:rPr>
          <w:sz w:val="18"/>
          <w:szCs w:val="18"/>
          <w:lang w:val="es-ES"/>
        </w:rPr>
        <w:t>▪</w:t>
      </w:r>
      <w:r w:rsidRPr="00374D43">
        <w:rPr>
          <w:sz w:val="18"/>
          <w:szCs w:val="18"/>
          <w:lang w:val="es-ES"/>
        </w:rPr>
        <w:tab/>
        <w:t>Período de realización del examen;</w:t>
      </w:r>
    </w:p>
    <w:p w:rsidR="002B4186" w:rsidRPr="00374D43" w:rsidRDefault="002B4186" w:rsidP="002B4186">
      <w:pPr>
        <w:ind w:left="1701" w:right="567"/>
        <w:rPr>
          <w:sz w:val="18"/>
          <w:szCs w:val="18"/>
          <w:lang w:val="es-ES"/>
        </w:rPr>
      </w:pPr>
      <w:r w:rsidRPr="00374D43">
        <w:rPr>
          <w:sz w:val="18"/>
          <w:szCs w:val="18"/>
          <w:lang w:val="es-ES"/>
        </w:rPr>
        <w:t>▪</w:t>
      </w:r>
      <w:r w:rsidRPr="00374D43">
        <w:rPr>
          <w:sz w:val="18"/>
          <w:szCs w:val="18"/>
          <w:lang w:val="es-ES"/>
        </w:rPr>
        <w:tab/>
        <w:t>Fecha y lugar de emisión del documento;</w:t>
      </w:r>
    </w:p>
    <w:p w:rsidR="002B4186" w:rsidRPr="00374D43" w:rsidRDefault="002B4186" w:rsidP="002B4186">
      <w:pPr>
        <w:ind w:left="1701" w:right="567"/>
        <w:rPr>
          <w:sz w:val="18"/>
          <w:szCs w:val="18"/>
          <w:lang w:val="es-ES"/>
        </w:rPr>
      </w:pPr>
      <w:r w:rsidRPr="00374D43">
        <w:rPr>
          <w:sz w:val="18"/>
          <w:szCs w:val="18"/>
          <w:lang w:val="es-ES"/>
        </w:rPr>
        <w:t>▪</w:t>
      </w:r>
      <w:r w:rsidRPr="00374D43">
        <w:rPr>
          <w:sz w:val="18"/>
          <w:szCs w:val="18"/>
          <w:lang w:val="es-ES"/>
        </w:rPr>
        <w:tab/>
        <w:t>Grupo</w:t>
      </w:r>
      <w:proofErr w:type="gramStart"/>
      <w:r w:rsidR="008D5CC8" w:rsidRPr="00374D43">
        <w:rPr>
          <w:sz w:val="18"/>
          <w:szCs w:val="18"/>
          <w:lang w:val="es-ES"/>
        </w:rPr>
        <w:t xml:space="preserve">:  </w:t>
      </w:r>
      <w:r w:rsidRPr="00374D43">
        <w:rPr>
          <w:sz w:val="18"/>
          <w:szCs w:val="18"/>
          <w:lang w:val="es-ES"/>
        </w:rPr>
        <w:t>(</w:t>
      </w:r>
      <w:proofErr w:type="gramEnd"/>
      <w:r w:rsidRPr="00374D43">
        <w:rPr>
          <w:sz w:val="18"/>
          <w:szCs w:val="18"/>
          <w:lang w:val="es-ES"/>
        </w:rPr>
        <w:t>Cuadro</w:t>
      </w:r>
      <w:r w:rsidR="008D5CC8" w:rsidRPr="00374D43">
        <w:rPr>
          <w:sz w:val="18"/>
          <w:szCs w:val="18"/>
          <w:lang w:val="es-ES"/>
        </w:rPr>
        <w:t xml:space="preserve">:  </w:t>
      </w:r>
      <w:r w:rsidRPr="00374D43">
        <w:rPr>
          <w:sz w:val="18"/>
          <w:szCs w:val="18"/>
          <w:lang w:val="es-ES"/>
        </w:rPr>
        <w:t>Caracteres</w:t>
      </w:r>
      <w:r w:rsidR="008D5CC8" w:rsidRPr="00374D43">
        <w:rPr>
          <w:sz w:val="18"/>
          <w:szCs w:val="18"/>
          <w:lang w:val="es-ES"/>
        </w:rPr>
        <w:t xml:space="preserve">;  </w:t>
      </w:r>
      <w:r w:rsidRPr="00374D43">
        <w:rPr>
          <w:sz w:val="18"/>
          <w:szCs w:val="18"/>
          <w:lang w:val="es-ES"/>
        </w:rPr>
        <w:t>Niveles de expresión</w:t>
      </w:r>
      <w:r w:rsidR="008D5CC8" w:rsidRPr="00374D43">
        <w:rPr>
          <w:sz w:val="18"/>
          <w:szCs w:val="18"/>
          <w:lang w:val="es-ES"/>
        </w:rPr>
        <w:t xml:space="preserve">;  </w:t>
      </w:r>
      <w:r w:rsidRPr="00374D43">
        <w:rPr>
          <w:sz w:val="18"/>
          <w:szCs w:val="18"/>
          <w:lang w:val="es-ES"/>
        </w:rPr>
        <w:t>Nota</w:t>
      </w:r>
      <w:r w:rsidR="008D5CC8" w:rsidRPr="00374D43">
        <w:rPr>
          <w:sz w:val="18"/>
          <w:szCs w:val="18"/>
          <w:lang w:val="es-ES"/>
        </w:rPr>
        <w:t xml:space="preserve">;  </w:t>
      </w:r>
      <w:r w:rsidRPr="00374D43">
        <w:rPr>
          <w:sz w:val="18"/>
          <w:szCs w:val="18"/>
          <w:lang w:val="es-ES"/>
        </w:rPr>
        <w:t>Observaciones);</w:t>
      </w:r>
    </w:p>
    <w:p w:rsidR="002B4186" w:rsidRPr="00374D43" w:rsidRDefault="002B4186" w:rsidP="002B4186">
      <w:pPr>
        <w:ind w:left="1701" w:right="567"/>
        <w:rPr>
          <w:sz w:val="18"/>
          <w:szCs w:val="18"/>
          <w:lang w:val="es-ES"/>
        </w:rPr>
      </w:pPr>
      <w:r w:rsidRPr="00374D43">
        <w:rPr>
          <w:sz w:val="18"/>
          <w:szCs w:val="18"/>
          <w:lang w:val="es-ES"/>
        </w:rPr>
        <w:t>▪</w:t>
      </w:r>
      <w:r w:rsidRPr="00374D43">
        <w:rPr>
          <w:sz w:val="18"/>
          <w:szCs w:val="18"/>
          <w:lang w:val="es-ES"/>
        </w:rPr>
        <w:tab/>
        <w:t>Información adicional;</w:t>
      </w:r>
    </w:p>
    <w:p w:rsidR="002B4186" w:rsidRPr="00374D43" w:rsidRDefault="002B4186" w:rsidP="002B4186">
      <w:pPr>
        <w:ind w:left="1701" w:right="567"/>
        <w:rPr>
          <w:sz w:val="18"/>
          <w:szCs w:val="18"/>
          <w:lang w:val="es-ES"/>
        </w:rPr>
      </w:pPr>
      <w:r w:rsidRPr="00374D43">
        <w:rPr>
          <w:sz w:val="18"/>
          <w:szCs w:val="18"/>
          <w:lang w:val="es-ES"/>
        </w:rPr>
        <w:tab/>
        <w:t>a)</w:t>
      </w:r>
      <w:r w:rsidRPr="00374D43">
        <w:rPr>
          <w:sz w:val="18"/>
          <w:szCs w:val="18"/>
          <w:lang w:val="es-ES"/>
        </w:rPr>
        <w:tab/>
        <w:t>Datos adicionales</w:t>
      </w:r>
    </w:p>
    <w:p w:rsidR="002B4186" w:rsidRPr="00374D43" w:rsidRDefault="002B4186" w:rsidP="002B4186">
      <w:pPr>
        <w:ind w:left="1701" w:right="567"/>
        <w:rPr>
          <w:sz w:val="18"/>
          <w:szCs w:val="18"/>
          <w:lang w:val="es-ES"/>
        </w:rPr>
      </w:pPr>
      <w:r w:rsidRPr="00374D43">
        <w:rPr>
          <w:sz w:val="18"/>
          <w:szCs w:val="18"/>
          <w:lang w:val="es-ES"/>
        </w:rPr>
        <w:tab/>
        <w:t>b)</w:t>
      </w:r>
      <w:r w:rsidRPr="00374D43">
        <w:rPr>
          <w:sz w:val="18"/>
          <w:szCs w:val="18"/>
          <w:lang w:val="es-ES"/>
        </w:rPr>
        <w:tab/>
        <w:t>Fotografía (si procede)</w:t>
      </w:r>
    </w:p>
    <w:p w:rsidR="002B4186" w:rsidRPr="00374D43" w:rsidRDefault="002B4186" w:rsidP="002B4186">
      <w:pPr>
        <w:ind w:left="1701" w:right="567"/>
        <w:rPr>
          <w:sz w:val="18"/>
          <w:szCs w:val="18"/>
          <w:lang w:val="es-ES"/>
        </w:rPr>
      </w:pPr>
      <w:r w:rsidRPr="00374D43">
        <w:rPr>
          <w:sz w:val="18"/>
          <w:szCs w:val="18"/>
          <w:lang w:val="es-ES"/>
        </w:rPr>
        <w:tab/>
        <w:t>c)</w:t>
      </w:r>
      <w:r w:rsidRPr="00374D43">
        <w:rPr>
          <w:sz w:val="18"/>
          <w:szCs w:val="18"/>
          <w:lang w:val="es-ES"/>
        </w:rPr>
        <w:tab/>
        <w:t>Versión de la Carta de Colores RHS empleada (cuando proceda)</w:t>
      </w:r>
    </w:p>
    <w:p w:rsidR="002B4186" w:rsidRPr="00374D43" w:rsidRDefault="002B4186" w:rsidP="002B4186">
      <w:pPr>
        <w:ind w:left="1701" w:right="567"/>
        <w:rPr>
          <w:sz w:val="18"/>
          <w:szCs w:val="18"/>
          <w:lang w:val="es-ES"/>
        </w:rPr>
      </w:pPr>
      <w:r w:rsidRPr="00374D43">
        <w:rPr>
          <w:sz w:val="18"/>
          <w:szCs w:val="18"/>
          <w:lang w:val="es-ES"/>
        </w:rPr>
        <w:tab/>
        <w:t>d)</w:t>
      </w:r>
      <w:r w:rsidRPr="00374D43">
        <w:rPr>
          <w:sz w:val="18"/>
          <w:szCs w:val="18"/>
          <w:lang w:val="es-ES"/>
        </w:rPr>
        <w:tab/>
        <w:t>Observaciones.”</w:t>
      </w:r>
    </w:p>
    <w:p w:rsidR="002B4186" w:rsidRPr="007F0F19" w:rsidRDefault="002B4186" w:rsidP="002B4186">
      <w:pPr>
        <w:rPr>
          <w:lang w:val="es-ES"/>
        </w:rPr>
      </w:pPr>
    </w:p>
    <w:p w:rsidR="002B4186" w:rsidRPr="007F0F19" w:rsidRDefault="0063524C" w:rsidP="002B4186">
      <w:pPr>
        <w:rPr>
          <w:lang w:val="es-ES"/>
        </w:rPr>
      </w:pPr>
      <w:r w:rsidRPr="007528A3">
        <w:lastRenderedPageBreak/>
        <w:fldChar w:fldCharType="begin"/>
      </w:r>
      <w:r w:rsidR="002B4186" w:rsidRPr="007F0F19">
        <w:rPr>
          <w:lang w:val="es-ES"/>
        </w:rPr>
        <w:instrText xml:space="preserve"> AUTONUM  </w:instrText>
      </w:r>
      <w:r w:rsidRPr="007528A3">
        <w:fldChar w:fldCharType="end"/>
      </w:r>
      <w:r w:rsidR="002B4186" w:rsidRPr="007F0F19">
        <w:rPr>
          <w:lang w:val="es-ES"/>
        </w:rPr>
        <w:tab/>
        <w:t>El CAJ respaldó la conclusión, extraída por el CAJ-AG en su novena sesión, acerca de la situación de la descripción original de la variedad en lo referente a la comprobación de que el material vegetal corresponde a una variedad protegida a los fines de la defensa del derecho de obtentor, según figura en los párrafos 38 y 39 del documento CAJ/71/2, conforme se indica a continuación:</w:t>
      </w:r>
    </w:p>
    <w:p w:rsidR="002B4186" w:rsidRPr="007F0F19" w:rsidRDefault="002B4186" w:rsidP="002B4186">
      <w:pPr>
        <w:rPr>
          <w:lang w:val="es-ES"/>
        </w:rPr>
      </w:pPr>
    </w:p>
    <w:p w:rsidR="002B4186" w:rsidRPr="00374D43" w:rsidRDefault="002B4186" w:rsidP="002B4186">
      <w:pPr>
        <w:ind w:left="567" w:right="567"/>
        <w:rPr>
          <w:rFonts w:cs="Arial"/>
          <w:snapToGrid w:val="0"/>
          <w:spacing w:val="-2"/>
          <w:sz w:val="18"/>
          <w:szCs w:val="18"/>
          <w:lang w:val="es-ES"/>
        </w:rPr>
      </w:pPr>
      <w:r w:rsidRPr="00374D43">
        <w:rPr>
          <w:snapToGrid w:val="0"/>
          <w:spacing w:val="-2"/>
          <w:sz w:val="18"/>
          <w:szCs w:val="18"/>
          <w:lang w:val="es-ES"/>
        </w:rPr>
        <w:t>“38.</w:t>
      </w:r>
      <w:r w:rsidRPr="00374D43">
        <w:rPr>
          <w:sz w:val="18"/>
          <w:szCs w:val="18"/>
          <w:lang w:val="es-ES"/>
        </w:rPr>
        <w:tab/>
      </w:r>
      <w:r w:rsidRPr="00374D43">
        <w:rPr>
          <w:snapToGrid w:val="0"/>
          <w:spacing w:val="-2"/>
          <w:sz w:val="18"/>
          <w:szCs w:val="18"/>
          <w:lang w:val="es-ES"/>
        </w:rPr>
        <w:t>El CAJ-AG</w:t>
      </w:r>
      <w:r w:rsidRPr="00374D43">
        <w:rPr>
          <w:spacing w:val="-2"/>
          <w:sz w:val="18"/>
          <w:szCs w:val="18"/>
          <w:lang w:val="es-ES"/>
        </w:rPr>
        <w:t xml:space="preserve"> </w:t>
      </w:r>
      <w:r w:rsidRPr="00374D43">
        <w:rPr>
          <w:snapToGrid w:val="0"/>
          <w:spacing w:val="-2"/>
          <w:sz w:val="18"/>
          <w:szCs w:val="18"/>
          <w:lang w:val="es-ES"/>
        </w:rPr>
        <w:t>examinó la situación de la descripción original de la variedad con respecto a la comprobación del material vegetal de una variedad protegida a efectos de la defensa del derecho de obtentor y señaló que en las orientaciones de la UPOV relativas a la observancia de los derechos de los obtentores que figuran en el documento UPOV/EXN/ENF/1 “Notas explicativas sobre la defensa de los derechos del obtentor con arreglo al Convenio de la UPOV” se ofrece la siguiente explicación:</w:t>
      </w:r>
      <w:r w:rsidRPr="00374D43">
        <w:rPr>
          <w:rStyle w:val="FootnoteReference"/>
          <w:snapToGrid w:val="0"/>
          <w:spacing w:val="-2"/>
          <w:sz w:val="18"/>
          <w:szCs w:val="18"/>
        </w:rPr>
        <w:footnoteReference w:id="2"/>
      </w:r>
      <w:r w:rsidRPr="00374D43">
        <w:rPr>
          <w:snapToGrid w:val="0"/>
          <w:spacing w:val="-2"/>
          <w:sz w:val="18"/>
          <w:szCs w:val="18"/>
          <w:lang w:val="es-ES"/>
        </w:rPr>
        <w:t xml:space="preserve"> </w:t>
      </w:r>
    </w:p>
    <w:p w:rsidR="002B4186" w:rsidRPr="00374D43" w:rsidRDefault="002B4186" w:rsidP="002B4186">
      <w:pPr>
        <w:pStyle w:val="ListParagraph"/>
        <w:spacing w:before="0" w:beforeAutospacing="0" w:after="0" w:afterAutospacing="0"/>
        <w:ind w:left="567" w:right="567"/>
        <w:rPr>
          <w:rFonts w:ascii="Arial" w:hAnsi="Arial" w:cs="Arial"/>
          <w:snapToGrid w:val="0"/>
          <w:sz w:val="18"/>
          <w:szCs w:val="18"/>
          <w:lang w:val="es-ES"/>
        </w:rPr>
      </w:pPr>
    </w:p>
    <w:p w:rsidR="002B4186" w:rsidRPr="00374D43" w:rsidRDefault="002B4186" w:rsidP="002B4186">
      <w:pPr>
        <w:pStyle w:val="ListParagraph"/>
        <w:spacing w:before="0" w:beforeAutospacing="0" w:after="0" w:afterAutospacing="0"/>
        <w:ind w:left="567" w:right="567"/>
        <w:rPr>
          <w:rFonts w:ascii="Arial" w:hAnsi="Arial" w:cs="Arial"/>
          <w:snapToGrid w:val="0"/>
          <w:sz w:val="18"/>
          <w:szCs w:val="18"/>
          <w:lang w:val="es-ES"/>
        </w:rPr>
      </w:pPr>
      <w:r w:rsidRPr="00374D43">
        <w:rPr>
          <w:rFonts w:ascii="Arial" w:hAnsi="Arial"/>
          <w:snapToGrid w:val="0"/>
          <w:sz w:val="18"/>
          <w:szCs w:val="18"/>
          <w:lang w:val="es-ES"/>
        </w:rPr>
        <w:t>“SECCIÓN II</w:t>
      </w:r>
      <w:proofErr w:type="gramStart"/>
      <w:r w:rsidR="008D5CC8" w:rsidRPr="00374D43">
        <w:rPr>
          <w:rFonts w:ascii="Arial" w:hAnsi="Arial"/>
          <w:snapToGrid w:val="0"/>
          <w:sz w:val="18"/>
          <w:szCs w:val="18"/>
          <w:lang w:val="es-ES"/>
        </w:rPr>
        <w:t xml:space="preserve">:  </w:t>
      </w:r>
      <w:r w:rsidRPr="00374D43">
        <w:rPr>
          <w:rFonts w:ascii="Arial" w:hAnsi="Arial"/>
          <w:snapToGrid w:val="0"/>
          <w:sz w:val="18"/>
          <w:szCs w:val="18"/>
          <w:lang w:val="es-ES"/>
        </w:rPr>
        <w:t>Algunas</w:t>
      </w:r>
      <w:proofErr w:type="gramEnd"/>
      <w:r w:rsidRPr="00374D43">
        <w:rPr>
          <w:rFonts w:ascii="Arial" w:hAnsi="Arial"/>
          <w:snapToGrid w:val="0"/>
          <w:sz w:val="18"/>
          <w:szCs w:val="18"/>
          <w:lang w:val="es-ES"/>
        </w:rPr>
        <w:t xml:space="preserve"> medidas posibles para la defensa de los derechos de obtentor </w:t>
      </w:r>
    </w:p>
    <w:p w:rsidR="002B4186" w:rsidRPr="00374D43" w:rsidRDefault="002B4186" w:rsidP="002B4186">
      <w:pPr>
        <w:pStyle w:val="ListParagraph"/>
        <w:spacing w:before="0" w:beforeAutospacing="0" w:after="0" w:afterAutospacing="0"/>
        <w:ind w:left="567" w:right="567"/>
        <w:rPr>
          <w:rFonts w:ascii="Arial" w:hAnsi="Arial" w:cs="Arial"/>
          <w:snapToGrid w:val="0"/>
          <w:sz w:val="18"/>
          <w:szCs w:val="18"/>
          <w:lang w:val="es-ES"/>
        </w:rPr>
      </w:pPr>
    </w:p>
    <w:p w:rsidR="002B4186" w:rsidRPr="00374D43" w:rsidRDefault="002B4186" w:rsidP="002B4186">
      <w:pPr>
        <w:pStyle w:val="ListParagraph"/>
        <w:spacing w:before="0" w:beforeAutospacing="0" w:after="0" w:afterAutospacing="0"/>
        <w:ind w:left="567" w:right="567"/>
        <w:rPr>
          <w:rFonts w:ascii="Arial" w:hAnsi="Arial" w:cs="Arial"/>
          <w:snapToGrid w:val="0"/>
          <w:sz w:val="18"/>
          <w:szCs w:val="18"/>
          <w:lang w:val="es-ES"/>
        </w:rPr>
      </w:pPr>
      <w:r w:rsidRPr="00374D43">
        <w:rPr>
          <w:rFonts w:ascii="Arial" w:hAnsi="Arial"/>
          <w:snapToGrid w:val="0"/>
          <w:sz w:val="18"/>
          <w:szCs w:val="18"/>
          <w:lang w:val="es-ES"/>
        </w:rPr>
        <w:t>“Si bien el Convenio de la UPOV exige a los miembros de la Unión que prevean los recursos legales apropiados que permitan defender eficazmente los derechos de obtentor, corresponde a los obtentores la defensa de sus derechos."</w:t>
      </w:r>
    </w:p>
    <w:p w:rsidR="002B4186" w:rsidRPr="00374D43" w:rsidRDefault="002B4186" w:rsidP="002B4186">
      <w:pPr>
        <w:pStyle w:val="ListParagraph"/>
        <w:spacing w:before="0" w:beforeAutospacing="0" w:after="0" w:afterAutospacing="0"/>
        <w:ind w:left="567" w:right="567"/>
        <w:rPr>
          <w:rFonts w:ascii="Arial" w:hAnsi="Arial" w:cs="Arial"/>
          <w:snapToGrid w:val="0"/>
          <w:sz w:val="18"/>
          <w:szCs w:val="18"/>
          <w:lang w:val="es-ES"/>
        </w:rPr>
      </w:pPr>
      <w:r w:rsidRPr="00374D43">
        <w:rPr>
          <w:rFonts w:ascii="Arial" w:hAnsi="Arial"/>
          <w:snapToGrid w:val="0"/>
          <w:sz w:val="18"/>
          <w:szCs w:val="18"/>
          <w:lang w:val="es-ES"/>
        </w:rPr>
        <w:t>[…]</w:t>
      </w:r>
    </w:p>
    <w:p w:rsidR="002B4186" w:rsidRPr="00374D43" w:rsidRDefault="002B4186" w:rsidP="002B4186">
      <w:pPr>
        <w:ind w:left="567" w:right="567"/>
        <w:rPr>
          <w:rFonts w:cs="Arial"/>
          <w:snapToGrid w:val="0"/>
          <w:sz w:val="18"/>
          <w:szCs w:val="18"/>
          <w:lang w:val="es-ES"/>
        </w:rPr>
      </w:pPr>
      <w:r w:rsidRPr="00374D43">
        <w:rPr>
          <w:snapToGrid w:val="0"/>
          <w:sz w:val="18"/>
          <w:szCs w:val="18"/>
          <w:lang w:val="es-ES"/>
        </w:rPr>
        <w:t>“39.</w:t>
      </w:r>
      <w:r w:rsidRPr="00374D43">
        <w:rPr>
          <w:sz w:val="18"/>
          <w:szCs w:val="18"/>
          <w:lang w:val="es-ES"/>
        </w:rPr>
        <w:tab/>
      </w:r>
      <w:r w:rsidRPr="00374D43">
        <w:rPr>
          <w:snapToGrid w:val="0"/>
          <w:sz w:val="18"/>
          <w:szCs w:val="18"/>
          <w:lang w:val="es-ES"/>
        </w:rPr>
        <w:t>El CAJ-AG convino en que, en relación con el uso de la descripción original de la variedad, debía recordarse que la descripción de los caracteres de la variedad y la base para la distinción respecto de la variedad más similar están vinculadas a las circunstancias del examen DHE, según se expone en el párrafo 10.c) de este documento, a saber:</w:t>
      </w:r>
      <w:r w:rsidRPr="00374D43">
        <w:rPr>
          <w:rStyle w:val="FootnoteReference"/>
          <w:snapToGrid w:val="0"/>
          <w:sz w:val="18"/>
          <w:szCs w:val="18"/>
        </w:rPr>
        <w:footnoteReference w:id="3"/>
      </w:r>
    </w:p>
    <w:p w:rsidR="002B4186" w:rsidRPr="00374D43" w:rsidRDefault="002B4186" w:rsidP="002B4186">
      <w:pPr>
        <w:ind w:left="567" w:right="567"/>
        <w:rPr>
          <w:rFonts w:cs="Arial"/>
          <w:snapToGrid w:val="0"/>
          <w:sz w:val="18"/>
          <w:szCs w:val="18"/>
          <w:lang w:val="es-ES"/>
        </w:rPr>
      </w:pPr>
    </w:p>
    <w:p w:rsidR="002B4186" w:rsidRPr="00374D43" w:rsidRDefault="002B4186" w:rsidP="002B4186">
      <w:pPr>
        <w:pStyle w:val="ListParagraph"/>
        <w:keepNext/>
        <w:numPr>
          <w:ilvl w:val="2"/>
          <w:numId w:val="18"/>
        </w:numPr>
        <w:tabs>
          <w:tab w:val="left" w:pos="567"/>
          <w:tab w:val="left" w:pos="1560"/>
        </w:tabs>
        <w:spacing w:before="0" w:beforeAutospacing="0" w:after="0" w:afterAutospacing="0"/>
        <w:ind w:left="567" w:right="567" w:firstLine="0"/>
        <w:contextualSpacing/>
        <w:jc w:val="both"/>
        <w:rPr>
          <w:rFonts w:ascii="Arial" w:hAnsi="Arial" w:cs="Arial"/>
          <w:sz w:val="18"/>
          <w:szCs w:val="18"/>
          <w:lang w:val="es-ES"/>
        </w:rPr>
      </w:pPr>
      <w:r w:rsidRPr="00374D43">
        <w:rPr>
          <w:rFonts w:ascii="Arial" w:hAnsi="Arial"/>
          <w:sz w:val="18"/>
          <w:szCs w:val="18"/>
          <w:lang w:val="es-ES"/>
        </w:rPr>
        <w:t>Fecha y número de documento de las Directrices de Examen de la UPOV;</w:t>
      </w:r>
    </w:p>
    <w:p w:rsidR="002B4186" w:rsidRPr="00374D43" w:rsidRDefault="002B4186" w:rsidP="002B4186">
      <w:pPr>
        <w:pStyle w:val="ListParagraph"/>
        <w:numPr>
          <w:ilvl w:val="2"/>
          <w:numId w:val="18"/>
        </w:numPr>
        <w:tabs>
          <w:tab w:val="left" w:pos="567"/>
          <w:tab w:val="left" w:pos="1560"/>
          <w:tab w:val="left" w:pos="5103"/>
        </w:tabs>
        <w:spacing w:before="0" w:beforeAutospacing="0" w:after="0" w:afterAutospacing="0" w:line="276" w:lineRule="auto"/>
        <w:ind w:left="567" w:right="567" w:firstLine="0"/>
        <w:contextualSpacing/>
        <w:jc w:val="both"/>
        <w:rPr>
          <w:rFonts w:ascii="Arial" w:hAnsi="Arial" w:cs="Arial"/>
          <w:sz w:val="18"/>
          <w:szCs w:val="18"/>
          <w:lang w:val="es-ES"/>
        </w:rPr>
      </w:pPr>
      <w:r w:rsidRPr="00374D43">
        <w:rPr>
          <w:rFonts w:ascii="Arial" w:hAnsi="Arial"/>
          <w:sz w:val="18"/>
          <w:szCs w:val="18"/>
          <w:lang w:val="es-ES"/>
        </w:rPr>
        <w:t>Fecha y/o número de documento de las directrices de examen de la autoridad informante;</w:t>
      </w:r>
    </w:p>
    <w:p w:rsidR="002B4186" w:rsidRPr="00374D43" w:rsidRDefault="002B4186" w:rsidP="002B4186">
      <w:pPr>
        <w:pStyle w:val="ListParagraph"/>
        <w:numPr>
          <w:ilvl w:val="2"/>
          <w:numId w:val="18"/>
        </w:numPr>
        <w:tabs>
          <w:tab w:val="left" w:pos="567"/>
          <w:tab w:val="left" w:pos="1560"/>
          <w:tab w:val="left" w:pos="5103"/>
        </w:tabs>
        <w:spacing w:before="0" w:beforeAutospacing="0" w:after="0" w:afterAutospacing="0" w:line="276" w:lineRule="auto"/>
        <w:ind w:left="567" w:right="567" w:firstLine="0"/>
        <w:contextualSpacing/>
        <w:jc w:val="both"/>
        <w:rPr>
          <w:rFonts w:ascii="Arial" w:hAnsi="Arial" w:cs="Arial"/>
          <w:sz w:val="18"/>
          <w:szCs w:val="18"/>
        </w:rPr>
      </w:pPr>
      <w:r w:rsidRPr="00374D43">
        <w:rPr>
          <w:rFonts w:ascii="Arial" w:hAnsi="Arial"/>
          <w:sz w:val="18"/>
          <w:szCs w:val="18"/>
        </w:rPr>
        <w:t>Autoridad informante;</w:t>
      </w:r>
    </w:p>
    <w:p w:rsidR="002B4186" w:rsidRPr="00374D43" w:rsidRDefault="002B4186" w:rsidP="002B4186">
      <w:pPr>
        <w:pStyle w:val="ListParagraph"/>
        <w:numPr>
          <w:ilvl w:val="2"/>
          <w:numId w:val="18"/>
        </w:numPr>
        <w:tabs>
          <w:tab w:val="left" w:pos="567"/>
          <w:tab w:val="left" w:pos="1560"/>
          <w:tab w:val="left" w:pos="5103"/>
        </w:tabs>
        <w:spacing w:before="0" w:beforeAutospacing="0" w:after="0" w:afterAutospacing="0" w:line="276" w:lineRule="auto"/>
        <w:ind w:left="567" w:right="567" w:firstLine="0"/>
        <w:contextualSpacing/>
        <w:jc w:val="both"/>
        <w:rPr>
          <w:rFonts w:ascii="Arial" w:hAnsi="Arial" w:cs="Arial"/>
          <w:sz w:val="18"/>
          <w:szCs w:val="18"/>
          <w:lang w:val="es-ES"/>
        </w:rPr>
      </w:pPr>
      <w:r w:rsidRPr="00374D43">
        <w:rPr>
          <w:rFonts w:ascii="Arial" w:hAnsi="Arial"/>
          <w:sz w:val="18"/>
          <w:szCs w:val="18"/>
          <w:lang w:val="es-ES"/>
        </w:rPr>
        <w:t>Estación(es) y lugar(es) del examen;</w:t>
      </w:r>
    </w:p>
    <w:p w:rsidR="002B4186" w:rsidRPr="00374D43" w:rsidRDefault="002B4186" w:rsidP="002B4186">
      <w:pPr>
        <w:pStyle w:val="ListParagraph"/>
        <w:numPr>
          <w:ilvl w:val="2"/>
          <w:numId w:val="18"/>
        </w:numPr>
        <w:tabs>
          <w:tab w:val="left" w:pos="567"/>
          <w:tab w:val="left" w:pos="1560"/>
          <w:tab w:val="left" w:pos="5103"/>
        </w:tabs>
        <w:spacing w:before="0" w:beforeAutospacing="0" w:after="0" w:afterAutospacing="0" w:line="276" w:lineRule="auto"/>
        <w:ind w:left="567" w:right="567" w:firstLine="0"/>
        <w:contextualSpacing/>
        <w:jc w:val="both"/>
        <w:rPr>
          <w:rFonts w:ascii="Arial" w:hAnsi="Arial" w:cs="Arial"/>
          <w:sz w:val="18"/>
          <w:szCs w:val="18"/>
          <w:lang w:val="es-ES"/>
        </w:rPr>
      </w:pPr>
      <w:r w:rsidRPr="00374D43">
        <w:rPr>
          <w:rFonts w:ascii="Arial" w:hAnsi="Arial"/>
          <w:sz w:val="18"/>
          <w:szCs w:val="18"/>
          <w:lang w:val="es-ES"/>
        </w:rPr>
        <w:t>Período de realización del examen;</w:t>
      </w:r>
    </w:p>
    <w:p w:rsidR="002B4186" w:rsidRPr="00374D43" w:rsidRDefault="002B4186" w:rsidP="002B4186">
      <w:pPr>
        <w:pStyle w:val="ListParagraph"/>
        <w:numPr>
          <w:ilvl w:val="2"/>
          <w:numId w:val="18"/>
        </w:numPr>
        <w:tabs>
          <w:tab w:val="left" w:pos="567"/>
          <w:tab w:val="left" w:pos="1560"/>
          <w:tab w:val="left" w:pos="5103"/>
        </w:tabs>
        <w:spacing w:before="0" w:beforeAutospacing="0" w:after="0" w:afterAutospacing="0" w:line="276" w:lineRule="auto"/>
        <w:ind w:left="567" w:right="567" w:firstLine="0"/>
        <w:contextualSpacing/>
        <w:jc w:val="both"/>
        <w:rPr>
          <w:rFonts w:ascii="Arial" w:hAnsi="Arial" w:cs="Arial"/>
          <w:sz w:val="18"/>
          <w:szCs w:val="18"/>
          <w:lang w:val="es-ES"/>
        </w:rPr>
      </w:pPr>
      <w:r w:rsidRPr="00374D43">
        <w:rPr>
          <w:rFonts w:ascii="Arial" w:hAnsi="Arial"/>
          <w:sz w:val="18"/>
          <w:szCs w:val="18"/>
          <w:lang w:val="es-ES"/>
        </w:rPr>
        <w:t>Fecha y lugar de emisión del documento;</w:t>
      </w:r>
    </w:p>
    <w:p w:rsidR="002B4186" w:rsidRPr="00374D43" w:rsidRDefault="002B4186" w:rsidP="002B4186">
      <w:pPr>
        <w:pStyle w:val="ListParagraph"/>
        <w:numPr>
          <w:ilvl w:val="2"/>
          <w:numId w:val="18"/>
        </w:numPr>
        <w:tabs>
          <w:tab w:val="left" w:pos="1560"/>
        </w:tabs>
        <w:spacing w:before="0" w:beforeAutospacing="0" w:after="0" w:afterAutospacing="0" w:line="276" w:lineRule="auto"/>
        <w:ind w:left="567" w:right="567" w:firstLine="0"/>
        <w:contextualSpacing/>
        <w:jc w:val="both"/>
        <w:rPr>
          <w:rFonts w:ascii="Arial" w:hAnsi="Arial" w:cs="Arial"/>
          <w:sz w:val="18"/>
          <w:szCs w:val="18"/>
          <w:lang w:val="es-ES"/>
        </w:rPr>
      </w:pPr>
      <w:r w:rsidRPr="00374D43">
        <w:rPr>
          <w:rFonts w:ascii="Arial" w:hAnsi="Arial"/>
          <w:sz w:val="18"/>
          <w:szCs w:val="18"/>
          <w:lang w:val="es-ES"/>
        </w:rPr>
        <w:t>Grupo</w:t>
      </w:r>
      <w:r w:rsidR="008D5CC8" w:rsidRPr="00374D43">
        <w:rPr>
          <w:rFonts w:ascii="Arial" w:hAnsi="Arial"/>
          <w:sz w:val="18"/>
          <w:szCs w:val="18"/>
          <w:lang w:val="es-ES"/>
        </w:rPr>
        <w:t xml:space="preserve">:  </w:t>
      </w:r>
      <w:r w:rsidRPr="00374D43">
        <w:rPr>
          <w:rFonts w:ascii="Arial" w:hAnsi="Arial"/>
          <w:sz w:val="18"/>
          <w:szCs w:val="18"/>
          <w:lang w:val="es-ES"/>
        </w:rPr>
        <w:t>(Cuadro</w:t>
      </w:r>
      <w:r w:rsidR="008D5CC8" w:rsidRPr="00374D43">
        <w:rPr>
          <w:rFonts w:ascii="Arial" w:hAnsi="Arial"/>
          <w:sz w:val="18"/>
          <w:szCs w:val="18"/>
          <w:lang w:val="es-ES"/>
        </w:rPr>
        <w:t xml:space="preserve">:  </w:t>
      </w:r>
      <w:r w:rsidRPr="00374D43">
        <w:rPr>
          <w:rFonts w:ascii="Arial" w:hAnsi="Arial"/>
          <w:sz w:val="18"/>
          <w:szCs w:val="18"/>
          <w:lang w:val="es-ES"/>
        </w:rPr>
        <w:t>Caracteres</w:t>
      </w:r>
      <w:r w:rsidR="008D5CC8" w:rsidRPr="00374D43">
        <w:rPr>
          <w:rFonts w:ascii="Arial" w:hAnsi="Arial"/>
          <w:sz w:val="18"/>
          <w:szCs w:val="18"/>
          <w:lang w:val="es-ES"/>
        </w:rPr>
        <w:t xml:space="preserve">;  </w:t>
      </w:r>
      <w:r w:rsidRPr="00374D43">
        <w:rPr>
          <w:rFonts w:ascii="Arial" w:hAnsi="Arial"/>
          <w:sz w:val="18"/>
          <w:szCs w:val="18"/>
          <w:lang w:val="es-ES"/>
        </w:rPr>
        <w:t>Niveles de expresión</w:t>
      </w:r>
      <w:r w:rsidR="008D5CC8" w:rsidRPr="00374D43">
        <w:rPr>
          <w:rFonts w:ascii="Arial" w:hAnsi="Arial"/>
          <w:sz w:val="18"/>
          <w:szCs w:val="18"/>
          <w:lang w:val="es-ES"/>
        </w:rPr>
        <w:t xml:space="preserve">;  </w:t>
      </w:r>
      <w:r w:rsidRPr="00374D43">
        <w:rPr>
          <w:rFonts w:ascii="Arial" w:hAnsi="Arial"/>
          <w:sz w:val="18"/>
          <w:szCs w:val="18"/>
          <w:lang w:val="es-ES"/>
        </w:rPr>
        <w:t>Nota</w:t>
      </w:r>
      <w:r w:rsidR="008D5CC8" w:rsidRPr="00374D43">
        <w:rPr>
          <w:rFonts w:ascii="Arial" w:hAnsi="Arial"/>
          <w:sz w:val="18"/>
          <w:szCs w:val="18"/>
          <w:lang w:val="es-ES"/>
        </w:rPr>
        <w:t xml:space="preserve">;  </w:t>
      </w:r>
      <w:r w:rsidRPr="00374D43">
        <w:rPr>
          <w:rFonts w:ascii="Arial" w:hAnsi="Arial"/>
          <w:sz w:val="18"/>
          <w:szCs w:val="18"/>
          <w:lang w:val="es-ES"/>
        </w:rPr>
        <w:t>Observaciones);</w:t>
      </w:r>
    </w:p>
    <w:p w:rsidR="002B4186" w:rsidRPr="00374D43" w:rsidRDefault="002B4186" w:rsidP="002B4186">
      <w:pPr>
        <w:pStyle w:val="ListParagraph"/>
        <w:numPr>
          <w:ilvl w:val="2"/>
          <w:numId w:val="18"/>
        </w:numPr>
        <w:tabs>
          <w:tab w:val="left" w:pos="1560"/>
        </w:tabs>
        <w:spacing w:before="0" w:beforeAutospacing="0" w:after="0" w:afterAutospacing="0" w:line="276" w:lineRule="auto"/>
        <w:ind w:left="567" w:right="567" w:firstLine="0"/>
        <w:contextualSpacing/>
        <w:jc w:val="both"/>
        <w:rPr>
          <w:rFonts w:ascii="Arial" w:hAnsi="Arial" w:cs="Arial"/>
          <w:sz w:val="18"/>
          <w:szCs w:val="18"/>
        </w:rPr>
      </w:pPr>
      <w:r w:rsidRPr="00374D43">
        <w:rPr>
          <w:rFonts w:ascii="Arial" w:hAnsi="Arial"/>
          <w:sz w:val="18"/>
          <w:szCs w:val="18"/>
        </w:rPr>
        <w:t>Información adicional;</w:t>
      </w:r>
    </w:p>
    <w:p w:rsidR="002B4186" w:rsidRPr="00374D43" w:rsidRDefault="002B4186" w:rsidP="002B4186">
      <w:pPr>
        <w:spacing w:line="276" w:lineRule="auto"/>
        <w:ind w:left="567" w:right="567"/>
        <w:rPr>
          <w:rFonts w:cs="Arial"/>
          <w:sz w:val="18"/>
          <w:szCs w:val="18"/>
        </w:rPr>
      </w:pPr>
      <w:r w:rsidRPr="00374D43">
        <w:rPr>
          <w:sz w:val="18"/>
          <w:szCs w:val="18"/>
        </w:rPr>
        <w:tab/>
        <w:t>a)</w:t>
      </w:r>
      <w:r w:rsidRPr="00374D43">
        <w:rPr>
          <w:sz w:val="18"/>
          <w:szCs w:val="18"/>
        </w:rPr>
        <w:tab/>
        <w:t>Datos adicionales</w:t>
      </w:r>
    </w:p>
    <w:p w:rsidR="002B4186" w:rsidRPr="00374D43" w:rsidRDefault="002B4186" w:rsidP="002B4186">
      <w:pPr>
        <w:spacing w:line="276" w:lineRule="auto"/>
        <w:ind w:left="567" w:right="567"/>
        <w:rPr>
          <w:rFonts w:cs="Arial"/>
          <w:color w:val="000000"/>
          <w:sz w:val="18"/>
          <w:szCs w:val="18"/>
        </w:rPr>
      </w:pPr>
      <w:r w:rsidRPr="00374D43">
        <w:rPr>
          <w:sz w:val="18"/>
          <w:szCs w:val="18"/>
        </w:rPr>
        <w:tab/>
        <w:t>b)</w:t>
      </w:r>
      <w:r w:rsidRPr="00374D43">
        <w:rPr>
          <w:sz w:val="18"/>
          <w:szCs w:val="18"/>
        </w:rPr>
        <w:tab/>
        <w:t>Fotografía (si procede)</w:t>
      </w:r>
    </w:p>
    <w:p w:rsidR="002B4186" w:rsidRPr="00374D43" w:rsidRDefault="002B4186" w:rsidP="002B4186">
      <w:pPr>
        <w:spacing w:line="276" w:lineRule="auto"/>
        <w:ind w:left="567" w:right="567"/>
        <w:rPr>
          <w:rFonts w:cs="Arial"/>
          <w:color w:val="000000"/>
          <w:sz w:val="18"/>
          <w:szCs w:val="18"/>
          <w:lang w:val="es-ES"/>
        </w:rPr>
      </w:pPr>
      <w:r w:rsidRPr="00374D43">
        <w:rPr>
          <w:sz w:val="18"/>
          <w:szCs w:val="18"/>
          <w:lang w:val="es-ES"/>
        </w:rPr>
        <w:tab/>
        <w:t>c)</w:t>
      </w:r>
      <w:r w:rsidRPr="00374D43">
        <w:rPr>
          <w:sz w:val="18"/>
          <w:szCs w:val="18"/>
          <w:lang w:val="es-ES"/>
        </w:rPr>
        <w:tab/>
        <w:t>Versión de la Carta de Colores RHS empleada (cuando proceda)</w:t>
      </w:r>
    </w:p>
    <w:p w:rsidR="002B4186" w:rsidRPr="00374D43" w:rsidRDefault="002B4186" w:rsidP="002B4186">
      <w:pPr>
        <w:tabs>
          <w:tab w:val="left" w:pos="284"/>
        </w:tabs>
        <w:spacing w:line="276" w:lineRule="auto"/>
        <w:ind w:left="567" w:right="567"/>
        <w:rPr>
          <w:rFonts w:cs="Arial"/>
          <w:sz w:val="18"/>
          <w:szCs w:val="18"/>
          <w:lang w:val="es-ES"/>
        </w:rPr>
      </w:pPr>
      <w:r w:rsidRPr="00374D43">
        <w:rPr>
          <w:sz w:val="18"/>
          <w:szCs w:val="18"/>
          <w:lang w:val="es-ES"/>
        </w:rPr>
        <w:tab/>
        <w:t>d)</w:t>
      </w:r>
      <w:r w:rsidRPr="00374D43">
        <w:rPr>
          <w:sz w:val="18"/>
          <w:szCs w:val="18"/>
          <w:lang w:val="es-ES"/>
        </w:rPr>
        <w:tab/>
        <w:t>Observaciones”</w:t>
      </w:r>
    </w:p>
    <w:p w:rsidR="002B4186" w:rsidRPr="007F0F19" w:rsidRDefault="002B4186" w:rsidP="002B4186">
      <w:pPr>
        <w:rPr>
          <w:rFonts w:cs="Arial"/>
          <w:lang w:val="es-ES"/>
        </w:rPr>
      </w:pPr>
    </w:p>
    <w:p w:rsidR="002B4186" w:rsidRPr="007F0F19" w:rsidRDefault="0063524C" w:rsidP="002B4186">
      <w:pPr>
        <w:rPr>
          <w:lang w:val="es-ES"/>
        </w:rPr>
      </w:pPr>
      <w:r w:rsidRPr="007528A3">
        <w:fldChar w:fldCharType="begin"/>
      </w:r>
      <w:r w:rsidR="002B4186" w:rsidRPr="007F0F19">
        <w:rPr>
          <w:lang w:val="es-ES"/>
        </w:rPr>
        <w:instrText xml:space="preserve"> AUTONUM  </w:instrText>
      </w:r>
      <w:r w:rsidRPr="007528A3">
        <w:fldChar w:fldCharType="end"/>
      </w:r>
      <w:r w:rsidR="002B4186" w:rsidRPr="007F0F19">
        <w:rPr>
          <w:lang w:val="es-ES"/>
        </w:rPr>
        <w:tab/>
        <w:t>El CAJ tomó nota de que el TC había señalado la existencia de distintos enfoques para generar descripciones de variedades y controlar el mantenimiento de las variedades en distintos miembros de la UPOV y en virtud de distintos sistemas de examen DHE.  También observó que el TC había convenido en invitar a expertos a presentar una ponencia a los TWP, en sus sesiones de 2015, sobre la forma en que se generan las descripciones de variedades en el examen DHE, cómo se utilizan después de la concesión de un derecho de obtentor y la forma en que se controla el mantenimiento de las variedades.  El CAJ observó asimismo que el TC había convenido en que también debería invitarse a expertos a presentar a los TWP, en sus sesiones de 2015, la función del material vegetal utilizado como base para el examen DHE con respecto a los asuntos enumerados en el párrafo 8 del documento TC/51/38.</w:t>
      </w:r>
    </w:p>
    <w:p w:rsidR="002B4186" w:rsidRPr="007F0F19" w:rsidRDefault="002B4186" w:rsidP="002B4186">
      <w:pPr>
        <w:rPr>
          <w:lang w:val="es-ES"/>
        </w:rPr>
      </w:pPr>
    </w:p>
    <w:p w:rsidR="002B4186" w:rsidRPr="007F0F19" w:rsidRDefault="0063524C" w:rsidP="002B4186">
      <w:pPr>
        <w:rPr>
          <w:lang w:val="es-ES"/>
        </w:rPr>
      </w:pPr>
      <w:r w:rsidRPr="007528A3">
        <w:fldChar w:fldCharType="begin"/>
      </w:r>
      <w:r w:rsidR="002B4186" w:rsidRPr="007F0F19">
        <w:rPr>
          <w:lang w:val="es-ES"/>
        </w:rPr>
        <w:instrText xml:space="preserve"> AUTONUM  </w:instrText>
      </w:r>
      <w:r w:rsidRPr="007528A3">
        <w:fldChar w:fldCharType="end"/>
      </w:r>
      <w:r w:rsidR="002B4186" w:rsidRPr="007F0F19">
        <w:rPr>
          <w:lang w:val="es-ES"/>
        </w:rPr>
        <w:tab/>
        <w:t>El CAJ tomó nota de que el TC convino en incluir en su quincuagésima segunda sesión, que se celebrará en Ginebra en 2016, un debate sobre las descripciones de variedades y la función del material vegetal, incluido el número mínimo de ciclos de cultivo para el examen DHE.</w:t>
      </w:r>
    </w:p>
    <w:p w:rsidR="002B4186" w:rsidRPr="007F0F19" w:rsidRDefault="002B4186" w:rsidP="002B4186">
      <w:pPr>
        <w:rPr>
          <w:lang w:val="es-ES"/>
        </w:rPr>
      </w:pPr>
      <w:bookmarkStart w:id="14" w:name="_Toc440377316"/>
    </w:p>
    <w:p w:rsidR="002B4186" w:rsidRPr="007F0F19" w:rsidRDefault="002B4186" w:rsidP="002B4186">
      <w:pPr>
        <w:rPr>
          <w:lang w:val="es-ES"/>
        </w:rPr>
      </w:pPr>
    </w:p>
    <w:p w:rsidR="002B4186" w:rsidRPr="007F0F19" w:rsidRDefault="002B4186" w:rsidP="002B4186">
      <w:pPr>
        <w:pStyle w:val="Heading1"/>
        <w:rPr>
          <w:lang w:val="es-ES"/>
        </w:rPr>
      </w:pPr>
      <w:bookmarkStart w:id="15" w:name="_Toc440985316"/>
      <w:bookmarkStart w:id="16" w:name="_Toc441743998"/>
      <w:r w:rsidRPr="007F0F19">
        <w:rPr>
          <w:lang w:val="es-ES"/>
        </w:rPr>
        <w:t>Presentaciones a los TWP en sus reuniones de 2015</w:t>
      </w:r>
      <w:bookmarkEnd w:id="15"/>
      <w:bookmarkEnd w:id="16"/>
    </w:p>
    <w:p w:rsidR="002B4186" w:rsidRPr="007F0F19" w:rsidRDefault="002B4186" w:rsidP="002B4186">
      <w:pPr>
        <w:rPr>
          <w:rFonts w:cs="Arial"/>
          <w:lang w:val="es-ES"/>
        </w:rPr>
      </w:pPr>
    </w:p>
    <w:p w:rsidR="002B4186" w:rsidRPr="007F0F19" w:rsidRDefault="0063524C" w:rsidP="002B4186">
      <w:pPr>
        <w:rPr>
          <w:lang w:val="es-ES"/>
        </w:rPr>
      </w:pPr>
      <w:r w:rsidRPr="00ED714A">
        <w:fldChar w:fldCharType="begin"/>
      </w:r>
      <w:r w:rsidR="002B4186" w:rsidRPr="007F0F19">
        <w:rPr>
          <w:lang w:val="es-ES"/>
        </w:rPr>
        <w:instrText xml:space="preserve"> AUTONUM  </w:instrText>
      </w:r>
      <w:r w:rsidRPr="00ED714A">
        <w:fldChar w:fldCharType="end"/>
      </w:r>
      <w:r w:rsidR="002B4186" w:rsidRPr="007F0F19">
        <w:rPr>
          <w:lang w:val="es-ES"/>
        </w:rPr>
        <w:tab/>
        <w:t>El 5 de mayo de 2015, por medio de la Circular E</w:t>
      </w:r>
      <w:r w:rsidR="002B4186" w:rsidRPr="007F0F19">
        <w:rPr>
          <w:lang w:val="es-ES"/>
        </w:rPr>
        <w:noBreakHyphen/>
        <w:t>15/108, se invitó a los expertos del TC y los TWP a presentar ponencias ante los TWP, en sus sesiones de 2015, sobre sus experiencias relativas a las descripciones de variedades y el control del mantenimiento de la variedad, en especial:</w:t>
      </w:r>
    </w:p>
    <w:p w:rsidR="002B4186" w:rsidRPr="007F0F19" w:rsidRDefault="002B4186" w:rsidP="002B4186">
      <w:pPr>
        <w:rPr>
          <w:lang w:val="es-ES"/>
        </w:rPr>
      </w:pPr>
    </w:p>
    <w:p w:rsidR="002B4186" w:rsidRPr="007F0F19" w:rsidRDefault="002B4186" w:rsidP="002B4186">
      <w:pPr>
        <w:ind w:left="1134" w:hanging="567"/>
        <w:rPr>
          <w:lang w:val="es-ES"/>
        </w:rPr>
      </w:pPr>
      <w:r w:rsidRPr="007F0F19">
        <w:rPr>
          <w:lang w:val="es-ES"/>
        </w:rPr>
        <w:t>-</w:t>
      </w:r>
      <w:r w:rsidRPr="007F0F19">
        <w:rPr>
          <w:lang w:val="es-ES"/>
        </w:rPr>
        <w:tab/>
        <w:t>el uso de información, documentos o material proporcionados por el obtentor para controlar el mantenimiento de la variedad;</w:t>
      </w:r>
    </w:p>
    <w:p w:rsidR="002B4186" w:rsidRPr="007F0F19" w:rsidRDefault="002B4186" w:rsidP="002B4186">
      <w:pPr>
        <w:ind w:left="1134" w:hanging="567"/>
        <w:rPr>
          <w:lang w:val="es-ES"/>
        </w:rPr>
      </w:pPr>
    </w:p>
    <w:p w:rsidR="002B4186" w:rsidRPr="007F0F19" w:rsidRDefault="002B4186" w:rsidP="002B4186">
      <w:pPr>
        <w:ind w:left="1134" w:hanging="567"/>
        <w:rPr>
          <w:lang w:val="es-ES"/>
        </w:rPr>
      </w:pPr>
      <w:r w:rsidRPr="007F0F19">
        <w:rPr>
          <w:lang w:val="es-ES"/>
        </w:rPr>
        <w:t>-</w:t>
      </w:r>
      <w:r w:rsidRPr="007F0F19">
        <w:rPr>
          <w:lang w:val="es-ES"/>
        </w:rPr>
        <w:tab/>
        <w:t xml:space="preserve">el uso de directrices de examen diferentes de las empleadas en el examen DHE para controlar el mantenimiento de la variedad; </w:t>
      </w:r>
    </w:p>
    <w:p w:rsidR="002B4186" w:rsidRPr="007F0F19" w:rsidRDefault="002B4186" w:rsidP="002B4186">
      <w:pPr>
        <w:ind w:left="1134" w:hanging="567"/>
        <w:rPr>
          <w:lang w:val="es-ES"/>
        </w:rPr>
      </w:pPr>
    </w:p>
    <w:p w:rsidR="002B4186" w:rsidRPr="007F0F19" w:rsidRDefault="002B4186" w:rsidP="002B4186">
      <w:pPr>
        <w:ind w:left="1134" w:hanging="567"/>
        <w:rPr>
          <w:lang w:val="es-ES"/>
        </w:rPr>
      </w:pPr>
      <w:r w:rsidRPr="007F0F19">
        <w:rPr>
          <w:lang w:val="es-ES"/>
        </w:rPr>
        <w:t>-</w:t>
      </w:r>
      <w:r w:rsidRPr="007F0F19">
        <w:rPr>
          <w:lang w:val="es-ES"/>
        </w:rPr>
        <w:tab/>
        <w:t>la forma en que se generan las descripciones de variedades en el examen DHE, cómo se utilizan después de la concesión de un derecho de obtentor y la forma en que se controla el mantenimiento de las variedades;</w:t>
      </w:r>
    </w:p>
    <w:p w:rsidR="002B4186" w:rsidRPr="007F0F19" w:rsidRDefault="002B4186" w:rsidP="002B4186">
      <w:pPr>
        <w:ind w:left="1134" w:hanging="567"/>
        <w:rPr>
          <w:lang w:val="es-ES"/>
        </w:rPr>
      </w:pPr>
    </w:p>
    <w:p w:rsidR="002B4186" w:rsidRPr="007F0F19" w:rsidRDefault="002B4186" w:rsidP="002B4186">
      <w:pPr>
        <w:ind w:left="1134" w:hanging="567"/>
        <w:rPr>
          <w:lang w:val="es-ES"/>
        </w:rPr>
      </w:pPr>
      <w:r w:rsidRPr="007F0F19">
        <w:rPr>
          <w:lang w:val="es-ES"/>
        </w:rPr>
        <w:t>-</w:t>
      </w:r>
      <w:r w:rsidRPr="007F0F19">
        <w:rPr>
          <w:lang w:val="es-ES"/>
        </w:rPr>
        <w:tab/>
        <w:t>la función del material vegetal utilizado como base para el examen DHE respecto de la comprobación de que el material vegetal corresponde a una variedad protegida, a una descripción modificada de la variedad o a situaciones en las que con posterioridad se detecta un error en la descripción inicial de la variedad.</w:t>
      </w:r>
    </w:p>
    <w:p w:rsidR="002B4186" w:rsidRPr="007F0F19" w:rsidRDefault="002B4186" w:rsidP="002B4186">
      <w:pPr>
        <w:jc w:val="left"/>
        <w:rPr>
          <w:lang w:val="es-ES"/>
        </w:rPr>
      </w:pPr>
    </w:p>
    <w:p w:rsidR="002B4186" w:rsidRPr="007F0F19" w:rsidRDefault="0063524C" w:rsidP="002B4186">
      <w:pPr>
        <w:rPr>
          <w:lang w:val="es-ES"/>
        </w:rPr>
      </w:pPr>
      <w:r>
        <w:fldChar w:fldCharType="begin"/>
      </w:r>
      <w:r w:rsidR="002B4186" w:rsidRPr="007F0F19">
        <w:rPr>
          <w:lang w:val="es-ES"/>
        </w:rPr>
        <w:instrText xml:space="preserve"> AUTONUM  </w:instrText>
      </w:r>
      <w:r>
        <w:fldChar w:fldCharType="end"/>
      </w:r>
      <w:r w:rsidR="002B4186" w:rsidRPr="007F0F19">
        <w:rPr>
          <w:lang w:val="es-ES"/>
        </w:rPr>
        <w:tab/>
        <w:t>En las sesiones de los TWP de 2015 se presentaron las siguientes ponencias:</w:t>
      </w:r>
    </w:p>
    <w:p w:rsidR="002B4186" w:rsidRPr="007F0F19" w:rsidRDefault="002B4186" w:rsidP="002B4186">
      <w:pPr>
        <w:rPr>
          <w:lang w:val="es-ES"/>
        </w:rPr>
      </w:pPr>
    </w:p>
    <w:tbl>
      <w:tblPr>
        <w:tblStyle w:val="TableGrid"/>
        <w:tblW w:w="0" w:type="auto"/>
        <w:tblLook w:val="04A0" w:firstRow="1" w:lastRow="0" w:firstColumn="1" w:lastColumn="0" w:noHBand="0" w:noVBand="1"/>
      </w:tblPr>
      <w:tblGrid>
        <w:gridCol w:w="817"/>
        <w:gridCol w:w="5528"/>
        <w:gridCol w:w="1687"/>
        <w:gridCol w:w="1823"/>
      </w:tblGrid>
      <w:tr w:rsidR="002B4186" w:rsidRPr="0042005B" w:rsidTr="00BD1D1F">
        <w:trPr>
          <w:cantSplit/>
          <w:trHeight w:val="554"/>
        </w:trPr>
        <w:tc>
          <w:tcPr>
            <w:tcW w:w="817" w:type="dxa"/>
            <w:vAlign w:val="center"/>
          </w:tcPr>
          <w:p w:rsidR="002B4186" w:rsidRPr="00B97838" w:rsidRDefault="002B4186" w:rsidP="00BD1D1F">
            <w:pPr>
              <w:jc w:val="left"/>
            </w:pPr>
            <w:r>
              <w:t>TWP</w:t>
            </w:r>
          </w:p>
        </w:tc>
        <w:tc>
          <w:tcPr>
            <w:tcW w:w="5528" w:type="dxa"/>
            <w:vAlign w:val="center"/>
          </w:tcPr>
          <w:p w:rsidR="002B4186" w:rsidRPr="00B97838" w:rsidRDefault="002B4186" w:rsidP="00BD1D1F">
            <w:pPr>
              <w:jc w:val="left"/>
            </w:pPr>
            <w:r>
              <w:t>Título:</w:t>
            </w:r>
          </w:p>
        </w:tc>
        <w:tc>
          <w:tcPr>
            <w:tcW w:w="1687" w:type="dxa"/>
            <w:vAlign w:val="center"/>
          </w:tcPr>
          <w:p w:rsidR="002B4186" w:rsidRPr="00B97838" w:rsidRDefault="002B4186" w:rsidP="00BD1D1F">
            <w:pPr>
              <w:jc w:val="left"/>
            </w:pPr>
            <w:r>
              <w:t>Ponente:</w:t>
            </w:r>
          </w:p>
        </w:tc>
        <w:tc>
          <w:tcPr>
            <w:tcW w:w="1823" w:type="dxa"/>
            <w:vAlign w:val="center"/>
          </w:tcPr>
          <w:p w:rsidR="002B4186" w:rsidRPr="00B97838" w:rsidRDefault="002B4186" w:rsidP="00BD1D1F">
            <w:pPr>
              <w:jc w:val="left"/>
            </w:pPr>
            <w:r>
              <w:t>Se encuentra en el documento:</w:t>
            </w:r>
          </w:p>
        </w:tc>
      </w:tr>
      <w:tr w:rsidR="002B4186" w:rsidTr="00BD1D1F">
        <w:trPr>
          <w:cantSplit/>
        </w:trPr>
        <w:tc>
          <w:tcPr>
            <w:tcW w:w="817" w:type="dxa"/>
          </w:tcPr>
          <w:p w:rsidR="002B4186" w:rsidRDefault="002B4186" w:rsidP="00BD1D1F">
            <w:pPr>
              <w:ind w:right="34"/>
              <w:jc w:val="left"/>
            </w:pPr>
            <w:r>
              <w:t>TWV;</w:t>
            </w:r>
          </w:p>
          <w:p w:rsidR="002B4186" w:rsidRDefault="002B4186" w:rsidP="00BD1D1F">
            <w:pPr>
              <w:ind w:right="34"/>
              <w:jc w:val="left"/>
            </w:pPr>
            <w:r>
              <w:t>TWA;</w:t>
            </w:r>
          </w:p>
          <w:p w:rsidR="002B4186" w:rsidRDefault="002B4186" w:rsidP="00BD1D1F">
            <w:pPr>
              <w:ind w:right="34"/>
              <w:jc w:val="left"/>
            </w:pPr>
            <w:r>
              <w:t>TWF;</w:t>
            </w:r>
          </w:p>
          <w:p w:rsidR="002B4186" w:rsidRPr="00D34DF2" w:rsidRDefault="002B4186" w:rsidP="00BD1D1F">
            <w:pPr>
              <w:ind w:right="34"/>
              <w:jc w:val="left"/>
            </w:pPr>
            <w:r>
              <w:t>TWO</w:t>
            </w:r>
          </w:p>
        </w:tc>
        <w:tc>
          <w:tcPr>
            <w:tcW w:w="5528" w:type="dxa"/>
            <w:vAlign w:val="center"/>
          </w:tcPr>
          <w:p w:rsidR="002B4186" w:rsidRPr="002B4186" w:rsidRDefault="002B4186" w:rsidP="00BD1D1F">
            <w:pPr>
              <w:spacing w:before="60" w:after="60"/>
              <w:ind w:right="34"/>
              <w:jc w:val="left"/>
            </w:pPr>
            <w:r>
              <w:t xml:space="preserve">Experiencia relativa a las descripciones de variedades y el control del mantenimiento de la variedad en la Oficina Comunitaria de Variedades Vegetales (OCVV) de la Unión Europea </w:t>
            </w:r>
          </w:p>
        </w:tc>
        <w:tc>
          <w:tcPr>
            <w:tcW w:w="1687" w:type="dxa"/>
          </w:tcPr>
          <w:p w:rsidR="002B4186" w:rsidRPr="00D34DF2" w:rsidRDefault="002B4186" w:rsidP="00BD1D1F">
            <w:pPr>
              <w:spacing w:before="60" w:after="60"/>
              <w:ind w:right="-108"/>
              <w:jc w:val="left"/>
            </w:pPr>
            <w:r>
              <w:t>Unión Europea</w:t>
            </w:r>
          </w:p>
        </w:tc>
        <w:tc>
          <w:tcPr>
            <w:tcW w:w="1823" w:type="dxa"/>
          </w:tcPr>
          <w:p w:rsidR="002B4186" w:rsidRPr="00C735D0" w:rsidRDefault="002B4186" w:rsidP="00BD1D1F">
            <w:pPr>
              <w:rPr>
                <w:lang w:val="en-GB"/>
              </w:rPr>
            </w:pPr>
            <w:r w:rsidRPr="00C735D0">
              <w:rPr>
                <w:lang w:val="en-GB"/>
              </w:rPr>
              <w:t>TWV/49/10 Add.;</w:t>
            </w:r>
          </w:p>
          <w:p w:rsidR="002B4186" w:rsidRPr="00C735D0" w:rsidRDefault="002B4186" w:rsidP="00BD1D1F">
            <w:pPr>
              <w:rPr>
                <w:lang w:val="en-GB"/>
              </w:rPr>
            </w:pPr>
            <w:r w:rsidRPr="00C735D0">
              <w:rPr>
                <w:lang w:val="en-GB"/>
              </w:rPr>
              <w:t>TWA/44/10 Add.;</w:t>
            </w:r>
          </w:p>
          <w:p w:rsidR="002B4186" w:rsidRPr="00C735D0" w:rsidRDefault="002B4186" w:rsidP="00BD1D1F">
            <w:pPr>
              <w:rPr>
                <w:lang w:val="en-GB"/>
              </w:rPr>
            </w:pPr>
            <w:r w:rsidRPr="00C735D0">
              <w:rPr>
                <w:lang w:val="en-GB"/>
              </w:rPr>
              <w:t>TWF/46/10 Add.;</w:t>
            </w:r>
          </w:p>
          <w:p w:rsidR="002B4186" w:rsidRDefault="002B4186" w:rsidP="00BD1D1F">
            <w:r>
              <w:t>TWO/48/10 Add.</w:t>
            </w:r>
          </w:p>
        </w:tc>
      </w:tr>
      <w:tr w:rsidR="002B4186" w:rsidTr="00BD1D1F">
        <w:trPr>
          <w:cantSplit/>
        </w:trPr>
        <w:tc>
          <w:tcPr>
            <w:tcW w:w="817" w:type="dxa"/>
          </w:tcPr>
          <w:p w:rsidR="002B4186" w:rsidRPr="00D34DF2" w:rsidRDefault="002B4186" w:rsidP="00BD1D1F">
            <w:pPr>
              <w:ind w:right="34"/>
              <w:jc w:val="left"/>
            </w:pPr>
            <w:r>
              <w:t>TWV</w:t>
            </w:r>
          </w:p>
        </w:tc>
        <w:tc>
          <w:tcPr>
            <w:tcW w:w="5528" w:type="dxa"/>
            <w:vAlign w:val="center"/>
          </w:tcPr>
          <w:p w:rsidR="002B4186" w:rsidRPr="002B4186" w:rsidRDefault="002B4186" w:rsidP="00BD1D1F">
            <w:pPr>
              <w:spacing w:before="60" w:after="60"/>
              <w:ind w:right="34"/>
              <w:jc w:val="left"/>
            </w:pPr>
            <w:r>
              <w:t xml:space="preserve">Control del mantenimiento de las variedades vegetales </w:t>
            </w:r>
          </w:p>
        </w:tc>
        <w:tc>
          <w:tcPr>
            <w:tcW w:w="1687" w:type="dxa"/>
          </w:tcPr>
          <w:p w:rsidR="002B4186" w:rsidRPr="00D34DF2" w:rsidRDefault="002B4186" w:rsidP="00BD1D1F">
            <w:pPr>
              <w:spacing w:before="60" w:after="60"/>
              <w:ind w:right="-108"/>
              <w:jc w:val="left"/>
            </w:pPr>
            <w:r>
              <w:t>Países Bajos</w:t>
            </w:r>
          </w:p>
        </w:tc>
        <w:tc>
          <w:tcPr>
            <w:tcW w:w="1823" w:type="dxa"/>
          </w:tcPr>
          <w:p w:rsidR="002B4186" w:rsidRDefault="002B4186" w:rsidP="00BD1D1F">
            <w:r>
              <w:t>TWV/49/10 Add.</w:t>
            </w:r>
          </w:p>
        </w:tc>
      </w:tr>
      <w:tr w:rsidR="002B4186" w:rsidTr="00BD1D1F">
        <w:trPr>
          <w:cantSplit/>
        </w:trPr>
        <w:tc>
          <w:tcPr>
            <w:tcW w:w="817" w:type="dxa"/>
          </w:tcPr>
          <w:p w:rsidR="002B4186" w:rsidRPr="00D34DF2" w:rsidRDefault="002B4186" w:rsidP="00BD1D1F">
            <w:pPr>
              <w:ind w:right="34"/>
              <w:jc w:val="left"/>
            </w:pPr>
            <w:r>
              <w:t>TWV</w:t>
            </w:r>
          </w:p>
        </w:tc>
        <w:tc>
          <w:tcPr>
            <w:tcW w:w="5528" w:type="dxa"/>
            <w:vAlign w:val="center"/>
          </w:tcPr>
          <w:p w:rsidR="002B4186" w:rsidRPr="002B4186" w:rsidRDefault="002B4186" w:rsidP="00BD1D1F">
            <w:pPr>
              <w:spacing w:before="60" w:after="60"/>
              <w:ind w:right="34"/>
              <w:jc w:val="left"/>
            </w:pPr>
            <w:r>
              <w:t>Control del mantenimiento de las variedades en la República de Corea</w:t>
            </w:r>
          </w:p>
        </w:tc>
        <w:tc>
          <w:tcPr>
            <w:tcW w:w="1687" w:type="dxa"/>
          </w:tcPr>
          <w:p w:rsidR="002B4186" w:rsidRPr="00321C5A" w:rsidRDefault="002B4186" w:rsidP="00BD1D1F">
            <w:pPr>
              <w:spacing w:before="60" w:after="60"/>
              <w:ind w:right="-108"/>
              <w:jc w:val="left"/>
            </w:pPr>
            <w:r>
              <w:t>República de Corea</w:t>
            </w:r>
          </w:p>
        </w:tc>
        <w:tc>
          <w:tcPr>
            <w:tcW w:w="1823" w:type="dxa"/>
          </w:tcPr>
          <w:p w:rsidR="002B4186" w:rsidRDefault="002B4186" w:rsidP="00BD1D1F">
            <w:r>
              <w:t>TWV/49/10 Add.</w:t>
            </w:r>
          </w:p>
        </w:tc>
      </w:tr>
      <w:tr w:rsidR="002B4186" w:rsidTr="00BD1D1F">
        <w:trPr>
          <w:cantSplit/>
        </w:trPr>
        <w:tc>
          <w:tcPr>
            <w:tcW w:w="817" w:type="dxa"/>
          </w:tcPr>
          <w:p w:rsidR="002B4186" w:rsidRPr="00D34DF2" w:rsidRDefault="002B4186" w:rsidP="00BD1D1F">
            <w:pPr>
              <w:ind w:right="34"/>
              <w:jc w:val="left"/>
            </w:pPr>
            <w:r>
              <w:t>TWV</w:t>
            </w:r>
          </w:p>
        </w:tc>
        <w:tc>
          <w:tcPr>
            <w:tcW w:w="5528" w:type="dxa"/>
            <w:vAlign w:val="center"/>
          </w:tcPr>
          <w:p w:rsidR="002B4186" w:rsidRPr="002B4186" w:rsidRDefault="002B4186" w:rsidP="00BD1D1F">
            <w:pPr>
              <w:spacing w:before="60" w:after="60"/>
              <w:ind w:right="34"/>
              <w:jc w:val="left"/>
            </w:pPr>
            <w:r>
              <w:t>Control del mantenimiento de una variedad y asuntos relativos a las descripciones de variedades</w:t>
            </w:r>
          </w:p>
        </w:tc>
        <w:tc>
          <w:tcPr>
            <w:tcW w:w="1687" w:type="dxa"/>
          </w:tcPr>
          <w:p w:rsidR="002B4186" w:rsidRPr="00D34DF2" w:rsidRDefault="002B4186" w:rsidP="00BD1D1F">
            <w:pPr>
              <w:spacing w:before="60" w:after="60"/>
              <w:ind w:right="-108"/>
              <w:jc w:val="left"/>
            </w:pPr>
            <w:r>
              <w:t>España</w:t>
            </w:r>
          </w:p>
        </w:tc>
        <w:tc>
          <w:tcPr>
            <w:tcW w:w="1823" w:type="dxa"/>
          </w:tcPr>
          <w:p w:rsidR="002B4186" w:rsidRDefault="002B4186" w:rsidP="00BD1D1F">
            <w:r>
              <w:t>TWV/49/10 Add.</w:t>
            </w:r>
          </w:p>
        </w:tc>
      </w:tr>
    </w:tbl>
    <w:p w:rsidR="002B4186" w:rsidRDefault="002B4186" w:rsidP="002B4186"/>
    <w:p w:rsidR="002B4186" w:rsidRPr="00A00C7A" w:rsidRDefault="002B4186" w:rsidP="002B4186"/>
    <w:p w:rsidR="002B4186" w:rsidRPr="007F0F19" w:rsidRDefault="002B4186" w:rsidP="002B4186">
      <w:pPr>
        <w:pStyle w:val="Heading1"/>
        <w:rPr>
          <w:lang w:val="es-ES"/>
        </w:rPr>
      </w:pPr>
      <w:bookmarkStart w:id="17" w:name="_Toc440985317"/>
      <w:bookmarkStart w:id="18" w:name="_Toc441743999"/>
      <w:r w:rsidRPr="007F0F19">
        <w:rPr>
          <w:lang w:val="es-ES"/>
        </w:rPr>
        <w:t>Observaciones de los Grupos de Trabajo Técnico</w:t>
      </w:r>
      <w:bookmarkEnd w:id="14"/>
      <w:bookmarkEnd w:id="17"/>
      <w:bookmarkEnd w:id="18"/>
      <w:r w:rsidR="00374D43">
        <w:rPr>
          <w:lang w:val="es-ES"/>
        </w:rPr>
        <w:t>S</w:t>
      </w:r>
      <w:r w:rsidRPr="007F0F19">
        <w:rPr>
          <w:lang w:val="es-ES"/>
        </w:rPr>
        <w:t xml:space="preserve"> </w:t>
      </w:r>
    </w:p>
    <w:p w:rsidR="002B4186" w:rsidRPr="007F0F19" w:rsidRDefault="002B4186" w:rsidP="002B4186">
      <w:pPr>
        <w:rPr>
          <w:lang w:val="es-ES"/>
        </w:rPr>
      </w:pPr>
    </w:p>
    <w:p w:rsidR="002B4186" w:rsidRPr="007F0F19" w:rsidRDefault="002B4186" w:rsidP="002B4186">
      <w:pPr>
        <w:pStyle w:val="Heading2"/>
        <w:rPr>
          <w:rStyle w:val="Emphasis"/>
          <w:i w:val="0"/>
          <w:iCs w:val="0"/>
          <w:lang w:val="es-ES"/>
        </w:rPr>
      </w:pPr>
      <w:bookmarkStart w:id="19" w:name="_Toc440299521"/>
      <w:bookmarkStart w:id="20" w:name="_Toc440377317"/>
      <w:bookmarkStart w:id="21" w:name="_Toc440985318"/>
      <w:bookmarkStart w:id="22" w:name="_Toc441744000"/>
      <w:r w:rsidRPr="007F0F19">
        <w:rPr>
          <w:rStyle w:val="Emphasis"/>
          <w:i w:val="0"/>
          <w:lang w:val="es-ES"/>
        </w:rPr>
        <w:t>Grupo de Trabajo Técnico sobre Hortalizas</w:t>
      </w:r>
      <w:bookmarkEnd w:id="19"/>
      <w:bookmarkEnd w:id="20"/>
      <w:bookmarkEnd w:id="21"/>
      <w:bookmarkEnd w:id="22"/>
    </w:p>
    <w:p w:rsidR="002B4186" w:rsidRPr="007F0F19" w:rsidRDefault="002B4186" w:rsidP="002B4186">
      <w:pPr>
        <w:rPr>
          <w:lang w:val="es-ES"/>
        </w:rPr>
      </w:pPr>
    </w:p>
    <w:p w:rsidR="002B4186" w:rsidRPr="007F0F19" w:rsidRDefault="0063524C" w:rsidP="002B4186">
      <w:pPr>
        <w:rPr>
          <w:snapToGrid w:val="0"/>
          <w:lang w:val="es-ES"/>
        </w:rPr>
      </w:pPr>
      <w:r>
        <w:rPr>
          <w:snapToGrid w:val="0"/>
        </w:rPr>
        <w:fldChar w:fldCharType="begin"/>
      </w:r>
      <w:r w:rsidR="002B4186" w:rsidRPr="007F0F19">
        <w:rPr>
          <w:snapToGrid w:val="0"/>
          <w:lang w:val="es-ES"/>
        </w:rPr>
        <w:instrText xml:space="preserve"> AUTONUM  </w:instrText>
      </w:r>
      <w:r>
        <w:rPr>
          <w:snapToGrid w:val="0"/>
        </w:rPr>
        <w:fldChar w:fldCharType="end"/>
      </w:r>
      <w:r w:rsidR="002B4186" w:rsidRPr="007F0F19">
        <w:rPr>
          <w:lang w:val="es-ES"/>
        </w:rPr>
        <w:tab/>
      </w:r>
      <w:r w:rsidR="002B4186" w:rsidRPr="007F0F19">
        <w:rPr>
          <w:snapToGrid w:val="0"/>
          <w:lang w:val="es-ES"/>
        </w:rPr>
        <w:t xml:space="preserve">En su cuadragésima novena sesión, celebrada en Anger (Francia) del 15 al 19 de junio de 2015, el TWV examinó el documento TWV/49/10 </w:t>
      </w:r>
      <w:r w:rsidR="002B4186" w:rsidRPr="007F0F19">
        <w:rPr>
          <w:lang w:val="es-ES"/>
        </w:rPr>
        <w:t>“</w:t>
      </w:r>
      <w:proofErr w:type="spellStart"/>
      <w:r w:rsidR="0042005B">
        <w:rPr>
          <w:i/>
          <w:lang w:val="es-ES"/>
        </w:rPr>
        <w:t>Matters</w:t>
      </w:r>
      <w:proofErr w:type="spellEnd"/>
      <w:r w:rsidR="0042005B">
        <w:rPr>
          <w:i/>
          <w:lang w:val="es-ES"/>
        </w:rPr>
        <w:t xml:space="preserve"> </w:t>
      </w:r>
      <w:proofErr w:type="spellStart"/>
      <w:r w:rsidR="0042005B">
        <w:rPr>
          <w:i/>
          <w:lang w:val="es-ES"/>
        </w:rPr>
        <w:t>concerning</w:t>
      </w:r>
      <w:proofErr w:type="spellEnd"/>
      <w:r w:rsidR="0042005B">
        <w:rPr>
          <w:i/>
          <w:lang w:val="es-ES"/>
        </w:rPr>
        <w:t xml:space="preserve"> </w:t>
      </w:r>
      <w:proofErr w:type="spellStart"/>
      <w:r w:rsidR="0042005B">
        <w:rPr>
          <w:i/>
          <w:lang w:val="es-ES"/>
        </w:rPr>
        <w:t>Variety</w:t>
      </w:r>
      <w:proofErr w:type="spellEnd"/>
      <w:r w:rsidR="0042005B">
        <w:rPr>
          <w:i/>
          <w:lang w:val="es-ES"/>
        </w:rPr>
        <w:t xml:space="preserve"> </w:t>
      </w:r>
      <w:proofErr w:type="spellStart"/>
      <w:r w:rsidR="0042005B">
        <w:rPr>
          <w:i/>
          <w:lang w:val="es-ES"/>
        </w:rPr>
        <w:t>D</w:t>
      </w:r>
      <w:r w:rsidR="002B4186" w:rsidRPr="007F0F19">
        <w:rPr>
          <w:i/>
          <w:lang w:val="es-ES"/>
        </w:rPr>
        <w:t>escriptions</w:t>
      </w:r>
      <w:proofErr w:type="spellEnd"/>
      <w:r w:rsidR="002B4186" w:rsidRPr="007F0F19">
        <w:rPr>
          <w:lang w:val="es-ES"/>
        </w:rPr>
        <w:t>” (Asuntos relativos a las descripciones de variedades) (véanse los párrafos 73 a 75 del documento TWV/49/32 Rev. “</w:t>
      </w:r>
      <w:proofErr w:type="spellStart"/>
      <w:r w:rsidR="002B4186" w:rsidRPr="007F0F19">
        <w:rPr>
          <w:i/>
          <w:lang w:val="es-ES"/>
        </w:rPr>
        <w:t>Re</w:t>
      </w:r>
      <w:r w:rsidR="0042005B">
        <w:rPr>
          <w:i/>
          <w:lang w:val="es-ES"/>
        </w:rPr>
        <w:t>vised</w:t>
      </w:r>
      <w:proofErr w:type="spellEnd"/>
      <w:r w:rsidR="0042005B">
        <w:rPr>
          <w:i/>
          <w:lang w:val="es-ES"/>
        </w:rPr>
        <w:t xml:space="preserve"> </w:t>
      </w:r>
      <w:proofErr w:type="spellStart"/>
      <w:r w:rsidR="0042005B">
        <w:rPr>
          <w:i/>
          <w:lang w:val="es-ES"/>
        </w:rPr>
        <w:t>Re</w:t>
      </w:r>
      <w:r w:rsidR="002B4186" w:rsidRPr="007F0F19">
        <w:rPr>
          <w:i/>
          <w:lang w:val="es-ES"/>
        </w:rPr>
        <w:t>port</w:t>
      </w:r>
      <w:proofErr w:type="spellEnd"/>
      <w:r w:rsidR="0042005B">
        <w:rPr>
          <w:lang w:val="es-ES"/>
        </w:rPr>
        <w:t>”</w:t>
      </w:r>
      <w:r w:rsidR="002B4186" w:rsidRPr="007F0F19">
        <w:rPr>
          <w:lang w:val="es-ES"/>
        </w:rPr>
        <w:t>)</w:t>
      </w:r>
      <w:r w:rsidR="0042005B">
        <w:rPr>
          <w:snapToGrid w:val="0"/>
          <w:lang w:val="es-ES"/>
        </w:rPr>
        <w:t>.</w:t>
      </w:r>
    </w:p>
    <w:p w:rsidR="002B4186" w:rsidRPr="007F0F19" w:rsidRDefault="002B4186" w:rsidP="002B4186">
      <w:pPr>
        <w:rPr>
          <w:snapToGrid w:val="0"/>
          <w:lang w:val="es-ES"/>
        </w:rPr>
      </w:pPr>
    </w:p>
    <w:p w:rsidR="002B4186" w:rsidRPr="007F0F19" w:rsidRDefault="0063524C" w:rsidP="002B4186">
      <w:pPr>
        <w:rPr>
          <w:lang w:val="es-ES"/>
        </w:rPr>
      </w:pPr>
      <w:r>
        <w:fldChar w:fldCharType="begin"/>
      </w:r>
      <w:r w:rsidR="002B4186" w:rsidRPr="007F0F19">
        <w:rPr>
          <w:lang w:val="es-ES"/>
        </w:rPr>
        <w:instrText xml:space="preserve"> AUTONUM  </w:instrText>
      </w:r>
      <w:r>
        <w:fldChar w:fldCharType="end"/>
      </w:r>
      <w:r w:rsidR="002B4186" w:rsidRPr="007F0F19">
        <w:rPr>
          <w:lang w:val="es-ES"/>
        </w:rPr>
        <w:tab/>
        <w:t>El TWV tomó nota de los enfoques armonizados adoptados en el sector de las hortalizas para controlar el mantenimiento de las variedades y la postura común y el uso de las descripciones de variedades entre los miembros de la Unión.</w:t>
      </w:r>
    </w:p>
    <w:p w:rsidR="002B4186" w:rsidRPr="007F0F19" w:rsidRDefault="002B4186" w:rsidP="002B4186">
      <w:pPr>
        <w:rPr>
          <w:lang w:val="es-ES"/>
        </w:rPr>
      </w:pPr>
    </w:p>
    <w:p w:rsidR="002B4186" w:rsidRPr="007F0F19" w:rsidRDefault="002B4186" w:rsidP="002B4186">
      <w:pPr>
        <w:pStyle w:val="Heading2"/>
        <w:rPr>
          <w:rFonts w:eastAsia="PMingLiU"/>
          <w:lang w:val="es-ES"/>
        </w:rPr>
      </w:pPr>
      <w:bookmarkStart w:id="23" w:name="_Toc440299522"/>
      <w:bookmarkStart w:id="24" w:name="_Toc440377318"/>
      <w:bookmarkStart w:id="25" w:name="_Toc440985319"/>
      <w:bookmarkStart w:id="26" w:name="_Toc441744001"/>
      <w:r w:rsidRPr="007F0F19">
        <w:rPr>
          <w:lang w:val="es-ES"/>
        </w:rPr>
        <w:t>Grupo de Trabajo Técnico sobre Automatización y Programas Informáticos</w:t>
      </w:r>
      <w:bookmarkEnd w:id="23"/>
      <w:bookmarkEnd w:id="24"/>
      <w:bookmarkEnd w:id="25"/>
      <w:bookmarkEnd w:id="26"/>
    </w:p>
    <w:p w:rsidR="002B4186" w:rsidRPr="007F0F19" w:rsidRDefault="002B4186" w:rsidP="002B4186">
      <w:pPr>
        <w:ind w:firstLine="567"/>
        <w:rPr>
          <w:lang w:val="es-ES"/>
        </w:rPr>
      </w:pPr>
    </w:p>
    <w:p w:rsidR="002B4186" w:rsidRPr="007F0F19" w:rsidRDefault="002B4186" w:rsidP="002B4186">
      <w:pPr>
        <w:pStyle w:val="Heading3"/>
        <w:rPr>
          <w:lang w:val="es-ES"/>
        </w:rPr>
      </w:pPr>
      <w:bookmarkStart w:id="27" w:name="_Toc440985320"/>
      <w:bookmarkStart w:id="28" w:name="_Toc441744002"/>
      <w:r w:rsidRPr="007F0F19">
        <w:rPr>
          <w:lang w:val="es-ES"/>
        </w:rPr>
        <w:t>Control del mantenimiento de la variedad</w:t>
      </w:r>
      <w:bookmarkEnd w:id="27"/>
      <w:bookmarkEnd w:id="28"/>
    </w:p>
    <w:p w:rsidR="002B4186" w:rsidRPr="007F0F19" w:rsidRDefault="002B4186" w:rsidP="002B4186">
      <w:pPr>
        <w:ind w:firstLine="567"/>
        <w:rPr>
          <w:lang w:val="es-ES"/>
        </w:rPr>
      </w:pPr>
    </w:p>
    <w:p w:rsidR="002B4186" w:rsidRPr="007F0F19" w:rsidRDefault="0063524C" w:rsidP="002B4186">
      <w:pPr>
        <w:rPr>
          <w:lang w:val="es-ES"/>
        </w:rPr>
      </w:pPr>
      <w:r w:rsidRPr="00D34DF2">
        <w:rPr>
          <w:snapToGrid w:val="0"/>
        </w:rPr>
        <w:fldChar w:fldCharType="begin"/>
      </w:r>
      <w:r w:rsidR="002B4186" w:rsidRPr="007F0F19">
        <w:rPr>
          <w:snapToGrid w:val="0"/>
          <w:lang w:val="es-ES"/>
        </w:rPr>
        <w:instrText xml:space="preserve"> AUTONUM  </w:instrText>
      </w:r>
      <w:r w:rsidRPr="00D34DF2">
        <w:rPr>
          <w:snapToGrid w:val="0"/>
        </w:rPr>
        <w:fldChar w:fldCharType="end"/>
      </w:r>
      <w:r w:rsidR="002B4186" w:rsidRPr="007F0F19">
        <w:rPr>
          <w:lang w:val="es-ES"/>
        </w:rPr>
        <w:tab/>
      </w:r>
      <w:r w:rsidR="002B4186" w:rsidRPr="007F0F19">
        <w:rPr>
          <w:snapToGrid w:val="0"/>
          <w:lang w:val="es-ES"/>
        </w:rPr>
        <w:t xml:space="preserve">En su trigésima tercera sesión, celebrada en Natal (Brasil) del 30 de junio al 3 de julio de 2015, el TWC examinó el documento TWC/33/10 </w:t>
      </w:r>
      <w:r w:rsidR="002B4186" w:rsidRPr="007F0F19">
        <w:rPr>
          <w:lang w:val="es-ES"/>
        </w:rPr>
        <w:t>“</w:t>
      </w:r>
      <w:r w:rsidR="002B4186" w:rsidRPr="007F0F19">
        <w:rPr>
          <w:i/>
          <w:lang w:val="es-ES"/>
        </w:rPr>
        <w:t>Matters concerning variety descriptions</w:t>
      </w:r>
      <w:r w:rsidR="002B4186" w:rsidRPr="007F0F19">
        <w:rPr>
          <w:lang w:val="es-ES"/>
        </w:rPr>
        <w:t>” (Asuntos relativos a las descripciones de variedades)</w:t>
      </w:r>
      <w:r w:rsidR="002B4186" w:rsidRPr="007F0F19">
        <w:rPr>
          <w:snapToGrid w:val="0"/>
          <w:lang w:val="es-ES"/>
        </w:rPr>
        <w:t>.</w:t>
      </w:r>
    </w:p>
    <w:p w:rsidR="002B4186" w:rsidRPr="007F0F19" w:rsidRDefault="002B4186" w:rsidP="002B4186">
      <w:pPr>
        <w:ind w:firstLine="567"/>
        <w:rPr>
          <w:lang w:val="es-ES"/>
        </w:rPr>
      </w:pPr>
    </w:p>
    <w:p w:rsidR="002B4186" w:rsidRPr="007F0F19" w:rsidRDefault="0063524C" w:rsidP="002B4186">
      <w:pPr>
        <w:rPr>
          <w:lang w:val="es-ES"/>
        </w:rPr>
      </w:pPr>
      <w:r w:rsidRPr="00D34DF2">
        <w:fldChar w:fldCharType="begin"/>
      </w:r>
      <w:r w:rsidR="002B4186" w:rsidRPr="007F0F19">
        <w:rPr>
          <w:lang w:val="es-ES"/>
        </w:rPr>
        <w:instrText xml:space="preserve"> AUTONUM  </w:instrText>
      </w:r>
      <w:r w:rsidRPr="00D34DF2">
        <w:fldChar w:fldCharType="end"/>
      </w:r>
      <w:r w:rsidR="002B4186" w:rsidRPr="007F0F19">
        <w:rPr>
          <w:lang w:val="es-ES"/>
        </w:rPr>
        <w:tab/>
        <w:t>El TWC examinó el uso de directrices de examen diferentes de las empleadas en el examen DHE para controlar el mantenimiento de la variedad.  El TWC tomó nota de que no todos los miembros de la UPOV necesitaban que se controlara el mantenimiento de las variedades.  El TWC tomó nota de que, en caso de producirse cambios en las directrices de examen, China empleaba los datos originales de los ensayos para generar una nueva descripción de la variedad.</w:t>
      </w:r>
    </w:p>
    <w:p w:rsidR="002B4186" w:rsidRPr="007F0F19" w:rsidRDefault="002B4186" w:rsidP="002B4186">
      <w:pPr>
        <w:rPr>
          <w:lang w:val="es-ES"/>
        </w:rPr>
      </w:pPr>
    </w:p>
    <w:p w:rsidR="002B4186" w:rsidRPr="007F0F19" w:rsidRDefault="0063524C" w:rsidP="002B4186">
      <w:pPr>
        <w:rPr>
          <w:lang w:val="es-ES"/>
        </w:rPr>
      </w:pPr>
      <w:r w:rsidRPr="00D34DF2">
        <w:fldChar w:fldCharType="begin"/>
      </w:r>
      <w:r w:rsidR="002B4186" w:rsidRPr="007F0F19">
        <w:rPr>
          <w:lang w:val="es-ES"/>
        </w:rPr>
        <w:instrText xml:space="preserve"> AUTONUM  </w:instrText>
      </w:r>
      <w:r w:rsidRPr="00D34DF2">
        <w:fldChar w:fldCharType="end"/>
      </w:r>
      <w:r w:rsidR="002B4186" w:rsidRPr="007F0F19">
        <w:rPr>
          <w:lang w:val="es-ES"/>
        </w:rPr>
        <w:tab/>
        <w:t>El TWC examinó las experiencias dadas a conocer por los expertos relativas al uso de información, documentos o material proporcionados por el obtentor para controlar el mantenimiento de la variedad;  y tomó nota de que algunas autoridades cultivaban la muestra patrón junto al nuevo material vegetal facilitado para controlar el mantenimiento de la variedad (véanse los párrafos 62 a 64 del documento TWC/33/30 “</w:t>
      </w:r>
      <w:r w:rsidR="002B4186" w:rsidRPr="007F0F19">
        <w:rPr>
          <w:i/>
          <w:lang w:val="es-ES"/>
        </w:rPr>
        <w:t>Report</w:t>
      </w:r>
      <w:r w:rsidR="002B4186" w:rsidRPr="007F0F19">
        <w:rPr>
          <w:lang w:val="es-ES"/>
        </w:rPr>
        <w:t>”).</w:t>
      </w:r>
    </w:p>
    <w:p w:rsidR="002B4186" w:rsidRPr="007F0F19" w:rsidRDefault="002B4186" w:rsidP="002B4186">
      <w:pPr>
        <w:rPr>
          <w:lang w:val="es-ES"/>
        </w:rPr>
      </w:pPr>
    </w:p>
    <w:p w:rsidR="002B4186" w:rsidRPr="007F0F19" w:rsidRDefault="002B4186" w:rsidP="002B4186">
      <w:pPr>
        <w:pStyle w:val="Heading3"/>
        <w:rPr>
          <w:lang w:val="es-ES"/>
        </w:rPr>
      </w:pPr>
      <w:bookmarkStart w:id="29" w:name="_Toc440985321"/>
      <w:bookmarkStart w:id="30" w:name="_Toc441744003"/>
      <w:r w:rsidRPr="007F0F19">
        <w:rPr>
          <w:lang w:val="es-ES"/>
        </w:rPr>
        <w:lastRenderedPageBreak/>
        <w:t>Asuntos relativos a las descripciones de variedades</w:t>
      </w:r>
      <w:bookmarkEnd w:id="29"/>
      <w:bookmarkEnd w:id="30"/>
    </w:p>
    <w:p w:rsidR="002B4186" w:rsidRPr="007F0F19" w:rsidRDefault="002B4186" w:rsidP="002B4186">
      <w:pPr>
        <w:keepNext/>
        <w:rPr>
          <w:lang w:val="es-ES"/>
        </w:rPr>
      </w:pPr>
    </w:p>
    <w:p w:rsidR="002B4186" w:rsidRPr="007F0F19" w:rsidRDefault="0063524C" w:rsidP="002B4186">
      <w:pPr>
        <w:keepNext/>
        <w:rPr>
          <w:lang w:val="es-ES"/>
        </w:rPr>
      </w:pPr>
      <w:r w:rsidRPr="00822D20">
        <w:fldChar w:fldCharType="begin"/>
      </w:r>
      <w:r w:rsidR="002B4186" w:rsidRPr="007F0F19">
        <w:rPr>
          <w:lang w:val="es-ES"/>
        </w:rPr>
        <w:instrText xml:space="preserve"> AUTONUM  </w:instrText>
      </w:r>
      <w:r w:rsidRPr="00822D20">
        <w:fldChar w:fldCharType="end"/>
      </w:r>
      <w:r w:rsidR="002B4186" w:rsidRPr="007F0F19">
        <w:rPr>
          <w:lang w:val="es-ES"/>
        </w:rPr>
        <w:tab/>
        <w:t>El TWC examinó las experiencias referidas por los expertos en lo que respecta a la forma en que se generan las descripciones de variedades en el examen DHE y tomó nota de que en algunos miembros de la UPOV era la autoridad la que las generaba, mientras que en otros eran los obtentores quienes lo hacían.</w:t>
      </w:r>
    </w:p>
    <w:p w:rsidR="002B4186" w:rsidRPr="007F0F19" w:rsidRDefault="002B4186" w:rsidP="002B4186">
      <w:pPr>
        <w:rPr>
          <w:lang w:val="es-ES"/>
        </w:rPr>
      </w:pPr>
    </w:p>
    <w:p w:rsidR="002B4186" w:rsidRPr="007F0F19" w:rsidRDefault="0063524C" w:rsidP="002B4186">
      <w:pPr>
        <w:rPr>
          <w:lang w:val="es-ES"/>
        </w:rPr>
      </w:pPr>
      <w:r w:rsidRPr="00822D20">
        <w:fldChar w:fldCharType="begin"/>
      </w:r>
      <w:r w:rsidR="002B4186" w:rsidRPr="007F0F19">
        <w:rPr>
          <w:lang w:val="es-ES"/>
        </w:rPr>
        <w:instrText xml:space="preserve"> AUTONUM  </w:instrText>
      </w:r>
      <w:r w:rsidRPr="00822D20">
        <w:fldChar w:fldCharType="end"/>
      </w:r>
      <w:r w:rsidR="002B4186" w:rsidRPr="007F0F19">
        <w:rPr>
          <w:lang w:val="es-ES"/>
        </w:rPr>
        <w:tab/>
        <w:t>El TWC examinó las experiencias relatadas por los expertos en cuanto a la forma en que se utilizan las descripciones de variedades tras la concesión de un derecho de obtentor y tomó nota de que el Brasil las empleaba para controlar el mantenimiento de las variedades, en especial para los caracteres QL y PQ</w:t>
      </w:r>
      <w:r w:rsidR="008D5CC8" w:rsidRPr="007F0F19">
        <w:rPr>
          <w:lang w:val="es-ES"/>
        </w:rPr>
        <w:t xml:space="preserve">.  </w:t>
      </w:r>
      <w:r w:rsidR="002B4186" w:rsidRPr="007F0F19">
        <w:rPr>
          <w:lang w:val="es-ES"/>
        </w:rPr>
        <w:t>El TWC tomó nota de que, en muchos países, se podía añadir información a las bases de datos de descripciones de variedades a fin de complementar la información sobre una variedad</w:t>
      </w:r>
      <w:r w:rsidR="002B4186" w:rsidRPr="007F0F19">
        <w:rPr>
          <w:rFonts w:hint="eastAsia"/>
          <w:lang w:val="es-ES"/>
        </w:rPr>
        <w:t xml:space="preserve">.  </w:t>
      </w:r>
      <w:r w:rsidR="002B4186" w:rsidRPr="007F0F19">
        <w:rPr>
          <w:lang w:val="es-ES"/>
        </w:rPr>
        <w:t xml:space="preserve">El TWC tomó nota de que en Alemania la descripción de </w:t>
      </w:r>
      <w:r w:rsidR="002B4186" w:rsidRPr="007F0F19">
        <w:rPr>
          <w:rFonts w:hint="eastAsia"/>
          <w:lang w:val="es-ES"/>
        </w:rPr>
        <w:t>la variedad</w:t>
      </w:r>
      <w:r w:rsidR="002B4186" w:rsidRPr="007F0F19">
        <w:rPr>
          <w:lang w:val="es-ES"/>
        </w:rPr>
        <w:t xml:space="preserve"> se había guardado como un</w:t>
      </w:r>
      <w:r w:rsidR="00177184" w:rsidRPr="007F0F19">
        <w:rPr>
          <w:lang w:val="es-ES"/>
        </w:rPr>
        <w:t xml:space="preserve"> </w:t>
      </w:r>
      <w:r w:rsidR="002B4186" w:rsidRPr="007F0F19">
        <w:rPr>
          <w:lang w:val="es-ES"/>
        </w:rPr>
        <w:t>archivo informático</w:t>
      </w:r>
      <w:r w:rsidR="002B4186" w:rsidRPr="007F0F19">
        <w:rPr>
          <w:rFonts w:hint="eastAsia"/>
          <w:lang w:val="es-ES"/>
        </w:rPr>
        <w:t>.  En caso de producirse cambios en las directrices de examen, era posible transformar los datos de la descripción de la variedad con una nueva escala en la base de datos</w:t>
      </w:r>
      <w:r w:rsidR="002B4186" w:rsidRPr="007F0F19">
        <w:rPr>
          <w:lang w:val="es-ES"/>
        </w:rPr>
        <w:t xml:space="preserve">.  El TWC tomó nota también de que en Alemania, cuando no era posible transformar los caracteres, se podía añadir un nuevo carácter a la base de datos. </w:t>
      </w:r>
    </w:p>
    <w:p w:rsidR="002B4186" w:rsidRPr="007F0F19" w:rsidRDefault="002B4186" w:rsidP="002B4186">
      <w:pPr>
        <w:rPr>
          <w:lang w:val="es-ES"/>
        </w:rPr>
      </w:pPr>
    </w:p>
    <w:p w:rsidR="002B4186" w:rsidRPr="007F0F19" w:rsidRDefault="0063524C" w:rsidP="002B4186">
      <w:pPr>
        <w:rPr>
          <w:lang w:val="es-ES"/>
        </w:rPr>
      </w:pPr>
      <w:r w:rsidRPr="00822D20">
        <w:fldChar w:fldCharType="begin"/>
      </w:r>
      <w:r w:rsidR="002B4186" w:rsidRPr="007F0F19">
        <w:rPr>
          <w:lang w:val="es-ES"/>
        </w:rPr>
        <w:instrText xml:space="preserve"> AUTONUM  </w:instrText>
      </w:r>
      <w:r w:rsidRPr="00822D20">
        <w:fldChar w:fldCharType="end"/>
      </w:r>
      <w:r w:rsidR="002B4186" w:rsidRPr="007F0F19">
        <w:rPr>
          <w:lang w:val="es-ES"/>
        </w:rPr>
        <w:tab/>
        <w:t>El TWC examinó las experiencias referidas por los expertos en lo relativo a la función del material vegetal utilizado como base para el examen DHE y tomó nota de que, en algunos miembros tales como los Países Bajos, se consideraba que era el material vegetal el que representaba la variedad</w:t>
      </w:r>
      <w:r w:rsidR="008D5CC8" w:rsidRPr="007F0F19">
        <w:rPr>
          <w:lang w:val="es-ES"/>
        </w:rPr>
        <w:t xml:space="preserve">;  </w:t>
      </w:r>
      <w:r w:rsidR="002B4186" w:rsidRPr="007F0F19">
        <w:rPr>
          <w:lang w:val="es-ES"/>
        </w:rPr>
        <w:t>mientras que su descripción solo tenía un valor escaso.  El TWC tomó nota de que, en algunos miembros, la descripción de una variedad podía cambiar y que era posible añadir otras descripciones de una misma variedad a la base de datos sin cambiar la descripción original de la variedad.  El TWC tomó nota también de que en la Argentina solo era posible modificar la descripción de una variedad si esta no se comercializaba y que en el Brasil no era posible hacerlo después de concedido el derecho de obtentor (véanse los párrafos 65 a 67 del documento TWC/33/30 “</w:t>
      </w:r>
      <w:r w:rsidR="002B4186" w:rsidRPr="007F0F19">
        <w:rPr>
          <w:i/>
          <w:lang w:val="es-ES"/>
        </w:rPr>
        <w:t>Report</w:t>
      </w:r>
      <w:r w:rsidR="002B4186" w:rsidRPr="007F0F19">
        <w:rPr>
          <w:lang w:val="es-ES"/>
        </w:rPr>
        <w:t>”).</w:t>
      </w:r>
    </w:p>
    <w:p w:rsidR="002B4186" w:rsidRPr="007F0F19" w:rsidRDefault="002B4186" w:rsidP="002B4186">
      <w:pPr>
        <w:rPr>
          <w:lang w:val="es-ES"/>
        </w:rPr>
      </w:pPr>
    </w:p>
    <w:p w:rsidR="002B4186" w:rsidRPr="007F0F19" w:rsidRDefault="002B4186" w:rsidP="002B4186">
      <w:pPr>
        <w:pStyle w:val="Heading2"/>
        <w:rPr>
          <w:lang w:val="es-ES"/>
        </w:rPr>
      </w:pPr>
      <w:bookmarkStart w:id="31" w:name="_Toc440299523"/>
      <w:bookmarkStart w:id="32" w:name="_Toc440377319"/>
      <w:bookmarkStart w:id="33" w:name="_Toc440985322"/>
      <w:bookmarkStart w:id="34" w:name="_Toc441744004"/>
      <w:r w:rsidRPr="007F0F19">
        <w:rPr>
          <w:lang w:val="es-ES"/>
        </w:rPr>
        <w:t>Grupo de Trabajo Técnico sobre Plantas Agrícolas</w:t>
      </w:r>
      <w:bookmarkEnd w:id="31"/>
      <w:bookmarkEnd w:id="32"/>
      <w:bookmarkEnd w:id="33"/>
      <w:bookmarkEnd w:id="34"/>
    </w:p>
    <w:p w:rsidR="002B4186" w:rsidRPr="007F0F19" w:rsidRDefault="002B4186" w:rsidP="002B4186">
      <w:pPr>
        <w:rPr>
          <w:lang w:val="es-ES"/>
        </w:rPr>
      </w:pPr>
    </w:p>
    <w:p w:rsidR="002B4186" w:rsidRPr="007F0F19" w:rsidRDefault="0063524C" w:rsidP="002B4186">
      <w:pPr>
        <w:rPr>
          <w:lang w:val="es-ES"/>
        </w:rPr>
      </w:pPr>
      <w:r w:rsidRPr="00D34DF2">
        <w:fldChar w:fldCharType="begin"/>
      </w:r>
      <w:r w:rsidR="002B4186" w:rsidRPr="007F0F19">
        <w:rPr>
          <w:lang w:val="es-ES"/>
        </w:rPr>
        <w:instrText xml:space="preserve"> AUTONUM  </w:instrText>
      </w:r>
      <w:r w:rsidRPr="00D34DF2">
        <w:fldChar w:fldCharType="end"/>
      </w:r>
      <w:r w:rsidR="002B4186" w:rsidRPr="007F0F19">
        <w:rPr>
          <w:lang w:val="es-ES"/>
        </w:rPr>
        <w:tab/>
      </w:r>
      <w:r w:rsidR="002B4186" w:rsidRPr="007F0F19">
        <w:rPr>
          <w:snapToGrid w:val="0"/>
          <w:lang w:val="es-ES"/>
        </w:rPr>
        <w:t>El TWA, en su cuadragésima cuarta sesió</w:t>
      </w:r>
      <w:r w:rsidR="00177184" w:rsidRPr="007F0F19">
        <w:rPr>
          <w:snapToGrid w:val="0"/>
          <w:lang w:val="es-ES"/>
        </w:rPr>
        <w:t>n, celebrada en Obihiro (Japón)</w:t>
      </w:r>
      <w:r w:rsidR="002B4186" w:rsidRPr="007F0F19">
        <w:rPr>
          <w:snapToGrid w:val="0"/>
          <w:lang w:val="es-ES"/>
        </w:rPr>
        <w:t xml:space="preserve"> del 6 al 10 de julio de 2015, examinó el documento TWA/44/10 </w:t>
      </w:r>
      <w:r w:rsidR="002B4186" w:rsidRPr="007F0F19">
        <w:rPr>
          <w:lang w:val="es-ES"/>
        </w:rPr>
        <w:t>“</w:t>
      </w:r>
      <w:r w:rsidR="0042005B">
        <w:rPr>
          <w:i/>
          <w:lang w:val="es-ES"/>
        </w:rPr>
        <w:t xml:space="preserve">Matters concerning </w:t>
      </w:r>
      <w:proofErr w:type="spellStart"/>
      <w:r w:rsidR="0042005B">
        <w:rPr>
          <w:i/>
          <w:lang w:val="es-ES"/>
        </w:rPr>
        <w:t>Variety</w:t>
      </w:r>
      <w:proofErr w:type="spellEnd"/>
      <w:r w:rsidR="0042005B">
        <w:rPr>
          <w:i/>
          <w:lang w:val="es-ES"/>
        </w:rPr>
        <w:t xml:space="preserve"> </w:t>
      </w:r>
      <w:proofErr w:type="spellStart"/>
      <w:r w:rsidR="0042005B">
        <w:rPr>
          <w:i/>
          <w:lang w:val="es-ES"/>
        </w:rPr>
        <w:t>D</w:t>
      </w:r>
      <w:r w:rsidR="002B4186" w:rsidRPr="007F0F19">
        <w:rPr>
          <w:i/>
          <w:lang w:val="es-ES"/>
        </w:rPr>
        <w:t>escriptions</w:t>
      </w:r>
      <w:proofErr w:type="spellEnd"/>
      <w:r w:rsidR="002B4186" w:rsidRPr="007F0F19">
        <w:rPr>
          <w:lang w:val="es-ES"/>
        </w:rPr>
        <w:t>” (Asuntos relativos a las descripciones de variedades) (véanse los párrafos 56 a 58 del documento TWA/4</w:t>
      </w:r>
      <w:r w:rsidR="0042005B">
        <w:rPr>
          <w:lang w:val="es-ES"/>
        </w:rPr>
        <w:t>4</w:t>
      </w:r>
      <w:r w:rsidR="002B4186" w:rsidRPr="007F0F19">
        <w:rPr>
          <w:lang w:val="es-ES"/>
        </w:rPr>
        <w:t>/23 “</w:t>
      </w:r>
      <w:proofErr w:type="spellStart"/>
      <w:r w:rsidR="002B4186" w:rsidRPr="007F0F19">
        <w:rPr>
          <w:i/>
          <w:lang w:val="es-ES"/>
        </w:rPr>
        <w:t>Report</w:t>
      </w:r>
      <w:proofErr w:type="spellEnd"/>
      <w:r w:rsidR="002B4186" w:rsidRPr="007F0F19">
        <w:rPr>
          <w:lang w:val="es-ES"/>
        </w:rPr>
        <w:t>”).</w:t>
      </w:r>
    </w:p>
    <w:p w:rsidR="002B4186" w:rsidRPr="007F0F19" w:rsidRDefault="002B4186" w:rsidP="002B4186">
      <w:pPr>
        <w:rPr>
          <w:lang w:val="es-ES"/>
        </w:rPr>
      </w:pPr>
    </w:p>
    <w:p w:rsidR="002B4186" w:rsidRPr="007F0F19" w:rsidRDefault="0063524C" w:rsidP="002B4186">
      <w:pPr>
        <w:rPr>
          <w:lang w:val="es-ES"/>
        </w:rPr>
      </w:pPr>
      <w:r w:rsidRPr="00D34DF2">
        <w:fldChar w:fldCharType="begin"/>
      </w:r>
      <w:r w:rsidR="002B4186" w:rsidRPr="007F0F19">
        <w:rPr>
          <w:lang w:val="es-ES"/>
        </w:rPr>
        <w:instrText xml:space="preserve"> AUTONUM  </w:instrText>
      </w:r>
      <w:r w:rsidRPr="00D34DF2">
        <w:fldChar w:fldCharType="end"/>
      </w:r>
      <w:r w:rsidR="002B4186" w:rsidRPr="007F0F19">
        <w:rPr>
          <w:lang w:val="es-ES"/>
        </w:rPr>
        <w:tab/>
        <w:t>El TWA tomó nota de la experiencia de las oficinas de examen de la Unión Europea, en las que, para las plantas agrícolas, la autoridad conservaba una muestra patrón del material vegetal presentado para el examen DHE, la que se empleaba para controlar el mantenimiento de la variedad por contraste con el material proporcionado por el obtentor.</w:t>
      </w:r>
    </w:p>
    <w:p w:rsidR="002B4186" w:rsidRPr="007F0F19" w:rsidRDefault="002B4186" w:rsidP="002B4186">
      <w:pPr>
        <w:rPr>
          <w:lang w:val="es-ES"/>
        </w:rPr>
      </w:pPr>
    </w:p>
    <w:p w:rsidR="002B4186" w:rsidRPr="007F0F19" w:rsidRDefault="0063524C" w:rsidP="002B4186">
      <w:pPr>
        <w:tabs>
          <w:tab w:val="left" w:pos="567"/>
          <w:tab w:val="left" w:pos="5954"/>
        </w:tabs>
        <w:rPr>
          <w:lang w:val="es-ES"/>
        </w:rPr>
      </w:pPr>
      <w:r w:rsidRPr="00D34DF2">
        <w:fldChar w:fldCharType="begin"/>
      </w:r>
      <w:r w:rsidR="002B4186" w:rsidRPr="007F0F19">
        <w:rPr>
          <w:lang w:val="es-ES"/>
        </w:rPr>
        <w:instrText xml:space="preserve"> AUTONUM  </w:instrText>
      </w:r>
      <w:r w:rsidRPr="00D34DF2">
        <w:fldChar w:fldCharType="end"/>
      </w:r>
      <w:r w:rsidR="002B4186" w:rsidRPr="007F0F19">
        <w:rPr>
          <w:lang w:val="es-ES"/>
        </w:rPr>
        <w:tab/>
        <w:t>El TWA convino en invitar a Australia, la Unión Europea y Alemania a presentar una ponencia sobre los asuntos relativos a las descripciones de variedades, en su cuadragésima quinta sesión que se celebrará en 2016.</w:t>
      </w:r>
    </w:p>
    <w:p w:rsidR="002B4186" w:rsidRPr="007F0F19" w:rsidRDefault="002B4186" w:rsidP="002B4186">
      <w:pPr>
        <w:rPr>
          <w:lang w:val="es-ES"/>
        </w:rPr>
      </w:pPr>
    </w:p>
    <w:p w:rsidR="002B4186" w:rsidRPr="007F0F19" w:rsidRDefault="002B4186" w:rsidP="002B4186">
      <w:pPr>
        <w:pStyle w:val="Heading2"/>
        <w:rPr>
          <w:lang w:val="es-ES"/>
        </w:rPr>
      </w:pPr>
      <w:bookmarkStart w:id="35" w:name="_Toc440299524"/>
      <w:bookmarkStart w:id="36" w:name="_Toc440377320"/>
      <w:bookmarkStart w:id="37" w:name="_Toc440985323"/>
      <w:bookmarkStart w:id="38" w:name="_Toc441744005"/>
      <w:r w:rsidRPr="007F0F19">
        <w:rPr>
          <w:lang w:val="es-ES"/>
        </w:rPr>
        <w:t>Grupo de Trabajo Técnico sobre Plantas Frutales</w:t>
      </w:r>
      <w:bookmarkEnd w:id="35"/>
      <w:bookmarkEnd w:id="36"/>
      <w:bookmarkEnd w:id="37"/>
      <w:bookmarkEnd w:id="38"/>
    </w:p>
    <w:p w:rsidR="002B4186" w:rsidRPr="007F0F19" w:rsidRDefault="002B4186" w:rsidP="002B4186">
      <w:pPr>
        <w:rPr>
          <w:lang w:val="es-ES"/>
        </w:rPr>
      </w:pPr>
    </w:p>
    <w:p w:rsidR="002B4186" w:rsidRPr="007F0F19" w:rsidRDefault="0063524C" w:rsidP="002B4186">
      <w:pPr>
        <w:rPr>
          <w:lang w:val="es-ES"/>
        </w:rPr>
      </w:pPr>
      <w:r>
        <w:fldChar w:fldCharType="begin"/>
      </w:r>
      <w:r w:rsidR="002B4186" w:rsidRPr="007F0F19">
        <w:rPr>
          <w:lang w:val="es-ES"/>
        </w:rPr>
        <w:instrText xml:space="preserve"> AUTONUM  </w:instrText>
      </w:r>
      <w:r>
        <w:fldChar w:fldCharType="end"/>
      </w:r>
      <w:r w:rsidR="002B4186" w:rsidRPr="007F0F19">
        <w:rPr>
          <w:lang w:val="es-ES"/>
        </w:rPr>
        <w:tab/>
      </w:r>
      <w:r w:rsidR="002B4186" w:rsidRPr="007F0F19">
        <w:rPr>
          <w:snapToGrid w:val="0"/>
          <w:lang w:val="es-ES"/>
        </w:rPr>
        <w:t xml:space="preserve">El TWF, en su cuadragésima sexta sesión, celebrada en Mpumalanga (Sudáfrica) del 24 al 28 de agosto de 2015, examinó el documento TWF/46/10 </w:t>
      </w:r>
      <w:r w:rsidR="002B4186" w:rsidRPr="007F0F19">
        <w:rPr>
          <w:lang w:val="es-ES"/>
        </w:rPr>
        <w:t>“</w:t>
      </w:r>
      <w:r w:rsidR="0042005B">
        <w:rPr>
          <w:i/>
          <w:lang w:val="es-ES"/>
        </w:rPr>
        <w:t xml:space="preserve">Matters concerning </w:t>
      </w:r>
      <w:proofErr w:type="spellStart"/>
      <w:r w:rsidR="0042005B">
        <w:rPr>
          <w:i/>
          <w:lang w:val="es-ES"/>
        </w:rPr>
        <w:t>Variety</w:t>
      </w:r>
      <w:proofErr w:type="spellEnd"/>
      <w:r w:rsidR="0042005B">
        <w:rPr>
          <w:i/>
          <w:lang w:val="es-ES"/>
        </w:rPr>
        <w:t xml:space="preserve"> </w:t>
      </w:r>
      <w:proofErr w:type="spellStart"/>
      <w:r w:rsidR="0042005B">
        <w:rPr>
          <w:i/>
          <w:lang w:val="es-ES"/>
        </w:rPr>
        <w:t>D</w:t>
      </w:r>
      <w:r w:rsidR="002B4186" w:rsidRPr="007F0F19">
        <w:rPr>
          <w:i/>
          <w:lang w:val="es-ES"/>
        </w:rPr>
        <w:t>escriptions</w:t>
      </w:r>
      <w:proofErr w:type="spellEnd"/>
      <w:r w:rsidR="002B4186" w:rsidRPr="007F0F19">
        <w:rPr>
          <w:lang w:val="es-ES"/>
        </w:rPr>
        <w:t>” (Asuntos relativos a las descripciones de variedades) (véanse los párrafos 64 y 65 del documento TWF/46/29</w:t>
      </w:r>
      <w:r w:rsidR="0042005B">
        <w:rPr>
          <w:lang w:val="es-ES"/>
        </w:rPr>
        <w:t xml:space="preserve"> Rev.</w:t>
      </w:r>
      <w:r w:rsidR="002B4186" w:rsidRPr="007F0F19">
        <w:rPr>
          <w:lang w:val="es-ES"/>
        </w:rPr>
        <w:t xml:space="preserve"> “</w:t>
      </w:r>
      <w:proofErr w:type="spellStart"/>
      <w:r w:rsidR="002B4186" w:rsidRPr="007F0F19">
        <w:rPr>
          <w:i/>
          <w:lang w:val="es-ES"/>
        </w:rPr>
        <w:t>R</w:t>
      </w:r>
      <w:r w:rsidR="007C352A">
        <w:rPr>
          <w:i/>
          <w:lang w:val="es-ES"/>
        </w:rPr>
        <w:t>evised</w:t>
      </w:r>
      <w:proofErr w:type="spellEnd"/>
      <w:r w:rsidR="007C352A">
        <w:rPr>
          <w:i/>
          <w:lang w:val="es-ES"/>
        </w:rPr>
        <w:t xml:space="preserve"> </w:t>
      </w:r>
      <w:proofErr w:type="spellStart"/>
      <w:r w:rsidR="007C352A">
        <w:rPr>
          <w:i/>
          <w:lang w:val="es-ES"/>
        </w:rPr>
        <w:t>R</w:t>
      </w:r>
      <w:r w:rsidR="002B4186" w:rsidRPr="007F0F19">
        <w:rPr>
          <w:i/>
          <w:lang w:val="es-ES"/>
        </w:rPr>
        <w:t>eport</w:t>
      </w:r>
      <w:proofErr w:type="spellEnd"/>
      <w:r w:rsidR="002B4186" w:rsidRPr="007F0F19">
        <w:rPr>
          <w:lang w:val="es-ES"/>
        </w:rPr>
        <w:t>").</w:t>
      </w:r>
    </w:p>
    <w:p w:rsidR="002B4186" w:rsidRPr="007F0F19" w:rsidRDefault="002B4186" w:rsidP="002B4186">
      <w:pPr>
        <w:rPr>
          <w:lang w:val="es-ES"/>
        </w:rPr>
      </w:pPr>
    </w:p>
    <w:p w:rsidR="002B4186" w:rsidRPr="007F0F19" w:rsidRDefault="0063524C" w:rsidP="002B4186">
      <w:pPr>
        <w:rPr>
          <w:lang w:val="es-ES"/>
        </w:rPr>
      </w:pPr>
      <w:r>
        <w:fldChar w:fldCharType="begin"/>
      </w:r>
      <w:r w:rsidR="002B4186" w:rsidRPr="007F0F19">
        <w:rPr>
          <w:lang w:val="es-ES"/>
        </w:rPr>
        <w:instrText xml:space="preserve"> AUTONUM  </w:instrText>
      </w:r>
      <w:r>
        <w:fldChar w:fldCharType="end"/>
      </w:r>
      <w:r w:rsidR="002B4186" w:rsidRPr="007F0F19">
        <w:rPr>
          <w:lang w:val="es-ES"/>
        </w:rPr>
        <w:tab/>
        <w:t xml:space="preserve">El TWF convino en que el material vegetal utilizado como base para el examen DHE era representativo de la variedad protegida.  El TWF </w:t>
      </w:r>
      <w:r w:rsidR="00177184" w:rsidRPr="007F0F19">
        <w:rPr>
          <w:lang w:val="es-ES"/>
        </w:rPr>
        <w:t>estuvo de acuerdo en</w:t>
      </w:r>
      <w:r w:rsidR="002B4186" w:rsidRPr="007F0F19">
        <w:rPr>
          <w:lang w:val="es-ES"/>
        </w:rPr>
        <w:t xml:space="preserve"> que, siempre que fuera posible, las autoridades debían conservar una muestra de referencia del material vegetal de una variedad protegida</w:t>
      </w:r>
      <w:r w:rsidR="008D5CC8" w:rsidRPr="007F0F19">
        <w:rPr>
          <w:lang w:val="es-ES"/>
        </w:rPr>
        <w:t xml:space="preserve">.  </w:t>
      </w:r>
      <w:r w:rsidR="002B4186" w:rsidRPr="007F0F19">
        <w:rPr>
          <w:lang w:val="es-ES"/>
        </w:rPr>
        <w:t>El TWF convino en que la descripción de una variedad vegetal tenía limitaciones debido a su relación con las circunstancias del examen DHE</w:t>
      </w:r>
      <w:r w:rsidR="008D5CC8" w:rsidRPr="007F0F19">
        <w:rPr>
          <w:lang w:val="es-ES"/>
        </w:rPr>
        <w:t xml:space="preserve">;  </w:t>
      </w:r>
      <w:r w:rsidR="00177184" w:rsidRPr="007F0F19">
        <w:rPr>
          <w:lang w:val="es-ES"/>
        </w:rPr>
        <w:t>no obstante</w:t>
      </w:r>
      <w:r w:rsidR="002B4186" w:rsidRPr="007F0F19">
        <w:rPr>
          <w:lang w:val="es-ES"/>
        </w:rPr>
        <w:t>, era un elemento importante de su sistema de protección de variedades y un instrumento útil para el análisis de la distinción.</w:t>
      </w:r>
    </w:p>
    <w:p w:rsidR="002B4186" w:rsidRPr="007F0F19" w:rsidRDefault="002B4186" w:rsidP="002B4186">
      <w:pPr>
        <w:rPr>
          <w:lang w:val="es-ES"/>
        </w:rPr>
      </w:pPr>
    </w:p>
    <w:p w:rsidR="002B4186" w:rsidRPr="007F0F19" w:rsidRDefault="002B4186" w:rsidP="002B4186">
      <w:pPr>
        <w:pStyle w:val="Heading2"/>
        <w:rPr>
          <w:lang w:val="es-ES"/>
        </w:rPr>
      </w:pPr>
      <w:bookmarkStart w:id="39" w:name="_Toc440299525"/>
      <w:bookmarkStart w:id="40" w:name="_Toc440377321"/>
      <w:bookmarkStart w:id="41" w:name="_Toc440985324"/>
      <w:bookmarkStart w:id="42" w:name="_Toc441744006"/>
      <w:r w:rsidRPr="007F0F19">
        <w:rPr>
          <w:lang w:val="es-ES"/>
        </w:rPr>
        <w:t>Grupo de Trabajo Técnico sobre Plantas Ornamentales</w:t>
      </w:r>
      <w:bookmarkEnd w:id="39"/>
      <w:bookmarkEnd w:id="40"/>
      <w:bookmarkEnd w:id="41"/>
      <w:bookmarkEnd w:id="42"/>
    </w:p>
    <w:p w:rsidR="002B4186" w:rsidRPr="007F0F19" w:rsidRDefault="002B4186" w:rsidP="002B4186">
      <w:pPr>
        <w:rPr>
          <w:lang w:val="es-ES"/>
        </w:rPr>
      </w:pPr>
    </w:p>
    <w:p w:rsidR="002B4186" w:rsidRPr="007F0F19" w:rsidRDefault="0063524C" w:rsidP="002B4186">
      <w:pPr>
        <w:rPr>
          <w:lang w:val="es-ES"/>
        </w:rPr>
      </w:pPr>
      <w:r>
        <w:fldChar w:fldCharType="begin"/>
      </w:r>
      <w:r w:rsidR="002B4186" w:rsidRPr="007F0F19">
        <w:rPr>
          <w:lang w:val="es-ES"/>
        </w:rPr>
        <w:instrText xml:space="preserve"> AUTONUM  </w:instrText>
      </w:r>
      <w:r>
        <w:fldChar w:fldCharType="end"/>
      </w:r>
      <w:r w:rsidR="002B4186" w:rsidRPr="007F0F19">
        <w:rPr>
          <w:lang w:val="es-ES"/>
        </w:rPr>
        <w:tab/>
      </w:r>
      <w:r w:rsidR="002B4186" w:rsidRPr="007F0F19">
        <w:rPr>
          <w:snapToGrid w:val="0"/>
          <w:lang w:val="es-ES"/>
        </w:rPr>
        <w:t xml:space="preserve">El TWO, en su cuadragésima octava sesión, celebrada en Cambridge (Reino Unido) del 14 al 28 de septiembre de 2015, examinó el documento TWO/48/10 </w:t>
      </w:r>
      <w:r w:rsidR="002B4186" w:rsidRPr="007F0F19">
        <w:rPr>
          <w:lang w:val="es-ES"/>
        </w:rPr>
        <w:t>“</w:t>
      </w:r>
      <w:r w:rsidR="002B4186" w:rsidRPr="007F0F19">
        <w:rPr>
          <w:i/>
          <w:lang w:val="es-ES"/>
        </w:rPr>
        <w:t xml:space="preserve">Matters concerning </w:t>
      </w:r>
      <w:proofErr w:type="spellStart"/>
      <w:r w:rsidR="007C352A">
        <w:rPr>
          <w:i/>
          <w:lang w:val="es-ES"/>
        </w:rPr>
        <w:t>Variety</w:t>
      </w:r>
      <w:proofErr w:type="spellEnd"/>
      <w:r w:rsidR="007C352A">
        <w:rPr>
          <w:i/>
          <w:lang w:val="es-ES"/>
        </w:rPr>
        <w:t xml:space="preserve"> D</w:t>
      </w:r>
      <w:bookmarkStart w:id="43" w:name="_GoBack"/>
      <w:bookmarkEnd w:id="43"/>
      <w:r w:rsidR="002B4186" w:rsidRPr="007F0F19">
        <w:rPr>
          <w:i/>
          <w:lang w:val="es-ES"/>
        </w:rPr>
        <w:t>escriptions</w:t>
      </w:r>
      <w:r w:rsidR="002B4186" w:rsidRPr="007F0F19">
        <w:rPr>
          <w:lang w:val="es-ES"/>
        </w:rPr>
        <w:t>” (Asuntos relativos a las descripciones de variedades) (véanse los párrafos 60 a 69 del documento TWO/48/26 “</w:t>
      </w:r>
      <w:r w:rsidR="002B4186" w:rsidRPr="007F0F19">
        <w:rPr>
          <w:i/>
          <w:lang w:val="es-ES"/>
        </w:rPr>
        <w:t>Report</w:t>
      </w:r>
      <w:r w:rsidR="002B4186" w:rsidRPr="007F0F19">
        <w:rPr>
          <w:lang w:val="es-ES"/>
        </w:rPr>
        <w:t>”).</w:t>
      </w:r>
    </w:p>
    <w:p w:rsidR="002B4186" w:rsidRPr="007F0F19" w:rsidRDefault="002B4186" w:rsidP="002B4186">
      <w:pPr>
        <w:tabs>
          <w:tab w:val="left" w:pos="5610"/>
        </w:tabs>
        <w:ind w:firstLine="567"/>
        <w:rPr>
          <w:lang w:val="es-ES"/>
        </w:rPr>
      </w:pPr>
    </w:p>
    <w:p w:rsidR="002B4186" w:rsidRPr="007F0F19" w:rsidRDefault="0063524C" w:rsidP="002B4186">
      <w:pPr>
        <w:rPr>
          <w:lang w:val="es-ES"/>
        </w:rPr>
      </w:pPr>
      <w:r w:rsidRPr="002B4CFF">
        <w:lastRenderedPageBreak/>
        <w:fldChar w:fldCharType="begin"/>
      </w:r>
      <w:r w:rsidR="002B4186" w:rsidRPr="007F0F19">
        <w:rPr>
          <w:lang w:val="es-ES"/>
        </w:rPr>
        <w:instrText xml:space="preserve"> AUTONUM  </w:instrText>
      </w:r>
      <w:r w:rsidRPr="002B4CFF">
        <w:fldChar w:fldCharType="end"/>
      </w:r>
      <w:r w:rsidR="002B4186" w:rsidRPr="007F0F19">
        <w:rPr>
          <w:lang w:val="es-ES"/>
        </w:rPr>
        <w:tab/>
        <w:t xml:space="preserve">El TWO examinó el uso de versiones de directrices de examen diferentes de las empleadas en el examen DHE para controlar el mantenimiento de la variedad.  Tomó nota de que, en muchos casos, las diferentes versiones de las directrices de examen seguían siendo útiles para controlar el mantenimiento de una variedad, porque muchos caracteres y niveles de expresión serían en esencia los mismos. </w:t>
      </w:r>
    </w:p>
    <w:p w:rsidR="002B4186" w:rsidRPr="007F0F19" w:rsidRDefault="002B4186" w:rsidP="002B4186">
      <w:pPr>
        <w:tabs>
          <w:tab w:val="left" w:pos="5610"/>
        </w:tabs>
        <w:ind w:firstLine="567"/>
        <w:rPr>
          <w:lang w:val="es-ES"/>
        </w:rPr>
      </w:pPr>
    </w:p>
    <w:p w:rsidR="002B4186" w:rsidRPr="007F0F19" w:rsidRDefault="0063524C" w:rsidP="002B4186">
      <w:pPr>
        <w:rPr>
          <w:lang w:val="es-ES"/>
        </w:rPr>
      </w:pPr>
      <w:r w:rsidRPr="002B4CFF">
        <w:fldChar w:fldCharType="begin"/>
      </w:r>
      <w:r w:rsidR="002B4186" w:rsidRPr="007F0F19">
        <w:rPr>
          <w:lang w:val="es-ES"/>
        </w:rPr>
        <w:instrText xml:space="preserve"> AUTONUM  </w:instrText>
      </w:r>
      <w:r w:rsidRPr="002B4CFF">
        <w:fldChar w:fldCharType="end"/>
      </w:r>
      <w:r w:rsidR="002B4186" w:rsidRPr="007F0F19">
        <w:rPr>
          <w:lang w:val="es-ES"/>
        </w:rPr>
        <w:tab/>
        <w:t>El TWO tomó nota de que, en el Reino Unido, la misma versión de directrices de examen utilizada en el examen DHE se empleaba para controlar el mantenimiento de la variedad.</w:t>
      </w:r>
    </w:p>
    <w:p w:rsidR="002B4186" w:rsidRPr="007F0F19" w:rsidRDefault="002B4186" w:rsidP="002B4186">
      <w:pPr>
        <w:rPr>
          <w:lang w:val="es-ES"/>
        </w:rPr>
      </w:pPr>
    </w:p>
    <w:p w:rsidR="002B4186" w:rsidRPr="007F0F19" w:rsidRDefault="0063524C" w:rsidP="002B4186">
      <w:pPr>
        <w:rPr>
          <w:lang w:val="es-ES"/>
        </w:rPr>
      </w:pPr>
      <w:r w:rsidRPr="002B4CFF">
        <w:fldChar w:fldCharType="begin"/>
      </w:r>
      <w:r w:rsidR="002B4186" w:rsidRPr="007F0F19">
        <w:rPr>
          <w:lang w:val="es-ES"/>
        </w:rPr>
        <w:instrText xml:space="preserve"> AUTONUM  </w:instrText>
      </w:r>
      <w:r w:rsidRPr="002B4CFF">
        <w:fldChar w:fldCharType="end"/>
      </w:r>
      <w:r w:rsidR="002B4186" w:rsidRPr="007F0F19">
        <w:rPr>
          <w:lang w:val="es-ES"/>
        </w:rPr>
        <w:tab/>
        <w:t>El TWO tomó nota de que Alemania y los Países Bajos utilizaban los datos generados durante el examen DHE e información complementaria, como fotografías, para controlar el mantenimiento de una variedad.</w:t>
      </w:r>
    </w:p>
    <w:p w:rsidR="002B4186" w:rsidRPr="007F0F19" w:rsidRDefault="002B4186" w:rsidP="002B4186">
      <w:pPr>
        <w:rPr>
          <w:lang w:val="es-ES"/>
        </w:rPr>
      </w:pPr>
    </w:p>
    <w:p w:rsidR="002B4186" w:rsidRPr="007F0F19" w:rsidRDefault="0063524C" w:rsidP="002B4186">
      <w:pPr>
        <w:tabs>
          <w:tab w:val="left" w:pos="567"/>
        </w:tabs>
        <w:rPr>
          <w:lang w:val="es-ES"/>
        </w:rPr>
      </w:pPr>
      <w:r w:rsidRPr="002B4CFF">
        <w:fldChar w:fldCharType="begin"/>
      </w:r>
      <w:r w:rsidR="002B4186" w:rsidRPr="007F0F19">
        <w:rPr>
          <w:lang w:val="es-ES"/>
        </w:rPr>
        <w:instrText xml:space="preserve"> AUTONUM  </w:instrText>
      </w:r>
      <w:r w:rsidRPr="002B4CFF">
        <w:fldChar w:fldCharType="end"/>
      </w:r>
      <w:r w:rsidR="002B4186" w:rsidRPr="007F0F19">
        <w:rPr>
          <w:lang w:val="es-ES"/>
        </w:rPr>
        <w:tab/>
        <w:t>El TWO tomó nota de que en algunos miembros, en casos de litigio, había debates en curso acerca de la titularidad y el derecho de acceso al material vegetal que la autoridad no mantenía y convino en que la comprobación de que un material vegetal correspondía a una variedad protegida era más difícil cuando la autoridad no conservaba una muestra patrón del material empleado para el examen DHE.</w:t>
      </w:r>
    </w:p>
    <w:p w:rsidR="002B4186" w:rsidRPr="007F0F19" w:rsidRDefault="002B4186" w:rsidP="002B4186">
      <w:pPr>
        <w:tabs>
          <w:tab w:val="left" w:pos="567"/>
        </w:tabs>
        <w:rPr>
          <w:lang w:val="es-ES"/>
        </w:rPr>
      </w:pPr>
    </w:p>
    <w:p w:rsidR="002B4186" w:rsidRPr="007F0F19" w:rsidRDefault="0063524C" w:rsidP="002B4186">
      <w:pPr>
        <w:rPr>
          <w:lang w:val="es-ES"/>
        </w:rPr>
      </w:pPr>
      <w:r w:rsidRPr="002B4CFF">
        <w:fldChar w:fldCharType="begin"/>
      </w:r>
      <w:r w:rsidR="002B4186" w:rsidRPr="007F0F19">
        <w:rPr>
          <w:lang w:val="es-ES"/>
        </w:rPr>
        <w:instrText xml:space="preserve"> AUTONUM  </w:instrText>
      </w:r>
      <w:r w:rsidRPr="002B4CFF">
        <w:fldChar w:fldCharType="end"/>
      </w:r>
      <w:r w:rsidR="002B4186" w:rsidRPr="007F0F19">
        <w:rPr>
          <w:lang w:val="es-ES"/>
        </w:rPr>
        <w:tab/>
        <w:t xml:space="preserve">El TWO tomó nota de que, en Alemania, se prevé solicitar a los obtentores nuevo material de variedades protegidas para establecer su distinción con respecto a variedades candidatas de especies que carecen de colección viva.  La intención es el control del material vegetal presentado en cuanto al mantenimiento de la variedad.  </w:t>
      </w:r>
    </w:p>
    <w:p w:rsidR="002B4186" w:rsidRPr="007F0F19" w:rsidRDefault="002B4186" w:rsidP="002B4186">
      <w:pPr>
        <w:tabs>
          <w:tab w:val="left" w:pos="5387"/>
          <w:tab w:val="left" w:pos="5954"/>
        </w:tabs>
        <w:rPr>
          <w:lang w:val="es-ES"/>
        </w:rPr>
      </w:pPr>
    </w:p>
    <w:p w:rsidR="002B4186" w:rsidRPr="007F0F19" w:rsidRDefault="0063524C" w:rsidP="002B4186">
      <w:pPr>
        <w:tabs>
          <w:tab w:val="left" w:pos="567"/>
          <w:tab w:val="left" w:pos="5954"/>
        </w:tabs>
        <w:rPr>
          <w:lang w:val="es-ES"/>
        </w:rPr>
      </w:pPr>
      <w:r w:rsidRPr="002B4CFF">
        <w:fldChar w:fldCharType="begin"/>
      </w:r>
      <w:r w:rsidR="002B4186" w:rsidRPr="007F0F19">
        <w:rPr>
          <w:lang w:val="es-ES"/>
        </w:rPr>
        <w:instrText xml:space="preserve"> AUTONUM  </w:instrText>
      </w:r>
      <w:r w:rsidRPr="002B4CFF">
        <w:fldChar w:fldCharType="end"/>
      </w:r>
      <w:r w:rsidR="002B4186" w:rsidRPr="007F0F19">
        <w:rPr>
          <w:lang w:val="es-ES"/>
        </w:rPr>
        <w:tab/>
        <w:t>El TWO tomó nota de que, en Nueva Zelandia, el control del mantenimiento se podía llevar a cabo al cultivar una variedad para su comparación durante el examen DHE de otras variedades.</w:t>
      </w:r>
    </w:p>
    <w:p w:rsidR="002B4186" w:rsidRPr="007F0F19" w:rsidRDefault="002B4186" w:rsidP="002B4186">
      <w:pPr>
        <w:rPr>
          <w:lang w:val="es-ES"/>
        </w:rPr>
      </w:pPr>
    </w:p>
    <w:p w:rsidR="002B4186" w:rsidRPr="007F0F19" w:rsidRDefault="0063524C" w:rsidP="002B4186">
      <w:pPr>
        <w:rPr>
          <w:lang w:val="es-ES"/>
        </w:rPr>
      </w:pPr>
      <w:r w:rsidRPr="002B4CFF">
        <w:fldChar w:fldCharType="begin"/>
      </w:r>
      <w:r w:rsidR="002B4186" w:rsidRPr="007F0F19">
        <w:rPr>
          <w:lang w:val="es-ES"/>
        </w:rPr>
        <w:instrText xml:space="preserve"> AUTONUM  </w:instrText>
      </w:r>
      <w:r w:rsidRPr="002B4CFF">
        <w:fldChar w:fldCharType="end"/>
      </w:r>
      <w:r w:rsidR="002B4186" w:rsidRPr="007F0F19">
        <w:rPr>
          <w:lang w:val="es-ES"/>
        </w:rPr>
        <w:tab/>
        <w:t xml:space="preserve">El TWO tomó nota de que, para las plantas ornamentales, no era siempre posible o factible que las autoridades mantuvieran una colección de material vegetal vivo a los fines del examen DHE y observó que, en esas circunstancias, las descripciones de variedades generadas en el examen DHE se empleaban para seleccionar variedades semejantes con la finalidad de examinar la distinción de las variedades candidatas.  </w:t>
      </w:r>
    </w:p>
    <w:p w:rsidR="002B4186" w:rsidRPr="007F0F19" w:rsidRDefault="002B4186" w:rsidP="002B4186">
      <w:pPr>
        <w:rPr>
          <w:lang w:val="es-ES"/>
        </w:rPr>
      </w:pPr>
    </w:p>
    <w:p w:rsidR="002B4186" w:rsidRPr="007F0F19" w:rsidRDefault="0063524C" w:rsidP="002B4186">
      <w:pPr>
        <w:rPr>
          <w:lang w:val="es-ES"/>
        </w:rPr>
      </w:pPr>
      <w:r w:rsidRPr="002B4CFF">
        <w:fldChar w:fldCharType="begin"/>
      </w:r>
      <w:r w:rsidR="002B4186" w:rsidRPr="007F0F19">
        <w:rPr>
          <w:lang w:val="es-ES"/>
        </w:rPr>
        <w:instrText xml:space="preserve"> AUTONUM  </w:instrText>
      </w:r>
      <w:r w:rsidRPr="002B4CFF">
        <w:fldChar w:fldCharType="end"/>
      </w:r>
      <w:r w:rsidR="002B4186" w:rsidRPr="007F0F19">
        <w:rPr>
          <w:lang w:val="es-ES"/>
        </w:rPr>
        <w:tab/>
        <w:t>La CIOPORA explicó que las descripciones de variedades eran importantes para defender los derechos de obtentor y que, con frecuencia, eran puestas en tela de juicio al tratar de determinar si el material vegetal en cuestión era de la variedad protegida.</w:t>
      </w:r>
    </w:p>
    <w:p w:rsidR="002B4186" w:rsidRPr="007F0F19" w:rsidRDefault="002B4186" w:rsidP="002B4186">
      <w:pPr>
        <w:rPr>
          <w:lang w:val="es-ES"/>
        </w:rPr>
      </w:pPr>
    </w:p>
    <w:p w:rsidR="002B4186" w:rsidRPr="007F0F19" w:rsidRDefault="0063524C" w:rsidP="002B4186">
      <w:pPr>
        <w:tabs>
          <w:tab w:val="left" w:pos="567"/>
        </w:tabs>
        <w:rPr>
          <w:lang w:val="es-ES"/>
        </w:rPr>
      </w:pPr>
      <w:r w:rsidRPr="002B4CFF">
        <w:fldChar w:fldCharType="begin"/>
      </w:r>
      <w:r w:rsidR="002B4186" w:rsidRPr="007F0F19">
        <w:rPr>
          <w:lang w:val="es-ES"/>
        </w:rPr>
        <w:instrText xml:space="preserve"> AUTONUM  </w:instrText>
      </w:r>
      <w:r w:rsidRPr="002B4CFF">
        <w:fldChar w:fldCharType="end"/>
      </w:r>
      <w:r w:rsidR="002B4186" w:rsidRPr="007F0F19">
        <w:rPr>
          <w:lang w:val="es-ES"/>
        </w:rPr>
        <w:tab/>
        <w:t>El TWO convino en invitar a Australia, la Unión Europea, Alemania y los Países Bajos a presentar ponencias sobre los asuntos relativos a las descripciones de variedades en su cuadragésima novena sesión que se celebrará en 2016.</w:t>
      </w:r>
    </w:p>
    <w:p w:rsidR="002B4186" w:rsidRPr="007F0F19" w:rsidRDefault="002B4186" w:rsidP="002B4186">
      <w:pPr>
        <w:rPr>
          <w:rFonts w:cs="Arial"/>
          <w:lang w:val="es-ES"/>
        </w:rPr>
      </w:pPr>
    </w:p>
    <w:p w:rsidR="002B4186" w:rsidRPr="007F0F19" w:rsidRDefault="0063524C" w:rsidP="002B4186">
      <w:pPr>
        <w:pStyle w:val="DecisionParagraphs"/>
        <w:tabs>
          <w:tab w:val="left" w:pos="5954"/>
          <w:tab w:val="left" w:pos="6521"/>
        </w:tabs>
        <w:rPr>
          <w:lang w:val="es-ES"/>
        </w:rPr>
      </w:pPr>
      <w:r w:rsidRPr="00D476C2">
        <w:fldChar w:fldCharType="begin"/>
      </w:r>
      <w:r w:rsidR="002B4186" w:rsidRPr="007F0F19">
        <w:rPr>
          <w:lang w:val="es-ES"/>
        </w:rPr>
        <w:instrText xml:space="preserve"> AUTONUM  </w:instrText>
      </w:r>
      <w:r w:rsidRPr="00D476C2">
        <w:fldChar w:fldCharType="end"/>
      </w:r>
      <w:r w:rsidR="002B4186" w:rsidRPr="007F0F19">
        <w:rPr>
          <w:lang w:val="es-ES"/>
        </w:rPr>
        <w:tab/>
        <w:t>Se invita al TC a:</w:t>
      </w:r>
    </w:p>
    <w:p w:rsidR="002B4186" w:rsidRPr="007F0F19" w:rsidRDefault="002B4186" w:rsidP="002B4186">
      <w:pPr>
        <w:pStyle w:val="DecisionParagraphs"/>
        <w:tabs>
          <w:tab w:val="left" w:pos="5954"/>
          <w:tab w:val="left" w:pos="6521"/>
        </w:tabs>
        <w:rPr>
          <w:lang w:val="es-ES"/>
        </w:rPr>
      </w:pPr>
    </w:p>
    <w:p w:rsidR="002B4186" w:rsidRPr="007F0F19" w:rsidRDefault="002B4186" w:rsidP="002B4186">
      <w:pPr>
        <w:pStyle w:val="DecisionParagraphs"/>
        <w:tabs>
          <w:tab w:val="left" w:pos="5954"/>
          <w:tab w:val="left" w:pos="6521"/>
        </w:tabs>
        <w:rPr>
          <w:lang w:val="es-ES"/>
        </w:rPr>
      </w:pPr>
      <w:r w:rsidRPr="007F0F19">
        <w:rPr>
          <w:lang w:val="es-ES"/>
        </w:rPr>
        <w:tab/>
        <w:t>a)</w:t>
      </w:r>
      <w:r w:rsidRPr="007F0F19">
        <w:rPr>
          <w:lang w:val="es-ES"/>
        </w:rPr>
        <w:tab/>
        <w:t>tomar nota de que el CAJ, en su septuagésima primera sesión, respaldó la conclusión del CAJ-AG, en su novena sesión, sobre:</w:t>
      </w:r>
    </w:p>
    <w:p w:rsidR="002B4186" w:rsidRPr="007F0F19" w:rsidRDefault="002B4186" w:rsidP="002B4186">
      <w:pPr>
        <w:pStyle w:val="DecisionParagraphs"/>
        <w:tabs>
          <w:tab w:val="left" w:pos="5954"/>
          <w:tab w:val="left" w:pos="6521"/>
        </w:tabs>
        <w:rPr>
          <w:lang w:val="es-ES"/>
        </w:rPr>
      </w:pPr>
    </w:p>
    <w:p w:rsidR="002B4186" w:rsidRPr="007F0F19" w:rsidRDefault="002B4186" w:rsidP="002B4186">
      <w:pPr>
        <w:pStyle w:val="DecisionParagraphs"/>
        <w:tabs>
          <w:tab w:val="left" w:pos="5954"/>
          <w:tab w:val="left" w:pos="6521"/>
        </w:tabs>
        <w:rPr>
          <w:lang w:val="es-ES"/>
        </w:rPr>
      </w:pPr>
      <w:r w:rsidRPr="007F0F19">
        <w:rPr>
          <w:lang w:val="es-ES"/>
        </w:rPr>
        <w:tab/>
      </w:r>
      <w:r w:rsidRPr="007F0F19">
        <w:rPr>
          <w:lang w:val="es-ES"/>
        </w:rPr>
        <w:tab/>
        <w:t>i)</w:t>
      </w:r>
      <w:r w:rsidRPr="007F0F19">
        <w:rPr>
          <w:lang w:val="es-ES"/>
        </w:rPr>
        <w:tab/>
        <w:t>la finalidad de la descripción de la variedad elaborada en el momento en que se concede el derecho de obtentor (descripción original de la variedad), según figura en el párrafo 12 del presente documento;  y</w:t>
      </w:r>
    </w:p>
    <w:p w:rsidR="002B4186" w:rsidRPr="007F0F19" w:rsidRDefault="002B4186" w:rsidP="002B4186">
      <w:pPr>
        <w:pStyle w:val="DecisionParagraphs"/>
        <w:tabs>
          <w:tab w:val="left" w:pos="5954"/>
          <w:tab w:val="left" w:pos="6521"/>
        </w:tabs>
        <w:rPr>
          <w:lang w:val="es-ES"/>
        </w:rPr>
      </w:pPr>
    </w:p>
    <w:p w:rsidR="002B4186" w:rsidRPr="007F0F19" w:rsidRDefault="002B4186" w:rsidP="002B4186">
      <w:pPr>
        <w:pStyle w:val="DecisionParagraphs"/>
        <w:tabs>
          <w:tab w:val="left" w:pos="5954"/>
          <w:tab w:val="left" w:pos="6521"/>
        </w:tabs>
        <w:rPr>
          <w:lang w:val="es-ES"/>
        </w:rPr>
      </w:pPr>
      <w:r w:rsidRPr="007F0F19">
        <w:rPr>
          <w:lang w:val="es-ES"/>
        </w:rPr>
        <w:tab/>
      </w:r>
      <w:r w:rsidRPr="007F0F19">
        <w:rPr>
          <w:lang w:val="es-ES"/>
        </w:rPr>
        <w:tab/>
        <w:t>ii)</w:t>
      </w:r>
      <w:r w:rsidRPr="007F0F19">
        <w:rPr>
          <w:lang w:val="es-ES"/>
        </w:rPr>
        <w:tab/>
        <w:t>la situación de la descripción original de la variedad con relación a la comprobación de que el material vegetal corresponde a una variedad protegida a los fines de la defensa del derecho de obtentor, según se expone en el párrafo 13 del presente documento;</w:t>
      </w:r>
    </w:p>
    <w:p w:rsidR="002B4186" w:rsidRPr="007F0F19" w:rsidRDefault="002B4186" w:rsidP="002B4186">
      <w:pPr>
        <w:pStyle w:val="DecisionParagraphs"/>
        <w:tabs>
          <w:tab w:val="left" w:pos="5954"/>
          <w:tab w:val="left" w:pos="6521"/>
        </w:tabs>
        <w:rPr>
          <w:lang w:val="es-ES"/>
        </w:rPr>
      </w:pPr>
    </w:p>
    <w:p w:rsidR="002B4186" w:rsidRPr="007F0F19" w:rsidRDefault="002B4186" w:rsidP="002B4186">
      <w:pPr>
        <w:pStyle w:val="DecisionParagraphs"/>
        <w:tabs>
          <w:tab w:val="left" w:pos="5954"/>
          <w:tab w:val="left" w:pos="6521"/>
        </w:tabs>
        <w:rPr>
          <w:lang w:val="es-ES"/>
        </w:rPr>
      </w:pPr>
      <w:r w:rsidRPr="007F0F19">
        <w:rPr>
          <w:lang w:val="es-ES"/>
        </w:rPr>
        <w:tab/>
        <w:t>b)</w:t>
      </w:r>
      <w:r w:rsidRPr="007F0F19">
        <w:rPr>
          <w:lang w:val="es-ES"/>
        </w:rPr>
        <w:tab/>
        <w:t>tomar nota de las ponencias sobre “asuntos relativos a las descripciones de variedades” presentadas a los TWP, en sus sesiones de 2015, según se expone en el párrafo 17 de este documento;</w:t>
      </w:r>
    </w:p>
    <w:p w:rsidR="002B4186" w:rsidRPr="007F0F19" w:rsidRDefault="002B4186" w:rsidP="002B4186">
      <w:pPr>
        <w:pStyle w:val="DecisionParagraphs"/>
        <w:tabs>
          <w:tab w:val="left" w:pos="5954"/>
          <w:tab w:val="left" w:pos="6521"/>
        </w:tabs>
        <w:rPr>
          <w:lang w:val="es-ES"/>
        </w:rPr>
      </w:pPr>
    </w:p>
    <w:p w:rsidR="002B4186" w:rsidRPr="007F0F19" w:rsidRDefault="002B4186" w:rsidP="002B4186">
      <w:pPr>
        <w:pStyle w:val="DecisionParagraphs"/>
        <w:tabs>
          <w:tab w:val="left" w:pos="5954"/>
          <w:tab w:val="left" w:pos="6521"/>
        </w:tabs>
        <w:rPr>
          <w:lang w:val="es-ES"/>
        </w:rPr>
      </w:pPr>
      <w:r w:rsidRPr="007F0F19">
        <w:rPr>
          <w:lang w:val="es-ES"/>
        </w:rPr>
        <w:lastRenderedPageBreak/>
        <w:tab/>
        <w:t>c)</w:t>
      </w:r>
      <w:r w:rsidRPr="007F0F19">
        <w:rPr>
          <w:lang w:val="es-ES"/>
        </w:rPr>
        <w:tab/>
        <w:t>tomar nota de las observaciones formuladas por los TWP, en sus sesiones de 2015, sobre asuntos relativos a las descripciones de variedades y la función del material utilizado como base para el examen DHE, según se expone en los párrafos 18 a 40 de este documento;  y</w:t>
      </w:r>
    </w:p>
    <w:p w:rsidR="002B4186" w:rsidRPr="007F0F19" w:rsidRDefault="002B4186" w:rsidP="002B4186">
      <w:pPr>
        <w:pStyle w:val="DecisionParagraphs"/>
        <w:tabs>
          <w:tab w:val="left" w:pos="5954"/>
          <w:tab w:val="left" w:pos="6521"/>
        </w:tabs>
        <w:rPr>
          <w:lang w:val="es-ES"/>
        </w:rPr>
      </w:pPr>
    </w:p>
    <w:p w:rsidR="002B4186" w:rsidRPr="007F0F19" w:rsidRDefault="002B4186" w:rsidP="002B4186">
      <w:pPr>
        <w:pStyle w:val="DecisionParagraphs"/>
        <w:tabs>
          <w:tab w:val="left" w:pos="5954"/>
          <w:tab w:val="left" w:pos="6521"/>
        </w:tabs>
        <w:rPr>
          <w:rFonts w:eastAsia="SimSun"/>
          <w:lang w:val="es-ES"/>
        </w:rPr>
      </w:pPr>
      <w:r w:rsidRPr="007F0F19">
        <w:rPr>
          <w:lang w:val="es-ES"/>
        </w:rPr>
        <w:tab/>
        <w:t>d)</w:t>
      </w:r>
      <w:r w:rsidRPr="007F0F19">
        <w:rPr>
          <w:lang w:val="es-ES"/>
        </w:rPr>
        <w:tab/>
        <w:t>examinar la posibilidad de invitar a expertos a presentar a los TWP, en sus sesiones de 2016, sus experiencias relativas a la función del material vegetal utilizado como base para el examen DHE con respecto a los asuntos enumerados en el párrafo 5 de este documento.</w:t>
      </w:r>
    </w:p>
    <w:p w:rsidR="002B4186" w:rsidRPr="007F0F19" w:rsidRDefault="002B4186" w:rsidP="002B4186">
      <w:pPr>
        <w:rPr>
          <w:rFonts w:eastAsia="SimSun"/>
          <w:lang w:val="es-ES"/>
        </w:rPr>
      </w:pPr>
    </w:p>
    <w:p w:rsidR="002B4186" w:rsidRPr="007F0F19" w:rsidRDefault="002B4186" w:rsidP="002B4186">
      <w:pPr>
        <w:rPr>
          <w:rFonts w:eastAsia="SimSun"/>
          <w:lang w:val="es-ES"/>
        </w:rPr>
      </w:pPr>
    </w:p>
    <w:p w:rsidR="002B4186" w:rsidRPr="007F0F19" w:rsidRDefault="002B4186" w:rsidP="002B4186">
      <w:pPr>
        <w:rPr>
          <w:rFonts w:eastAsia="SimSun"/>
          <w:lang w:val="es-ES"/>
        </w:rPr>
      </w:pPr>
    </w:p>
    <w:p w:rsidR="00D17133" w:rsidRPr="007F0F19" w:rsidRDefault="00D17133" w:rsidP="00E047CC">
      <w:pPr>
        <w:rPr>
          <w:snapToGrid w:val="0"/>
          <w:lang w:val="es-ES"/>
        </w:rPr>
      </w:pPr>
    </w:p>
    <w:p w:rsidR="00361821" w:rsidRPr="00D17133" w:rsidRDefault="00E047CC" w:rsidP="00D17133">
      <w:pPr>
        <w:jc w:val="right"/>
        <w:rPr>
          <w:snapToGrid w:val="0"/>
        </w:rPr>
      </w:pPr>
      <w:r>
        <w:rPr>
          <w:snapToGrid w:val="0"/>
        </w:rPr>
        <w:t>[Fin del documento]</w:t>
      </w:r>
    </w:p>
    <w:sectPr w:rsidR="00361821" w:rsidRPr="00D17133" w:rsidSect="00374D43">
      <w:headerReference w:type="default" r:id="rId9"/>
      <w:pgSz w:w="11907" w:h="16840" w:code="9"/>
      <w:pgMar w:top="510" w:right="1134" w:bottom="993"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E3E" w:rsidRDefault="007A6E3E" w:rsidP="00F45372">
      <w:r>
        <w:separator/>
      </w:r>
    </w:p>
    <w:p w:rsidR="007A6E3E" w:rsidRDefault="007A6E3E" w:rsidP="00F45372"/>
    <w:p w:rsidR="007A6E3E" w:rsidRDefault="007A6E3E" w:rsidP="00F45372"/>
  </w:endnote>
  <w:endnote w:type="continuationSeparator" w:id="0">
    <w:p w:rsidR="007A6E3E" w:rsidRDefault="007A6E3E" w:rsidP="00F45372">
      <w:r>
        <w:separator/>
      </w:r>
    </w:p>
    <w:p w:rsidR="007A6E3E" w:rsidRPr="00970020" w:rsidRDefault="007A6E3E">
      <w:pPr>
        <w:pStyle w:val="Footer"/>
        <w:spacing w:after="60"/>
        <w:rPr>
          <w:sz w:val="18"/>
          <w:lang w:val="fr-CH"/>
        </w:rPr>
      </w:pPr>
      <w:r w:rsidRPr="00970020">
        <w:rPr>
          <w:sz w:val="18"/>
          <w:lang w:val="fr-CH"/>
        </w:rPr>
        <w:t>[Suite de la note de la page précédente]</w:t>
      </w:r>
    </w:p>
    <w:p w:rsidR="007A6E3E" w:rsidRPr="00970020" w:rsidRDefault="007A6E3E" w:rsidP="00F45372">
      <w:pPr>
        <w:rPr>
          <w:lang w:val="fr-CH"/>
        </w:rPr>
      </w:pPr>
    </w:p>
    <w:p w:rsidR="007A6E3E" w:rsidRPr="00970020" w:rsidRDefault="007A6E3E" w:rsidP="00F45372">
      <w:pPr>
        <w:rPr>
          <w:lang w:val="fr-CH"/>
        </w:rPr>
      </w:pPr>
    </w:p>
  </w:endnote>
  <w:endnote w:type="continuationNotice" w:id="1">
    <w:p w:rsidR="007A6E3E" w:rsidRPr="00970020" w:rsidRDefault="007A6E3E" w:rsidP="00F45372">
      <w:pPr>
        <w:rPr>
          <w:lang w:val="fr-CH"/>
        </w:rPr>
      </w:pPr>
      <w:r w:rsidRPr="00970020">
        <w:rPr>
          <w:lang w:val="fr-CH"/>
        </w:rPr>
        <w:t>[Suite de la note page suivante]</w:t>
      </w:r>
    </w:p>
    <w:p w:rsidR="007A6E3E" w:rsidRPr="00970020" w:rsidRDefault="007A6E3E" w:rsidP="00F45372">
      <w:pPr>
        <w:rPr>
          <w:lang w:val="fr-CH"/>
        </w:rPr>
      </w:pPr>
    </w:p>
    <w:p w:rsidR="007A6E3E" w:rsidRPr="00970020" w:rsidRDefault="007A6E3E"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E3E" w:rsidRDefault="007A6E3E" w:rsidP="00F45372">
      <w:r>
        <w:separator/>
      </w:r>
    </w:p>
  </w:footnote>
  <w:footnote w:type="continuationSeparator" w:id="0">
    <w:p w:rsidR="007A6E3E" w:rsidRDefault="007A6E3E" w:rsidP="00F45372">
      <w:r>
        <w:separator/>
      </w:r>
    </w:p>
  </w:footnote>
  <w:footnote w:type="continuationNotice" w:id="1">
    <w:p w:rsidR="007A6E3E" w:rsidRPr="00905020" w:rsidRDefault="007A6E3E" w:rsidP="00905020">
      <w:pPr>
        <w:pStyle w:val="Footer"/>
      </w:pPr>
    </w:p>
  </w:footnote>
  <w:footnote w:id="2">
    <w:p w:rsidR="002B4186" w:rsidRPr="007F0F19" w:rsidRDefault="002B4186" w:rsidP="002B4186">
      <w:pPr>
        <w:pStyle w:val="FootnoteText"/>
        <w:rPr>
          <w:lang w:val="es-ES"/>
        </w:rPr>
      </w:pPr>
      <w:r>
        <w:rPr>
          <w:rStyle w:val="FootnoteReference"/>
        </w:rPr>
        <w:footnoteRef/>
      </w:r>
      <w:r w:rsidRPr="007F0F19">
        <w:rPr>
          <w:lang w:val="es-ES"/>
        </w:rPr>
        <w:tab/>
        <w:t>Véase el párrafo 21 del documento CAJ-AG/14/9/6 “Informe sobre las conclusiones”.</w:t>
      </w:r>
    </w:p>
  </w:footnote>
  <w:footnote w:id="3">
    <w:p w:rsidR="002B4186" w:rsidRPr="007F0F19" w:rsidRDefault="002B4186" w:rsidP="002B4186">
      <w:pPr>
        <w:pStyle w:val="FootnoteText"/>
        <w:rPr>
          <w:lang w:val="es-ES"/>
        </w:rPr>
      </w:pPr>
      <w:r>
        <w:rPr>
          <w:rStyle w:val="FootnoteReference"/>
        </w:rPr>
        <w:footnoteRef/>
      </w:r>
      <w:r w:rsidRPr="007F0F19">
        <w:rPr>
          <w:lang w:val="es-ES"/>
        </w:rPr>
        <w:t xml:space="preserve"> </w:t>
      </w:r>
      <w:r w:rsidRPr="007F0F19">
        <w:rPr>
          <w:lang w:val="es-ES"/>
        </w:rPr>
        <w:tab/>
        <w:t>Véase el párrafo 22 del documento CAJ-AG/14/9/6 “Informe sobre las conclusiones”.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rPr>
    </w:pPr>
    <w:r>
      <w:rPr>
        <w:rStyle w:val="PageNumber"/>
      </w:rPr>
      <w:t>TC/52/21</w:t>
    </w:r>
  </w:p>
  <w:p w:rsidR="008A1693" w:rsidRPr="008D3729" w:rsidRDefault="008A1693" w:rsidP="00EB048E">
    <w:pPr>
      <w:pStyle w:val="Header"/>
    </w:pPr>
    <w:r>
      <w:t xml:space="preserve">página </w:t>
    </w:r>
    <w:r w:rsidR="0063524C" w:rsidRPr="008D3729">
      <w:rPr>
        <w:rStyle w:val="PageNumber"/>
      </w:rPr>
      <w:fldChar w:fldCharType="begin"/>
    </w:r>
    <w:r w:rsidRPr="008D3729">
      <w:rPr>
        <w:rStyle w:val="PageNumber"/>
      </w:rPr>
      <w:instrText xml:space="preserve"> PAGE </w:instrText>
    </w:r>
    <w:r w:rsidR="0063524C" w:rsidRPr="008D3729">
      <w:rPr>
        <w:rStyle w:val="PageNumber"/>
      </w:rPr>
      <w:fldChar w:fldCharType="separate"/>
    </w:r>
    <w:r w:rsidR="007C352A">
      <w:rPr>
        <w:rStyle w:val="PageNumber"/>
        <w:noProof/>
      </w:rPr>
      <w:t>2</w:t>
    </w:r>
    <w:r w:rsidR="0063524C" w:rsidRPr="008D3729">
      <w:rPr>
        <w:rStyle w:val="PageNumber"/>
      </w:rPr>
      <w:fldChar w:fldCharType="end"/>
    </w:r>
  </w:p>
  <w:p w:rsidR="008A1693" w:rsidRPr="008D3729" w:rsidRDefault="008A1693"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7"/>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5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4642"/>
    <w:rsid w:val="000446B9"/>
    <w:rsid w:val="00047E21"/>
    <w:rsid w:val="00085505"/>
    <w:rsid w:val="000C7021"/>
    <w:rsid w:val="000D5CCF"/>
    <w:rsid w:val="000D6BBC"/>
    <w:rsid w:val="000D7780"/>
    <w:rsid w:val="000F5E25"/>
    <w:rsid w:val="00105929"/>
    <w:rsid w:val="001131D5"/>
    <w:rsid w:val="00141DB8"/>
    <w:rsid w:val="001479AA"/>
    <w:rsid w:val="0017474A"/>
    <w:rsid w:val="001758C6"/>
    <w:rsid w:val="00177184"/>
    <w:rsid w:val="00184D5D"/>
    <w:rsid w:val="0021332C"/>
    <w:rsid w:val="00213982"/>
    <w:rsid w:val="00235267"/>
    <w:rsid w:val="0024416D"/>
    <w:rsid w:val="00266E18"/>
    <w:rsid w:val="002800A0"/>
    <w:rsid w:val="002801B3"/>
    <w:rsid w:val="00281060"/>
    <w:rsid w:val="002940E8"/>
    <w:rsid w:val="002A6E50"/>
    <w:rsid w:val="002B4186"/>
    <w:rsid w:val="002C256A"/>
    <w:rsid w:val="00305A7F"/>
    <w:rsid w:val="003152FE"/>
    <w:rsid w:val="00320AE8"/>
    <w:rsid w:val="00327436"/>
    <w:rsid w:val="00344BD6"/>
    <w:rsid w:val="0035528D"/>
    <w:rsid w:val="00361821"/>
    <w:rsid w:val="00366D8A"/>
    <w:rsid w:val="00370631"/>
    <w:rsid w:val="00374D43"/>
    <w:rsid w:val="003D227C"/>
    <w:rsid w:val="003D2B4D"/>
    <w:rsid w:val="003D7E71"/>
    <w:rsid w:val="0042005B"/>
    <w:rsid w:val="00444A88"/>
    <w:rsid w:val="00474DA4"/>
    <w:rsid w:val="004D047D"/>
    <w:rsid w:val="004D54AF"/>
    <w:rsid w:val="004F1D89"/>
    <w:rsid w:val="004F305A"/>
    <w:rsid w:val="00512164"/>
    <w:rsid w:val="00520297"/>
    <w:rsid w:val="005338F9"/>
    <w:rsid w:val="0054281C"/>
    <w:rsid w:val="0055268D"/>
    <w:rsid w:val="00554B1F"/>
    <w:rsid w:val="00576BE4"/>
    <w:rsid w:val="00576BF0"/>
    <w:rsid w:val="005A400A"/>
    <w:rsid w:val="00612379"/>
    <w:rsid w:val="0061555F"/>
    <w:rsid w:val="00625523"/>
    <w:rsid w:val="0063524C"/>
    <w:rsid w:val="00641200"/>
    <w:rsid w:val="00674127"/>
    <w:rsid w:val="00687EB4"/>
    <w:rsid w:val="006A1ECF"/>
    <w:rsid w:val="006B17D2"/>
    <w:rsid w:val="006C224E"/>
    <w:rsid w:val="006D780A"/>
    <w:rsid w:val="00732DEC"/>
    <w:rsid w:val="00735BD5"/>
    <w:rsid w:val="00753A37"/>
    <w:rsid w:val="007556F6"/>
    <w:rsid w:val="00760EEF"/>
    <w:rsid w:val="00777EE5"/>
    <w:rsid w:val="00784836"/>
    <w:rsid w:val="00785010"/>
    <w:rsid w:val="0079023E"/>
    <w:rsid w:val="007A2854"/>
    <w:rsid w:val="007A6E3E"/>
    <w:rsid w:val="007C352A"/>
    <w:rsid w:val="007D0B9D"/>
    <w:rsid w:val="007D19B0"/>
    <w:rsid w:val="007F0F19"/>
    <w:rsid w:val="007F498F"/>
    <w:rsid w:val="007F4BB2"/>
    <w:rsid w:val="0080679D"/>
    <w:rsid w:val="008108B0"/>
    <w:rsid w:val="00811B20"/>
    <w:rsid w:val="0082296E"/>
    <w:rsid w:val="00824099"/>
    <w:rsid w:val="00867AC1"/>
    <w:rsid w:val="008A1693"/>
    <w:rsid w:val="008A743F"/>
    <w:rsid w:val="008C0970"/>
    <w:rsid w:val="008D2CF7"/>
    <w:rsid w:val="008D3729"/>
    <w:rsid w:val="008D5CC8"/>
    <w:rsid w:val="00900C26"/>
    <w:rsid w:val="0090197F"/>
    <w:rsid w:val="00905020"/>
    <w:rsid w:val="00906DDC"/>
    <w:rsid w:val="00934E09"/>
    <w:rsid w:val="00936253"/>
    <w:rsid w:val="00952DD4"/>
    <w:rsid w:val="00970020"/>
    <w:rsid w:val="00970FED"/>
    <w:rsid w:val="00997029"/>
    <w:rsid w:val="009D690D"/>
    <w:rsid w:val="009E4281"/>
    <w:rsid w:val="009E65B6"/>
    <w:rsid w:val="009F4C9F"/>
    <w:rsid w:val="00A13C6F"/>
    <w:rsid w:val="00A37B04"/>
    <w:rsid w:val="00A42AC3"/>
    <w:rsid w:val="00A430CF"/>
    <w:rsid w:val="00A47CDB"/>
    <w:rsid w:val="00A54309"/>
    <w:rsid w:val="00AA65E7"/>
    <w:rsid w:val="00AB2B93"/>
    <w:rsid w:val="00AB7E5B"/>
    <w:rsid w:val="00AE0EF1"/>
    <w:rsid w:val="00B07301"/>
    <w:rsid w:val="00B224DE"/>
    <w:rsid w:val="00B33437"/>
    <w:rsid w:val="00B57FE4"/>
    <w:rsid w:val="00B84BBD"/>
    <w:rsid w:val="00BA43FB"/>
    <w:rsid w:val="00BC127D"/>
    <w:rsid w:val="00BC1FE6"/>
    <w:rsid w:val="00C061B6"/>
    <w:rsid w:val="00C13808"/>
    <w:rsid w:val="00C2446C"/>
    <w:rsid w:val="00C36AE5"/>
    <w:rsid w:val="00C41F17"/>
    <w:rsid w:val="00C5791C"/>
    <w:rsid w:val="00C66290"/>
    <w:rsid w:val="00C72B7A"/>
    <w:rsid w:val="00C735D0"/>
    <w:rsid w:val="00C973F2"/>
    <w:rsid w:val="00CA774A"/>
    <w:rsid w:val="00CC11B0"/>
    <w:rsid w:val="00CF7E36"/>
    <w:rsid w:val="00D17133"/>
    <w:rsid w:val="00D261C5"/>
    <w:rsid w:val="00D3708D"/>
    <w:rsid w:val="00D40426"/>
    <w:rsid w:val="00D57C96"/>
    <w:rsid w:val="00D91203"/>
    <w:rsid w:val="00D95174"/>
    <w:rsid w:val="00DA4685"/>
    <w:rsid w:val="00DA6F36"/>
    <w:rsid w:val="00DA743F"/>
    <w:rsid w:val="00DB596E"/>
    <w:rsid w:val="00DC00EA"/>
    <w:rsid w:val="00E047CC"/>
    <w:rsid w:val="00E50694"/>
    <w:rsid w:val="00E50918"/>
    <w:rsid w:val="00E633DB"/>
    <w:rsid w:val="00E72D49"/>
    <w:rsid w:val="00E7593C"/>
    <w:rsid w:val="00E7678A"/>
    <w:rsid w:val="00E935F1"/>
    <w:rsid w:val="00E94A81"/>
    <w:rsid w:val="00EA1FFB"/>
    <w:rsid w:val="00EA5245"/>
    <w:rsid w:val="00EB048E"/>
    <w:rsid w:val="00EE141D"/>
    <w:rsid w:val="00EE1C2D"/>
    <w:rsid w:val="00EE34DF"/>
    <w:rsid w:val="00EF2F89"/>
    <w:rsid w:val="00F1237A"/>
    <w:rsid w:val="00F22CBD"/>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header" w:uiPriority="99"/>
    <w:lsdException w:name="footer" w:uiPriority="99"/>
    <w:lsdException w:name="caption" w:semiHidden="1" w:unhideWhenUsed="1" w:qFormat="1"/>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aliases w:val="COMMON NAME,common"/>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aliases w:val="COMMON NAME Char,common Char"/>
    <w:basedOn w:val="DefaultParagraphFont"/>
    <w:link w:val="Heading1"/>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Emphasis">
    <w:name w:val="Emphasis"/>
    <w:basedOn w:val="DefaultParagraphFont"/>
    <w:qFormat/>
    <w:rsid w:val="002B41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header" w:uiPriority="99"/>
    <w:lsdException w:name="footer" w:uiPriority="99"/>
    <w:lsdException w:name="caption" w:semiHidden="1" w:unhideWhenUsed="1" w:qFormat="1"/>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aliases w:val="COMMON NAME,common"/>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aliases w:val="COMMON NAME Char,common Char"/>
    <w:basedOn w:val="DefaultParagraphFont"/>
    <w:link w:val="Heading1"/>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Emphasis">
    <w:name w:val="Emphasis"/>
    <w:basedOn w:val="DefaultParagraphFont"/>
    <w:qFormat/>
    <w:rsid w:val="002B41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8</Pages>
  <Words>3966</Words>
  <Characters>21400</Characters>
  <Application>Microsoft Office Word</Application>
  <DocSecurity>0</DocSecurity>
  <Lines>178</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25316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GIACHINO Erika</cp:lastModifiedBy>
  <cp:revision>5</cp:revision>
  <cp:lastPrinted>2011-12-19T06:47:00Z</cp:lastPrinted>
  <dcterms:created xsi:type="dcterms:W3CDTF">2016-01-28T11:08:00Z</dcterms:created>
  <dcterms:modified xsi:type="dcterms:W3CDTF">2016-02-01T15:04:00Z</dcterms:modified>
</cp:coreProperties>
</file>