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B26559" w:rsidTr="00C13808">
        <w:trPr>
          <w:trHeight w:val="1760"/>
        </w:trPr>
        <w:tc>
          <w:tcPr>
            <w:tcW w:w="4243" w:type="dxa"/>
          </w:tcPr>
          <w:p w:rsidR="000D7780" w:rsidRPr="00B26559" w:rsidRDefault="000D7780" w:rsidP="00F45372">
            <w:pPr>
              <w:rPr>
                <w:lang w:val="es-ES_tradnl"/>
              </w:rPr>
            </w:pPr>
          </w:p>
        </w:tc>
        <w:tc>
          <w:tcPr>
            <w:tcW w:w="1646" w:type="dxa"/>
            <w:vAlign w:val="center"/>
          </w:tcPr>
          <w:p w:rsidR="004F1D89" w:rsidRPr="00B26559" w:rsidRDefault="004F1D89" w:rsidP="00F45372">
            <w:pPr>
              <w:pStyle w:val="LogoUPOV"/>
              <w:rPr>
                <w:lang w:val="es-ES_tradnl"/>
              </w:rPr>
            </w:pPr>
            <w:r w:rsidRPr="00B26559">
              <w:rPr>
                <w:noProof/>
                <w:lang w:val="es-ES_tradnl"/>
              </w:rPr>
              <w:drawing>
                <wp:inline distT="0" distB="0" distL="0" distR="0" wp14:anchorId="52517CC0" wp14:editId="1B2BA7C5">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B26559" w:rsidRDefault="00A47CDB" w:rsidP="00F45372">
            <w:pPr>
              <w:pStyle w:val="Lettrine"/>
              <w:rPr>
                <w:lang w:val="es-ES_tradnl"/>
              </w:rPr>
            </w:pPr>
            <w:r w:rsidRPr="00B26559">
              <w:rPr>
                <w:lang w:val="es-ES_tradnl"/>
              </w:rPr>
              <w:t>S</w:t>
            </w:r>
          </w:p>
          <w:p w:rsidR="000D7780" w:rsidRPr="00B26559" w:rsidRDefault="008A1693" w:rsidP="00F45372">
            <w:pPr>
              <w:pStyle w:val="Docoriginal"/>
              <w:rPr>
                <w:lang w:val="es-ES_tradnl"/>
              </w:rPr>
            </w:pPr>
            <w:r w:rsidRPr="00B26559">
              <w:rPr>
                <w:lang w:val="es-ES_tradnl"/>
              </w:rPr>
              <w:t>TC/52/</w:t>
            </w:r>
            <w:bookmarkStart w:id="0" w:name="Code"/>
            <w:bookmarkEnd w:id="0"/>
            <w:r w:rsidRPr="00B26559">
              <w:rPr>
                <w:lang w:val="es-ES_tradnl"/>
              </w:rPr>
              <w:t>20</w:t>
            </w:r>
          </w:p>
          <w:p w:rsidR="000D7780" w:rsidRPr="00B26559" w:rsidRDefault="0061555F" w:rsidP="00F45372">
            <w:pPr>
              <w:pStyle w:val="Docoriginal"/>
              <w:rPr>
                <w:b w:val="0"/>
                <w:spacing w:val="0"/>
                <w:lang w:val="es-ES_tradnl"/>
              </w:rPr>
            </w:pPr>
            <w:r w:rsidRPr="00B26559">
              <w:rPr>
                <w:rStyle w:val="StyleDoclangBold"/>
                <w:b/>
                <w:spacing w:val="0"/>
                <w:lang w:val="es-ES_tradnl"/>
              </w:rPr>
              <w:t>ORIGINAL:</w:t>
            </w:r>
            <w:r w:rsidRPr="00B26559">
              <w:rPr>
                <w:rStyle w:val="StyleDocoriginalNotBold1"/>
                <w:spacing w:val="0"/>
                <w:lang w:val="es-ES_tradnl"/>
              </w:rPr>
              <w:t xml:space="preserve">  </w:t>
            </w:r>
            <w:bookmarkStart w:id="1" w:name="Original"/>
            <w:bookmarkEnd w:id="1"/>
            <w:r w:rsidRPr="00B26559">
              <w:rPr>
                <w:b w:val="0"/>
                <w:spacing w:val="0"/>
                <w:lang w:val="es-ES_tradnl"/>
              </w:rPr>
              <w:t>Inglés</w:t>
            </w:r>
          </w:p>
          <w:p w:rsidR="000D7780" w:rsidRPr="00B26559" w:rsidRDefault="00A47CDB" w:rsidP="00B26559">
            <w:pPr>
              <w:pStyle w:val="Docoriginal"/>
              <w:rPr>
                <w:lang w:val="es-ES_tradnl"/>
              </w:rPr>
            </w:pPr>
            <w:r w:rsidRPr="00003708">
              <w:rPr>
                <w:rFonts w:ascii="Arial Bold" w:hAnsi="Arial Bold"/>
                <w:spacing w:val="4"/>
                <w:lang w:val="es-ES_tradnl"/>
              </w:rPr>
              <w:t>FECHA:</w:t>
            </w:r>
            <w:r w:rsidRPr="00B26559">
              <w:rPr>
                <w:b w:val="0"/>
                <w:spacing w:val="0"/>
                <w:lang w:val="es-ES_tradnl"/>
              </w:rPr>
              <w:t xml:space="preserve"> </w:t>
            </w:r>
            <w:r w:rsidRPr="00B26559">
              <w:rPr>
                <w:rStyle w:val="StyleDocoriginalNotBold1"/>
                <w:spacing w:val="0"/>
                <w:lang w:val="es-ES_tradnl"/>
              </w:rPr>
              <w:t xml:space="preserve"> </w:t>
            </w:r>
            <w:bookmarkStart w:id="2" w:name="Date"/>
            <w:bookmarkEnd w:id="2"/>
            <w:r w:rsidRPr="00B26559">
              <w:rPr>
                <w:rStyle w:val="StyleDocoriginalNotBold1"/>
                <w:spacing w:val="0"/>
                <w:lang w:val="es-ES_tradnl"/>
              </w:rPr>
              <w:t>2</w:t>
            </w:r>
            <w:r w:rsidR="00B26559" w:rsidRPr="00B26559">
              <w:rPr>
                <w:rStyle w:val="StyleDocoriginalNotBold1"/>
                <w:spacing w:val="0"/>
                <w:lang w:val="es-ES_tradnl"/>
              </w:rPr>
              <w:t>7</w:t>
            </w:r>
            <w:r w:rsidRPr="00B26559">
              <w:rPr>
                <w:b w:val="0"/>
                <w:spacing w:val="0"/>
                <w:lang w:val="es-ES_tradnl"/>
              </w:rPr>
              <w:t xml:space="preserve"> de enero de 2016</w:t>
            </w:r>
          </w:p>
        </w:tc>
      </w:tr>
      <w:tr w:rsidR="00EE0CB7" w:rsidRPr="00B26559" w:rsidTr="00C13808">
        <w:tc>
          <w:tcPr>
            <w:tcW w:w="10131" w:type="dxa"/>
            <w:gridSpan w:val="3"/>
          </w:tcPr>
          <w:p w:rsidR="00EE0CB7" w:rsidRPr="00B26559" w:rsidRDefault="00EE0CB7" w:rsidP="00A60597">
            <w:pPr>
              <w:pStyle w:val="upove"/>
              <w:rPr>
                <w:sz w:val="28"/>
                <w:lang w:val="es-ES_tradnl"/>
              </w:rPr>
            </w:pPr>
            <w:r w:rsidRPr="00B26559">
              <w:rPr>
                <w:spacing w:val="2"/>
                <w:lang w:val="es-ES_tradnl"/>
              </w:rPr>
              <w:t>UNIÓN INTERNACIONAL PARA LA PROTECCIÓN DE LAS OBTENCIONES VEGETALES</w:t>
            </w:r>
          </w:p>
        </w:tc>
      </w:tr>
      <w:tr w:rsidR="000D7780" w:rsidRPr="00B26559" w:rsidTr="00C13808">
        <w:tc>
          <w:tcPr>
            <w:tcW w:w="10131" w:type="dxa"/>
            <w:gridSpan w:val="3"/>
          </w:tcPr>
          <w:p w:rsidR="000D7780" w:rsidRPr="00B26559" w:rsidRDefault="00A47CDB" w:rsidP="00F45372">
            <w:pPr>
              <w:pStyle w:val="Country"/>
              <w:rPr>
                <w:lang w:val="es-ES_tradnl"/>
              </w:rPr>
            </w:pPr>
            <w:r w:rsidRPr="00B26559">
              <w:rPr>
                <w:lang w:val="es-ES_tradnl"/>
              </w:rPr>
              <w:t>Ginebra</w:t>
            </w:r>
          </w:p>
        </w:tc>
      </w:tr>
    </w:tbl>
    <w:p w:rsidR="000D7780" w:rsidRPr="00B26559" w:rsidRDefault="00A47CDB" w:rsidP="00F45372">
      <w:pPr>
        <w:pStyle w:val="Sessiontc"/>
        <w:rPr>
          <w:lang w:val="es-ES_tradnl"/>
        </w:rPr>
      </w:pPr>
      <w:r w:rsidRPr="00B26559">
        <w:rPr>
          <w:lang w:val="es-ES_tradnl"/>
        </w:rPr>
        <w:t>Comité Técnico</w:t>
      </w:r>
    </w:p>
    <w:p w:rsidR="00E047CC" w:rsidRPr="00B26559" w:rsidRDefault="007F4BB2" w:rsidP="00E047CC">
      <w:pPr>
        <w:pStyle w:val="Sessiontcplacedate"/>
        <w:rPr>
          <w:lang w:val="es-ES_tradnl"/>
        </w:rPr>
      </w:pPr>
      <w:r w:rsidRPr="00B26559">
        <w:rPr>
          <w:lang w:val="es-ES_tradnl"/>
        </w:rPr>
        <w:t>Quincuagésima segunda sesión</w:t>
      </w:r>
      <w:r w:rsidRPr="00B26559">
        <w:rPr>
          <w:lang w:val="es-ES_tradnl"/>
        </w:rPr>
        <w:br/>
        <w:t>Ginebra, 14 a 16 de marzo de 2016</w:t>
      </w:r>
    </w:p>
    <w:p w:rsidR="00E047CC" w:rsidRPr="00B26559" w:rsidRDefault="00E43167" w:rsidP="00E047CC">
      <w:pPr>
        <w:pStyle w:val="Titleofdoc0"/>
        <w:rPr>
          <w:lang w:val="es-ES_tradnl"/>
        </w:rPr>
      </w:pPr>
      <w:bookmarkStart w:id="3" w:name="TitleOfDoc"/>
      <w:bookmarkEnd w:id="3"/>
      <w:r w:rsidRPr="00B26559">
        <w:rPr>
          <w:lang w:val="es-ES_tradnl"/>
        </w:rPr>
        <w:t>Revisión del documento TGP/10:  nueva sección:  Evaluación de la homogeneidad de las plantas fuera de tipo mediante la observación de más de un ciclo de cultivo o mediante la observación de submuestras</w:t>
      </w:r>
    </w:p>
    <w:p w:rsidR="00E047CC" w:rsidRPr="00B26559" w:rsidRDefault="00E047CC" w:rsidP="00E047CC">
      <w:pPr>
        <w:pStyle w:val="preparedby1"/>
        <w:rPr>
          <w:lang w:val="es-ES_tradnl"/>
        </w:rPr>
      </w:pPr>
      <w:bookmarkStart w:id="4" w:name="Prepared"/>
      <w:bookmarkEnd w:id="4"/>
      <w:r w:rsidRPr="00B26559">
        <w:rPr>
          <w:lang w:val="es-ES_tradnl"/>
        </w:rPr>
        <w:t>Documento preparado por la Oficina de la Unión</w:t>
      </w:r>
      <w:r w:rsidRPr="00B26559">
        <w:rPr>
          <w:lang w:val="es-ES_tradnl"/>
        </w:rPr>
        <w:br/>
      </w:r>
      <w:r w:rsidRPr="00B26559">
        <w:rPr>
          <w:lang w:val="es-ES_tradnl"/>
        </w:rPr>
        <w:br/>
      </w:r>
      <w:r w:rsidRPr="00B26559">
        <w:rPr>
          <w:color w:val="A6A6A6"/>
          <w:lang w:val="es-ES_tradnl"/>
        </w:rPr>
        <w:t>Descargo de responsabilidad</w:t>
      </w:r>
      <w:proofErr w:type="gramStart"/>
      <w:r w:rsidRPr="00B26559">
        <w:rPr>
          <w:color w:val="A6A6A6"/>
          <w:lang w:val="es-ES_tradnl"/>
        </w:rPr>
        <w:t>:  el</w:t>
      </w:r>
      <w:proofErr w:type="gramEnd"/>
      <w:r w:rsidRPr="00B26559">
        <w:rPr>
          <w:color w:val="A6A6A6"/>
          <w:lang w:val="es-ES_tradnl"/>
        </w:rPr>
        <w:t xml:space="preserve"> presente documento no constituye</w:t>
      </w:r>
      <w:r w:rsidRPr="00B26559">
        <w:rPr>
          <w:color w:val="A6A6A6"/>
          <w:lang w:val="es-ES_tradnl"/>
        </w:rPr>
        <w:br/>
        <w:t>un documento de política u orientación de la UPOV</w:t>
      </w:r>
    </w:p>
    <w:p w:rsidR="00E43167" w:rsidRPr="00B26559" w:rsidRDefault="00E43167" w:rsidP="00E43167">
      <w:pPr>
        <w:autoSpaceDE w:val="0"/>
        <w:autoSpaceDN w:val="0"/>
        <w:adjustRightInd w:val="0"/>
        <w:rPr>
          <w:szCs w:val="24"/>
          <w:lang w:val="es-ES_tradnl"/>
        </w:rPr>
      </w:pPr>
      <w:r w:rsidRPr="00B26559">
        <w:rPr>
          <w:lang w:val="es-ES_tradnl"/>
        </w:rPr>
        <w:t>RESUMEN</w:t>
      </w:r>
    </w:p>
    <w:p w:rsidR="00E43167" w:rsidRPr="00B26559" w:rsidRDefault="00E43167" w:rsidP="00E43167">
      <w:pPr>
        <w:autoSpaceDE w:val="0"/>
        <w:autoSpaceDN w:val="0"/>
        <w:adjustRightInd w:val="0"/>
        <w:rPr>
          <w:szCs w:val="24"/>
          <w:lang w:val="es-ES_tradnl"/>
        </w:rPr>
      </w:pPr>
    </w:p>
    <w:p w:rsidR="00E43167" w:rsidRPr="00B26559" w:rsidRDefault="00564778" w:rsidP="00E43167">
      <w:pPr>
        <w:autoSpaceDE w:val="0"/>
        <w:autoSpaceDN w:val="0"/>
        <w:adjustRightInd w:val="0"/>
        <w:rPr>
          <w:rFonts w:eastAsia="MS Mincho"/>
          <w:color w:val="000000"/>
          <w:szCs w:val="24"/>
          <w:lang w:val="es-ES_tradnl"/>
        </w:rPr>
      </w:pPr>
      <w:r w:rsidRPr="00B26559">
        <w:rPr>
          <w:szCs w:val="24"/>
          <w:lang w:val="es-ES_tradnl"/>
        </w:rPr>
        <w:fldChar w:fldCharType="begin"/>
      </w:r>
      <w:r w:rsidR="00E43167" w:rsidRPr="00B26559">
        <w:rPr>
          <w:szCs w:val="24"/>
          <w:lang w:val="es-ES_tradnl"/>
        </w:rPr>
        <w:instrText xml:space="preserve"> AUTONUM  </w:instrText>
      </w:r>
      <w:r w:rsidRPr="00B26559">
        <w:rPr>
          <w:szCs w:val="24"/>
          <w:lang w:val="es-ES_tradnl"/>
        </w:rPr>
        <w:fldChar w:fldCharType="end"/>
      </w:r>
      <w:r w:rsidR="00E43167" w:rsidRPr="00B26559">
        <w:rPr>
          <w:lang w:val="es-ES_tradnl"/>
        </w:rPr>
        <w:tab/>
        <w:t xml:space="preserve">El presente documento tiene por objeto presentar una propuesta de revisión del documento TGP/10 “Examen de </w:t>
      </w:r>
      <w:bookmarkStart w:id="5" w:name="_GoBack"/>
      <w:r w:rsidR="00E43167" w:rsidRPr="00B26559">
        <w:rPr>
          <w:lang w:val="es-ES_tradnl"/>
        </w:rPr>
        <w:t>l</w:t>
      </w:r>
      <w:bookmarkEnd w:id="5"/>
      <w:r w:rsidR="00E43167" w:rsidRPr="00B26559">
        <w:rPr>
          <w:lang w:val="es-ES_tradnl"/>
        </w:rPr>
        <w:t xml:space="preserve">a homogeneidad” para ofrecer orientación sobre la evaluación de la homogeneidad de las plantas fuera de tipo mediante la observación de más de un ciclo de cultivo o mediante la observación de </w:t>
      </w:r>
      <w:proofErr w:type="spellStart"/>
      <w:r w:rsidR="00E43167" w:rsidRPr="00B26559">
        <w:rPr>
          <w:lang w:val="es-ES_tradnl"/>
        </w:rPr>
        <w:t>submuestras</w:t>
      </w:r>
      <w:proofErr w:type="spellEnd"/>
      <w:r w:rsidR="00621BF2" w:rsidRPr="00B26559">
        <w:rPr>
          <w:lang w:val="es-ES_tradnl"/>
        </w:rPr>
        <w:t xml:space="preserve">. </w:t>
      </w:r>
    </w:p>
    <w:p w:rsidR="00E43167" w:rsidRPr="00B26559" w:rsidRDefault="00E43167" w:rsidP="00E43167">
      <w:pPr>
        <w:autoSpaceDE w:val="0"/>
        <w:autoSpaceDN w:val="0"/>
        <w:adjustRightInd w:val="0"/>
        <w:rPr>
          <w:rFonts w:eastAsia="MS Mincho"/>
          <w:color w:val="000000"/>
          <w:szCs w:val="24"/>
          <w:lang w:val="es-ES_tradnl"/>
        </w:rPr>
      </w:pPr>
    </w:p>
    <w:p w:rsidR="00E43167" w:rsidRPr="00B26559" w:rsidRDefault="00564778" w:rsidP="00E43167">
      <w:pPr>
        <w:rPr>
          <w:snapToGrid w:val="0"/>
          <w:lang w:val="es-ES_tradnl"/>
        </w:rPr>
      </w:pPr>
      <w:r w:rsidRPr="00B26559">
        <w:rPr>
          <w:snapToGrid w:val="0"/>
          <w:lang w:val="es-ES_tradnl"/>
        </w:rPr>
        <w:fldChar w:fldCharType="begin"/>
      </w:r>
      <w:r w:rsidR="00E43167" w:rsidRPr="00B26559">
        <w:rPr>
          <w:snapToGrid w:val="0"/>
          <w:lang w:val="es-ES_tradnl"/>
        </w:rPr>
        <w:instrText xml:space="preserve"> AUTONUM  </w:instrText>
      </w:r>
      <w:r w:rsidRPr="00B26559">
        <w:rPr>
          <w:snapToGrid w:val="0"/>
          <w:lang w:val="es-ES_tradnl"/>
        </w:rPr>
        <w:fldChar w:fldCharType="end"/>
      </w:r>
      <w:r w:rsidR="00E43167" w:rsidRPr="00B26559">
        <w:rPr>
          <w:lang w:val="es-ES_tradnl"/>
        </w:rPr>
        <w:tab/>
      </w:r>
      <w:r w:rsidR="00E43167" w:rsidRPr="00B26559">
        <w:rPr>
          <w:snapToGrid w:val="0"/>
          <w:lang w:val="es-ES_tradnl"/>
        </w:rPr>
        <w:t xml:space="preserve">Se invita al TC a: </w:t>
      </w:r>
    </w:p>
    <w:p w:rsidR="00E43167" w:rsidRPr="00B26559" w:rsidRDefault="00E43167" w:rsidP="00E43167">
      <w:pPr>
        <w:rPr>
          <w:snapToGrid w:val="0"/>
          <w:highlight w:val="yellow"/>
          <w:lang w:val="es-ES_tradnl"/>
        </w:rPr>
      </w:pPr>
    </w:p>
    <w:p w:rsidR="00E43167" w:rsidRPr="00B26559" w:rsidRDefault="00E43167" w:rsidP="00B26559">
      <w:pPr>
        <w:pStyle w:val="DecisionParagraphs"/>
        <w:keepLines/>
        <w:tabs>
          <w:tab w:val="clear" w:pos="5387"/>
          <w:tab w:val="left" w:pos="1134"/>
          <w:tab w:val="left" w:pos="5954"/>
        </w:tabs>
        <w:spacing w:after="120"/>
        <w:ind w:left="0" w:firstLine="567"/>
        <w:rPr>
          <w:i w:val="0"/>
          <w:lang w:val="es-ES_tradnl"/>
        </w:rPr>
      </w:pPr>
      <w:r w:rsidRPr="00B26559">
        <w:rPr>
          <w:i w:val="0"/>
          <w:lang w:val="es-ES_tradnl"/>
        </w:rPr>
        <w:t>a)</w:t>
      </w:r>
      <w:r w:rsidRPr="00B26559">
        <w:rPr>
          <w:lang w:val="es-ES_tradnl"/>
        </w:rPr>
        <w:tab/>
      </w:r>
      <w:r w:rsidRPr="00B26559">
        <w:rPr>
          <w:i w:val="0"/>
          <w:lang w:val="es-ES_tradnl"/>
        </w:rPr>
        <w:t>examinar el nuevo “Método 3</w:t>
      </w:r>
      <w:proofErr w:type="gramStart"/>
      <w:r w:rsidRPr="00B26559">
        <w:rPr>
          <w:i w:val="0"/>
          <w:lang w:val="es-ES_tradnl"/>
        </w:rPr>
        <w:t>:  Combinar</w:t>
      </w:r>
      <w:proofErr w:type="gramEnd"/>
      <w:r w:rsidRPr="00B26559">
        <w:rPr>
          <w:i w:val="0"/>
          <w:lang w:val="es-ES_tradnl"/>
        </w:rPr>
        <w:t xml:space="preserve"> los resultados de dos ciclos de cultivo</w:t>
      </w:r>
      <w:r w:rsidR="00EE0CB7" w:rsidRPr="00B26559">
        <w:rPr>
          <w:lang w:val="es-ES_tradnl"/>
        </w:rPr>
        <w:t>”</w:t>
      </w:r>
      <w:r w:rsidRPr="00B26559">
        <w:rPr>
          <w:lang w:val="es-ES_tradnl"/>
        </w:rPr>
        <w:t xml:space="preserve"> </w:t>
      </w:r>
      <w:r w:rsidRPr="00B26559">
        <w:rPr>
          <w:i w:val="0"/>
          <w:lang w:val="es-ES_tradnl"/>
        </w:rPr>
        <w:t>propuesto para evaluar la homogeneidad de las plantas fuera de tipo</w:t>
      </w:r>
      <w:r w:rsidRPr="00B26559">
        <w:rPr>
          <w:lang w:val="es-ES_tradnl"/>
        </w:rPr>
        <w:t xml:space="preserve">, </w:t>
      </w:r>
      <w:r w:rsidRPr="00B26559">
        <w:rPr>
          <w:i w:val="0"/>
          <w:lang w:val="es-ES_tradnl"/>
        </w:rPr>
        <w:t>que figura en el Anexo I del presente documento</w:t>
      </w:r>
      <w:r w:rsidR="00621BF2" w:rsidRPr="00B26559">
        <w:rPr>
          <w:i w:val="0"/>
          <w:lang w:val="es-ES_tradnl"/>
        </w:rPr>
        <w:t xml:space="preserve">;  </w:t>
      </w:r>
    </w:p>
    <w:p w:rsidR="00E43167" w:rsidRPr="00B26559" w:rsidRDefault="00E43167" w:rsidP="00B26559">
      <w:pPr>
        <w:pStyle w:val="DecisionParagraphs"/>
        <w:keepLines/>
        <w:tabs>
          <w:tab w:val="clear" w:pos="5387"/>
          <w:tab w:val="left" w:pos="1134"/>
          <w:tab w:val="left" w:pos="5954"/>
        </w:tabs>
        <w:spacing w:after="120"/>
        <w:ind w:left="0" w:firstLine="567"/>
        <w:rPr>
          <w:i w:val="0"/>
          <w:lang w:val="es-ES_tradnl"/>
        </w:rPr>
      </w:pPr>
      <w:r w:rsidRPr="00B26559">
        <w:rPr>
          <w:i w:val="0"/>
          <w:lang w:val="es-ES_tradnl"/>
        </w:rPr>
        <w:t>b)</w:t>
      </w:r>
      <w:r w:rsidRPr="00B26559">
        <w:rPr>
          <w:lang w:val="es-ES_tradnl"/>
        </w:rPr>
        <w:tab/>
      </w:r>
      <w:r w:rsidRPr="00B26559">
        <w:rPr>
          <w:i w:val="0"/>
          <w:lang w:val="es-ES_tradnl"/>
        </w:rPr>
        <w:t>tomar</w:t>
      </w:r>
      <w:r w:rsidRPr="00B26559">
        <w:rPr>
          <w:lang w:val="es-ES_tradnl"/>
        </w:rPr>
        <w:t xml:space="preserve"> </w:t>
      </w:r>
      <w:r w:rsidRPr="00B26559">
        <w:rPr>
          <w:i w:val="0"/>
          <w:lang w:val="es-ES_tradnl"/>
        </w:rPr>
        <w:t>nota de que el TWA convino en solicitar una conexión por vídeo con los expertos del TWC para debatir el nuevo método propuesto, el “Método 3</w:t>
      </w:r>
      <w:proofErr w:type="gramStart"/>
      <w:r w:rsidRPr="00B26559">
        <w:rPr>
          <w:i w:val="0"/>
          <w:lang w:val="es-ES_tradnl"/>
        </w:rPr>
        <w:t>:  Combinar</w:t>
      </w:r>
      <w:proofErr w:type="gramEnd"/>
      <w:r w:rsidRPr="00B26559">
        <w:rPr>
          <w:i w:val="0"/>
          <w:lang w:val="es-ES_tradnl"/>
        </w:rPr>
        <w:t xml:space="preserve"> los resultados de dos ciclos de cultivo</w:t>
      </w:r>
      <w:r w:rsidR="007471C0" w:rsidRPr="00B26559">
        <w:rPr>
          <w:lang w:val="es-ES_tradnl"/>
        </w:rPr>
        <w:t>”</w:t>
      </w:r>
      <w:r w:rsidRPr="00B26559">
        <w:rPr>
          <w:i w:val="0"/>
          <w:lang w:val="es-ES_tradnl"/>
        </w:rPr>
        <w:t xml:space="preserve">, en su cuadragésima quinta sesión que se celebrará en 2016; </w:t>
      </w:r>
    </w:p>
    <w:p w:rsidR="00E43167" w:rsidRPr="00B26559" w:rsidRDefault="00E43167" w:rsidP="00B26559">
      <w:pPr>
        <w:pStyle w:val="DecisionParagraphs"/>
        <w:keepLines/>
        <w:tabs>
          <w:tab w:val="clear" w:pos="5387"/>
          <w:tab w:val="left" w:pos="1134"/>
          <w:tab w:val="left" w:pos="5954"/>
        </w:tabs>
        <w:spacing w:after="120"/>
        <w:ind w:left="0" w:firstLine="567"/>
        <w:rPr>
          <w:i w:val="0"/>
          <w:lang w:val="es-ES_tradnl"/>
        </w:rPr>
      </w:pPr>
      <w:r w:rsidRPr="00B26559">
        <w:rPr>
          <w:i w:val="0"/>
          <w:lang w:val="es-ES_tradnl"/>
        </w:rPr>
        <w:t>c)</w:t>
      </w:r>
      <w:r w:rsidRPr="00B26559">
        <w:rPr>
          <w:lang w:val="es-ES_tradnl"/>
        </w:rPr>
        <w:tab/>
      </w:r>
      <w:r w:rsidRPr="00B26559">
        <w:rPr>
          <w:i w:val="0"/>
          <w:lang w:val="es-ES_tradnl"/>
        </w:rPr>
        <w:t>examinar si es conveniente aclarar en el texto que el uso previsto de la orientación que figura en el Anexo I no es la evaluación de la homogeneidad de las plantas fuera de tipo en las mismas plantas en dos ciclos de cultivo;  y</w:t>
      </w:r>
    </w:p>
    <w:p w:rsidR="00E43167" w:rsidRPr="00B26559" w:rsidRDefault="00E43167" w:rsidP="00E43167">
      <w:pPr>
        <w:pStyle w:val="DecisionParagraphs"/>
        <w:keepLines/>
        <w:tabs>
          <w:tab w:val="clear" w:pos="5387"/>
          <w:tab w:val="left" w:pos="1134"/>
          <w:tab w:val="left" w:pos="5954"/>
        </w:tabs>
        <w:ind w:left="0" w:firstLine="567"/>
        <w:rPr>
          <w:i w:val="0"/>
          <w:lang w:val="es-ES_tradnl"/>
        </w:rPr>
      </w:pPr>
      <w:r w:rsidRPr="00B26559">
        <w:rPr>
          <w:i w:val="0"/>
          <w:lang w:val="es-ES_tradnl"/>
        </w:rPr>
        <w:t>d)</w:t>
      </w:r>
      <w:r w:rsidRPr="00B26559">
        <w:rPr>
          <w:lang w:val="es-ES_tradnl"/>
        </w:rPr>
        <w:tab/>
      </w:r>
      <w:r w:rsidRPr="00B26559">
        <w:rPr>
          <w:i w:val="0"/>
          <w:lang w:val="es-ES_tradnl"/>
        </w:rPr>
        <w:t>examinar el proyecto de orientación que figura en los Anexos I y II con miras a incluirlo en una futura revisión del documento TGP/10.</w:t>
      </w:r>
    </w:p>
    <w:p w:rsidR="00E43167" w:rsidRPr="00B26559" w:rsidRDefault="00E43167" w:rsidP="00E43167">
      <w:pPr>
        <w:autoSpaceDE w:val="0"/>
        <w:autoSpaceDN w:val="0"/>
        <w:adjustRightInd w:val="0"/>
        <w:rPr>
          <w:lang w:val="es-ES_tradnl"/>
        </w:rPr>
      </w:pPr>
    </w:p>
    <w:p w:rsidR="00E43167" w:rsidRPr="00B26559" w:rsidRDefault="00564778" w:rsidP="00E43167">
      <w:pPr>
        <w:autoSpaceDE w:val="0"/>
        <w:autoSpaceDN w:val="0"/>
        <w:adjustRightInd w:val="0"/>
        <w:rPr>
          <w:rFonts w:eastAsia="MS Mincho"/>
          <w:color w:val="000000"/>
          <w:szCs w:val="24"/>
          <w:lang w:val="es-ES_tradnl"/>
        </w:rPr>
      </w:pPr>
      <w:r w:rsidRPr="00B26559">
        <w:rPr>
          <w:rFonts w:eastAsia="MS Mincho"/>
          <w:color w:val="000000"/>
          <w:szCs w:val="24"/>
          <w:lang w:val="es-ES_tradnl"/>
        </w:rPr>
        <w:fldChar w:fldCharType="begin"/>
      </w:r>
      <w:r w:rsidR="00E43167" w:rsidRPr="00B26559">
        <w:rPr>
          <w:rFonts w:eastAsia="MS Mincho"/>
          <w:color w:val="000000"/>
          <w:szCs w:val="24"/>
          <w:lang w:val="es-ES_tradnl"/>
        </w:rPr>
        <w:instrText xml:space="preserve"> AUTONUM  </w:instrText>
      </w:r>
      <w:r w:rsidRPr="00B26559">
        <w:rPr>
          <w:rFonts w:eastAsia="MS Mincho"/>
          <w:color w:val="000000"/>
          <w:szCs w:val="24"/>
          <w:lang w:val="es-ES_tradnl"/>
        </w:rPr>
        <w:fldChar w:fldCharType="end"/>
      </w:r>
      <w:r w:rsidR="00E43167" w:rsidRPr="00B26559">
        <w:rPr>
          <w:lang w:val="es-ES_tradnl"/>
        </w:rPr>
        <w:tab/>
        <w:t>La estructura del presente documento es la siguiente</w:t>
      </w:r>
      <w:r w:rsidR="00E43167" w:rsidRPr="00B26559">
        <w:rPr>
          <w:color w:val="000000"/>
          <w:lang w:val="es-ES_tradnl"/>
        </w:rPr>
        <w:t>:</w:t>
      </w:r>
    </w:p>
    <w:p w:rsidR="00EE0CB7" w:rsidRPr="00B26559" w:rsidRDefault="00564778" w:rsidP="00B26559">
      <w:pPr>
        <w:pStyle w:val="TOC1"/>
        <w:rPr>
          <w:rFonts w:asciiTheme="minorHAnsi" w:eastAsiaTheme="minorEastAsia" w:hAnsiTheme="minorHAnsi" w:cstheme="minorBidi"/>
          <w:noProof/>
          <w:sz w:val="22"/>
          <w:szCs w:val="22"/>
          <w:lang w:val="es-ES_tradnl"/>
        </w:rPr>
      </w:pPr>
      <w:r w:rsidRPr="00B26559">
        <w:rPr>
          <w:noProof/>
          <w:snapToGrid w:val="0"/>
          <w:lang w:val="es-ES_tradnl"/>
        </w:rPr>
        <w:fldChar w:fldCharType="begin"/>
      </w:r>
      <w:r w:rsidR="00E43167" w:rsidRPr="00B26559">
        <w:rPr>
          <w:snapToGrid w:val="0"/>
          <w:lang w:val="es-ES_tradnl"/>
        </w:rPr>
        <w:instrText xml:space="preserve"> TOC \o "1-3" \h \z \u </w:instrText>
      </w:r>
      <w:r w:rsidRPr="00B26559">
        <w:rPr>
          <w:noProof/>
          <w:snapToGrid w:val="0"/>
          <w:lang w:val="es-ES_tradnl"/>
        </w:rPr>
        <w:fldChar w:fldCharType="separate"/>
      </w:r>
      <w:hyperlink w:anchor="_Toc442077466" w:history="1">
        <w:r w:rsidR="00EE0CB7" w:rsidRPr="00B26559">
          <w:rPr>
            <w:rStyle w:val="Hyperlink"/>
            <w:noProof/>
            <w:lang w:val="es-ES_tradnl"/>
          </w:rPr>
          <w:t>NOVEDADES ACAECIDAS EN 2015</w:t>
        </w:r>
        <w:r w:rsidR="00EE0CB7" w:rsidRPr="00B26559">
          <w:rPr>
            <w:noProof/>
            <w:webHidden/>
            <w:lang w:val="es-ES_tradnl"/>
          </w:rPr>
          <w:tab/>
        </w:r>
        <w:r w:rsidR="00EE0CB7" w:rsidRPr="00B26559">
          <w:rPr>
            <w:noProof/>
            <w:webHidden/>
            <w:lang w:val="es-ES_tradnl"/>
          </w:rPr>
          <w:fldChar w:fldCharType="begin"/>
        </w:r>
        <w:r w:rsidR="00EE0CB7" w:rsidRPr="00B26559">
          <w:rPr>
            <w:noProof/>
            <w:webHidden/>
            <w:lang w:val="es-ES_tradnl"/>
          </w:rPr>
          <w:instrText xml:space="preserve"> PAGEREF _Toc442077466 \h </w:instrText>
        </w:r>
        <w:r w:rsidR="00EE0CB7" w:rsidRPr="00B26559">
          <w:rPr>
            <w:noProof/>
            <w:webHidden/>
            <w:lang w:val="es-ES_tradnl"/>
          </w:rPr>
        </w:r>
        <w:r w:rsidR="00EE0CB7" w:rsidRPr="00B26559">
          <w:rPr>
            <w:noProof/>
            <w:webHidden/>
            <w:lang w:val="es-ES_tradnl"/>
          </w:rPr>
          <w:fldChar w:fldCharType="separate"/>
        </w:r>
        <w:r w:rsidR="0031651B">
          <w:rPr>
            <w:noProof/>
            <w:webHidden/>
            <w:lang w:val="es-ES_tradnl"/>
          </w:rPr>
          <w:t>2</w:t>
        </w:r>
        <w:r w:rsidR="00EE0CB7" w:rsidRPr="00B26559">
          <w:rPr>
            <w:noProof/>
            <w:webHidden/>
            <w:lang w:val="es-ES_tradnl"/>
          </w:rPr>
          <w:fldChar w:fldCharType="end"/>
        </w:r>
      </w:hyperlink>
    </w:p>
    <w:p w:rsidR="00EE0CB7" w:rsidRPr="00B26559" w:rsidRDefault="0031651B">
      <w:pPr>
        <w:pStyle w:val="TOC2"/>
        <w:rPr>
          <w:rFonts w:asciiTheme="minorHAnsi" w:eastAsiaTheme="minorEastAsia" w:hAnsiTheme="minorHAnsi" w:cstheme="minorBidi"/>
          <w:smallCaps w:val="0"/>
          <w:noProof/>
          <w:sz w:val="22"/>
          <w:szCs w:val="22"/>
          <w:lang w:val="es-ES_tradnl"/>
        </w:rPr>
      </w:pPr>
      <w:hyperlink w:anchor="_Toc442077467" w:history="1">
        <w:r w:rsidR="00EE0CB7" w:rsidRPr="00B26559">
          <w:rPr>
            <w:rStyle w:val="Hyperlink"/>
            <w:noProof/>
            <w:lang w:val="es-ES_tradnl"/>
          </w:rPr>
          <w:t>Comité Técnico</w:t>
        </w:r>
        <w:r w:rsidR="00EE0CB7" w:rsidRPr="00B26559">
          <w:rPr>
            <w:noProof/>
            <w:webHidden/>
            <w:lang w:val="es-ES_tradnl"/>
          </w:rPr>
          <w:tab/>
        </w:r>
        <w:r w:rsidR="00EE0CB7" w:rsidRPr="00B26559">
          <w:rPr>
            <w:noProof/>
            <w:webHidden/>
            <w:lang w:val="es-ES_tradnl"/>
          </w:rPr>
          <w:fldChar w:fldCharType="begin"/>
        </w:r>
        <w:r w:rsidR="00EE0CB7" w:rsidRPr="00B26559">
          <w:rPr>
            <w:noProof/>
            <w:webHidden/>
            <w:lang w:val="es-ES_tradnl"/>
          </w:rPr>
          <w:instrText xml:space="preserve"> PAGEREF _Toc442077467 \h </w:instrText>
        </w:r>
        <w:r w:rsidR="00EE0CB7" w:rsidRPr="00B26559">
          <w:rPr>
            <w:noProof/>
            <w:webHidden/>
            <w:lang w:val="es-ES_tradnl"/>
          </w:rPr>
        </w:r>
        <w:r w:rsidR="00EE0CB7" w:rsidRPr="00B26559">
          <w:rPr>
            <w:noProof/>
            <w:webHidden/>
            <w:lang w:val="es-ES_tradnl"/>
          </w:rPr>
          <w:fldChar w:fldCharType="separate"/>
        </w:r>
        <w:r>
          <w:rPr>
            <w:noProof/>
            <w:webHidden/>
            <w:lang w:val="es-ES_tradnl"/>
          </w:rPr>
          <w:t>2</w:t>
        </w:r>
        <w:r w:rsidR="00EE0CB7" w:rsidRPr="00B26559">
          <w:rPr>
            <w:noProof/>
            <w:webHidden/>
            <w:lang w:val="es-ES_tradnl"/>
          </w:rPr>
          <w:fldChar w:fldCharType="end"/>
        </w:r>
      </w:hyperlink>
    </w:p>
    <w:p w:rsidR="00EE0CB7" w:rsidRPr="00B26559" w:rsidRDefault="0031651B">
      <w:pPr>
        <w:pStyle w:val="TOC2"/>
        <w:rPr>
          <w:rFonts w:asciiTheme="minorHAnsi" w:eastAsiaTheme="minorEastAsia" w:hAnsiTheme="minorHAnsi" w:cstheme="minorBidi"/>
          <w:smallCaps w:val="0"/>
          <w:noProof/>
          <w:sz w:val="22"/>
          <w:szCs w:val="22"/>
          <w:lang w:val="es-ES_tradnl"/>
        </w:rPr>
      </w:pPr>
      <w:hyperlink w:anchor="_Toc442077468" w:history="1">
        <w:r w:rsidR="00EE0CB7" w:rsidRPr="00B26559">
          <w:rPr>
            <w:rStyle w:val="Hyperlink"/>
            <w:noProof/>
            <w:snapToGrid w:val="0"/>
            <w:lang w:val="es-ES_tradnl"/>
          </w:rPr>
          <w:t>Grupos de Trabajo Técnico</w:t>
        </w:r>
        <w:r w:rsidR="00EE0CB7" w:rsidRPr="00B26559">
          <w:rPr>
            <w:noProof/>
            <w:webHidden/>
            <w:lang w:val="es-ES_tradnl"/>
          </w:rPr>
          <w:tab/>
        </w:r>
        <w:r w:rsidR="00EE0CB7" w:rsidRPr="00B26559">
          <w:rPr>
            <w:noProof/>
            <w:webHidden/>
            <w:lang w:val="es-ES_tradnl"/>
          </w:rPr>
          <w:fldChar w:fldCharType="begin"/>
        </w:r>
        <w:r w:rsidR="00EE0CB7" w:rsidRPr="00B26559">
          <w:rPr>
            <w:noProof/>
            <w:webHidden/>
            <w:lang w:val="es-ES_tradnl"/>
          </w:rPr>
          <w:instrText xml:space="preserve"> PAGEREF _Toc442077468 \h </w:instrText>
        </w:r>
        <w:r w:rsidR="00EE0CB7" w:rsidRPr="00B26559">
          <w:rPr>
            <w:noProof/>
            <w:webHidden/>
            <w:lang w:val="es-ES_tradnl"/>
          </w:rPr>
        </w:r>
        <w:r w:rsidR="00EE0CB7" w:rsidRPr="00B26559">
          <w:rPr>
            <w:noProof/>
            <w:webHidden/>
            <w:lang w:val="es-ES_tradnl"/>
          </w:rPr>
          <w:fldChar w:fldCharType="separate"/>
        </w:r>
        <w:r>
          <w:rPr>
            <w:noProof/>
            <w:webHidden/>
            <w:lang w:val="es-ES_tradnl"/>
          </w:rPr>
          <w:t>3</w:t>
        </w:r>
        <w:r w:rsidR="00EE0CB7" w:rsidRPr="00B26559">
          <w:rPr>
            <w:noProof/>
            <w:webHidden/>
            <w:lang w:val="es-ES_tradnl"/>
          </w:rPr>
          <w:fldChar w:fldCharType="end"/>
        </w:r>
      </w:hyperlink>
    </w:p>
    <w:p w:rsidR="00EE0CB7" w:rsidRPr="00B26559" w:rsidRDefault="0031651B">
      <w:pPr>
        <w:pStyle w:val="TOC3"/>
        <w:rPr>
          <w:rFonts w:asciiTheme="minorHAnsi" w:eastAsiaTheme="minorEastAsia" w:hAnsiTheme="minorHAnsi" w:cstheme="minorBidi"/>
          <w:noProof/>
          <w:sz w:val="22"/>
          <w:szCs w:val="22"/>
          <w:lang w:val="es-ES_tradnl"/>
        </w:rPr>
      </w:pPr>
      <w:hyperlink w:anchor="_Toc442077469" w:history="1">
        <w:r w:rsidR="00EE0CB7" w:rsidRPr="00B26559">
          <w:rPr>
            <w:rStyle w:val="Hyperlink"/>
            <w:noProof/>
            <w:snapToGrid w:val="0"/>
            <w:lang w:val="es-ES_tradnl"/>
          </w:rPr>
          <w:t>Grupo de Trabajo Técnico sobre Hortalizas</w:t>
        </w:r>
        <w:r w:rsidR="00EE0CB7" w:rsidRPr="00B26559">
          <w:rPr>
            <w:noProof/>
            <w:webHidden/>
            <w:lang w:val="es-ES_tradnl"/>
          </w:rPr>
          <w:tab/>
        </w:r>
        <w:r w:rsidR="00EE0CB7" w:rsidRPr="00B26559">
          <w:rPr>
            <w:noProof/>
            <w:webHidden/>
            <w:lang w:val="es-ES_tradnl"/>
          </w:rPr>
          <w:fldChar w:fldCharType="begin"/>
        </w:r>
        <w:r w:rsidR="00EE0CB7" w:rsidRPr="00B26559">
          <w:rPr>
            <w:noProof/>
            <w:webHidden/>
            <w:lang w:val="es-ES_tradnl"/>
          </w:rPr>
          <w:instrText xml:space="preserve"> PAGEREF _Toc442077469 \h </w:instrText>
        </w:r>
        <w:r w:rsidR="00EE0CB7" w:rsidRPr="00B26559">
          <w:rPr>
            <w:noProof/>
            <w:webHidden/>
            <w:lang w:val="es-ES_tradnl"/>
          </w:rPr>
        </w:r>
        <w:r w:rsidR="00EE0CB7" w:rsidRPr="00B26559">
          <w:rPr>
            <w:noProof/>
            <w:webHidden/>
            <w:lang w:val="es-ES_tradnl"/>
          </w:rPr>
          <w:fldChar w:fldCharType="separate"/>
        </w:r>
        <w:r>
          <w:rPr>
            <w:noProof/>
            <w:webHidden/>
            <w:lang w:val="es-ES_tradnl"/>
          </w:rPr>
          <w:t>3</w:t>
        </w:r>
        <w:r w:rsidR="00EE0CB7" w:rsidRPr="00B26559">
          <w:rPr>
            <w:noProof/>
            <w:webHidden/>
            <w:lang w:val="es-ES_tradnl"/>
          </w:rPr>
          <w:fldChar w:fldCharType="end"/>
        </w:r>
      </w:hyperlink>
    </w:p>
    <w:p w:rsidR="00EE0CB7" w:rsidRPr="00B26559" w:rsidRDefault="0031651B">
      <w:pPr>
        <w:pStyle w:val="TOC3"/>
        <w:rPr>
          <w:rFonts w:asciiTheme="minorHAnsi" w:eastAsiaTheme="minorEastAsia" w:hAnsiTheme="minorHAnsi" w:cstheme="minorBidi"/>
          <w:noProof/>
          <w:sz w:val="22"/>
          <w:szCs w:val="22"/>
          <w:lang w:val="es-ES_tradnl"/>
        </w:rPr>
      </w:pPr>
      <w:hyperlink w:anchor="_Toc442077470" w:history="1">
        <w:r w:rsidR="00EE0CB7" w:rsidRPr="00B26559">
          <w:rPr>
            <w:rStyle w:val="Hyperlink"/>
            <w:noProof/>
            <w:lang w:val="es-ES_tradnl"/>
          </w:rPr>
          <w:t>Grupo de Trabajo Técnico sobre Automatización y Programas Informáticos</w:t>
        </w:r>
        <w:r w:rsidR="00EE0CB7" w:rsidRPr="00B26559">
          <w:rPr>
            <w:noProof/>
            <w:webHidden/>
            <w:lang w:val="es-ES_tradnl"/>
          </w:rPr>
          <w:tab/>
        </w:r>
        <w:r w:rsidR="00EE0CB7" w:rsidRPr="00B26559">
          <w:rPr>
            <w:noProof/>
            <w:webHidden/>
            <w:lang w:val="es-ES_tradnl"/>
          </w:rPr>
          <w:fldChar w:fldCharType="begin"/>
        </w:r>
        <w:r w:rsidR="00EE0CB7" w:rsidRPr="00B26559">
          <w:rPr>
            <w:noProof/>
            <w:webHidden/>
            <w:lang w:val="es-ES_tradnl"/>
          </w:rPr>
          <w:instrText xml:space="preserve"> PAGEREF _Toc442077470 \h </w:instrText>
        </w:r>
        <w:r w:rsidR="00EE0CB7" w:rsidRPr="00B26559">
          <w:rPr>
            <w:noProof/>
            <w:webHidden/>
            <w:lang w:val="es-ES_tradnl"/>
          </w:rPr>
        </w:r>
        <w:r w:rsidR="00EE0CB7" w:rsidRPr="00B26559">
          <w:rPr>
            <w:noProof/>
            <w:webHidden/>
            <w:lang w:val="es-ES_tradnl"/>
          </w:rPr>
          <w:fldChar w:fldCharType="separate"/>
        </w:r>
        <w:r>
          <w:rPr>
            <w:noProof/>
            <w:webHidden/>
            <w:lang w:val="es-ES_tradnl"/>
          </w:rPr>
          <w:t>3</w:t>
        </w:r>
        <w:r w:rsidR="00EE0CB7" w:rsidRPr="00B26559">
          <w:rPr>
            <w:noProof/>
            <w:webHidden/>
            <w:lang w:val="es-ES_tradnl"/>
          </w:rPr>
          <w:fldChar w:fldCharType="end"/>
        </w:r>
      </w:hyperlink>
    </w:p>
    <w:p w:rsidR="00EE0CB7" w:rsidRPr="00B26559" w:rsidRDefault="0031651B">
      <w:pPr>
        <w:pStyle w:val="TOC3"/>
        <w:rPr>
          <w:rFonts w:asciiTheme="minorHAnsi" w:eastAsiaTheme="minorEastAsia" w:hAnsiTheme="minorHAnsi" w:cstheme="minorBidi"/>
          <w:noProof/>
          <w:sz w:val="22"/>
          <w:szCs w:val="22"/>
          <w:lang w:val="es-ES_tradnl"/>
        </w:rPr>
      </w:pPr>
      <w:hyperlink w:anchor="_Toc442077471" w:history="1">
        <w:r w:rsidR="00EE0CB7" w:rsidRPr="00B26559">
          <w:rPr>
            <w:rStyle w:val="Hyperlink"/>
            <w:noProof/>
            <w:lang w:val="es-ES_tradnl"/>
          </w:rPr>
          <w:t>Grupo de Trabajo Técnico sobre Plantas Agrícolas</w:t>
        </w:r>
        <w:r w:rsidR="00EE0CB7" w:rsidRPr="00B26559">
          <w:rPr>
            <w:noProof/>
            <w:webHidden/>
            <w:lang w:val="es-ES_tradnl"/>
          </w:rPr>
          <w:tab/>
        </w:r>
        <w:r w:rsidR="00EE0CB7" w:rsidRPr="00B26559">
          <w:rPr>
            <w:noProof/>
            <w:webHidden/>
            <w:lang w:val="es-ES_tradnl"/>
          </w:rPr>
          <w:fldChar w:fldCharType="begin"/>
        </w:r>
        <w:r w:rsidR="00EE0CB7" w:rsidRPr="00B26559">
          <w:rPr>
            <w:noProof/>
            <w:webHidden/>
            <w:lang w:val="es-ES_tradnl"/>
          </w:rPr>
          <w:instrText xml:space="preserve"> PAGEREF _Toc442077471 \h </w:instrText>
        </w:r>
        <w:r w:rsidR="00EE0CB7" w:rsidRPr="00B26559">
          <w:rPr>
            <w:noProof/>
            <w:webHidden/>
            <w:lang w:val="es-ES_tradnl"/>
          </w:rPr>
        </w:r>
        <w:r w:rsidR="00EE0CB7" w:rsidRPr="00B26559">
          <w:rPr>
            <w:noProof/>
            <w:webHidden/>
            <w:lang w:val="es-ES_tradnl"/>
          </w:rPr>
          <w:fldChar w:fldCharType="separate"/>
        </w:r>
        <w:r>
          <w:rPr>
            <w:noProof/>
            <w:webHidden/>
            <w:lang w:val="es-ES_tradnl"/>
          </w:rPr>
          <w:t>4</w:t>
        </w:r>
        <w:r w:rsidR="00EE0CB7" w:rsidRPr="00B26559">
          <w:rPr>
            <w:noProof/>
            <w:webHidden/>
            <w:lang w:val="es-ES_tradnl"/>
          </w:rPr>
          <w:fldChar w:fldCharType="end"/>
        </w:r>
      </w:hyperlink>
    </w:p>
    <w:p w:rsidR="00EE0CB7" w:rsidRPr="00B26559" w:rsidRDefault="0031651B">
      <w:pPr>
        <w:pStyle w:val="TOC3"/>
        <w:rPr>
          <w:rFonts w:asciiTheme="minorHAnsi" w:eastAsiaTheme="minorEastAsia" w:hAnsiTheme="minorHAnsi" w:cstheme="minorBidi"/>
          <w:noProof/>
          <w:sz w:val="22"/>
          <w:szCs w:val="22"/>
          <w:lang w:val="es-ES_tradnl"/>
        </w:rPr>
      </w:pPr>
      <w:hyperlink w:anchor="_Toc442077472" w:history="1">
        <w:r w:rsidR="00EE0CB7" w:rsidRPr="00B26559">
          <w:rPr>
            <w:rStyle w:val="Hyperlink"/>
            <w:noProof/>
            <w:lang w:val="es-ES_tradnl"/>
          </w:rPr>
          <w:t>Grupo de Trabajo Técnico sobre Plantas Frutales</w:t>
        </w:r>
        <w:r w:rsidR="00EE0CB7" w:rsidRPr="00B26559">
          <w:rPr>
            <w:noProof/>
            <w:webHidden/>
            <w:lang w:val="es-ES_tradnl"/>
          </w:rPr>
          <w:tab/>
        </w:r>
        <w:r w:rsidR="00EE0CB7" w:rsidRPr="00B26559">
          <w:rPr>
            <w:noProof/>
            <w:webHidden/>
            <w:lang w:val="es-ES_tradnl"/>
          </w:rPr>
          <w:fldChar w:fldCharType="begin"/>
        </w:r>
        <w:r w:rsidR="00EE0CB7" w:rsidRPr="00B26559">
          <w:rPr>
            <w:noProof/>
            <w:webHidden/>
            <w:lang w:val="es-ES_tradnl"/>
          </w:rPr>
          <w:instrText xml:space="preserve"> PAGEREF _Toc442077472 \h </w:instrText>
        </w:r>
        <w:r w:rsidR="00EE0CB7" w:rsidRPr="00B26559">
          <w:rPr>
            <w:noProof/>
            <w:webHidden/>
            <w:lang w:val="es-ES_tradnl"/>
          </w:rPr>
        </w:r>
        <w:r w:rsidR="00EE0CB7" w:rsidRPr="00B26559">
          <w:rPr>
            <w:noProof/>
            <w:webHidden/>
            <w:lang w:val="es-ES_tradnl"/>
          </w:rPr>
          <w:fldChar w:fldCharType="separate"/>
        </w:r>
        <w:r>
          <w:rPr>
            <w:noProof/>
            <w:webHidden/>
            <w:lang w:val="es-ES_tradnl"/>
          </w:rPr>
          <w:t>4</w:t>
        </w:r>
        <w:r w:rsidR="00EE0CB7" w:rsidRPr="00B26559">
          <w:rPr>
            <w:noProof/>
            <w:webHidden/>
            <w:lang w:val="es-ES_tradnl"/>
          </w:rPr>
          <w:fldChar w:fldCharType="end"/>
        </w:r>
      </w:hyperlink>
    </w:p>
    <w:p w:rsidR="00EE0CB7" w:rsidRPr="00B26559" w:rsidRDefault="0031651B">
      <w:pPr>
        <w:pStyle w:val="TOC3"/>
        <w:rPr>
          <w:rFonts w:asciiTheme="minorHAnsi" w:eastAsiaTheme="minorEastAsia" w:hAnsiTheme="minorHAnsi" w:cstheme="minorBidi"/>
          <w:noProof/>
          <w:sz w:val="22"/>
          <w:szCs w:val="22"/>
          <w:lang w:val="es-ES_tradnl"/>
        </w:rPr>
      </w:pPr>
      <w:hyperlink w:anchor="_Toc442077473" w:history="1">
        <w:r w:rsidR="00EE0CB7" w:rsidRPr="00B26559">
          <w:rPr>
            <w:rStyle w:val="Hyperlink"/>
            <w:noProof/>
            <w:lang w:val="es-ES_tradnl"/>
          </w:rPr>
          <w:t>Grupo de Trabajo Técnico sobre Plantas Ornamentales</w:t>
        </w:r>
        <w:r w:rsidR="00EE0CB7" w:rsidRPr="00B26559">
          <w:rPr>
            <w:noProof/>
            <w:webHidden/>
            <w:lang w:val="es-ES_tradnl"/>
          </w:rPr>
          <w:tab/>
        </w:r>
        <w:r w:rsidR="00EE0CB7" w:rsidRPr="00B26559">
          <w:rPr>
            <w:noProof/>
            <w:webHidden/>
            <w:lang w:val="es-ES_tradnl"/>
          </w:rPr>
          <w:fldChar w:fldCharType="begin"/>
        </w:r>
        <w:r w:rsidR="00EE0CB7" w:rsidRPr="00B26559">
          <w:rPr>
            <w:noProof/>
            <w:webHidden/>
            <w:lang w:val="es-ES_tradnl"/>
          </w:rPr>
          <w:instrText xml:space="preserve"> PAGEREF _Toc442077473 \h </w:instrText>
        </w:r>
        <w:r w:rsidR="00EE0CB7" w:rsidRPr="00B26559">
          <w:rPr>
            <w:noProof/>
            <w:webHidden/>
            <w:lang w:val="es-ES_tradnl"/>
          </w:rPr>
        </w:r>
        <w:r w:rsidR="00EE0CB7" w:rsidRPr="00B26559">
          <w:rPr>
            <w:noProof/>
            <w:webHidden/>
            <w:lang w:val="es-ES_tradnl"/>
          </w:rPr>
          <w:fldChar w:fldCharType="separate"/>
        </w:r>
        <w:r>
          <w:rPr>
            <w:noProof/>
            <w:webHidden/>
            <w:lang w:val="es-ES_tradnl"/>
          </w:rPr>
          <w:t>5</w:t>
        </w:r>
        <w:r w:rsidR="00EE0CB7" w:rsidRPr="00B26559">
          <w:rPr>
            <w:noProof/>
            <w:webHidden/>
            <w:lang w:val="es-ES_tradnl"/>
          </w:rPr>
          <w:fldChar w:fldCharType="end"/>
        </w:r>
      </w:hyperlink>
    </w:p>
    <w:p w:rsidR="00EE0CB7" w:rsidRPr="00B26559" w:rsidRDefault="0031651B" w:rsidP="00B26559">
      <w:pPr>
        <w:pStyle w:val="TOC1"/>
        <w:rPr>
          <w:rFonts w:asciiTheme="minorHAnsi" w:eastAsiaTheme="minorEastAsia" w:hAnsiTheme="minorHAnsi" w:cstheme="minorBidi"/>
          <w:noProof/>
          <w:sz w:val="22"/>
          <w:szCs w:val="22"/>
          <w:lang w:val="es-ES_tradnl"/>
        </w:rPr>
      </w:pPr>
      <w:hyperlink w:anchor="_Toc442077474" w:history="1">
        <w:r w:rsidR="00EE0CB7" w:rsidRPr="00B26559">
          <w:rPr>
            <w:rStyle w:val="Hyperlink"/>
            <w:noProof/>
            <w:lang w:val="es-ES_tradnl"/>
          </w:rPr>
          <w:t>Resumen de los métodos</w:t>
        </w:r>
        <w:r w:rsidR="00EE0CB7" w:rsidRPr="00B26559">
          <w:rPr>
            <w:noProof/>
            <w:webHidden/>
            <w:lang w:val="es-ES_tradnl"/>
          </w:rPr>
          <w:tab/>
        </w:r>
        <w:r w:rsidR="00EE0CB7" w:rsidRPr="00B26559">
          <w:rPr>
            <w:noProof/>
            <w:webHidden/>
            <w:lang w:val="es-ES_tradnl"/>
          </w:rPr>
          <w:fldChar w:fldCharType="begin"/>
        </w:r>
        <w:r w:rsidR="00EE0CB7" w:rsidRPr="00B26559">
          <w:rPr>
            <w:noProof/>
            <w:webHidden/>
            <w:lang w:val="es-ES_tradnl"/>
          </w:rPr>
          <w:instrText xml:space="preserve"> PAGEREF _Toc442077474 \h </w:instrText>
        </w:r>
        <w:r w:rsidR="00EE0CB7" w:rsidRPr="00B26559">
          <w:rPr>
            <w:noProof/>
            <w:webHidden/>
            <w:lang w:val="es-ES_tradnl"/>
          </w:rPr>
        </w:r>
        <w:r w:rsidR="00EE0CB7" w:rsidRPr="00B26559">
          <w:rPr>
            <w:noProof/>
            <w:webHidden/>
            <w:lang w:val="es-ES_tradnl"/>
          </w:rPr>
          <w:fldChar w:fldCharType="separate"/>
        </w:r>
        <w:r>
          <w:rPr>
            <w:noProof/>
            <w:webHidden/>
            <w:lang w:val="es-ES_tradnl"/>
          </w:rPr>
          <w:t>5</w:t>
        </w:r>
        <w:r w:rsidR="00EE0CB7" w:rsidRPr="00B26559">
          <w:rPr>
            <w:noProof/>
            <w:webHidden/>
            <w:lang w:val="es-ES_tradnl"/>
          </w:rPr>
          <w:fldChar w:fldCharType="end"/>
        </w:r>
      </w:hyperlink>
    </w:p>
    <w:p w:rsidR="00E43167" w:rsidRPr="00B26559" w:rsidRDefault="00564778" w:rsidP="00B26559">
      <w:pPr>
        <w:tabs>
          <w:tab w:val="left" w:pos="1276"/>
        </w:tabs>
        <w:autoSpaceDE w:val="0"/>
        <w:autoSpaceDN w:val="0"/>
        <w:adjustRightInd w:val="0"/>
        <w:spacing w:before="120"/>
        <w:ind w:left="1276" w:hanging="1276"/>
        <w:rPr>
          <w:rFonts w:asciiTheme="minorHAnsi" w:eastAsiaTheme="minorEastAsia" w:hAnsiTheme="minorHAnsi" w:cstheme="minorBidi"/>
          <w:caps/>
          <w:noProof/>
          <w:sz w:val="22"/>
          <w:szCs w:val="22"/>
          <w:lang w:val="es-ES_tradnl"/>
        </w:rPr>
      </w:pPr>
      <w:r w:rsidRPr="00B26559">
        <w:rPr>
          <w:snapToGrid w:val="0"/>
          <w:lang w:val="es-ES_tradnl"/>
        </w:rPr>
        <w:fldChar w:fldCharType="end"/>
      </w:r>
      <w:r w:rsidR="00E43167" w:rsidRPr="00B26559">
        <w:rPr>
          <w:lang w:val="es-ES_tradnl"/>
        </w:rPr>
        <w:t>ANEXO I:</w:t>
      </w:r>
      <w:r w:rsidR="00EE0CB7" w:rsidRPr="00B26559">
        <w:rPr>
          <w:lang w:val="es-ES_tradnl"/>
        </w:rPr>
        <w:t xml:space="preserve"> </w:t>
      </w:r>
      <w:r w:rsidR="00EE0CB7" w:rsidRPr="00B26559">
        <w:rPr>
          <w:lang w:val="es-ES_tradnl"/>
        </w:rPr>
        <w:tab/>
      </w:r>
      <w:r w:rsidR="00E43167" w:rsidRPr="00B26559">
        <w:rPr>
          <w:color w:val="000000"/>
          <w:lang w:val="es-ES_tradnl"/>
        </w:rPr>
        <w:t>Evaluación de la homogeneidad de las plantas fuera de tipo mediante la observación de más de un ciclo de cultivo</w:t>
      </w:r>
    </w:p>
    <w:p w:rsidR="00E43167" w:rsidRPr="00B26559" w:rsidRDefault="00E43167" w:rsidP="00B26559">
      <w:pPr>
        <w:tabs>
          <w:tab w:val="left" w:pos="1276"/>
        </w:tabs>
        <w:autoSpaceDE w:val="0"/>
        <w:autoSpaceDN w:val="0"/>
        <w:adjustRightInd w:val="0"/>
        <w:ind w:left="1276" w:hanging="1276"/>
        <w:rPr>
          <w:rFonts w:eastAsia="MS Mincho"/>
          <w:color w:val="000000"/>
          <w:szCs w:val="24"/>
          <w:lang w:val="es-ES_tradnl"/>
        </w:rPr>
      </w:pPr>
      <w:r w:rsidRPr="00B26559">
        <w:rPr>
          <w:color w:val="000000"/>
          <w:lang w:val="es-ES_tradnl"/>
        </w:rPr>
        <w:lastRenderedPageBreak/>
        <w:t>ANEXO II:</w:t>
      </w:r>
      <w:r w:rsidRPr="00B26559">
        <w:rPr>
          <w:lang w:val="es-ES_tradnl"/>
        </w:rPr>
        <w:tab/>
      </w:r>
      <w:r w:rsidRPr="00B26559">
        <w:rPr>
          <w:color w:val="000000"/>
          <w:lang w:val="es-ES_tradnl"/>
        </w:rPr>
        <w:t xml:space="preserve">Evaluación de la homogeneidad de las plantas fuera de tipo mediante la observación de </w:t>
      </w:r>
      <w:proofErr w:type="spellStart"/>
      <w:r w:rsidRPr="00B26559">
        <w:rPr>
          <w:color w:val="000000"/>
          <w:lang w:val="es-ES_tradnl"/>
        </w:rPr>
        <w:t>submuestras</w:t>
      </w:r>
      <w:proofErr w:type="spellEnd"/>
      <w:r w:rsidRPr="00B26559">
        <w:rPr>
          <w:color w:val="000000"/>
          <w:lang w:val="es-ES_tradnl"/>
        </w:rPr>
        <w:t xml:space="preserve"> en un único examen o ensayo</w:t>
      </w:r>
    </w:p>
    <w:p w:rsidR="00E43167" w:rsidRPr="00B26559" w:rsidRDefault="00E43167" w:rsidP="00B26559">
      <w:pPr>
        <w:tabs>
          <w:tab w:val="left" w:pos="1276"/>
        </w:tabs>
        <w:autoSpaceDE w:val="0"/>
        <w:autoSpaceDN w:val="0"/>
        <w:adjustRightInd w:val="0"/>
        <w:ind w:left="1276" w:hanging="1276"/>
        <w:rPr>
          <w:color w:val="000000"/>
          <w:lang w:val="es-ES_tradnl"/>
        </w:rPr>
      </w:pPr>
      <w:r w:rsidRPr="00B26559">
        <w:rPr>
          <w:color w:val="000000"/>
          <w:lang w:val="es-ES_tradnl"/>
        </w:rPr>
        <w:t>ANEXO III:</w:t>
      </w:r>
      <w:r w:rsidRPr="00B26559">
        <w:rPr>
          <w:lang w:val="es-ES_tradnl"/>
        </w:rPr>
        <w:tab/>
      </w:r>
      <w:r w:rsidRPr="00B26559">
        <w:rPr>
          <w:color w:val="000000"/>
          <w:lang w:val="es-ES_tradnl"/>
        </w:rPr>
        <w:t>Evaluación de la homogeneidad de las plantas fuera de tipo mediante la observación de más de un ciclo de cultivo</w:t>
      </w:r>
      <w:proofErr w:type="gramStart"/>
      <w:r w:rsidR="00621BF2" w:rsidRPr="00B26559">
        <w:rPr>
          <w:color w:val="000000"/>
          <w:lang w:val="es-ES_tradnl"/>
        </w:rPr>
        <w:t xml:space="preserve">:  </w:t>
      </w:r>
      <w:r w:rsidRPr="00B26559">
        <w:rPr>
          <w:color w:val="000000"/>
          <w:lang w:val="es-ES_tradnl"/>
        </w:rPr>
        <w:t>riesgos</w:t>
      </w:r>
      <w:proofErr w:type="gramEnd"/>
      <w:r w:rsidRPr="00B26559">
        <w:rPr>
          <w:color w:val="000000"/>
          <w:lang w:val="es-ES_tradnl"/>
        </w:rPr>
        <w:t>, beneficios y costos (Ponencia a cargo de los expertos de Alemania y el Reino Unido durante la trigésima tercera sesión del TWC, celebrada en Natal (Brasil) del 30 de junio al 3 de julio de 2015) (</w:t>
      </w:r>
      <w:r w:rsidR="00B26559" w:rsidRPr="00B26559">
        <w:rPr>
          <w:color w:val="000000"/>
          <w:lang w:val="es-ES_tradnl"/>
        </w:rPr>
        <w:t>sol</w:t>
      </w:r>
      <w:r w:rsidRPr="00B26559">
        <w:rPr>
          <w:color w:val="000000"/>
          <w:lang w:val="es-ES_tradnl"/>
        </w:rPr>
        <w:t>amente en inglés)</w:t>
      </w:r>
    </w:p>
    <w:p w:rsidR="00EE0CB7" w:rsidRPr="00B26559" w:rsidRDefault="00EE0CB7" w:rsidP="00E43167">
      <w:pPr>
        <w:tabs>
          <w:tab w:val="left" w:pos="1701"/>
        </w:tabs>
        <w:autoSpaceDE w:val="0"/>
        <w:autoSpaceDN w:val="0"/>
        <w:adjustRightInd w:val="0"/>
        <w:ind w:left="1701" w:hanging="1701"/>
        <w:rPr>
          <w:rFonts w:eastAsia="MS Mincho"/>
          <w:color w:val="000000"/>
          <w:szCs w:val="24"/>
          <w:lang w:val="es-ES_tradnl"/>
        </w:rPr>
      </w:pPr>
    </w:p>
    <w:p w:rsidR="00E43167" w:rsidRPr="00B26559" w:rsidRDefault="00564778" w:rsidP="00E43167">
      <w:pPr>
        <w:keepNext/>
        <w:rPr>
          <w:rFonts w:cs="Arial"/>
          <w:color w:val="000000"/>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En el presente documento se utilizan las siguientes abreviaturas:</w:t>
      </w:r>
    </w:p>
    <w:p w:rsidR="00E43167" w:rsidRPr="00B26559" w:rsidRDefault="00E43167" w:rsidP="00E43167">
      <w:pPr>
        <w:keepNext/>
        <w:rPr>
          <w:rFonts w:cs="Arial"/>
          <w:color w:val="000000"/>
          <w:lang w:val="es-ES_tradnl"/>
        </w:rPr>
      </w:pPr>
    </w:p>
    <w:p w:rsidR="00E43167" w:rsidRPr="00B26559" w:rsidRDefault="00E43167" w:rsidP="00E43167">
      <w:pPr>
        <w:keepNext/>
        <w:rPr>
          <w:rFonts w:cs="Arial"/>
          <w:lang w:val="es-ES_tradnl"/>
        </w:rPr>
      </w:pPr>
      <w:r w:rsidRPr="00B26559">
        <w:rPr>
          <w:lang w:val="es-ES_tradnl"/>
        </w:rPr>
        <w:tab/>
        <w:t>TC:</w:t>
      </w:r>
      <w:r w:rsidRPr="00B26559">
        <w:rPr>
          <w:lang w:val="es-ES_tradnl"/>
        </w:rPr>
        <w:tab/>
      </w:r>
      <w:r w:rsidRPr="00B26559">
        <w:rPr>
          <w:lang w:val="es-ES_tradnl"/>
        </w:rPr>
        <w:tab/>
        <w:t>Comité Técnico</w:t>
      </w:r>
    </w:p>
    <w:p w:rsidR="00E43167" w:rsidRPr="00B26559" w:rsidRDefault="00E43167" w:rsidP="00E43167">
      <w:pPr>
        <w:rPr>
          <w:rFonts w:eastAsia="PMingLiU" w:cs="Arial"/>
          <w:szCs w:val="24"/>
          <w:lang w:val="es-ES_tradnl"/>
        </w:rPr>
      </w:pPr>
      <w:r w:rsidRPr="00B26559">
        <w:rPr>
          <w:lang w:val="es-ES_tradnl"/>
        </w:rPr>
        <w:tab/>
        <w:t>TC-EDC:</w:t>
      </w:r>
      <w:r w:rsidRPr="00B26559">
        <w:rPr>
          <w:lang w:val="es-ES_tradnl"/>
        </w:rPr>
        <w:tab/>
        <w:t>Comité de Redacción Ampliado</w:t>
      </w:r>
    </w:p>
    <w:p w:rsidR="00E43167" w:rsidRPr="00B26559" w:rsidRDefault="00E43167" w:rsidP="00E43167">
      <w:pPr>
        <w:rPr>
          <w:rFonts w:eastAsia="PMingLiU" w:cs="Arial"/>
          <w:szCs w:val="24"/>
          <w:lang w:val="es-ES_tradnl"/>
        </w:rPr>
      </w:pPr>
      <w:r w:rsidRPr="00B26559">
        <w:rPr>
          <w:lang w:val="es-ES_tradnl"/>
        </w:rPr>
        <w:tab/>
        <w:t>TWA:</w:t>
      </w:r>
      <w:r w:rsidRPr="00B26559">
        <w:rPr>
          <w:lang w:val="es-ES_tradnl"/>
        </w:rPr>
        <w:tab/>
      </w:r>
      <w:r w:rsidRPr="00B26559">
        <w:rPr>
          <w:lang w:val="es-ES_tradnl"/>
        </w:rPr>
        <w:tab/>
        <w:t>Grupo de Trabajo Técnico sobre Plantas Agrícolas</w:t>
      </w:r>
    </w:p>
    <w:p w:rsidR="00E43167" w:rsidRPr="00B26559" w:rsidRDefault="00E43167" w:rsidP="00E43167">
      <w:pPr>
        <w:rPr>
          <w:rFonts w:eastAsia="PMingLiU" w:cs="Arial"/>
          <w:szCs w:val="24"/>
          <w:lang w:val="es-ES_tradnl"/>
        </w:rPr>
      </w:pPr>
      <w:r w:rsidRPr="00B26559">
        <w:rPr>
          <w:lang w:val="es-ES_tradnl"/>
        </w:rPr>
        <w:tab/>
        <w:t>TWC:</w:t>
      </w:r>
      <w:r w:rsidRPr="00B26559">
        <w:rPr>
          <w:lang w:val="es-ES_tradnl"/>
        </w:rPr>
        <w:tab/>
      </w:r>
      <w:r w:rsidRPr="00B26559">
        <w:rPr>
          <w:lang w:val="es-ES_tradnl"/>
        </w:rPr>
        <w:tab/>
        <w:t>Grupo de Trabajo Técnico sobre Automatización y Programas Informáticos</w:t>
      </w:r>
    </w:p>
    <w:p w:rsidR="00E43167" w:rsidRPr="00B26559" w:rsidRDefault="00E43167" w:rsidP="00E43167">
      <w:pPr>
        <w:rPr>
          <w:rFonts w:eastAsia="PMingLiU" w:cs="Arial"/>
          <w:szCs w:val="24"/>
          <w:lang w:val="es-ES_tradnl"/>
        </w:rPr>
      </w:pPr>
      <w:r w:rsidRPr="00B26559">
        <w:rPr>
          <w:lang w:val="es-ES_tradnl"/>
        </w:rPr>
        <w:tab/>
        <w:t xml:space="preserve">TWF: </w:t>
      </w:r>
      <w:r w:rsidRPr="00B26559">
        <w:rPr>
          <w:lang w:val="es-ES_tradnl"/>
        </w:rPr>
        <w:tab/>
      </w:r>
      <w:r w:rsidRPr="00B26559">
        <w:rPr>
          <w:lang w:val="es-ES_tradnl"/>
        </w:rPr>
        <w:tab/>
        <w:t>Grupo de Trabajo Técnico sobre Plantas Frutales</w:t>
      </w:r>
    </w:p>
    <w:p w:rsidR="00E43167" w:rsidRPr="00B26559" w:rsidRDefault="00E43167" w:rsidP="00E43167">
      <w:pPr>
        <w:rPr>
          <w:rFonts w:eastAsia="PMingLiU" w:cs="Arial"/>
          <w:szCs w:val="24"/>
          <w:lang w:val="es-ES_tradnl"/>
        </w:rPr>
      </w:pPr>
      <w:r w:rsidRPr="00B26559">
        <w:rPr>
          <w:lang w:val="es-ES_tradnl"/>
        </w:rPr>
        <w:tab/>
        <w:t>TWO:</w:t>
      </w:r>
      <w:r w:rsidRPr="00B26559">
        <w:rPr>
          <w:lang w:val="es-ES_tradnl"/>
        </w:rPr>
        <w:tab/>
      </w:r>
      <w:r w:rsidRPr="00B26559">
        <w:rPr>
          <w:lang w:val="es-ES_tradnl"/>
        </w:rPr>
        <w:tab/>
        <w:t>Grupo de Trabajo Técnico sobre Plantas Ornamentales y Árboles Forestales</w:t>
      </w:r>
    </w:p>
    <w:p w:rsidR="00E43167" w:rsidRPr="00B26559" w:rsidRDefault="00E43167" w:rsidP="00E43167">
      <w:pPr>
        <w:rPr>
          <w:rFonts w:eastAsia="PMingLiU" w:cs="Arial"/>
          <w:szCs w:val="24"/>
          <w:lang w:val="es-ES_tradnl"/>
        </w:rPr>
      </w:pPr>
      <w:r w:rsidRPr="00B26559">
        <w:rPr>
          <w:lang w:val="es-ES_tradnl"/>
        </w:rPr>
        <w:tab/>
        <w:t>TWP:</w:t>
      </w:r>
      <w:r w:rsidR="00EE0CB7" w:rsidRPr="00B26559">
        <w:rPr>
          <w:lang w:val="es-ES_tradnl"/>
        </w:rPr>
        <w:tab/>
      </w:r>
      <w:r w:rsidR="00EE0CB7" w:rsidRPr="00B26559">
        <w:rPr>
          <w:lang w:val="es-ES_tradnl"/>
        </w:rPr>
        <w:tab/>
      </w:r>
      <w:r w:rsidRPr="00B26559">
        <w:rPr>
          <w:lang w:val="es-ES_tradnl"/>
        </w:rPr>
        <w:t>Grupos de Trabajo Técnico</w:t>
      </w:r>
    </w:p>
    <w:p w:rsidR="00E43167" w:rsidRPr="00B26559" w:rsidRDefault="00E43167" w:rsidP="00E43167">
      <w:pPr>
        <w:rPr>
          <w:rFonts w:eastAsia="PMingLiU" w:cs="Arial"/>
          <w:szCs w:val="24"/>
          <w:lang w:val="es-ES_tradnl"/>
        </w:rPr>
      </w:pPr>
      <w:r w:rsidRPr="00B26559">
        <w:rPr>
          <w:lang w:val="es-ES_tradnl"/>
        </w:rPr>
        <w:tab/>
        <w:t>TWV:</w:t>
      </w:r>
      <w:r w:rsidRPr="00B26559">
        <w:rPr>
          <w:lang w:val="es-ES_tradnl"/>
        </w:rPr>
        <w:tab/>
      </w:r>
      <w:r w:rsidRPr="00B26559">
        <w:rPr>
          <w:lang w:val="es-ES_tradnl"/>
        </w:rPr>
        <w:tab/>
        <w:t>Grupo de Trabajo Técnico sobre Hortalizas</w:t>
      </w:r>
    </w:p>
    <w:p w:rsidR="00E43167" w:rsidRPr="00B26559" w:rsidRDefault="00E43167" w:rsidP="00E43167">
      <w:pPr>
        <w:rPr>
          <w:lang w:val="es-ES_tradnl"/>
        </w:rPr>
      </w:pPr>
      <w:bookmarkStart w:id="6" w:name="_Toc380150989"/>
    </w:p>
    <w:p w:rsidR="00E43167" w:rsidRPr="00B26559" w:rsidRDefault="00E43167" w:rsidP="00E43167">
      <w:pPr>
        <w:rPr>
          <w:lang w:val="es-ES_tradnl"/>
        </w:rPr>
      </w:pPr>
    </w:p>
    <w:p w:rsidR="00E43167" w:rsidRPr="00B26559" w:rsidRDefault="00E43167" w:rsidP="00E43167">
      <w:pPr>
        <w:rPr>
          <w:rFonts w:eastAsia="MS Mincho"/>
          <w:lang w:val="es-ES_tradnl"/>
        </w:rPr>
      </w:pPr>
      <w:r w:rsidRPr="00B26559">
        <w:rPr>
          <w:lang w:val="es-ES_tradnl"/>
        </w:rPr>
        <w:t>ANTECEDENTES</w:t>
      </w:r>
      <w:bookmarkEnd w:id="6"/>
    </w:p>
    <w:p w:rsidR="00E43167" w:rsidRPr="00B26559" w:rsidRDefault="00E43167" w:rsidP="00E43167">
      <w:pPr>
        <w:rPr>
          <w:rFonts w:eastAsia="MS Mincho"/>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Los antecedentes de esta cuestión figuran en el documento TWC/51/24 “</w:t>
      </w:r>
      <w:proofErr w:type="spellStart"/>
      <w:r w:rsidR="00E43167" w:rsidRPr="00B26559">
        <w:rPr>
          <w:i/>
          <w:lang w:val="es-ES_tradnl"/>
        </w:rPr>
        <w:t>Assessing</w:t>
      </w:r>
      <w:proofErr w:type="spellEnd"/>
      <w:r w:rsidR="00E43167" w:rsidRPr="00B26559">
        <w:rPr>
          <w:i/>
          <w:lang w:val="es-ES_tradnl"/>
        </w:rPr>
        <w:t xml:space="preserve"> </w:t>
      </w:r>
      <w:proofErr w:type="spellStart"/>
      <w:r w:rsidR="00E43167" w:rsidRPr="00B26559">
        <w:rPr>
          <w:i/>
          <w:lang w:val="es-ES_tradnl"/>
        </w:rPr>
        <w:t>uniformity</w:t>
      </w:r>
      <w:proofErr w:type="spellEnd"/>
      <w:r w:rsidR="00E43167" w:rsidRPr="00B26559">
        <w:rPr>
          <w:i/>
          <w:lang w:val="es-ES_tradnl"/>
        </w:rPr>
        <w:t xml:space="preserve"> </w:t>
      </w:r>
      <w:proofErr w:type="spellStart"/>
      <w:r w:rsidR="00E43167" w:rsidRPr="00B26559">
        <w:rPr>
          <w:i/>
          <w:lang w:val="es-ES_tradnl"/>
        </w:rPr>
        <w:t>by</w:t>
      </w:r>
      <w:proofErr w:type="spellEnd"/>
      <w:r w:rsidR="00E43167" w:rsidRPr="00B26559">
        <w:rPr>
          <w:i/>
          <w:lang w:val="es-ES_tradnl"/>
        </w:rPr>
        <w:t xml:space="preserve"> off-</w:t>
      </w:r>
      <w:proofErr w:type="spellStart"/>
      <w:r w:rsidR="00E43167" w:rsidRPr="00B26559">
        <w:rPr>
          <w:i/>
          <w:lang w:val="es-ES_tradnl"/>
        </w:rPr>
        <w:t>types</w:t>
      </w:r>
      <w:proofErr w:type="spellEnd"/>
      <w:r w:rsidR="00E43167" w:rsidRPr="00B26559">
        <w:rPr>
          <w:i/>
          <w:lang w:val="es-ES_tradnl"/>
        </w:rPr>
        <w:t xml:space="preserve"> </w:t>
      </w:r>
      <w:proofErr w:type="spellStart"/>
      <w:r w:rsidR="00E43167" w:rsidRPr="00B26559">
        <w:rPr>
          <w:i/>
          <w:lang w:val="es-ES_tradnl"/>
        </w:rPr>
        <w:t>on</w:t>
      </w:r>
      <w:proofErr w:type="spellEnd"/>
      <w:r w:rsidR="00E43167" w:rsidRPr="00B26559">
        <w:rPr>
          <w:i/>
          <w:lang w:val="es-ES_tradnl"/>
        </w:rPr>
        <w:t xml:space="preserve"> </w:t>
      </w:r>
      <w:proofErr w:type="spellStart"/>
      <w:r w:rsidR="00E43167" w:rsidRPr="00B26559">
        <w:rPr>
          <w:i/>
          <w:lang w:val="es-ES_tradnl"/>
        </w:rPr>
        <w:t>basis</w:t>
      </w:r>
      <w:proofErr w:type="spellEnd"/>
      <w:r w:rsidR="00E43167" w:rsidRPr="00B26559">
        <w:rPr>
          <w:i/>
          <w:lang w:val="es-ES_tradnl"/>
        </w:rPr>
        <w:t xml:space="preserve"> of more </w:t>
      </w:r>
      <w:proofErr w:type="spellStart"/>
      <w:r w:rsidR="00E43167" w:rsidRPr="00B26559">
        <w:rPr>
          <w:i/>
          <w:lang w:val="es-ES_tradnl"/>
        </w:rPr>
        <w:t>than</w:t>
      </w:r>
      <w:proofErr w:type="spellEnd"/>
      <w:r w:rsidR="00E43167" w:rsidRPr="00B26559">
        <w:rPr>
          <w:i/>
          <w:lang w:val="es-ES_tradnl"/>
        </w:rPr>
        <w:t xml:space="preserve"> </w:t>
      </w:r>
      <w:proofErr w:type="spellStart"/>
      <w:r w:rsidR="00E43167" w:rsidRPr="00B26559">
        <w:rPr>
          <w:i/>
          <w:lang w:val="es-ES_tradnl"/>
        </w:rPr>
        <w:t>one</w:t>
      </w:r>
      <w:proofErr w:type="spellEnd"/>
      <w:r w:rsidR="00E43167" w:rsidRPr="00B26559">
        <w:rPr>
          <w:i/>
          <w:lang w:val="es-ES_tradnl"/>
        </w:rPr>
        <w:t xml:space="preserve"> </w:t>
      </w:r>
      <w:proofErr w:type="spellStart"/>
      <w:r w:rsidR="00E43167" w:rsidRPr="00B26559">
        <w:rPr>
          <w:i/>
          <w:lang w:val="es-ES_tradnl"/>
        </w:rPr>
        <w:t>sample</w:t>
      </w:r>
      <w:proofErr w:type="spellEnd"/>
      <w:r w:rsidR="00E43167" w:rsidRPr="00B26559">
        <w:rPr>
          <w:i/>
          <w:lang w:val="es-ES_tradnl"/>
        </w:rPr>
        <w:t xml:space="preserve"> </w:t>
      </w:r>
      <w:proofErr w:type="spellStart"/>
      <w:r w:rsidR="00E43167" w:rsidRPr="00B26559">
        <w:rPr>
          <w:i/>
          <w:lang w:val="es-ES_tradnl"/>
        </w:rPr>
        <w:t>or</w:t>
      </w:r>
      <w:proofErr w:type="spellEnd"/>
      <w:r w:rsidR="00E43167" w:rsidRPr="00B26559">
        <w:rPr>
          <w:i/>
          <w:lang w:val="es-ES_tradnl"/>
        </w:rPr>
        <w:t xml:space="preserve"> sub-</w:t>
      </w:r>
      <w:proofErr w:type="spellStart"/>
      <w:r w:rsidR="00E43167" w:rsidRPr="00B26559">
        <w:rPr>
          <w:i/>
          <w:lang w:val="es-ES_tradnl"/>
        </w:rPr>
        <w:t>samples</w:t>
      </w:r>
      <w:proofErr w:type="spellEnd"/>
      <w:r w:rsidR="00E43167" w:rsidRPr="00B26559">
        <w:rPr>
          <w:lang w:val="es-ES_tradnl"/>
        </w:rPr>
        <w:t xml:space="preserve">” (Evaluación de la homogeneidad de las plantas fuera de tipo mediante la observación de más de una muestra o de </w:t>
      </w:r>
      <w:proofErr w:type="spellStart"/>
      <w:r w:rsidR="00E43167" w:rsidRPr="00B26559">
        <w:rPr>
          <w:lang w:val="es-ES_tradnl"/>
        </w:rPr>
        <w:t>submuestras</w:t>
      </w:r>
      <w:proofErr w:type="spellEnd"/>
      <w:r w:rsidR="00E43167" w:rsidRPr="00B26559">
        <w:rPr>
          <w:lang w:val="es-ES_tradnl"/>
        </w:rPr>
        <w:t>).</w:t>
      </w:r>
    </w:p>
    <w:p w:rsidR="00E43167" w:rsidRPr="00B26559" w:rsidRDefault="00E43167" w:rsidP="00980CBB">
      <w:pPr>
        <w:ind w:right="567"/>
        <w:rPr>
          <w:sz w:val="18"/>
          <w:lang w:val="es-ES_tradnl"/>
        </w:rPr>
      </w:pPr>
      <w:bookmarkStart w:id="7" w:name="_Toc380151005"/>
    </w:p>
    <w:p w:rsidR="00E43167" w:rsidRPr="00B26559" w:rsidRDefault="00E43167" w:rsidP="00980CBB">
      <w:pPr>
        <w:ind w:right="567"/>
        <w:rPr>
          <w:sz w:val="18"/>
          <w:lang w:val="es-ES_tradnl"/>
        </w:rPr>
      </w:pPr>
    </w:p>
    <w:p w:rsidR="00E43167" w:rsidRPr="00B26559" w:rsidRDefault="00E43167" w:rsidP="00E43167">
      <w:pPr>
        <w:pStyle w:val="Heading1"/>
        <w:rPr>
          <w:lang w:val="es-ES_tradnl"/>
        </w:rPr>
      </w:pPr>
      <w:bookmarkStart w:id="8" w:name="_Toc440299518"/>
      <w:bookmarkStart w:id="9" w:name="_Toc442077466"/>
      <w:r w:rsidRPr="00B26559">
        <w:rPr>
          <w:lang w:val="es-ES_tradnl"/>
        </w:rPr>
        <w:t>NOVEDADES ACAECIDAS EN 2015</w:t>
      </w:r>
      <w:bookmarkEnd w:id="8"/>
      <w:bookmarkEnd w:id="9"/>
    </w:p>
    <w:p w:rsidR="00E43167" w:rsidRPr="00B26559" w:rsidRDefault="00E43167" w:rsidP="00980CBB">
      <w:pPr>
        <w:ind w:right="567"/>
        <w:rPr>
          <w:sz w:val="18"/>
          <w:lang w:val="es-ES_tradnl"/>
        </w:rPr>
      </w:pPr>
    </w:p>
    <w:p w:rsidR="00E43167" w:rsidRPr="00B26559" w:rsidRDefault="00E43167" w:rsidP="00E43167">
      <w:pPr>
        <w:pStyle w:val="Heading2"/>
        <w:rPr>
          <w:lang w:val="es-ES_tradnl"/>
        </w:rPr>
      </w:pPr>
      <w:bookmarkStart w:id="10" w:name="_Toc440299519"/>
      <w:bookmarkStart w:id="11" w:name="_Toc442077467"/>
      <w:r w:rsidRPr="00B26559">
        <w:rPr>
          <w:lang w:val="es-ES_tradnl"/>
        </w:rPr>
        <w:t>Comité Técnico</w:t>
      </w:r>
      <w:bookmarkEnd w:id="10"/>
      <w:bookmarkEnd w:id="11"/>
    </w:p>
    <w:p w:rsidR="00E43167" w:rsidRPr="00B26559" w:rsidRDefault="00E43167" w:rsidP="00E43167">
      <w:pPr>
        <w:rPr>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En su quincuagésima primera sesión, celebrada en Ginebra del 23 al 25 de marzo de 2015, el TC examinó el documento TC/51/24 “</w:t>
      </w:r>
      <w:bookmarkStart w:id="12" w:name="_Toc412193733"/>
      <w:r w:rsidR="00E43167" w:rsidRPr="00B26559">
        <w:rPr>
          <w:lang w:val="es-ES_tradnl"/>
        </w:rPr>
        <w:t xml:space="preserve">Revisión del documento TGP/10: nueva sección: Evaluación de la homogeneidad de las plantas fuera de tipo mediante la observación de más de una muestra o </w:t>
      </w:r>
      <w:proofErr w:type="spellStart"/>
      <w:r w:rsidR="00E43167" w:rsidRPr="00B26559">
        <w:rPr>
          <w:lang w:val="es-ES_tradnl"/>
        </w:rPr>
        <w:t>submuestras</w:t>
      </w:r>
      <w:bookmarkEnd w:id="12"/>
      <w:proofErr w:type="spellEnd"/>
      <w:r w:rsidR="00E43167" w:rsidRPr="00B26559">
        <w:rPr>
          <w:lang w:val="es-ES_tradnl"/>
        </w:rPr>
        <w:t>”.</w:t>
      </w:r>
    </w:p>
    <w:p w:rsidR="00E43167" w:rsidRPr="00B26559" w:rsidRDefault="00E43167" w:rsidP="00E43167">
      <w:pPr>
        <w:rPr>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El TC estuvo de acuerdo con las propuestas formuladas por los TWP, en sus sesiones de 2014, y por el TC-EDC, en su reunión de enero de 2015, relativas al proyecto de orientación elaborado para su inclusión en una futura revisión del documento TGP/10, según consta en los Anexos I a IV del documento TC/51/24.</w:t>
      </w:r>
    </w:p>
    <w:p w:rsidR="00E43167" w:rsidRPr="00B26559" w:rsidRDefault="00E43167" w:rsidP="00E43167">
      <w:pPr>
        <w:rPr>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El TC convino en que se debe modificar el título del documento para que su texto sea el siguiente</w:t>
      </w:r>
      <w:proofErr w:type="gramStart"/>
      <w:r w:rsidR="00621BF2" w:rsidRPr="00B26559">
        <w:rPr>
          <w:lang w:val="es-ES_tradnl"/>
        </w:rPr>
        <w:t xml:space="preserve">:  </w:t>
      </w:r>
      <w:r w:rsidR="0084209B" w:rsidRPr="00B26559">
        <w:rPr>
          <w:lang w:val="es-ES_tradnl"/>
        </w:rPr>
        <w:t>“</w:t>
      </w:r>
      <w:proofErr w:type="gramEnd"/>
      <w:r w:rsidR="00E43167" w:rsidRPr="00B26559">
        <w:rPr>
          <w:lang w:val="es-ES_tradnl"/>
        </w:rPr>
        <w:t xml:space="preserve">Evaluación de la homogeneidad de las plantas fuera de tipo mediante la observación de más de un ciclo de cultivo o mediante la observación de </w:t>
      </w:r>
      <w:proofErr w:type="spellStart"/>
      <w:r w:rsidR="00E43167" w:rsidRPr="00B26559">
        <w:rPr>
          <w:lang w:val="es-ES_tradnl"/>
        </w:rPr>
        <w:t>submuestras</w:t>
      </w:r>
      <w:proofErr w:type="spellEnd"/>
      <w:r w:rsidR="0084209B" w:rsidRPr="00B26559">
        <w:rPr>
          <w:lang w:val="es-ES_tradnl"/>
        </w:rPr>
        <w:t>”</w:t>
      </w:r>
      <w:r w:rsidR="00E43167" w:rsidRPr="00B26559">
        <w:rPr>
          <w:lang w:val="es-ES_tradnl"/>
        </w:rPr>
        <w:t>.</w:t>
      </w:r>
    </w:p>
    <w:p w:rsidR="00E43167" w:rsidRPr="00B26559" w:rsidRDefault="00E43167" w:rsidP="00E43167">
      <w:pPr>
        <w:rPr>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El TC acordó que se combinen las situaciones A y B, según constan en los Anexos I y II del documento TC/51/24, con una aclaración en la que se indique que podrían desarrollarse dos ciclos de cultivo independientes en un único lugar en diferentes años o en diferentes lugares en el mismo año, según se indica en las secciones 1.2 y 1.3 de la parte I del documento TGP/8.</w:t>
      </w:r>
    </w:p>
    <w:p w:rsidR="00E43167" w:rsidRPr="00B26559" w:rsidRDefault="00E43167" w:rsidP="00E43167">
      <w:pPr>
        <w:rPr>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 xml:space="preserve">El TC acordó invitar a los miembros de la Unión a que presenten a los TWP y al TC información sobre los riesgos, los beneficios, la repercusión en el costo y otros aspectos pertinentes a efectos de su elección del método 1 o 2 cuando evalúen la homogeneidad de las plantas fuera de tipo mediante la observación de más de una muestra o </w:t>
      </w:r>
      <w:proofErr w:type="spellStart"/>
      <w:r w:rsidR="00E43167" w:rsidRPr="00B26559">
        <w:rPr>
          <w:lang w:val="es-ES_tradnl"/>
        </w:rPr>
        <w:t>submuestra</w:t>
      </w:r>
      <w:proofErr w:type="spellEnd"/>
      <w:r w:rsidR="00E43167" w:rsidRPr="00B26559">
        <w:rPr>
          <w:lang w:val="es-ES_tradnl"/>
        </w:rPr>
        <w:t>, según consta en los Anexos I y II del documento TC/51/24.</w:t>
      </w:r>
    </w:p>
    <w:p w:rsidR="00E43167" w:rsidRPr="00B26559" w:rsidRDefault="00E43167" w:rsidP="00E43167">
      <w:pPr>
        <w:rPr>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 xml:space="preserve">El TC acordó aclarar la posibilidad de rechazar una variedad por falta de homogeneidad tras un único ciclo de cultivo.  Asimismo, acordó revisar el quinto ejemplo a fin de que resulte más realista, dado que una variedad con 10 plantas fuera de tipo en el primer ciclo de cultivo probablemente se rechazaría tras dicho ciclo (véanse los párrafos 157 a 162 del documento TC/51/39 “Informe”). </w:t>
      </w:r>
    </w:p>
    <w:p w:rsidR="00E43167" w:rsidRPr="00B26559" w:rsidRDefault="00E43167" w:rsidP="00E43167">
      <w:pPr>
        <w:rPr>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 xml:space="preserve">Por medio de la Circular E-15/108 enviada el 5 de mayo de 2015, se invitó a los miembros y observadores del TC y el TWP a que presenten, durante las sesiones del TWP, información sobre los riesgos, los beneficios, la repercusión en el costo y otros aspectos pertinentes a efectos de su elección del método 1 o 2 cuando evalúen la homogeneidad de las plantas fuera de tipo mediante la observación de más de una muestra o </w:t>
      </w:r>
      <w:proofErr w:type="spellStart"/>
      <w:r w:rsidR="00E43167" w:rsidRPr="00B26559">
        <w:rPr>
          <w:lang w:val="es-ES_tradnl"/>
        </w:rPr>
        <w:t>submuestra</w:t>
      </w:r>
      <w:proofErr w:type="spellEnd"/>
      <w:r w:rsidR="00E43167" w:rsidRPr="00B26559">
        <w:rPr>
          <w:lang w:val="es-ES_tradnl"/>
        </w:rPr>
        <w:t>, según consta en los Anexos I y II del documento TC/51/24.</w:t>
      </w:r>
    </w:p>
    <w:p w:rsidR="00E43167" w:rsidRPr="00B26559" w:rsidRDefault="00E43167" w:rsidP="00E43167">
      <w:pPr>
        <w:rPr>
          <w:lang w:val="es-ES_tradnl"/>
        </w:rPr>
      </w:pPr>
    </w:p>
    <w:p w:rsidR="00E43167" w:rsidRPr="00B26559" w:rsidRDefault="00E43167" w:rsidP="00E43167">
      <w:pPr>
        <w:pStyle w:val="Heading2"/>
        <w:rPr>
          <w:snapToGrid w:val="0"/>
          <w:lang w:val="es-ES_tradnl"/>
        </w:rPr>
      </w:pPr>
      <w:bookmarkStart w:id="13" w:name="_Toc440299520"/>
      <w:bookmarkStart w:id="14" w:name="_Toc442077468"/>
      <w:r w:rsidRPr="00B26559">
        <w:rPr>
          <w:snapToGrid w:val="0"/>
          <w:lang w:val="es-ES_tradnl"/>
        </w:rPr>
        <w:t>Grupos de Trabajo Técnico</w:t>
      </w:r>
      <w:bookmarkEnd w:id="13"/>
      <w:bookmarkEnd w:id="14"/>
    </w:p>
    <w:p w:rsidR="00E43167" w:rsidRPr="00B26559" w:rsidRDefault="00E43167" w:rsidP="00E43167">
      <w:pPr>
        <w:rPr>
          <w:snapToGrid w:val="0"/>
          <w:lang w:val="es-ES_tradnl"/>
        </w:rPr>
      </w:pPr>
    </w:p>
    <w:p w:rsidR="00E43167" w:rsidRPr="00B26559" w:rsidRDefault="00E43167" w:rsidP="00E43167">
      <w:pPr>
        <w:pStyle w:val="Heading3"/>
        <w:rPr>
          <w:snapToGrid w:val="0"/>
          <w:lang w:val="es-ES_tradnl"/>
        </w:rPr>
      </w:pPr>
      <w:bookmarkStart w:id="15" w:name="_Toc440299521"/>
      <w:bookmarkStart w:id="16" w:name="_Toc442077469"/>
      <w:r w:rsidRPr="00B26559">
        <w:rPr>
          <w:snapToGrid w:val="0"/>
          <w:lang w:val="es-ES_tradnl"/>
        </w:rPr>
        <w:t>Grupo de Trabajo Técnico sobre Hortalizas</w:t>
      </w:r>
      <w:bookmarkEnd w:id="15"/>
      <w:bookmarkEnd w:id="16"/>
    </w:p>
    <w:p w:rsidR="00E43167" w:rsidRPr="00B26559" w:rsidRDefault="00E43167" w:rsidP="00E43167">
      <w:pPr>
        <w:rPr>
          <w:lang w:val="es-ES_tradnl"/>
        </w:rPr>
      </w:pPr>
    </w:p>
    <w:p w:rsidR="00E43167" w:rsidRPr="00B26559" w:rsidRDefault="00564778" w:rsidP="00E43167">
      <w:pPr>
        <w:rPr>
          <w:snapToGrid w:val="0"/>
          <w:lang w:val="es-ES_tradnl"/>
        </w:rPr>
      </w:pPr>
      <w:r w:rsidRPr="00B26559">
        <w:rPr>
          <w:snapToGrid w:val="0"/>
          <w:lang w:val="es-ES_tradnl"/>
        </w:rPr>
        <w:fldChar w:fldCharType="begin"/>
      </w:r>
      <w:r w:rsidR="00E43167" w:rsidRPr="00B26559">
        <w:rPr>
          <w:snapToGrid w:val="0"/>
          <w:lang w:val="es-ES_tradnl"/>
        </w:rPr>
        <w:instrText xml:space="preserve"> AUTONUM  </w:instrText>
      </w:r>
      <w:r w:rsidRPr="00B26559">
        <w:rPr>
          <w:snapToGrid w:val="0"/>
          <w:lang w:val="es-ES_tradnl"/>
        </w:rPr>
        <w:fldChar w:fldCharType="end"/>
      </w:r>
      <w:r w:rsidR="00E43167" w:rsidRPr="00B26559">
        <w:rPr>
          <w:lang w:val="es-ES_tradnl"/>
        </w:rPr>
        <w:tab/>
      </w:r>
      <w:r w:rsidR="00E43167" w:rsidRPr="00B26559">
        <w:rPr>
          <w:snapToGrid w:val="0"/>
          <w:lang w:val="es-ES_tradnl"/>
        </w:rPr>
        <w:t xml:space="preserve">En su cuadragésima novena sesión, celebrada en </w:t>
      </w:r>
      <w:proofErr w:type="spellStart"/>
      <w:r w:rsidR="00E43167" w:rsidRPr="00B26559">
        <w:rPr>
          <w:snapToGrid w:val="0"/>
          <w:lang w:val="es-ES_tradnl"/>
        </w:rPr>
        <w:t>Anger</w:t>
      </w:r>
      <w:proofErr w:type="spellEnd"/>
      <w:r w:rsidR="00E43167" w:rsidRPr="00B26559">
        <w:rPr>
          <w:snapToGrid w:val="0"/>
          <w:lang w:val="es-ES_tradnl"/>
        </w:rPr>
        <w:t xml:space="preserve"> (Francia) del 15 al 19 de junio de 2015, el TWV examinó el documento TWV/49/9 </w:t>
      </w:r>
      <w:r w:rsidR="00E43167" w:rsidRPr="00B26559">
        <w:rPr>
          <w:lang w:val="es-ES_tradnl"/>
        </w:rPr>
        <w:t>“</w:t>
      </w:r>
      <w:proofErr w:type="spellStart"/>
      <w:r w:rsidR="00E43167" w:rsidRPr="00B26559">
        <w:rPr>
          <w:i/>
          <w:lang w:val="es-ES_tradnl"/>
        </w:rPr>
        <w:t>Revision</w:t>
      </w:r>
      <w:proofErr w:type="spellEnd"/>
      <w:r w:rsidR="00E43167" w:rsidRPr="00B26559">
        <w:rPr>
          <w:i/>
          <w:lang w:val="es-ES_tradnl"/>
        </w:rPr>
        <w:t xml:space="preserve"> of </w:t>
      </w:r>
      <w:proofErr w:type="spellStart"/>
      <w:r w:rsidR="00E43167" w:rsidRPr="00B26559">
        <w:rPr>
          <w:i/>
          <w:lang w:val="es-ES_tradnl"/>
        </w:rPr>
        <w:t>document</w:t>
      </w:r>
      <w:proofErr w:type="spellEnd"/>
      <w:r w:rsidR="00E43167" w:rsidRPr="00B26559">
        <w:rPr>
          <w:i/>
          <w:lang w:val="es-ES_tradnl"/>
        </w:rPr>
        <w:t xml:space="preserve"> TGP/10: New </w:t>
      </w:r>
      <w:proofErr w:type="spellStart"/>
      <w:r w:rsidR="00E43167" w:rsidRPr="00B26559">
        <w:rPr>
          <w:i/>
          <w:lang w:val="es-ES_tradnl"/>
        </w:rPr>
        <w:t>section</w:t>
      </w:r>
      <w:proofErr w:type="spellEnd"/>
      <w:r w:rsidR="00E43167" w:rsidRPr="00B26559">
        <w:rPr>
          <w:i/>
          <w:lang w:val="es-ES_tradnl"/>
        </w:rPr>
        <w:t xml:space="preserve">: </w:t>
      </w:r>
      <w:proofErr w:type="spellStart"/>
      <w:r w:rsidR="00E43167" w:rsidRPr="00B26559">
        <w:rPr>
          <w:i/>
          <w:lang w:val="es-ES_tradnl"/>
        </w:rPr>
        <w:t>Assessing</w:t>
      </w:r>
      <w:proofErr w:type="spellEnd"/>
      <w:r w:rsidR="00E43167" w:rsidRPr="00B26559">
        <w:rPr>
          <w:i/>
          <w:lang w:val="es-ES_tradnl"/>
        </w:rPr>
        <w:t xml:space="preserve"> </w:t>
      </w:r>
      <w:proofErr w:type="spellStart"/>
      <w:r w:rsidR="00E43167" w:rsidRPr="00B26559">
        <w:rPr>
          <w:i/>
          <w:lang w:val="es-ES_tradnl"/>
        </w:rPr>
        <w:t>Uniformity</w:t>
      </w:r>
      <w:proofErr w:type="spellEnd"/>
      <w:r w:rsidR="00E43167" w:rsidRPr="00B26559">
        <w:rPr>
          <w:i/>
          <w:lang w:val="es-ES_tradnl"/>
        </w:rPr>
        <w:t xml:space="preserve"> </w:t>
      </w:r>
      <w:proofErr w:type="spellStart"/>
      <w:r w:rsidR="00E43167" w:rsidRPr="00B26559">
        <w:rPr>
          <w:i/>
          <w:lang w:val="es-ES_tradnl"/>
        </w:rPr>
        <w:t>by</w:t>
      </w:r>
      <w:proofErr w:type="spellEnd"/>
      <w:r w:rsidR="00E43167" w:rsidRPr="00B26559">
        <w:rPr>
          <w:i/>
          <w:lang w:val="es-ES_tradnl"/>
        </w:rPr>
        <w:t xml:space="preserve"> Off-</w:t>
      </w:r>
      <w:proofErr w:type="spellStart"/>
      <w:r w:rsidR="00E43167" w:rsidRPr="00B26559">
        <w:rPr>
          <w:i/>
          <w:lang w:val="es-ES_tradnl"/>
        </w:rPr>
        <w:t>Types</w:t>
      </w:r>
      <w:proofErr w:type="spellEnd"/>
      <w:r w:rsidR="00E43167" w:rsidRPr="00B26559">
        <w:rPr>
          <w:i/>
          <w:lang w:val="es-ES_tradnl"/>
        </w:rPr>
        <w:t xml:space="preserve"> </w:t>
      </w:r>
      <w:proofErr w:type="spellStart"/>
      <w:r w:rsidR="00E43167" w:rsidRPr="00B26559">
        <w:rPr>
          <w:i/>
          <w:lang w:val="es-ES_tradnl"/>
        </w:rPr>
        <w:t>on</w:t>
      </w:r>
      <w:proofErr w:type="spellEnd"/>
      <w:r w:rsidR="00E43167" w:rsidRPr="00B26559">
        <w:rPr>
          <w:i/>
          <w:lang w:val="es-ES_tradnl"/>
        </w:rPr>
        <w:t xml:space="preserve"> </w:t>
      </w:r>
      <w:proofErr w:type="spellStart"/>
      <w:r w:rsidR="00E43167" w:rsidRPr="00B26559">
        <w:rPr>
          <w:i/>
          <w:lang w:val="es-ES_tradnl"/>
        </w:rPr>
        <w:t>Basis</w:t>
      </w:r>
      <w:proofErr w:type="spellEnd"/>
      <w:r w:rsidR="00E43167" w:rsidRPr="00B26559">
        <w:rPr>
          <w:i/>
          <w:lang w:val="es-ES_tradnl"/>
        </w:rPr>
        <w:t xml:space="preserve"> of More </w:t>
      </w:r>
      <w:proofErr w:type="spellStart"/>
      <w:r w:rsidR="00E43167" w:rsidRPr="00B26559">
        <w:rPr>
          <w:i/>
          <w:lang w:val="es-ES_tradnl"/>
        </w:rPr>
        <w:t>than</w:t>
      </w:r>
      <w:proofErr w:type="spellEnd"/>
      <w:r w:rsidR="00E43167" w:rsidRPr="00B26559">
        <w:rPr>
          <w:i/>
          <w:lang w:val="es-ES_tradnl"/>
        </w:rPr>
        <w:t xml:space="preserve"> </w:t>
      </w:r>
      <w:proofErr w:type="spellStart"/>
      <w:r w:rsidR="00E43167" w:rsidRPr="00B26559">
        <w:rPr>
          <w:i/>
          <w:lang w:val="es-ES_tradnl"/>
        </w:rPr>
        <w:t>One</w:t>
      </w:r>
      <w:proofErr w:type="spellEnd"/>
      <w:r w:rsidR="00E43167" w:rsidRPr="00B26559">
        <w:rPr>
          <w:i/>
          <w:lang w:val="es-ES_tradnl"/>
        </w:rPr>
        <w:t xml:space="preserve"> </w:t>
      </w:r>
      <w:proofErr w:type="spellStart"/>
      <w:r w:rsidR="00E43167" w:rsidRPr="00B26559">
        <w:rPr>
          <w:i/>
          <w:lang w:val="es-ES_tradnl"/>
        </w:rPr>
        <w:t>Growing</w:t>
      </w:r>
      <w:proofErr w:type="spellEnd"/>
      <w:r w:rsidR="00E43167" w:rsidRPr="00B26559">
        <w:rPr>
          <w:i/>
          <w:lang w:val="es-ES_tradnl"/>
        </w:rPr>
        <w:t xml:space="preserve"> </w:t>
      </w:r>
      <w:proofErr w:type="spellStart"/>
      <w:r w:rsidR="00E43167" w:rsidRPr="00B26559">
        <w:rPr>
          <w:i/>
          <w:lang w:val="es-ES_tradnl"/>
        </w:rPr>
        <w:t>Cycle</w:t>
      </w:r>
      <w:proofErr w:type="spellEnd"/>
      <w:r w:rsidR="00E43167" w:rsidRPr="00B26559">
        <w:rPr>
          <w:i/>
          <w:lang w:val="es-ES_tradnl"/>
        </w:rPr>
        <w:t xml:space="preserve"> </w:t>
      </w:r>
      <w:proofErr w:type="spellStart"/>
      <w:r w:rsidR="00E43167" w:rsidRPr="00B26559">
        <w:rPr>
          <w:i/>
          <w:lang w:val="es-ES_tradnl"/>
        </w:rPr>
        <w:t>or</w:t>
      </w:r>
      <w:proofErr w:type="spellEnd"/>
      <w:r w:rsidR="00E43167" w:rsidRPr="00B26559">
        <w:rPr>
          <w:i/>
          <w:lang w:val="es-ES_tradnl"/>
        </w:rPr>
        <w:t xml:space="preserve"> </w:t>
      </w:r>
      <w:proofErr w:type="spellStart"/>
      <w:r w:rsidR="00E43167" w:rsidRPr="00B26559">
        <w:rPr>
          <w:i/>
          <w:lang w:val="es-ES_tradnl"/>
        </w:rPr>
        <w:t>on</w:t>
      </w:r>
      <w:proofErr w:type="spellEnd"/>
      <w:r w:rsidR="00E43167" w:rsidRPr="00B26559">
        <w:rPr>
          <w:i/>
          <w:lang w:val="es-ES_tradnl"/>
        </w:rPr>
        <w:t xml:space="preserve"> </w:t>
      </w:r>
      <w:proofErr w:type="spellStart"/>
      <w:r w:rsidR="00E43167" w:rsidRPr="00B26559">
        <w:rPr>
          <w:i/>
          <w:lang w:val="es-ES_tradnl"/>
        </w:rPr>
        <w:t>the</w:t>
      </w:r>
      <w:proofErr w:type="spellEnd"/>
      <w:r w:rsidR="00E43167" w:rsidRPr="00B26559">
        <w:rPr>
          <w:i/>
          <w:lang w:val="es-ES_tradnl"/>
        </w:rPr>
        <w:t xml:space="preserve"> </w:t>
      </w:r>
      <w:proofErr w:type="spellStart"/>
      <w:r w:rsidR="00E43167" w:rsidRPr="00B26559">
        <w:rPr>
          <w:i/>
          <w:lang w:val="es-ES_tradnl"/>
        </w:rPr>
        <w:t>Basis</w:t>
      </w:r>
      <w:proofErr w:type="spellEnd"/>
      <w:r w:rsidR="00E43167" w:rsidRPr="00B26559">
        <w:rPr>
          <w:i/>
          <w:lang w:val="es-ES_tradnl"/>
        </w:rPr>
        <w:t xml:space="preserve"> of Sub-</w:t>
      </w:r>
      <w:proofErr w:type="spellStart"/>
      <w:r w:rsidR="00E43167" w:rsidRPr="00B26559">
        <w:rPr>
          <w:i/>
          <w:lang w:val="es-ES_tradnl"/>
        </w:rPr>
        <w:t>Samples</w:t>
      </w:r>
      <w:proofErr w:type="spellEnd"/>
      <w:r w:rsidR="00E43167" w:rsidRPr="00B26559">
        <w:rPr>
          <w:lang w:val="es-ES_tradnl"/>
        </w:rPr>
        <w:t>” (Revisión del documento TGP/10</w:t>
      </w:r>
      <w:r w:rsidR="00621BF2" w:rsidRPr="00B26559">
        <w:rPr>
          <w:lang w:val="es-ES_tradnl"/>
        </w:rPr>
        <w:t xml:space="preserve">:  </w:t>
      </w:r>
      <w:r w:rsidR="00E43167" w:rsidRPr="00B26559">
        <w:rPr>
          <w:lang w:val="es-ES_tradnl"/>
        </w:rPr>
        <w:t>nueva sección</w:t>
      </w:r>
      <w:r w:rsidR="00621BF2" w:rsidRPr="00B26559">
        <w:rPr>
          <w:lang w:val="es-ES_tradnl"/>
        </w:rPr>
        <w:t xml:space="preserve">:  </w:t>
      </w:r>
      <w:r w:rsidR="00E43167" w:rsidRPr="00B26559">
        <w:rPr>
          <w:lang w:val="es-ES_tradnl"/>
        </w:rPr>
        <w:t xml:space="preserve">Evaluación de la homogeneidad de las plantas fuera de tipo mediante la observación de más de un ciclo de cultivo o mediante la observación de </w:t>
      </w:r>
      <w:proofErr w:type="spellStart"/>
      <w:r w:rsidR="00E43167" w:rsidRPr="00B26559">
        <w:rPr>
          <w:lang w:val="es-ES_tradnl"/>
        </w:rPr>
        <w:t>submuestras</w:t>
      </w:r>
      <w:proofErr w:type="spellEnd"/>
      <w:r w:rsidR="00E43167" w:rsidRPr="00B26559">
        <w:rPr>
          <w:lang w:val="es-ES_tradnl"/>
        </w:rPr>
        <w:t>)</w:t>
      </w:r>
      <w:r w:rsidR="00E43167" w:rsidRPr="00B26559">
        <w:rPr>
          <w:snapToGrid w:val="0"/>
          <w:lang w:val="es-ES_tradnl"/>
        </w:rPr>
        <w:t>.</w:t>
      </w:r>
    </w:p>
    <w:p w:rsidR="00E43167" w:rsidRPr="00B26559" w:rsidRDefault="00E43167" w:rsidP="00E43167">
      <w:pPr>
        <w:rPr>
          <w:snapToGrid w:val="0"/>
          <w:lang w:val="es-ES_tradnl"/>
        </w:rPr>
      </w:pPr>
    </w:p>
    <w:p w:rsidR="00E43167" w:rsidRPr="00B26559" w:rsidRDefault="00564778" w:rsidP="00E43167">
      <w:pPr>
        <w:rPr>
          <w:snapToGrid w:val="0"/>
          <w:lang w:val="es-ES_tradnl"/>
        </w:rPr>
      </w:pPr>
      <w:r w:rsidRPr="00B26559">
        <w:rPr>
          <w:snapToGrid w:val="0"/>
          <w:lang w:val="es-ES_tradnl"/>
        </w:rPr>
        <w:fldChar w:fldCharType="begin"/>
      </w:r>
      <w:r w:rsidR="00E43167" w:rsidRPr="00B26559">
        <w:rPr>
          <w:snapToGrid w:val="0"/>
          <w:lang w:val="es-ES_tradnl"/>
        </w:rPr>
        <w:instrText xml:space="preserve"> AUTONUM  </w:instrText>
      </w:r>
      <w:r w:rsidRPr="00B26559">
        <w:rPr>
          <w:snapToGrid w:val="0"/>
          <w:lang w:val="es-ES_tradnl"/>
        </w:rPr>
        <w:fldChar w:fldCharType="end"/>
      </w:r>
      <w:r w:rsidR="00E43167" w:rsidRPr="00B26559">
        <w:rPr>
          <w:lang w:val="es-ES_tradnl"/>
        </w:rPr>
        <w:tab/>
      </w:r>
      <w:r w:rsidR="00E43167" w:rsidRPr="00B26559">
        <w:rPr>
          <w:snapToGrid w:val="0"/>
          <w:lang w:val="es-ES_tradnl"/>
        </w:rPr>
        <w:t>El TWV estuvo de acuerdo con el proyecto de orientación elaborado para su inclusión en una futura revisión del documento TGP/10, según consta en los Anexos I y II del documento TWV/49/9 (véanse los párrafos 62 y 63 del documento TWV/49/32 Rev. “</w:t>
      </w:r>
      <w:proofErr w:type="spellStart"/>
      <w:r w:rsidR="00E43167" w:rsidRPr="00B26559">
        <w:rPr>
          <w:i/>
          <w:snapToGrid w:val="0"/>
          <w:lang w:val="es-ES_tradnl"/>
        </w:rPr>
        <w:t>Revised</w:t>
      </w:r>
      <w:proofErr w:type="spellEnd"/>
      <w:r w:rsidR="00E43167" w:rsidRPr="00B26559">
        <w:rPr>
          <w:i/>
          <w:snapToGrid w:val="0"/>
          <w:lang w:val="es-ES_tradnl"/>
        </w:rPr>
        <w:t xml:space="preserve"> </w:t>
      </w:r>
      <w:proofErr w:type="spellStart"/>
      <w:r w:rsidR="00E43167" w:rsidRPr="00B26559">
        <w:rPr>
          <w:i/>
          <w:snapToGrid w:val="0"/>
          <w:lang w:val="es-ES_tradnl"/>
        </w:rPr>
        <w:t>Report</w:t>
      </w:r>
      <w:proofErr w:type="spellEnd"/>
      <w:r w:rsidR="00E43167" w:rsidRPr="00B26559">
        <w:rPr>
          <w:snapToGrid w:val="0"/>
          <w:lang w:val="es-ES_tradnl"/>
        </w:rPr>
        <w:t>” (Informe revisado)).</w:t>
      </w:r>
    </w:p>
    <w:p w:rsidR="00E43167" w:rsidRPr="00B26559" w:rsidRDefault="00E43167" w:rsidP="00E43167">
      <w:pPr>
        <w:rPr>
          <w:iCs/>
          <w:spacing w:val="-4"/>
          <w:lang w:val="es-ES_tradnl"/>
        </w:rPr>
      </w:pPr>
    </w:p>
    <w:p w:rsidR="00E43167" w:rsidRPr="00B26559" w:rsidRDefault="00E43167" w:rsidP="00E43167">
      <w:pPr>
        <w:pStyle w:val="Heading3"/>
        <w:rPr>
          <w:rFonts w:eastAsia="PMingLiU"/>
          <w:lang w:val="es-ES_tradnl"/>
        </w:rPr>
      </w:pPr>
      <w:bookmarkStart w:id="17" w:name="_Toc440299522"/>
      <w:bookmarkStart w:id="18" w:name="_Toc442077470"/>
      <w:r w:rsidRPr="00B26559">
        <w:rPr>
          <w:lang w:val="es-ES_tradnl"/>
        </w:rPr>
        <w:t>Grupo de Trabajo Técnico sobre Automatización y Programas Informáticos</w:t>
      </w:r>
      <w:bookmarkEnd w:id="17"/>
      <w:bookmarkEnd w:id="18"/>
    </w:p>
    <w:p w:rsidR="00E43167" w:rsidRPr="00B26559" w:rsidRDefault="00E43167" w:rsidP="00E43167">
      <w:pPr>
        <w:rPr>
          <w:iCs/>
          <w:spacing w:val="-4"/>
          <w:lang w:val="es-ES_tradnl"/>
        </w:rPr>
      </w:pPr>
    </w:p>
    <w:p w:rsidR="00E43167" w:rsidRPr="00B26559" w:rsidRDefault="00564778" w:rsidP="00E43167">
      <w:pPr>
        <w:rPr>
          <w:lang w:val="es-ES_tradnl"/>
        </w:rPr>
      </w:pPr>
      <w:r w:rsidRPr="00B26559">
        <w:rPr>
          <w:snapToGrid w:val="0"/>
          <w:lang w:val="es-ES_tradnl"/>
        </w:rPr>
        <w:fldChar w:fldCharType="begin"/>
      </w:r>
      <w:r w:rsidR="00E43167" w:rsidRPr="00B26559">
        <w:rPr>
          <w:snapToGrid w:val="0"/>
          <w:lang w:val="es-ES_tradnl"/>
        </w:rPr>
        <w:instrText xml:space="preserve"> AUTONUM  </w:instrText>
      </w:r>
      <w:r w:rsidRPr="00B26559">
        <w:rPr>
          <w:snapToGrid w:val="0"/>
          <w:lang w:val="es-ES_tradnl"/>
        </w:rPr>
        <w:fldChar w:fldCharType="end"/>
      </w:r>
      <w:r w:rsidR="00E43167" w:rsidRPr="00B26559">
        <w:rPr>
          <w:lang w:val="es-ES_tradnl"/>
        </w:rPr>
        <w:tab/>
      </w:r>
      <w:r w:rsidR="00E43167" w:rsidRPr="00B26559">
        <w:rPr>
          <w:snapToGrid w:val="0"/>
          <w:lang w:val="es-ES_tradnl"/>
        </w:rPr>
        <w:t xml:space="preserve">En su trigésima tercera sesión, celebrada en Natal (Brasil) del 30 de junio al 3 de julio de 2015, el TWC examinó el documento TWC/33/9 </w:t>
      </w:r>
      <w:r w:rsidR="00E43167" w:rsidRPr="00B26559">
        <w:rPr>
          <w:lang w:val="es-ES_tradnl"/>
        </w:rPr>
        <w:t>“</w:t>
      </w:r>
      <w:proofErr w:type="spellStart"/>
      <w:r w:rsidR="00E43167" w:rsidRPr="00B26559">
        <w:rPr>
          <w:i/>
          <w:lang w:val="es-ES_tradnl"/>
        </w:rPr>
        <w:t>Revision</w:t>
      </w:r>
      <w:proofErr w:type="spellEnd"/>
      <w:r w:rsidR="00E43167" w:rsidRPr="00B26559">
        <w:rPr>
          <w:i/>
          <w:lang w:val="es-ES_tradnl"/>
        </w:rPr>
        <w:t xml:space="preserve"> of </w:t>
      </w:r>
      <w:proofErr w:type="spellStart"/>
      <w:r w:rsidR="00E43167" w:rsidRPr="00B26559">
        <w:rPr>
          <w:i/>
          <w:lang w:val="es-ES_tradnl"/>
        </w:rPr>
        <w:t>document</w:t>
      </w:r>
      <w:proofErr w:type="spellEnd"/>
      <w:r w:rsidR="00E43167" w:rsidRPr="00B26559">
        <w:rPr>
          <w:i/>
          <w:lang w:val="es-ES_tradnl"/>
        </w:rPr>
        <w:t xml:space="preserve"> TGP/10: New </w:t>
      </w:r>
      <w:proofErr w:type="spellStart"/>
      <w:r w:rsidR="00E43167" w:rsidRPr="00B26559">
        <w:rPr>
          <w:i/>
          <w:lang w:val="es-ES_tradnl"/>
        </w:rPr>
        <w:t>section</w:t>
      </w:r>
      <w:proofErr w:type="spellEnd"/>
      <w:r w:rsidR="00E43167" w:rsidRPr="00B26559">
        <w:rPr>
          <w:i/>
          <w:lang w:val="es-ES_tradnl"/>
        </w:rPr>
        <w:t xml:space="preserve">: </w:t>
      </w:r>
      <w:proofErr w:type="spellStart"/>
      <w:r w:rsidR="00E43167" w:rsidRPr="00B26559">
        <w:rPr>
          <w:i/>
          <w:lang w:val="es-ES_tradnl"/>
        </w:rPr>
        <w:t>Assessing</w:t>
      </w:r>
      <w:proofErr w:type="spellEnd"/>
      <w:r w:rsidR="00E43167" w:rsidRPr="00B26559">
        <w:rPr>
          <w:i/>
          <w:lang w:val="es-ES_tradnl"/>
        </w:rPr>
        <w:t xml:space="preserve"> </w:t>
      </w:r>
      <w:proofErr w:type="spellStart"/>
      <w:r w:rsidR="00E43167" w:rsidRPr="00B26559">
        <w:rPr>
          <w:i/>
          <w:lang w:val="es-ES_tradnl"/>
        </w:rPr>
        <w:t>Uniformity</w:t>
      </w:r>
      <w:proofErr w:type="spellEnd"/>
      <w:r w:rsidR="00E43167" w:rsidRPr="00B26559">
        <w:rPr>
          <w:i/>
          <w:lang w:val="es-ES_tradnl"/>
        </w:rPr>
        <w:t xml:space="preserve"> </w:t>
      </w:r>
      <w:proofErr w:type="spellStart"/>
      <w:r w:rsidR="00E43167" w:rsidRPr="00B26559">
        <w:rPr>
          <w:i/>
          <w:lang w:val="es-ES_tradnl"/>
        </w:rPr>
        <w:t>by</w:t>
      </w:r>
      <w:proofErr w:type="spellEnd"/>
      <w:r w:rsidR="00E43167" w:rsidRPr="00B26559">
        <w:rPr>
          <w:i/>
          <w:lang w:val="es-ES_tradnl"/>
        </w:rPr>
        <w:t xml:space="preserve"> Off-</w:t>
      </w:r>
      <w:proofErr w:type="spellStart"/>
      <w:r w:rsidR="00E43167" w:rsidRPr="00B26559">
        <w:rPr>
          <w:i/>
          <w:lang w:val="es-ES_tradnl"/>
        </w:rPr>
        <w:t>Types</w:t>
      </w:r>
      <w:proofErr w:type="spellEnd"/>
      <w:r w:rsidR="00E43167" w:rsidRPr="00B26559">
        <w:rPr>
          <w:i/>
          <w:lang w:val="es-ES_tradnl"/>
        </w:rPr>
        <w:t xml:space="preserve"> </w:t>
      </w:r>
      <w:proofErr w:type="spellStart"/>
      <w:r w:rsidR="00E43167" w:rsidRPr="00B26559">
        <w:rPr>
          <w:i/>
          <w:lang w:val="es-ES_tradnl"/>
        </w:rPr>
        <w:t>on</w:t>
      </w:r>
      <w:proofErr w:type="spellEnd"/>
      <w:r w:rsidR="00E43167" w:rsidRPr="00B26559">
        <w:rPr>
          <w:i/>
          <w:lang w:val="es-ES_tradnl"/>
        </w:rPr>
        <w:t xml:space="preserve"> </w:t>
      </w:r>
      <w:proofErr w:type="spellStart"/>
      <w:r w:rsidR="00E43167" w:rsidRPr="00B26559">
        <w:rPr>
          <w:i/>
          <w:lang w:val="es-ES_tradnl"/>
        </w:rPr>
        <w:t>Basis</w:t>
      </w:r>
      <w:proofErr w:type="spellEnd"/>
      <w:r w:rsidR="00E43167" w:rsidRPr="00B26559">
        <w:rPr>
          <w:i/>
          <w:lang w:val="es-ES_tradnl"/>
        </w:rPr>
        <w:t xml:space="preserve"> of More </w:t>
      </w:r>
      <w:proofErr w:type="spellStart"/>
      <w:r w:rsidR="00E43167" w:rsidRPr="00B26559">
        <w:rPr>
          <w:i/>
          <w:lang w:val="es-ES_tradnl"/>
        </w:rPr>
        <w:t>than</w:t>
      </w:r>
      <w:proofErr w:type="spellEnd"/>
      <w:r w:rsidR="00E43167" w:rsidRPr="00B26559">
        <w:rPr>
          <w:i/>
          <w:lang w:val="es-ES_tradnl"/>
        </w:rPr>
        <w:t xml:space="preserve"> </w:t>
      </w:r>
      <w:proofErr w:type="spellStart"/>
      <w:r w:rsidR="00E43167" w:rsidRPr="00B26559">
        <w:rPr>
          <w:i/>
          <w:lang w:val="es-ES_tradnl"/>
        </w:rPr>
        <w:t>One</w:t>
      </w:r>
      <w:proofErr w:type="spellEnd"/>
      <w:r w:rsidR="00E43167" w:rsidRPr="00B26559">
        <w:rPr>
          <w:i/>
          <w:lang w:val="es-ES_tradnl"/>
        </w:rPr>
        <w:t xml:space="preserve"> </w:t>
      </w:r>
      <w:proofErr w:type="spellStart"/>
      <w:r w:rsidR="00E43167" w:rsidRPr="00B26559">
        <w:rPr>
          <w:i/>
          <w:lang w:val="es-ES_tradnl"/>
        </w:rPr>
        <w:t>Growing</w:t>
      </w:r>
      <w:proofErr w:type="spellEnd"/>
      <w:r w:rsidR="00E43167" w:rsidRPr="00B26559">
        <w:rPr>
          <w:i/>
          <w:lang w:val="es-ES_tradnl"/>
        </w:rPr>
        <w:t xml:space="preserve"> </w:t>
      </w:r>
      <w:proofErr w:type="spellStart"/>
      <w:r w:rsidR="00E43167" w:rsidRPr="00B26559">
        <w:rPr>
          <w:i/>
          <w:lang w:val="es-ES_tradnl"/>
        </w:rPr>
        <w:t>Cycle</w:t>
      </w:r>
      <w:proofErr w:type="spellEnd"/>
      <w:r w:rsidR="00E43167" w:rsidRPr="00B26559">
        <w:rPr>
          <w:i/>
          <w:lang w:val="es-ES_tradnl"/>
        </w:rPr>
        <w:t xml:space="preserve"> </w:t>
      </w:r>
      <w:proofErr w:type="spellStart"/>
      <w:r w:rsidR="00E43167" w:rsidRPr="00B26559">
        <w:rPr>
          <w:i/>
          <w:lang w:val="es-ES_tradnl"/>
        </w:rPr>
        <w:t>or</w:t>
      </w:r>
      <w:proofErr w:type="spellEnd"/>
      <w:r w:rsidR="00E43167" w:rsidRPr="00B26559">
        <w:rPr>
          <w:i/>
          <w:lang w:val="es-ES_tradnl"/>
        </w:rPr>
        <w:t xml:space="preserve"> </w:t>
      </w:r>
      <w:proofErr w:type="spellStart"/>
      <w:r w:rsidR="00E43167" w:rsidRPr="00B26559">
        <w:rPr>
          <w:i/>
          <w:lang w:val="es-ES_tradnl"/>
        </w:rPr>
        <w:t>on</w:t>
      </w:r>
      <w:proofErr w:type="spellEnd"/>
      <w:r w:rsidR="00E43167" w:rsidRPr="00B26559">
        <w:rPr>
          <w:i/>
          <w:lang w:val="es-ES_tradnl"/>
        </w:rPr>
        <w:t xml:space="preserve"> </w:t>
      </w:r>
      <w:proofErr w:type="spellStart"/>
      <w:r w:rsidR="00E43167" w:rsidRPr="00B26559">
        <w:rPr>
          <w:i/>
          <w:lang w:val="es-ES_tradnl"/>
        </w:rPr>
        <w:t>the</w:t>
      </w:r>
      <w:proofErr w:type="spellEnd"/>
      <w:r w:rsidR="00E43167" w:rsidRPr="00B26559">
        <w:rPr>
          <w:i/>
          <w:lang w:val="es-ES_tradnl"/>
        </w:rPr>
        <w:t xml:space="preserve"> </w:t>
      </w:r>
      <w:proofErr w:type="spellStart"/>
      <w:r w:rsidR="00E43167" w:rsidRPr="00B26559">
        <w:rPr>
          <w:i/>
          <w:lang w:val="es-ES_tradnl"/>
        </w:rPr>
        <w:t>Basis</w:t>
      </w:r>
      <w:proofErr w:type="spellEnd"/>
      <w:r w:rsidR="00E43167" w:rsidRPr="00B26559">
        <w:rPr>
          <w:i/>
          <w:lang w:val="es-ES_tradnl"/>
        </w:rPr>
        <w:t xml:space="preserve"> of Sub-</w:t>
      </w:r>
      <w:proofErr w:type="spellStart"/>
      <w:r w:rsidR="00E43167" w:rsidRPr="00B26559">
        <w:rPr>
          <w:i/>
          <w:lang w:val="es-ES_tradnl"/>
        </w:rPr>
        <w:t>Samples</w:t>
      </w:r>
      <w:proofErr w:type="spellEnd"/>
      <w:r w:rsidR="00E43167" w:rsidRPr="00B26559">
        <w:rPr>
          <w:lang w:val="es-ES_tradnl"/>
        </w:rPr>
        <w:t>” (Revisión del documento TGP/10</w:t>
      </w:r>
      <w:r w:rsidR="00621BF2" w:rsidRPr="00B26559">
        <w:rPr>
          <w:lang w:val="es-ES_tradnl"/>
        </w:rPr>
        <w:t xml:space="preserve">:  </w:t>
      </w:r>
      <w:r w:rsidR="00E43167" w:rsidRPr="00B26559">
        <w:rPr>
          <w:lang w:val="es-ES_tradnl"/>
        </w:rPr>
        <w:t>nueva sección</w:t>
      </w:r>
      <w:r w:rsidR="00621BF2" w:rsidRPr="00B26559">
        <w:rPr>
          <w:lang w:val="es-ES_tradnl"/>
        </w:rPr>
        <w:t xml:space="preserve">:  </w:t>
      </w:r>
      <w:r w:rsidR="00E43167" w:rsidRPr="00B26559">
        <w:rPr>
          <w:lang w:val="es-ES_tradnl"/>
        </w:rPr>
        <w:t xml:space="preserve">Evaluación de la homogeneidad de las plantas fuera de tipo mediante la observación de más de un ciclo de cultivo o mediante la observación de </w:t>
      </w:r>
      <w:proofErr w:type="spellStart"/>
      <w:r w:rsidR="00E43167" w:rsidRPr="00B26559">
        <w:rPr>
          <w:lang w:val="es-ES_tradnl"/>
        </w:rPr>
        <w:t>submuestras</w:t>
      </w:r>
      <w:proofErr w:type="spellEnd"/>
      <w:r w:rsidR="00E43167" w:rsidRPr="00B26559">
        <w:rPr>
          <w:lang w:val="es-ES_tradnl"/>
        </w:rPr>
        <w:t>).</w:t>
      </w:r>
    </w:p>
    <w:p w:rsidR="00E43167" w:rsidRPr="00B26559" w:rsidRDefault="00E43167" w:rsidP="00E43167">
      <w:pPr>
        <w:rPr>
          <w:lang w:val="es-ES_tradnl"/>
        </w:rPr>
      </w:pPr>
    </w:p>
    <w:p w:rsidR="00E43167" w:rsidRPr="00B26559" w:rsidRDefault="00564778" w:rsidP="00E43167">
      <w:pPr>
        <w:rPr>
          <w:lang w:val="es-ES_tradnl"/>
        </w:rPr>
      </w:pPr>
      <w:r w:rsidRPr="00B26559">
        <w:rPr>
          <w:snapToGrid w:val="0"/>
          <w:lang w:val="es-ES_tradnl"/>
        </w:rPr>
        <w:fldChar w:fldCharType="begin"/>
      </w:r>
      <w:r w:rsidR="00E43167" w:rsidRPr="00B26559">
        <w:rPr>
          <w:snapToGrid w:val="0"/>
          <w:lang w:val="es-ES_tradnl"/>
        </w:rPr>
        <w:instrText xml:space="preserve"> AUTONUM  </w:instrText>
      </w:r>
      <w:r w:rsidRPr="00B26559">
        <w:rPr>
          <w:snapToGrid w:val="0"/>
          <w:lang w:val="es-ES_tradnl"/>
        </w:rPr>
        <w:fldChar w:fldCharType="end"/>
      </w:r>
      <w:r w:rsidR="00E43167" w:rsidRPr="00B26559">
        <w:rPr>
          <w:lang w:val="es-ES_tradnl"/>
        </w:rPr>
        <w:tab/>
        <w:t>El TWC examinó el proyecto de orientación que figura en el documento TWC/33/9, Anexo I, y convino en proponer que se modifique el título del método 2 para que su texto sea el siguiente</w:t>
      </w:r>
      <w:proofErr w:type="gramStart"/>
      <w:r w:rsidR="00621BF2" w:rsidRPr="00B26559">
        <w:rPr>
          <w:lang w:val="es-ES_tradnl"/>
        </w:rPr>
        <w:t xml:space="preserve">:  </w:t>
      </w:r>
      <w:r w:rsidR="00E43167" w:rsidRPr="00B26559">
        <w:rPr>
          <w:lang w:val="es-ES_tradnl"/>
        </w:rPr>
        <w:t>“</w:t>
      </w:r>
      <w:proofErr w:type="gramEnd"/>
      <w:r w:rsidR="00E43167" w:rsidRPr="00B26559">
        <w:rPr>
          <w:lang w:val="es-ES_tradnl"/>
        </w:rPr>
        <w:t xml:space="preserve">Combinar los resultados de dos ciclos de cultivo </w:t>
      </w:r>
      <w:r w:rsidR="00E43167" w:rsidRPr="00B26559">
        <w:rPr>
          <w:highlight w:val="lightGray"/>
          <w:u w:val="single"/>
          <w:lang w:val="es-ES_tradnl"/>
        </w:rPr>
        <w:t>en el caso de resultados contradictorios</w:t>
      </w:r>
      <w:r w:rsidR="00E43167" w:rsidRPr="00B26559">
        <w:rPr>
          <w:lang w:val="es-ES_tradnl"/>
        </w:rPr>
        <w:t xml:space="preserve">”. </w:t>
      </w:r>
    </w:p>
    <w:p w:rsidR="00E43167" w:rsidRPr="00B26559" w:rsidRDefault="00E43167" w:rsidP="00E43167">
      <w:pPr>
        <w:rPr>
          <w:lang w:val="es-ES_tradnl"/>
        </w:rPr>
      </w:pPr>
    </w:p>
    <w:p w:rsidR="00E43167" w:rsidRPr="00B26559" w:rsidRDefault="00564778" w:rsidP="00E43167">
      <w:pPr>
        <w:rPr>
          <w:lang w:val="es-ES_tradnl"/>
        </w:rPr>
      </w:pPr>
      <w:r w:rsidRPr="00B26559">
        <w:rPr>
          <w:snapToGrid w:val="0"/>
          <w:lang w:val="es-ES_tradnl"/>
        </w:rPr>
        <w:fldChar w:fldCharType="begin"/>
      </w:r>
      <w:r w:rsidR="00E43167" w:rsidRPr="00B26559">
        <w:rPr>
          <w:snapToGrid w:val="0"/>
          <w:lang w:val="es-ES_tradnl"/>
        </w:rPr>
        <w:instrText xml:space="preserve"> AUTONUM  </w:instrText>
      </w:r>
      <w:r w:rsidRPr="00B26559">
        <w:rPr>
          <w:snapToGrid w:val="0"/>
          <w:lang w:val="es-ES_tradnl"/>
        </w:rPr>
        <w:fldChar w:fldCharType="end"/>
      </w:r>
      <w:r w:rsidR="00E43167" w:rsidRPr="00B26559">
        <w:rPr>
          <w:lang w:val="es-ES_tradnl"/>
        </w:rPr>
        <w:tab/>
      </w:r>
      <w:r w:rsidR="00E43167" w:rsidRPr="00B26559">
        <w:rPr>
          <w:snapToGrid w:val="0"/>
          <w:lang w:val="es-ES_tradnl"/>
        </w:rPr>
        <w:t xml:space="preserve">El TWC </w:t>
      </w:r>
      <w:r w:rsidR="00E43167" w:rsidRPr="00B26559">
        <w:rPr>
          <w:lang w:val="es-ES_tradnl"/>
        </w:rPr>
        <w:t xml:space="preserve">asistió a una ponencia a cargo de los expertos de Alemania y el Reino Unido, que se reproduce en el Anexo III de este documento (únicamente en inglés), y </w:t>
      </w:r>
      <w:r w:rsidR="00E43167" w:rsidRPr="00B26559">
        <w:rPr>
          <w:snapToGrid w:val="0"/>
          <w:lang w:val="es-ES_tradnl"/>
        </w:rPr>
        <w:t xml:space="preserve">convino en proponer el añadido del tercer método al proyecto de orientación, con el siguiente texto: </w:t>
      </w:r>
    </w:p>
    <w:p w:rsidR="00E43167" w:rsidRPr="00B26559" w:rsidRDefault="00E43167" w:rsidP="00E43167">
      <w:pPr>
        <w:rPr>
          <w:lang w:val="es-ES_tradnl"/>
        </w:rPr>
      </w:pPr>
    </w:p>
    <w:p w:rsidR="00E43167" w:rsidRPr="00B26559" w:rsidRDefault="0084209B" w:rsidP="00E43167">
      <w:pPr>
        <w:keepNext/>
        <w:ind w:left="567" w:right="567"/>
        <w:rPr>
          <w:b/>
          <w:bCs/>
          <w:lang w:val="es-ES_tradnl"/>
        </w:rPr>
      </w:pPr>
      <w:r w:rsidRPr="00B26559">
        <w:rPr>
          <w:b/>
          <w:bCs/>
          <w:lang w:val="es-ES_tradnl"/>
        </w:rPr>
        <w:t>“</w:t>
      </w:r>
      <w:r w:rsidR="00E43167" w:rsidRPr="00B26559">
        <w:rPr>
          <w:b/>
          <w:lang w:val="es-ES_tradnl"/>
        </w:rPr>
        <w:t>Método 3</w:t>
      </w:r>
      <w:proofErr w:type="gramStart"/>
      <w:r w:rsidR="00E43167" w:rsidRPr="00B26559">
        <w:rPr>
          <w:b/>
          <w:lang w:val="es-ES_tradnl"/>
        </w:rPr>
        <w:t>:  Combinar</w:t>
      </w:r>
      <w:proofErr w:type="gramEnd"/>
      <w:r w:rsidR="00E43167" w:rsidRPr="00B26559">
        <w:rPr>
          <w:b/>
          <w:lang w:val="es-ES_tradnl"/>
        </w:rPr>
        <w:t xml:space="preserve"> los resultados de dos ciclos de cultivo</w:t>
      </w:r>
    </w:p>
    <w:p w:rsidR="00E43167" w:rsidRPr="00B26559" w:rsidRDefault="00E43167" w:rsidP="00E43167">
      <w:pPr>
        <w:keepNext/>
        <w:ind w:left="567" w:right="567"/>
        <w:rPr>
          <w:lang w:val="es-ES_tradnl"/>
        </w:rPr>
      </w:pPr>
    </w:p>
    <w:p w:rsidR="00E43167" w:rsidRPr="00B26559" w:rsidRDefault="00E43167" w:rsidP="00E43167">
      <w:pPr>
        <w:ind w:left="567" w:right="567"/>
        <w:rPr>
          <w:lang w:val="es-ES_tradnl"/>
        </w:rPr>
      </w:pPr>
      <w:r w:rsidRPr="00B26559">
        <w:rPr>
          <w:lang w:val="es-ES_tradnl"/>
        </w:rPr>
        <w:t>“Se considera que una variedad es homogénea si el número total de plantas fuera de tipo al término de los dos ciclos de cultivo no supera el número permitido de plantas fuera de tipo en una muestra combinada.</w:t>
      </w:r>
    </w:p>
    <w:p w:rsidR="00E43167" w:rsidRPr="00B26559" w:rsidRDefault="00E43167" w:rsidP="00E43167">
      <w:pPr>
        <w:ind w:left="567" w:right="567"/>
        <w:rPr>
          <w:lang w:val="es-ES_tradnl"/>
        </w:rPr>
      </w:pPr>
    </w:p>
    <w:p w:rsidR="00E43167" w:rsidRPr="00B26559" w:rsidRDefault="00E43167" w:rsidP="00E43167">
      <w:pPr>
        <w:ind w:left="567" w:right="567"/>
        <w:rPr>
          <w:lang w:val="es-ES_tradnl"/>
        </w:rPr>
      </w:pPr>
      <w:r w:rsidRPr="00B26559">
        <w:rPr>
          <w:lang w:val="es-ES_tradnl"/>
        </w:rPr>
        <w:t>“Se considera que una variedad no es homogénea si el número total de plantas fuera de tipo al término de los dos ciclos de cultivo supera el número permitido de plantas fuera de tipo en una muestra combinada.</w:t>
      </w:r>
    </w:p>
    <w:p w:rsidR="00E43167" w:rsidRPr="00B26559" w:rsidRDefault="00E43167" w:rsidP="00E43167">
      <w:pPr>
        <w:ind w:left="567" w:right="567"/>
        <w:rPr>
          <w:lang w:val="es-ES_tradnl"/>
        </w:rPr>
      </w:pPr>
    </w:p>
    <w:p w:rsidR="00E43167" w:rsidRPr="00B26559" w:rsidRDefault="00E43167" w:rsidP="00E43167">
      <w:pPr>
        <w:ind w:left="567" w:right="567"/>
        <w:rPr>
          <w:lang w:val="es-ES_tradnl"/>
        </w:rPr>
      </w:pPr>
      <w:r w:rsidRPr="00B26559">
        <w:rPr>
          <w:lang w:val="es-ES_tradnl"/>
        </w:rPr>
        <w:t>“Podrá rechazarse una variedad tras un único ciclo de cultivo, si el número de plantas fuera de tipo supera el número permitido de plantas fuera de tipo en una muestra combinada (en dos ciclos de cultivo).</w:t>
      </w:r>
    </w:p>
    <w:p w:rsidR="00E43167" w:rsidRPr="00B26559" w:rsidRDefault="00E43167" w:rsidP="00E43167">
      <w:pPr>
        <w:ind w:left="567" w:right="567"/>
        <w:rPr>
          <w:lang w:val="es-ES_tradnl"/>
        </w:rPr>
      </w:pPr>
    </w:p>
    <w:p w:rsidR="00E43167" w:rsidRPr="00B26559" w:rsidRDefault="00E43167" w:rsidP="00E43167">
      <w:pPr>
        <w:ind w:left="567" w:right="567"/>
        <w:rPr>
          <w:lang w:val="es-ES_tradnl"/>
        </w:rPr>
      </w:pPr>
      <w:r w:rsidRPr="00B26559">
        <w:rPr>
          <w:lang w:val="es-ES_tradnl"/>
        </w:rPr>
        <w:t xml:space="preserve">“Es preciso poner cuidado al examinar resultados que son muy diferentes en cada uno de los ciclos de cultivo, por ejemplo cuando se observa una gran abundancia de plantas fuera de tipo en un ciclo de cultivo y su ausencia en otro ciclo. </w:t>
      </w:r>
      <w:r w:rsidR="0084209B" w:rsidRPr="00B26559">
        <w:rPr>
          <w:lang w:val="es-ES_tradnl"/>
        </w:rPr>
        <w:t xml:space="preserve"> </w:t>
      </w:r>
      <w:r w:rsidRPr="00B26559">
        <w:rPr>
          <w:lang w:val="es-ES_tradnl"/>
        </w:rPr>
        <w:t>Se puede llevar a cabo una prueba estadística para verificar la coherencia.”</w:t>
      </w:r>
    </w:p>
    <w:p w:rsidR="00E43167" w:rsidRPr="00B26559" w:rsidRDefault="00E43167" w:rsidP="00E43167">
      <w:pPr>
        <w:rPr>
          <w:lang w:val="es-ES_tradnl"/>
        </w:rPr>
      </w:pPr>
    </w:p>
    <w:p w:rsidR="00E43167" w:rsidRPr="00B26559" w:rsidRDefault="00564778" w:rsidP="00E43167">
      <w:pPr>
        <w:rPr>
          <w:lang w:val="es-ES_tradnl"/>
        </w:rPr>
      </w:pPr>
      <w:r w:rsidRPr="00B26559">
        <w:rPr>
          <w:snapToGrid w:val="0"/>
          <w:lang w:val="es-ES_tradnl"/>
        </w:rPr>
        <w:fldChar w:fldCharType="begin"/>
      </w:r>
      <w:r w:rsidR="00E43167" w:rsidRPr="00B26559">
        <w:rPr>
          <w:snapToGrid w:val="0"/>
          <w:lang w:val="es-ES_tradnl"/>
        </w:rPr>
        <w:instrText xml:space="preserve"> AUTONUM  </w:instrText>
      </w:r>
      <w:r w:rsidRPr="00B26559">
        <w:rPr>
          <w:snapToGrid w:val="0"/>
          <w:lang w:val="es-ES_tradnl"/>
        </w:rPr>
        <w:fldChar w:fldCharType="end"/>
      </w:r>
      <w:r w:rsidR="00E43167" w:rsidRPr="00B26559">
        <w:rPr>
          <w:lang w:val="es-ES_tradnl"/>
        </w:rPr>
        <w:tab/>
      </w:r>
      <w:r w:rsidR="00E43167" w:rsidRPr="00B26559">
        <w:rPr>
          <w:snapToGrid w:val="0"/>
          <w:lang w:val="es-ES_tradnl"/>
        </w:rPr>
        <w:t xml:space="preserve">El TWC tomó nota de que el método presentado por los expertos de Alemania y el Reino Unido se empleaba en este último país y que siempre </w:t>
      </w:r>
      <w:r w:rsidR="00E43167" w:rsidRPr="00B26559">
        <w:rPr>
          <w:lang w:val="es-ES_tradnl"/>
        </w:rPr>
        <w:t xml:space="preserve">combinaba los resultados de dos ciclos de cultivo.  El TWC tomó nota de la explicación según la cual este método permitía tomar una decisión temprana sobre la homogeneidad cuando el número de plantas fuera de tipo era mayor en una </w:t>
      </w:r>
      <w:proofErr w:type="spellStart"/>
      <w:r w:rsidR="00E43167" w:rsidRPr="00B26559">
        <w:rPr>
          <w:lang w:val="es-ES_tradnl"/>
        </w:rPr>
        <w:t>submuestra</w:t>
      </w:r>
      <w:proofErr w:type="spellEnd"/>
      <w:r w:rsidR="00E43167" w:rsidRPr="00B26559">
        <w:rPr>
          <w:lang w:val="es-ES_tradnl"/>
        </w:rPr>
        <w:t xml:space="preserve"> que el número permitido para la muestra combinada.  El TWC también tomó nota de la explicación según la cual este método reducía el error de tipo 2 (aceptar una variedad que no es homogénea), en comparación con los otros métodos presentados en el proyecto de orientación, ya que considera el riesgo global de las muestras combinadas en lugar de los riesgos de cada etapa de evaluación por separado.  </w:t>
      </w:r>
    </w:p>
    <w:p w:rsidR="00E43167" w:rsidRPr="00B26559" w:rsidRDefault="00E43167" w:rsidP="00E43167">
      <w:pPr>
        <w:rPr>
          <w:lang w:val="es-ES_tradnl"/>
        </w:rPr>
      </w:pPr>
    </w:p>
    <w:p w:rsidR="00E43167" w:rsidRPr="00B26559" w:rsidRDefault="00564778" w:rsidP="00E43167">
      <w:pPr>
        <w:rPr>
          <w:lang w:val="es-ES_tradnl"/>
        </w:rPr>
      </w:pPr>
      <w:r w:rsidRPr="00B26559">
        <w:rPr>
          <w:snapToGrid w:val="0"/>
          <w:lang w:val="es-ES_tradnl"/>
        </w:rPr>
        <w:fldChar w:fldCharType="begin"/>
      </w:r>
      <w:r w:rsidR="00E43167" w:rsidRPr="00B26559">
        <w:rPr>
          <w:snapToGrid w:val="0"/>
          <w:lang w:val="es-ES_tradnl"/>
        </w:rPr>
        <w:instrText xml:space="preserve"> AUTONUM  </w:instrText>
      </w:r>
      <w:r w:rsidRPr="00B26559">
        <w:rPr>
          <w:snapToGrid w:val="0"/>
          <w:lang w:val="es-ES_tradnl"/>
        </w:rPr>
        <w:fldChar w:fldCharType="end"/>
      </w:r>
      <w:r w:rsidR="00E43167" w:rsidRPr="00B26559">
        <w:rPr>
          <w:lang w:val="es-ES_tradnl"/>
        </w:rPr>
        <w:tab/>
      </w:r>
      <w:r w:rsidR="00E43167" w:rsidRPr="00B26559">
        <w:rPr>
          <w:snapToGrid w:val="0"/>
          <w:lang w:val="es-ES_tradnl"/>
        </w:rPr>
        <w:t xml:space="preserve">El TWC </w:t>
      </w:r>
      <w:r w:rsidR="00E43167" w:rsidRPr="00B26559">
        <w:rPr>
          <w:lang w:val="es-ES_tradnl"/>
        </w:rPr>
        <w:t>convino en que la ponencia presentada por los expertos de Alemania y el Reino Unido debía ponerse a disposición de los otros TWP (véanse los párrafos 57 a 61 del documento TWC/33/30 “</w:t>
      </w:r>
      <w:proofErr w:type="spellStart"/>
      <w:r w:rsidR="00E43167" w:rsidRPr="00B26559">
        <w:rPr>
          <w:i/>
          <w:lang w:val="es-ES_tradnl"/>
        </w:rPr>
        <w:t>Report</w:t>
      </w:r>
      <w:proofErr w:type="spellEnd"/>
      <w:proofErr w:type="gramStart"/>
      <w:r w:rsidR="00E43167" w:rsidRPr="00B26559">
        <w:rPr>
          <w:lang w:val="es-ES_tradnl"/>
        </w:rPr>
        <w:t>”(</w:t>
      </w:r>
      <w:proofErr w:type="gramEnd"/>
      <w:r w:rsidR="00E43167" w:rsidRPr="00B26559">
        <w:rPr>
          <w:lang w:val="es-ES_tradnl"/>
        </w:rPr>
        <w:t xml:space="preserve">Informe)). </w:t>
      </w:r>
    </w:p>
    <w:p w:rsidR="00E43167" w:rsidRPr="00B26559" w:rsidRDefault="00E43167" w:rsidP="00E43167">
      <w:pPr>
        <w:pStyle w:val="Style10"/>
        <w:tabs>
          <w:tab w:val="clear" w:pos="907"/>
          <w:tab w:val="clear" w:pos="1077"/>
        </w:tabs>
        <w:rPr>
          <w:rFonts w:ascii="Arial" w:hAnsi="Arial" w:cs="Arial"/>
          <w:sz w:val="20"/>
          <w:szCs w:val="20"/>
          <w:lang w:val="es-ES_tradnl"/>
        </w:rPr>
      </w:pPr>
    </w:p>
    <w:p w:rsidR="00E43167" w:rsidRPr="00B26559" w:rsidRDefault="00E43167" w:rsidP="00CB1472">
      <w:pPr>
        <w:pStyle w:val="Heading3"/>
        <w:rPr>
          <w:lang w:val="es-ES_tradnl"/>
        </w:rPr>
      </w:pPr>
      <w:bookmarkStart w:id="19" w:name="_Toc440299523"/>
      <w:bookmarkStart w:id="20" w:name="_Toc442077471"/>
      <w:r w:rsidRPr="00B26559">
        <w:rPr>
          <w:lang w:val="es-ES_tradnl"/>
        </w:rPr>
        <w:t>Grupo de Trabajo Técnico sobre Plantas Agrícolas</w:t>
      </w:r>
      <w:bookmarkEnd w:id="19"/>
      <w:bookmarkEnd w:id="20"/>
    </w:p>
    <w:p w:rsidR="00E43167" w:rsidRPr="00B26559" w:rsidRDefault="00E43167" w:rsidP="00CB1472">
      <w:pPr>
        <w:pStyle w:val="Style10"/>
        <w:keepNext/>
        <w:tabs>
          <w:tab w:val="clear" w:pos="907"/>
          <w:tab w:val="clear" w:pos="1077"/>
        </w:tabs>
        <w:rPr>
          <w:rFonts w:ascii="Arial" w:hAnsi="Arial" w:cs="Arial"/>
          <w:sz w:val="20"/>
          <w:szCs w:val="20"/>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r>
      <w:r w:rsidR="00E43167" w:rsidRPr="00B26559">
        <w:rPr>
          <w:snapToGrid w:val="0"/>
          <w:lang w:val="es-ES_tradnl"/>
        </w:rPr>
        <w:t xml:space="preserve">El TWA, en su cuadragésima cuarta sesión, celebrada en </w:t>
      </w:r>
      <w:proofErr w:type="spellStart"/>
      <w:r w:rsidR="00E43167" w:rsidRPr="00B26559">
        <w:rPr>
          <w:snapToGrid w:val="0"/>
          <w:lang w:val="es-ES_tradnl"/>
        </w:rPr>
        <w:t>Obihiro</w:t>
      </w:r>
      <w:proofErr w:type="spellEnd"/>
      <w:r w:rsidR="00E43167" w:rsidRPr="00B26559">
        <w:rPr>
          <w:snapToGrid w:val="0"/>
          <w:lang w:val="es-ES_tradnl"/>
        </w:rPr>
        <w:t xml:space="preserve"> (Japón) del 6 al 10 de julio de 2015, examinó el documento TWA/44/9 </w:t>
      </w:r>
      <w:r w:rsidR="00E43167" w:rsidRPr="00B26559">
        <w:rPr>
          <w:lang w:val="es-ES_tradnl"/>
        </w:rPr>
        <w:t>“</w:t>
      </w:r>
      <w:proofErr w:type="spellStart"/>
      <w:r w:rsidR="00E43167" w:rsidRPr="00B26559">
        <w:rPr>
          <w:i/>
          <w:lang w:val="es-ES_tradnl"/>
        </w:rPr>
        <w:t>Revision</w:t>
      </w:r>
      <w:proofErr w:type="spellEnd"/>
      <w:r w:rsidR="00E43167" w:rsidRPr="00B26559">
        <w:rPr>
          <w:i/>
          <w:lang w:val="es-ES_tradnl"/>
        </w:rPr>
        <w:t xml:space="preserve"> of </w:t>
      </w:r>
      <w:proofErr w:type="spellStart"/>
      <w:r w:rsidR="00E43167" w:rsidRPr="00B26559">
        <w:rPr>
          <w:i/>
          <w:lang w:val="es-ES_tradnl"/>
        </w:rPr>
        <w:t>document</w:t>
      </w:r>
      <w:proofErr w:type="spellEnd"/>
      <w:r w:rsidR="00E43167" w:rsidRPr="00B26559">
        <w:rPr>
          <w:i/>
          <w:lang w:val="es-ES_tradnl"/>
        </w:rPr>
        <w:t xml:space="preserve"> TGP/10: New </w:t>
      </w:r>
      <w:proofErr w:type="spellStart"/>
      <w:r w:rsidR="00E43167" w:rsidRPr="00B26559">
        <w:rPr>
          <w:i/>
          <w:lang w:val="es-ES_tradnl"/>
        </w:rPr>
        <w:t>section</w:t>
      </w:r>
      <w:proofErr w:type="spellEnd"/>
      <w:r w:rsidR="00E43167" w:rsidRPr="00B26559">
        <w:rPr>
          <w:i/>
          <w:lang w:val="es-ES_tradnl"/>
        </w:rPr>
        <w:t xml:space="preserve">: </w:t>
      </w:r>
      <w:proofErr w:type="spellStart"/>
      <w:r w:rsidR="00E43167" w:rsidRPr="00B26559">
        <w:rPr>
          <w:i/>
          <w:lang w:val="es-ES_tradnl"/>
        </w:rPr>
        <w:t>Assessing</w:t>
      </w:r>
      <w:proofErr w:type="spellEnd"/>
      <w:r w:rsidR="00E43167" w:rsidRPr="00B26559">
        <w:rPr>
          <w:i/>
          <w:lang w:val="es-ES_tradnl"/>
        </w:rPr>
        <w:t xml:space="preserve"> </w:t>
      </w:r>
      <w:proofErr w:type="spellStart"/>
      <w:r w:rsidR="00E43167" w:rsidRPr="00B26559">
        <w:rPr>
          <w:i/>
          <w:lang w:val="es-ES_tradnl"/>
        </w:rPr>
        <w:t>Uniformity</w:t>
      </w:r>
      <w:proofErr w:type="spellEnd"/>
      <w:r w:rsidR="00E43167" w:rsidRPr="00B26559">
        <w:rPr>
          <w:i/>
          <w:lang w:val="es-ES_tradnl"/>
        </w:rPr>
        <w:t xml:space="preserve"> </w:t>
      </w:r>
      <w:proofErr w:type="spellStart"/>
      <w:r w:rsidR="00E43167" w:rsidRPr="00B26559">
        <w:rPr>
          <w:i/>
          <w:lang w:val="es-ES_tradnl"/>
        </w:rPr>
        <w:t>by</w:t>
      </w:r>
      <w:proofErr w:type="spellEnd"/>
      <w:r w:rsidR="00E43167" w:rsidRPr="00B26559">
        <w:rPr>
          <w:i/>
          <w:lang w:val="es-ES_tradnl"/>
        </w:rPr>
        <w:t xml:space="preserve"> Off-</w:t>
      </w:r>
      <w:proofErr w:type="spellStart"/>
      <w:r w:rsidR="00E43167" w:rsidRPr="00B26559">
        <w:rPr>
          <w:i/>
          <w:lang w:val="es-ES_tradnl"/>
        </w:rPr>
        <w:t>Types</w:t>
      </w:r>
      <w:proofErr w:type="spellEnd"/>
      <w:r w:rsidR="00E43167" w:rsidRPr="00B26559">
        <w:rPr>
          <w:i/>
          <w:lang w:val="es-ES_tradnl"/>
        </w:rPr>
        <w:t xml:space="preserve"> </w:t>
      </w:r>
      <w:proofErr w:type="spellStart"/>
      <w:r w:rsidR="00E43167" w:rsidRPr="00B26559">
        <w:rPr>
          <w:i/>
          <w:lang w:val="es-ES_tradnl"/>
        </w:rPr>
        <w:t>on</w:t>
      </w:r>
      <w:proofErr w:type="spellEnd"/>
      <w:r w:rsidR="00E43167" w:rsidRPr="00B26559">
        <w:rPr>
          <w:i/>
          <w:lang w:val="es-ES_tradnl"/>
        </w:rPr>
        <w:t xml:space="preserve"> </w:t>
      </w:r>
      <w:proofErr w:type="spellStart"/>
      <w:r w:rsidR="00E43167" w:rsidRPr="00B26559">
        <w:rPr>
          <w:i/>
          <w:lang w:val="es-ES_tradnl"/>
        </w:rPr>
        <w:t>Basis</w:t>
      </w:r>
      <w:proofErr w:type="spellEnd"/>
      <w:r w:rsidR="00E43167" w:rsidRPr="00B26559">
        <w:rPr>
          <w:i/>
          <w:lang w:val="es-ES_tradnl"/>
        </w:rPr>
        <w:t xml:space="preserve"> of More </w:t>
      </w:r>
      <w:proofErr w:type="spellStart"/>
      <w:r w:rsidR="00E43167" w:rsidRPr="00B26559">
        <w:rPr>
          <w:i/>
          <w:lang w:val="es-ES_tradnl"/>
        </w:rPr>
        <w:t>than</w:t>
      </w:r>
      <w:proofErr w:type="spellEnd"/>
      <w:r w:rsidR="00E43167" w:rsidRPr="00B26559">
        <w:rPr>
          <w:i/>
          <w:lang w:val="es-ES_tradnl"/>
        </w:rPr>
        <w:t xml:space="preserve"> </w:t>
      </w:r>
      <w:proofErr w:type="spellStart"/>
      <w:r w:rsidR="00E43167" w:rsidRPr="00B26559">
        <w:rPr>
          <w:i/>
          <w:lang w:val="es-ES_tradnl"/>
        </w:rPr>
        <w:t>One</w:t>
      </w:r>
      <w:proofErr w:type="spellEnd"/>
      <w:r w:rsidR="00E43167" w:rsidRPr="00B26559">
        <w:rPr>
          <w:i/>
          <w:lang w:val="es-ES_tradnl"/>
        </w:rPr>
        <w:t xml:space="preserve"> </w:t>
      </w:r>
      <w:proofErr w:type="spellStart"/>
      <w:r w:rsidR="00E43167" w:rsidRPr="00B26559">
        <w:rPr>
          <w:i/>
          <w:lang w:val="es-ES_tradnl"/>
        </w:rPr>
        <w:t>Growing</w:t>
      </w:r>
      <w:proofErr w:type="spellEnd"/>
      <w:r w:rsidR="00E43167" w:rsidRPr="00B26559">
        <w:rPr>
          <w:i/>
          <w:lang w:val="es-ES_tradnl"/>
        </w:rPr>
        <w:t xml:space="preserve"> </w:t>
      </w:r>
      <w:proofErr w:type="spellStart"/>
      <w:r w:rsidR="00E43167" w:rsidRPr="00B26559">
        <w:rPr>
          <w:i/>
          <w:lang w:val="es-ES_tradnl"/>
        </w:rPr>
        <w:t>Cycle</w:t>
      </w:r>
      <w:proofErr w:type="spellEnd"/>
      <w:r w:rsidR="00E43167" w:rsidRPr="00B26559">
        <w:rPr>
          <w:i/>
          <w:lang w:val="es-ES_tradnl"/>
        </w:rPr>
        <w:t xml:space="preserve"> </w:t>
      </w:r>
      <w:proofErr w:type="spellStart"/>
      <w:r w:rsidR="00E43167" w:rsidRPr="00B26559">
        <w:rPr>
          <w:i/>
          <w:lang w:val="es-ES_tradnl"/>
        </w:rPr>
        <w:t>or</w:t>
      </w:r>
      <w:proofErr w:type="spellEnd"/>
      <w:r w:rsidR="00E43167" w:rsidRPr="00B26559">
        <w:rPr>
          <w:i/>
          <w:lang w:val="es-ES_tradnl"/>
        </w:rPr>
        <w:t xml:space="preserve"> </w:t>
      </w:r>
      <w:proofErr w:type="spellStart"/>
      <w:r w:rsidR="00E43167" w:rsidRPr="00B26559">
        <w:rPr>
          <w:i/>
          <w:lang w:val="es-ES_tradnl"/>
        </w:rPr>
        <w:t>on</w:t>
      </w:r>
      <w:proofErr w:type="spellEnd"/>
      <w:r w:rsidR="00E43167" w:rsidRPr="00B26559">
        <w:rPr>
          <w:i/>
          <w:lang w:val="es-ES_tradnl"/>
        </w:rPr>
        <w:t xml:space="preserve"> </w:t>
      </w:r>
      <w:proofErr w:type="spellStart"/>
      <w:r w:rsidR="00E43167" w:rsidRPr="00B26559">
        <w:rPr>
          <w:i/>
          <w:lang w:val="es-ES_tradnl"/>
        </w:rPr>
        <w:t>the</w:t>
      </w:r>
      <w:proofErr w:type="spellEnd"/>
      <w:r w:rsidR="00E43167" w:rsidRPr="00B26559">
        <w:rPr>
          <w:i/>
          <w:lang w:val="es-ES_tradnl"/>
        </w:rPr>
        <w:t xml:space="preserve"> </w:t>
      </w:r>
      <w:proofErr w:type="spellStart"/>
      <w:r w:rsidR="00E43167" w:rsidRPr="00B26559">
        <w:rPr>
          <w:i/>
          <w:lang w:val="es-ES_tradnl"/>
        </w:rPr>
        <w:t>Basis</w:t>
      </w:r>
      <w:proofErr w:type="spellEnd"/>
      <w:r w:rsidR="00E43167" w:rsidRPr="00B26559">
        <w:rPr>
          <w:i/>
          <w:lang w:val="es-ES_tradnl"/>
        </w:rPr>
        <w:t xml:space="preserve"> of Sub-</w:t>
      </w:r>
      <w:proofErr w:type="spellStart"/>
      <w:r w:rsidR="00E43167" w:rsidRPr="00B26559">
        <w:rPr>
          <w:i/>
          <w:lang w:val="es-ES_tradnl"/>
        </w:rPr>
        <w:t>Samples</w:t>
      </w:r>
      <w:proofErr w:type="spellEnd"/>
      <w:r w:rsidR="00E43167" w:rsidRPr="00B26559">
        <w:rPr>
          <w:lang w:val="es-ES_tradnl"/>
        </w:rPr>
        <w:t>” (Revisión del documento TGP/10</w:t>
      </w:r>
      <w:r w:rsidR="00621BF2" w:rsidRPr="00B26559">
        <w:rPr>
          <w:lang w:val="es-ES_tradnl"/>
        </w:rPr>
        <w:t xml:space="preserve">:  </w:t>
      </w:r>
      <w:r w:rsidR="00E43167" w:rsidRPr="00B26559">
        <w:rPr>
          <w:lang w:val="es-ES_tradnl"/>
        </w:rPr>
        <w:t>nueva sección</w:t>
      </w:r>
      <w:r w:rsidR="00621BF2" w:rsidRPr="00B26559">
        <w:rPr>
          <w:lang w:val="es-ES_tradnl"/>
        </w:rPr>
        <w:t xml:space="preserve">:  </w:t>
      </w:r>
      <w:r w:rsidR="00E43167" w:rsidRPr="00B26559">
        <w:rPr>
          <w:lang w:val="es-ES_tradnl"/>
        </w:rPr>
        <w:t xml:space="preserve">Evaluación de la homogeneidad de las plantas fuera de tipo mediante la observación de más de un ciclo de cultivo o mediante la observación de </w:t>
      </w:r>
      <w:proofErr w:type="spellStart"/>
      <w:r w:rsidR="00E43167" w:rsidRPr="00B26559">
        <w:rPr>
          <w:lang w:val="es-ES_tradnl"/>
        </w:rPr>
        <w:t>submuestras</w:t>
      </w:r>
      <w:proofErr w:type="spellEnd"/>
      <w:r w:rsidR="00E43167" w:rsidRPr="00B26559">
        <w:rPr>
          <w:lang w:val="es-ES_tradnl"/>
        </w:rPr>
        <w:t>).</w:t>
      </w:r>
    </w:p>
    <w:p w:rsidR="00E43167" w:rsidRPr="00B26559" w:rsidRDefault="00E43167" w:rsidP="00E43167">
      <w:pPr>
        <w:rPr>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 xml:space="preserve">El TWA convino en que, para su inclusión en una futura revisión del documento TGP/10, según consta en el Anexo I del documento TWA/44/9, el proyecto de orientación se debía seguir elaborando teniendo en cuenta la información facilitada por el TWC sobre el </w:t>
      </w:r>
      <w:r w:rsidR="00444CB1" w:rsidRPr="00B26559">
        <w:rPr>
          <w:lang w:val="es-ES_tradnl"/>
        </w:rPr>
        <w:t>“</w:t>
      </w:r>
      <w:r w:rsidR="00E43167" w:rsidRPr="00B26559">
        <w:rPr>
          <w:lang w:val="es-ES_tradnl"/>
        </w:rPr>
        <w:t>Método 3</w:t>
      </w:r>
      <w:proofErr w:type="gramStart"/>
      <w:r w:rsidR="00E43167" w:rsidRPr="00B26559">
        <w:rPr>
          <w:lang w:val="es-ES_tradnl"/>
        </w:rPr>
        <w:t>:  Combinar</w:t>
      </w:r>
      <w:proofErr w:type="gramEnd"/>
      <w:r w:rsidR="00E43167" w:rsidRPr="00B26559">
        <w:rPr>
          <w:lang w:val="es-ES_tradnl"/>
        </w:rPr>
        <w:t xml:space="preserve"> los resultados de dos ciclos de cultivo</w:t>
      </w:r>
      <w:r w:rsidR="00444CB1" w:rsidRPr="00B26559">
        <w:rPr>
          <w:lang w:val="es-ES_tradnl"/>
        </w:rPr>
        <w:t>”</w:t>
      </w:r>
      <w:r w:rsidR="00E43167" w:rsidRPr="00B26559">
        <w:rPr>
          <w:lang w:val="es-ES_tradnl"/>
        </w:rPr>
        <w:t xml:space="preserve"> y la comparación entre el riesgo global de las muestras combinadas y los riesgos de cada etapa de evaluación por separado.  El TWA convino en solicitar una conexión por vídeo con los expertos del TWC para debatir el método el “Método 3” propuesto.</w:t>
      </w:r>
    </w:p>
    <w:p w:rsidR="00E43167" w:rsidRPr="00B26559" w:rsidRDefault="00E43167" w:rsidP="00E43167">
      <w:pPr>
        <w:rPr>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El TWA convino en modificar la primera frase del Anexo I para que su texto sea el siguiente</w:t>
      </w:r>
      <w:proofErr w:type="gramStart"/>
      <w:r w:rsidR="00621BF2" w:rsidRPr="00B26559">
        <w:rPr>
          <w:lang w:val="es-ES_tradnl"/>
        </w:rPr>
        <w:t xml:space="preserve">:  </w:t>
      </w:r>
      <w:r w:rsidR="00444CB1" w:rsidRPr="00B26559">
        <w:rPr>
          <w:lang w:val="es-ES_tradnl"/>
        </w:rPr>
        <w:t>“</w:t>
      </w:r>
      <w:proofErr w:type="gramEnd"/>
      <w:r w:rsidR="00E43167" w:rsidRPr="00B26559">
        <w:rPr>
          <w:lang w:val="es-ES_tradnl"/>
        </w:rPr>
        <w:t>dos ciclos de cultivo independientes en un único lugar en diferentes años o en diferentes lugares en el mismo año, según se indica en las secciones 1.2 y 1.3 de la parte I del documento TGP/8</w:t>
      </w:r>
      <w:r w:rsidR="00444CB1" w:rsidRPr="00B26559">
        <w:rPr>
          <w:lang w:val="es-ES_tradnl"/>
        </w:rPr>
        <w:t>”</w:t>
      </w:r>
      <w:r w:rsidR="00E43167" w:rsidRPr="00B26559">
        <w:rPr>
          <w:lang w:val="es-ES_tradnl"/>
        </w:rPr>
        <w:t>.</w:t>
      </w:r>
    </w:p>
    <w:p w:rsidR="00E43167" w:rsidRPr="00B26559" w:rsidRDefault="00E43167" w:rsidP="00E43167">
      <w:pPr>
        <w:rPr>
          <w:lang w:val="es-ES_tradnl"/>
        </w:rPr>
      </w:pPr>
    </w:p>
    <w:p w:rsidR="00E43167" w:rsidRPr="00B26559" w:rsidRDefault="00564778" w:rsidP="00E43167">
      <w:pPr>
        <w:rPr>
          <w:rFonts w:eastAsia="SimSun"/>
          <w:lang w:val="es-ES_tradnl"/>
        </w:rPr>
      </w:pPr>
      <w:r w:rsidRPr="00B26559">
        <w:rPr>
          <w:rFonts w:eastAsia="SimSun"/>
          <w:lang w:val="es-ES_tradnl"/>
        </w:rPr>
        <w:fldChar w:fldCharType="begin"/>
      </w:r>
      <w:r w:rsidR="00E43167" w:rsidRPr="00B26559">
        <w:rPr>
          <w:rFonts w:eastAsia="SimSun"/>
          <w:lang w:val="es-ES_tradnl"/>
        </w:rPr>
        <w:instrText xml:space="preserve"> AUTONUM  </w:instrText>
      </w:r>
      <w:r w:rsidRPr="00B26559">
        <w:rPr>
          <w:rFonts w:eastAsia="SimSun"/>
          <w:lang w:val="es-ES_tradnl"/>
        </w:rPr>
        <w:fldChar w:fldCharType="end"/>
      </w:r>
      <w:r w:rsidR="00E43167" w:rsidRPr="00B26559">
        <w:rPr>
          <w:lang w:val="es-ES_tradnl"/>
        </w:rPr>
        <w:tab/>
        <w:t xml:space="preserve">El TWA examinó el proyecto de orientación facilitado en el Anexo I del documento TWA/44/9, sobre la posibilidad de rechazar una variedad por falta de homogeneidad tras un único ciclo de cultivo.  El TWA convino en que no se debía rechazar una variedad si el estándar de homogeneidad se supera ligeramente el primer año. </w:t>
      </w:r>
      <w:r w:rsidR="00C01EF4" w:rsidRPr="00B26559">
        <w:rPr>
          <w:lang w:val="es-ES_tradnl"/>
        </w:rPr>
        <w:t xml:space="preserve"> </w:t>
      </w:r>
      <w:r w:rsidR="00E43167" w:rsidRPr="00B26559">
        <w:rPr>
          <w:lang w:val="es-ES_tradnl"/>
        </w:rPr>
        <w:t>Solo se debe recurrir a esta posibilidad si se prevé que el límite máximo también se superará en otro ciclo de cultivo.</w:t>
      </w:r>
      <w:r w:rsidR="00C01EF4" w:rsidRPr="00B26559">
        <w:rPr>
          <w:lang w:val="es-ES_tradnl"/>
        </w:rPr>
        <w:t xml:space="preserve"> </w:t>
      </w:r>
      <w:r w:rsidR="00E43167" w:rsidRPr="00B26559">
        <w:rPr>
          <w:lang w:val="es-ES_tradnl"/>
        </w:rPr>
        <w:t xml:space="preserve"> En ese sentido, el TWA convino en proponer que la explicación facilitada en el Anexo I sobre la posibilidad de rechazar una variedad por falta de homogeneidad tras un único ciclo de cultivo se modifique de manera que su texto sea</w:t>
      </w:r>
      <w:proofErr w:type="gramStart"/>
      <w:r w:rsidR="00E43167" w:rsidRPr="00B26559">
        <w:rPr>
          <w:lang w:val="es-ES_tradnl"/>
        </w:rPr>
        <w:t>:  “</w:t>
      </w:r>
      <w:proofErr w:type="gramEnd"/>
      <w:r w:rsidR="00E43167" w:rsidRPr="00B26559">
        <w:rPr>
          <w:lang w:val="es-ES_tradnl"/>
        </w:rPr>
        <w:t xml:space="preserve">Además, es posible rechazar una variedad tras un único ciclo de cultivo debido a una falta </w:t>
      </w:r>
      <w:r w:rsidR="00E43167" w:rsidRPr="00B26559">
        <w:rPr>
          <w:highlight w:val="lightGray"/>
          <w:u w:val="single"/>
          <w:lang w:val="es-ES_tradnl"/>
        </w:rPr>
        <w:t>evidente</w:t>
      </w:r>
      <w:r w:rsidR="00E43167" w:rsidRPr="00B26559">
        <w:rPr>
          <w:lang w:val="es-ES_tradnl"/>
        </w:rPr>
        <w:t xml:space="preserve"> de homogeneidad” (véanse los párrafos 52 a 55 del documento TWA/44/23 “</w:t>
      </w:r>
      <w:proofErr w:type="spellStart"/>
      <w:r w:rsidR="00E43167" w:rsidRPr="00B26559">
        <w:rPr>
          <w:i/>
          <w:lang w:val="es-ES_tradnl"/>
        </w:rPr>
        <w:t>Report</w:t>
      </w:r>
      <w:proofErr w:type="spellEnd"/>
      <w:r w:rsidR="00E43167" w:rsidRPr="00B26559">
        <w:rPr>
          <w:lang w:val="es-ES_tradnl"/>
        </w:rPr>
        <w:t xml:space="preserve">”). </w:t>
      </w:r>
    </w:p>
    <w:p w:rsidR="00E43167" w:rsidRPr="00B26559" w:rsidRDefault="00E43167" w:rsidP="00E43167">
      <w:pPr>
        <w:rPr>
          <w:lang w:val="es-ES_tradnl"/>
        </w:rPr>
      </w:pPr>
    </w:p>
    <w:p w:rsidR="00E43167" w:rsidRPr="00B26559" w:rsidRDefault="00E43167" w:rsidP="00E43167">
      <w:pPr>
        <w:pStyle w:val="Heading3"/>
        <w:rPr>
          <w:lang w:val="es-ES_tradnl"/>
        </w:rPr>
      </w:pPr>
      <w:bookmarkStart w:id="21" w:name="_Toc440299524"/>
      <w:bookmarkStart w:id="22" w:name="_Toc442077472"/>
      <w:r w:rsidRPr="00B26559">
        <w:rPr>
          <w:lang w:val="es-ES_tradnl"/>
        </w:rPr>
        <w:t>Grupo de Trabajo Técnico sobre Plantas Frutales</w:t>
      </w:r>
      <w:bookmarkEnd w:id="21"/>
      <w:bookmarkEnd w:id="22"/>
    </w:p>
    <w:p w:rsidR="00E43167" w:rsidRPr="00B26559" w:rsidRDefault="00E43167" w:rsidP="00E43167">
      <w:pPr>
        <w:rPr>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r>
      <w:r w:rsidR="00E43167" w:rsidRPr="00B26559">
        <w:rPr>
          <w:snapToGrid w:val="0"/>
          <w:lang w:val="es-ES_tradnl"/>
        </w:rPr>
        <w:t xml:space="preserve">El TWF, en su cuadragésima sexta sesión, celebrada en Mpumalanga (Sudáfrica) del 24 al 28 de agosto de 2015, examinó el documento TWF/46/9 </w:t>
      </w:r>
      <w:r w:rsidR="00E43167" w:rsidRPr="00B26559">
        <w:rPr>
          <w:lang w:val="es-ES_tradnl"/>
        </w:rPr>
        <w:t>“</w:t>
      </w:r>
      <w:proofErr w:type="spellStart"/>
      <w:r w:rsidR="00E43167" w:rsidRPr="00B26559">
        <w:rPr>
          <w:i/>
          <w:lang w:val="es-ES_tradnl"/>
        </w:rPr>
        <w:t>Revision</w:t>
      </w:r>
      <w:proofErr w:type="spellEnd"/>
      <w:r w:rsidR="00E43167" w:rsidRPr="00B26559">
        <w:rPr>
          <w:i/>
          <w:lang w:val="es-ES_tradnl"/>
        </w:rPr>
        <w:t xml:space="preserve"> of </w:t>
      </w:r>
      <w:proofErr w:type="spellStart"/>
      <w:r w:rsidR="00E43167" w:rsidRPr="00B26559">
        <w:rPr>
          <w:i/>
          <w:lang w:val="es-ES_tradnl"/>
        </w:rPr>
        <w:t>document</w:t>
      </w:r>
      <w:proofErr w:type="spellEnd"/>
      <w:r w:rsidR="00E43167" w:rsidRPr="00B26559">
        <w:rPr>
          <w:i/>
          <w:lang w:val="es-ES_tradnl"/>
        </w:rPr>
        <w:t xml:space="preserve"> TGP/10: New </w:t>
      </w:r>
      <w:proofErr w:type="spellStart"/>
      <w:r w:rsidR="00E43167" w:rsidRPr="00B26559">
        <w:rPr>
          <w:i/>
          <w:lang w:val="es-ES_tradnl"/>
        </w:rPr>
        <w:t>section</w:t>
      </w:r>
      <w:proofErr w:type="spellEnd"/>
      <w:r w:rsidR="00E43167" w:rsidRPr="00B26559">
        <w:rPr>
          <w:i/>
          <w:lang w:val="es-ES_tradnl"/>
        </w:rPr>
        <w:t xml:space="preserve">: </w:t>
      </w:r>
      <w:proofErr w:type="spellStart"/>
      <w:r w:rsidR="00E43167" w:rsidRPr="00B26559">
        <w:rPr>
          <w:i/>
          <w:lang w:val="es-ES_tradnl"/>
        </w:rPr>
        <w:t>Assessing</w:t>
      </w:r>
      <w:proofErr w:type="spellEnd"/>
      <w:r w:rsidR="00E43167" w:rsidRPr="00B26559">
        <w:rPr>
          <w:i/>
          <w:lang w:val="es-ES_tradnl"/>
        </w:rPr>
        <w:t xml:space="preserve"> </w:t>
      </w:r>
      <w:proofErr w:type="spellStart"/>
      <w:r w:rsidR="00E43167" w:rsidRPr="00B26559">
        <w:rPr>
          <w:i/>
          <w:lang w:val="es-ES_tradnl"/>
        </w:rPr>
        <w:t>Uniformity</w:t>
      </w:r>
      <w:proofErr w:type="spellEnd"/>
      <w:r w:rsidR="00E43167" w:rsidRPr="00B26559">
        <w:rPr>
          <w:i/>
          <w:lang w:val="es-ES_tradnl"/>
        </w:rPr>
        <w:t xml:space="preserve"> </w:t>
      </w:r>
      <w:proofErr w:type="spellStart"/>
      <w:r w:rsidR="00E43167" w:rsidRPr="00B26559">
        <w:rPr>
          <w:i/>
          <w:lang w:val="es-ES_tradnl"/>
        </w:rPr>
        <w:t>by</w:t>
      </w:r>
      <w:proofErr w:type="spellEnd"/>
      <w:r w:rsidR="00E43167" w:rsidRPr="00B26559">
        <w:rPr>
          <w:i/>
          <w:lang w:val="es-ES_tradnl"/>
        </w:rPr>
        <w:t xml:space="preserve"> Off-</w:t>
      </w:r>
      <w:proofErr w:type="spellStart"/>
      <w:r w:rsidR="00E43167" w:rsidRPr="00B26559">
        <w:rPr>
          <w:i/>
          <w:lang w:val="es-ES_tradnl"/>
        </w:rPr>
        <w:t>Types</w:t>
      </w:r>
      <w:proofErr w:type="spellEnd"/>
      <w:r w:rsidR="00E43167" w:rsidRPr="00B26559">
        <w:rPr>
          <w:i/>
          <w:lang w:val="es-ES_tradnl"/>
        </w:rPr>
        <w:t xml:space="preserve"> </w:t>
      </w:r>
      <w:proofErr w:type="spellStart"/>
      <w:r w:rsidR="00E43167" w:rsidRPr="00B26559">
        <w:rPr>
          <w:i/>
          <w:lang w:val="es-ES_tradnl"/>
        </w:rPr>
        <w:t>on</w:t>
      </w:r>
      <w:proofErr w:type="spellEnd"/>
      <w:r w:rsidR="00E43167" w:rsidRPr="00B26559">
        <w:rPr>
          <w:i/>
          <w:lang w:val="es-ES_tradnl"/>
        </w:rPr>
        <w:t xml:space="preserve"> </w:t>
      </w:r>
      <w:proofErr w:type="spellStart"/>
      <w:r w:rsidR="00E43167" w:rsidRPr="00B26559">
        <w:rPr>
          <w:i/>
          <w:lang w:val="es-ES_tradnl"/>
        </w:rPr>
        <w:t>Basis</w:t>
      </w:r>
      <w:proofErr w:type="spellEnd"/>
      <w:r w:rsidR="00E43167" w:rsidRPr="00B26559">
        <w:rPr>
          <w:i/>
          <w:lang w:val="es-ES_tradnl"/>
        </w:rPr>
        <w:t xml:space="preserve"> of More </w:t>
      </w:r>
      <w:proofErr w:type="spellStart"/>
      <w:r w:rsidR="00E43167" w:rsidRPr="00B26559">
        <w:rPr>
          <w:i/>
          <w:lang w:val="es-ES_tradnl"/>
        </w:rPr>
        <w:t>than</w:t>
      </w:r>
      <w:proofErr w:type="spellEnd"/>
      <w:r w:rsidR="00E43167" w:rsidRPr="00B26559">
        <w:rPr>
          <w:i/>
          <w:lang w:val="es-ES_tradnl"/>
        </w:rPr>
        <w:t xml:space="preserve"> </w:t>
      </w:r>
      <w:proofErr w:type="spellStart"/>
      <w:r w:rsidR="00E43167" w:rsidRPr="00B26559">
        <w:rPr>
          <w:i/>
          <w:lang w:val="es-ES_tradnl"/>
        </w:rPr>
        <w:t>One</w:t>
      </w:r>
      <w:proofErr w:type="spellEnd"/>
      <w:r w:rsidR="00E43167" w:rsidRPr="00B26559">
        <w:rPr>
          <w:i/>
          <w:lang w:val="es-ES_tradnl"/>
        </w:rPr>
        <w:t xml:space="preserve"> </w:t>
      </w:r>
      <w:proofErr w:type="spellStart"/>
      <w:r w:rsidR="00E43167" w:rsidRPr="00B26559">
        <w:rPr>
          <w:i/>
          <w:lang w:val="es-ES_tradnl"/>
        </w:rPr>
        <w:t>Growing</w:t>
      </w:r>
      <w:proofErr w:type="spellEnd"/>
      <w:r w:rsidR="00E43167" w:rsidRPr="00B26559">
        <w:rPr>
          <w:i/>
          <w:lang w:val="es-ES_tradnl"/>
        </w:rPr>
        <w:t xml:space="preserve"> </w:t>
      </w:r>
      <w:proofErr w:type="spellStart"/>
      <w:r w:rsidR="00E43167" w:rsidRPr="00B26559">
        <w:rPr>
          <w:i/>
          <w:lang w:val="es-ES_tradnl"/>
        </w:rPr>
        <w:t>Cycle</w:t>
      </w:r>
      <w:proofErr w:type="spellEnd"/>
      <w:r w:rsidR="00E43167" w:rsidRPr="00B26559">
        <w:rPr>
          <w:i/>
          <w:lang w:val="es-ES_tradnl"/>
        </w:rPr>
        <w:t xml:space="preserve"> </w:t>
      </w:r>
      <w:proofErr w:type="spellStart"/>
      <w:r w:rsidR="00E43167" w:rsidRPr="00B26559">
        <w:rPr>
          <w:i/>
          <w:lang w:val="es-ES_tradnl"/>
        </w:rPr>
        <w:t>or</w:t>
      </w:r>
      <w:proofErr w:type="spellEnd"/>
      <w:r w:rsidR="00E43167" w:rsidRPr="00B26559">
        <w:rPr>
          <w:i/>
          <w:lang w:val="es-ES_tradnl"/>
        </w:rPr>
        <w:t xml:space="preserve"> </w:t>
      </w:r>
      <w:proofErr w:type="spellStart"/>
      <w:r w:rsidR="00E43167" w:rsidRPr="00B26559">
        <w:rPr>
          <w:i/>
          <w:lang w:val="es-ES_tradnl"/>
        </w:rPr>
        <w:t>on</w:t>
      </w:r>
      <w:proofErr w:type="spellEnd"/>
      <w:r w:rsidR="00E43167" w:rsidRPr="00B26559">
        <w:rPr>
          <w:i/>
          <w:lang w:val="es-ES_tradnl"/>
        </w:rPr>
        <w:t xml:space="preserve"> </w:t>
      </w:r>
      <w:proofErr w:type="spellStart"/>
      <w:r w:rsidR="00E43167" w:rsidRPr="00B26559">
        <w:rPr>
          <w:i/>
          <w:lang w:val="es-ES_tradnl"/>
        </w:rPr>
        <w:t>the</w:t>
      </w:r>
      <w:proofErr w:type="spellEnd"/>
      <w:r w:rsidR="00E43167" w:rsidRPr="00B26559">
        <w:rPr>
          <w:i/>
          <w:lang w:val="es-ES_tradnl"/>
        </w:rPr>
        <w:t xml:space="preserve"> </w:t>
      </w:r>
      <w:proofErr w:type="spellStart"/>
      <w:r w:rsidR="00E43167" w:rsidRPr="00B26559">
        <w:rPr>
          <w:i/>
          <w:lang w:val="es-ES_tradnl"/>
        </w:rPr>
        <w:t>Basis</w:t>
      </w:r>
      <w:proofErr w:type="spellEnd"/>
      <w:r w:rsidR="00E43167" w:rsidRPr="00B26559">
        <w:rPr>
          <w:i/>
          <w:lang w:val="es-ES_tradnl"/>
        </w:rPr>
        <w:t xml:space="preserve"> of Sub-</w:t>
      </w:r>
      <w:proofErr w:type="spellStart"/>
      <w:r w:rsidR="00E43167" w:rsidRPr="00B26559">
        <w:rPr>
          <w:i/>
          <w:lang w:val="es-ES_tradnl"/>
        </w:rPr>
        <w:t>Samples</w:t>
      </w:r>
      <w:proofErr w:type="spellEnd"/>
      <w:r w:rsidR="00E43167" w:rsidRPr="00B26559">
        <w:rPr>
          <w:lang w:val="es-ES_tradnl"/>
        </w:rPr>
        <w:t>” (Revisión del documento TGP/10</w:t>
      </w:r>
      <w:r w:rsidR="00621BF2" w:rsidRPr="00B26559">
        <w:rPr>
          <w:lang w:val="es-ES_tradnl"/>
        </w:rPr>
        <w:t xml:space="preserve">:  </w:t>
      </w:r>
      <w:r w:rsidR="00E43167" w:rsidRPr="00B26559">
        <w:rPr>
          <w:lang w:val="es-ES_tradnl"/>
        </w:rPr>
        <w:t>nueva sección</w:t>
      </w:r>
      <w:r w:rsidR="00621BF2" w:rsidRPr="00B26559">
        <w:rPr>
          <w:lang w:val="es-ES_tradnl"/>
        </w:rPr>
        <w:t xml:space="preserve">:  </w:t>
      </w:r>
      <w:r w:rsidR="00E43167" w:rsidRPr="00B26559">
        <w:rPr>
          <w:lang w:val="es-ES_tradnl"/>
        </w:rPr>
        <w:t xml:space="preserve">Evaluación de la homogeneidad de las plantas fuera de tipo mediante la observación de más de un ciclo de cultivo o mediante la observación de </w:t>
      </w:r>
      <w:proofErr w:type="spellStart"/>
      <w:r w:rsidR="00E43167" w:rsidRPr="00B26559">
        <w:rPr>
          <w:lang w:val="es-ES_tradnl"/>
        </w:rPr>
        <w:t>submuestras</w:t>
      </w:r>
      <w:proofErr w:type="spellEnd"/>
      <w:r w:rsidR="00E43167" w:rsidRPr="00B26559">
        <w:rPr>
          <w:lang w:val="es-ES_tradnl"/>
        </w:rPr>
        <w:t>).</w:t>
      </w:r>
    </w:p>
    <w:p w:rsidR="00E43167" w:rsidRPr="00B26559" w:rsidRDefault="00E43167" w:rsidP="00E43167">
      <w:pPr>
        <w:rPr>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El TWF escuchó un informe verbal expuesto por un experto de Nueva Zelandia sobre la evaluación de la homogeneidad mediante más de un ciclo de cultivo</w:t>
      </w:r>
      <w:proofErr w:type="gramStart"/>
      <w:r w:rsidR="00621BF2" w:rsidRPr="00B26559">
        <w:rPr>
          <w:lang w:val="es-ES_tradnl"/>
        </w:rPr>
        <w:t xml:space="preserve">:  </w:t>
      </w:r>
      <w:r w:rsidR="00E43167" w:rsidRPr="00B26559">
        <w:rPr>
          <w:lang w:val="es-ES_tradnl"/>
        </w:rPr>
        <w:t>Experiencia</w:t>
      </w:r>
      <w:proofErr w:type="gramEnd"/>
      <w:r w:rsidR="00E43167" w:rsidRPr="00B26559">
        <w:rPr>
          <w:lang w:val="es-ES_tradnl"/>
        </w:rPr>
        <w:t xml:space="preserve"> de Nueva Zelandia con variedades de manzano procedentes de mutación.  </w:t>
      </w:r>
    </w:p>
    <w:p w:rsidR="00E43167" w:rsidRPr="00B26559" w:rsidRDefault="00E43167" w:rsidP="00E43167">
      <w:pPr>
        <w:rPr>
          <w:highlight w:val="cyan"/>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 xml:space="preserve">El TWF también escuchó un informe verbal presentado por un experto de Francia sobre la evaluación de la homogeneidad de las plantas fuera de tipo mediante la observación de más de un ciclo de cultivo o mediante la observación de </w:t>
      </w:r>
      <w:proofErr w:type="spellStart"/>
      <w:r w:rsidR="00E43167" w:rsidRPr="00B26559">
        <w:rPr>
          <w:lang w:val="es-ES_tradnl"/>
        </w:rPr>
        <w:t>submuestras</w:t>
      </w:r>
      <w:proofErr w:type="spellEnd"/>
      <w:r w:rsidR="00E43167" w:rsidRPr="00B26559">
        <w:rPr>
          <w:lang w:val="es-ES_tradnl"/>
        </w:rPr>
        <w:t xml:space="preserve">:  reflexiones sobre la homogeneidad, la distinción y la descripción.  </w:t>
      </w:r>
    </w:p>
    <w:p w:rsidR="00E43167" w:rsidRPr="00B26559" w:rsidRDefault="00E43167" w:rsidP="00E43167">
      <w:pPr>
        <w:rPr>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El TWF convino en que la autoridad encargada del examen DHE debía tener la libertad de rechazar una variedad candidata después del primer ciclo de cultivo debido a su falta de homogeneidad, en especial para los cultivos frutales en los que el número de ciclos de cultivo normalmente era de dos.</w:t>
      </w:r>
    </w:p>
    <w:p w:rsidR="00E43167" w:rsidRPr="00B26559" w:rsidRDefault="00E43167" w:rsidP="00E43167">
      <w:pPr>
        <w:jc w:val="left"/>
        <w:rPr>
          <w:highlight w:val="cyan"/>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 xml:space="preserve">El TWF examinó el proyecto de orientación para su inclusión en una futura revisión del documento TGP/10, según consta en los Anexos I y II del documento TWF/46/9.  El TWF convino en que se debía aclarar en el documento si la orientación que figura en el Anexo I se refería a combinar los resultados de dos ciclos de cultivo del mismo material vegetal (cultivos perennes). </w:t>
      </w:r>
      <w:r w:rsidR="00436480" w:rsidRPr="00B26559">
        <w:rPr>
          <w:lang w:val="es-ES_tradnl"/>
        </w:rPr>
        <w:t xml:space="preserve"> </w:t>
      </w:r>
      <w:r w:rsidR="00E43167" w:rsidRPr="00B26559">
        <w:rPr>
          <w:lang w:val="es-ES_tradnl"/>
        </w:rPr>
        <w:t>El TWF convino en que el documento se debía seguir debatiendo en la próxima sesión.</w:t>
      </w:r>
    </w:p>
    <w:p w:rsidR="00E43167" w:rsidRPr="00B26559" w:rsidRDefault="00E43167" w:rsidP="00E43167">
      <w:pPr>
        <w:rPr>
          <w:lang w:val="es-ES_tradnl"/>
        </w:rPr>
      </w:pPr>
    </w:p>
    <w:p w:rsidR="00E43167" w:rsidRPr="00B26559" w:rsidRDefault="00564778" w:rsidP="00E43167">
      <w:pPr>
        <w:rPr>
          <w:lang w:val="es-ES_tradnl"/>
        </w:rPr>
      </w:pPr>
      <w:r w:rsidRPr="00B26559">
        <w:rPr>
          <w:rFonts w:eastAsia="SimSun"/>
          <w:lang w:val="es-ES_tradnl"/>
        </w:rPr>
        <w:fldChar w:fldCharType="begin"/>
      </w:r>
      <w:r w:rsidR="00E43167" w:rsidRPr="00B26559">
        <w:rPr>
          <w:rFonts w:eastAsia="SimSun"/>
          <w:lang w:val="es-ES_tradnl"/>
        </w:rPr>
        <w:instrText xml:space="preserve"> AUTONUM  </w:instrText>
      </w:r>
      <w:r w:rsidRPr="00B26559">
        <w:rPr>
          <w:rFonts w:eastAsia="SimSun"/>
          <w:lang w:val="es-ES_tradnl"/>
        </w:rPr>
        <w:fldChar w:fldCharType="end"/>
      </w:r>
      <w:r w:rsidR="00E43167" w:rsidRPr="00B26559">
        <w:rPr>
          <w:lang w:val="es-ES_tradnl"/>
        </w:rPr>
        <w:tab/>
        <w:t>El TWF convino en proponer la modificación siguiente para aclarar la regla de decisión del método 2 que figura en el Anexo I</w:t>
      </w:r>
      <w:r w:rsidR="00621BF2" w:rsidRPr="00B26559">
        <w:rPr>
          <w:lang w:val="es-ES_tradnl"/>
        </w:rPr>
        <w:t xml:space="preserve">:  </w:t>
      </w:r>
      <w:r w:rsidR="00E43167" w:rsidRPr="00B26559">
        <w:rPr>
          <w:lang w:val="es-ES_tradnl"/>
        </w:rPr>
        <w:t xml:space="preserve">“… se considera que la variedad es homogénea si el número total de plantas fuera de tipo al término de los dos ciclos de cultivo no supera el número permitido de plantas fuera de tipo en </w:t>
      </w:r>
      <w:r w:rsidR="00E43167" w:rsidRPr="00B26559">
        <w:rPr>
          <w:strike/>
          <w:highlight w:val="lightGray"/>
          <w:lang w:val="es-ES_tradnl"/>
        </w:rPr>
        <w:t>una muestra combinada</w:t>
      </w:r>
      <w:r w:rsidR="00E43167" w:rsidRPr="00B26559">
        <w:rPr>
          <w:lang w:val="es-ES_tradnl"/>
        </w:rPr>
        <w:t xml:space="preserve"> </w:t>
      </w:r>
      <w:r w:rsidR="00E43167" w:rsidRPr="00B26559">
        <w:rPr>
          <w:color w:val="000000"/>
          <w:highlight w:val="lightGray"/>
          <w:u w:val="single"/>
          <w:lang w:val="es-ES_tradnl"/>
        </w:rPr>
        <w:t>un tamaño de muestra de los ciclos de cultivo 1 y 2 combinados</w:t>
      </w:r>
      <w:r w:rsidR="00E43167" w:rsidRPr="00B26559">
        <w:rPr>
          <w:color w:val="000000"/>
          <w:lang w:val="es-ES_tradnl"/>
        </w:rPr>
        <w:t>” (véanse los párrafos 55 a 60 del documento TWF/46/29 “</w:t>
      </w:r>
      <w:proofErr w:type="spellStart"/>
      <w:r w:rsidR="00E43167" w:rsidRPr="00B26559">
        <w:rPr>
          <w:i/>
          <w:color w:val="000000"/>
          <w:lang w:val="es-ES_tradnl"/>
        </w:rPr>
        <w:t>Report</w:t>
      </w:r>
      <w:proofErr w:type="spellEnd"/>
      <w:r w:rsidR="00E43167" w:rsidRPr="00B26559">
        <w:rPr>
          <w:color w:val="000000"/>
          <w:lang w:val="es-ES_tradnl"/>
        </w:rPr>
        <w:t>”).</w:t>
      </w:r>
    </w:p>
    <w:p w:rsidR="00E43167" w:rsidRPr="00B26559" w:rsidRDefault="00E43167" w:rsidP="00E43167">
      <w:pPr>
        <w:rPr>
          <w:lang w:val="es-ES_tradnl"/>
        </w:rPr>
      </w:pPr>
    </w:p>
    <w:p w:rsidR="00E43167" w:rsidRPr="00B26559" w:rsidRDefault="00E43167" w:rsidP="00AD573D">
      <w:pPr>
        <w:pStyle w:val="Heading3"/>
        <w:keepLines/>
        <w:rPr>
          <w:lang w:val="es-ES_tradnl"/>
        </w:rPr>
      </w:pPr>
      <w:bookmarkStart w:id="23" w:name="_Toc440299525"/>
      <w:bookmarkStart w:id="24" w:name="_Toc442077473"/>
      <w:r w:rsidRPr="00B26559">
        <w:rPr>
          <w:lang w:val="es-ES_tradnl"/>
        </w:rPr>
        <w:t>Grupo de Trabajo Técnico sobre Plantas Ornamentales</w:t>
      </w:r>
      <w:bookmarkEnd w:id="23"/>
      <w:bookmarkEnd w:id="24"/>
    </w:p>
    <w:p w:rsidR="00E43167" w:rsidRPr="00B26559" w:rsidRDefault="00E43167" w:rsidP="00AD573D">
      <w:pPr>
        <w:keepNext/>
        <w:keepLines/>
        <w:rPr>
          <w:lang w:val="es-ES_tradnl"/>
        </w:rPr>
      </w:pPr>
    </w:p>
    <w:p w:rsidR="00E43167" w:rsidRPr="00B26559" w:rsidRDefault="00564778" w:rsidP="00AD573D">
      <w:pPr>
        <w:keepNext/>
        <w:keepLines/>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r>
      <w:r w:rsidR="00E43167" w:rsidRPr="00B26559">
        <w:rPr>
          <w:snapToGrid w:val="0"/>
          <w:lang w:val="es-ES_tradnl"/>
        </w:rPr>
        <w:t xml:space="preserve">El TWO, en su cuadragésima octava sesión, celebrada en Cambridge (Reino Unido) del 14 al 28 de septiembre de 2015, examinó el documento TWO/48/9 </w:t>
      </w:r>
      <w:r w:rsidR="00E43167" w:rsidRPr="00B26559">
        <w:rPr>
          <w:lang w:val="es-ES_tradnl"/>
        </w:rPr>
        <w:t>“</w:t>
      </w:r>
      <w:proofErr w:type="spellStart"/>
      <w:r w:rsidR="00E43167" w:rsidRPr="00B26559">
        <w:rPr>
          <w:i/>
          <w:lang w:val="es-ES_tradnl"/>
        </w:rPr>
        <w:t>Revision</w:t>
      </w:r>
      <w:proofErr w:type="spellEnd"/>
      <w:r w:rsidR="00E43167" w:rsidRPr="00B26559">
        <w:rPr>
          <w:i/>
          <w:lang w:val="es-ES_tradnl"/>
        </w:rPr>
        <w:t xml:space="preserve"> of </w:t>
      </w:r>
      <w:proofErr w:type="spellStart"/>
      <w:r w:rsidR="00E43167" w:rsidRPr="00B26559">
        <w:rPr>
          <w:i/>
          <w:lang w:val="es-ES_tradnl"/>
        </w:rPr>
        <w:t>document</w:t>
      </w:r>
      <w:proofErr w:type="spellEnd"/>
      <w:r w:rsidR="00E43167" w:rsidRPr="00B26559">
        <w:rPr>
          <w:i/>
          <w:lang w:val="es-ES_tradnl"/>
        </w:rPr>
        <w:t xml:space="preserve"> TGP/10: New </w:t>
      </w:r>
      <w:proofErr w:type="spellStart"/>
      <w:r w:rsidR="00E43167" w:rsidRPr="00B26559">
        <w:rPr>
          <w:i/>
          <w:lang w:val="es-ES_tradnl"/>
        </w:rPr>
        <w:t>section</w:t>
      </w:r>
      <w:proofErr w:type="spellEnd"/>
      <w:r w:rsidR="00E43167" w:rsidRPr="00B26559">
        <w:rPr>
          <w:i/>
          <w:lang w:val="es-ES_tradnl"/>
        </w:rPr>
        <w:t xml:space="preserve">: </w:t>
      </w:r>
      <w:proofErr w:type="spellStart"/>
      <w:r w:rsidR="00E43167" w:rsidRPr="00B26559">
        <w:rPr>
          <w:i/>
          <w:lang w:val="es-ES_tradnl"/>
        </w:rPr>
        <w:t>Assessing</w:t>
      </w:r>
      <w:proofErr w:type="spellEnd"/>
      <w:r w:rsidR="00E43167" w:rsidRPr="00B26559">
        <w:rPr>
          <w:i/>
          <w:lang w:val="es-ES_tradnl"/>
        </w:rPr>
        <w:t xml:space="preserve"> </w:t>
      </w:r>
      <w:proofErr w:type="spellStart"/>
      <w:r w:rsidR="00E43167" w:rsidRPr="00B26559">
        <w:rPr>
          <w:i/>
          <w:lang w:val="es-ES_tradnl"/>
        </w:rPr>
        <w:t>Uniformity</w:t>
      </w:r>
      <w:proofErr w:type="spellEnd"/>
      <w:r w:rsidR="00E43167" w:rsidRPr="00B26559">
        <w:rPr>
          <w:i/>
          <w:lang w:val="es-ES_tradnl"/>
        </w:rPr>
        <w:t xml:space="preserve"> </w:t>
      </w:r>
      <w:proofErr w:type="spellStart"/>
      <w:r w:rsidR="00E43167" w:rsidRPr="00B26559">
        <w:rPr>
          <w:i/>
          <w:lang w:val="es-ES_tradnl"/>
        </w:rPr>
        <w:t>by</w:t>
      </w:r>
      <w:proofErr w:type="spellEnd"/>
      <w:r w:rsidR="00E43167" w:rsidRPr="00B26559">
        <w:rPr>
          <w:i/>
          <w:lang w:val="es-ES_tradnl"/>
        </w:rPr>
        <w:t xml:space="preserve"> Off-</w:t>
      </w:r>
      <w:proofErr w:type="spellStart"/>
      <w:r w:rsidR="00E43167" w:rsidRPr="00B26559">
        <w:rPr>
          <w:i/>
          <w:lang w:val="es-ES_tradnl"/>
        </w:rPr>
        <w:t>Types</w:t>
      </w:r>
      <w:proofErr w:type="spellEnd"/>
      <w:r w:rsidR="00E43167" w:rsidRPr="00B26559">
        <w:rPr>
          <w:i/>
          <w:lang w:val="es-ES_tradnl"/>
        </w:rPr>
        <w:t xml:space="preserve"> </w:t>
      </w:r>
      <w:proofErr w:type="spellStart"/>
      <w:r w:rsidR="00E43167" w:rsidRPr="00B26559">
        <w:rPr>
          <w:i/>
          <w:lang w:val="es-ES_tradnl"/>
        </w:rPr>
        <w:t>on</w:t>
      </w:r>
      <w:proofErr w:type="spellEnd"/>
      <w:r w:rsidR="00E43167" w:rsidRPr="00B26559">
        <w:rPr>
          <w:i/>
          <w:lang w:val="es-ES_tradnl"/>
        </w:rPr>
        <w:t xml:space="preserve"> </w:t>
      </w:r>
      <w:proofErr w:type="spellStart"/>
      <w:r w:rsidR="00E43167" w:rsidRPr="00B26559">
        <w:rPr>
          <w:i/>
          <w:lang w:val="es-ES_tradnl"/>
        </w:rPr>
        <w:t>Basis</w:t>
      </w:r>
      <w:proofErr w:type="spellEnd"/>
      <w:r w:rsidR="00E43167" w:rsidRPr="00B26559">
        <w:rPr>
          <w:i/>
          <w:lang w:val="es-ES_tradnl"/>
        </w:rPr>
        <w:t xml:space="preserve"> of More </w:t>
      </w:r>
      <w:proofErr w:type="spellStart"/>
      <w:r w:rsidR="00E43167" w:rsidRPr="00B26559">
        <w:rPr>
          <w:i/>
          <w:lang w:val="es-ES_tradnl"/>
        </w:rPr>
        <w:t>than</w:t>
      </w:r>
      <w:proofErr w:type="spellEnd"/>
      <w:r w:rsidR="00E43167" w:rsidRPr="00B26559">
        <w:rPr>
          <w:i/>
          <w:lang w:val="es-ES_tradnl"/>
        </w:rPr>
        <w:t xml:space="preserve"> </w:t>
      </w:r>
      <w:proofErr w:type="spellStart"/>
      <w:r w:rsidR="00E43167" w:rsidRPr="00B26559">
        <w:rPr>
          <w:i/>
          <w:lang w:val="es-ES_tradnl"/>
        </w:rPr>
        <w:t>One</w:t>
      </w:r>
      <w:proofErr w:type="spellEnd"/>
      <w:r w:rsidR="00E43167" w:rsidRPr="00B26559">
        <w:rPr>
          <w:i/>
          <w:lang w:val="es-ES_tradnl"/>
        </w:rPr>
        <w:t xml:space="preserve"> </w:t>
      </w:r>
      <w:proofErr w:type="spellStart"/>
      <w:r w:rsidR="00E43167" w:rsidRPr="00B26559">
        <w:rPr>
          <w:i/>
          <w:lang w:val="es-ES_tradnl"/>
        </w:rPr>
        <w:t>Growing</w:t>
      </w:r>
      <w:proofErr w:type="spellEnd"/>
      <w:r w:rsidR="00E43167" w:rsidRPr="00B26559">
        <w:rPr>
          <w:i/>
          <w:lang w:val="es-ES_tradnl"/>
        </w:rPr>
        <w:t xml:space="preserve"> </w:t>
      </w:r>
      <w:proofErr w:type="spellStart"/>
      <w:r w:rsidR="00E43167" w:rsidRPr="00B26559">
        <w:rPr>
          <w:i/>
          <w:lang w:val="es-ES_tradnl"/>
        </w:rPr>
        <w:t>Cycle</w:t>
      </w:r>
      <w:proofErr w:type="spellEnd"/>
      <w:r w:rsidR="00E43167" w:rsidRPr="00B26559">
        <w:rPr>
          <w:i/>
          <w:lang w:val="es-ES_tradnl"/>
        </w:rPr>
        <w:t xml:space="preserve"> </w:t>
      </w:r>
      <w:proofErr w:type="spellStart"/>
      <w:r w:rsidR="00E43167" w:rsidRPr="00B26559">
        <w:rPr>
          <w:i/>
          <w:lang w:val="es-ES_tradnl"/>
        </w:rPr>
        <w:t>or</w:t>
      </w:r>
      <w:proofErr w:type="spellEnd"/>
      <w:r w:rsidR="00E43167" w:rsidRPr="00B26559">
        <w:rPr>
          <w:i/>
          <w:lang w:val="es-ES_tradnl"/>
        </w:rPr>
        <w:t xml:space="preserve"> </w:t>
      </w:r>
      <w:proofErr w:type="spellStart"/>
      <w:r w:rsidR="00E43167" w:rsidRPr="00B26559">
        <w:rPr>
          <w:i/>
          <w:lang w:val="es-ES_tradnl"/>
        </w:rPr>
        <w:t>on</w:t>
      </w:r>
      <w:proofErr w:type="spellEnd"/>
      <w:r w:rsidR="00E43167" w:rsidRPr="00B26559">
        <w:rPr>
          <w:i/>
          <w:lang w:val="es-ES_tradnl"/>
        </w:rPr>
        <w:t xml:space="preserve"> </w:t>
      </w:r>
      <w:proofErr w:type="spellStart"/>
      <w:r w:rsidR="00E43167" w:rsidRPr="00B26559">
        <w:rPr>
          <w:i/>
          <w:lang w:val="es-ES_tradnl"/>
        </w:rPr>
        <w:t>the</w:t>
      </w:r>
      <w:proofErr w:type="spellEnd"/>
      <w:r w:rsidR="00E43167" w:rsidRPr="00B26559">
        <w:rPr>
          <w:i/>
          <w:lang w:val="es-ES_tradnl"/>
        </w:rPr>
        <w:t xml:space="preserve"> </w:t>
      </w:r>
      <w:proofErr w:type="spellStart"/>
      <w:r w:rsidR="00E43167" w:rsidRPr="00B26559">
        <w:rPr>
          <w:i/>
          <w:lang w:val="es-ES_tradnl"/>
        </w:rPr>
        <w:t>Basis</w:t>
      </w:r>
      <w:proofErr w:type="spellEnd"/>
      <w:r w:rsidR="00E43167" w:rsidRPr="00B26559">
        <w:rPr>
          <w:i/>
          <w:lang w:val="es-ES_tradnl"/>
        </w:rPr>
        <w:t xml:space="preserve"> of Sub-</w:t>
      </w:r>
      <w:proofErr w:type="spellStart"/>
      <w:r w:rsidR="00E43167" w:rsidRPr="00B26559">
        <w:rPr>
          <w:i/>
          <w:lang w:val="es-ES_tradnl"/>
        </w:rPr>
        <w:t>Samples</w:t>
      </w:r>
      <w:proofErr w:type="spellEnd"/>
      <w:r w:rsidR="00E43167" w:rsidRPr="00B26559">
        <w:rPr>
          <w:lang w:val="es-ES_tradnl"/>
        </w:rPr>
        <w:t>” (Revisión del documento TGP/10</w:t>
      </w:r>
      <w:r w:rsidR="00621BF2" w:rsidRPr="00B26559">
        <w:rPr>
          <w:lang w:val="es-ES_tradnl"/>
        </w:rPr>
        <w:t xml:space="preserve">:  </w:t>
      </w:r>
      <w:r w:rsidR="00E43167" w:rsidRPr="00B26559">
        <w:rPr>
          <w:lang w:val="es-ES_tradnl"/>
        </w:rPr>
        <w:t>nueva sección:</w:t>
      </w:r>
      <w:r w:rsidR="00AB0C1D" w:rsidRPr="00B26559">
        <w:rPr>
          <w:lang w:val="es-ES_tradnl"/>
        </w:rPr>
        <w:t xml:space="preserve"> </w:t>
      </w:r>
      <w:r w:rsidR="00E43167" w:rsidRPr="00B26559">
        <w:rPr>
          <w:lang w:val="es-ES_tradnl"/>
        </w:rPr>
        <w:t xml:space="preserve"> Evaluación de la homogeneidad de las plantas fuera de tipo mediante la observación de más de un ciclo de cultivo o mediante la observación de </w:t>
      </w:r>
      <w:proofErr w:type="spellStart"/>
      <w:r w:rsidR="00E43167" w:rsidRPr="00B26559">
        <w:rPr>
          <w:lang w:val="es-ES_tradnl"/>
        </w:rPr>
        <w:t>submuestras</w:t>
      </w:r>
      <w:proofErr w:type="spellEnd"/>
      <w:r w:rsidR="00E43167" w:rsidRPr="00B26559">
        <w:rPr>
          <w:lang w:val="es-ES_tradnl"/>
        </w:rPr>
        <w:t>).</w:t>
      </w:r>
    </w:p>
    <w:p w:rsidR="00E43167" w:rsidRPr="00B26559" w:rsidRDefault="00E43167" w:rsidP="00E43167">
      <w:pPr>
        <w:rPr>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 xml:space="preserve">El TWO tomó nota de que al evaluar la homogeneidad de las plantas fuera de tipo en las mismas plantas en los dos ciclos de cultivo, las mismas plantas fuera de tipo observadas en el primer ciclo de cultivo seguirían siendo plantas fuera de tipo en el segundo ciclo de cultivo, a las que se añadiría toda otra planta fuera de tipo observada solo </w:t>
      </w:r>
      <w:r w:rsidR="00AB0C1D" w:rsidRPr="00B26559">
        <w:rPr>
          <w:lang w:val="es-ES_tradnl"/>
        </w:rPr>
        <w:t>en</w:t>
      </w:r>
      <w:r w:rsidR="00E43167" w:rsidRPr="00B26559">
        <w:rPr>
          <w:lang w:val="es-ES_tradnl"/>
        </w:rPr>
        <w:t xml:space="preserve"> el segundo ciclo de cultivo, y estuvo de acuerdo en que combinar los tamaños de muestra de ambos ciclos de cultivo no era útil para evaluar la homogeneidad de las plantas fuera de tipo de las especies ornamentales. </w:t>
      </w:r>
    </w:p>
    <w:p w:rsidR="00E43167" w:rsidRPr="00B26559" w:rsidRDefault="00E43167" w:rsidP="00E43167">
      <w:pPr>
        <w:rPr>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 xml:space="preserve">El TWO convino en que, en el documento TWO/48/9, se debe aclarar que el uso previsto de la orientación facilitada no es la evaluación de la homogeneidad de las plantas fuera de tipo en las mismas plantas en dos ciclos de cultivo. </w:t>
      </w:r>
    </w:p>
    <w:p w:rsidR="00E43167" w:rsidRPr="00B26559" w:rsidRDefault="00E43167" w:rsidP="00E43167">
      <w:pPr>
        <w:rPr>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 xml:space="preserve">El TWO también convino en que </w:t>
      </w:r>
      <w:r w:rsidR="00171F4D" w:rsidRPr="00B26559">
        <w:rPr>
          <w:lang w:val="es-ES_tradnl"/>
        </w:rPr>
        <w:t>junto a</w:t>
      </w:r>
      <w:r w:rsidR="00E43167" w:rsidRPr="00B26559">
        <w:rPr>
          <w:lang w:val="es-ES_tradnl"/>
        </w:rPr>
        <w:t xml:space="preserve">l número de plantas fuera de tipo de los ejemplos facilitados en el Anexo I, en las líneas 2 y 3 (número de plantas fuera de tipo = 3) de la columna correspondiente al segundo ciclo de cultivo, se debía introducir un asterisco para indicar que </w:t>
      </w:r>
      <w:r w:rsidR="00171F4D" w:rsidRPr="00B26559">
        <w:rPr>
          <w:lang w:val="es-ES_tradnl"/>
        </w:rPr>
        <w:t>“</w:t>
      </w:r>
      <w:r w:rsidR="00E43167" w:rsidRPr="00B26559">
        <w:rPr>
          <w:lang w:val="es-ES_tradnl"/>
        </w:rPr>
        <w:t>es preciso poner cuidado al examinar resultados que sean muy diferentes en cada uno de los ciclos de cultivo, por ejemplo cuando se observe una gran abundancia de plantas fuera de tipo en un ciclo de cultivo y su ausencia en otro ciclo</w:t>
      </w:r>
      <w:r w:rsidR="00171F4D" w:rsidRPr="00B26559">
        <w:rPr>
          <w:lang w:val="es-ES_tradnl"/>
        </w:rPr>
        <w:t>”</w:t>
      </w:r>
      <w:r w:rsidR="00E43167" w:rsidRPr="00B26559">
        <w:rPr>
          <w:lang w:val="es-ES_tradnl"/>
        </w:rPr>
        <w:t>.</w:t>
      </w:r>
    </w:p>
    <w:p w:rsidR="00171F4D" w:rsidRDefault="00171F4D" w:rsidP="00E43167">
      <w:pPr>
        <w:rPr>
          <w:lang w:val="es-ES_tradnl"/>
        </w:rPr>
      </w:pPr>
    </w:p>
    <w:p w:rsidR="00CB1472" w:rsidRPr="00B26559" w:rsidRDefault="00CB1472" w:rsidP="00E43167">
      <w:pPr>
        <w:rPr>
          <w:lang w:val="es-ES_tradnl"/>
        </w:rPr>
      </w:pPr>
    </w:p>
    <w:p w:rsidR="00E43167" w:rsidRPr="00B26559" w:rsidRDefault="00E43167" w:rsidP="00E43167">
      <w:pPr>
        <w:pStyle w:val="Heading1"/>
        <w:rPr>
          <w:lang w:val="es-ES_tradnl"/>
        </w:rPr>
      </w:pPr>
      <w:bookmarkStart w:id="25" w:name="_Toc440299526"/>
      <w:bookmarkStart w:id="26" w:name="_Toc442077474"/>
      <w:r w:rsidRPr="00B26559">
        <w:rPr>
          <w:lang w:val="es-ES_tradnl"/>
        </w:rPr>
        <w:t>Resumen de los métodos</w:t>
      </w:r>
      <w:bookmarkEnd w:id="7"/>
      <w:bookmarkEnd w:id="25"/>
      <w:bookmarkEnd w:id="26"/>
    </w:p>
    <w:p w:rsidR="00E43167" w:rsidRPr="00B26559" w:rsidRDefault="00E43167" w:rsidP="00E43167">
      <w:pPr>
        <w:keepNext/>
        <w:rPr>
          <w:rFonts w:cs="Arial"/>
          <w:caps/>
          <w:snapToGrid w:val="0"/>
          <w:lang w:val="es-ES_tradnl"/>
        </w:rPr>
      </w:pPr>
    </w:p>
    <w:p w:rsidR="00E43167" w:rsidRPr="00B26559" w:rsidRDefault="00564778" w:rsidP="00E43167">
      <w:pPr>
        <w:keepNext/>
        <w:rPr>
          <w:szCs w:val="24"/>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En los Anexos I y II del presente documento se resumen diferentes situaciones en las que se combinan diferentes muestras para obtener una evaluación global de la homogeneidad de una variedad de conformidad con las conclusiones del TC, en su quincuagésima primera sesión y basadas en las propuestas formuladas por los TWP en sus sesiones de 2015, conforme se indica a continuación:</w:t>
      </w:r>
    </w:p>
    <w:p w:rsidR="00E43167" w:rsidRPr="00B26559" w:rsidRDefault="00E43167" w:rsidP="00E43167">
      <w:pPr>
        <w:snapToGrid w:val="0"/>
        <w:jc w:val="left"/>
        <w:rPr>
          <w:szCs w:val="24"/>
          <w:lang w:val="es-ES_tradnl"/>
        </w:rPr>
      </w:pPr>
    </w:p>
    <w:tbl>
      <w:tblPr>
        <w:tblStyle w:val="TableGrid"/>
        <w:tblW w:w="0" w:type="auto"/>
        <w:jc w:val="center"/>
        <w:shd w:val="clear" w:color="auto" w:fill="E6E6E6"/>
        <w:tblLayout w:type="fixed"/>
        <w:tblCellMar>
          <w:top w:w="142" w:type="dxa"/>
          <w:left w:w="142" w:type="dxa"/>
          <w:bottom w:w="142" w:type="dxa"/>
          <w:right w:w="170" w:type="dxa"/>
        </w:tblCellMar>
        <w:tblLook w:val="01E0" w:firstRow="1" w:lastRow="1" w:firstColumn="1" w:lastColumn="1" w:noHBand="0" w:noVBand="0"/>
      </w:tblPr>
      <w:tblGrid>
        <w:gridCol w:w="6664"/>
      </w:tblGrid>
      <w:tr w:rsidR="00E43167" w:rsidRPr="00B26559" w:rsidTr="00A04FAC">
        <w:trPr>
          <w:cantSplit/>
          <w:jc w:val="center"/>
        </w:trPr>
        <w:tc>
          <w:tcPr>
            <w:tcW w:w="6664" w:type="dxa"/>
            <w:shd w:val="clear" w:color="auto" w:fill="E6E6E6"/>
          </w:tcPr>
          <w:p w:rsidR="00E43167" w:rsidRPr="00B26559" w:rsidRDefault="00E43167" w:rsidP="00A04FAC">
            <w:pPr>
              <w:jc w:val="center"/>
              <w:rPr>
                <w:rFonts w:cs="Arial"/>
                <w:sz w:val="18"/>
                <w:szCs w:val="22"/>
                <w:u w:val="single"/>
              </w:rPr>
            </w:pPr>
            <w:r w:rsidRPr="00B26559">
              <w:rPr>
                <w:sz w:val="18"/>
                <w:u w:val="single"/>
              </w:rPr>
              <w:t>Nota sobre las revisiones del Anexo I</w:t>
            </w:r>
          </w:p>
          <w:p w:rsidR="00E43167" w:rsidRPr="00B26559" w:rsidRDefault="00E43167" w:rsidP="00A04FAC">
            <w:pPr>
              <w:rPr>
                <w:rFonts w:cs="Arial"/>
                <w:sz w:val="18"/>
                <w:szCs w:val="22"/>
                <w:u w:val="single"/>
              </w:rPr>
            </w:pPr>
          </w:p>
          <w:p w:rsidR="00E43167" w:rsidRPr="00B26559" w:rsidRDefault="00E43167" w:rsidP="00A04FAC">
            <w:pPr>
              <w:rPr>
                <w:rFonts w:cs="Arial"/>
                <w:sz w:val="18"/>
                <w:szCs w:val="22"/>
              </w:rPr>
            </w:pPr>
            <w:r w:rsidRPr="00B26559">
              <w:t xml:space="preserve">Se indica con </w:t>
            </w:r>
            <w:r w:rsidRPr="00B26559">
              <w:rPr>
                <w:b/>
                <w:strike/>
                <w:sz w:val="18"/>
              </w:rPr>
              <w:t>tachado</w:t>
            </w:r>
            <w:r w:rsidRPr="00B26559">
              <w:rPr>
                <w:b/>
                <w:sz w:val="18"/>
              </w:rPr>
              <w:t xml:space="preserve"> (sombreado)</w:t>
            </w:r>
            <w:r w:rsidRPr="00B26559">
              <w:t xml:space="preserve"> el texto que se propone suprimir según las modificaciones propuestas por los TWP en sus sesiones de</w:t>
            </w:r>
            <w:r w:rsidR="005E6366" w:rsidRPr="00B26559">
              <w:t> </w:t>
            </w:r>
            <w:r w:rsidRPr="00B26559">
              <w:t>2015.</w:t>
            </w:r>
          </w:p>
          <w:p w:rsidR="00E43167" w:rsidRPr="00B26559" w:rsidRDefault="00E43167" w:rsidP="00A04FAC">
            <w:pPr>
              <w:rPr>
                <w:rFonts w:cs="Arial"/>
                <w:sz w:val="18"/>
                <w:szCs w:val="22"/>
              </w:rPr>
            </w:pPr>
          </w:p>
          <w:p w:rsidR="00E43167" w:rsidRPr="00B26559" w:rsidRDefault="00E43167" w:rsidP="005E6366">
            <w:pPr>
              <w:rPr>
                <w:rFonts w:cs="Arial"/>
                <w:sz w:val="18"/>
                <w:szCs w:val="22"/>
              </w:rPr>
            </w:pPr>
            <w:r w:rsidRPr="00B26559">
              <w:t xml:space="preserve">Se indica con </w:t>
            </w:r>
            <w:r w:rsidRPr="00B26559">
              <w:rPr>
                <w:b/>
                <w:sz w:val="18"/>
                <w:u w:val="single"/>
              </w:rPr>
              <w:t>subrayado</w:t>
            </w:r>
            <w:r w:rsidRPr="00B26559">
              <w:rPr>
                <w:b/>
                <w:sz w:val="18"/>
              </w:rPr>
              <w:t xml:space="preserve"> (sombreado)</w:t>
            </w:r>
            <w:r w:rsidRPr="00B26559">
              <w:t xml:space="preserve"> el texto que se propone añadir según las modificaciones propuestas por los TWP en sus sesiones de</w:t>
            </w:r>
            <w:r w:rsidR="005E6366" w:rsidRPr="00B26559">
              <w:t> </w:t>
            </w:r>
            <w:r w:rsidRPr="00B26559">
              <w:t>2015.</w:t>
            </w:r>
          </w:p>
        </w:tc>
      </w:tr>
    </w:tbl>
    <w:p w:rsidR="00E43167" w:rsidRPr="00B26559" w:rsidRDefault="00E43167" w:rsidP="00E43167">
      <w:pPr>
        <w:snapToGrid w:val="0"/>
        <w:jc w:val="left"/>
        <w:rPr>
          <w:szCs w:val="24"/>
          <w:lang w:val="es-ES_tradnl"/>
        </w:rPr>
      </w:pPr>
    </w:p>
    <w:p w:rsidR="00E43167" w:rsidRPr="00B26559" w:rsidRDefault="00E43167" w:rsidP="00E43167">
      <w:pPr>
        <w:autoSpaceDE w:val="0"/>
        <w:autoSpaceDN w:val="0"/>
        <w:adjustRightInd w:val="0"/>
        <w:snapToGrid w:val="0"/>
        <w:rPr>
          <w:i/>
          <w:szCs w:val="24"/>
          <w:lang w:val="es-ES_tradnl"/>
        </w:rPr>
      </w:pPr>
      <w:r w:rsidRPr="00B26559">
        <w:rPr>
          <w:i/>
          <w:lang w:val="es-ES_tradnl"/>
        </w:rPr>
        <w:t>Anexo I</w:t>
      </w:r>
      <w:proofErr w:type="gramStart"/>
      <w:r w:rsidR="00621BF2" w:rsidRPr="00B26559">
        <w:rPr>
          <w:i/>
          <w:lang w:val="es-ES_tradnl"/>
        </w:rPr>
        <w:t xml:space="preserve">:  </w:t>
      </w:r>
      <w:r w:rsidRPr="00B26559">
        <w:rPr>
          <w:i/>
          <w:lang w:val="es-ES_tradnl"/>
        </w:rPr>
        <w:t>Evaluación</w:t>
      </w:r>
      <w:proofErr w:type="gramEnd"/>
      <w:r w:rsidRPr="00B26559">
        <w:rPr>
          <w:i/>
          <w:lang w:val="es-ES_tradnl"/>
        </w:rPr>
        <w:t xml:space="preserve"> de la homogeneidad de las plantas fuera de tipo mediante la observación de más de un ciclo de cultivo</w:t>
      </w:r>
    </w:p>
    <w:p w:rsidR="00E43167" w:rsidRPr="00B26559" w:rsidRDefault="00E43167" w:rsidP="00E43167">
      <w:pPr>
        <w:autoSpaceDE w:val="0"/>
        <w:autoSpaceDN w:val="0"/>
        <w:adjustRightInd w:val="0"/>
        <w:snapToGrid w:val="0"/>
        <w:ind w:left="567"/>
        <w:rPr>
          <w:szCs w:val="24"/>
          <w:lang w:val="es-ES_tradnl"/>
        </w:rPr>
      </w:pPr>
    </w:p>
    <w:p w:rsidR="00E43167" w:rsidRPr="00B26559" w:rsidRDefault="00E43167" w:rsidP="00CB1472">
      <w:pPr>
        <w:tabs>
          <w:tab w:val="left" w:pos="1985"/>
        </w:tabs>
        <w:autoSpaceDE w:val="0"/>
        <w:autoSpaceDN w:val="0"/>
        <w:adjustRightInd w:val="0"/>
        <w:snapToGrid w:val="0"/>
        <w:ind w:left="1985" w:hanging="1145"/>
        <w:rPr>
          <w:szCs w:val="24"/>
          <w:lang w:val="es-ES_tradnl"/>
        </w:rPr>
      </w:pPr>
      <w:r w:rsidRPr="00B26559">
        <w:rPr>
          <w:lang w:val="es-ES_tradnl"/>
        </w:rPr>
        <w:t>Método 1:</w:t>
      </w:r>
      <w:r w:rsidR="00AD573D" w:rsidRPr="00B26559">
        <w:rPr>
          <w:lang w:val="es-ES_tradnl"/>
        </w:rPr>
        <w:tab/>
      </w:r>
      <w:r w:rsidRPr="00B26559">
        <w:rPr>
          <w:lang w:val="es-ES_tradnl"/>
        </w:rPr>
        <w:t xml:space="preserve">Tercer ciclo de cultivo en el caso de resultados contradictorios </w:t>
      </w:r>
    </w:p>
    <w:p w:rsidR="00E43167" w:rsidRPr="00B26559" w:rsidRDefault="005E6366" w:rsidP="00CB1472">
      <w:pPr>
        <w:tabs>
          <w:tab w:val="left" w:pos="1985"/>
        </w:tabs>
        <w:autoSpaceDE w:val="0"/>
        <w:autoSpaceDN w:val="0"/>
        <w:adjustRightInd w:val="0"/>
        <w:snapToGrid w:val="0"/>
        <w:ind w:left="1985" w:hanging="1145"/>
        <w:rPr>
          <w:szCs w:val="24"/>
          <w:u w:val="single"/>
          <w:lang w:val="es-ES_tradnl"/>
        </w:rPr>
      </w:pPr>
      <w:r w:rsidRPr="00B26559">
        <w:rPr>
          <w:lang w:val="es-ES_tradnl"/>
        </w:rPr>
        <w:t>Método 2:</w:t>
      </w:r>
      <w:r w:rsidR="00AD573D" w:rsidRPr="00B26559">
        <w:rPr>
          <w:lang w:val="es-ES_tradnl"/>
        </w:rPr>
        <w:tab/>
      </w:r>
      <w:r w:rsidR="00E43167" w:rsidRPr="00B26559">
        <w:rPr>
          <w:lang w:val="es-ES_tradnl"/>
        </w:rPr>
        <w:t xml:space="preserve">Combinar los resultados de dos ciclos de cultivo </w:t>
      </w:r>
      <w:r w:rsidR="00E43167" w:rsidRPr="00B26559">
        <w:rPr>
          <w:highlight w:val="lightGray"/>
          <w:u w:val="single"/>
          <w:lang w:val="es-ES_tradnl"/>
        </w:rPr>
        <w:t>en el caso de resultados contradictorios</w:t>
      </w:r>
    </w:p>
    <w:p w:rsidR="00E43167" w:rsidRPr="00B26559" w:rsidRDefault="00E43167" w:rsidP="00CB1472">
      <w:pPr>
        <w:tabs>
          <w:tab w:val="left" w:pos="1985"/>
        </w:tabs>
        <w:autoSpaceDE w:val="0"/>
        <w:autoSpaceDN w:val="0"/>
        <w:adjustRightInd w:val="0"/>
        <w:snapToGrid w:val="0"/>
        <w:ind w:left="567" w:firstLine="273"/>
        <w:rPr>
          <w:szCs w:val="24"/>
          <w:u w:val="single"/>
          <w:lang w:val="es-ES_tradnl"/>
        </w:rPr>
      </w:pPr>
      <w:r w:rsidRPr="00B26559">
        <w:rPr>
          <w:highlight w:val="lightGray"/>
          <w:u w:val="single"/>
          <w:lang w:val="es-ES_tradnl"/>
        </w:rPr>
        <w:t>Método 3:</w:t>
      </w:r>
      <w:r w:rsidR="00AD573D" w:rsidRPr="00B26559">
        <w:rPr>
          <w:highlight w:val="lightGray"/>
          <w:u w:val="single"/>
          <w:lang w:val="es-ES_tradnl"/>
        </w:rPr>
        <w:tab/>
      </w:r>
      <w:r w:rsidRPr="00B26559">
        <w:rPr>
          <w:highlight w:val="lightGray"/>
          <w:u w:val="single"/>
          <w:lang w:val="es-ES_tradnl"/>
        </w:rPr>
        <w:t>Combinar los resultados de dos ciclos de cultivo</w:t>
      </w:r>
    </w:p>
    <w:p w:rsidR="00E43167" w:rsidRPr="00B26559" w:rsidRDefault="00E43167" w:rsidP="00E43167">
      <w:pPr>
        <w:jc w:val="left"/>
        <w:rPr>
          <w:szCs w:val="24"/>
          <w:lang w:val="es-ES_tradnl"/>
        </w:rPr>
      </w:pPr>
    </w:p>
    <w:p w:rsidR="00E43167" w:rsidRPr="00B26559" w:rsidRDefault="00E43167" w:rsidP="00AD573D">
      <w:pPr>
        <w:snapToGrid w:val="0"/>
        <w:jc w:val="left"/>
        <w:rPr>
          <w:i/>
          <w:szCs w:val="24"/>
          <w:lang w:val="es-ES_tradnl"/>
        </w:rPr>
      </w:pPr>
      <w:r w:rsidRPr="00B26559">
        <w:rPr>
          <w:i/>
          <w:lang w:val="es-ES_tradnl"/>
        </w:rPr>
        <w:t xml:space="preserve">Anexo II: Evaluación de </w:t>
      </w:r>
      <w:proofErr w:type="spellStart"/>
      <w:r w:rsidRPr="00B26559">
        <w:rPr>
          <w:i/>
          <w:lang w:val="es-ES_tradnl"/>
        </w:rPr>
        <w:t>submuestras</w:t>
      </w:r>
      <w:proofErr w:type="spellEnd"/>
      <w:r w:rsidRPr="00B26559">
        <w:rPr>
          <w:i/>
          <w:lang w:val="es-ES_tradnl"/>
        </w:rPr>
        <w:t xml:space="preserve"> en un único examen o ensayo </w:t>
      </w:r>
    </w:p>
    <w:p w:rsidR="00E43167" w:rsidRPr="00B26559" w:rsidRDefault="00E43167" w:rsidP="00AD573D">
      <w:pPr>
        <w:snapToGrid w:val="0"/>
        <w:jc w:val="left"/>
        <w:rPr>
          <w:szCs w:val="24"/>
          <w:lang w:val="es-ES_tradnl"/>
        </w:rPr>
      </w:pPr>
    </w:p>
    <w:p w:rsidR="00E43167" w:rsidRPr="00B26559" w:rsidRDefault="00E43167" w:rsidP="00AD573D">
      <w:pPr>
        <w:snapToGrid w:val="0"/>
        <w:ind w:left="567" w:firstLine="273"/>
        <w:jc w:val="left"/>
        <w:rPr>
          <w:i/>
          <w:szCs w:val="24"/>
          <w:lang w:val="es-ES_tradnl"/>
        </w:rPr>
      </w:pPr>
      <w:r w:rsidRPr="00B26559">
        <w:rPr>
          <w:lang w:val="es-ES_tradnl"/>
        </w:rPr>
        <w:t>Método</w:t>
      </w:r>
      <w:proofErr w:type="gramStart"/>
      <w:r w:rsidRPr="00B26559">
        <w:rPr>
          <w:lang w:val="es-ES_tradnl"/>
        </w:rPr>
        <w:t>:</w:t>
      </w:r>
      <w:r w:rsidRPr="00B26559">
        <w:rPr>
          <w:i/>
          <w:lang w:val="es-ES_tradnl"/>
        </w:rPr>
        <w:t xml:space="preserve"> </w:t>
      </w:r>
      <w:r w:rsidRPr="00B26559">
        <w:rPr>
          <w:lang w:val="es-ES_tradnl"/>
        </w:rPr>
        <w:t xml:space="preserve"> </w:t>
      </w:r>
      <w:proofErr w:type="spellStart"/>
      <w:r w:rsidRPr="00B26559">
        <w:rPr>
          <w:lang w:val="es-ES_tradnl"/>
        </w:rPr>
        <w:t>Submuestra</w:t>
      </w:r>
      <w:proofErr w:type="spellEnd"/>
      <w:proofErr w:type="gramEnd"/>
      <w:r w:rsidRPr="00B26559">
        <w:rPr>
          <w:lang w:val="es-ES_tradnl"/>
        </w:rPr>
        <w:t xml:space="preserve"> como primera etapa de la evaluación </w:t>
      </w:r>
    </w:p>
    <w:p w:rsidR="00E43167" w:rsidRPr="00B26559" w:rsidRDefault="00E43167" w:rsidP="00E43167">
      <w:pPr>
        <w:snapToGrid w:val="0"/>
        <w:jc w:val="left"/>
        <w:rPr>
          <w:szCs w:val="24"/>
          <w:lang w:val="es-ES_tradnl"/>
        </w:rPr>
      </w:pPr>
    </w:p>
    <w:p w:rsidR="00E43167" w:rsidRPr="00B26559" w:rsidRDefault="00564778" w:rsidP="00E43167">
      <w:pPr>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 xml:space="preserve">El resumen de los Anexos I y II atañe únicamente a situaciones en que más de una muestra, o una </w:t>
      </w:r>
      <w:proofErr w:type="spellStart"/>
      <w:r w:rsidR="00E43167" w:rsidRPr="00B26559">
        <w:rPr>
          <w:lang w:val="es-ES_tradnl"/>
        </w:rPr>
        <w:t>submuestra</w:t>
      </w:r>
      <w:proofErr w:type="spellEnd"/>
      <w:r w:rsidR="00E43167" w:rsidRPr="00B26559">
        <w:rPr>
          <w:lang w:val="es-ES_tradnl"/>
        </w:rPr>
        <w:t xml:space="preserve">, corresponden al examen del mismo carácter.  En el caso de diferentes muestras o </w:t>
      </w:r>
      <w:proofErr w:type="spellStart"/>
      <w:r w:rsidR="00E43167" w:rsidRPr="00B26559">
        <w:rPr>
          <w:lang w:val="es-ES_tradnl"/>
        </w:rPr>
        <w:t>submuestras</w:t>
      </w:r>
      <w:proofErr w:type="spellEnd"/>
      <w:r w:rsidR="00E43167" w:rsidRPr="00B26559">
        <w:rPr>
          <w:lang w:val="es-ES_tradnl"/>
        </w:rPr>
        <w:t xml:space="preserve"> (por ejemplo, un ensayo especial), para examinar un carácter diferente no se exige combinar los resultados, ya que una variedad debe ser homogénea para todos los caracteres pertinentes.</w:t>
      </w:r>
    </w:p>
    <w:p w:rsidR="00E43167" w:rsidRPr="00B26559" w:rsidRDefault="00E43167" w:rsidP="00E43167">
      <w:pPr>
        <w:jc w:val="left"/>
        <w:rPr>
          <w:szCs w:val="24"/>
          <w:lang w:val="es-ES_tradnl"/>
        </w:rPr>
      </w:pPr>
    </w:p>
    <w:p w:rsidR="00E43167" w:rsidRPr="00B26559" w:rsidRDefault="00564778" w:rsidP="00AD573D">
      <w:pPr>
        <w:pStyle w:val="DecisionParagraphs"/>
        <w:keepNext/>
        <w:keepLines/>
        <w:rPr>
          <w:lang w:val="es-ES_tradnl"/>
        </w:rPr>
      </w:pPr>
      <w:r w:rsidRPr="00B26559">
        <w:rPr>
          <w:lang w:val="es-ES_tradnl"/>
        </w:rPr>
        <w:fldChar w:fldCharType="begin"/>
      </w:r>
      <w:r w:rsidR="00E43167" w:rsidRPr="00B26559">
        <w:rPr>
          <w:lang w:val="es-ES_tradnl"/>
        </w:rPr>
        <w:instrText xml:space="preserve"> AUTONUM  </w:instrText>
      </w:r>
      <w:r w:rsidRPr="00B26559">
        <w:rPr>
          <w:lang w:val="es-ES_tradnl"/>
        </w:rPr>
        <w:fldChar w:fldCharType="end"/>
      </w:r>
      <w:r w:rsidR="00E43167" w:rsidRPr="00B26559">
        <w:rPr>
          <w:lang w:val="es-ES_tradnl"/>
        </w:rPr>
        <w:tab/>
        <w:t xml:space="preserve">Se invita al TC a: </w:t>
      </w:r>
    </w:p>
    <w:p w:rsidR="00E43167" w:rsidRPr="00B26559" w:rsidRDefault="00E43167" w:rsidP="00AD573D">
      <w:pPr>
        <w:pStyle w:val="DecisionParagraphs"/>
        <w:keepNext/>
        <w:keepLines/>
        <w:tabs>
          <w:tab w:val="clear" w:pos="5387"/>
          <w:tab w:val="left" w:pos="5954"/>
        </w:tabs>
        <w:ind w:firstLine="567"/>
        <w:rPr>
          <w:lang w:val="es-ES_tradnl"/>
        </w:rPr>
      </w:pPr>
    </w:p>
    <w:p w:rsidR="00E43167" w:rsidRPr="00B26559" w:rsidRDefault="00E43167" w:rsidP="00AD573D">
      <w:pPr>
        <w:pStyle w:val="DecisionParagraphs"/>
        <w:keepNext/>
        <w:keepLines/>
        <w:tabs>
          <w:tab w:val="clear" w:pos="5387"/>
          <w:tab w:val="left" w:pos="5954"/>
        </w:tabs>
        <w:ind w:firstLine="567"/>
        <w:rPr>
          <w:lang w:val="es-ES_tradnl"/>
        </w:rPr>
      </w:pPr>
      <w:r w:rsidRPr="00B26559">
        <w:rPr>
          <w:lang w:val="es-ES_tradnl"/>
        </w:rPr>
        <w:t>a)</w:t>
      </w:r>
      <w:r w:rsidRPr="00B26559">
        <w:rPr>
          <w:lang w:val="es-ES_tradnl"/>
        </w:rPr>
        <w:tab/>
        <w:t>examinar el nuevo “Método 3</w:t>
      </w:r>
      <w:proofErr w:type="gramStart"/>
      <w:r w:rsidRPr="00B26559">
        <w:rPr>
          <w:i w:val="0"/>
          <w:lang w:val="es-ES_tradnl"/>
        </w:rPr>
        <w:t>:</w:t>
      </w:r>
      <w:r w:rsidRPr="00B26559">
        <w:rPr>
          <w:lang w:val="es-ES_tradnl"/>
        </w:rPr>
        <w:t xml:space="preserve">  Combinar</w:t>
      </w:r>
      <w:proofErr w:type="gramEnd"/>
      <w:r w:rsidRPr="00B26559">
        <w:rPr>
          <w:lang w:val="es-ES_tradnl"/>
        </w:rPr>
        <w:t xml:space="preserve"> los resultados de dos ciclos de cultivo</w:t>
      </w:r>
      <w:r w:rsidR="005E6366" w:rsidRPr="00B26559">
        <w:rPr>
          <w:lang w:val="es-ES_tradnl"/>
        </w:rPr>
        <w:t>”</w:t>
      </w:r>
      <w:r w:rsidRPr="00B26559">
        <w:rPr>
          <w:lang w:val="es-ES_tradnl"/>
        </w:rPr>
        <w:t xml:space="preserve"> </w:t>
      </w:r>
      <w:r w:rsidRPr="00B26559">
        <w:rPr>
          <w:i w:val="0"/>
          <w:lang w:val="es-ES_tradnl"/>
        </w:rPr>
        <w:t>propuesto para evaluar la homogeneidad de las plantas fuera de tipo</w:t>
      </w:r>
      <w:r w:rsidRPr="00B26559">
        <w:rPr>
          <w:lang w:val="es-ES_tradnl"/>
        </w:rPr>
        <w:t xml:space="preserve">, que figura en el Anexo I del presente documento; </w:t>
      </w:r>
    </w:p>
    <w:p w:rsidR="00E43167" w:rsidRPr="00B26559" w:rsidRDefault="00E43167" w:rsidP="00AD573D">
      <w:pPr>
        <w:pStyle w:val="DecisionParagraphs"/>
        <w:tabs>
          <w:tab w:val="clear" w:pos="5387"/>
          <w:tab w:val="left" w:pos="5954"/>
        </w:tabs>
        <w:ind w:firstLine="567"/>
        <w:rPr>
          <w:lang w:val="es-ES_tradnl"/>
        </w:rPr>
      </w:pPr>
    </w:p>
    <w:p w:rsidR="00E43167" w:rsidRPr="00B26559" w:rsidRDefault="00E43167" w:rsidP="00AD573D">
      <w:pPr>
        <w:pStyle w:val="DecisionParagraphs"/>
        <w:tabs>
          <w:tab w:val="clear" w:pos="5387"/>
          <w:tab w:val="left" w:pos="5954"/>
        </w:tabs>
        <w:ind w:firstLine="567"/>
        <w:rPr>
          <w:lang w:val="es-ES_tradnl"/>
        </w:rPr>
      </w:pPr>
      <w:r w:rsidRPr="00B26559">
        <w:rPr>
          <w:lang w:val="es-ES_tradnl"/>
        </w:rPr>
        <w:t>b)</w:t>
      </w:r>
      <w:r w:rsidRPr="00B26559">
        <w:rPr>
          <w:lang w:val="es-ES_tradnl"/>
        </w:rPr>
        <w:tab/>
        <w:t>tomar nota de que el TWA convino en solicitar una conexión por vídeo con los expertos del TWC para debatir el nuevo método propuesto, el “Método 3</w:t>
      </w:r>
      <w:proofErr w:type="gramStart"/>
      <w:r w:rsidRPr="00B26559">
        <w:rPr>
          <w:lang w:val="es-ES_tradnl"/>
        </w:rPr>
        <w:t>:</w:t>
      </w:r>
      <w:r w:rsidR="005E6366" w:rsidRPr="00B26559">
        <w:rPr>
          <w:lang w:val="es-ES_tradnl"/>
        </w:rPr>
        <w:t xml:space="preserve"> </w:t>
      </w:r>
      <w:r w:rsidRPr="00B26559">
        <w:rPr>
          <w:lang w:val="es-ES_tradnl"/>
        </w:rPr>
        <w:t xml:space="preserve"> Combinar</w:t>
      </w:r>
      <w:proofErr w:type="gramEnd"/>
      <w:r w:rsidRPr="00B26559">
        <w:rPr>
          <w:lang w:val="es-ES_tradnl"/>
        </w:rPr>
        <w:t xml:space="preserve"> los resultados de dos ciclos de cultivo</w:t>
      </w:r>
      <w:r w:rsidR="005E6366" w:rsidRPr="00B26559">
        <w:rPr>
          <w:lang w:val="es-ES_tradnl"/>
        </w:rPr>
        <w:t>”</w:t>
      </w:r>
      <w:r w:rsidRPr="00B26559">
        <w:rPr>
          <w:lang w:val="es-ES_tradnl"/>
        </w:rPr>
        <w:t xml:space="preserve"> en su cuadragésima quinta sesión, que se celebrará en 2016; </w:t>
      </w:r>
    </w:p>
    <w:p w:rsidR="00E43167" w:rsidRPr="00B26559" w:rsidRDefault="00E43167" w:rsidP="00AD573D">
      <w:pPr>
        <w:pStyle w:val="DecisionParagraphs"/>
        <w:tabs>
          <w:tab w:val="clear" w:pos="5387"/>
          <w:tab w:val="left" w:pos="5954"/>
        </w:tabs>
        <w:ind w:firstLine="567"/>
        <w:rPr>
          <w:lang w:val="es-ES_tradnl"/>
        </w:rPr>
      </w:pPr>
    </w:p>
    <w:p w:rsidR="00E43167" w:rsidRPr="00B26559" w:rsidRDefault="00E43167" w:rsidP="00AD573D">
      <w:pPr>
        <w:pStyle w:val="DecisionParagraphs"/>
        <w:tabs>
          <w:tab w:val="clear" w:pos="5387"/>
          <w:tab w:val="left" w:pos="5954"/>
        </w:tabs>
        <w:ind w:firstLine="567"/>
        <w:rPr>
          <w:lang w:val="es-ES_tradnl"/>
        </w:rPr>
      </w:pPr>
      <w:r w:rsidRPr="00B26559">
        <w:rPr>
          <w:lang w:val="es-ES_tradnl"/>
        </w:rPr>
        <w:t>c)</w:t>
      </w:r>
      <w:r w:rsidRPr="00B26559">
        <w:rPr>
          <w:lang w:val="es-ES_tradnl"/>
        </w:rPr>
        <w:tab/>
        <w:t>examinar si es conveniente aclarar en el texto que el uso previsto de la orientación que figura en el Anexo I no es la evaluación de la homogeneidad de las plantas fuera de tipo en las mismas plantas en dos ciclos de cultivo;  y</w:t>
      </w:r>
    </w:p>
    <w:p w:rsidR="00E43167" w:rsidRPr="00B26559" w:rsidRDefault="00E43167" w:rsidP="00AD573D">
      <w:pPr>
        <w:pStyle w:val="DecisionParagraphs"/>
        <w:tabs>
          <w:tab w:val="clear" w:pos="5387"/>
          <w:tab w:val="left" w:pos="5954"/>
        </w:tabs>
        <w:ind w:firstLine="567"/>
        <w:rPr>
          <w:highlight w:val="yellow"/>
          <w:lang w:val="es-ES_tradnl"/>
        </w:rPr>
      </w:pPr>
    </w:p>
    <w:p w:rsidR="00E43167" w:rsidRPr="00B26559" w:rsidRDefault="00E43167" w:rsidP="00AD573D">
      <w:pPr>
        <w:pStyle w:val="DecisionParagraphs"/>
        <w:tabs>
          <w:tab w:val="clear" w:pos="5387"/>
          <w:tab w:val="left" w:pos="5954"/>
        </w:tabs>
        <w:ind w:firstLine="567"/>
        <w:rPr>
          <w:lang w:val="es-ES_tradnl"/>
        </w:rPr>
      </w:pPr>
      <w:r w:rsidRPr="00B26559">
        <w:rPr>
          <w:lang w:val="es-ES_tradnl"/>
        </w:rPr>
        <w:t>d)</w:t>
      </w:r>
      <w:r w:rsidRPr="00B26559">
        <w:rPr>
          <w:lang w:val="es-ES_tradnl"/>
        </w:rPr>
        <w:tab/>
        <w:t>examinar el proyecto de orientación que figura en los Anexos I y II con miras a incluirlo en una futura revisión del documento TGP/10.</w:t>
      </w:r>
    </w:p>
    <w:p w:rsidR="00E43167" w:rsidRPr="00B26559" w:rsidRDefault="00E43167" w:rsidP="00AD573D">
      <w:pPr>
        <w:pStyle w:val="DecisionParagraphs"/>
        <w:tabs>
          <w:tab w:val="clear" w:pos="5387"/>
          <w:tab w:val="left" w:pos="5954"/>
        </w:tabs>
        <w:ind w:left="4536" w:firstLine="567"/>
        <w:rPr>
          <w:lang w:val="es-ES_tradnl"/>
        </w:rPr>
      </w:pPr>
    </w:p>
    <w:p w:rsidR="00E43167" w:rsidRPr="00B26559" w:rsidRDefault="00E43167" w:rsidP="00AD573D">
      <w:pPr>
        <w:pStyle w:val="DecisionParagraphs"/>
        <w:tabs>
          <w:tab w:val="clear" w:pos="5387"/>
          <w:tab w:val="left" w:pos="5954"/>
        </w:tabs>
        <w:ind w:left="4536" w:firstLine="567"/>
        <w:rPr>
          <w:lang w:val="es-ES_tradnl"/>
        </w:rPr>
      </w:pPr>
    </w:p>
    <w:p w:rsidR="00E43167" w:rsidRPr="00B26559" w:rsidRDefault="00E43167" w:rsidP="00AD573D">
      <w:pPr>
        <w:pStyle w:val="DecisionParagraphs"/>
        <w:tabs>
          <w:tab w:val="clear" w:pos="5387"/>
          <w:tab w:val="left" w:pos="5954"/>
        </w:tabs>
        <w:ind w:left="4536" w:firstLine="567"/>
        <w:rPr>
          <w:lang w:val="es-ES_tradnl"/>
        </w:rPr>
      </w:pPr>
    </w:p>
    <w:p w:rsidR="00E43167" w:rsidRPr="00B26559" w:rsidRDefault="00E43167" w:rsidP="00AD573D">
      <w:pPr>
        <w:jc w:val="right"/>
        <w:rPr>
          <w:lang w:val="es-ES_tradnl"/>
        </w:rPr>
      </w:pPr>
      <w:r w:rsidRPr="00B26559">
        <w:rPr>
          <w:lang w:val="es-ES_tradnl"/>
        </w:rPr>
        <w:t>[Siguen los Anexos]</w:t>
      </w:r>
    </w:p>
    <w:p w:rsidR="00E43167" w:rsidRPr="00B26559" w:rsidRDefault="00E43167" w:rsidP="00AD573D">
      <w:pPr>
        <w:rPr>
          <w:lang w:val="es-ES_tradnl"/>
        </w:rPr>
      </w:pPr>
    </w:p>
    <w:p w:rsidR="00E43167" w:rsidRPr="00B26559" w:rsidRDefault="00E43167" w:rsidP="00E43167">
      <w:pPr>
        <w:rPr>
          <w:snapToGrid w:val="0"/>
          <w:lang w:val="es-ES_tradnl"/>
        </w:rPr>
        <w:sectPr w:rsidR="00E43167" w:rsidRPr="00B26559" w:rsidSect="00CB1472">
          <w:headerReference w:type="default" r:id="rId9"/>
          <w:pgSz w:w="11907" w:h="16840" w:code="9"/>
          <w:pgMar w:top="510" w:right="1134" w:bottom="851" w:left="1134" w:header="510" w:footer="680" w:gutter="0"/>
          <w:cols w:space="720"/>
          <w:titlePg/>
        </w:sectPr>
      </w:pPr>
    </w:p>
    <w:tbl>
      <w:tblPr>
        <w:tblW w:w="10206" w:type="dxa"/>
        <w:tblInd w:w="-176" w:type="dxa"/>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10206"/>
      </w:tblGrid>
      <w:tr w:rsidR="00E43167" w:rsidRPr="00B26559" w:rsidTr="00D15998">
        <w:trPr>
          <w:trHeight w:val="350"/>
        </w:trPr>
        <w:tc>
          <w:tcPr>
            <w:tcW w:w="10206" w:type="dxa"/>
          </w:tcPr>
          <w:p w:rsidR="00E43167" w:rsidRPr="00B26559" w:rsidRDefault="00E43167" w:rsidP="00A04FAC">
            <w:pPr>
              <w:autoSpaceDE w:val="0"/>
              <w:autoSpaceDN w:val="0"/>
              <w:adjustRightInd w:val="0"/>
              <w:jc w:val="center"/>
              <w:rPr>
                <w:rFonts w:eastAsia="SimSun"/>
                <w:szCs w:val="24"/>
                <w:lang w:val="es-ES_tradnl"/>
              </w:rPr>
            </w:pPr>
          </w:p>
          <w:p w:rsidR="00E43167" w:rsidRPr="00B26559" w:rsidRDefault="00E43167" w:rsidP="00A04FAC">
            <w:pPr>
              <w:autoSpaceDE w:val="0"/>
              <w:autoSpaceDN w:val="0"/>
              <w:adjustRightInd w:val="0"/>
              <w:jc w:val="center"/>
              <w:rPr>
                <w:rFonts w:eastAsia="SimSun"/>
                <w:szCs w:val="24"/>
                <w:lang w:val="es-ES_tradnl"/>
              </w:rPr>
            </w:pPr>
            <w:r w:rsidRPr="00B26559">
              <w:rPr>
                <w:lang w:val="es-ES_tradnl"/>
              </w:rPr>
              <w:t xml:space="preserve">EVALUACIÓN DE LA HOMOGENEIDAD DE LAS PLANTAS FUERA DE TIPO MEDIANTE LA OBSERVACIÓN DE MÁS DE UN CICLO DE CULTIVO </w:t>
            </w:r>
          </w:p>
          <w:p w:rsidR="00E43167" w:rsidRPr="00B26559" w:rsidRDefault="00E43167" w:rsidP="00A04FAC">
            <w:pPr>
              <w:autoSpaceDE w:val="0"/>
              <w:autoSpaceDN w:val="0"/>
              <w:adjustRightInd w:val="0"/>
              <w:jc w:val="center"/>
              <w:rPr>
                <w:rFonts w:eastAsia="SimSun"/>
                <w:szCs w:val="24"/>
                <w:lang w:val="es-ES_tradnl"/>
              </w:rPr>
            </w:pPr>
          </w:p>
        </w:tc>
      </w:tr>
      <w:tr w:rsidR="00E43167" w:rsidRPr="00B26559" w:rsidTr="00D15998">
        <w:trPr>
          <w:trHeight w:val="8522"/>
        </w:trPr>
        <w:tc>
          <w:tcPr>
            <w:tcW w:w="10206" w:type="dxa"/>
          </w:tcPr>
          <w:p w:rsidR="00E43167" w:rsidRPr="00B26559" w:rsidRDefault="00E43167" w:rsidP="00A04FAC">
            <w:pPr>
              <w:rPr>
                <w:lang w:val="es-ES_tradnl"/>
              </w:rPr>
            </w:pPr>
          </w:p>
          <w:p w:rsidR="00E43167" w:rsidRPr="00B26559" w:rsidRDefault="00E43167" w:rsidP="00A04FAC">
            <w:pPr>
              <w:rPr>
                <w:szCs w:val="24"/>
                <w:lang w:val="es-ES_tradnl"/>
              </w:rPr>
            </w:pPr>
            <w:r w:rsidRPr="00B26559">
              <w:rPr>
                <w:lang w:val="es-ES_tradnl"/>
              </w:rPr>
              <w:t>Podrían llevarse a cabo dos ciclos de cultivo independientes en un único lugar en diferentes años o en diferentes lugares en el mismo año</w:t>
            </w:r>
            <w:r w:rsidRPr="00B26559">
              <w:rPr>
                <w:highlight w:val="lightGray"/>
                <w:u w:val="single"/>
                <w:lang w:val="es-ES_tradnl"/>
              </w:rPr>
              <w:t>, según se indica en</w:t>
            </w:r>
            <w:r w:rsidRPr="00B26559">
              <w:rPr>
                <w:highlight w:val="lightGray"/>
                <w:lang w:val="es-ES_tradnl"/>
              </w:rPr>
              <w:t xml:space="preserve"> </w:t>
            </w:r>
            <w:r w:rsidRPr="00B26559">
              <w:rPr>
                <w:strike/>
                <w:highlight w:val="lightGray"/>
                <w:lang w:val="es-ES_tradnl"/>
              </w:rPr>
              <w:t>(véanse</w:t>
            </w:r>
            <w:r w:rsidRPr="00B26559">
              <w:rPr>
                <w:lang w:val="es-ES_tradnl"/>
              </w:rPr>
              <w:t xml:space="preserve"> las secci</w:t>
            </w:r>
            <w:r w:rsidRPr="00B26559">
              <w:rPr>
                <w:highlight w:val="lightGray"/>
                <w:u w:val="single"/>
                <w:lang w:val="es-ES_tradnl"/>
              </w:rPr>
              <w:t>ones</w:t>
            </w:r>
            <w:r w:rsidRPr="00B26559">
              <w:rPr>
                <w:lang w:val="es-ES_tradnl"/>
              </w:rPr>
              <w:t xml:space="preserve"> 1.2 </w:t>
            </w:r>
            <w:r w:rsidRPr="00B26559">
              <w:rPr>
                <w:highlight w:val="lightGray"/>
                <w:u w:val="single"/>
                <w:lang w:val="es-ES_tradnl"/>
              </w:rPr>
              <w:t>y 1.3</w:t>
            </w:r>
            <w:r w:rsidRPr="00B26559">
              <w:rPr>
                <w:lang w:val="es-ES_tradnl"/>
              </w:rPr>
              <w:t xml:space="preserve"> de la parte I del documento TGP/8</w:t>
            </w:r>
            <w:r w:rsidRPr="00B26559">
              <w:rPr>
                <w:strike/>
                <w:highlight w:val="lightGray"/>
                <w:lang w:val="es-ES_tradnl"/>
              </w:rPr>
              <w:t>)</w:t>
            </w:r>
            <w:r w:rsidRPr="00B26559">
              <w:rPr>
                <w:lang w:val="es-ES_tradnl"/>
              </w:rPr>
              <w:t>.</w:t>
            </w:r>
          </w:p>
          <w:p w:rsidR="00E43167" w:rsidRPr="00B26559" w:rsidRDefault="00E43167" w:rsidP="00A04FAC">
            <w:pPr>
              <w:rPr>
                <w:szCs w:val="24"/>
                <w:lang w:val="es-ES_tradnl"/>
              </w:rPr>
            </w:pPr>
          </w:p>
          <w:p w:rsidR="00E43167" w:rsidRPr="00B26559" w:rsidRDefault="00E43167" w:rsidP="00A04FAC">
            <w:pPr>
              <w:rPr>
                <w:szCs w:val="24"/>
                <w:u w:val="single"/>
                <w:lang w:val="es-ES_tradnl"/>
              </w:rPr>
            </w:pPr>
            <w:r w:rsidRPr="00B26559">
              <w:rPr>
                <w:highlight w:val="lightGray"/>
                <w:u w:val="single"/>
                <w:lang w:val="es-ES_tradnl"/>
              </w:rPr>
              <w:t>El uso previsto de la siguiente orientación no es la evaluación de la homogeneidad de las plantas fuera de tipo en las mismas plantas en dos ciclos de cultivo.</w:t>
            </w:r>
          </w:p>
          <w:p w:rsidR="00E43167" w:rsidRPr="00B26559" w:rsidRDefault="00E43167" w:rsidP="00A04FAC">
            <w:pPr>
              <w:rPr>
                <w:szCs w:val="24"/>
                <w:lang w:val="es-ES_tradnl"/>
              </w:rPr>
            </w:pPr>
          </w:p>
          <w:p w:rsidR="00E43167" w:rsidRPr="00B26559" w:rsidRDefault="00E43167" w:rsidP="00A04FAC">
            <w:pPr>
              <w:rPr>
                <w:szCs w:val="24"/>
                <w:lang w:val="es-ES_tradnl"/>
              </w:rPr>
            </w:pPr>
          </w:p>
          <w:p w:rsidR="00E43167" w:rsidRPr="00B26559" w:rsidRDefault="00E43167" w:rsidP="00A04FAC">
            <w:pPr>
              <w:rPr>
                <w:b/>
                <w:szCs w:val="24"/>
                <w:lang w:val="es-ES_tradnl"/>
              </w:rPr>
            </w:pPr>
            <w:r w:rsidRPr="00B26559">
              <w:rPr>
                <w:b/>
                <w:lang w:val="es-ES_tradnl"/>
              </w:rPr>
              <w:t xml:space="preserve">Método 1:  Tercer ciclo de cultivo en el caso de resultados contradictorios </w:t>
            </w:r>
          </w:p>
          <w:p w:rsidR="00E43167" w:rsidRPr="00B26559" w:rsidRDefault="00E43167" w:rsidP="00A04FAC">
            <w:pPr>
              <w:rPr>
                <w:b/>
                <w:szCs w:val="24"/>
                <w:lang w:val="es-ES_tradnl"/>
              </w:rPr>
            </w:pPr>
          </w:p>
          <w:p w:rsidR="00E43167" w:rsidRPr="00B26559" w:rsidRDefault="00E43167" w:rsidP="00A04FAC">
            <w:pPr>
              <w:rPr>
                <w:rFonts w:eastAsia="SimSun"/>
                <w:szCs w:val="24"/>
                <w:lang w:val="es-ES_tradnl"/>
              </w:rPr>
            </w:pPr>
            <w:r w:rsidRPr="00B26559">
              <w:rPr>
                <w:lang w:val="es-ES_tradnl"/>
              </w:rPr>
              <w:t>Se considera que una variedad es homogénea si cumple el estándar de homogeneidad en ambos ciclos de cultivo.</w:t>
            </w:r>
          </w:p>
          <w:p w:rsidR="00E43167" w:rsidRPr="00B26559" w:rsidRDefault="00E43167" w:rsidP="00A04FAC">
            <w:pPr>
              <w:rPr>
                <w:rFonts w:eastAsia="SimSun"/>
                <w:szCs w:val="24"/>
                <w:lang w:val="es-ES_tradnl"/>
              </w:rPr>
            </w:pPr>
          </w:p>
          <w:p w:rsidR="00E43167" w:rsidRPr="00B26559" w:rsidRDefault="00E43167" w:rsidP="00A04FAC">
            <w:pPr>
              <w:rPr>
                <w:rFonts w:eastAsia="SimSun"/>
                <w:szCs w:val="24"/>
                <w:lang w:val="es-ES_tradnl"/>
              </w:rPr>
            </w:pPr>
            <w:r w:rsidRPr="00B26559">
              <w:rPr>
                <w:lang w:val="es-ES_tradnl"/>
              </w:rPr>
              <w:t>Se considera que una variedad no es homogénea si no cumple el estándar de homogeneidad en ambos ciclos de cultivo.</w:t>
            </w:r>
          </w:p>
          <w:p w:rsidR="00E43167" w:rsidRPr="00B26559" w:rsidRDefault="00E43167" w:rsidP="00A04FAC">
            <w:pPr>
              <w:rPr>
                <w:rFonts w:eastAsia="SimSun"/>
                <w:szCs w:val="24"/>
                <w:lang w:val="es-ES_tradnl"/>
              </w:rPr>
            </w:pPr>
          </w:p>
          <w:p w:rsidR="00E43167" w:rsidRPr="00B26559" w:rsidRDefault="00E43167" w:rsidP="00A04FAC">
            <w:pPr>
              <w:keepNext/>
              <w:keepLines/>
              <w:rPr>
                <w:rFonts w:eastAsia="SimSun"/>
                <w:szCs w:val="24"/>
                <w:lang w:val="es-ES_tradnl"/>
              </w:rPr>
            </w:pPr>
            <w:r w:rsidRPr="00B26559">
              <w:rPr>
                <w:lang w:val="es-ES_tradnl"/>
              </w:rPr>
              <w:t>Si al término de los dos ciclos de cultivo la variedad cumple el estándar de homogeneidad en un ciclo de cultivo pero no lo cumple en el otro ciclo de cultivo, se evalúa la homogeneidad en un tercer ciclo de cultivo.  Si en el tercer ciclo de cultivo la variedad cumple el estándar de homogeneidad, la variedad se considerará homogénea</w:t>
            </w:r>
            <w:r w:rsidR="00621BF2" w:rsidRPr="00B26559">
              <w:rPr>
                <w:lang w:val="es-ES_tradnl"/>
              </w:rPr>
              <w:t xml:space="preserve">.  </w:t>
            </w:r>
            <w:r w:rsidRPr="00B26559">
              <w:rPr>
                <w:lang w:val="es-ES_tradnl"/>
              </w:rPr>
              <w:t xml:space="preserve"> Si al término del tercer ciclo de cultivo la variedad no cumple el estándar de homogeneidad, la variedad se considerará no homogénea.</w:t>
            </w:r>
          </w:p>
          <w:p w:rsidR="00E43167" w:rsidRPr="00B26559" w:rsidRDefault="00E43167" w:rsidP="00A04FAC">
            <w:pPr>
              <w:keepNext/>
              <w:keepLines/>
              <w:rPr>
                <w:color w:val="000000"/>
                <w:szCs w:val="24"/>
                <w:lang w:val="es-ES_tradnl"/>
              </w:rPr>
            </w:pPr>
          </w:p>
          <w:p w:rsidR="00E43167" w:rsidRPr="00B26559" w:rsidRDefault="00E43167" w:rsidP="00A04FAC">
            <w:pPr>
              <w:keepNext/>
              <w:keepLines/>
              <w:rPr>
                <w:rFonts w:eastAsia="SimSun"/>
                <w:szCs w:val="24"/>
                <w:lang w:val="es-ES_tradnl"/>
              </w:rPr>
            </w:pPr>
            <w:r w:rsidRPr="00B26559">
              <w:rPr>
                <w:color w:val="000000"/>
                <w:lang w:val="es-ES_tradnl"/>
              </w:rPr>
              <w:t>Es preciso poner cuidado al examinar resultados que sean muy diferentes en cada uno de los ciclos de cultivo, por ejemplo cuando se observe una gran abundancia de plantas fuera de tipo en un ciclo de cultivo y su ausencia en otro ciclo.</w:t>
            </w:r>
          </w:p>
          <w:p w:rsidR="00E43167" w:rsidRPr="00B26559" w:rsidRDefault="00E43167" w:rsidP="00A04FAC">
            <w:pPr>
              <w:keepNext/>
              <w:keepLines/>
              <w:rPr>
                <w:rFonts w:eastAsia="SimSun"/>
                <w:szCs w:val="24"/>
                <w:lang w:val="es-ES_tradnl"/>
              </w:rPr>
            </w:pPr>
          </w:p>
          <w:p w:rsidR="00E43167" w:rsidRPr="00B26559" w:rsidRDefault="00E43167" w:rsidP="00A04FAC">
            <w:pPr>
              <w:keepNext/>
              <w:keepLines/>
              <w:rPr>
                <w:rFonts w:eastAsia="SimSun"/>
                <w:szCs w:val="24"/>
                <w:lang w:val="es-ES_tradnl"/>
              </w:rPr>
            </w:pPr>
            <w:r w:rsidRPr="00B26559">
              <w:rPr>
                <w:lang w:val="es-ES_tradnl"/>
              </w:rPr>
              <w:t xml:space="preserve">Además, es posible rechazar una variedad tras un único ciclo de cultivo debido a una falta </w:t>
            </w:r>
            <w:r w:rsidRPr="00B26559">
              <w:rPr>
                <w:highlight w:val="lightGray"/>
                <w:u w:val="single"/>
                <w:lang w:val="es-ES_tradnl"/>
              </w:rPr>
              <w:t>evidente</w:t>
            </w:r>
            <w:r w:rsidRPr="00B26559">
              <w:rPr>
                <w:lang w:val="es-ES_tradnl"/>
              </w:rPr>
              <w:t xml:space="preserve"> de homogeneidad.</w:t>
            </w:r>
          </w:p>
          <w:p w:rsidR="00E43167" w:rsidRPr="00B26559" w:rsidRDefault="00E43167" w:rsidP="00A04FAC">
            <w:pPr>
              <w:keepNext/>
              <w:keepLines/>
              <w:rPr>
                <w:rFonts w:eastAsia="SimSun"/>
                <w:szCs w:val="24"/>
                <w:lang w:val="es-ES_tradnl"/>
              </w:rPr>
            </w:pPr>
          </w:p>
          <w:p w:rsidR="00E43167" w:rsidRPr="00B26559" w:rsidRDefault="00E43167" w:rsidP="00A04FAC">
            <w:pPr>
              <w:keepNext/>
              <w:keepLines/>
              <w:rPr>
                <w:rFonts w:eastAsia="SimSun"/>
                <w:szCs w:val="24"/>
                <w:lang w:val="es-ES_tradnl"/>
              </w:rPr>
            </w:pPr>
          </w:p>
          <w:p w:rsidR="00E43167" w:rsidRPr="00B26559" w:rsidRDefault="00E43167" w:rsidP="00A04FAC">
            <w:pPr>
              <w:rPr>
                <w:b/>
                <w:szCs w:val="24"/>
                <w:lang w:val="es-ES_tradnl"/>
              </w:rPr>
            </w:pPr>
            <w:r w:rsidRPr="00B26559">
              <w:rPr>
                <w:b/>
                <w:lang w:val="es-ES_tradnl"/>
              </w:rPr>
              <w:t xml:space="preserve">Método 2:  Combinar los resultados de dos ciclos de cultivo </w:t>
            </w:r>
            <w:r w:rsidRPr="00B26559">
              <w:rPr>
                <w:b/>
                <w:highlight w:val="lightGray"/>
                <w:u w:val="single"/>
                <w:lang w:val="es-ES_tradnl"/>
              </w:rPr>
              <w:t>en el caso de resultados contradictorios</w:t>
            </w:r>
          </w:p>
          <w:p w:rsidR="00E43167" w:rsidRPr="00B26559" w:rsidRDefault="00E43167" w:rsidP="00A04FAC">
            <w:pPr>
              <w:keepNext/>
              <w:keepLines/>
              <w:rPr>
                <w:rFonts w:eastAsia="MS Mincho"/>
                <w:color w:val="000000"/>
                <w:lang w:val="es-ES_tradnl"/>
              </w:rPr>
            </w:pPr>
          </w:p>
          <w:p w:rsidR="00E43167" w:rsidRPr="00B26559" w:rsidRDefault="00E43167" w:rsidP="00A04FAC">
            <w:pPr>
              <w:rPr>
                <w:rFonts w:eastAsia="SimSun"/>
                <w:lang w:val="es-ES_tradnl"/>
              </w:rPr>
            </w:pPr>
            <w:r w:rsidRPr="00B26559">
              <w:rPr>
                <w:lang w:val="es-ES_tradnl"/>
              </w:rPr>
              <w:t>Se considera que una variedad es homogénea si cumple el estándar de homogeneidad en ambos ciclos de cultivo.</w:t>
            </w:r>
          </w:p>
          <w:p w:rsidR="00E43167" w:rsidRPr="00B26559" w:rsidRDefault="00E43167" w:rsidP="00A04FAC">
            <w:pPr>
              <w:rPr>
                <w:rFonts w:eastAsia="SimSun"/>
                <w:lang w:val="es-ES_tradnl"/>
              </w:rPr>
            </w:pPr>
          </w:p>
          <w:p w:rsidR="00E43167" w:rsidRPr="00B26559" w:rsidRDefault="00E43167" w:rsidP="00A04FAC">
            <w:pPr>
              <w:rPr>
                <w:rFonts w:eastAsia="SimSun"/>
                <w:lang w:val="es-ES_tradnl"/>
              </w:rPr>
            </w:pPr>
            <w:r w:rsidRPr="00B26559">
              <w:rPr>
                <w:lang w:val="es-ES_tradnl"/>
              </w:rPr>
              <w:t>Se considera que una variedad no es homogénea si no cumple el estándar de homogeneidad en ambos ciclos de cultivo.</w:t>
            </w:r>
          </w:p>
          <w:p w:rsidR="00E43167" w:rsidRPr="00B26559" w:rsidRDefault="00E43167" w:rsidP="00A04FAC">
            <w:pPr>
              <w:rPr>
                <w:rFonts w:eastAsia="SimSun"/>
                <w:lang w:val="es-ES_tradnl"/>
              </w:rPr>
            </w:pPr>
          </w:p>
          <w:p w:rsidR="00E43167" w:rsidRPr="00B26559" w:rsidRDefault="00E43167" w:rsidP="00A04FAC">
            <w:pPr>
              <w:keepNext/>
              <w:keepLines/>
              <w:rPr>
                <w:rFonts w:eastAsia="SimSun"/>
                <w:lang w:val="es-ES_tradnl"/>
              </w:rPr>
            </w:pPr>
            <w:r w:rsidRPr="00B26559">
              <w:rPr>
                <w:lang w:val="es-ES_tradnl"/>
              </w:rPr>
              <w:t xml:space="preserve">Si al término de los dos ciclos de cultivo la variedad cumple el estándar de homogeneidad en un ciclo de cultivo pero no cumple el estándar de homogeneidad en el otro ciclo de cultivo, se considera que la variedad es homogénea si el número total de plantas fuera de tipo al término de los dos ciclos de cultivo no supera el número permitido de plantas fuera de tipo en </w:t>
            </w:r>
            <w:r w:rsidRPr="00B26559">
              <w:rPr>
                <w:strike/>
                <w:highlight w:val="lightGray"/>
                <w:lang w:val="es-ES_tradnl"/>
              </w:rPr>
              <w:t xml:space="preserve">una muestra combinada </w:t>
            </w:r>
            <w:r w:rsidRPr="00B26559">
              <w:rPr>
                <w:highlight w:val="lightGray"/>
                <w:u w:val="single"/>
                <w:lang w:val="es-ES_tradnl"/>
              </w:rPr>
              <w:t>un tamaño de muestra de los ciclos de cultivo 1 y 2 combinados</w:t>
            </w:r>
            <w:r w:rsidRPr="00B26559">
              <w:rPr>
                <w:lang w:val="es-ES_tradnl"/>
              </w:rPr>
              <w:t>.</w:t>
            </w:r>
          </w:p>
          <w:p w:rsidR="00E43167" w:rsidRPr="00B26559" w:rsidRDefault="00E43167" w:rsidP="00A04FAC">
            <w:pPr>
              <w:keepNext/>
              <w:keepLines/>
              <w:ind w:right="459"/>
              <w:rPr>
                <w:rFonts w:eastAsia="SimSun"/>
                <w:lang w:val="es-ES_tradnl"/>
              </w:rPr>
            </w:pPr>
          </w:p>
          <w:p w:rsidR="00E43167" w:rsidRPr="00B26559" w:rsidRDefault="00E43167" w:rsidP="00A04FAC">
            <w:pPr>
              <w:keepNext/>
              <w:keepLines/>
              <w:rPr>
                <w:rFonts w:eastAsia="SimSun"/>
                <w:lang w:val="es-ES_tradnl"/>
              </w:rPr>
            </w:pPr>
            <w:r w:rsidRPr="00B26559">
              <w:rPr>
                <w:lang w:val="es-ES_tradnl"/>
              </w:rPr>
              <w:t>Es preciso poner cuidado al examinar resultados que sean muy diferentes en cada uno de los ciclos de cultivo, por ejemplo cuando se observe una gran abundancia de plantas fuera de tipo en un ciclo de cultivo y su ausencia en otro ciclo.</w:t>
            </w:r>
          </w:p>
          <w:p w:rsidR="00E43167" w:rsidRPr="00B26559" w:rsidRDefault="00E43167" w:rsidP="00A04FAC">
            <w:pPr>
              <w:keepNext/>
              <w:keepLines/>
              <w:rPr>
                <w:rFonts w:eastAsia="SimSun"/>
                <w:szCs w:val="24"/>
                <w:lang w:val="es-ES_tradnl"/>
              </w:rPr>
            </w:pPr>
          </w:p>
          <w:p w:rsidR="00E43167" w:rsidRPr="00B26559" w:rsidRDefault="00E43167" w:rsidP="00A04FAC">
            <w:pPr>
              <w:keepNext/>
              <w:keepLines/>
              <w:rPr>
                <w:rFonts w:eastAsia="SimSun"/>
                <w:szCs w:val="24"/>
                <w:lang w:val="es-ES_tradnl"/>
              </w:rPr>
            </w:pPr>
            <w:r w:rsidRPr="00B26559">
              <w:rPr>
                <w:lang w:val="es-ES_tradnl"/>
              </w:rPr>
              <w:t>Además, es posible rechazar una variedad tras un único ciclo de cultivo debido a una falta evidente de homogeneidad.</w:t>
            </w:r>
          </w:p>
          <w:p w:rsidR="00E43167" w:rsidRPr="00B26559" w:rsidRDefault="00E43167" w:rsidP="00A04FAC">
            <w:pPr>
              <w:keepNext/>
              <w:keepLines/>
              <w:rPr>
                <w:rFonts w:eastAsia="SimSun"/>
                <w:szCs w:val="24"/>
                <w:lang w:val="es-ES_tradnl"/>
              </w:rPr>
            </w:pPr>
          </w:p>
          <w:p w:rsidR="00E43167" w:rsidRPr="00B26559" w:rsidRDefault="00E43167" w:rsidP="00A04FAC">
            <w:pPr>
              <w:keepNext/>
              <w:keepLines/>
              <w:rPr>
                <w:rFonts w:eastAsia="SimSun"/>
                <w:szCs w:val="24"/>
                <w:lang w:val="es-ES_tradnl"/>
              </w:rPr>
            </w:pPr>
          </w:p>
          <w:p w:rsidR="00E43167" w:rsidRPr="00B26559" w:rsidRDefault="00E43167" w:rsidP="00A04FAC">
            <w:pPr>
              <w:keepNext/>
              <w:ind w:left="34"/>
              <w:rPr>
                <w:b/>
                <w:bCs/>
                <w:highlight w:val="lightGray"/>
                <w:u w:val="single"/>
                <w:lang w:val="es-ES_tradnl"/>
              </w:rPr>
            </w:pPr>
            <w:r w:rsidRPr="00B26559">
              <w:rPr>
                <w:b/>
                <w:highlight w:val="lightGray"/>
                <w:u w:val="single"/>
                <w:lang w:val="es-ES_tradnl"/>
              </w:rPr>
              <w:t>Método 3:  Combinar los resultados de dos ciclos de cultivo</w:t>
            </w:r>
          </w:p>
          <w:p w:rsidR="00E43167" w:rsidRPr="00B26559" w:rsidRDefault="00E43167" w:rsidP="00A04FAC">
            <w:pPr>
              <w:keepNext/>
              <w:ind w:left="34"/>
              <w:rPr>
                <w:highlight w:val="lightGray"/>
                <w:u w:val="single"/>
                <w:lang w:val="es-ES_tradnl"/>
              </w:rPr>
            </w:pPr>
          </w:p>
          <w:p w:rsidR="00E43167" w:rsidRPr="00B26559" w:rsidRDefault="00E43167" w:rsidP="00A04FAC">
            <w:pPr>
              <w:ind w:left="34"/>
              <w:rPr>
                <w:highlight w:val="lightGray"/>
                <w:u w:val="single"/>
                <w:lang w:val="es-ES_tradnl"/>
              </w:rPr>
            </w:pPr>
            <w:r w:rsidRPr="00B26559">
              <w:rPr>
                <w:highlight w:val="lightGray"/>
                <w:u w:val="single"/>
                <w:lang w:val="es-ES_tradnl"/>
              </w:rPr>
              <w:t>Se considera que una variedad es homogénea si el número total de plantas fuera de tipo al término de los dos ciclos de cultivo no supera el número permitido de plantas fuera de tipo en una muestra combinada.</w:t>
            </w:r>
          </w:p>
          <w:p w:rsidR="00E43167" w:rsidRDefault="00E43167" w:rsidP="00A04FAC">
            <w:pPr>
              <w:ind w:left="34"/>
              <w:rPr>
                <w:highlight w:val="lightGray"/>
                <w:u w:val="single"/>
                <w:lang w:val="es-ES_tradnl"/>
              </w:rPr>
            </w:pPr>
          </w:p>
          <w:p w:rsidR="00D15998" w:rsidRPr="00B26559" w:rsidRDefault="00D15998" w:rsidP="00A04FAC">
            <w:pPr>
              <w:ind w:left="34"/>
              <w:rPr>
                <w:highlight w:val="lightGray"/>
                <w:u w:val="single"/>
                <w:lang w:val="es-ES_tradnl"/>
              </w:rPr>
            </w:pPr>
          </w:p>
          <w:p w:rsidR="00E43167" w:rsidRPr="00B26559" w:rsidRDefault="00E43167" w:rsidP="00A04FAC">
            <w:pPr>
              <w:ind w:left="34"/>
              <w:rPr>
                <w:highlight w:val="lightGray"/>
                <w:u w:val="single"/>
                <w:lang w:val="es-ES_tradnl"/>
              </w:rPr>
            </w:pPr>
            <w:r w:rsidRPr="00B26559">
              <w:rPr>
                <w:highlight w:val="lightGray"/>
                <w:u w:val="single"/>
                <w:lang w:val="es-ES_tradnl"/>
              </w:rPr>
              <w:t>Se considera que una variedad no es homogénea si el número total de plantas fuera de tipo al término de los dos ciclos de cultivo supera el número permitido de plantas fuera de tipo en una muestra combinada.</w:t>
            </w:r>
          </w:p>
          <w:p w:rsidR="00E43167" w:rsidRPr="00B26559" w:rsidRDefault="00E43167" w:rsidP="00A04FAC">
            <w:pPr>
              <w:ind w:left="34"/>
              <w:rPr>
                <w:highlight w:val="lightGray"/>
                <w:u w:val="single"/>
                <w:lang w:val="es-ES_tradnl"/>
              </w:rPr>
            </w:pPr>
          </w:p>
          <w:p w:rsidR="00E43167" w:rsidRPr="00B26559" w:rsidRDefault="00E43167" w:rsidP="00A04FAC">
            <w:pPr>
              <w:ind w:left="34"/>
              <w:rPr>
                <w:highlight w:val="lightGray"/>
                <w:u w:val="single"/>
                <w:lang w:val="es-ES_tradnl"/>
              </w:rPr>
            </w:pPr>
            <w:r w:rsidRPr="00B26559">
              <w:rPr>
                <w:highlight w:val="lightGray"/>
                <w:u w:val="single"/>
                <w:lang w:val="es-ES_tradnl"/>
              </w:rPr>
              <w:t>Podrá rechazarse una variedad tras un único ciclo de cultivo, si el número de plantas fuera de tipo supera el número permitido de plantas fuera de tipo en una muestra combinada (en dos ciclos de cultivo).</w:t>
            </w:r>
          </w:p>
          <w:p w:rsidR="00E43167" w:rsidRPr="00B26559" w:rsidRDefault="00E43167" w:rsidP="00A04FAC">
            <w:pPr>
              <w:ind w:left="34"/>
              <w:rPr>
                <w:highlight w:val="lightGray"/>
                <w:u w:val="single"/>
                <w:lang w:val="es-ES_tradnl"/>
              </w:rPr>
            </w:pPr>
          </w:p>
          <w:p w:rsidR="00E43167" w:rsidRPr="00B26559" w:rsidRDefault="00E43167" w:rsidP="00A04FAC">
            <w:pPr>
              <w:ind w:left="34"/>
              <w:rPr>
                <w:lang w:val="es-ES_tradnl"/>
              </w:rPr>
            </w:pPr>
            <w:r w:rsidRPr="00B26559">
              <w:rPr>
                <w:highlight w:val="lightGray"/>
                <w:u w:val="single"/>
                <w:lang w:val="es-ES_tradnl"/>
              </w:rPr>
              <w:t>Es preciso poner cuidado al examinar resultados que son muy diferentes en cada uno de los ciclos de cultivo, por ejemplo cuando se observa una gran abundancia de plantas fuera de tipo en un ciclo de cultivo y su ausencia en otro ciclo</w:t>
            </w:r>
            <w:r w:rsidR="00621BF2" w:rsidRPr="00B26559">
              <w:rPr>
                <w:highlight w:val="lightGray"/>
                <w:u w:val="single"/>
                <w:lang w:val="es-ES_tradnl"/>
              </w:rPr>
              <w:t xml:space="preserve">.  </w:t>
            </w:r>
            <w:r w:rsidRPr="00B26559">
              <w:rPr>
                <w:highlight w:val="lightGray"/>
                <w:u w:val="single"/>
                <w:lang w:val="es-ES_tradnl"/>
              </w:rPr>
              <w:t>Se puede llevar a cabo una prueba estadística para verificar la coherencia.</w:t>
            </w:r>
          </w:p>
          <w:p w:rsidR="00E43167" w:rsidRPr="00B26559" w:rsidRDefault="00E43167" w:rsidP="00A04FAC">
            <w:pPr>
              <w:keepNext/>
              <w:keepLines/>
              <w:rPr>
                <w:rFonts w:eastAsia="SimSun"/>
                <w:szCs w:val="24"/>
                <w:lang w:val="es-ES_tradnl"/>
              </w:rPr>
            </w:pPr>
          </w:p>
          <w:p w:rsidR="00E43167" w:rsidRPr="00B26559" w:rsidRDefault="00E43167" w:rsidP="00A04FAC">
            <w:pPr>
              <w:keepNext/>
              <w:keepLines/>
              <w:rPr>
                <w:rFonts w:eastAsia="SimSun"/>
                <w:szCs w:val="24"/>
                <w:lang w:val="es-ES_tradnl"/>
              </w:rPr>
            </w:pPr>
          </w:p>
          <w:p w:rsidR="00E43167" w:rsidRPr="00B26559" w:rsidRDefault="00E43167" w:rsidP="00A04FAC">
            <w:pPr>
              <w:keepNext/>
              <w:keepLines/>
              <w:jc w:val="left"/>
              <w:rPr>
                <w:szCs w:val="24"/>
                <w:lang w:val="es-ES_tradnl"/>
              </w:rPr>
            </w:pPr>
            <w:r w:rsidRPr="00B26559">
              <w:rPr>
                <w:lang w:val="es-ES_tradnl"/>
              </w:rPr>
              <w:t>Ejemplo:</w:t>
            </w:r>
          </w:p>
          <w:tbl>
            <w:tblPr>
              <w:tblW w:w="9124" w:type="dxa"/>
              <w:tblInd w:w="600" w:type="dxa"/>
              <w:tblLook w:val="04A0" w:firstRow="1" w:lastRow="0" w:firstColumn="1" w:lastColumn="0" w:noHBand="0" w:noVBand="1"/>
            </w:tblPr>
            <w:tblGrid>
              <w:gridCol w:w="424"/>
              <w:gridCol w:w="696"/>
              <w:gridCol w:w="1134"/>
              <w:gridCol w:w="180"/>
              <w:gridCol w:w="954"/>
              <w:gridCol w:w="1807"/>
              <w:gridCol w:w="320"/>
              <w:gridCol w:w="1985"/>
              <w:gridCol w:w="1624"/>
            </w:tblGrid>
            <w:tr w:rsidR="00E43167" w:rsidRPr="00B26559" w:rsidTr="00A04FAC">
              <w:trPr>
                <w:gridAfter w:val="1"/>
                <w:wAfter w:w="1624" w:type="dxa"/>
                <w:trHeight w:val="255"/>
              </w:trPr>
              <w:tc>
                <w:tcPr>
                  <w:tcW w:w="1120" w:type="dxa"/>
                  <w:gridSpan w:val="2"/>
                  <w:tcBorders>
                    <w:top w:val="nil"/>
                    <w:left w:val="nil"/>
                    <w:bottom w:val="nil"/>
                  </w:tcBorders>
                  <w:shd w:val="clear" w:color="auto" w:fill="auto"/>
                  <w:noWrap/>
                  <w:vAlign w:val="bottom"/>
                </w:tcPr>
                <w:p w:rsidR="00E43167" w:rsidRPr="00B26559" w:rsidRDefault="00E43167" w:rsidP="00A04FAC">
                  <w:pPr>
                    <w:jc w:val="left"/>
                    <w:rPr>
                      <w:rFonts w:cs="Arial"/>
                      <w:color w:val="000000"/>
                      <w:lang w:val="es-ES_tradnl"/>
                    </w:rPr>
                  </w:pPr>
                </w:p>
              </w:tc>
              <w:tc>
                <w:tcPr>
                  <w:tcW w:w="6380" w:type="dxa"/>
                  <w:gridSpan w:val="6"/>
                  <w:tcBorders>
                    <w:top w:val="nil"/>
                    <w:right w:val="nil"/>
                  </w:tcBorders>
                  <w:shd w:val="clear" w:color="auto" w:fill="auto"/>
                  <w:vAlign w:val="bottom"/>
                </w:tcPr>
                <w:p w:rsidR="00E43167" w:rsidRPr="00B26559" w:rsidRDefault="00E43167" w:rsidP="00A04FAC">
                  <w:pPr>
                    <w:jc w:val="left"/>
                    <w:rPr>
                      <w:rFonts w:cs="Arial"/>
                      <w:color w:val="000000"/>
                      <w:lang w:val="es-ES_tradnl"/>
                    </w:rPr>
                  </w:pPr>
                  <w:r w:rsidRPr="00B26559">
                    <w:rPr>
                      <w:color w:val="000000"/>
                      <w:lang w:val="es-ES_tradnl"/>
                    </w:rPr>
                    <w:t xml:space="preserve">Población estándar = 1%  </w:t>
                  </w:r>
                </w:p>
              </w:tc>
            </w:tr>
            <w:tr w:rsidR="00E43167" w:rsidRPr="00B26559" w:rsidTr="00A04FAC">
              <w:trPr>
                <w:gridAfter w:val="1"/>
                <w:wAfter w:w="1624" w:type="dxa"/>
                <w:trHeight w:val="270"/>
              </w:trPr>
              <w:tc>
                <w:tcPr>
                  <w:tcW w:w="1120" w:type="dxa"/>
                  <w:gridSpan w:val="2"/>
                  <w:tcBorders>
                    <w:top w:val="nil"/>
                    <w:left w:val="nil"/>
                    <w:bottom w:val="nil"/>
                  </w:tcBorders>
                  <w:shd w:val="clear" w:color="auto" w:fill="auto"/>
                  <w:noWrap/>
                  <w:vAlign w:val="bottom"/>
                  <w:hideMark/>
                </w:tcPr>
                <w:p w:rsidR="00E43167" w:rsidRPr="00B26559" w:rsidRDefault="00E43167" w:rsidP="00A04FAC">
                  <w:pPr>
                    <w:jc w:val="left"/>
                    <w:rPr>
                      <w:rFonts w:cs="Arial"/>
                      <w:color w:val="000000"/>
                      <w:lang w:val="es-ES_tradnl"/>
                    </w:rPr>
                  </w:pPr>
                </w:p>
              </w:tc>
              <w:tc>
                <w:tcPr>
                  <w:tcW w:w="6380" w:type="dxa"/>
                  <w:gridSpan w:val="6"/>
                  <w:tcBorders>
                    <w:top w:val="nil"/>
                    <w:bottom w:val="single" w:sz="4" w:space="0" w:color="auto"/>
                    <w:right w:val="nil"/>
                  </w:tcBorders>
                  <w:shd w:val="clear" w:color="auto" w:fill="auto"/>
                  <w:vAlign w:val="bottom"/>
                </w:tcPr>
                <w:p w:rsidR="00E43167" w:rsidRPr="00B26559" w:rsidRDefault="00E43167" w:rsidP="00A04FAC">
                  <w:pPr>
                    <w:jc w:val="left"/>
                    <w:rPr>
                      <w:rFonts w:cs="Arial"/>
                      <w:color w:val="000000"/>
                      <w:lang w:val="es-ES_tradnl"/>
                    </w:rPr>
                  </w:pPr>
                  <w:r w:rsidRPr="00B26559">
                    <w:rPr>
                      <w:color w:val="000000"/>
                      <w:lang w:val="es-ES_tradnl"/>
                    </w:rPr>
                    <w:t>Probabilidad de aceptación ≥ 95%</w:t>
                  </w:r>
                </w:p>
              </w:tc>
            </w:tr>
            <w:tr w:rsidR="00E43167" w:rsidRPr="00B26559" w:rsidTr="00A04FAC">
              <w:trPr>
                <w:gridBefore w:val="2"/>
                <w:gridAfter w:val="1"/>
                <w:wBefore w:w="1120" w:type="dxa"/>
                <w:wAfter w:w="1624" w:type="dxa"/>
                <w:trHeight w:val="255"/>
              </w:trPr>
              <w:tc>
                <w:tcPr>
                  <w:tcW w:w="6380" w:type="dxa"/>
                  <w:gridSpan w:val="6"/>
                  <w:tcBorders>
                    <w:top w:val="single" w:sz="4" w:space="0" w:color="auto"/>
                    <w:left w:val="single" w:sz="4" w:space="0" w:color="auto"/>
                    <w:bottom w:val="nil"/>
                    <w:right w:val="single" w:sz="8" w:space="0" w:color="000000"/>
                  </w:tcBorders>
                  <w:shd w:val="clear" w:color="auto" w:fill="auto"/>
                  <w:vAlign w:val="bottom"/>
                </w:tcPr>
                <w:p w:rsidR="00E43167" w:rsidRPr="00B26559" w:rsidRDefault="00E43167" w:rsidP="00A04FAC">
                  <w:pPr>
                    <w:jc w:val="left"/>
                    <w:rPr>
                      <w:rFonts w:cs="Arial"/>
                      <w:color w:val="000000"/>
                      <w:lang w:val="es-ES_tradnl"/>
                    </w:rPr>
                  </w:pPr>
                  <w:r w:rsidRPr="00B26559">
                    <w:rPr>
                      <w:color w:val="000000"/>
                      <w:lang w:val="es-ES_tradnl"/>
                    </w:rPr>
                    <w:t>Tamaño de la muestra en cada uno de los ciclos de cultivo 1 y 2 = 50</w:t>
                  </w:r>
                </w:p>
              </w:tc>
            </w:tr>
            <w:tr w:rsidR="00E43167" w:rsidRPr="00B26559" w:rsidTr="00A04FAC">
              <w:trPr>
                <w:gridBefore w:val="2"/>
                <w:gridAfter w:val="1"/>
                <w:wBefore w:w="1120" w:type="dxa"/>
                <w:wAfter w:w="1624" w:type="dxa"/>
                <w:trHeight w:val="270"/>
              </w:trPr>
              <w:tc>
                <w:tcPr>
                  <w:tcW w:w="6380" w:type="dxa"/>
                  <w:gridSpan w:val="6"/>
                  <w:tcBorders>
                    <w:top w:val="nil"/>
                    <w:left w:val="single" w:sz="4" w:space="0" w:color="auto"/>
                    <w:bottom w:val="single" w:sz="8" w:space="0" w:color="auto"/>
                    <w:right w:val="single" w:sz="8" w:space="0" w:color="000000"/>
                  </w:tcBorders>
                  <w:shd w:val="clear" w:color="auto" w:fill="auto"/>
                  <w:vAlign w:val="bottom"/>
                </w:tcPr>
                <w:p w:rsidR="00E43167" w:rsidRPr="00B26559" w:rsidRDefault="00E43167" w:rsidP="00A04FAC">
                  <w:pPr>
                    <w:jc w:val="left"/>
                    <w:rPr>
                      <w:rFonts w:cs="Arial"/>
                      <w:color w:val="000000"/>
                      <w:lang w:val="es-ES_tradnl"/>
                    </w:rPr>
                  </w:pPr>
                  <w:r w:rsidRPr="00B26559">
                    <w:rPr>
                      <w:color w:val="000000"/>
                      <w:lang w:val="es-ES_tradnl"/>
                    </w:rPr>
                    <w:t>Número máximo de plantas fuera de tipo = 2</w:t>
                  </w:r>
                </w:p>
              </w:tc>
            </w:tr>
            <w:tr w:rsidR="00E43167" w:rsidRPr="00B26559" w:rsidTr="00A04FAC">
              <w:trPr>
                <w:gridBefore w:val="2"/>
                <w:gridAfter w:val="1"/>
                <w:wBefore w:w="1120" w:type="dxa"/>
                <w:wAfter w:w="1624" w:type="dxa"/>
                <w:trHeight w:val="270"/>
              </w:trPr>
              <w:tc>
                <w:tcPr>
                  <w:tcW w:w="6380" w:type="dxa"/>
                  <w:gridSpan w:val="6"/>
                  <w:tcBorders>
                    <w:top w:val="nil"/>
                    <w:left w:val="single" w:sz="4" w:space="0" w:color="auto"/>
                    <w:bottom w:val="nil"/>
                    <w:right w:val="single" w:sz="4" w:space="0" w:color="auto"/>
                  </w:tcBorders>
                  <w:shd w:val="clear" w:color="auto" w:fill="auto"/>
                  <w:vAlign w:val="bottom"/>
                </w:tcPr>
                <w:p w:rsidR="00E43167" w:rsidRPr="00B26559" w:rsidRDefault="00E43167" w:rsidP="00A04FAC">
                  <w:pPr>
                    <w:jc w:val="left"/>
                    <w:rPr>
                      <w:rFonts w:cs="Arial"/>
                      <w:color w:val="000000"/>
                      <w:lang w:val="es-ES_tradnl"/>
                    </w:rPr>
                  </w:pPr>
                  <w:r w:rsidRPr="00B26559">
                    <w:rPr>
                      <w:color w:val="000000"/>
                      <w:lang w:val="es-ES_tradnl"/>
                    </w:rPr>
                    <w:t>Tamaño de la muestra en los ciclos de cultivo 1 y 2 combinados = 100</w:t>
                  </w:r>
                </w:p>
              </w:tc>
            </w:tr>
            <w:tr w:rsidR="00E43167" w:rsidRPr="00B26559" w:rsidTr="00A04FAC">
              <w:trPr>
                <w:gridBefore w:val="2"/>
                <w:gridAfter w:val="1"/>
                <w:wBefore w:w="1120" w:type="dxa"/>
                <w:wAfter w:w="1624" w:type="dxa"/>
                <w:trHeight w:val="270"/>
              </w:trPr>
              <w:tc>
                <w:tcPr>
                  <w:tcW w:w="6380" w:type="dxa"/>
                  <w:gridSpan w:val="6"/>
                  <w:tcBorders>
                    <w:top w:val="nil"/>
                    <w:left w:val="single" w:sz="4" w:space="0" w:color="auto"/>
                    <w:bottom w:val="single" w:sz="4" w:space="0" w:color="auto"/>
                    <w:right w:val="single" w:sz="4" w:space="0" w:color="auto"/>
                  </w:tcBorders>
                  <w:shd w:val="clear" w:color="auto" w:fill="auto"/>
                  <w:vAlign w:val="bottom"/>
                </w:tcPr>
                <w:p w:rsidR="00E43167" w:rsidRPr="00B26559" w:rsidRDefault="00E43167" w:rsidP="00A04FAC">
                  <w:pPr>
                    <w:jc w:val="left"/>
                    <w:rPr>
                      <w:rFonts w:cs="Arial"/>
                      <w:color w:val="000000"/>
                      <w:lang w:val="es-ES_tradnl"/>
                    </w:rPr>
                  </w:pPr>
                  <w:r w:rsidRPr="00B26559">
                    <w:rPr>
                      <w:color w:val="000000"/>
                      <w:lang w:val="es-ES_tradnl"/>
                    </w:rPr>
                    <w:t>Número máximo de plantas fuera de tipo = 3</w:t>
                  </w:r>
                </w:p>
              </w:tc>
            </w:tr>
            <w:tr w:rsidR="00E43167" w:rsidRPr="00B26559" w:rsidTr="00A04FAC">
              <w:trPr>
                <w:gridBefore w:val="2"/>
                <w:gridAfter w:val="1"/>
                <w:wBefore w:w="1120" w:type="dxa"/>
                <w:wAfter w:w="1624" w:type="dxa"/>
                <w:trHeight w:val="239"/>
              </w:trPr>
              <w:tc>
                <w:tcPr>
                  <w:tcW w:w="1314" w:type="dxa"/>
                  <w:gridSpan w:val="2"/>
                  <w:tcBorders>
                    <w:top w:val="nil"/>
                    <w:left w:val="nil"/>
                    <w:bottom w:val="single" w:sz="4" w:space="0" w:color="auto"/>
                    <w:right w:val="nil"/>
                  </w:tcBorders>
                  <w:shd w:val="clear" w:color="auto" w:fill="auto"/>
                  <w:noWrap/>
                  <w:vAlign w:val="bottom"/>
                  <w:hideMark/>
                </w:tcPr>
                <w:p w:rsidR="00E43167" w:rsidRPr="00B26559" w:rsidRDefault="00E43167" w:rsidP="00A04FAC">
                  <w:pPr>
                    <w:jc w:val="left"/>
                    <w:rPr>
                      <w:rFonts w:cs="Arial"/>
                      <w:color w:val="000000"/>
                      <w:lang w:val="es-ES_tradnl"/>
                    </w:rPr>
                  </w:pPr>
                  <w:r w:rsidRPr="00B26559">
                    <w:rPr>
                      <w:color w:val="000000"/>
                      <w:lang w:val="es-ES_tradnl"/>
                    </w:rPr>
                    <w:t> </w:t>
                  </w:r>
                </w:p>
              </w:tc>
              <w:tc>
                <w:tcPr>
                  <w:tcW w:w="954" w:type="dxa"/>
                  <w:tcBorders>
                    <w:top w:val="nil"/>
                    <w:left w:val="nil"/>
                    <w:bottom w:val="single" w:sz="4" w:space="0" w:color="auto"/>
                    <w:right w:val="nil"/>
                  </w:tcBorders>
                  <w:shd w:val="clear" w:color="auto" w:fill="auto"/>
                  <w:noWrap/>
                  <w:vAlign w:val="bottom"/>
                  <w:hideMark/>
                </w:tcPr>
                <w:p w:rsidR="00E43167" w:rsidRPr="00B26559" w:rsidRDefault="00E43167" w:rsidP="00A04FAC">
                  <w:pPr>
                    <w:jc w:val="left"/>
                    <w:rPr>
                      <w:rFonts w:cs="Arial"/>
                      <w:color w:val="000000"/>
                      <w:lang w:val="es-ES_tradnl"/>
                    </w:rPr>
                  </w:pPr>
                  <w:r w:rsidRPr="00B26559">
                    <w:rPr>
                      <w:color w:val="000000"/>
                      <w:lang w:val="es-ES_tradnl"/>
                    </w:rPr>
                    <w:t> </w:t>
                  </w:r>
                </w:p>
              </w:tc>
              <w:tc>
                <w:tcPr>
                  <w:tcW w:w="1807" w:type="dxa"/>
                  <w:tcBorders>
                    <w:top w:val="nil"/>
                    <w:left w:val="nil"/>
                    <w:bottom w:val="single" w:sz="4" w:space="0" w:color="auto"/>
                    <w:right w:val="nil"/>
                  </w:tcBorders>
                  <w:shd w:val="clear" w:color="auto" w:fill="auto"/>
                  <w:noWrap/>
                  <w:vAlign w:val="bottom"/>
                  <w:hideMark/>
                </w:tcPr>
                <w:p w:rsidR="00E43167" w:rsidRPr="00B26559" w:rsidRDefault="00E43167" w:rsidP="00A04FAC">
                  <w:pPr>
                    <w:jc w:val="left"/>
                    <w:rPr>
                      <w:rFonts w:cs="Arial"/>
                      <w:color w:val="000000"/>
                      <w:lang w:val="es-ES_tradnl"/>
                    </w:rPr>
                  </w:pPr>
                  <w:r w:rsidRPr="00B26559">
                    <w:rPr>
                      <w:color w:val="000000"/>
                      <w:lang w:val="es-ES_tradnl"/>
                    </w:rPr>
                    <w:t> </w:t>
                  </w:r>
                </w:p>
              </w:tc>
              <w:tc>
                <w:tcPr>
                  <w:tcW w:w="2305" w:type="dxa"/>
                  <w:gridSpan w:val="2"/>
                  <w:tcBorders>
                    <w:top w:val="nil"/>
                    <w:left w:val="nil"/>
                    <w:bottom w:val="single" w:sz="4" w:space="0" w:color="auto"/>
                    <w:right w:val="nil"/>
                  </w:tcBorders>
                  <w:shd w:val="clear" w:color="auto" w:fill="auto"/>
                  <w:noWrap/>
                  <w:vAlign w:val="bottom"/>
                  <w:hideMark/>
                </w:tcPr>
                <w:p w:rsidR="00E43167" w:rsidRPr="00B26559" w:rsidRDefault="00E43167" w:rsidP="00A04FAC">
                  <w:pPr>
                    <w:jc w:val="left"/>
                    <w:rPr>
                      <w:rFonts w:cs="Arial"/>
                      <w:color w:val="000000"/>
                      <w:lang w:val="es-ES_tradnl"/>
                    </w:rPr>
                  </w:pPr>
                  <w:r w:rsidRPr="00B26559">
                    <w:rPr>
                      <w:color w:val="000000"/>
                      <w:lang w:val="es-ES_tradnl"/>
                    </w:rPr>
                    <w:t> </w:t>
                  </w:r>
                </w:p>
              </w:tc>
            </w:tr>
            <w:tr w:rsidR="00E43167" w:rsidRPr="00B26559" w:rsidTr="00A04FAC">
              <w:trPr>
                <w:gridBefore w:val="1"/>
                <w:wBefore w:w="424" w:type="dxa"/>
                <w:trHeight w:val="380"/>
              </w:trPr>
              <w:tc>
                <w:tcPr>
                  <w:tcW w:w="696" w:type="dxa"/>
                  <w:tcBorders>
                    <w:top w:val="nil"/>
                    <w:left w:val="nil"/>
                    <w:bottom w:val="nil"/>
                    <w:right w:val="single" w:sz="4" w:space="0" w:color="auto"/>
                  </w:tcBorders>
                  <w:shd w:val="clear" w:color="auto" w:fill="auto"/>
                  <w:noWrap/>
                  <w:vAlign w:val="bottom"/>
                  <w:hideMark/>
                </w:tcPr>
                <w:p w:rsidR="00E43167" w:rsidRPr="00B26559" w:rsidRDefault="00E43167" w:rsidP="00A04FAC">
                  <w:pPr>
                    <w:jc w:val="left"/>
                    <w:rPr>
                      <w:rFonts w:cs="Arial"/>
                      <w:color w:val="000000"/>
                      <w:lang w:val="es-ES_tradnl"/>
                    </w:rPr>
                  </w:pPr>
                  <w:r w:rsidRPr="00B26559">
                    <w:rPr>
                      <w:color w:val="000000"/>
                      <w:lang w:val="es-ES_tradnl"/>
                    </w:rPr>
                    <w:t> </w:t>
                  </w:r>
                </w:p>
              </w:tc>
              <w:tc>
                <w:tcPr>
                  <w:tcW w:w="2268" w:type="dxa"/>
                  <w:gridSpan w:val="3"/>
                  <w:tcBorders>
                    <w:top w:val="nil"/>
                    <w:left w:val="nil"/>
                    <w:bottom w:val="single" w:sz="4" w:space="0" w:color="auto"/>
                    <w:right w:val="single" w:sz="4" w:space="0" w:color="000000"/>
                  </w:tcBorders>
                  <w:shd w:val="clear" w:color="auto" w:fill="auto"/>
                  <w:noWrap/>
                  <w:vAlign w:val="center"/>
                  <w:hideMark/>
                </w:tcPr>
                <w:p w:rsidR="00E43167" w:rsidRPr="00B26559" w:rsidRDefault="00E43167" w:rsidP="00A04FAC">
                  <w:pPr>
                    <w:jc w:val="center"/>
                    <w:rPr>
                      <w:rFonts w:cs="Arial"/>
                      <w:color w:val="000000"/>
                      <w:lang w:val="es-ES_tradnl"/>
                    </w:rPr>
                  </w:pPr>
                  <w:r w:rsidRPr="00B26559">
                    <w:rPr>
                      <w:color w:val="000000"/>
                      <w:lang w:val="es-ES_tradnl"/>
                    </w:rPr>
                    <w:t>Ciclo de cultivo</w:t>
                  </w:r>
                </w:p>
              </w:tc>
              <w:tc>
                <w:tcPr>
                  <w:tcW w:w="5736" w:type="dxa"/>
                  <w:gridSpan w:val="4"/>
                  <w:tcBorders>
                    <w:top w:val="single" w:sz="4" w:space="0" w:color="auto"/>
                    <w:left w:val="nil"/>
                    <w:bottom w:val="single" w:sz="4" w:space="0" w:color="auto"/>
                    <w:right w:val="single" w:sz="4" w:space="0" w:color="auto"/>
                  </w:tcBorders>
                  <w:shd w:val="clear" w:color="auto" w:fill="auto"/>
                  <w:noWrap/>
                  <w:vAlign w:val="center"/>
                  <w:hideMark/>
                </w:tcPr>
                <w:p w:rsidR="00E43167" w:rsidRPr="00B26559" w:rsidRDefault="00E43167" w:rsidP="00A04FAC">
                  <w:pPr>
                    <w:jc w:val="center"/>
                    <w:rPr>
                      <w:lang w:val="es-ES_tradnl"/>
                    </w:rPr>
                  </w:pPr>
                  <w:r w:rsidRPr="00B26559">
                    <w:rPr>
                      <w:color w:val="000000"/>
                      <w:lang w:val="es-ES_tradnl"/>
                    </w:rPr>
                    <w:t>Decisión</w:t>
                  </w:r>
                </w:p>
              </w:tc>
            </w:tr>
            <w:tr w:rsidR="00E43167" w:rsidRPr="00B26559" w:rsidTr="00A04FAC">
              <w:trPr>
                <w:gridBefore w:val="1"/>
                <w:wBefore w:w="424" w:type="dxa"/>
                <w:trHeight w:val="236"/>
              </w:trPr>
              <w:tc>
                <w:tcPr>
                  <w:tcW w:w="696" w:type="dxa"/>
                  <w:tcBorders>
                    <w:top w:val="nil"/>
                    <w:left w:val="nil"/>
                    <w:bottom w:val="single" w:sz="4" w:space="0" w:color="auto"/>
                    <w:right w:val="single" w:sz="4" w:space="0" w:color="auto"/>
                  </w:tcBorders>
                  <w:shd w:val="clear" w:color="auto" w:fill="auto"/>
                  <w:noWrap/>
                  <w:vAlign w:val="bottom"/>
                  <w:hideMark/>
                </w:tcPr>
                <w:p w:rsidR="00E43167" w:rsidRPr="00B26559" w:rsidRDefault="00E43167" w:rsidP="00A04FAC">
                  <w:pPr>
                    <w:jc w:val="left"/>
                    <w:rPr>
                      <w:rFonts w:cs="Arial"/>
                      <w:color w:val="000000"/>
                      <w:lang w:val="es-ES_tradnl"/>
                    </w:rPr>
                  </w:pPr>
                  <w:r w:rsidRPr="00B26559">
                    <w:rPr>
                      <w:color w:val="000000"/>
                      <w:lang w:val="es-ES_tradnl"/>
                    </w:rPr>
                    <w:t> </w:t>
                  </w:r>
                </w:p>
              </w:tc>
              <w:tc>
                <w:tcPr>
                  <w:tcW w:w="1134" w:type="dxa"/>
                  <w:tcBorders>
                    <w:top w:val="nil"/>
                    <w:left w:val="nil"/>
                    <w:bottom w:val="single" w:sz="8" w:space="0" w:color="auto"/>
                    <w:right w:val="single" w:sz="4" w:space="0" w:color="auto"/>
                  </w:tcBorders>
                  <w:shd w:val="clear" w:color="auto" w:fill="auto"/>
                  <w:noWrap/>
                  <w:vAlign w:val="bottom"/>
                  <w:hideMark/>
                </w:tcPr>
                <w:p w:rsidR="00E43167" w:rsidRPr="00B26559" w:rsidRDefault="00E43167" w:rsidP="00A04FAC">
                  <w:pPr>
                    <w:spacing w:after="100" w:afterAutospacing="1"/>
                    <w:jc w:val="center"/>
                    <w:rPr>
                      <w:rFonts w:cs="Arial"/>
                      <w:color w:val="000000"/>
                      <w:lang w:val="es-ES_tradnl"/>
                    </w:rPr>
                  </w:pPr>
                  <w:r w:rsidRPr="00B26559">
                    <w:rPr>
                      <w:color w:val="000000"/>
                      <w:lang w:val="es-ES_tradnl"/>
                    </w:rPr>
                    <w:t>Primero</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E43167" w:rsidRPr="00B26559" w:rsidRDefault="00E43167" w:rsidP="00A04FAC">
                  <w:pPr>
                    <w:jc w:val="center"/>
                    <w:rPr>
                      <w:rFonts w:cs="Arial"/>
                      <w:color w:val="000000"/>
                      <w:lang w:val="es-ES_tradnl"/>
                    </w:rPr>
                  </w:pPr>
                  <w:r w:rsidRPr="00B26559">
                    <w:rPr>
                      <w:color w:val="000000"/>
                      <w:lang w:val="es-ES_tradnl"/>
                    </w:rPr>
                    <w:t>Segundo</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E43167" w:rsidRPr="00B26559" w:rsidRDefault="00E43167" w:rsidP="00A04FAC">
                  <w:pPr>
                    <w:jc w:val="center"/>
                    <w:rPr>
                      <w:rFonts w:cs="Arial"/>
                      <w:color w:val="000000"/>
                      <w:lang w:val="es-ES_tradnl"/>
                    </w:rPr>
                  </w:pPr>
                  <w:r w:rsidRPr="00B26559">
                    <w:rPr>
                      <w:color w:val="000000"/>
                      <w:lang w:val="es-ES_tradnl"/>
                    </w:rPr>
                    <w:t>Método 1</w:t>
                  </w:r>
                </w:p>
              </w:tc>
              <w:tc>
                <w:tcPr>
                  <w:tcW w:w="1985" w:type="dxa"/>
                  <w:tcBorders>
                    <w:top w:val="nil"/>
                    <w:left w:val="nil"/>
                    <w:bottom w:val="single" w:sz="8" w:space="0" w:color="auto"/>
                    <w:right w:val="single" w:sz="4" w:space="0" w:color="auto"/>
                  </w:tcBorders>
                  <w:shd w:val="clear" w:color="auto" w:fill="auto"/>
                  <w:noWrap/>
                  <w:vAlign w:val="center"/>
                  <w:hideMark/>
                </w:tcPr>
                <w:p w:rsidR="00E43167" w:rsidRPr="00B26559" w:rsidRDefault="00E43167" w:rsidP="00A04FAC">
                  <w:pPr>
                    <w:jc w:val="center"/>
                    <w:rPr>
                      <w:rFonts w:cs="Arial"/>
                      <w:color w:val="000000"/>
                      <w:lang w:val="es-ES_tradnl"/>
                    </w:rPr>
                  </w:pPr>
                  <w:r w:rsidRPr="00B26559">
                    <w:rPr>
                      <w:color w:val="000000"/>
                      <w:lang w:val="es-ES_tradnl"/>
                    </w:rPr>
                    <w:t>Método 2</w:t>
                  </w:r>
                </w:p>
              </w:tc>
              <w:tc>
                <w:tcPr>
                  <w:tcW w:w="1624" w:type="dxa"/>
                  <w:tcBorders>
                    <w:top w:val="single" w:sz="4" w:space="0" w:color="auto"/>
                    <w:bottom w:val="single" w:sz="4" w:space="0" w:color="auto"/>
                    <w:right w:val="single" w:sz="4" w:space="0" w:color="auto"/>
                  </w:tcBorders>
                  <w:shd w:val="clear" w:color="auto" w:fill="auto"/>
                </w:tcPr>
                <w:p w:rsidR="00E43167" w:rsidRPr="00B26559" w:rsidRDefault="00E43167" w:rsidP="00A04FAC">
                  <w:pPr>
                    <w:jc w:val="center"/>
                    <w:rPr>
                      <w:highlight w:val="lightGray"/>
                      <w:u w:val="single"/>
                      <w:lang w:val="es-ES_tradnl"/>
                    </w:rPr>
                  </w:pPr>
                  <w:r w:rsidRPr="00B26559">
                    <w:rPr>
                      <w:highlight w:val="lightGray"/>
                      <w:u w:val="single"/>
                      <w:lang w:val="es-ES_tradnl"/>
                    </w:rPr>
                    <w:t>Método 3</w:t>
                  </w:r>
                </w:p>
              </w:tc>
            </w:tr>
            <w:tr w:rsidR="00E43167" w:rsidRPr="00B26559" w:rsidTr="00A04FAC">
              <w:trPr>
                <w:gridBefore w:val="1"/>
                <w:wBefore w:w="424" w:type="dxa"/>
                <w:trHeight w:val="240"/>
              </w:trPr>
              <w:tc>
                <w:tcPr>
                  <w:tcW w:w="696" w:type="dxa"/>
                  <w:vMerge w:val="restart"/>
                  <w:tcBorders>
                    <w:top w:val="nil"/>
                    <w:left w:val="single" w:sz="4" w:space="0" w:color="auto"/>
                    <w:right w:val="single" w:sz="4" w:space="0" w:color="000000"/>
                  </w:tcBorders>
                  <w:shd w:val="clear" w:color="auto" w:fill="auto"/>
                  <w:textDirection w:val="btLr"/>
                  <w:vAlign w:val="center"/>
                </w:tcPr>
                <w:p w:rsidR="00E43167" w:rsidRPr="00B26559" w:rsidRDefault="00E43167" w:rsidP="00A04FAC">
                  <w:pPr>
                    <w:jc w:val="center"/>
                    <w:rPr>
                      <w:rFonts w:cs="Arial"/>
                      <w:color w:val="000000"/>
                      <w:lang w:val="es-ES_tradnl"/>
                    </w:rPr>
                  </w:pPr>
                  <w:r w:rsidRPr="00B26559">
                    <w:rPr>
                      <w:color w:val="000000"/>
                      <w:lang w:val="es-ES_tradnl"/>
                    </w:rPr>
                    <w:t xml:space="preserve">Número de plantas </w:t>
                  </w:r>
                  <w:r w:rsidRPr="00B26559">
                    <w:rPr>
                      <w:rFonts w:cs="Arial"/>
                      <w:color w:val="000000"/>
                      <w:lang w:val="es-ES_tradnl"/>
                    </w:rPr>
                    <w:br/>
                  </w:r>
                  <w:r w:rsidRPr="00B26559">
                    <w:rPr>
                      <w:color w:val="000000"/>
                      <w:lang w:val="es-ES_tradnl"/>
                    </w:rPr>
                    <w:t>fuera de tipo</w:t>
                  </w:r>
                </w:p>
              </w:tc>
              <w:tc>
                <w:tcPr>
                  <w:tcW w:w="1134" w:type="dxa"/>
                  <w:tcBorders>
                    <w:top w:val="nil"/>
                    <w:left w:val="single" w:sz="8" w:space="0" w:color="auto"/>
                    <w:bottom w:val="single" w:sz="8" w:space="0" w:color="auto"/>
                    <w:right w:val="single" w:sz="4" w:space="0" w:color="auto"/>
                  </w:tcBorders>
                  <w:shd w:val="clear" w:color="auto" w:fill="auto"/>
                  <w:noWrap/>
                  <w:vAlign w:val="center"/>
                </w:tcPr>
                <w:p w:rsidR="00E43167" w:rsidRPr="00B26559" w:rsidRDefault="00E43167" w:rsidP="00A04FAC">
                  <w:pPr>
                    <w:jc w:val="center"/>
                    <w:rPr>
                      <w:rFonts w:cs="Arial"/>
                      <w:color w:val="000000"/>
                      <w:highlight w:val="lightGray"/>
                      <w:u w:val="single"/>
                      <w:lang w:val="es-ES_tradnl"/>
                    </w:rPr>
                  </w:pPr>
                  <w:r w:rsidRPr="00B26559">
                    <w:rPr>
                      <w:color w:val="000000"/>
                      <w:highlight w:val="lightGray"/>
                      <w:u w:val="single"/>
                      <w:lang w:val="es-ES_tradnl"/>
                    </w:rPr>
                    <w:t>1</w:t>
                  </w:r>
                </w:p>
              </w:tc>
              <w:tc>
                <w:tcPr>
                  <w:tcW w:w="1134" w:type="dxa"/>
                  <w:gridSpan w:val="2"/>
                  <w:tcBorders>
                    <w:top w:val="nil"/>
                    <w:left w:val="nil"/>
                    <w:bottom w:val="single" w:sz="8" w:space="0" w:color="auto"/>
                    <w:right w:val="single" w:sz="4" w:space="0" w:color="auto"/>
                  </w:tcBorders>
                  <w:shd w:val="clear" w:color="auto" w:fill="auto"/>
                  <w:noWrap/>
                  <w:vAlign w:val="center"/>
                </w:tcPr>
                <w:p w:rsidR="00E43167" w:rsidRPr="00B26559" w:rsidRDefault="00E43167" w:rsidP="00A04FAC">
                  <w:pPr>
                    <w:jc w:val="center"/>
                    <w:rPr>
                      <w:rFonts w:cs="Arial"/>
                      <w:color w:val="000000"/>
                      <w:highlight w:val="lightGray"/>
                      <w:u w:val="single"/>
                      <w:lang w:val="es-ES_tradnl"/>
                    </w:rPr>
                  </w:pPr>
                  <w:r w:rsidRPr="00B26559">
                    <w:rPr>
                      <w:color w:val="000000"/>
                      <w:highlight w:val="lightGray"/>
                      <w:u w:val="single"/>
                      <w:lang w:val="es-ES_tradnl"/>
                    </w:rPr>
                    <w:t>1</w:t>
                  </w:r>
                </w:p>
              </w:tc>
              <w:tc>
                <w:tcPr>
                  <w:tcW w:w="2127" w:type="dxa"/>
                  <w:gridSpan w:val="2"/>
                  <w:tcBorders>
                    <w:top w:val="nil"/>
                    <w:left w:val="nil"/>
                    <w:bottom w:val="single" w:sz="8" w:space="0" w:color="auto"/>
                    <w:right w:val="single" w:sz="4" w:space="0" w:color="auto"/>
                  </w:tcBorders>
                  <w:shd w:val="clear" w:color="auto" w:fill="auto"/>
                  <w:noWrap/>
                  <w:vAlign w:val="center"/>
                </w:tcPr>
                <w:p w:rsidR="00E43167" w:rsidRPr="00B26559" w:rsidRDefault="00E43167" w:rsidP="00A04FAC">
                  <w:pPr>
                    <w:jc w:val="center"/>
                    <w:rPr>
                      <w:rFonts w:cs="Arial"/>
                      <w:color w:val="000000"/>
                      <w:highlight w:val="lightGray"/>
                      <w:u w:val="single"/>
                      <w:lang w:val="es-ES_tradnl"/>
                    </w:rPr>
                  </w:pPr>
                  <w:r w:rsidRPr="00B26559">
                    <w:rPr>
                      <w:color w:val="000000"/>
                      <w:highlight w:val="lightGray"/>
                      <w:u w:val="single"/>
                      <w:lang w:val="es-ES_tradnl"/>
                    </w:rPr>
                    <w:t>homogénea</w:t>
                  </w:r>
                </w:p>
              </w:tc>
              <w:tc>
                <w:tcPr>
                  <w:tcW w:w="1985" w:type="dxa"/>
                  <w:tcBorders>
                    <w:top w:val="nil"/>
                    <w:left w:val="nil"/>
                    <w:bottom w:val="single" w:sz="8" w:space="0" w:color="auto"/>
                    <w:right w:val="single" w:sz="8" w:space="0" w:color="auto"/>
                  </w:tcBorders>
                  <w:shd w:val="clear" w:color="auto" w:fill="auto"/>
                  <w:vAlign w:val="center"/>
                </w:tcPr>
                <w:p w:rsidR="00E43167" w:rsidRPr="00B26559" w:rsidRDefault="00E43167" w:rsidP="00A04FAC">
                  <w:pPr>
                    <w:jc w:val="center"/>
                    <w:rPr>
                      <w:rFonts w:cs="Arial"/>
                      <w:color w:val="000000"/>
                      <w:highlight w:val="lightGray"/>
                      <w:u w:val="single"/>
                      <w:lang w:val="es-ES_tradnl"/>
                    </w:rPr>
                  </w:pPr>
                  <w:r w:rsidRPr="00B26559">
                    <w:rPr>
                      <w:color w:val="000000"/>
                      <w:highlight w:val="lightGray"/>
                      <w:u w:val="single"/>
                      <w:lang w:val="es-ES_tradnl"/>
                    </w:rPr>
                    <w:t>homogénea</w:t>
                  </w:r>
                </w:p>
              </w:tc>
              <w:tc>
                <w:tcPr>
                  <w:tcW w:w="1624" w:type="dxa"/>
                  <w:tcBorders>
                    <w:top w:val="single" w:sz="4" w:space="0" w:color="auto"/>
                    <w:bottom w:val="single" w:sz="4" w:space="0" w:color="auto"/>
                    <w:right w:val="single" w:sz="4" w:space="0" w:color="auto"/>
                  </w:tcBorders>
                  <w:shd w:val="clear" w:color="auto" w:fill="auto"/>
                </w:tcPr>
                <w:p w:rsidR="00E43167" w:rsidRPr="00B26559" w:rsidRDefault="00E43167" w:rsidP="00A04FAC">
                  <w:pPr>
                    <w:jc w:val="center"/>
                    <w:rPr>
                      <w:highlight w:val="lightGray"/>
                      <w:u w:val="single"/>
                      <w:lang w:val="es-ES_tradnl"/>
                    </w:rPr>
                  </w:pPr>
                  <w:r w:rsidRPr="00B26559">
                    <w:rPr>
                      <w:color w:val="000000"/>
                      <w:highlight w:val="lightGray"/>
                      <w:u w:val="single"/>
                      <w:lang w:val="es-ES_tradnl"/>
                    </w:rPr>
                    <w:t>homogénea</w:t>
                  </w:r>
                </w:p>
              </w:tc>
            </w:tr>
            <w:tr w:rsidR="00E43167" w:rsidRPr="00B26559" w:rsidTr="00A04FAC">
              <w:trPr>
                <w:gridBefore w:val="1"/>
                <w:wBefore w:w="424" w:type="dxa"/>
                <w:trHeight w:val="240"/>
              </w:trPr>
              <w:tc>
                <w:tcPr>
                  <w:tcW w:w="696" w:type="dxa"/>
                  <w:vMerge/>
                  <w:tcBorders>
                    <w:left w:val="single" w:sz="4" w:space="0" w:color="auto"/>
                    <w:right w:val="single" w:sz="4" w:space="0" w:color="000000"/>
                  </w:tcBorders>
                  <w:shd w:val="clear" w:color="auto" w:fill="auto"/>
                  <w:textDirection w:val="btLr"/>
                  <w:vAlign w:val="center"/>
                  <w:hideMark/>
                </w:tcPr>
                <w:p w:rsidR="00E43167" w:rsidRPr="00B26559" w:rsidRDefault="00E43167" w:rsidP="00A04FAC">
                  <w:pPr>
                    <w:jc w:val="center"/>
                    <w:rPr>
                      <w:rFonts w:cs="Arial"/>
                      <w:color w:val="000000"/>
                      <w:lang w:val="es-ES_tradnl"/>
                    </w:rPr>
                  </w:pPr>
                </w:p>
              </w:tc>
              <w:tc>
                <w:tcPr>
                  <w:tcW w:w="1134" w:type="dxa"/>
                  <w:tcBorders>
                    <w:top w:val="nil"/>
                    <w:left w:val="single" w:sz="8" w:space="0" w:color="auto"/>
                    <w:bottom w:val="single" w:sz="8" w:space="0" w:color="auto"/>
                    <w:right w:val="single" w:sz="4" w:space="0" w:color="auto"/>
                  </w:tcBorders>
                  <w:shd w:val="clear" w:color="auto" w:fill="auto"/>
                  <w:noWrap/>
                  <w:vAlign w:val="center"/>
                  <w:hideMark/>
                </w:tcPr>
                <w:p w:rsidR="00E43167" w:rsidRPr="00B26559" w:rsidRDefault="00E43167" w:rsidP="00A04FAC">
                  <w:pPr>
                    <w:jc w:val="center"/>
                    <w:rPr>
                      <w:rFonts w:cs="Arial"/>
                      <w:color w:val="000000"/>
                      <w:lang w:val="es-ES_tradnl"/>
                    </w:rPr>
                  </w:pPr>
                  <w:r w:rsidRPr="00B26559">
                    <w:rPr>
                      <w:color w:val="000000"/>
                      <w:lang w:val="es-ES_tradnl"/>
                    </w:rPr>
                    <w:t>2</w:t>
                  </w:r>
                </w:p>
              </w:tc>
              <w:tc>
                <w:tcPr>
                  <w:tcW w:w="1134" w:type="dxa"/>
                  <w:gridSpan w:val="2"/>
                  <w:tcBorders>
                    <w:top w:val="nil"/>
                    <w:left w:val="nil"/>
                    <w:bottom w:val="single" w:sz="8" w:space="0" w:color="auto"/>
                    <w:right w:val="single" w:sz="4" w:space="0" w:color="auto"/>
                  </w:tcBorders>
                  <w:shd w:val="clear" w:color="auto" w:fill="auto"/>
                  <w:noWrap/>
                  <w:vAlign w:val="center"/>
                  <w:hideMark/>
                </w:tcPr>
                <w:p w:rsidR="00E43167" w:rsidRPr="00B26559" w:rsidRDefault="00E43167" w:rsidP="00A04FAC">
                  <w:pPr>
                    <w:jc w:val="center"/>
                    <w:rPr>
                      <w:rFonts w:cs="Arial"/>
                      <w:color w:val="000000"/>
                      <w:lang w:val="es-ES_tradnl"/>
                    </w:rPr>
                  </w:pPr>
                  <w:r w:rsidRPr="00B26559">
                    <w:rPr>
                      <w:color w:val="000000"/>
                      <w:lang w:val="es-ES_tradnl"/>
                    </w:rPr>
                    <w:t>2</w:t>
                  </w:r>
                </w:p>
              </w:tc>
              <w:tc>
                <w:tcPr>
                  <w:tcW w:w="2127" w:type="dxa"/>
                  <w:gridSpan w:val="2"/>
                  <w:tcBorders>
                    <w:top w:val="nil"/>
                    <w:left w:val="nil"/>
                    <w:bottom w:val="single" w:sz="8" w:space="0" w:color="auto"/>
                    <w:right w:val="single" w:sz="4" w:space="0" w:color="auto"/>
                  </w:tcBorders>
                  <w:shd w:val="clear" w:color="auto" w:fill="auto"/>
                  <w:noWrap/>
                  <w:vAlign w:val="center"/>
                  <w:hideMark/>
                </w:tcPr>
                <w:p w:rsidR="00E43167" w:rsidRPr="00B26559" w:rsidRDefault="00E43167" w:rsidP="00A04FAC">
                  <w:pPr>
                    <w:jc w:val="center"/>
                    <w:rPr>
                      <w:rFonts w:cs="Arial"/>
                      <w:color w:val="000000"/>
                      <w:lang w:val="es-ES_tradnl"/>
                    </w:rPr>
                  </w:pPr>
                  <w:r w:rsidRPr="00B26559">
                    <w:rPr>
                      <w:color w:val="000000"/>
                      <w:lang w:val="es-ES_tradnl"/>
                    </w:rPr>
                    <w:t>homogénea</w:t>
                  </w:r>
                </w:p>
              </w:tc>
              <w:tc>
                <w:tcPr>
                  <w:tcW w:w="1985" w:type="dxa"/>
                  <w:tcBorders>
                    <w:top w:val="nil"/>
                    <w:left w:val="nil"/>
                    <w:bottom w:val="single" w:sz="8" w:space="0" w:color="auto"/>
                    <w:right w:val="single" w:sz="8" w:space="0" w:color="auto"/>
                  </w:tcBorders>
                  <w:shd w:val="clear" w:color="auto" w:fill="auto"/>
                  <w:vAlign w:val="center"/>
                  <w:hideMark/>
                </w:tcPr>
                <w:p w:rsidR="00E43167" w:rsidRPr="00B26559" w:rsidRDefault="00E43167" w:rsidP="00A04FAC">
                  <w:pPr>
                    <w:jc w:val="center"/>
                    <w:rPr>
                      <w:rFonts w:cs="Arial"/>
                      <w:color w:val="000000"/>
                      <w:lang w:val="es-ES_tradnl"/>
                    </w:rPr>
                  </w:pPr>
                  <w:r w:rsidRPr="00B26559">
                    <w:rPr>
                      <w:color w:val="000000"/>
                      <w:lang w:val="es-ES_tradnl"/>
                    </w:rPr>
                    <w:t>homogénea</w:t>
                  </w:r>
                </w:p>
              </w:tc>
              <w:tc>
                <w:tcPr>
                  <w:tcW w:w="1624" w:type="dxa"/>
                  <w:tcBorders>
                    <w:top w:val="single" w:sz="4" w:space="0" w:color="auto"/>
                    <w:bottom w:val="single" w:sz="4" w:space="0" w:color="auto"/>
                    <w:right w:val="single" w:sz="4" w:space="0" w:color="auto"/>
                  </w:tcBorders>
                  <w:shd w:val="clear" w:color="auto" w:fill="auto"/>
                </w:tcPr>
                <w:p w:rsidR="00E43167" w:rsidRPr="00B26559" w:rsidRDefault="00E43167" w:rsidP="00A04FAC">
                  <w:pPr>
                    <w:jc w:val="center"/>
                    <w:rPr>
                      <w:highlight w:val="lightGray"/>
                      <w:u w:val="single"/>
                      <w:lang w:val="es-ES_tradnl"/>
                    </w:rPr>
                  </w:pPr>
                  <w:r w:rsidRPr="00B26559">
                    <w:rPr>
                      <w:highlight w:val="lightGray"/>
                      <w:u w:val="single"/>
                      <w:lang w:val="es-ES_tradnl"/>
                    </w:rPr>
                    <w:t>no homogénea</w:t>
                  </w:r>
                </w:p>
              </w:tc>
            </w:tr>
            <w:tr w:rsidR="00E43167" w:rsidRPr="00B26559" w:rsidTr="00A04FAC">
              <w:trPr>
                <w:gridBefore w:val="1"/>
                <w:wBefore w:w="424" w:type="dxa"/>
                <w:trHeight w:val="273"/>
              </w:trPr>
              <w:tc>
                <w:tcPr>
                  <w:tcW w:w="696" w:type="dxa"/>
                  <w:vMerge/>
                  <w:tcBorders>
                    <w:left w:val="single" w:sz="4" w:space="0" w:color="auto"/>
                    <w:right w:val="single" w:sz="4" w:space="0" w:color="000000"/>
                  </w:tcBorders>
                  <w:vAlign w:val="center"/>
                  <w:hideMark/>
                </w:tcPr>
                <w:p w:rsidR="00E43167" w:rsidRPr="00B26559" w:rsidRDefault="00E43167" w:rsidP="00A04FAC">
                  <w:pPr>
                    <w:jc w:val="left"/>
                    <w:rPr>
                      <w:rFonts w:cs="Arial"/>
                      <w:color w:val="000000"/>
                      <w:lang w:val="es-ES_tradnl"/>
                    </w:rPr>
                  </w:pPr>
                </w:p>
              </w:tc>
              <w:tc>
                <w:tcPr>
                  <w:tcW w:w="1134" w:type="dxa"/>
                  <w:tcBorders>
                    <w:top w:val="nil"/>
                    <w:left w:val="nil"/>
                    <w:bottom w:val="single" w:sz="8" w:space="0" w:color="auto"/>
                    <w:right w:val="single" w:sz="4" w:space="0" w:color="auto"/>
                  </w:tcBorders>
                  <w:shd w:val="clear" w:color="auto" w:fill="auto"/>
                  <w:vAlign w:val="center"/>
                  <w:hideMark/>
                </w:tcPr>
                <w:p w:rsidR="00E43167" w:rsidRPr="00B26559" w:rsidRDefault="00E43167" w:rsidP="00A04FAC">
                  <w:pPr>
                    <w:jc w:val="center"/>
                    <w:rPr>
                      <w:rFonts w:cs="Arial"/>
                      <w:color w:val="000000"/>
                      <w:lang w:val="es-ES_tradnl"/>
                    </w:rPr>
                  </w:pPr>
                  <w:r w:rsidRPr="00B26559">
                    <w:rPr>
                      <w:color w:val="000000"/>
                      <w:lang w:val="es-ES_tradnl"/>
                    </w:rPr>
                    <w:t>0</w:t>
                  </w:r>
                </w:p>
              </w:tc>
              <w:tc>
                <w:tcPr>
                  <w:tcW w:w="1134" w:type="dxa"/>
                  <w:gridSpan w:val="2"/>
                  <w:tcBorders>
                    <w:top w:val="nil"/>
                    <w:left w:val="nil"/>
                    <w:bottom w:val="single" w:sz="8" w:space="0" w:color="auto"/>
                    <w:right w:val="single" w:sz="4" w:space="0" w:color="auto"/>
                  </w:tcBorders>
                  <w:shd w:val="clear" w:color="auto" w:fill="auto"/>
                  <w:vAlign w:val="center"/>
                  <w:hideMark/>
                </w:tcPr>
                <w:p w:rsidR="00E43167" w:rsidRPr="00B26559" w:rsidRDefault="00E43167" w:rsidP="00A04FAC">
                  <w:pPr>
                    <w:jc w:val="center"/>
                    <w:rPr>
                      <w:rFonts w:cs="Arial"/>
                      <w:color w:val="000000"/>
                      <w:lang w:val="es-ES_tradnl"/>
                    </w:rPr>
                  </w:pPr>
                  <w:r w:rsidRPr="00B26559">
                    <w:rPr>
                      <w:color w:val="000000"/>
                      <w:lang w:val="es-ES_tradnl"/>
                    </w:rPr>
                    <w:t>3</w:t>
                  </w:r>
                  <w:r w:rsidRPr="00B26559">
                    <w:rPr>
                      <w:color w:val="000000"/>
                      <w:highlight w:val="lightGray"/>
                      <w:u w:val="single"/>
                      <w:lang w:val="es-ES_tradnl"/>
                    </w:rPr>
                    <w:t>*</w:t>
                  </w:r>
                </w:p>
              </w:tc>
              <w:tc>
                <w:tcPr>
                  <w:tcW w:w="2127" w:type="dxa"/>
                  <w:gridSpan w:val="2"/>
                  <w:tcBorders>
                    <w:top w:val="nil"/>
                    <w:left w:val="nil"/>
                    <w:bottom w:val="single" w:sz="8" w:space="0" w:color="auto"/>
                    <w:right w:val="single" w:sz="4" w:space="0" w:color="auto"/>
                  </w:tcBorders>
                  <w:shd w:val="clear" w:color="auto" w:fill="auto"/>
                  <w:vAlign w:val="center"/>
                  <w:hideMark/>
                </w:tcPr>
                <w:p w:rsidR="00E43167" w:rsidRPr="00B26559" w:rsidRDefault="00E43167" w:rsidP="00A04FAC">
                  <w:pPr>
                    <w:rPr>
                      <w:rFonts w:cs="Arial"/>
                      <w:color w:val="000000"/>
                      <w:lang w:val="es-ES_tradnl"/>
                    </w:rPr>
                  </w:pPr>
                  <w:r w:rsidRPr="00B26559">
                    <w:rPr>
                      <w:color w:val="000000"/>
                      <w:lang w:val="es-ES_tradnl"/>
                    </w:rPr>
                    <w:t>tercer ciclo de cultivo</w:t>
                  </w:r>
                  <w:r w:rsidRPr="00B26559">
                    <w:rPr>
                      <w:color w:val="000000"/>
                      <w:highlight w:val="lightGray"/>
                      <w:u w:val="single"/>
                      <w:lang w:val="es-ES_tradnl"/>
                    </w:rPr>
                    <w:t>*</w:t>
                  </w:r>
                </w:p>
              </w:tc>
              <w:tc>
                <w:tcPr>
                  <w:tcW w:w="1985" w:type="dxa"/>
                  <w:tcBorders>
                    <w:top w:val="nil"/>
                    <w:left w:val="nil"/>
                    <w:bottom w:val="single" w:sz="8" w:space="0" w:color="auto"/>
                    <w:right w:val="single" w:sz="4" w:space="0" w:color="auto"/>
                  </w:tcBorders>
                  <w:shd w:val="clear" w:color="auto" w:fill="auto"/>
                  <w:vAlign w:val="center"/>
                  <w:hideMark/>
                </w:tcPr>
                <w:p w:rsidR="00E43167" w:rsidRPr="00B26559" w:rsidRDefault="00E43167" w:rsidP="00A04FAC">
                  <w:pPr>
                    <w:jc w:val="center"/>
                    <w:rPr>
                      <w:rFonts w:cs="Arial"/>
                      <w:color w:val="000000"/>
                      <w:lang w:val="es-ES_tradnl"/>
                    </w:rPr>
                  </w:pPr>
                  <w:r w:rsidRPr="00B26559">
                    <w:rPr>
                      <w:color w:val="000000"/>
                      <w:lang w:val="es-ES_tradnl"/>
                    </w:rPr>
                    <w:t>homogénea</w:t>
                  </w:r>
                  <w:r w:rsidRPr="00B26559">
                    <w:rPr>
                      <w:color w:val="000000"/>
                      <w:highlight w:val="lightGray"/>
                      <w:u w:val="single"/>
                      <w:lang w:val="es-ES_tradnl"/>
                    </w:rPr>
                    <w:t>*</w:t>
                  </w:r>
                </w:p>
              </w:tc>
              <w:tc>
                <w:tcPr>
                  <w:tcW w:w="1624" w:type="dxa"/>
                  <w:tcBorders>
                    <w:top w:val="single" w:sz="4" w:space="0" w:color="auto"/>
                    <w:bottom w:val="single" w:sz="4" w:space="0" w:color="auto"/>
                    <w:right w:val="single" w:sz="4" w:space="0" w:color="auto"/>
                  </w:tcBorders>
                  <w:shd w:val="clear" w:color="auto" w:fill="auto"/>
                </w:tcPr>
                <w:p w:rsidR="00E43167" w:rsidRPr="00B26559" w:rsidRDefault="00E43167" w:rsidP="00A04FAC">
                  <w:pPr>
                    <w:jc w:val="center"/>
                    <w:rPr>
                      <w:highlight w:val="lightGray"/>
                      <w:u w:val="single"/>
                      <w:lang w:val="es-ES_tradnl"/>
                    </w:rPr>
                  </w:pPr>
                  <w:r w:rsidRPr="00B26559">
                    <w:rPr>
                      <w:highlight w:val="lightGray"/>
                      <w:u w:val="single"/>
                      <w:lang w:val="es-ES_tradnl"/>
                    </w:rPr>
                    <w:t>homogénea*</w:t>
                  </w:r>
                </w:p>
              </w:tc>
            </w:tr>
            <w:tr w:rsidR="00E43167" w:rsidRPr="00B26559" w:rsidTr="00A04FAC">
              <w:trPr>
                <w:gridBefore w:val="1"/>
                <w:wBefore w:w="424" w:type="dxa"/>
                <w:trHeight w:val="248"/>
              </w:trPr>
              <w:tc>
                <w:tcPr>
                  <w:tcW w:w="696" w:type="dxa"/>
                  <w:vMerge/>
                  <w:tcBorders>
                    <w:left w:val="single" w:sz="4" w:space="0" w:color="auto"/>
                    <w:right w:val="single" w:sz="4" w:space="0" w:color="000000"/>
                  </w:tcBorders>
                  <w:vAlign w:val="center"/>
                  <w:hideMark/>
                </w:tcPr>
                <w:p w:rsidR="00E43167" w:rsidRPr="00B26559" w:rsidRDefault="00E43167" w:rsidP="00A04FAC">
                  <w:pPr>
                    <w:jc w:val="left"/>
                    <w:rPr>
                      <w:rFonts w:cs="Arial"/>
                      <w:color w:val="000000"/>
                      <w:lang w:val="es-ES_tradnl"/>
                    </w:rPr>
                  </w:pPr>
                </w:p>
              </w:tc>
              <w:tc>
                <w:tcPr>
                  <w:tcW w:w="1134" w:type="dxa"/>
                  <w:tcBorders>
                    <w:top w:val="nil"/>
                    <w:left w:val="single" w:sz="8" w:space="0" w:color="auto"/>
                    <w:bottom w:val="single" w:sz="8" w:space="0" w:color="auto"/>
                    <w:right w:val="single" w:sz="4" w:space="0" w:color="auto"/>
                  </w:tcBorders>
                  <w:shd w:val="clear" w:color="auto" w:fill="auto"/>
                  <w:vAlign w:val="center"/>
                  <w:hideMark/>
                </w:tcPr>
                <w:p w:rsidR="00E43167" w:rsidRPr="00B26559" w:rsidRDefault="00E43167" w:rsidP="00A04FAC">
                  <w:pPr>
                    <w:jc w:val="center"/>
                    <w:rPr>
                      <w:rFonts w:cs="Arial"/>
                      <w:color w:val="000000"/>
                      <w:lang w:val="es-ES_tradnl"/>
                    </w:rPr>
                  </w:pPr>
                  <w:r w:rsidRPr="00B26559">
                    <w:rPr>
                      <w:color w:val="000000"/>
                      <w:lang w:val="es-ES_tradnl"/>
                    </w:rPr>
                    <w:t>1</w:t>
                  </w:r>
                </w:p>
              </w:tc>
              <w:tc>
                <w:tcPr>
                  <w:tcW w:w="1134" w:type="dxa"/>
                  <w:gridSpan w:val="2"/>
                  <w:tcBorders>
                    <w:top w:val="nil"/>
                    <w:left w:val="nil"/>
                    <w:bottom w:val="single" w:sz="8" w:space="0" w:color="auto"/>
                    <w:right w:val="single" w:sz="4" w:space="0" w:color="auto"/>
                  </w:tcBorders>
                  <w:shd w:val="clear" w:color="auto" w:fill="auto"/>
                  <w:vAlign w:val="center"/>
                  <w:hideMark/>
                </w:tcPr>
                <w:p w:rsidR="00E43167" w:rsidRPr="00B26559" w:rsidRDefault="00E43167" w:rsidP="00A04FAC">
                  <w:pPr>
                    <w:jc w:val="center"/>
                    <w:rPr>
                      <w:rFonts w:cs="Arial"/>
                      <w:color w:val="000000"/>
                      <w:lang w:val="es-ES_tradnl"/>
                    </w:rPr>
                  </w:pPr>
                  <w:r w:rsidRPr="00B26559">
                    <w:rPr>
                      <w:color w:val="000000"/>
                      <w:lang w:val="es-ES_tradnl"/>
                    </w:rPr>
                    <w:t>3</w:t>
                  </w:r>
                  <w:r w:rsidRPr="00B26559">
                    <w:rPr>
                      <w:color w:val="000000"/>
                      <w:highlight w:val="lightGray"/>
                      <w:u w:val="single"/>
                      <w:lang w:val="es-ES_tradnl"/>
                    </w:rPr>
                    <w:t>*</w:t>
                  </w:r>
                </w:p>
              </w:tc>
              <w:tc>
                <w:tcPr>
                  <w:tcW w:w="2127" w:type="dxa"/>
                  <w:gridSpan w:val="2"/>
                  <w:tcBorders>
                    <w:top w:val="nil"/>
                    <w:left w:val="nil"/>
                    <w:bottom w:val="single" w:sz="8" w:space="0" w:color="auto"/>
                    <w:right w:val="single" w:sz="4" w:space="0" w:color="auto"/>
                  </w:tcBorders>
                  <w:shd w:val="clear" w:color="auto" w:fill="auto"/>
                  <w:vAlign w:val="center"/>
                  <w:hideMark/>
                </w:tcPr>
                <w:p w:rsidR="00E43167" w:rsidRPr="00B26559" w:rsidRDefault="00E43167" w:rsidP="00A04FAC">
                  <w:pPr>
                    <w:rPr>
                      <w:rFonts w:cs="Arial"/>
                      <w:color w:val="000000"/>
                      <w:lang w:val="es-ES_tradnl"/>
                    </w:rPr>
                  </w:pPr>
                  <w:r w:rsidRPr="00B26559">
                    <w:rPr>
                      <w:color w:val="000000"/>
                      <w:lang w:val="es-ES_tradnl"/>
                    </w:rPr>
                    <w:t>tercer ciclo de cultivo</w:t>
                  </w:r>
                  <w:r w:rsidRPr="00B26559">
                    <w:rPr>
                      <w:color w:val="000000"/>
                      <w:highlight w:val="lightGray"/>
                      <w:u w:val="single"/>
                      <w:lang w:val="es-ES_tradnl"/>
                    </w:rPr>
                    <w:t>*</w:t>
                  </w:r>
                </w:p>
              </w:tc>
              <w:tc>
                <w:tcPr>
                  <w:tcW w:w="1985" w:type="dxa"/>
                  <w:tcBorders>
                    <w:top w:val="nil"/>
                    <w:left w:val="nil"/>
                    <w:bottom w:val="single" w:sz="4" w:space="0" w:color="auto"/>
                    <w:right w:val="single" w:sz="8" w:space="0" w:color="auto"/>
                  </w:tcBorders>
                  <w:shd w:val="clear" w:color="auto" w:fill="auto"/>
                  <w:vAlign w:val="center"/>
                  <w:hideMark/>
                </w:tcPr>
                <w:p w:rsidR="00E43167" w:rsidRPr="00B26559" w:rsidRDefault="00E43167" w:rsidP="00A04FAC">
                  <w:pPr>
                    <w:jc w:val="center"/>
                    <w:rPr>
                      <w:rFonts w:cs="Arial"/>
                      <w:color w:val="000000"/>
                      <w:lang w:val="es-ES_tradnl"/>
                    </w:rPr>
                  </w:pPr>
                  <w:r w:rsidRPr="00B26559">
                    <w:rPr>
                      <w:color w:val="000000"/>
                      <w:lang w:val="es-ES_tradnl"/>
                    </w:rPr>
                    <w:t>no homogénea</w:t>
                  </w:r>
                  <w:r w:rsidRPr="00B26559">
                    <w:rPr>
                      <w:color w:val="000000"/>
                      <w:highlight w:val="lightGray"/>
                      <w:u w:val="single"/>
                      <w:lang w:val="es-ES_tradnl"/>
                    </w:rPr>
                    <w:t>*</w:t>
                  </w:r>
                </w:p>
              </w:tc>
              <w:tc>
                <w:tcPr>
                  <w:tcW w:w="1624" w:type="dxa"/>
                  <w:tcBorders>
                    <w:top w:val="single" w:sz="4" w:space="0" w:color="auto"/>
                    <w:bottom w:val="single" w:sz="4" w:space="0" w:color="auto"/>
                    <w:right w:val="single" w:sz="4" w:space="0" w:color="auto"/>
                  </w:tcBorders>
                  <w:shd w:val="clear" w:color="auto" w:fill="auto"/>
                </w:tcPr>
                <w:p w:rsidR="00E43167" w:rsidRPr="00B26559" w:rsidRDefault="00E43167" w:rsidP="00A04FAC">
                  <w:pPr>
                    <w:jc w:val="center"/>
                    <w:rPr>
                      <w:highlight w:val="lightGray"/>
                      <w:u w:val="single"/>
                      <w:lang w:val="es-ES_tradnl"/>
                    </w:rPr>
                  </w:pPr>
                  <w:r w:rsidRPr="00B26559">
                    <w:rPr>
                      <w:highlight w:val="lightGray"/>
                      <w:u w:val="single"/>
                      <w:lang w:val="es-ES_tradnl"/>
                    </w:rPr>
                    <w:t>no homogénea*</w:t>
                  </w:r>
                </w:p>
              </w:tc>
            </w:tr>
            <w:tr w:rsidR="00E43167" w:rsidRPr="00B26559" w:rsidTr="00A04FAC">
              <w:trPr>
                <w:gridBefore w:val="1"/>
                <w:wBefore w:w="424" w:type="dxa"/>
                <w:trHeight w:val="267"/>
              </w:trPr>
              <w:tc>
                <w:tcPr>
                  <w:tcW w:w="696" w:type="dxa"/>
                  <w:vMerge/>
                  <w:tcBorders>
                    <w:left w:val="single" w:sz="4" w:space="0" w:color="auto"/>
                    <w:right w:val="single" w:sz="4" w:space="0" w:color="000000"/>
                  </w:tcBorders>
                  <w:vAlign w:val="center"/>
                  <w:hideMark/>
                </w:tcPr>
                <w:p w:rsidR="00E43167" w:rsidRPr="00B26559" w:rsidRDefault="00E43167" w:rsidP="00A04FAC">
                  <w:pPr>
                    <w:jc w:val="left"/>
                    <w:rPr>
                      <w:rFonts w:cs="Arial"/>
                      <w:color w:val="000000"/>
                      <w:lang w:val="es-ES_tradnl"/>
                    </w:rPr>
                  </w:pPr>
                </w:p>
              </w:tc>
              <w:tc>
                <w:tcPr>
                  <w:tcW w:w="1134" w:type="dxa"/>
                  <w:tcBorders>
                    <w:top w:val="nil"/>
                    <w:left w:val="nil"/>
                    <w:bottom w:val="single" w:sz="4" w:space="0" w:color="auto"/>
                    <w:right w:val="single" w:sz="4" w:space="0" w:color="auto"/>
                  </w:tcBorders>
                  <w:shd w:val="clear" w:color="auto" w:fill="auto"/>
                  <w:noWrap/>
                  <w:vAlign w:val="center"/>
                  <w:hideMark/>
                </w:tcPr>
                <w:p w:rsidR="00E43167" w:rsidRPr="00B26559" w:rsidRDefault="00E43167" w:rsidP="00A04FAC">
                  <w:pPr>
                    <w:jc w:val="center"/>
                    <w:rPr>
                      <w:rFonts w:cs="Arial"/>
                      <w:color w:val="000000"/>
                      <w:lang w:val="es-ES_tradnl"/>
                    </w:rPr>
                  </w:pPr>
                  <w:r w:rsidRPr="00B26559">
                    <w:rPr>
                      <w:color w:val="000000"/>
                      <w:lang w:val="es-ES_tradnl"/>
                    </w:rPr>
                    <w:t>1</w:t>
                  </w:r>
                </w:p>
              </w:tc>
              <w:tc>
                <w:tcPr>
                  <w:tcW w:w="1134" w:type="dxa"/>
                  <w:gridSpan w:val="2"/>
                  <w:tcBorders>
                    <w:top w:val="nil"/>
                    <w:left w:val="nil"/>
                    <w:bottom w:val="single" w:sz="4" w:space="0" w:color="auto"/>
                    <w:right w:val="single" w:sz="4" w:space="0" w:color="auto"/>
                  </w:tcBorders>
                  <w:shd w:val="clear" w:color="auto" w:fill="auto"/>
                  <w:noWrap/>
                  <w:vAlign w:val="center"/>
                  <w:hideMark/>
                </w:tcPr>
                <w:p w:rsidR="00E43167" w:rsidRPr="00B26559" w:rsidRDefault="00E43167" w:rsidP="00A04FAC">
                  <w:pPr>
                    <w:ind w:left="49"/>
                    <w:jc w:val="center"/>
                    <w:rPr>
                      <w:rFonts w:cs="Arial"/>
                      <w:color w:val="000000"/>
                      <w:lang w:val="es-ES_tradnl"/>
                    </w:rPr>
                  </w:pPr>
                  <w:r w:rsidRPr="00B26559">
                    <w:rPr>
                      <w:color w:val="000000"/>
                      <w:lang w:val="es-ES_tradnl"/>
                    </w:rPr>
                    <w:t>4*</w:t>
                  </w:r>
                </w:p>
              </w:tc>
              <w:tc>
                <w:tcPr>
                  <w:tcW w:w="2127" w:type="dxa"/>
                  <w:gridSpan w:val="2"/>
                  <w:tcBorders>
                    <w:top w:val="nil"/>
                    <w:left w:val="nil"/>
                    <w:bottom w:val="single" w:sz="4" w:space="0" w:color="auto"/>
                    <w:right w:val="single" w:sz="4" w:space="0" w:color="auto"/>
                  </w:tcBorders>
                  <w:shd w:val="clear" w:color="auto" w:fill="auto"/>
                  <w:vAlign w:val="center"/>
                  <w:hideMark/>
                </w:tcPr>
                <w:p w:rsidR="00E43167" w:rsidRPr="00B26559" w:rsidRDefault="00E43167" w:rsidP="00A04FAC">
                  <w:pPr>
                    <w:rPr>
                      <w:rFonts w:cs="Arial"/>
                      <w:color w:val="000000"/>
                      <w:lang w:val="es-ES_tradnl"/>
                    </w:rPr>
                  </w:pPr>
                  <w:r w:rsidRPr="00B26559">
                    <w:rPr>
                      <w:color w:val="000000"/>
                      <w:lang w:val="es-ES_tradnl"/>
                    </w:rPr>
                    <w:t>tercer ciclo de cultivo*</w:t>
                  </w:r>
                </w:p>
              </w:tc>
              <w:tc>
                <w:tcPr>
                  <w:tcW w:w="1985" w:type="dxa"/>
                  <w:tcBorders>
                    <w:top w:val="nil"/>
                    <w:left w:val="nil"/>
                    <w:bottom w:val="single" w:sz="4" w:space="0" w:color="auto"/>
                    <w:right w:val="single" w:sz="4" w:space="0" w:color="auto"/>
                  </w:tcBorders>
                  <w:shd w:val="clear" w:color="auto" w:fill="auto"/>
                  <w:vAlign w:val="center"/>
                  <w:hideMark/>
                </w:tcPr>
                <w:p w:rsidR="00E43167" w:rsidRPr="00B26559" w:rsidRDefault="00E43167" w:rsidP="00A04FAC">
                  <w:pPr>
                    <w:jc w:val="center"/>
                    <w:rPr>
                      <w:rFonts w:cs="Arial"/>
                      <w:color w:val="000000"/>
                      <w:lang w:val="es-ES_tradnl"/>
                    </w:rPr>
                  </w:pPr>
                  <w:r w:rsidRPr="00B26559">
                    <w:rPr>
                      <w:color w:val="000000"/>
                      <w:lang w:val="es-ES_tradnl"/>
                    </w:rPr>
                    <w:t>no homogénea*</w:t>
                  </w:r>
                </w:p>
              </w:tc>
              <w:tc>
                <w:tcPr>
                  <w:tcW w:w="1624" w:type="dxa"/>
                  <w:tcBorders>
                    <w:top w:val="single" w:sz="4" w:space="0" w:color="auto"/>
                    <w:bottom w:val="single" w:sz="4" w:space="0" w:color="auto"/>
                    <w:right w:val="single" w:sz="4" w:space="0" w:color="auto"/>
                  </w:tcBorders>
                  <w:shd w:val="clear" w:color="auto" w:fill="auto"/>
                </w:tcPr>
                <w:p w:rsidR="00E43167" w:rsidRPr="00B26559" w:rsidRDefault="00E43167" w:rsidP="00A04FAC">
                  <w:pPr>
                    <w:jc w:val="center"/>
                    <w:rPr>
                      <w:highlight w:val="lightGray"/>
                      <w:u w:val="single"/>
                      <w:lang w:val="es-ES_tradnl"/>
                    </w:rPr>
                  </w:pPr>
                  <w:r w:rsidRPr="00B26559">
                    <w:rPr>
                      <w:highlight w:val="lightGray"/>
                      <w:u w:val="single"/>
                      <w:lang w:val="es-ES_tradnl"/>
                    </w:rPr>
                    <w:t>no homogénea*</w:t>
                  </w:r>
                </w:p>
              </w:tc>
            </w:tr>
            <w:tr w:rsidR="00E43167" w:rsidRPr="00B26559" w:rsidTr="00A04FAC">
              <w:trPr>
                <w:gridBefore w:val="1"/>
                <w:wBefore w:w="424" w:type="dxa"/>
                <w:trHeight w:val="266"/>
              </w:trPr>
              <w:tc>
                <w:tcPr>
                  <w:tcW w:w="696" w:type="dxa"/>
                  <w:vMerge/>
                  <w:tcBorders>
                    <w:left w:val="single" w:sz="4" w:space="0" w:color="auto"/>
                    <w:bottom w:val="single" w:sz="4" w:space="0" w:color="auto"/>
                    <w:right w:val="single" w:sz="4" w:space="0" w:color="000000"/>
                  </w:tcBorders>
                  <w:shd w:val="clear" w:color="auto" w:fill="auto"/>
                  <w:noWrap/>
                  <w:vAlign w:val="bottom"/>
                  <w:hideMark/>
                </w:tcPr>
                <w:p w:rsidR="00E43167" w:rsidRPr="00B26559" w:rsidRDefault="00E43167" w:rsidP="00A04FAC">
                  <w:pPr>
                    <w:jc w:val="left"/>
                    <w:rPr>
                      <w:rFonts w:cs="Arial"/>
                      <w:color w:val="000000"/>
                      <w:lang w:val="es-ES_tradnl"/>
                    </w:rPr>
                  </w:pPr>
                </w:p>
              </w:tc>
              <w:tc>
                <w:tcPr>
                  <w:tcW w:w="1134" w:type="dxa"/>
                  <w:tcBorders>
                    <w:top w:val="nil"/>
                    <w:left w:val="single" w:sz="4" w:space="0" w:color="000000"/>
                    <w:bottom w:val="single" w:sz="4" w:space="0" w:color="auto"/>
                    <w:right w:val="single" w:sz="4" w:space="0" w:color="auto"/>
                  </w:tcBorders>
                  <w:shd w:val="clear" w:color="auto" w:fill="auto"/>
                  <w:noWrap/>
                  <w:vAlign w:val="center"/>
                  <w:hideMark/>
                </w:tcPr>
                <w:p w:rsidR="00E43167" w:rsidRPr="00B26559" w:rsidRDefault="00E43167" w:rsidP="00A04FAC">
                  <w:pPr>
                    <w:ind w:left="49"/>
                    <w:jc w:val="center"/>
                    <w:rPr>
                      <w:rFonts w:cs="Arial"/>
                      <w:color w:val="000000"/>
                      <w:lang w:val="es-ES_tradnl"/>
                    </w:rPr>
                  </w:pPr>
                  <w:r w:rsidRPr="00B26559">
                    <w:rPr>
                      <w:color w:val="000000"/>
                      <w:lang w:val="es-ES_tradnl"/>
                    </w:rPr>
                    <w:t>4</w:t>
                  </w:r>
                </w:p>
              </w:tc>
              <w:tc>
                <w:tcPr>
                  <w:tcW w:w="1134" w:type="dxa"/>
                  <w:gridSpan w:val="2"/>
                  <w:tcBorders>
                    <w:top w:val="nil"/>
                    <w:left w:val="single" w:sz="4" w:space="0" w:color="auto"/>
                    <w:bottom w:val="single" w:sz="4" w:space="0" w:color="auto"/>
                    <w:right w:val="single" w:sz="4" w:space="0" w:color="auto"/>
                  </w:tcBorders>
                  <w:shd w:val="clear" w:color="auto" w:fill="auto"/>
                  <w:noWrap/>
                  <w:vAlign w:val="center"/>
                  <w:hideMark/>
                </w:tcPr>
                <w:p w:rsidR="00E43167" w:rsidRPr="00B26559" w:rsidRDefault="00E43167" w:rsidP="00A04FAC">
                  <w:pPr>
                    <w:ind w:right="-123"/>
                    <w:jc w:val="center"/>
                    <w:rPr>
                      <w:rFonts w:cs="Arial"/>
                      <w:color w:val="000000"/>
                      <w:lang w:val="es-ES_tradnl"/>
                    </w:rPr>
                  </w:pPr>
                  <w:r w:rsidRPr="00B26559">
                    <w:rPr>
                      <w:color w:val="000000"/>
                      <w:lang w:val="es-ES_tradnl"/>
                    </w:rPr>
                    <w:t>1*</w:t>
                  </w:r>
                </w:p>
              </w:tc>
              <w:tc>
                <w:tcPr>
                  <w:tcW w:w="2127" w:type="dxa"/>
                  <w:gridSpan w:val="2"/>
                  <w:tcBorders>
                    <w:top w:val="nil"/>
                    <w:left w:val="single" w:sz="4" w:space="0" w:color="auto"/>
                    <w:bottom w:val="single" w:sz="4" w:space="0" w:color="auto"/>
                    <w:right w:val="single" w:sz="4" w:space="0" w:color="auto"/>
                  </w:tcBorders>
                  <w:shd w:val="clear" w:color="auto" w:fill="auto"/>
                  <w:noWrap/>
                  <w:vAlign w:val="center"/>
                  <w:hideMark/>
                </w:tcPr>
                <w:p w:rsidR="00E43167" w:rsidRPr="00B26559" w:rsidRDefault="00E43167" w:rsidP="00A04FAC">
                  <w:pPr>
                    <w:ind w:right="-122"/>
                    <w:rPr>
                      <w:rFonts w:cs="Arial"/>
                      <w:color w:val="000000"/>
                      <w:lang w:val="es-ES_tradnl"/>
                    </w:rPr>
                  </w:pPr>
                  <w:r w:rsidRPr="00B26559">
                    <w:rPr>
                      <w:color w:val="000000"/>
                      <w:lang w:val="es-ES_tradnl"/>
                    </w:rPr>
                    <w:t xml:space="preserve">tercer ciclo de cultivo*  </w:t>
                  </w:r>
                </w:p>
              </w:tc>
              <w:tc>
                <w:tcPr>
                  <w:tcW w:w="1985" w:type="dxa"/>
                  <w:tcBorders>
                    <w:top w:val="nil"/>
                    <w:left w:val="single" w:sz="4" w:space="0" w:color="auto"/>
                    <w:bottom w:val="single" w:sz="4" w:space="0" w:color="auto"/>
                    <w:right w:val="single" w:sz="4" w:space="0" w:color="auto"/>
                  </w:tcBorders>
                  <w:shd w:val="clear" w:color="auto" w:fill="auto"/>
                  <w:noWrap/>
                  <w:vAlign w:val="center"/>
                  <w:hideMark/>
                </w:tcPr>
                <w:p w:rsidR="00E43167" w:rsidRPr="00B26559" w:rsidRDefault="00E43167" w:rsidP="00A04FAC">
                  <w:pPr>
                    <w:jc w:val="center"/>
                    <w:rPr>
                      <w:rFonts w:cs="Arial"/>
                      <w:color w:val="000000"/>
                      <w:lang w:val="es-ES_tradnl"/>
                    </w:rPr>
                  </w:pPr>
                  <w:r w:rsidRPr="00B26559">
                    <w:rPr>
                      <w:color w:val="000000"/>
                      <w:lang w:val="es-ES_tradnl"/>
                    </w:rPr>
                    <w:t>no homogénea*</w:t>
                  </w:r>
                </w:p>
              </w:tc>
              <w:tc>
                <w:tcPr>
                  <w:tcW w:w="1624" w:type="dxa"/>
                  <w:tcBorders>
                    <w:top w:val="single" w:sz="4" w:space="0" w:color="auto"/>
                    <w:bottom w:val="single" w:sz="4" w:space="0" w:color="auto"/>
                    <w:right w:val="single" w:sz="4" w:space="0" w:color="auto"/>
                  </w:tcBorders>
                  <w:shd w:val="clear" w:color="auto" w:fill="auto"/>
                </w:tcPr>
                <w:p w:rsidR="00E43167" w:rsidRPr="00B26559" w:rsidRDefault="00E43167" w:rsidP="00A04FAC">
                  <w:pPr>
                    <w:jc w:val="center"/>
                    <w:rPr>
                      <w:highlight w:val="lightGray"/>
                      <w:u w:val="single"/>
                      <w:lang w:val="es-ES_tradnl"/>
                    </w:rPr>
                  </w:pPr>
                  <w:r w:rsidRPr="00B26559">
                    <w:rPr>
                      <w:highlight w:val="lightGray"/>
                      <w:u w:val="single"/>
                      <w:lang w:val="es-ES_tradnl"/>
                    </w:rPr>
                    <w:t>no homogénea</w:t>
                  </w:r>
                </w:p>
              </w:tc>
            </w:tr>
          </w:tbl>
          <w:p w:rsidR="00E43167" w:rsidRPr="00B26559" w:rsidRDefault="00E43167" w:rsidP="00A04FAC">
            <w:pPr>
              <w:pStyle w:val="Titleofdoc0"/>
              <w:spacing w:before="0"/>
              <w:jc w:val="both"/>
              <w:rPr>
                <w:sz w:val="12"/>
                <w:szCs w:val="24"/>
                <w:lang w:val="es-ES_tradnl"/>
              </w:rPr>
            </w:pPr>
          </w:p>
          <w:p w:rsidR="00E43167" w:rsidRPr="00B26559" w:rsidRDefault="00E43167" w:rsidP="00A04FAC">
            <w:pPr>
              <w:keepNext/>
              <w:keepLines/>
              <w:ind w:left="34"/>
              <w:rPr>
                <w:rFonts w:eastAsia="SimSun"/>
                <w:sz w:val="18"/>
                <w:lang w:val="es-ES_tradnl"/>
              </w:rPr>
            </w:pPr>
            <w:r w:rsidRPr="00B26559">
              <w:rPr>
                <w:sz w:val="18"/>
                <w:lang w:val="es-ES_tradnl"/>
              </w:rPr>
              <w:t>* Es preciso poner cuidado al examinar resultados que sean muy diferentes en cada uno de los ciclos de cultivo, por ejemplo cuando se observe una gran abundancia de plantas fuera de tipo en un ciclo de cultivo y su ausencia en otro ciclo.</w:t>
            </w:r>
          </w:p>
        </w:tc>
      </w:tr>
    </w:tbl>
    <w:p w:rsidR="00E43167" w:rsidRDefault="00E43167" w:rsidP="00E43167">
      <w:pPr>
        <w:jc w:val="right"/>
        <w:rPr>
          <w:rFonts w:eastAsia="MS Mincho"/>
          <w:color w:val="000000"/>
          <w:sz w:val="16"/>
          <w:lang w:val="es-ES_tradnl"/>
        </w:rPr>
      </w:pPr>
    </w:p>
    <w:p w:rsidR="00D15998" w:rsidRDefault="00D15998" w:rsidP="00E43167">
      <w:pPr>
        <w:jc w:val="right"/>
        <w:rPr>
          <w:rFonts w:eastAsia="MS Mincho"/>
          <w:color w:val="000000"/>
          <w:sz w:val="16"/>
          <w:lang w:val="es-ES_tradnl"/>
        </w:rPr>
      </w:pPr>
    </w:p>
    <w:p w:rsidR="00D15998" w:rsidRPr="00B26559" w:rsidRDefault="00D15998" w:rsidP="00E43167">
      <w:pPr>
        <w:jc w:val="right"/>
        <w:rPr>
          <w:rFonts w:eastAsia="MS Mincho"/>
          <w:color w:val="000000"/>
          <w:sz w:val="16"/>
          <w:lang w:val="es-ES_tradnl"/>
        </w:rPr>
      </w:pPr>
    </w:p>
    <w:p w:rsidR="00E43167" w:rsidRPr="00B26559" w:rsidRDefault="00E43167" w:rsidP="00E43167">
      <w:pPr>
        <w:jc w:val="right"/>
        <w:rPr>
          <w:rFonts w:eastAsia="MS Mincho"/>
          <w:color w:val="000000"/>
          <w:lang w:val="es-ES_tradnl"/>
        </w:rPr>
      </w:pPr>
      <w:r w:rsidRPr="00B26559">
        <w:rPr>
          <w:color w:val="000000"/>
          <w:lang w:val="es-ES_tradnl"/>
        </w:rPr>
        <w:t>[Sigue el Anexo II]</w:t>
      </w:r>
    </w:p>
    <w:p w:rsidR="00E43167" w:rsidRPr="00B26559" w:rsidRDefault="00E43167" w:rsidP="00E43167">
      <w:pPr>
        <w:jc w:val="right"/>
        <w:rPr>
          <w:rFonts w:eastAsia="MS Mincho"/>
          <w:color w:val="000000"/>
          <w:lang w:val="es-ES_tradnl"/>
        </w:rPr>
      </w:pPr>
    </w:p>
    <w:p w:rsidR="00AD573D" w:rsidRPr="00B26559" w:rsidRDefault="00AD573D" w:rsidP="00AD573D">
      <w:pPr>
        <w:rPr>
          <w:rFonts w:eastAsia="MS Mincho"/>
          <w:color w:val="000000"/>
          <w:lang w:val="es-ES_tradnl"/>
        </w:rPr>
        <w:sectPr w:rsidR="00AD573D" w:rsidRPr="00B26559" w:rsidSect="0074415C">
          <w:headerReference w:type="default" r:id="rId10"/>
          <w:headerReference w:type="first" r:id="rId11"/>
          <w:pgSz w:w="11907" w:h="16840" w:code="9"/>
          <w:pgMar w:top="510" w:right="1134" w:bottom="851" w:left="1134" w:header="510" w:footer="680" w:gutter="0"/>
          <w:pgNumType w:start="1"/>
          <w:cols w:space="720"/>
          <w:titlePg/>
        </w:sectPr>
      </w:pPr>
    </w:p>
    <w:tbl>
      <w:tblPr>
        <w:tblW w:w="10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E43167" w:rsidRPr="00B26559" w:rsidTr="00CD545F">
        <w:trPr>
          <w:trHeight w:val="350"/>
        </w:trPr>
        <w:tc>
          <w:tcPr>
            <w:tcW w:w="10206" w:type="dxa"/>
          </w:tcPr>
          <w:p w:rsidR="00E43167" w:rsidRPr="00B26559" w:rsidRDefault="00E43167" w:rsidP="00A04FAC">
            <w:pPr>
              <w:autoSpaceDE w:val="0"/>
              <w:autoSpaceDN w:val="0"/>
              <w:adjustRightInd w:val="0"/>
              <w:jc w:val="center"/>
              <w:rPr>
                <w:rFonts w:eastAsia="SimSun"/>
                <w:szCs w:val="24"/>
                <w:lang w:val="es-ES_tradnl"/>
              </w:rPr>
            </w:pPr>
          </w:p>
          <w:p w:rsidR="00E43167" w:rsidRPr="00B26559" w:rsidRDefault="00E43167" w:rsidP="00A04FAC">
            <w:pPr>
              <w:autoSpaceDE w:val="0"/>
              <w:autoSpaceDN w:val="0"/>
              <w:adjustRightInd w:val="0"/>
              <w:jc w:val="center"/>
              <w:rPr>
                <w:szCs w:val="24"/>
                <w:lang w:val="es-ES_tradnl"/>
              </w:rPr>
            </w:pPr>
            <w:r w:rsidRPr="00B26559">
              <w:rPr>
                <w:lang w:val="es-ES_tradnl"/>
              </w:rPr>
              <w:t>SITUACIÓN:  EVALUACIÓN DE LA HOMOGENEIDAD DE LAS PLANTAS FUERA DE TIPO MEDIANTE LA OBSERVACIÓN DE SUBMUESTRAS EN UN ÚNICO EXAMEN O ENSAYO</w:t>
            </w:r>
          </w:p>
          <w:p w:rsidR="00E43167" w:rsidRPr="00B26559" w:rsidRDefault="00E43167" w:rsidP="00A04FAC">
            <w:pPr>
              <w:autoSpaceDE w:val="0"/>
              <w:autoSpaceDN w:val="0"/>
              <w:adjustRightInd w:val="0"/>
              <w:jc w:val="center"/>
              <w:rPr>
                <w:rFonts w:eastAsia="SimSun"/>
                <w:szCs w:val="24"/>
                <w:lang w:val="es-ES_tradnl"/>
              </w:rPr>
            </w:pPr>
          </w:p>
        </w:tc>
      </w:tr>
      <w:tr w:rsidR="00E43167" w:rsidRPr="00B26559" w:rsidTr="00CD545F">
        <w:trPr>
          <w:trHeight w:val="6949"/>
        </w:trPr>
        <w:tc>
          <w:tcPr>
            <w:tcW w:w="10206" w:type="dxa"/>
          </w:tcPr>
          <w:p w:rsidR="00E43167" w:rsidRPr="00B26559" w:rsidRDefault="00E43167" w:rsidP="00A04FAC">
            <w:pPr>
              <w:rPr>
                <w:lang w:val="es-ES_tradnl"/>
              </w:rPr>
            </w:pPr>
          </w:p>
          <w:p w:rsidR="00E43167" w:rsidRPr="00B26559" w:rsidRDefault="00E43167" w:rsidP="00A04FAC">
            <w:pPr>
              <w:rPr>
                <w:b/>
                <w:lang w:val="es-ES_tradnl"/>
              </w:rPr>
            </w:pPr>
            <w:r w:rsidRPr="00B26559">
              <w:rPr>
                <w:b/>
                <w:lang w:val="es-ES_tradnl"/>
              </w:rPr>
              <w:t xml:space="preserve">Método:  Utilización de una </w:t>
            </w:r>
            <w:proofErr w:type="spellStart"/>
            <w:r w:rsidRPr="00B26559">
              <w:rPr>
                <w:b/>
                <w:lang w:val="es-ES_tradnl"/>
              </w:rPr>
              <w:t>submuestra</w:t>
            </w:r>
            <w:proofErr w:type="spellEnd"/>
            <w:r w:rsidRPr="00B26559">
              <w:rPr>
                <w:b/>
                <w:lang w:val="es-ES_tradnl"/>
              </w:rPr>
              <w:t xml:space="preserve"> como primera etapa de la evaluación</w:t>
            </w:r>
          </w:p>
          <w:p w:rsidR="00E43167" w:rsidRPr="00B26559" w:rsidRDefault="00E43167" w:rsidP="00A04FAC">
            <w:pPr>
              <w:rPr>
                <w:b/>
                <w:lang w:val="es-ES_tradnl"/>
              </w:rPr>
            </w:pPr>
          </w:p>
          <w:p w:rsidR="00E43167" w:rsidRPr="00B26559" w:rsidRDefault="00E43167" w:rsidP="00A04FAC">
            <w:pPr>
              <w:rPr>
                <w:lang w:val="es-ES_tradnl"/>
              </w:rPr>
            </w:pPr>
            <w:r w:rsidRPr="00B26559">
              <w:rPr>
                <w:lang w:val="es-ES_tradnl"/>
              </w:rPr>
              <w:t xml:space="preserve">Una variedad se considera homogénea si el número de plantas fuera de tipo en la </w:t>
            </w:r>
            <w:proofErr w:type="spellStart"/>
            <w:r w:rsidRPr="00B26559">
              <w:rPr>
                <w:lang w:val="es-ES_tradnl"/>
              </w:rPr>
              <w:t>submuestra</w:t>
            </w:r>
            <w:proofErr w:type="spellEnd"/>
            <w:r w:rsidRPr="00B26559">
              <w:rPr>
                <w:lang w:val="es-ES_tradnl"/>
              </w:rPr>
              <w:t xml:space="preserve"> no supera un límite inferior predefinido.</w:t>
            </w:r>
          </w:p>
          <w:p w:rsidR="00E43167" w:rsidRPr="00B26559" w:rsidRDefault="00E43167" w:rsidP="00A04FAC">
            <w:pPr>
              <w:rPr>
                <w:lang w:val="es-ES_tradnl"/>
              </w:rPr>
            </w:pPr>
          </w:p>
          <w:p w:rsidR="00E43167" w:rsidRPr="00B26559" w:rsidRDefault="00E43167" w:rsidP="00A04FAC">
            <w:pPr>
              <w:rPr>
                <w:lang w:val="es-ES_tradnl"/>
              </w:rPr>
            </w:pPr>
            <w:r w:rsidRPr="00B26559">
              <w:rPr>
                <w:lang w:val="es-ES_tradnl"/>
              </w:rPr>
              <w:t xml:space="preserve">Una variedad se considera no homogénea si el número de plantas fuera de tipo en la </w:t>
            </w:r>
            <w:proofErr w:type="spellStart"/>
            <w:r w:rsidRPr="00B26559">
              <w:rPr>
                <w:lang w:val="es-ES_tradnl"/>
              </w:rPr>
              <w:t>submuestra</w:t>
            </w:r>
            <w:proofErr w:type="spellEnd"/>
            <w:r w:rsidRPr="00B26559">
              <w:rPr>
                <w:lang w:val="es-ES_tradnl"/>
              </w:rPr>
              <w:t xml:space="preserve"> supera un límite superior predefinido.</w:t>
            </w:r>
          </w:p>
          <w:p w:rsidR="00E43167" w:rsidRPr="00B26559" w:rsidRDefault="00E43167" w:rsidP="00A04FAC">
            <w:pPr>
              <w:rPr>
                <w:lang w:val="es-ES_tradnl"/>
              </w:rPr>
            </w:pPr>
          </w:p>
          <w:p w:rsidR="00E43167" w:rsidRPr="00B26559" w:rsidRDefault="00E43167" w:rsidP="00A04FAC">
            <w:pPr>
              <w:rPr>
                <w:lang w:val="es-ES_tradnl"/>
              </w:rPr>
            </w:pPr>
            <w:r w:rsidRPr="00B26559">
              <w:rPr>
                <w:lang w:val="es-ES_tradnl"/>
              </w:rPr>
              <w:t>Si el número de plantas fuera de tipo está entre el límite inferior y el límite superior predefinidos, se evalúa toda la muestra.</w:t>
            </w:r>
            <w:r w:rsidR="00A178ED" w:rsidRPr="00B26559">
              <w:rPr>
                <w:lang w:val="es-ES_tradnl"/>
              </w:rPr>
              <w:t xml:space="preserve"> </w:t>
            </w:r>
            <w:r w:rsidRPr="00B26559">
              <w:rPr>
                <w:lang w:val="es-ES_tradnl"/>
              </w:rPr>
              <w:t xml:space="preserve"> Los límites inferior y superior deben fijarse teniendo en cuenta errores de tipo I y de tipo II similares en la </w:t>
            </w:r>
            <w:proofErr w:type="spellStart"/>
            <w:r w:rsidRPr="00B26559">
              <w:rPr>
                <w:lang w:val="es-ES_tradnl"/>
              </w:rPr>
              <w:t>submuestra</w:t>
            </w:r>
            <w:proofErr w:type="spellEnd"/>
            <w:r w:rsidRPr="00B26559">
              <w:rPr>
                <w:lang w:val="es-ES_tradnl"/>
              </w:rPr>
              <w:t xml:space="preserve"> y en toda la muestra.</w:t>
            </w:r>
          </w:p>
          <w:p w:rsidR="00E43167" w:rsidRPr="00B26559" w:rsidRDefault="0031651B" w:rsidP="00A04FAC">
            <w:pPr>
              <w:rPr>
                <w:lang w:val="es-ES_tradnl"/>
              </w:rPr>
            </w:pPr>
            <w:r w:rsidRPr="00B26559">
              <w:rPr>
                <w:rFonts w:eastAsia="SimSun"/>
                <w:szCs w:val="24"/>
                <w:lang w:val="es-ES_tradnl"/>
              </w:rPr>
              <w:pict>
                <v:rect id="_x0000_i1025" style="width:0;height:1.5pt" o:hralign="center" o:hrstd="t" o:hr="t" fillcolor="#a0a0a0" stroked="f"/>
              </w:pict>
            </w:r>
          </w:p>
          <w:p w:rsidR="00E43167" w:rsidRPr="00B26559" w:rsidRDefault="00E43167" w:rsidP="00A04FAC">
            <w:pPr>
              <w:rPr>
                <w:szCs w:val="24"/>
                <w:lang w:val="es-ES_tradnl"/>
              </w:rPr>
            </w:pPr>
          </w:p>
          <w:p w:rsidR="00E43167" w:rsidRPr="00B26559" w:rsidRDefault="00E43167" w:rsidP="00A04FAC">
            <w:pPr>
              <w:rPr>
                <w:szCs w:val="24"/>
                <w:lang w:val="es-ES_tradnl"/>
              </w:rPr>
            </w:pPr>
            <w:r w:rsidRPr="00B26559">
              <w:rPr>
                <w:lang w:val="es-ES_tradnl"/>
              </w:rPr>
              <w:t>Ejemplo:</w:t>
            </w:r>
          </w:p>
          <w:p w:rsidR="00E43167" w:rsidRPr="00B26559" w:rsidRDefault="00E43167" w:rsidP="00A04FAC">
            <w:pPr>
              <w:rPr>
                <w:szCs w:val="24"/>
                <w:lang w:val="es-ES_tradnl"/>
              </w:rPr>
            </w:pPr>
          </w:p>
          <w:p w:rsidR="00E43167" w:rsidRPr="00B26559" w:rsidRDefault="00E43167" w:rsidP="00A04FAC">
            <w:pPr>
              <w:autoSpaceDE w:val="0"/>
              <w:autoSpaceDN w:val="0"/>
              <w:adjustRightInd w:val="0"/>
              <w:rPr>
                <w:color w:val="000000"/>
                <w:szCs w:val="24"/>
                <w:lang w:val="es-ES_tradnl"/>
              </w:rPr>
            </w:pPr>
            <w:r w:rsidRPr="00B26559">
              <w:rPr>
                <w:color w:val="000000"/>
                <w:lang w:val="es-ES_tradnl"/>
              </w:rPr>
              <w:t>En el caso de una muestra de 100 plantas, el número aceptable de plantas fuera de tipo es 3 (aplicando una población estándar del 1% y una probabilidad de aceptación del 95% como mínimo).</w:t>
            </w:r>
          </w:p>
          <w:p w:rsidR="00E43167" w:rsidRPr="00B26559" w:rsidRDefault="00E43167" w:rsidP="00A04FAC">
            <w:pPr>
              <w:autoSpaceDE w:val="0"/>
              <w:autoSpaceDN w:val="0"/>
              <w:adjustRightInd w:val="0"/>
              <w:rPr>
                <w:color w:val="000000"/>
                <w:szCs w:val="24"/>
                <w:lang w:val="es-ES_tradnl"/>
              </w:rPr>
            </w:pPr>
          </w:p>
          <w:p w:rsidR="00E43167" w:rsidRPr="00B26559" w:rsidRDefault="00E43167" w:rsidP="00A04FAC">
            <w:pPr>
              <w:autoSpaceDE w:val="0"/>
              <w:autoSpaceDN w:val="0"/>
              <w:adjustRightInd w:val="0"/>
              <w:rPr>
                <w:color w:val="000000"/>
                <w:szCs w:val="24"/>
                <w:lang w:val="es-ES_tradnl"/>
              </w:rPr>
            </w:pPr>
            <w:r w:rsidRPr="00B26559">
              <w:rPr>
                <w:color w:val="000000"/>
                <w:lang w:val="es-ES_tradnl"/>
              </w:rPr>
              <w:t xml:space="preserve">En una </w:t>
            </w:r>
            <w:proofErr w:type="spellStart"/>
            <w:r w:rsidRPr="00B26559">
              <w:rPr>
                <w:color w:val="000000"/>
                <w:lang w:val="es-ES_tradnl"/>
              </w:rPr>
              <w:t>submuestra</w:t>
            </w:r>
            <w:proofErr w:type="spellEnd"/>
            <w:r w:rsidRPr="00B26559">
              <w:rPr>
                <w:color w:val="000000"/>
                <w:lang w:val="es-ES_tradnl"/>
              </w:rPr>
              <w:t xml:space="preserve"> de 20 plantas utilizada en el contexto de la antedicha muestra de 100 plantas:</w:t>
            </w:r>
          </w:p>
          <w:p w:rsidR="00E43167" w:rsidRPr="00B26559" w:rsidRDefault="00E43167" w:rsidP="00A04FAC">
            <w:pPr>
              <w:autoSpaceDE w:val="0"/>
              <w:autoSpaceDN w:val="0"/>
              <w:adjustRightInd w:val="0"/>
              <w:rPr>
                <w:color w:val="000000"/>
                <w:szCs w:val="24"/>
                <w:lang w:val="es-ES_tradnl"/>
              </w:rPr>
            </w:pPr>
          </w:p>
          <w:p w:rsidR="00E43167" w:rsidRPr="00B26559" w:rsidRDefault="00E43167" w:rsidP="00A04FAC">
            <w:pPr>
              <w:ind w:left="567"/>
              <w:rPr>
                <w:lang w:val="es-ES_tradnl"/>
              </w:rPr>
            </w:pPr>
            <w:r w:rsidRPr="00B26559">
              <w:rPr>
                <w:lang w:val="es-ES_tradnl"/>
              </w:rPr>
              <w:t xml:space="preserve">Se considera que una variedad es homogénea si no se observan plantas fuera de tipo en la </w:t>
            </w:r>
            <w:proofErr w:type="spellStart"/>
            <w:r w:rsidRPr="00B26559">
              <w:rPr>
                <w:lang w:val="es-ES_tradnl"/>
              </w:rPr>
              <w:t>submuestra</w:t>
            </w:r>
            <w:proofErr w:type="spellEnd"/>
            <w:r w:rsidRPr="00B26559">
              <w:rPr>
                <w:lang w:val="es-ES_tradnl"/>
              </w:rPr>
              <w:t>.</w:t>
            </w:r>
          </w:p>
          <w:p w:rsidR="00E43167" w:rsidRPr="00B26559" w:rsidRDefault="00E43167" w:rsidP="00A04FAC">
            <w:pPr>
              <w:rPr>
                <w:lang w:val="es-ES_tradnl"/>
              </w:rPr>
            </w:pPr>
          </w:p>
          <w:p w:rsidR="00E43167" w:rsidRPr="00B26559" w:rsidRDefault="00E43167" w:rsidP="00A04FAC">
            <w:pPr>
              <w:ind w:left="567"/>
              <w:rPr>
                <w:lang w:val="es-ES_tradnl"/>
              </w:rPr>
            </w:pPr>
            <w:r w:rsidRPr="00B26559">
              <w:rPr>
                <w:lang w:val="es-ES_tradnl"/>
              </w:rPr>
              <w:t xml:space="preserve">Se considera que una variedad no es homogénea si el número de plantas fuera de tipo en la </w:t>
            </w:r>
            <w:proofErr w:type="spellStart"/>
            <w:r w:rsidRPr="00B26559">
              <w:rPr>
                <w:lang w:val="es-ES_tradnl"/>
              </w:rPr>
              <w:t>submuestra</w:t>
            </w:r>
            <w:proofErr w:type="spellEnd"/>
            <w:r w:rsidRPr="00B26559">
              <w:rPr>
                <w:lang w:val="es-ES_tradnl"/>
              </w:rPr>
              <w:t xml:space="preserve"> es mayor de 3.</w:t>
            </w:r>
          </w:p>
          <w:p w:rsidR="00E43167" w:rsidRPr="00B26559" w:rsidRDefault="00E43167" w:rsidP="00A04FAC">
            <w:pPr>
              <w:rPr>
                <w:lang w:val="es-ES_tradnl"/>
              </w:rPr>
            </w:pPr>
          </w:p>
          <w:p w:rsidR="00E43167" w:rsidRPr="00B26559" w:rsidRDefault="00E43167" w:rsidP="00A04FAC">
            <w:pPr>
              <w:ind w:left="567"/>
              <w:rPr>
                <w:lang w:val="es-ES_tradnl"/>
              </w:rPr>
            </w:pPr>
            <w:r w:rsidRPr="00B26559">
              <w:rPr>
                <w:lang w:val="es-ES_tradnl"/>
              </w:rPr>
              <w:t>Si el número de plantas fuera de tipo está entre 1 y 3, se evalúa toda la muestra de 100 plantas.</w:t>
            </w:r>
          </w:p>
          <w:p w:rsidR="00E43167" w:rsidRPr="00B26559" w:rsidRDefault="00E43167" w:rsidP="00A04FAC">
            <w:pPr>
              <w:ind w:left="567"/>
              <w:rPr>
                <w:lang w:val="es-ES_tradnl"/>
              </w:rPr>
            </w:pPr>
          </w:p>
          <w:p w:rsidR="00E43167" w:rsidRPr="00B26559" w:rsidRDefault="00E43167" w:rsidP="00A04FAC">
            <w:pPr>
              <w:ind w:left="567"/>
              <w:rPr>
                <w:lang w:val="es-ES_tradnl"/>
              </w:rPr>
            </w:pPr>
            <w:r w:rsidRPr="00B26559">
              <w:rPr>
                <w:lang w:val="es-ES_tradnl"/>
              </w:rPr>
              <w:t>Si el número de plantas fuera de tipo de la muestra de 100 plantas es mayor que 3, se considera que la variedad no es homogénea.</w:t>
            </w:r>
          </w:p>
          <w:p w:rsidR="00E43167" w:rsidRPr="00B26559" w:rsidRDefault="00E43167" w:rsidP="00A04FAC">
            <w:pPr>
              <w:ind w:left="34" w:right="600"/>
              <w:rPr>
                <w:lang w:val="es-ES_tradnl"/>
              </w:rPr>
            </w:pPr>
          </w:p>
          <w:p w:rsidR="00E43167" w:rsidRPr="00B26559" w:rsidRDefault="00E43167" w:rsidP="00A04FAC">
            <w:pPr>
              <w:ind w:left="34" w:right="600"/>
              <w:rPr>
                <w:szCs w:val="24"/>
                <w:lang w:val="es-ES_tradnl"/>
              </w:rPr>
            </w:pPr>
            <w:r w:rsidRPr="00B26559">
              <w:rPr>
                <w:lang w:val="es-ES_tradnl"/>
              </w:rPr>
              <w:t>Las bases estadísticas de este método se describen exhaustivamente en el documento TWC/32/9.</w:t>
            </w:r>
          </w:p>
          <w:p w:rsidR="00E43167" w:rsidRPr="00B26559" w:rsidRDefault="00E43167" w:rsidP="00A04FAC">
            <w:pPr>
              <w:ind w:left="34" w:right="600"/>
              <w:rPr>
                <w:szCs w:val="24"/>
                <w:lang w:val="es-ES_tradnl"/>
              </w:rPr>
            </w:pPr>
          </w:p>
        </w:tc>
      </w:tr>
    </w:tbl>
    <w:p w:rsidR="00E43167" w:rsidRPr="00B26559" w:rsidRDefault="00E43167" w:rsidP="00E43167">
      <w:pPr>
        <w:rPr>
          <w:lang w:val="es-ES_tradnl"/>
        </w:rPr>
      </w:pPr>
    </w:p>
    <w:p w:rsidR="00E43167" w:rsidRDefault="00E43167" w:rsidP="00E43167">
      <w:pPr>
        <w:rPr>
          <w:lang w:val="es-ES_tradnl"/>
        </w:rPr>
      </w:pPr>
    </w:p>
    <w:p w:rsidR="00CD545F" w:rsidRPr="00B26559" w:rsidRDefault="00CD545F" w:rsidP="00E43167">
      <w:pPr>
        <w:rPr>
          <w:lang w:val="es-ES_tradnl"/>
        </w:rPr>
      </w:pPr>
    </w:p>
    <w:p w:rsidR="00E43167" w:rsidRPr="00B26559" w:rsidRDefault="00E43167" w:rsidP="00E43167">
      <w:pPr>
        <w:jc w:val="right"/>
        <w:rPr>
          <w:lang w:val="es-ES_tradnl"/>
        </w:rPr>
      </w:pPr>
      <w:r w:rsidRPr="00B26559">
        <w:rPr>
          <w:lang w:val="es-ES_tradnl"/>
        </w:rPr>
        <w:t>[Sigue el Anexo III]</w:t>
      </w:r>
    </w:p>
    <w:p w:rsidR="00E43167" w:rsidRPr="00B26559" w:rsidRDefault="00E43167" w:rsidP="00E43167">
      <w:pPr>
        <w:rPr>
          <w:lang w:val="es-ES_tradnl"/>
        </w:rPr>
      </w:pPr>
    </w:p>
    <w:p w:rsidR="00E43167" w:rsidRPr="00B26559" w:rsidRDefault="00E43167" w:rsidP="00E43167">
      <w:pPr>
        <w:rPr>
          <w:lang w:val="es-ES_tradnl"/>
        </w:rPr>
        <w:sectPr w:rsidR="00E43167" w:rsidRPr="00B26559" w:rsidSect="00906DDC">
          <w:headerReference w:type="default" r:id="rId12"/>
          <w:headerReference w:type="first" r:id="rId13"/>
          <w:pgSz w:w="11907" w:h="16840" w:code="9"/>
          <w:pgMar w:top="510" w:right="1134" w:bottom="1134" w:left="1134" w:header="510" w:footer="680" w:gutter="0"/>
          <w:cols w:space="720"/>
          <w:titlePg/>
        </w:sectPr>
      </w:pPr>
    </w:p>
    <w:p w:rsidR="00E43167" w:rsidRPr="00B26559" w:rsidRDefault="00E43167" w:rsidP="00E43167">
      <w:pPr>
        <w:rPr>
          <w:lang w:val="es-ES_tradnl"/>
        </w:rPr>
      </w:pPr>
    </w:p>
    <w:p w:rsidR="00E43167" w:rsidRPr="00B26559" w:rsidRDefault="00E43167" w:rsidP="00E43167">
      <w:pPr>
        <w:jc w:val="center"/>
        <w:rPr>
          <w:rFonts w:eastAsia="MS Mincho"/>
          <w:caps/>
          <w:color w:val="000000"/>
          <w:szCs w:val="24"/>
          <w:lang w:val="es-ES_tradnl"/>
        </w:rPr>
      </w:pPr>
      <w:r w:rsidRPr="00B26559">
        <w:rPr>
          <w:caps/>
          <w:color w:val="000000"/>
          <w:lang w:val="es-ES_tradnl"/>
        </w:rPr>
        <w:t>Evaluación de la homogeneidad de las plantas fuera de tipo mediante la observación de más de un ciclo de cultivo</w:t>
      </w:r>
      <w:proofErr w:type="gramStart"/>
      <w:r w:rsidR="00621BF2" w:rsidRPr="00B26559">
        <w:rPr>
          <w:caps/>
          <w:color w:val="000000"/>
          <w:lang w:val="es-ES_tradnl"/>
        </w:rPr>
        <w:t xml:space="preserve">:  </w:t>
      </w:r>
      <w:r w:rsidRPr="00B26559">
        <w:rPr>
          <w:caps/>
          <w:color w:val="000000"/>
          <w:lang w:val="es-ES_tradnl"/>
        </w:rPr>
        <w:t>riesgos</w:t>
      </w:r>
      <w:proofErr w:type="gramEnd"/>
      <w:r w:rsidRPr="00B26559">
        <w:rPr>
          <w:caps/>
          <w:color w:val="000000"/>
          <w:lang w:val="es-ES_tradnl"/>
        </w:rPr>
        <w:t>, beneficios y costos</w:t>
      </w:r>
    </w:p>
    <w:p w:rsidR="00E43167" w:rsidRPr="00B26559" w:rsidRDefault="00E43167" w:rsidP="00E43167">
      <w:pPr>
        <w:jc w:val="center"/>
        <w:rPr>
          <w:rFonts w:eastAsia="MS Mincho"/>
          <w:caps/>
          <w:color w:val="000000"/>
          <w:szCs w:val="24"/>
          <w:lang w:val="es-ES_tradnl"/>
        </w:rPr>
      </w:pPr>
    </w:p>
    <w:p w:rsidR="00E43167" w:rsidRPr="00B26559" w:rsidRDefault="00E43167" w:rsidP="00E43167">
      <w:pPr>
        <w:jc w:val="center"/>
        <w:rPr>
          <w:rFonts w:eastAsia="MS Mincho"/>
          <w:color w:val="000000"/>
          <w:szCs w:val="24"/>
          <w:lang w:val="es-ES_tradnl"/>
        </w:rPr>
      </w:pPr>
      <w:r w:rsidRPr="00B26559">
        <w:rPr>
          <w:color w:val="000000"/>
          <w:lang w:val="es-ES_tradnl"/>
        </w:rPr>
        <w:t>Ponencia a cargo de los expertos de Alemania y el Reino Unido durante la trigésima tercera sesión del TWC, celebrada en Natal (Brasil) del 30 de junio al 3 de julio de 2015 (documento TWC/33/25)</w:t>
      </w:r>
    </w:p>
    <w:p w:rsidR="00E43167" w:rsidRPr="00B26559" w:rsidRDefault="00E43167" w:rsidP="00E43167">
      <w:pPr>
        <w:rPr>
          <w:lang w:val="es-ES_tradnl"/>
        </w:rPr>
      </w:pPr>
    </w:p>
    <w:p w:rsidR="00736A57" w:rsidRPr="00B26559" w:rsidRDefault="00736A57" w:rsidP="00736A57">
      <w:pPr>
        <w:jc w:val="center"/>
        <w:rPr>
          <w:lang w:val="es-ES_tradnl"/>
        </w:rPr>
      </w:pPr>
      <w:r w:rsidRPr="00B26559">
        <w:rPr>
          <w:color w:val="000000"/>
          <w:lang w:val="es-ES_tradnl"/>
        </w:rPr>
        <w:t>(</w:t>
      </w:r>
      <w:proofErr w:type="gramStart"/>
      <w:r>
        <w:rPr>
          <w:color w:val="000000"/>
          <w:lang w:val="es-ES_tradnl"/>
        </w:rPr>
        <w:t>sol</w:t>
      </w:r>
      <w:r w:rsidRPr="00B26559">
        <w:rPr>
          <w:color w:val="000000"/>
          <w:lang w:val="es-ES_tradnl"/>
        </w:rPr>
        <w:t>amente</w:t>
      </w:r>
      <w:proofErr w:type="gramEnd"/>
      <w:r w:rsidRPr="00B26559">
        <w:rPr>
          <w:color w:val="000000"/>
          <w:lang w:val="es-ES_tradnl"/>
        </w:rPr>
        <w:t xml:space="preserve"> en inglés)</w:t>
      </w:r>
    </w:p>
    <w:p w:rsidR="00736A57" w:rsidRDefault="00736A57" w:rsidP="00736A57"/>
    <w:p w:rsidR="00736A57" w:rsidRPr="0033778D" w:rsidRDefault="00736A57" w:rsidP="00736A57"/>
    <w:p w:rsidR="00736A57" w:rsidRDefault="00736A57" w:rsidP="00736A57">
      <w:pPr>
        <w:jc w:val="center"/>
      </w:pPr>
      <w:r w:rsidRPr="000302C1">
        <w:drawing>
          <wp:inline distT="0" distB="0" distL="0" distR="0" wp14:anchorId="0092DF38" wp14:editId="1D8A1C8C">
            <wp:extent cx="4572638" cy="3429479"/>
            <wp:effectExtent l="19050" t="19050" r="1841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572638" cy="3429479"/>
                    </a:xfrm>
                    <a:prstGeom prst="rect">
                      <a:avLst/>
                    </a:prstGeom>
                    <a:ln>
                      <a:solidFill>
                        <a:schemeClr val="tx1"/>
                      </a:solidFill>
                    </a:ln>
                  </pic:spPr>
                </pic:pic>
              </a:graphicData>
            </a:graphic>
          </wp:inline>
        </w:drawing>
      </w:r>
    </w:p>
    <w:p w:rsidR="00736A57"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5675D8FD" wp14:editId="021234BF">
            <wp:extent cx="4572638" cy="3429479"/>
            <wp:effectExtent l="19050" t="19050" r="18415" b="190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572638" cy="3429479"/>
                    </a:xfrm>
                    <a:prstGeom prst="rect">
                      <a:avLst/>
                    </a:prstGeom>
                    <a:ln>
                      <a:solidFill>
                        <a:schemeClr val="tx1"/>
                      </a:solidFill>
                    </a:ln>
                  </pic:spPr>
                </pic:pic>
              </a:graphicData>
            </a:graphic>
          </wp:inline>
        </w:drawing>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0F7E427B" wp14:editId="79C919E9">
            <wp:extent cx="4572638" cy="3429479"/>
            <wp:effectExtent l="19050" t="19050" r="18415" b="190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572638" cy="3429479"/>
                    </a:xfrm>
                    <a:prstGeom prst="rect">
                      <a:avLst/>
                    </a:prstGeom>
                    <a:ln>
                      <a:solidFill>
                        <a:schemeClr val="tx1"/>
                      </a:solidFill>
                    </a:ln>
                  </pic:spPr>
                </pic:pic>
              </a:graphicData>
            </a:graphic>
          </wp:inline>
        </w:drawing>
      </w:r>
    </w:p>
    <w:p w:rsidR="00736A57"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32F3FD73" wp14:editId="554EFDB7">
            <wp:extent cx="4572638" cy="3429479"/>
            <wp:effectExtent l="19050" t="19050" r="18415" b="190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572638" cy="3429479"/>
                    </a:xfrm>
                    <a:prstGeom prst="rect">
                      <a:avLst/>
                    </a:prstGeom>
                    <a:ln>
                      <a:solidFill>
                        <a:schemeClr val="tx1"/>
                      </a:solidFill>
                    </a:ln>
                  </pic:spPr>
                </pic:pic>
              </a:graphicData>
            </a:graphic>
          </wp:inline>
        </w:drawing>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p>
    <w:p w:rsidR="00736A57" w:rsidRDefault="00736A57" w:rsidP="00736A57">
      <w:pPr>
        <w:jc w:val="center"/>
      </w:pPr>
    </w:p>
    <w:p w:rsidR="00736A57" w:rsidRDefault="00736A57" w:rsidP="00736A57">
      <w:pPr>
        <w:jc w:val="left"/>
      </w:pPr>
      <w:r>
        <w:br w:type="page"/>
      </w:r>
    </w:p>
    <w:p w:rsidR="00736A57" w:rsidRDefault="00736A57" w:rsidP="00736A57">
      <w:pPr>
        <w:jc w:val="center"/>
      </w:pPr>
    </w:p>
    <w:p w:rsidR="00736A57" w:rsidRDefault="00736A57" w:rsidP="00736A57">
      <w:pPr>
        <w:jc w:val="center"/>
      </w:pPr>
    </w:p>
    <w:p w:rsidR="00736A57" w:rsidRPr="000302C1" w:rsidRDefault="00736A57" w:rsidP="00736A57">
      <w:pPr>
        <w:jc w:val="center"/>
      </w:pPr>
      <w:r w:rsidRPr="000302C1">
        <w:drawing>
          <wp:inline distT="0" distB="0" distL="0" distR="0" wp14:anchorId="5268469F" wp14:editId="056A263F">
            <wp:extent cx="4572638" cy="3429479"/>
            <wp:effectExtent l="19050" t="19050" r="18415" b="190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572638" cy="3429479"/>
                    </a:xfrm>
                    <a:prstGeom prst="rect">
                      <a:avLst/>
                    </a:prstGeom>
                    <a:ln>
                      <a:solidFill>
                        <a:schemeClr val="tx1"/>
                      </a:solidFill>
                    </a:ln>
                  </pic:spPr>
                </pic:pic>
              </a:graphicData>
            </a:graphic>
          </wp:inline>
        </w:drawing>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5449E241" wp14:editId="3179A743">
            <wp:extent cx="4572638" cy="3429479"/>
            <wp:effectExtent l="19050" t="19050" r="18415"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4572638" cy="3429479"/>
                    </a:xfrm>
                    <a:prstGeom prst="rect">
                      <a:avLst/>
                    </a:prstGeom>
                    <a:ln>
                      <a:solidFill>
                        <a:schemeClr val="tx1"/>
                      </a:solidFill>
                    </a:ln>
                  </pic:spPr>
                </pic:pic>
              </a:graphicData>
            </a:graphic>
          </wp:inline>
        </w:drawing>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p>
    <w:p w:rsidR="00736A57" w:rsidRDefault="00736A57" w:rsidP="00736A57">
      <w:pPr>
        <w:jc w:val="left"/>
      </w:pPr>
      <w:r>
        <w:br w:type="page"/>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23129267" wp14:editId="1A8743D3">
            <wp:extent cx="4572638" cy="3429479"/>
            <wp:effectExtent l="19050" t="19050" r="18415" b="190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572638" cy="3429479"/>
                    </a:xfrm>
                    <a:prstGeom prst="rect">
                      <a:avLst/>
                    </a:prstGeom>
                    <a:ln>
                      <a:solidFill>
                        <a:schemeClr val="tx1"/>
                      </a:solidFill>
                    </a:ln>
                  </pic:spPr>
                </pic:pic>
              </a:graphicData>
            </a:graphic>
          </wp:inline>
        </w:drawing>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5241B74A" wp14:editId="3E217038">
            <wp:extent cx="4572638" cy="3429479"/>
            <wp:effectExtent l="19050" t="19050" r="18415" b="190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572638" cy="3429479"/>
                    </a:xfrm>
                    <a:prstGeom prst="rect">
                      <a:avLst/>
                    </a:prstGeom>
                    <a:ln>
                      <a:solidFill>
                        <a:schemeClr val="tx1"/>
                      </a:solidFill>
                    </a:ln>
                  </pic:spPr>
                </pic:pic>
              </a:graphicData>
            </a:graphic>
          </wp:inline>
        </w:drawing>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p>
    <w:p w:rsidR="00736A57" w:rsidRDefault="00736A57" w:rsidP="00736A57">
      <w:pPr>
        <w:jc w:val="left"/>
      </w:pPr>
      <w:r>
        <w:br w:type="page"/>
      </w:r>
    </w:p>
    <w:p w:rsidR="00736A57"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23DAE21F" wp14:editId="1F218792">
            <wp:extent cx="5391302" cy="4043477"/>
            <wp:effectExtent l="19050" t="19050" r="19050" b="146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392054" cy="4044041"/>
                    </a:xfrm>
                    <a:prstGeom prst="rect">
                      <a:avLst/>
                    </a:prstGeom>
                    <a:ln>
                      <a:solidFill>
                        <a:schemeClr val="tx1"/>
                      </a:solidFill>
                    </a:ln>
                  </pic:spPr>
                </pic:pic>
              </a:graphicData>
            </a:graphic>
          </wp:inline>
        </w:drawing>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645AAA61" wp14:editId="054729E0">
            <wp:extent cx="5391302" cy="4043477"/>
            <wp:effectExtent l="19050" t="19050" r="19050" b="1460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392054" cy="4044041"/>
                    </a:xfrm>
                    <a:prstGeom prst="rect">
                      <a:avLst/>
                    </a:prstGeom>
                    <a:ln>
                      <a:solidFill>
                        <a:schemeClr val="tx1"/>
                      </a:solidFill>
                    </a:ln>
                  </pic:spPr>
                </pic:pic>
              </a:graphicData>
            </a:graphic>
          </wp:inline>
        </w:drawing>
      </w:r>
    </w:p>
    <w:p w:rsidR="00736A57" w:rsidRPr="000302C1" w:rsidRDefault="00736A57" w:rsidP="00736A57">
      <w:pPr>
        <w:jc w:val="center"/>
      </w:pPr>
    </w:p>
    <w:p w:rsidR="00736A57" w:rsidRPr="000302C1" w:rsidRDefault="00736A57" w:rsidP="00736A57">
      <w:pPr>
        <w:jc w:val="center"/>
      </w:pPr>
    </w:p>
    <w:p w:rsidR="00736A57" w:rsidRDefault="00736A57" w:rsidP="00736A57">
      <w:pPr>
        <w:jc w:val="left"/>
      </w:pPr>
      <w:r>
        <w:br w:type="page"/>
      </w:r>
    </w:p>
    <w:p w:rsidR="00736A57"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161E39AA" wp14:editId="2096E695">
            <wp:extent cx="5398617" cy="4048963"/>
            <wp:effectExtent l="19050" t="19050" r="12065" b="279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399370" cy="4049528"/>
                    </a:xfrm>
                    <a:prstGeom prst="rect">
                      <a:avLst/>
                    </a:prstGeom>
                    <a:ln>
                      <a:solidFill>
                        <a:schemeClr val="tx1"/>
                      </a:solidFill>
                    </a:ln>
                  </pic:spPr>
                </pic:pic>
              </a:graphicData>
            </a:graphic>
          </wp:inline>
        </w:drawing>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5818A1F7" wp14:editId="440A77A4">
            <wp:extent cx="4572638" cy="3429479"/>
            <wp:effectExtent l="19050" t="19050" r="18415" b="1905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4572638" cy="3429479"/>
                    </a:xfrm>
                    <a:prstGeom prst="rect">
                      <a:avLst/>
                    </a:prstGeom>
                    <a:ln>
                      <a:solidFill>
                        <a:schemeClr val="tx1"/>
                      </a:solidFill>
                    </a:ln>
                  </pic:spPr>
                </pic:pic>
              </a:graphicData>
            </a:graphic>
          </wp:inline>
        </w:drawing>
      </w:r>
    </w:p>
    <w:p w:rsidR="00736A57" w:rsidRPr="000302C1" w:rsidRDefault="00736A57" w:rsidP="00736A57">
      <w:pPr>
        <w:jc w:val="center"/>
      </w:pPr>
    </w:p>
    <w:p w:rsidR="00736A57" w:rsidRPr="000302C1" w:rsidRDefault="00736A57" w:rsidP="00736A57">
      <w:pPr>
        <w:jc w:val="center"/>
      </w:pPr>
    </w:p>
    <w:p w:rsidR="00736A57" w:rsidRDefault="00736A57" w:rsidP="00736A57">
      <w:pPr>
        <w:jc w:val="left"/>
      </w:pPr>
      <w:r>
        <w:br w:type="page"/>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609CB288" wp14:editId="7679F115">
            <wp:extent cx="4572638" cy="3429479"/>
            <wp:effectExtent l="19050" t="19050" r="18415" b="190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4572638" cy="3429479"/>
                    </a:xfrm>
                    <a:prstGeom prst="rect">
                      <a:avLst/>
                    </a:prstGeom>
                    <a:ln>
                      <a:solidFill>
                        <a:schemeClr val="tx1"/>
                      </a:solidFill>
                    </a:ln>
                  </pic:spPr>
                </pic:pic>
              </a:graphicData>
            </a:graphic>
          </wp:inline>
        </w:drawing>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3F229F20" wp14:editId="2E3F6911">
            <wp:extent cx="4572638" cy="3429479"/>
            <wp:effectExtent l="19050" t="19050" r="18415" b="190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4572638" cy="3429479"/>
                    </a:xfrm>
                    <a:prstGeom prst="rect">
                      <a:avLst/>
                    </a:prstGeom>
                    <a:ln>
                      <a:solidFill>
                        <a:schemeClr val="tx1"/>
                      </a:solidFill>
                    </a:ln>
                  </pic:spPr>
                </pic:pic>
              </a:graphicData>
            </a:graphic>
          </wp:inline>
        </w:drawing>
      </w:r>
    </w:p>
    <w:p w:rsidR="00736A57" w:rsidRPr="000302C1" w:rsidRDefault="00736A57" w:rsidP="00736A57">
      <w:pPr>
        <w:jc w:val="center"/>
      </w:pPr>
    </w:p>
    <w:p w:rsidR="00736A57" w:rsidRPr="000302C1" w:rsidRDefault="00736A57" w:rsidP="00736A57">
      <w:pPr>
        <w:jc w:val="center"/>
      </w:pPr>
    </w:p>
    <w:p w:rsidR="00736A57" w:rsidRDefault="00736A57" w:rsidP="00736A57">
      <w:pPr>
        <w:jc w:val="left"/>
      </w:pPr>
      <w:r>
        <w:br w:type="page"/>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51AE6DDE" wp14:editId="2BB9BC6F">
            <wp:extent cx="5405932" cy="4054449"/>
            <wp:effectExtent l="19050" t="19050" r="23495" b="2286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5406686" cy="4055015"/>
                    </a:xfrm>
                    <a:prstGeom prst="rect">
                      <a:avLst/>
                    </a:prstGeom>
                    <a:ln>
                      <a:solidFill>
                        <a:schemeClr val="tx1"/>
                      </a:solidFill>
                    </a:ln>
                  </pic:spPr>
                </pic:pic>
              </a:graphicData>
            </a:graphic>
          </wp:inline>
        </w:drawing>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0F7EBF8D" wp14:editId="0C8733CE">
            <wp:extent cx="5405932" cy="4054449"/>
            <wp:effectExtent l="19050" t="19050" r="23495" b="2286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406686" cy="4055015"/>
                    </a:xfrm>
                    <a:prstGeom prst="rect">
                      <a:avLst/>
                    </a:prstGeom>
                    <a:ln>
                      <a:solidFill>
                        <a:schemeClr val="tx1"/>
                      </a:solidFill>
                    </a:ln>
                  </pic:spPr>
                </pic:pic>
              </a:graphicData>
            </a:graphic>
          </wp:inline>
        </w:drawing>
      </w:r>
    </w:p>
    <w:p w:rsidR="00736A57" w:rsidRPr="000302C1" w:rsidRDefault="00736A57" w:rsidP="00736A57">
      <w:pPr>
        <w:jc w:val="center"/>
      </w:pPr>
    </w:p>
    <w:p w:rsidR="00736A57" w:rsidRDefault="00736A57" w:rsidP="00736A57">
      <w:pPr>
        <w:jc w:val="left"/>
      </w:pPr>
      <w:r>
        <w:br w:type="page"/>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39DB266D" wp14:editId="275DED1B">
            <wp:extent cx="5391302" cy="4043477"/>
            <wp:effectExtent l="19050" t="19050" r="19050" b="146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5392054" cy="4044041"/>
                    </a:xfrm>
                    <a:prstGeom prst="rect">
                      <a:avLst/>
                    </a:prstGeom>
                    <a:ln>
                      <a:solidFill>
                        <a:schemeClr val="tx1"/>
                      </a:solidFill>
                    </a:ln>
                  </pic:spPr>
                </pic:pic>
              </a:graphicData>
            </a:graphic>
          </wp:inline>
        </w:drawing>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595DDF8D" wp14:editId="01560DA7">
            <wp:extent cx="5391302" cy="4043477"/>
            <wp:effectExtent l="19050" t="19050" r="19050" b="146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5392054" cy="4044041"/>
                    </a:xfrm>
                    <a:prstGeom prst="rect">
                      <a:avLst/>
                    </a:prstGeom>
                    <a:ln>
                      <a:solidFill>
                        <a:schemeClr val="tx1"/>
                      </a:solidFill>
                    </a:ln>
                  </pic:spPr>
                </pic:pic>
              </a:graphicData>
            </a:graphic>
          </wp:inline>
        </w:drawing>
      </w:r>
    </w:p>
    <w:p w:rsidR="00736A57" w:rsidRPr="000302C1" w:rsidRDefault="00736A57" w:rsidP="00736A57">
      <w:pPr>
        <w:jc w:val="center"/>
      </w:pPr>
    </w:p>
    <w:p w:rsidR="00736A57" w:rsidRDefault="00736A57" w:rsidP="00736A57">
      <w:pPr>
        <w:jc w:val="left"/>
      </w:pPr>
      <w:r>
        <w:br w:type="page"/>
      </w:r>
    </w:p>
    <w:p w:rsidR="00736A57"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5D566295" wp14:editId="5610E0B2">
            <wp:extent cx="5398617" cy="4048963"/>
            <wp:effectExtent l="19050" t="19050" r="12065" b="2794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5399370" cy="4049528"/>
                    </a:xfrm>
                    <a:prstGeom prst="rect">
                      <a:avLst/>
                    </a:prstGeom>
                    <a:ln>
                      <a:solidFill>
                        <a:schemeClr val="tx1"/>
                      </a:solidFill>
                    </a:ln>
                  </pic:spPr>
                </pic:pic>
              </a:graphicData>
            </a:graphic>
          </wp:inline>
        </w:drawing>
      </w:r>
    </w:p>
    <w:p w:rsidR="00736A57" w:rsidRPr="000302C1" w:rsidRDefault="00736A57" w:rsidP="00736A57">
      <w:pPr>
        <w:jc w:val="center"/>
      </w:pPr>
    </w:p>
    <w:p w:rsidR="00736A57" w:rsidRPr="000302C1" w:rsidRDefault="00736A57" w:rsidP="00736A57">
      <w:pPr>
        <w:jc w:val="center"/>
      </w:pPr>
    </w:p>
    <w:p w:rsidR="00736A57" w:rsidRPr="000302C1" w:rsidRDefault="00736A57" w:rsidP="00736A57">
      <w:pPr>
        <w:jc w:val="center"/>
      </w:pPr>
      <w:r w:rsidRPr="000302C1">
        <w:drawing>
          <wp:inline distT="0" distB="0" distL="0" distR="0" wp14:anchorId="6088E78D" wp14:editId="7F27F2B9">
            <wp:extent cx="5442508" cy="4081881"/>
            <wp:effectExtent l="19050" t="19050" r="25400" b="139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5443267" cy="4082451"/>
                    </a:xfrm>
                    <a:prstGeom prst="rect">
                      <a:avLst/>
                    </a:prstGeom>
                    <a:ln>
                      <a:solidFill>
                        <a:schemeClr val="tx1"/>
                      </a:solidFill>
                    </a:ln>
                  </pic:spPr>
                </pic:pic>
              </a:graphicData>
            </a:graphic>
          </wp:inline>
        </w:drawing>
      </w:r>
    </w:p>
    <w:p w:rsidR="00736A57" w:rsidRPr="000302C1" w:rsidRDefault="00736A57" w:rsidP="00736A57">
      <w:pPr>
        <w:spacing w:before="120"/>
        <w:jc w:val="center"/>
      </w:pPr>
    </w:p>
    <w:p w:rsidR="00361821" w:rsidRPr="00B26559" w:rsidRDefault="00E047CC" w:rsidP="00D17133">
      <w:pPr>
        <w:jc w:val="right"/>
        <w:rPr>
          <w:snapToGrid w:val="0"/>
          <w:lang w:val="es-ES_tradnl"/>
        </w:rPr>
      </w:pPr>
      <w:r w:rsidRPr="00B26559">
        <w:rPr>
          <w:snapToGrid w:val="0"/>
          <w:lang w:val="es-ES_tradnl"/>
        </w:rPr>
        <w:t>[Fin del Anexo III y del documento]</w:t>
      </w:r>
    </w:p>
    <w:sectPr w:rsidR="00361821" w:rsidRPr="00B26559" w:rsidSect="00E43167">
      <w:headerReference w:type="default" r:id="rId34"/>
      <w:headerReference w:type="first" r:id="rId35"/>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634" w:rsidRDefault="00993634" w:rsidP="00F45372">
      <w:r>
        <w:separator/>
      </w:r>
    </w:p>
    <w:p w:rsidR="00993634" w:rsidRDefault="00993634" w:rsidP="00F45372"/>
    <w:p w:rsidR="00993634" w:rsidRDefault="00993634" w:rsidP="00F45372"/>
  </w:endnote>
  <w:endnote w:type="continuationSeparator" w:id="0">
    <w:p w:rsidR="00993634" w:rsidRDefault="00993634" w:rsidP="00F45372">
      <w:r>
        <w:separator/>
      </w:r>
    </w:p>
    <w:p w:rsidR="00993634" w:rsidRPr="00970020" w:rsidRDefault="00993634">
      <w:pPr>
        <w:pStyle w:val="Footer"/>
        <w:spacing w:after="60"/>
        <w:rPr>
          <w:sz w:val="18"/>
          <w:lang w:val="fr-CH"/>
        </w:rPr>
      </w:pPr>
      <w:r w:rsidRPr="00970020">
        <w:rPr>
          <w:sz w:val="18"/>
          <w:lang w:val="fr-CH"/>
        </w:rPr>
        <w:t>[Suite de la note de la page précédente]</w:t>
      </w:r>
    </w:p>
    <w:p w:rsidR="00993634" w:rsidRPr="00970020" w:rsidRDefault="00993634" w:rsidP="00F45372">
      <w:pPr>
        <w:rPr>
          <w:lang w:val="fr-CH"/>
        </w:rPr>
      </w:pPr>
    </w:p>
    <w:p w:rsidR="00993634" w:rsidRPr="00970020" w:rsidRDefault="00993634" w:rsidP="00F45372">
      <w:pPr>
        <w:rPr>
          <w:lang w:val="fr-CH"/>
        </w:rPr>
      </w:pPr>
    </w:p>
  </w:endnote>
  <w:endnote w:type="continuationNotice" w:id="1">
    <w:p w:rsidR="00993634" w:rsidRPr="00970020" w:rsidRDefault="00993634" w:rsidP="00F45372">
      <w:pPr>
        <w:rPr>
          <w:lang w:val="fr-CH"/>
        </w:rPr>
      </w:pPr>
      <w:r w:rsidRPr="00970020">
        <w:rPr>
          <w:lang w:val="fr-CH"/>
        </w:rPr>
        <w:t>[Suite de la note page suivante]</w:t>
      </w:r>
    </w:p>
    <w:p w:rsidR="00993634" w:rsidRPr="00970020" w:rsidRDefault="00993634" w:rsidP="00F45372">
      <w:pPr>
        <w:rPr>
          <w:lang w:val="fr-CH"/>
        </w:rPr>
      </w:pPr>
    </w:p>
    <w:p w:rsidR="00993634" w:rsidRPr="00970020" w:rsidRDefault="00993634"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634" w:rsidRDefault="00993634" w:rsidP="00F45372">
      <w:r>
        <w:separator/>
      </w:r>
    </w:p>
  </w:footnote>
  <w:footnote w:type="continuationSeparator" w:id="0">
    <w:p w:rsidR="00993634" w:rsidRDefault="00993634" w:rsidP="00F45372">
      <w:r>
        <w:separator/>
      </w:r>
    </w:p>
  </w:footnote>
  <w:footnote w:type="continuationNotice" w:id="1">
    <w:p w:rsidR="00993634" w:rsidRPr="00905020" w:rsidRDefault="00993634"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67" w:rsidRDefault="00E43167" w:rsidP="00EB048E">
    <w:pPr>
      <w:pStyle w:val="Header"/>
    </w:pPr>
    <w:r>
      <w:t>TC/52/20</w:t>
    </w:r>
  </w:p>
  <w:p w:rsidR="00E43167" w:rsidRPr="00C5280D" w:rsidRDefault="00E43167" w:rsidP="00EB048E">
    <w:pPr>
      <w:pStyle w:val="Header"/>
    </w:pPr>
    <w:proofErr w:type="gramStart"/>
    <w:r>
      <w:t>página</w:t>
    </w:r>
    <w:proofErr w:type="gramEnd"/>
    <w:r>
      <w:t xml:space="preserve"> </w:t>
    </w:r>
    <w:r w:rsidR="00564778" w:rsidRPr="00C5280D">
      <w:rPr>
        <w:rStyle w:val="PageNumber"/>
      </w:rPr>
      <w:fldChar w:fldCharType="begin"/>
    </w:r>
    <w:r w:rsidRPr="00C5280D">
      <w:rPr>
        <w:rStyle w:val="PageNumber"/>
      </w:rPr>
      <w:instrText xml:space="preserve"> PAGE </w:instrText>
    </w:r>
    <w:r w:rsidR="00564778" w:rsidRPr="00C5280D">
      <w:rPr>
        <w:rStyle w:val="PageNumber"/>
      </w:rPr>
      <w:fldChar w:fldCharType="separate"/>
    </w:r>
    <w:r w:rsidR="0031651B">
      <w:rPr>
        <w:rStyle w:val="PageNumber"/>
        <w:noProof/>
      </w:rPr>
      <w:t>6</w:t>
    </w:r>
    <w:r w:rsidR="00564778" w:rsidRPr="00C5280D">
      <w:rPr>
        <w:rStyle w:val="PageNumber"/>
      </w:rPr>
      <w:fldChar w:fldCharType="end"/>
    </w:r>
  </w:p>
  <w:p w:rsidR="00E43167" w:rsidRPr="00C5280D" w:rsidRDefault="00E43167" w:rsidP="00720F43">
    <w:pPr>
      <w:tabs>
        <w:tab w:val="left" w:pos="5556"/>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67" w:rsidRDefault="00E43167" w:rsidP="00EB048E">
    <w:pPr>
      <w:pStyle w:val="Header"/>
    </w:pPr>
    <w:r>
      <w:t>TC/52/20</w:t>
    </w:r>
  </w:p>
  <w:p w:rsidR="00E43167" w:rsidRPr="00C5280D" w:rsidRDefault="00E43167" w:rsidP="00EB048E">
    <w:pPr>
      <w:pStyle w:val="Header"/>
    </w:pPr>
    <w:r>
      <w:t xml:space="preserve">Anexo I, página </w:t>
    </w:r>
    <w:r w:rsidR="00564778" w:rsidRPr="00C5280D">
      <w:rPr>
        <w:rStyle w:val="PageNumber"/>
      </w:rPr>
      <w:fldChar w:fldCharType="begin"/>
    </w:r>
    <w:r w:rsidRPr="00C5280D">
      <w:rPr>
        <w:rStyle w:val="PageNumber"/>
      </w:rPr>
      <w:instrText xml:space="preserve"> PAGE </w:instrText>
    </w:r>
    <w:r w:rsidR="00564778" w:rsidRPr="00C5280D">
      <w:rPr>
        <w:rStyle w:val="PageNumber"/>
      </w:rPr>
      <w:fldChar w:fldCharType="separate"/>
    </w:r>
    <w:r w:rsidR="0031651B">
      <w:rPr>
        <w:rStyle w:val="PageNumber"/>
        <w:noProof/>
      </w:rPr>
      <w:t>2</w:t>
    </w:r>
    <w:r w:rsidR="00564778" w:rsidRPr="00C5280D">
      <w:rPr>
        <w:rStyle w:val="PageNumber"/>
      </w:rPr>
      <w:fldChar w:fldCharType="end"/>
    </w:r>
  </w:p>
  <w:p w:rsidR="00E43167" w:rsidRPr="00C5280D" w:rsidRDefault="00E43167" w:rsidP="00720F43">
    <w:pPr>
      <w:tabs>
        <w:tab w:val="left" w:pos="555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67" w:rsidRDefault="00E43167" w:rsidP="00720F43">
    <w:pPr>
      <w:pStyle w:val="Header"/>
    </w:pPr>
    <w:r>
      <w:t>TC/52/20</w:t>
    </w:r>
  </w:p>
  <w:p w:rsidR="00E43167" w:rsidRDefault="00E43167" w:rsidP="00720F43">
    <w:pPr>
      <w:pStyle w:val="Header"/>
    </w:pPr>
  </w:p>
  <w:p w:rsidR="00E43167" w:rsidRPr="005C056F" w:rsidRDefault="00E43167" w:rsidP="00720F43">
    <w:pPr>
      <w:pStyle w:val="Header"/>
    </w:pPr>
    <w:r>
      <w:t>ANEXO I</w:t>
    </w:r>
  </w:p>
  <w:p w:rsidR="00E43167" w:rsidRPr="005C056F" w:rsidRDefault="00E43167" w:rsidP="00720F43">
    <w:pPr>
      <w:pStyle w:val="Header"/>
      <w:rPr>
        <w:rFonts w:eastAsia="MS Mincho"/>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67" w:rsidRPr="00C5280D" w:rsidRDefault="00E43167" w:rsidP="00EB048E">
    <w:pPr>
      <w:pStyle w:val="Header"/>
      <w:rPr>
        <w:rStyle w:val="PageNumber"/>
      </w:rPr>
    </w:pPr>
    <w:r>
      <w:rPr>
        <w:rStyle w:val="PageNumber"/>
      </w:rPr>
      <w:t>TC/52/20</w:t>
    </w:r>
  </w:p>
  <w:p w:rsidR="00E43167" w:rsidRPr="00C5280D" w:rsidRDefault="00E43167" w:rsidP="00EB048E">
    <w:pPr>
      <w:pStyle w:val="Header"/>
    </w:pPr>
    <w:proofErr w:type="gramStart"/>
    <w:r>
      <w:t>página</w:t>
    </w:r>
    <w:proofErr w:type="gramEnd"/>
    <w:r>
      <w:t xml:space="preserve"> </w:t>
    </w:r>
    <w:r w:rsidR="00564778" w:rsidRPr="00C5280D">
      <w:rPr>
        <w:rStyle w:val="PageNumber"/>
      </w:rPr>
      <w:fldChar w:fldCharType="begin"/>
    </w:r>
    <w:r w:rsidRPr="00C5280D">
      <w:rPr>
        <w:rStyle w:val="PageNumber"/>
      </w:rPr>
      <w:instrText xml:space="preserve"> PAGE </w:instrText>
    </w:r>
    <w:r w:rsidR="00564778" w:rsidRPr="00C5280D">
      <w:rPr>
        <w:rStyle w:val="PageNumber"/>
      </w:rPr>
      <w:fldChar w:fldCharType="separate"/>
    </w:r>
    <w:r w:rsidR="0031651B">
      <w:rPr>
        <w:rStyle w:val="PageNumber"/>
        <w:noProof/>
      </w:rPr>
      <w:t>10</w:t>
    </w:r>
    <w:r w:rsidR="00564778" w:rsidRPr="00C5280D">
      <w:rPr>
        <w:rStyle w:val="PageNumber"/>
      </w:rPr>
      <w:fldChar w:fldCharType="end"/>
    </w:r>
  </w:p>
  <w:p w:rsidR="00E43167" w:rsidRPr="00C5280D" w:rsidRDefault="00E43167"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67" w:rsidRDefault="00E43167" w:rsidP="00720F43">
    <w:pPr>
      <w:pStyle w:val="Header"/>
    </w:pPr>
    <w:r>
      <w:t>TC/52/20</w:t>
    </w:r>
  </w:p>
  <w:p w:rsidR="00E43167" w:rsidRDefault="00E43167" w:rsidP="00720F43">
    <w:pPr>
      <w:pStyle w:val="Header"/>
    </w:pPr>
  </w:p>
  <w:p w:rsidR="00E43167" w:rsidRPr="005C056F" w:rsidRDefault="00E43167" w:rsidP="00720F43">
    <w:pPr>
      <w:pStyle w:val="Header"/>
    </w:pPr>
    <w:r>
      <w:t>ANEXO II</w:t>
    </w:r>
  </w:p>
  <w:p w:rsidR="00E43167" w:rsidRPr="005C056F" w:rsidRDefault="00E43167" w:rsidP="00720F43">
    <w:pPr>
      <w:pStyle w:val="Header"/>
      <w:rPr>
        <w:rFonts w:eastAsia="MS Mincho"/>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8D3729" w:rsidRDefault="008A1693" w:rsidP="00EB048E">
    <w:pPr>
      <w:pStyle w:val="Header"/>
      <w:rPr>
        <w:rStyle w:val="PageNumber"/>
      </w:rPr>
    </w:pPr>
    <w:r>
      <w:rPr>
        <w:rStyle w:val="PageNumber"/>
      </w:rPr>
      <w:t>TC/52/</w:t>
    </w:r>
    <w:r w:rsidR="00AD573D">
      <w:rPr>
        <w:rStyle w:val="PageNumber"/>
      </w:rPr>
      <w:t>20</w:t>
    </w:r>
  </w:p>
  <w:p w:rsidR="008A1693" w:rsidRPr="008D3729" w:rsidRDefault="00E43167" w:rsidP="00EB048E">
    <w:pPr>
      <w:pStyle w:val="Header"/>
    </w:pPr>
    <w:r>
      <w:t xml:space="preserve">Anexo III, página </w:t>
    </w:r>
    <w:r w:rsidR="00564778" w:rsidRPr="008D3729">
      <w:rPr>
        <w:rStyle w:val="PageNumber"/>
      </w:rPr>
      <w:fldChar w:fldCharType="begin"/>
    </w:r>
    <w:r w:rsidR="008A1693" w:rsidRPr="008D3729">
      <w:rPr>
        <w:rStyle w:val="PageNumber"/>
      </w:rPr>
      <w:instrText xml:space="preserve"> PAGE </w:instrText>
    </w:r>
    <w:r w:rsidR="00564778" w:rsidRPr="008D3729">
      <w:rPr>
        <w:rStyle w:val="PageNumber"/>
      </w:rPr>
      <w:fldChar w:fldCharType="separate"/>
    </w:r>
    <w:r w:rsidR="0031651B">
      <w:rPr>
        <w:rStyle w:val="PageNumber"/>
        <w:noProof/>
      </w:rPr>
      <w:t>10</w:t>
    </w:r>
    <w:r w:rsidR="00564778" w:rsidRPr="008D3729">
      <w:rPr>
        <w:rStyle w:val="PageNumber"/>
      </w:rPr>
      <w:fldChar w:fldCharType="end"/>
    </w:r>
  </w:p>
  <w:p w:rsidR="008A1693" w:rsidRPr="008D3729" w:rsidRDefault="008A1693" w:rsidP="00F4537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3167" w:rsidRDefault="00E43167" w:rsidP="00720F43">
    <w:pPr>
      <w:pStyle w:val="Header"/>
    </w:pPr>
    <w:r>
      <w:t>TC/52/20</w:t>
    </w:r>
  </w:p>
  <w:p w:rsidR="00E43167" w:rsidRDefault="00E43167" w:rsidP="00720F43">
    <w:pPr>
      <w:pStyle w:val="Header"/>
    </w:pPr>
  </w:p>
  <w:p w:rsidR="00E43167" w:rsidRPr="005C056F" w:rsidRDefault="00E43167" w:rsidP="00720F43">
    <w:pPr>
      <w:pStyle w:val="Header"/>
    </w:pPr>
    <w:r>
      <w:t>ANEXO III</w:t>
    </w:r>
  </w:p>
  <w:p w:rsidR="00E43167" w:rsidRPr="005C056F" w:rsidRDefault="00E43167" w:rsidP="00720F43">
    <w:pPr>
      <w:pStyle w:val="Header"/>
      <w:rPr>
        <w:rFonts w:eastAsia="MS Minch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8E280274"/>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B606840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C602A2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3C4B4723"/>
    <w:multiLevelType w:val="hybridMultilevel"/>
    <w:tmpl w:val="B6B01DEA"/>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1">
    <w:nsid w:val="45075894"/>
    <w:multiLevelType w:val="hybridMultilevel"/>
    <w:tmpl w:val="FDCABA6A"/>
    <w:lvl w:ilvl="0" w:tplc="04090001">
      <w:start w:val="1"/>
      <w:numFmt w:val="bullet"/>
      <w:lvlText w:val=""/>
      <w:lvlJc w:val="left"/>
      <w:pPr>
        <w:ind w:left="1853" w:hanging="360"/>
      </w:pPr>
      <w:rPr>
        <w:rFonts w:ascii="Symbol" w:hAnsi="Symbol" w:hint="default"/>
      </w:rPr>
    </w:lvl>
    <w:lvl w:ilvl="1" w:tplc="04090003" w:tentative="1">
      <w:start w:val="1"/>
      <w:numFmt w:val="bullet"/>
      <w:lvlText w:val="o"/>
      <w:lvlJc w:val="left"/>
      <w:pPr>
        <w:ind w:left="2573" w:hanging="360"/>
      </w:pPr>
      <w:rPr>
        <w:rFonts w:ascii="Courier New" w:hAnsi="Courier New" w:hint="default"/>
      </w:rPr>
    </w:lvl>
    <w:lvl w:ilvl="2" w:tplc="04090005" w:tentative="1">
      <w:start w:val="1"/>
      <w:numFmt w:val="bullet"/>
      <w:lvlText w:val=""/>
      <w:lvlJc w:val="left"/>
      <w:pPr>
        <w:ind w:left="3293" w:hanging="360"/>
      </w:pPr>
      <w:rPr>
        <w:rFonts w:ascii="Wingdings" w:hAnsi="Wingdings" w:hint="default"/>
      </w:rPr>
    </w:lvl>
    <w:lvl w:ilvl="3" w:tplc="04090001" w:tentative="1">
      <w:start w:val="1"/>
      <w:numFmt w:val="bullet"/>
      <w:lvlText w:val=""/>
      <w:lvlJc w:val="left"/>
      <w:pPr>
        <w:ind w:left="4013" w:hanging="360"/>
      </w:pPr>
      <w:rPr>
        <w:rFonts w:ascii="Symbol" w:hAnsi="Symbol" w:hint="default"/>
      </w:rPr>
    </w:lvl>
    <w:lvl w:ilvl="4" w:tplc="04090003" w:tentative="1">
      <w:start w:val="1"/>
      <w:numFmt w:val="bullet"/>
      <w:lvlText w:val="o"/>
      <w:lvlJc w:val="left"/>
      <w:pPr>
        <w:ind w:left="4733" w:hanging="360"/>
      </w:pPr>
      <w:rPr>
        <w:rFonts w:ascii="Courier New" w:hAnsi="Courier New" w:hint="default"/>
      </w:rPr>
    </w:lvl>
    <w:lvl w:ilvl="5" w:tplc="04090005" w:tentative="1">
      <w:start w:val="1"/>
      <w:numFmt w:val="bullet"/>
      <w:lvlText w:val=""/>
      <w:lvlJc w:val="left"/>
      <w:pPr>
        <w:ind w:left="5453" w:hanging="360"/>
      </w:pPr>
      <w:rPr>
        <w:rFonts w:ascii="Wingdings" w:hAnsi="Wingdings" w:hint="default"/>
      </w:rPr>
    </w:lvl>
    <w:lvl w:ilvl="6" w:tplc="04090001" w:tentative="1">
      <w:start w:val="1"/>
      <w:numFmt w:val="bullet"/>
      <w:lvlText w:val=""/>
      <w:lvlJc w:val="left"/>
      <w:pPr>
        <w:ind w:left="6173" w:hanging="360"/>
      </w:pPr>
      <w:rPr>
        <w:rFonts w:ascii="Symbol" w:hAnsi="Symbol" w:hint="default"/>
      </w:rPr>
    </w:lvl>
    <w:lvl w:ilvl="7" w:tplc="04090003" w:tentative="1">
      <w:start w:val="1"/>
      <w:numFmt w:val="bullet"/>
      <w:lvlText w:val="o"/>
      <w:lvlJc w:val="left"/>
      <w:pPr>
        <w:ind w:left="6893" w:hanging="360"/>
      </w:pPr>
      <w:rPr>
        <w:rFonts w:ascii="Courier New" w:hAnsi="Courier New" w:hint="default"/>
      </w:rPr>
    </w:lvl>
    <w:lvl w:ilvl="8" w:tplc="04090005" w:tentative="1">
      <w:start w:val="1"/>
      <w:numFmt w:val="bullet"/>
      <w:lvlText w:val=""/>
      <w:lvlJc w:val="left"/>
      <w:pPr>
        <w:ind w:left="7613" w:hanging="360"/>
      </w:pPr>
      <w:rPr>
        <w:rFonts w:ascii="Wingdings" w:hAnsi="Wingdings" w:hint="default"/>
      </w:rPr>
    </w:lvl>
  </w:abstractNum>
  <w:abstractNum w:abstractNumId="12">
    <w:nsid w:val="6A823DC3"/>
    <w:multiLevelType w:val="hybridMultilevel"/>
    <w:tmpl w:val="764258C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3">
    <w:nsid w:val="727368B3"/>
    <w:multiLevelType w:val="hybridMultilevel"/>
    <w:tmpl w:val="EBFE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DB60EA"/>
    <w:multiLevelType w:val="hybridMultilevel"/>
    <w:tmpl w:val="45289DBA"/>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5">
    <w:nsid w:val="7A77042D"/>
    <w:multiLevelType w:val="hybridMultilevel"/>
    <w:tmpl w:val="C6A8A29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6">
    <w:nsid w:val="7C8D04CB"/>
    <w:multiLevelType w:val="hybridMultilevel"/>
    <w:tmpl w:val="FC32B2D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0"/>
  </w:num>
  <w:num w:numId="13">
    <w:abstractNumId w:val="15"/>
  </w:num>
  <w:num w:numId="14">
    <w:abstractNumId w:val="14"/>
  </w:num>
  <w:num w:numId="15">
    <w:abstractNumId w:val="16"/>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029"/>
    <w:rsid w:val="00003708"/>
    <w:rsid w:val="00010CF3"/>
    <w:rsid w:val="00011E27"/>
    <w:rsid w:val="000148BC"/>
    <w:rsid w:val="00024AB8"/>
    <w:rsid w:val="00030854"/>
    <w:rsid w:val="00036028"/>
    <w:rsid w:val="00044642"/>
    <w:rsid w:val="000446B9"/>
    <w:rsid w:val="00047E21"/>
    <w:rsid w:val="00085505"/>
    <w:rsid w:val="000C7021"/>
    <w:rsid w:val="000D6BBC"/>
    <w:rsid w:val="000D7780"/>
    <w:rsid w:val="000F5E25"/>
    <w:rsid w:val="00105929"/>
    <w:rsid w:val="001131D5"/>
    <w:rsid w:val="00141DB8"/>
    <w:rsid w:val="001444AE"/>
    <w:rsid w:val="001479AA"/>
    <w:rsid w:val="00171F4D"/>
    <w:rsid w:val="0017474A"/>
    <w:rsid w:val="001758C6"/>
    <w:rsid w:val="00184D5D"/>
    <w:rsid w:val="00204B79"/>
    <w:rsid w:val="0021332C"/>
    <w:rsid w:val="00213982"/>
    <w:rsid w:val="00235267"/>
    <w:rsid w:val="0024416D"/>
    <w:rsid w:val="00266E18"/>
    <w:rsid w:val="002800A0"/>
    <w:rsid w:val="002801B3"/>
    <w:rsid w:val="00281060"/>
    <w:rsid w:val="002940E8"/>
    <w:rsid w:val="002A6E50"/>
    <w:rsid w:val="002C256A"/>
    <w:rsid w:val="00305A7F"/>
    <w:rsid w:val="003152FE"/>
    <w:rsid w:val="0031651B"/>
    <w:rsid w:val="00320AE8"/>
    <w:rsid w:val="00327436"/>
    <w:rsid w:val="00344BD6"/>
    <w:rsid w:val="0035528D"/>
    <w:rsid w:val="00361821"/>
    <w:rsid w:val="00366D8A"/>
    <w:rsid w:val="00370631"/>
    <w:rsid w:val="003D227C"/>
    <w:rsid w:val="003D2B4D"/>
    <w:rsid w:val="003D7E71"/>
    <w:rsid w:val="00436480"/>
    <w:rsid w:val="00444A88"/>
    <w:rsid w:val="00444CB1"/>
    <w:rsid w:val="00474DA4"/>
    <w:rsid w:val="004D047D"/>
    <w:rsid w:val="004F1D89"/>
    <w:rsid w:val="004F305A"/>
    <w:rsid w:val="00512164"/>
    <w:rsid w:val="00520297"/>
    <w:rsid w:val="005338F9"/>
    <w:rsid w:val="0054281C"/>
    <w:rsid w:val="0055268D"/>
    <w:rsid w:val="00554B1F"/>
    <w:rsid w:val="00564778"/>
    <w:rsid w:val="00576BE4"/>
    <w:rsid w:val="00576BF0"/>
    <w:rsid w:val="005A400A"/>
    <w:rsid w:val="005E6366"/>
    <w:rsid w:val="00612379"/>
    <w:rsid w:val="0061555F"/>
    <w:rsid w:val="00621BF2"/>
    <w:rsid w:val="00625523"/>
    <w:rsid w:val="00641200"/>
    <w:rsid w:val="00687EB4"/>
    <w:rsid w:val="006A1ECF"/>
    <w:rsid w:val="006B17D2"/>
    <w:rsid w:val="006C224E"/>
    <w:rsid w:val="006D780A"/>
    <w:rsid w:val="00732DEC"/>
    <w:rsid w:val="00735BD5"/>
    <w:rsid w:val="00736A57"/>
    <w:rsid w:val="007471C0"/>
    <w:rsid w:val="00753A37"/>
    <w:rsid w:val="007556F6"/>
    <w:rsid w:val="00760EEF"/>
    <w:rsid w:val="00777EE5"/>
    <w:rsid w:val="00784836"/>
    <w:rsid w:val="0079023E"/>
    <w:rsid w:val="007A2854"/>
    <w:rsid w:val="007D0B9D"/>
    <w:rsid w:val="007D19B0"/>
    <w:rsid w:val="007F498F"/>
    <w:rsid w:val="007F4BB2"/>
    <w:rsid w:val="0080679D"/>
    <w:rsid w:val="008108B0"/>
    <w:rsid w:val="00811B20"/>
    <w:rsid w:val="0082296E"/>
    <w:rsid w:val="00824099"/>
    <w:rsid w:val="0084209B"/>
    <w:rsid w:val="00867AC1"/>
    <w:rsid w:val="00896A4B"/>
    <w:rsid w:val="008A1693"/>
    <w:rsid w:val="008A743F"/>
    <w:rsid w:val="008C0970"/>
    <w:rsid w:val="008D2CF7"/>
    <w:rsid w:val="008D3729"/>
    <w:rsid w:val="00900C26"/>
    <w:rsid w:val="0090197F"/>
    <w:rsid w:val="00905020"/>
    <w:rsid w:val="00906DDC"/>
    <w:rsid w:val="00934E09"/>
    <w:rsid w:val="00936253"/>
    <w:rsid w:val="00952DD4"/>
    <w:rsid w:val="00970020"/>
    <w:rsid w:val="00970FED"/>
    <w:rsid w:val="00980CBB"/>
    <w:rsid w:val="00993634"/>
    <w:rsid w:val="00997029"/>
    <w:rsid w:val="009C68A1"/>
    <w:rsid w:val="009D690D"/>
    <w:rsid w:val="009E65B6"/>
    <w:rsid w:val="00A13C6F"/>
    <w:rsid w:val="00A178ED"/>
    <w:rsid w:val="00A37B04"/>
    <w:rsid w:val="00A42AC3"/>
    <w:rsid w:val="00A430CF"/>
    <w:rsid w:val="00A47CDB"/>
    <w:rsid w:val="00A54309"/>
    <w:rsid w:val="00AA65E7"/>
    <w:rsid w:val="00AB0C1D"/>
    <w:rsid w:val="00AB18F5"/>
    <w:rsid w:val="00AB2B93"/>
    <w:rsid w:val="00AB7E5B"/>
    <w:rsid w:val="00AD1FC0"/>
    <w:rsid w:val="00AD573D"/>
    <w:rsid w:val="00AE0EF1"/>
    <w:rsid w:val="00B07301"/>
    <w:rsid w:val="00B224DE"/>
    <w:rsid w:val="00B26559"/>
    <w:rsid w:val="00B84BBD"/>
    <w:rsid w:val="00BA43FB"/>
    <w:rsid w:val="00BC127D"/>
    <w:rsid w:val="00BC1FE6"/>
    <w:rsid w:val="00C01EF4"/>
    <w:rsid w:val="00C061B6"/>
    <w:rsid w:val="00C13808"/>
    <w:rsid w:val="00C2446C"/>
    <w:rsid w:val="00C36AE5"/>
    <w:rsid w:val="00C41F17"/>
    <w:rsid w:val="00C5691D"/>
    <w:rsid w:val="00C5791C"/>
    <w:rsid w:val="00C66290"/>
    <w:rsid w:val="00C72B7A"/>
    <w:rsid w:val="00C973F2"/>
    <w:rsid w:val="00CA774A"/>
    <w:rsid w:val="00CB1472"/>
    <w:rsid w:val="00CC11B0"/>
    <w:rsid w:val="00CD545F"/>
    <w:rsid w:val="00CF7E36"/>
    <w:rsid w:val="00D15998"/>
    <w:rsid w:val="00D17133"/>
    <w:rsid w:val="00D261C5"/>
    <w:rsid w:val="00D3708D"/>
    <w:rsid w:val="00D40426"/>
    <w:rsid w:val="00D57C96"/>
    <w:rsid w:val="00D91203"/>
    <w:rsid w:val="00D95174"/>
    <w:rsid w:val="00DA4685"/>
    <w:rsid w:val="00DA6F36"/>
    <w:rsid w:val="00DB596E"/>
    <w:rsid w:val="00DC00EA"/>
    <w:rsid w:val="00E047CC"/>
    <w:rsid w:val="00E43167"/>
    <w:rsid w:val="00E4763B"/>
    <w:rsid w:val="00E50918"/>
    <w:rsid w:val="00E72D49"/>
    <w:rsid w:val="00E7593C"/>
    <w:rsid w:val="00E7678A"/>
    <w:rsid w:val="00E935F1"/>
    <w:rsid w:val="00E94A81"/>
    <w:rsid w:val="00EA1FFB"/>
    <w:rsid w:val="00EA5245"/>
    <w:rsid w:val="00EB048E"/>
    <w:rsid w:val="00EE0CB7"/>
    <w:rsid w:val="00EE34DF"/>
    <w:rsid w:val="00EF2F89"/>
    <w:rsid w:val="00F1237A"/>
    <w:rsid w:val="00F22CBD"/>
    <w:rsid w:val="00F45372"/>
    <w:rsid w:val="00F560F7"/>
    <w:rsid w:val="00F6334D"/>
    <w:rsid w:val="00F77B84"/>
    <w:rsid w:val="00FA49AB"/>
    <w:rsid w:val="00FD7EB7"/>
    <w:rsid w:val="00FE39C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99"/>
    <w:lsdException w:name="toc 5" w:uiPriority="99"/>
    <w:lsdException w:name="footnote text"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559"/>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26559"/>
    <w:pPr>
      <w:tabs>
        <w:tab w:val="right" w:leader="dot" w:pos="9639"/>
      </w:tabs>
      <w:spacing w:before="120"/>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after="120"/>
      <w:ind w:left="284" w:right="284" w:hanging="284"/>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paragraph" w:customStyle="1" w:styleId="Style10">
    <w:name w:val="Style1"/>
    <w:basedOn w:val="Normal"/>
    <w:rsid w:val="00E43167"/>
    <w:pPr>
      <w:tabs>
        <w:tab w:val="decimal" w:pos="907"/>
        <w:tab w:val="left" w:pos="1077"/>
      </w:tabs>
    </w:pPr>
    <w:rPr>
      <w:rFonts w:ascii="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9" w:qFormat="1"/>
    <w:lsdException w:name="heading 5" w:uiPriority="99" w:qFormat="1"/>
    <w:lsdException w:name="heading 6" w:semiHidden="1" w:unhideWhenUsed="1" w:qFormat="1"/>
    <w:lsdException w:name="heading 7" w:semiHidden="1" w:unhideWhenUsed="1" w:qFormat="1"/>
    <w:lsdException w:name="heading 8" w:semiHidden="1" w:unhideWhenUsed="1" w:qFormat="1"/>
    <w:lsdException w:name="heading 9" w:uiPriority="99"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99"/>
    <w:lsdException w:name="toc 5" w:uiPriority="99"/>
    <w:lsdException w:name="footnote text"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macro" w:uiPriority="99"/>
    <w:lsdException w:name="Title" w:uiPriority="99" w:qFormat="1"/>
    <w:lsdException w:name="Closing" w:uiPriority="99"/>
    <w:lsdException w:name="Signature" w:uiPriority="99"/>
    <w:lsdException w:name="Body Text" w:uiPriority="99"/>
    <w:lsdException w:name="Subtitle" w:qFormat="1"/>
    <w:lsdException w:name="Date" w:uiPriority="99"/>
    <w:lsdException w:name="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26559"/>
    <w:pPr>
      <w:jc w:val="both"/>
    </w:pPr>
    <w:rPr>
      <w:rFonts w:ascii="Arial" w:hAnsi="Arial"/>
    </w:rPr>
  </w:style>
  <w:style w:type="paragraph" w:styleId="Heading1">
    <w:name w:val="heading 1"/>
    <w:next w:val="Normal"/>
    <w:link w:val="Heading1Char"/>
    <w:autoRedefine/>
    <w:qFormat/>
    <w:rsid w:val="00370631"/>
    <w:pPr>
      <w:keepNext/>
      <w:jc w:val="both"/>
      <w:outlineLvl w:val="0"/>
    </w:pPr>
    <w:rPr>
      <w:rFonts w:ascii="Arial" w:hAnsi="Arial"/>
      <w:caps/>
    </w:rPr>
  </w:style>
  <w:style w:type="paragraph" w:styleId="Heading2">
    <w:name w:val="heading 2"/>
    <w:next w:val="Normal"/>
    <w:link w:val="Heading2Char"/>
    <w:autoRedefine/>
    <w:qFormat/>
    <w:rsid w:val="00370631"/>
    <w:pPr>
      <w:keepNext/>
      <w:jc w:val="both"/>
      <w:outlineLvl w:val="1"/>
    </w:pPr>
    <w:rPr>
      <w:rFonts w:ascii="Arial" w:hAnsi="Arial"/>
      <w:u w:val="single"/>
    </w:rPr>
  </w:style>
  <w:style w:type="paragraph" w:styleId="Heading3">
    <w:name w:val="heading 3"/>
    <w:next w:val="Normal"/>
    <w:link w:val="Heading3Char"/>
    <w:autoRedefine/>
    <w:qFormat/>
    <w:rsid w:val="00370631"/>
    <w:pPr>
      <w:keepNext/>
      <w:jc w:val="both"/>
      <w:outlineLvl w:val="2"/>
    </w:pPr>
    <w:rPr>
      <w:rFonts w:ascii="Arial" w:hAnsi="Arial"/>
      <w:i/>
    </w:rPr>
  </w:style>
  <w:style w:type="paragraph" w:styleId="Heading4">
    <w:name w:val="heading 4"/>
    <w:next w:val="Normal"/>
    <w:link w:val="Heading4Char"/>
    <w:autoRedefine/>
    <w:uiPriority w:val="99"/>
    <w:qFormat/>
    <w:rsid w:val="00370631"/>
    <w:pPr>
      <w:keepNext/>
      <w:ind w:left="567"/>
      <w:jc w:val="both"/>
      <w:outlineLvl w:val="3"/>
    </w:pPr>
    <w:rPr>
      <w:rFonts w:ascii="Arial" w:hAnsi="Arial"/>
      <w:u w:val="single"/>
      <w:lang w:val="fr-FR"/>
    </w:rPr>
  </w:style>
  <w:style w:type="paragraph" w:styleId="Heading5">
    <w:name w:val="heading 5"/>
    <w:next w:val="Normal"/>
    <w:link w:val="Heading5Char"/>
    <w:autoRedefine/>
    <w:uiPriority w:val="99"/>
    <w:qFormat/>
    <w:rsid w:val="00370631"/>
    <w:pPr>
      <w:keepNext/>
      <w:ind w:left="1134" w:hanging="567"/>
      <w:jc w:val="both"/>
      <w:outlineLvl w:val="4"/>
    </w:pPr>
    <w:rPr>
      <w:rFonts w:ascii="Arial" w:hAnsi="Arial"/>
      <w:i/>
    </w:rPr>
  </w:style>
  <w:style w:type="paragraph" w:styleId="Heading9">
    <w:name w:val="heading 9"/>
    <w:basedOn w:val="Normal"/>
    <w:next w:val="Normal"/>
    <w:link w:val="Heading9Char"/>
    <w:uiPriority w:val="99"/>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rsid w:val="006D780A"/>
    <w:pPr>
      <w:tabs>
        <w:tab w:val="center" w:pos="4536"/>
        <w:tab w:val="right" w:pos="9072"/>
      </w:tabs>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uiPriority w:val="99"/>
    <w:qFormat/>
    <w:rsid w:val="00D3708D"/>
    <w:pPr>
      <w:spacing w:after="300"/>
      <w:jc w:val="center"/>
    </w:pPr>
    <w:rPr>
      <w:b/>
      <w:caps/>
      <w:kern w:val="28"/>
      <w:sz w:val="30"/>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Code"/>
    <w:link w:val="DocoriginalChar"/>
    <w:uiPriority w:val="99"/>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semiHidden/>
    <w:rsid w:val="00D3708D"/>
    <w:rPr>
      <w:vertAlign w:val="superscript"/>
    </w:rPr>
  </w:style>
  <w:style w:type="paragraph" w:styleId="Closing">
    <w:name w:val="Closing"/>
    <w:basedOn w:val="Normal"/>
    <w:link w:val="ClosingChar"/>
    <w:uiPriority w:val="99"/>
    <w:rsid w:val="00D3708D"/>
    <w:pPr>
      <w:ind w:left="4536"/>
      <w:jc w:val="center"/>
    </w:pPr>
  </w:style>
  <w:style w:type="paragraph" w:styleId="Index1">
    <w:name w:val="index 1"/>
    <w:basedOn w:val="Normal"/>
    <w:next w:val="Normal"/>
    <w:uiPriority w:val="99"/>
    <w:semiHidden/>
    <w:rsid w:val="00D3708D"/>
    <w:pPr>
      <w:tabs>
        <w:tab w:val="right" w:leader="dot" w:pos="9071"/>
      </w:tabs>
      <w:ind w:left="284" w:hanging="284"/>
    </w:pPr>
    <w:rPr>
      <w:sz w:val="24"/>
    </w:rPr>
  </w:style>
  <w:style w:type="paragraph" w:styleId="Index2">
    <w:name w:val="index 2"/>
    <w:basedOn w:val="Normal"/>
    <w:next w:val="Normal"/>
    <w:uiPriority w:val="99"/>
    <w:semiHidden/>
    <w:rsid w:val="00D3708D"/>
    <w:pPr>
      <w:tabs>
        <w:tab w:val="right" w:leader="dot" w:pos="9071"/>
      </w:tabs>
      <w:ind w:left="568" w:hanging="284"/>
    </w:pPr>
    <w:rPr>
      <w:sz w:val="24"/>
    </w:rPr>
  </w:style>
  <w:style w:type="paragraph" w:styleId="Index3">
    <w:name w:val="index 3"/>
    <w:basedOn w:val="Normal"/>
    <w:next w:val="Normal"/>
    <w:uiPriority w:val="99"/>
    <w:semiHidden/>
    <w:rsid w:val="00D3708D"/>
    <w:pPr>
      <w:tabs>
        <w:tab w:val="right" w:leader="dot" w:pos="9071"/>
      </w:tabs>
      <w:ind w:left="851" w:hanging="284"/>
    </w:pPr>
    <w:rPr>
      <w:sz w:val="24"/>
    </w:rPr>
  </w:style>
  <w:style w:type="paragraph" w:styleId="MacroText">
    <w:name w:val="macro"/>
    <w:link w:val="MacroTextChar"/>
    <w:uiPriority w:val="99"/>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uiPriority w:val="99"/>
    <w:rsid w:val="00D3708D"/>
    <w:pPr>
      <w:ind w:left="4536"/>
      <w:jc w:val="center"/>
    </w:pPr>
  </w:style>
  <w:style w:type="character" w:customStyle="1" w:styleId="Doclang">
    <w:name w:val="Doc_lang"/>
    <w:basedOn w:val="DefaultParagraphFont"/>
    <w:uiPriority w:val="99"/>
    <w:rsid w:val="00D3708D"/>
    <w:rPr>
      <w:rFonts w:ascii="Arial" w:hAnsi="Arial"/>
      <w:sz w:val="20"/>
      <w:lang w:val="en-US"/>
    </w:rPr>
  </w:style>
  <w:style w:type="paragraph" w:customStyle="1" w:styleId="Session">
    <w:name w:val="Session"/>
    <w:basedOn w:val="Normal"/>
    <w:uiPriority w:val="99"/>
    <w:semiHidden/>
    <w:rsid w:val="00D3708D"/>
    <w:pPr>
      <w:spacing w:before="60"/>
      <w:jc w:val="center"/>
    </w:pPr>
    <w:rPr>
      <w:b/>
    </w:rPr>
  </w:style>
  <w:style w:type="paragraph" w:customStyle="1" w:styleId="Organizer">
    <w:name w:val="Organizer"/>
    <w:basedOn w:val="Normal"/>
    <w:uiPriority w:val="99"/>
    <w:semiHidden/>
    <w:rsid w:val="00D3708D"/>
    <w:pPr>
      <w:spacing w:after="600"/>
      <w:ind w:left="-993" w:right="-994"/>
      <w:jc w:val="center"/>
    </w:pPr>
    <w:rPr>
      <w:b/>
      <w:caps/>
      <w:kern w:val="26"/>
      <w:sz w:val="26"/>
    </w:rPr>
  </w:style>
  <w:style w:type="paragraph" w:styleId="BodyText">
    <w:name w:val="Body Text"/>
    <w:basedOn w:val="Normal"/>
    <w:link w:val="BodyTextChar"/>
    <w:uiPriority w:val="99"/>
    <w:rsid w:val="00266E18"/>
  </w:style>
  <w:style w:type="paragraph" w:customStyle="1" w:styleId="StyleDocoriginalNotBold">
    <w:name w:val="Style Doc_original + Not Bold"/>
    <w:basedOn w:val="Docoriginal"/>
    <w:link w:val="StyleDocoriginalNotBoldChar"/>
    <w:autoRedefine/>
    <w:uiPriority w:val="99"/>
    <w:rsid w:val="00D3708D"/>
    <w:pPr>
      <w:ind w:left="1589"/>
      <w:jc w:val="left"/>
    </w:pPr>
  </w:style>
  <w:style w:type="paragraph" w:customStyle="1" w:styleId="upove">
    <w:name w:val="upov_e"/>
    <w:basedOn w:val="TitreUpov"/>
    <w:uiPriority w:val="99"/>
    <w:rsid w:val="00D3708D"/>
    <w:rPr>
      <w:bCs/>
      <w:spacing w:val="8"/>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D3708D"/>
  </w:style>
  <w:style w:type="paragraph" w:styleId="EndnoteText">
    <w:name w:val="endnote text"/>
    <w:basedOn w:val="Normal"/>
    <w:link w:val="EndnoteTextChar"/>
    <w:uiPriority w:val="99"/>
    <w:semiHidden/>
    <w:rsid w:val="00D3708D"/>
  </w:style>
  <w:style w:type="character" w:styleId="EndnoteReference">
    <w:name w:val="endnote reference"/>
    <w:basedOn w:val="DefaultParagraphFont"/>
    <w:uiPriority w:val="99"/>
    <w:semiHidden/>
    <w:rsid w:val="00D3708D"/>
    <w:rPr>
      <w:vertAlign w:val="superscript"/>
    </w:rPr>
  </w:style>
  <w:style w:type="paragraph" w:customStyle="1" w:styleId="SessionMeetingPlace">
    <w:name w:val="Session_MeetingPlace"/>
    <w:basedOn w:val="Normal"/>
    <w:uiPriority w:val="99"/>
    <w:semiHidden/>
    <w:rsid w:val="00D3708D"/>
    <w:pPr>
      <w:spacing w:before="480"/>
      <w:jc w:val="center"/>
    </w:pPr>
    <w:rPr>
      <w:b/>
      <w:bCs/>
      <w:kern w:val="28"/>
      <w:sz w:val="24"/>
    </w:rPr>
  </w:style>
  <w:style w:type="paragraph" w:customStyle="1" w:styleId="Original">
    <w:name w:val="Original"/>
    <w:basedOn w:val="Normal"/>
    <w:uiPriority w:val="99"/>
    <w:semiHidden/>
    <w:rsid w:val="00D3708D"/>
    <w:pPr>
      <w:spacing w:before="60"/>
      <w:ind w:left="1276"/>
    </w:pPr>
    <w:rPr>
      <w:b/>
      <w:sz w:val="22"/>
    </w:rPr>
  </w:style>
  <w:style w:type="paragraph" w:styleId="Date">
    <w:name w:val="Date"/>
    <w:basedOn w:val="Normal"/>
    <w:link w:val="DateChar"/>
    <w:uiPriority w:val="99"/>
    <w:semiHidden/>
    <w:rsid w:val="00D3708D"/>
    <w:pPr>
      <w:spacing w:line="340" w:lineRule="exact"/>
      <w:ind w:left="1276"/>
    </w:pPr>
    <w:rPr>
      <w:b/>
      <w:sz w:val="22"/>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D3708D"/>
    <w:pPr>
      <w:spacing w:before="60" w:after="480"/>
      <w:jc w:val="center"/>
    </w:pPr>
  </w:style>
  <w:style w:type="paragraph" w:customStyle="1" w:styleId="Lettrine">
    <w:name w:val="Lettrine"/>
    <w:basedOn w:val="Normal"/>
    <w:uiPriority w:val="99"/>
    <w:rsid w:val="00576BE4"/>
    <w:pPr>
      <w:spacing w:after="120" w:line="340" w:lineRule="atLeast"/>
      <w:jc w:val="right"/>
    </w:pPr>
    <w:rPr>
      <w:b/>
      <w:bCs/>
      <w:sz w:val="56"/>
    </w:rPr>
  </w:style>
  <w:style w:type="paragraph" w:customStyle="1" w:styleId="LogoUPOV">
    <w:name w:val="LogoUPOV"/>
    <w:basedOn w:val="Normal"/>
    <w:uiPriority w:val="99"/>
    <w:rsid w:val="00576BE4"/>
    <w:pPr>
      <w:spacing w:before="720"/>
      <w:jc w:val="center"/>
    </w:pPr>
  </w:style>
  <w:style w:type="paragraph" w:customStyle="1" w:styleId="Sessiontc">
    <w:name w:val="Session_tc"/>
    <w:basedOn w:val="StyleSessionAllcaps"/>
    <w:uiPriority w:val="99"/>
    <w:rsid w:val="00D3708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D3708D"/>
    <w:pPr>
      <w:spacing w:before="480"/>
    </w:pPr>
    <w:rPr>
      <w:bCs/>
      <w:caps/>
      <w:kern w:val="28"/>
      <w:sz w:val="24"/>
    </w:rPr>
  </w:style>
  <w:style w:type="paragraph" w:customStyle="1" w:styleId="plcountry">
    <w:name w:val="plcountry"/>
    <w:basedOn w:val="Normal"/>
    <w:uiPriority w:val="99"/>
    <w:rsid w:val="00905020"/>
    <w:pPr>
      <w:keepNext/>
      <w:keepLines/>
      <w:spacing w:before="180" w:after="120"/>
      <w:jc w:val="left"/>
    </w:pPr>
    <w:rPr>
      <w:caps/>
      <w:noProof/>
      <w:snapToGrid w:val="0"/>
      <w:u w:val="single"/>
    </w:rPr>
  </w:style>
  <w:style w:type="paragraph" w:customStyle="1" w:styleId="pldetails">
    <w:name w:val="pldetails"/>
    <w:basedOn w:val="Normal"/>
    <w:uiPriority w:val="99"/>
    <w:rsid w:val="00905020"/>
    <w:pPr>
      <w:keepLines/>
      <w:spacing w:before="60" w:after="60"/>
      <w:jc w:val="left"/>
    </w:pPr>
    <w:rPr>
      <w:noProof/>
      <w:snapToGrid w:val="0"/>
    </w:rPr>
  </w:style>
  <w:style w:type="paragraph" w:customStyle="1" w:styleId="plheading">
    <w:name w:val="plheading"/>
    <w:basedOn w:val="Normal"/>
    <w:uiPriority w:val="99"/>
    <w:rsid w:val="00905020"/>
    <w:pPr>
      <w:keepNext/>
      <w:spacing w:before="480" w:after="120"/>
      <w:jc w:val="center"/>
    </w:pPr>
    <w:rPr>
      <w:caps/>
      <w:snapToGrid w:val="0"/>
      <w:u w:val="single"/>
    </w:rPr>
  </w:style>
  <w:style w:type="paragraph" w:customStyle="1" w:styleId="Sessiontcplacedate">
    <w:name w:val="Session_tc_place_date"/>
    <w:basedOn w:val="SessionMeetingPlace"/>
    <w:uiPriority w:val="99"/>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uiPriority w:val="99"/>
    <w:rsid w:val="00D3708D"/>
    <w:pPr>
      <w:spacing w:before="240"/>
    </w:pPr>
    <w:rPr>
      <w:iCs/>
    </w:rPr>
  </w:style>
  <w:style w:type="character" w:customStyle="1" w:styleId="CodeChar">
    <w:name w:val="Code Char"/>
    <w:basedOn w:val="DefaultParagraphFont"/>
    <w:link w:val="Code"/>
    <w:uiPriority w:val="99"/>
    <w:rsid w:val="00D3708D"/>
    <w:rPr>
      <w:rFonts w:ascii="Arial" w:hAnsi="Arial"/>
      <w:b/>
      <w:bCs/>
      <w:spacing w:val="10"/>
      <w:lang w:val="fr-FR" w:eastAsia="en-US" w:bidi="ar-SA"/>
    </w:rPr>
  </w:style>
  <w:style w:type="paragraph" w:customStyle="1" w:styleId="endofdoc">
    <w:name w:val="end_of_doc"/>
    <w:autoRedefine/>
    <w:uiPriority w:val="99"/>
    <w:rsid w:val="002940E8"/>
    <w:pPr>
      <w:spacing w:before="480"/>
      <w:ind w:left="567" w:hanging="567"/>
      <w:jc w:val="right"/>
    </w:pPr>
    <w:rPr>
      <w:rFonts w:ascii="Arial" w:hAnsi="Arial"/>
    </w:rPr>
  </w:style>
  <w:style w:type="character" w:customStyle="1" w:styleId="DocoriginalChar">
    <w:name w:val="Doc_original Char"/>
    <w:basedOn w:val="CodeChar"/>
    <w:link w:val="Docoriginal"/>
    <w:uiPriority w:val="99"/>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uiPriority w:val="99"/>
    <w:rsid w:val="00D3708D"/>
    <w:rPr>
      <w:rFonts w:ascii="Arial" w:hAnsi="Arial"/>
      <w:b/>
      <w:bCs/>
      <w:spacing w:val="10"/>
      <w:lang w:val="en-US" w:eastAsia="en-US" w:bidi="ar-SA"/>
    </w:rPr>
  </w:style>
  <w:style w:type="paragraph" w:customStyle="1" w:styleId="StyleDocnumber">
    <w:name w:val="Style Doc_number"/>
    <w:basedOn w:val="Docoriginal"/>
    <w:uiPriority w:val="99"/>
    <w:rsid w:val="00D3708D"/>
    <w:pPr>
      <w:ind w:left="1589"/>
    </w:pPr>
  </w:style>
  <w:style w:type="paragraph" w:customStyle="1" w:styleId="StyleDocoriginal">
    <w:name w:val="Style Doc_original"/>
    <w:basedOn w:val="Docoriginal"/>
    <w:link w:val="StyleDocoriginalChar"/>
    <w:uiPriority w:val="99"/>
    <w:rsid w:val="00D3708D"/>
    <w:rPr>
      <w:spacing w:val="0"/>
    </w:rPr>
  </w:style>
  <w:style w:type="character" w:customStyle="1" w:styleId="StyleDocoriginalChar">
    <w:name w:val="Style Doc_original Char"/>
    <w:basedOn w:val="DocoriginalChar"/>
    <w:link w:val="StyleDocoriginal"/>
    <w:uiPriority w:val="99"/>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uiPriority w:val="99"/>
    <w:rsid w:val="00281060"/>
    <w:rPr>
      <w:rFonts w:ascii="Arial" w:hAnsi="Arial"/>
      <w:b/>
      <w:bCs/>
      <w:spacing w:val="10"/>
      <w:lang w:val="en-US" w:eastAsia="en-US" w:bidi="ar-SA"/>
    </w:rPr>
  </w:style>
  <w:style w:type="character" w:customStyle="1" w:styleId="StyleDoclangBold">
    <w:name w:val="Style Doc_lang + Bold"/>
    <w:basedOn w:val="Doclang"/>
    <w:uiPriority w:val="99"/>
    <w:rsid w:val="00281060"/>
    <w:rPr>
      <w:rFonts w:ascii="Arial" w:hAnsi="Arial"/>
      <w:b/>
      <w:bCs/>
      <w:sz w:val="20"/>
      <w:lang w:val="en-US"/>
    </w:rPr>
  </w:style>
  <w:style w:type="paragraph" w:styleId="TOC2">
    <w:name w:val="toc 2"/>
    <w:next w:val="Normal"/>
    <w:autoRedefine/>
    <w:uiPriority w:val="39"/>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uiPriority w:val="39"/>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905020"/>
    <w:rPr>
      <w:rFonts w:ascii="Arial" w:hAnsi="Arial"/>
      <w:color w:val="0000FF"/>
      <w:u w:val="single"/>
    </w:rPr>
  </w:style>
  <w:style w:type="paragraph" w:styleId="TOC4">
    <w:name w:val="toc 4"/>
    <w:next w:val="Normal"/>
    <w:autoRedefine/>
    <w:uiPriority w:val="99"/>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26559"/>
    <w:pPr>
      <w:tabs>
        <w:tab w:val="right" w:leader="dot" w:pos="9639"/>
      </w:tabs>
      <w:spacing w:before="120"/>
      <w:jc w:val="center"/>
    </w:pPr>
    <w:rPr>
      <w:rFonts w:ascii="Arial" w:hAnsi="Arial"/>
      <w:caps/>
    </w:rPr>
  </w:style>
  <w:style w:type="paragraph" w:styleId="TOC5">
    <w:name w:val="toc 5"/>
    <w:next w:val="Normal"/>
    <w:autoRedefine/>
    <w:uiPriority w:val="99"/>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1479AA"/>
    <w:rPr>
      <w:rFonts w:ascii="Tahoma" w:hAnsi="Tahoma" w:cs="Tahoma"/>
      <w:sz w:val="16"/>
      <w:szCs w:val="16"/>
    </w:rPr>
  </w:style>
  <w:style w:type="character" w:customStyle="1" w:styleId="BalloonTextChar">
    <w:name w:val="Balloon Text Char"/>
    <w:basedOn w:val="DefaultParagraphFont"/>
    <w:link w:val="BalloonText"/>
    <w:uiPriority w:val="99"/>
    <w:rsid w:val="001479AA"/>
    <w:rPr>
      <w:rFonts w:ascii="Tahoma" w:hAnsi="Tahoma" w:cs="Tahoma"/>
      <w:sz w:val="16"/>
      <w:szCs w:val="16"/>
    </w:rPr>
  </w:style>
  <w:style w:type="character" w:customStyle="1" w:styleId="Heading1Char">
    <w:name w:val="Heading 1 Char"/>
    <w:basedOn w:val="DefaultParagraphFont"/>
    <w:link w:val="Heading1"/>
    <w:locked/>
    <w:rsid w:val="00FD7EB7"/>
    <w:rPr>
      <w:rFonts w:ascii="Arial" w:hAnsi="Arial"/>
      <w:caps/>
    </w:rPr>
  </w:style>
  <w:style w:type="character" w:customStyle="1" w:styleId="Heading2Char">
    <w:name w:val="Heading 2 Char"/>
    <w:basedOn w:val="DefaultParagraphFont"/>
    <w:link w:val="Heading2"/>
    <w:uiPriority w:val="99"/>
    <w:locked/>
    <w:rsid w:val="00FD7EB7"/>
    <w:rPr>
      <w:rFonts w:ascii="Arial" w:hAnsi="Arial"/>
      <w:u w:val="single"/>
    </w:rPr>
  </w:style>
  <w:style w:type="character" w:customStyle="1" w:styleId="Heading3Char">
    <w:name w:val="Heading 3 Char"/>
    <w:basedOn w:val="DefaultParagraphFont"/>
    <w:link w:val="Heading3"/>
    <w:uiPriority w:val="99"/>
    <w:locked/>
    <w:rsid w:val="00FD7EB7"/>
    <w:rPr>
      <w:rFonts w:ascii="Arial" w:hAnsi="Arial"/>
      <w:i/>
    </w:rPr>
  </w:style>
  <w:style w:type="character" w:customStyle="1" w:styleId="Heading4Char">
    <w:name w:val="Heading 4 Char"/>
    <w:basedOn w:val="DefaultParagraphFont"/>
    <w:link w:val="Heading4"/>
    <w:uiPriority w:val="99"/>
    <w:locked/>
    <w:rsid w:val="00FD7EB7"/>
    <w:rPr>
      <w:rFonts w:ascii="Arial" w:hAnsi="Arial"/>
      <w:u w:val="single"/>
      <w:lang w:val="fr-FR"/>
    </w:rPr>
  </w:style>
  <w:style w:type="character" w:customStyle="1" w:styleId="Heading5Char">
    <w:name w:val="Heading 5 Char"/>
    <w:basedOn w:val="DefaultParagraphFont"/>
    <w:link w:val="Heading5"/>
    <w:uiPriority w:val="99"/>
    <w:locked/>
    <w:rsid w:val="00FD7EB7"/>
    <w:rPr>
      <w:rFonts w:ascii="Arial" w:hAnsi="Arial"/>
      <w:i/>
    </w:rPr>
  </w:style>
  <w:style w:type="character" w:customStyle="1" w:styleId="Heading9Char">
    <w:name w:val="Heading 9 Char"/>
    <w:basedOn w:val="DefaultParagraphFont"/>
    <w:link w:val="Heading9"/>
    <w:uiPriority w:val="99"/>
    <w:locked/>
    <w:rsid w:val="00FD7EB7"/>
    <w:rPr>
      <w:rFonts w:ascii="Arial" w:hAnsi="Arial"/>
      <w:i/>
      <w:sz w:val="18"/>
    </w:rPr>
  </w:style>
  <w:style w:type="character" w:customStyle="1" w:styleId="HeaderChar">
    <w:name w:val="Header Char"/>
    <w:basedOn w:val="DefaultParagraphFont"/>
    <w:link w:val="Header"/>
    <w:uiPriority w:val="99"/>
    <w:locked/>
    <w:rsid w:val="00FD7EB7"/>
    <w:rPr>
      <w:rFonts w:ascii="Arial" w:hAnsi="Arial"/>
      <w:lang w:val="fr-FR"/>
    </w:rPr>
  </w:style>
  <w:style w:type="character" w:customStyle="1" w:styleId="FooterChar">
    <w:name w:val="Footer Char"/>
    <w:aliases w:val="doc_path_name Char"/>
    <w:basedOn w:val="DefaultParagraphFont"/>
    <w:link w:val="Footer"/>
    <w:uiPriority w:val="99"/>
    <w:locked/>
    <w:rsid w:val="00FD7EB7"/>
    <w:rPr>
      <w:rFonts w:ascii="Arial" w:hAnsi="Arial"/>
      <w:sz w:val="14"/>
    </w:rPr>
  </w:style>
  <w:style w:type="character" w:customStyle="1" w:styleId="TitleChar">
    <w:name w:val="Title Char"/>
    <w:basedOn w:val="DefaultParagraphFont"/>
    <w:link w:val="Title"/>
    <w:uiPriority w:val="99"/>
    <w:locked/>
    <w:rsid w:val="00FD7EB7"/>
    <w:rPr>
      <w:rFonts w:ascii="Arial" w:hAnsi="Arial"/>
      <w:b/>
      <w:caps/>
      <w:kern w:val="28"/>
      <w:sz w:val="30"/>
    </w:rPr>
  </w:style>
  <w:style w:type="character" w:customStyle="1" w:styleId="FootnoteTextChar">
    <w:name w:val="Footnote Text Char"/>
    <w:basedOn w:val="DefaultParagraphFont"/>
    <w:link w:val="FootnoteText"/>
    <w:uiPriority w:val="99"/>
    <w:locked/>
    <w:rsid w:val="00FD7EB7"/>
    <w:rPr>
      <w:rFonts w:ascii="Arial" w:hAnsi="Arial"/>
      <w:sz w:val="16"/>
    </w:rPr>
  </w:style>
  <w:style w:type="character" w:customStyle="1" w:styleId="ClosingChar">
    <w:name w:val="Closing Char"/>
    <w:basedOn w:val="DefaultParagraphFont"/>
    <w:link w:val="Closing"/>
    <w:uiPriority w:val="99"/>
    <w:locked/>
    <w:rsid w:val="00FD7EB7"/>
    <w:rPr>
      <w:rFonts w:ascii="Arial" w:hAnsi="Arial"/>
    </w:rPr>
  </w:style>
  <w:style w:type="character" w:customStyle="1" w:styleId="MacroTextChar">
    <w:name w:val="Macro Text Char"/>
    <w:basedOn w:val="DefaultParagraphFont"/>
    <w:link w:val="MacroText"/>
    <w:uiPriority w:val="99"/>
    <w:semiHidden/>
    <w:locked/>
    <w:rsid w:val="00FD7EB7"/>
    <w:rPr>
      <w:rFonts w:ascii="Courier New" w:hAnsi="Courier New"/>
      <w:sz w:val="16"/>
    </w:rPr>
  </w:style>
  <w:style w:type="character" w:customStyle="1" w:styleId="SignatureChar">
    <w:name w:val="Signature Char"/>
    <w:basedOn w:val="DefaultParagraphFont"/>
    <w:link w:val="Signature"/>
    <w:uiPriority w:val="99"/>
    <w:locked/>
    <w:rsid w:val="00FD7EB7"/>
    <w:rPr>
      <w:rFonts w:ascii="Arial" w:hAnsi="Arial"/>
    </w:rPr>
  </w:style>
  <w:style w:type="character" w:customStyle="1" w:styleId="BodyTextChar">
    <w:name w:val="Body Text Char"/>
    <w:basedOn w:val="DefaultParagraphFont"/>
    <w:link w:val="BodyText"/>
    <w:uiPriority w:val="99"/>
    <w:locked/>
    <w:rsid w:val="00FD7EB7"/>
    <w:rPr>
      <w:rFonts w:ascii="Arial" w:hAnsi="Arial"/>
    </w:rPr>
  </w:style>
  <w:style w:type="character" w:customStyle="1" w:styleId="EndnoteTextChar">
    <w:name w:val="Endnote Text Char"/>
    <w:basedOn w:val="DefaultParagraphFont"/>
    <w:link w:val="EndnoteText"/>
    <w:uiPriority w:val="99"/>
    <w:semiHidden/>
    <w:locked/>
    <w:rsid w:val="00FD7EB7"/>
    <w:rPr>
      <w:rFonts w:ascii="Arial" w:hAnsi="Arial"/>
    </w:rPr>
  </w:style>
  <w:style w:type="character" w:customStyle="1" w:styleId="DateChar">
    <w:name w:val="Date Char"/>
    <w:basedOn w:val="DefaultParagraphFont"/>
    <w:link w:val="Date"/>
    <w:uiPriority w:val="99"/>
    <w:semiHidden/>
    <w:locked/>
    <w:rsid w:val="00FD7EB7"/>
    <w:rPr>
      <w:rFonts w:ascii="Arial" w:hAnsi="Arial"/>
      <w:b/>
      <w:sz w:val="22"/>
    </w:rPr>
  </w:style>
  <w:style w:type="paragraph" w:customStyle="1" w:styleId="style1">
    <w:name w:val="style1"/>
    <w:basedOn w:val="Normal"/>
    <w:uiPriority w:val="99"/>
    <w:rsid w:val="00FD7EB7"/>
    <w:pPr>
      <w:jc w:val="left"/>
    </w:pPr>
    <w:rPr>
      <w:rFonts w:ascii="Times New Roman" w:hAnsi="Times New Roman"/>
      <w:sz w:val="24"/>
      <w:szCs w:val="24"/>
    </w:rPr>
  </w:style>
  <w:style w:type="paragraph" w:customStyle="1" w:styleId="normaltg">
    <w:name w:val="normaltg"/>
    <w:basedOn w:val="Normal"/>
    <w:uiPriority w:val="99"/>
    <w:rsid w:val="00FD7EB7"/>
    <w:pPr>
      <w:spacing w:before="100" w:beforeAutospacing="1" w:after="100" w:afterAutospacing="1"/>
      <w:jc w:val="left"/>
    </w:pPr>
    <w:rPr>
      <w:rFonts w:ascii="Times New Roman" w:hAnsi="Times New Roman"/>
      <w:sz w:val="24"/>
      <w:szCs w:val="24"/>
      <w:lang w:val="fr-FR" w:eastAsia="fr-FR"/>
    </w:rPr>
  </w:style>
  <w:style w:type="paragraph" w:styleId="ListParagraph">
    <w:name w:val="List Paragraph"/>
    <w:basedOn w:val="Normal"/>
    <w:uiPriority w:val="99"/>
    <w:qFormat/>
    <w:rsid w:val="00FD7EB7"/>
    <w:pPr>
      <w:spacing w:before="100" w:beforeAutospacing="1" w:after="100" w:afterAutospacing="1"/>
      <w:jc w:val="left"/>
    </w:pPr>
    <w:rPr>
      <w:rFonts w:ascii="Times New Roman" w:hAnsi="Times New Roman"/>
      <w:sz w:val="24"/>
      <w:szCs w:val="24"/>
      <w:lang w:val="fr-FR" w:eastAsia="fr-FR"/>
    </w:rPr>
  </w:style>
  <w:style w:type="paragraph" w:customStyle="1" w:styleId="StyleTOC1Before6ptAfter6pt">
    <w:name w:val="Style TOC 1 + Before:  6 pt After:  6 pt"/>
    <w:basedOn w:val="TOC1"/>
    <w:uiPriority w:val="99"/>
    <w:rsid w:val="00FD7EB7"/>
    <w:pPr>
      <w:spacing w:after="120"/>
      <w:ind w:left="284" w:right="284" w:hanging="284"/>
      <w:jc w:val="left"/>
    </w:pPr>
    <w:rPr>
      <w:noProof/>
    </w:rPr>
  </w:style>
  <w:style w:type="paragraph" w:customStyle="1" w:styleId="Normaltg0">
    <w:name w:val="Normaltg"/>
    <w:basedOn w:val="Normal"/>
    <w:uiPriority w:val="99"/>
    <w:rsid w:val="00FD7EB7"/>
    <w:pPr>
      <w:tabs>
        <w:tab w:val="left" w:pos="709"/>
        <w:tab w:val="left" w:pos="1418"/>
      </w:tabs>
    </w:pPr>
    <w:rPr>
      <w:rFonts w:ascii="Times New Roman" w:eastAsia="MS Mincho" w:hAnsi="Times New Roman"/>
      <w:sz w:val="24"/>
    </w:rPr>
  </w:style>
  <w:style w:type="paragraph" w:customStyle="1" w:styleId="Normalt">
    <w:name w:val="Normalt"/>
    <w:basedOn w:val="Normal"/>
    <w:uiPriority w:val="99"/>
    <w:rsid w:val="00FD7EB7"/>
    <w:pPr>
      <w:spacing w:before="120" w:after="120"/>
      <w:jc w:val="left"/>
    </w:pPr>
    <w:rPr>
      <w:rFonts w:ascii="Times New Roman" w:hAnsi="Times New Roman"/>
      <w:noProof/>
      <w:lang w:eastAsia="es-ES"/>
    </w:rPr>
  </w:style>
  <w:style w:type="paragraph" w:customStyle="1" w:styleId="Normaltb">
    <w:name w:val="Normaltb"/>
    <w:basedOn w:val="Normalt"/>
    <w:uiPriority w:val="99"/>
    <w:rsid w:val="00FD7EB7"/>
    <w:pPr>
      <w:keepNext/>
    </w:pPr>
    <w:rPr>
      <w:b/>
    </w:rPr>
  </w:style>
  <w:style w:type="paragraph" w:customStyle="1" w:styleId="ecxmsonormal">
    <w:name w:val="ecxmsonormal"/>
    <w:basedOn w:val="Normal"/>
    <w:uiPriority w:val="99"/>
    <w:rsid w:val="00FD7EB7"/>
    <w:pPr>
      <w:spacing w:before="100" w:beforeAutospacing="1" w:after="100" w:afterAutospacing="1"/>
      <w:jc w:val="left"/>
    </w:pPr>
    <w:rPr>
      <w:rFonts w:ascii="Times New Roman" w:hAnsi="Times New Roman"/>
      <w:sz w:val="24"/>
      <w:szCs w:val="24"/>
      <w:lang w:val="es-ES" w:eastAsia="es-ES"/>
    </w:rPr>
  </w:style>
  <w:style w:type="paragraph" w:customStyle="1" w:styleId="Default">
    <w:name w:val="Default"/>
    <w:uiPriority w:val="99"/>
    <w:rsid w:val="00FD7EB7"/>
    <w:pPr>
      <w:autoSpaceDE w:val="0"/>
      <w:autoSpaceDN w:val="0"/>
      <w:adjustRightInd w:val="0"/>
    </w:pPr>
    <w:rPr>
      <w:rFonts w:ascii="Arial" w:hAnsi="Arial" w:cs="Arial"/>
      <w:color w:val="000000"/>
      <w:sz w:val="24"/>
      <w:szCs w:val="24"/>
    </w:rPr>
  </w:style>
  <w:style w:type="table" w:styleId="TableGrid">
    <w:name w:val="Table Grid"/>
    <w:basedOn w:val="TableNormal"/>
    <w:rsid w:val="00FD7EB7"/>
    <w:rPr>
      <w:lang w:val="es-ES_tradnl" w:eastAsia="es-ES_trad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DefaultParagraphFont"/>
    <w:uiPriority w:val="99"/>
    <w:rsid w:val="00FD7EB7"/>
    <w:rPr>
      <w:rFonts w:cs="Times New Roman"/>
    </w:rPr>
  </w:style>
  <w:style w:type="paragraph" w:customStyle="1" w:styleId="Style10">
    <w:name w:val="Style1"/>
    <w:basedOn w:val="Normal"/>
    <w:rsid w:val="00E43167"/>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5.xml"/><Relationship Id="rId18" Type="http://schemas.openxmlformats.org/officeDocument/2006/relationships/image" Target="media/image6.png"/><Relationship Id="rId26" Type="http://schemas.openxmlformats.org/officeDocument/2006/relationships/image" Target="media/image14.png"/><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19</Pages>
  <Words>4444</Words>
  <Characters>22554</Characters>
  <Application>Microsoft Office Word</Application>
  <DocSecurity>0</DocSecurity>
  <Lines>187</Lines>
  <Paragraphs>53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TC/52/20 - Revisión del documento TGP/10:  nueva sección:  Evaluación de la homogeneidad de las plantas fuera de tipo mediante la observación de más de un ciclo de cultivo o mediante la observación de submuestras</vt:lpstr>
      <vt:lpstr>TC/50</vt:lpstr>
    </vt:vector>
  </TitlesOfParts>
  <Company>UPOV</Company>
  <LinksUpToDate>false</LinksUpToDate>
  <CharactersWithSpaces>26945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TC/52/20 - Revisión del documento TGP/10:  nueva sección:  Evaluación de la homogeneidad de las plantas fuera de tipo mediante la observación de más de un ciclo de cultivo o mediante la observación de submuestras</dc:title>
  <dc:creator>CEVALLOS DUQUE Nilo</dc:creator>
  <dc:description>DG (trad. ext.) - 1.2.2016</dc:description>
  <cp:lastModifiedBy>SANCHEZ-VIZCAINO GOMEZ Rosa Maria</cp:lastModifiedBy>
  <cp:revision>12</cp:revision>
  <cp:lastPrinted>2016-02-01T13:37:00Z</cp:lastPrinted>
  <dcterms:created xsi:type="dcterms:W3CDTF">2016-02-01T08:29:00Z</dcterms:created>
  <dcterms:modified xsi:type="dcterms:W3CDTF">2016-02-01T13:39:00Z</dcterms:modified>
</cp:coreProperties>
</file>