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A7EA5" w:rsidTr="00C13808">
        <w:trPr>
          <w:trHeight w:val="1760"/>
        </w:trPr>
        <w:tc>
          <w:tcPr>
            <w:tcW w:w="4243" w:type="dxa"/>
          </w:tcPr>
          <w:p w:rsidR="000D7780" w:rsidRPr="008D3729" w:rsidRDefault="000D7780" w:rsidP="00F45372"/>
        </w:tc>
        <w:tc>
          <w:tcPr>
            <w:tcW w:w="1646" w:type="dxa"/>
            <w:vAlign w:val="center"/>
          </w:tcPr>
          <w:p w:rsidR="004F1D89" w:rsidRPr="003B671F" w:rsidRDefault="004F1D89" w:rsidP="00F45372">
            <w:pPr>
              <w:pStyle w:val="LogoUPOV"/>
            </w:pPr>
            <w:r w:rsidRPr="003B671F">
              <w:rPr>
                <w:noProof/>
                <w:lang w:val="en-US" w:eastAsia="en-US" w:bidi="ar-SA"/>
              </w:rPr>
              <w:drawing>
                <wp:inline distT="0" distB="0" distL="0" distR="0" wp14:anchorId="736EC820" wp14:editId="7C005BB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B671F" w:rsidRDefault="00A47CDB" w:rsidP="00F45372">
            <w:pPr>
              <w:pStyle w:val="Lettrine"/>
            </w:pPr>
            <w:r w:rsidRPr="003B671F">
              <w:t>S</w:t>
            </w:r>
          </w:p>
          <w:p w:rsidR="000D7780" w:rsidRPr="003B671F" w:rsidRDefault="008A1693" w:rsidP="00F45372">
            <w:pPr>
              <w:pStyle w:val="Docoriginal"/>
            </w:pPr>
            <w:r w:rsidRPr="003B671F">
              <w:t>TC/52/</w:t>
            </w:r>
            <w:bookmarkStart w:id="0" w:name="Code"/>
            <w:bookmarkEnd w:id="0"/>
            <w:r w:rsidRPr="003B671F">
              <w:t>19</w:t>
            </w:r>
          </w:p>
          <w:p w:rsidR="000D7780" w:rsidRPr="003B671F" w:rsidRDefault="0061555F" w:rsidP="00F45372">
            <w:pPr>
              <w:pStyle w:val="Docoriginal"/>
              <w:rPr>
                <w:b w:val="0"/>
                <w:spacing w:val="0"/>
              </w:rPr>
            </w:pPr>
            <w:r w:rsidRPr="003B671F">
              <w:rPr>
                <w:rStyle w:val="StyleDoclangBold"/>
                <w:b/>
                <w:spacing w:val="0"/>
              </w:rPr>
              <w:t>ORIGINAL:</w:t>
            </w:r>
            <w:r w:rsidRPr="003B671F">
              <w:rPr>
                <w:rStyle w:val="StyleDocoriginalNotBold1"/>
                <w:spacing w:val="0"/>
              </w:rPr>
              <w:t xml:space="preserve">  </w:t>
            </w:r>
            <w:bookmarkStart w:id="1" w:name="Original"/>
            <w:bookmarkEnd w:id="1"/>
            <w:r w:rsidRPr="003B671F">
              <w:rPr>
                <w:b w:val="0"/>
                <w:spacing w:val="0"/>
              </w:rPr>
              <w:t>Inglés</w:t>
            </w:r>
          </w:p>
          <w:p w:rsidR="000D7780" w:rsidRPr="008D3729" w:rsidRDefault="00DD3861" w:rsidP="005A7EA5">
            <w:pPr>
              <w:pStyle w:val="Docoriginal"/>
            </w:pPr>
            <w:r w:rsidRPr="003B671F">
              <w:rPr>
                <w:spacing w:val="0"/>
                <w:lang w:val="es-ES_tradnl"/>
              </w:rPr>
              <w:t>FECHA:</w:t>
            </w:r>
            <w:r w:rsidRPr="003B671F">
              <w:rPr>
                <w:b w:val="0"/>
                <w:spacing w:val="0"/>
                <w:lang w:val="es-ES_tradnl"/>
              </w:rPr>
              <w:t xml:space="preserve"> </w:t>
            </w:r>
            <w:r w:rsidRPr="003B671F">
              <w:rPr>
                <w:rStyle w:val="StyleDocoriginalNotBold1"/>
                <w:spacing w:val="0"/>
                <w:lang w:val="es-ES_tradnl"/>
              </w:rPr>
              <w:t xml:space="preserve"> </w:t>
            </w:r>
            <w:bookmarkStart w:id="2" w:name="Date"/>
            <w:bookmarkEnd w:id="2"/>
            <w:r w:rsidR="003B671F" w:rsidRPr="003B671F">
              <w:rPr>
                <w:rStyle w:val="StyleDocoriginalNotBold1"/>
                <w:spacing w:val="0"/>
                <w:lang w:val="es-ES_tradnl"/>
              </w:rPr>
              <w:t>18</w:t>
            </w:r>
            <w:r w:rsidRPr="003B671F">
              <w:rPr>
                <w:rStyle w:val="StyleDocoriginalNotBold1"/>
                <w:spacing w:val="0"/>
                <w:lang w:val="es-ES_tradnl"/>
              </w:rPr>
              <w:t xml:space="preserve"> de febrero de 2016</w:t>
            </w:r>
          </w:p>
        </w:tc>
      </w:tr>
      <w:tr w:rsidR="00DD3861" w:rsidRPr="005A7EA5" w:rsidTr="00C13808">
        <w:tc>
          <w:tcPr>
            <w:tcW w:w="10131" w:type="dxa"/>
            <w:gridSpan w:val="3"/>
          </w:tcPr>
          <w:p w:rsidR="00DD3861" w:rsidRPr="008D3729" w:rsidRDefault="00DD3861" w:rsidP="0030647E">
            <w:pPr>
              <w:pStyle w:val="upove"/>
              <w:rPr>
                <w:sz w:val="28"/>
                <w:lang w:val="es-ES_tradnl"/>
              </w:rPr>
            </w:pPr>
            <w:r w:rsidRPr="008D3729">
              <w:rPr>
                <w:spacing w:val="2"/>
                <w:lang w:val="es-ES_tradnl"/>
              </w:rPr>
              <w:t>UNIÓN INTERNACIONAL PARA LA PROTECCIÓN DE LAS OBTENCIONES VEGETALES</w:t>
            </w:r>
          </w:p>
        </w:tc>
      </w:tr>
      <w:tr w:rsidR="000D7780" w:rsidRPr="008D3729" w:rsidTr="00C13808">
        <w:tc>
          <w:tcPr>
            <w:tcW w:w="10131" w:type="dxa"/>
            <w:gridSpan w:val="3"/>
          </w:tcPr>
          <w:p w:rsidR="000D7780" w:rsidRPr="008D3729" w:rsidRDefault="00A47CDB" w:rsidP="00F45372">
            <w:pPr>
              <w:pStyle w:val="Country"/>
            </w:pPr>
            <w:r>
              <w:t>Ginebra</w:t>
            </w:r>
          </w:p>
        </w:tc>
      </w:tr>
    </w:tbl>
    <w:p w:rsidR="000D7780" w:rsidRPr="008D3729" w:rsidRDefault="00A47CDB" w:rsidP="00F45372">
      <w:pPr>
        <w:pStyle w:val="Sessiontc"/>
      </w:pPr>
      <w:r>
        <w:t>Comité TÉCNICO</w:t>
      </w:r>
    </w:p>
    <w:p w:rsidR="00E047CC" w:rsidRPr="008D3729" w:rsidRDefault="007F4BB2" w:rsidP="00E047CC">
      <w:pPr>
        <w:pStyle w:val="Sessiontcplacedate"/>
      </w:pPr>
      <w:r>
        <w:t>Quincuagésima segunda sesión</w:t>
      </w:r>
      <w:r>
        <w:br/>
        <w:t>Ginebra, 14 a 16 de marzo de 2016</w:t>
      </w:r>
    </w:p>
    <w:p w:rsidR="00E047CC" w:rsidRPr="005A7EA5" w:rsidRDefault="005A7EA5" w:rsidP="00E047CC">
      <w:pPr>
        <w:pStyle w:val="Titleofdoc0"/>
      </w:pPr>
      <w:bookmarkStart w:id="3" w:name="TitleOfDoc"/>
      <w:bookmarkEnd w:id="3"/>
      <w:r>
        <w:t>Revisión del documento TGP/8</w:t>
      </w:r>
      <w:proofErr w:type="gramStart"/>
      <w:r>
        <w:t>:</w:t>
      </w:r>
      <w:r w:rsidR="00DD3861">
        <w:t xml:space="preserve"> </w:t>
      </w:r>
      <w:r>
        <w:t xml:space="preserve"> Parte</w:t>
      </w:r>
      <w:proofErr w:type="gramEnd"/>
      <w:r>
        <w:t xml:space="preserve"> II: </w:t>
      </w:r>
      <w:r w:rsidR="00DD3861">
        <w:t xml:space="preserve"> </w:t>
      </w:r>
      <w:r>
        <w:t xml:space="preserve">Técnicas utilizadas en el examen DHE, Nueva Sección: </w:t>
      </w:r>
      <w:r w:rsidR="00DD3861">
        <w:t xml:space="preserve"> </w:t>
      </w:r>
      <w:r>
        <w:t>Tratamiento de datos para la evaluación de la distinción y la elaboración de descripciones de variedades</w:t>
      </w:r>
    </w:p>
    <w:p w:rsidR="00E047CC" w:rsidRPr="005A7EA5" w:rsidRDefault="00E047CC" w:rsidP="00E047CC">
      <w:pPr>
        <w:pStyle w:val="preparedby1"/>
      </w:pPr>
      <w:bookmarkStart w:id="4" w:name="Prepared"/>
      <w:bookmarkEnd w:id="4"/>
      <w:r>
        <w:t>Documento preparado por la Oficina de la Unión</w:t>
      </w:r>
      <w:r>
        <w:br/>
      </w:r>
      <w:r>
        <w:br/>
      </w:r>
      <w:r>
        <w:rPr>
          <w:color w:val="A6A6A6"/>
        </w:rPr>
        <w:t>Descargo de responsabilidad</w:t>
      </w:r>
      <w:proofErr w:type="gramStart"/>
      <w:r>
        <w:rPr>
          <w:color w:val="A6A6A6"/>
        </w:rPr>
        <w:t>:  el</w:t>
      </w:r>
      <w:proofErr w:type="gramEnd"/>
      <w:r>
        <w:rPr>
          <w:color w:val="A6A6A6"/>
        </w:rPr>
        <w:t xml:space="preserve"> presente documento no constituye</w:t>
      </w:r>
      <w:r>
        <w:rPr>
          <w:color w:val="A6A6A6"/>
        </w:rPr>
        <w:br/>
        <w:t>un documento de política u orientación de la UPOV</w:t>
      </w:r>
    </w:p>
    <w:p w:rsidR="005A7EA5" w:rsidRPr="005A7EA5" w:rsidRDefault="00505021" w:rsidP="005A7EA5">
      <w:r w:rsidRPr="005A7EA5">
        <w:fldChar w:fldCharType="begin"/>
      </w:r>
      <w:r w:rsidR="005A7EA5" w:rsidRPr="005A7EA5">
        <w:instrText xml:space="preserve"> AUTONUM  </w:instrText>
      </w:r>
      <w:r w:rsidRPr="005A7EA5">
        <w:fldChar w:fldCharType="end"/>
      </w:r>
      <w:r w:rsidR="005A7EA5">
        <w:tab/>
        <w:t>El propósito del presente documento es informar acerca de las novedades relativas a la posibilidad de incluir una nueva sección en el documento TGP/8 “Tratamiento de datos para la evaluación de la distinción y la elaboración de descripciones de variedades”.</w:t>
      </w:r>
    </w:p>
    <w:p w:rsidR="005A7EA5" w:rsidRPr="005A7EA5" w:rsidRDefault="005A7EA5" w:rsidP="005A7EA5">
      <w:pPr>
        <w:rPr>
          <w:snapToGrid w:val="0"/>
          <w:sz w:val="16"/>
        </w:rPr>
      </w:pPr>
    </w:p>
    <w:p w:rsidR="005A7EA5" w:rsidRPr="005A7EA5" w:rsidRDefault="00505021" w:rsidP="005A7EA5">
      <w:r w:rsidRPr="005A7EA5">
        <w:fldChar w:fldCharType="begin"/>
      </w:r>
      <w:r w:rsidR="005A7EA5" w:rsidRPr="005A7EA5">
        <w:instrText xml:space="preserve"> AUTONUM  </w:instrText>
      </w:r>
      <w:r w:rsidRPr="005A7EA5">
        <w:fldChar w:fldCharType="end"/>
      </w:r>
      <w:r w:rsidR="005A7EA5">
        <w:tab/>
        <w:t>En el presente documento se utilizan las abreviaturas siguientes:</w:t>
      </w:r>
    </w:p>
    <w:p w:rsidR="005A7EA5" w:rsidRPr="005A7EA5" w:rsidRDefault="005A7EA5" w:rsidP="005A7EA5">
      <w:pPr>
        <w:rPr>
          <w:color w:val="000000"/>
          <w:sz w:val="16"/>
        </w:rPr>
      </w:pPr>
    </w:p>
    <w:p w:rsidR="005A7EA5" w:rsidRPr="005A7EA5" w:rsidRDefault="005A7EA5" w:rsidP="005A7EA5">
      <w:pPr>
        <w:ind w:left="1701" w:hanging="1134"/>
      </w:pPr>
      <w:r>
        <w:t xml:space="preserve">CAJ:  </w:t>
      </w:r>
      <w:r>
        <w:tab/>
        <w:t xml:space="preserve">Comité Administrativo y Jurídico </w:t>
      </w:r>
    </w:p>
    <w:p w:rsidR="005A7EA5" w:rsidRPr="005A7EA5" w:rsidRDefault="005A7EA5" w:rsidP="005A7EA5">
      <w:pPr>
        <w:ind w:left="1701" w:hanging="1134"/>
      </w:pPr>
      <w:r>
        <w:t xml:space="preserve">TC:  </w:t>
      </w:r>
      <w:r>
        <w:tab/>
        <w:t>Comité Técnico</w:t>
      </w:r>
    </w:p>
    <w:p w:rsidR="005A7EA5" w:rsidRPr="005A7EA5" w:rsidRDefault="005A7EA5" w:rsidP="005A7EA5">
      <w:pPr>
        <w:ind w:left="1701" w:hanging="1134"/>
      </w:pPr>
      <w:r>
        <w:t xml:space="preserve">TC-EDC:  </w:t>
      </w:r>
      <w:r>
        <w:tab/>
        <w:t>Comité de Redacción Ampliado</w:t>
      </w:r>
    </w:p>
    <w:p w:rsidR="005A7EA5" w:rsidRPr="005A7EA5" w:rsidRDefault="005A7EA5" w:rsidP="005A7EA5">
      <w:pPr>
        <w:ind w:left="1701" w:hanging="1134"/>
      </w:pPr>
      <w:r>
        <w:t xml:space="preserve">TWA:  </w:t>
      </w:r>
      <w:r>
        <w:tab/>
        <w:t>Grupo de Trabajo Técnico sobre Plantas Agrícolas</w:t>
      </w:r>
    </w:p>
    <w:p w:rsidR="005A7EA5" w:rsidRPr="005A7EA5" w:rsidRDefault="005A7EA5" w:rsidP="005A7EA5">
      <w:pPr>
        <w:ind w:left="1701" w:hanging="1134"/>
      </w:pPr>
      <w:r>
        <w:t xml:space="preserve">TWC:  </w:t>
      </w:r>
      <w:r>
        <w:tab/>
        <w:t>Grupo de Trabajo Técnico sobre Automatización y Programas Informáticos</w:t>
      </w:r>
    </w:p>
    <w:p w:rsidR="005A7EA5" w:rsidRPr="005A7EA5" w:rsidRDefault="005A7EA5" w:rsidP="005A7EA5">
      <w:pPr>
        <w:ind w:left="1701" w:hanging="1134"/>
      </w:pPr>
      <w:r>
        <w:t xml:space="preserve">TWF:  </w:t>
      </w:r>
      <w:r>
        <w:tab/>
        <w:t xml:space="preserve">Grupo de Trabajo Técnico sobre Plantas Frutales </w:t>
      </w:r>
    </w:p>
    <w:p w:rsidR="005A7EA5" w:rsidRPr="005A7EA5" w:rsidRDefault="005A7EA5" w:rsidP="005A7EA5">
      <w:pPr>
        <w:ind w:left="1701" w:hanging="1134"/>
      </w:pPr>
      <w:r>
        <w:t xml:space="preserve">TWO:  </w:t>
      </w:r>
      <w:r>
        <w:tab/>
        <w:t xml:space="preserve">Grupo de Trabajo Técnico sobre Plantas Ornamentales y Árboles Forestales </w:t>
      </w:r>
    </w:p>
    <w:p w:rsidR="005A7EA5" w:rsidRPr="005A7EA5" w:rsidRDefault="005A7EA5" w:rsidP="005A7EA5">
      <w:pPr>
        <w:ind w:left="1701" w:hanging="1134"/>
        <w:rPr>
          <w:color w:val="000000"/>
        </w:rPr>
      </w:pPr>
      <w:r>
        <w:rPr>
          <w:color w:val="000000"/>
        </w:rPr>
        <w:t>TWP:</w:t>
      </w:r>
      <w:r>
        <w:tab/>
      </w:r>
      <w:r>
        <w:rPr>
          <w:color w:val="000000"/>
        </w:rPr>
        <w:t>Grupos de Trabajo Técnico</w:t>
      </w:r>
    </w:p>
    <w:p w:rsidR="005A7EA5" w:rsidRPr="005A7EA5" w:rsidRDefault="005A7EA5" w:rsidP="005A7EA5">
      <w:pPr>
        <w:ind w:left="1701" w:hanging="1134"/>
      </w:pPr>
      <w:r>
        <w:t xml:space="preserve">TWV:  </w:t>
      </w:r>
      <w:r>
        <w:tab/>
        <w:t>Grupo de Trabajo Técnico sobre Hortalizas</w:t>
      </w:r>
    </w:p>
    <w:p w:rsidR="005A7EA5" w:rsidRPr="005A7EA5" w:rsidRDefault="005A7EA5" w:rsidP="005A7EA5">
      <w:pPr>
        <w:rPr>
          <w:sz w:val="16"/>
        </w:rPr>
      </w:pPr>
    </w:p>
    <w:p w:rsidR="005A7EA5" w:rsidRPr="005A7EA5" w:rsidRDefault="00505021" w:rsidP="001A2399">
      <w:pPr>
        <w:rPr>
          <w:snapToGrid w:val="0"/>
        </w:rPr>
      </w:pPr>
      <w:r w:rsidRPr="005A7EA5">
        <w:fldChar w:fldCharType="begin"/>
      </w:r>
      <w:r w:rsidR="005A7EA5" w:rsidRPr="005A7EA5">
        <w:instrText xml:space="preserve"> AUTONUM  </w:instrText>
      </w:r>
      <w:r w:rsidRPr="005A7EA5">
        <w:fldChar w:fldCharType="end"/>
      </w:r>
      <w:r w:rsidR="005A7EA5">
        <w:tab/>
      </w:r>
      <w:r w:rsidR="005A7EA5">
        <w:rPr>
          <w:snapToGrid w:val="0"/>
        </w:rPr>
        <w:t>El presente documento se estructura del modo siguiente:</w:t>
      </w:r>
    </w:p>
    <w:p w:rsidR="005A7EA5" w:rsidRDefault="005A7EA5" w:rsidP="001A2399">
      <w:pPr>
        <w:rPr>
          <w:snapToGrid w:val="0"/>
        </w:rPr>
      </w:pPr>
    </w:p>
    <w:p w:rsidR="003B671F" w:rsidRDefault="00505021" w:rsidP="003B671F">
      <w:pPr>
        <w:pStyle w:val="TOC1"/>
        <w:rPr>
          <w:rFonts w:asciiTheme="minorHAnsi" w:eastAsiaTheme="minorEastAsia" w:hAnsiTheme="minorHAnsi" w:cstheme="minorBidi"/>
          <w:noProof/>
          <w:sz w:val="22"/>
          <w:szCs w:val="22"/>
          <w:lang w:val="en-US" w:eastAsia="en-US" w:bidi="ar-SA"/>
        </w:rPr>
      </w:pPr>
      <w:r w:rsidRPr="0052445F">
        <w:rPr>
          <w:rFonts w:cs="Arial"/>
          <w:bCs/>
          <w:noProof/>
          <w:snapToGrid w:val="0"/>
        </w:rPr>
        <w:fldChar w:fldCharType="begin"/>
      </w:r>
      <w:r w:rsidR="005A7EA5" w:rsidRPr="0052445F">
        <w:rPr>
          <w:rFonts w:cs="Arial"/>
          <w:bCs/>
          <w:snapToGrid w:val="0"/>
        </w:rPr>
        <w:instrText xml:space="preserve"> TOC \o "1-3" \h \z \u </w:instrText>
      </w:r>
      <w:r w:rsidRPr="0052445F">
        <w:rPr>
          <w:rFonts w:cs="Arial"/>
          <w:bCs/>
          <w:noProof/>
          <w:snapToGrid w:val="0"/>
        </w:rPr>
        <w:fldChar w:fldCharType="separate"/>
      </w:r>
      <w:hyperlink w:anchor="_Toc444103533" w:history="1">
        <w:r w:rsidR="003B671F" w:rsidRPr="004C4856">
          <w:rPr>
            <w:rStyle w:val="Hyperlink"/>
            <w:noProof/>
          </w:rPr>
          <w:t>ANTECEDENTES</w:t>
        </w:r>
        <w:r w:rsidR="003B671F">
          <w:rPr>
            <w:noProof/>
            <w:webHidden/>
          </w:rPr>
          <w:tab/>
        </w:r>
        <w:r w:rsidR="003B671F">
          <w:rPr>
            <w:noProof/>
            <w:webHidden/>
          </w:rPr>
          <w:fldChar w:fldCharType="begin"/>
        </w:r>
        <w:r w:rsidR="003B671F">
          <w:rPr>
            <w:noProof/>
            <w:webHidden/>
          </w:rPr>
          <w:instrText xml:space="preserve"> PAGEREF _Toc444103533 \h </w:instrText>
        </w:r>
        <w:r w:rsidR="003B671F">
          <w:rPr>
            <w:noProof/>
            <w:webHidden/>
          </w:rPr>
        </w:r>
        <w:r w:rsidR="003B671F">
          <w:rPr>
            <w:noProof/>
            <w:webHidden/>
          </w:rPr>
          <w:fldChar w:fldCharType="separate"/>
        </w:r>
        <w:r w:rsidR="00BA06B8">
          <w:rPr>
            <w:noProof/>
            <w:webHidden/>
          </w:rPr>
          <w:t>2</w:t>
        </w:r>
        <w:r w:rsidR="003B671F">
          <w:rPr>
            <w:noProof/>
            <w:webHidden/>
          </w:rPr>
          <w:fldChar w:fldCharType="end"/>
        </w:r>
      </w:hyperlink>
    </w:p>
    <w:p w:rsidR="003B671F" w:rsidRDefault="00BA06B8" w:rsidP="003B671F">
      <w:pPr>
        <w:pStyle w:val="TOC1"/>
        <w:rPr>
          <w:rFonts w:asciiTheme="minorHAnsi" w:eastAsiaTheme="minorEastAsia" w:hAnsiTheme="minorHAnsi" w:cstheme="minorBidi"/>
          <w:noProof/>
          <w:sz w:val="22"/>
          <w:szCs w:val="22"/>
          <w:lang w:val="en-US" w:eastAsia="en-US" w:bidi="ar-SA"/>
        </w:rPr>
      </w:pPr>
      <w:hyperlink w:anchor="_Toc444103534" w:history="1">
        <w:r w:rsidR="003B671F" w:rsidRPr="004C4856">
          <w:rPr>
            <w:rStyle w:val="Hyperlink"/>
            <w:noProof/>
          </w:rPr>
          <w:t>Novedades acaecidas en 2015</w:t>
        </w:r>
        <w:r w:rsidR="003B671F">
          <w:rPr>
            <w:noProof/>
            <w:webHidden/>
          </w:rPr>
          <w:tab/>
        </w:r>
        <w:r w:rsidR="003B671F">
          <w:rPr>
            <w:noProof/>
            <w:webHidden/>
          </w:rPr>
          <w:fldChar w:fldCharType="begin"/>
        </w:r>
        <w:r w:rsidR="003B671F">
          <w:rPr>
            <w:noProof/>
            <w:webHidden/>
          </w:rPr>
          <w:instrText xml:space="preserve"> PAGEREF _Toc444103534 \h </w:instrText>
        </w:r>
        <w:r w:rsidR="003B671F">
          <w:rPr>
            <w:noProof/>
            <w:webHidden/>
          </w:rPr>
        </w:r>
        <w:r w:rsidR="003B671F">
          <w:rPr>
            <w:noProof/>
            <w:webHidden/>
          </w:rPr>
          <w:fldChar w:fldCharType="separate"/>
        </w:r>
        <w:r>
          <w:rPr>
            <w:noProof/>
            <w:webHidden/>
          </w:rPr>
          <w:t>2</w:t>
        </w:r>
        <w:r w:rsidR="003B671F">
          <w:rPr>
            <w:noProof/>
            <w:webHidden/>
          </w:rPr>
          <w:fldChar w:fldCharType="end"/>
        </w:r>
      </w:hyperlink>
    </w:p>
    <w:p w:rsidR="003B671F" w:rsidRDefault="00BA06B8" w:rsidP="003B671F">
      <w:pPr>
        <w:pStyle w:val="TOC2"/>
        <w:rPr>
          <w:rFonts w:asciiTheme="minorHAnsi" w:eastAsiaTheme="minorEastAsia" w:hAnsiTheme="minorHAnsi" w:cstheme="minorBidi"/>
          <w:noProof/>
          <w:sz w:val="22"/>
          <w:szCs w:val="22"/>
          <w:lang w:val="en-US" w:eastAsia="en-US" w:bidi="ar-SA"/>
        </w:rPr>
      </w:pPr>
      <w:hyperlink w:anchor="_Toc444103535" w:history="1">
        <w:r w:rsidR="003B671F" w:rsidRPr="004C4856">
          <w:rPr>
            <w:rStyle w:val="Hyperlink"/>
            <w:noProof/>
          </w:rPr>
          <w:t>Comité Técnico</w:t>
        </w:r>
        <w:r w:rsidR="003B671F">
          <w:rPr>
            <w:noProof/>
            <w:webHidden/>
          </w:rPr>
          <w:tab/>
        </w:r>
        <w:r w:rsidR="003B671F">
          <w:rPr>
            <w:noProof/>
            <w:webHidden/>
          </w:rPr>
          <w:fldChar w:fldCharType="begin"/>
        </w:r>
        <w:r w:rsidR="003B671F">
          <w:rPr>
            <w:noProof/>
            <w:webHidden/>
          </w:rPr>
          <w:instrText xml:space="preserve"> PAGEREF _Toc444103535 \h </w:instrText>
        </w:r>
        <w:r w:rsidR="003B671F">
          <w:rPr>
            <w:noProof/>
            <w:webHidden/>
          </w:rPr>
        </w:r>
        <w:r w:rsidR="003B671F">
          <w:rPr>
            <w:noProof/>
            <w:webHidden/>
          </w:rPr>
          <w:fldChar w:fldCharType="separate"/>
        </w:r>
        <w:r>
          <w:rPr>
            <w:noProof/>
            <w:webHidden/>
          </w:rPr>
          <w:t>2</w:t>
        </w:r>
        <w:r w:rsidR="003B671F">
          <w:rPr>
            <w:noProof/>
            <w:webHidden/>
          </w:rPr>
          <w:fldChar w:fldCharType="end"/>
        </w:r>
      </w:hyperlink>
    </w:p>
    <w:p w:rsidR="003B671F" w:rsidRDefault="00BA06B8" w:rsidP="003B671F">
      <w:pPr>
        <w:pStyle w:val="TOC2"/>
        <w:rPr>
          <w:rFonts w:asciiTheme="minorHAnsi" w:eastAsiaTheme="minorEastAsia" w:hAnsiTheme="minorHAnsi" w:cstheme="minorBidi"/>
          <w:noProof/>
          <w:sz w:val="22"/>
          <w:szCs w:val="22"/>
          <w:lang w:val="en-US" w:eastAsia="en-US" w:bidi="ar-SA"/>
        </w:rPr>
      </w:pPr>
      <w:hyperlink w:anchor="_Toc444103536" w:history="1">
        <w:r w:rsidR="003B671F" w:rsidRPr="004C4856">
          <w:rPr>
            <w:rStyle w:val="Hyperlink"/>
            <w:noProof/>
          </w:rPr>
          <w:t>Examen de los Grupos de Trabajo Técnico realizado en 2015</w:t>
        </w:r>
        <w:r w:rsidR="003B671F">
          <w:rPr>
            <w:noProof/>
            <w:webHidden/>
          </w:rPr>
          <w:tab/>
        </w:r>
        <w:r w:rsidR="003B671F">
          <w:rPr>
            <w:noProof/>
            <w:webHidden/>
          </w:rPr>
          <w:fldChar w:fldCharType="begin"/>
        </w:r>
        <w:r w:rsidR="003B671F">
          <w:rPr>
            <w:noProof/>
            <w:webHidden/>
          </w:rPr>
          <w:instrText xml:space="preserve"> PAGEREF _Toc444103536 \h </w:instrText>
        </w:r>
        <w:r w:rsidR="003B671F">
          <w:rPr>
            <w:noProof/>
            <w:webHidden/>
          </w:rPr>
        </w:r>
        <w:r w:rsidR="003B671F">
          <w:rPr>
            <w:noProof/>
            <w:webHidden/>
          </w:rPr>
          <w:fldChar w:fldCharType="separate"/>
        </w:r>
        <w:r>
          <w:rPr>
            <w:noProof/>
            <w:webHidden/>
          </w:rPr>
          <w:t>3</w:t>
        </w:r>
        <w:r w:rsidR="003B671F">
          <w:rPr>
            <w:noProof/>
            <w:webHidden/>
          </w:rPr>
          <w:fldChar w:fldCharType="end"/>
        </w:r>
      </w:hyperlink>
    </w:p>
    <w:p w:rsidR="005A7EA5" w:rsidRDefault="00505021" w:rsidP="003B671F">
      <w:pPr>
        <w:pStyle w:val="TOC1"/>
        <w:rPr>
          <w:rFonts w:asciiTheme="minorHAnsi" w:eastAsiaTheme="minorEastAsia" w:hAnsiTheme="minorHAnsi" w:cstheme="minorBidi"/>
          <w:noProof/>
          <w:sz w:val="22"/>
          <w:szCs w:val="22"/>
        </w:rPr>
      </w:pPr>
      <w:r w:rsidRPr="0052445F">
        <w:rPr>
          <w:snapToGrid w:val="0"/>
        </w:rPr>
        <w:fldChar w:fldCharType="end"/>
      </w:r>
    </w:p>
    <w:p w:rsidR="005A7EA5" w:rsidRPr="00E9743E" w:rsidRDefault="005A7EA5" w:rsidP="003B671F">
      <w:pPr>
        <w:ind w:left="992" w:hanging="992"/>
        <w:rPr>
          <w:sz w:val="18"/>
        </w:rPr>
      </w:pPr>
      <w:r>
        <w:rPr>
          <w:snapToGrid w:val="0"/>
          <w:sz w:val="18"/>
        </w:rPr>
        <w:t>ANEXO</w:t>
      </w:r>
      <w:r>
        <w:tab/>
      </w:r>
      <w:r>
        <w:rPr>
          <w:sz w:val="18"/>
        </w:rPr>
        <w:t>COMPARACIÓN DE MÉTODOS UTILIZADOS PARA ELABORAR DESCRIPCIONES DE VARIEDADES</w:t>
      </w:r>
      <w:proofErr w:type="gramStart"/>
      <w:r w:rsidR="0030647E">
        <w:rPr>
          <w:sz w:val="18"/>
        </w:rPr>
        <w:t xml:space="preserve">:  </w:t>
      </w:r>
      <w:r>
        <w:rPr>
          <w:sz w:val="18"/>
        </w:rPr>
        <w:t>RESULTADOS</w:t>
      </w:r>
      <w:proofErr w:type="gramEnd"/>
      <w:r>
        <w:rPr>
          <w:sz w:val="18"/>
        </w:rPr>
        <w:t xml:space="preserve"> DEL EJERCICIO PRÁCTICO</w:t>
      </w:r>
    </w:p>
    <w:p w:rsidR="005A7EA5" w:rsidRPr="003B671F" w:rsidRDefault="005A7EA5" w:rsidP="003B671F"/>
    <w:p w:rsidR="005A7EA5" w:rsidRPr="003B671F" w:rsidRDefault="005A7EA5" w:rsidP="003B671F"/>
    <w:p w:rsidR="003B671F" w:rsidRDefault="003B671F">
      <w:pPr>
        <w:jc w:val="left"/>
        <w:rPr>
          <w:caps/>
        </w:rPr>
      </w:pPr>
      <w:bookmarkStart w:id="5" w:name="_Toc443058203"/>
      <w:bookmarkStart w:id="6" w:name="_Toc444103533"/>
      <w:r>
        <w:rPr>
          <w:caps/>
        </w:rPr>
        <w:br w:type="page"/>
      </w:r>
    </w:p>
    <w:p w:rsidR="005A7EA5" w:rsidRPr="005A7EA5" w:rsidRDefault="005A7EA5" w:rsidP="001A2399">
      <w:pPr>
        <w:outlineLvl w:val="0"/>
        <w:rPr>
          <w:caps/>
        </w:rPr>
      </w:pPr>
      <w:r>
        <w:rPr>
          <w:caps/>
        </w:rPr>
        <w:lastRenderedPageBreak/>
        <w:t>ANTECEDENTES</w:t>
      </w:r>
      <w:bookmarkEnd w:id="5"/>
      <w:bookmarkEnd w:id="6"/>
    </w:p>
    <w:p w:rsidR="005A7EA5" w:rsidRPr="005A7EA5" w:rsidRDefault="005A7EA5" w:rsidP="005A7EA5"/>
    <w:p w:rsidR="005A7EA5" w:rsidRPr="005A7EA5" w:rsidRDefault="00505021" w:rsidP="005A7EA5">
      <w:pPr>
        <w:autoSpaceDE w:val="0"/>
        <w:autoSpaceDN w:val="0"/>
        <w:adjustRightInd w:val="0"/>
        <w:rPr>
          <w:rFonts w:ascii="ArialMT" w:eastAsia="MS Mincho" w:hAnsi="ArialMT" w:cs="ArialMT"/>
        </w:rPr>
      </w:pPr>
      <w:r w:rsidRPr="005A7EA5">
        <w:fldChar w:fldCharType="begin"/>
      </w:r>
      <w:r w:rsidR="005A7EA5" w:rsidRPr="005A7EA5">
        <w:instrText xml:space="preserve"> AUTONUM  </w:instrText>
      </w:r>
      <w:r w:rsidRPr="005A7EA5">
        <w:fldChar w:fldCharType="end"/>
      </w:r>
      <w:r w:rsidR="005A7EA5">
        <w:tab/>
        <w:t>En su cuadragésima octava sesión, celebrada en Ginebra del 26 al 28 de marzo de 2012, el Comité Técnico (TC) examinó el Anexo III:</w:t>
      </w:r>
      <w:r w:rsidR="0030647E">
        <w:t xml:space="preserve"> </w:t>
      </w:r>
      <w:r w:rsidR="005A7EA5">
        <w:t xml:space="preserve"> “TGP/8 PARTE I: </w:t>
      </w:r>
      <w:r w:rsidR="0030647E">
        <w:t xml:space="preserve"> </w:t>
      </w:r>
      <w:r w:rsidR="005A7EA5">
        <w:t xml:space="preserve">Diseño de ensayos DHE y análisis de datos, Nueva Sección 6: </w:t>
      </w:r>
      <w:r w:rsidR="0030647E">
        <w:t xml:space="preserve"> </w:t>
      </w:r>
      <w:r w:rsidR="005A7EA5">
        <w:t>Tratamiento de datos para la evaluación de la distinción y la elaboración de descripciones de variedades”, junto con el Anexo VIII:</w:t>
      </w:r>
      <w:r w:rsidR="0030647E">
        <w:t xml:space="preserve"> </w:t>
      </w:r>
      <w:r w:rsidR="005A7EA5">
        <w:t xml:space="preserve"> “TGP/8 PARTE II: </w:t>
      </w:r>
      <w:r w:rsidR="0030647E">
        <w:t xml:space="preserve"> </w:t>
      </w:r>
      <w:r w:rsidR="005A7EA5">
        <w:t>T</w:t>
      </w:r>
      <w:r w:rsidR="001A2399">
        <w:t>écnicas utilizadas en el examen </w:t>
      </w:r>
      <w:r w:rsidR="005A7EA5">
        <w:t>DHE, Nueva Sección 13:</w:t>
      </w:r>
      <w:r w:rsidR="0030647E">
        <w:t xml:space="preserve"> </w:t>
      </w:r>
      <w:r w:rsidR="005A7EA5">
        <w:t xml:space="preserve"> Métodos de tratamiento de datos para la evaluación de la distinción y la elaboración de descripciones de variedades” del documento TC/48/19 Rev.  El TC acordó que la información proporcionada en el Anexo VIII de dicho documento y en el Seminario de la UPOV sobre el examen DHE, celebrado en Ginebra en marzo de 2010, junto con el método aportado por el Japón y el método empleado en Francia para elaborar descripciones de variedades para cultivos pratenses, tal como se presentó al TWC en su vigésima sexta sesión (véanse los documentos TWC/26/15, TWC/26/15 </w:t>
      </w:r>
      <w:proofErr w:type="spellStart"/>
      <w:r w:rsidR="005A7EA5">
        <w:t>Add</w:t>
      </w:r>
      <w:proofErr w:type="spellEnd"/>
      <w:r w:rsidR="005A7EA5">
        <w:t>. y TWC/26/24), constituyen un primer paso muy importante en la elaboración de una orientación común sobre el tratamiento de datos para la eva</w:t>
      </w:r>
      <w:r w:rsidR="00EF191B">
        <w:t>luación de la distinción y la elaboración de</w:t>
      </w:r>
      <w:r w:rsidR="005A7EA5">
        <w:t xml:space="preserve"> descripciones de variedades, aunque concluyó que no sería adecuado incluir en el documento TGP/8 esa información, tal como se presenta en el Anexo VIII del documento TC/48/19 Rev.  Asimismo, acordó que la Oficina de la Unión resum</w:t>
      </w:r>
      <w:r w:rsidR="00EF191B">
        <w:t>ier</w:t>
      </w:r>
      <w:r w:rsidR="005A7EA5">
        <w:t xml:space="preserve">a los distintos enfoques expuestos en el Anexo VIII del documento TC/48/19 Rev. </w:t>
      </w:r>
      <w:proofErr w:type="gramStart"/>
      <w:r w:rsidR="005A7EA5">
        <w:t>con</w:t>
      </w:r>
      <w:proofErr w:type="gramEnd"/>
      <w:r w:rsidR="005A7EA5">
        <w:t xml:space="preserve"> respecto a los aspectos comunes y los aspectos respecto de los cuales hay divergencia.  A partir de ese resumen, el paso siguiente sería examinar la elaboración de una orientación general.  El TC convino en que la sección debería incluir ejemplos que abarquen la gama de variación de los caracteres.  Asimismo, acordó que la información detallada sobre los métodos se </w:t>
      </w:r>
      <w:r w:rsidR="00EF191B">
        <w:t xml:space="preserve">pusiera </w:t>
      </w:r>
      <w:r w:rsidR="005A7EA5">
        <w:t>a disposición en el sitio web de la UPOV, con referencias en el documento TGP/8 (véase el párrafo 52 del documento TC/48/22 “Informe sobre las conclusiones”).</w:t>
      </w:r>
    </w:p>
    <w:p w:rsidR="005A7EA5" w:rsidRPr="005A7EA5" w:rsidRDefault="005A7EA5" w:rsidP="005A7EA5">
      <w:bookmarkStart w:id="7" w:name="_Toc347750089"/>
    </w:p>
    <w:p w:rsidR="005A7EA5" w:rsidRPr="005A7EA5" w:rsidRDefault="00505021" w:rsidP="005A7EA5">
      <w:r w:rsidRPr="005A7EA5">
        <w:fldChar w:fldCharType="begin"/>
      </w:r>
      <w:r w:rsidR="005A7EA5" w:rsidRPr="005A7EA5">
        <w:instrText xml:space="preserve"> AUTONUM  </w:instrText>
      </w:r>
      <w:r w:rsidRPr="005A7EA5">
        <w:fldChar w:fldCharType="end"/>
      </w:r>
      <w:r w:rsidR="005A7EA5">
        <w:tab/>
        <w:t xml:space="preserve">En sus sesiones de 2012, los TWP asistieron </w:t>
      </w:r>
      <w:bookmarkEnd w:id="7"/>
      <w:r w:rsidR="005A7EA5">
        <w:t>a una ponencia de la Oficina de la Unión sobre el “Resumen de los distintos enfoques aplicados para transformar mediciones en notas para las descripciones de variedades”, reproducida en el Anexo I del documento TC/50/25 “Revisión del documento TGP/8</w:t>
      </w:r>
      <w:proofErr w:type="gramStart"/>
      <w:r w:rsidR="005A7EA5">
        <w:t>:</w:t>
      </w:r>
      <w:r w:rsidR="0030647E">
        <w:t xml:space="preserve"> </w:t>
      </w:r>
      <w:r w:rsidR="005A7EA5">
        <w:t xml:space="preserve"> </w:t>
      </w:r>
      <w:r w:rsidR="006C593E">
        <w:t>Parte</w:t>
      </w:r>
      <w:proofErr w:type="gramEnd"/>
      <w:r w:rsidR="006C593E">
        <w:t> </w:t>
      </w:r>
      <w:r w:rsidR="005A7EA5">
        <w:t xml:space="preserve">II: </w:t>
      </w:r>
      <w:r w:rsidR="0030647E">
        <w:t xml:space="preserve"> </w:t>
      </w:r>
      <w:r w:rsidR="005A7EA5">
        <w:t>Técnicas utilizadas en el examen DHE, nueva sección</w:t>
      </w:r>
      <w:r w:rsidR="0030647E">
        <w:t xml:space="preserve">:  </w:t>
      </w:r>
      <w:r w:rsidR="005A7EA5">
        <w:t xml:space="preserve">Tratamiento de datos para la evaluación de la distinción y la elaboración de descripciones de variedades”. </w:t>
      </w:r>
    </w:p>
    <w:p w:rsidR="005A7EA5" w:rsidRPr="005A7EA5" w:rsidRDefault="005A7EA5" w:rsidP="005A7EA5"/>
    <w:p w:rsidR="005A7EA5" w:rsidRPr="005A7EA5" w:rsidRDefault="00505021" w:rsidP="005A7EA5">
      <w:pPr>
        <w:rPr>
          <w:rFonts w:cs="Arial"/>
        </w:rPr>
      </w:pPr>
      <w:r w:rsidRPr="005A7EA5">
        <w:fldChar w:fldCharType="begin"/>
      </w:r>
      <w:r w:rsidR="005A7EA5" w:rsidRPr="005A7EA5">
        <w:instrText xml:space="preserve"> AUTONUM  </w:instrText>
      </w:r>
      <w:r w:rsidRPr="005A7EA5">
        <w:fldChar w:fldCharType="end"/>
      </w:r>
      <w:r w:rsidR="005A7EA5">
        <w:tab/>
        <w:t xml:space="preserve">En su trigésima sesión, celebrada en Chisinau (República de </w:t>
      </w:r>
      <w:proofErr w:type="spellStart"/>
      <w:r w:rsidR="005A7EA5">
        <w:t>Moldova</w:t>
      </w:r>
      <w:proofErr w:type="spellEnd"/>
      <w:r w:rsidR="005A7EA5">
        <w:t>) del 26 al 29 de junio de 2012, el TWC acordó que los expertos de Finlandia, Italia y el Reino Unido respaldaran a la Oficina de la Unión en la realización del resumen de los distintos enfoques aplicados para seguir perfeccionando la orientación común sobre el tratamiento de datos para la evaluación de la distinción y la elaboración de descripciones de variedades (véase el documento TWC/30/41 “</w:t>
      </w:r>
      <w:proofErr w:type="spellStart"/>
      <w:r w:rsidR="005A7EA5">
        <w:rPr>
          <w:i/>
        </w:rPr>
        <w:t>Report</w:t>
      </w:r>
      <w:proofErr w:type="spellEnd"/>
      <w:r w:rsidR="005A7EA5">
        <w:t>” (Informe), párrafo 42)</w:t>
      </w:r>
      <w:r w:rsidR="00453F7E">
        <w:t xml:space="preserve">.  </w:t>
      </w:r>
      <w:r w:rsidR="005A7EA5">
        <w:t>También acordó que los expertos del Reino Unido, en colaboración con los expertos de Alemania y Francia</w:t>
      </w:r>
      <w:r w:rsidR="006C593E">
        <w:t>,</w:t>
      </w:r>
      <w:r w:rsidR="005A7EA5">
        <w:t xml:space="preserve"> realizaran un ejercicio práctico.</w:t>
      </w:r>
      <w:r w:rsidR="005A7EA5">
        <w:rPr>
          <w:color w:val="000000"/>
        </w:rPr>
        <w:t xml:space="preserve"> </w:t>
      </w:r>
      <w:r w:rsidR="00A4652D">
        <w:rPr>
          <w:color w:val="000000"/>
        </w:rPr>
        <w:t xml:space="preserve"> </w:t>
      </w:r>
      <w:r w:rsidR="005A7EA5">
        <w:t xml:space="preserve">El ejercicio consistiría en tratar un conjunto de datos comunes para </w:t>
      </w:r>
      <w:r w:rsidR="006C593E">
        <w:t xml:space="preserve">elaborar </w:t>
      </w:r>
      <w:r w:rsidR="005A7EA5">
        <w:t>descripciones de variedades, con el fin de determinar los aspectos comunes y si había divergencia entre los métodos aplicados (véase el documento TWC/30/41 “</w:t>
      </w:r>
      <w:proofErr w:type="spellStart"/>
      <w:r w:rsidR="005A7EA5">
        <w:rPr>
          <w:i/>
        </w:rPr>
        <w:t>Report</w:t>
      </w:r>
      <w:proofErr w:type="spellEnd"/>
      <w:r w:rsidR="005A7EA5">
        <w:t>”, párrafo 43).</w:t>
      </w:r>
    </w:p>
    <w:p w:rsidR="005A7EA5" w:rsidRPr="005A7EA5" w:rsidRDefault="005A7EA5" w:rsidP="005A7EA5"/>
    <w:p w:rsidR="005A7EA5" w:rsidRPr="005A7EA5" w:rsidRDefault="00505021" w:rsidP="005A7EA5">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r>
      <w:r w:rsidR="005A7EA5">
        <w:rPr>
          <w:snapToGrid w:val="0"/>
        </w:rPr>
        <w:t xml:space="preserve">Los antecedentes de las </w:t>
      </w:r>
      <w:r w:rsidR="005A7EA5">
        <w:t>novedades acaecidas antes de la quincuagésima primera sesión del Comité Técnico (TC) relativas a la posibilidad de incluir una nueva sección en el documento TGP/8 “Tratamiento de datos para la evaluación de la distinción y la elaboración de descripciones de variedades” se facilitan en el documento TC/51/7 “Revisión del documento TGP/8</w:t>
      </w:r>
      <w:r w:rsidR="0030647E">
        <w:t xml:space="preserve">:  </w:t>
      </w:r>
      <w:r w:rsidR="005A7EA5">
        <w:t>Parte II</w:t>
      </w:r>
      <w:r w:rsidR="0030647E">
        <w:t xml:space="preserve">:  </w:t>
      </w:r>
      <w:r w:rsidR="005A7EA5">
        <w:t>Técnicas utilizadas en el examen DHE, nueva sección</w:t>
      </w:r>
      <w:r w:rsidR="0030647E">
        <w:t xml:space="preserve">:  </w:t>
      </w:r>
      <w:r w:rsidR="005A7EA5">
        <w:t>Tratamiento de datos para la evaluación de la distinción y la elaboración de descripciones de variedades”.</w:t>
      </w:r>
    </w:p>
    <w:p w:rsidR="005A7EA5" w:rsidRPr="005A7EA5" w:rsidRDefault="005A7EA5" w:rsidP="005A7EA5"/>
    <w:p w:rsidR="005A7EA5" w:rsidRPr="005A7EA5" w:rsidRDefault="005A7EA5" w:rsidP="005A7EA5"/>
    <w:p w:rsidR="005A7EA5" w:rsidRPr="005A7EA5" w:rsidRDefault="005A7EA5" w:rsidP="001A2399">
      <w:pPr>
        <w:outlineLvl w:val="0"/>
        <w:rPr>
          <w:caps/>
        </w:rPr>
      </w:pPr>
      <w:bookmarkStart w:id="8" w:name="_Toc443058204"/>
      <w:bookmarkStart w:id="9" w:name="_Toc444103534"/>
      <w:r>
        <w:rPr>
          <w:caps/>
        </w:rPr>
        <w:t>Novedades acaecidas en 2015</w:t>
      </w:r>
      <w:bookmarkEnd w:id="8"/>
      <w:bookmarkEnd w:id="9"/>
    </w:p>
    <w:p w:rsidR="005A7EA5" w:rsidRPr="005A7EA5" w:rsidRDefault="005A7EA5" w:rsidP="001A2399">
      <w:pPr>
        <w:outlineLvl w:val="0"/>
        <w:rPr>
          <w:caps/>
        </w:rPr>
      </w:pPr>
    </w:p>
    <w:p w:rsidR="005A7EA5" w:rsidRPr="005A7EA5" w:rsidRDefault="005A7EA5" w:rsidP="001A2399">
      <w:pPr>
        <w:outlineLvl w:val="1"/>
        <w:rPr>
          <w:u w:val="single"/>
        </w:rPr>
      </w:pPr>
      <w:bookmarkStart w:id="10" w:name="_Toc443058205"/>
      <w:bookmarkStart w:id="11" w:name="_Toc444103535"/>
      <w:r>
        <w:rPr>
          <w:u w:val="single"/>
        </w:rPr>
        <w:t>Comité Técnico</w:t>
      </w:r>
      <w:bookmarkEnd w:id="10"/>
      <w:bookmarkEnd w:id="11"/>
    </w:p>
    <w:p w:rsidR="005A7EA5" w:rsidRPr="005A7EA5" w:rsidRDefault="005A7EA5" w:rsidP="005A7EA5"/>
    <w:p w:rsidR="005A7EA5" w:rsidRPr="005A7EA5" w:rsidRDefault="00505021" w:rsidP="005A7EA5">
      <w:pPr>
        <w:rPr>
          <w:rFonts w:cs="Arial"/>
        </w:rPr>
      </w:pPr>
      <w:r w:rsidRPr="005A7EA5">
        <w:rPr>
          <w:color w:val="000000"/>
        </w:rPr>
        <w:fldChar w:fldCharType="begin"/>
      </w:r>
      <w:r w:rsidR="005A7EA5" w:rsidRPr="005A7EA5">
        <w:rPr>
          <w:color w:val="000000"/>
        </w:rPr>
        <w:instrText xml:space="preserve"> AUTONUM  </w:instrText>
      </w:r>
      <w:r w:rsidRPr="005A7EA5">
        <w:rPr>
          <w:color w:val="000000"/>
        </w:rPr>
        <w:fldChar w:fldCharType="end"/>
      </w:r>
      <w:r w:rsidR="005A7EA5">
        <w:tab/>
        <w:t>En su quincuagésima primera sesión, celebrada en Ginebra del 23 al 25 de marzo de 2015, el TC examinó el documento TC/51/19 “Revisión del documento TGP/8</w:t>
      </w:r>
      <w:proofErr w:type="gramStart"/>
      <w:r w:rsidR="0030647E">
        <w:t xml:space="preserve">:  </w:t>
      </w:r>
      <w:r w:rsidR="005A7EA5">
        <w:t>Parte</w:t>
      </w:r>
      <w:proofErr w:type="gramEnd"/>
      <w:r w:rsidR="005A7EA5">
        <w:t xml:space="preserve"> II</w:t>
      </w:r>
      <w:r w:rsidR="0030647E">
        <w:t xml:space="preserve">:  </w:t>
      </w:r>
      <w:r w:rsidR="005A7EA5">
        <w:t>nueva sección</w:t>
      </w:r>
      <w:r w:rsidR="0030647E">
        <w:t xml:space="preserve">:  </w:t>
      </w:r>
      <w:r w:rsidR="005A7EA5">
        <w:t>Tratamiento de datos para la evaluación de la distinción y la elaboración de descripciones de variedades” (véase el documento TC/51/39 “Informe”, párrafo 146).</w:t>
      </w:r>
    </w:p>
    <w:p w:rsidR="005A7EA5" w:rsidRPr="005A7EA5" w:rsidRDefault="005A7EA5" w:rsidP="005A7EA5">
      <w:pPr>
        <w:rPr>
          <w:rFonts w:cs="Arial"/>
        </w:rPr>
      </w:pPr>
    </w:p>
    <w:p w:rsidR="005A7EA5" w:rsidRPr="005A7EA5" w:rsidRDefault="00505021" w:rsidP="005A7EA5">
      <w:pPr>
        <w:rPr>
          <w:rFonts w:cs="Arial"/>
        </w:rPr>
      </w:pPr>
      <w:r w:rsidRPr="005A7EA5">
        <w:rPr>
          <w:color w:val="000000"/>
        </w:rPr>
        <w:fldChar w:fldCharType="begin"/>
      </w:r>
      <w:r w:rsidR="005A7EA5" w:rsidRPr="005A7EA5">
        <w:rPr>
          <w:color w:val="000000"/>
        </w:rPr>
        <w:instrText xml:space="preserve"> AUTONUM  </w:instrText>
      </w:r>
      <w:r w:rsidRPr="005A7EA5">
        <w:rPr>
          <w:color w:val="000000"/>
        </w:rPr>
        <w:fldChar w:fldCharType="end"/>
      </w:r>
      <w:r w:rsidR="005A7EA5">
        <w:tab/>
        <w:t>El TC acogió con agrado la propuesta formulada por el TWC de comparar los resultados del ejercicio práctico presentados por los diferentes participantes a fin de determinar las diferencias entre los resultados obtenidos para entender mejor los distintos métodos, con el propósito de que el TWC la examine en su trigésima tercera sesión que se celebrará en Natal (Brasil) del 30 de junio al 3 de julio de 2015 (véase el documento TC/51/39 “Informe”, párrafo 147).</w:t>
      </w:r>
    </w:p>
    <w:p w:rsidR="005A7EA5" w:rsidRPr="005A7EA5" w:rsidRDefault="005A7EA5" w:rsidP="005A7EA5">
      <w:pPr>
        <w:rPr>
          <w:rFonts w:cs="Arial"/>
        </w:rPr>
      </w:pPr>
    </w:p>
    <w:p w:rsidR="005A7EA5" w:rsidRPr="005A7EA5" w:rsidRDefault="00505021" w:rsidP="005A7EA5">
      <w:r w:rsidRPr="005A7EA5">
        <w:rPr>
          <w:color w:val="000000"/>
        </w:rPr>
        <w:lastRenderedPageBreak/>
        <w:fldChar w:fldCharType="begin"/>
      </w:r>
      <w:r w:rsidR="005A7EA5" w:rsidRPr="005A7EA5">
        <w:rPr>
          <w:color w:val="000000"/>
        </w:rPr>
        <w:instrText xml:space="preserve"> AUTONUM  </w:instrText>
      </w:r>
      <w:r w:rsidRPr="005A7EA5">
        <w:rPr>
          <w:color w:val="000000"/>
        </w:rPr>
        <w:fldChar w:fldCharType="end"/>
      </w:r>
      <w:r w:rsidR="005A7EA5">
        <w:tab/>
        <w:t>El TC tomó nota de que la Unión Europea había informado de la cancelación del proyecto de “</w:t>
      </w:r>
      <w:r w:rsidR="008D5D71">
        <w:t>ring </w:t>
      </w:r>
      <w:r w:rsidR="005A7EA5">
        <w:t>test” en el manzano para gestionar la descripción de variedades, que se iba a iniciar en 2015, debido al elevado costo que conlleva (véase el documento TC/51/39 “Informe”, párrafo 148).</w:t>
      </w:r>
    </w:p>
    <w:p w:rsidR="005A7EA5" w:rsidRPr="005A7EA5" w:rsidRDefault="005A7EA5" w:rsidP="005A7EA5"/>
    <w:p w:rsidR="005A7EA5" w:rsidRPr="005A7EA5" w:rsidRDefault="005A7EA5" w:rsidP="001A2399">
      <w:pPr>
        <w:outlineLvl w:val="1"/>
        <w:rPr>
          <w:u w:val="single"/>
        </w:rPr>
      </w:pPr>
      <w:bookmarkStart w:id="12" w:name="_Toc443058206"/>
      <w:bookmarkStart w:id="13" w:name="_Toc444103536"/>
      <w:r>
        <w:rPr>
          <w:u w:val="single"/>
        </w:rPr>
        <w:t>Examen de los Grupos de Trabajo Técnico realizado en 2015</w:t>
      </w:r>
      <w:bookmarkEnd w:id="12"/>
      <w:bookmarkEnd w:id="13"/>
    </w:p>
    <w:p w:rsidR="005A7EA5" w:rsidRPr="005A7EA5" w:rsidRDefault="005A7EA5" w:rsidP="005A7EA5"/>
    <w:p w:rsidR="005A7EA5" w:rsidRPr="005A7EA5" w:rsidRDefault="00505021" w:rsidP="005A7EA5">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t xml:space="preserve">El TWV, el TWC, el TWA, el TWF y el TWO </w:t>
      </w:r>
      <w:r w:rsidR="005A7EA5">
        <w:rPr>
          <w:snapToGrid w:val="0"/>
        </w:rPr>
        <w:t>examinaron los documentos TWV/49/18, TWC/33/18,</w:t>
      </w:r>
      <w:r w:rsidR="005A7EA5">
        <w:t xml:space="preserve"> TWA/44/18, TWF/46/18 y TWO/48/18 “</w:t>
      </w:r>
      <w:proofErr w:type="spellStart"/>
      <w:r w:rsidR="005A7EA5">
        <w:rPr>
          <w:i/>
        </w:rPr>
        <w:t>Revision</w:t>
      </w:r>
      <w:proofErr w:type="spellEnd"/>
      <w:r w:rsidR="005A7EA5">
        <w:rPr>
          <w:i/>
        </w:rPr>
        <w:t xml:space="preserve"> of </w:t>
      </w:r>
      <w:proofErr w:type="spellStart"/>
      <w:r w:rsidR="005A7EA5">
        <w:rPr>
          <w:i/>
        </w:rPr>
        <w:t>Document</w:t>
      </w:r>
      <w:proofErr w:type="spellEnd"/>
      <w:r w:rsidR="005A7EA5">
        <w:rPr>
          <w:i/>
        </w:rPr>
        <w:t xml:space="preserve"> TGP/8</w:t>
      </w:r>
      <w:r w:rsidR="0030647E">
        <w:rPr>
          <w:i/>
        </w:rPr>
        <w:t xml:space="preserve">:  </w:t>
      </w:r>
      <w:proofErr w:type="spellStart"/>
      <w:r w:rsidR="005A7EA5">
        <w:rPr>
          <w:i/>
        </w:rPr>
        <w:t>Part</w:t>
      </w:r>
      <w:proofErr w:type="spellEnd"/>
      <w:r w:rsidR="005A7EA5">
        <w:rPr>
          <w:i/>
        </w:rPr>
        <w:t xml:space="preserve"> II</w:t>
      </w:r>
      <w:r w:rsidR="0030647E">
        <w:rPr>
          <w:i/>
        </w:rPr>
        <w:t xml:space="preserve">:  </w:t>
      </w:r>
      <w:proofErr w:type="spellStart"/>
      <w:r w:rsidR="005A7EA5">
        <w:rPr>
          <w:i/>
        </w:rPr>
        <w:t>Selected</w:t>
      </w:r>
      <w:proofErr w:type="spellEnd"/>
      <w:r w:rsidR="005A7EA5">
        <w:rPr>
          <w:i/>
        </w:rPr>
        <w:t xml:space="preserve"> </w:t>
      </w:r>
      <w:proofErr w:type="spellStart"/>
      <w:r w:rsidR="005A7EA5">
        <w:rPr>
          <w:i/>
        </w:rPr>
        <w:t>Techniques</w:t>
      </w:r>
      <w:proofErr w:type="spellEnd"/>
      <w:r w:rsidR="005A7EA5">
        <w:rPr>
          <w:i/>
        </w:rPr>
        <w:t xml:space="preserve"> </w:t>
      </w:r>
      <w:proofErr w:type="spellStart"/>
      <w:r w:rsidR="005A7EA5">
        <w:rPr>
          <w:i/>
        </w:rPr>
        <w:t>Used</w:t>
      </w:r>
      <w:proofErr w:type="spellEnd"/>
      <w:r w:rsidR="005A7EA5">
        <w:rPr>
          <w:i/>
        </w:rPr>
        <w:t xml:space="preserve"> in DUS </w:t>
      </w:r>
      <w:proofErr w:type="spellStart"/>
      <w:r w:rsidR="005A7EA5">
        <w:rPr>
          <w:i/>
        </w:rPr>
        <w:t>Examination</w:t>
      </w:r>
      <w:proofErr w:type="spellEnd"/>
      <w:r w:rsidR="005A7EA5">
        <w:rPr>
          <w:i/>
        </w:rPr>
        <w:t xml:space="preserve">, New </w:t>
      </w:r>
      <w:proofErr w:type="spellStart"/>
      <w:r w:rsidR="005A7EA5">
        <w:rPr>
          <w:i/>
        </w:rPr>
        <w:t>Section</w:t>
      </w:r>
      <w:proofErr w:type="spellEnd"/>
      <w:r w:rsidR="005A7EA5">
        <w:rPr>
          <w:i/>
        </w:rPr>
        <w:t xml:space="preserve">: </w:t>
      </w:r>
      <w:r w:rsidR="0030647E">
        <w:rPr>
          <w:i/>
        </w:rPr>
        <w:t xml:space="preserve"> </w:t>
      </w:r>
      <w:r w:rsidR="005A7EA5">
        <w:rPr>
          <w:i/>
        </w:rPr>
        <w:t xml:space="preserve">Data </w:t>
      </w:r>
      <w:proofErr w:type="spellStart"/>
      <w:r w:rsidR="005A7EA5">
        <w:rPr>
          <w:i/>
        </w:rPr>
        <w:t>Processing</w:t>
      </w:r>
      <w:proofErr w:type="spellEnd"/>
      <w:r w:rsidR="005A7EA5">
        <w:rPr>
          <w:i/>
        </w:rPr>
        <w:t xml:space="preserve"> </w:t>
      </w:r>
      <w:proofErr w:type="spellStart"/>
      <w:r w:rsidR="005A7EA5">
        <w:rPr>
          <w:i/>
        </w:rPr>
        <w:t>for</w:t>
      </w:r>
      <w:proofErr w:type="spellEnd"/>
      <w:r w:rsidR="005A7EA5">
        <w:rPr>
          <w:i/>
        </w:rPr>
        <w:t xml:space="preserve"> </w:t>
      </w:r>
      <w:proofErr w:type="spellStart"/>
      <w:r w:rsidR="005A7EA5">
        <w:rPr>
          <w:i/>
        </w:rPr>
        <w:t>the</w:t>
      </w:r>
      <w:proofErr w:type="spellEnd"/>
      <w:r w:rsidR="005A7EA5">
        <w:rPr>
          <w:i/>
        </w:rPr>
        <w:t xml:space="preserve"> </w:t>
      </w:r>
      <w:proofErr w:type="spellStart"/>
      <w:r w:rsidR="005A7EA5">
        <w:rPr>
          <w:i/>
        </w:rPr>
        <w:t>Assessment</w:t>
      </w:r>
      <w:proofErr w:type="spellEnd"/>
      <w:r w:rsidR="005A7EA5">
        <w:rPr>
          <w:i/>
        </w:rPr>
        <w:t xml:space="preserve"> of </w:t>
      </w:r>
      <w:proofErr w:type="spellStart"/>
      <w:r w:rsidR="005A7EA5">
        <w:rPr>
          <w:i/>
        </w:rPr>
        <w:t>Distinctness</w:t>
      </w:r>
      <w:proofErr w:type="spellEnd"/>
      <w:r w:rsidR="005A7EA5">
        <w:rPr>
          <w:i/>
        </w:rPr>
        <w:t xml:space="preserve"> and </w:t>
      </w:r>
      <w:proofErr w:type="spellStart"/>
      <w:r w:rsidR="005A7EA5">
        <w:rPr>
          <w:i/>
        </w:rPr>
        <w:t>for</w:t>
      </w:r>
      <w:proofErr w:type="spellEnd"/>
      <w:r w:rsidR="005A7EA5">
        <w:rPr>
          <w:i/>
        </w:rPr>
        <w:t xml:space="preserve"> </w:t>
      </w:r>
      <w:proofErr w:type="spellStart"/>
      <w:r w:rsidR="005A7EA5">
        <w:rPr>
          <w:i/>
        </w:rPr>
        <w:t>Producing</w:t>
      </w:r>
      <w:proofErr w:type="spellEnd"/>
      <w:r w:rsidR="005A7EA5">
        <w:rPr>
          <w:i/>
        </w:rPr>
        <w:t xml:space="preserve"> </w:t>
      </w:r>
      <w:proofErr w:type="spellStart"/>
      <w:r w:rsidR="005A7EA5">
        <w:rPr>
          <w:i/>
        </w:rPr>
        <w:t>Variety</w:t>
      </w:r>
      <w:proofErr w:type="spellEnd"/>
      <w:r w:rsidR="005A7EA5">
        <w:rPr>
          <w:i/>
        </w:rPr>
        <w:t xml:space="preserve"> </w:t>
      </w:r>
      <w:proofErr w:type="spellStart"/>
      <w:r w:rsidR="005A7EA5">
        <w:rPr>
          <w:i/>
        </w:rPr>
        <w:t>Descriptions</w:t>
      </w:r>
      <w:proofErr w:type="spellEnd"/>
      <w:r w:rsidR="005A7EA5">
        <w:t>” (Revisión del documento TGP/8:</w:t>
      </w:r>
      <w:r w:rsidR="0030647E">
        <w:t xml:space="preserve">  </w:t>
      </w:r>
      <w:r w:rsidR="005A7EA5">
        <w:t>Parte II:  Técnicas utilizadas en el examen DHE, nueva sección</w:t>
      </w:r>
      <w:r w:rsidR="0030647E">
        <w:t xml:space="preserve">:  </w:t>
      </w:r>
      <w:r w:rsidR="005A7EA5">
        <w:t>Tratamiento de datos para la evaluación de la distinción y la elaboración de descripciones de variedades) que contenían el documento de un experto de Francia titulado “Comparación de métodos utilizados para elaborar descripciones de variedades</w:t>
      </w:r>
      <w:r w:rsidR="0030647E">
        <w:t xml:space="preserve">:  </w:t>
      </w:r>
      <w:r w:rsidR="005A7EA5">
        <w:t>resultados del ejercicio práctico” que se reproduce en el Anexo del presente documento (véase el documento TWV/49/32 Rev. “</w:t>
      </w:r>
      <w:proofErr w:type="spellStart"/>
      <w:r w:rsidR="005A7EA5">
        <w:rPr>
          <w:i/>
        </w:rPr>
        <w:t>Revised</w:t>
      </w:r>
      <w:proofErr w:type="spellEnd"/>
      <w:r w:rsidR="005A7EA5">
        <w:rPr>
          <w:i/>
        </w:rPr>
        <w:t xml:space="preserve"> </w:t>
      </w:r>
      <w:proofErr w:type="spellStart"/>
      <w:r w:rsidR="005A7EA5">
        <w:rPr>
          <w:i/>
        </w:rPr>
        <w:t>report</w:t>
      </w:r>
      <w:proofErr w:type="spellEnd"/>
      <w:r w:rsidR="005A7EA5">
        <w:t>” (Informe revisado), párrafos 58 a 61, el documento TWC/33/30 “</w:t>
      </w:r>
      <w:proofErr w:type="spellStart"/>
      <w:r w:rsidR="005A7EA5">
        <w:rPr>
          <w:i/>
        </w:rPr>
        <w:t>Report</w:t>
      </w:r>
      <w:proofErr w:type="spellEnd"/>
      <w:r w:rsidR="005A7EA5">
        <w:t>”, párrafos 36 a 42, el documento TWA/44/23 “</w:t>
      </w:r>
      <w:proofErr w:type="spellStart"/>
      <w:r w:rsidR="005A7EA5">
        <w:rPr>
          <w:i/>
        </w:rPr>
        <w:t>Report</w:t>
      </w:r>
      <w:proofErr w:type="spellEnd"/>
      <w:r w:rsidR="005A7EA5">
        <w:t>”, párrafos 48 a 51, el documento TWF/46/29 Rev. “</w:t>
      </w:r>
      <w:proofErr w:type="spellStart"/>
      <w:r w:rsidR="005A7EA5">
        <w:rPr>
          <w:i/>
        </w:rPr>
        <w:t>Revised</w:t>
      </w:r>
      <w:proofErr w:type="spellEnd"/>
      <w:r w:rsidR="005A7EA5">
        <w:rPr>
          <w:i/>
        </w:rPr>
        <w:t xml:space="preserve"> </w:t>
      </w:r>
      <w:proofErr w:type="spellStart"/>
      <w:r w:rsidR="003B671F">
        <w:rPr>
          <w:i/>
        </w:rPr>
        <w:t>R</w:t>
      </w:r>
      <w:r w:rsidR="005A7EA5">
        <w:rPr>
          <w:i/>
        </w:rPr>
        <w:t>eport</w:t>
      </w:r>
      <w:proofErr w:type="spellEnd"/>
      <w:r w:rsidR="005A7EA5">
        <w:t>”, párrafos 51 a 54, y el documento TWO/48/26 “</w:t>
      </w:r>
      <w:proofErr w:type="spellStart"/>
      <w:r w:rsidR="005A7EA5">
        <w:rPr>
          <w:i/>
        </w:rPr>
        <w:t>Report</w:t>
      </w:r>
      <w:proofErr w:type="spellEnd"/>
      <w:r w:rsidR="005A7EA5">
        <w:t>”, párrafos 46 a 49)</w:t>
      </w:r>
      <w:r w:rsidR="005A7EA5">
        <w:rPr>
          <w:snapToGrid w:val="0"/>
        </w:rPr>
        <w:t>.</w:t>
      </w:r>
    </w:p>
    <w:p w:rsidR="005A7EA5" w:rsidRPr="005A7EA5" w:rsidRDefault="005A7EA5" w:rsidP="005A7EA5">
      <w:pPr>
        <w:rPr>
          <w:snapToGrid w:val="0"/>
        </w:rPr>
      </w:pPr>
    </w:p>
    <w:p w:rsidR="005A7EA5" w:rsidRPr="005A7EA5" w:rsidRDefault="00505021" w:rsidP="005A7EA5">
      <w:pPr>
        <w:rPr>
          <w:snapToGrid w:val="0"/>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t>El TWV, el TWC, el TWA, el TWF y el TWO</w:t>
      </w:r>
      <w:r w:rsidR="005A7EA5">
        <w:rPr>
          <w:snapToGrid w:val="0"/>
        </w:rPr>
        <w:t xml:space="preserve"> tomaron nota de que el TWC y el TWA habían convenido en que la orientación sobre las “Diferentes formas que pueden adoptar las descripciones de variedades y la importancia de los niveles de escala”, que se reproduce en el Anexo I de los documentos TWV/49/18, </w:t>
      </w:r>
      <w:r w:rsidR="005A7EA5">
        <w:t xml:space="preserve">TWA/44/18, TWF/46/18, </w:t>
      </w:r>
      <w:r w:rsidR="005A7EA5">
        <w:rPr>
          <w:snapToGrid w:val="0"/>
        </w:rPr>
        <w:t>TWC/33/18</w:t>
      </w:r>
      <w:r w:rsidR="005A7EA5">
        <w:t xml:space="preserve"> y TWO/48/18,</w:t>
      </w:r>
      <w:r w:rsidR="005A7EA5">
        <w:rPr>
          <w:snapToGrid w:val="0"/>
        </w:rPr>
        <w:t xml:space="preserve"> se debía utilizar como introducción de futuras orientaciones que se elaboren sobre el tratamiento de los datos destinados al examen de la distinción y a la elaboración de descripciones de variedades. </w:t>
      </w:r>
    </w:p>
    <w:p w:rsidR="005A7EA5" w:rsidRPr="005A7EA5" w:rsidRDefault="005A7EA5" w:rsidP="005A7EA5">
      <w:pPr>
        <w:rPr>
          <w:snapToGrid w:val="0"/>
        </w:rPr>
      </w:pPr>
    </w:p>
    <w:p w:rsidR="005A7EA5" w:rsidRPr="005A7EA5" w:rsidRDefault="00505021" w:rsidP="005A7EA5">
      <w:pPr>
        <w:rPr>
          <w:snapToGrid w:val="0"/>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r>
      <w:r w:rsidR="005A7EA5">
        <w:rPr>
          <w:snapToGrid w:val="0"/>
        </w:rPr>
        <w:t>El TWV, el TWA, el TWF y el TWO tomaron nota de que el TWC había acordado comparar los resultados del ejercicio práctico presentados por los diferentes participantes a fin de determinar las diferencias entre los resultados obtenidos para entender mejor los distintos métodos, con el propósito de que el TWC la</w:t>
      </w:r>
      <w:r w:rsidR="00865F86">
        <w:rPr>
          <w:snapToGrid w:val="0"/>
        </w:rPr>
        <w:t>s</w:t>
      </w:r>
      <w:r w:rsidR="005A7EA5">
        <w:rPr>
          <w:snapToGrid w:val="0"/>
        </w:rPr>
        <w:t xml:space="preserve"> examinara en su trigésima tercera sesión que se celebraría en Natal (Brasil) del 30 de junio al 3 de julio de 2015.</w:t>
      </w:r>
    </w:p>
    <w:p w:rsidR="005A7EA5" w:rsidRPr="005A7EA5" w:rsidRDefault="005A7EA5" w:rsidP="005A7EA5">
      <w:pPr>
        <w:rPr>
          <w:snapToGrid w:val="0"/>
        </w:rPr>
      </w:pPr>
    </w:p>
    <w:p w:rsidR="005A7EA5" w:rsidRPr="005A7EA5" w:rsidRDefault="00505021" w:rsidP="005A7EA5">
      <w:pPr>
        <w:rPr>
          <w:snapToGrid w:val="0"/>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t>El TWV, el TWC, el TWA, el TWF y el TWO</w:t>
      </w:r>
      <w:r w:rsidR="005A7EA5">
        <w:rPr>
          <w:snapToGrid w:val="0"/>
        </w:rPr>
        <w:t xml:space="preserve"> tomaron nota de que la Unión Europea había informado al TC de la cancelación de un proyecto de “ring test” en el manzano para gestionar la descripción de variedades, que se iba a iniciar en 2015.</w:t>
      </w:r>
    </w:p>
    <w:p w:rsidR="005A7EA5" w:rsidRPr="005A7EA5" w:rsidRDefault="005A7EA5" w:rsidP="005A7EA5">
      <w:pPr>
        <w:rPr>
          <w:snapToGrid w:val="0"/>
        </w:rPr>
      </w:pPr>
    </w:p>
    <w:p w:rsidR="005A7EA5" w:rsidRPr="005A7EA5" w:rsidRDefault="00505021" w:rsidP="005A7EA5">
      <w:pPr>
        <w:rPr>
          <w:snapToGrid w:val="0"/>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r>
      <w:r w:rsidR="005A7EA5">
        <w:rPr>
          <w:snapToGrid w:val="0"/>
        </w:rPr>
        <w:t xml:space="preserve">El TWC </w:t>
      </w:r>
      <w:r w:rsidR="005A7EA5">
        <w:rPr>
          <w:rFonts w:hint="eastAsia"/>
          <w:snapToGrid w:val="0"/>
        </w:rPr>
        <w:t>examinó</w:t>
      </w:r>
      <w:r w:rsidR="005A7EA5">
        <w:rPr>
          <w:snapToGrid w:val="0"/>
        </w:rPr>
        <w:t xml:space="preserve"> la información expuesta en el Anexo III del documento TWC/33/18 y </w:t>
      </w:r>
      <w:proofErr w:type="gramStart"/>
      <w:r w:rsidR="005A7EA5">
        <w:rPr>
          <w:snapToGrid w:val="0"/>
        </w:rPr>
        <w:t>reproducida en el Anexo del presente documento, relativa</w:t>
      </w:r>
      <w:proofErr w:type="gramEnd"/>
      <w:r w:rsidR="005A7EA5">
        <w:rPr>
          <w:snapToGrid w:val="0"/>
        </w:rPr>
        <w:t xml:space="preserve"> a los pasos seguidos en los métodos, que los participantes facilitaron en el ejercicio práctico.  El TWC convino en que los métodos de asignación de notas a las variedades candidatas se basan en una combinación de la división entre niveles de espaciado equivalente, el uso de los resultados de variedades ejemplo y el dictamen de un experto en el cultivo.</w:t>
      </w:r>
    </w:p>
    <w:p w:rsidR="005A7EA5" w:rsidRPr="005A7EA5" w:rsidRDefault="005A7EA5" w:rsidP="005A7EA5">
      <w:pPr>
        <w:rPr>
          <w:snapToGrid w:val="0"/>
        </w:rPr>
      </w:pPr>
    </w:p>
    <w:p w:rsidR="005A7EA5" w:rsidRPr="005A7EA5" w:rsidRDefault="00505021" w:rsidP="005A7EA5">
      <w:pPr>
        <w:rPr>
          <w:snapToGrid w:val="0"/>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r>
      <w:r w:rsidR="005A7EA5">
        <w:rPr>
          <w:snapToGrid w:val="0"/>
        </w:rPr>
        <w:t>El TWC examinó las diferencias entre los resultados del ejercicio práctico presentados por los diferentes participantes a fin de entender las diferencias entre los métodos señaladas por un experto de Francia, que se exponen en el Anexo III del documento TWC/33/18 y se reproducen en el Anexo de este documento.</w:t>
      </w:r>
    </w:p>
    <w:p w:rsidR="005A7EA5" w:rsidRPr="005A7EA5" w:rsidRDefault="005A7EA5" w:rsidP="005A7EA5">
      <w:pPr>
        <w:rPr>
          <w:snapToGrid w:val="0"/>
        </w:rPr>
      </w:pPr>
    </w:p>
    <w:p w:rsidR="005A7EA5" w:rsidRPr="005A7EA5" w:rsidRDefault="00505021" w:rsidP="005A7EA5">
      <w:pPr>
        <w:contextualSpacing/>
        <w:rPr>
          <w:rFonts w:cs="Arial"/>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r>
      <w:r w:rsidR="005A7EA5">
        <w:rPr>
          <w:snapToGrid w:val="0"/>
        </w:rPr>
        <w:t>El TWC convino en que</w:t>
      </w:r>
      <w:r w:rsidR="00674276">
        <w:rPr>
          <w:snapToGrid w:val="0"/>
        </w:rPr>
        <w:t>,</w:t>
      </w:r>
      <w:r w:rsidR="005A7EA5">
        <w:rPr>
          <w:snapToGrid w:val="0"/>
        </w:rPr>
        <w:t xml:space="preserve"> </w:t>
      </w:r>
      <w:r w:rsidR="00674276">
        <w:rPr>
          <w:snapToGrid w:val="0"/>
        </w:rPr>
        <w:t xml:space="preserve">en el cuadro de la página 1 del Anexo III del </w:t>
      </w:r>
      <w:r w:rsidR="00674276">
        <w:t xml:space="preserve">documento TWC/33/18, </w:t>
      </w:r>
      <w:r w:rsidR="005A7EA5">
        <w:rPr>
          <w:snapToGrid w:val="0"/>
        </w:rPr>
        <w:t xml:space="preserve">se debía introducir una “X” </w:t>
      </w:r>
      <w:r w:rsidR="00674276">
        <w:rPr>
          <w:snapToGrid w:val="0"/>
        </w:rPr>
        <w:t xml:space="preserve">en la casilla correspondiente </w:t>
      </w:r>
      <w:r w:rsidR="005A7EA5">
        <w:rPr>
          <w:snapToGrid w:val="0"/>
        </w:rPr>
        <w:t>al “método 2” del Reino Unido</w:t>
      </w:r>
      <w:r w:rsidR="00674276">
        <w:rPr>
          <w:snapToGrid w:val="0"/>
        </w:rPr>
        <w:t xml:space="preserve"> de</w:t>
      </w:r>
      <w:r w:rsidR="005A7EA5">
        <w:rPr>
          <w:snapToGrid w:val="0"/>
        </w:rPr>
        <w:t xml:space="preserve"> la columna “variedades ejemplo”.  Conforme a ello, el TWC estuvo de acuerdo en que los </w:t>
      </w:r>
      <w:r w:rsidR="005A7EA5">
        <w:t>diferentes métodos de asignación de notas a las variedades candidatas se podían resumir brevemente como se expone en el cuadro siguiente:</w:t>
      </w:r>
    </w:p>
    <w:p w:rsidR="005A7EA5" w:rsidRPr="005A7EA5" w:rsidRDefault="005A7EA5" w:rsidP="005A7EA5">
      <w:pPr>
        <w:rPr>
          <w:rFonts w:cs="Arial"/>
          <w:sz w:val="16"/>
          <w:szCs w:val="16"/>
        </w:rPr>
      </w:pPr>
    </w:p>
    <w:p w:rsidR="003B671F" w:rsidRDefault="003B671F">
      <w:r>
        <w:br w:type="page"/>
      </w: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5A7EA5" w:rsidRPr="005A7EA5" w:rsidTr="0030647E">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Cs/>
                <w:color w:val="000000"/>
                <w:sz w:val="18"/>
                <w:szCs w:val="18"/>
              </w:rPr>
            </w:pPr>
            <w:r>
              <w:rPr>
                <w:color w:val="000000"/>
                <w:sz w:val="18"/>
              </w:rPr>
              <w:t>PAÍS</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5A7EA5" w:rsidRPr="005A7EA5" w:rsidRDefault="005A7EA5" w:rsidP="005A7EA5">
            <w:pPr>
              <w:jc w:val="center"/>
              <w:rPr>
                <w:rFonts w:cs="Arial"/>
                <w:bCs/>
                <w:color w:val="000000"/>
                <w:sz w:val="18"/>
                <w:szCs w:val="18"/>
              </w:rPr>
            </w:pPr>
            <w:r>
              <w:rPr>
                <w:color w:val="000000"/>
                <w:sz w:val="18"/>
              </w:rPr>
              <w:t>Método</w:t>
            </w:r>
            <w:r w:rsidR="0030647E">
              <w:rPr>
                <w:color w:val="000000"/>
                <w:sz w:val="18"/>
              </w:rPr>
              <w:t xml:space="preserve">:  </w:t>
            </w:r>
            <w:r>
              <w:rPr>
                <w:color w:val="000000"/>
                <w:sz w:val="18"/>
              </w:rPr>
              <w:t>descripción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Cs/>
                <w:color w:val="000000"/>
                <w:sz w:val="18"/>
                <w:szCs w:val="18"/>
              </w:rPr>
            </w:pPr>
            <w:r>
              <w:rPr>
                <w:color w:val="000000"/>
                <w:sz w:val="18"/>
              </w:rPr>
              <w:t>Variedades ejemplo</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Cs/>
                <w:color w:val="000000"/>
                <w:sz w:val="18"/>
                <w:szCs w:val="18"/>
              </w:rPr>
            </w:pPr>
            <w:r>
              <w:rPr>
                <w:color w:val="000000"/>
                <w:sz w:val="18"/>
              </w:rPr>
              <w:t>Dictamen de un experto en el cultivo</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Cs/>
                <w:color w:val="000000"/>
                <w:sz w:val="18"/>
                <w:szCs w:val="18"/>
              </w:rPr>
            </w:pPr>
            <w:r>
              <w:rPr>
                <w:color w:val="000000"/>
                <w:sz w:val="18"/>
              </w:rPr>
              <w:t>Nivel de espaciado equivalente</w:t>
            </w:r>
          </w:p>
        </w:tc>
      </w:tr>
      <w:tr w:rsidR="005A7EA5" w:rsidRPr="005A7EA5" w:rsidTr="0030647E">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Francia</w:t>
            </w: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1</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Combina el uso de las variedades ejemplo y la colección de referencia</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r>
      <w:tr w:rsidR="005A7EA5" w:rsidRPr="005A7EA5" w:rsidTr="0030647E">
        <w:trPr>
          <w:trHeight w:val="600"/>
        </w:trPr>
        <w:tc>
          <w:tcPr>
            <w:tcW w:w="1083" w:type="dxa"/>
            <w:vMerge/>
            <w:tcBorders>
              <w:top w:val="nil"/>
              <w:left w:val="single" w:sz="4" w:space="0" w:color="auto"/>
              <w:bottom w:val="single" w:sz="4" w:space="0" w:color="auto"/>
              <w:right w:val="single" w:sz="4" w:space="0" w:color="auto"/>
            </w:tcBorders>
            <w:vAlign w:val="center"/>
            <w:hideMark/>
          </w:tcPr>
          <w:p w:rsidR="005A7EA5" w:rsidRPr="005A7EA5" w:rsidRDefault="005A7EA5" w:rsidP="005A7EA5">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2</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 xml:space="preserve">Medias ajustadas del programa COY + método de regresión lineal calibrado con variedades ejemplo </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r>
      <w:tr w:rsidR="005A7EA5" w:rsidRPr="005A7EA5" w:rsidTr="0030647E">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Italia</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 xml:space="preserve">Amplitud promedio de las medias históricas + mediana como </w:t>
            </w:r>
            <w:r w:rsidR="00674276">
              <w:rPr>
                <w:snapToGrid w:val="0"/>
              </w:rPr>
              <w:t>“</w:t>
            </w:r>
            <w:r>
              <w:rPr>
                <w:color w:val="000000"/>
              </w:rPr>
              <w:t>punto de referencia</w:t>
            </w:r>
            <w:r w:rsidR="00674276">
              <w:rPr>
                <w:snapToGrid w:val="0"/>
              </w:rPr>
              <w:t>”</w:t>
            </w:r>
            <w:r>
              <w:rPr>
                <w:color w:val="000000"/>
              </w:rPr>
              <w:t xml:space="preserve"> + partición entre niveles de espaciado equivalente + calibración mediante el dictamen de un experto en el cultivo y variedades ejemplo</w:t>
            </w:r>
          </w:p>
        </w:tc>
        <w:tc>
          <w:tcPr>
            <w:tcW w:w="90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rFonts w:hint="eastAsia"/>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rFonts w:hint="eastAsia"/>
                <w:color w:val="000000"/>
              </w:rPr>
              <w:t>X</w:t>
            </w:r>
          </w:p>
        </w:tc>
      </w:tr>
      <w:tr w:rsidR="005A7EA5" w:rsidRPr="005A7EA5" w:rsidTr="0030647E">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Alemania</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Media ajustada del programa COY + partición basada en las variedades ejemplo y el dictamen de un experto en el cultivo</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rFonts w:hint="eastAsia"/>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r>
      <w:tr w:rsidR="005A7EA5" w:rsidRPr="005A7EA5" w:rsidTr="0030647E">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Japón</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93C9B">
            <w:pPr>
              <w:jc w:val="center"/>
              <w:rPr>
                <w:rFonts w:cs="Arial"/>
                <w:color w:val="000000"/>
              </w:rPr>
            </w:pPr>
            <w:r>
              <w:rPr>
                <w:color w:val="000000"/>
              </w:rPr>
              <w:t xml:space="preserve">Cuadro de evaluación </w:t>
            </w:r>
            <w:r w:rsidR="00593C9B">
              <w:rPr>
                <w:color w:val="000000"/>
              </w:rPr>
              <w:t xml:space="preserve">completa </w:t>
            </w:r>
            <w:r>
              <w:rPr>
                <w:color w:val="000000"/>
              </w:rPr>
              <w:t>(CE</w:t>
            </w:r>
            <w:r w:rsidR="00593C9B">
              <w:rPr>
                <w:color w:val="000000"/>
              </w:rPr>
              <w:t>C</w:t>
            </w:r>
            <w:r>
              <w:rPr>
                <w:color w:val="000000"/>
              </w:rPr>
              <w:t>) ajustado:  los niveles se determinan a partir de los datos históricos de las variedades ejemplo</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rFonts w:hint="eastAsia"/>
                <w:color w:val="000000"/>
              </w:rPr>
              <w:t>X</w:t>
            </w:r>
          </w:p>
        </w:tc>
      </w:tr>
      <w:tr w:rsidR="005A7EA5" w:rsidRPr="005A7EA5" w:rsidTr="0030647E">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Reino Unido</w:t>
            </w: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1</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Gama de expresión de las medias interanuales correspondientes a las variedades de las colecciones de referencia (durante los últimos 10 años) dividida en niveles de espaciado equivalente</w:t>
            </w:r>
          </w:p>
        </w:tc>
        <w:tc>
          <w:tcPr>
            <w:tcW w:w="90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rFonts w:hint="eastAsia"/>
                <w:color w:val="000000"/>
              </w:rPr>
              <w:t>X</w:t>
            </w:r>
          </w:p>
        </w:tc>
      </w:tr>
      <w:tr w:rsidR="005A7EA5" w:rsidRPr="005A7EA5" w:rsidTr="0030647E">
        <w:trPr>
          <w:trHeight w:val="600"/>
        </w:trPr>
        <w:tc>
          <w:tcPr>
            <w:tcW w:w="1083" w:type="dxa"/>
            <w:vMerge/>
            <w:tcBorders>
              <w:top w:val="nil"/>
              <w:left w:val="single" w:sz="4" w:space="0" w:color="auto"/>
              <w:bottom w:val="single" w:sz="4" w:space="0" w:color="auto"/>
              <w:right w:val="single" w:sz="4" w:space="0" w:color="auto"/>
            </w:tcBorders>
            <w:vAlign w:val="center"/>
            <w:hideMark/>
          </w:tcPr>
          <w:p w:rsidR="005A7EA5" w:rsidRPr="005A7EA5" w:rsidRDefault="005A7EA5" w:rsidP="005A7EA5">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2</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Los expertos en los cultivos definen variedades delimitantes, de las que se emplean las medias para determinar los límites de cada nivel</w:t>
            </w:r>
          </w:p>
        </w:tc>
        <w:tc>
          <w:tcPr>
            <w:tcW w:w="90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color w:val="000000"/>
                <w:u w:val="single"/>
              </w:rPr>
            </w:pPr>
            <w:r>
              <w:rPr>
                <w:rFonts w:hint="eastAsia"/>
                <w:b/>
                <w:color w:val="000000"/>
                <w:highlight w:val="lightGray"/>
                <w:u w:val="single"/>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rFonts w:hint="eastAsia"/>
                <w:color w:val="000000"/>
              </w:rPr>
              <w:t>X</w:t>
            </w:r>
          </w:p>
        </w:tc>
        <w:tc>
          <w:tcPr>
            <w:tcW w:w="810" w:type="dxa"/>
            <w:tcBorders>
              <w:top w:val="nil"/>
              <w:left w:val="nil"/>
              <w:bottom w:val="single" w:sz="4" w:space="0" w:color="auto"/>
              <w:right w:val="single" w:sz="4" w:space="0" w:color="auto"/>
            </w:tcBorders>
            <w:shd w:val="clear" w:color="auto" w:fill="auto"/>
            <w:noWrap/>
            <w:vAlign w:val="bottom"/>
            <w:hideMark/>
          </w:tcPr>
          <w:p w:rsidR="005A7EA5" w:rsidRPr="005A7EA5" w:rsidRDefault="005A7EA5" w:rsidP="005A7EA5">
            <w:pPr>
              <w:jc w:val="center"/>
              <w:rPr>
                <w:rFonts w:cs="Arial"/>
                <w:color w:val="000000"/>
              </w:rPr>
            </w:pPr>
            <w:r>
              <w:rPr>
                <w:color w:val="000000"/>
              </w:rPr>
              <w:t> </w:t>
            </w:r>
          </w:p>
        </w:tc>
      </w:tr>
    </w:tbl>
    <w:p w:rsidR="005A7EA5" w:rsidRPr="005A7EA5" w:rsidRDefault="005A7EA5" w:rsidP="005A7EA5">
      <w:pPr>
        <w:spacing w:line="360" w:lineRule="auto"/>
        <w:jc w:val="left"/>
        <w:rPr>
          <w:rFonts w:cs="Arial"/>
        </w:rPr>
      </w:pPr>
    </w:p>
    <w:p w:rsidR="005A7EA5" w:rsidRPr="005A7EA5" w:rsidRDefault="00505021" w:rsidP="005A7EA5">
      <w:pPr>
        <w:rPr>
          <w:snapToGrid w:val="0"/>
        </w:rPr>
      </w:pPr>
      <w:r w:rsidRPr="005A7EA5">
        <w:rPr>
          <w:snapToGrid w:val="0"/>
        </w:rPr>
        <w:fldChar w:fldCharType="begin"/>
      </w:r>
      <w:r w:rsidR="005A7EA5" w:rsidRPr="005A7EA5">
        <w:rPr>
          <w:snapToGrid w:val="0"/>
        </w:rPr>
        <w:instrText xml:space="preserve"> AUTONUM  </w:instrText>
      </w:r>
      <w:r w:rsidRPr="005A7EA5">
        <w:rPr>
          <w:snapToGrid w:val="0"/>
        </w:rPr>
        <w:fldChar w:fldCharType="end"/>
      </w:r>
      <w:r w:rsidR="005A7EA5">
        <w:tab/>
      </w:r>
      <w:r w:rsidR="005A7EA5">
        <w:rPr>
          <w:snapToGrid w:val="0"/>
        </w:rPr>
        <w:t xml:space="preserve">El TWC tomó nota de que la información sobre los métodos utilizados en el tratamiento de datos para evaluar la distinción y elaborar descripciones de variedades en China se examinará en el punto 10 </w:t>
      </w:r>
      <w:r w:rsidR="00CE6876">
        <w:rPr>
          <w:snapToGrid w:val="0"/>
        </w:rPr>
        <w:t xml:space="preserve">del orden del día </w:t>
      </w:r>
      <w:r w:rsidR="005A7EA5">
        <w:rPr>
          <w:snapToGrid w:val="0"/>
        </w:rPr>
        <w:t>“Información sobre los métodos utilizados en el tratamiento de datos para evaluar la distinción y elaborar descripciones de variedades en China” (véase el documento TWC/33/23 “</w:t>
      </w:r>
      <w:proofErr w:type="spellStart"/>
      <w:r w:rsidR="005A7EA5">
        <w:rPr>
          <w:i/>
          <w:snapToGrid w:val="0"/>
        </w:rPr>
        <w:t>Application</w:t>
      </w:r>
      <w:proofErr w:type="spellEnd"/>
      <w:r w:rsidR="005A7EA5">
        <w:rPr>
          <w:i/>
          <w:snapToGrid w:val="0"/>
        </w:rPr>
        <w:t xml:space="preserve"> Management </w:t>
      </w:r>
      <w:proofErr w:type="spellStart"/>
      <w:r w:rsidR="005A7EA5">
        <w:rPr>
          <w:i/>
          <w:snapToGrid w:val="0"/>
        </w:rPr>
        <w:t>System</w:t>
      </w:r>
      <w:proofErr w:type="spellEnd"/>
      <w:r w:rsidR="005A7EA5">
        <w:rPr>
          <w:i/>
          <w:snapToGrid w:val="0"/>
        </w:rPr>
        <w:t xml:space="preserve"> (AMS) and </w:t>
      </w:r>
      <w:proofErr w:type="spellStart"/>
      <w:r w:rsidR="005A7EA5">
        <w:rPr>
          <w:i/>
          <w:snapToGrid w:val="0"/>
        </w:rPr>
        <w:t>Variety</w:t>
      </w:r>
      <w:proofErr w:type="spellEnd"/>
      <w:r w:rsidR="005A7EA5">
        <w:rPr>
          <w:i/>
          <w:snapToGrid w:val="0"/>
        </w:rPr>
        <w:t xml:space="preserve"> </w:t>
      </w:r>
      <w:proofErr w:type="spellStart"/>
      <w:r w:rsidR="005A7EA5">
        <w:rPr>
          <w:i/>
          <w:snapToGrid w:val="0"/>
        </w:rPr>
        <w:t>Description</w:t>
      </w:r>
      <w:proofErr w:type="spellEnd"/>
      <w:r w:rsidR="005A7EA5">
        <w:rPr>
          <w:i/>
          <w:snapToGrid w:val="0"/>
        </w:rPr>
        <w:t xml:space="preserve"> </w:t>
      </w:r>
      <w:proofErr w:type="spellStart"/>
      <w:r w:rsidR="005A7EA5">
        <w:rPr>
          <w:i/>
          <w:snapToGrid w:val="0"/>
        </w:rPr>
        <w:t>Database</w:t>
      </w:r>
      <w:proofErr w:type="spellEnd"/>
      <w:r w:rsidR="005A7EA5">
        <w:rPr>
          <w:i/>
          <w:snapToGrid w:val="0"/>
        </w:rPr>
        <w:t xml:space="preserve"> (VDD) in China</w:t>
      </w:r>
      <w:r w:rsidR="005A7EA5">
        <w:rPr>
          <w:snapToGrid w:val="0"/>
        </w:rPr>
        <w:t>” (Sistema de gestión de solicitudes y base de datos de descripciones de variedades de China)).</w:t>
      </w:r>
    </w:p>
    <w:p w:rsidR="005A7EA5" w:rsidRPr="005A7EA5" w:rsidRDefault="005A7EA5" w:rsidP="005A7EA5">
      <w:pPr>
        <w:rPr>
          <w:snapToGrid w:val="0"/>
        </w:rPr>
      </w:pPr>
    </w:p>
    <w:p w:rsidR="005A7EA5" w:rsidRPr="005A7EA5" w:rsidRDefault="00505021" w:rsidP="001A2399">
      <w:r w:rsidRPr="005A7EA5">
        <w:fldChar w:fldCharType="begin"/>
      </w:r>
      <w:r w:rsidR="005A7EA5" w:rsidRPr="005A7EA5">
        <w:instrText xml:space="preserve"> AUTONUM  </w:instrText>
      </w:r>
      <w:r w:rsidRPr="005A7EA5">
        <w:fldChar w:fldCharType="end"/>
      </w:r>
      <w:r w:rsidR="005A7EA5">
        <w:tab/>
        <w:t>El TWC asistió a una ponencia de un experto de China acerca del sistema de gestión de solicitudes y la base de datos de descripciones de variedades de China.  Se facilita una copia de la ponencia en el documento TWC/33/23 (véase el documento TWC/33/30 “</w:t>
      </w:r>
      <w:proofErr w:type="spellStart"/>
      <w:r w:rsidR="005A7EA5">
        <w:rPr>
          <w:i/>
        </w:rPr>
        <w:t>Report</w:t>
      </w:r>
      <w:proofErr w:type="spellEnd"/>
      <w:r w:rsidR="005A7EA5">
        <w:t>”, párrafo 80).</w:t>
      </w:r>
    </w:p>
    <w:p w:rsidR="005A7EA5" w:rsidRPr="005A7EA5" w:rsidRDefault="005A7EA5" w:rsidP="005A7EA5">
      <w:pPr>
        <w:rPr>
          <w:snapToGrid w:val="0"/>
        </w:rPr>
      </w:pPr>
    </w:p>
    <w:p w:rsidR="005A7EA5" w:rsidRPr="005A7EA5" w:rsidRDefault="00505021" w:rsidP="005A7EA5">
      <w:pPr>
        <w:tabs>
          <w:tab w:val="left" w:pos="5529"/>
        </w:tabs>
        <w:ind w:left="4820"/>
        <w:rPr>
          <w:i/>
        </w:rPr>
      </w:pPr>
      <w:r w:rsidRPr="005A7EA5">
        <w:rPr>
          <w:i/>
        </w:rPr>
        <w:fldChar w:fldCharType="begin"/>
      </w:r>
      <w:r w:rsidR="005A7EA5" w:rsidRPr="005A7EA5">
        <w:rPr>
          <w:i/>
        </w:rPr>
        <w:instrText xml:space="preserve"> AUTONUM  </w:instrText>
      </w:r>
      <w:r w:rsidRPr="005A7EA5">
        <w:rPr>
          <w:i/>
        </w:rPr>
        <w:fldChar w:fldCharType="end"/>
      </w:r>
      <w:r w:rsidR="005A7EA5">
        <w:tab/>
      </w:r>
      <w:r w:rsidR="005A7EA5">
        <w:rPr>
          <w:i/>
        </w:rPr>
        <w:t>Se invita al TC a:</w:t>
      </w:r>
    </w:p>
    <w:p w:rsidR="005A7EA5" w:rsidRPr="005A7EA5" w:rsidRDefault="005A7EA5" w:rsidP="005A7EA5">
      <w:pPr>
        <w:tabs>
          <w:tab w:val="left" w:pos="5529"/>
        </w:tabs>
        <w:ind w:left="4820"/>
        <w:rPr>
          <w:i/>
        </w:rPr>
      </w:pPr>
    </w:p>
    <w:p w:rsidR="005A7EA5" w:rsidRPr="005A7EA5" w:rsidRDefault="009A073F" w:rsidP="009A073F">
      <w:pPr>
        <w:tabs>
          <w:tab w:val="left" w:pos="5954"/>
        </w:tabs>
        <w:ind w:left="4820" w:firstLine="709"/>
        <w:contextualSpacing/>
        <w:rPr>
          <w:i/>
        </w:rPr>
      </w:pPr>
      <w:r>
        <w:rPr>
          <w:i/>
        </w:rPr>
        <w:t>a)</w:t>
      </w:r>
      <w:r>
        <w:rPr>
          <w:i/>
        </w:rPr>
        <w:tab/>
      </w:r>
      <w:r w:rsidR="005A7EA5">
        <w:rPr>
          <w:i/>
        </w:rPr>
        <w:t>tomar nota de las novedades dadas a conocer en este documento;  y</w:t>
      </w:r>
    </w:p>
    <w:p w:rsidR="005A7EA5" w:rsidRPr="005A7EA5" w:rsidRDefault="005A7EA5" w:rsidP="009A073F">
      <w:pPr>
        <w:tabs>
          <w:tab w:val="left" w:pos="5954"/>
        </w:tabs>
        <w:ind w:left="4820" w:firstLine="709"/>
        <w:contextualSpacing/>
        <w:rPr>
          <w:i/>
        </w:rPr>
      </w:pPr>
    </w:p>
    <w:p w:rsidR="005A7EA5" w:rsidRPr="005A7EA5" w:rsidRDefault="009A073F" w:rsidP="009A073F">
      <w:pPr>
        <w:tabs>
          <w:tab w:val="left" w:pos="5954"/>
        </w:tabs>
        <w:ind w:left="4820" w:firstLine="709"/>
        <w:contextualSpacing/>
        <w:rPr>
          <w:i/>
        </w:rPr>
      </w:pPr>
      <w:r>
        <w:rPr>
          <w:i/>
        </w:rPr>
        <w:t>b)</w:t>
      </w:r>
      <w:r>
        <w:rPr>
          <w:i/>
        </w:rPr>
        <w:tab/>
      </w:r>
      <w:r w:rsidR="005A7EA5">
        <w:rPr>
          <w:i/>
        </w:rPr>
        <w:t>examinar la propuesta formulada por el</w:t>
      </w:r>
      <w:r>
        <w:rPr>
          <w:i/>
        </w:rPr>
        <w:t> </w:t>
      </w:r>
      <w:r w:rsidR="005A7EA5">
        <w:rPr>
          <w:i/>
        </w:rPr>
        <w:t>TWC, presentada en el párrafo 18 de este documento, de comparar los resultados del ejercicio práctico presentados por los diferentes participantes a fin de determinar las diferencias entre los resultados obtenidos para entender mejor los distintos métodos, con el propósito de que los Grupos de Trabajo Técnico la examinen en sus sesiones de 2016, como base para una eventual revisión del documento TGP/8.</w:t>
      </w:r>
    </w:p>
    <w:p w:rsidR="005A7EA5" w:rsidRDefault="005A7EA5" w:rsidP="005A7EA5"/>
    <w:p w:rsidR="003B671F" w:rsidRDefault="003B671F" w:rsidP="005A7EA5"/>
    <w:p w:rsidR="003B671F" w:rsidRPr="005A7EA5" w:rsidRDefault="003B671F" w:rsidP="005A7EA5"/>
    <w:p w:rsidR="005A7EA5" w:rsidRPr="005A7EA5" w:rsidRDefault="005A7EA5" w:rsidP="001A2399">
      <w:pPr>
        <w:jc w:val="right"/>
      </w:pPr>
      <w:r>
        <w:rPr>
          <w:snapToGrid w:val="0"/>
        </w:rPr>
        <w:t>[</w:t>
      </w:r>
      <w:r w:rsidR="001A2399">
        <w:t>Sigue</w:t>
      </w:r>
      <w:r>
        <w:t xml:space="preserve"> </w:t>
      </w:r>
      <w:r w:rsidR="001A2399">
        <w:t>e</w:t>
      </w:r>
      <w:r>
        <w:t xml:space="preserve">l </w:t>
      </w:r>
      <w:r w:rsidR="001A2399">
        <w:t>A</w:t>
      </w:r>
      <w:r>
        <w:t>nexo]</w:t>
      </w:r>
    </w:p>
    <w:p w:rsidR="005A7EA5" w:rsidRPr="005A7EA5" w:rsidRDefault="005A7EA5" w:rsidP="005A7EA5">
      <w:pPr>
        <w:jc w:val="right"/>
        <w:sectPr w:rsidR="005A7EA5" w:rsidRPr="005A7EA5" w:rsidSect="0030647E">
          <w:headerReference w:type="default" r:id="rId10"/>
          <w:pgSz w:w="11907" w:h="16840" w:code="9"/>
          <w:pgMar w:top="510" w:right="1134" w:bottom="1134" w:left="1134" w:header="510" w:footer="680" w:gutter="0"/>
          <w:pgNumType w:start="1"/>
          <w:cols w:space="720"/>
          <w:titlePg/>
        </w:sectPr>
      </w:pPr>
    </w:p>
    <w:p w:rsidR="005A7EA5" w:rsidRPr="005A7EA5" w:rsidRDefault="005A7EA5" w:rsidP="005A7EA5">
      <w:pPr>
        <w:jc w:val="center"/>
        <w:rPr>
          <w:rFonts w:cs="Arial"/>
        </w:rPr>
      </w:pPr>
      <w:r>
        <w:t>COMPARACIÓN DE LOS MÉTODOS UTILIZADOS PARA ELABORAR DESCRIPCIONES DE VARIEDADES</w:t>
      </w:r>
      <w:proofErr w:type="gramStart"/>
      <w:r w:rsidR="0030647E">
        <w:t xml:space="preserve">:  </w:t>
      </w:r>
      <w:r>
        <w:t>RESULTADOS</w:t>
      </w:r>
      <w:proofErr w:type="gramEnd"/>
      <w:r>
        <w:t xml:space="preserve"> DEL EJERCICIO PRÁCTICO</w:t>
      </w:r>
    </w:p>
    <w:p w:rsidR="005A7EA5" w:rsidRPr="005A7EA5" w:rsidRDefault="005A7EA5" w:rsidP="005A7EA5">
      <w:pPr>
        <w:jc w:val="center"/>
        <w:rPr>
          <w:rFonts w:cs="Arial"/>
        </w:rPr>
      </w:pPr>
    </w:p>
    <w:p w:rsidR="005A7EA5" w:rsidRPr="005A7EA5" w:rsidRDefault="005A7EA5" w:rsidP="005A7EA5">
      <w:pPr>
        <w:jc w:val="center"/>
        <w:rPr>
          <w:rFonts w:cs="Arial"/>
        </w:rPr>
      </w:pPr>
      <w:r>
        <w:t>Documento preparado por un experto de Francia</w:t>
      </w:r>
    </w:p>
    <w:p w:rsidR="005A7EA5" w:rsidRPr="005A7EA5" w:rsidRDefault="005A7EA5" w:rsidP="005A7EA5">
      <w:pPr>
        <w:jc w:val="left"/>
        <w:rPr>
          <w:rFonts w:cs="Arial"/>
        </w:rPr>
      </w:pPr>
    </w:p>
    <w:p w:rsidR="005A7EA5" w:rsidRPr="005A7EA5" w:rsidRDefault="005A7EA5" w:rsidP="005A7EA5">
      <w:pPr>
        <w:numPr>
          <w:ilvl w:val="0"/>
          <w:numId w:val="24"/>
        </w:numPr>
        <w:ind w:left="0" w:firstLine="0"/>
        <w:rPr>
          <w:rFonts w:cs="Arial"/>
        </w:rPr>
      </w:pPr>
      <w:r>
        <w:t>El objetivo principal de este ejercicio práctico es contribuir a elaborar una orientación común, a partir de la aclaración y la comparación de los diferentes métodos empleados por los miembros de la UPOV para transformar los caracteres cuantitativos en notas.</w:t>
      </w:r>
    </w:p>
    <w:p w:rsidR="005A7EA5" w:rsidRPr="005A7EA5" w:rsidRDefault="005A7EA5" w:rsidP="005A7EA5">
      <w:pPr>
        <w:rPr>
          <w:rFonts w:cs="Arial"/>
        </w:rPr>
      </w:pPr>
    </w:p>
    <w:p w:rsidR="005A7EA5" w:rsidRPr="005A7EA5" w:rsidRDefault="005A7EA5" w:rsidP="005A7EA5">
      <w:pPr>
        <w:rPr>
          <w:rFonts w:cs="Arial"/>
          <w:u w:val="single"/>
        </w:rPr>
      </w:pPr>
      <w:r>
        <w:rPr>
          <w:u w:val="single"/>
        </w:rPr>
        <w:t>Conjunto de datos</w:t>
      </w:r>
      <w:proofErr w:type="gramStart"/>
      <w:r w:rsidR="0030647E">
        <w:rPr>
          <w:u w:val="single"/>
        </w:rPr>
        <w:t xml:space="preserve">:  </w:t>
      </w:r>
      <w:r w:rsidR="009A073F">
        <w:rPr>
          <w:u w:val="single"/>
        </w:rPr>
        <w:t>d</w:t>
      </w:r>
      <w:r>
        <w:rPr>
          <w:u w:val="single"/>
        </w:rPr>
        <w:t>escripción</w:t>
      </w:r>
      <w:proofErr w:type="gramEnd"/>
    </w:p>
    <w:p w:rsidR="005A7EA5" w:rsidRPr="005A7EA5" w:rsidRDefault="005A7EA5" w:rsidP="005A7EA5">
      <w:pPr>
        <w:rPr>
          <w:rFonts w:cs="Arial"/>
        </w:rPr>
      </w:pPr>
    </w:p>
    <w:p w:rsidR="005A7EA5" w:rsidRPr="005A7EA5" w:rsidRDefault="005A7EA5" w:rsidP="005A7EA5">
      <w:pPr>
        <w:numPr>
          <w:ilvl w:val="0"/>
          <w:numId w:val="24"/>
        </w:numPr>
        <w:ind w:left="0" w:firstLine="0"/>
        <w:rPr>
          <w:rFonts w:cs="Arial"/>
        </w:rPr>
      </w:pPr>
      <w:r>
        <w:t xml:space="preserve">Para este ejercicio, los expertos de Francia crearon un conjunto de datos comunes de variedades de lino. </w:t>
      </w:r>
      <w:r w:rsidR="009A073F">
        <w:t xml:space="preserve"> </w:t>
      </w:r>
      <w:r>
        <w:t>Este conjunto de datos se basa en las observaciones efectuadas del carácter 21 de la UPOV (tallo</w:t>
      </w:r>
      <w:r w:rsidR="009A073F">
        <w:t>:</w:t>
      </w:r>
      <w:proofErr w:type="gramStart"/>
      <w:r w:rsidR="009A073F">
        <w:t>  </w:t>
      </w:r>
      <w:r>
        <w:t>longitud</w:t>
      </w:r>
      <w:proofErr w:type="gramEnd"/>
      <w:r>
        <w:t xml:space="preserve"> desde la cicatriz del cotiledón hasta la cápsula superior). </w:t>
      </w:r>
      <w:r w:rsidR="009A073F">
        <w:t xml:space="preserve"> </w:t>
      </w:r>
      <w:r>
        <w:t xml:space="preserve">Se partió de un conjunto de datos más amplio, que finalmente se ha limitado a las observaciones efectuadas en las primeras 20 plantas de las variedades y a los años en los que se observaron 20 o más plantas de la variedad. </w:t>
      </w:r>
      <w:r w:rsidR="009A073F">
        <w:t xml:space="preserve"> </w:t>
      </w:r>
      <w:r>
        <w:t xml:space="preserve">Este conjunto de datos comunes reducido está integrado por 936 combinaciones de variedades y años, correspondientes a 153 variedades de referencia y 30 variedades candidatas </w:t>
      </w:r>
      <w:r w:rsidR="00803BEC">
        <w:t xml:space="preserve">observadas </w:t>
      </w:r>
      <w:r>
        <w:t>en 10 años, desde 2002 a 2012</w:t>
      </w:r>
      <w:r w:rsidR="00453F7E">
        <w:t xml:space="preserve">.  </w:t>
      </w:r>
      <w:r>
        <w:t>De estas combinaciones de variedades y años se calcularon las medias en la escala original de los caracteres.</w:t>
      </w:r>
    </w:p>
    <w:p w:rsidR="005A7EA5" w:rsidRPr="005A7EA5" w:rsidRDefault="005A7EA5" w:rsidP="005A7EA5">
      <w:pPr>
        <w:rPr>
          <w:rFonts w:cs="Arial"/>
        </w:rPr>
      </w:pPr>
    </w:p>
    <w:p w:rsidR="005A7EA5" w:rsidRPr="005A7EA5" w:rsidRDefault="005A7EA5" w:rsidP="005A7EA5">
      <w:pPr>
        <w:rPr>
          <w:rFonts w:cs="Arial"/>
          <w:u w:val="single"/>
        </w:rPr>
      </w:pPr>
      <w:r>
        <w:rPr>
          <w:u w:val="single"/>
        </w:rPr>
        <w:t>Métodos empleados por los miembros de la UPOV</w:t>
      </w:r>
    </w:p>
    <w:p w:rsidR="005A7EA5" w:rsidRPr="005A7EA5" w:rsidRDefault="005A7EA5" w:rsidP="005A7EA5">
      <w:pPr>
        <w:rPr>
          <w:rFonts w:cs="Arial"/>
        </w:rPr>
      </w:pPr>
    </w:p>
    <w:p w:rsidR="005A7EA5" w:rsidRPr="005A7EA5" w:rsidRDefault="005A7EA5" w:rsidP="005A7EA5">
      <w:pPr>
        <w:numPr>
          <w:ilvl w:val="0"/>
          <w:numId w:val="24"/>
        </w:numPr>
        <w:ind w:left="0" w:firstLine="0"/>
        <w:rPr>
          <w:rFonts w:cs="Arial"/>
        </w:rPr>
      </w:pPr>
      <w:r>
        <w:t>Los diferentes métodos empleados por los miembros de la UPOV para asignar las notas a las variedades candidatas se resumen brevemente en el cuadro siguiente.</w:t>
      </w:r>
    </w:p>
    <w:p w:rsidR="005A7EA5" w:rsidRPr="005A7EA5" w:rsidRDefault="005A7EA5" w:rsidP="005A7EA5">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1083"/>
        <w:gridCol w:w="897"/>
        <w:gridCol w:w="5130"/>
        <w:gridCol w:w="900"/>
        <w:gridCol w:w="990"/>
        <w:gridCol w:w="810"/>
      </w:tblGrid>
      <w:tr w:rsidR="005A7EA5" w:rsidRPr="005A7EA5" w:rsidTr="0030647E">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PAÍS</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5A7EA5" w:rsidRPr="005A7EA5" w:rsidRDefault="005A7EA5" w:rsidP="005A7EA5">
            <w:pPr>
              <w:jc w:val="center"/>
              <w:rPr>
                <w:rFonts w:cs="Arial"/>
                <w:b/>
                <w:bCs/>
                <w:color w:val="000000"/>
              </w:rPr>
            </w:pPr>
            <w:r>
              <w:rPr>
                <w:b/>
                <w:color w:val="000000"/>
              </w:rPr>
              <w:t>Método</w:t>
            </w:r>
            <w:r w:rsidR="0030647E">
              <w:rPr>
                <w:b/>
                <w:color w:val="000000"/>
              </w:rPr>
              <w:t xml:space="preserve">:  </w:t>
            </w:r>
            <w:r>
              <w:rPr>
                <w:b/>
                <w:color w:val="000000"/>
              </w:rPr>
              <w:t>descripción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Variedades ejemplo</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Dictamen de un experto en el cultivo</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Nivel de espaciado equivalente</w:t>
            </w:r>
          </w:p>
        </w:tc>
      </w:tr>
      <w:tr w:rsidR="005A7EA5" w:rsidRPr="005A7EA5" w:rsidTr="0030647E">
        <w:trPr>
          <w:trHeight w:val="30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Francia</w:t>
            </w: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1</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Combina el uso de las variedades ejemplo y la colección de referencia</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r>
      <w:tr w:rsidR="005A7EA5" w:rsidRPr="005A7EA5" w:rsidTr="0030647E">
        <w:trPr>
          <w:trHeight w:val="600"/>
        </w:trPr>
        <w:tc>
          <w:tcPr>
            <w:tcW w:w="1083" w:type="dxa"/>
            <w:vMerge/>
            <w:tcBorders>
              <w:top w:val="nil"/>
              <w:left w:val="single" w:sz="4" w:space="0" w:color="auto"/>
              <w:bottom w:val="single" w:sz="4" w:space="0" w:color="auto"/>
              <w:right w:val="single" w:sz="4" w:space="0" w:color="auto"/>
            </w:tcBorders>
            <w:vAlign w:val="center"/>
            <w:hideMark/>
          </w:tcPr>
          <w:p w:rsidR="005A7EA5" w:rsidRPr="005A7EA5" w:rsidRDefault="005A7EA5" w:rsidP="005A7EA5">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2</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 xml:space="preserve">Medias ajustadas del programa COY + método de regresión lineal calibrado con variedades ejemplo </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r>
      <w:tr w:rsidR="005A7EA5" w:rsidRPr="005A7EA5" w:rsidTr="0030647E">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Italia</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 xml:space="preserve">Amplitud promedio de las medias históricas + mediana como </w:t>
            </w:r>
            <w:r w:rsidR="009A073F">
              <w:rPr>
                <w:rFonts w:cs="Arial"/>
                <w:color w:val="000000"/>
              </w:rPr>
              <w:t>“</w:t>
            </w:r>
            <w:r>
              <w:rPr>
                <w:color w:val="000000"/>
              </w:rPr>
              <w:t>punto de referencia</w:t>
            </w:r>
            <w:r w:rsidR="009A073F">
              <w:rPr>
                <w:rFonts w:cs="Arial"/>
                <w:color w:val="000000"/>
              </w:rPr>
              <w:t>”</w:t>
            </w:r>
            <w:r>
              <w:rPr>
                <w:color w:val="000000"/>
              </w:rPr>
              <w:t xml:space="preserve"> + partición entre niveles de espaciado equivalente + calibración mediante el dictamen de un experto en el cultivo y variedades ejemplo</w:t>
            </w:r>
          </w:p>
        </w:tc>
        <w:tc>
          <w:tcPr>
            <w:tcW w:w="90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r>
      <w:tr w:rsidR="005A7EA5" w:rsidRPr="005A7EA5" w:rsidTr="0030647E">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Alemania</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Media ajustada del programa COY + partición basada en las variedades ejemplo y el dictamen de un experto en el cultivo</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r>
      <w:tr w:rsidR="005A7EA5" w:rsidRPr="005A7EA5" w:rsidTr="0030647E">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Japón</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 xml:space="preserve">Cuadro </w:t>
            </w:r>
            <w:r w:rsidR="00593C9B">
              <w:rPr>
                <w:color w:val="000000"/>
              </w:rPr>
              <w:t>de evaluación completa (CEC)</w:t>
            </w:r>
            <w:r>
              <w:rPr>
                <w:color w:val="000000"/>
              </w:rPr>
              <w:t xml:space="preserve"> ajustado:  los niveles se determinan a partir de los datos históricos de las variedades ejemplo</w:t>
            </w:r>
          </w:p>
        </w:tc>
        <w:tc>
          <w:tcPr>
            <w:tcW w:w="90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r>
      <w:tr w:rsidR="005A7EA5" w:rsidRPr="005A7EA5" w:rsidTr="0030647E">
        <w:trPr>
          <w:trHeight w:val="930"/>
        </w:trPr>
        <w:tc>
          <w:tcPr>
            <w:tcW w:w="1083" w:type="dxa"/>
            <w:vMerge w:val="restart"/>
            <w:tcBorders>
              <w:top w:val="nil"/>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Reino Unido</w:t>
            </w: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1</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Gama de expresión de las medias interanuales correspondientes a las variedades de las colecciones de referencia (durante los últimos 10 años) dividida en niveles de espaciado equivalente</w:t>
            </w:r>
          </w:p>
        </w:tc>
        <w:tc>
          <w:tcPr>
            <w:tcW w:w="90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r>
      <w:tr w:rsidR="005A7EA5" w:rsidRPr="005A7EA5" w:rsidTr="0030647E">
        <w:trPr>
          <w:trHeight w:val="600"/>
        </w:trPr>
        <w:tc>
          <w:tcPr>
            <w:tcW w:w="1083" w:type="dxa"/>
            <w:vMerge/>
            <w:tcBorders>
              <w:top w:val="nil"/>
              <w:left w:val="single" w:sz="4" w:space="0" w:color="auto"/>
              <w:bottom w:val="single" w:sz="4" w:space="0" w:color="auto"/>
              <w:right w:val="single" w:sz="4" w:space="0" w:color="auto"/>
            </w:tcBorders>
            <w:vAlign w:val="center"/>
            <w:hideMark/>
          </w:tcPr>
          <w:p w:rsidR="005A7EA5" w:rsidRPr="005A7EA5" w:rsidRDefault="005A7EA5" w:rsidP="005A7EA5">
            <w:pPr>
              <w:rPr>
                <w:rFonts w:cs="Arial"/>
                <w:b/>
                <w:bCs/>
                <w:color w:val="000000"/>
              </w:rPr>
            </w:pPr>
          </w:p>
        </w:tc>
        <w:tc>
          <w:tcPr>
            <w:tcW w:w="897" w:type="dxa"/>
            <w:tcBorders>
              <w:top w:val="nil"/>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rPr>
            </w:pPr>
            <w:r>
              <w:rPr>
                <w:b/>
                <w:color w:val="000000"/>
              </w:rPr>
              <w:t>método 2</w:t>
            </w:r>
          </w:p>
        </w:tc>
        <w:tc>
          <w:tcPr>
            <w:tcW w:w="5130" w:type="dxa"/>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rPr>
            </w:pPr>
            <w:r>
              <w:rPr>
                <w:color w:val="000000"/>
              </w:rPr>
              <w:t>Los expertos en los cultivos definen variedades delimitantes, de las que se emplean las medias para determinar los límites de cada nivel</w:t>
            </w:r>
          </w:p>
        </w:tc>
        <w:tc>
          <w:tcPr>
            <w:tcW w:w="900" w:type="dxa"/>
            <w:tcBorders>
              <w:top w:val="nil"/>
              <w:left w:val="nil"/>
              <w:bottom w:val="single" w:sz="4" w:space="0" w:color="auto"/>
              <w:right w:val="single" w:sz="4" w:space="0" w:color="auto"/>
            </w:tcBorders>
            <w:shd w:val="clear" w:color="auto" w:fill="auto"/>
            <w:noWrap/>
            <w:vAlign w:val="bottom"/>
            <w:hideMark/>
          </w:tcPr>
          <w:p w:rsidR="005A7EA5" w:rsidRPr="005A7EA5" w:rsidRDefault="005A7EA5" w:rsidP="005A7EA5">
            <w:pPr>
              <w:rPr>
                <w:rFonts w:cs="Arial"/>
                <w:color w:val="000000"/>
              </w:rPr>
            </w:pPr>
            <w:r>
              <w:rPr>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rPr>
            </w:pPr>
            <w:r>
              <w:rPr>
                <w:color w:val="000000"/>
              </w:rPr>
              <w:t>x</w:t>
            </w:r>
          </w:p>
        </w:tc>
        <w:tc>
          <w:tcPr>
            <w:tcW w:w="810" w:type="dxa"/>
            <w:tcBorders>
              <w:top w:val="nil"/>
              <w:left w:val="nil"/>
              <w:bottom w:val="single" w:sz="4" w:space="0" w:color="auto"/>
              <w:right w:val="single" w:sz="4" w:space="0" w:color="auto"/>
            </w:tcBorders>
            <w:shd w:val="clear" w:color="auto" w:fill="auto"/>
            <w:noWrap/>
            <w:vAlign w:val="bottom"/>
            <w:hideMark/>
          </w:tcPr>
          <w:p w:rsidR="005A7EA5" w:rsidRPr="005A7EA5" w:rsidRDefault="005A7EA5" w:rsidP="005A7EA5">
            <w:pPr>
              <w:rPr>
                <w:rFonts w:cs="Arial"/>
                <w:color w:val="000000"/>
              </w:rPr>
            </w:pPr>
            <w:r>
              <w:rPr>
                <w:color w:val="000000"/>
              </w:rPr>
              <w:t> </w:t>
            </w:r>
          </w:p>
        </w:tc>
      </w:tr>
    </w:tbl>
    <w:p w:rsidR="005A7EA5" w:rsidRPr="005A7EA5" w:rsidRDefault="005A7EA5" w:rsidP="005A7EA5">
      <w:pPr>
        <w:contextualSpacing/>
        <w:jc w:val="left"/>
        <w:rPr>
          <w:rFonts w:cs="Arial"/>
        </w:rPr>
      </w:pPr>
    </w:p>
    <w:p w:rsidR="005A7EA5" w:rsidRPr="005A7EA5" w:rsidRDefault="005A7EA5" w:rsidP="005A7EA5">
      <w:pPr>
        <w:numPr>
          <w:ilvl w:val="0"/>
          <w:numId w:val="24"/>
        </w:numPr>
        <w:ind w:left="0" w:firstLine="0"/>
        <w:contextualSpacing/>
        <w:rPr>
          <w:rFonts w:cs="Arial"/>
        </w:rPr>
      </w:pPr>
      <w:r>
        <w:t xml:space="preserve">En primer lugar, se observa que todos los miembros de la UPOV que realizaron el ejercicio emplearon variedades ejemplo en el proceso de asignación de notas. </w:t>
      </w:r>
      <w:r w:rsidR="0019106F">
        <w:t xml:space="preserve"> </w:t>
      </w:r>
      <w:r>
        <w:t xml:space="preserve">En especial, el método empleado por el Japón y el método 2 </w:t>
      </w:r>
      <w:r w:rsidR="00803BEC">
        <w:t>francés</w:t>
      </w:r>
      <w:r>
        <w:t xml:space="preserve"> se basan directamente en las variedades ejemplo de la UPOV (o en otras variedades ejemplo propias);  mientras que, en los métodos alemán e italiano, </w:t>
      </w:r>
      <w:r w:rsidR="00803BEC">
        <w:t xml:space="preserve">las variedades ejemplo de la UPOV son empleadas por </w:t>
      </w:r>
      <w:r>
        <w:t>el experto en el cultivo emplea para la calibración final.</w:t>
      </w:r>
    </w:p>
    <w:p w:rsidR="005A7EA5" w:rsidRPr="005A7EA5" w:rsidRDefault="005A7EA5" w:rsidP="005A7EA5">
      <w:pPr>
        <w:contextualSpacing/>
        <w:jc w:val="left"/>
        <w:rPr>
          <w:rFonts w:cs="Arial"/>
        </w:rPr>
      </w:pPr>
    </w:p>
    <w:p w:rsidR="005A7EA5" w:rsidRPr="005A7EA5" w:rsidRDefault="005A7EA5" w:rsidP="005A7EA5">
      <w:pPr>
        <w:numPr>
          <w:ilvl w:val="0"/>
          <w:numId w:val="24"/>
        </w:numPr>
        <w:ind w:left="0" w:firstLine="0"/>
        <w:contextualSpacing/>
        <w:rPr>
          <w:rFonts w:cs="Arial"/>
        </w:rPr>
      </w:pPr>
      <w:r>
        <w:t>Para asignar una nota, Italia, el Japón y el Reino Unido (método 1) dividen la gama total de expresión del carácter de las variedades de referencia en niveles de espaciado equivalente e Italia y el Japón también ajustan cada estado conforme a la decisión de un experto en el cultivo o a las variedades ejemplo.</w:t>
      </w:r>
    </w:p>
    <w:p w:rsidR="005A7EA5" w:rsidRPr="005A7EA5" w:rsidRDefault="005A7EA5" w:rsidP="005A7EA5">
      <w:pPr>
        <w:contextualSpacing/>
        <w:rPr>
          <w:rFonts w:cs="Arial"/>
          <w:u w:val="single"/>
        </w:rPr>
      </w:pPr>
    </w:p>
    <w:p w:rsidR="005A7EA5" w:rsidRPr="005A7EA5" w:rsidRDefault="005A7EA5" w:rsidP="001A2399">
      <w:pPr>
        <w:contextualSpacing/>
        <w:rPr>
          <w:rFonts w:cs="Arial"/>
          <w:u w:val="single"/>
        </w:rPr>
      </w:pPr>
      <w:r>
        <w:rPr>
          <w:u w:val="single"/>
        </w:rPr>
        <w:t>Resultados del método</w:t>
      </w:r>
    </w:p>
    <w:p w:rsidR="005A7EA5" w:rsidRPr="005A7EA5" w:rsidRDefault="005A7EA5" w:rsidP="001A2399">
      <w:pPr>
        <w:contextualSpacing/>
        <w:rPr>
          <w:rFonts w:cs="Arial"/>
        </w:rPr>
      </w:pPr>
    </w:p>
    <w:p w:rsidR="005A7EA5" w:rsidRPr="005A7EA5" w:rsidRDefault="005A7EA5" w:rsidP="005A7EA5">
      <w:pPr>
        <w:numPr>
          <w:ilvl w:val="0"/>
          <w:numId w:val="24"/>
        </w:numPr>
        <w:ind w:left="0" w:firstLine="0"/>
        <w:contextualSpacing/>
        <w:jc w:val="left"/>
        <w:rPr>
          <w:rFonts w:cs="Arial"/>
        </w:rPr>
      </w:pPr>
      <w:r>
        <w:t>En el siguiente cuadro se indican las notas asignadas a las 31 variedades candidatas con cada método.</w:t>
      </w:r>
    </w:p>
    <w:p w:rsidR="005A7EA5" w:rsidRPr="005A7EA5" w:rsidRDefault="005A7EA5" w:rsidP="005A7EA5"/>
    <w:tbl>
      <w:tblPr>
        <w:tblW w:w="0" w:type="auto"/>
        <w:tblInd w:w="55" w:type="dxa"/>
        <w:tblCellMar>
          <w:left w:w="70" w:type="dxa"/>
          <w:right w:w="70" w:type="dxa"/>
        </w:tblCellMar>
        <w:tblLook w:val="04A0" w:firstRow="1" w:lastRow="0" w:firstColumn="1" w:lastColumn="0" w:noHBand="0" w:noVBand="1"/>
      </w:tblPr>
      <w:tblGrid>
        <w:gridCol w:w="1120"/>
        <w:gridCol w:w="938"/>
        <w:gridCol w:w="938"/>
        <w:gridCol w:w="938"/>
        <w:gridCol w:w="547"/>
        <w:gridCol w:w="1294"/>
        <w:gridCol w:w="1057"/>
        <w:gridCol w:w="965"/>
        <w:gridCol w:w="965"/>
        <w:gridCol w:w="962"/>
      </w:tblGrid>
      <w:tr w:rsidR="005A7EA5" w:rsidRPr="005A7EA5" w:rsidTr="0030647E">
        <w:trPr>
          <w:trHeight w:val="450"/>
        </w:trPr>
        <w:tc>
          <w:tcPr>
            <w:tcW w:w="0" w:type="auto"/>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5A7EA5" w:rsidRPr="005A7EA5" w:rsidRDefault="005A7EA5" w:rsidP="005A7EA5">
            <w:pPr>
              <w:jc w:val="center"/>
              <w:rPr>
                <w:rFonts w:cs="Arial"/>
                <w:b/>
                <w:bCs/>
                <w:color w:val="000000"/>
                <w:sz w:val="16"/>
                <w:szCs w:val="16"/>
              </w:rPr>
            </w:pPr>
            <w:r>
              <w:rPr>
                <w:b/>
                <w:color w:val="000000"/>
                <w:sz w:val="16"/>
              </w:rPr>
              <w:t>Variedad</w:t>
            </w:r>
          </w:p>
        </w:tc>
        <w:tc>
          <w:tcPr>
            <w:tcW w:w="0" w:type="auto"/>
            <w:tcBorders>
              <w:top w:val="single" w:sz="4" w:space="0" w:color="auto"/>
              <w:left w:val="nil"/>
              <w:bottom w:val="single" w:sz="4" w:space="0" w:color="auto"/>
              <w:right w:val="single" w:sz="4" w:space="0" w:color="auto"/>
            </w:tcBorders>
            <w:shd w:val="clear" w:color="000000" w:fill="F2F2F2"/>
            <w:vAlign w:val="center"/>
          </w:tcPr>
          <w:p w:rsidR="005A7EA5" w:rsidRPr="005A7EA5" w:rsidRDefault="005A7EA5" w:rsidP="005A7EA5">
            <w:pPr>
              <w:jc w:val="center"/>
              <w:rPr>
                <w:rFonts w:cs="Arial"/>
                <w:b/>
                <w:bCs/>
                <w:color w:val="000000"/>
                <w:sz w:val="16"/>
                <w:szCs w:val="16"/>
              </w:rPr>
            </w:pPr>
            <w:r>
              <w:rPr>
                <w:b/>
                <w:color w:val="000000"/>
                <w:sz w:val="16"/>
              </w:rPr>
              <w:t>Media interanual</w:t>
            </w:r>
          </w:p>
        </w:tc>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Nota de Francia, método 1</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Nota de Francia, método 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Nota de Italia</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Nota de Alemania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Nota del Japón 2012</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 xml:space="preserve">Nota del Reino Unido, método 1 </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rsidR="005A7EA5" w:rsidRPr="005A7EA5" w:rsidRDefault="005A7EA5" w:rsidP="005A7EA5">
            <w:pPr>
              <w:jc w:val="center"/>
              <w:rPr>
                <w:rFonts w:cs="Arial"/>
                <w:b/>
                <w:bCs/>
                <w:color w:val="000000"/>
                <w:sz w:val="16"/>
                <w:szCs w:val="16"/>
              </w:rPr>
            </w:pPr>
            <w:r>
              <w:rPr>
                <w:b/>
                <w:color w:val="000000"/>
                <w:sz w:val="16"/>
              </w:rPr>
              <w:t>Nota del Reino Unido, método 2</w:t>
            </w:r>
          </w:p>
        </w:tc>
        <w:tc>
          <w:tcPr>
            <w:tcW w:w="0" w:type="auto"/>
            <w:tcBorders>
              <w:top w:val="single" w:sz="8" w:space="0" w:color="auto"/>
              <w:left w:val="nil"/>
              <w:bottom w:val="nil"/>
              <w:right w:val="single" w:sz="8" w:space="0" w:color="auto"/>
            </w:tcBorders>
            <w:shd w:val="clear" w:color="000000" w:fill="F2F2F2"/>
            <w:vAlign w:val="center"/>
            <w:hideMark/>
          </w:tcPr>
          <w:p w:rsidR="005A7EA5" w:rsidRPr="005A7EA5" w:rsidRDefault="005A7EA5" w:rsidP="005A7EA5">
            <w:pPr>
              <w:jc w:val="center"/>
              <w:rPr>
                <w:rFonts w:cs="Arial"/>
                <w:b/>
                <w:bCs/>
                <w:i/>
                <w:iCs/>
                <w:color w:val="000000"/>
                <w:sz w:val="16"/>
                <w:szCs w:val="16"/>
              </w:rPr>
            </w:pPr>
            <w:r>
              <w:rPr>
                <w:b/>
                <w:i/>
                <w:color w:val="000000"/>
                <w:sz w:val="16"/>
              </w:rPr>
              <w:t>Nota promedio por variedad</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262</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381,7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1,1</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287</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405,7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1,6</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263</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400,7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1,7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284</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413,4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283</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437,1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2,4</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288</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478,1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3,3</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275</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512,2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3,6</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290</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489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3,7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289</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490,4</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3,7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303</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505,6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3,7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269</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516,2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3,7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297</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518,8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4</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302</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524,6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4,2</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277</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544,1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4,3</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274</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550,2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4,3</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228</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663,5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5,9</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270</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693,8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6,4</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293</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706,6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6,7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267</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723,8</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5</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6,9</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295</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733,3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268</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733,1</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7,2</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273</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739,9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7,4</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300</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756,6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7,5</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299</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769,2</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7,5</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291</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760,5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7,5</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292</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741,3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7,5</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272</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760,6</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7,6</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294</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763,7</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7,8</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298</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807,5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8,5</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301</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840,3</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8,8</w:t>
            </w:r>
          </w:p>
        </w:tc>
      </w:tr>
      <w:tr w:rsidR="005A7EA5" w:rsidRPr="005A7EA5" w:rsidTr="0030647E">
        <w:trPr>
          <w:trHeight w:val="22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Variedad 296</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color w:val="000000"/>
                <w:sz w:val="16"/>
                <w:szCs w:val="16"/>
              </w:rPr>
            </w:pPr>
            <w:r>
              <w:rPr>
                <w:color w:val="000000"/>
                <w:sz w:val="16"/>
              </w:rPr>
              <w:t>839</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color w:val="000000"/>
                <w:sz w:val="16"/>
                <w:szCs w:val="16"/>
              </w:rPr>
            </w:pPr>
            <w:r>
              <w:rPr>
                <w:color w:val="000000"/>
                <w:sz w:val="16"/>
              </w:rPr>
              <w:t>-</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8</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color w:val="000000"/>
                <w:sz w:val="16"/>
                <w:szCs w:val="16"/>
              </w:rPr>
            </w:pPr>
            <w:r>
              <w:rPr>
                <w:color w:val="000000"/>
                <w:sz w:val="16"/>
              </w:rPr>
              <w:t>9</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8,8</w:t>
            </w:r>
          </w:p>
        </w:tc>
      </w:tr>
      <w:tr w:rsidR="005A7EA5" w:rsidRPr="005A7EA5" w:rsidTr="0030647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b/>
                <w:bCs/>
                <w:i/>
                <w:iCs/>
                <w:color w:val="000000"/>
                <w:sz w:val="16"/>
                <w:szCs w:val="16"/>
              </w:rPr>
            </w:pPr>
            <w:r>
              <w:rPr>
                <w:b/>
                <w:i/>
                <w:color w:val="000000"/>
                <w:sz w:val="16"/>
              </w:rPr>
              <w:t>Media por método</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6,1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4,3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5,4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6</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5,2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5,3</w:t>
            </w:r>
          </w:p>
        </w:tc>
        <w:tc>
          <w:tcPr>
            <w:tcW w:w="0" w:type="auto"/>
            <w:tcBorders>
              <w:top w:val="nil"/>
              <w:left w:val="nil"/>
              <w:bottom w:val="nil"/>
              <w:right w:val="nil"/>
            </w:tcBorders>
            <w:shd w:val="clear" w:color="auto" w:fill="auto"/>
            <w:noWrap/>
            <w:vAlign w:val="center"/>
            <w:hideMark/>
          </w:tcPr>
          <w:p w:rsidR="005A7EA5" w:rsidRPr="005A7EA5" w:rsidRDefault="005A7EA5" w:rsidP="005A7EA5">
            <w:pPr>
              <w:jc w:val="center"/>
              <w:rPr>
                <w:rFonts w:cs="Arial"/>
                <w:color w:val="000000"/>
              </w:rPr>
            </w:pPr>
          </w:p>
        </w:tc>
      </w:tr>
      <w:tr w:rsidR="005A7EA5" w:rsidRPr="005A7EA5" w:rsidTr="0030647E">
        <w:trPr>
          <w:trHeight w:val="45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A7EA5" w:rsidRPr="005A7EA5" w:rsidRDefault="005A7EA5" w:rsidP="005A7EA5">
            <w:pPr>
              <w:jc w:val="center"/>
              <w:rPr>
                <w:rFonts w:cs="Arial"/>
                <w:b/>
                <w:bCs/>
                <w:i/>
                <w:iCs/>
                <w:color w:val="000000"/>
                <w:sz w:val="16"/>
                <w:szCs w:val="16"/>
              </w:rPr>
            </w:pPr>
            <w:r>
              <w:rPr>
                <w:b/>
                <w:i/>
                <w:color w:val="000000"/>
                <w:sz w:val="16"/>
              </w:rPr>
              <w:t>Desviación típica</w:t>
            </w:r>
          </w:p>
        </w:tc>
        <w:tc>
          <w:tcPr>
            <w:tcW w:w="0" w:type="auto"/>
            <w:tcBorders>
              <w:top w:val="nil"/>
              <w:left w:val="nil"/>
              <w:bottom w:val="single" w:sz="4" w:space="0" w:color="auto"/>
              <w:right w:val="single" w:sz="4" w:space="0" w:color="auto"/>
            </w:tcBorders>
            <w:vAlign w:val="center"/>
          </w:tcPr>
          <w:p w:rsidR="005A7EA5" w:rsidRPr="005A7EA5" w:rsidRDefault="005A7EA5" w:rsidP="005A7EA5">
            <w:pPr>
              <w:jc w:val="center"/>
              <w:rPr>
                <w:rFonts w:cs="Arial"/>
                <w:b/>
                <w:bCs/>
                <w:i/>
                <w:iCs/>
                <w:color w:val="000000"/>
                <w:sz w:val="16"/>
                <w:szCs w:val="16"/>
              </w:rPr>
            </w:pP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2,4</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2,3</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2,1</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2,7</w:t>
            </w:r>
          </w:p>
        </w:tc>
        <w:tc>
          <w:tcPr>
            <w:tcW w:w="0" w:type="auto"/>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cs="Arial"/>
                <w:b/>
                <w:bCs/>
                <w:i/>
                <w:iCs/>
                <w:color w:val="000000"/>
                <w:sz w:val="16"/>
                <w:szCs w:val="16"/>
              </w:rPr>
            </w:pPr>
            <w:r>
              <w:rPr>
                <w:b/>
                <w:i/>
                <w:color w:val="000000"/>
                <w:sz w:val="16"/>
              </w:rPr>
              <w:t>2,7</w:t>
            </w:r>
          </w:p>
        </w:tc>
        <w:tc>
          <w:tcPr>
            <w:tcW w:w="0" w:type="auto"/>
            <w:tcBorders>
              <w:top w:val="nil"/>
              <w:left w:val="nil"/>
              <w:bottom w:val="nil"/>
              <w:right w:val="nil"/>
            </w:tcBorders>
            <w:shd w:val="clear" w:color="auto" w:fill="auto"/>
            <w:noWrap/>
            <w:vAlign w:val="center"/>
            <w:hideMark/>
          </w:tcPr>
          <w:p w:rsidR="005A7EA5" w:rsidRPr="005A7EA5" w:rsidRDefault="005A7EA5" w:rsidP="005A7EA5">
            <w:pPr>
              <w:jc w:val="center"/>
              <w:rPr>
                <w:rFonts w:cs="Arial"/>
                <w:color w:val="000000"/>
              </w:rPr>
            </w:pPr>
          </w:p>
        </w:tc>
      </w:tr>
    </w:tbl>
    <w:p w:rsidR="005A7EA5" w:rsidRPr="005A7EA5" w:rsidRDefault="005A7EA5" w:rsidP="005A7EA5">
      <w:pPr>
        <w:rPr>
          <w:rFonts w:cs="Arial"/>
        </w:rPr>
      </w:pPr>
    </w:p>
    <w:p w:rsidR="005A7EA5" w:rsidRPr="005A7EA5" w:rsidRDefault="005A7EA5" w:rsidP="005A7EA5">
      <w:pPr>
        <w:numPr>
          <w:ilvl w:val="0"/>
          <w:numId w:val="24"/>
        </w:numPr>
        <w:ind w:left="0" w:firstLine="0"/>
        <w:rPr>
          <w:rFonts w:cs="Arial"/>
        </w:rPr>
      </w:pPr>
      <w:r>
        <w:t>Con el método 2 de Francia solo se han observado 13 de las 31 variedades candidatas, porque con este método es necesario contar con datos de dos años de las variedades candidatas para calcular una media ajustada con el programa COY y luego asignar la nota correspondiente.</w:t>
      </w:r>
    </w:p>
    <w:p w:rsidR="005A7EA5" w:rsidRPr="005A7EA5" w:rsidRDefault="005A7EA5" w:rsidP="005A7EA5">
      <w:pPr>
        <w:rPr>
          <w:rFonts w:cs="Arial"/>
        </w:rPr>
      </w:pPr>
    </w:p>
    <w:p w:rsidR="005A7EA5" w:rsidRPr="005A7EA5" w:rsidRDefault="005A7EA5" w:rsidP="005A7EA5">
      <w:pPr>
        <w:numPr>
          <w:ilvl w:val="0"/>
          <w:numId w:val="24"/>
        </w:numPr>
        <w:ind w:left="0" w:firstLine="0"/>
        <w:rPr>
          <w:rFonts w:cs="Arial"/>
        </w:rPr>
      </w:pPr>
      <w:r>
        <w:t>La presencia de variedades de linaza y lino en el conjunto completo de datos es la causa de que su distribución no sea normal y</w:t>
      </w:r>
      <w:r w:rsidR="003126D6" w:rsidRPr="003126D6">
        <w:t xml:space="preserve"> </w:t>
      </w:r>
      <w:r w:rsidR="003126D6">
        <w:t>tenga</w:t>
      </w:r>
      <w:r>
        <w:t xml:space="preserve">, en cambio, un pico de notas bajas, correspondiente a las variedades pequeñas (linaza), y otro pico de notas altas, correspondiente a las variedades altas (lino). </w:t>
      </w:r>
      <w:r w:rsidR="003126D6">
        <w:t xml:space="preserve"> </w:t>
      </w:r>
      <w:r w:rsidR="00803BEC">
        <w:t>La consecuencia es</w:t>
      </w:r>
      <w:r>
        <w:t xml:space="preserve"> una baja probabilidad de que una variedad candidata obtenga una nota intermedia entre los dos picos</w:t>
      </w:r>
      <w:r w:rsidR="00453F7E">
        <w:t xml:space="preserve">.  </w:t>
      </w:r>
      <w:r>
        <w:t>Por ese motivo, varios de los métodos nunca han asignado una nota intermedia a una variedad candidata</w:t>
      </w:r>
      <w:r w:rsidR="00453F7E">
        <w:t xml:space="preserve">.  </w:t>
      </w:r>
      <w:r>
        <w:t xml:space="preserve">Por ejemplo, con el método italiano, </w:t>
      </w:r>
      <w:r w:rsidR="00803BEC">
        <w:t xml:space="preserve">todas las </w:t>
      </w:r>
      <w:r>
        <w:t>nota</w:t>
      </w:r>
      <w:r w:rsidR="00803BEC">
        <w:t>s</w:t>
      </w:r>
      <w:r>
        <w:t xml:space="preserve"> excepto la nota 4 se ha</w:t>
      </w:r>
      <w:r w:rsidR="00803BEC">
        <w:t>n</w:t>
      </w:r>
      <w:r>
        <w:t xml:space="preserve"> asignado al menos a una variedad candidata.</w:t>
      </w:r>
    </w:p>
    <w:p w:rsidR="005A7EA5" w:rsidRPr="005A7EA5" w:rsidRDefault="005A7EA5" w:rsidP="005A7EA5">
      <w:pPr>
        <w:rPr>
          <w:rFonts w:cs="Arial"/>
        </w:rPr>
      </w:pPr>
    </w:p>
    <w:p w:rsidR="005A7EA5" w:rsidRPr="005A7EA5" w:rsidRDefault="005A7EA5" w:rsidP="003B671F">
      <w:pPr>
        <w:numPr>
          <w:ilvl w:val="0"/>
          <w:numId w:val="24"/>
        </w:numPr>
        <w:ind w:left="0" w:firstLine="0"/>
      </w:pPr>
      <w:r>
        <w:t>Para tratar de contemplar el efecto anual, algunos métodos (el método 2 francés, el método alemán y el método británico) utilizan los promedios ajustados del COY o calibran su modelo con los datos del año (el método japonés con el ajuste mediante arrastre del CE</w:t>
      </w:r>
      <w:r w:rsidR="00593C9B">
        <w:t>C</w:t>
      </w:r>
      <w:r>
        <w:t xml:space="preserve"> y el método 1 francés).</w:t>
      </w:r>
    </w:p>
    <w:p w:rsidR="005A7EA5" w:rsidRPr="005A7EA5" w:rsidRDefault="005A7EA5" w:rsidP="005A7EA5"/>
    <w:p w:rsidR="005A7EA5" w:rsidRPr="005A7EA5" w:rsidRDefault="005A7EA5" w:rsidP="005A7EA5">
      <w:pPr>
        <w:rPr>
          <w:u w:val="single"/>
        </w:rPr>
      </w:pPr>
      <w:r>
        <w:rPr>
          <w:u w:val="single"/>
        </w:rPr>
        <w:t xml:space="preserve">Comparación de los resultados </w:t>
      </w:r>
      <w:bookmarkStart w:id="14" w:name="_GoBack"/>
      <w:bookmarkEnd w:id="14"/>
    </w:p>
    <w:p w:rsidR="009922AC" w:rsidRPr="005A7EA5" w:rsidRDefault="009922AC" w:rsidP="009922AC">
      <w:pPr>
        <w:rPr>
          <w:u w:val="single"/>
        </w:rPr>
      </w:pPr>
    </w:p>
    <w:p w:rsidR="009922AC" w:rsidRPr="005A7EA5" w:rsidRDefault="00D41EC2" w:rsidP="009922AC">
      <w:pPr>
        <w:jc w:val="center"/>
        <w:rPr>
          <w:rFonts w:eastAsia="MS Mincho" w:cs="Arial"/>
          <w:bCs/>
          <w:sz w:val="18"/>
          <w:szCs w:val="18"/>
        </w:rPr>
      </w:pPr>
      <w:r>
        <w:rPr>
          <w:rFonts w:eastAsiaTheme="minorHAnsi"/>
          <w:noProof/>
          <w:lang w:val="en-US" w:eastAsia="en-US" w:bidi="ar-SA"/>
        </w:rPr>
        <mc:AlternateContent>
          <mc:Choice Requires="wpg">
            <w:drawing>
              <wp:anchor distT="0" distB="0" distL="114300" distR="114300" simplePos="0" relativeHeight="251672576" behindDoc="0" locked="0" layoutInCell="1" allowOverlap="1">
                <wp:simplePos x="0" y="0"/>
                <wp:positionH relativeFrom="column">
                  <wp:posOffset>5225415</wp:posOffset>
                </wp:positionH>
                <wp:positionV relativeFrom="paragraph">
                  <wp:posOffset>1210310</wp:posOffset>
                </wp:positionV>
                <wp:extent cx="920750" cy="1565910"/>
                <wp:effectExtent l="0" t="635" r="0" b="0"/>
                <wp:wrapNone/>
                <wp:docPr id="1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1565910"/>
                          <a:chOff x="9363" y="3773"/>
                          <a:chExt cx="1450" cy="2466"/>
                        </a:xfrm>
                      </wpg:grpSpPr>
                      <wps:wsp>
                        <wps:cNvPr id="20" name="Text Box 4"/>
                        <wps:cNvSpPr txBox="1">
                          <a:spLocks noChangeArrowheads="1"/>
                        </wps:cNvSpPr>
                        <wps:spPr bwMode="auto">
                          <a:xfrm>
                            <a:off x="9363" y="3773"/>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pPr>
                                <w:rPr>
                                  <w:sz w:val="16"/>
                                  <w:szCs w:val="16"/>
                                </w:rPr>
                              </w:pPr>
                              <w:r>
                                <w:rPr>
                                  <w:sz w:val="16"/>
                                  <w:szCs w:val="16"/>
                                </w:rPr>
                                <w:t>Francia, método 1</w:t>
                              </w:r>
                            </w:p>
                          </w:txbxContent>
                        </wps:txbx>
                        <wps:bodyPr rot="0" vert="horz" wrap="square" lIns="18000" tIns="45720" rIns="18000" bIns="45720" anchor="t" anchorCtr="0" upright="1">
                          <a:noAutofit/>
                        </wps:bodyPr>
                      </wps:wsp>
                      <wps:wsp>
                        <wps:cNvPr id="21" name="Text Box 5"/>
                        <wps:cNvSpPr txBox="1">
                          <a:spLocks noChangeArrowheads="1"/>
                        </wps:cNvSpPr>
                        <wps:spPr bwMode="auto">
                          <a:xfrm>
                            <a:off x="9380" y="4130"/>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564025">
                              <w:pPr>
                                <w:rPr>
                                  <w:sz w:val="16"/>
                                  <w:szCs w:val="16"/>
                                </w:rPr>
                              </w:pPr>
                              <w:r>
                                <w:rPr>
                                  <w:sz w:val="16"/>
                                  <w:szCs w:val="16"/>
                                </w:rPr>
                                <w:t>Francia, método 2</w:t>
                              </w:r>
                            </w:p>
                          </w:txbxContent>
                        </wps:txbx>
                        <wps:bodyPr rot="0" vert="horz" wrap="square" lIns="18000" tIns="45720" rIns="18000" bIns="45720" anchor="t" anchorCtr="0" upright="1">
                          <a:noAutofit/>
                        </wps:bodyPr>
                      </wps:wsp>
                      <wps:wsp>
                        <wps:cNvPr id="22" name="Text Box 6"/>
                        <wps:cNvSpPr txBox="1">
                          <a:spLocks noChangeArrowheads="1"/>
                        </wps:cNvSpPr>
                        <wps:spPr bwMode="auto">
                          <a:xfrm>
                            <a:off x="9394" y="4487"/>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564025">
                              <w:pPr>
                                <w:rPr>
                                  <w:sz w:val="16"/>
                                  <w:szCs w:val="16"/>
                                </w:rPr>
                              </w:pPr>
                              <w:r>
                                <w:rPr>
                                  <w:sz w:val="16"/>
                                  <w:szCs w:val="16"/>
                                </w:rPr>
                                <w:t>Italia</w:t>
                              </w:r>
                            </w:p>
                          </w:txbxContent>
                        </wps:txbx>
                        <wps:bodyPr rot="0" vert="horz" wrap="square" lIns="18000" tIns="45720" rIns="18000" bIns="45720" anchor="t" anchorCtr="0" upright="1">
                          <a:noAutofit/>
                        </wps:bodyPr>
                      </wps:wsp>
                      <wps:wsp>
                        <wps:cNvPr id="23" name="Text Box 7"/>
                        <wps:cNvSpPr txBox="1">
                          <a:spLocks noChangeArrowheads="1"/>
                        </wps:cNvSpPr>
                        <wps:spPr bwMode="auto">
                          <a:xfrm>
                            <a:off x="9394" y="4844"/>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Alemania 2012</w:t>
                              </w:r>
                            </w:p>
                          </w:txbxContent>
                        </wps:txbx>
                        <wps:bodyPr rot="0" vert="horz" wrap="square" lIns="18000" tIns="45720" rIns="18000" bIns="45720" anchor="t" anchorCtr="0" upright="1">
                          <a:noAutofit/>
                        </wps:bodyPr>
                      </wps:wsp>
                      <wps:wsp>
                        <wps:cNvPr id="24" name="Text Box 8"/>
                        <wps:cNvSpPr txBox="1">
                          <a:spLocks noChangeArrowheads="1"/>
                        </wps:cNvSpPr>
                        <wps:spPr bwMode="auto">
                          <a:xfrm>
                            <a:off x="9394" y="5215"/>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Japón 2012</w:t>
                              </w:r>
                            </w:p>
                          </w:txbxContent>
                        </wps:txbx>
                        <wps:bodyPr rot="0" vert="horz" wrap="square" lIns="18000" tIns="45720" rIns="18000" bIns="45720" anchor="t" anchorCtr="0" upright="1">
                          <a:noAutofit/>
                        </wps:bodyPr>
                      </wps:wsp>
                      <wps:wsp>
                        <wps:cNvPr id="25" name="Text Box 9"/>
                        <wps:cNvSpPr txBox="1">
                          <a:spLocks noChangeArrowheads="1"/>
                        </wps:cNvSpPr>
                        <wps:spPr bwMode="auto">
                          <a:xfrm>
                            <a:off x="9387" y="5579"/>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RU, método 1</w:t>
                              </w:r>
                            </w:p>
                          </w:txbxContent>
                        </wps:txbx>
                        <wps:bodyPr rot="0" vert="horz" wrap="square" lIns="18000" tIns="45720" rIns="18000" bIns="45720" anchor="t" anchorCtr="0" upright="1">
                          <a:noAutofit/>
                        </wps:bodyPr>
                      </wps:wsp>
                      <wps:wsp>
                        <wps:cNvPr id="26" name="Text Box 10"/>
                        <wps:cNvSpPr txBox="1">
                          <a:spLocks noChangeArrowheads="1"/>
                        </wps:cNvSpPr>
                        <wps:spPr bwMode="auto">
                          <a:xfrm>
                            <a:off x="9394" y="5936"/>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RU, método 2</w:t>
                              </w: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left:0;text-align:left;margin-left:411.45pt;margin-top:95.3pt;width:72.5pt;height:123.3pt;z-index:251672576" coordorigin="9363,3773" coordsize="1450,2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">
                <v:shapetype id="_x0000_t202" coordsize="21600,21600" o:spt="202" path="m,l,21600r21600,l21600,xe">
                  <v:stroke joinstyle="miter"/>
                  <v:path gradientshapeok="t" o:connecttype="rect"/>
                </v:shapetype>
                <v:shape id="Text Box 4" o:spid="_x0000_s1027" type="#_x0000_t202" style="position:absolute;left:9363;top:3773;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YMVsAA&#10;AADbAAAADwAAAGRycy9kb3ducmV2LnhtbERPz2vCMBS+C/4P4QneNFWHzM4oKjimt3UTdnw0z7ba&#10;vJQk1u6/NwfB48f3e7nuTC1acr6yrGAyTkAQ51ZXXCj4/dmP3kH4gKyxtkwK/snDetXvLTHV9s7f&#10;1GahEDGEfYoKyhCaVEqfl2TQj21DHLmzdQZDhK6Q2uE9hptaTpNkLg1WHBtKbGhXUn7NbkbB9s/N&#10;PicLe7Hb0+ztlh2Opt2gUsNBt/kAEagLL/HT/aUVTOP6+CX+ALl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rYMVsAAAADbAAAADwAAAAAAAAAAAAAAAACYAgAAZHJzL2Rvd25y&#10;ZXYueG1sUEsFBgAAAAAEAAQA9QAAAIUDAAAAAA==&#10;" stroked="f">
                  <v:textbox inset=".5mm,,.5mm">
                    <w:txbxContent>
                      <w:p w:rsidR="00A4652D" w:rsidRPr="00C51BC2" w:rsidRDefault="00A4652D">
                        <w:pPr>
                          <w:rPr>
                            <w:sz w:val="16"/>
                            <w:szCs w:val="16"/>
                          </w:rPr>
                        </w:pPr>
                        <w:r>
                          <w:rPr>
                            <w:sz w:val="16"/>
                            <w:szCs w:val="16"/>
                          </w:rPr>
                          <w:t>Francia, método 1</w:t>
                        </w:r>
                      </w:p>
                    </w:txbxContent>
                  </v:textbox>
                </v:shape>
                <v:shape id="Text Box 5" o:spid="_x0000_s1028" type="#_x0000_t202" style="position:absolute;left:9380;top:4130;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qpzcMA&#10;AADbAAAADwAAAGRycy9kb3ducmV2LnhtbESPQWvCQBSE74X+h+UVetNNtBSNrqKCpe3NqODxkX0m&#10;abNvw+4a4793C0KPw8x8w8yXvWlER87XlhWkwwQEcWF1zaWCw347mIDwAVljY5kU3MjDcvH8NMdM&#10;2yvvqMtDKSKEfYYKqhDaTEpfVGTQD21LHL2zdQZDlK6U2uE1wk0jR0nyLg3WHBcqbGlTUfGbX4yC&#10;9cmNP9Kp/bHr4/jtkn99m26FSr2+9KsZiEB9+A8/2p9awSiFv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fqpzcMAAADbAAAADwAAAAAAAAAAAAAAAACYAgAAZHJzL2Rv&#10;d25yZXYueG1sUEsFBgAAAAAEAAQA9QAAAIgDAAAAAA==&#10;" stroked="f">
                  <v:textbox inset=".5mm,,.5mm">
                    <w:txbxContent>
                      <w:p w:rsidR="00A4652D" w:rsidRPr="00C51BC2" w:rsidRDefault="00A4652D" w:rsidP="00564025">
                        <w:pPr>
                          <w:rPr>
                            <w:sz w:val="16"/>
                            <w:szCs w:val="16"/>
                          </w:rPr>
                        </w:pPr>
                        <w:r>
                          <w:rPr>
                            <w:sz w:val="16"/>
                            <w:szCs w:val="16"/>
                          </w:rPr>
                          <w:t>Francia, método 2</w:t>
                        </w:r>
                      </w:p>
                    </w:txbxContent>
                  </v:textbox>
                </v:shape>
                <v:shape id="Text Box 6" o:spid="_x0000_s1029" type="#_x0000_t202" style="position:absolute;left:9394;top:4487;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g3usMA&#10;AADbAAAADwAAAGRycy9kb3ducmV2LnhtbESPQWvCQBSE74X+h+UVetONsRSNrqKCpe3NqODxkX0m&#10;abNvw+4a4793C0KPw8x8w8yXvWlER87XlhWMhgkI4sLqmksFh/12MAHhA7LGxjIpuJGH5eL5aY6Z&#10;tlfeUZeHUkQI+wwVVCG0mZS+qMigH9qWOHpn6wyGKF0ptcNrhJtGpknyLg3WHBcqbGlTUfGbX4yC&#10;9cmNP0ZT+2PXx/HbJf/6Nt0KlXp96VczEIH68B9+tD+1gjSFv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g3usMAAADbAAAADwAAAAAAAAAAAAAAAACYAgAAZHJzL2Rv&#10;d25yZXYueG1sUEsFBgAAAAAEAAQA9QAAAIgDAAAAAA==&#10;" stroked="f">
                  <v:textbox inset=".5mm,,.5mm">
                    <w:txbxContent>
                      <w:p w:rsidR="00A4652D" w:rsidRPr="00C51BC2" w:rsidRDefault="00A4652D" w:rsidP="00564025">
                        <w:pPr>
                          <w:rPr>
                            <w:sz w:val="16"/>
                            <w:szCs w:val="16"/>
                          </w:rPr>
                        </w:pPr>
                        <w:r>
                          <w:rPr>
                            <w:sz w:val="16"/>
                            <w:szCs w:val="16"/>
                          </w:rPr>
                          <w:t>Italia</w:t>
                        </w:r>
                      </w:p>
                    </w:txbxContent>
                  </v:textbox>
                </v:shape>
                <v:shape id="Text Box 7" o:spid="_x0000_s1030" type="#_x0000_t202" style="position:absolute;left:9394;top:4844;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SIcMA&#10;AADbAAAADwAAAGRycy9kb3ducmV2LnhtbESPQWvCQBSE74X+h+UVetONphSNrqKCpe3NqODxkX0m&#10;abNvw+4a4793C0KPw8x8w8yXvWlER87XlhWMhgkI4sLqmksFh/12MAHhA7LGxjIpuJGH5eL5aY6Z&#10;tlfeUZeHUkQI+wwVVCG0mZS+qMigH9qWOHpn6wyGKF0ptcNrhJtGjpPkXRqsOS5U2NKmouI3vxgF&#10;65NLP0ZT+2PXx/Ttkn99m26FSr2+9KsZiEB9+A8/2p9awTiFv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mSSIcMAAADbAAAADwAAAAAAAAAAAAAAAACYAgAAZHJzL2Rv&#10;d25yZXYueG1sUEsFBgAAAAAEAAQA9QAAAIgDAAAAAA==&#10;" stroked="f">
                  <v:textbox inset=".5mm,,.5mm">
                    <w:txbxContent>
                      <w:p w:rsidR="00A4652D" w:rsidRPr="00C51BC2" w:rsidRDefault="00A4652D" w:rsidP="002428FC">
                        <w:pPr>
                          <w:rPr>
                            <w:sz w:val="16"/>
                            <w:szCs w:val="16"/>
                          </w:rPr>
                        </w:pPr>
                        <w:r>
                          <w:rPr>
                            <w:sz w:val="16"/>
                            <w:szCs w:val="16"/>
                          </w:rPr>
                          <w:t>Alemania 2012</w:t>
                        </w:r>
                      </w:p>
                    </w:txbxContent>
                  </v:textbox>
                </v:shape>
                <v:shape id="Text Box 8" o:spid="_x0000_s1031" type="#_x0000_t202" style="position:absolute;left:9394;top:5215;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0KVcQA&#10;AADbAAAADwAAAGRycy9kb3ducmV2LnhtbESPT2vCQBTE7wW/w/KE3nTjH4pGV1Ghpe3NtILHR/aZ&#10;RLNvw+4a47d3C0KPw8z8hlmuO1OLlpyvLCsYDRMQxLnVFRcKfn/eBzMQPiBrrC2Tgjt5WK96L0tM&#10;tb3xntosFCJC2KeooAyhSaX0eUkG/dA2xNE7WWcwROkKqR3eItzUcpwkb9JgxXGhxIZ2JeWX7GoU&#10;bI9u8jGa27PdHibTa/b1bdoNKvXa7zYLEIG68B9+tj+1gvEU/r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NClXEAAAA2wAAAA8AAAAAAAAAAAAAAAAAmAIAAGRycy9k&#10;b3ducmV2LnhtbFBLBQYAAAAABAAEAPUAAACJAwAAAAA=&#10;" stroked="f">
                  <v:textbox inset=".5mm,,.5mm">
                    <w:txbxContent>
                      <w:p w:rsidR="00A4652D" w:rsidRPr="00C51BC2" w:rsidRDefault="00A4652D" w:rsidP="002428FC">
                        <w:pPr>
                          <w:rPr>
                            <w:sz w:val="16"/>
                            <w:szCs w:val="16"/>
                          </w:rPr>
                        </w:pPr>
                        <w:r>
                          <w:rPr>
                            <w:sz w:val="16"/>
                            <w:szCs w:val="16"/>
                          </w:rPr>
                          <w:t>Japón 2012</w:t>
                        </w:r>
                      </w:p>
                    </w:txbxContent>
                  </v:textbox>
                </v:shape>
                <v:shape id="Text Box 9" o:spid="_x0000_s1032" type="#_x0000_t202" style="position:absolute;left:9387;top:5579;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vzsQA&#10;AADbAAAADwAAAGRycy9kb3ducmV2LnhtbESPT2vCQBTE74V+h+UVetONfyqauooWKtpbo0KPj+wz&#10;ic2+DbtrjN/eLQg9DjPzG2a+7EwtWnK+sqxg0E9AEOdWV1woOOw/e1MQPiBrrC2Tght5WC6en+aY&#10;anvlb2qzUIgIYZ+igjKEJpXS5yUZ9H3bEEfvZJ3BEKUrpHZ4jXBTy2GSTKTBiuNCiQ19lJT/Zhej&#10;YP3jRpvBzJ7t+jgaX7Ldl2lXqNTrS7d6BxGoC//hR3urFQzf4O9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Br87EAAAA2wAAAA8AAAAAAAAAAAAAAAAAmAIAAGRycy9k&#10;b3ducmV2LnhtbFBLBQYAAAAABAAEAPUAAACJAwAAAAA=&#10;" stroked="f">
                  <v:textbox inset=".5mm,,.5mm">
                    <w:txbxContent>
                      <w:p w:rsidR="00A4652D" w:rsidRPr="00C51BC2" w:rsidRDefault="00A4652D" w:rsidP="002428FC">
                        <w:pPr>
                          <w:rPr>
                            <w:sz w:val="16"/>
                            <w:szCs w:val="16"/>
                          </w:rPr>
                        </w:pPr>
                        <w:r>
                          <w:rPr>
                            <w:sz w:val="16"/>
                            <w:szCs w:val="16"/>
                          </w:rPr>
                          <w:t>RU, método 1</w:t>
                        </w:r>
                      </w:p>
                    </w:txbxContent>
                  </v:textbox>
                </v:shape>
                <v:shape id="Text Box 10" o:spid="_x0000_s1033" type="#_x0000_t202" style="position:absolute;left:9394;top:5936;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MxucQA&#10;AADbAAAADwAAAGRycy9kb3ducmV2LnhtbESPT2vCQBTE70K/w/IKvdWNfxCNrqKFlurNqODxkX1N&#10;0mbfht01xm/vCgWPw8z8hlmsOlOLlpyvLCsY9BMQxLnVFRcKjofP9ykIH5A11pZJwY08rJYvvQWm&#10;2l55T20WChEh7FNUUIbQpFL6vCSDvm8b4uj9WGcwROkKqR1eI9zUcpgkE2mw4rhQYkMfJeV/2cUo&#10;2Jzd6Gsws792cxqNL9l2Z9o1KvX22q3nIAJ14Rn+b39rBcMJPL7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TMbnEAAAA2wAAAA8AAAAAAAAAAAAAAAAAmAIAAGRycy9k&#10;b3ducmV2LnhtbFBLBQYAAAAABAAEAPUAAACJAwAAAAA=&#10;" stroked="f">
                  <v:textbox inset=".5mm,,.5mm">
                    <w:txbxContent>
                      <w:p w:rsidR="00A4652D" w:rsidRPr="00C51BC2" w:rsidRDefault="00A4652D" w:rsidP="002428FC">
                        <w:pPr>
                          <w:rPr>
                            <w:sz w:val="16"/>
                            <w:szCs w:val="16"/>
                          </w:rPr>
                        </w:pPr>
                        <w:r>
                          <w:rPr>
                            <w:sz w:val="16"/>
                            <w:szCs w:val="16"/>
                          </w:rPr>
                          <w:t>RU, método 2</w:t>
                        </w:r>
                      </w:p>
                    </w:txbxContent>
                  </v:textbox>
                </v:shape>
              </v:group>
            </w:pict>
          </mc:Fallback>
        </mc:AlternateContent>
      </w:r>
      <w:r w:rsidR="009922AC">
        <w:rPr>
          <w:rFonts w:asciiTheme="minorHAnsi" w:eastAsiaTheme="minorEastAsia" w:hAnsiTheme="minorHAnsi" w:cstheme="minorBidi"/>
          <w:b/>
          <w:bCs/>
          <w:noProof/>
          <w:color w:val="4F81BD" w:themeColor="accent1"/>
          <w:sz w:val="18"/>
          <w:szCs w:val="18"/>
          <w:lang w:val="en-US" w:eastAsia="en-US" w:bidi="ar-SA"/>
        </w:rPr>
        <w:drawing>
          <wp:inline distT="0" distB="0" distL="0" distR="0">
            <wp:extent cx="6229350" cy="3571875"/>
            <wp:effectExtent l="19050" t="0" r="19050"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922AC" w:rsidRPr="005A7EA5" w:rsidRDefault="009922AC" w:rsidP="005A7EA5">
      <w:pPr>
        <w:rPr>
          <w:u w:val="single"/>
        </w:rPr>
      </w:pPr>
    </w:p>
    <w:p w:rsidR="005A7EA5" w:rsidRPr="005A7EA5" w:rsidRDefault="005A7EA5" w:rsidP="005A7EA5">
      <w:pPr>
        <w:jc w:val="center"/>
        <w:rPr>
          <w:rFonts w:eastAsia="MS Mincho" w:cs="Arial"/>
          <w:bCs/>
          <w:sz w:val="18"/>
          <w:szCs w:val="18"/>
        </w:rPr>
      </w:pPr>
    </w:p>
    <w:p w:rsidR="005A7EA5" w:rsidRPr="005A7EA5" w:rsidRDefault="005A7EA5" w:rsidP="005A7EA5">
      <w:pPr>
        <w:jc w:val="center"/>
        <w:rPr>
          <w:rFonts w:eastAsiaTheme="minorEastAsia" w:cs="Arial"/>
          <w:bCs/>
        </w:rPr>
      </w:pPr>
      <w:r>
        <w:t xml:space="preserve">Figura </w:t>
      </w:r>
      <w:r w:rsidR="00505021" w:rsidRPr="005A7EA5">
        <w:rPr>
          <w:rFonts w:eastAsiaTheme="minorEastAsia" w:cs="Arial"/>
          <w:bCs/>
        </w:rPr>
        <w:fldChar w:fldCharType="begin"/>
      </w:r>
      <w:r w:rsidRPr="005A7EA5">
        <w:rPr>
          <w:rFonts w:eastAsiaTheme="minorEastAsia" w:cs="Arial"/>
          <w:bCs/>
        </w:rPr>
        <w:instrText xml:space="preserve"> SEQ Figure \* ARABIC </w:instrText>
      </w:r>
      <w:r w:rsidR="00505021" w:rsidRPr="005A7EA5">
        <w:rPr>
          <w:rFonts w:eastAsiaTheme="minorEastAsia" w:cs="Arial"/>
          <w:bCs/>
        </w:rPr>
        <w:fldChar w:fldCharType="separate"/>
      </w:r>
      <w:r w:rsidR="00BA06B8">
        <w:rPr>
          <w:rFonts w:eastAsiaTheme="minorEastAsia" w:cs="Arial"/>
          <w:bCs/>
          <w:noProof/>
        </w:rPr>
        <w:t>1</w:t>
      </w:r>
      <w:r w:rsidR="00505021" w:rsidRPr="005A7EA5">
        <w:rPr>
          <w:rFonts w:eastAsiaTheme="minorEastAsia" w:cs="Arial"/>
          <w:bCs/>
        </w:rPr>
        <w:fldChar w:fldCharType="end"/>
      </w:r>
      <w:proofErr w:type="gramStart"/>
      <w:r w:rsidR="0030647E">
        <w:t xml:space="preserve">:  </w:t>
      </w:r>
      <w:r>
        <w:t>Distribución</w:t>
      </w:r>
      <w:proofErr w:type="gramEnd"/>
      <w:r>
        <w:t xml:space="preserve"> de notas por método</w:t>
      </w:r>
    </w:p>
    <w:p w:rsidR="005A7EA5" w:rsidRPr="005A7EA5" w:rsidRDefault="005A7EA5" w:rsidP="005A7EA5">
      <w:pPr>
        <w:rPr>
          <w:rFonts w:eastAsiaTheme="minorHAnsi"/>
        </w:rPr>
      </w:pPr>
    </w:p>
    <w:p w:rsidR="005A7EA5" w:rsidRPr="005A7EA5" w:rsidRDefault="005A7EA5" w:rsidP="005A7EA5">
      <w:pPr>
        <w:numPr>
          <w:ilvl w:val="0"/>
          <w:numId w:val="24"/>
        </w:numPr>
        <w:spacing w:after="120"/>
        <w:ind w:left="0" w:firstLine="0"/>
        <w:rPr>
          <w:rFonts w:cs="Arial"/>
        </w:rPr>
      </w:pPr>
      <w:r>
        <w:t>En el gráfico anterior se observa que las notas de los métodos examinados no tienen una distribución normal.</w:t>
      </w:r>
      <w:r w:rsidR="00FA10FA">
        <w:t xml:space="preserve"> </w:t>
      </w:r>
      <w:r>
        <w:t xml:space="preserve"> </w:t>
      </w:r>
      <w:r w:rsidR="00FA10FA">
        <w:t xml:space="preserve">En cambio, </w:t>
      </w:r>
      <w:r>
        <w:t>en la mayoría de los casos, las distribuciones muestran dos picos diferentes que corresponden a los dos tipos de variedades</w:t>
      </w:r>
      <w:proofErr w:type="gramStart"/>
      <w:r>
        <w:t>:  el</w:t>
      </w:r>
      <w:proofErr w:type="gramEnd"/>
      <w:r>
        <w:t xml:space="preserve"> primero corresponde a las variedades de linaza (variedades más pequeñas a las que se asigna</w:t>
      </w:r>
      <w:r w:rsidR="00671922">
        <w:t>n</w:t>
      </w:r>
      <w:r>
        <w:t xml:space="preserve"> notas bajas) y el segundo a las variedades de lino (variedades más altas a las que se asigna</w:t>
      </w:r>
      <w:r w:rsidR="00671922">
        <w:t>n</w:t>
      </w:r>
      <w:r>
        <w:t xml:space="preserve"> notas más altas).</w:t>
      </w:r>
    </w:p>
    <w:p w:rsidR="005A7EA5" w:rsidRPr="005A7EA5" w:rsidRDefault="00D41EC2" w:rsidP="005A7EA5">
      <w:pPr>
        <w:spacing w:line="360" w:lineRule="auto"/>
        <w:jc w:val="center"/>
        <w:rPr>
          <w:rFonts w:cs="Arial"/>
        </w:rPr>
      </w:pPr>
      <w:r>
        <w:rPr>
          <w:noProof/>
          <w:lang w:val="en-US" w:eastAsia="en-US" w:bidi="ar-SA"/>
        </w:rPr>
        <mc:AlternateContent>
          <mc:Choice Requires="wpg">
            <w:drawing>
              <wp:anchor distT="0" distB="0" distL="114300" distR="114300" simplePos="0" relativeHeight="251702272" behindDoc="0" locked="0" layoutInCell="1" allowOverlap="1">
                <wp:simplePos x="0" y="0"/>
                <wp:positionH relativeFrom="column">
                  <wp:posOffset>148590</wp:posOffset>
                </wp:positionH>
                <wp:positionV relativeFrom="paragraph">
                  <wp:posOffset>290830</wp:posOffset>
                </wp:positionV>
                <wp:extent cx="6061075" cy="3339465"/>
                <wp:effectExtent l="0" t="0" r="635" b="0"/>
                <wp:wrapNone/>
                <wp:docPr id="4"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075" cy="3339465"/>
                          <a:chOff x="1368" y="9703"/>
                          <a:chExt cx="9545" cy="5259"/>
                        </a:xfrm>
                      </wpg:grpSpPr>
                      <wps:wsp>
                        <wps:cNvPr id="5" name="Text Box 25"/>
                        <wps:cNvSpPr txBox="1">
                          <a:spLocks noChangeArrowheads="1"/>
                        </wps:cNvSpPr>
                        <wps:spPr bwMode="auto">
                          <a:xfrm>
                            <a:off x="1699" y="14659"/>
                            <a:ext cx="2646"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CD1445">
                              <w:pPr>
                                <w:rPr>
                                  <w:sz w:val="16"/>
                                  <w:szCs w:val="16"/>
                                </w:rPr>
                              </w:pPr>
                              <w:r>
                                <w:rPr>
                                  <w:sz w:val="16"/>
                                  <w:szCs w:val="16"/>
                                </w:rPr>
                                <w:t>Reino Unido, método 2</w:t>
                              </w:r>
                            </w:p>
                          </w:txbxContent>
                        </wps:txbx>
                        <wps:bodyPr rot="0" vert="horz" wrap="square" lIns="270000" tIns="45720" rIns="270000" bIns="45720" anchor="t" anchorCtr="0" upright="1">
                          <a:noAutofit/>
                        </wps:bodyPr>
                      </wps:wsp>
                      <wps:wsp>
                        <wps:cNvPr id="6" name="Text Box 11"/>
                        <wps:cNvSpPr txBox="1">
                          <a:spLocks noChangeArrowheads="1"/>
                        </wps:cNvSpPr>
                        <wps:spPr bwMode="auto">
                          <a:xfrm>
                            <a:off x="2323" y="10613"/>
                            <a:ext cx="1666" cy="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Francia, método 1</w:t>
                              </w:r>
                            </w:p>
                          </w:txbxContent>
                        </wps:txbx>
                        <wps:bodyPr rot="0" vert="horz" wrap="square" lIns="90000" tIns="45720" rIns="90000" bIns="45720" anchor="t" anchorCtr="0" upright="1">
                          <a:noAutofit/>
                        </wps:bodyPr>
                      </wps:wsp>
                      <wps:wsp>
                        <wps:cNvPr id="7" name="Text Box 12"/>
                        <wps:cNvSpPr txBox="1">
                          <a:spLocks noChangeArrowheads="1"/>
                        </wps:cNvSpPr>
                        <wps:spPr bwMode="auto">
                          <a:xfrm>
                            <a:off x="5306" y="10674"/>
                            <a:ext cx="1815"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Francia, método 2</w:t>
                              </w:r>
                            </w:p>
                          </w:txbxContent>
                        </wps:txbx>
                        <wps:bodyPr rot="0" vert="horz" wrap="square" lIns="90000" tIns="45720" rIns="90000" bIns="45720" anchor="t" anchorCtr="0" upright="1">
                          <a:noAutofit/>
                        </wps:bodyPr>
                      </wps:wsp>
                      <wps:wsp>
                        <wps:cNvPr id="8" name="Text Box 14"/>
                        <wps:cNvSpPr txBox="1">
                          <a:spLocks noChangeArrowheads="1"/>
                        </wps:cNvSpPr>
                        <wps:spPr bwMode="auto">
                          <a:xfrm>
                            <a:off x="8461" y="10668"/>
                            <a:ext cx="1796"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Alemania 2012</w:t>
                              </w:r>
                            </w:p>
                          </w:txbxContent>
                        </wps:txbx>
                        <wps:bodyPr rot="0" vert="horz" wrap="square" lIns="162000" tIns="45720" rIns="162000" bIns="45720" anchor="t" anchorCtr="0" upright="1">
                          <a:noAutofit/>
                        </wps:bodyPr>
                      </wps:wsp>
                      <wps:wsp>
                        <wps:cNvPr id="9" name="Text Box 15"/>
                        <wps:cNvSpPr txBox="1">
                          <a:spLocks noChangeArrowheads="1"/>
                        </wps:cNvSpPr>
                        <wps:spPr bwMode="auto">
                          <a:xfrm>
                            <a:off x="5410" y="12751"/>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Japón</w:t>
                              </w:r>
                            </w:p>
                          </w:txbxContent>
                        </wps:txbx>
                        <wps:bodyPr rot="0" vert="horz" wrap="square" lIns="198000" tIns="45720" rIns="198000" bIns="45720" anchor="t" anchorCtr="0" upright="1">
                          <a:noAutofit/>
                        </wps:bodyPr>
                      </wps:wsp>
                      <wps:wsp>
                        <wps:cNvPr id="10" name="Text Box 16"/>
                        <wps:cNvSpPr txBox="1">
                          <a:spLocks noChangeArrowheads="1"/>
                        </wps:cNvSpPr>
                        <wps:spPr bwMode="auto">
                          <a:xfrm>
                            <a:off x="8082" y="12731"/>
                            <a:ext cx="2831"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2428FC">
                              <w:pPr>
                                <w:rPr>
                                  <w:sz w:val="16"/>
                                  <w:szCs w:val="16"/>
                                </w:rPr>
                              </w:pPr>
                              <w:r>
                                <w:rPr>
                                  <w:sz w:val="16"/>
                                  <w:szCs w:val="16"/>
                                </w:rPr>
                                <w:t>Reino Unido, método 1</w:t>
                              </w:r>
                            </w:p>
                          </w:txbxContent>
                        </wps:txbx>
                        <wps:bodyPr rot="0" vert="horz" wrap="square" lIns="198000" tIns="45720" rIns="198000" bIns="45720" anchor="t" anchorCtr="0" upright="1">
                          <a:noAutofit/>
                        </wps:bodyPr>
                      </wps:wsp>
                      <wps:wsp>
                        <wps:cNvPr id="11" name="Text Box 30"/>
                        <wps:cNvSpPr txBox="1">
                          <a:spLocks noChangeArrowheads="1"/>
                        </wps:cNvSpPr>
                        <wps:spPr bwMode="auto">
                          <a:xfrm>
                            <a:off x="1368" y="13783"/>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
                                <w:t>Nota</w:t>
                              </w:r>
                            </w:p>
                          </w:txbxContent>
                        </wps:txbx>
                        <wps:bodyPr rot="0" vert="vert270" wrap="none" lIns="18000" tIns="45720" rIns="18000" bIns="45720" anchor="t" anchorCtr="0" upright="1">
                          <a:spAutoFit/>
                        </wps:bodyPr>
                      </wps:wsp>
                      <wps:wsp>
                        <wps:cNvPr id="12" name="Text Box 31"/>
                        <wps:cNvSpPr txBox="1">
                          <a:spLocks noChangeArrowheads="1"/>
                        </wps:cNvSpPr>
                        <wps:spPr bwMode="auto">
                          <a:xfrm>
                            <a:off x="4440" y="11903"/>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sidP="007B714D">
                              <w:r>
                                <w:t>Nota</w:t>
                              </w:r>
                            </w:p>
                          </w:txbxContent>
                        </wps:txbx>
                        <wps:bodyPr rot="0" vert="vert270" wrap="none" lIns="18000" tIns="45720" rIns="18000" bIns="45720" anchor="t" anchorCtr="0" upright="1">
                          <a:spAutoFit/>
                        </wps:bodyPr>
                      </wps:wsp>
                      <wps:wsp>
                        <wps:cNvPr id="13" name="Text Box 32"/>
                        <wps:cNvSpPr txBox="1">
                          <a:spLocks noChangeArrowheads="1"/>
                        </wps:cNvSpPr>
                        <wps:spPr bwMode="auto">
                          <a:xfrm>
                            <a:off x="1394" y="11904"/>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sidP="007B714D">
                              <w:r>
                                <w:t>Nota</w:t>
                              </w:r>
                            </w:p>
                          </w:txbxContent>
                        </wps:txbx>
                        <wps:bodyPr rot="0" vert="vert270" wrap="none" lIns="18000" tIns="45720" rIns="18000" bIns="45720" anchor="t" anchorCtr="0" upright="1">
                          <a:spAutoFit/>
                        </wps:bodyPr>
                      </wps:wsp>
                      <wps:wsp>
                        <wps:cNvPr id="14" name="Text Box 33"/>
                        <wps:cNvSpPr txBox="1">
                          <a:spLocks noChangeArrowheads="1"/>
                        </wps:cNvSpPr>
                        <wps:spPr bwMode="auto">
                          <a:xfrm>
                            <a:off x="7568" y="11839"/>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sidP="007B714D">
                              <w:r>
                                <w:t>Nota</w:t>
                              </w:r>
                            </w:p>
                          </w:txbxContent>
                        </wps:txbx>
                        <wps:bodyPr rot="0" vert="vert270" wrap="none" lIns="18000" tIns="45720" rIns="18000" bIns="45720" anchor="t" anchorCtr="0" upright="1">
                          <a:spAutoFit/>
                        </wps:bodyPr>
                      </wps:wsp>
                      <wps:wsp>
                        <wps:cNvPr id="15" name="Text Box 34"/>
                        <wps:cNvSpPr txBox="1">
                          <a:spLocks noChangeArrowheads="1"/>
                        </wps:cNvSpPr>
                        <wps:spPr bwMode="auto">
                          <a:xfrm>
                            <a:off x="4459" y="9769"/>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sidP="007B714D">
                              <w:r>
                                <w:t>Nota</w:t>
                              </w:r>
                            </w:p>
                          </w:txbxContent>
                        </wps:txbx>
                        <wps:bodyPr rot="0" vert="vert270" wrap="none" lIns="18000" tIns="45720" rIns="18000" bIns="45720" anchor="t" anchorCtr="0" upright="1">
                          <a:spAutoFit/>
                        </wps:bodyPr>
                      </wps:wsp>
                      <wps:wsp>
                        <wps:cNvPr id="16" name="Text Box 35"/>
                        <wps:cNvSpPr txBox="1">
                          <a:spLocks noChangeArrowheads="1"/>
                        </wps:cNvSpPr>
                        <wps:spPr bwMode="auto">
                          <a:xfrm>
                            <a:off x="1410" y="9770"/>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sidP="007B714D">
                              <w:r>
                                <w:t>Nota</w:t>
                              </w:r>
                            </w:p>
                          </w:txbxContent>
                        </wps:txbx>
                        <wps:bodyPr rot="0" vert="vert270" wrap="none" lIns="18000" tIns="45720" rIns="18000" bIns="45720" anchor="t" anchorCtr="0" upright="1">
                          <a:spAutoFit/>
                        </wps:bodyPr>
                      </wps:wsp>
                      <wps:wsp>
                        <wps:cNvPr id="17" name="Text Box 36"/>
                        <wps:cNvSpPr txBox="1">
                          <a:spLocks noChangeArrowheads="1"/>
                        </wps:cNvSpPr>
                        <wps:spPr bwMode="auto">
                          <a:xfrm>
                            <a:off x="7584" y="9703"/>
                            <a:ext cx="528" cy="5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Default="00A4652D" w:rsidP="007B714D">
                              <w:r>
                                <w:t>Nota</w:t>
                              </w:r>
                            </w:p>
                          </w:txbxContent>
                        </wps:txbx>
                        <wps:bodyPr rot="0" vert="vert270" wrap="none" lIns="18000" tIns="45720" rIns="18000" bIns="45720" anchor="t" anchorCtr="0" upright="1">
                          <a:spAutoFit/>
                        </wps:bodyPr>
                      </wps:wsp>
                      <wps:wsp>
                        <wps:cNvPr id="18" name="Text Box 40"/>
                        <wps:cNvSpPr txBox="1">
                          <a:spLocks noChangeArrowheads="1"/>
                        </wps:cNvSpPr>
                        <wps:spPr bwMode="auto">
                          <a:xfrm>
                            <a:off x="2434" y="12735"/>
                            <a:ext cx="1419" cy="3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2D" w:rsidRPr="00C51BC2" w:rsidRDefault="00A4652D" w:rsidP="00FA10FA">
                              <w:pPr>
                                <w:rPr>
                                  <w:sz w:val="16"/>
                                  <w:szCs w:val="16"/>
                                </w:rPr>
                              </w:pPr>
                              <w:r>
                                <w:rPr>
                                  <w:sz w:val="16"/>
                                  <w:szCs w:val="16"/>
                                </w:rPr>
                                <w:t>Italia</w:t>
                              </w:r>
                            </w:p>
                          </w:txbxContent>
                        </wps:txbx>
                        <wps:bodyPr rot="0" vert="horz" wrap="square" lIns="198000" tIns="45720" rIns="19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34" style="position:absolute;left:0;text-align:left;margin-left:11.7pt;margin-top:22.9pt;width:477.25pt;height:262.95pt;z-index:251702272" coordorigin="1368,9703" coordsize="9545,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">
                <v:shape id="Text Box 25" o:spid="_x0000_s1035" type="#_x0000_t202" style="position:absolute;left:1699;top:14659;width:2646;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cyTcMA&#10;AADaAAAADwAAAGRycy9kb3ducmV2LnhtbESPT2sCMRTE7wW/Q3iCt5pVtOjWKCIqXgr1T6HHR/K6&#10;u7h5WZK4rt++KRQ8DjPzG2ax6mwtWvKhcqxgNMxAEGtnKi4UXM671xmIEJEN1o5JwYMCrJa9lwXm&#10;xt35SO0pFiJBOOSooIyxyaUMuiSLYega4uT9OG8xJukLaTzeE9zWcpxlb9JixWmhxIY2Jenr6WYV&#10;zL/3Yf9x0Mf11lM2GX/Jy6dulRr0u/U7iEhdfIb/2wejYAp/V9INk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cyTcMAAADaAAAADwAAAAAAAAAAAAAAAACYAgAAZHJzL2Rv&#10;d25yZXYueG1sUEsFBgAAAAAEAAQA9QAAAIgDAAAAAA==&#10;" stroked="f">
                  <v:textbox inset="7.5mm,,7.5mm">
                    <w:txbxContent>
                      <w:p w:rsidR="00A4652D" w:rsidRPr="00C51BC2" w:rsidRDefault="00A4652D" w:rsidP="00CD1445">
                        <w:pPr>
                          <w:rPr>
                            <w:sz w:val="16"/>
                            <w:szCs w:val="16"/>
                          </w:rPr>
                        </w:pPr>
                        <w:r>
                          <w:rPr>
                            <w:sz w:val="16"/>
                            <w:szCs w:val="16"/>
                          </w:rPr>
                          <w:t>Reino Unido, método 2</w:t>
                        </w:r>
                      </w:p>
                    </w:txbxContent>
                  </v:textbox>
                </v:shape>
                <v:shape id="Text Box 11" o:spid="_x0000_s1036" type="#_x0000_t202" style="position:absolute;left:2323;top:10613;width:1666;height: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KoAsQA&#10;AADaAAAADwAAAGRycy9kb3ducmV2LnhtbESPQWvCQBSE7wX/w/IEb3VjkVCimyCCtNKDrRVzfWSf&#10;STT7NuxuY/rvu4VCj8PMfMOsi9F0YiDnW8sKFvMEBHFldcu1gtPn7vEZhA/IGjvLpOCbPBT55GGN&#10;mbZ3/qDhGGoRIewzVNCE0GdS+qohg35ue+LoXawzGKJ0tdQO7xFuOvmUJKk02HJcaLCnbUPV7fhl&#10;FAxp+VYtl6V5P7jtNdkfyhueX5SaTcfNCkSgMfyH/9qvWkEKv1fiDZD5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iqALEAAAA2gAAAA8AAAAAAAAAAAAAAAAAmAIAAGRycy9k&#10;b3ducmV2LnhtbFBLBQYAAAAABAAEAPUAAACJAwAAAAA=&#10;" stroked="f">
                  <v:textbox inset="2.5mm,,2.5mm">
                    <w:txbxContent>
                      <w:p w:rsidR="00A4652D" w:rsidRPr="00C51BC2" w:rsidRDefault="00A4652D" w:rsidP="002428FC">
                        <w:pPr>
                          <w:rPr>
                            <w:sz w:val="16"/>
                            <w:szCs w:val="16"/>
                          </w:rPr>
                        </w:pPr>
                        <w:r>
                          <w:rPr>
                            <w:sz w:val="16"/>
                            <w:szCs w:val="16"/>
                          </w:rPr>
                          <w:t>Francia, método 1</w:t>
                        </w:r>
                      </w:p>
                    </w:txbxContent>
                  </v:textbox>
                </v:shape>
                <v:shape id="Text Box 12" o:spid="_x0000_s1037" type="#_x0000_t202" style="position:absolute;left:5306;top:10674;width:1815;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4NmcQA&#10;AADaAAAADwAAAGRycy9kb3ducmV2LnhtbESPT2vCQBTE74V+h+UVvOmmIlqiqxShqPTgn4q5PrLP&#10;JDX7NuyuMf32riD0OMzMb5jZojO1aMn5yrKC90ECgji3uuJCwfHnq/8BwgdkjbVlUvBHHhbz15cZ&#10;ptreeE/tIRQiQtinqKAMoUml9HlJBv3ANsTRO1tnMETpCqkd3iLc1HKYJGNpsOK4UGJDy5Lyy+Fq&#10;FLTj7DsfjTKz27rlb7LZZhc8rZTqvXWfUxCBuvAffrbXWsEEHlfiDZ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DZnEAAAA2gAAAA8AAAAAAAAAAAAAAAAAmAIAAGRycy9k&#10;b3ducmV2LnhtbFBLBQYAAAAABAAEAPUAAACJAwAAAAA=&#10;" stroked="f">
                  <v:textbox inset="2.5mm,,2.5mm">
                    <w:txbxContent>
                      <w:p w:rsidR="00A4652D" w:rsidRPr="00C51BC2" w:rsidRDefault="00A4652D" w:rsidP="002428FC">
                        <w:pPr>
                          <w:rPr>
                            <w:sz w:val="16"/>
                            <w:szCs w:val="16"/>
                          </w:rPr>
                        </w:pPr>
                        <w:r>
                          <w:rPr>
                            <w:sz w:val="16"/>
                            <w:szCs w:val="16"/>
                          </w:rPr>
                          <w:t>Francia, método 2</w:t>
                        </w:r>
                      </w:p>
                    </w:txbxContent>
                  </v:textbox>
                </v:shape>
                <v:shape id="Text Box 14" o:spid="_x0000_s1038" type="#_x0000_t202" style="position:absolute;left:8461;top:10668;width:1796;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sj8sAA&#10;AADaAAAADwAAAGRycy9kb3ducmV2LnhtbERPy4rCMBTdC/5DuIIbGVM7oNIxigiiMIj4+IA7zZ22&#10;2NzUJNb692YxMMvDeS9WnalFS85XlhVMxgkI4tzqigsF18v2Yw7CB2SNtWVS8CIPq2W/t8BM2yef&#10;qD2HQsQQ9hkqKENoMil9XpJBP7YNceR+rTMYInSF1A6fMdzUMk2SqTRYcWwosaFNSfnt/DAKTPo4&#10;3Pzndtfe567oRjz7SY/fSg0H3foLRKAu/Iv/3HutIG6NV+IN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sj8sAAAADaAAAADwAAAAAAAAAAAAAAAACYAgAAZHJzL2Rvd25y&#10;ZXYueG1sUEsFBgAAAAAEAAQA9QAAAIUDAAAAAA==&#10;" stroked="f">
                  <v:textbox inset="4.5mm,,4.5mm">
                    <w:txbxContent>
                      <w:p w:rsidR="00A4652D" w:rsidRPr="00C51BC2" w:rsidRDefault="00A4652D" w:rsidP="002428FC">
                        <w:pPr>
                          <w:rPr>
                            <w:sz w:val="16"/>
                            <w:szCs w:val="16"/>
                          </w:rPr>
                        </w:pPr>
                        <w:r>
                          <w:rPr>
                            <w:sz w:val="16"/>
                            <w:szCs w:val="16"/>
                          </w:rPr>
                          <w:t>Alemania 2012</w:t>
                        </w:r>
                      </w:p>
                    </w:txbxContent>
                  </v:textbox>
                </v:shape>
                <v:shape id="Text Box 15" o:spid="_x0000_s1039" type="#_x0000_t202" style="position:absolute;left:5410;top:12751;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XxcIA&#10;AADaAAAADwAAAGRycy9kb3ducmV2LnhtbESPzarCMBSE94LvEI5wd5oqXNFqFBHEy0UQfxYuD82x&#10;rTYntYlafXojCC6HmfmGGU9rU4gbVS63rKDbiUAQJ1bnnCrY7xbtAQjnkTUWlknBgxxMJ83GGGNt&#10;77yh29anIkDYxagg876MpXRJRgZdx5bEwTvayqAPskqlrvAe4KaQvSjqS4M5h4UMS5pnlJy3V6Pg&#10;Yn+j1eZpT/vDMh/8r49ayrNW6qdVz0YgPNX+G/60/7SCIbyvhBsgJ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GZfFwgAAANoAAAAPAAAAAAAAAAAAAAAAAJgCAABkcnMvZG93&#10;bnJldi54bWxQSwUGAAAAAAQABAD1AAAAhwMAAAAA&#10;" stroked="f">
                  <v:textbox inset="5.5mm,,5.5mm">
                    <w:txbxContent>
                      <w:p w:rsidR="00A4652D" w:rsidRPr="00C51BC2" w:rsidRDefault="00A4652D" w:rsidP="002428FC">
                        <w:pPr>
                          <w:rPr>
                            <w:sz w:val="16"/>
                            <w:szCs w:val="16"/>
                          </w:rPr>
                        </w:pPr>
                        <w:r>
                          <w:rPr>
                            <w:sz w:val="16"/>
                            <w:szCs w:val="16"/>
                          </w:rPr>
                          <w:t>Japón</w:t>
                        </w:r>
                      </w:p>
                    </w:txbxContent>
                  </v:textbox>
                </v:shape>
                <v:shape id="Text Box 16" o:spid="_x0000_s1040" type="#_x0000_t202" style="position:absolute;left:8082;top:12731;width:2831;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UjhsQA&#10;AADbAAAADwAAAGRycy9kb3ducmV2LnhtbESPT4vCQAzF7wt+hyHC3tapwopURxFBVkQQ/xw8hk5s&#10;q51MtzNq9dObw8LeEt7Le79MZq2r1J2aUHo20O8loIgzb0vODRwPy68RqBCRLVaeycCTAsymnY8J&#10;ptY/eEf3fcyVhHBI0UARY51qHbKCHIaer4lFO/vGYZS1ybVt8CHhrtKDJBlqhyVLQ4E1LQrKrvub&#10;M/Drv5PN7uUvx9NPOVpvz1brqzXms9vOx6AitfHf/He9soIv9PKLDKC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lI4bEAAAA2wAAAA8AAAAAAAAAAAAAAAAAmAIAAGRycy9k&#10;b3ducmV2LnhtbFBLBQYAAAAABAAEAPUAAACJAwAAAAA=&#10;" stroked="f">
                  <v:textbox inset="5.5mm,,5.5mm">
                    <w:txbxContent>
                      <w:p w:rsidR="00A4652D" w:rsidRPr="00C51BC2" w:rsidRDefault="00A4652D" w:rsidP="002428FC">
                        <w:pPr>
                          <w:rPr>
                            <w:sz w:val="16"/>
                            <w:szCs w:val="16"/>
                          </w:rPr>
                        </w:pPr>
                        <w:r>
                          <w:rPr>
                            <w:sz w:val="16"/>
                            <w:szCs w:val="16"/>
                          </w:rPr>
                          <w:t>Reino Unido, método 1</w:t>
                        </w:r>
                      </w:p>
                    </w:txbxContent>
                  </v:textbox>
                </v:shape>
                <v:shape id="Text Box 30" o:spid="_x0000_s1041" type="#_x0000_t202" style="position:absolute;left:1368;top:13783;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a6wMIA&#10;AADbAAAADwAAAGRycy9kb3ducmV2LnhtbERPS2sCMRC+C/0PYYRepGZtRWQ1SikslUIPPuh5SMbd&#10;xc1kSdLdrb/eFARv8/E9Z70dbCM68qF2rGA2zUAQa2dqLhWcjsXLEkSIyAYbx6TgjwJsN0+jNebG&#10;9byn7hBLkUI45KigirHNpQy6Ioth6lrixJ2dtxgT9KU0HvsUbhv5mmULabHm1FBhSx8V6cvh1yr4&#10;frt+/pTF3Pf6K5vvwnLSDDhR6nk8vK9ARBriQ3x370yaP4P/X9IBcn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rrAwgAAANsAAAAPAAAAAAAAAAAAAAAAAJgCAABkcnMvZG93&#10;bnJldi54bWxQSwUGAAAAAAQABAD1AAAAhwMAAAAA&#10;" stroked="f">
                  <v:textbox style="layout-flow:vertical;mso-layout-flow-alt:bottom-to-top;mso-fit-shape-to-text:t" inset=".5mm,,.5mm">
                    <w:txbxContent>
                      <w:p w:rsidR="00A4652D" w:rsidRDefault="00A4652D">
                        <w:r>
                          <w:t>Nota</w:t>
                        </w:r>
                      </w:p>
                    </w:txbxContent>
                  </v:textbox>
                </v:shape>
                <v:shape id="Text Box 31" o:spid="_x0000_s1042" type="#_x0000_t202" style="position:absolute;left:4440;top:11903;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Qkt8IA&#10;AADbAAAADwAAAGRycy9kb3ducmV2LnhtbERP32vCMBB+F/wfwg32IjO1E5HOKCLIZLAHq+z5SG5t&#10;WXMpSdZ2++uXgeDbfXw/b7MbbSt68qFxrGAxz0AQa2carhRcL8enNYgQkQ22jknBDwXYbaeTDRbG&#10;DXymvoyVSCEcClRQx9gVUgZdk8Uwdx1x4j6dtxgT9JU0HocUbluZZ9lKWmw4NdTY0aEm/VV+WwXv&#10;z7+vH9Vx6Qf9li1PYT1rR5wp9fgw7l9ARBrjXXxzn0yan8P/L+k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1CS3wgAAANsAAAAPAAAAAAAAAAAAAAAAAJgCAABkcnMvZG93&#10;bnJldi54bWxQSwUGAAAAAAQABAD1AAAAhwMAAAAA&#10;" stroked="f">
                  <v:textbox style="layout-flow:vertical;mso-layout-flow-alt:bottom-to-top;mso-fit-shape-to-text:t" inset=".5mm,,.5mm">
                    <w:txbxContent>
                      <w:p w:rsidR="00A4652D" w:rsidRDefault="00A4652D" w:rsidP="007B714D">
                        <w:r>
                          <w:t>Nota</w:t>
                        </w:r>
                      </w:p>
                    </w:txbxContent>
                  </v:textbox>
                </v:shape>
                <v:shape id="Text Box 32" o:spid="_x0000_s1043" type="#_x0000_t202" style="position:absolute;left:1394;top:11904;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BLMIA&#10;AADbAAAADwAAAGRycy9kb3ducmV2LnhtbERPS2vCQBC+C/0Pywi9SN20CSLRVUpBGgQPPuh5yI5J&#10;MDsbdrdJ2l/vCoXe5uN7zno7mlb05HxjWcHrPAFBXFrdcKXgct69LEH4gKyxtUwKfsjDdvM0WWOu&#10;7cBH6k+hEjGEfY4K6hC6XEpf1mTQz21HHLmrdQZDhK6S2uEQw00r35JkIQ02HBtq7OijpvJ2+jYK&#10;Dunv51e1y9xQ7pOs8MtZO+JMqefp+L4CEWgM/+I/d6Hj/BQev8Q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mIEswgAAANsAAAAPAAAAAAAAAAAAAAAAAJgCAABkcnMvZG93&#10;bnJldi54bWxQSwUGAAAAAAQABAD1AAAAhwMAAAAA&#10;" stroked="f">
                  <v:textbox style="layout-flow:vertical;mso-layout-flow-alt:bottom-to-top;mso-fit-shape-to-text:t" inset=".5mm,,.5mm">
                    <w:txbxContent>
                      <w:p w:rsidR="00A4652D" w:rsidRDefault="00A4652D" w:rsidP="007B714D">
                        <w:r>
                          <w:t>Nota</w:t>
                        </w:r>
                      </w:p>
                    </w:txbxContent>
                  </v:textbox>
                </v:shape>
                <v:shape id="Text Box 33" o:spid="_x0000_s1044" type="#_x0000_t202" style="position:absolute;left:7568;top:11839;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ZWMEA&#10;AADbAAAADwAAAGRycy9kb3ducmV2LnhtbERPTYvCMBC9C/6HMIIXWVO1iHSNIoIoggd12fPQzLZl&#10;m0lJoq376zeC4G0e73OW687U4k7OV5YVTMYJCOLc6ooLBV/X3ccChA/IGmvLpOBBHtarfm+JmbYt&#10;n+l+CYWIIewzVFCG0GRS+rwkg35sG+LI/VhnMEToCqkdtjHc1HKaJHNpsOLYUGJD25Ly38vNKDjN&#10;/vbfxS51bX5M0oNfjOoOR0oNB93mE0SgLrzFL/dBx/kpPH+J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xGVjBAAAA2wAAAA8AAAAAAAAAAAAAAAAAmAIAAGRycy9kb3du&#10;cmV2LnhtbFBLBQYAAAAABAAEAPUAAACGAwAAAAA=&#10;" stroked="f">
                  <v:textbox style="layout-flow:vertical;mso-layout-flow-alt:bottom-to-top;mso-fit-shape-to-text:t" inset=".5mm,,.5mm">
                    <w:txbxContent>
                      <w:p w:rsidR="00A4652D" w:rsidRDefault="00A4652D" w:rsidP="007B714D">
                        <w:r>
                          <w:t>Nota</w:t>
                        </w:r>
                      </w:p>
                    </w:txbxContent>
                  </v:textbox>
                </v:shape>
                <v:shape id="Text Box 34" o:spid="_x0000_s1045" type="#_x0000_t202" style="position:absolute;left:4459;top:9769;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28w8MA&#10;AADbAAAADwAAAGRycy9kb3ducmV2LnhtbERPTWvCQBC9C/6HZQq9hLqxagmpq4ggDYUejKXnITtN&#10;QrOzYXdror/eLRS8zeN9zno7mk6cyfnWsoL5LAVBXFndcq3g83R4ykD4gKyxs0wKLuRhu5lO1phr&#10;O/CRzmWoRQxhn6OCJoQ+l9JXDRn0M9sTR+7bOoMhQldL7XCI4aaTz2n6Ig22HBsa7GnfUPVT/hoF&#10;H4vr21d9WLqhek+Xhc+SbsREqceHcfcKItAY7uJ/d6Hj/BX8/R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28w8MAAADbAAAADwAAAAAAAAAAAAAAAACYAgAAZHJzL2Rv&#10;d25yZXYueG1sUEsFBgAAAAAEAAQA9QAAAIgDAAAAAA==&#10;" stroked="f">
                  <v:textbox style="layout-flow:vertical;mso-layout-flow-alt:bottom-to-top;mso-fit-shape-to-text:t" inset=".5mm,,.5mm">
                    <w:txbxContent>
                      <w:p w:rsidR="00A4652D" w:rsidRDefault="00A4652D" w:rsidP="007B714D">
                        <w:r>
                          <w:t>Nota</w:t>
                        </w:r>
                      </w:p>
                    </w:txbxContent>
                  </v:textbox>
                </v:shape>
                <v:shape id="Text Box 35" o:spid="_x0000_s1046" type="#_x0000_t202" style="position:absolute;left:1410;top:9770;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itMIA&#10;AADbAAAADwAAAGRycy9kb3ducmV2LnhtbERPTWvCQBC9F/wPywheRDetIYToKqUgDUIP1dLzkB2T&#10;YHY27G5N9Ne7hUJv83ifs9mNphNXcr61rOB5mYAgrqxuuVbwddovchA+IGvsLJOCG3nYbSdPGyy0&#10;HfiTrsdQixjCvkAFTQh9IaWvGjLol7YnjtzZOoMhQldL7XCI4aaTL0mSSYMtx4YGe3prqLocf4yC&#10;j9X9/bvep26oDkla+nzejThXajYdX9cgAo3hX/znLnWcn8HvL/EAu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yK0wgAAANsAAAAPAAAAAAAAAAAAAAAAAJgCAABkcnMvZG93&#10;bnJldi54bWxQSwUGAAAAAAQABAD1AAAAhwMAAAAA&#10;" stroked="f">
                  <v:textbox style="layout-flow:vertical;mso-layout-flow-alt:bottom-to-top;mso-fit-shape-to-text:t" inset=".5mm,,.5mm">
                    <w:txbxContent>
                      <w:p w:rsidR="00A4652D" w:rsidRDefault="00A4652D" w:rsidP="007B714D">
                        <w:r>
                          <w:t>Nota</w:t>
                        </w:r>
                      </w:p>
                    </w:txbxContent>
                  </v:textbox>
                </v:shape>
                <v:shape id="Text Box 36" o:spid="_x0000_s1047" type="#_x0000_t202" style="position:absolute;left:7584;top:9703;width:528;height:56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OHL8MA&#10;AADbAAAADwAAAGRycy9kb3ducmV2LnhtbERPTWvCQBC9C/6HZQq9hLqxig2pq4ggDYUejKXnITtN&#10;QrOzYXdror/eLRS8zeN9zno7mk6cyfnWsoL5LAVBXFndcq3g83R4ykD4gKyxs0wKLuRhu5lO1phr&#10;O/CRzmWoRQxhn6OCJoQ+l9JXDRn0M9sTR+7bOoMhQldL7XCI4aaTz2m6kgZbjg0N9rRvqPopf42C&#10;j8X17as+LN1QvafLwmdJN2Ki1OPDuHsFEWgMd/G/u9Bx/gv8/RIP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OHL8MAAADbAAAADwAAAAAAAAAAAAAAAACYAgAAZHJzL2Rv&#10;d25yZXYueG1sUEsFBgAAAAAEAAQA9QAAAIgDAAAAAA==&#10;" stroked="f">
                  <v:textbox style="layout-flow:vertical;mso-layout-flow-alt:bottom-to-top;mso-fit-shape-to-text:t" inset=".5mm,,.5mm">
                    <w:txbxContent>
                      <w:p w:rsidR="00A4652D" w:rsidRDefault="00A4652D" w:rsidP="007B714D">
                        <w:r>
                          <w:t>Nota</w:t>
                        </w:r>
                      </w:p>
                    </w:txbxContent>
                  </v:textbox>
                </v:shape>
                <v:shape id="Text Box 40" o:spid="_x0000_s1048" type="#_x0000_t202" style="position:absolute;left:2434;top:12735;width:141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MvgMQA&#10;AADbAAAADwAAAGRycy9kb3ducmV2LnhtbESPT4vCQAzF7wt+hyHC3tapwopURxFBVkQQ/xw8hk5s&#10;q51MtzNq9dObw8LeEt7Le79MZq2r1J2aUHo20O8loIgzb0vODRwPy68RqBCRLVaeycCTAsymnY8J&#10;ptY/eEf3fcyVhHBI0UARY51qHbKCHIaer4lFO/vGYZS1ybVt8CHhrtKDJBlqhyVLQ4E1LQrKrvub&#10;M/Drv5PN7uUvx9NPOVpvz1brqzXms9vOx6AitfHf/He9soIvsPKLDKC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TL4DEAAAA2wAAAA8AAAAAAAAAAAAAAAAAmAIAAGRycy9k&#10;b3ducmV2LnhtbFBLBQYAAAAABAAEAPUAAACJAwAAAAA=&#10;" stroked="f">
                  <v:textbox inset="5.5mm,,5.5mm">
                    <w:txbxContent>
                      <w:p w:rsidR="00A4652D" w:rsidRPr="00C51BC2" w:rsidRDefault="00A4652D" w:rsidP="00FA10FA">
                        <w:pPr>
                          <w:rPr>
                            <w:sz w:val="16"/>
                            <w:szCs w:val="16"/>
                          </w:rPr>
                        </w:pPr>
                        <w:r>
                          <w:rPr>
                            <w:sz w:val="16"/>
                            <w:szCs w:val="16"/>
                          </w:rPr>
                          <w:t>Italia</w:t>
                        </w:r>
                      </w:p>
                    </w:txbxContent>
                  </v:textbox>
                </v:shape>
              </v:group>
            </w:pict>
          </mc:Fallback>
        </mc:AlternateContent>
      </w:r>
      <w:r w:rsidR="005A7EA5">
        <w:rPr>
          <w:noProof/>
          <w:lang w:val="en-US" w:eastAsia="en-US" w:bidi="ar-SA"/>
        </w:rPr>
        <w:drawing>
          <wp:inline distT="0" distB="0" distL="0" distR="0">
            <wp:extent cx="5848350" cy="3728323"/>
            <wp:effectExtent l="0" t="0" r="0" b="5715"/>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48350" cy="3728323"/>
                    </a:xfrm>
                    <a:prstGeom prst="rect">
                      <a:avLst/>
                    </a:prstGeom>
                    <a:noFill/>
                    <a:ln>
                      <a:noFill/>
                    </a:ln>
                  </pic:spPr>
                </pic:pic>
              </a:graphicData>
            </a:graphic>
          </wp:inline>
        </w:drawing>
      </w:r>
    </w:p>
    <w:p w:rsidR="005A7EA5" w:rsidRPr="005A7EA5" w:rsidRDefault="005A7EA5" w:rsidP="005A7EA5">
      <w:pPr>
        <w:spacing w:after="200"/>
        <w:jc w:val="center"/>
        <w:rPr>
          <w:rFonts w:eastAsiaTheme="minorEastAsia" w:cs="Arial"/>
          <w:bCs/>
          <w:szCs w:val="18"/>
        </w:rPr>
      </w:pPr>
      <w:r>
        <w:t xml:space="preserve">Figura </w:t>
      </w:r>
      <w:r w:rsidR="00505021" w:rsidRPr="005A7EA5">
        <w:rPr>
          <w:rFonts w:eastAsiaTheme="minorEastAsia" w:cs="Arial"/>
          <w:bCs/>
          <w:szCs w:val="18"/>
        </w:rPr>
        <w:fldChar w:fldCharType="begin"/>
      </w:r>
      <w:r w:rsidRPr="005A7EA5">
        <w:rPr>
          <w:rFonts w:eastAsiaTheme="minorEastAsia" w:cs="Arial"/>
          <w:bCs/>
          <w:szCs w:val="18"/>
        </w:rPr>
        <w:instrText xml:space="preserve"> SEQ Figure \* ARABIC </w:instrText>
      </w:r>
      <w:r w:rsidR="00505021" w:rsidRPr="005A7EA5">
        <w:rPr>
          <w:rFonts w:eastAsiaTheme="minorEastAsia" w:cs="Arial"/>
          <w:bCs/>
          <w:szCs w:val="18"/>
        </w:rPr>
        <w:fldChar w:fldCharType="separate"/>
      </w:r>
      <w:r w:rsidR="00BA06B8">
        <w:rPr>
          <w:rFonts w:eastAsiaTheme="minorEastAsia" w:cs="Arial"/>
          <w:bCs/>
          <w:noProof/>
          <w:szCs w:val="18"/>
        </w:rPr>
        <w:t>2</w:t>
      </w:r>
      <w:r w:rsidR="00505021" w:rsidRPr="005A7EA5">
        <w:rPr>
          <w:rFonts w:eastAsiaTheme="minorEastAsia" w:cs="Arial"/>
          <w:bCs/>
          <w:szCs w:val="18"/>
        </w:rPr>
        <w:fldChar w:fldCharType="end"/>
      </w:r>
      <w:proofErr w:type="gramStart"/>
      <w:r w:rsidR="0030647E">
        <w:t xml:space="preserve">:  </w:t>
      </w:r>
      <w:r>
        <w:t>Diagrama</w:t>
      </w:r>
      <w:proofErr w:type="gramEnd"/>
      <w:r>
        <w:t xml:space="preserve"> de caja</w:t>
      </w:r>
      <w:r w:rsidR="00671922">
        <w:t>s</w:t>
      </w:r>
      <w:r>
        <w:t xml:space="preserve"> de las variedades candidatas por método</w:t>
      </w:r>
    </w:p>
    <w:p w:rsidR="005A7EA5" w:rsidRPr="005A7EA5" w:rsidRDefault="005A7EA5" w:rsidP="005A7EA5">
      <w:pPr>
        <w:numPr>
          <w:ilvl w:val="0"/>
          <w:numId w:val="24"/>
        </w:numPr>
        <w:ind w:left="0" w:firstLine="0"/>
        <w:contextualSpacing/>
        <w:rPr>
          <w:rFonts w:cs="Arial"/>
        </w:rPr>
      </w:pPr>
      <w:r>
        <w:t>Los diagramas de caja</w:t>
      </w:r>
      <w:r w:rsidR="00671922">
        <w:t>s</w:t>
      </w:r>
      <w:r>
        <w:t xml:space="preserve"> muestran que la mediana de las notas es mayor con el método japonés que con el método 2 francés o el método italiano.  Con este último método, el 50% de las notas de las variedades candidatas están concentradas entre 2 y 6.</w:t>
      </w:r>
    </w:p>
    <w:p w:rsidR="005A7EA5" w:rsidRPr="005A7EA5" w:rsidRDefault="005A7EA5" w:rsidP="005A7EA5">
      <w:pPr>
        <w:rPr>
          <w:rFonts w:cs="Arial"/>
        </w:rPr>
      </w:pPr>
    </w:p>
    <w:p w:rsidR="005A7EA5" w:rsidRPr="005A7EA5" w:rsidRDefault="005A7EA5" w:rsidP="005A7EA5">
      <w:pPr>
        <w:numPr>
          <w:ilvl w:val="0"/>
          <w:numId w:val="24"/>
        </w:numPr>
        <w:ind w:left="0" w:firstLine="0"/>
        <w:contextualSpacing/>
        <w:rPr>
          <w:rFonts w:cs="Arial"/>
        </w:rPr>
      </w:pPr>
      <w:r>
        <w:t>Se ha calculado el porcentaje de notas que cada par de métodos tiene en común (número de variedades con notas idénticas dividido por el número de variedades a las que se asignó la nota con ambos métodos)</w:t>
      </w:r>
      <w:proofErr w:type="gramStart"/>
      <w:r w:rsidR="0030647E">
        <w:t xml:space="preserve">:  </w:t>
      </w:r>
      <w:r>
        <w:t>este</w:t>
      </w:r>
      <w:proofErr w:type="gramEnd"/>
      <w:r>
        <w:t xml:space="preserve"> porcentaje se resume en el siguiente cuadro. </w:t>
      </w:r>
    </w:p>
    <w:p w:rsidR="005A7EA5" w:rsidRPr="005A7EA5" w:rsidRDefault="005A7EA5" w:rsidP="005A7EA5">
      <w:pPr>
        <w:rPr>
          <w:rFonts w:cs="Arial"/>
        </w:rPr>
      </w:pPr>
    </w:p>
    <w:tbl>
      <w:tblPr>
        <w:tblW w:w="6640" w:type="dxa"/>
        <w:jc w:val="center"/>
        <w:tblCellMar>
          <w:left w:w="70" w:type="dxa"/>
          <w:right w:w="70" w:type="dxa"/>
        </w:tblCellMar>
        <w:tblLook w:val="04A0" w:firstRow="1" w:lastRow="0" w:firstColumn="1" w:lastColumn="0" w:noHBand="0" w:noVBand="1"/>
      </w:tblPr>
      <w:tblGrid>
        <w:gridCol w:w="1131"/>
        <w:gridCol w:w="1000"/>
        <w:gridCol w:w="920"/>
        <w:gridCol w:w="1131"/>
        <w:gridCol w:w="1000"/>
        <w:gridCol w:w="940"/>
        <w:gridCol w:w="900"/>
      </w:tblGrid>
      <w:tr w:rsidR="005A7EA5" w:rsidRPr="005A7EA5" w:rsidTr="0030647E">
        <w:trPr>
          <w:trHeight w:val="67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5A7EA5" w:rsidRPr="005A7EA5" w:rsidRDefault="005A7EA5" w:rsidP="005A7EA5">
            <w:pPr>
              <w:jc w:val="center"/>
              <w:rPr>
                <w:rFonts w:ascii="Calibri" w:hAnsi="Calibri"/>
                <w:b/>
                <w:bCs/>
                <w:sz w:val="16"/>
                <w:szCs w:val="16"/>
              </w:rPr>
            </w:pPr>
            <w:r>
              <w:rPr>
                <w:rFonts w:ascii="Calibri" w:hAnsi="Calibri"/>
                <w:b/>
                <w:sz w:val="16"/>
              </w:rPr>
              <w:t>Método</w:t>
            </w:r>
          </w:p>
        </w:tc>
        <w:tc>
          <w:tcPr>
            <w:tcW w:w="1000" w:type="dxa"/>
            <w:tcBorders>
              <w:top w:val="single" w:sz="4" w:space="0" w:color="auto"/>
              <w:left w:val="nil"/>
              <w:bottom w:val="nil"/>
              <w:right w:val="single" w:sz="4" w:space="0" w:color="auto"/>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 Francia, el método 2</w:t>
            </w:r>
            <w:r>
              <w:rPr>
                <w:rFonts w:ascii="Calibri" w:hAnsi="Calibri"/>
                <w:b/>
                <w:color w:val="FF0000"/>
                <w:sz w:val="16"/>
              </w:rPr>
              <w:t>*</w:t>
            </w:r>
          </w:p>
        </w:tc>
        <w:tc>
          <w:tcPr>
            <w:tcW w:w="920" w:type="dxa"/>
            <w:tcBorders>
              <w:top w:val="single" w:sz="4" w:space="0" w:color="auto"/>
              <w:left w:val="nil"/>
              <w:bottom w:val="nil"/>
              <w:right w:val="single" w:sz="4" w:space="0" w:color="auto"/>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 Italia</w:t>
            </w:r>
            <w:r>
              <w:rPr>
                <w:rFonts w:ascii="Calibri" w:hAnsi="Calibri"/>
                <w:b/>
                <w:color w:val="FF0000"/>
                <w:sz w:val="16"/>
              </w:rPr>
              <w:t>*</w:t>
            </w:r>
          </w:p>
        </w:tc>
        <w:tc>
          <w:tcPr>
            <w:tcW w:w="840" w:type="dxa"/>
            <w:tcBorders>
              <w:top w:val="single" w:sz="4" w:space="0" w:color="auto"/>
              <w:left w:val="nil"/>
              <w:bottom w:val="nil"/>
              <w:right w:val="single" w:sz="4" w:space="0" w:color="auto"/>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 Alemania 2012</w:t>
            </w:r>
          </w:p>
        </w:tc>
        <w:tc>
          <w:tcPr>
            <w:tcW w:w="1000" w:type="dxa"/>
            <w:tcBorders>
              <w:top w:val="single" w:sz="4" w:space="0" w:color="auto"/>
              <w:left w:val="nil"/>
              <w:bottom w:val="nil"/>
              <w:right w:val="single" w:sz="4" w:space="0" w:color="auto"/>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del Japón 2012</w:t>
            </w:r>
          </w:p>
        </w:tc>
        <w:tc>
          <w:tcPr>
            <w:tcW w:w="940" w:type="dxa"/>
            <w:tcBorders>
              <w:top w:val="single" w:sz="4" w:space="0" w:color="auto"/>
              <w:left w:val="nil"/>
              <w:bottom w:val="nil"/>
              <w:right w:val="single" w:sz="4" w:space="0" w:color="auto"/>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del Reino Unido, método 1</w:t>
            </w:r>
          </w:p>
        </w:tc>
        <w:tc>
          <w:tcPr>
            <w:tcW w:w="900" w:type="dxa"/>
            <w:tcBorders>
              <w:top w:val="single" w:sz="4" w:space="0" w:color="auto"/>
              <w:left w:val="nil"/>
              <w:bottom w:val="nil"/>
              <w:right w:val="single" w:sz="4" w:space="0" w:color="auto"/>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del Reino Unido, método 2</w:t>
            </w:r>
          </w:p>
        </w:tc>
      </w:tr>
      <w:tr w:rsidR="005A7EA5" w:rsidRPr="005A7EA5" w:rsidTr="0030647E">
        <w:trPr>
          <w:trHeight w:val="610"/>
          <w:jc w:val="center"/>
        </w:trPr>
        <w:tc>
          <w:tcPr>
            <w:tcW w:w="1040" w:type="dxa"/>
            <w:tcBorders>
              <w:top w:val="nil"/>
              <w:left w:val="single" w:sz="4" w:space="0" w:color="auto"/>
              <w:bottom w:val="single" w:sz="4" w:space="0" w:color="auto"/>
              <w:right w:val="nil"/>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 Francia, el método 1</w:t>
            </w:r>
            <w:r>
              <w:rPr>
                <w:rFonts w:ascii="Calibri" w:hAnsi="Calibri"/>
                <w:b/>
                <w:color w:val="FF0000"/>
                <w:sz w:val="16"/>
              </w:rPr>
              <w:t>*</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84,6%</w:t>
            </w:r>
          </w:p>
        </w:tc>
        <w:tc>
          <w:tcPr>
            <w:tcW w:w="920" w:type="dxa"/>
            <w:tcBorders>
              <w:top w:val="single" w:sz="4" w:space="0" w:color="auto"/>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18,5%</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57,1%</w:t>
            </w:r>
          </w:p>
        </w:tc>
        <w:tc>
          <w:tcPr>
            <w:tcW w:w="1000" w:type="dxa"/>
            <w:tcBorders>
              <w:top w:val="single" w:sz="4" w:space="0" w:color="auto"/>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53,6%</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39,3%</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39,3%</w:t>
            </w:r>
          </w:p>
        </w:tc>
      </w:tr>
      <w:tr w:rsidR="005A7EA5" w:rsidRPr="005A7EA5" w:rsidTr="0030647E">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5A7EA5" w:rsidRPr="005A7EA5" w:rsidRDefault="005A7EA5" w:rsidP="005A7EA5">
            <w:pPr>
              <w:jc w:val="center"/>
              <w:rPr>
                <w:rFonts w:ascii="Calibri" w:hAnsi="Calibri"/>
                <w:b/>
                <w:bCs/>
                <w:color w:val="FF0000"/>
                <w:sz w:val="16"/>
                <w:szCs w:val="16"/>
              </w:rPr>
            </w:pPr>
            <w:r>
              <w:rPr>
                <w:rFonts w:ascii="Calibri" w:hAnsi="Calibri"/>
                <w:b/>
                <w:sz w:val="16"/>
              </w:rPr>
              <w:t>Nota de Francia, el método 2</w:t>
            </w:r>
            <w:r>
              <w:rPr>
                <w:rFonts w:ascii="Calibri" w:hAnsi="Calibri"/>
                <w:b/>
                <w:color w:val="FF0000"/>
                <w:sz w:val="16"/>
              </w:rPr>
              <w:t>*</w:t>
            </w:r>
          </w:p>
        </w:tc>
        <w:tc>
          <w:tcPr>
            <w:tcW w:w="1000" w:type="dxa"/>
            <w:tcBorders>
              <w:top w:val="single" w:sz="4" w:space="0" w:color="auto"/>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rPr>
              <w:t> </w:t>
            </w:r>
          </w:p>
        </w:tc>
        <w:tc>
          <w:tcPr>
            <w:tcW w:w="920" w:type="dxa"/>
            <w:vMerge w:val="restart"/>
            <w:tcBorders>
              <w:top w:val="single" w:sz="4" w:space="0" w:color="auto"/>
              <w:left w:val="nil"/>
              <w:right w:val="nil"/>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sz w:val="18"/>
              </w:rPr>
              <w:t>8,3%</w:t>
            </w:r>
          </w:p>
        </w:tc>
        <w:tc>
          <w:tcPr>
            <w:tcW w:w="840" w:type="dxa"/>
            <w:vMerge w:val="restart"/>
            <w:tcBorders>
              <w:top w:val="single" w:sz="4" w:space="0" w:color="auto"/>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sz w:val="18"/>
              </w:rPr>
              <w:t>46,2%</w:t>
            </w:r>
          </w:p>
        </w:tc>
        <w:tc>
          <w:tcPr>
            <w:tcW w:w="1000" w:type="dxa"/>
            <w:vMerge w:val="restart"/>
            <w:tcBorders>
              <w:top w:val="single" w:sz="4" w:space="0" w:color="auto"/>
              <w:left w:val="nil"/>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sz w:val="18"/>
              </w:rPr>
              <w:t>46,2%</w:t>
            </w:r>
          </w:p>
        </w:tc>
        <w:tc>
          <w:tcPr>
            <w:tcW w:w="940" w:type="dxa"/>
            <w:vMerge w:val="restart"/>
            <w:tcBorders>
              <w:top w:val="single" w:sz="4" w:space="0" w:color="auto"/>
              <w:left w:val="nil"/>
              <w:right w:val="nil"/>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sz w:val="18"/>
              </w:rPr>
              <w:t>30,8%</w:t>
            </w:r>
          </w:p>
        </w:tc>
        <w:tc>
          <w:tcPr>
            <w:tcW w:w="900" w:type="dxa"/>
            <w:vMerge w:val="restart"/>
            <w:tcBorders>
              <w:top w:val="single" w:sz="4" w:space="0" w:color="auto"/>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sz w:val="18"/>
              </w:rPr>
              <w:t>23,1%</w:t>
            </w:r>
          </w:p>
        </w:tc>
      </w:tr>
      <w:tr w:rsidR="005A7EA5" w:rsidRPr="005A7EA5" w:rsidTr="0030647E">
        <w:trPr>
          <w:trHeight w:val="300"/>
          <w:jc w:val="center"/>
        </w:trPr>
        <w:tc>
          <w:tcPr>
            <w:tcW w:w="1040" w:type="dxa"/>
            <w:vMerge/>
            <w:tcBorders>
              <w:top w:val="nil"/>
              <w:left w:val="single" w:sz="4" w:space="0" w:color="auto"/>
              <w:bottom w:val="single" w:sz="4" w:space="0" w:color="auto"/>
              <w:right w:val="nil"/>
            </w:tcBorders>
            <w:vAlign w:val="center"/>
            <w:hideMark/>
          </w:tcPr>
          <w:p w:rsidR="005A7EA5" w:rsidRPr="005A7EA5" w:rsidRDefault="005A7EA5" w:rsidP="005A7EA5">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920" w:type="dxa"/>
            <w:vMerge/>
            <w:tcBorders>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p>
        </w:tc>
        <w:tc>
          <w:tcPr>
            <w:tcW w:w="940" w:type="dxa"/>
            <w:vMerge/>
            <w:tcBorders>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p>
        </w:tc>
      </w:tr>
      <w:tr w:rsidR="005A7EA5" w:rsidRPr="005A7EA5" w:rsidTr="0030647E">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 Italia</w:t>
            </w:r>
            <w:r>
              <w:rPr>
                <w:rFonts w:ascii="Calibri" w:hAnsi="Calibri"/>
                <w:b/>
                <w:color w:val="FF0000"/>
                <w:sz w:val="16"/>
              </w:rPr>
              <w:t>*</w:t>
            </w:r>
          </w:p>
        </w:tc>
        <w:tc>
          <w:tcPr>
            <w:tcW w:w="1000" w:type="dxa"/>
            <w:tcBorders>
              <w:top w:val="nil"/>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color w:val="000000"/>
              </w:rPr>
              <w:t> </w:t>
            </w:r>
          </w:p>
        </w:tc>
        <w:tc>
          <w:tcPr>
            <w:tcW w:w="920" w:type="dxa"/>
            <w:tcBorders>
              <w:top w:val="nil"/>
              <w:left w:val="nil"/>
              <w:bottom w:val="nil"/>
              <w:right w:val="nil"/>
            </w:tcBorders>
            <w:shd w:val="clear" w:color="auto" w:fill="auto"/>
            <w:noWrap/>
            <w:vAlign w:val="center"/>
            <w:hideMark/>
          </w:tcPr>
          <w:p w:rsidR="005A7EA5" w:rsidRPr="005A7EA5" w:rsidRDefault="005A7EA5" w:rsidP="005A7EA5">
            <w:pPr>
              <w:jc w:val="center"/>
              <w:rPr>
                <w:rFonts w:ascii="Calibri" w:hAnsi="Calibri"/>
              </w:rPr>
            </w:pPr>
          </w:p>
        </w:tc>
        <w:tc>
          <w:tcPr>
            <w:tcW w:w="840" w:type="dxa"/>
            <w:vMerge w:val="restart"/>
            <w:tcBorders>
              <w:top w:val="nil"/>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i/>
                <w:color w:val="000000"/>
                <w:sz w:val="18"/>
              </w:rPr>
              <w:t>16,7%</w:t>
            </w:r>
          </w:p>
        </w:tc>
        <w:tc>
          <w:tcPr>
            <w:tcW w:w="1000" w:type="dxa"/>
            <w:vMerge w:val="restart"/>
            <w:tcBorders>
              <w:top w:val="nil"/>
              <w:left w:val="nil"/>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i/>
                <w:color w:val="000000"/>
                <w:sz w:val="18"/>
              </w:rPr>
              <w:t>0,0%</w:t>
            </w:r>
          </w:p>
        </w:tc>
        <w:tc>
          <w:tcPr>
            <w:tcW w:w="940" w:type="dxa"/>
            <w:vMerge w:val="restart"/>
            <w:tcBorders>
              <w:top w:val="nil"/>
              <w:left w:val="nil"/>
              <w:right w:val="nil"/>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i/>
                <w:color w:val="000000"/>
                <w:sz w:val="18"/>
              </w:rPr>
              <w:t>26,7%</w:t>
            </w:r>
          </w:p>
        </w:tc>
        <w:tc>
          <w:tcPr>
            <w:tcW w:w="900" w:type="dxa"/>
            <w:vMerge w:val="restart"/>
            <w:tcBorders>
              <w:top w:val="nil"/>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color w:val="000000"/>
                <w:sz w:val="18"/>
              </w:rPr>
              <w:t>26,7%</w:t>
            </w:r>
          </w:p>
        </w:tc>
      </w:tr>
      <w:tr w:rsidR="005A7EA5" w:rsidRPr="005A7EA5" w:rsidTr="0030647E">
        <w:trPr>
          <w:trHeight w:val="300"/>
          <w:jc w:val="center"/>
        </w:trPr>
        <w:tc>
          <w:tcPr>
            <w:tcW w:w="1040" w:type="dxa"/>
            <w:vMerge/>
            <w:tcBorders>
              <w:top w:val="nil"/>
              <w:left w:val="single" w:sz="4" w:space="0" w:color="auto"/>
              <w:bottom w:val="single" w:sz="4" w:space="0" w:color="auto"/>
              <w:right w:val="nil"/>
            </w:tcBorders>
            <w:vAlign w:val="center"/>
            <w:hideMark/>
          </w:tcPr>
          <w:p w:rsidR="005A7EA5" w:rsidRPr="005A7EA5" w:rsidRDefault="005A7EA5" w:rsidP="005A7EA5">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84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c>
          <w:tcPr>
            <w:tcW w:w="1000" w:type="dxa"/>
            <w:vMerge/>
            <w:tcBorders>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c>
          <w:tcPr>
            <w:tcW w:w="940" w:type="dxa"/>
            <w:vMerge/>
            <w:tcBorders>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r>
      <w:tr w:rsidR="005A7EA5" w:rsidRPr="005A7EA5" w:rsidTr="0030647E">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 Alemania 2012</w:t>
            </w:r>
          </w:p>
        </w:tc>
        <w:tc>
          <w:tcPr>
            <w:tcW w:w="1000" w:type="dxa"/>
            <w:tcBorders>
              <w:top w:val="nil"/>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p>
        </w:tc>
        <w:tc>
          <w:tcPr>
            <w:tcW w:w="840" w:type="dxa"/>
            <w:tcBorders>
              <w:top w:val="nil"/>
              <w:left w:val="single" w:sz="4" w:space="0" w:color="auto"/>
              <w:bottom w:val="nil"/>
              <w:right w:val="nil"/>
            </w:tcBorders>
            <w:shd w:val="clear" w:color="auto" w:fill="auto"/>
            <w:noWrap/>
            <w:vAlign w:val="center"/>
            <w:hideMark/>
          </w:tcPr>
          <w:p w:rsidR="005A7EA5" w:rsidRPr="005A7EA5" w:rsidRDefault="005A7EA5" w:rsidP="005A7EA5">
            <w:pPr>
              <w:jc w:val="center"/>
              <w:rPr>
                <w:rFonts w:ascii="Calibri" w:hAnsi="Calibri"/>
              </w:rPr>
            </w:pPr>
          </w:p>
        </w:tc>
        <w:tc>
          <w:tcPr>
            <w:tcW w:w="1000" w:type="dxa"/>
            <w:vMerge w:val="restart"/>
            <w:tcBorders>
              <w:top w:val="nil"/>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i/>
                <w:color w:val="000000"/>
                <w:sz w:val="18"/>
              </w:rPr>
              <w:t>35,5%</w:t>
            </w:r>
          </w:p>
        </w:tc>
        <w:tc>
          <w:tcPr>
            <w:tcW w:w="940" w:type="dxa"/>
            <w:vMerge w:val="restart"/>
            <w:tcBorders>
              <w:top w:val="nil"/>
              <w:left w:val="nil"/>
              <w:right w:val="nil"/>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i/>
                <w:color w:val="000000"/>
                <w:sz w:val="18"/>
              </w:rPr>
              <w:t>48,4%</w:t>
            </w:r>
          </w:p>
        </w:tc>
        <w:tc>
          <w:tcPr>
            <w:tcW w:w="900" w:type="dxa"/>
            <w:vMerge w:val="restart"/>
            <w:tcBorders>
              <w:top w:val="nil"/>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i/>
                <w:color w:val="000000"/>
                <w:sz w:val="18"/>
              </w:rPr>
              <w:t>58,1%</w:t>
            </w:r>
          </w:p>
        </w:tc>
      </w:tr>
      <w:tr w:rsidR="005A7EA5" w:rsidRPr="005A7EA5" w:rsidTr="0030647E">
        <w:trPr>
          <w:trHeight w:val="300"/>
          <w:jc w:val="center"/>
        </w:trPr>
        <w:tc>
          <w:tcPr>
            <w:tcW w:w="1040" w:type="dxa"/>
            <w:vMerge/>
            <w:tcBorders>
              <w:top w:val="nil"/>
              <w:left w:val="single" w:sz="4" w:space="0" w:color="auto"/>
              <w:bottom w:val="single" w:sz="4" w:space="0" w:color="auto"/>
              <w:right w:val="nil"/>
            </w:tcBorders>
            <w:vAlign w:val="center"/>
            <w:hideMark/>
          </w:tcPr>
          <w:p w:rsidR="005A7EA5" w:rsidRPr="005A7EA5" w:rsidRDefault="005A7EA5" w:rsidP="005A7EA5">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100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c>
          <w:tcPr>
            <w:tcW w:w="940" w:type="dxa"/>
            <w:vMerge/>
            <w:tcBorders>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r>
      <w:tr w:rsidR="005A7EA5" w:rsidRPr="005A7EA5" w:rsidTr="0030647E">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del Japón 2012</w:t>
            </w:r>
          </w:p>
        </w:tc>
        <w:tc>
          <w:tcPr>
            <w:tcW w:w="1000" w:type="dxa"/>
            <w:tcBorders>
              <w:top w:val="nil"/>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5A7EA5" w:rsidRPr="005A7EA5" w:rsidRDefault="005A7EA5" w:rsidP="005A7EA5">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rPr>
              <w:t> </w:t>
            </w:r>
          </w:p>
        </w:tc>
        <w:tc>
          <w:tcPr>
            <w:tcW w:w="940" w:type="dxa"/>
            <w:vMerge w:val="restart"/>
            <w:tcBorders>
              <w:top w:val="nil"/>
              <w:left w:val="nil"/>
              <w:right w:val="nil"/>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color w:val="000000"/>
                <w:sz w:val="18"/>
              </w:rPr>
              <w:t>38,7%</w:t>
            </w:r>
          </w:p>
        </w:tc>
        <w:tc>
          <w:tcPr>
            <w:tcW w:w="900" w:type="dxa"/>
            <w:vMerge w:val="restart"/>
            <w:tcBorders>
              <w:top w:val="nil"/>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color w:val="000000"/>
                <w:sz w:val="18"/>
              </w:rPr>
              <w:t>38,7%</w:t>
            </w:r>
          </w:p>
        </w:tc>
      </w:tr>
      <w:tr w:rsidR="005A7EA5" w:rsidRPr="005A7EA5" w:rsidTr="0030647E">
        <w:trPr>
          <w:trHeight w:val="300"/>
          <w:jc w:val="center"/>
        </w:trPr>
        <w:tc>
          <w:tcPr>
            <w:tcW w:w="1040" w:type="dxa"/>
            <w:vMerge/>
            <w:tcBorders>
              <w:top w:val="nil"/>
              <w:left w:val="single" w:sz="4" w:space="0" w:color="auto"/>
              <w:bottom w:val="single" w:sz="4" w:space="0" w:color="auto"/>
              <w:right w:val="nil"/>
            </w:tcBorders>
            <w:vAlign w:val="center"/>
            <w:hideMark/>
          </w:tcPr>
          <w:p w:rsidR="005A7EA5" w:rsidRPr="005A7EA5" w:rsidRDefault="005A7EA5" w:rsidP="005A7EA5">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940" w:type="dxa"/>
            <w:vMerge/>
            <w:tcBorders>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r>
      <w:tr w:rsidR="005A7EA5" w:rsidRPr="005A7EA5" w:rsidTr="0030647E">
        <w:trPr>
          <w:trHeight w:val="300"/>
          <w:jc w:val="center"/>
        </w:trPr>
        <w:tc>
          <w:tcPr>
            <w:tcW w:w="1040" w:type="dxa"/>
            <w:vMerge w:val="restart"/>
            <w:tcBorders>
              <w:top w:val="nil"/>
              <w:left w:val="single" w:sz="4" w:space="0" w:color="auto"/>
              <w:bottom w:val="single" w:sz="4" w:space="0" w:color="auto"/>
              <w:right w:val="nil"/>
            </w:tcBorders>
            <w:shd w:val="clear" w:color="000000" w:fill="F2F2F2"/>
            <w:vAlign w:val="center"/>
            <w:hideMark/>
          </w:tcPr>
          <w:p w:rsidR="005A7EA5" w:rsidRPr="005A7EA5" w:rsidRDefault="005A7EA5" w:rsidP="005A7EA5">
            <w:pPr>
              <w:jc w:val="center"/>
              <w:rPr>
                <w:rFonts w:ascii="Calibri" w:hAnsi="Calibri"/>
                <w:b/>
                <w:bCs/>
                <w:sz w:val="16"/>
                <w:szCs w:val="16"/>
              </w:rPr>
            </w:pPr>
            <w:r>
              <w:rPr>
                <w:rFonts w:ascii="Calibri" w:hAnsi="Calibri"/>
                <w:b/>
                <w:sz w:val="16"/>
              </w:rPr>
              <w:t>Nota del Reino Unido, método 1</w:t>
            </w:r>
          </w:p>
        </w:tc>
        <w:tc>
          <w:tcPr>
            <w:tcW w:w="1000" w:type="dxa"/>
            <w:tcBorders>
              <w:top w:val="nil"/>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color w:val="000000"/>
              </w:rPr>
            </w:pPr>
            <w:r>
              <w:rPr>
                <w:rFonts w:ascii="Calibri" w:hAnsi="Calibri"/>
                <w:color w:val="000000"/>
              </w:rPr>
              <w:t> </w:t>
            </w:r>
          </w:p>
        </w:tc>
        <w:tc>
          <w:tcPr>
            <w:tcW w:w="920" w:type="dxa"/>
            <w:tcBorders>
              <w:top w:val="nil"/>
              <w:left w:val="nil"/>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rPr>
            </w:pPr>
          </w:p>
        </w:tc>
        <w:tc>
          <w:tcPr>
            <w:tcW w:w="840" w:type="dxa"/>
            <w:tcBorders>
              <w:top w:val="nil"/>
              <w:left w:val="single" w:sz="4" w:space="0" w:color="auto"/>
              <w:bottom w:val="nil"/>
              <w:right w:val="nil"/>
            </w:tcBorders>
            <w:shd w:val="clear" w:color="auto" w:fill="auto"/>
            <w:noWrap/>
            <w:vAlign w:val="center"/>
            <w:hideMark/>
          </w:tcPr>
          <w:p w:rsidR="005A7EA5" w:rsidRPr="005A7EA5" w:rsidRDefault="005A7EA5" w:rsidP="005A7EA5">
            <w:pPr>
              <w:jc w:val="center"/>
              <w:rPr>
                <w:rFonts w:ascii="Calibri" w:hAnsi="Calibri"/>
              </w:rPr>
            </w:pPr>
          </w:p>
        </w:tc>
        <w:tc>
          <w:tcPr>
            <w:tcW w:w="1000" w:type="dxa"/>
            <w:tcBorders>
              <w:top w:val="nil"/>
              <w:left w:val="single" w:sz="4" w:space="0" w:color="auto"/>
              <w:bottom w:val="nil"/>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rPr>
              <w:t> </w:t>
            </w:r>
          </w:p>
        </w:tc>
        <w:tc>
          <w:tcPr>
            <w:tcW w:w="940" w:type="dxa"/>
            <w:tcBorders>
              <w:top w:val="nil"/>
              <w:left w:val="nil"/>
              <w:bottom w:val="nil"/>
              <w:right w:val="nil"/>
            </w:tcBorders>
            <w:shd w:val="clear" w:color="auto" w:fill="auto"/>
            <w:noWrap/>
            <w:vAlign w:val="center"/>
            <w:hideMark/>
          </w:tcPr>
          <w:p w:rsidR="005A7EA5" w:rsidRPr="005A7EA5" w:rsidRDefault="005A7EA5" w:rsidP="005A7EA5">
            <w:pPr>
              <w:jc w:val="center"/>
              <w:rPr>
                <w:rFonts w:ascii="Calibri" w:hAnsi="Calibri"/>
              </w:rPr>
            </w:pPr>
          </w:p>
        </w:tc>
        <w:tc>
          <w:tcPr>
            <w:tcW w:w="900" w:type="dxa"/>
            <w:vMerge w:val="restart"/>
            <w:tcBorders>
              <w:top w:val="nil"/>
              <w:left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rPr>
            </w:pPr>
            <w:r>
              <w:rPr>
                <w:rFonts w:ascii="Calibri" w:hAnsi="Calibri"/>
                <w:i/>
                <w:color w:val="000000"/>
                <w:sz w:val="18"/>
              </w:rPr>
              <w:t>83,9%</w:t>
            </w:r>
          </w:p>
        </w:tc>
      </w:tr>
      <w:tr w:rsidR="005A7EA5" w:rsidRPr="005A7EA5" w:rsidTr="0030647E">
        <w:trPr>
          <w:trHeight w:val="300"/>
          <w:jc w:val="center"/>
        </w:trPr>
        <w:tc>
          <w:tcPr>
            <w:tcW w:w="1040" w:type="dxa"/>
            <w:vMerge/>
            <w:tcBorders>
              <w:top w:val="nil"/>
              <w:left w:val="single" w:sz="4" w:space="0" w:color="auto"/>
              <w:bottom w:val="single" w:sz="4" w:space="0" w:color="auto"/>
              <w:right w:val="nil"/>
            </w:tcBorders>
            <w:vAlign w:val="center"/>
            <w:hideMark/>
          </w:tcPr>
          <w:p w:rsidR="005A7EA5" w:rsidRPr="005A7EA5" w:rsidRDefault="005A7EA5" w:rsidP="005A7EA5">
            <w:pPr>
              <w:rPr>
                <w:rFonts w:ascii="Calibri" w:hAnsi="Calibri"/>
                <w:b/>
                <w:bCs/>
                <w:sz w:val="16"/>
                <w:szCs w:val="16"/>
              </w:rPr>
            </w:pP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r>
              <w:rPr>
                <w:rFonts w:ascii="Calibri" w:hAnsi="Calibri"/>
                <w:i/>
                <w:color w:val="000000"/>
                <w:sz w:val="18"/>
              </w:rPr>
              <w:t> </w:t>
            </w:r>
          </w:p>
        </w:tc>
        <w:tc>
          <w:tcPr>
            <w:tcW w:w="920" w:type="dxa"/>
            <w:tcBorders>
              <w:top w:val="nil"/>
              <w:left w:val="nil"/>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840" w:type="dxa"/>
            <w:tcBorders>
              <w:top w:val="nil"/>
              <w:left w:val="single" w:sz="4" w:space="0" w:color="auto"/>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940" w:type="dxa"/>
            <w:tcBorders>
              <w:top w:val="nil"/>
              <w:left w:val="nil"/>
              <w:bottom w:val="single" w:sz="4" w:space="0" w:color="auto"/>
              <w:right w:val="nil"/>
            </w:tcBorders>
            <w:shd w:val="clear" w:color="auto" w:fill="auto"/>
            <w:noWrap/>
            <w:vAlign w:val="center"/>
            <w:hideMark/>
          </w:tcPr>
          <w:p w:rsidR="005A7EA5" w:rsidRPr="005A7EA5" w:rsidRDefault="005A7EA5" w:rsidP="005A7EA5">
            <w:pPr>
              <w:jc w:val="center"/>
              <w:rPr>
                <w:rFonts w:ascii="Calibri" w:hAnsi="Calibri"/>
                <w:i/>
                <w:iCs/>
                <w:sz w:val="18"/>
                <w:szCs w:val="18"/>
              </w:rPr>
            </w:pPr>
            <w:r>
              <w:rPr>
                <w:rFonts w:ascii="Calibri" w:hAnsi="Calibri"/>
                <w:i/>
                <w:sz w:val="18"/>
              </w:rPr>
              <w:t> </w:t>
            </w:r>
          </w:p>
        </w:tc>
        <w:tc>
          <w:tcPr>
            <w:tcW w:w="900" w:type="dxa"/>
            <w:vMerge/>
            <w:tcBorders>
              <w:left w:val="single" w:sz="4" w:space="0" w:color="auto"/>
              <w:bottom w:val="single" w:sz="4" w:space="0" w:color="auto"/>
              <w:right w:val="single" w:sz="4" w:space="0" w:color="auto"/>
            </w:tcBorders>
            <w:shd w:val="clear" w:color="auto" w:fill="auto"/>
            <w:noWrap/>
            <w:vAlign w:val="center"/>
            <w:hideMark/>
          </w:tcPr>
          <w:p w:rsidR="005A7EA5" w:rsidRPr="005A7EA5" w:rsidRDefault="005A7EA5" w:rsidP="005A7EA5">
            <w:pPr>
              <w:jc w:val="center"/>
              <w:rPr>
                <w:rFonts w:ascii="Calibri" w:hAnsi="Calibri"/>
                <w:i/>
                <w:iCs/>
                <w:color w:val="000000"/>
                <w:sz w:val="18"/>
                <w:szCs w:val="18"/>
              </w:rPr>
            </w:pPr>
          </w:p>
        </w:tc>
      </w:tr>
    </w:tbl>
    <w:p w:rsidR="005A7EA5" w:rsidRPr="005A7EA5" w:rsidRDefault="005A7EA5" w:rsidP="005A7EA5">
      <w:pPr>
        <w:jc w:val="center"/>
        <w:rPr>
          <w:rFonts w:eastAsia="MS Mincho" w:cs="Arial"/>
          <w:bCs/>
          <w:sz w:val="18"/>
          <w:szCs w:val="18"/>
        </w:rPr>
      </w:pPr>
    </w:p>
    <w:p w:rsidR="005A7EA5" w:rsidRPr="005A7EA5" w:rsidRDefault="005A7EA5" w:rsidP="005A7EA5">
      <w:pPr>
        <w:jc w:val="center"/>
        <w:rPr>
          <w:rFonts w:eastAsia="MS Mincho" w:cs="Arial"/>
          <w:bCs/>
          <w:sz w:val="18"/>
          <w:szCs w:val="18"/>
        </w:rPr>
      </w:pPr>
      <w:r>
        <w:rPr>
          <w:rFonts w:eastAsiaTheme="minorEastAsia"/>
          <w:sz w:val="18"/>
        </w:rPr>
        <w:t xml:space="preserve">Cuadro </w:t>
      </w:r>
      <w:r w:rsidR="00505021" w:rsidRPr="005A7EA5">
        <w:rPr>
          <w:rFonts w:eastAsiaTheme="minorEastAsia" w:cs="Arial"/>
          <w:bCs/>
          <w:sz w:val="18"/>
          <w:szCs w:val="18"/>
        </w:rPr>
        <w:fldChar w:fldCharType="begin"/>
      </w:r>
      <w:r w:rsidRPr="005A7EA5">
        <w:rPr>
          <w:rFonts w:eastAsiaTheme="minorEastAsia" w:cs="Arial"/>
          <w:bCs/>
          <w:sz w:val="18"/>
          <w:szCs w:val="18"/>
        </w:rPr>
        <w:instrText xml:space="preserve"> SEQ Tableau \* ARABIC </w:instrText>
      </w:r>
      <w:r w:rsidR="00505021" w:rsidRPr="005A7EA5">
        <w:rPr>
          <w:rFonts w:eastAsiaTheme="minorEastAsia" w:cs="Arial"/>
          <w:bCs/>
          <w:sz w:val="18"/>
          <w:szCs w:val="18"/>
        </w:rPr>
        <w:fldChar w:fldCharType="separate"/>
      </w:r>
      <w:r w:rsidR="00BA06B8">
        <w:rPr>
          <w:rFonts w:eastAsiaTheme="minorEastAsia" w:cs="Arial"/>
          <w:bCs/>
          <w:noProof/>
          <w:sz w:val="18"/>
          <w:szCs w:val="18"/>
        </w:rPr>
        <w:t>1</w:t>
      </w:r>
      <w:r w:rsidR="00505021" w:rsidRPr="005A7EA5">
        <w:rPr>
          <w:rFonts w:eastAsiaTheme="minorEastAsia" w:cs="Arial"/>
          <w:bCs/>
          <w:sz w:val="18"/>
          <w:szCs w:val="18"/>
        </w:rPr>
        <w:fldChar w:fldCharType="end"/>
      </w:r>
      <w:proofErr w:type="gramStart"/>
      <w:r w:rsidR="0030647E">
        <w:rPr>
          <w:rFonts w:eastAsiaTheme="minorEastAsia"/>
          <w:sz w:val="18"/>
        </w:rPr>
        <w:t xml:space="preserve">:  </w:t>
      </w:r>
      <w:r>
        <w:rPr>
          <w:rFonts w:eastAsiaTheme="minorEastAsia"/>
          <w:sz w:val="18"/>
        </w:rPr>
        <w:t>Porcentaje</w:t>
      </w:r>
      <w:proofErr w:type="gramEnd"/>
      <w:r>
        <w:rPr>
          <w:rFonts w:eastAsiaTheme="minorEastAsia"/>
          <w:sz w:val="18"/>
        </w:rPr>
        <w:t xml:space="preserve"> de variedades candidatas con notas idénticas</w:t>
      </w:r>
    </w:p>
    <w:p w:rsidR="005A7EA5" w:rsidRPr="005A7EA5" w:rsidRDefault="005A7EA5" w:rsidP="005A7EA5"/>
    <w:p w:rsidR="005A7EA5" w:rsidRPr="005A7EA5" w:rsidRDefault="005A7EA5" w:rsidP="005A7EA5">
      <w:pPr>
        <w:jc w:val="left"/>
        <w:rPr>
          <w:rFonts w:asciiTheme="minorHAnsi" w:eastAsiaTheme="minorEastAsia" w:hAnsiTheme="minorHAnsi" w:cstheme="minorBidi"/>
          <w:b/>
          <w:bCs/>
          <w:sz w:val="18"/>
          <w:szCs w:val="18"/>
        </w:rPr>
      </w:pPr>
      <w:r>
        <w:rPr>
          <w:rFonts w:eastAsiaTheme="minorEastAsia"/>
          <w:sz w:val="18"/>
        </w:rPr>
        <w:t>*</w:t>
      </w:r>
      <w:r w:rsidR="001634C7">
        <w:rPr>
          <w:rFonts w:eastAsiaTheme="minorEastAsia"/>
          <w:sz w:val="18"/>
        </w:rPr>
        <w:t> </w:t>
      </w:r>
      <w:proofErr w:type="gramStart"/>
      <w:r>
        <w:rPr>
          <w:rFonts w:eastAsiaTheme="minorEastAsia"/>
          <w:sz w:val="18"/>
        </w:rPr>
        <w:t>número</w:t>
      </w:r>
      <w:proofErr w:type="gramEnd"/>
      <w:r>
        <w:rPr>
          <w:rFonts w:eastAsiaTheme="minorEastAsia"/>
          <w:sz w:val="18"/>
        </w:rPr>
        <w:t xml:space="preserve"> total de variedades candidatas a las que se asignó una nota inferior a 31 (28 con el método 1 francés, 13 con el método 2 francés y 30 con el método italiano</w:t>
      </w:r>
      <w:r>
        <w:rPr>
          <w:rFonts w:asciiTheme="minorHAnsi" w:eastAsiaTheme="minorEastAsia" w:hAnsiTheme="minorHAnsi" w:cstheme="minorBidi"/>
          <w:sz w:val="18"/>
        </w:rPr>
        <w:t>)</w:t>
      </w:r>
    </w:p>
    <w:p w:rsidR="005A7EA5" w:rsidRPr="005A7EA5" w:rsidRDefault="005A7EA5" w:rsidP="005A7EA5"/>
    <w:p w:rsidR="005A7EA5" w:rsidRPr="005A7EA5" w:rsidRDefault="005A7EA5" w:rsidP="005A7EA5">
      <w:pPr>
        <w:numPr>
          <w:ilvl w:val="0"/>
          <w:numId w:val="24"/>
        </w:numPr>
        <w:ind w:left="0" w:firstLine="0"/>
        <w:contextualSpacing/>
        <w:rPr>
          <w:rFonts w:cs="Arial"/>
        </w:rPr>
      </w:pPr>
      <w:r>
        <w:t xml:space="preserve">Los dos métodos franceses son los más parecidos ya que asignan la misma nota al 85% de las variedades candidatas. </w:t>
      </w:r>
      <w:r w:rsidR="00E62267">
        <w:t xml:space="preserve"> </w:t>
      </w:r>
      <w:r>
        <w:t>El método japonés tiene casi el 50% de las notas en común con estos dos métodos</w:t>
      </w:r>
      <w:r w:rsidR="00453F7E">
        <w:t xml:space="preserve">.  </w:t>
      </w:r>
      <w:r>
        <w:t>Según parece, estos tres métodos asignan descripciones semejantes.</w:t>
      </w:r>
    </w:p>
    <w:p w:rsidR="005A7EA5" w:rsidRPr="005A7EA5" w:rsidRDefault="005A7EA5" w:rsidP="005A7EA5">
      <w:pPr>
        <w:rPr>
          <w:rFonts w:cs="Arial"/>
        </w:rPr>
      </w:pPr>
    </w:p>
    <w:p w:rsidR="005A7EA5" w:rsidRPr="005A7EA5" w:rsidRDefault="005A7EA5" w:rsidP="005A7EA5">
      <w:pPr>
        <w:numPr>
          <w:ilvl w:val="0"/>
          <w:numId w:val="24"/>
        </w:numPr>
        <w:ind w:left="0" w:firstLine="0"/>
        <w:contextualSpacing/>
        <w:rPr>
          <w:rFonts w:cs="Arial"/>
        </w:rPr>
      </w:pPr>
      <w:r>
        <w:t xml:space="preserve">Los dos métodos británicos dan resultados muy semejantes (un 84% de notas idénticas) y además ambos se parecen mucho al método alemán. </w:t>
      </w:r>
      <w:r w:rsidR="00E62267">
        <w:t xml:space="preserve"> </w:t>
      </w:r>
      <w:r>
        <w:t>De manera que es posible definir un segundo grupo de métodos semejantes.</w:t>
      </w:r>
    </w:p>
    <w:p w:rsidR="005A7EA5" w:rsidRPr="005A7EA5" w:rsidRDefault="005A7EA5" w:rsidP="005A7EA5">
      <w:pPr>
        <w:rPr>
          <w:rFonts w:cs="Arial"/>
        </w:rPr>
      </w:pPr>
    </w:p>
    <w:p w:rsidR="005A7EA5" w:rsidRPr="005A7EA5" w:rsidRDefault="005A7EA5" w:rsidP="005A7EA5">
      <w:pPr>
        <w:numPr>
          <w:ilvl w:val="0"/>
          <w:numId w:val="24"/>
        </w:numPr>
        <w:ind w:left="0" w:firstLine="0"/>
        <w:contextualSpacing/>
        <w:rPr>
          <w:rFonts w:cs="Arial"/>
        </w:rPr>
      </w:pPr>
      <w:r>
        <w:t xml:space="preserve">El método italiano no tiene muchas notas en común con los otros métodos. </w:t>
      </w:r>
      <w:r w:rsidR="00E62267">
        <w:t xml:space="preserve"> </w:t>
      </w:r>
      <w:r>
        <w:t xml:space="preserve">En especial, los métodos japonés e italiano parecen ser totalmente diferentes dado que nunca asignan notas idénticas a una misma variedad candidata. </w:t>
      </w:r>
      <w:r w:rsidR="00E62267">
        <w:t xml:space="preserve"> Por otra parte, las </w:t>
      </w:r>
      <w:r>
        <w:t xml:space="preserve">variedades candidatas siempre obtienen una nota más alta con el método japonés que con el método italiano. </w:t>
      </w:r>
      <w:r w:rsidR="00E62267">
        <w:t xml:space="preserve"> </w:t>
      </w:r>
      <w:r>
        <w:t xml:space="preserve">La nota promedio de una variedad candidata oscila entre 4,3 con el método italiano y 6,0 con el método japonés. </w:t>
      </w:r>
      <w:r w:rsidR="001829BF">
        <w:t xml:space="preserve"> </w:t>
      </w:r>
      <w:r>
        <w:t>Además, la gama de notas oscila entre 1 y 8 con el método italiano y entre 2 y 9 con el japonés.</w:t>
      </w:r>
    </w:p>
    <w:p w:rsidR="005A7EA5" w:rsidRPr="005A7EA5" w:rsidRDefault="005A7EA5" w:rsidP="005A7EA5">
      <w:pPr>
        <w:rPr>
          <w:rFonts w:cs="Arial"/>
        </w:rPr>
      </w:pPr>
    </w:p>
    <w:p w:rsidR="005A7EA5" w:rsidRPr="005A7EA5" w:rsidRDefault="005A7EA5" w:rsidP="005A7EA5">
      <w:pPr>
        <w:numPr>
          <w:ilvl w:val="0"/>
          <w:numId w:val="24"/>
        </w:numPr>
        <w:ind w:left="0" w:firstLine="0"/>
        <w:contextualSpacing/>
        <w:rPr>
          <w:rFonts w:cs="Arial"/>
        </w:rPr>
      </w:pPr>
      <w:r>
        <w:t xml:space="preserve">Como las notas no tienen distribuciones normales, todos los métodos </w:t>
      </w:r>
      <w:r w:rsidR="00E62267">
        <w:t xml:space="preserve">se han comparado </w:t>
      </w:r>
      <w:r>
        <w:t xml:space="preserve">con una prueba no paramétrica, en concreto la prueba de </w:t>
      </w:r>
      <w:proofErr w:type="spellStart"/>
      <w:r>
        <w:t>Wilcoxon</w:t>
      </w:r>
      <w:proofErr w:type="spellEnd"/>
      <w:r>
        <w:t xml:space="preserve"> para muestras apareadas. </w:t>
      </w:r>
      <w:r w:rsidR="004E176D">
        <w:t xml:space="preserve"> </w:t>
      </w:r>
      <w:r>
        <w:t>Según esa prueba, las notas obtenidas con un método son significativamente diferentes a las obtenidas con otro, excepto las obtenidas con los dos métodos franceses, cada uno de los métodos franceses con el método japonés, los dos métodos británicos y cada uno de los métodos británicos con el método alemán.</w:t>
      </w:r>
      <w:r w:rsidR="00E62267">
        <w:t xml:space="preserve"> </w:t>
      </w:r>
      <w:r>
        <w:t xml:space="preserve"> Por lo tanto, cabe considerar que existen tres grupos diferentes:  un primer grupo compuesto por los dos métodos franceses y el método japonés;  un segundo grupo compuesto por los dos métodos británicos y el método alemán;  y un tercer grupo compuesto únicamente por el método italiano que parece ser significativamente diferente </w:t>
      </w:r>
      <w:r w:rsidR="00E62267">
        <w:t xml:space="preserve">a </w:t>
      </w:r>
      <w:r>
        <w:t xml:space="preserve">todos los demás. </w:t>
      </w:r>
      <w:r w:rsidR="00E62267">
        <w:t xml:space="preserve"> </w:t>
      </w:r>
      <w:r>
        <w:t xml:space="preserve">De manera que se confirman los grupos antes definidos a partir del porcentaje de notas en común. </w:t>
      </w:r>
    </w:p>
    <w:p w:rsidR="005A7EA5" w:rsidRPr="005A7EA5" w:rsidRDefault="005A7EA5" w:rsidP="005A7EA5">
      <w:pPr>
        <w:rPr>
          <w:rFonts w:cs="Arial"/>
        </w:rPr>
      </w:pPr>
    </w:p>
    <w:p w:rsidR="005A7EA5" w:rsidRPr="005A7EA5" w:rsidRDefault="005A7EA5" w:rsidP="005A7EA5">
      <w:pPr>
        <w:numPr>
          <w:ilvl w:val="0"/>
          <w:numId w:val="24"/>
        </w:numPr>
        <w:ind w:left="0" w:firstLine="0"/>
        <w:contextualSpacing/>
        <w:rPr>
          <w:rFonts w:cs="Arial"/>
        </w:rPr>
      </w:pPr>
      <w:r>
        <w:t>No es posible distinguir un punto en común especial entre los métodos empleados en cada grupo.</w:t>
      </w:r>
    </w:p>
    <w:p w:rsidR="005A7EA5" w:rsidRPr="005A7EA5" w:rsidRDefault="005A7EA5" w:rsidP="005A7EA5">
      <w:pPr>
        <w:rPr>
          <w:rFonts w:cs="Arial"/>
        </w:rPr>
      </w:pPr>
    </w:p>
    <w:p w:rsidR="005A7EA5" w:rsidRPr="005A7EA5" w:rsidRDefault="005A7EA5" w:rsidP="001A2399">
      <w:pPr>
        <w:rPr>
          <w:u w:val="single"/>
        </w:rPr>
      </w:pPr>
      <w:r>
        <w:rPr>
          <w:u w:val="single"/>
        </w:rPr>
        <w:t xml:space="preserve">Conclusión </w:t>
      </w:r>
    </w:p>
    <w:p w:rsidR="005A7EA5" w:rsidRPr="005A7EA5" w:rsidRDefault="005A7EA5" w:rsidP="001A2399">
      <w:pPr>
        <w:rPr>
          <w:rFonts w:cs="Arial"/>
        </w:rPr>
      </w:pPr>
    </w:p>
    <w:p w:rsidR="005A7EA5" w:rsidRPr="005A7EA5" w:rsidRDefault="005A7EA5" w:rsidP="005A7EA5">
      <w:pPr>
        <w:numPr>
          <w:ilvl w:val="0"/>
          <w:numId w:val="24"/>
        </w:numPr>
        <w:ind w:left="0" w:firstLine="0"/>
        <w:contextualSpacing/>
        <w:rPr>
          <w:rFonts w:cs="Arial"/>
        </w:rPr>
      </w:pPr>
      <w:r>
        <w:t xml:space="preserve">Los métodos de asignación de notas a las variedades candidatas empleados por los miembros de la UPOV se basaban en una combinación de la división entre niveles de espaciado equivalente, el uso de los resultados de variedades ejemplo y el dictamen de un experto en el cultivo. </w:t>
      </w:r>
    </w:p>
    <w:p w:rsidR="005A7EA5" w:rsidRPr="005A7EA5" w:rsidRDefault="005A7EA5" w:rsidP="005A7EA5">
      <w:pPr>
        <w:rPr>
          <w:rFonts w:cs="Arial"/>
        </w:rPr>
      </w:pPr>
    </w:p>
    <w:p w:rsidR="005A7EA5" w:rsidRPr="005A7EA5" w:rsidRDefault="005A7EA5" w:rsidP="005A7EA5">
      <w:pPr>
        <w:numPr>
          <w:ilvl w:val="0"/>
          <w:numId w:val="24"/>
        </w:numPr>
        <w:ind w:left="0" w:firstLine="0"/>
        <w:contextualSpacing/>
        <w:jc w:val="left"/>
        <w:rPr>
          <w:rFonts w:cs="Arial"/>
        </w:rPr>
      </w:pPr>
      <w:r>
        <w:t>La composición del conjunto de datos, que incluye dos tipos diferentes de variedades (de linaza y lino) entre las variedades candidatas, explica que las notas</w:t>
      </w:r>
      <w:r w:rsidR="00416872">
        <w:t xml:space="preserve"> obtenidas</w:t>
      </w:r>
      <w:r>
        <w:t xml:space="preserve"> con la mayoría de los métodos</w:t>
      </w:r>
      <w:r w:rsidR="00416872" w:rsidRPr="00416872">
        <w:t xml:space="preserve"> </w:t>
      </w:r>
      <w:r w:rsidR="00416872">
        <w:t>no tengan una distribución normal</w:t>
      </w:r>
      <w:r>
        <w:t>.</w:t>
      </w:r>
    </w:p>
    <w:p w:rsidR="005A7EA5" w:rsidRPr="005A7EA5" w:rsidRDefault="005A7EA5" w:rsidP="005A7EA5">
      <w:pPr>
        <w:contextualSpacing/>
        <w:rPr>
          <w:rFonts w:cs="Arial"/>
        </w:rPr>
      </w:pPr>
    </w:p>
    <w:p w:rsidR="005A7EA5" w:rsidRPr="005A7EA5" w:rsidRDefault="005A7EA5" w:rsidP="005A7EA5">
      <w:pPr>
        <w:numPr>
          <w:ilvl w:val="0"/>
          <w:numId w:val="24"/>
        </w:numPr>
        <w:ind w:left="0" w:firstLine="0"/>
        <w:contextualSpacing/>
        <w:jc w:val="left"/>
        <w:rPr>
          <w:rFonts w:cs="Arial"/>
        </w:rPr>
      </w:pPr>
      <w:r>
        <w:t xml:space="preserve">A pesar de la diversidad de métodos empleados por los miembros de la UPOV, las notas asignadas a las variedades candidatas son, al fin y al cabo, semejantes.  Sin embargo, la prueba de </w:t>
      </w:r>
      <w:proofErr w:type="spellStart"/>
      <w:r>
        <w:t>Wilcoxon</w:t>
      </w:r>
      <w:proofErr w:type="spellEnd"/>
      <w:r>
        <w:t xml:space="preserve"> para muestras apareadas permite distinguir 3 grupos de métodos que son significativamente diferentes: </w:t>
      </w:r>
    </w:p>
    <w:p w:rsidR="005A7EA5" w:rsidRPr="005A7EA5" w:rsidRDefault="005A7EA5" w:rsidP="005A7EA5">
      <w:pPr>
        <w:rPr>
          <w:rFonts w:cs="Arial"/>
        </w:rPr>
      </w:pPr>
    </w:p>
    <w:p w:rsidR="005A7EA5" w:rsidRPr="005A7EA5" w:rsidRDefault="005A7EA5" w:rsidP="005A7EA5">
      <w:pPr>
        <w:numPr>
          <w:ilvl w:val="0"/>
          <w:numId w:val="23"/>
        </w:numPr>
        <w:contextualSpacing/>
        <w:rPr>
          <w:rFonts w:cs="Arial"/>
        </w:rPr>
      </w:pPr>
      <w:r>
        <w:t>los dos métodos franceses y el método japonés</w:t>
      </w:r>
      <w:r>
        <w:rPr>
          <w:rFonts w:hint="eastAsia"/>
        </w:rPr>
        <w:t>;</w:t>
      </w:r>
    </w:p>
    <w:p w:rsidR="005A7EA5" w:rsidRPr="005A7EA5" w:rsidRDefault="005A7EA5" w:rsidP="005A7EA5">
      <w:pPr>
        <w:ind w:left="720"/>
        <w:contextualSpacing/>
        <w:rPr>
          <w:rFonts w:cs="Arial"/>
        </w:rPr>
      </w:pPr>
      <w:r>
        <w:t xml:space="preserve"> </w:t>
      </w:r>
    </w:p>
    <w:p w:rsidR="005A7EA5" w:rsidRPr="005A7EA5" w:rsidRDefault="005A7EA5" w:rsidP="005A7EA5">
      <w:pPr>
        <w:numPr>
          <w:ilvl w:val="0"/>
          <w:numId w:val="23"/>
        </w:numPr>
        <w:contextualSpacing/>
        <w:rPr>
          <w:rFonts w:cs="Arial"/>
        </w:rPr>
      </w:pPr>
      <w:r>
        <w:t>los dos métodos británicos y el método alemán</w:t>
      </w:r>
      <w:r>
        <w:rPr>
          <w:rFonts w:hint="eastAsia"/>
        </w:rPr>
        <w:t>;  y</w:t>
      </w:r>
    </w:p>
    <w:p w:rsidR="005A7EA5" w:rsidRPr="005A7EA5" w:rsidRDefault="005A7EA5" w:rsidP="005A7EA5">
      <w:pPr>
        <w:ind w:left="720"/>
        <w:contextualSpacing/>
        <w:rPr>
          <w:rFonts w:cs="Arial"/>
        </w:rPr>
      </w:pPr>
    </w:p>
    <w:p w:rsidR="005A7EA5" w:rsidRPr="005A7EA5" w:rsidRDefault="005A7EA5" w:rsidP="005A7EA5">
      <w:pPr>
        <w:numPr>
          <w:ilvl w:val="0"/>
          <w:numId w:val="23"/>
        </w:numPr>
        <w:contextualSpacing/>
        <w:rPr>
          <w:rFonts w:cs="Arial"/>
        </w:rPr>
      </w:pPr>
      <w:r>
        <w:t>el método italiano</w:t>
      </w:r>
      <w:r w:rsidR="00416872">
        <w:t xml:space="preserve">. </w:t>
      </w:r>
      <w:r>
        <w:t xml:space="preserve"> En promedio, una nota asignada con el método italiano es inferior a la asignada con los otros métodos.</w:t>
      </w:r>
    </w:p>
    <w:p w:rsidR="005A7EA5" w:rsidRPr="005A7EA5" w:rsidRDefault="005A7EA5" w:rsidP="005A7EA5"/>
    <w:p w:rsidR="005A7EA5" w:rsidRPr="005A7EA5" w:rsidRDefault="005A7EA5" w:rsidP="005A7EA5"/>
    <w:p w:rsidR="00D17133" w:rsidRPr="005A7EA5" w:rsidRDefault="00D17133" w:rsidP="00E047CC">
      <w:pPr>
        <w:rPr>
          <w:snapToGrid w:val="0"/>
        </w:rPr>
      </w:pPr>
    </w:p>
    <w:p w:rsidR="00361821" w:rsidRPr="00D17133" w:rsidRDefault="00E047CC" w:rsidP="00D17133">
      <w:pPr>
        <w:jc w:val="right"/>
        <w:rPr>
          <w:snapToGrid w:val="0"/>
        </w:rPr>
      </w:pPr>
      <w:r>
        <w:rPr>
          <w:snapToGrid w:val="0"/>
        </w:rPr>
        <w:t>[Fin del Anexo y del documento]</w:t>
      </w:r>
    </w:p>
    <w:sectPr w:rsidR="00361821" w:rsidRPr="00D17133" w:rsidSect="00F62C90">
      <w:headerReference w:type="default" r:id="rId13"/>
      <w:headerReference w:type="first" r:id="rId14"/>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6F9F" w:rsidRDefault="00EA6F9F" w:rsidP="00F45372">
      <w:r>
        <w:separator/>
      </w:r>
    </w:p>
    <w:p w:rsidR="00EA6F9F" w:rsidRDefault="00EA6F9F" w:rsidP="00F45372"/>
    <w:p w:rsidR="00EA6F9F" w:rsidRDefault="00EA6F9F" w:rsidP="00F45372"/>
  </w:endnote>
  <w:endnote w:type="continuationSeparator" w:id="0">
    <w:p w:rsidR="00EA6F9F" w:rsidRDefault="00EA6F9F" w:rsidP="00F45372">
      <w:r>
        <w:separator/>
      </w:r>
    </w:p>
    <w:p w:rsidR="00EA6F9F" w:rsidRPr="00970020" w:rsidRDefault="00EA6F9F">
      <w:pPr>
        <w:pStyle w:val="Footer"/>
        <w:spacing w:after="60"/>
        <w:rPr>
          <w:sz w:val="18"/>
          <w:lang w:val="fr-CH"/>
        </w:rPr>
      </w:pPr>
      <w:r w:rsidRPr="00970020">
        <w:rPr>
          <w:sz w:val="18"/>
          <w:lang w:val="fr-CH"/>
        </w:rPr>
        <w:t>[Suite de la note de la page précédente]</w:t>
      </w:r>
    </w:p>
    <w:p w:rsidR="00EA6F9F" w:rsidRPr="00970020" w:rsidRDefault="00EA6F9F" w:rsidP="00F45372">
      <w:pPr>
        <w:rPr>
          <w:lang w:val="fr-CH"/>
        </w:rPr>
      </w:pPr>
    </w:p>
    <w:p w:rsidR="00EA6F9F" w:rsidRPr="00970020" w:rsidRDefault="00EA6F9F" w:rsidP="00F45372">
      <w:pPr>
        <w:rPr>
          <w:lang w:val="fr-CH"/>
        </w:rPr>
      </w:pPr>
    </w:p>
  </w:endnote>
  <w:endnote w:type="continuationNotice" w:id="1">
    <w:p w:rsidR="00EA6F9F" w:rsidRPr="00970020" w:rsidRDefault="00EA6F9F" w:rsidP="00F45372">
      <w:pPr>
        <w:rPr>
          <w:lang w:val="fr-CH"/>
        </w:rPr>
      </w:pPr>
      <w:r w:rsidRPr="00970020">
        <w:rPr>
          <w:lang w:val="fr-CH"/>
        </w:rPr>
        <w:t>[Suite de la note page suivante]</w:t>
      </w:r>
    </w:p>
    <w:p w:rsidR="00EA6F9F" w:rsidRPr="00970020" w:rsidRDefault="00EA6F9F" w:rsidP="00F45372">
      <w:pPr>
        <w:rPr>
          <w:lang w:val="fr-CH"/>
        </w:rPr>
      </w:pPr>
    </w:p>
    <w:p w:rsidR="00EA6F9F" w:rsidRPr="00970020" w:rsidRDefault="00EA6F9F"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6F9F" w:rsidRDefault="00EA6F9F" w:rsidP="00F45372">
      <w:r>
        <w:separator/>
      </w:r>
    </w:p>
  </w:footnote>
  <w:footnote w:type="continuationSeparator" w:id="0">
    <w:p w:rsidR="00EA6F9F" w:rsidRDefault="00EA6F9F" w:rsidP="00F45372">
      <w:r>
        <w:separator/>
      </w:r>
    </w:p>
  </w:footnote>
  <w:footnote w:type="continuationNotice" w:id="1">
    <w:p w:rsidR="00EA6F9F" w:rsidRPr="00905020" w:rsidRDefault="00EA6F9F"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2D" w:rsidRPr="00C5280D" w:rsidRDefault="00A4652D" w:rsidP="0030647E">
    <w:pPr>
      <w:pStyle w:val="Header"/>
      <w:rPr>
        <w:rStyle w:val="PageNumber"/>
      </w:rPr>
    </w:pPr>
    <w:r>
      <w:rPr>
        <w:rStyle w:val="PageNumber"/>
      </w:rPr>
      <w:t>TC/52/19</w:t>
    </w:r>
  </w:p>
  <w:p w:rsidR="00A4652D" w:rsidRPr="00C5280D" w:rsidRDefault="00A4652D" w:rsidP="0030647E">
    <w:pPr>
      <w:pStyle w:val="Header"/>
    </w:pPr>
    <w:proofErr w:type="gramStart"/>
    <w:r>
      <w:t>página</w:t>
    </w:r>
    <w:proofErr w:type="gramEnd"/>
    <w:r>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A06B8">
      <w:rPr>
        <w:rStyle w:val="PageNumber"/>
        <w:noProof/>
      </w:rPr>
      <w:t>5</w:t>
    </w:r>
    <w:r w:rsidRPr="00C5280D">
      <w:rPr>
        <w:rStyle w:val="PageNumber"/>
      </w:rPr>
      <w:fldChar w:fldCharType="end"/>
    </w:r>
  </w:p>
  <w:p w:rsidR="00A4652D" w:rsidRPr="00FE789F" w:rsidRDefault="00A4652D" w:rsidP="003064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2D" w:rsidRPr="008D3729" w:rsidRDefault="00A4652D" w:rsidP="00EB048E">
    <w:pPr>
      <w:pStyle w:val="Header"/>
      <w:rPr>
        <w:rStyle w:val="PageNumber"/>
      </w:rPr>
    </w:pPr>
    <w:r>
      <w:rPr>
        <w:rStyle w:val="PageNumber"/>
      </w:rPr>
      <w:t>TC/52/19</w:t>
    </w:r>
  </w:p>
  <w:p w:rsidR="00A4652D" w:rsidRPr="008D3729" w:rsidRDefault="00A4652D" w:rsidP="00EB048E">
    <w:pPr>
      <w:pStyle w:val="Header"/>
    </w:pPr>
    <w:r>
      <w:t xml:space="preserve">Anexo, 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BA06B8">
      <w:rPr>
        <w:rStyle w:val="PageNumber"/>
        <w:noProof/>
      </w:rPr>
      <w:t>5</w:t>
    </w:r>
    <w:r w:rsidRPr="008D3729">
      <w:rPr>
        <w:rStyle w:val="PageNumber"/>
      </w:rPr>
      <w:fldChar w:fldCharType="end"/>
    </w:r>
  </w:p>
  <w:p w:rsidR="00A4652D" w:rsidRPr="008D3729" w:rsidRDefault="00A4652D" w:rsidP="00F45372"/>
  <w:p w:rsidR="00A4652D" w:rsidRDefault="00A4652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2D" w:rsidRDefault="00A4652D">
    <w:pPr>
      <w:pStyle w:val="Header"/>
    </w:pPr>
    <w:r>
      <w:t>TC/52/19</w:t>
    </w:r>
  </w:p>
  <w:p w:rsidR="00A4652D" w:rsidRDefault="00A4652D">
    <w:pPr>
      <w:pStyle w:val="Header"/>
    </w:pPr>
  </w:p>
  <w:p w:rsidR="00A4652D" w:rsidRDefault="00A4652D">
    <w:pPr>
      <w:pStyle w:val="Header"/>
    </w:pPr>
    <w:r>
      <w:t>ANEXO</w:t>
    </w:r>
  </w:p>
  <w:p w:rsidR="00A4652D" w:rsidRDefault="00A465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28450A25"/>
    <w:multiLevelType w:val="hybridMultilevel"/>
    <w:tmpl w:val="55CAC0BA"/>
    <w:lvl w:ilvl="0" w:tplc="763EABFC">
      <w:start w:val="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68C5043"/>
    <w:multiLevelType w:val="hybridMultilevel"/>
    <w:tmpl w:val="A5A4088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2">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4">
    <w:nsid w:val="4D311C9B"/>
    <w:multiLevelType w:val="hybridMultilevel"/>
    <w:tmpl w:val="9006A27C"/>
    <w:lvl w:ilvl="0" w:tplc="AC548EBE">
      <w:start w:val="1"/>
      <w:numFmt w:val="lowerLetter"/>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FE7B23"/>
    <w:multiLevelType w:val="hybridMultilevel"/>
    <w:tmpl w:val="FBAA664A"/>
    <w:lvl w:ilvl="0" w:tplc="0CBE4486">
      <w:start w:val="1"/>
      <w:numFmt w:val="decimal"/>
      <w:lvlText w:val="%1."/>
      <w:lvlJc w:val="left"/>
      <w:pPr>
        <w:ind w:left="930" w:hanging="570"/>
      </w:pPr>
      <w:rPr>
        <w:rFonts w:ascii="Arial" w:hAnsi="Arial" w:cs="Arial" w:hint="default"/>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B15F7"/>
    <w:multiLevelType w:val="hybridMultilevel"/>
    <w:tmpl w:val="B9800DB0"/>
    <w:lvl w:ilvl="0" w:tplc="6C2C5380">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7">
    <w:nsid w:val="5DF66C8D"/>
    <w:multiLevelType w:val="hybridMultilevel"/>
    <w:tmpl w:val="D7F46A7C"/>
    <w:lvl w:ilvl="0" w:tplc="5EF8EBE8">
      <w:start w:val="5"/>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nsid w:val="70861FB7"/>
    <w:multiLevelType w:val="hybridMultilevel"/>
    <w:tmpl w:val="E0047C26"/>
    <w:lvl w:ilvl="0" w:tplc="17101ADC">
      <w:start w:val="1"/>
      <w:numFmt w:val="lowerLetter"/>
      <w:lvlText w:val="(%1)"/>
      <w:lvlJc w:val="righ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20">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2"/>
  </w:num>
  <w:num w:numId="13">
    <w:abstractNumId w:val="22"/>
  </w:num>
  <w:num w:numId="14">
    <w:abstractNumId w:val="21"/>
  </w:num>
  <w:num w:numId="15">
    <w:abstractNumId w:val="23"/>
  </w:num>
  <w:num w:numId="16">
    <w:abstractNumId w:val="20"/>
  </w:num>
  <w:num w:numId="17">
    <w:abstractNumId w:val="13"/>
  </w:num>
  <w:num w:numId="18">
    <w:abstractNumId w:val="16"/>
  </w:num>
  <w:num w:numId="19">
    <w:abstractNumId w:val="14"/>
  </w:num>
  <w:num w:numId="20">
    <w:abstractNumId w:val="11"/>
  </w:num>
  <w:num w:numId="21">
    <w:abstractNumId w:val="10"/>
  </w:num>
  <w:num w:numId="22">
    <w:abstractNumId w:val="19"/>
  </w:num>
  <w:num w:numId="23">
    <w:abstractNumId w:val="17"/>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7889" style="mso-width-relative:margin;mso-height-relative:margin" o:allowincell="f" o:allowoverlap="f" fillcolor="white" stroke="f">
      <v:fill color="white"/>
      <v:stroke on="f"/>
      <v:textbox inset="7.5mm,,7.5mm"/>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18D0"/>
    <w:rsid w:val="00024AB8"/>
    <w:rsid w:val="00030854"/>
    <w:rsid w:val="00036028"/>
    <w:rsid w:val="00044642"/>
    <w:rsid w:val="000446B9"/>
    <w:rsid w:val="00047E21"/>
    <w:rsid w:val="00085505"/>
    <w:rsid w:val="000C7021"/>
    <w:rsid w:val="000D6BBC"/>
    <w:rsid w:val="000D7780"/>
    <w:rsid w:val="000F5E25"/>
    <w:rsid w:val="00105929"/>
    <w:rsid w:val="001131D5"/>
    <w:rsid w:val="00137E16"/>
    <w:rsid w:val="00141DB8"/>
    <w:rsid w:val="001479AA"/>
    <w:rsid w:val="001634C7"/>
    <w:rsid w:val="0017474A"/>
    <w:rsid w:val="001758C6"/>
    <w:rsid w:val="001829BF"/>
    <w:rsid w:val="00184D5D"/>
    <w:rsid w:val="0019106F"/>
    <w:rsid w:val="001A2399"/>
    <w:rsid w:val="0021332C"/>
    <w:rsid w:val="00213982"/>
    <w:rsid w:val="00235267"/>
    <w:rsid w:val="002428FC"/>
    <w:rsid w:val="0024416D"/>
    <w:rsid w:val="00246113"/>
    <w:rsid w:val="00261C6E"/>
    <w:rsid w:val="00266E18"/>
    <w:rsid w:val="002800A0"/>
    <w:rsid w:val="002801B3"/>
    <w:rsid w:val="00281060"/>
    <w:rsid w:val="002940E8"/>
    <w:rsid w:val="002A6E50"/>
    <w:rsid w:val="002C256A"/>
    <w:rsid w:val="00305A7F"/>
    <w:rsid w:val="0030647E"/>
    <w:rsid w:val="003126D6"/>
    <w:rsid w:val="003152FE"/>
    <w:rsid w:val="00320AE8"/>
    <w:rsid w:val="00327436"/>
    <w:rsid w:val="00344BD6"/>
    <w:rsid w:val="0035528D"/>
    <w:rsid w:val="00361821"/>
    <w:rsid w:val="00366D8A"/>
    <w:rsid w:val="00370631"/>
    <w:rsid w:val="003A339F"/>
    <w:rsid w:val="003B671F"/>
    <w:rsid w:val="003D227C"/>
    <w:rsid w:val="003D2B4D"/>
    <w:rsid w:val="003D7E71"/>
    <w:rsid w:val="00416872"/>
    <w:rsid w:val="00444A88"/>
    <w:rsid w:val="00453F7E"/>
    <w:rsid w:val="00462A73"/>
    <w:rsid w:val="00474DA4"/>
    <w:rsid w:val="004D047D"/>
    <w:rsid w:val="004E176D"/>
    <w:rsid w:val="004F1D89"/>
    <w:rsid w:val="004F305A"/>
    <w:rsid w:val="00505021"/>
    <w:rsid w:val="00512164"/>
    <w:rsid w:val="00520297"/>
    <w:rsid w:val="005206AE"/>
    <w:rsid w:val="005338F9"/>
    <w:rsid w:val="0054281C"/>
    <w:rsid w:val="0055268D"/>
    <w:rsid w:val="00554B1F"/>
    <w:rsid w:val="00564025"/>
    <w:rsid w:val="00576BE4"/>
    <w:rsid w:val="00576BF0"/>
    <w:rsid w:val="00586B1E"/>
    <w:rsid w:val="00593C9B"/>
    <w:rsid w:val="005A400A"/>
    <w:rsid w:val="005A7EA5"/>
    <w:rsid w:val="00612379"/>
    <w:rsid w:val="0061555F"/>
    <w:rsid w:val="00625523"/>
    <w:rsid w:val="00641200"/>
    <w:rsid w:val="00671922"/>
    <w:rsid w:val="00674276"/>
    <w:rsid w:val="00687EB4"/>
    <w:rsid w:val="006A1ECF"/>
    <w:rsid w:val="006B17D2"/>
    <w:rsid w:val="006C224E"/>
    <w:rsid w:val="006C593E"/>
    <w:rsid w:val="006D780A"/>
    <w:rsid w:val="00705937"/>
    <w:rsid w:val="00732DEC"/>
    <w:rsid w:val="00735BD5"/>
    <w:rsid w:val="00745937"/>
    <w:rsid w:val="00753A37"/>
    <w:rsid w:val="007556F6"/>
    <w:rsid w:val="00760EEF"/>
    <w:rsid w:val="00777EE5"/>
    <w:rsid w:val="00784836"/>
    <w:rsid w:val="0079023E"/>
    <w:rsid w:val="007A2854"/>
    <w:rsid w:val="007B714D"/>
    <w:rsid w:val="007D0B9D"/>
    <w:rsid w:val="007D19B0"/>
    <w:rsid w:val="007F498F"/>
    <w:rsid w:val="007F4BB2"/>
    <w:rsid w:val="00803BEC"/>
    <w:rsid w:val="0080679D"/>
    <w:rsid w:val="008108B0"/>
    <w:rsid w:val="00811B20"/>
    <w:rsid w:val="0082296E"/>
    <w:rsid w:val="00824099"/>
    <w:rsid w:val="00852166"/>
    <w:rsid w:val="00865F86"/>
    <w:rsid w:val="00867AC1"/>
    <w:rsid w:val="008A1693"/>
    <w:rsid w:val="008A743F"/>
    <w:rsid w:val="008C0970"/>
    <w:rsid w:val="008D2CF7"/>
    <w:rsid w:val="008D3729"/>
    <w:rsid w:val="008D5D71"/>
    <w:rsid w:val="00900C26"/>
    <w:rsid w:val="0090197F"/>
    <w:rsid w:val="00905020"/>
    <w:rsid w:val="00906DDC"/>
    <w:rsid w:val="00934E09"/>
    <w:rsid w:val="00936253"/>
    <w:rsid w:val="00952DD4"/>
    <w:rsid w:val="00970020"/>
    <w:rsid w:val="00970FED"/>
    <w:rsid w:val="009922AC"/>
    <w:rsid w:val="00997029"/>
    <w:rsid w:val="009A073F"/>
    <w:rsid w:val="009D690D"/>
    <w:rsid w:val="009E65B6"/>
    <w:rsid w:val="00A13C6F"/>
    <w:rsid w:val="00A37B04"/>
    <w:rsid w:val="00A42AC3"/>
    <w:rsid w:val="00A430CF"/>
    <w:rsid w:val="00A4652D"/>
    <w:rsid w:val="00A47CDB"/>
    <w:rsid w:val="00A54309"/>
    <w:rsid w:val="00A72A39"/>
    <w:rsid w:val="00A95BCF"/>
    <w:rsid w:val="00AA65E7"/>
    <w:rsid w:val="00AA79D0"/>
    <w:rsid w:val="00AB2B93"/>
    <w:rsid w:val="00AB7E5B"/>
    <w:rsid w:val="00AE0EF1"/>
    <w:rsid w:val="00B07301"/>
    <w:rsid w:val="00B224DE"/>
    <w:rsid w:val="00B84BBD"/>
    <w:rsid w:val="00BA06B8"/>
    <w:rsid w:val="00BA43FB"/>
    <w:rsid w:val="00BC127D"/>
    <w:rsid w:val="00BC1FE6"/>
    <w:rsid w:val="00C061B6"/>
    <w:rsid w:val="00C13808"/>
    <w:rsid w:val="00C2446C"/>
    <w:rsid w:val="00C36AE5"/>
    <w:rsid w:val="00C41F17"/>
    <w:rsid w:val="00C51BC2"/>
    <w:rsid w:val="00C5791C"/>
    <w:rsid w:val="00C66290"/>
    <w:rsid w:val="00C72B7A"/>
    <w:rsid w:val="00C973F2"/>
    <w:rsid w:val="00CA774A"/>
    <w:rsid w:val="00CC11B0"/>
    <w:rsid w:val="00CD1445"/>
    <w:rsid w:val="00CE6876"/>
    <w:rsid w:val="00CE7723"/>
    <w:rsid w:val="00CF7E36"/>
    <w:rsid w:val="00D17133"/>
    <w:rsid w:val="00D261C5"/>
    <w:rsid w:val="00D3708D"/>
    <w:rsid w:val="00D40426"/>
    <w:rsid w:val="00D41EC2"/>
    <w:rsid w:val="00D57C96"/>
    <w:rsid w:val="00D91203"/>
    <w:rsid w:val="00D95174"/>
    <w:rsid w:val="00DA4685"/>
    <w:rsid w:val="00DA67A3"/>
    <w:rsid w:val="00DA6F36"/>
    <w:rsid w:val="00DB596E"/>
    <w:rsid w:val="00DC00EA"/>
    <w:rsid w:val="00DD3861"/>
    <w:rsid w:val="00E047CC"/>
    <w:rsid w:val="00E50918"/>
    <w:rsid w:val="00E62267"/>
    <w:rsid w:val="00E72D49"/>
    <w:rsid w:val="00E7593C"/>
    <w:rsid w:val="00E7678A"/>
    <w:rsid w:val="00E935F1"/>
    <w:rsid w:val="00E94A81"/>
    <w:rsid w:val="00EA1FFB"/>
    <w:rsid w:val="00EA506F"/>
    <w:rsid w:val="00EA5245"/>
    <w:rsid w:val="00EA6F9F"/>
    <w:rsid w:val="00EB048E"/>
    <w:rsid w:val="00EE34DF"/>
    <w:rsid w:val="00EF191B"/>
    <w:rsid w:val="00EF2F89"/>
    <w:rsid w:val="00EF3CAF"/>
    <w:rsid w:val="00F1237A"/>
    <w:rsid w:val="00F22CBD"/>
    <w:rsid w:val="00F45372"/>
    <w:rsid w:val="00F560F7"/>
    <w:rsid w:val="00F62C90"/>
    <w:rsid w:val="00F6334D"/>
    <w:rsid w:val="00F77B84"/>
    <w:rsid w:val="00FA10FA"/>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width-relative:margin;mso-height-relative:margin" o:allowincell="f" o:allowoverlap="f" fillcolor="white" stroke="f">
      <v:fill color="white"/>
      <v:stroke on="f"/>
      <v:textbox inset="7.5mm,,7.5mm"/>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aliases w:val="VARIETY,variety"/>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es-E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es-ES"/>
    </w:rPr>
  </w:style>
  <w:style w:type="character" w:customStyle="1" w:styleId="StyleDoclangBold">
    <w:name w:val="Style Doc_lang + Bold"/>
    <w:basedOn w:val="Doclang"/>
    <w:rsid w:val="00281060"/>
    <w:rPr>
      <w:rFonts w:ascii="Arial" w:hAnsi="Arial"/>
      <w:b/>
      <w:bCs/>
      <w:sz w:val="20"/>
      <w:lang w:val="es-ES"/>
    </w:rPr>
  </w:style>
  <w:style w:type="paragraph" w:styleId="TOC2">
    <w:name w:val="toc 2"/>
    <w:next w:val="Normal"/>
    <w:autoRedefine/>
    <w:uiPriority w:val="39"/>
    <w:rsid w:val="003B671F"/>
    <w:pPr>
      <w:tabs>
        <w:tab w:val="right" w:leader="dot" w:pos="9639"/>
      </w:tabs>
      <w:spacing w:after="120"/>
      <w:ind w:left="454" w:right="851" w:hanging="284"/>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3B671F"/>
    <w:pPr>
      <w:tabs>
        <w:tab w:val="right" w:leader="dot" w:pos="9639"/>
      </w:tabs>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aliases w:val="VARIETY Char,variety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es-ES"/>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es-ES"/>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table" w:customStyle="1" w:styleId="TableGrid1">
    <w:name w:val="Table Grid1"/>
    <w:basedOn w:val="TableNormal"/>
    <w:next w:val="TableGrid"/>
    <w:rsid w:val="005A7E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7EA5"/>
    <w:pPr>
      <w:spacing w:after="200"/>
      <w:jc w:val="left"/>
    </w:pPr>
    <w:rPr>
      <w:rFonts w:asciiTheme="minorHAnsi" w:eastAsiaTheme="minorEastAsia" w:hAnsiTheme="minorHAnsi" w:cstheme="minorBidi"/>
      <w:b/>
      <w:bCs/>
      <w:color w:val="4F81BD" w:themeColor="accent1"/>
      <w:sz w:val="18"/>
      <w:szCs w:val="18"/>
    </w:rPr>
  </w:style>
  <w:style w:type="paragraph" w:customStyle="1" w:styleId="Style10">
    <w:name w:val="Style1"/>
    <w:basedOn w:val="Normal"/>
    <w:rsid w:val="005A7EA5"/>
    <w:pPr>
      <w:tabs>
        <w:tab w:val="decimal" w:pos="907"/>
        <w:tab w:val="left" w:pos="1077"/>
      </w:tabs>
    </w:pPr>
    <w:rPr>
      <w:rFonts w:ascii="Times New Roman" w:eastAsiaTheme="minorEastAsia" w:hAnsi="Times New Roman"/>
      <w:sz w:val="24"/>
      <w:szCs w:val="24"/>
    </w:rPr>
  </w:style>
  <w:style w:type="character" w:styleId="CommentReference">
    <w:name w:val="annotation reference"/>
    <w:basedOn w:val="DefaultParagraphFont"/>
    <w:rsid w:val="002428FC"/>
    <w:rPr>
      <w:sz w:val="16"/>
      <w:szCs w:val="16"/>
    </w:rPr>
  </w:style>
  <w:style w:type="paragraph" w:styleId="CommentText">
    <w:name w:val="annotation text"/>
    <w:basedOn w:val="Normal"/>
    <w:link w:val="CommentTextChar"/>
    <w:rsid w:val="002428FC"/>
  </w:style>
  <w:style w:type="character" w:customStyle="1" w:styleId="CommentTextChar">
    <w:name w:val="Comment Text Char"/>
    <w:basedOn w:val="DefaultParagraphFont"/>
    <w:link w:val="CommentText"/>
    <w:rsid w:val="002428FC"/>
    <w:rPr>
      <w:rFonts w:ascii="Arial" w:hAnsi="Arial"/>
    </w:rPr>
  </w:style>
  <w:style w:type="paragraph" w:styleId="CommentSubject">
    <w:name w:val="annotation subject"/>
    <w:basedOn w:val="CommentText"/>
    <w:next w:val="CommentText"/>
    <w:link w:val="CommentSubjectChar"/>
    <w:rsid w:val="002428FC"/>
    <w:rPr>
      <w:b/>
      <w:bCs/>
    </w:rPr>
  </w:style>
  <w:style w:type="character" w:customStyle="1" w:styleId="CommentSubjectChar">
    <w:name w:val="Comment Subject Char"/>
    <w:basedOn w:val="CommentTextChar"/>
    <w:link w:val="CommentSubject"/>
    <w:rsid w:val="002428FC"/>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iPriority="35"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aliases w:val="VARIETY,variety"/>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s-ES" w:eastAsia="es-ES" w:bidi="es-ES"/>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s-ES" w:eastAsia="es-ES" w:bidi="es-ES"/>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s-ES" w:eastAsia="es-ES" w:bidi="es-ES"/>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s-ES" w:eastAsia="es-ES" w:bidi="es-ES"/>
    </w:rPr>
  </w:style>
  <w:style w:type="character" w:customStyle="1" w:styleId="StyleDocoriginalNotBold1">
    <w:name w:val="Style Doc_original + Not Bold1"/>
    <w:basedOn w:val="StyleStyleDocoriginalNotBoldNotBoldChar"/>
    <w:rsid w:val="00281060"/>
    <w:rPr>
      <w:rFonts w:ascii="Arial" w:hAnsi="Arial"/>
      <w:b/>
      <w:bCs/>
      <w:spacing w:val="10"/>
      <w:lang w:val="es-ES" w:eastAsia="es-ES" w:bidi="es-ES"/>
    </w:rPr>
  </w:style>
  <w:style w:type="character" w:customStyle="1" w:styleId="StyleDoclangBold">
    <w:name w:val="Style Doc_lang + Bold"/>
    <w:basedOn w:val="Doclang"/>
    <w:rsid w:val="00281060"/>
    <w:rPr>
      <w:rFonts w:ascii="Arial" w:hAnsi="Arial"/>
      <w:b/>
      <w:bCs/>
      <w:sz w:val="20"/>
      <w:lang w:val="es-ES"/>
    </w:rPr>
  </w:style>
  <w:style w:type="paragraph" w:styleId="TOC2">
    <w:name w:val="toc 2"/>
    <w:next w:val="Normal"/>
    <w:autoRedefine/>
    <w:uiPriority w:val="39"/>
    <w:rsid w:val="003B671F"/>
    <w:pPr>
      <w:tabs>
        <w:tab w:val="right" w:leader="dot" w:pos="9639"/>
      </w:tabs>
      <w:spacing w:after="120"/>
      <w:ind w:left="454" w:right="851" w:hanging="284"/>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3B671F"/>
    <w:pPr>
      <w:tabs>
        <w:tab w:val="right" w:leader="dot" w:pos="9639"/>
      </w:tabs>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aliases w:val="VARIETY Char,variety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es-ES"/>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es-ES"/>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rPr>
  </w:style>
  <w:style w:type="paragraph" w:customStyle="1" w:styleId="StyleTOC1Before6ptAfter6pt">
    <w:name w:val="Style TOC 1 + Before:  6 pt After:  6 pt"/>
    <w:basedOn w:val="TOC1"/>
    <w:uiPriority w:val="99"/>
    <w:rsid w:val="00FD7EB7"/>
    <w:pPr>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table" w:customStyle="1" w:styleId="TableGrid1">
    <w:name w:val="Table Grid1"/>
    <w:basedOn w:val="TableNormal"/>
    <w:next w:val="TableGrid"/>
    <w:rsid w:val="005A7EA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A7EA5"/>
    <w:pPr>
      <w:spacing w:after="200"/>
      <w:jc w:val="left"/>
    </w:pPr>
    <w:rPr>
      <w:rFonts w:asciiTheme="minorHAnsi" w:eastAsiaTheme="minorEastAsia" w:hAnsiTheme="minorHAnsi" w:cstheme="minorBidi"/>
      <w:b/>
      <w:bCs/>
      <w:color w:val="4F81BD" w:themeColor="accent1"/>
      <w:sz w:val="18"/>
      <w:szCs w:val="18"/>
    </w:rPr>
  </w:style>
  <w:style w:type="paragraph" w:customStyle="1" w:styleId="Style10">
    <w:name w:val="Style1"/>
    <w:basedOn w:val="Normal"/>
    <w:rsid w:val="005A7EA5"/>
    <w:pPr>
      <w:tabs>
        <w:tab w:val="decimal" w:pos="907"/>
        <w:tab w:val="left" w:pos="1077"/>
      </w:tabs>
    </w:pPr>
    <w:rPr>
      <w:rFonts w:ascii="Times New Roman" w:eastAsiaTheme="minorEastAsia" w:hAnsi="Times New Roman"/>
      <w:sz w:val="24"/>
      <w:szCs w:val="24"/>
    </w:rPr>
  </w:style>
  <w:style w:type="character" w:styleId="CommentReference">
    <w:name w:val="annotation reference"/>
    <w:basedOn w:val="DefaultParagraphFont"/>
    <w:rsid w:val="002428FC"/>
    <w:rPr>
      <w:sz w:val="16"/>
      <w:szCs w:val="16"/>
    </w:rPr>
  </w:style>
  <w:style w:type="paragraph" w:styleId="CommentText">
    <w:name w:val="annotation text"/>
    <w:basedOn w:val="Normal"/>
    <w:link w:val="CommentTextChar"/>
    <w:rsid w:val="002428FC"/>
  </w:style>
  <w:style w:type="character" w:customStyle="1" w:styleId="CommentTextChar">
    <w:name w:val="Comment Text Char"/>
    <w:basedOn w:val="DefaultParagraphFont"/>
    <w:link w:val="CommentText"/>
    <w:rsid w:val="002428FC"/>
    <w:rPr>
      <w:rFonts w:ascii="Arial" w:hAnsi="Arial"/>
    </w:rPr>
  </w:style>
  <w:style w:type="paragraph" w:styleId="CommentSubject">
    <w:name w:val="annotation subject"/>
    <w:basedOn w:val="CommentText"/>
    <w:next w:val="CommentText"/>
    <w:link w:val="CommentSubjectChar"/>
    <w:rsid w:val="002428FC"/>
    <w:rPr>
      <w:b/>
      <w:bCs/>
    </w:rPr>
  </w:style>
  <w:style w:type="character" w:customStyle="1" w:styleId="CommentSubjectChar">
    <w:name w:val="Comment Subject Char"/>
    <w:basedOn w:val="CommentTextChar"/>
    <w:link w:val="CommentSubject"/>
    <w:rsid w:val="002428F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oleObject" Target="file:///\\POUVFIC\POU_ECH\PERENNES\pou_dhs\Lin\TWC\results%20practical%20exercis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a:t>Distribución de notas </a:t>
            </a:r>
            <a:r>
              <a:rPr lang="es-ES" baseline="0"/>
              <a:t>por método</a:t>
            </a:r>
          </a:p>
        </c:rich>
      </c:tx>
      <c:layout/>
      <c:overlay val="0"/>
    </c:title>
    <c:autoTitleDeleted val="0"/>
    <c:plotArea>
      <c:layout/>
      <c:barChart>
        <c:barDir val="col"/>
        <c:grouping val="clustered"/>
        <c:varyColors val="0"/>
        <c:ser>
          <c:idx val="2"/>
          <c:order val="0"/>
          <c:tx>
            <c:strRef>
              <c:f>distribution!$B$14</c:f>
              <c:strCache>
                <c:ptCount val="1"/>
                <c:pt idx="0">
                  <c:v>France method 1</c:v>
                </c:pt>
              </c:strCache>
            </c:strRef>
          </c:tx>
          <c:invertIfNegative val="0"/>
          <c:val>
            <c:numRef>
              <c:f>distribution!$B$15:$B$23</c:f>
              <c:numCache>
                <c:formatCode>General</c:formatCode>
                <c:ptCount val="9"/>
                <c:pt idx="0">
                  <c:v>1</c:v>
                </c:pt>
                <c:pt idx="1">
                  <c:v>1</c:v>
                </c:pt>
                <c:pt idx="2">
                  <c:v>0</c:v>
                </c:pt>
                <c:pt idx="3">
                  <c:v>3</c:v>
                </c:pt>
                <c:pt idx="4">
                  <c:v>7</c:v>
                </c:pt>
                <c:pt idx="5">
                  <c:v>2</c:v>
                </c:pt>
                <c:pt idx="6">
                  <c:v>7</c:v>
                </c:pt>
                <c:pt idx="7">
                  <c:v>4</c:v>
                </c:pt>
                <c:pt idx="8">
                  <c:v>3</c:v>
                </c:pt>
              </c:numCache>
            </c:numRef>
          </c:val>
        </c:ser>
        <c:ser>
          <c:idx val="3"/>
          <c:order val="1"/>
          <c:tx>
            <c:strRef>
              <c:f>distribution!$C$14</c:f>
              <c:strCache>
                <c:ptCount val="1"/>
                <c:pt idx="0">
                  <c:v>France method 2</c:v>
                </c:pt>
              </c:strCache>
            </c:strRef>
          </c:tx>
          <c:invertIfNegative val="0"/>
          <c:val>
            <c:numRef>
              <c:f>distribution!$C$15:$C$23</c:f>
              <c:numCache>
                <c:formatCode>General</c:formatCode>
                <c:ptCount val="9"/>
                <c:pt idx="0">
                  <c:v>1</c:v>
                </c:pt>
                <c:pt idx="1">
                  <c:v>1</c:v>
                </c:pt>
                <c:pt idx="2">
                  <c:v>0</c:v>
                </c:pt>
                <c:pt idx="3">
                  <c:v>3</c:v>
                </c:pt>
                <c:pt idx="4">
                  <c:v>2</c:v>
                </c:pt>
                <c:pt idx="5">
                  <c:v>1</c:v>
                </c:pt>
                <c:pt idx="6">
                  <c:v>1</c:v>
                </c:pt>
                <c:pt idx="7">
                  <c:v>4</c:v>
                </c:pt>
                <c:pt idx="8">
                  <c:v>0</c:v>
                </c:pt>
              </c:numCache>
            </c:numRef>
          </c:val>
        </c:ser>
        <c:ser>
          <c:idx val="4"/>
          <c:order val="2"/>
          <c:tx>
            <c:strRef>
              <c:f>distribution!$D$14</c:f>
              <c:strCache>
                <c:ptCount val="1"/>
                <c:pt idx="0">
                  <c:v>Italy</c:v>
                </c:pt>
              </c:strCache>
            </c:strRef>
          </c:tx>
          <c:invertIfNegative val="0"/>
          <c:val>
            <c:numRef>
              <c:f>distribution!$D$15:$D$23</c:f>
              <c:numCache>
                <c:formatCode>General</c:formatCode>
                <c:ptCount val="9"/>
                <c:pt idx="0">
                  <c:v>4</c:v>
                </c:pt>
                <c:pt idx="1">
                  <c:v>4</c:v>
                </c:pt>
                <c:pt idx="2">
                  <c:v>7</c:v>
                </c:pt>
                <c:pt idx="3">
                  <c:v>0</c:v>
                </c:pt>
                <c:pt idx="4">
                  <c:v>3</c:v>
                </c:pt>
                <c:pt idx="5">
                  <c:v>5</c:v>
                </c:pt>
                <c:pt idx="6">
                  <c:v>5</c:v>
                </c:pt>
                <c:pt idx="7">
                  <c:v>2</c:v>
                </c:pt>
                <c:pt idx="8">
                  <c:v>0</c:v>
                </c:pt>
              </c:numCache>
            </c:numRef>
          </c:val>
        </c:ser>
        <c:ser>
          <c:idx val="6"/>
          <c:order val="3"/>
          <c:tx>
            <c:strRef>
              <c:f>distribution!$F$14</c:f>
              <c:strCache>
                <c:ptCount val="1"/>
                <c:pt idx="0">
                  <c:v>Germany 2012</c:v>
                </c:pt>
              </c:strCache>
            </c:strRef>
          </c:tx>
          <c:invertIfNegative val="0"/>
          <c:val>
            <c:numRef>
              <c:f>distribution!$F$15:$F$23</c:f>
              <c:numCache>
                <c:formatCode>General</c:formatCode>
                <c:ptCount val="9"/>
                <c:pt idx="0">
                  <c:v>1</c:v>
                </c:pt>
                <c:pt idx="1">
                  <c:v>4</c:v>
                </c:pt>
                <c:pt idx="2">
                  <c:v>1</c:v>
                </c:pt>
                <c:pt idx="3">
                  <c:v>9</c:v>
                </c:pt>
                <c:pt idx="4">
                  <c:v>0</c:v>
                </c:pt>
                <c:pt idx="5">
                  <c:v>2</c:v>
                </c:pt>
                <c:pt idx="6">
                  <c:v>8</c:v>
                </c:pt>
                <c:pt idx="7">
                  <c:v>4</c:v>
                </c:pt>
                <c:pt idx="8">
                  <c:v>2</c:v>
                </c:pt>
              </c:numCache>
            </c:numRef>
          </c:val>
        </c:ser>
        <c:ser>
          <c:idx val="0"/>
          <c:order val="4"/>
          <c:tx>
            <c:strRef>
              <c:f>distribution!$G$14</c:f>
              <c:strCache>
                <c:ptCount val="1"/>
                <c:pt idx="0">
                  <c:v>Japan 2012</c:v>
                </c:pt>
              </c:strCache>
            </c:strRef>
          </c:tx>
          <c:invertIfNegative val="0"/>
          <c:val>
            <c:numRef>
              <c:f>distribution!$G$15:$G$23</c:f>
              <c:numCache>
                <c:formatCode>General</c:formatCode>
                <c:ptCount val="9"/>
                <c:pt idx="0">
                  <c:v>0</c:v>
                </c:pt>
                <c:pt idx="1">
                  <c:v>1</c:v>
                </c:pt>
                <c:pt idx="2">
                  <c:v>3</c:v>
                </c:pt>
                <c:pt idx="3">
                  <c:v>5</c:v>
                </c:pt>
                <c:pt idx="4">
                  <c:v>6</c:v>
                </c:pt>
                <c:pt idx="5">
                  <c:v>0</c:v>
                </c:pt>
                <c:pt idx="6">
                  <c:v>5</c:v>
                </c:pt>
                <c:pt idx="7">
                  <c:v>8</c:v>
                </c:pt>
                <c:pt idx="8">
                  <c:v>3</c:v>
                </c:pt>
              </c:numCache>
            </c:numRef>
          </c:val>
        </c:ser>
        <c:ser>
          <c:idx val="7"/>
          <c:order val="5"/>
          <c:tx>
            <c:strRef>
              <c:f>distribution!$H$14</c:f>
              <c:strCache>
                <c:ptCount val="1"/>
                <c:pt idx="0">
                  <c:v>UK method 1</c:v>
                </c:pt>
              </c:strCache>
            </c:strRef>
          </c:tx>
          <c:invertIfNegative val="0"/>
          <c:val>
            <c:numRef>
              <c:f>distribution!$H$15:$H$23</c:f>
              <c:numCache>
                <c:formatCode>General</c:formatCode>
                <c:ptCount val="9"/>
                <c:pt idx="0">
                  <c:v>3</c:v>
                </c:pt>
                <c:pt idx="1">
                  <c:v>2</c:v>
                </c:pt>
                <c:pt idx="2">
                  <c:v>7</c:v>
                </c:pt>
                <c:pt idx="3">
                  <c:v>3</c:v>
                </c:pt>
                <c:pt idx="4">
                  <c:v>0</c:v>
                </c:pt>
                <c:pt idx="5">
                  <c:v>1</c:v>
                </c:pt>
                <c:pt idx="6">
                  <c:v>7</c:v>
                </c:pt>
                <c:pt idx="7">
                  <c:v>5</c:v>
                </c:pt>
                <c:pt idx="8">
                  <c:v>3</c:v>
                </c:pt>
              </c:numCache>
            </c:numRef>
          </c:val>
        </c:ser>
        <c:ser>
          <c:idx val="8"/>
          <c:order val="6"/>
          <c:tx>
            <c:strRef>
              <c:f>distribution!$I$14</c:f>
              <c:strCache>
                <c:ptCount val="1"/>
                <c:pt idx="0">
                  <c:v>UK method  2</c:v>
                </c:pt>
              </c:strCache>
            </c:strRef>
          </c:tx>
          <c:invertIfNegative val="0"/>
          <c:val>
            <c:numRef>
              <c:f>distribution!$I$15:$I$23</c:f>
              <c:numCache>
                <c:formatCode>General</c:formatCode>
                <c:ptCount val="9"/>
                <c:pt idx="0">
                  <c:v>3</c:v>
                </c:pt>
                <c:pt idx="1">
                  <c:v>2</c:v>
                </c:pt>
                <c:pt idx="2">
                  <c:v>5</c:v>
                </c:pt>
                <c:pt idx="3">
                  <c:v>5</c:v>
                </c:pt>
                <c:pt idx="4">
                  <c:v>1</c:v>
                </c:pt>
                <c:pt idx="5">
                  <c:v>1</c:v>
                </c:pt>
                <c:pt idx="6">
                  <c:v>5</c:v>
                </c:pt>
                <c:pt idx="7">
                  <c:v>6</c:v>
                </c:pt>
                <c:pt idx="8">
                  <c:v>3</c:v>
                </c:pt>
              </c:numCache>
            </c:numRef>
          </c:val>
        </c:ser>
        <c:dLbls>
          <c:showLegendKey val="0"/>
          <c:showVal val="0"/>
          <c:showCatName val="0"/>
          <c:showSerName val="0"/>
          <c:showPercent val="0"/>
          <c:showBubbleSize val="0"/>
        </c:dLbls>
        <c:gapWidth val="150"/>
        <c:axId val="119201152"/>
        <c:axId val="119207424"/>
      </c:barChart>
      <c:catAx>
        <c:axId val="119201152"/>
        <c:scaling>
          <c:orientation val="minMax"/>
        </c:scaling>
        <c:delete val="0"/>
        <c:axPos val="b"/>
        <c:title>
          <c:tx>
            <c:rich>
              <a:bodyPr/>
              <a:lstStyle/>
              <a:p>
                <a:pPr>
                  <a:defRPr/>
                </a:pPr>
                <a:r>
                  <a:rPr lang="es-ES"/>
                  <a:t>Notas</a:t>
                </a:r>
              </a:p>
            </c:rich>
          </c:tx>
          <c:layout/>
          <c:overlay val="0"/>
        </c:title>
        <c:numFmt formatCode="General" sourceLinked="1"/>
        <c:majorTickMark val="out"/>
        <c:minorTickMark val="none"/>
        <c:tickLblPos val="nextTo"/>
        <c:crossAx val="119207424"/>
        <c:crosses val="autoZero"/>
        <c:auto val="1"/>
        <c:lblAlgn val="ctr"/>
        <c:lblOffset val="100"/>
        <c:noMultiLvlLbl val="0"/>
      </c:catAx>
      <c:valAx>
        <c:axId val="119207424"/>
        <c:scaling>
          <c:orientation val="minMax"/>
        </c:scaling>
        <c:delete val="0"/>
        <c:axPos val="l"/>
        <c:majorGridlines/>
        <c:title>
          <c:tx>
            <c:rich>
              <a:bodyPr rot="-5400000" vert="horz"/>
              <a:lstStyle/>
              <a:p>
                <a:pPr>
                  <a:defRPr/>
                </a:pPr>
                <a:r>
                  <a:rPr lang="es-ES"/>
                  <a:t>Número de variedades candidatas</a:t>
                </a:r>
              </a:p>
            </c:rich>
          </c:tx>
          <c:layout/>
          <c:overlay val="0"/>
        </c:title>
        <c:numFmt formatCode="General" sourceLinked="1"/>
        <c:majorTickMark val="out"/>
        <c:minorTickMark val="none"/>
        <c:tickLblPos val="nextTo"/>
        <c:crossAx val="119201152"/>
        <c:crosses val="autoZero"/>
        <c:crossBetween val="between"/>
      </c:valAx>
    </c:plotArea>
    <c:legend>
      <c:legendPos val="r"/>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609760-7864-455E-A788-40C1E2A1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4109</Words>
  <Characters>20723</Characters>
  <Application>Microsoft Office Word</Application>
  <DocSecurity>0</DocSecurity>
  <Lines>172</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24783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SANCHEZ-VIZCAINO GOMEZ Rosa Maria</cp:lastModifiedBy>
  <cp:revision>8</cp:revision>
  <cp:lastPrinted>2016-02-25T10:02:00Z</cp:lastPrinted>
  <dcterms:created xsi:type="dcterms:W3CDTF">2016-02-23T08:41:00Z</dcterms:created>
  <dcterms:modified xsi:type="dcterms:W3CDTF">2016-02-25T10:03:00Z</dcterms:modified>
</cp:coreProperties>
</file>