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45053">
        <w:trPr>
          <w:trHeight w:val="1760"/>
        </w:trPr>
        <w:tc>
          <w:tcPr>
            <w:tcW w:w="4243" w:type="dxa"/>
          </w:tcPr>
          <w:p w:rsidR="000D7780" w:rsidRPr="00E45053" w:rsidRDefault="000D7780" w:rsidP="00F45372">
            <w:pPr>
              <w:rPr>
                <w:lang w:val="es-ES_tradnl"/>
              </w:rPr>
            </w:pPr>
          </w:p>
        </w:tc>
        <w:tc>
          <w:tcPr>
            <w:tcW w:w="1646" w:type="dxa"/>
            <w:vAlign w:val="center"/>
          </w:tcPr>
          <w:p w:rsidR="004F1D89" w:rsidRPr="00E45053" w:rsidRDefault="00333371" w:rsidP="00F45372">
            <w:pPr>
              <w:pStyle w:val="LogoUPOV"/>
              <w:rPr>
                <w:lang w:val="es-ES_tradnl"/>
              </w:rPr>
            </w:pPr>
            <w:r w:rsidRPr="00E45053">
              <w:rPr>
                <w:noProof/>
                <w:lang w:val="es-ES_tradnl"/>
              </w:rPr>
              <w:drawing>
                <wp:inline distT="0" distB="0" distL="0" distR="0" wp14:anchorId="0CFCD521" wp14:editId="5A8914C6">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0D7780" w:rsidRPr="00E45053" w:rsidRDefault="00A47CDB" w:rsidP="00F45372">
            <w:pPr>
              <w:pStyle w:val="Lettrine"/>
              <w:rPr>
                <w:lang w:val="es-ES_tradnl"/>
              </w:rPr>
            </w:pPr>
            <w:r w:rsidRPr="00E45053">
              <w:rPr>
                <w:lang w:val="es-ES_tradnl"/>
              </w:rPr>
              <w:t>S</w:t>
            </w:r>
          </w:p>
          <w:p w:rsidR="000D7780" w:rsidRPr="00E45053" w:rsidRDefault="008A1693" w:rsidP="00F45372">
            <w:pPr>
              <w:pStyle w:val="Docoriginal"/>
              <w:rPr>
                <w:lang w:val="es-ES_tradnl"/>
              </w:rPr>
            </w:pPr>
            <w:r w:rsidRPr="00E45053">
              <w:rPr>
                <w:lang w:val="es-ES_tradnl"/>
              </w:rPr>
              <w:t>TC/</w:t>
            </w:r>
            <w:r w:rsidR="007F4BB2" w:rsidRPr="00E45053">
              <w:rPr>
                <w:lang w:val="es-ES_tradnl"/>
              </w:rPr>
              <w:t>5</w:t>
            </w:r>
            <w:r w:rsidR="00D17133" w:rsidRPr="00E45053">
              <w:rPr>
                <w:lang w:val="es-ES_tradnl"/>
              </w:rPr>
              <w:t>2</w:t>
            </w:r>
            <w:r w:rsidRPr="00E45053">
              <w:rPr>
                <w:lang w:val="es-ES_tradnl"/>
              </w:rPr>
              <w:t>/</w:t>
            </w:r>
            <w:bookmarkStart w:id="0" w:name="Code"/>
            <w:bookmarkEnd w:id="0"/>
            <w:r w:rsidR="00753491" w:rsidRPr="00E45053">
              <w:rPr>
                <w:lang w:val="es-ES_tradnl"/>
              </w:rPr>
              <w:t>12</w:t>
            </w:r>
          </w:p>
          <w:p w:rsidR="000D7780" w:rsidRPr="00E45053" w:rsidRDefault="0061555F" w:rsidP="00F45372">
            <w:pPr>
              <w:pStyle w:val="Docoriginal"/>
              <w:rPr>
                <w:b w:val="0"/>
                <w:spacing w:val="0"/>
                <w:lang w:val="es-ES_tradnl"/>
              </w:rPr>
            </w:pPr>
            <w:r w:rsidRPr="00E45053">
              <w:rPr>
                <w:rStyle w:val="StyleDoclangBold"/>
                <w:b/>
                <w:bCs/>
                <w:spacing w:val="0"/>
                <w:lang w:val="es-ES_tradnl"/>
              </w:rPr>
              <w:t>ORIGINAL</w:t>
            </w:r>
            <w:r w:rsidR="006B4D4F" w:rsidRPr="00E45053">
              <w:rPr>
                <w:rStyle w:val="StyleDoclangBold"/>
                <w:b/>
                <w:bCs/>
                <w:spacing w:val="0"/>
                <w:lang w:val="es-ES_tradnl"/>
              </w:rPr>
              <w:t xml:space="preserve">:  </w:t>
            </w:r>
            <w:bookmarkStart w:id="1" w:name="Original"/>
            <w:bookmarkEnd w:id="1"/>
            <w:r w:rsidR="00A47CDB" w:rsidRPr="00E45053">
              <w:rPr>
                <w:b w:val="0"/>
                <w:spacing w:val="0"/>
                <w:lang w:val="es-ES_tradnl"/>
              </w:rPr>
              <w:t>Inglés</w:t>
            </w:r>
          </w:p>
          <w:p w:rsidR="000D7780" w:rsidRPr="00E45053" w:rsidRDefault="00A47CDB" w:rsidP="00753491">
            <w:pPr>
              <w:pStyle w:val="Docoriginal"/>
              <w:rPr>
                <w:lang w:val="es-ES_tradnl"/>
              </w:rPr>
            </w:pPr>
            <w:r w:rsidRPr="00E45053">
              <w:rPr>
                <w:spacing w:val="0"/>
                <w:lang w:val="es-ES_tradnl"/>
              </w:rPr>
              <w:t>FECHA</w:t>
            </w:r>
            <w:r w:rsidR="006B4D4F" w:rsidRPr="00E45053">
              <w:rPr>
                <w:spacing w:val="0"/>
                <w:lang w:val="es-ES_tradnl"/>
              </w:rPr>
              <w:t xml:space="preserve">: </w:t>
            </w:r>
            <w:r w:rsidR="00DD7B53" w:rsidRPr="00E45053">
              <w:rPr>
                <w:spacing w:val="0"/>
                <w:lang w:val="es-ES_tradnl"/>
              </w:rPr>
              <w:t xml:space="preserve"> </w:t>
            </w:r>
            <w:r w:rsidR="00DD7B53" w:rsidRPr="00E45053">
              <w:rPr>
                <w:rStyle w:val="StyleDocoriginalNotBold1"/>
                <w:spacing w:val="0"/>
                <w:lang w:val="es-ES_tradnl"/>
              </w:rPr>
              <w:t>3</w:t>
            </w:r>
            <w:r w:rsidR="00753491" w:rsidRPr="00E45053">
              <w:rPr>
                <w:rStyle w:val="StyleDocoriginalNotBold1"/>
                <w:spacing w:val="0"/>
                <w:lang w:val="es-ES_tradnl"/>
              </w:rPr>
              <w:t xml:space="preserve"> de febrero</w:t>
            </w:r>
            <w:r w:rsidR="004C314B" w:rsidRPr="00E45053">
              <w:rPr>
                <w:rStyle w:val="StyleDocoriginalNotBold1"/>
                <w:spacing w:val="0"/>
                <w:lang w:val="es-ES_tradnl"/>
              </w:rPr>
              <w:t xml:space="preserve"> </w:t>
            </w:r>
            <w:r w:rsidR="00625523" w:rsidRPr="00E45053">
              <w:rPr>
                <w:b w:val="0"/>
                <w:spacing w:val="0"/>
                <w:lang w:val="es-ES_tradnl"/>
              </w:rPr>
              <w:t>de</w:t>
            </w:r>
            <w:r w:rsidR="00DD7B53" w:rsidRPr="00E45053">
              <w:rPr>
                <w:b w:val="0"/>
                <w:spacing w:val="0"/>
                <w:lang w:val="es-ES_tradnl"/>
              </w:rPr>
              <w:t> 2</w:t>
            </w:r>
            <w:r w:rsidR="001131D5" w:rsidRPr="00E45053">
              <w:rPr>
                <w:b w:val="0"/>
                <w:spacing w:val="0"/>
                <w:lang w:val="es-ES_tradnl"/>
              </w:rPr>
              <w:t>0</w:t>
            </w:r>
            <w:r w:rsidR="00753491" w:rsidRPr="00E45053">
              <w:rPr>
                <w:b w:val="0"/>
                <w:spacing w:val="0"/>
                <w:lang w:val="es-ES_tradnl"/>
              </w:rPr>
              <w:t>16</w:t>
            </w:r>
          </w:p>
        </w:tc>
      </w:tr>
      <w:tr w:rsidR="000D7780" w:rsidRPr="00E45053">
        <w:tc>
          <w:tcPr>
            <w:tcW w:w="10131" w:type="dxa"/>
            <w:gridSpan w:val="3"/>
          </w:tcPr>
          <w:p w:rsidR="000D7780" w:rsidRPr="00E45053" w:rsidRDefault="00A47CDB" w:rsidP="00F45372">
            <w:pPr>
              <w:pStyle w:val="upove"/>
              <w:rPr>
                <w:sz w:val="28"/>
                <w:lang w:val="es-ES_tradnl"/>
              </w:rPr>
            </w:pPr>
            <w:r w:rsidRPr="00E45053">
              <w:rPr>
                <w:spacing w:val="2"/>
                <w:lang w:val="es-ES_tradnl"/>
              </w:rPr>
              <w:t>UNIÓN INTERNACIONAL PARA LA PROTECCIÓN DE LAS OBTENCIONES VEGETALES</w:t>
            </w:r>
          </w:p>
        </w:tc>
      </w:tr>
      <w:tr w:rsidR="000D7780" w:rsidRPr="00E45053">
        <w:tc>
          <w:tcPr>
            <w:tcW w:w="10131" w:type="dxa"/>
            <w:gridSpan w:val="3"/>
          </w:tcPr>
          <w:p w:rsidR="000D7780" w:rsidRPr="00E45053" w:rsidRDefault="00A47CDB" w:rsidP="00F45372">
            <w:pPr>
              <w:pStyle w:val="Country"/>
              <w:rPr>
                <w:lang w:val="es-ES_tradnl"/>
              </w:rPr>
            </w:pPr>
            <w:r w:rsidRPr="00E45053">
              <w:rPr>
                <w:lang w:val="es-ES_tradnl"/>
              </w:rPr>
              <w:t>Ginebra</w:t>
            </w:r>
          </w:p>
        </w:tc>
      </w:tr>
    </w:tbl>
    <w:p w:rsidR="000D7780" w:rsidRPr="00E45053" w:rsidRDefault="00A47CDB" w:rsidP="00F45372">
      <w:pPr>
        <w:pStyle w:val="Sessiontc"/>
        <w:rPr>
          <w:lang w:val="es-ES_tradnl"/>
        </w:rPr>
      </w:pPr>
      <w:r w:rsidRPr="00E45053">
        <w:rPr>
          <w:lang w:val="es-ES_tradnl"/>
        </w:rPr>
        <w:t>Comité TÉCNICO</w:t>
      </w:r>
    </w:p>
    <w:p w:rsidR="00E047CC" w:rsidRPr="00E45053" w:rsidRDefault="007F4BB2" w:rsidP="00E047CC">
      <w:pPr>
        <w:pStyle w:val="Sessiontcplacedate"/>
        <w:rPr>
          <w:lang w:val="es-ES_tradnl"/>
        </w:rPr>
      </w:pPr>
      <w:r w:rsidRPr="00E45053">
        <w:rPr>
          <w:lang w:val="es-ES_tradnl"/>
        </w:rPr>
        <w:t>Quincua</w:t>
      </w:r>
      <w:r w:rsidR="00A47CDB" w:rsidRPr="00E45053">
        <w:rPr>
          <w:lang w:val="es-ES_tradnl"/>
        </w:rPr>
        <w:t xml:space="preserve">gésima </w:t>
      </w:r>
      <w:r w:rsidR="00D17133" w:rsidRPr="00E45053">
        <w:rPr>
          <w:lang w:val="es-ES_tradnl"/>
        </w:rPr>
        <w:t xml:space="preserve">segunda </w:t>
      </w:r>
      <w:r w:rsidR="00A47CDB" w:rsidRPr="00E45053">
        <w:rPr>
          <w:lang w:val="es-ES_tradnl"/>
        </w:rPr>
        <w:t>sesión</w:t>
      </w:r>
      <w:r w:rsidR="00A47CDB" w:rsidRPr="00E45053">
        <w:rPr>
          <w:lang w:val="es-ES_tradnl"/>
        </w:rPr>
        <w:br/>
        <w:t>Ginebra</w:t>
      </w:r>
      <w:r w:rsidR="00DD7B53" w:rsidRPr="00E45053">
        <w:rPr>
          <w:lang w:val="es-ES_tradnl"/>
        </w:rPr>
        <w:t>, 1</w:t>
      </w:r>
      <w:r w:rsidR="00D17133" w:rsidRPr="00E45053">
        <w:rPr>
          <w:lang w:val="es-ES_tradnl"/>
        </w:rPr>
        <w:t>4</w:t>
      </w:r>
      <w:r w:rsidR="008A1693" w:rsidRPr="00E45053">
        <w:rPr>
          <w:lang w:val="es-ES_tradnl"/>
        </w:rPr>
        <w:t xml:space="preserve"> a</w:t>
      </w:r>
      <w:r w:rsidR="00DD7B53" w:rsidRPr="00E45053">
        <w:rPr>
          <w:lang w:val="es-ES_tradnl"/>
        </w:rPr>
        <w:t> 1</w:t>
      </w:r>
      <w:r w:rsidR="00D17133" w:rsidRPr="00E45053">
        <w:rPr>
          <w:lang w:val="es-ES_tradnl"/>
        </w:rPr>
        <w:t>6</w:t>
      </w:r>
      <w:r w:rsidR="00BD5DD7" w:rsidRPr="00E45053">
        <w:rPr>
          <w:lang w:val="es-ES_tradnl"/>
        </w:rPr>
        <w:t xml:space="preserve"> de marzo</w:t>
      </w:r>
      <w:r w:rsidR="00AA65E7" w:rsidRPr="00E45053">
        <w:rPr>
          <w:lang w:val="es-ES_tradnl"/>
        </w:rPr>
        <w:t xml:space="preserve"> </w:t>
      </w:r>
      <w:r w:rsidR="008A1693" w:rsidRPr="00E45053">
        <w:rPr>
          <w:lang w:val="es-ES_tradnl"/>
        </w:rPr>
        <w:t>de</w:t>
      </w:r>
      <w:r w:rsidR="00DD7B53" w:rsidRPr="00E45053">
        <w:rPr>
          <w:lang w:val="es-ES_tradnl"/>
        </w:rPr>
        <w:t> 2</w:t>
      </w:r>
      <w:r w:rsidR="008A1693" w:rsidRPr="00E45053">
        <w:rPr>
          <w:lang w:val="es-ES_tradnl"/>
        </w:rPr>
        <w:t>01</w:t>
      </w:r>
      <w:r w:rsidR="00D17133" w:rsidRPr="00E45053">
        <w:rPr>
          <w:lang w:val="es-ES_tradnl"/>
        </w:rPr>
        <w:t>6</w:t>
      </w:r>
    </w:p>
    <w:p w:rsidR="00E047CC" w:rsidRPr="00E45053" w:rsidRDefault="00753491" w:rsidP="00E047CC">
      <w:pPr>
        <w:pStyle w:val="Titleofdoc0"/>
        <w:rPr>
          <w:lang w:val="es-ES_tradnl"/>
        </w:rPr>
      </w:pPr>
      <w:bookmarkStart w:id="2" w:name="TitleOfDoc"/>
      <w:bookmarkEnd w:id="2"/>
      <w:r w:rsidRPr="00E45053">
        <w:rPr>
          <w:lang w:val="es-ES_tradnl"/>
        </w:rPr>
        <w:t>Denominaciones de variedades</w:t>
      </w:r>
    </w:p>
    <w:p w:rsidR="00E047CC" w:rsidRPr="00E45053" w:rsidRDefault="00E047CC" w:rsidP="00E047CC">
      <w:pPr>
        <w:pStyle w:val="preparedby1"/>
        <w:rPr>
          <w:lang w:val="es-ES_tradnl"/>
        </w:rPr>
      </w:pPr>
      <w:bookmarkStart w:id="3" w:name="Prepared"/>
      <w:bookmarkEnd w:id="3"/>
      <w:r w:rsidRPr="00E45053">
        <w:rPr>
          <w:lang w:val="es-ES_tradnl"/>
        </w:rPr>
        <w:t>Documento preparado por la Oficina de la Unión</w:t>
      </w:r>
      <w:r w:rsidRPr="00E45053">
        <w:rPr>
          <w:lang w:val="es-ES_tradnl"/>
        </w:rPr>
        <w:br/>
      </w:r>
      <w:r w:rsidRPr="00E45053">
        <w:rPr>
          <w:lang w:val="es-ES_tradnl"/>
        </w:rPr>
        <w:br/>
      </w:r>
      <w:r w:rsidRPr="00E45053">
        <w:rPr>
          <w:color w:val="A6A6A6"/>
          <w:lang w:val="es-ES_tradnl"/>
        </w:rPr>
        <w:t>Descargo de responsabilidad</w:t>
      </w:r>
      <w:proofErr w:type="gramStart"/>
      <w:r w:rsidR="006B4D4F" w:rsidRPr="00E45053">
        <w:rPr>
          <w:color w:val="A6A6A6"/>
          <w:lang w:val="es-ES_tradnl"/>
        </w:rPr>
        <w:t xml:space="preserve">:  </w:t>
      </w:r>
      <w:r w:rsidRPr="00E45053">
        <w:rPr>
          <w:color w:val="A6A6A6"/>
          <w:lang w:val="es-ES_tradnl"/>
        </w:rPr>
        <w:t>el</w:t>
      </w:r>
      <w:proofErr w:type="gramEnd"/>
      <w:r w:rsidRPr="00E45053">
        <w:rPr>
          <w:color w:val="A6A6A6"/>
          <w:lang w:val="es-ES_tradnl"/>
        </w:rPr>
        <w:t xml:space="preserve"> presente documento no constituye</w:t>
      </w:r>
      <w:r w:rsidRPr="00E45053">
        <w:rPr>
          <w:color w:val="A6A6A6"/>
          <w:lang w:val="es-ES_tradnl"/>
        </w:rPr>
        <w:br/>
        <w:t>un documento de política u orientación de la UPOV</w:t>
      </w:r>
    </w:p>
    <w:p w:rsidR="00753491" w:rsidRPr="00E45053" w:rsidRDefault="00B60386" w:rsidP="00753491">
      <w:pPr>
        <w:pStyle w:val="Heading1"/>
        <w:rPr>
          <w:rFonts w:eastAsia="MS Mincho"/>
          <w:lang w:val="es-ES_tradnl" w:eastAsia="ja-JP"/>
        </w:rPr>
      </w:pPr>
      <w:bookmarkStart w:id="4" w:name="_Toc443496594"/>
      <w:r w:rsidRPr="00E45053">
        <w:rPr>
          <w:rFonts w:eastAsia="MS Mincho"/>
          <w:caps w:val="0"/>
          <w:lang w:val="es-ES_tradnl" w:eastAsia="ja-JP"/>
        </w:rPr>
        <w:t>RESUMEN</w:t>
      </w:r>
      <w:bookmarkEnd w:id="4"/>
    </w:p>
    <w:p w:rsidR="00753491" w:rsidRPr="00E45053" w:rsidRDefault="00753491" w:rsidP="00753491">
      <w:pPr>
        <w:rPr>
          <w:rFonts w:eastAsia="MS Mincho"/>
          <w:lang w:val="es-ES_tradnl" w:eastAsia="ja-JP"/>
        </w:rPr>
      </w:pPr>
    </w:p>
    <w:p w:rsidR="00753491" w:rsidRPr="00E45053" w:rsidRDefault="00152836" w:rsidP="00753491">
      <w:pPr>
        <w:rPr>
          <w:rFonts w:cs="Arial"/>
          <w:snapToGrid w:val="0"/>
          <w:lang w:val="es-ES_tradnl"/>
        </w:rPr>
      </w:pPr>
      <w:r w:rsidRPr="00E45053">
        <w:rPr>
          <w:rFonts w:cs="Arial"/>
          <w:snapToGrid w:val="0"/>
          <w:lang w:val="es-ES_tradnl"/>
        </w:rPr>
        <w:fldChar w:fldCharType="begin"/>
      </w:r>
      <w:r w:rsidR="00753491" w:rsidRPr="00E45053">
        <w:rPr>
          <w:rFonts w:cs="Arial"/>
          <w:snapToGrid w:val="0"/>
          <w:lang w:val="es-ES_tradnl"/>
        </w:rPr>
        <w:instrText xml:space="preserve"> AUTONUM  </w:instrText>
      </w:r>
      <w:r w:rsidRPr="00E45053">
        <w:rPr>
          <w:rFonts w:cs="Arial"/>
          <w:snapToGrid w:val="0"/>
          <w:lang w:val="es-ES_tradnl"/>
        </w:rPr>
        <w:fldChar w:fldCharType="end"/>
      </w:r>
      <w:r w:rsidR="00753491" w:rsidRPr="00E45053">
        <w:rPr>
          <w:rFonts w:cs="Arial"/>
          <w:snapToGrid w:val="0"/>
          <w:lang w:val="es-ES_tradnl"/>
        </w:rPr>
        <w:tab/>
      </w:r>
      <w:r w:rsidR="006654DD" w:rsidRPr="00E45053">
        <w:rPr>
          <w:rFonts w:cs="Arial"/>
          <w:snapToGrid w:val="0"/>
          <w:lang w:val="es-ES_tradnl"/>
        </w:rPr>
        <w:t xml:space="preserve">El presente documento tiene por finalidad informar acerca de la labor relativa a la posible elaboración de un instrumento de la UPOV de búsqueda de similitud a los fines de la denominación de variedades y a la </w:t>
      </w:r>
      <w:r w:rsidR="00B161C9" w:rsidRPr="00E45053">
        <w:rPr>
          <w:rFonts w:cs="Arial"/>
          <w:snapToGrid w:val="0"/>
          <w:lang w:val="es-ES_tradnl"/>
        </w:rPr>
        <w:t>eventual revisión</w:t>
      </w:r>
      <w:r w:rsidR="006654DD" w:rsidRPr="00E45053">
        <w:rPr>
          <w:rFonts w:cs="Arial"/>
          <w:snapToGrid w:val="0"/>
          <w:lang w:val="es-ES_tradnl"/>
        </w:rPr>
        <w:t xml:space="preserve"> del documento UPOV/INF/12 “Notas explicativas sobre las denominaciones de variedades con arreglo al Convenio de la UPOV”.</w:t>
      </w:r>
    </w:p>
    <w:p w:rsidR="00753491" w:rsidRPr="00E45053" w:rsidRDefault="00753491" w:rsidP="00753491">
      <w:pPr>
        <w:rPr>
          <w:rFonts w:cs="Arial"/>
          <w:snapToGrid w:val="0"/>
          <w:lang w:val="es-ES_tradnl" w:eastAsia="ja-JP"/>
        </w:rPr>
      </w:pPr>
    </w:p>
    <w:p w:rsidR="00753491" w:rsidRPr="00E45053" w:rsidRDefault="00152836" w:rsidP="00753491">
      <w:pPr>
        <w:rPr>
          <w:rFonts w:cs="Arial"/>
          <w:snapToGrid w:val="0"/>
          <w:lang w:val="es-ES_tradnl" w:eastAsia="ja-JP"/>
        </w:rPr>
      </w:pPr>
      <w:r w:rsidRPr="00E45053">
        <w:rPr>
          <w:rFonts w:cs="Arial"/>
          <w:snapToGrid w:val="0"/>
          <w:lang w:val="es-ES_tradnl"/>
        </w:rPr>
        <w:fldChar w:fldCharType="begin"/>
      </w:r>
      <w:r w:rsidR="00753491" w:rsidRPr="00E45053">
        <w:rPr>
          <w:rFonts w:cs="Arial"/>
          <w:snapToGrid w:val="0"/>
          <w:lang w:val="es-ES_tradnl"/>
        </w:rPr>
        <w:instrText xml:space="preserve"> AUTONUM  </w:instrText>
      </w:r>
      <w:r w:rsidRPr="00E45053">
        <w:rPr>
          <w:rFonts w:cs="Arial"/>
          <w:snapToGrid w:val="0"/>
          <w:lang w:val="es-ES_tradnl"/>
        </w:rPr>
        <w:fldChar w:fldCharType="end"/>
      </w:r>
      <w:r w:rsidR="00753491" w:rsidRPr="00E45053">
        <w:rPr>
          <w:rFonts w:cs="Arial"/>
          <w:snapToGrid w:val="0"/>
          <w:lang w:val="es-ES_tradnl"/>
        </w:rPr>
        <w:tab/>
      </w:r>
      <w:r w:rsidR="00DB0966" w:rsidRPr="00E45053">
        <w:rPr>
          <w:rFonts w:cs="Arial"/>
          <w:snapToGrid w:val="0"/>
          <w:lang w:val="es-ES_tradnl" w:eastAsia="ja-JP"/>
        </w:rPr>
        <w:t>Se invita al TC a tomar nota</w:t>
      </w:r>
      <w:r w:rsidR="006654DD" w:rsidRPr="00E45053">
        <w:rPr>
          <w:rFonts w:cs="Arial"/>
          <w:snapToGrid w:val="0"/>
          <w:lang w:val="es-ES_tradnl" w:eastAsia="ja-JP"/>
        </w:rPr>
        <w:t>:</w:t>
      </w:r>
      <w:r w:rsidR="006B4D4F" w:rsidRPr="00E45053">
        <w:rPr>
          <w:rFonts w:cs="Arial"/>
          <w:snapToGrid w:val="0"/>
          <w:lang w:val="es-ES_tradnl" w:eastAsia="ja-JP"/>
        </w:rPr>
        <w:t xml:space="preserve">  </w:t>
      </w:r>
    </w:p>
    <w:p w:rsidR="00753491" w:rsidRPr="00E45053" w:rsidRDefault="00753491" w:rsidP="00753491">
      <w:pPr>
        <w:rPr>
          <w:rFonts w:cs="Arial"/>
          <w:snapToGrid w:val="0"/>
          <w:lang w:val="es-ES_tradnl" w:eastAsia="ja-JP"/>
        </w:rPr>
      </w:pPr>
    </w:p>
    <w:p w:rsidR="00753491" w:rsidRPr="00E45053" w:rsidRDefault="00753491" w:rsidP="00753491">
      <w:pPr>
        <w:ind w:firstLine="567"/>
        <w:rPr>
          <w:rFonts w:cs="Arial"/>
          <w:snapToGrid w:val="0"/>
          <w:lang w:val="es-ES_tradnl" w:eastAsia="ja-JP"/>
        </w:rPr>
      </w:pPr>
      <w:r w:rsidRPr="00E45053">
        <w:rPr>
          <w:rFonts w:cs="Arial"/>
          <w:snapToGrid w:val="0"/>
          <w:lang w:val="es-ES_tradnl" w:eastAsia="ja-JP"/>
        </w:rPr>
        <w:t>a)</w:t>
      </w:r>
      <w:r w:rsidRPr="00E45053">
        <w:rPr>
          <w:rFonts w:cs="Arial"/>
          <w:snapToGrid w:val="0"/>
          <w:lang w:val="es-ES_tradnl" w:eastAsia="ja-JP"/>
        </w:rPr>
        <w:tab/>
      </w:r>
      <w:r w:rsidR="00DB0966" w:rsidRPr="00E45053">
        <w:rPr>
          <w:rFonts w:cs="Arial"/>
          <w:snapToGrid w:val="0"/>
          <w:lang w:val="es-ES_tradnl" w:eastAsia="ja-JP"/>
        </w:rPr>
        <w:t xml:space="preserve">de </w:t>
      </w:r>
      <w:r w:rsidR="006654DD" w:rsidRPr="00E45053">
        <w:rPr>
          <w:rFonts w:cs="Arial"/>
          <w:snapToGrid w:val="0"/>
          <w:lang w:val="es-ES_tradnl" w:eastAsia="ja-JP"/>
        </w:rPr>
        <w:t xml:space="preserve">la labor del </w:t>
      </w:r>
      <w:r w:rsidR="006654DD" w:rsidRPr="00E45053">
        <w:rPr>
          <w:rFonts w:cs="Arial"/>
          <w:noProof/>
          <w:snapToGrid w:val="0"/>
          <w:lang w:val="es-ES_tradnl" w:eastAsia="ja-JP"/>
        </w:rPr>
        <w:t>WG</w:t>
      </w:r>
      <w:r w:rsidR="006654DD" w:rsidRPr="00E45053">
        <w:rPr>
          <w:rFonts w:cs="Arial"/>
          <w:noProof/>
          <w:snapToGrid w:val="0"/>
          <w:lang w:val="es-ES_tradnl" w:eastAsia="ja-JP"/>
        </w:rPr>
        <w:noBreakHyphen/>
        <w:t>DST</w:t>
      </w:r>
      <w:r w:rsidR="006654DD" w:rsidRPr="00E45053">
        <w:rPr>
          <w:rFonts w:cs="Arial"/>
          <w:snapToGrid w:val="0"/>
          <w:lang w:val="es-ES_tradnl" w:eastAsia="ja-JP"/>
        </w:rPr>
        <w:t xml:space="preserve"> sobre la posible elaboración de un instrumento de la UPOV de búsqueda de similitud a los fines de la denominación de variedades</w:t>
      </w:r>
      <w:r w:rsidR="00DD7B53" w:rsidRPr="00E45053">
        <w:rPr>
          <w:rFonts w:cs="Arial"/>
          <w:snapToGrid w:val="0"/>
          <w:lang w:val="es-ES_tradnl" w:eastAsia="ja-JP"/>
        </w:rPr>
        <w:t xml:space="preserve">, </w:t>
      </w:r>
      <w:r w:rsidR="00C75022" w:rsidRPr="00E45053">
        <w:rPr>
          <w:rFonts w:cs="Arial"/>
          <w:snapToGrid w:val="0"/>
          <w:lang w:val="es-ES_tradnl" w:eastAsia="ja-JP"/>
        </w:rPr>
        <w:t>incluido el estudio de prueba</w:t>
      </w:r>
      <w:r w:rsidR="00DD7B53" w:rsidRPr="00E45053">
        <w:rPr>
          <w:rFonts w:cs="Arial"/>
          <w:snapToGrid w:val="0"/>
          <w:lang w:val="es-ES_tradnl" w:eastAsia="ja-JP"/>
        </w:rPr>
        <w:t xml:space="preserve">, </w:t>
      </w:r>
      <w:r w:rsidR="00C75022" w:rsidRPr="00E45053">
        <w:rPr>
          <w:rFonts w:cs="Arial"/>
          <w:snapToGrid w:val="0"/>
          <w:lang w:val="es-ES_tradnl" w:eastAsia="ja-JP"/>
        </w:rPr>
        <w:t>tal como se expone en los párrafos</w:t>
      </w:r>
      <w:r w:rsidR="00DD7B53" w:rsidRPr="00E45053">
        <w:rPr>
          <w:rFonts w:cs="Arial"/>
          <w:snapToGrid w:val="0"/>
          <w:lang w:val="es-ES_tradnl" w:eastAsia="ja-JP"/>
        </w:rPr>
        <w:t> 5</w:t>
      </w:r>
      <w:r w:rsidR="00C75022" w:rsidRPr="00E45053">
        <w:rPr>
          <w:rFonts w:cs="Arial"/>
          <w:snapToGrid w:val="0"/>
          <w:lang w:val="es-ES_tradnl" w:eastAsia="ja-JP"/>
        </w:rPr>
        <w:t xml:space="preserve"> al</w:t>
      </w:r>
      <w:r w:rsidR="00DD7B53" w:rsidRPr="00E45053">
        <w:rPr>
          <w:rFonts w:cs="Arial"/>
          <w:snapToGrid w:val="0"/>
          <w:lang w:val="es-ES_tradnl" w:eastAsia="ja-JP"/>
        </w:rPr>
        <w:t> 1</w:t>
      </w:r>
      <w:r w:rsidR="00C75022" w:rsidRPr="00E45053">
        <w:rPr>
          <w:rFonts w:cs="Arial"/>
          <w:snapToGrid w:val="0"/>
          <w:lang w:val="es-ES_tradnl" w:eastAsia="ja-JP"/>
        </w:rPr>
        <w:t>5 del presente documento</w:t>
      </w:r>
      <w:r w:rsidR="006654DD" w:rsidRPr="00E45053">
        <w:rPr>
          <w:rFonts w:cs="Arial"/>
          <w:snapToGrid w:val="0"/>
          <w:lang w:val="es-ES_tradnl" w:eastAsia="ja-JP"/>
        </w:rPr>
        <w:t>;</w:t>
      </w:r>
    </w:p>
    <w:p w:rsidR="00753491" w:rsidRPr="00E45053" w:rsidRDefault="00753491" w:rsidP="00753491">
      <w:pPr>
        <w:rPr>
          <w:rFonts w:cs="Arial"/>
          <w:snapToGrid w:val="0"/>
          <w:lang w:val="es-ES_tradnl" w:eastAsia="ja-JP"/>
        </w:rPr>
      </w:pPr>
    </w:p>
    <w:p w:rsidR="00753491" w:rsidRPr="00E45053" w:rsidRDefault="00753491" w:rsidP="00753491">
      <w:pPr>
        <w:rPr>
          <w:rFonts w:cs="Arial"/>
          <w:snapToGrid w:val="0"/>
          <w:lang w:val="es-ES_tradnl" w:eastAsia="ja-JP"/>
        </w:rPr>
      </w:pPr>
      <w:r w:rsidRPr="00E45053">
        <w:rPr>
          <w:rFonts w:cs="Arial"/>
          <w:snapToGrid w:val="0"/>
          <w:lang w:val="es-ES_tradnl" w:eastAsia="ja-JP"/>
        </w:rPr>
        <w:tab/>
        <w:t>b)</w:t>
      </w:r>
      <w:r w:rsidRPr="00E45053">
        <w:rPr>
          <w:rFonts w:cs="Arial"/>
          <w:snapToGrid w:val="0"/>
          <w:lang w:val="es-ES_tradnl" w:eastAsia="ja-JP"/>
        </w:rPr>
        <w:tab/>
      </w:r>
      <w:r w:rsidR="00B60386" w:rsidRPr="00E45053">
        <w:rPr>
          <w:rFonts w:cs="Arial"/>
          <w:snapToGrid w:val="0"/>
          <w:lang w:val="es-ES_tradnl" w:eastAsia="ja-JP"/>
        </w:rPr>
        <w:t>de que el Consejo</w:t>
      </w:r>
      <w:r w:rsidR="00DD7B53" w:rsidRPr="00E45053">
        <w:rPr>
          <w:rFonts w:cs="Arial"/>
          <w:snapToGrid w:val="0"/>
          <w:lang w:val="es-ES_tradnl" w:eastAsia="ja-JP"/>
        </w:rPr>
        <w:t xml:space="preserve">, </w:t>
      </w:r>
      <w:r w:rsidR="00B60386" w:rsidRPr="00E45053">
        <w:rPr>
          <w:rFonts w:cs="Arial"/>
          <w:snapToGrid w:val="0"/>
          <w:lang w:val="es-ES_tradnl" w:eastAsia="ja-JP"/>
        </w:rPr>
        <w:t>en su cuadragésima novena sesión ordinaria</w:t>
      </w:r>
      <w:r w:rsidR="00DD7B53" w:rsidRPr="00E45053">
        <w:rPr>
          <w:rFonts w:cs="Arial"/>
          <w:snapToGrid w:val="0"/>
          <w:lang w:val="es-ES_tradnl" w:eastAsia="ja-JP"/>
        </w:rPr>
        <w:t xml:space="preserve">, </w:t>
      </w:r>
      <w:r w:rsidR="00407D32" w:rsidRPr="00E45053">
        <w:rPr>
          <w:rFonts w:cs="Arial"/>
          <w:snapToGrid w:val="0"/>
          <w:lang w:val="es-ES_tradnl" w:eastAsia="ja-JP"/>
        </w:rPr>
        <w:t xml:space="preserve">aprobó </w:t>
      </w:r>
      <w:r w:rsidR="004F7BAD" w:rsidRPr="00E45053">
        <w:rPr>
          <w:rFonts w:cs="Arial"/>
          <w:snapToGrid w:val="0"/>
          <w:lang w:val="es-ES_tradnl" w:eastAsia="ja-JP"/>
        </w:rPr>
        <w:t xml:space="preserve">la revisión del documento UPOV/INF/12 </w:t>
      </w:r>
      <w:r w:rsidR="00407D32" w:rsidRPr="00E45053">
        <w:rPr>
          <w:rFonts w:cs="Arial"/>
          <w:snapToGrid w:val="0"/>
          <w:lang w:val="es-ES_tradnl" w:eastAsia="ja-JP"/>
        </w:rPr>
        <w:t xml:space="preserve">relativa a los cambios de denominación de variedades registradas </w:t>
      </w:r>
      <w:r w:rsidR="00C75022" w:rsidRPr="00E45053">
        <w:rPr>
          <w:rFonts w:cs="Arial"/>
          <w:snapToGrid w:val="0"/>
          <w:lang w:val="es-ES_tradnl" w:eastAsia="ja-JP"/>
        </w:rPr>
        <w:t xml:space="preserve">(véase </w:t>
      </w:r>
      <w:r w:rsidR="00407D32" w:rsidRPr="00E45053">
        <w:rPr>
          <w:rFonts w:cs="Arial"/>
          <w:snapToGrid w:val="0"/>
          <w:lang w:val="es-ES_tradnl" w:eastAsia="ja-JP"/>
        </w:rPr>
        <w:t xml:space="preserve">el </w:t>
      </w:r>
      <w:r w:rsidR="00C75022" w:rsidRPr="00E45053">
        <w:rPr>
          <w:rFonts w:cs="Arial"/>
          <w:snapToGrid w:val="0"/>
          <w:lang w:val="es-ES_tradnl" w:eastAsia="ja-JP"/>
        </w:rPr>
        <w:t>párrafo</w:t>
      </w:r>
      <w:r w:rsidR="00DD7B53" w:rsidRPr="00E45053">
        <w:rPr>
          <w:rFonts w:cs="Arial"/>
          <w:snapToGrid w:val="0"/>
          <w:lang w:val="es-ES_tradnl" w:eastAsia="ja-JP"/>
        </w:rPr>
        <w:t> 1</w:t>
      </w:r>
      <w:r w:rsidR="00C75022" w:rsidRPr="00E45053">
        <w:rPr>
          <w:rFonts w:cs="Arial"/>
          <w:snapToGrid w:val="0"/>
          <w:lang w:val="es-ES_tradnl" w:eastAsia="ja-JP"/>
        </w:rPr>
        <w:t>7);</w:t>
      </w:r>
    </w:p>
    <w:p w:rsidR="00753491" w:rsidRPr="00E45053" w:rsidRDefault="00753491" w:rsidP="00753491">
      <w:pPr>
        <w:rPr>
          <w:rFonts w:cs="Arial"/>
          <w:snapToGrid w:val="0"/>
          <w:lang w:val="es-ES_tradnl" w:eastAsia="ja-JP"/>
        </w:rPr>
      </w:pPr>
    </w:p>
    <w:p w:rsidR="00753491" w:rsidRPr="00E45053" w:rsidRDefault="00753491" w:rsidP="00753491">
      <w:pPr>
        <w:ind w:firstLine="567"/>
        <w:rPr>
          <w:rFonts w:cs="Arial"/>
          <w:snapToGrid w:val="0"/>
          <w:lang w:val="es-ES_tradnl" w:eastAsia="ja-JP"/>
        </w:rPr>
      </w:pPr>
      <w:r w:rsidRPr="00E45053">
        <w:rPr>
          <w:rFonts w:cs="Arial"/>
          <w:snapToGrid w:val="0"/>
          <w:lang w:val="es-ES_tradnl" w:eastAsia="ja-JP"/>
        </w:rPr>
        <w:t>c)</w:t>
      </w:r>
      <w:r w:rsidRPr="00E45053">
        <w:rPr>
          <w:rFonts w:cs="Arial"/>
          <w:snapToGrid w:val="0"/>
          <w:lang w:val="es-ES_tradnl" w:eastAsia="ja-JP"/>
        </w:rPr>
        <w:tab/>
      </w:r>
      <w:r w:rsidR="00407D32" w:rsidRPr="00E45053">
        <w:rPr>
          <w:rFonts w:cs="Arial"/>
          <w:snapToGrid w:val="0"/>
          <w:lang w:val="es-ES_tradnl" w:eastAsia="ja-JP"/>
        </w:rPr>
        <w:t xml:space="preserve">de que se ha ampliado el mandato y la composición del </w:t>
      </w:r>
      <w:r w:rsidR="00407D32" w:rsidRPr="00E45053">
        <w:rPr>
          <w:rFonts w:cs="Arial"/>
          <w:noProof/>
          <w:snapToGrid w:val="0"/>
          <w:lang w:val="es-ES_tradnl" w:eastAsia="ja-JP"/>
        </w:rPr>
        <w:t>WG</w:t>
      </w:r>
      <w:r w:rsidR="00407D32" w:rsidRPr="00E45053">
        <w:rPr>
          <w:rFonts w:cs="Arial"/>
          <w:noProof/>
          <w:snapToGrid w:val="0"/>
          <w:lang w:val="es-ES_tradnl" w:eastAsia="ja-JP"/>
        </w:rPr>
        <w:noBreakHyphen/>
        <w:t>DST</w:t>
      </w:r>
      <w:r w:rsidR="00407D32" w:rsidRPr="00E45053">
        <w:rPr>
          <w:rFonts w:cs="Arial"/>
          <w:snapToGrid w:val="0"/>
          <w:lang w:val="es-ES_tradnl" w:eastAsia="ja-JP"/>
        </w:rPr>
        <w:t xml:space="preserve"> (con el nuevo nombre de </w:t>
      </w:r>
      <w:r w:rsidR="00407D32" w:rsidRPr="00E45053">
        <w:rPr>
          <w:rFonts w:cs="Arial"/>
          <w:noProof/>
          <w:snapToGrid w:val="0"/>
          <w:lang w:val="es-ES_tradnl" w:eastAsia="ja-JP"/>
        </w:rPr>
        <w:t>WG</w:t>
      </w:r>
      <w:r w:rsidR="00407D32" w:rsidRPr="00E45053">
        <w:rPr>
          <w:rFonts w:cs="Arial"/>
          <w:noProof/>
          <w:snapToGrid w:val="0"/>
          <w:lang w:val="es-ES_tradnl" w:eastAsia="ja-JP"/>
        </w:rPr>
        <w:noBreakHyphen/>
        <w:t>DEN</w:t>
      </w:r>
      <w:r w:rsidR="00407D32" w:rsidRPr="00E45053">
        <w:rPr>
          <w:rFonts w:cs="Arial"/>
          <w:snapToGrid w:val="0"/>
          <w:lang w:val="es-ES_tradnl" w:eastAsia="ja-JP"/>
        </w:rPr>
        <w:t xml:space="preserve">) a fin de que formule recomendaciones para el CAJ en relación con la </w:t>
      </w:r>
      <w:r w:rsidR="00B161C9" w:rsidRPr="00E45053">
        <w:rPr>
          <w:rFonts w:cs="Arial"/>
          <w:snapToGrid w:val="0"/>
          <w:lang w:val="es-ES_tradnl" w:eastAsia="ja-JP"/>
        </w:rPr>
        <w:t>eventual revisión</w:t>
      </w:r>
      <w:r w:rsidR="00407D32" w:rsidRPr="00E45053">
        <w:rPr>
          <w:rFonts w:cs="Arial"/>
          <w:snapToGrid w:val="0"/>
          <w:lang w:val="es-ES_tradnl" w:eastAsia="ja-JP"/>
        </w:rPr>
        <w:t xml:space="preserve"> del documento UPOV/INF/12 “Notas explicativas sobre las denominaciones de variedades con arreglo al Convenio de la UPOV” y de que el </w:t>
      </w:r>
      <w:r w:rsidR="00407D32" w:rsidRPr="00E45053">
        <w:rPr>
          <w:rFonts w:eastAsia="MS Mincho" w:cs="Arial"/>
          <w:noProof/>
          <w:snapToGrid w:val="0"/>
          <w:lang w:val="es-ES_tradnl" w:eastAsia="ja-JP"/>
        </w:rPr>
        <w:t>WG</w:t>
      </w:r>
      <w:r w:rsidR="00407D32" w:rsidRPr="00E45053">
        <w:rPr>
          <w:rFonts w:eastAsia="MS Mincho" w:cs="Arial"/>
          <w:noProof/>
          <w:snapToGrid w:val="0"/>
          <w:lang w:val="es-ES_tradnl" w:eastAsia="ja-JP"/>
        </w:rPr>
        <w:noBreakHyphen/>
        <w:t>DEN</w:t>
      </w:r>
      <w:r w:rsidR="00407D32" w:rsidRPr="00E45053">
        <w:rPr>
          <w:rFonts w:cs="Arial"/>
          <w:snapToGrid w:val="0"/>
          <w:lang w:val="es-ES_tradnl" w:eastAsia="ja-JP"/>
        </w:rPr>
        <w:t xml:space="preserve"> </w:t>
      </w:r>
      <w:r w:rsidR="00BD2A36" w:rsidRPr="00E45053">
        <w:rPr>
          <w:rFonts w:cs="Arial"/>
          <w:snapToGrid w:val="0"/>
          <w:lang w:val="es-ES_tradnl" w:eastAsia="ja-JP"/>
        </w:rPr>
        <w:t xml:space="preserve">se reunirá </w:t>
      </w:r>
      <w:r w:rsidR="00407D32" w:rsidRPr="00E45053">
        <w:rPr>
          <w:rFonts w:cs="Arial"/>
          <w:snapToGrid w:val="0"/>
          <w:lang w:val="es-ES_tradnl" w:eastAsia="ja-JP"/>
        </w:rPr>
        <w:t>el</w:t>
      </w:r>
      <w:r w:rsidR="00DD7B53" w:rsidRPr="00E45053">
        <w:rPr>
          <w:rFonts w:cs="Arial"/>
          <w:snapToGrid w:val="0"/>
          <w:lang w:val="es-ES_tradnl" w:eastAsia="ja-JP"/>
        </w:rPr>
        <w:t> 1</w:t>
      </w:r>
      <w:r w:rsidR="00407D32" w:rsidRPr="00E45053">
        <w:rPr>
          <w:rFonts w:cs="Arial"/>
          <w:snapToGrid w:val="0"/>
          <w:lang w:val="es-ES_tradnl" w:eastAsia="ja-JP"/>
        </w:rPr>
        <w:t>8 de marzo de</w:t>
      </w:r>
      <w:r w:rsidR="00DD7B53" w:rsidRPr="00E45053">
        <w:rPr>
          <w:rFonts w:cs="Arial"/>
          <w:snapToGrid w:val="0"/>
          <w:lang w:val="es-ES_tradnl" w:eastAsia="ja-JP"/>
        </w:rPr>
        <w:t> 2</w:t>
      </w:r>
      <w:r w:rsidR="00407D32" w:rsidRPr="00E45053">
        <w:rPr>
          <w:rFonts w:cs="Arial"/>
          <w:snapToGrid w:val="0"/>
          <w:lang w:val="es-ES_tradnl" w:eastAsia="ja-JP"/>
        </w:rPr>
        <w:t>016;</w:t>
      </w:r>
      <w:r w:rsidR="006B4D4F" w:rsidRPr="00E45053">
        <w:rPr>
          <w:rFonts w:cs="Arial"/>
          <w:snapToGrid w:val="0"/>
          <w:lang w:val="es-ES_tradnl" w:eastAsia="ja-JP"/>
        </w:rPr>
        <w:t xml:space="preserve">  </w:t>
      </w:r>
      <w:r w:rsidR="00BD2A36" w:rsidRPr="00E45053">
        <w:rPr>
          <w:rFonts w:cs="Arial"/>
          <w:snapToGrid w:val="0"/>
          <w:lang w:val="es-ES_tradnl" w:eastAsia="ja-JP"/>
        </w:rPr>
        <w:t>y</w:t>
      </w:r>
    </w:p>
    <w:p w:rsidR="00753491" w:rsidRPr="00E45053" w:rsidRDefault="00753491" w:rsidP="00753491">
      <w:pPr>
        <w:rPr>
          <w:rFonts w:cs="Arial"/>
          <w:snapToGrid w:val="0"/>
          <w:lang w:val="es-ES_tradnl" w:eastAsia="ja-JP"/>
        </w:rPr>
      </w:pPr>
    </w:p>
    <w:p w:rsidR="00753491" w:rsidRPr="00E45053" w:rsidRDefault="00753491" w:rsidP="00753491">
      <w:pPr>
        <w:ind w:firstLine="567"/>
        <w:rPr>
          <w:rFonts w:cs="Arial"/>
          <w:snapToGrid w:val="0"/>
          <w:lang w:val="es-ES_tradnl" w:eastAsia="ja-JP"/>
        </w:rPr>
      </w:pPr>
      <w:r w:rsidRPr="00E45053">
        <w:rPr>
          <w:rFonts w:cs="Arial"/>
          <w:snapToGrid w:val="0"/>
          <w:lang w:val="es-ES_tradnl" w:eastAsia="ja-JP"/>
        </w:rPr>
        <w:t>d)</w:t>
      </w:r>
      <w:r w:rsidRPr="00E45053">
        <w:rPr>
          <w:rFonts w:cs="Arial"/>
          <w:snapToGrid w:val="0"/>
          <w:lang w:val="es-ES_tradnl" w:eastAsia="ja-JP"/>
        </w:rPr>
        <w:tab/>
      </w:r>
      <w:r w:rsidR="00BD2A36" w:rsidRPr="00E45053">
        <w:rPr>
          <w:rFonts w:cs="Arial"/>
          <w:snapToGrid w:val="0"/>
          <w:lang w:val="es-ES_tradnl" w:eastAsia="ja-JP"/>
        </w:rPr>
        <w:t xml:space="preserve">de que la Oficina de la Unión </w:t>
      </w:r>
      <w:r w:rsidR="0010275F" w:rsidRPr="00E45053">
        <w:rPr>
          <w:rFonts w:cs="Arial"/>
          <w:snapToGrid w:val="0"/>
          <w:lang w:val="es-ES_tradnl" w:eastAsia="ja-JP"/>
        </w:rPr>
        <w:t xml:space="preserve">emitió </w:t>
      </w:r>
      <w:r w:rsidR="00014128" w:rsidRPr="00E45053">
        <w:rPr>
          <w:rFonts w:cs="Arial"/>
          <w:snapToGrid w:val="0"/>
          <w:lang w:val="es-ES_tradnl" w:eastAsia="ja-JP"/>
        </w:rPr>
        <w:t>un</w:t>
      </w:r>
      <w:r w:rsidR="00BD2A36" w:rsidRPr="00E45053">
        <w:rPr>
          <w:rFonts w:cs="Arial"/>
          <w:snapToGrid w:val="0"/>
          <w:lang w:val="es-ES_tradnl" w:eastAsia="ja-JP"/>
        </w:rPr>
        <w:t xml:space="preserve">a circular </w:t>
      </w:r>
      <w:r w:rsidR="00014128" w:rsidRPr="00E45053">
        <w:rPr>
          <w:rFonts w:cs="Arial"/>
          <w:snapToGrid w:val="0"/>
          <w:lang w:val="es-ES_tradnl" w:eastAsia="ja-JP"/>
        </w:rPr>
        <w:t>en la que se invitaba a</w:t>
      </w:r>
      <w:r w:rsidR="00BD2A36" w:rsidRPr="00E45053">
        <w:rPr>
          <w:rFonts w:cs="Arial"/>
          <w:snapToGrid w:val="0"/>
          <w:lang w:val="es-ES_tradnl" w:eastAsia="ja-JP"/>
        </w:rPr>
        <w:t xml:space="preserve"> </w:t>
      </w:r>
      <w:r w:rsidR="006B0CB2" w:rsidRPr="00E45053">
        <w:rPr>
          <w:rFonts w:cs="Arial"/>
          <w:snapToGrid w:val="0"/>
          <w:lang w:val="es-ES_tradnl" w:eastAsia="ja-JP"/>
        </w:rPr>
        <w:t xml:space="preserve">los miembros </w:t>
      </w:r>
      <w:r w:rsidR="00B7302C" w:rsidRPr="00E45053">
        <w:rPr>
          <w:rFonts w:cs="Arial"/>
          <w:snapToGrid w:val="0"/>
          <w:lang w:val="es-ES_tradnl" w:eastAsia="ja-JP"/>
        </w:rPr>
        <w:t>y a los observadores</w:t>
      </w:r>
      <w:r w:rsidR="00B7302C" w:rsidRPr="00E45053">
        <w:rPr>
          <w:rFonts w:cs="Arial"/>
          <w:snapToGrid w:val="0"/>
          <w:lang w:val="es-ES_tradnl" w:eastAsia="ja-JP"/>
        </w:rPr>
        <w:t xml:space="preserve"> </w:t>
      </w:r>
      <w:r w:rsidR="006B0CB2" w:rsidRPr="00E45053">
        <w:rPr>
          <w:rFonts w:cs="Arial"/>
          <w:snapToGrid w:val="0"/>
          <w:lang w:val="es-ES_tradnl" w:eastAsia="ja-JP"/>
        </w:rPr>
        <w:t>del CAJ</w:t>
      </w:r>
      <w:r w:rsidR="00DD7B53" w:rsidRPr="00E45053">
        <w:rPr>
          <w:rFonts w:cs="Arial"/>
          <w:snapToGrid w:val="0"/>
          <w:lang w:val="es-ES_tradnl" w:eastAsia="ja-JP"/>
        </w:rPr>
        <w:t xml:space="preserve">, </w:t>
      </w:r>
      <w:r w:rsidR="006B0CB2" w:rsidRPr="00E45053">
        <w:rPr>
          <w:rFonts w:cs="Arial"/>
          <w:snapToGrid w:val="0"/>
          <w:lang w:val="es-ES_tradnl" w:eastAsia="ja-JP"/>
        </w:rPr>
        <w:t>así como a los</w:t>
      </w:r>
      <w:r w:rsidR="00BD2A36" w:rsidRPr="00E45053">
        <w:rPr>
          <w:rFonts w:cs="Arial"/>
          <w:snapToGrid w:val="0"/>
          <w:lang w:val="es-ES_tradnl" w:eastAsia="ja-JP"/>
        </w:rPr>
        <w:t xml:space="preserve"> </w:t>
      </w:r>
      <w:r w:rsidR="006B0CB2" w:rsidRPr="00E45053">
        <w:rPr>
          <w:rFonts w:cs="Arial"/>
          <w:snapToGrid w:val="0"/>
          <w:lang w:val="es-ES_tradnl" w:eastAsia="ja-JP"/>
        </w:rPr>
        <w:t xml:space="preserve">miembros del </w:t>
      </w:r>
      <w:r w:rsidR="006B0CB2" w:rsidRPr="00E45053">
        <w:rPr>
          <w:rFonts w:cs="Arial"/>
          <w:noProof/>
          <w:snapToGrid w:val="0"/>
          <w:lang w:val="es-ES_tradnl" w:eastAsia="ja-JP"/>
        </w:rPr>
        <w:t>WG</w:t>
      </w:r>
      <w:r w:rsidR="006B0CB2" w:rsidRPr="00E45053">
        <w:rPr>
          <w:rFonts w:cs="Arial"/>
          <w:noProof/>
          <w:snapToGrid w:val="0"/>
          <w:lang w:val="es-ES_tradnl" w:eastAsia="ja-JP"/>
        </w:rPr>
        <w:noBreakHyphen/>
        <w:t>DST</w:t>
      </w:r>
      <w:r w:rsidR="00DD7B53" w:rsidRPr="00E45053">
        <w:rPr>
          <w:rFonts w:cs="Arial"/>
          <w:snapToGrid w:val="0"/>
          <w:lang w:val="es-ES_tradnl" w:eastAsia="ja-JP"/>
        </w:rPr>
        <w:t xml:space="preserve">, </w:t>
      </w:r>
      <w:r w:rsidR="006B0CB2" w:rsidRPr="00E45053">
        <w:rPr>
          <w:rFonts w:cs="Arial"/>
          <w:snapToGrid w:val="0"/>
          <w:lang w:val="es-ES_tradnl" w:eastAsia="ja-JP"/>
        </w:rPr>
        <w:t xml:space="preserve">a expresar su interés en participar en el </w:t>
      </w:r>
      <w:r w:rsidR="006B0CB2" w:rsidRPr="00E45053">
        <w:rPr>
          <w:rFonts w:cs="Arial"/>
          <w:noProof/>
          <w:snapToGrid w:val="0"/>
          <w:lang w:val="es-ES_tradnl" w:eastAsia="ja-JP"/>
        </w:rPr>
        <w:t>WG</w:t>
      </w:r>
      <w:r w:rsidR="006B0CB2" w:rsidRPr="00E45053">
        <w:rPr>
          <w:rFonts w:cs="Arial"/>
          <w:noProof/>
          <w:snapToGrid w:val="0"/>
          <w:lang w:val="es-ES_tradnl" w:eastAsia="ja-JP"/>
        </w:rPr>
        <w:noBreakHyphen/>
      </w:r>
      <w:r w:rsidR="00BD2A36" w:rsidRPr="00E45053">
        <w:rPr>
          <w:rFonts w:cs="Arial"/>
          <w:noProof/>
          <w:snapToGrid w:val="0"/>
          <w:lang w:val="es-ES_tradnl" w:eastAsia="ja-JP"/>
        </w:rPr>
        <w:t>DEN</w:t>
      </w:r>
      <w:r w:rsidR="00BD2A36" w:rsidRPr="00E45053">
        <w:rPr>
          <w:rFonts w:cs="Arial"/>
          <w:snapToGrid w:val="0"/>
          <w:lang w:val="es-ES_tradnl" w:eastAsia="ja-JP"/>
        </w:rPr>
        <w:t xml:space="preserve"> y </w:t>
      </w:r>
      <w:r w:rsidR="006B0CB2" w:rsidRPr="00E45053">
        <w:rPr>
          <w:rFonts w:cs="Arial"/>
          <w:snapToGrid w:val="0"/>
          <w:lang w:val="es-ES_tradnl" w:eastAsia="ja-JP"/>
        </w:rPr>
        <w:t xml:space="preserve">a formular </w:t>
      </w:r>
      <w:r w:rsidR="00AC56EA" w:rsidRPr="00E45053">
        <w:rPr>
          <w:rFonts w:cs="Arial"/>
          <w:snapToGrid w:val="0"/>
          <w:lang w:val="es-ES_tradnl" w:eastAsia="ja-JP"/>
        </w:rPr>
        <w:t xml:space="preserve">comentarios </w:t>
      </w:r>
      <w:r w:rsidR="006B0CB2" w:rsidRPr="00E45053">
        <w:rPr>
          <w:rFonts w:cs="Arial"/>
          <w:snapToGrid w:val="0"/>
          <w:lang w:val="es-ES_tradnl" w:eastAsia="ja-JP"/>
        </w:rPr>
        <w:t xml:space="preserve">acerca del </w:t>
      </w:r>
      <w:r w:rsidR="00BD2A36" w:rsidRPr="00E45053">
        <w:rPr>
          <w:rFonts w:cs="Arial"/>
          <w:snapToGrid w:val="0"/>
          <w:lang w:val="es-ES_tradnl" w:eastAsia="ja-JP"/>
        </w:rPr>
        <w:t>documento UPOV/INF/12/5.</w:t>
      </w:r>
    </w:p>
    <w:p w:rsidR="00753491" w:rsidRPr="00E45053" w:rsidRDefault="00753491" w:rsidP="00753491">
      <w:pPr>
        <w:rPr>
          <w:rFonts w:cs="Arial"/>
          <w:snapToGrid w:val="0"/>
          <w:lang w:val="es-ES_tradnl" w:eastAsia="ja-JP"/>
        </w:rPr>
      </w:pPr>
    </w:p>
    <w:p w:rsidR="00753491" w:rsidRPr="00E45053" w:rsidRDefault="00152836" w:rsidP="00753491">
      <w:pPr>
        <w:rPr>
          <w:rFonts w:cs="Arial"/>
          <w:snapToGrid w:val="0"/>
          <w:lang w:val="es-ES_tradnl"/>
        </w:rPr>
      </w:pPr>
      <w:r w:rsidRPr="00E45053">
        <w:rPr>
          <w:rFonts w:cs="Arial"/>
          <w:snapToGrid w:val="0"/>
          <w:lang w:val="es-ES_tradnl"/>
        </w:rPr>
        <w:fldChar w:fldCharType="begin"/>
      </w:r>
      <w:r w:rsidR="00753491" w:rsidRPr="00E45053">
        <w:rPr>
          <w:rFonts w:cs="Arial"/>
          <w:snapToGrid w:val="0"/>
          <w:lang w:val="es-ES_tradnl"/>
        </w:rPr>
        <w:instrText xml:space="preserve"> AUTONUM  </w:instrText>
      </w:r>
      <w:r w:rsidRPr="00E45053">
        <w:rPr>
          <w:rFonts w:cs="Arial"/>
          <w:snapToGrid w:val="0"/>
          <w:lang w:val="es-ES_tradnl"/>
        </w:rPr>
        <w:fldChar w:fldCharType="end"/>
      </w:r>
      <w:r w:rsidR="00753491" w:rsidRPr="00E45053">
        <w:rPr>
          <w:rFonts w:cs="Arial"/>
          <w:snapToGrid w:val="0"/>
          <w:lang w:val="es-ES_tradnl"/>
        </w:rPr>
        <w:tab/>
      </w:r>
      <w:r w:rsidR="005D69F9" w:rsidRPr="00E45053">
        <w:rPr>
          <w:rFonts w:cs="Arial"/>
          <w:snapToGrid w:val="0"/>
          <w:lang w:val="es-ES_tradnl"/>
        </w:rPr>
        <w:t>En el presente documento se utilizan las abreviaturas siguientes:</w:t>
      </w:r>
      <w:r w:rsidR="006B4D4F" w:rsidRPr="00E45053">
        <w:rPr>
          <w:rFonts w:cs="Arial"/>
          <w:snapToGrid w:val="0"/>
          <w:lang w:val="es-ES_tradnl"/>
        </w:rPr>
        <w:t xml:space="preserve">  </w:t>
      </w:r>
    </w:p>
    <w:p w:rsidR="00753491" w:rsidRPr="00E45053" w:rsidRDefault="00753491" w:rsidP="00753491">
      <w:pPr>
        <w:rPr>
          <w:rFonts w:cs="Arial"/>
          <w:snapToGrid w:val="0"/>
          <w:lang w:val="es-ES_tradnl"/>
        </w:rPr>
      </w:pPr>
    </w:p>
    <w:p w:rsidR="00753491" w:rsidRPr="00E45053" w:rsidRDefault="003B1F22" w:rsidP="00753491">
      <w:pPr>
        <w:tabs>
          <w:tab w:val="left" w:pos="1701"/>
        </w:tabs>
        <w:ind w:left="567"/>
        <w:rPr>
          <w:rFonts w:cs="Arial"/>
          <w:snapToGrid w:val="0"/>
          <w:lang w:val="es-ES_tradnl"/>
        </w:rPr>
      </w:pPr>
      <w:r w:rsidRPr="00E45053">
        <w:rPr>
          <w:rFonts w:cs="Arial"/>
          <w:snapToGrid w:val="0"/>
          <w:lang w:val="es-ES_tradnl"/>
        </w:rPr>
        <w:t>CAJ:</w:t>
      </w:r>
      <w:r w:rsidR="006B4D4F" w:rsidRPr="00E45053">
        <w:rPr>
          <w:rFonts w:cs="Arial"/>
          <w:snapToGrid w:val="0"/>
          <w:color w:val="000000"/>
          <w:lang w:val="es-ES_tradnl"/>
        </w:rPr>
        <w:t xml:space="preserve">  </w:t>
      </w:r>
      <w:r w:rsidR="00753491" w:rsidRPr="00E45053">
        <w:rPr>
          <w:rFonts w:cs="Arial"/>
          <w:snapToGrid w:val="0"/>
          <w:color w:val="000000"/>
          <w:lang w:val="es-ES_tradnl" w:eastAsia="ja-JP"/>
        </w:rPr>
        <w:tab/>
      </w:r>
      <w:r w:rsidRPr="00E45053">
        <w:rPr>
          <w:rFonts w:cs="Arial"/>
          <w:snapToGrid w:val="0"/>
          <w:lang w:val="es-ES_tradnl"/>
        </w:rPr>
        <w:t>Comité Administrativo y Jurídico</w:t>
      </w:r>
      <w:r w:rsidR="00753491" w:rsidRPr="00E45053">
        <w:rPr>
          <w:rFonts w:cs="Arial"/>
          <w:snapToGrid w:val="0"/>
          <w:color w:val="000000"/>
          <w:lang w:val="es-ES_tradnl"/>
        </w:rPr>
        <w:t xml:space="preserve"> </w:t>
      </w:r>
    </w:p>
    <w:p w:rsidR="00753491" w:rsidRPr="00E45053" w:rsidRDefault="003B1F22" w:rsidP="00753491">
      <w:pPr>
        <w:tabs>
          <w:tab w:val="left" w:pos="1701"/>
        </w:tabs>
        <w:ind w:left="567"/>
        <w:rPr>
          <w:rFonts w:cs="Arial"/>
          <w:snapToGrid w:val="0"/>
          <w:lang w:val="es-ES_tradnl"/>
        </w:rPr>
      </w:pPr>
      <w:r w:rsidRPr="00E45053">
        <w:rPr>
          <w:rFonts w:cs="Arial"/>
          <w:noProof/>
          <w:snapToGrid w:val="0"/>
          <w:lang w:val="es-ES_tradnl"/>
        </w:rPr>
        <w:t>CAJ</w:t>
      </w:r>
      <w:r w:rsidRPr="00E45053">
        <w:rPr>
          <w:rFonts w:cs="Arial"/>
          <w:noProof/>
          <w:snapToGrid w:val="0"/>
          <w:lang w:val="es-ES_tradnl"/>
        </w:rPr>
        <w:noBreakHyphen/>
        <w:t>AG</w:t>
      </w:r>
      <w:r w:rsidRPr="00E45053">
        <w:rPr>
          <w:rFonts w:cs="Arial"/>
          <w:snapToGrid w:val="0"/>
          <w:lang w:val="es-ES_tradnl"/>
        </w:rPr>
        <w:t>:</w:t>
      </w:r>
      <w:r w:rsidR="006B4D4F" w:rsidRPr="00E45053">
        <w:rPr>
          <w:rFonts w:cs="Arial"/>
          <w:snapToGrid w:val="0"/>
          <w:lang w:val="es-ES_tradnl"/>
        </w:rPr>
        <w:t xml:space="preserve">  </w:t>
      </w:r>
      <w:r w:rsidR="00753491" w:rsidRPr="00E45053">
        <w:rPr>
          <w:rFonts w:cs="Arial"/>
          <w:snapToGrid w:val="0"/>
          <w:lang w:val="es-ES_tradnl" w:eastAsia="ja-JP"/>
        </w:rPr>
        <w:tab/>
      </w:r>
      <w:r w:rsidRPr="00E45053">
        <w:rPr>
          <w:rFonts w:cs="Arial"/>
          <w:snapToGrid w:val="0"/>
          <w:lang w:val="es-ES_tradnl"/>
        </w:rPr>
        <w:t>Grupo Asesor del Comité Administrativo y Jurídico</w:t>
      </w:r>
      <w:r w:rsidR="00753491" w:rsidRPr="00E45053">
        <w:rPr>
          <w:rFonts w:cs="Arial"/>
          <w:snapToGrid w:val="0"/>
          <w:lang w:val="es-ES_tradnl"/>
        </w:rPr>
        <w:t xml:space="preserve"> </w:t>
      </w:r>
    </w:p>
    <w:p w:rsidR="00753491" w:rsidRPr="00E45053" w:rsidRDefault="003B1F22" w:rsidP="00753491">
      <w:pPr>
        <w:tabs>
          <w:tab w:val="left" w:pos="1701"/>
        </w:tabs>
        <w:ind w:left="567"/>
        <w:rPr>
          <w:rFonts w:cs="Arial"/>
          <w:snapToGrid w:val="0"/>
          <w:lang w:val="es-ES_tradnl"/>
        </w:rPr>
      </w:pPr>
      <w:r w:rsidRPr="00E45053">
        <w:rPr>
          <w:rFonts w:cs="Arial"/>
          <w:snapToGrid w:val="0"/>
          <w:lang w:val="es-ES_tradnl"/>
        </w:rPr>
        <w:t>TC:</w:t>
      </w:r>
      <w:r w:rsidR="006B4D4F" w:rsidRPr="00E45053">
        <w:rPr>
          <w:rFonts w:cs="Arial"/>
          <w:snapToGrid w:val="0"/>
          <w:lang w:val="es-ES_tradnl"/>
        </w:rPr>
        <w:t xml:space="preserve">  </w:t>
      </w:r>
      <w:r w:rsidR="00753491" w:rsidRPr="00E45053">
        <w:rPr>
          <w:rFonts w:cs="Arial"/>
          <w:snapToGrid w:val="0"/>
          <w:lang w:val="es-ES_tradnl" w:eastAsia="ja-JP"/>
        </w:rPr>
        <w:tab/>
      </w:r>
      <w:r w:rsidRPr="00E45053">
        <w:rPr>
          <w:rFonts w:cs="Arial"/>
          <w:snapToGrid w:val="0"/>
          <w:lang w:val="es-ES_tradnl"/>
        </w:rPr>
        <w:t>Comité Técnico</w:t>
      </w:r>
    </w:p>
    <w:p w:rsidR="00753491" w:rsidRPr="00E45053" w:rsidRDefault="003B1F22" w:rsidP="00B7302C">
      <w:pPr>
        <w:tabs>
          <w:tab w:val="left" w:pos="1701"/>
        </w:tabs>
        <w:ind w:left="1701" w:hanging="1134"/>
        <w:rPr>
          <w:snapToGrid w:val="0"/>
          <w:lang w:val="es-ES_tradnl" w:eastAsia="ja-JP"/>
        </w:rPr>
      </w:pPr>
      <w:r w:rsidRPr="00E45053">
        <w:rPr>
          <w:noProof/>
          <w:snapToGrid w:val="0"/>
          <w:lang w:val="es-ES_tradnl" w:eastAsia="ja-JP"/>
        </w:rPr>
        <w:t>WG</w:t>
      </w:r>
      <w:r w:rsidRPr="00E45053">
        <w:rPr>
          <w:noProof/>
          <w:snapToGrid w:val="0"/>
          <w:lang w:val="es-ES_tradnl" w:eastAsia="ja-JP"/>
        </w:rPr>
        <w:noBreakHyphen/>
        <w:t>DST</w:t>
      </w:r>
      <w:r w:rsidRPr="00E45053">
        <w:rPr>
          <w:snapToGrid w:val="0"/>
          <w:lang w:val="es-ES_tradnl" w:eastAsia="ja-JP"/>
        </w:rPr>
        <w:t>:</w:t>
      </w:r>
      <w:r w:rsidR="006B4D4F" w:rsidRPr="00E45053">
        <w:rPr>
          <w:snapToGrid w:val="0"/>
          <w:lang w:val="es-ES_tradnl" w:eastAsia="ja-JP"/>
        </w:rPr>
        <w:t xml:space="preserve">  </w:t>
      </w:r>
      <w:r w:rsidR="00753491" w:rsidRPr="00E45053">
        <w:rPr>
          <w:snapToGrid w:val="0"/>
          <w:lang w:val="es-ES_tradnl" w:eastAsia="ja-JP"/>
        </w:rPr>
        <w:tab/>
      </w:r>
      <w:r w:rsidR="00B7302C" w:rsidRPr="00E45053">
        <w:rPr>
          <w:snapToGrid w:val="0"/>
          <w:lang w:val="es-ES_tradnl" w:eastAsia="ja-JP"/>
        </w:rPr>
        <w:t>Grupo de Trabajo para la elaboración de un instrumento de la UPOV de búsqueda de</w:t>
      </w:r>
      <w:r w:rsidR="00B7302C" w:rsidRPr="00E45053">
        <w:rPr>
          <w:snapToGrid w:val="0"/>
          <w:lang w:val="es-ES_tradnl" w:eastAsia="ja-JP"/>
        </w:rPr>
        <w:t xml:space="preserve"> </w:t>
      </w:r>
      <w:r w:rsidR="00B7302C" w:rsidRPr="00E45053">
        <w:rPr>
          <w:snapToGrid w:val="0"/>
          <w:lang w:val="es-ES_tradnl" w:eastAsia="ja-JP"/>
        </w:rPr>
        <w:t>similitud a los fines de la denominación de variedades</w:t>
      </w:r>
      <w:r w:rsidR="00753491" w:rsidRPr="00E45053">
        <w:rPr>
          <w:snapToGrid w:val="0"/>
          <w:lang w:val="es-ES_tradnl" w:eastAsia="ja-JP"/>
        </w:rPr>
        <w:t xml:space="preserve"> </w:t>
      </w:r>
    </w:p>
    <w:p w:rsidR="00753491" w:rsidRPr="00E45053" w:rsidRDefault="003B1F22" w:rsidP="00753491">
      <w:pPr>
        <w:tabs>
          <w:tab w:val="left" w:pos="1701"/>
        </w:tabs>
        <w:ind w:left="567"/>
        <w:rPr>
          <w:snapToGrid w:val="0"/>
          <w:lang w:val="es-ES_tradnl" w:eastAsia="ja-JP"/>
        </w:rPr>
      </w:pPr>
      <w:r w:rsidRPr="00E45053">
        <w:rPr>
          <w:noProof/>
          <w:snapToGrid w:val="0"/>
          <w:lang w:val="es-ES_tradnl" w:eastAsia="ja-JP"/>
        </w:rPr>
        <w:t>WG</w:t>
      </w:r>
      <w:r w:rsidRPr="00E45053">
        <w:rPr>
          <w:noProof/>
          <w:snapToGrid w:val="0"/>
          <w:lang w:val="es-ES_tradnl" w:eastAsia="ja-JP"/>
        </w:rPr>
        <w:noBreakHyphen/>
        <w:t>DEN</w:t>
      </w:r>
      <w:r w:rsidRPr="00E45053">
        <w:rPr>
          <w:snapToGrid w:val="0"/>
          <w:lang w:val="es-ES_tradnl" w:eastAsia="ja-JP"/>
        </w:rPr>
        <w:t>:</w:t>
      </w:r>
      <w:r w:rsidR="006B4D4F" w:rsidRPr="00E45053">
        <w:rPr>
          <w:snapToGrid w:val="0"/>
          <w:lang w:val="es-ES_tradnl" w:eastAsia="ja-JP"/>
        </w:rPr>
        <w:t xml:space="preserve">  </w:t>
      </w:r>
      <w:r w:rsidR="00753491" w:rsidRPr="00E45053">
        <w:rPr>
          <w:snapToGrid w:val="0"/>
          <w:lang w:val="es-ES_tradnl" w:eastAsia="ja-JP"/>
        </w:rPr>
        <w:tab/>
      </w:r>
      <w:r w:rsidRPr="00E45053">
        <w:rPr>
          <w:lang w:val="es-ES_tradnl" w:eastAsia="ja-JP"/>
        </w:rPr>
        <w:t>Grupo de trabajo sobre denominaciones de variedades</w:t>
      </w:r>
    </w:p>
    <w:p w:rsidR="00753491" w:rsidRPr="00E45053" w:rsidRDefault="00753491" w:rsidP="00753491">
      <w:pPr>
        <w:tabs>
          <w:tab w:val="left" w:pos="1701"/>
        </w:tabs>
        <w:rPr>
          <w:lang w:val="es-ES_tradnl"/>
        </w:rPr>
      </w:pPr>
    </w:p>
    <w:p w:rsidR="00753491" w:rsidRPr="00E45053" w:rsidRDefault="00753491" w:rsidP="00753491">
      <w:pPr>
        <w:jc w:val="left"/>
        <w:rPr>
          <w:rFonts w:cs="Arial"/>
          <w:snapToGrid w:val="0"/>
          <w:lang w:val="es-ES_tradnl"/>
        </w:rPr>
      </w:pPr>
      <w:r w:rsidRPr="00E45053">
        <w:rPr>
          <w:rFonts w:cs="Arial"/>
          <w:snapToGrid w:val="0"/>
          <w:lang w:val="es-ES_tradnl"/>
        </w:rPr>
        <w:br w:type="page"/>
      </w:r>
    </w:p>
    <w:p w:rsidR="00753491" w:rsidRPr="00E45053" w:rsidRDefault="00152836" w:rsidP="00753491">
      <w:pPr>
        <w:rPr>
          <w:rFonts w:cs="Arial"/>
          <w:snapToGrid w:val="0"/>
          <w:lang w:val="es-ES_tradnl" w:eastAsia="ja-JP"/>
        </w:rPr>
      </w:pPr>
      <w:r w:rsidRPr="00E45053">
        <w:rPr>
          <w:rFonts w:cs="Arial"/>
          <w:snapToGrid w:val="0"/>
          <w:lang w:val="es-ES_tradnl"/>
        </w:rPr>
        <w:lastRenderedPageBreak/>
        <w:fldChar w:fldCharType="begin"/>
      </w:r>
      <w:r w:rsidR="00753491" w:rsidRPr="00E45053">
        <w:rPr>
          <w:rFonts w:cs="Arial"/>
          <w:snapToGrid w:val="0"/>
          <w:lang w:val="es-ES_tradnl"/>
        </w:rPr>
        <w:instrText xml:space="preserve"> AUTONUM  </w:instrText>
      </w:r>
      <w:r w:rsidRPr="00E45053">
        <w:rPr>
          <w:rFonts w:cs="Arial"/>
          <w:snapToGrid w:val="0"/>
          <w:lang w:val="es-ES_tradnl"/>
        </w:rPr>
        <w:fldChar w:fldCharType="end"/>
      </w:r>
      <w:r w:rsidR="00753491" w:rsidRPr="00E45053">
        <w:rPr>
          <w:rFonts w:cs="Arial"/>
          <w:snapToGrid w:val="0"/>
          <w:lang w:val="es-ES_tradnl"/>
        </w:rPr>
        <w:tab/>
      </w:r>
      <w:r w:rsidR="003B1F22" w:rsidRPr="00E45053">
        <w:rPr>
          <w:rFonts w:cs="Arial"/>
          <w:snapToGrid w:val="0"/>
          <w:lang w:val="es-ES_tradnl" w:eastAsia="ja-JP"/>
        </w:rPr>
        <w:t>El presente documento se estructura del modo siguiente:</w:t>
      </w:r>
      <w:r w:rsidR="006B4D4F" w:rsidRPr="00E45053">
        <w:rPr>
          <w:rFonts w:cs="Arial"/>
          <w:snapToGrid w:val="0"/>
          <w:lang w:val="es-ES_tradnl" w:eastAsia="ja-JP"/>
        </w:rPr>
        <w:t xml:space="preserve">  </w:t>
      </w:r>
    </w:p>
    <w:p w:rsidR="00753491" w:rsidRPr="00E45053" w:rsidRDefault="00753491" w:rsidP="00753491">
      <w:pPr>
        <w:rPr>
          <w:rFonts w:cs="Arial"/>
          <w:snapToGrid w:val="0"/>
          <w:lang w:val="es-ES_tradnl" w:eastAsia="ja-JP"/>
        </w:rPr>
      </w:pPr>
    </w:p>
    <w:bookmarkStart w:id="5" w:name="_GoBack"/>
    <w:bookmarkEnd w:id="5"/>
    <w:p w:rsidR="00863477" w:rsidRDefault="00152836">
      <w:pPr>
        <w:pStyle w:val="TOC1"/>
        <w:rPr>
          <w:rFonts w:asciiTheme="minorHAnsi" w:eastAsiaTheme="minorEastAsia" w:hAnsiTheme="minorHAnsi" w:cstheme="minorBidi"/>
          <w:caps w:val="0"/>
          <w:sz w:val="22"/>
          <w:szCs w:val="22"/>
          <w:lang w:val="en-US" w:eastAsia="en-US"/>
        </w:rPr>
      </w:pPr>
      <w:r w:rsidRPr="00E45053">
        <w:rPr>
          <w:rFonts w:cs="Arial"/>
          <w:bCs/>
          <w:snapToGrid w:val="0"/>
        </w:rPr>
        <w:fldChar w:fldCharType="begin"/>
      </w:r>
      <w:r w:rsidR="00753491" w:rsidRPr="00E45053">
        <w:rPr>
          <w:rFonts w:cs="Arial"/>
          <w:snapToGrid w:val="0"/>
        </w:rPr>
        <w:instrText xml:space="preserve"> TOC \o "1-3" \h \z \u </w:instrText>
      </w:r>
      <w:r w:rsidRPr="00E45053">
        <w:rPr>
          <w:rFonts w:cs="Arial"/>
          <w:bCs/>
          <w:snapToGrid w:val="0"/>
        </w:rPr>
        <w:fldChar w:fldCharType="separate"/>
      </w:r>
      <w:hyperlink w:anchor="_Toc443496594" w:history="1">
        <w:r w:rsidR="00863477" w:rsidRPr="00EF34DB">
          <w:rPr>
            <w:rStyle w:val="Hyperlink"/>
          </w:rPr>
          <w:t>RESUMEN</w:t>
        </w:r>
        <w:r w:rsidR="00863477">
          <w:rPr>
            <w:webHidden/>
          </w:rPr>
          <w:tab/>
        </w:r>
        <w:r w:rsidR="00863477">
          <w:rPr>
            <w:webHidden/>
          </w:rPr>
          <w:fldChar w:fldCharType="begin"/>
        </w:r>
        <w:r w:rsidR="00863477">
          <w:rPr>
            <w:webHidden/>
          </w:rPr>
          <w:instrText xml:space="preserve"> PAGEREF _Toc443496594 \h </w:instrText>
        </w:r>
        <w:r w:rsidR="00863477">
          <w:rPr>
            <w:webHidden/>
          </w:rPr>
        </w:r>
        <w:r w:rsidR="00863477">
          <w:rPr>
            <w:webHidden/>
          </w:rPr>
          <w:fldChar w:fldCharType="separate"/>
        </w:r>
        <w:r w:rsidR="0006664E">
          <w:rPr>
            <w:webHidden/>
          </w:rPr>
          <w:t>1</w:t>
        </w:r>
        <w:r w:rsidR="00863477">
          <w:rPr>
            <w:webHidden/>
          </w:rPr>
          <w:fldChar w:fldCharType="end"/>
        </w:r>
      </w:hyperlink>
    </w:p>
    <w:p w:rsidR="00863477" w:rsidRDefault="00863477">
      <w:pPr>
        <w:pStyle w:val="TOC1"/>
        <w:rPr>
          <w:rFonts w:asciiTheme="minorHAnsi" w:eastAsiaTheme="minorEastAsia" w:hAnsiTheme="minorHAnsi" w:cstheme="minorBidi"/>
          <w:caps w:val="0"/>
          <w:sz w:val="22"/>
          <w:szCs w:val="22"/>
          <w:lang w:val="en-US" w:eastAsia="en-US"/>
        </w:rPr>
      </w:pPr>
      <w:hyperlink w:anchor="_Toc443496595" w:history="1">
        <w:r w:rsidRPr="00EF34DB">
          <w:rPr>
            <w:rStyle w:val="Hyperlink"/>
            <w:snapToGrid w:val="0"/>
          </w:rPr>
          <w:t>Posible elaboración de un instrumento de la UPOV de búsqueda de similITUD a los fines de la denominación de variedades</w:t>
        </w:r>
        <w:r>
          <w:rPr>
            <w:webHidden/>
          </w:rPr>
          <w:tab/>
        </w:r>
        <w:r>
          <w:rPr>
            <w:webHidden/>
          </w:rPr>
          <w:fldChar w:fldCharType="begin"/>
        </w:r>
        <w:r>
          <w:rPr>
            <w:webHidden/>
          </w:rPr>
          <w:instrText xml:space="preserve"> PAGEREF _Toc443496595 \h </w:instrText>
        </w:r>
        <w:r>
          <w:rPr>
            <w:webHidden/>
          </w:rPr>
        </w:r>
        <w:r>
          <w:rPr>
            <w:webHidden/>
          </w:rPr>
          <w:fldChar w:fldCharType="separate"/>
        </w:r>
        <w:r w:rsidR="0006664E">
          <w:rPr>
            <w:webHidden/>
          </w:rPr>
          <w:t>2</w:t>
        </w:r>
        <w:r>
          <w:rPr>
            <w:webHidden/>
          </w:rPr>
          <w:fldChar w:fldCharType="end"/>
        </w:r>
      </w:hyperlink>
    </w:p>
    <w:p w:rsidR="00863477" w:rsidRDefault="00863477">
      <w:pPr>
        <w:pStyle w:val="TOC1"/>
        <w:rPr>
          <w:rFonts w:asciiTheme="minorHAnsi" w:eastAsiaTheme="minorEastAsia" w:hAnsiTheme="minorHAnsi" w:cstheme="minorBidi"/>
          <w:caps w:val="0"/>
          <w:sz w:val="22"/>
          <w:szCs w:val="22"/>
          <w:lang w:val="en-US" w:eastAsia="en-US"/>
        </w:rPr>
      </w:pPr>
      <w:hyperlink w:anchor="_Toc443496596" w:history="1">
        <w:r w:rsidRPr="00EF34DB">
          <w:rPr>
            <w:rStyle w:val="Hyperlink"/>
            <w:snapToGrid w:val="0"/>
          </w:rPr>
          <w:t>Eventual revisión del documento UPOV/INF/12 “Notas explicativas sobre las denominaciones de variedades con arreglo al Convenio de la UPOV”</w:t>
        </w:r>
        <w:r>
          <w:rPr>
            <w:webHidden/>
          </w:rPr>
          <w:tab/>
        </w:r>
        <w:r>
          <w:rPr>
            <w:webHidden/>
          </w:rPr>
          <w:fldChar w:fldCharType="begin"/>
        </w:r>
        <w:r>
          <w:rPr>
            <w:webHidden/>
          </w:rPr>
          <w:instrText xml:space="preserve"> PAGEREF _Toc443496596 \h </w:instrText>
        </w:r>
        <w:r>
          <w:rPr>
            <w:webHidden/>
          </w:rPr>
        </w:r>
        <w:r>
          <w:rPr>
            <w:webHidden/>
          </w:rPr>
          <w:fldChar w:fldCharType="separate"/>
        </w:r>
        <w:r w:rsidR="0006664E">
          <w:rPr>
            <w:webHidden/>
          </w:rPr>
          <w:t>3</w:t>
        </w:r>
        <w:r>
          <w:rPr>
            <w:webHidden/>
          </w:rPr>
          <w:fldChar w:fldCharType="end"/>
        </w:r>
      </w:hyperlink>
    </w:p>
    <w:p w:rsidR="00863477" w:rsidRDefault="00863477">
      <w:pPr>
        <w:pStyle w:val="TOC2"/>
        <w:rPr>
          <w:rFonts w:asciiTheme="minorHAnsi" w:eastAsiaTheme="minorEastAsia" w:hAnsiTheme="minorHAnsi" w:cstheme="minorBidi"/>
          <w:i w:val="0"/>
          <w:noProof/>
          <w:sz w:val="22"/>
          <w:szCs w:val="22"/>
        </w:rPr>
      </w:pPr>
      <w:hyperlink w:anchor="_Toc443496597" w:history="1">
        <w:r w:rsidRPr="00EF34DB">
          <w:rPr>
            <w:rStyle w:val="Hyperlink"/>
            <w:noProof/>
            <w:lang w:val="es-ES_tradnl"/>
          </w:rPr>
          <w:t>Orientaciones relativas a los cambios de la denominación de variedades registradas</w:t>
        </w:r>
        <w:r>
          <w:rPr>
            <w:noProof/>
            <w:webHidden/>
          </w:rPr>
          <w:tab/>
        </w:r>
        <w:r>
          <w:rPr>
            <w:noProof/>
            <w:webHidden/>
          </w:rPr>
          <w:fldChar w:fldCharType="begin"/>
        </w:r>
        <w:r>
          <w:rPr>
            <w:noProof/>
            <w:webHidden/>
          </w:rPr>
          <w:instrText xml:space="preserve"> PAGEREF _Toc443496597 \h </w:instrText>
        </w:r>
        <w:r>
          <w:rPr>
            <w:noProof/>
            <w:webHidden/>
          </w:rPr>
        </w:r>
        <w:r>
          <w:rPr>
            <w:noProof/>
            <w:webHidden/>
          </w:rPr>
          <w:fldChar w:fldCharType="separate"/>
        </w:r>
        <w:r w:rsidR="0006664E">
          <w:rPr>
            <w:noProof/>
            <w:webHidden/>
          </w:rPr>
          <w:t>3</w:t>
        </w:r>
        <w:r>
          <w:rPr>
            <w:noProof/>
            <w:webHidden/>
          </w:rPr>
          <w:fldChar w:fldCharType="end"/>
        </w:r>
      </w:hyperlink>
    </w:p>
    <w:p w:rsidR="00863477" w:rsidRDefault="00863477">
      <w:pPr>
        <w:pStyle w:val="TOC2"/>
        <w:rPr>
          <w:rFonts w:asciiTheme="minorHAnsi" w:eastAsiaTheme="minorEastAsia" w:hAnsiTheme="minorHAnsi" w:cstheme="minorBidi"/>
          <w:i w:val="0"/>
          <w:noProof/>
          <w:sz w:val="22"/>
          <w:szCs w:val="22"/>
        </w:rPr>
      </w:pPr>
      <w:hyperlink w:anchor="_Toc443496598" w:history="1">
        <w:r w:rsidRPr="00EF34DB">
          <w:rPr>
            <w:rStyle w:val="Hyperlink"/>
            <w:noProof/>
            <w:lang w:val="es-ES_tradnl"/>
          </w:rPr>
          <w:t>Otras secciones</w:t>
        </w:r>
        <w:r>
          <w:rPr>
            <w:noProof/>
            <w:webHidden/>
          </w:rPr>
          <w:tab/>
        </w:r>
        <w:r>
          <w:rPr>
            <w:noProof/>
            <w:webHidden/>
          </w:rPr>
          <w:fldChar w:fldCharType="begin"/>
        </w:r>
        <w:r>
          <w:rPr>
            <w:noProof/>
            <w:webHidden/>
          </w:rPr>
          <w:instrText xml:space="preserve"> PAGEREF _Toc443496598 \h </w:instrText>
        </w:r>
        <w:r>
          <w:rPr>
            <w:noProof/>
            <w:webHidden/>
          </w:rPr>
        </w:r>
        <w:r>
          <w:rPr>
            <w:noProof/>
            <w:webHidden/>
          </w:rPr>
          <w:fldChar w:fldCharType="separate"/>
        </w:r>
        <w:r w:rsidR="0006664E">
          <w:rPr>
            <w:noProof/>
            <w:webHidden/>
          </w:rPr>
          <w:t>3</w:t>
        </w:r>
        <w:r>
          <w:rPr>
            <w:noProof/>
            <w:webHidden/>
          </w:rPr>
          <w:fldChar w:fldCharType="end"/>
        </w:r>
      </w:hyperlink>
    </w:p>
    <w:p w:rsidR="00863477" w:rsidRDefault="00863477">
      <w:pPr>
        <w:pStyle w:val="TOC2"/>
        <w:rPr>
          <w:rFonts w:asciiTheme="minorHAnsi" w:eastAsiaTheme="minorEastAsia" w:hAnsiTheme="minorHAnsi" w:cstheme="minorBidi"/>
          <w:i w:val="0"/>
          <w:noProof/>
          <w:sz w:val="22"/>
          <w:szCs w:val="22"/>
        </w:rPr>
      </w:pPr>
      <w:hyperlink w:anchor="_Toc443496599" w:history="1">
        <w:r w:rsidRPr="00EF34DB">
          <w:rPr>
            <w:rStyle w:val="Hyperlink"/>
            <w:noProof/>
            <w:lang w:val="es-ES_tradnl"/>
          </w:rPr>
          <w:t>Ponencia de la Argentina</w:t>
        </w:r>
        <w:r>
          <w:rPr>
            <w:noProof/>
            <w:webHidden/>
          </w:rPr>
          <w:tab/>
        </w:r>
        <w:r>
          <w:rPr>
            <w:noProof/>
            <w:webHidden/>
          </w:rPr>
          <w:fldChar w:fldCharType="begin"/>
        </w:r>
        <w:r>
          <w:rPr>
            <w:noProof/>
            <w:webHidden/>
          </w:rPr>
          <w:instrText xml:space="preserve"> PAGEREF _Toc443496599 \h </w:instrText>
        </w:r>
        <w:r>
          <w:rPr>
            <w:noProof/>
            <w:webHidden/>
          </w:rPr>
        </w:r>
        <w:r>
          <w:rPr>
            <w:noProof/>
            <w:webHidden/>
          </w:rPr>
          <w:fldChar w:fldCharType="separate"/>
        </w:r>
        <w:r w:rsidR="0006664E">
          <w:rPr>
            <w:noProof/>
            <w:webHidden/>
          </w:rPr>
          <w:t>5</w:t>
        </w:r>
        <w:r>
          <w:rPr>
            <w:noProof/>
            <w:webHidden/>
          </w:rPr>
          <w:fldChar w:fldCharType="end"/>
        </w:r>
      </w:hyperlink>
    </w:p>
    <w:p w:rsidR="00863477" w:rsidRDefault="00863477">
      <w:pPr>
        <w:pStyle w:val="TOC2"/>
        <w:rPr>
          <w:rFonts w:asciiTheme="minorHAnsi" w:eastAsiaTheme="minorEastAsia" w:hAnsiTheme="minorHAnsi" w:cstheme="minorBidi"/>
          <w:i w:val="0"/>
          <w:noProof/>
          <w:sz w:val="22"/>
          <w:szCs w:val="22"/>
        </w:rPr>
      </w:pPr>
      <w:hyperlink w:anchor="_Toc443496600" w:history="1">
        <w:r w:rsidRPr="00EF34DB">
          <w:rPr>
            <w:rStyle w:val="Hyperlink"/>
            <w:noProof/>
            <w:lang w:val="es-ES_tradnl"/>
          </w:rPr>
          <w:t>Próximos pasos</w:t>
        </w:r>
        <w:r>
          <w:rPr>
            <w:noProof/>
            <w:webHidden/>
          </w:rPr>
          <w:tab/>
        </w:r>
        <w:r>
          <w:rPr>
            <w:noProof/>
            <w:webHidden/>
          </w:rPr>
          <w:fldChar w:fldCharType="begin"/>
        </w:r>
        <w:r>
          <w:rPr>
            <w:noProof/>
            <w:webHidden/>
          </w:rPr>
          <w:instrText xml:space="preserve"> PAGEREF _Toc443496600 \h </w:instrText>
        </w:r>
        <w:r>
          <w:rPr>
            <w:noProof/>
            <w:webHidden/>
          </w:rPr>
        </w:r>
        <w:r>
          <w:rPr>
            <w:noProof/>
            <w:webHidden/>
          </w:rPr>
          <w:fldChar w:fldCharType="separate"/>
        </w:r>
        <w:r w:rsidR="0006664E">
          <w:rPr>
            <w:noProof/>
            <w:webHidden/>
          </w:rPr>
          <w:t>5</w:t>
        </w:r>
        <w:r>
          <w:rPr>
            <w:noProof/>
            <w:webHidden/>
          </w:rPr>
          <w:fldChar w:fldCharType="end"/>
        </w:r>
      </w:hyperlink>
    </w:p>
    <w:p w:rsidR="00753491" w:rsidRPr="00E45053" w:rsidRDefault="00152836" w:rsidP="00D769FF">
      <w:pPr>
        <w:jc w:val="left"/>
        <w:rPr>
          <w:rFonts w:cs="Arial"/>
          <w:snapToGrid w:val="0"/>
          <w:lang w:val="es-ES_tradnl" w:eastAsia="ja-JP"/>
        </w:rPr>
      </w:pPr>
      <w:r w:rsidRPr="00E45053">
        <w:rPr>
          <w:rFonts w:cs="Arial"/>
          <w:snapToGrid w:val="0"/>
          <w:lang w:val="es-ES_tradnl"/>
        </w:rPr>
        <w:fldChar w:fldCharType="end"/>
      </w:r>
    </w:p>
    <w:p w:rsidR="00753491" w:rsidRPr="00E45053" w:rsidRDefault="00753491" w:rsidP="00753491">
      <w:pPr>
        <w:rPr>
          <w:rFonts w:cs="Arial"/>
          <w:snapToGrid w:val="0"/>
          <w:lang w:val="es-ES_tradnl" w:eastAsia="ja-JP"/>
        </w:rPr>
      </w:pPr>
    </w:p>
    <w:p w:rsidR="00753491" w:rsidRPr="00E45053" w:rsidRDefault="003B1F22" w:rsidP="00753491">
      <w:pPr>
        <w:pStyle w:val="Heading1"/>
        <w:rPr>
          <w:snapToGrid w:val="0"/>
          <w:lang w:val="es-ES_tradnl"/>
        </w:rPr>
      </w:pPr>
      <w:bookmarkStart w:id="6" w:name="_Toc443496595"/>
      <w:r w:rsidRPr="00E45053">
        <w:rPr>
          <w:snapToGrid w:val="0"/>
          <w:lang w:val="es-ES_tradnl"/>
        </w:rPr>
        <w:t>Posible elaboración de un instrumento de la UPOV de búsqueda de similITUD a los fines de la denominación de variedades</w:t>
      </w:r>
      <w:bookmarkEnd w:id="6"/>
    </w:p>
    <w:p w:rsidR="00753491" w:rsidRPr="00E45053" w:rsidRDefault="00753491" w:rsidP="00753491">
      <w:pPr>
        <w:rPr>
          <w:rFonts w:cs="Arial"/>
          <w:snapToGrid w:val="0"/>
          <w:lang w:val="es-ES_tradnl"/>
        </w:rPr>
      </w:pPr>
    </w:p>
    <w:p w:rsidR="00753491" w:rsidRPr="00E45053" w:rsidRDefault="00152836" w:rsidP="00753491">
      <w:pPr>
        <w:rPr>
          <w:szCs w:val="24"/>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3B1F22" w:rsidRPr="00E45053">
        <w:rPr>
          <w:szCs w:val="24"/>
          <w:lang w:val="es-ES_tradnl"/>
        </w:rPr>
        <w:t>Los antecedentes de esta cuestión figuran en el documento TC/51/12 “Denominaciones de variedades”.</w:t>
      </w:r>
    </w:p>
    <w:p w:rsidR="00753491" w:rsidRPr="00E45053" w:rsidRDefault="00753491" w:rsidP="00753491">
      <w:pPr>
        <w:rPr>
          <w:szCs w:val="24"/>
          <w:lang w:val="es-ES_tradnl" w:eastAsia="ja-JP"/>
        </w:rPr>
      </w:pPr>
    </w:p>
    <w:p w:rsidR="00753491" w:rsidRPr="00E45053" w:rsidRDefault="00152836" w:rsidP="00753491">
      <w:pPr>
        <w:rPr>
          <w:szCs w:val="24"/>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3B1F22" w:rsidRPr="00E45053">
        <w:rPr>
          <w:szCs w:val="24"/>
          <w:lang w:val="es-ES_tradnl" w:eastAsia="ja-JP"/>
        </w:rPr>
        <w:t>En su quincuagésima primera sesión</w:t>
      </w:r>
      <w:r w:rsidR="00DD7B53" w:rsidRPr="00E45053">
        <w:rPr>
          <w:szCs w:val="24"/>
          <w:lang w:val="es-ES_tradnl" w:eastAsia="ja-JP"/>
        </w:rPr>
        <w:t xml:space="preserve">, </w:t>
      </w:r>
      <w:r w:rsidR="003B1F22" w:rsidRPr="00E45053">
        <w:rPr>
          <w:szCs w:val="24"/>
          <w:lang w:val="es-ES_tradnl" w:eastAsia="ja-JP"/>
        </w:rPr>
        <w:t>celebrada en Ginebra del</w:t>
      </w:r>
      <w:r w:rsidR="00DD7B53" w:rsidRPr="00E45053">
        <w:rPr>
          <w:szCs w:val="24"/>
          <w:lang w:val="es-ES_tradnl" w:eastAsia="ja-JP"/>
        </w:rPr>
        <w:t> 2</w:t>
      </w:r>
      <w:r w:rsidR="003B1F22" w:rsidRPr="00E45053">
        <w:rPr>
          <w:szCs w:val="24"/>
          <w:lang w:val="es-ES_tradnl" w:eastAsia="ja-JP"/>
        </w:rPr>
        <w:t>3 al</w:t>
      </w:r>
      <w:r w:rsidR="00DD7B53" w:rsidRPr="00E45053">
        <w:rPr>
          <w:szCs w:val="24"/>
          <w:lang w:val="es-ES_tradnl" w:eastAsia="ja-JP"/>
        </w:rPr>
        <w:t> 2</w:t>
      </w:r>
      <w:r w:rsidR="003B1F22" w:rsidRPr="00E45053">
        <w:rPr>
          <w:szCs w:val="24"/>
          <w:lang w:val="es-ES_tradnl" w:eastAsia="ja-JP"/>
        </w:rPr>
        <w:t>5 de marzo de</w:t>
      </w:r>
      <w:r w:rsidR="00DD7B53" w:rsidRPr="00E45053">
        <w:rPr>
          <w:szCs w:val="24"/>
          <w:lang w:val="es-ES_tradnl" w:eastAsia="ja-JP"/>
        </w:rPr>
        <w:t> 2</w:t>
      </w:r>
      <w:r w:rsidR="003B1F22" w:rsidRPr="00E45053">
        <w:rPr>
          <w:szCs w:val="24"/>
          <w:lang w:val="es-ES_tradnl" w:eastAsia="ja-JP"/>
        </w:rPr>
        <w:t>015</w:t>
      </w:r>
      <w:r w:rsidR="00DD7B53" w:rsidRPr="00E45053">
        <w:rPr>
          <w:szCs w:val="24"/>
          <w:lang w:val="es-ES_tradnl" w:eastAsia="ja-JP"/>
        </w:rPr>
        <w:t xml:space="preserve">, </w:t>
      </w:r>
      <w:r w:rsidR="003B1F22" w:rsidRPr="00E45053">
        <w:rPr>
          <w:szCs w:val="24"/>
          <w:lang w:val="es-ES_tradnl" w:eastAsia="ja-JP"/>
        </w:rPr>
        <w:t xml:space="preserve">el TC tomó nota de la labor del </w:t>
      </w:r>
      <w:r w:rsidR="003B1F22" w:rsidRPr="00E45053">
        <w:rPr>
          <w:noProof/>
          <w:szCs w:val="24"/>
          <w:lang w:val="es-ES_tradnl" w:eastAsia="ja-JP"/>
        </w:rPr>
        <w:t>WG</w:t>
      </w:r>
      <w:r w:rsidR="003B1F22" w:rsidRPr="00E45053">
        <w:rPr>
          <w:noProof/>
          <w:szCs w:val="24"/>
          <w:lang w:val="es-ES_tradnl" w:eastAsia="ja-JP"/>
        </w:rPr>
        <w:noBreakHyphen/>
        <w:t>DST</w:t>
      </w:r>
      <w:r w:rsidR="003B1F22" w:rsidRPr="00E45053">
        <w:rPr>
          <w:szCs w:val="24"/>
          <w:lang w:val="es-ES_tradnl" w:eastAsia="ja-JP"/>
        </w:rPr>
        <w:t xml:space="preserve"> sobre la posible elaboración de un instrumento de la UPOV de búsqueda de similitud a los fines de la denominación de variedades</w:t>
      </w:r>
      <w:r w:rsidR="00DD7B53" w:rsidRPr="00E45053">
        <w:rPr>
          <w:szCs w:val="24"/>
          <w:lang w:val="es-ES_tradnl" w:eastAsia="ja-JP"/>
        </w:rPr>
        <w:t xml:space="preserve">, </w:t>
      </w:r>
      <w:r w:rsidR="003B1F22" w:rsidRPr="00E45053">
        <w:rPr>
          <w:szCs w:val="24"/>
          <w:lang w:val="es-ES_tradnl" w:eastAsia="ja-JP"/>
        </w:rPr>
        <w:t>incluido el estudio de prueba</w:t>
      </w:r>
      <w:r w:rsidR="00DD7B53" w:rsidRPr="00E45053">
        <w:rPr>
          <w:szCs w:val="24"/>
          <w:lang w:val="es-ES_tradnl" w:eastAsia="ja-JP"/>
        </w:rPr>
        <w:t xml:space="preserve">, </w:t>
      </w:r>
      <w:r w:rsidR="003B1F22" w:rsidRPr="00E45053">
        <w:rPr>
          <w:szCs w:val="24"/>
          <w:lang w:val="es-ES_tradnl" w:eastAsia="ja-JP"/>
        </w:rPr>
        <w:t>tal como se expone en los párrafos</w:t>
      </w:r>
      <w:r w:rsidR="00DD7B53" w:rsidRPr="00E45053">
        <w:rPr>
          <w:szCs w:val="24"/>
          <w:lang w:val="es-ES_tradnl" w:eastAsia="ja-JP"/>
        </w:rPr>
        <w:t> 4</w:t>
      </w:r>
      <w:r w:rsidR="003B1F22" w:rsidRPr="00E45053">
        <w:rPr>
          <w:szCs w:val="24"/>
          <w:lang w:val="es-ES_tradnl" w:eastAsia="ja-JP"/>
        </w:rPr>
        <w:t xml:space="preserve"> a</w:t>
      </w:r>
      <w:r w:rsidR="00DD7B53" w:rsidRPr="00E45053">
        <w:rPr>
          <w:szCs w:val="24"/>
          <w:lang w:val="es-ES_tradnl" w:eastAsia="ja-JP"/>
        </w:rPr>
        <w:t> 1</w:t>
      </w:r>
      <w:r w:rsidR="003B1F22" w:rsidRPr="00E45053">
        <w:rPr>
          <w:szCs w:val="24"/>
          <w:lang w:val="es-ES_tradnl" w:eastAsia="ja-JP"/>
        </w:rPr>
        <w:t>5 del documento TC/51/12.</w:t>
      </w:r>
      <w:r w:rsidR="00753491" w:rsidRPr="00E45053">
        <w:rPr>
          <w:szCs w:val="24"/>
          <w:lang w:val="es-ES_tradnl" w:eastAsia="ja-JP"/>
        </w:rPr>
        <w:t xml:space="preserve">  </w:t>
      </w:r>
      <w:r w:rsidR="007711DA" w:rsidRPr="00E45053">
        <w:rPr>
          <w:szCs w:val="24"/>
          <w:lang w:val="es-ES_tradnl" w:eastAsia="ja-JP"/>
        </w:rPr>
        <w:t xml:space="preserve">El TC tomó nota asimismo de que el resultado del estudio de prueba se comunicará en la segunda reunión del </w:t>
      </w:r>
      <w:r w:rsidR="007711DA" w:rsidRPr="00E45053">
        <w:rPr>
          <w:noProof/>
          <w:szCs w:val="24"/>
          <w:lang w:val="es-ES_tradnl" w:eastAsia="ja-JP"/>
        </w:rPr>
        <w:t>WG</w:t>
      </w:r>
      <w:r w:rsidR="007711DA" w:rsidRPr="00E45053">
        <w:rPr>
          <w:noProof/>
          <w:szCs w:val="24"/>
          <w:lang w:val="es-ES_tradnl" w:eastAsia="ja-JP"/>
        </w:rPr>
        <w:noBreakHyphen/>
        <w:t>DST</w:t>
      </w:r>
      <w:r w:rsidR="007711DA" w:rsidRPr="00E45053">
        <w:rPr>
          <w:szCs w:val="24"/>
          <w:lang w:val="es-ES_tradnl" w:eastAsia="ja-JP"/>
        </w:rPr>
        <w:t xml:space="preserve"> y de que se describirá y documentará el instrumento de búsqueda más eficaz </w:t>
      </w:r>
      <w:r w:rsidR="007711DA" w:rsidRPr="00E45053">
        <w:rPr>
          <w:lang w:val="es-ES_tradnl" w:eastAsia="ja-JP"/>
        </w:rPr>
        <w:t>(véase el párrafo</w:t>
      </w:r>
      <w:r w:rsidR="00DD7B53" w:rsidRPr="00E45053">
        <w:rPr>
          <w:lang w:val="es-ES_tradnl" w:eastAsia="ja-JP"/>
        </w:rPr>
        <w:t> 1</w:t>
      </w:r>
      <w:r w:rsidR="007711DA" w:rsidRPr="00E45053">
        <w:rPr>
          <w:lang w:val="es-ES_tradnl" w:eastAsia="ja-JP"/>
        </w:rPr>
        <w:t>83 del documento TC/51/39 “Informe</w:t>
      </w:r>
      <w:r w:rsidR="007711DA" w:rsidRPr="00E45053">
        <w:rPr>
          <w:szCs w:val="24"/>
          <w:lang w:val="es-ES_tradnl" w:eastAsia="ja-JP"/>
        </w:rPr>
        <w:t>”</w:t>
      </w:r>
      <w:r w:rsidR="007711DA" w:rsidRPr="00E45053">
        <w:rPr>
          <w:lang w:val="es-ES_tradnl" w:eastAsia="ja-JP"/>
        </w:rPr>
        <w:t>)</w:t>
      </w:r>
      <w:r w:rsidR="007711DA" w:rsidRPr="00E45053">
        <w:rPr>
          <w:szCs w:val="24"/>
          <w:lang w:val="es-ES_tradnl" w:eastAsia="ja-JP"/>
        </w:rPr>
        <w:t>.</w:t>
      </w:r>
    </w:p>
    <w:p w:rsidR="00753491" w:rsidRPr="00E45053" w:rsidRDefault="00753491" w:rsidP="00753491">
      <w:pPr>
        <w:rPr>
          <w:szCs w:val="24"/>
          <w:lang w:val="es-ES_tradnl" w:eastAsia="ja-JP"/>
        </w:rPr>
      </w:pPr>
    </w:p>
    <w:p w:rsidR="00753491" w:rsidRPr="00E45053" w:rsidRDefault="00152836" w:rsidP="00753491">
      <w:pPr>
        <w:rPr>
          <w:szCs w:val="24"/>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7711DA" w:rsidRPr="00E45053">
        <w:rPr>
          <w:szCs w:val="24"/>
          <w:lang w:val="es-ES_tradnl" w:eastAsia="ja-JP"/>
        </w:rPr>
        <w:t>En su septuagésima primera sesión</w:t>
      </w:r>
      <w:r w:rsidR="00DD7B53" w:rsidRPr="00E45053">
        <w:rPr>
          <w:szCs w:val="24"/>
          <w:lang w:val="es-ES_tradnl" w:eastAsia="ja-JP"/>
        </w:rPr>
        <w:t xml:space="preserve">, </w:t>
      </w:r>
      <w:r w:rsidR="007711DA" w:rsidRPr="00E45053">
        <w:rPr>
          <w:szCs w:val="24"/>
          <w:lang w:val="es-ES_tradnl" w:eastAsia="ja-JP"/>
        </w:rPr>
        <w:t>celebrada en Ginebra el</w:t>
      </w:r>
      <w:r w:rsidR="00DD7B53" w:rsidRPr="00E45053">
        <w:rPr>
          <w:szCs w:val="24"/>
          <w:lang w:val="es-ES_tradnl" w:eastAsia="ja-JP"/>
        </w:rPr>
        <w:t> 2</w:t>
      </w:r>
      <w:r w:rsidR="007711DA" w:rsidRPr="00E45053">
        <w:rPr>
          <w:szCs w:val="24"/>
          <w:lang w:val="es-ES_tradnl" w:eastAsia="ja-JP"/>
        </w:rPr>
        <w:t>6 de marzo de</w:t>
      </w:r>
      <w:r w:rsidR="00DD7B53" w:rsidRPr="00E45053">
        <w:rPr>
          <w:szCs w:val="24"/>
          <w:lang w:val="es-ES_tradnl" w:eastAsia="ja-JP"/>
        </w:rPr>
        <w:t> 2</w:t>
      </w:r>
      <w:r w:rsidR="007711DA" w:rsidRPr="00E45053">
        <w:rPr>
          <w:szCs w:val="24"/>
          <w:lang w:val="es-ES_tradnl" w:eastAsia="ja-JP"/>
        </w:rPr>
        <w:t>015</w:t>
      </w:r>
      <w:r w:rsidR="00DD7B53" w:rsidRPr="00E45053">
        <w:rPr>
          <w:szCs w:val="24"/>
          <w:lang w:val="es-ES_tradnl" w:eastAsia="ja-JP"/>
        </w:rPr>
        <w:t xml:space="preserve">, </w:t>
      </w:r>
      <w:r w:rsidR="007711DA" w:rsidRPr="00E45053">
        <w:rPr>
          <w:szCs w:val="24"/>
          <w:lang w:val="es-ES_tradnl" w:eastAsia="ja-JP"/>
        </w:rPr>
        <w:t xml:space="preserve">el CAJ tomó nota de la labor del </w:t>
      </w:r>
      <w:r w:rsidR="007711DA" w:rsidRPr="00E45053">
        <w:rPr>
          <w:noProof/>
          <w:szCs w:val="24"/>
          <w:lang w:val="es-ES_tradnl" w:eastAsia="ja-JP"/>
        </w:rPr>
        <w:t>WG</w:t>
      </w:r>
      <w:r w:rsidR="007711DA" w:rsidRPr="00E45053">
        <w:rPr>
          <w:noProof/>
          <w:szCs w:val="24"/>
          <w:lang w:val="es-ES_tradnl" w:eastAsia="ja-JP"/>
        </w:rPr>
        <w:noBreakHyphen/>
        <w:t>DST</w:t>
      </w:r>
      <w:r w:rsidR="007711DA" w:rsidRPr="00E45053">
        <w:rPr>
          <w:szCs w:val="24"/>
          <w:lang w:val="es-ES_tradnl" w:eastAsia="ja-JP"/>
        </w:rPr>
        <w:t xml:space="preserve"> sobre la posible elaboración de un instrumento de la UPOV de búsqueda de similitud a los fines de la denominación de variedades</w:t>
      </w:r>
      <w:r w:rsidR="00DD7B53" w:rsidRPr="00E45053">
        <w:rPr>
          <w:szCs w:val="24"/>
          <w:lang w:val="es-ES_tradnl" w:eastAsia="ja-JP"/>
        </w:rPr>
        <w:t xml:space="preserve">, </w:t>
      </w:r>
      <w:r w:rsidR="007711DA" w:rsidRPr="00E45053">
        <w:rPr>
          <w:szCs w:val="24"/>
          <w:lang w:val="es-ES_tradnl" w:eastAsia="ja-JP"/>
        </w:rPr>
        <w:t>incluido el estudio de prueba</w:t>
      </w:r>
      <w:r w:rsidR="00DD7B53" w:rsidRPr="00E45053">
        <w:rPr>
          <w:szCs w:val="24"/>
          <w:lang w:val="es-ES_tradnl" w:eastAsia="ja-JP"/>
        </w:rPr>
        <w:t xml:space="preserve">, </w:t>
      </w:r>
      <w:r w:rsidR="007711DA" w:rsidRPr="00E45053">
        <w:rPr>
          <w:szCs w:val="24"/>
          <w:lang w:val="es-ES_tradnl" w:eastAsia="ja-JP"/>
        </w:rPr>
        <w:t>tal como se expone en los párrafos</w:t>
      </w:r>
      <w:r w:rsidR="00DD7B53" w:rsidRPr="00E45053">
        <w:rPr>
          <w:szCs w:val="24"/>
          <w:lang w:val="es-ES_tradnl" w:eastAsia="ja-JP"/>
        </w:rPr>
        <w:t> 6</w:t>
      </w:r>
      <w:r w:rsidR="007711DA" w:rsidRPr="00E45053">
        <w:rPr>
          <w:szCs w:val="24"/>
          <w:lang w:val="es-ES_tradnl" w:eastAsia="ja-JP"/>
        </w:rPr>
        <w:t xml:space="preserve"> a</w:t>
      </w:r>
      <w:r w:rsidR="00DD7B53" w:rsidRPr="00E45053">
        <w:rPr>
          <w:szCs w:val="24"/>
          <w:lang w:val="es-ES_tradnl" w:eastAsia="ja-JP"/>
        </w:rPr>
        <w:t> 1</w:t>
      </w:r>
      <w:r w:rsidR="007711DA" w:rsidRPr="00E45053">
        <w:rPr>
          <w:szCs w:val="24"/>
          <w:lang w:val="es-ES_tradnl" w:eastAsia="ja-JP"/>
        </w:rPr>
        <w:t>3 del documento CAJ/71/3 (véase el párrafo</w:t>
      </w:r>
      <w:r w:rsidR="00DD7B53" w:rsidRPr="00E45053">
        <w:rPr>
          <w:szCs w:val="24"/>
          <w:lang w:val="es-ES_tradnl" w:eastAsia="ja-JP"/>
        </w:rPr>
        <w:t> </w:t>
      </w:r>
      <w:r w:rsidR="00DD7B53" w:rsidRPr="00E45053">
        <w:rPr>
          <w:lang w:val="es-ES_tradnl" w:eastAsia="ja-JP"/>
        </w:rPr>
        <w:t>3</w:t>
      </w:r>
      <w:r w:rsidR="007711DA" w:rsidRPr="00E45053">
        <w:rPr>
          <w:lang w:val="es-ES_tradnl" w:eastAsia="ja-JP"/>
        </w:rPr>
        <w:t>3 del documento CAJ/71/10 “Informe sobre las conclusiones”)</w:t>
      </w:r>
      <w:r w:rsidR="007711DA" w:rsidRPr="00E45053">
        <w:rPr>
          <w:szCs w:val="24"/>
          <w:lang w:val="es-ES_tradnl" w:eastAsia="ja-JP"/>
        </w:rPr>
        <w:t>.</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BD69C1" w:rsidRPr="00E45053">
        <w:rPr>
          <w:lang w:val="es-ES_tradnl" w:eastAsia="ja-JP"/>
        </w:rPr>
        <w:t>También en su septuagésima primera sesión</w:t>
      </w:r>
      <w:r w:rsidR="00DD7B53" w:rsidRPr="00E45053">
        <w:rPr>
          <w:lang w:val="es-ES_tradnl" w:eastAsia="ja-JP"/>
        </w:rPr>
        <w:t xml:space="preserve">, </w:t>
      </w:r>
      <w:r w:rsidR="00BD69C1" w:rsidRPr="00E45053">
        <w:rPr>
          <w:lang w:val="es-ES_tradnl" w:eastAsia="ja-JP"/>
        </w:rPr>
        <w:t xml:space="preserve">el CAJ tomó nota del interés del Japón en participar en el </w:t>
      </w:r>
      <w:r w:rsidR="00BD69C1" w:rsidRPr="00E45053">
        <w:rPr>
          <w:noProof/>
          <w:lang w:val="es-ES_tradnl" w:eastAsia="ja-JP"/>
        </w:rPr>
        <w:t>WG</w:t>
      </w:r>
      <w:r w:rsidR="00BD69C1" w:rsidRPr="00E45053">
        <w:rPr>
          <w:noProof/>
          <w:lang w:val="es-ES_tradnl" w:eastAsia="ja-JP"/>
        </w:rPr>
        <w:noBreakHyphen/>
        <w:t>DST</w:t>
      </w:r>
      <w:r w:rsidR="00BD69C1" w:rsidRPr="00E45053">
        <w:rPr>
          <w:lang w:val="es-ES_tradnl" w:eastAsia="ja-JP"/>
        </w:rPr>
        <w:t xml:space="preserve"> (véase el párrafo</w:t>
      </w:r>
      <w:r w:rsidR="00DD7B53" w:rsidRPr="00E45053">
        <w:rPr>
          <w:lang w:val="es-ES_tradnl" w:eastAsia="ja-JP"/>
        </w:rPr>
        <w:t> 3</w:t>
      </w:r>
      <w:r w:rsidR="00BD69C1" w:rsidRPr="00E45053">
        <w:rPr>
          <w:lang w:val="es-ES_tradnl" w:eastAsia="ja-JP"/>
        </w:rPr>
        <w:t>6 del documento CAJ/71/10 “Informe sobre las conclusiones”).</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BD69C1" w:rsidRPr="00E45053">
        <w:rPr>
          <w:lang w:val="es-ES_tradnl" w:eastAsia="ja-JP"/>
        </w:rPr>
        <w:t>En su septuagésima segunda sesión</w:t>
      </w:r>
      <w:r w:rsidR="00DD7B53" w:rsidRPr="00E45053">
        <w:rPr>
          <w:lang w:val="es-ES_tradnl" w:eastAsia="ja-JP"/>
        </w:rPr>
        <w:t xml:space="preserve">, </w:t>
      </w:r>
      <w:r w:rsidR="00BD69C1" w:rsidRPr="00E45053">
        <w:rPr>
          <w:lang w:val="es-ES_tradnl" w:eastAsia="ja-JP"/>
        </w:rPr>
        <w:t>celebrada en Ginebra los días</w:t>
      </w:r>
      <w:r w:rsidR="00DD7B53" w:rsidRPr="00E45053">
        <w:rPr>
          <w:lang w:val="es-ES_tradnl" w:eastAsia="ja-JP"/>
        </w:rPr>
        <w:t> 2</w:t>
      </w:r>
      <w:r w:rsidR="00BD69C1" w:rsidRPr="00E45053">
        <w:rPr>
          <w:lang w:val="es-ES_tradnl" w:eastAsia="ja-JP"/>
        </w:rPr>
        <w:t>6 y</w:t>
      </w:r>
      <w:r w:rsidR="00DD7B53" w:rsidRPr="00E45053">
        <w:rPr>
          <w:lang w:val="es-ES_tradnl" w:eastAsia="ja-JP"/>
        </w:rPr>
        <w:t> 2</w:t>
      </w:r>
      <w:r w:rsidR="00BD69C1" w:rsidRPr="00E45053">
        <w:rPr>
          <w:lang w:val="es-ES_tradnl" w:eastAsia="ja-JP"/>
        </w:rPr>
        <w:t>7 de octubre de</w:t>
      </w:r>
      <w:r w:rsidR="00DD7B53" w:rsidRPr="00E45053">
        <w:rPr>
          <w:lang w:val="es-ES_tradnl" w:eastAsia="ja-JP"/>
        </w:rPr>
        <w:t> 2</w:t>
      </w:r>
      <w:r w:rsidR="00BD69C1" w:rsidRPr="00E45053">
        <w:rPr>
          <w:lang w:val="es-ES_tradnl" w:eastAsia="ja-JP"/>
        </w:rPr>
        <w:t>015</w:t>
      </w:r>
      <w:r w:rsidR="00DD7B53" w:rsidRPr="00E45053">
        <w:rPr>
          <w:lang w:val="es-ES_tradnl" w:eastAsia="ja-JP"/>
        </w:rPr>
        <w:t xml:space="preserve">, </w:t>
      </w:r>
      <w:r w:rsidR="00BD69C1" w:rsidRPr="00E45053">
        <w:rPr>
          <w:lang w:val="es-ES_tradnl" w:eastAsia="ja-JP"/>
        </w:rPr>
        <w:t>el CAJ examinó el documento CAJ/72/3 “Denominaciones de variedades” (véase el párrafo</w:t>
      </w:r>
      <w:r w:rsidR="00DD7B53" w:rsidRPr="00E45053">
        <w:rPr>
          <w:lang w:val="es-ES_tradnl" w:eastAsia="ja-JP"/>
        </w:rPr>
        <w:t> 1</w:t>
      </w:r>
      <w:r w:rsidR="00BD69C1" w:rsidRPr="00E45053">
        <w:rPr>
          <w:lang w:val="es-ES_tradnl" w:eastAsia="ja-JP"/>
        </w:rPr>
        <w:t>9 del documento CAJ/72/9 “Informe sobre las conclusiones”).</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BD6AFE" w:rsidRPr="00E45053">
        <w:rPr>
          <w:lang w:val="es-ES_tradnl" w:eastAsia="ja-JP"/>
        </w:rPr>
        <w:t xml:space="preserve">En </w:t>
      </w:r>
      <w:r w:rsidR="00BD69C1" w:rsidRPr="00E45053">
        <w:rPr>
          <w:lang w:val="es-ES_tradnl" w:eastAsia="ja-JP"/>
        </w:rPr>
        <w:t>su septuagésima segunda sesión</w:t>
      </w:r>
      <w:r w:rsidR="00DD7B53" w:rsidRPr="00E45053">
        <w:rPr>
          <w:lang w:val="es-ES_tradnl" w:eastAsia="ja-JP"/>
        </w:rPr>
        <w:t xml:space="preserve">, </w:t>
      </w:r>
      <w:r w:rsidR="00BD69C1" w:rsidRPr="00E45053">
        <w:rPr>
          <w:lang w:val="es-ES_tradnl" w:eastAsia="ja-JP"/>
        </w:rPr>
        <w:t>el CAJ tomó nota de</w:t>
      </w:r>
      <w:r w:rsidR="00BD6AFE" w:rsidRPr="00E45053">
        <w:rPr>
          <w:lang w:val="es-ES_tradnl" w:eastAsia="ja-JP"/>
        </w:rPr>
        <w:t xml:space="preserve"> </w:t>
      </w:r>
      <w:r w:rsidR="00BD69C1" w:rsidRPr="00E45053">
        <w:rPr>
          <w:lang w:val="es-ES_tradnl" w:eastAsia="ja-JP"/>
        </w:rPr>
        <w:t>l</w:t>
      </w:r>
      <w:r w:rsidR="00BD6AFE" w:rsidRPr="00E45053">
        <w:rPr>
          <w:lang w:val="es-ES_tradnl" w:eastAsia="ja-JP"/>
        </w:rPr>
        <w:t>a</w:t>
      </w:r>
      <w:r w:rsidR="00BD69C1" w:rsidRPr="00E45053">
        <w:rPr>
          <w:lang w:val="es-ES_tradnl" w:eastAsia="ja-JP"/>
        </w:rPr>
        <w:t xml:space="preserve"> </w:t>
      </w:r>
      <w:r w:rsidR="00BD6AFE" w:rsidRPr="00E45053">
        <w:rPr>
          <w:lang w:val="es-ES_tradnl" w:eastAsia="ja-JP"/>
        </w:rPr>
        <w:t xml:space="preserve">labor </w:t>
      </w:r>
      <w:r w:rsidR="00BD69C1" w:rsidRPr="00E45053">
        <w:rPr>
          <w:lang w:val="es-ES_tradnl" w:eastAsia="ja-JP"/>
        </w:rPr>
        <w:t xml:space="preserve">del </w:t>
      </w:r>
      <w:r w:rsidR="00BD69C1" w:rsidRPr="00E45053">
        <w:rPr>
          <w:noProof/>
          <w:lang w:val="es-ES_tradnl" w:eastAsia="ja-JP"/>
        </w:rPr>
        <w:t>WG</w:t>
      </w:r>
      <w:r w:rsidR="00BD69C1" w:rsidRPr="00E45053">
        <w:rPr>
          <w:noProof/>
          <w:lang w:val="es-ES_tradnl" w:eastAsia="ja-JP"/>
        </w:rPr>
        <w:noBreakHyphen/>
        <w:t>DST</w:t>
      </w:r>
      <w:r w:rsidR="00BD69C1" w:rsidRPr="00E45053">
        <w:rPr>
          <w:lang w:val="es-ES_tradnl" w:eastAsia="ja-JP"/>
        </w:rPr>
        <w:t xml:space="preserve"> </w:t>
      </w:r>
      <w:r w:rsidR="00430E60" w:rsidRPr="00E45053">
        <w:rPr>
          <w:lang w:val="es-ES_tradnl" w:eastAsia="ja-JP"/>
        </w:rPr>
        <w:t>sobre la posible elaboración de un instrumento de la UPOV de búsqueda de similitud a los fines de la denominación de variedades (véanse los párrafos</w:t>
      </w:r>
      <w:r w:rsidR="00DD7B53" w:rsidRPr="00E45053">
        <w:rPr>
          <w:lang w:val="es-ES_tradnl" w:eastAsia="ja-JP"/>
        </w:rPr>
        <w:t> 2</w:t>
      </w:r>
      <w:r w:rsidR="00430E60" w:rsidRPr="00E45053">
        <w:rPr>
          <w:lang w:val="es-ES_tradnl" w:eastAsia="ja-JP"/>
        </w:rPr>
        <w:t>1 y</w:t>
      </w:r>
      <w:r w:rsidR="00DD7B53" w:rsidRPr="00E45053">
        <w:rPr>
          <w:lang w:val="es-ES_tradnl" w:eastAsia="ja-JP"/>
        </w:rPr>
        <w:t> 2</w:t>
      </w:r>
      <w:r w:rsidR="00430E60" w:rsidRPr="00E45053">
        <w:rPr>
          <w:lang w:val="es-ES_tradnl" w:eastAsia="ja-JP"/>
        </w:rPr>
        <w:t xml:space="preserve">2 del </w:t>
      </w:r>
      <w:r w:rsidR="00BD69C1" w:rsidRPr="00E45053">
        <w:rPr>
          <w:lang w:val="es-ES_tradnl" w:eastAsia="ja-JP"/>
        </w:rPr>
        <w:t>documento CAJ/72/9 “Informe sobre las conclusiones”).</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D37347" w:rsidRPr="00E45053">
        <w:rPr>
          <w:lang w:val="es-ES_tradnl" w:eastAsia="ja-JP"/>
        </w:rPr>
        <w:t>En su septuagésima segunda sesión</w:t>
      </w:r>
      <w:r w:rsidR="00DD7B53" w:rsidRPr="00E45053">
        <w:rPr>
          <w:lang w:val="es-ES_tradnl" w:eastAsia="ja-JP"/>
        </w:rPr>
        <w:t xml:space="preserve">, </w:t>
      </w:r>
      <w:r w:rsidR="00D37347" w:rsidRPr="00E45053">
        <w:rPr>
          <w:lang w:val="es-ES_tradnl" w:eastAsia="ja-JP"/>
        </w:rPr>
        <w:t xml:space="preserve">el CAJ tomó nota del informe verbal del Secretario General Adjunto sobre la tercera reunión del </w:t>
      </w:r>
      <w:r w:rsidR="00D37347" w:rsidRPr="00E45053">
        <w:rPr>
          <w:noProof/>
          <w:lang w:val="es-ES_tradnl" w:eastAsia="ja-JP"/>
        </w:rPr>
        <w:t>WG</w:t>
      </w:r>
      <w:r w:rsidR="00D37347" w:rsidRPr="00E45053">
        <w:rPr>
          <w:noProof/>
          <w:lang w:val="es-ES_tradnl" w:eastAsia="ja-JP"/>
        </w:rPr>
        <w:noBreakHyphen/>
        <w:t>DST</w:t>
      </w:r>
      <w:r w:rsidR="00DD7B53" w:rsidRPr="00E45053">
        <w:rPr>
          <w:lang w:val="es-ES_tradnl" w:eastAsia="ja-JP"/>
        </w:rPr>
        <w:t xml:space="preserve">, </w:t>
      </w:r>
      <w:r w:rsidR="00D37347" w:rsidRPr="00E45053">
        <w:rPr>
          <w:lang w:val="es-ES_tradnl" w:eastAsia="ja-JP"/>
        </w:rPr>
        <w:t>celebrada en Ginebra el</w:t>
      </w:r>
      <w:r w:rsidR="00DD7B53" w:rsidRPr="00E45053">
        <w:rPr>
          <w:lang w:val="es-ES_tradnl" w:eastAsia="ja-JP"/>
        </w:rPr>
        <w:t> 2</w:t>
      </w:r>
      <w:r w:rsidR="00D37347" w:rsidRPr="00E45053">
        <w:rPr>
          <w:lang w:val="es-ES_tradnl" w:eastAsia="ja-JP"/>
        </w:rPr>
        <w:t xml:space="preserve"> de octubre de</w:t>
      </w:r>
      <w:r w:rsidR="00DD7B53" w:rsidRPr="00E45053">
        <w:rPr>
          <w:lang w:val="es-ES_tradnl" w:eastAsia="ja-JP"/>
        </w:rPr>
        <w:t> 2</w:t>
      </w:r>
      <w:r w:rsidR="00D37347" w:rsidRPr="00E45053">
        <w:rPr>
          <w:lang w:val="es-ES_tradnl" w:eastAsia="ja-JP"/>
        </w:rPr>
        <w:t>015</w:t>
      </w:r>
      <w:r w:rsidR="00DD7B53" w:rsidRPr="00E45053">
        <w:rPr>
          <w:lang w:val="es-ES_tradnl" w:eastAsia="ja-JP"/>
        </w:rPr>
        <w:t xml:space="preserve">, </w:t>
      </w:r>
      <w:r w:rsidR="00D37347" w:rsidRPr="00E45053">
        <w:rPr>
          <w:lang w:val="es-ES_tradnl" w:eastAsia="ja-JP"/>
        </w:rPr>
        <w:t>y de que</w:t>
      </w:r>
      <w:r w:rsidR="00DD7B53" w:rsidRPr="00E45053">
        <w:rPr>
          <w:lang w:val="es-ES_tradnl" w:eastAsia="ja-JP"/>
        </w:rPr>
        <w:t xml:space="preserve">, </w:t>
      </w:r>
      <w:r w:rsidR="00D37347" w:rsidRPr="00E45053">
        <w:rPr>
          <w:lang w:val="es-ES_tradnl" w:eastAsia="ja-JP"/>
        </w:rPr>
        <w:t>mediante la circular E</w:t>
      </w:r>
      <w:r w:rsidR="00D37347" w:rsidRPr="00E45053">
        <w:rPr>
          <w:lang w:val="es-ES_tradnl" w:eastAsia="ja-JP"/>
        </w:rPr>
        <w:noBreakHyphen/>
        <w:t>15/237</w:t>
      </w:r>
      <w:r w:rsidR="00DD7B53" w:rsidRPr="00E45053">
        <w:rPr>
          <w:lang w:val="es-ES_tradnl" w:eastAsia="ja-JP"/>
        </w:rPr>
        <w:t xml:space="preserve">, </w:t>
      </w:r>
      <w:r w:rsidR="00D37347" w:rsidRPr="00E45053">
        <w:rPr>
          <w:lang w:val="es-ES_tradnl" w:eastAsia="ja-JP"/>
        </w:rPr>
        <w:t>de fecha</w:t>
      </w:r>
      <w:r w:rsidR="00401A95">
        <w:rPr>
          <w:lang w:val="es-ES_tradnl" w:eastAsia="ja-JP"/>
        </w:rPr>
        <w:t xml:space="preserve"> </w:t>
      </w:r>
      <w:r w:rsidR="00DD7B53" w:rsidRPr="00E45053">
        <w:rPr>
          <w:lang w:val="es-ES_tradnl" w:eastAsia="ja-JP"/>
        </w:rPr>
        <w:t>2</w:t>
      </w:r>
      <w:r w:rsidR="00C2356B" w:rsidRPr="00E45053">
        <w:rPr>
          <w:lang w:val="es-ES_tradnl" w:eastAsia="ja-JP"/>
        </w:rPr>
        <w:t>1 de octubre de</w:t>
      </w:r>
      <w:r w:rsidR="00DD7B53" w:rsidRPr="00E45053">
        <w:rPr>
          <w:lang w:val="es-ES_tradnl" w:eastAsia="ja-JP"/>
        </w:rPr>
        <w:t> 2</w:t>
      </w:r>
      <w:r w:rsidR="00C2356B" w:rsidRPr="00E45053">
        <w:rPr>
          <w:lang w:val="es-ES_tradnl" w:eastAsia="ja-JP"/>
        </w:rPr>
        <w:t>015</w:t>
      </w:r>
      <w:r w:rsidR="00DD7B53" w:rsidRPr="00E45053">
        <w:rPr>
          <w:lang w:val="es-ES_tradnl" w:eastAsia="ja-JP"/>
        </w:rPr>
        <w:t xml:space="preserve">, </w:t>
      </w:r>
      <w:r w:rsidR="00335BB0" w:rsidRPr="00E45053">
        <w:rPr>
          <w:lang w:val="es-ES_tradnl" w:eastAsia="ja-JP"/>
        </w:rPr>
        <w:t xml:space="preserve">se </w:t>
      </w:r>
      <w:r w:rsidR="00B82170" w:rsidRPr="00E45053">
        <w:rPr>
          <w:lang w:val="es-ES_tradnl" w:eastAsia="ja-JP"/>
        </w:rPr>
        <w:t>había invitado</w:t>
      </w:r>
      <w:r w:rsidR="00401A95">
        <w:rPr>
          <w:lang w:val="es-ES_tradnl" w:eastAsia="ja-JP"/>
        </w:rPr>
        <w:t xml:space="preserve"> a los miembros de la </w:t>
      </w:r>
      <w:r w:rsidR="00335BB0" w:rsidRPr="00E45053">
        <w:rPr>
          <w:lang w:val="es-ES_tradnl" w:eastAsia="ja-JP"/>
        </w:rPr>
        <w:t>Unión a participar en la segunda etapa del estudio de prueba para elaborar un instrumento eficaz de búsqueda de denominaciones similares</w:t>
      </w:r>
      <w:r w:rsidR="00B82170" w:rsidRPr="00E45053">
        <w:rPr>
          <w:lang w:val="es-ES_tradnl" w:eastAsia="ja-JP"/>
        </w:rPr>
        <w:t>.</w:t>
      </w:r>
      <w:r w:rsidR="00753491" w:rsidRPr="00E45053">
        <w:rPr>
          <w:lang w:val="es-ES_tradnl" w:eastAsia="ja-JP"/>
        </w:rPr>
        <w:t xml:space="preserve">  </w:t>
      </w:r>
      <w:r w:rsidR="00B82170" w:rsidRPr="00E45053">
        <w:rPr>
          <w:lang w:val="es-ES_tradnl" w:eastAsia="ja-JP"/>
        </w:rPr>
        <w:t>El objetivo de la segunda etapa consiste en perfeccionar el algoritmo que fue considerado el mejor en la primera etapa del estudio de prueba.</w:t>
      </w:r>
      <w:r w:rsidR="006B4D4F" w:rsidRPr="00E45053">
        <w:rPr>
          <w:lang w:val="es-ES_tradnl" w:eastAsia="ja-JP"/>
        </w:rPr>
        <w:t xml:space="preserve">  </w:t>
      </w:r>
      <w:r w:rsidR="00B82170" w:rsidRPr="00E45053">
        <w:rPr>
          <w:lang w:val="es-ES_tradnl" w:eastAsia="ja-JP"/>
        </w:rPr>
        <w:t>A partir de los resultados de la segunda etapa</w:t>
      </w:r>
      <w:r w:rsidR="00DD7B53" w:rsidRPr="00E45053">
        <w:rPr>
          <w:lang w:val="es-ES_tradnl" w:eastAsia="ja-JP"/>
        </w:rPr>
        <w:t xml:space="preserve">, </w:t>
      </w:r>
      <w:r w:rsidR="00B82170" w:rsidRPr="00E45053">
        <w:rPr>
          <w:lang w:val="es-ES_tradnl" w:eastAsia="ja-JP"/>
        </w:rPr>
        <w:t>la Oficina de la Unión perfeccionaría el algoritmo en el transcurso de noviembre y diciembre de 2015 y lo adaptaría en diciembre de 2015.</w:t>
      </w:r>
      <w:r w:rsidR="006B4D4F" w:rsidRPr="00E45053">
        <w:rPr>
          <w:lang w:val="es-ES_tradnl" w:eastAsia="ja-JP"/>
        </w:rPr>
        <w:t xml:space="preserve">  </w:t>
      </w:r>
      <w:r w:rsidR="00B82170" w:rsidRPr="00E45053">
        <w:rPr>
          <w:lang w:val="es-ES_tradnl" w:eastAsia="ja-JP"/>
        </w:rPr>
        <w:t xml:space="preserve">El </w:t>
      </w:r>
      <w:r w:rsidR="00B82170" w:rsidRPr="00E45053">
        <w:rPr>
          <w:noProof/>
          <w:lang w:val="es-ES_tradnl" w:eastAsia="ja-JP"/>
        </w:rPr>
        <w:t>WG</w:t>
      </w:r>
      <w:r w:rsidR="00B82170" w:rsidRPr="00E45053">
        <w:rPr>
          <w:noProof/>
          <w:lang w:val="es-ES_tradnl" w:eastAsia="ja-JP"/>
        </w:rPr>
        <w:noBreakHyphen/>
        <w:t>DST</w:t>
      </w:r>
      <w:r w:rsidR="00B82170" w:rsidRPr="00E45053">
        <w:rPr>
          <w:lang w:val="es-ES_tradnl" w:eastAsia="ja-JP"/>
        </w:rPr>
        <w:t xml:space="preserve"> examinará el algoritmo revisado en su cuarta reunión</w:t>
      </w:r>
      <w:r w:rsidR="00DD7B53" w:rsidRPr="00E45053">
        <w:rPr>
          <w:lang w:val="es-ES_tradnl" w:eastAsia="ja-JP"/>
        </w:rPr>
        <w:t xml:space="preserve">, </w:t>
      </w:r>
      <w:r w:rsidR="00B82170" w:rsidRPr="00E45053">
        <w:rPr>
          <w:lang w:val="es-ES_tradnl" w:eastAsia="ja-JP"/>
        </w:rPr>
        <w:t>que se celebrará el 4 de febrero de 2016 (véase el párrafo</w:t>
      </w:r>
      <w:r w:rsidR="00DD7B53" w:rsidRPr="00E45053">
        <w:rPr>
          <w:lang w:val="es-ES_tradnl" w:eastAsia="ja-JP"/>
        </w:rPr>
        <w:t> 2</w:t>
      </w:r>
      <w:r w:rsidR="00B82170" w:rsidRPr="00E45053">
        <w:rPr>
          <w:lang w:val="es-ES_tradnl" w:eastAsia="ja-JP"/>
        </w:rPr>
        <w:t>2 del documento CAJ/72/9 “Informe sobre las conclusiones”).</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6F6DD6" w:rsidRPr="00E45053">
        <w:rPr>
          <w:lang w:val="es-ES_tradnl"/>
        </w:rPr>
        <w:t>Como se puede comprobar</w:t>
      </w:r>
      <w:r w:rsidR="0045119D" w:rsidRPr="00E45053">
        <w:rPr>
          <w:lang w:val="es-ES_tradnl"/>
        </w:rPr>
        <w:t xml:space="preserve"> en el resumen de las respuestas a la segunda fase del estudio de prueba</w:t>
      </w:r>
      <w:r w:rsidR="00DD7B53" w:rsidRPr="00E45053">
        <w:rPr>
          <w:lang w:val="es-ES_tradnl"/>
        </w:rPr>
        <w:t xml:space="preserve">, </w:t>
      </w:r>
      <w:r w:rsidR="0045119D" w:rsidRPr="00E45053">
        <w:rPr>
          <w:lang w:val="es-ES_tradnl"/>
        </w:rPr>
        <w:t>el número de denominaciones seleccionadas como similares varía considerablemente</w:t>
      </w:r>
      <w:r w:rsidR="00DD7B53" w:rsidRPr="00E45053">
        <w:rPr>
          <w:lang w:val="es-ES_tradnl"/>
        </w:rPr>
        <w:t xml:space="preserve">, </w:t>
      </w:r>
      <w:r w:rsidR="0045119D" w:rsidRPr="00E45053">
        <w:rPr>
          <w:lang w:val="es-ES_tradnl"/>
        </w:rPr>
        <w:t>y en análisis posteriores se puso de manifiesto que el grado de coincidencia entre ellas no e</w:t>
      </w:r>
      <w:r w:rsidR="006F6DD6" w:rsidRPr="00E45053">
        <w:rPr>
          <w:lang w:val="es-ES_tradnl"/>
        </w:rPr>
        <w:t>s</w:t>
      </w:r>
      <w:r w:rsidR="0045119D" w:rsidRPr="00E45053">
        <w:rPr>
          <w:lang w:val="es-ES_tradnl"/>
        </w:rPr>
        <w:t xml:space="preserve"> muy elevado.</w:t>
      </w:r>
      <w:r w:rsidR="00185F46" w:rsidRPr="00E45053">
        <w:rPr>
          <w:lang w:val="es-ES_tradnl"/>
        </w:rPr>
        <w:t xml:space="preserve">  </w:t>
      </w:r>
      <w:r w:rsidR="006F6DD6" w:rsidRPr="00E45053">
        <w:rPr>
          <w:lang w:val="es-ES_tradnl" w:eastAsia="ja-JP"/>
        </w:rPr>
        <w:t>En vista de ello</w:t>
      </w:r>
      <w:r w:rsidR="00DD7B53" w:rsidRPr="00E45053">
        <w:rPr>
          <w:lang w:val="es-ES_tradnl" w:eastAsia="ja-JP"/>
        </w:rPr>
        <w:t xml:space="preserve">, </w:t>
      </w:r>
      <w:r w:rsidR="006F6DD6" w:rsidRPr="00E45053">
        <w:rPr>
          <w:lang w:val="es-ES_tradnl" w:eastAsia="ja-JP"/>
        </w:rPr>
        <w:t>se organizó un ejercicio adicional.</w:t>
      </w:r>
    </w:p>
    <w:p w:rsidR="00753491" w:rsidRPr="00E45053" w:rsidRDefault="00753491" w:rsidP="00753491">
      <w:pPr>
        <w:rPr>
          <w:lang w:val="es-ES_tradnl" w:eastAsia="ja-JP"/>
        </w:rPr>
      </w:pPr>
    </w:p>
    <w:p w:rsidR="00753491" w:rsidRPr="00E45053" w:rsidRDefault="00152836" w:rsidP="00753491">
      <w:pPr>
        <w:rPr>
          <w:lang w:val="es-ES_tradnl"/>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830EF7" w:rsidRPr="00E45053">
        <w:rPr>
          <w:lang w:val="es-ES_tradnl"/>
        </w:rPr>
        <w:t>Con el objeto de elaborar una lista de denominaciones que sean admisibles como similares para los expertos participantes</w:t>
      </w:r>
      <w:r w:rsidR="00DD7B53" w:rsidRPr="00E45053">
        <w:rPr>
          <w:lang w:val="es-ES_tradnl"/>
        </w:rPr>
        <w:t xml:space="preserve">, </w:t>
      </w:r>
      <w:r w:rsidR="00830EF7" w:rsidRPr="00E45053">
        <w:rPr>
          <w:lang w:val="es-ES_tradnl"/>
        </w:rPr>
        <w:t>se propuso un ejercicio complementario en la circular E</w:t>
      </w:r>
      <w:r w:rsidR="00830EF7" w:rsidRPr="00E45053">
        <w:rPr>
          <w:lang w:val="es-ES_tradnl"/>
        </w:rPr>
        <w:noBreakHyphen/>
        <w:t>15/291</w:t>
      </w:r>
      <w:r w:rsidR="00DD7B53" w:rsidRPr="00E45053">
        <w:rPr>
          <w:lang w:val="es-ES_tradnl"/>
        </w:rPr>
        <w:t xml:space="preserve">, </w:t>
      </w:r>
      <w:r w:rsidR="00830EF7" w:rsidRPr="00E45053">
        <w:rPr>
          <w:lang w:val="es-ES_tradnl"/>
        </w:rPr>
        <w:t>de fecha</w:t>
      </w:r>
      <w:r w:rsidR="00401A95">
        <w:rPr>
          <w:lang w:val="es-ES_tradnl"/>
        </w:rPr>
        <w:t xml:space="preserve"> </w:t>
      </w:r>
      <w:r w:rsidR="00401A95">
        <w:rPr>
          <w:lang w:val="es-ES_tradnl"/>
        </w:rPr>
        <w:br/>
      </w:r>
      <w:r w:rsidR="00DD7B53" w:rsidRPr="00E45053">
        <w:rPr>
          <w:lang w:val="es-ES_tradnl"/>
        </w:rPr>
        <w:t>2</w:t>
      </w:r>
      <w:r w:rsidR="00830EF7" w:rsidRPr="00E45053">
        <w:rPr>
          <w:lang w:val="es-ES_tradnl"/>
        </w:rPr>
        <w:t xml:space="preserve">1 de </w:t>
      </w:r>
      <w:r w:rsidR="00830EF7" w:rsidRPr="00E45053">
        <w:rPr>
          <w:lang w:val="es-ES_tradnl"/>
        </w:rPr>
        <w:lastRenderedPageBreak/>
        <w:t>diciembre de</w:t>
      </w:r>
      <w:r w:rsidR="00DD7B53" w:rsidRPr="00E45053">
        <w:rPr>
          <w:lang w:val="es-ES_tradnl"/>
        </w:rPr>
        <w:t> 2</w:t>
      </w:r>
      <w:r w:rsidR="00830EF7" w:rsidRPr="00E45053">
        <w:rPr>
          <w:lang w:val="es-ES_tradnl"/>
        </w:rPr>
        <w:t>015</w:t>
      </w:r>
      <w:r w:rsidR="00DD7B53" w:rsidRPr="00E45053">
        <w:rPr>
          <w:lang w:val="es-ES_tradnl"/>
        </w:rPr>
        <w:t xml:space="preserve">, </w:t>
      </w:r>
      <w:r w:rsidR="00830EF7" w:rsidRPr="00E45053">
        <w:rPr>
          <w:lang w:val="es-ES_tradnl"/>
        </w:rPr>
        <w:t xml:space="preserve">dirigida al </w:t>
      </w:r>
      <w:r w:rsidR="00830EF7" w:rsidRPr="00E45053">
        <w:rPr>
          <w:noProof/>
          <w:lang w:val="es-ES_tradnl"/>
        </w:rPr>
        <w:t>WG</w:t>
      </w:r>
      <w:r w:rsidR="00830EF7" w:rsidRPr="00E45053">
        <w:rPr>
          <w:noProof/>
          <w:lang w:val="es-ES_tradnl"/>
        </w:rPr>
        <w:noBreakHyphen/>
        <w:t>DST</w:t>
      </w:r>
      <w:r w:rsidR="00830EF7" w:rsidRPr="00E45053">
        <w:rPr>
          <w:lang w:val="es-ES_tradnl"/>
        </w:rPr>
        <w:t xml:space="preserve"> y a los expertos que respondieron al ejercicio de la segunda etapa del estudio de prueba</w:t>
      </w:r>
      <w:r w:rsidR="006F6DD6" w:rsidRPr="00E45053">
        <w:rPr>
          <w:lang w:val="es-ES_tradnl"/>
        </w:rPr>
        <w:t>.</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830EF7" w:rsidRPr="00E45053">
        <w:rPr>
          <w:lang w:val="es-ES_tradnl"/>
        </w:rPr>
        <w:t>Participaron en este ejercicio adicional todos los expertos que contribuyeron a la segunda etapa del estudio de prueba,</w:t>
      </w:r>
      <w:r w:rsidR="00753491" w:rsidRPr="00E45053">
        <w:rPr>
          <w:lang w:val="es-ES_tradnl" w:eastAsia="ja-JP"/>
        </w:rPr>
        <w:t xml:space="preserve"> </w:t>
      </w:r>
      <w:r w:rsidR="00830EF7" w:rsidRPr="00E45053">
        <w:rPr>
          <w:lang w:val="es-ES_tradnl" w:eastAsia="ja-JP"/>
        </w:rPr>
        <w:t>a los que se sumaron tres expertos más.</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1526DB" w:rsidRPr="00E45053">
        <w:rPr>
          <w:lang w:val="es-ES_tradnl" w:eastAsia="ja-JP"/>
        </w:rPr>
        <w:t xml:space="preserve">En la quincuagésima </w:t>
      </w:r>
      <w:r w:rsidR="001526DB" w:rsidRPr="00E45053">
        <w:rPr>
          <w:szCs w:val="24"/>
          <w:lang w:val="es-ES_tradnl" w:eastAsia="ja-JP"/>
        </w:rPr>
        <w:t>segunda sesión de</w:t>
      </w:r>
      <w:r w:rsidR="001526DB" w:rsidRPr="00E45053">
        <w:rPr>
          <w:lang w:val="es-ES_tradnl" w:eastAsia="ja-JP"/>
        </w:rPr>
        <w:t xml:space="preserve">l TC se </w:t>
      </w:r>
      <w:r w:rsidR="00830EF7" w:rsidRPr="00E45053">
        <w:rPr>
          <w:lang w:val="es-ES_tradnl" w:eastAsia="ja-JP"/>
        </w:rPr>
        <w:t xml:space="preserve">presentará </w:t>
      </w:r>
      <w:r w:rsidR="00830EF7" w:rsidRPr="00E45053">
        <w:rPr>
          <w:szCs w:val="24"/>
          <w:lang w:val="es-ES_tradnl" w:eastAsia="ja-JP"/>
        </w:rPr>
        <w:t xml:space="preserve">un nuevo </w:t>
      </w:r>
      <w:r w:rsidR="00830EF7" w:rsidRPr="00E45053">
        <w:rPr>
          <w:lang w:val="es-ES_tradnl" w:eastAsia="ja-JP"/>
        </w:rPr>
        <w:t xml:space="preserve">informe sobre </w:t>
      </w:r>
      <w:r w:rsidR="00B161C9" w:rsidRPr="00E45053">
        <w:rPr>
          <w:lang w:val="es-ES_tradnl" w:eastAsia="ja-JP"/>
        </w:rPr>
        <w:t>la marcha de</w:t>
      </w:r>
      <w:r w:rsidR="00830EF7" w:rsidRPr="00E45053">
        <w:rPr>
          <w:lang w:val="es-ES_tradnl" w:eastAsia="ja-JP"/>
        </w:rPr>
        <w:t xml:space="preserve"> la labor relativa a la posible elaboración de un instrumento de la UPOV de búsqueda de </w:t>
      </w:r>
      <w:r w:rsidR="00401A95" w:rsidRPr="00E45053">
        <w:rPr>
          <w:lang w:val="es-ES_tradnl" w:eastAsia="ja-JP"/>
        </w:rPr>
        <w:t>similitud a los fines de la denominación de variedades</w:t>
      </w:r>
      <w:r w:rsidR="00830EF7" w:rsidRPr="00E45053">
        <w:rPr>
          <w:lang w:val="es-ES_tradnl" w:eastAsia="ja-JP"/>
        </w:rPr>
        <w:t>.</w:t>
      </w:r>
    </w:p>
    <w:p w:rsidR="00753491" w:rsidRPr="00E45053" w:rsidRDefault="00753491" w:rsidP="00753491">
      <w:pPr>
        <w:rPr>
          <w:lang w:val="es-ES_tradnl" w:eastAsia="ja-JP"/>
        </w:rPr>
      </w:pPr>
    </w:p>
    <w:p w:rsidR="00753491" w:rsidRPr="00E45053" w:rsidRDefault="00753491" w:rsidP="00753491">
      <w:pPr>
        <w:rPr>
          <w:lang w:val="es-ES_tradnl" w:eastAsia="ja-JP"/>
        </w:rPr>
      </w:pPr>
    </w:p>
    <w:p w:rsidR="00753491" w:rsidRPr="00E45053" w:rsidRDefault="00B161C9" w:rsidP="00753491">
      <w:pPr>
        <w:pStyle w:val="Heading1"/>
        <w:rPr>
          <w:snapToGrid w:val="0"/>
          <w:lang w:val="es-ES_tradnl"/>
        </w:rPr>
      </w:pPr>
      <w:bookmarkStart w:id="7" w:name="_Toc443496596"/>
      <w:r w:rsidRPr="00E45053">
        <w:rPr>
          <w:snapToGrid w:val="0"/>
          <w:lang w:val="es-ES_tradnl"/>
        </w:rPr>
        <w:t>Eventual revisión del documento UPOV/INF/12 “Notas explicativas sobre las denominaciones de variedades con arreglo al Convenio de la UPOV”</w:t>
      </w:r>
      <w:bookmarkEnd w:id="7"/>
    </w:p>
    <w:p w:rsidR="00753491" w:rsidRPr="00E45053" w:rsidRDefault="00753491" w:rsidP="00753491">
      <w:pPr>
        <w:rPr>
          <w:rFonts w:cs="Arial"/>
          <w:snapToGrid w:val="0"/>
          <w:lang w:val="es-ES_tradnl" w:eastAsia="ja-JP"/>
        </w:rPr>
      </w:pPr>
    </w:p>
    <w:p w:rsidR="00753491" w:rsidRPr="00E45053" w:rsidRDefault="00B161C9" w:rsidP="00753491">
      <w:pPr>
        <w:pStyle w:val="Heading2"/>
        <w:keepNext w:val="0"/>
        <w:rPr>
          <w:lang w:val="es-ES_tradnl"/>
        </w:rPr>
      </w:pPr>
      <w:bookmarkStart w:id="8" w:name="_Toc443496597"/>
      <w:r w:rsidRPr="00E45053">
        <w:rPr>
          <w:lang w:val="es-ES_tradnl"/>
        </w:rPr>
        <w:t>Orientaciones relativas a los cambios de la denominación de variedades registradas</w:t>
      </w:r>
      <w:bookmarkEnd w:id="8"/>
    </w:p>
    <w:p w:rsidR="00753491" w:rsidRPr="00E45053" w:rsidRDefault="00753491" w:rsidP="00753491">
      <w:pPr>
        <w:rPr>
          <w:rFonts w:cs="Arial"/>
          <w:snapToGrid w:val="0"/>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741F8F" w:rsidRPr="00E45053">
        <w:rPr>
          <w:lang w:val="es-ES_tradnl" w:eastAsia="ja-JP"/>
        </w:rPr>
        <w:t>En su quincuagésima primera sesión</w:t>
      </w:r>
      <w:r w:rsidR="00DD7B53" w:rsidRPr="00E45053">
        <w:rPr>
          <w:lang w:val="es-ES_tradnl" w:eastAsia="ja-JP"/>
        </w:rPr>
        <w:t xml:space="preserve">, </w:t>
      </w:r>
      <w:r w:rsidR="00741F8F" w:rsidRPr="00E45053">
        <w:rPr>
          <w:lang w:val="es-ES_tradnl" w:eastAsia="ja-JP"/>
        </w:rPr>
        <w:t>el TC tomó nota de la revisión del documento UPOV/INF/12 “Notas explicativas sobre las denominaciones de variedades con arreglo al Convenio de la UPOV” en relación con los cambios de la denominación de variedades registradas</w:t>
      </w:r>
      <w:r w:rsidR="004B6E6F" w:rsidRPr="00E45053">
        <w:rPr>
          <w:lang w:val="es-ES_tradnl" w:eastAsia="ja-JP"/>
        </w:rPr>
        <w:t>.</w:t>
      </w:r>
      <w:r w:rsidR="00741F8F" w:rsidRPr="00E45053">
        <w:rPr>
          <w:lang w:val="es-ES_tradnl" w:eastAsia="ja-JP"/>
        </w:rPr>
        <w:t xml:space="preserve"> </w:t>
      </w:r>
      <w:r w:rsidR="004B6E6F" w:rsidRPr="00E45053">
        <w:rPr>
          <w:lang w:val="es-ES_tradnl" w:eastAsia="ja-JP"/>
        </w:rPr>
        <w:t xml:space="preserve"> Dicha revisión fue aprobada por</w:t>
      </w:r>
      <w:r w:rsidR="00741F8F" w:rsidRPr="00E45053">
        <w:rPr>
          <w:lang w:val="es-ES_tradnl" w:eastAsia="ja-JP"/>
        </w:rPr>
        <w:t xml:space="preserve"> </w:t>
      </w:r>
      <w:r w:rsidR="00401A95">
        <w:rPr>
          <w:lang w:val="es-ES_tradnl" w:eastAsia="ja-JP"/>
        </w:rPr>
        <w:t>el </w:t>
      </w:r>
      <w:r w:rsidR="005E0C03" w:rsidRPr="00E45053">
        <w:rPr>
          <w:lang w:val="es-ES_tradnl" w:eastAsia="ja-JP"/>
        </w:rPr>
        <w:t xml:space="preserve">CAJ </w:t>
      </w:r>
      <w:r w:rsidR="00741F8F" w:rsidRPr="00E45053">
        <w:rPr>
          <w:lang w:val="es-ES_tradnl" w:eastAsia="ja-JP"/>
        </w:rPr>
        <w:t>en su septuagésima primera sesión</w:t>
      </w:r>
      <w:r w:rsidR="00DD7B53" w:rsidRPr="00E45053">
        <w:rPr>
          <w:lang w:val="es-ES_tradnl" w:eastAsia="ja-JP"/>
        </w:rPr>
        <w:t xml:space="preserve">, </w:t>
      </w:r>
      <w:r w:rsidR="00401A95">
        <w:rPr>
          <w:lang w:val="es-ES_tradnl" w:eastAsia="ja-JP"/>
        </w:rPr>
        <w:t>durante</w:t>
      </w:r>
      <w:r w:rsidR="00741F8F" w:rsidRPr="00E45053">
        <w:rPr>
          <w:lang w:val="es-ES_tradnl" w:eastAsia="ja-JP"/>
        </w:rPr>
        <w:t xml:space="preserve"> la cual</w:t>
      </w:r>
      <w:r w:rsidR="00DD7B53" w:rsidRPr="00E45053">
        <w:rPr>
          <w:lang w:val="es-ES_tradnl" w:eastAsia="ja-JP"/>
        </w:rPr>
        <w:t xml:space="preserve">, </w:t>
      </w:r>
      <w:r w:rsidR="005E0C03" w:rsidRPr="00E45053">
        <w:rPr>
          <w:lang w:val="es-ES_tradnl" w:eastAsia="ja-JP"/>
        </w:rPr>
        <w:t>además</w:t>
      </w:r>
      <w:r w:rsidR="00DD7B53" w:rsidRPr="00E45053">
        <w:rPr>
          <w:lang w:val="es-ES_tradnl" w:eastAsia="ja-JP"/>
        </w:rPr>
        <w:t xml:space="preserve">, </w:t>
      </w:r>
      <w:r w:rsidR="00741F8F" w:rsidRPr="00E45053">
        <w:rPr>
          <w:lang w:val="es-ES_tradnl" w:eastAsia="ja-JP"/>
        </w:rPr>
        <w:t>convino en someter esas orientaciones a la aprobación del Consejo en su cuadragésima novena sesión ordinaria</w:t>
      </w:r>
      <w:r w:rsidR="00DD7B53" w:rsidRPr="00E45053">
        <w:rPr>
          <w:lang w:val="es-ES_tradnl" w:eastAsia="ja-JP"/>
        </w:rPr>
        <w:t xml:space="preserve">, </w:t>
      </w:r>
      <w:r w:rsidR="00741F8F" w:rsidRPr="00E45053">
        <w:rPr>
          <w:lang w:val="es-ES_tradnl" w:eastAsia="ja-JP"/>
        </w:rPr>
        <w:t>que se celebr</w:t>
      </w:r>
      <w:r w:rsidR="005E0C03" w:rsidRPr="00E45053">
        <w:rPr>
          <w:lang w:val="es-ES_tradnl" w:eastAsia="ja-JP"/>
        </w:rPr>
        <w:t>ó</w:t>
      </w:r>
      <w:r w:rsidR="00741F8F" w:rsidRPr="00E45053">
        <w:rPr>
          <w:lang w:val="es-ES_tradnl" w:eastAsia="ja-JP"/>
        </w:rPr>
        <w:t xml:space="preserve"> el 29 de octubre de 2015 (véanse el párrafo 184 de</w:t>
      </w:r>
      <w:r w:rsidR="005E0C03" w:rsidRPr="00E45053">
        <w:rPr>
          <w:lang w:val="es-ES_tradnl" w:eastAsia="ja-JP"/>
        </w:rPr>
        <w:t>l documento TC/51/39 “Informe</w:t>
      </w:r>
      <w:r w:rsidR="00741F8F" w:rsidRPr="00E45053">
        <w:rPr>
          <w:lang w:val="es-ES_tradnl" w:eastAsia="ja-JP"/>
        </w:rPr>
        <w:t>” y el párrafo 34 del documento CAJ/71/10 “Informe sobre las conclusiones”).</w:t>
      </w:r>
      <w:r w:rsidR="006B4D4F" w:rsidRPr="00E45053">
        <w:rPr>
          <w:lang w:val="es-ES_tradnl" w:eastAsia="ja-JP"/>
        </w:rPr>
        <w:t xml:space="preserve">  </w:t>
      </w:r>
    </w:p>
    <w:p w:rsidR="00753491" w:rsidRPr="00E45053" w:rsidRDefault="00753491" w:rsidP="00753491">
      <w:pPr>
        <w:rPr>
          <w:lang w:val="es-ES_tradnl" w:eastAsia="ja-JP"/>
        </w:rPr>
      </w:pPr>
    </w:p>
    <w:p w:rsidR="00753491" w:rsidRPr="00E45053" w:rsidRDefault="00152836" w:rsidP="00753491">
      <w:pPr>
        <w:rPr>
          <w:rFonts w:cs="Arial"/>
          <w:snapToGrid w:val="0"/>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5E0C03" w:rsidRPr="00E45053">
        <w:rPr>
          <w:rFonts w:cs="Arial"/>
          <w:snapToGrid w:val="0"/>
          <w:lang w:val="es-ES_tradnl" w:eastAsia="ja-JP"/>
        </w:rPr>
        <w:t>En su cuadragésima novena sesión ordinaria</w:t>
      </w:r>
      <w:r w:rsidR="00DD7B53" w:rsidRPr="00E45053">
        <w:rPr>
          <w:rFonts w:cs="Arial"/>
          <w:snapToGrid w:val="0"/>
          <w:lang w:val="es-ES_tradnl" w:eastAsia="ja-JP"/>
        </w:rPr>
        <w:t xml:space="preserve">, </w:t>
      </w:r>
      <w:r w:rsidR="005E0C03" w:rsidRPr="00E45053">
        <w:rPr>
          <w:rFonts w:cs="Arial"/>
          <w:snapToGrid w:val="0"/>
          <w:lang w:val="es-ES_tradnl" w:eastAsia="ja-JP"/>
        </w:rPr>
        <w:t>el Consejo aprobó una revisión del documento UPOV/INF/12/4 “Notas explicativas sobre las denominaciones de variedade</w:t>
      </w:r>
      <w:r w:rsidR="00401A95">
        <w:rPr>
          <w:rFonts w:cs="Arial"/>
          <w:snapToGrid w:val="0"/>
          <w:lang w:val="es-ES_tradnl" w:eastAsia="ja-JP"/>
        </w:rPr>
        <w:t xml:space="preserve">s con arreglo al Convenio de </w:t>
      </w:r>
      <w:r w:rsidR="00401A95" w:rsidRPr="00401A95">
        <w:rPr>
          <w:rFonts w:cs="Arial"/>
          <w:snapToGrid w:val="0"/>
          <w:spacing w:val="-2"/>
          <w:lang w:val="es-ES_tradnl" w:eastAsia="ja-JP"/>
        </w:rPr>
        <w:t>la </w:t>
      </w:r>
      <w:r w:rsidR="005E0C03" w:rsidRPr="00401A95">
        <w:rPr>
          <w:rFonts w:cs="Arial"/>
          <w:snapToGrid w:val="0"/>
          <w:spacing w:val="-2"/>
          <w:lang w:val="es-ES_tradnl" w:eastAsia="ja-JP"/>
        </w:rPr>
        <w:t>UPOV” (documento UPOV/INF/12/5)</w:t>
      </w:r>
      <w:r w:rsidR="00DD7B53" w:rsidRPr="00401A95">
        <w:rPr>
          <w:rFonts w:cs="Arial"/>
          <w:snapToGrid w:val="0"/>
          <w:spacing w:val="-2"/>
          <w:lang w:val="es-ES_tradnl" w:eastAsia="ja-JP"/>
        </w:rPr>
        <w:t xml:space="preserve">, </w:t>
      </w:r>
      <w:r w:rsidR="005E0C03" w:rsidRPr="00401A95">
        <w:rPr>
          <w:rFonts w:cs="Arial"/>
          <w:snapToGrid w:val="0"/>
          <w:spacing w:val="-2"/>
          <w:lang w:val="es-ES_tradnl" w:eastAsia="ja-JP"/>
        </w:rPr>
        <w:t xml:space="preserve">conforme a las modificaciones propuestas en el </w:t>
      </w:r>
      <w:r w:rsidR="00401A95" w:rsidRPr="00401A95">
        <w:rPr>
          <w:rFonts w:cs="Arial"/>
          <w:snapToGrid w:val="0"/>
          <w:spacing w:val="-2"/>
          <w:lang w:val="es-ES_tradnl" w:eastAsia="ja-JP"/>
        </w:rPr>
        <w:t>documento C/49/14</w:t>
      </w:r>
      <w:r w:rsidR="00401A95" w:rsidRPr="00401A95">
        <w:rPr>
          <w:rFonts w:cs="Arial"/>
          <w:snapToGrid w:val="0"/>
          <w:spacing w:val="-2"/>
          <w:lang w:val="es-ES_tradnl" w:eastAsia="ja-JP"/>
        </w:rPr>
        <w:t xml:space="preserve">, </w:t>
      </w:r>
      <w:r w:rsidR="005E0C03" w:rsidRPr="00E45053">
        <w:rPr>
          <w:rFonts w:cs="Arial"/>
          <w:snapToGrid w:val="0"/>
          <w:lang w:val="es-ES_tradnl" w:eastAsia="ja-JP"/>
        </w:rPr>
        <w:t>Anexo III “Propuestas de modificaci</w:t>
      </w:r>
      <w:r w:rsidR="00401A95">
        <w:rPr>
          <w:rFonts w:cs="Arial"/>
          <w:snapToGrid w:val="0"/>
          <w:lang w:val="es-ES_tradnl" w:eastAsia="ja-JP"/>
        </w:rPr>
        <w:t>ón del documento UPOV/INF/12/4 ‘</w:t>
      </w:r>
      <w:r w:rsidR="005E0C03" w:rsidRPr="00E45053">
        <w:rPr>
          <w:rFonts w:cs="Arial"/>
          <w:snapToGrid w:val="0"/>
          <w:lang w:val="es-ES_tradnl" w:eastAsia="ja-JP"/>
        </w:rPr>
        <w:t>Notas explicativas sobre las denominaciones de variedades con arreglo al Convenio de la UPOV</w:t>
      </w:r>
      <w:r w:rsidR="00401A95">
        <w:rPr>
          <w:rFonts w:cs="Arial"/>
          <w:snapToGrid w:val="0"/>
          <w:lang w:val="es-ES_tradnl" w:eastAsia="ja-JP"/>
        </w:rPr>
        <w:t>’</w:t>
      </w:r>
      <w:r w:rsidR="005E0C03" w:rsidRPr="00E45053">
        <w:rPr>
          <w:rFonts w:cs="Arial"/>
          <w:snapToGrid w:val="0"/>
          <w:lang w:val="es-ES_tradnl" w:eastAsia="ja-JP"/>
        </w:rPr>
        <w:t>”</w:t>
      </w:r>
      <w:r w:rsidR="00DD7B53" w:rsidRPr="00E45053">
        <w:rPr>
          <w:rFonts w:cs="Arial"/>
          <w:snapToGrid w:val="0"/>
          <w:lang w:val="es-ES_tradnl" w:eastAsia="ja-JP"/>
        </w:rPr>
        <w:t xml:space="preserve">, </w:t>
      </w:r>
      <w:r w:rsidR="005E0C03" w:rsidRPr="00E45053">
        <w:rPr>
          <w:rFonts w:cs="Arial"/>
          <w:snapToGrid w:val="0"/>
          <w:lang w:val="es-ES_tradnl" w:eastAsia="ja-JP"/>
        </w:rPr>
        <w:t>a saber:</w:t>
      </w:r>
      <w:r w:rsidR="006B4D4F" w:rsidRPr="00E45053">
        <w:rPr>
          <w:rFonts w:cs="Arial"/>
          <w:snapToGrid w:val="0"/>
          <w:lang w:val="es-ES_tradnl" w:eastAsia="ja-JP"/>
        </w:rPr>
        <w:t xml:space="preserve">  </w:t>
      </w:r>
    </w:p>
    <w:p w:rsidR="00753491" w:rsidRPr="00E45053" w:rsidRDefault="00753491" w:rsidP="00753491">
      <w:pPr>
        <w:ind w:left="540"/>
        <w:rPr>
          <w:rFonts w:cs="Arial"/>
          <w:i/>
          <w:snapToGrid w:val="0"/>
          <w:lang w:val="es-ES_tradnl" w:eastAsia="ja-JP"/>
        </w:rPr>
      </w:pPr>
    </w:p>
    <w:p w:rsidR="00753491" w:rsidRPr="00E45053" w:rsidRDefault="00753491" w:rsidP="00753491">
      <w:pPr>
        <w:ind w:left="540" w:rightChars="283" w:right="566"/>
        <w:rPr>
          <w:rFonts w:cs="Arial"/>
          <w:snapToGrid w:val="0"/>
          <w:sz w:val="18"/>
          <w:szCs w:val="18"/>
          <w:lang w:val="es-ES_tradnl" w:eastAsia="ja-JP"/>
        </w:rPr>
      </w:pPr>
      <w:r w:rsidRPr="00E45053">
        <w:rPr>
          <w:rFonts w:cs="Arial"/>
          <w:snapToGrid w:val="0"/>
          <w:sz w:val="18"/>
          <w:szCs w:val="18"/>
          <w:lang w:val="es-ES_tradnl" w:eastAsia="ja-JP"/>
        </w:rPr>
        <w:t>“7.2</w:t>
      </w:r>
      <w:r w:rsidRPr="00E45053">
        <w:rPr>
          <w:rFonts w:cs="Arial"/>
          <w:snapToGrid w:val="0"/>
          <w:sz w:val="18"/>
          <w:szCs w:val="18"/>
          <w:lang w:val="es-ES_tradnl" w:eastAsia="ja-JP"/>
        </w:rPr>
        <w:tab/>
      </w:r>
      <w:r w:rsidR="005E0C03" w:rsidRPr="00E45053">
        <w:rPr>
          <w:rFonts w:cs="Arial"/>
          <w:snapToGrid w:val="0"/>
          <w:sz w:val="18"/>
          <w:szCs w:val="18"/>
          <w:lang w:val="es-ES_tradnl" w:eastAsia="ja-JP"/>
        </w:rPr>
        <w:t>Los elementos siguientes constituyen orientaciones relativas a los cambios de la denominación de variedades registradas:</w:t>
      </w:r>
      <w:r w:rsidR="006B4D4F" w:rsidRPr="00E45053">
        <w:rPr>
          <w:rFonts w:cs="Arial"/>
          <w:snapToGrid w:val="0"/>
          <w:sz w:val="18"/>
          <w:szCs w:val="18"/>
          <w:lang w:val="es-ES_tradnl" w:eastAsia="ja-JP"/>
        </w:rPr>
        <w:t xml:space="preserve">  </w:t>
      </w:r>
    </w:p>
    <w:p w:rsidR="00753491" w:rsidRPr="00E45053" w:rsidRDefault="00753491" w:rsidP="00753491">
      <w:pPr>
        <w:ind w:left="432" w:rightChars="283" w:right="566"/>
        <w:rPr>
          <w:rFonts w:cs="Arial"/>
          <w:snapToGrid w:val="0"/>
          <w:sz w:val="18"/>
          <w:szCs w:val="18"/>
          <w:lang w:val="es-ES_tradnl" w:eastAsia="ja-JP"/>
        </w:rPr>
      </w:pPr>
    </w:p>
    <w:p w:rsidR="00753491" w:rsidRPr="00E45053" w:rsidRDefault="00753491" w:rsidP="00753491">
      <w:pPr>
        <w:ind w:left="1701" w:rightChars="283" w:right="566" w:hanging="567"/>
        <w:rPr>
          <w:rFonts w:cs="Arial"/>
          <w:snapToGrid w:val="0"/>
          <w:sz w:val="18"/>
          <w:szCs w:val="18"/>
          <w:lang w:val="es-ES_tradnl" w:eastAsia="ja-JP"/>
        </w:rPr>
      </w:pPr>
      <w:r w:rsidRPr="00E45053">
        <w:rPr>
          <w:rFonts w:cs="Arial"/>
          <w:snapToGrid w:val="0"/>
          <w:sz w:val="18"/>
          <w:szCs w:val="18"/>
          <w:lang w:val="es-ES_tradnl" w:eastAsia="ja-JP"/>
        </w:rPr>
        <w:t>a)</w:t>
      </w:r>
      <w:r w:rsidRPr="00E45053">
        <w:rPr>
          <w:rFonts w:cs="Arial"/>
          <w:snapToGrid w:val="0"/>
          <w:sz w:val="18"/>
          <w:szCs w:val="18"/>
          <w:lang w:val="es-ES_tradnl" w:eastAsia="ja-JP"/>
        </w:rPr>
        <w:tab/>
      </w:r>
      <w:r w:rsidR="005E0C03" w:rsidRPr="00E45053">
        <w:rPr>
          <w:rFonts w:cs="Arial"/>
          <w:snapToGrid w:val="0"/>
          <w:sz w:val="18"/>
          <w:szCs w:val="18"/>
          <w:lang w:val="es-ES_tradnl" w:eastAsia="ja-JP"/>
        </w:rPr>
        <w:t>El Convenio de la UPOV establece que cuando se declara la caducidad de la denominación de la variedad tras la concesión del derecho</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la denominación registrada debe modificarse.</w:t>
      </w:r>
      <w:r w:rsidR="006B4D4F"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La autoridad competente deberá declarar la caducidad de la denominación de una variedad si:</w:t>
      </w:r>
      <w:r w:rsidR="006B4D4F" w:rsidRPr="00E45053">
        <w:rPr>
          <w:rFonts w:cs="Arial"/>
          <w:snapToGrid w:val="0"/>
          <w:sz w:val="18"/>
          <w:szCs w:val="18"/>
          <w:lang w:val="es-ES_tradnl" w:eastAsia="ja-JP"/>
        </w:rPr>
        <w:t xml:space="preserve">  </w:t>
      </w:r>
    </w:p>
    <w:p w:rsidR="00753491" w:rsidRPr="00E45053" w:rsidRDefault="00753491" w:rsidP="00753491">
      <w:pPr>
        <w:ind w:left="432" w:rightChars="283" w:right="566"/>
        <w:rPr>
          <w:rFonts w:cs="Arial"/>
          <w:snapToGrid w:val="0"/>
          <w:sz w:val="18"/>
          <w:szCs w:val="18"/>
          <w:lang w:val="es-ES_tradnl" w:eastAsia="ja-JP"/>
        </w:rPr>
      </w:pPr>
    </w:p>
    <w:p w:rsidR="00753491" w:rsidRPr="00E45053" w:rsidRDefault="00753491" w:rsidP="00753491">
      <w:pPr>
        <w:ind w:left="1701" w:rightChars="283" w:right="566"/>
        <w:rPr>
          <w:rFonts w:cs="Arial"/>
          <w:snapToGrid w:val="0"/>
          <w:sz w:val="18"/>
          <w:szCs w:val="18"/>
          <w:lang w:val="es-ES_tradnl" w:eastAsia="ja-JP"/>
        </w:rPr>
      </w:pPr>
      <w:r w:rsidRPr="00E45053">
        <w:rPr>
          <w:rFonts w:cs="Arial"/>
          <w:snapToGrid w:val="0"/>
          <w:sz w:val="18"/>
          <w:szCs w:val="18"/>
          <w:lang w:val="es-ES_tradnl" w:eastAsia="ja-JP"/>
        </w:rPr>
        <w:t>i)</w:t>
      </w:r>
      <w:r w:rsidRPr="00E45053">
        <w:rPr>
          <w:rFonts w:cs="Arial"/>
          <w:snapToGrid w:val="0"/>
          <w:sz w:val="18"/>
          <w:szCs w:val="18"/>
          <w:lang w:val="es-ES_tradnl" w:eastAsia="ja-JP"/>
        </w:rPr>
        <w:tab/>
      </w:r>
      <w:r w:rsidR="005E0C03" w:rsidRPr="00E45053">
        <w:rPr>
          <w:rFonts w:cs="Arial"/>
          <w:snapToGrid w:val="0"/>
          <w:sz w:val="18"/>
          <w:szCs w:val="18"/>
          <w:lang w:val="es-ES_tradnl" w:eastAsia="ja-JP"/>
        </w:rPr>
        <w:t>en virtud de un derecho anterior</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la utilización de la denominación de una variedad está prohibida a una persona que está obligada a utilizarla</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de conformidad con lo dispuesto en el párrafo</w:t>
      </w:r>
      <w:r w:rsidR="00DD7B53" w:rsidRPr="00E45053">
        <w:rPr>
          <w:rFonts w:cs="Arial"/>
          <w:snapToGrid w:val="0"/>
          <w:sz w:val="18"/>
          <w:szCs w:val="18"/>
          <w:lang w:val="es-ES_tradnl" w:eastAsia="ja-JP"/>
        </w:rPr>
        <w:t> 7</w:t>
      </w:r>
      <w:r w:rsidR="005E0C03" w:rsidRPr="00E45053">
        <w:rPr>
          <w:rFonts w:cs="Arial"/>
          <w:snapToGrid w:val="0"/>
          <w:sz w:val="18"/>
          <w:szCs w:val="18"/>
          <w:lang w:val="es-ES_tradnl" w:eastAsia="ja-JP"/>
        </w:rPr>
        <w:t>) (véase el párrafo</w:t>
      </w:r>
      <w:r w:rsidR="00DD7B53" w:rsidRPr="00E45053">
        <w:rPr>
          <w:rFonts w:cs="Arial"/>
          <w:snapToGrid w:val="0"/>
          <w:sz w:val="18"/>
          <w:szCs w:val="18"/>
          <w:lang w:val="es-ES_tradnl" w:eastAsia="ja-JP"/>
        </w:rPr>
        <w:t> 4</w:t>
      </w:r>
      <w:r w:rsidR="005E0C03" w:rsidRPr="00E45053">
        <w:rPr>
          <w:rFonts w:cs="Arial"/>
          <w:snapToGrid w:val="0"/>
          <w:sz w:val="18"/>
          <w:szCs w:val="18"/>
          <w:lang w:val="es-ES_tradnl" w:eastAsia="ja-JP"/>
        </w:rPr>
        <w:t xml:space="preserve"> “Derechos anteriores de terceros”);</w:t>
      </w:r>
    </w:p>
    <w:p w:rsidR="00753491" w:rsidRPr="00E45053" w:rsidRDefault="00753491" w:rsidP="00753491">
      <w:pPr>
        <w:ind w:left="1701" w:rightChars="283" w:right="566"/>
        <w:rPr>
          <w:rFonts w:cs="Arial"/>
          <w:snapToGrid w:val="0"/>
          <w:sz w:val="18"/>
          <w:szCs w:val="18"/>
          <w:lang w:val="es-ES_tradnl" w:eastAsia="ja-JP"/>
        </w:rPr>
      </w:pPr>
    </w:p>
    <w:p w:rsidR="00753491" w:rsidRPr="00E45053" w:rsidRDefault="00753491" w:rsidP="00753491">
      <w:pPr>
        <w:ind w:left="1701" w:rightChars="283" w:right="566"/>
        <w:rPr>
          <w:rFonts w:cs="Arial"/>
          <w:snapToGrid w:val="0"/>
          <w:sz w:val="18"/>
          <w:szCs w:val="18"/>
          <w:lang w:val="es-ES_tradnl" w:eastAsia="ja-JP"/>
        </w:rPr>
      </w:pPr>
      <w:r w:rsidRPr="00E45053">
        <w:rPr>
          <w:rFonts w:cs="Arial"/>
          <w:snapToGrid w:val="0"/>
          <w:sz w:val="18"/>
          <w:szCs w:val="18"/>
          <w:lang w:val="es-ES_tradnl" w:eastAsia="ja-JP"/>
        </w:rPr>
        <w:t>ii)</w:t>
      </w:r>
      <w:r w:rsidRPr="00E45053">
        <w:rPr>
          <w:rFonts w:cs="Arial"/>
          <w:snapToGrid w:val="0"/>
          <w:sz w:val="18"/>
          <w:szCs w:val="18"/>
          <w:lang w:val="es-ES_tradnl" w:eastAsia="ja-JP"/>
        </w:rPr>
        <w:tab/>
      </w:r>
      <w:r w:rsidR="005E0C03" w:rsidRPr="00E45053">
        <w:rPr>
          <w:rFonts w:cs="Arial"/>
          <w:snapToGrid w:val="0"/>
          <w:sz w:val="18"/>
          <w:szCs w:val="18"/>
          <w:lang w:val="es-ES_tradnl" w:eastAsia="ja-JP"/>
        </w:rPr>
        <w:t>la denominación resultara inadecuada por ser contraria a las disposiciones del párrafo 2 “Características de la denominación”;</w:t>
      </w:r>
    </w:p>
    <w:p w:rsidR="00753491" w:rsidRPr="00E45053" w:rsidRDefault="00753491" w:rsidP="00753491">
      <w:pPr>
        <w:ind w:left="432" w:rightChars="283" w:right="566"/>
        <w:rPr>
          <w:rFonts w:cs="Arial"/>
          <w:snapToGrid w:val="0"/>
          <w:sz w:val="18"/>
          <w:szCs w:val="18"/>
          <w:lang w:val="es-ES_tradnl" w:eastAsia="ja-JP"/>
        </w:rPr>
      </w:pPr>
    </w:p>
    <w:p w:rsidR="00753491" w:rsidRPr="00E45053" w:rsidRDefault="00753491" w:rsidP="00753491">
      <w:pPr>
        <w:ind w:left="1701" w:rightChars="283" w:right="566" w:hanging="567"/>
        <w:rPr>
          <w:rFonts w:cs="Arial"/>
          <w:snapToGrid w:val="0"/>
          <w:sz w:val="18"/>
          <w:szCs w:val="18"/>
          <w:lang w:val="es-ES_tradnl" w:eastAsia="ja-JP"/>
        </w:rPr>
      </w:pPr>
      <w:r w:rsidRPr="00E45053">
        <w:rPr>
          <w:rFonts w:cs="Arial"/>
          <w:snapToGrid w:val="0"/>
          <w:sz w:val="18"/>
          <w:szCs w:val="18"/>
          <w:lang w:val="es-ES_tradnl" w:eastAsia="ja-JP"/>
        </w:rPr>
        <w:t>b)</w:t>
      </w:r>
      <w:r w:rsidRPr="00E45053">
        <w:rPr>
          <w:rFonts w:cs="Arial"/>
          <w:snapToGrid w:val="0"/>
          <w:sz w:val="18"/>
          <w:szCs w:val="18"/>
          <w:lang w:val="es-ES_tradnl" w:eastAsia="ja-JP"/>
        </w:rPr>
        <w:tab/>
      </w:r>
      <w:r w:rsidR="005E0C03" w:rsidRPr="00E45053">
        <w:rPr>
          <w:rFonts w:cs="Arial"/>
          <w:snapToGrid w:val="0"/>
          <w:sz w:val="18"/>
          <w:szCs w:val="18"/>
          <w:lang w:val="es-ES_tradnl" w:eastAsia="ja-JP"/>
        </w:rPr>
        <w:t>En casos en que la denominación registrada es rechazada posteriormente por otro miembro de la Unión por ser inadecuada en su territorio (por ejemplo</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por un derecho anterior)</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la autoridad puede considerar oportuno</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a petición del obtentor</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cambiar la denominación por la registrada en ese otro miembro de la Unión (véanse las disposiciones del párrafo 5 “Misma denominación en todas las partes contratantes”);</w:t>
      </w:r>
      <w:r w:rsidR="006B4D4F"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y</w:t>
      </w:r>
    </w:p>
    <w:p w:rsidR="00753491" w:rsidRPr="00E45053" w:rsidRDefault="00753491" w:rsidP="00753491">
      <w:pPr>
        <w:ind w:left="1701" w:rightChars="283" w:right="566" w:hanging="567"/>
        <w:rPr>
          <w:rFonts w:cs="Arial"/>
          <w:snapToGrid w:val="0"/>
          <w:sz w:val="18"/>
          <w:szCs w:val="18"/>
          <w:lang w:val="es-ES_tradnl" w:eastAsia="ja-JP"/>
        </w:rPr>
      </w:pPr>
    </w:p>
    <w:p w:rsidR="00753491" w:rsidRPr="00E45053" w:rsidRDefault="00753491" w:rsidP="00753491">
      <w:pPr>
        <w:ind w:left="1701" w:rightChars="283" w:right="566" w:hanging="567"/>
        <w:rPr>
          <w:rFonts w:cs="Arial"/>
          <w:snapToGrid w:val="0"/>
          <w:sz w:val="18"/>
          <w:szCs w:val="18"/>
          <w:lang w:val="es-ES_tradnl" w:eastAsia="ja-JP"/>
        </w:rPr>
      </w:pPr>
      <w:r w:rsidRPr="00E45053">
        <w:rPr>
          <w:rFonts w:cs="Arial"/>
          <w:snapToGrid w:val="0"/>
          <w:sz w:val="18"/>
          <w:szCs w:val="18"/>
          <w:lang w:val="es-ES_tradnl" w:eastAsia="ja-JP"/>
        </w:rPr>
        <w:t>c)</w:t>
      </w:r>
      <w:r w:rsidRPr="00E45053">
        <w:rPr>
          <w:rFonts w:cs="Arial"/>
          <w:snapToGrid w:val="0"/>
          <w:sz w:val="18"/>
          <w:szCs w:val="18"/>
          <w:lang w:val="es-ES_tradnl" w:eastAsia="ja-JP"/>
        </w:rPr>
        <w:tab/>
      </w:r>
      <w:r w:rsidR="005E0C03" w:rsidRPr="00E45053">
        <w:rPr>
          <w:rFonts w:cs="Arial"/>
          <w:snapToGrid w:val="0"/>
          <w:sz w:val="18"/>
          <w:szCs w:val="18"/>
          <w:lang w:val="es-ES_tradnl" w:eastAsia="ja-JP"/>
        </w:rPr>
        <w:t>En general</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salvo en los casos a) y b) indicados</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no será pertinente que la autoridad cambie</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a petición del obtentor</w:t>
      </w:r>
      <w:r w:rsidR="00DD7B53" w:rsidRPr="00E45053">
        <w:rPr>
          <w:rFonts w:cs="Arial"/>
          <w:snapToGrid w:val="0"/>
          <w:sz w:val="18"/>
          <w:szCs w:val="18"/>
          <w:lang w:val="es-ES_tradnl" w:eastAsia="ja-JP"/>
        </w:rPr>
        <w:t xml:space="preserve">, </w:t>
      </w:r>
      <w:r w:rsidR="005E0C03" w:rsidRPr="00E45053">
        <w:rPr>
          <w:rFonts w:cs="Arial"/>
          <w:snapToGrid w:val="0"/>
          <w:sz w:val="18"/>
          <w:szCs w:val="18"/>
          <w:lang w:val="es-ES_tradnl" w:eastAsia="ja-JP"/>
        </w:rPr>
        <w:t>una denominación registrada.</w:t>
      </w:r>
      <w:r w:rsidRPr="00E45053">
        <w:rPr>
          <w:rFonts w:cs="Arial"/>
          <w:snapToGrid w:val="0"/>
          <w:sz w:val="18"/>
          <w:szCs w:val="18"/>
          <w:lang w:val="es-ES_tradnl" w:eastAsia="ja-JP"/>
        </w:rPr>
        <w:t>”</w:t>
      </w:r>
    </w:p>
    <w:p w:rsidR="00753491" w:rsidRPr="00E45053" w:rsidRDefault="00753491" w:rsidP="00753491">
      <w:pPr>
        <w:rPr>
          <w:rFonts w:cs="Arial"/>
          <w:snapToGrid w:val="0"/>
          <w:lang w:val="es-ES_tradnl" w:eastAsia="ja-JP"/>
        </w:rPr>
      </w:pPr>
    </w:p>
    <w:p w:rsidR="00753491" w:rsidRPr="00E45053" w:rsidRDefault="00C20852" w:rsidP="00753491">
      <w:pPr>
        <w:pStyle w:val="Heading2"/>
        <w:keepNext w:val="0"/>
        <w:rPr>
          <w:lang w:val="es-ES_tradnl"/>
        </w:rPr>
      </w:pPr>
      <w:bookmarkStart w:id="9" w:name="_Toc443496598"/>
      <w:r w:rsidRPr="00E45053">
        <w:rPr>
          <w:lang w:val="es-ES_tradnl"/>
        </w:rPr>
        <w:t>Otras secciones</w:t>
      </w:r>
      <w:bookmarkEnd w:id="9"/>
    </w:p>
    <w:p w:rsidR="00753491" w:rsidRPr="00E45053" w:rsidRDefault="00753491" w:rsidP="00753491">
      <w:pPr>
        <w:rPr>
          <w:rFonts w:cs="Arial"/>
          <w:snapToGrid w:val="0"/>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C20852" w:rsidRPr="00E45053">
        <w:rPr>
          <w:lang w:val="es-ES_tradnl" w:eastAsia="ja-JP"/>
        </w:rPr>
        <w:t>En su septuagésima primera sesión</w:t>
      </w:r>
      <w:r w:rsidR="00DD7B53" w:rsidRPr="00E45053">
        <w:rPr>
          <w:lang w:val="es-ES_tradnl" w:eastAsia="ja-JP"/>
        </w:rPr>
        <w:t xml:space="preserve">, </w:t>
      </w:r>
      <w:r w:rsidR="00C20852" w:rsidRPr="00E45053">
        <w:rPr>
          <w:lang w:val="es-ES_tradnl" w:eastAsia="ja-JP"/>
        </w:rPr>
        <w:t xml:space="preserve">el CAJ decidió invitar al </w:t>
      </w:r>
      <w:r w:rsidR="00C20852" w:rsidRPr="00E45053">
        <w:rPr>
          <w:noProof/>
          <w:lang w:val="es-ES_tradnl" w:eastAsia="ja-JP"/>
        </w:rPr>
        <w:t>WG</w:t>
      </w:r>
      <w:r w:rsidR="00C20852" w:rsidRPr="00E45053">
        <w:rPr>
          <w:noProof/>
          <w:lang w:val="es-ES_tradnl" w:eastAsia="ja-JP"/>
        </w:rPr>
        <w:noBreakHyphen/>
        <w:t>DST</w:t>
      </w:r>
      <w:r w:rsidR="00C20852" w:rsidRPr="00E45053">
        <w:rPr>
          <w:lang w:val="es-ES_tradnl" w:eastAsia="ja-JP"/>
        </w:rPr>
        <w:t xml:space="preserve"> a examinar los comentarios formulados por el </w:t>
      </w:r>
      <w:r w:rsidR="00C20852" w:rsidRPr="00E45053">
        <w:rPr>
          <w:noProof/>
          <w:lang w:val="es-ES_tradnl" w:eastAsia="ja-JP"/>
        </w:rPr>
        <w:t>CAJ</w:t>
      </w:r>
      <w:r w:rsidR="00C20852" w:rsidRPr="00E45053">
        <w:rPr>
          <w:noProof/>
          <w:lang w:val="es-ES_tradnl" w:eastAsia="ja-JP"/>
        </w:rPr>
        <w:noBreakHyphen/>
        <w:t>AG</w:t>
      </w:r>
      <w:r w:rsidR="00C20852" w:rsidRPr="00E45053">
        <w:rPr>
          <w:lang w:val="es-ES_tradnl" w:eastAsia="ja-JP"/>
        </w:rPr>
        <w:t xml:space="preserve"> sobre las propuestas que figuran en el documento UPOV/INF/12/5 </w:t>
      </w:r>
      <w:proofErr w:type="spellStart"/>
      <w:r w:rsidR="00C20852" w:rsidRPr="00E45053">
        <w:rPr>
          <w:lang w:val="es-ES_tradnl" w:eastAsia="ja-JP"/>
        </w:rPr>
        <w:t>Draft</w:t>
      </w:r>
      <w:proofErr w:type="spellEnd"/>
      <w:r w:rsidR="00C20852" w:rsidRPr="00E45053">
        <w:rPr>
          <w:lang w:val="es-ES_tradnl" w:eastAsia="ja-JP"/>
        </w:rPr>
        <w:t> 2 acerca de las Secciones 2.2.2.b)</w:t>
      </w:r>
      <w:r w:rsidR="00DD7B53" w:rsidRPr="00E45053">
        <w:rPr>
          <w:lang w:val="es-ES_tradnl" w:eastAsia="ja-JP"/>
        </w:rPr>
        <w:t>, 2</w:t>
      </w:r>
      <w:r w:rsidR="00C20852" w:rsidRPr="00E45053">
        <w:rPr>
          <w:lang w:val="es-ES_tradnl" w:eastAsia="ja-JP"/>
        </w:rPr>
        <w:t>.3.1.c) y d)</w:t>
      </w:r>
      <w:r w:rsidR="00DD7B53" w:rsidRPr="00E45053">
        <w:rPr>
          <w:lang w:val="es-ES_tradnl" w:eastAsia="ja-JP"/>
        </w:rPr>
        <w:t xml:space="preserve">, </w:t>
      </w:r>
      <w:r w:rsidR="00C20852" w:rsidRPr="00E45053">
        <w:rPr>
          <w:lang w:val="es-ES_tradnl" w:eastAsia="ja-JP"/>
        </w:rPr>
        <w:t>y 2.3.3</w:t>
      </w:r>
      <w:r w:rsidR="00DD7B53" w:rsidRPr="00E45053">
        <w:rPr>
          <w:lang w:val="es-ES_tradnl" w:eastAsia="ja-JP"/>
        </w:rPr>
        <w:t xml:space="preserve">, </w:t>
      </w:r>
      <w:r w:rsidR="00C20852" w:rsidRPr="00E45053">
        <w:rPr>
          <w:lang w:val="es-ES_tradnl" w:eastAsia="ja-JP"/>
        </w:rPr>
        <w:t xml:space="preserve">según se expone en el párrafo 27 del documento CAJ/71/3 </w:t>
      </w:r>
      <w:r w:rsidR="00537E57" w:rsidRPr="00E45053">
        <w:rPr>
          <w:lang w:val="es-ES_tradnl" w:eastAsia="ja-JP"/>
        </w:rPr>
        <w:t>“Denominaciones de variedades” (véase el párrafo</w:t>
      </w:r>
      <w:r w:rsidR="00DD7B53" w:rsidRPr="00E45053">
        <w:rPr>
          <w:lang w:val="es-ES_tradnl" w:eastAsia="ja-JP"/>
        </w:rPr>
        <w:t> 3</w:t>
      </w:r>
      <w:r w:rsidR="00537E57" w:rsidRPr="00E45053">
        <w:rPr>
          <w:lang w:val="es-ES_tradnl" w:eastAsia="ja-JP"/>
        </w:rPr>
        <w:t xml:space="preserve">5 del </w:t>
      </w:r>
      <w:r w:rsidR="00C20852" w:rsidRPr="00E45053">
        <w:rPr>
          <w:lang w:val="es-ES_tradnl" w:eastAsia="ja-JP"/>
        </w:rPr>
        <w:t>documento CAJ/71/10 “Informe sobre las conclusiones”).</w:t>
      </w:r>
      <w:r w:rsidR="00753491" w:rsidRPr="00E45053">
        <w:rPr>
          <w:lang w:val="es-ES_tradnl" w:eastAsia="ja-JP"/>
        </w:rPr>
        <w:t xml:space="preserve">  </w:t>
      </w:r>
      <w:r w:rsidR="00DF05E3" w:rsidRPr="00E45053">
        <w:rPr>
          <w:lang w:val="es-ES_tradnl" w:eastAsia="ja-JP"/>
        </w:rPr>
        <w:t xml:space="preserve">A continuación se reproducen los comentarios formulados por el </w:t>
      </w:r>
      <w:r w:rsidR="00DF05E3" w:rsidRPr="00E45053">
        <w:rPr>
          <w:noProof/>
          <w:lang w:val="es-ES_tradnl" w:eastAsia="ja-JP"/>
        </w:rPr>
        <w:t>CAJ</w:t>
      </w:r>
      <w:r w:rsidR="00DF05E3" w:rsidRPr="00E45053">
        <w:rPr>
          <w:noProof/>
          <w:lang w:val="es-ES_tradnl" w:eastAsia="ja-JP"/>
        </w:rPr>
        <w:noBreakHyphen/>
        <w:t>AG</w:t>
      </w:r>
      <w:r w:rsidR="00DF05E3" w:rsidRPr="00E45053">
        <w:rPr>
          <w:lang w:val="es-ES_tradnl" w:eastAsia="ja-JP"/>
        </w:rPr>
        <w:t>:</w:t>
      </w:r>
      <w:r w:rsidR="009D6A44" w:rsidRPr="00E45053">
        <w:rPr>
          <w:lang w:val="es-ES_tradnl" w:eastAsia="ja-JP"/>
        </w:rPr>
        <w:t xml:space="preserve">  </w:t>
      </w:r>
    </w:p>
    <w:p w:rsidR="00753491" w:rsidRPr="00E45053" w:rsidRDefault="00753491" w:rsidP="00753491">
      <w:pPr>
        <w:rPr>
          <w:rFonts w:cs="Arial"/>
          <w:lang w:val="es-ES_tradnl"/>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1391"/>
        <w:gridCol w:w="7789"/>
      </w:tblGrid>
      <w:tr w:rsidR="00753491" w:rsidRPr="00E45053">
        <w:trPr>
          <w:cantSplit/>
        </w:trPr>
        <w:tc>
          <w:tcPr>
            <w:tcW w:w="1391" w:type="dxa"/>
          </w:tcPr>
          <w:p w:rsidR="00753491" w:rsidRPr="00E45053" w:rsidRDefault="00753491" w:rsidP="00753491">
            <w:pPr>
              <w:rPr>
                <w:rFonts w:cs="Arial"/>
                <w:lang w:val="es-ES_tradnl"/>
              </w:rPr>
            </w:pPr>
            <w:r w:rsidRPr="00E45053">
              <w:rPr>
                <w:lang w:val="es-ES_tradnl"/>
              </w:rPr>
              <w:lastRenderedPageBreak/>
              <w:t>2.2.2</w:t>
            </w:r>
            <w:r w:rsidR="000D0A7C" w:rsidRPr="00E45053">
              <w:rPr>
                <w:lang w:val="es-ES_tradnl"/>
              </w:rPr>
              <w:t>.</w:t>
            </w:r>
            <w:r w:rsidRPr="00E45053">
              <w:rPr>
                <w:lang w:val="es-ES_tradnl"/>
              </w:rPr>
              <w:t>b)</w:t>
            </w:r>
          </w:p>
        </w:tc>
        <w:tc>
          <w:tcPr>
            <w:tcW w:w="7789" w:type="dxa"/>
          </w:tcPr>
          <w:p w:rsidR="00753491" w:rsidRPr="00E45053" w:rsidRDefault="00C36DF5" w:rsidP="00753491">
            <w:pPr>
              <w:rPr>
                <w:snapToGrid w:val="0"/>
                <w:lang w:val="es-ES_tradnl"/>
              </w:rPr>
            </w:pPr>
            <w:r w:rsidRPr="00E45053">
              <w:rPr>
                <w:snapToGrid w:val="0"/>
                <w:lang w:val="es-ES_tradnl"/>
              </w:rPr>
              <w:t>Debe aclararse la terminología empleada en el inciso</w:t>
            </w:r>
            <w:r w:rsidR="00DD7B53" w:rsidRPr="00E45053">
              <w:rPr>
                <w:snapToGrid w:val="0"/>
                <w:lang w:val="es-ES_tradnl"/>
              </w:rPr>
              <w:t> 2</w:t>
            </w:r>
            <w:r w:rsidRPr="00E45053">
              <w:rPr>
                <w:snapToGrid w:val="0"/>
                <w:lang w:val="es-ES_tradnl"/>
              </w:rPr>
              <w:t>.2.2</w:t>
            </w:r>
            <w:r w:rsidR="000D0A7C" w:rsidRPr="00E45053">
              <w:rPr>
                <w:snapToGrid w:val="0"/>
                <w:lang w:val="es-ES_tradnl"/>
              </w:rPr>
              <w:t>.</w:t>
            </w:r>
            <w:r w:rsidRPr="00E45053">
              <w:rPr>
                <w:snapToGrid w:val="0"/>
                <w:lang w:val="es-ES_tradnl"/>
              </w:rPr>
              <w:t>b).</w:t>
            </w:r>
            <w:r w:rsidR="006B4D4F" w:rsidRPr="00E45053">
              <w:rPr>
                <w:snapToGrid w:val="0"/>
                <w:lang w:val="es-ES_tradnl"/>
              </w:rPr>
              <w:t xml:space="preserve">  </w:t>
            </w:r>
            <w:r w:rsidRPr="00E45053">
              <w:rPr>
                <w:snapToGrid w:val="0"/>
                <w:lang w:val="es-ES_tradnl"/>
              </w:rPr>
              <w:t>En particular</w:t>
            </w:r>
            <w:r w:rsidR="00DD7B53" w:rsidRPr="00E45053">
              <w:rPr>
                <w:snapToGrid w:val="0"/>
                <w:lang w:val="es-ES_tradnl"/>
              </w:rPr>
              <w:t xml:space="preserve">, </w:t>
            </w:r>
            <w:r w:rsidRPr="00E45053">
              <w:rPr>
                <w:snapToGrid w:val="0"/>
                <w:lang w:val="es-ES_tradnl"/>
              </w:rPr>
              <w:t>debe considerarse la modificación de los ejemplos o la sustitución de “especies” por “géneros” o “taxones” en la frase siguiente:</w:t>
            </w:r>
            <w:r w:rsidR="006B4D4F" w:rsidRPr="00E45053">
              <w:rPr>
                <w:snapToGrid w:val="0"/>
                <w:lang w:val="es-ES_tradnl"/>
              </w:rPr>
              <w:t xml:space="preserve">  </w:t>
            </w:r>
          </w:p>
          <w:p w:rsidR="00753491" w:rsidRPr="00E45053" w:rsidRDefault="00753491" w:rsidP="00753491">
            <w:pPr>
              <w:rPr>
                <w:snapToGrid w:val="0"/>
                <w:lang w:val="es-ES_tradnl"/>
              </w:rPr>
            </w:pPr>
          </w:p>
          <w:p w:rsidR="00753491" w:rsidRPr="00E45053" w:rsidRDefault="00753491" w:rsidP="00753491">
            <w:pPr>
              <w:rPr>
                <w:snapToGrid w:val="0"/>
                <w:lang w:val="es-ES_tradnl"/>
              </w:rPr>
            </w:pPr>
            <w:r w:rsidRPr="00E45053">
              <w:rPr>
                <w:snapToGrid w:val="0"/>
                <w:lang w:val="es-ES_tradnl"/>
              </w:rPr>
              <w:t>“</w:t>
            </w:r>
            <w:r w:rsidRPr="00E45053">
              <w:rPr>
                <w:color w:val="000000"/>
                <w:lang w:val="es-ES_tradnl"/>
              </w:rPr>
              <w:t>b)</w:t>
            </w:r>
            <w:r w:rsidRPr="00E45053">
              <w:rPr>
                <w:color w:val="000000"/>
                <w:lang w:val="es-ES_tradnl"/>
              </w:rPr>
              <w:tab/>
            </w:r>
            <w:r w:rsidR="00AE0813" w:rsidRPr="00E45053">
              <w:rPr>
                <w:lang w:val="es-ES_tradnl"/>
              </w:rPr>
              <w:t>prácticas de comercialización aceptadas para determinados tipos de variedades (por ejemplo</w:t>
            </w:r>
            <w:r w:rsidR="00DD7B53" w:rsidRPr="00E45053">
              <w:rPr>
                <w:lang w:val="es-ES_tradnl"/>
              </w:rPr>
              <w:t xml:space="preserve">, </w:t>
            </w:r>
            <w:r w:rsidR="00AE0813" w:rsidRPr="00E45053">
              <w:rPr>
                <w:lang w:val="es-ES_tradnl"/>
              </w:rPr>
              <w:t>los híbridos) y ciertas especies (por ejemplo</w:t>
            </w:r>
            <w:r w:rsidR="00DD7B53" w:rsidRPr="00E45053">
              <w:rPr>
                <w:lang w:val="es-ES_tradnl"/>
              </w:rPr>
              <w:t xml:space="preserve">, </w:t>
            </w:r>
            <w:proofErr w:type="spellStart"/>
            <w:r w:rsidR="00AE0813" w:rsidRPr="00E45053">
              <w:rPr>
                <w:i/>
                <w:lang w:val="es-ES_tradnl"/>
              </w:rPr>
              <w:t>Medicago</w:t>
            </w:r>
            <w:proofErr w:type="spellEnd"/>
            <w:r w:rsidR="00DD7B53" w:rsidRPr="00E45053">
              <w:rPr>
                <w:lang w:val="es-ES_tradnl"/>
              </w:rPr>
              <w:t xml:space="preserve">, </w:t>
            </w:r>
            <w:proofErr w:type="spellStart"/>
            <w:r w:rsidR="00AE0813" w:rsidRPr="00E45053">
              <w:rPr>
                <w:i/>
                <w:lang w:val="es-ES_tradnl"/>
              </w:rPr>
              <w:t>Helianthus</w:t>
            </w:r>
            <w:proofErr w:type="spellEnd"/>
            <w:r w:rsidR="00AE0813" w:rsidRPr="00E45053">
              <w:rPr>
                <w:lang w:val="es-ES_tradnl"/>
              </w:rPr>
              <w:t>).</w:t>
            </w:r>
            <w:r w:rsidR="00573194" w:rsidRPr="00E45053">
              <w:rPr>
                <w:color w:val="000000"/>
                <w:lang w:val="es-ES_tradnl"/>
              </w:rPr>
              <w:t>”</w:t>
            </w:r>
          </w:p>
        </w:tc>
      </w:tr>
      <w:tr w:rsidR="00753491" w:rsidRPr="00E45053">
        <w:trPr>
          <w:cantSplit/>
        </w:trPr>
        <w:tc>
          <w:tcPr>
            <w:tcW w:w="1391" w:type="dxa"/>
          </w:tcPr>
          <w:p w:rsidR="00753491" w:rsidRPr="00E45053" w:rsidRDefault="00753491" w:rsidP="00753491">
            <w:pPr>
              <w:rPr>
                <w:rFonts w:cs="Arial"/>
                <w:lang w:val="es-ES_tradnl"/>
              </w:rPr>
            </w:pPr>
            <w:r w:rsidRPr="00E45053">
              <w:rPr>
                <w:rFonts w:cs="Arial"/>
                <w:lang w:val="es-ES_tradnl"/>
              </w:rPr>
              <w:t>2.2.2</w:t>
            </w:r>
            <w:r w:rsidR="000D0A7C" w:rsidRPr="00E45053">
              <w:rPr>
                <w:rFonts w:cs="Arial"/>
                <w:lang w:val="es-ES_tradnl"/>
              </w:rPr>
              <w:t>.</w:t>
            </w:r>
            <w:r w:rsidRPr="00E45053">
              <w:rPr>
                <w:rFonts w:cs="Arial"/>
                <w:lang w:val="es-ES_tradnl"/>
              </w:rPr>
              <w:t>c)</w:t>
            </w:r>
          </w:p>
        </w:tc>
        <w:tc>
          <w:tcPr>
            <w:tcW w:w="7789" w:type="dxa"/>
          </w:tcPr>
          <w:p w:rsidR="00753491" w:rsidRPr="00E45053" w:rsidRDefault="00AE0813" w:rsidP="00753491">
            <w:pPr>
              <w:rPr>
                <w:rFonts w:cs="Arial"/>
                <w:lang w:val="es-ES_tradnl"/>
              </w:rPr>
            </w:pPr>
            <w:r w:rsidRPr="00E45053">
              <w:rPr>
                <w:rFonts w:cs="Arial"/>
                <w:lang w:val="es-ES_tradnl"/>
              </w:rPr>
              <w:t>Debe añadirse el siguiente inciso</w:t>
            </w:r>
            <w:r w:rsidR="00DD7B53" w:rsidRPr="00E45053">
              <w:rPr>
                <w:rFonts w:cs="Arial"/>
                <w:lang w:val="es-ES_tradnl"/>
              </w:rPr>
              <w:t> 2</w:t>
            </w:r>
            <w:r w:rsidRPr="00E45053">
              <w:rPr>
                <w:rFonts w:cs="Arial"/>
                <w:lang w:val="es-ES_tradnl"/>
              </w:rPr>
              <w:t>.2.2</w:t>
            </w:r>
            <w:r w:rsidR="000D0A7C" w:rsidRPr="00E45053">
              <w:rPr>
                <w:rFonts w:cs="Arial"/>
                <w:lang w:val="es-ES_tradnl"/>
              </w:rPr>
              <w:t>.</w:t>
            </w:r>
            <w:r w:rsidRPr="00E45053">
              <w:rPr>
                <w:rFonts w:cs="Arial"/>
                <w:lang w:val="es-ES_tradnl"/>
              </w:rPr>
              <w:t>c):</w:t>
            </w:r>
            <w:r w:rsidR="006B4D4F" w:rsidRPr="00E45053">
              <w:rPr>
                <w:rFonts w:cs="Arial"/>
                <w:lang w:val="es-ES_tradnl"/>
              </w:rPr>
              <w:t xml:space="preserve">  </w:t>
            </w:r>
          </w:p>
          <w:p w:rsidR="00753491" w:rsidRPr="00E45053" w:rsidRDefault="00753491" w:rsidP="00753491">
            <w:pPr>
              <w:rPr>
                <w:rFonts w:cs="Arial"/>
                <w:lang w:val="es-ES_tradnl"/>
              </w:rPr>
            </w:pPr>
          </w:p>
          <w:p w:rsidR="00753491" w:rsidRPr="00E45053" w:rsidRDefault="00753491" w:rsidP="00753491">
            <w:pPr>
              <w:rPr>
                <w:rFonts w:cs="Arial"/>
                <w:lang w:val="es-ES_tradnl"/>
              </w:rPr>
            </w:pPr>
            <w:r w:rsidRPr="00E45053">
              <w:rPr>
                <w:rFonts w:cs="Arial"/>
                <w:lang w:val="es-ES_tradnl"/>
              </w:rPr>
              <w:t>“c)</w:t>
            </w:r>
            <w:r w:rsidRPr="00E45053">
              <w:rPr>
                <w:rFonts w:cs="Arial"/>
                <w:lang w:val="es-ES_tradnl"/>
              </w:rPr>
              <w:tab/>
            </w:r>
            <w:r w:rsidR="00AE0813" w:rsidRPr="00E45053">
              <w:rPr>
                <w:rFonts w:cs="Arial"/>
                <w:lang w:val="es-ES_tradnl"/>
              </w:rPr>
              <w:t>se determina como “práctica establecida” la aceptación del registro de una especie o grupo</w:t>
            </w:r>
            <w:r w:rsidR="00DD7B53" w:rsidRPr="00E45053">
              <w:rPr>
                <w:rFonts w:cs="Arial"/>
                <w:lang w:val="es-ES_tradnl"/>
              </w:rPr>
              <w:t xml:space="preserve">, </w:t>
            </w:r>
            <w:r w:rsidR="00AE0813" w:rsidRPr="00E45053">
              <w:rPr>
                <w:rFonts w:cs="Arial"/>
                <w:lang w:val="es-ES_tradnl"/>
              </w:rPr>
              <w:t>de modo que puede usarse en otras especies que no han registrado aún ninguna variedad cuya denominación se componga únicamente de cifras.</w:t>
            </w:r>
            <w:r w:rsidRPr="00E45053">
              <w:rPr>
                <w:rFonts w:cs="Arial"/>
                <w:lang w:val="es-ES_tradnl"/>
              </w:rPr>
              <w:t>”</w:t>
            </w:r>
          </w:p>
        </w:tc>
      </w:tr>
      <w:tr w:rsidR="00753491" w:rsidRPr="00E45053">
        <w:trPr>
          <w:cantSplit/>
        </w:trPr>
        <w:tc>
          <w:tcPr>
            <w:tcW w:w="1391" w:type="dxa"/>
          </w:tcPr>
          <w:p w:rsidR="00753491" w:rsidRPr="00E45053" w:rsidRDefault="00753491" w:rsidP="00753491">
            <w:pPr>
              <w:rPr>
                <w:rFonts w:cs="Arial"/>
                <w:lang w:val="es-ES_tradnl"/>
              </w:rPr>
            </w:pPr>
            <w:r w:rsidRPr="00E45053">
              <w:rPr>
                <w:lang w:val="es-ES_tradnl"/>
              </w:rPr>
              <w:t>2.3.1</w:t>
            </w:r>
            <w:r w:rsidR="000D0A7C" w:rsidRPr="00E45053">
              <w:rPr>
                <w:lang w:val="es-ES_tradnl"/>
              </w:rPr>
              <w:t>.</w:t>
            </w:r>
            <w:r w:rsidRPr="00E45053">
              <w:rPr>
                <w:lang w:val="es-ES_tradnl"/>
              </w:rPr>
              <w:t>c)</w:t>
            </w:r>
          </w:p>
        </w:tc>
        <w:tc>
          <w:tcPr>
            <w:tcW w:w="7789" w:type="dxa"/>
          </w:tcPr>
          <w:p w:rsidR="00753491" w:rsidRPr="00E45053" w:rsidRDefault="00AE0813" w:rsidP="00753491">
            <w:pPr>
              <w:rPr>
                <w:lang w:val="es-ES_tradnl"/>
              </w:rPr>
            </w:pPr>
            <w:r w:rsidRPr="00E45053">
              <w:rPr>
                <w:lang w:val="es-ES_tradnl"/>
              </w:rPr>
              <w:t>Deben elaborarse orientaciones adicionales sobre el inciso</w:t>
            </w:r>
            <w:r w:rsidR="00DD7B53" w:rsidRPr="00E45053">
              <w:rPr>
                <w:lang w:val="es-ES_tradnl"/>
              </w:rPr>
              <w:t> 2</w:t>
            </w:r>
            <w:r w:rsidRPr="00E45053">
              <w:rPr>
                <w:lang w:val="es-ES_tradnl"/>
              </w:rPr>
              <w:t>.3.1</w:t>
            </w:r>
            <w:r w:rsidR="000D0A7C" w:rsidRPr="00E45053">
              <w:rPr>
                <w:lang w:val="es-ES_tradnl"/>
              </w:rPr>
              <w:t>.</w:t>
            </w:r>
            <w:r w:rsidRPr="00E45053">
              <w:rPr>
                <w:lang w:val="es-ES_tradnl"/>
              </w:rPr>
              <w:t>c) y proporcionarse otros ejemplos más pertinentes.</w:t>
            </w:r>
          </w:p>
          <w:p w:rsidR="00753491" w:rsidRPr="00E45053" w:rsidRDefault="00753491" w:rsidP="00753491">
            <w:pPr>
              <w:rPr>
                <w:lang w:val="es-ES_tradnl"/>
              </w:rPr>
            </w:pPr>
          </w:p>
          <w:p w:rsidR="00753491" w:rsidRPr="00E45053" w:rsidRDefault="00753491" w:rsidP="00753491">
            <w:pPr>
              <w:rPr>
                <w:lang w:val="es-ES_tradnl"/>
              </w:rPr>
            </w:pPr>
            <w:r w:rsidRPr="00E45053">
              <w:rPr>
                <w:lang w:val="es-ES_tradnl"/>
              </w:rPr>
              <w:t>“c)</w:t>
            </w:r>
            <w:r w:rsidRPr="00E45053">
              <w:rPr>
                <w:lang w:val="es-ES_tradnl"/>
              </w:rPr>
              <w:tab/>
            </w:r>
            <w:r w:rsidR="00AE0813" w:rsidRPr="00E45053">
              <w:rPr>
                <w:lang w:val="es-ES_tradnl"/>
              </w:rPr>
              <w:t>dar la impresión de que la variedad se deriva de otra variedad o está relacionada con ésta cuando</w:t>
            </w:r>
            <w:r w:rsidR="00DD7B53" w:rsidRPr="00E45053">
              <w:rPr>
                <w:lang w:val="es-ES_tradnl"/>
              </w:rPr>
              <w:t xml:space="preserve">, </w:t>
            </w:r>
            <w:r w:rsidR="00AE0813" w:rsidRPr="00E45053">
              <w:rPr>
                <w:lang w:val="es-ES_tradnl"/>
              </w:rPr>
              <w:t>en realidad</w:t>
            </w:r>
            <w:r w:rsidR="00DD7B53" w:rsidRPr="00E45053">
              <w:rPr>
                <w:lang w:val="es-ES_tradnl"/>
              </w:rPr>
              <w:t xml:space="preserve">, </w:t>
            </w:r>
            <w:r w:rsidR="00AE0813" w:rsidRPr="00E45053">
              <w:rPr>
                <w:lang w:val="es-ES_tradnl"/>
              </w:rPr>
              <w:t>no es el caso;</w:t>
            </w:r>
          </w:p>
          <w:p w:rsidR="00753491" w:rsidRPr="00E45053" w:rsidRDefault="00753491" w:rsidP="00753491">
            <w:pPr>
              <w:rPr>
                <w:lang w:val="es-ES_tradnl"/>
              </w:rPr>
            </w:pPr>
          </w:p>
          <w:p w:rsidR="00753491" w:rsidRPr="00E45053" w:rsidRDefault="00AE0813" w:rsidP="00753491">
            <w:pPr>
              <w:rPr>
                <w:rFonts w:cs="Arial"/>
                <w:lang w:val="es-ES_tradnl"/>
              </w:rPr>
            </w:pPr>
            <w:r w:rsidRPr="00E45053">
              <w:rPr>
                <w:i/>
                <w:lang w:val="es-ES_tradnl"/>
              </w:rPr>
              <w:t>Ejemplo</w:t>
            </w:r>
            <w:proofErr w:type="gramStart"/>
            <w:r w:rsidRPr="00E45053">
              <w:rPr>
                <w:i/>
                <w:lang w:val="es-ES_tradnl"/>
              </w:rPr>
              <w:t>:</w:t>
            </w:r>
            <w:r w:rsidR="006B4D4F" w:rsidRPr="00E45053">
              <w:rPr>
                <w:i/>
                <w:lang w:val="es-ES_tradnl"/>
              </w:rPr>
              <w:t xml:space="preserve">  </w:t>
            </w:r>
            <w:r w:rsidRPr="00E45053">
              <w:rPr>
                <w:lang w:val="es-ES_tradnl"/>
              </w:rPr>
              <w:t>una</w:t>
            </w:r>
            <w:proofErr w:type="gramEnd"/>
            <w:r w:rsidRPr="00E45053">
              <w:rPr>
                <w:lang w:val="es-ES_tradnl"/>
              </w:rPr>
              <w:t xml:space="preserve"> denominación que sea similar a la de otra variedad de la misma especie o de especies vecinas;  por ejemplo</w:t>
            </w:r>
            <w:r w:rsidR="00DD7B53" w:rsidRPr="00E45053">
              <w:rPr>
                <w:lang w:val="es-ES_tradnl"/>
              </w:rPr>
              <w:t xml:space="preserve">, </w:t>
            </w:r>
            <w:r w:rsidRPr="00E45053">
              <w:rPr>
                <w:lang w:val="es-ES_tradnl"/>
              </w:rPr>
              <w:t>“</w:t>
            </w:r>
            <w:proofErr w:type="spellStart"/>
            <w:r w:rsidRPr="00E45053">
              <w:rPr>
                <w:lang w:val="es-ES_tradnl"/>
              </w:rPr>
              <w:t>Southern</w:t>
            </w:r>
            <w:proofErr w:type="spellEnd"/>
            <w:r w:rsidRPr="00E45053">
              <w:rPr>
                <w:lang w:val="es-ES_tradnl"/>
              </w:rPr>
              <w:t xml:space="preserve"> </w:t>
            </w:r>
            <w:proofErr w:type="spellStart"/>
            <w:r w:rsidRPr="00E45053">
              <w:rPr>
                <w:lang w:val="es-ES_tradnl"/>
              </w:rPr>
              <w:t>cross</w:t>
            </w:r>
            <w:proofErr w:type="spellEnd"/>
            <w:r w:rsidR="00DD7B53" w:rsidRPr="00E45053">
              <w:rPr>
                <w:lang w:val="es-ES_tradnl"/>
              </w:rPr>
              <w:t> 1</w:t>
            </w:r>
            <w:r w:rsidRPr="00E45053">
              <w:rPr>
                <w:lang w:val="es-ES_tradnl"/>
              </w:rPr>
              <w:t xml:space="preserve">”; </w:t>
            </w:r>
            <w:r w:rsidR="0036329F" w:rsidRPr="00E45053">
              <w:rPr>
                <w:lang w:val="es-ES_tradnl"/>
              </w:rPr>
              <w:t xml:space="preserve"> </w:t>
            </w:r>
            <w:r w:rsidRPr="00E45053">
              <w:rPr>
                <w:lang w:val="es-ES_tradnl"/>
              </w:rPr>
              <w:t>“</w:t>
            </w:r>
            <w:proofErr w:type="spellStart"/>
            <w:r w:rsidRPr="00E45053">
              <w:rPr>
                <w:lang w:val="es-ES_tradnl"/>
              </w:rPr>
              <w:t>Southern</w:t>
            </w:r>
            <w:proofErr w:type="spellEnd"/>
            <w:r w:rsidRPr="00E45053">
              <w:rPr>
                <w:lang w:val="es-ES_tradnl"/>
              </w:rPr>
              <w:t xml:space="preserve"> </w:t>
            </w:r>
            <w:proofErr w:type="spellStart"/>
            <w:r w:rsidRPr="00E45053">
              <w:rPr>
                <w:lang w:val="es-ES_tradnl"/>
              </w:rPr>
              <w:t>cross</w:t>
            </w:r>
            <w:proofErr w:type="spellEnd"/>
            <w:r w:rsidR="00DD7B53" w:rsidRPr="00E45053">
              <w:rPr>
                <w:lang w:val="es-ES_tradnl"/>
              </w:rPr>
              <w:t> 2</w:t>
            </w:r>
            <w:r w:rsidRPr="00E45053">
              <w:rPr>
                <w:lang w:val="es-ES_tradnl"/>
              </w:rPr>
              <w:t xml:space="preserve">”; </w:t>
            </w:r>
            <w:r w:rsidR="0036329F" w:rsidRPr="00E45053">
              <w:rPr>
                <w:lang w:val="es-ES_tradnl"/>
              </w:rPr>
              <w:t xml:space="preserve"> </w:t>
            </w:r>
            <w:r w:rsidRPr="00E45053">
              <w:rPr>
                <w:lang w:val="es-ES_tradnl"/>
              </w:rPr>
              <w:t>etc.</w:t>
            </w:r>
            <w:r w:rsidR="00DD7B53" w:rsidRPr="00E45053">
              <w:rPr>
                <w:lang w:val="es-ES_tradnl"/>
              </w:rPr>
              <w:t xml:space="preserve">, </w:t>
            </w:r>
            <w:r w:rsidRPr="00E45053">
              <w:rPr>
                <w:lang w:val="es-ES_tradnl"/>
              </w:rPr>
              <w:t>lo que da la impresión de que estas variedades son una serie de variedades relacionadas entre sí con los mismos caracteres cuando</w:t>
            </w:r>
            <w:r w:rsidR="00DD7B53" w:rsidRPr="00E45053">
              <w:rPr>
                <w:lang w:val="es-ES_tradnl"/>
              </w:rPr>
              <w:t xml:space="preserve">, </w:t>
            </w:r>
            <w:r w:rsidRPr="00E45053">
              <w:rPr>
                <w:lang w:val="es-ES_tradnl"/>
              </w:rPr>
              <w:t>en realidad</w:t>
            </w:r>
            <w:r w:rsidR="00DD7B53" w:rsidRPr="00E45053">
              <w:rPr>
                <w:lang w:val="es-ES_tradnl"/>
              </w:rPr>
              <w:t xml:space="preserve">, </w:t>
            </w:r>
            <w:r w:rsidRPr="00E45053">
              <w:rPr>
                <w:lang w:val="es-ES_tradnl"/>
              </w:rPr>
              <w:t>tal no es el caso.</w:t>
            </w:r>
            <w:r w:rsidR="00753491" w:rsidRPr="00E45053">
              <w:rPr>
                <w:lang w:val="es-ES_tradnl"/>
              </w:rPr>
              <w:t>”</w:t>
            </w:r>
          </w:p>
        </w:tc>
      </w:tr>
      <w:tr w:rsidR="00753491" w:rsidRPr="00E45053">
        <w:trPr>
          <w:cantSplit/>
        </w:trPr>
        <w:tc>
          <w:tcPr>
            <w:tcW w:w="1391" w:type="dxa"/>
          </w:tcPr>
          <w:p w:rsidR="00753491" w:rsidRPr="00E45053" w:rsidRDefault="00753491" w:rsidP="00753491">
            <w:pPr>
              <w:rPr>
                <w:lang w:val="es-ES_tradnl"/>
              </w:rPr>
            </w:pPr>
            <w:r w:rsidRPr="00E45053">
              <w:rPr>
                <w:lang w:val="es-ES_tradnl"/>
              </w:rPr>
              <w:t>2.3.1</w:t>
            </w:r>
            <w:r w:rsidR="000D0A7C" w:rsidRPr="00E45053">
              <w:rPr>
                <w:lang w:val="es-ES_tradnl"/>
              </w:rPr>
              <w:t>.</w:t>
            </w:r>
            <w:r w:rsidRPr="00E45053">
              <w:rPr>
                <w:lang w:val="es-ES_tradnl"/>
              </w:rPr>
              <w:t>d)</w:t>
            </w:r>
          </w:p>
        </w:tc>
        <w:tc>
          <w:tcPr>
            <w:tcW w:w="7789" w:type="dxa"/>
          </w:tcPr>
          <w:p w:rsidR="00753491" w:rsidRPr="00E45053" w:rsidRDefault="00AE0813" w:rsidP="00753491">
            <w:pPr>
              <w:rPr>
                <w:lang w:val="es-ES_tradnl"/>
              </w:rPr>
            </w:pPr>
            <w:r w:rsidRPr="00E45053">
              <w:rPr>
                <w:lang w:val="es-ES_tradnl"/>
              </w:rPr>
              <w:t>Debe añadirse el siguiente inciso</w:t>
            </w:r>
            <w:r w:rsidR="00DD7B53" w:rsidRPr="00E45053">
              <w:rPr>
                <w:lang w:val="es-ES_tradnl"/>
              </w:rPr>
              <w:t> 2</w:t>
            </w:r>
            <w:r w:rsidRPr="00E45053">
              <w:rPr>
                <w:lang w:val="es-ES_tradnl"/>
              </w:rPr>
              <w:t>.3.1</w:t>
            </w:r>
            <w:r w:rsidR="000D0A7C" w:rsidRPr="00E45053">
              <w:rPr>
                <w:lang w:val="es-ES_tradnl"/>
              </w:rPr>
              <w:t>.</w:t>
            </w:r>
            <w:r w:rsidRPr="00E45053">
              <w:rPr>
                <w:lang w:val="es-ES_tradnl"/>
              </w:rPr>
              <w:t>d):</w:t>
            </w:r>
            <w:r w:rsidR="006B4D4F" w:rsidRPr="00E45053">
              <w:rPr>
                <w:lang w:val="es-ES_tradnl"/>
              </w:rPr>
              <w:t xml:space="preserve">  </w:t>
            </w:r>
          </w:p>
          <w:p w:rsidR="00753491" w:rsidRPr="00E45053" w:rsidRDefault="00753491" w:rsidP="00753491">
            <w:pPr>
              <w:rPr>
                <w:lang w:val="es-ES_tradnl"/>
              </w:rPr>
            </w:pPr>
          </w:p>
          <w:p w:rsidR="00753491" w:rsidRPr="00E45053" w:rsidRDefault="00753491" w:rsidP="00753491">
            <w:pPr>
              <w:rPr>
                <w:lang w:val="es-ES_tradnl"/>
              </w:rPr>
            </w:pPr>
            <w:r w:rsidRPr="00E45053">
              <w:rPr>
                <w:lang w:val="es-ES_tradnl"/>
              </w:rPr>
              <w:t xml:space="preserve">“d) </w:t>
            </w:r>
            <w:r w:rsidRPr="00E45053">
              <w:rPr>
                <w:lang w:val="es-ES_tradnl"/>
              </w:rPr>
              <w:tab/>
            </w:r>
            <w:r w:rsidR="00AE0813" w:rsidRPr="00E45053">
              <w:rPr>
                <w:lang w:val="es-ES_tradnl"/>
              </w:rPr>
              <w:t>contener el nombre botánico o nombre común del género al que pertenece la variedad.</w:t>
            </w:r>
            <w:r w:rsidR="006B4D4F" w:rsidRPr="00E45053">
              <w:rPr>
                <w:lang w:val="es-ES_tradnl"/>
              </w:rPr>
              <w:t xml:space="preserve">  </w:t>
            </w:r>
            <w:r w:rsidR="00AE0813" w:rsidRPr="00E45053">
              <w:rPr>
                <w:lang w:val="es-ES_tradnl"/>
              </w:rPr>
              <w:t>La identidad de la denominación y la del género al que pertenece podría resultar poco clara y confusa.</w:t>
            </w:r>
            <w:r w:rsidRPr="00E45053">
              <w:rPr>
                <w:lang w:val="es-ES_tradnl"/>
              </w:rPr>
              <w:t>”</w:t>
            </w:r>
          </w:p>
          <w:p w:rsidR="00753491" w:rsidRPr="00E45053" w:rsidRDefault="00753491" w:rsidP="00753491">
            <w:pPr>
              <w:rPr>
                <w:lang w:val="es-ES_tradnl"/>
              </w:rPr>
            </w:pPr>
          </w:p>
          <w:p w:rsidR="00753491" w:rsidRPr="00E45053" w:rsidRDefault="00AE0813" w:rsidP="00753491">
            <w:pPr>
              <w:rPr>
                <w:lang w:val="es-ES_tradnl"/>
              </w:rPr>
            </w:pPr>
            <w:r w:rsidRPr="00E45053">
              <w:rPr>
                <w:lang w:val="es-ES_tradnl"/>
              </w:rPr>
              <w:t>Debe aclararse el ejemplo siguiente:</w:t>
            </w:r>
            <w:r w:rsidR="006B4D4F" w:rsidRPr="00E45053">
              <w:rPr>
                <w:lang w:val="es-ES_tradnl"/>
              </w:rPr>
              <w:t xml:space="preserve">  </w:t>
            </w:r>
          </w:p>
          <w:p w:rsidR="00753491" w:rsidRPr="00E45053" w:rsidRDefault="00753491" w:rsidP="00753491">
            <w:pPr>
              <w:rPr>
                <w:lang w:val="es-ES_tradnl"/>
              </w:rPr>
            </w:pPr>
          </w:p>
          <w:p w:rsidR="00753491" w:rsidRPr="00E45053" w:rsidRDefault="00AE0813" w:rsidP="00753491">
            <w:pPr>
              <w:ind w:left="567"/>
              <w:rPr>
                <w:lang w:val="es-ES_tradnl"/>
              </w:rPr>
            </w:pPr>
            <w:r w:rsidRPr="00E45053">
              <w:rPr>
                <w:i/>
                <w:lang w:val="es-ES_tradnl"/>
              </w:rPr>
              <w:t>Ejemplo</w:t>
            </w:r>
            <w:proofErr w:type="gramStart"/>
            <w:r w:rsidRPr="00E45053">
              <w:rPr>
                <w:i/>
                <w:lang w:val="es-ES_tradnl"/>
              </w:rPr>
              <w:t>:</w:t>
            </w:r>
            <w:r w:rsidR="006B4D4F" w:rsidRPr="00E45053">
              <w:rPr>
                <w:lang w:val="es-ES_tradnl"/>
              </w:rPr>
              <w:t xml:space="preserve">  </w:t>
            </w:r>
            <w:r w:rsidRPr="00E45053">
              <w:rPr>
                <w:lang w:val="es-ES_tradnl"/>
              </w:rPr>
              <w:t>variedad</w:t>
            </w:r>
            <w:proofErr w:type="gramEnd"/>
            <w:r w:rsidRPr="00E45053">
              <w:rPr>
                <w:lang w:val="es-ES_tradnl"/>
              </w:rPr>
              <w:t xml:space="preserve"> ‘</w:t>
            </w:r>
            <w:proofErr w:type="spellStart"/>
            <w:r w:rsidRPr="00E45053">
              <w:rPr>
                <w:lang w:val="es-ES_tradnl"/>
              </w:rPr>
              <w:t>Sedge</w:t>
            </w:r>
            <w:proofErr w:type="spellEnd"/>
            <w:r w:rsidRPr="00E45053">
              <w:rPr>
                <w:lang w:val="es-ES_tradnl"/>
              </w:rPr>
              <w:t xml:space="preserve">’ de </w:t>
            </w:r>
            <w:proofErr w:type="spellStart"/>
            <w:r w:rsidRPr="00E45053">
              <w:rPr>
                <w:i/>
                <w:lang w:val="es-ES_tradnl"/>
              </w:rPr>
              <w:t>Carex</w:t>
            </w:r>
            <w:proofErr w:type="spellEnd"/>
            <w:r w:rsidRPr="00E45053">
              <w:rPr>
                <w:lang w:val="es-ES_tradnl"/>
              </w:rPr>
              <w:t>.</w:t>
            </w:r>
            <w:r w:rsidR="006B4D4F" w:rsidRPr="00E45053">
              <w:rPr>
                <w:lang w:val="es-ES_tradnl"/>
              </w:rPr>
              <w:t xml:space="preserve">  </w:t>
            </w:r>
            <w:r w:rsidRPr="00E45053">
              <w:rPr>
                <w:lang w:val="es-ES_tradnl"/>
              </w:rPr>
              <w:t>Podría utilizarse</w:t>
            </w:r>
            <w:r w:rsidR="00DD7B53" w:rsidRPr="00E45053">
              <w:rPr>
                <w:lang w:val="es-ES_tradnl"/>
              </w:rPr>
              <w:t xml:space="preserve">, </w:t>
            </w:r>
            <w:r w:rsidRPr="00E45053">
              <w:rPr>
                <w:lang w:val="es-ES_tradnl"/>
              </w:rPr>
              <w:t>en referencia a ella</w:t>
            </w:r>
            <w:r w:rsidR="00DD7B53" w:rsidRPr="00E45053">
              <w:rPr>
                <w:lang w:val="es-ES_tradnl"/>
              </w:rPr>
              <w:t xml:space="preserve">, </w:t>
            </w:r>
            <w:r w:rsidRPr="00E45053">
              <w:rPr>
                <w:lang w:val="es-ES_tradnl"/>
              </w:rPr>
              <w:t>la expresión “‘</w:t>
            </w:r>
            <w:proofErr w:type="spellStart"/>
            <w:r w:rsidRPr="00E45053">
              <w:rPr>
                <w:lang w:val="es-ES_tradnl"/>
              </w:rPr>
              <w:t>Sedge</w:t>
            </w:r>
            <w:proofErr w:type="spellEnd"/>
            <w:r w:rsidRPr="00E45053">
              <w:rPr>
                <w:lang w:val="es-ES_tradnl"/>
              </w:rPr>
              <w:t xml:space="preserve">’ </w:t>
            </w:r>
            <w:proofErr w:type="spellStart"/>
            <w:r w:rsidRPr="00E45053">
              <w:rPr>
                <w:i/>
                <w:lang w:val="es-ES_tradnl"/>
              </w:rPr>
              <w:t>Carex</w:t>
            </w:r>
            <w:proofErr w:type="spellEnd"/>
            <w:r w:rsidRPr="00E45053">
              <w:rPr>
                <w:lang w:val="es-ES_tradnl"/>
              </w:rPr>
              <w:t>” y</w:t>
            </w:r>
            <w:r w:rsidR="00DD7B53" w:rsidRPr="00E45053">
              <w:rPr>
                <w:lang w:val="es-ES_tradnl"/>
              </w:rPr>
              <w:t xml:space="preserve">, </w:t>
            </w:r>
            <w:r w:rsidRPr="00E45053">
              <w:rPr>
                <w:lang w:val="es-ES_tradnl"/>
              </w:rPr>
              <w:t>si no se utilizan las cursivas o las comillas simples</w:t>
            </w:r>
            <w:r w:rsidR="00DD7B53" w:rsidRPr="00E45053">
              <w:rPr>
                <w:lang w:val="es-ES_tradnl"/>
              </w:rPr>
              <w:t xml:space="preserve">, </w:t>
            </w:r>
            <w:r w:rsidRPr="00E45053">
              <w:rPr>
                <w:lang w:val="es-ES_tradnl"/>
              </w:rPr>
              <w:t xml:space="preserve">podrían no estar </w:t>
            </w:r>
            <w:proofErr w:type="gramStart"/>
            <w:r w:rsidRPr="00E45053">
              <w:rPr>
                <w:lang w:val="es-ES_tradnl"/>
              </w:rPr>
              <w:t>claras</w:t>
            </w:r>
            <w:proofErr w:type="gramEnd"/>
            <w:r w:rsidRPr="00E45053">
              <w:rPr>
                <w:lang w:val="es-ES_tradnl"/>
              </w:rPr>
              <w:t xml:space="preserve"> la identidad de la denominación y el género.</w:t>
            </w:r>
          </w:p>
          <w:p w:rsidR="00753491" w:rsidRPr="00E45053" w:rsidRDefault="00753491" w:rsidP="00753491">
            <w:pPr>
              <w:rPr>
                <w:lang w:val="es-ES_tradnl"/>
              </w:rPr>
            </w:pPr>
          </w:p>
          <w:p w:rsidR="00753491" w:rsidRPr="00E45053" w:rsidRDefault="00DB7071" w:rsidP="00753491">
            <w:pPr>
              <w:rPr>
                <w:lang w:val="es-ES_tradnl"/>
              </w:rPr>
            </w:pPr>
            <w:r w:rsidRPr="00E45053">
              <w:rPr>
                <w:lang w:val="es-ES_tradnl"/>
              </w:rPr>
              <w:t xml:space="preserve">Deben elaborarse orientaciones sobre la posible confusión del uso del nombre botánico o nombre común de un género al que esa variedad </w:t>
            </w:r>
            <w:r w:rsidRPr="00E45053">
              <w:rPr>
                <w:u w:val="single"/>
                <w:lang w:val="es-ES_tradnl"/>
              </w:rPr>
              <w:t>no</w:t>
            </w:r>
            <w:r w:rsidRPr="00E45053">
              <w:rPr>
                <w:lang w:val="es-ES_tradnl"/>
              </w:rPr>
              <w:t xml:space="preserve"> pertenece</w:t>
            </w:r>
            <w:proofErr w:type="gramStart"/>
            <w:r w:rsidRPr="00E45053">
              <w:rPr>
                <w:lang w:val="es-ES_tradnl"/>
              </w:rPr>
              <w:t>:  caso</w:t>
            </w:r>
            <w:proofErr w:type="gramEnd"/>
            <w:r w:rsidRPr="00E45053">
              <w:rPr>
                <w:lang w:val="es-ES_tradnl"/>
              </w:rPr>
              <w:t xml:space="preserve"> a caso.</w:t>
            </w:r>
          </w:p>
        </w:tc>
      </w:tr>
      <w:tr w:rsidR="00753491" w:rsidRPr="00E45053">
        <w:trPr>
          <w:cantSplit/>
        </w:trPr>
        <w:tc>
          <w:tcPr>
            <w:tcW w:w="1391" w:type="dxa"/>
          </w:tcPr>
          <w:p w:rsidR="00753491" w:rsidRPr="00E45053" w:rsidRDefault="00753491" w:rsidP="00753491">
            <w:pPr>
              <w:rPr>
                <w:lang w:val="es-ES_tradnl"/>
              </w:rPr>
            </w:pPr>
            <w:r w:rsidRPr="00E45053">
              <w:rPr>
                <w:lang w:val="es-ES_tradnl"/>
              </w:rPr>
              <w:t>2.3.3</w:t>
            </w:r>
          </w:p>
        </w:tc>
        <w:tc>
          <w:tcPr>
            <w:tcW w:w="7789" w:type="dxa"/>
          </w:tcPr>
          <w:p w:rsidR="00753491" w:rsidRPr="00E45053" w:rsidRDefault="00DB7071" w:rsidP="00753491">
            <w:pPr>
              <w:rPr>
                <w:snapToGrid w:val="0"/>
                <w:lang w:val="es-ES_tradnl"/>
              </w:rPr>
            </w:pPr>
            <w:r w:rsidRPr="00E45053">
              <w:rPr>
                <w:snapToGrid w:val="0"/>
                <w:lang w:val="es-ES_tradnl"/>
              </w:rPr>
              <w:t>Las propuestas que figuran en el inciso</w:t>
            </w:r>
            <w:r w:rsidR="00DD7B53" w:rsidRPr="00E45053">
              <w:rPr>
                <w:snapToGrid w:val="0"/>
                <w:lang w:val="es-ES_tradnl"/>
              </w:rPr>
              <w:t> 2</w:t>
            </w:r>
            <w:r w:rsidRPr="00E45053">
              <w:rPr>
                <w:snapToGrid w:val="0"/>
                <w:lang w:val="es-ES_tradnl"/>
              </w:rPr>
              <w:t>.3.3 del documento UPOV/INF/12/5 </w:t>
            </w:r>
            <w:proofErr w:type="spellStart"/>
            <w:r w:rsidRPr="00E45053">
              <w:rPr>
                <w:snapToGrid w:val="0"/>
                <w:lang w:val="es-ES_tradnl"/>
              </w:rPr>
              <w:t>Draft</w:t>
            </w:r>
            <w:proofErr w:type="spellEnd"/>
            <w:r w:rsidRPr="00E45053">
              <w:rPr>
                <w:snapToGrid w:val="0"/>
                <w:lang w:val="es-ES_tradnl"/>
              </w:rPr>
              <w:t> 2 deben considerarse como etapa inicial para elaborar nuevas orientaciones y ejemplos adecuados</w:t>
            </w:r>
            <w:r w:rsidR="00DD7B53" w:rsidRPr="00E45053">
              <w:rPr>
                <w:snapToGrid w:val="0"/>
                <w:lang w:val="es-ES_tradnl"/>
              </w:rPr>
              <w:t xml:space="preserve">, </w:t>
            </w:r>
            <w:r w:rsidRPr="00E45053">
              <w:rPr>
                <w:snapToGrid w:val="0"/>
                <w:lang w:val="es-ES_tradnl"/>
              </w:rPr>
              <w:t>junto con la elaboración de un instrumento eficaz de búsqueda de denominaciones similares de la UPOV.</w:t>
            </w:r>
          </w:p>
        </w:tc>
      </w:tr>
      <w:tr w:rsidR="00753491" w:rsidRPr="00E45053">
        <w:trPr>
          <w:cantSplit/>
        </w:trPr>
        <w:tc>
          <w:tcPr>
            <w:tcW w:w="1391" w:type="dxa"/>
          </w:tcPr>
          <w:p w:rsidR="00753491" w:rsidRPr="00E45053" w:rsidRDefault="00753491" w:rsidP="00753491">
            <w:pPr>
              <w:rPr>
                <w:lang w:val="es-ES_tradnl"/>
              </w:rPr>
            </w:pPr>
            <w:r w:rsidRPr="00E45053">
              <w:rPr>
                <w:lang w:val="es-ES_tradnl"/>
              </w:rPr>
              <w:t>4</w:t>
            </w:r>
            <w:r w:rsidR="000D0A7C" w:rsidRPr="00E45053">
              <w:rPr>
                <w:lang w:val="es-ES_tradnl"/>
              </w:rPr>
              <w:t>.</w:t>
            </w:r>
            <w:r w:rsidRPr="00E45053">
              <w:rPr>
                <w:lang w:val="es-ES_tradnl"/>
              </w:rPr>
              <w:t>a)</w:t>
            </w:r>
          </w:p>
        </w:tc>
        <w:tc>
          <w:tcPr>
            <w:tcW w:w="7789" w:type="dxa"/>
          </w:tcPr>
          <w:p w:rsidR="00753491" w:rsidRPr="00E45053" w:rsidRDefault="00DB7071" w:rsidP="00753491">
            <w:pPr>
              <w:rPr>
                <w:snapToGrid w:val="0"/>
                <w:lang w:val="es-ES_tradnl"/>
              </w:rPr>
            </w:pPr>
            <w:r w:rsidRPr="00E45053">
              <w:rPr>
                <w:snapToGrid w:val="0"/>
                <w:lang w:val="es-ES_tradnl"/>
              </w:rPr>
              <w:t>Debe modificarse el inciso</w:t>
            </w:r>
            <w:r w:rsidR="00DD7B53" w:rsidRPr="00E45053">
              <w:rPr>
                <w:snapToGrid w:val="0"/>
                <w:lang w:val="es-ES_tradnl"/>
              </w:rPr>
              <w:t> 4</w:t>
            </w:r>
            <w:r w:rsidR="000D0A7C" w:rsidRPr="00E45053">
              <w:rPr>
                <w:snapToGrid w:val="0"/>
                <w:lang w:val="es-ES_tradnl"/>
              </w:rPr>
              <w:t>.</w:t>
            </w:r>
            <w:r w:rsidRPr="00E45053">
              <w:rPr>
                <w:snapToGrid w:val="0"/>
                <w:lang w:val="es-ES_tradnl"/>
              </w:rPr>
              <w:t>a) del siguiente modo:</w:t>
            </w:r>
            <w:r w:rsidR="006B4D4F" w:rsidRPr="00E45053">
              <w:rPr>
                <w:snapToGrid w:val="0"/>
                <w:lang w:val="es-ES_tradnl"/>
              </w:rPr>
              <w:t xml:space="preserve">  </w:t>
            </w:r>
          </w:p>
          <w:p w:rsidR="00753491" w:rsidRPr="00E45053" w:rsidRDefault="00753491" w:rsidP="00753491">
            <w:pPr>
              <w:rPr>
                <w:snapToGrid w:val="0"/>
                <w:lang w:val="es-ES_tradnl"/>
              </w:rPr>
            </w:pPr>
          </w:p>
          <w:p w:rsidR="00753491" w:rsidRPr="00E45053" w:rsidRDefault="00753491" w:rsidP="00753491">
            <w:pPr>
              <w:ind w:firstLine="567"/>
              <w:rPr>
                <w:lang w:val="es-ES_tradnl"/>
              </w:rPr>
            </w:pPr>
            <w:r w:rsidRPr="00E45053">
              <w:rPr>
                <w:lang w:val="es-ES_tradnl"/>
              </w:rPr>
              <w:t>“a)</w:t>
            </w:r>
            <w:r w:rsidRPr="00E45053">
              <w:rPr>
                <w:lang w:val="es-ES_tradnl"/>
              </w:rPr>
              <w:tab/>
            </w:r>
            <w:r w:rsidR="00E856E1" w:rsidRPr="00E45053">
              <w:rPr>
                <w:lang w:val="es-ES_tradnl"/>
              </w:rPr>
              <w:t xml:space="preserve">Una autoridad no deberá aceptar una denominación de variedad si </w:t>
            </w:r>
            <w:r w:rsidR="00E856E1" w:rsidRPr="00E45053">
              <w:rPr>
                <w:u w:val="single"/>
                <w:lang w:val="es-ES_tradnl"/>
              </w:rPr>
              <w:t>hay</w:t>
            </w:r>
            <w:r w:rsidR="00E856E1" w:rsidRPr="00E45053">
              <w:rPr>
                <w:lang w:val="es-ES_tradnl"/>
              </w:rPr>
              <w:t xml:space="preserve"> un derecho anterior </w:t>
            </w:r>
            <w:r w:rsidR="00E856E1" w:rsidRPr="00E45053">
              <w:rPr>
                <w:u w:val="single"/>
                <w:lang w:val="es-ES_tradnl"/>
              </w:rPr>
              <w:t>vigente</w:t>
            </w:r>
            <w:r w:rsidR="00E856E1" w:rsidRPr="00E45053">
              <w:rPr>
                <w:lang w:val="es-ES_tradnl"/>
              </w:rPr>
              <w:t xml:space="preserve">, </w:t>
            </w:r>
            <w:r w:rsidR="00E856E1" w:rsidRPr="00E45053">
              <w:rPr>
                <w:strike/>
                <w:lang w:val="es-ES_tradnl"/>
              </w:rPr>
              <w:t xml:space="preserve">ya se ha concedido a un tercero, en virtud de la legislación sobre derechos de obtentor, la legislación sobre marcas o cualquier otra legislación de propiedad intelectual, </w:t>
            </w:r>
            <w:r w:rsidR="00E856E1" w:rsidRPr="00E45053">
              <w:rPr>
                <w:lang w:val="es-ES_tradnl"/>
              </w:rPr>
              <w:t xml:space="preserve">cuyo ejercicio </w:t>
            </w:r>
            <w:r w:rsidR="009C6D42" w:rsidRPr="00E45053">
              <w:rPr>
                <w:lang w:val="es-ES_tradnl"/>
              </w:rPr>
              <w:t>puede impedir el uso de la denominación propuesta.</w:t>
            </w:r>
            <w:r w:rsidR="006B4D4F" w:rsidRPr="00E45053">
              <w:rPr>
                <w:lang w:val="es-ES_tradnl"/>
              </w:rPr>
              <w:t xml:space="preserve">  </w:t>
            </w:r>
            <w:r w:rsidR="00DC291B" w:rsidRPr="00E45053">
              <w:rPr>
                <w:lang w:val="es-ES_tradnl"/>
              </w:rPr>
              <w:t>Corresponde al titular de un derecho anterior afirmar sus derechos mediante una objeción o los procedimientos judiciales disponibles.</w:t>
            </w:r>
            <w:r w:rsidRPr="00E45053">
              <w:rPr>
                <w:lang w:val="es-ES_tradnl"/>
              </w:rPr>
              <w:t xml:space="preserve">  </w:t>
            </w:r>
            <w:r w:rsidR="00FC5BF5" w:rsidRPr="00E45053">
              <w:rPr>
                <w:lang w:val="es-ES_tradnl"/>
              </w:rPr>
              <w:t>No obstante</w:t>
            </w:r>
            <w:r w:rsidR="00DD7B53" w:rsidRPr="00E45053">
              <w:rPr>
                <w:lang w:val="es-ES_tradnl"/>
              </w:rPr>
              <w:t xml:space="preserve">, </w:t>
            </w:r>
            <w:r w:rsidR="00FC5BF5" w:rsidRPr="00E45053">
              <w:rPr>
                <w:lang w:val="es-ES_tradnl"/>
              </w:rPr>
              <w:t>se insta a las autoridades a que efectúen búsquedas en las publicaciones pertinentes (por ejemplo</w:t>
            </w:r>
            <w:r w:rsidR="00DD7B53" w:rsidRPr="00E45053">
              <w:rPr>
                <w:lang w:val="es-ES_tradnl"/>
              </w:rPr>
              <w:t xml:space="preserve">, </w:t>
            </w:r>
            <w:r w:rsidR="00FC5BF5" w:rsidRPr="00E45053">
              <w:rPr>
                <w:lang w:val="es-ES_tradnl"/>
              </w:rPr>
              <w:t xml:space="preserve">boletines oficiales) y bases de datos (por ejemplo la Base de datos de la UPOV sobre variedades vegetales (PLUTO) </w:t>
            </w:r>
            <w:hyperlink r:id="rId9" w:history="1">
              <w:r w:rsidR="00FC5BF5" w:rsidRPr="00E45053">
                <w:rPr>
                  <w:rStyle w:val="Hyperlink"/>
                  <w:lang w:val="es-ES_tradnl"/>
                </w:rPr>
                <w:t>http://www.upov.int/pluto/es/</w:t>
              </w:r>
            </w:hyperlink>
            <w:r w:rsidR="00FC5BF5" w:rsidRPr="00E45053">
              <w:rPr>
                <w:lang w:val="es-ES_tradnl"/>
              </w:rPr>
              <w:t>) con objeto de identificar derechos anteriores respecto de las denominaciones de variedades.</w:t>
            </w:r>
            <w:r w:rsidRPr="00E45053">
              <w:rPr>
                <w:lang w:val="es-ES_tradnl"/>
              </w:rPr>
              <w:t xml:space="preserve">  </w:t>
            </w:r>
            <w:r w:rsidR="00FC5BF5" w:rsidRPr="00E45053">
              <w:rPr>
                <w:lang w:val="es-ES_tradnl"/>
              </w:rPr>
              <w:t>Asimismo</w:t>
            </w:r>
            <w:r w:rsidR="00DD7B53" w:rsidRPr="00E45053">
              <w:rPr>
                <w:lang w:val="es-ES_tradnl"/>
              </w:rPr>
              <w:t xml:space="preserve">, </w:t>
            </w:r>
            <w:r w:rsidR="00FC5BF5" w:rsidRPr="00E45053">
              <w:rPr>
                <w:lang w:val="es-ES_tradnl"/>
              </w:rPr>
              <w:t>pueden efectuar búsquedas en otros registros</w:t>
            </w:r>
            <w:r w:rsidR="00DD7B53" w:rsidRPr="00E45053">
              <w:rPr>
                <w:lang w:val="es-ES_tradnl"/>
              </w:rPr>
              <w:t xml:space="preserve">, </w:t>
            </w:r>
            <w:r w:rsidR="00FC5BF5" w:rsidRPr="00E45053">
              <w:rPr>
                <w:lang w:val="es-ES_tradnl"/>
              </w:rPr>
              <w:t>tales como los registros de marcas</w:t>
            </w:r>
            <w:r w:rsidR="00DD7B53" w:rsidRPr="00E45053">
              <w:rPr>
                <w:lang w:val="es-ES_tradnl"/>
              </w:rPr>
              <w:t xml:space="preserve">, </w:t>
            </w:r>
            <w:r w:rsidR="00FC5BF5" w:rsidRPr="00E45053">
              <w:rPr>
                <w:lang w:val="es-ES_tradnl"/>
              </w:rPr>
              <w:t>antes de aceptar una denominación de variedad.</w:t>
            </w:r>
            <w:r w:rsidRPr="00E45053">
              <w:rPr>
                <w:lang w:val="es-ES_tradnl"/>
              </w:rPr>
              <w:t>”</w:t>
            </w:r>
          </w:p>
        </w:tc>
      </w:tr>
      <w:tr w:rsidR="00753491" w:rsidRPr="00E45053">
        <w:trPr>
          <w:cantSplit/>
        </w:trPr>
        <w:tc>
          <w:tcPr>
            <w:tcW w:w="1391" w:type="dxa"/>
          </w:tcPr>
          <w:p w:rsidR="00753491" w:rsidRPr="00E45053" w:rsidRDefault="00753491" w:rsidP="00753491">
            <w:pPr>
              <w:rPr>
                <w:lang w:val="es-ES_tradnl"/>
              </w:rPr>
            </w:pPr>
            <w:r w:rsidRPr="00E45053">
              <w:rPr>
                <w:lang w:val="es-ES_tradnl"/>
              </w:rPr>
              <w:t>4</w:t>
            </w:r>
            <w:r w:rsidR="000D0A7C" w:rsidRPr="00E45053">
              <w:rPr>
                <w:lang w:val="es-ES_tradnl"/>
              </w:rPr>
              <w:t>.</w:t>
            </w:r>
            <w:r w:rsidR="00DF05E3" w:rsidRPr="00E45053">
              <w:rPr>
                <w:lang w:val="es-ES_tradnl"/>
              </w:rPr>
              <w:t>e)</w:t>
            </w:r>
            <w:r w:rsidRPr="00E45053">
              <w:rPr>
                <w:lang w:val="es-ES_tradnl"/>
              </w:rPr>
              <w:t>i)</w:t>
            </w:r>
          </w:p>
        </w:tc>
        <w:tc>
          <w:tcPr>
            <w:tcW w:w="7789" w:type="dxa"/>
          </w:tcPr>
          <w:p w:rsidR="00753491" w:rsidRPr="00E45053" w:rsidRDefault="00FC5BF5" w:rsidP="00753491">
            <w:pPr>
              <w:rPr>
                <w:snapToGrid w:val="0"/>
                <w:lang w:val="es-ES_tradnl"/>
              </w:rPr>
            </w:pPr>
            <w:r w:rsidRPr="00E45053">
              <w:rPr>
                <w:snapToGrid w:val="0"/>
                <w:lang w:val="es-ES_tradnl"/>
              </w:rPr>
              <w:t>Debe modificarse la última frase del inciso</w:t>
            </w:r>
            <w:r w:rsidR="00DD7B53" w:rsidRPr="00E45053">
              <w:rPr>
                <w:snapToGrid w:val="0"/>
                <w:lang w:val="es-ES_tradnl"/>
              </w:rPr>
              <w:t> 4</w:t>
            </w:r>
            <w:r w:rsidR="000D0A7C" w:rsidRPr="00E45053">
              <w:rPr>
                <w:snapToGrid w:val="0"/>
                <w:lang w:val="es-ES_tradnl"/>
              </w:rPr>
              <w:t>.</w:t>
            </w:r>
            <w:r w:rsidRPr="00E45053">
              <w:rPr>
                <w:snapToGrid w:val="0"/>
                <w:lang w:val="es-ES_tradnl"/>
              </w:rPr>
              <w:t>e)i) del siguiente modo:</w:t>
            </w:r>
            <w:r w:rsidR="006B4D4F" w:rsidRPr="00E45053">
              <w:rPr>
                <w:snapToGrid w:val="0"/>
                <w:lang w:val="es-ES_tradnl"/>
              </w:rPr>
              <w:t xml:space="preserve">  </w:t>
            </w:r>
          </w:p>
          <w:p w:rsidR="00753491" w:rsidRPr="00E45053" w:rsidRDefault="00753491" w:rsidP="00753491">
            <w:pPr>
              <w:rPr>
                <w:snapToGrid w:val="0"/>
                <w:lang w:val="es-ES_tradnl"/>
              </w:rPr>
            </w:pPr>
          </w:p>
          <w:p w:rsidR="00753491" w:rsidRPr="00E45053" w:rsidRDefault="00753491" w:rsidP="00753491">
            <w:pPr>
              <w:tabs>
                <w:tab w:val="right" w:pos="1134"/>
                <w:tab w:val="left" w:pos="1418"/>
              </w:tabs>
              <w:rPr>
                <w:spacing w:val="-2"/>
                <w:lang w:val="es-ES_tradnl"/>
              </w:rPr>
            </w:pPr>
            <w:r w:rsidRPr="00E45053">
              <w:rPr>
                <w:spacing w:val="-2"/>
                <w:lang w:val="es-ES_tradnl"/>
              </w:rPr>
              <w:t>“</w:t>
            </w:r>
            <w:r w:rsidR="00FC5BF5" w:rsidRPr="00E45053">
              <w:rPr>
                <w:spacing w:val="-2"/>
                <w:lang w:val="es-ES_tradnl"/>
              </w:rPr>
              <w:t xml:space="preserve">En los casos en que exista una simple similitud o una probabilidad escasa de </w:t>
            </w:r>
            <w:r w:rsidR="00FC5BF5" w:rsidRPr="00E45053">
              <w:rPr>
                <w:strike/>
                <w:spacing w:val="-2"/>
                <w:lang w:val="es-ES_tradnl"/>
              </w:rPr>
              <w:t>asociación</w:t>
            </w:r>
            <w:r w:rsidR="00401A95" w:rsidRPr="00401A95">
              <w:rPr>
                <w:spacing w:val="-2"/>
                <w:lang w:val="es-ES_tradnl"/>
              </w:rPr>
              <w:t xml:space="preserve"> </w:t>
            </w:r>
            <w:r w:rsidR="00FC5BF5" w:rsidRPr="00E45053">
              <w:rPr>
                <w:spacing w:val="-2"/>
                <w:u w:val="single"/>
                <w:lang w:val="es-ES_tradnl"/>
              </w:rPr>
              <w:t>confusión</w:t>
            </w:r>
            <w:r w:rsidR="00FC5BF5" w:rsidRPr="00E45053">
              <w:rPr>
                <w:spacing w:val="-2"/>
                <w:lang w:val="es-ES_tradnl"/>
              </w:rPr>
              <w:t xml:space="preserve"> por los usuarios</w:t>
            </w:r>
            <w:r w:rsidR="00DD7B53" w:rsidRPr="00E45053">
              <w:rPr>
                <w:spacing w:val="-2"/>
                <w:lang w:val="es-ES_tradnl"/>
              </w:rPr>
              <w:t xml:space="preserve">, </w:t>
            </w:r>
            <w:r w:rsidR="00FC5BF5" w:rsidRPr="00E45053">
              <w:rPr>
                <w:spacing w:val="-2"/>
                <w:lang w:val="es-ES_tradnl"/>
              </w:rPr>
              <w:t>las dispensas concedidas a los obtentores por titulares de derechos sobre marcas anteriores podrían constituir una solución viable.</w:t>
            </w:r>
            <w:r w:rsidRPr="00E45053">
              <w:rPr>
                <w:spacing w:val="-2"/>
                <w:lang w:val="es-ES_tradnl"/>
              </w:rPr>
              <w:t>”</w:t>
            </w:r>
          </w:p>
        </w:tc>
      </w:tr>
    </w:tbl>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837D5E" w:rsidRPr="00E45053">
        <w:rPr>
          <w:lang w:val="es-ES_tradnl" w:eastAsia="ja-JP"/>
        </w:rPr>
        <w:t>El CAJ acordó examinar</w:t>
      </w:r>
      <w:r w:rsidR="00DD7B53" w:rsidRPr="00E45053">
        <w:rPr>
          <w:lang w:val="es-ES_tradnl" w:eastAsia="ja-JP"/>
        </w:rPr>
        <w:t xml:space="preserve">, </w:t>
      </w:r>
      <w:r w:rsidR="00837D5E" w:rsidRPr="00E45053">
        <w:rPr>
          <w:lang w:val="es-ES_tradnl" w:eastAsia="ja-JP"/>
        </w:rPr>
        <w:t>en su septuagésima segunda sesión</w:t>
      </w:r>
      <w:r w:rsidR="00DD7B53" w:rsidRPr="00E45053">
        <w:rPr>
          <w:lang w:val="es-ES_tradnl" w:eastAsia="ja-JP"/>
        </w:rPr>
        <w:t xml:space="preserve">, </w:t>
      </w:r>
      <w:r w:rsidR="00837D5E" w:rsidRPr="00E45053">
        <w:rPr>
          <w:lang w:val="es-ES_tradnl" w:eastAsia="ja-JP"/>
        </w:rPr>
        <w:t>las propuestas relativas a las Secciones 2.2.2.c)</w:t>
      </w:r>
      <w:r w:rsidR="00DD7B53" w:rsidRPr="00E45053">
        <w:rPr>
          <w:lang w:val="es-ES_tradnl" w:eastAsia="ja-JP"/>
        </w:rPr>
        <w:t>, 4</w:t>
      </w:r>
      <w:r w:rsidR="00837D5E" w:rsidRPr="00E45053">
        <w:rPr>
          <w:lang w:val="es-ES_tradnl" w:eastAsia="ja-JP"/>
        </w:rPr>
        <w:t xml:space="preserve">.a) y 4.e)i) presentadas por el </w:t>
      </w:r>
      <w:r w:rsidR="00837D5E" w:rsidRPr="00E45053">
        <w:rPr>
          <w:noProof/>
          <w:lang w:val="es-ES_tradnl" w:eastAsia="ja-JP"/>
        </w:rPr>
        <w:t>CAJ</w:t>
      </w:r>
      <w:r w:rsidR="000D0A7C" w:rsidRPr="00E45053">
        <w:rPr>
          <w:noProof/>
          <w:lang w:val="es-ES_tradnl" w:eastAsia="ja-JP"/>
        </w:rPr>
        <w:noBreakHyphen/>
      </w:r>
      <w:r w:rsidR="00837D5E" w:rsidRPr="00E45053">
        <w:rPr>
          <w:noProof/>
          <w:lang w:val="es-ES_tradnl" w:eastAsia="ja-JP"/>
        </w:rPr>
        <w:t>AG</w:t>
      </w:r>
      <w:r w:rsidR="00DD7B53" w:rsidRPr="00E45053">
        <w:rPr>
          <w:lang w:val="es-ES_tradnl" w:eastAsia="ja-JP"/>
        </w:rPr>
        <w:t xml:space="preserve">, </w:t>
      </w:r>
      <w:r w:rsidR="00837D5E" w:rsidRPr="00E45053">
        <w:rPr>
          <w:lang w:val="es-ES_tradnl" w:eastAsia="ja-JP"/>
        </w:rPr>
        <w:t>tal como se expone en el párrafo 28 del documento CAJ/71/3 (véase el párrafo</w:t>
      </w:r>
      <w:r w:rsidR="00DD7B53" w:rsidRPr="00E45053">
        <w:rPr>
          <w:lang w:val="es-ES_tradnl" w:eastAsia="ja-JP"/>
        </w:rPr>
        <w:t> 3</w:t>
      </w:r>
      <w:r w:rsidR="00837D5E" w:rsidRPr="00E45053">
        <w:rPr>
          <w:lang w:val="es-ES_tradnl" w:eastAsia="ja-JP"/>
        </w:rPr>
        <w:t>7 del documento CAJ/71/10</w:t>
      </w:r>
      <w:r w:rsidR="00401A95">
        <w:rPr>
          <w:lang w:val="es-ES_tradnl" w:eastAsia="ja-JP"/>
        </w:rPr>
        <w:t xml:space="preserve"> </w:t>
      </w:r>
      <w:r w:rsidR="00401A95" w:rsidRPr="00E45053">
        <w:rPr>
          <w:lang w:val="es-ES_tradnl" w:eastAsia="ja-JP"/>
        </w:rPr>
        <w:t>“Informe sobre las conclusiones”</w:t>
      </w:r>
      <w:r w:rsidR="00837D5E" w:rsidRPr="00E45053">
        <w:rPr>
          <w:lang w:val="es-ES_tradnl" w:eastAsia="ja-JP"/>
        </w:rPr>
        <w:t>).</w:t>
      </w:r>
    </w:p>
    <w:p w:rsidR="00753491" w:rsidRPr="00E45053" w:rsidRDefault="00753491" w:rsidP="00753491">
      <w:pPr>
        <w:rPr>
          <w:lang w:val="es-ES_tradnl" w:eastAsia="ja-JP"/>
        </w:rPr>
      </w:pPr>
    </w:p>
    <w:p w:rsidR="00753491" w:rsidRPr="00E45053" w:rsidRDefault="000D0A7C" w:rsidP="00753491">
      <w:pPr>
        <w:pStyle w:val="Heading2"/>
        <w:keepNext w:val="0"/>
        <w:rPr>
          <w:rFonts w:cs="Arial"/>
          <w:lang w:val="es-ES_tradnl"/>
        </w:rPr>
      </w:pPr>
      <w:bookmarkStart w:id="10" w:name="_Toc443496599"/>
      <w:r w:rsidRPr="00E45053">
        <w:rPr>
          <w:lang w:val="es-ES_tradnl"/>
        </w:rPr>
        <w:t>Ponencia de la Argentina</w:t>
      </w:r>
      <w:bookmarkEnd w:id="10"/>
    </w:p>
    <w:p w:rsidR="00753491" w:rsidRPr="00E45053" w:rsidRDefault="00753491" w:rsidP="00753491">
      <w:pPr>
        <w:rPr>
          <w:rFonts w:cs="Arial"/>
          <w:snapToGrid w:val="0"/>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0D0A7C" w:rsidRPr="00E45053">
        <w:rPr>
          <w:lang w:val="es-ES_tradnl" w:eastAsia="ja-JP"/>
        </w:rPr>
        <w:t>El TC</w:t>
      </w:r>
      <w:r w:rsidR="00DD7B53" w:rsidRPr="00E45053">
        <w:rPr>
          <w:lang w:val="es-ES_tradnl" w:eastAsia="ja-JP"/>
        </w:rPr>
        <w:t xml:space="preserve">, </w:t>
      </w:r>
      <w:r w:rsidR="000D0A7C" w:rsidRPr="00E45053">
        <w:rPr>
          <w:lang w:val="es-ES_tradnl" w:eastAsia="ja-JP"/>
        </w:rPr>
        <w:t>en su quincuagésima primera sesión</w:t>
      </w:r>
      <w:r w:rsidR="00DD7B53" w:rsidRPr="00E45053">
        <w:rPr>
          <w:lang w:val="es-ES_tradnl" w:eastAsia="ja-JP"/>
        </w:rPr>
        <w:t xml:space="preserve">, </w:t>
      </w:r>
      <w:r w:rsidR="000D0A7C" w:rsidRPr="00E45053">
        <w:rPr>
          <w:lang w:val="es-ES_tradnl" w:eastAsia="ja-JP"/>
        </w:rPr>
        <w:t>y el CAJ</w:t>
      </w:r>
      <w:r w:rsidR="00DD7B53" w:rsidRPr="00E45053">
        <w:rPr>
          <w:lang w:val="es-ES_tradnl" w:eastAsia="ja-JP"/>
        </w:rPr>
        <w:t xml:space="preserve">, </w:t>
      </w:r>
      <w:r w:rsidR="000D0A7C" w:rsidRPr="00E45053">
        <w:rPr>
          <w:lang w:val="es-ES_tradnl" w:eastAsia="ja-JP"/>
        </w:rPr>
        <w:t>en su septuagésima primera sesión</w:t>
      </w:r>
      <w:r w:rsidR="00DD7B53" w:rsidRPr="00E45053">
        <w:rPr>
          <w:lang w:val="es-ES_tradnl" w:eastAsia="ja-JP"/>
        </w:rPr>
        <w:t xml:space="preserve">, </w:t>
      </w:r>
      <w:r w:rsidR="000D0A7C" w:rsidRPr="00E45053">
        <w:rPr>
          <w:lang w:val="es-ES_tradnl" w:eastAsia="ja-JP"/>
        </w:rPr>
        <w:t>tomaron nota de que la Delegación de la Argentina estaba realizando un estudio sobre denominaciones de variedades que se presentaría al CAJ en su septuagésima segunda sesión</w:t>
      </w:r>
      <w:r w:rsidR="00DD7B53" w:rsidRPr="00E45053">
        <w:rPr>
          <w:lang w:val="es-ES_tradnl" w:eastAsia="ja-JP"/>
        </w:rPr>
        <w:t xml:space="preserve">, </w:t>
      </w:r>
      <w:r w:rsidR="000D0A7C" w:rsidRPr="00E45053">
        <w:rPr>
          <w:lang w:val="es-ES_tradnl" w:eastAsia="ja-JP"/>
        </w:rPr>
        <w:t>el</w:t>
      </w:r>
      <w:r w:rsidR="00DD7B53" w:rsidRPr="00E45053">
        <w:rPr>
          <w:lang w:val="es-ES_tradnl" w:eastAsia="ja-JP"/>
        </w:rPr>
        <w:t> 2</w:t>
      </w:r>
      <w:r w:rsidR="000D0A7C" w:rsidRPr="00E45053">
        <w:rPr>
          <w:lang w:val="es-ES_tradnl" w:eastAsia="ja-JP"/>
        </w:rPr>
        <w:t>6 y el</w:t>
      </w:r>
      <w:r w:rsidR="00DD7B53" w:rsidRPr="00E45053">
        <w:rPr>
          <w:lang w:val="es-ES_tradnl" w:eastAsia="ja-JP"/>
        </w:rPr>
        <w:t> 2</w:t>
      </w:r>
      <w:r w:rsidR="000D0A7C" w:rsidRPr="00E45053">
        <w:rPr>
          <w:lang w:val="es-ES_tradnl" w:eastAsia="ja-JP"/>
        </w:rPr>
        <w:t>7 de octubre de</w:t>
      </w:r>
      <w:r w:rsidR="00DD7B53" w:rsidRPr="00E45053">
        <w:rPr>
          <w:lang w:val="es-ES_tradnl" w:eastAsia="ja-JP"/>
        </w:rPr>
        <w:t> 2</w:t>
      </w:r>
      <w:r w:rsidR="000D0A7C" w:rsidRPr="00E45053">
        <w:rPr>
          <w:lang w:val="es-ES_tradnl" w:eastAsia="ja-JP"/>
        </w:rPr>
        <w:t>015 (véanse el párrafo 187 del documento TC/51/39 “Informe sobre las conclusiones” y el párrafo</w:t>
      </w:r>
      <w:r w:rsidR="00DD7B53" w:rsidRPr="00E45053">
        <w:rPr>
          <w:lang w:val="es-ES_tradnl" w:eastAsia="ja-JP"/>
        </w:rPr>
        <w:t> 3</w:t>
      </w:r>
      <w:r w:rsidR="000D0A7C" w:rsidRPr="00E45053">
        <w:rPr>
          <w:lang w:val="es-ES_tradnl" w:eastAsia="ja-JP"/>
        </w:rPr>
        <w:t>8 del documento CAJ/71/10 “Informe sobre las conclusiones”).</w:t>
      </w:r>
    </w:p>
    <w:p w:rsidR="00753491" w:rsidRPr="00E45053" w:rsidRDefault="00753491" w:rsidP="00753491">
      <w:pPr>
        <w:rPr>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0D0A7C" w:rsidRPr="00E45053">
        <w:rPr>
          <w:lang w:val="es-ES_tradnl" w:eastAsia="ja-JP"/>
        </w:rPr>
        <w:t>En su septuagésima segunda sesión</w:t>
      </w:r>
      <w:r w:rsidR="00DD7B53" w:rsidRPr="00E45053">
        <w:rPr>
          <w:lang w:val="es-ES_tradnl" w:eastAsia="ja-JP"/>
        </w:rPr>
        <w:t xml:space="preserve">, </w:t>
      </w:r>
      <w:r w:rsidR="000D0A7C" w:rsidRPr="00E45053">
        <w:rPr>
          <w:lang w:val="es-ES_tradnl" w:eastAsia="ja-JP"/>
        </w:rPr>
        <w:t>el CAJ tomó nota de la ponencia de la Argentina sobre denominaciones de variedades</w:t>
      </w:r>
      <w:r w:rsidR="00DD7B53" w:rsidRPr="00E45053">
        <w:rPr>
          <w:lang w:val="es-ES_tradnl" w:eastAsia="ja-JP"/>
        </w:rPr>
        <w:t xml:space="preserve">, </w:t>
      </w:r>
      <w:r w:rsidR="000D0A7C" w:rsidRPr="00E45053">
        <w:rPr>
          <w:lang w:val="es-ES_tradnl" w:eastAsia="ja-JP"/>
        </w:rPr>
        <w:t>de la cual se proporciona una copia en una adición al documento CAJ/72/3 “Denominaciones de variedades” (véase el párrafo</w:t>
      </w:r>
      <w:r w:rsidR="00DD7B53" w:rsidRPr="00E45053">
        <w:rPr>
          <w:lang w:val="es-ES_tradnl" w:eastAsia="ja-JP"/>
        </w:rPr>
        <w:t> 2</w:t>
      </w:r>
      <w:r w:rsidR="000D0A7C" w:rsidRPr="00E45053">
        <w:rPr>
          <w:lang w:val="es-ES_tradnl" w:eastAsia="ja-JP"/>
        </w:rPr>
        <w:t>0 del documento CAJ/72/9 “Informe sobre las conclusiones”).</w:t>
      </w:r>
    </w:p>
    <w:p w:rsidR="00753491" w:rsidRPr="00E45053" w:rsidRDefault="00753491" w:rsidP="00753491">
      <w:pPr>
        <w:rPr>
          <w:rFonts w:cs="Arial"/>
          <w:snapToGrid w:val="0"/>
          <w:lang w:val="es-ES_tradnl" w:eastAsia="ja-JP"/>
        </w:rPr>
      </w:pPr>
    </w:p>
    <w:p w:rsidR="00753491" w:rsidRPr="00E45053" w:rsidRDefault="00EB1382" w:rsidP="00753491">
      <w:pPr>
        <w:pStyle w:val="Heading2"/>
        <w:rPr>
          <w:lang w:val="es-ES_tradnl"/>
        </w:rPr>
      </w:pPr>
      <w:bookmarkStart w:id="11" w:name="_Toc443496600"/>
      <w:r w:rsidRPr="00E45053">
        <w:rPr>
          <w:lang w:val="es-ES_tradnl"/>
        </w:rPr>
        <w:t>Próximos pasos</w:t>
      </w:r>
      <w:bookmarkEnd w:id="11"/>
    </w:p>
    <w:p w:rsidR="00753491" w:rsidRPr="00E45053" w:rsidRDefault="00753491" w:rsidP="00753491">
      <w:pPr>
        <w:keepNext/>
        <w:rPr>
          <w:rFonts w:cs="Arial"/>
          <w:snapToGrid w:val="0"/>
          <w:lang w:val="es-ES_tradnl" w:eastAsia="ja-JP"/>
        </w:rPr>
      </w:pPr>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6510E9" w:rsidRPr="00E45053">
        <w:rPr>
          <w:lang w:val="es-ES_tradnl" w:eastAsia="ja-JP"/>
        </w:rPr>
        <w:t>En su septuagésima segunda sesión</w:t>
      </w:r>
      <w:r w:rsidR="00DD7B53" w:rsidRPr="00E45053">
        <w:rPr>
          <w:lang w:val="es-ES_tradnl" w:eastAsia="ja-JP"/>
        </w:rPr>
        <w:t xml:space="preserve">, </w:t>
      </w:r>
      <w:r w:rsidR="006510E9" w:rsidRPr="00E45053">
        <w:rPr>
          <w:lang w:val="es-ES_tradnl" w:eastAsia="ja-JP"/>
        </w:rPr>
        <w:t>el CAJ acordó que los próximos pasos en la revisión de las “Notas explicativas sobre las denominaciones de variedades con arreglo al Convenio de la UPOV” sean los siguientes (véase el párrafo</w:t>
      </w:r>
      <w:r w:rsidR="00DD7B53" w:rsidRPr="00E45053">
        <w:rPr>
          <w:lang w:val="es-ES_tradnl" w:eastAsia="ja-JP"/>
        </w:rPr>
        <w:t> 2</w:t>
      </w:r>
      <w:r w:rsidR="006510E9" w:rsidRPr="00E45053">
        <w:rPr>
          <w:lang w:val="es-ES_tradnl" w:eastAsia="ja-JP"/>
        </w:rPr>
        <w:t>3 del documento CAJ/72/9 “Informe sobre las conclusiones”):</w:t>
      </w:r>
      <w:r w:rsidR="006B4D4F" w:rsidRPr="00E45053">
        <w:rPr>
          <w:lang w:val="es-ES_tradnl" w:eastAsia="ja-JP"/>
        </w:rPr>
        <w:t xml:space="preserve">  </w:t>
      </w:r>
    </w:p>
    <w:p w:rsidR="00753491" w:rsidRPr="00E45053" w:rsidRDefault="00753491" w:rsidP="00753491">
      <w:pPr>
        <w:rPr>
          <w:lang w:val="es-ES_tradnl" w:eastAsia="ja-JP"/>
        </w:rPr>
      </w:pPr>
    </w:p>
    <w:p w:rsidR="00753491" w:rsidRPr="00E45053" w:rsidRDefault="00BD5DD7" w:rsidP="00753491">
      <w:pPr>
        <w:ind w:left="567" w:right="567"/>
        <w:rPr>
          <w:lang w:val="es-ES_tradnl" w:eastAsia="ja-JP"/>
        </w:rPr>
      </w:pPr>
      <w:r w:rsidRPr="00E45053">
        <w:rPr>
          <w:lang w:val="es-ES_tradnl" w:eastAsia="ja-JP"/>
        </w:rPr>
        <w:t>a)</w:t>
      </w:r>
      <w:r w:rsidRPr="00E45053">
        <w:rPr>
          <w:lang w:val="es-ES_tradnl" w:eastAsia="ja-JP"/>
        </w:rPr>
        <w:tab/>
      </w:r>
      <w:r w:rsidR="006510E9" w:rsidRPr="00E45053">
        <w:rPr>
          <w:lang w:val="es-ES_tradnl" w:eastAsia="ja-JP"/>
        </w:rPr>
        <w:t xml:space="preserve">ampliar el mandato y la composición del Grupo de trabajo para la elaboración de un instrumento de la UPOV de búsqueda </w:t>
      </w:r>
      <w:r w:rsidR="00401A95" w:rsidRPr="00E45053">
        <w:rPr>
          <w:lang w:val="es-ES_tradnl" w:eastAsia="ja-JP"/>
        </w:rPr>
        <w:t>de similitud a los fines de la denominación de variedades</w:t>
      </w:r>
      <w:r w:rsidR="006510E9" w:rsidRPr="00E45053">
        <w:rPr>
          <w:lang w:val="es-ES_tradnl" w:eastAsia="ja-JP"/>
        </w:rPr>
        <w:t xml:space="preserve"> (</w:t>
      </w:r>
      <w:r w:rsidR="006510E9" w:rsidRPr="00E45053">
        <w:rPr>
          <w:noProof/>
          <w:lang w:val="es-ES_tradnl" w:eastAsia="ja-JP"/>
        </w:rPr>
        <w:t>WG</w:t>
      </w:r>
      <w:r w:rsidR="006510E9" w:rsidRPr="00E45053">
        <w:rPr>
          <w:noProof/>
          <w:lang w:val="es-ES_tradnl" w:eastAsia="ja-JP"/>
        </w:rPr>
        <w:noBreakHyphen/>
        <w:t>DST</w:t>
      </w:r>
      <w:r w:rsidR="006510E9" w:rsidRPr="00E45053">
        <w:rPr>
          <w:lang w:val="es-ES_tradnl" w:eastAsia="ja-JP"/>
        </w:rPr>
        <w:t>) a fin de que formule recomendaciones para el CAJ en relación con la revisión del documento UPOV/INF/12 “Notas explicativas sobre las denominaciones de variedades con arreglo al Convenio de la UPOV” (Grupo de trabajo sobre denominaciones de variedades (</w:t>
      </w:r>
      <w:r w:rsidR="006510E9" w:rsidRPr="00E45053">
        <w:rPr>
          <w:noProof/>
          <w:lang w:val="es-ES_tradnl" w:eastAsia="ja-JP"/>
        </w:rPr>
        <w:t>WG</w:t>
      </w:r>
      <w:r w:rsidR="006510E9" w:rsidRPr="00E45053">
        <w:rPr>
          <w:noProof/>
          <w:lang w:val="es-ES_tradnl" w:eastAsia="ja-JP"/>
        </w:rPr>
        <w:noBreakHyphen/>
        <w:t>DEN</w:t>
      </w:r>
      <w:r w:rsidR="006510E9" w:rsidRPr="00E45053">
        <w:rPr>
          <w:lang w:val="es-ES_tradnl" w:eastAsia="ja-JP"/>
        </w:rPr>
        <w:t>));</w:t>
      </w:r>
    </w:p>
    <w:p w:rsidR="00753491" w:rsidRPr="00E45053" w:rsidRDefault="00753491" w:rsidP="00753491">
      <w:pPr>
        <w:ind w:left="567" w:right="567"/>
        <w:rPr>
          <w:lang w:val="es-ES_tradnl" w:eastAsia="ja-JP"/>
        </w:rPr>
      </w:pPr>
    </w:p>
    <w:p w:rsidR="00753491" w:rsidRPr="00E45053" w:rsidRDefault="00753491" w:rsidP="00753491">
      <w:pPr>
        <w:ind w:left="567" w:right="567"/>
        <w:rPr>
          <w:lang w:val="es-ES_tradnl" w:eastAsia="ja-JP"/>
        </w:rPr>
      </w:pPr>
      <w:r w:rsidRPr="00E45053">
        <w:rPr>
          <w:lang w:val="es-ES_tradnl" w:eastAsia="ja-JP"/>
        </w:rPr>
        <w:t>b)</w:t>
      </w:r>
      <w:r w:rsidRPr="00E45053">
        <w:rPr>
          <w:lang w:val="es-ES_tradnl" w:eastAsia="ja-JP"/>
        </w:rPr>
        <w:tab/>
      </w:r>
      <w:r w:rsidR="00506235" w:rsidRPr="00E45053">
        <w:rPr>
          <w:lang w:val="es-ES_tradnl" w:eastAsia="ja-JP"/>
        </w:rPr>
        <w:t xml:space="preserve">que la Oficina de la Unión emita una circular en la que se solicite a los miembros </w:t>
      </w:r>
      <w:r w:rsidR="00401A95" w:rsidRPr="00E45053">
        <w:rPr>
          <w:lang w:val="es-ES_tradnl" w:eastAsia="ja-JP"/>
        </w:rPr>
        <w:t>y a los observadores</w:t>
      </w:r>
      <w:r w:rsidR="00401A95" w:rsidRPr="00E45053">
        <w:rPr>
          <w:lang w:val="es-ES_tradnl" w:eastAsia="ja-JP"/>
        </w:rPr>
        <w:t xml:space="preserve"> </w:t>
      </w:r>
      <w:r w:rsidR="00506235" w:rsidRPr="00E45053">
        <w:rPr>
          <w:lang w:val="es-ES_tradnl" w:eastAsia="ja-JP"/>
        </w:rPr>
        <w:t xml:space="preserve">del CAJ </w:t>
      </w:r>
      <w:r w:rsidR="0075058C" w:rsidRPr="00E45053">
        <w:rPr>
          <w:rFonts w:cs="Arial"/>
          <w:snapToGrid w:val="0"/>
          <w:lang w:val="es-ES_tradnl" w:eastAsia="ja-JP"/>
        </w:rPr>
        <w:t xml:space="preserve">a expresar su interés </w:t>
      </w:r>
      <w:r w:rsidR="0075058C">
        <w:rPr>
          <w:rFonts w:cs="Arial"/>
          <w:snapToGrid w:val="0"/>
          <w:lang w:val="es-ES_tradnl" w:eastAsia="ja-JP"/>
        </w:rPr>
        <w:t>en</w:t>
      </w:r>
      <w:r w:rsidR="00506235" w:rsidRPr="00E45053">
        <w:rPr>
          <w:lang w:val="es-ES_tradnl" w:eastAsia="ja-JP"/>
        </w:rPr>
        <w:t xml:space="preserve"> particip</w:t>
      </w:r>
      <w:r w:rsidR="0075058C">
        <w:rPr>
          <w:lang w:val="es-ES_tradnl" w:eastAsia="ja-JP"/>
        </w:rPr>
        <w:t>ar</w:t>
      </w:r>
      <w:r w:rsidR="00506235" w:rsidRPr="00E45053">
        <w:rPr>
          <w:lang w:val="es-ES_tradnl" w:eastAsia="ja-JP"/>
        </w:rPr>
        <w:t xml:space="preserve"> en el </w:t>
      </w:r>
      <w:r w:rsidR="00506235" w:rsidRPr="00E45053">
        <w:rPr>
          <w:noProof/>
          <w:lang w:val="es-ES_tradnl" w:eastAsia="ja-JP"/>
        </w:rPr>
        <w:t>WG</w:t>
      </w:r>
      <w:r w:rsidR="00506235" w:rsidRPr="00E45053">
        <w:rPr>
          <w:noProof/>
          <w:lang w:val="es-ES_tradnl" w:eastAsia="ja-JP"/>
        </w:rPr>
        <w:noBreakHyphen/>
        <w:t>DEN</w:t>
      </w:r>
      <w:r w:rsidR="00506235" w:rsidRPr="00E45053">
        <w:rPr>
          <w:lang w:val="es-ES_tradnl" w:eastAsia="ja-JP"/>
        </w:rPr>
        <w:t xml:space="preserve"> y que</w:t>
      </w:r>
      <w:r w:rsidR="00DD7B53" w:rsidRPr="00E45053">
        <w:rPr>
          <w:lang w:val="es-ES_tradnl" w:eastAsia="ja-JP"/>
        </w:rPr>
        <w:t xml:space="preserve">, </w:t>
      </w:r>
      <w:r w:rsidR="00506235" w:rsidRPr="00E45053">
        <w:rPr>
          <w:lang w:val="es-ES_tradnl" w:eastAsia="ja-JP"/>
        </w:rPr>
        <w:t>si procede</w:t>
      </w:r>
      <w:r w:rsidR="00DD7B53" w:rsidRPr="00E45053">
        <w:rPr>
          <w:lang w:val="es-ES_tradnl" w:eastAsia="ja-JP"/>
        </w:rPr>
        <w:t xml:space="preserve">, </w:t>
      </w:r>
      <w:r w:rsidR="00506235" w:rsidRPr="00E45053">
        <w:rPr>
          <w:lang w:val="es-ES_tradnl" w:eastAsia="ja-JP"/>
        </w:rPr>
        <w:t>presenten propuestas de revisión del documento UPOV/INF/12 antes del 20 de enero de 2016;</w:t>
      </w:r>
    </w:p>
    <w:p w:rsidR="00753491" w:rsidRPr="00E45053" w:rsidRDefault="00753491" w:rsidP="00753491">
      <w:pPr>
        <w:ind w:left="567" w:right="567"/>
        <w:rPr>
          <w:lang w:val="es-ES_tradnl" w:eastAsia="ja-JP"/>
        </w:rPr>
      </w:pPr>
    </w:p>
    <w:p w:rsidR="00753491" w:rsidRPr="00E45053" w:rsidRDefault="00753491" w:rsidP="00753491">
      <w:pPr>
        <w:ind w:left="567" w:right="567"/>
        <w:rPr>
          <w:lang w:val="es-ES_tradnl" w:eastAsia="ja-JP"/>
        </w:rPr>
      </w:pPr>
      <w:r w:rsidRPr="00E45053">
        <w:rPr>
          <w:lang w:val="es-ES_tradnl" w:eastAsia="ja-JP"/>
        </w:rPr>
        <w:t>c)</w:t>
      </w:r>
      <w:r w:rsidRPr="00E45053">
        <w:rPr>
          <w:lang w:val="es-ES_tradnl" w:eastAsia="ja-JP"/>
        </w:rPr>
        <w:tab/>
      </w:r>
      <w:r w:rsidR="00506235" w:rsidRPr="00E45053">
        <w:rPr>
          <w:lang w:val="es-ES_tradnl" w:eastAsia="ja-JP"/>
        </w:rPr>
        <w:t xml:space="preserve">que el </w:t>
      </w:r>
      <w:r w:rsidR="00506235" w:rsidRPr="00E45053">
        <w:rPr>
          <w:rFonts w:eastAsia="MS Mincho"/>
          <w:noProof/>
          <w:lang w:val="es-ES_tradnl" w:eastAsia="ja-JP"/>
        </w:rPr>
        <w:t>WG</w:t>
      </w:r>
      <w:r w:rsidR="00506235" w:rsidRPr="00E45053">
        <w:rPr>
          <w:rFonts w:eastAsia="MS Mincho"/>
          <w:noProof/>
          <w:lang w:val="es-ES_tradnl" w:eastAsia="ja-JP"/>
        </w:rPr>
        <w:noBreakHyphen/>
        <w:t>DEN</w:t>
      </w:r>
      <w:r w:rsidR="00506235" w:rsidRPr="00E45053">
        <w:rPr>
          <w:lang w:val="es-ES_tradnl" w:eastAsia="ja-JP"/>
        </w:rPr>
        <w:t xml:space="preserve"> celebre una reunión en la semana de las sesiones de la UPOV de marzo de 2016;</w:t>
      </w:r>
    </w:p>
    <w:p w:rsidR="00753491" w:rsidRPr="00E45053" w:rsidRDefault="00753491" w:rsidP="00753491">
      <w:pPr>
        <w:ind w:left="567" w:right="567"/>
        <w:rPr>
          <w:lang w:val="es-ES_tradnl" w:eastAsia="ja-JP"/>
        </w:rPr>
      </w:pPr>
    </w:p>
    <w:p w:rsidR="00753491" w:rsidRPr="00E45053" w:rsidRDefault="00753491" w:rsidP="00753491">
      <w:pPr>
        <w:ind w:left="567" w:right="567"/>
        <w:rPr>
          <w:lang w:val="es-ES_tradnl" w:eastAsia="ja-JP"/>
        </w:rPr>
      </w:pPr>
      <w:r w:rsidRPr="00E45053">
        <w:rPr>
          <w:lang w:val="es-ES_tradnl" w:eastAsia="ja-JP"/>
        </w:rPr>
        <w:t>d)</w:t>
      </w:r>
      <w:r w:rsidRPr="00E45053">
        <w:rPr>
          <w:lang w:val="es-ES_tradnl" w:eastAsia="ja-JP"/>
        </w:rPr>
        <w:tab/>
      </w:r>
      <w:r w:rsidR="00506235" w:rsidRPr="00E45053">
        <w:rPr>
          <w:lang w:val="es-ES_tradnl" w:eastAsia="ja-JP"/>
        </w:rPr>
        <w:t xml:space="preserve">que el </w:t>
      </w:r>
      <w:r w:rsidR="00506235" w:rsidRPr="00E45053">
        <w:rPr>
          <w:rFonts w:eastAsia="MS Mincho"/>
          <w:noProof/>
          <w:lang w:val="es-ES_tradnl" w:eastAsia="ja-JP"/>
        </w:rPr>
        <w:t>WG</w:t>
      </w:r>
      <w:r w:rsidR="00506235" w:rsidRPr="00E45053">
        <w:rPr>
          <w:rFonts w:eastAsia="MS Mincho"/>
          <w:noProof/>
          <w:lang w:val="es-ES_tradnl" w:eastAsia="ja-JP"/>
        </w:rPr>
        <w:noBreakHyphen/>
        <w:t>DEN</w:t>
      </w:r>
      <w:r w:rsidR="00506235" w:rsidRPr="00E45053">
        <w:rPr>
          <w:lang w:val="es-ES_tradnl" w:eastAsia="ja-JP"/>
        </w:rPr>
        <w:t xml:space="preserve"> examine las propuestas recibidas en respuesta a la circular mencionada en el párrafo b) anterior y las que se exponen en los párrafos 28 a 37 y 41 del documento CAJ/72/3 conjuntamente con la labor de elaboración de un instrumento eficaz de la UPOV para la búsqueda </w:t>
      </w:r>
      <w:r w:rsidR="0075058C" w:rsidRPr="00E45053">
        <w:rPr>
          <w:lang w:val="es-ES_tradnl" w:eastAsia="ja-JP"/>
        </w:rPr>
        <w:t>de similitud a los fines de la denominación de variedades</w:t>
      </w:r>
      <w:r w:rsidR="00506235" w:rsidRPr="00E45053">
        <w:rPr>
          <w:lang w:val="es-ES_tradnl" w:eastAsia="ja-JP"/>
        </w:rPr>
        <w:t>;</w:t>
      </w:r>
    </w:p>
    <w:p w:rsidR="00753491" w:rsidRPr="00E45053" w:rsidRDefault="00753491" w:rsidP="00753491">
      <w:pPr>
        <w:ind w:left="567" w:right="567"/>
        <w:rPr>
          <w:lang w:val="es-ES_tradnl" w:eastAsia="ja-JP"/>
        </w:rPr>
      </w:pPr>
    </w:p>
    <w:p w:rsidR="00753491" w:rsidRPr="00E45053" w:rsidRDefault="00753491" w:rsidP="00753491">
      <w:pPr>
        <w:ind w:left="567" w:right="567"/>
        <w:rPr>
          <w:lang w:val="es-ES_tradnl" w:eastAsia="ja-JP"/>
        </w:rPr>
      </w:pPr>
      <w:r w:rsidRPr="00E45053">
        <w:rPr>
          <w:lang w:val="es-ES_tradnl" w:eastAsia="ja-JP"/>
        </w:rPr>
        <w:t>e)</w:t>
      </w:r>
      <w:r w:rsidRPr="00E45053">
        <w:rPr>
          <w:lang w:val="es-ES_tradnl" w:eastAsia="ja-JP"/>
        </w:rPr>
        <w:tab/>
      </w:r>
      <w:r w:rsidR="00506235" w:rsidRPr="00E45053">
        <w:rPr>
          <w:lang w:val="es-ES_tradnl" w:eastAsia="ja-JP"/>
        </w:rPr>
        <w:t xml:space="preserve">que el </w:t>
      </w:r>
      <w:r w:rsidR="00506235" w:rsidRPr="00E45053">
        <w:rPr>
          <w:rFonts w:eastAsia="MS Mincho"/>
          <w:noProof/>
          <w:lang w:val="es-ES_tradnl" w:eastAsia="ja-JP"/>
        </w:rPr>
        <w:t>WG</w:t>
      </w:r>
      <w:r w:rsidR="00506235" w:rsidRPr="00E45053">
        <w:rPr>
          <w:rFonts w:eastAsia="MS Mincho"/>
          <w:noProof/>
          <w:lang w:val="es-ES_tradnl" w:eastAsia="ja-JP"/>
        </w:rPr>
        <w:noBreakHyphen/>
        <w:t>DEN</w:t>
      </w:r>
      <w:r w:rsidR="00506235" w:rsidRPr="00E45053">
        <w:rPr>
          <w:lang w:val="es-ES_tradnl" w:eastAsia="ja-JP"/>
        </w:rPr>
        <w:t xml:space="preserve"> considere las propuestas de ampliación del contenido de la base de datos PLUTO de modo que abarque todas las variedades reconocidas</w:t>
      </w:r>
      <w:r w:rsidR="00DD7B53" w:rsidRPr="00E45053">
        <w:rPr>
          <w:lang w:val="es-ES_tradnl" w:eastAsia="ja-JP"/>
        </w:rPr>
        <w:t xml:space="preserve">, </w:t>
      </w:r>
      <w:r w:rsidR="00506235" w:rsidRPr="00E45053">
        <w:rPr>
          <w:lang w:val="es-ES_tradnl" w:eastAsia="ja-JP"/>
        </w:rPr>
        <w:t>incluidas las que no han sido registradas o protegidas o ya no lo están (véase el párrafo 38 del documento CAJ/72/6 “Bases de datos de información de la UPOV”).</w:t>
      </w:r>
    </w:p>
    <w:p w:rsidR="00753491" w:rsidRPr="00E45053" w:rsidRDefault="00753491" w:rsidP="00753491">
      <w:pPr>
        <w:rPr>
          <w:rFonts w:cs="Arial"/>
          <w:snapToGrid w:val="0"/>
          <w:lang w:val="es-ES_tradnl" w:eastAsia="ja-JP"/>
        </w:rPr>
      </w:pPr>
    </w:p>
    <w:p w:rsidR="00753491" w:rsidRPr="00E45053" w:rsidRDefault="00152836" w:rsidP="00753491">
      <w:pPr>
        <w:rPr>
          <w:rFonts w:cs="Arial"/>
          <w:snapToGrid w:val="0"/>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7B6A2C" w:rsidRPr="00E45053">
        <w:rPr>
          <w:lang w:val="es-ES_tradnl" w:eastAsia="ja-JP"/>
        </w:rPr>
        <w:t>En su cuadragésima novena sesión ordinaria</w:t>
      </w:r>
      <w:r w:rsidR="00DD7B53" w:rsidRPr="00E45053">
        <w:rPr>
          <w:lang w:val="es-ES_tradnl" w:eastAsia="ja-JP"/>
        </w:rPr>
        <w:t xml:space="preserve">, </w:t>
      </w:r>
      <w:r w:rsidR="007B6A2C" w:rsidRPr="00E45053">
        <w:rPr>
          <w:lang w:val="es-ES_tradnl"/>
        </w:rPr>
        <w:t xml:space="preserve">el Consejo recibió un informe sobre las recomendaciones formuladas por el Comité Consultivo relativas al calendario de reuniones </w:t>
      </w:r>
      <w:r w:rsidR="00C91708" w:rsidRPr="00E45053">
        <w:rPr>
          <w:lang w:val="es-ES_tradnl"/>
        </w:rPr>
        <w:t>de</w:t>
      </w:r>
      <w:r w:rsidR="00DD7B53" w:rsidRPr="00E45053">
        <w:rPr>
          <w:lang w:val="es-ES_tradnl"/>
        </w:rPr>
        <w:t> 2</w:t>
      </w:r>
      <w:r w:rsidR="007B6A2C" w:rsidRPr="00E45053">
        <w:rPr>
          <w:lang w:val="es-ES_tradnl"/>
        </w:rPr>
        <w:t>016 (véanse los párrafos</w:t>
      </w:r>
      <w:r w:rsidR="00DD7B53" w:rsidRPr="00E45053">
        <w:rPr>
          <w:lang w:val="es-ES_tradnl"/>
        </w:rPr>
        <w:t> 6</w:t>
      </w:r>
      <w:r w:rsidR="007B6A2C" w:rsidRPr="00E45053">
        <w:rPr>
          <w:lang w:val="es-ES_tradnl"/>
        </w:rPr>
        <w:t>4 a</w:t>
      </w:r>
      <w:r w:rsidR="00DD7B53" w:rsidRPr="00E45053">
        <w:rPr>
          <w:lang w:val="es-ES_tradnl"/>
        </w:rPr>
        <w:t> 6</w:t>
      </w:r>
      <w:r w:rsidR="0075058C">
        <w:rPr>
          <w:lang w:val="es-ES_tradnl"/>
        </w:rPr>
        <w:t>6 del documento C/49/16 “</w:t>
      </w:r>
      <w:r w:rsidR="0075058C" w:rsidRPr="0075058C">
        <w:rPr>
          <w:i/>
          <w:snapToGrid w:val="0"/>
        </w:rPr>
        <w:t>Report by the President on the work of the ninetieth session of the Consultative Committee; adoption of recommendations, if any, prepared by that Committee</w:t>
      </w:r>
      <w:r w:rsidR="0075058C">
        <w:rPr>
          <w:snapToGrid w:val="0"/>
        </w:rPr>
        <w:t>”</w:t>
      </w:r>
      <w:r w:rsidR="0075058C">
        <w:rPr>
          <w:lang w:val="es-ES_tradnl"/>
        </w:rPr>
        <w:t xml:space="preserve"> (</w:t>
      </w:r>
      <w:r w:rsidR="007B6A2C" w:rsidRPr="00E45053">
        <w:rPr>
          <w:lang w:val="es-ES_tradnl"/>
        </w:rPr>
        <w:t>Informe de la Presidenta sobre los trabajos de la nonagésima sesión del Comité Consultivo;  aprobación</w:t>
      </w:r>
      <w:r w:rsidR="00DD7B53" w:rsidRPr="00E45053">
        <w:rPr>
          <w:lang w:val="es-ES_tradnl"/>
        </w:rPr>
        <w:t xml:space="preserve">, </w:t>
      </w:r>
      <w:r w:rsidR="007B6A2C" w:rsidRPr="00E45053">
        <w:rPr>
          <w:lang w:val="es-ES_tradnl"/>
        </w:rPr>
        <w:t>si procede</w:t>
      </w:r>
      <w:r w:rsidR="00DD7B53" w:rsidRPr="00E45053">
        <w:rPr>
          <w:lang w:val="es-ES_tradnl"/>
        </w:rPr>
        <w:t xml:space="preserve">, </w:t>
      </w:r>
      <w:r w:rsidR="007B6A2C" w:rsidRPr="00E45053">
        <w:rPr>
          <w:lang w:val="es-ES_tradnl"/>
        </w:rPr>
        <w:t>de las recomendaciones preparadas por dicho Comité)</w:t>
      </w:r>
      <w:r w:rsidR="00DD7B53" w:rsidRPr="00E45053">
        <w:rPr>
          <w:lang w:val="es-ES_tradnl"/>
        </w:rPr>
        <w:t xml:space="preserve">, </w:t>
      </w:r>
      <w:r w:rsidR="007B6A2C" w:rsidRPr="00E45053">
        <w:rPr>
          <w:lang w:val="es-ES_tradnl"/>
        </w:rPr>
        <w:t>en el que se informa de que el CAJ</w:t>
      </w:r>
      <w:r w:rsidR="00DD7B53" w:rsidRPr="00E45053">
        <w:rPr>
          <w:lang w:val="es-ES_tradnl"/>
        </w:rPr>
        <w:t xml:space="preserve">, </w:t>
      </w:r>
      <w:r w:rsidR="007B6A2C" w:rsidRPr="00E45053">
        <w:rPr>
          <w:lang w:val="es-ES_tradnl"/>
        </w:rPr>
        <w:t>en su septuagésima segunda sesión</w:t>
      </w:r>
      <w:r w:rsidR="00DD7B53" w:rsidRPr="00E45053">
        <w:rPr>
          <w:lang w:val="es-ES_tradnl"/>
        </w:rPr>
        <w:t xml:space="preserve">, </w:t>
      </w:r>
      <w:r w:rsidR="007B6A2C" w:rsidRPr="00E45053">
        <w:rPr>
          <w:lang w:val="es-ES_tradnl"/>
        </w:rPr>
        <w:t xml:space="preserve">acordó ampliar el mandato y la composición del </w:t>
      </w:r>
      <w:r w:rsidR="007B6A2C" w:rsidRPr="00E45053">
        <w:rPr>
          <w:noProof/>
          <w:lang w:val="es-ES_tradnl"/>
        </w:rPr>
        <w:t>WG</w:t>
      </w:r>
      <w:r w:rsidR="007B6A2C" w:rsidRPr="00E45053">
        <w:rPr>
          <w:noProof/>
          <w:lang w:val="es-ES_tradnl"/>
        </w:rPr>
        <w:noBreakHyphen/>
        <w:t>DST</w:t>
      </w:r>
      <w:r w:rsidR="007B6A2C" w:rsidRPr="00E45053">
        <w:rPr>
          <w:lang w:val="es-ES_tradnl" w:eastAsia="ja-JP"/>
        </w:rPr>
        <w:t xml:space="preserve"> </w:t>
      </w:r>
      <w:r w:rsidR="007B6A2C" w:rsidRPr="00E45053">
        <w:rPr>
          <w:lang w:val="es-ES_tradnl"/>
        </w:rPr>
        <w:t xml:space="preserve">(con el nuevo nombre de </w:t>
      </w:r>
      <w:r w:rsidR="007B6A2C" w:rsidRPr="00E45053">
        <w:rPr>
          <w:rFonts w:eastAsia="MS Mincho" w:cs="Arial"/>
          <w:noProof/>
          <w:snapToGrid w:val="0"/>
          <w:lang w:val="es-ES_tradnl" w:eastAsia="ja-JP"/>
        </w:rPr>
        <w:t>WG</w:t>
      </w:r>
      <w:r w:rsidR="007B6A2C" w:rsidRPr="00E45053">
        <w:rPr>
          <w:rFonts w:eastAsia="MS Mincho" w:cs="Arial"/>
          <w:noProof/>
          <w:snapToGrid w:val="0"/>
          <w:lang w:val="es-ES_tradnl" w:eastAsia="ja-JP"/>
        </w:rPr>
        <w:noBreakHyphen/>
        <w:t>DEN</w:t>
      </w:r>
      <w:r w:rsidR="007B6A2C" w:rsidRPr="00E45053">
        <w:rPr>
          <w:lang w:val="es-ES_tradnl"/>
        </w:rPr>
        <w:t>) para que elaborase recomendaciones para el CAJ relativas a la revisión del documento UPOV/INF/12 “Notas explicativas sobre las denominaciones de variedades con arreglo al Convenio de la UPOV”</w:t>
      </w:r>
      <w:r w:rsidR="00DD7B53" w:rsidRPr="00E45053">
        <w:rPr>
          <w:lang w:val="es-ES_tradnl"/>
        </w:rPr>
        <w:t xml:space="preserve">, </w:t>
      </w:r>
      <w:r w:rsidR="007B6A2C" w:rsidRPr="00E45053">
        <w:rPr>
          <w:lang w:val="es-ES_tradnl"/>
        </w:rPr>
        <w:t xml:space="preserve">y propuso que el </w:t>
      </w:r>
      <w:r w:rsidR="007B6A2C" w:rsidRPr="00E45053">
        <w:rPr>
          <w:rFonts w:eastAsia="MS Mincho"/>
          <w:noProof/>
          <w:lang w:val="es-ES_tradnl" w:eastAsia="ja-JP"/>
        </w:rPr>
        <w:t>WG</w:t>
      </w:r>
      <w:r w:rsidR="007B6A2C" w:rsidRPr="00E45053">
        <w:rPr>
          <w:rFonts w:eastAsia="MS Mincho"/>
          <w:noProof/>
          <w:lang w:val="es-ES_tradnl" w:eastAsia="ja-JP"/>
        </w:rPr>
        <w:noBreakHyphen/>
        <w:t>DEN</w:t>
      </w:r>
      <w:r w:rsidR="007B6A2C" w:rsidRPr="00E45053">
        <w:rPr>
          <w:lang w:val="es-ES_tradnl"/>
        </w:rPr>
        <w:t xml:space="preserve"> se reuniera durante </w:t>
      </w:r>
      <w:r w:rsidR="0075058C">
        <w:rPr>
          <w:lang w:val="es-ES_tradnl"/>
        </w:rPr>
        <w:t>la semana de las sesiones de la </w:t>
      </w:r>
      <w:r w:rsidR="007B6A2C" w:rsidRPr="00E45053">
        <w:rPr>
          <w:lang w:val="es-ES_tradnl"/>
        </w:rPr>
        <w:t>UPOV en marzo de</w:t>
      </w:r>
      <w:r w:rsidR="00DD7B53" w:rsidRPr="00E45053">
        <w:rPr>
          <w:lang w:val="es-ES_tradnl"/>
        </w:rPr>
        <w:t> 2</w:t>
      </w:r>
      <w:r w:rsidR="007B6A2C" w:rsidRPr="00E45053">
        <w:rPr>
          <w:lang w:val="es-ES_tradnl"/>
        </w:rPr>
        <w:t xml:space="preserve">016 </w:t>
      </w:r>
      <w:r w:rsidR="007B6A2C" w:rsidRPr="00E45053">
        <w:rPr>
          <w:rFonts w:cs="Arial"/>
          <w:snapToGrid w:val="0"/>
          <w:lang w:val="es-ES_tradnl" w:eastAsia="ja-JP"/>
        </w:rPr>
        <w:t>(véase el párrafo</w:t>
      </w:r>
      <w:r w:rsidR="00DD7B53" w:rsidRPr="00E45053">
        <w:rPr>
          <w:rFonts w:cs="Arial"/>
          <w:snapToGrid w:val="0"/>
          <w:lang w:val="es-ES_tradnl" w:eastAsia="ja-JP"/>
        </w:rPr>
        <w:t> 5</w:t>
      </w:r>
      <w:r w:rsidR="007B6A2C" w:rsidRPr="00E45053">
        <w:rPr>
          <w:rFonts w:cs="Arial"/>
          <w:snapToGrid w:val="0"/>
          <w:lang w:val="es-ES_tradnl" w:eastAsia="ja-JP"/>
        </w:rPr>
        <w:t>3 del documento C/49/18 “Informe sobre las decisiones”).</w:t>
      </w:r>
    </w:p>
    <w:p w:rsidR="00753491" w:rsidRPr="00E45053" w:rsidRDefault="00753491" w:rsidP="00753491">
      <w:pPr>
        <w:rPr>
          <w:rFonts w:cs="Arial"/>
          <w:snapToGrid w:val="0"/>
          <w:lang w:val="es-ES_tradnl" w:eastAsia="ja-JP"/>
        </w:rPr>
      </w:pPr>
    </w:p>
    <w:p w:rsidR="00753491" w:rsidRPr="00E45053" w:rsidRDefault="00152836" w:rsidP="00753491">
      <w:pPr>
        <w:rPr>
          <w:rFonts w:cs="Arial"/>
          <w:snapToGrid w:val="0"/>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8B0AB1" w:rsidRPr="00E45053">
        <w:rPr>
          <w:lang w:val="es-ES_tradnl"/>
        </w:rPr>
        <w:t xml:space="preserve">En su cuadragésima </w:t>
      </w:r>
      <w:r w:rsidR="008B0AB1" w:rsidRPr="00E45053">
        <w:rPr>
          <w:lang w:val="es-ES_tradnl" w:eastAsia="ja-JP"/>
        </w:rPr>
        <w:t>novena sesión ordinaria</w:t>
      </w:r>
      <w:r w:rsidR="00DD7B53" w:rsidRPr="00E45053">
        <w:rPr>
          <w:lang w:val="es-ES_tradnl" w:eastAsia="ja-JP"/>
        </w:rPr>
        <w:t xml:space="preserve">, </w:t>
      </w:r>
      <w:r w:rsidR="008B0AB1" w:rsidRPr="00E45053">
        <w:rPr>
          <w:lang w:val="es-ES_tradnl"/>
        </w:rPr>
        <w:t xml:space="preserve">el Consejo </w:t>
      </w:r>
      <w:r w:rsidR="008B0AB1" w:rsidRPr="00E45053">
        <w:rPr>
          <w:snapToGrid w:val="0"/>
          <w:lang w:val="es-ES_tradnl"/>
        </w:rPr>
        <w:t xml:space="preserve">aprobó el </w:t>
      </w:r>
      <w:r w:rsidR="008B0AB1" w:rsidRPr="00E45053">
        <w:rPr>
          <w:lang w:val="es-ES_tradnl"/>
        </w:rPr>
        <w:t>calendario de reuniones de</w:t>
      </w:r>
      <w:r w:rsidR="00DD7B53" w:rsidRPr="00E45053">
        <w:rPr>
          <w:lang w:val="es-ES_tradnl"/>
        </w:rPr>
        <w:t> 2</w:t>
      </w:r>
      <w:r w:rsidR="008B0AB1" w:rsidRPr="00E45053">
        <w:rPr>
          <w:lang w:val="es-ES_tradnl"/>
        </w:rPr>
        <w:t xml:space="preserve">016 </w:t>
      </w:r>
      <w:r w:rsidR="00C938EC" w:rsidRPr="00E45053">
        <w:rPr>
          <w:rFonts w:cs="Arial"/>
          <w:snapToGrid w:val="0"/>
          <w:lang w:val="es-ES_tradnl" w:eastAsia="ja-JP"/>
        </w:rPr>
        <w:t>(véase el párrafo</w:t>
      </w:r>
      <w:r w:rsidR="00DD7B53" w:rsidRPr="00E45053">
        <w:rPr>
          <w:rFonts w:cs="Arial"/>
          <w:snapToGrid w:val="0"/>
          <w:lang w:val="es-ES_tradnl" w:eastAsia="ja-JP"/>
        </w:rPr>
        <w:t> 5</w:t>
      </w:r>
      <w:r w:rsidR="00C938EC" w:rsidRPr="00E45053">
        <w:rPr>
          <w:rFonts w:cs="Arial"/>
          <w:snapToGrid w:val="0"/>
          <w:lang w:val="es-ES_tradnl" w:eastAsia="ja-JP"/>
        </w:rPr>
        <w:t xml:space="preserve">4 del </w:t>
      </w:r>
      <w:r w:rsidR="008B0AB1" w:rsidRPr="00E45053">
        <w:rPr>
          <w:rFonts w:cs="Arial"/>
          <w:snapToGrid w:val="0"/>
          <w:lang w:val="es-ES_tradnl" w:eastAsia="ja-JP"/>
        </w:rPr>
        <w:t>documento C/49/18 “</w:t>
      </w:r>
      <w:r w:rsidR="00C938EC" w:rsidRPr="00E45053">
        <w:rPr>
          <w:rFonts w:cs="Arial"/>
          <w:snapToGrid w:val="0"/>
          <w:lang w:val="es-ES_tradnl" w:eastAsia="ja-JP"/>
        </w:rPr>
        <w:t xml:space="preserve">Informe </w:t>
      </w:r>
      <w:r w:rsidR="008B0AB1" w:rsidRPr="00E45053">
        <w:rPr>
          <w:rFonts w:cs="Arial"/>
          <w:snapToGrid w:val="0"/>
          <w:lang w:val="es-ES_tradnl" w:eastAsia="ja-JP"/>
        </w:rPr>
        <w:t>sobre las decisiones”).</w:t>
      </w:r>
      <w:r w:rsidR="00753491" w:rsidRPr="00E45053">
        <w:rPr>
          <w:rFonts w:cs="Arial"/>
          <w:snapToGrid w:val="0"/>
          <w:lang w:val="es-ES_tradnl" w:eastAsia="ja-JP"/>
        </w:rPr>
        <w:t xml:space="preserve">  </w:t>
      </w:r>
      <w:r w:rsidR="001526DB" w:rsidRPr="00E45053">
        <w:rPr>
          <w:rFonts w:cs="Arial"/>
          <w:snapToGrid w:val="0"/>
          <w:lang w:val="es-ES_tradnl" w:eastAsia="ja-JP"/>
        </w:rPr>
        <w:t xml:space="preserve">El </w:t>
      </w:r>
      <w:r w:rsidR="001526DB" w:rsidRPr="00E45053">
        <w:rPr>
          <w:rFonts w:eastAsia="MS Mincho" w:cs="Arial"/>
          <w:noProof/>
          <w:snapToGrid w:val="0"/>
          <w:lang w:val="es-ES_tradnl" w:eastAsia="ja-JP"/>
        </w:rPr>
        <w:t>WG</w:t>
      </w:r>
      <w:r w:rsidR="001526DB" w:rsidRPr="00E45053">
        <w:rPr>
          <w:rFonts w:eastAsia="MS Mincho" w:cs="Arial"/>
          <w:noProof/>
          <w:snapToGrid w:val="0"/>
          <w:lang w:val="es-ES_tradnl" w:eastAsia="ja-JP"/>
        </w:rPr>
        <w:noBreakHyphen/>
        <w:t>DEN</w:t>
      </w:r>
      <w:r w:rsidR="0075058C">
        <w:rPr>
          <w:rFonts w:cs="Arial"/>
          <w:snapToGrid w:val="0"/>
          <w:lang w:val="es-ES_tradnl" w:eastAsia="ja-JP"/>
        </w:rPr>
        <w:t xml:space="preserve"> se reunirá </w:t>
      </w:r>
      <w:r w:rsidR="0075058C">
        <w:rPr>
          <w:rFonts w:cs="Arial"/>
          <w:snapToGrid w:val="0"/>
          <w:lang w:val="es-ES_tradnl" w:eastAsia="ja-JP"/>
        </w:rPr>
        <w:br/>
        <w:t xml:space="preserve">el </w:t>
      </w:r>
      <w:r w:rsidR="001526DB" w:rsidRPr="00E45053">
        <w:rPr>
          <w:rFonts w:cs="Arial"/>
          <w:snapToGrid w:val="0"/>
          <w:lang w:val="es-ES_tradnl" w:eastAsia="ja-JP"/>
        </w:rPr>
        <w:t>18 de marzo de 2016 en Ginebra.</w:t>
      </w:r>
      <w:r w:rsidR="00753491" w:rsidRPr="00E45053">
        <w:rPr>
          <w:rFonts w:cs="Arial"/>
          <w:snapToGrid w:val="0"/>
          <w:lang w:val="es-ES_tradnl" w:eastAsia="ja-JP"/>
        </w:rPr>
        <w:t xml:space="preserve"> </w:t>
      </w:r>
    </w:p>
    <w:p w:rsidR="00753491" w:rsidRPr="00E45053" w:rsidRDefault="00753491" w:rsidP="00753491">
      <w:pPr>
        <w:rPr>
          <w:rFonts w:cs="Arial"/>
          <w:snapToGrid w:val="0"/>
          <w:lang w:val="es-ES_tradnl" w:eastAsia="ja-JP"/>
        </w:rPr>
      </w:pPr>
    </w:p>
    <w:p w:rsidR="00753491" w:rsidRPr="00E45053" w:rsidRDefault="00152836" w:rsidP="00753491">
      <w:pPr>
        <w:rPr>
          <w:rFonts w:cs="Arial"/>
          <w:snapToGrid w:val="0"/>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1526DB" w:rsidRPr="00E45053">
        <w:rPr>
          <w:rFonts w:cs="Arial"/>
          <w:snapToGrid w:val="0"/>
          <w:lang w:val="es-ES_tradnl" w:eastAsia="ja-JP"/>
        </w:rPr>
        <w:t>El</w:t>
      </w:r>
      <w:r w:rsidR="00DD7B53" w:rsidRPr="00E45053">
        <w:rPr>
          <w:rFonts w:cs="Arial"/>
          <w:snapToGrid w:val="0"/>
          <w:lang w:val="es-ES_tradnl" w:eastAsia="ja-JP"/>
        </w:rPr>
        <w:t> 3</w:t>
      </w:r>
      <w:r w:rsidR="001526DB" w:rsidRPr="00E45053">
        <w:rPr>
          <w:rFonts w:cs="Arial"/>
          <w:snapToGrid w:val="0"/>
          <w:lang w:val="es-ES_tradnl" w:eastAsia="ja-JP"/>
        </w:rPr>
        <w:t xml:space="preserve"> de diciembre de</w:t>
      </w:r>
      <w:r w:rsidR="00DD7B53" w:rsidRPr="00E45053">
        <w:rPr>
          <w:rFonts w:cs="Arial"/>
          <w:snapToGrid w:val="0"/>
          <w:lang w:val="es-ES_tradnl" w:eastAsia="ja-JP"/>
        </w:rPr>
        <w:t> 2</w:t>
      </w:r>
      <w:r w:rsidR="001526DB" w:rsidRPr="00E45053">
        <w:rPr>
          <w:rFonts w:cs="Arial"/>
          <w:snapToGrid w:val="0"/>
          <w:lang w:val="es-ES_tradnl" w:eastAsia="ja-JP"/>
        </w:rPr>
        <w:t>015</w:t>
      </w:r>
      <w:r w:rsidR="00DD7B53" w:rsidRPr="00E45053">
        <w:rPr>
          <w:rFonts w:cs="Arial"/>
          <w:snapToGrid w:val="0"/>
          <w:lang w:val="es-ES_tradnl" w:eastAsia="ja-JP"/>
        </w:rPr>
        <w:t xml:space="preserve">, </w:t>
      </w:r>
      <w:r w:rsidR="001526DB" w:rsidRPr="00E45053">
        <w:rPr>
          <w:rFonts w:cs="Arial"/>
          <w:snapToGrid w:val="0"/>
          <w:lang w:val="es-ES_tradnl" w:eastAsia="ja-JP"/>
        </w:rPr>
        <w:t>la Oficina de la Unión emitió la circular E</w:t>
      </w:r>
      <w:r w:rsidR="001526DB" w:rsidRPr="00E45053">
        <w:rPr>
          <w:rFonts w:cs="Arial"/>
          <w:snapToGrid w:val="0"/>
          <w:lang w:val="es-ES_tradnl" w:eastAsia="ja-JP"/>
        </w:rPr>
        <w:noBreakHyphen/>
        <w:t>15/276</w:t>
      </w:r>
      <w:r w:rsidR="00DD7B53" w:rsidRPr="00E45053">
        <w:rPr>
          <w:rFonts w:cs="Arial"/>
          <w:snapToGrid w:val="0"/>
          <w:lang w:val="es-ES_tradnl" w:eastAsia="ja-JP"/>
        </w:rPr>
        <w:t xml:space="preserve">, </w:t>
      </w:r>
      <w:r w:rsidR="001526DB" w:rsidRPr="00E45053">
        <w:rPr>
          <w:rFonts w:cs="Arial"/>
          <w:snapToGrid w:val="0"/>
          <w:lang w:val="es-ES_tradnl" w:eastAsia="ja-JP"/>
        </w:rPr>
        <w:t xml:space="preserve">en la que se invitaba a los miembros </w:t>
      </w:r>
      <w:r w:rsidR="0075058C" w:rsidRPr="00E45053">
        <w:rPr>
          <w:rFonts w:cs="Arial"/>
          <w:snapToGrid w:val="0"/>
          <w:lang w:val="es-ES_tradnl" w:eastAsia="ja-JP"/>
        </w:rPr>
        <w:t>y a los observadores</w:t>
      </w:r>
      <w:r w:rsidR="0075058C" w:rsidRPr="00E45053">
        <w:rPr>
          <w:rFonts w:cs="Arial"/>
          <w:snapToGrid w:val="0"/>
          <w:lang w:val="es-ES_tradnl" w:eastAsia="ja-JP"/>
        </w:rPr>
        <w:t xml:space="preserve"> </w:t>
      </w:r>
      <w:r w:rsidR="001526DB" w:rsidRPr="00E45053">
        <w:rPr>
          <w:rFonts w:cs="Arial"/>
          <w:snapToGrid w:val="0"/>
          <w:lang w:val="es-ES_tradnl" w:eastAsia="ja-JP"/>
        </w:rPr>
        <w:t>del CAJ</w:t>
      </w:r>
      <w:r w:rsidR="00DD7B53" w:rsidRPr="00E45053">
        <w:rPr>
          <w:rFonts w:cs="Arial"/>
          <w:snapToGrid w:val="0"/>
          <w:lang w:val="es-ES_tradnl" w:eastAsia="ja-JP"/>
        </w:rPr>
        <w:t xml:space="preserve">, </w:t>
      </w:r>
      <w:r w:rsidR="001526DB" w:rsidRPr="00E45053">
        <w:rPr>
          <w:rFonts w:cs="Arial"/>
          <w:snapToGrid w:val="0"/>
          <w:lang w:val="es-ES_tradnl" w:eastAsia="ja-JP"/>
        </w:rPr>
        <w:t xml:space="preserve">así como a los miembros del </w:t>
      </w:r>
      <w:r w:rsidR="001526DB" w:rsidRPr="00E45053">
        <w:rPr>
          <w:rFonts w:cs="Arial"/>
          <w:noProof/>
          <w:snapToGrid w:val="0"/>
          <w:lang w:val="es-ES_tradnl" w:eastAsia="ja-JP"/>
        </w:rPr>
        <w:t>WG</w:t>
      </w:r>
      <w:r w:rsidR="001526DB" w:rsidRPr="00E45053">
        <w:rPr>
          <w:rFonts w:cs="Arial"/>
          <w:noProof/>
          <w:snapToGrid w:val="0"/>
          <w:lang w:val="es-ES_tradnl" w:eastAsia="ja-JP"/>
        </w:rPr>
        <w:noBreakHyphen/>
        <w:t>DST</w:t>
      </w:r>
      <w:r w:rsidR="00DD7B53" w:rsidRPr="00E45053">
        <w:rPr>
          <w:rFonts w:cs="Arial"/>
          <w:snapToGrid w:val="0"/>
          <w:lang w:val="es-ES_tradnl" w:eastAsia="ja-JP"/>
        </w:rPr>
        <w:t xml:space="preserve">, </w:t>
      </w:r>
      <w:r w:rsidR="001526DB" w:rsidRPr="00E45053">
        <w:rPr>
          <w:rFonts w:cs="Arial"/>
          <w:snapToGrid w:val="0"/>
          <w:lang w:val="es-ES_tradnl" w:eastAsia="ja-JP"/>
        </w:rPr>
        <w:t xml:space="preserve">a expresar su interés en participar en el </w:t>
      </w:r>
      <w:r w:rsidR="001526DB" w:rsidRPr="00E45053">
        <w:rPr>
          <w:rFonts w:cs="Arial"/>
          <w:noProof/>
          <w:snapToGrid w:val="0"/>
          <w:lang w:val="es-ES_tradnl" w:eastAsia="ja-JP"/>
        </w:rPr>
        <w:t>WG</w:t>
      </w:r>
      <w:r w:rsidR="001526DB" w:rsidRPr="00E45053">
        <w:rPr>
          <w:rFonts w:cs="Arial"/>
          <w:noProof/>
          <w:snapToGrid w:val="0"/>
          <w:lang w:val="es-ES_tradnl" w:eastAsia="ja-JP"/>
        </w:rPr>
        <w:noBreakHyphen/>
        <w:t>DEN</w:t>
      </w:r>
      <w:r w:rsidR="001526DB" w:rsidRPr="00E45053">
        <w:rPr>
          <w:rFonts w:cs="Arial"/>
          <w:snapToGrid w:val="0"/>
          <w:lang w:val="es-ES_tradnl" w:eastAsia="ja-JP"/>
        </w:rPr>
        <w:t xml:space="preserve"> y a formular comentarios acerca del documento UPOV/INF/12/5 “Notas explicativas sobre las denominaciones de variedades con arreglo al Convenio de la UPOV”.</w:t>
      </w:r>
    </w:p>
    <w:p w:rsidR="00753491" w:rsidRPr="00E45053" w:rsidRDefault="00753491" w:rsidP="00753491">
      <w:pPr>
        <w:rPr>
          <w:snapToGrid w:val="0"/>
          <w:lang w:val="es-ES_tradnl" w:eastAsia="ja-JP"/>
        </w:rPr>
      </w:pPr>
      <w:bookmarkStart w:id="12" w:name="_Toc382388626"/>
    </w:p>
    <w:p w:rsidR="00753491" w:rsidRPr="00E45053" w:rsidRDefault="00152836" w:rsidP="00753491">
      <w:pPr>
        <w:rPr>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1526DB" w:rsidRPr="00E45053">
        <w:rPr>
          <w:lang w:val="es-ES_tradnl" w:eastAsia="ja-JP"/>
        </w:rPr>
        <w:t xml:space="preserve">En la quincuagésima </w:t>
      </w:r>
      <w:r w:rsidR="001526DB" w:rsidRPr="00E45053">
        <w:rPr>
          <w:szCs w:val="24"/>
          <w:lang w:val="es-ES_tradnl" w:eastAsia="ja-JP"/>
        </w:rPr>
        <w:t xml:space="preserve">tercera sesión </w:t>
      </w:r>
      <w:r w:rsidR="001526DB" w:rsidRPr="00E45053">
        <w:rPr>
          <w:lang w:val="es-ES_tradnl" w:eastAsia="ja-JP"/>
        </w:rPr>
        <w:t>del TC se presentará un informe sobre la marcha de la labor relativa a la eventual revisión del documento UPOV/INF/12 “Notas explicativas sobre las denominaciones de variedades con arreglo al Convenio de la UPOV”.</w:t>
      </w:r>
    </w:p>
    <w:p w:rsidR="00753491" w:rsidRPr="00E45053" w:rsidRDefault="00753491" w:rsidP="00753491">
      <w:pPr>
        <w:rPr>
          <w:snapToGrid w:val="0"/>
          <w:lang w:val="es-ES_tradnl" w:eastAsia="ja-JP"/>
        </w:rPr>
      </w:pPr>
    </w:p>
    <w:p w:rsidR="00753491" w:rsidRPr="00E45053" w:rsidRDefault="00152836" w:rsidP="00753491">
      <w:pPr>
        <w:pStyle w:val="dec"/>
        <w:tabs>
          <w:tab w:val="left" w:pos="5400"/>
        </w:tabs>
        <w:ind w:left="4860"/>
        <w:rPr>
          <w:rFonts w:cs="Arial"/>
          <w:lang w:val="es-ES_tradnl" w:eastAsia="ja-JP"/>
        </w:rPr>
      </w:pPr>
      <w:r w:rsidRPr="00E45053">
        <w:rPr>
          <w:lang w:val="es-ES_tradnl"/>
        </w:rPr>
        <w:fldChar w:fldCharType="begin"/>
      </w:r>
      <w:r w:rsidR="00753491" w:rsidRPr="00E45053">
        <w:rPr>
          <w:lang w:val="es-ES_tradnl"/>
        </w:rPr>
        <w:instrText xml:space="preserve"> AUTONUM  </w:instrText>
      </w:r>
      <w:r w:rsidRPr="00E45053">
        <w:rPr>
          <w:lang w:val="es-ES_tradnl"/>
        </w:rPr>
        <w:fldChar w:fldCharType="end"/>
      </w:r>
      <w:r w:rsidR="00753491" w:rsidRPr="00E45053">
        <w:rPr>
          <w:lang w:val="es-ES_tradnl"/>
        </w:rPr>
        <w:tab/>
      </w:r>
      <w:r w:rsidR="001526DB" w:rsidRPr="00E45053">
        <w:rPr>
          <w:spacing w:val="0"/>
          <w:lang w:val="es-ES_tradnl"/>
        </w:rPr>
        <w:t>Se invita al TC a tomar nota:</w:t>
      </w:r>
      <w:r w:rsidR="006B4D4F" w:rsidRPr="00E45053">
        <w:rPr>
          <w:color w:val="000000"/>
          <w:spacing w:val="0"/>
          <w:lang w:val="es-ES_tradnl"/>
        </w:rPr>
        <w:t xml:space="preserve">  </w:t>
      </w:r>
      <w:bookmarkEnd w:id="12"/>
    </w:p>
    <w:p w:rsidR="00753491" w:rsidRPr="00E45053" w:rsidRDefault="00753491" w:rsidP="00753491">
      <w:pPr>
        <w:pStyle w:val="dec"/>
        <w:ind w:firstLine="567"/>
        <w:rPr>
          <w:rFonts w:eastAsia="MS Mincho"/>
          <w:snapToGrid w:val="0"/>
          <w:lang w:val="es-ES_tradnl" w:eastAsia="ja-JP"/>
        </w:rPr>
      </w:pPr>
    </w:p>
    <w:p w:rsidR="00753491" w:rsidRPr="00E45053" w:rsidRDefault="00753491" w:rsidP="00753491">
      <w:pPr>
        <w:pStyle w:val="dec"/>
        <w:tabs>
          <w:tab w:val="left" w:pos="5387"/>
          <w:tab w:val="left" w:pos="5954"/>
        </w:tabs>
        <w:ind w:left="4820" w:firstLine="567"/>
        <w:rPr>
          <w:color w:val="000000"/>
          <w:spacing w:val="0"/>
          <w:lang w:val="es-ES_tradnl"/>
        </w:rPr>
      </w:pPr>
      <w:r w:rsidRPr="00E45053">
        <w:rPr>
          <w:color w:val="000000"/>
          <w:spacing w:val="0"/>
          <w:lang w:val="es-ES_tradnl"/>
        </w:rPr>
        <w:t>a)</w:t>
      </w:r>
      <w:r w:rsidRPr="00E45053">
        <w:rPr>
          <w:color w:val="000000"/>
          <w:spacing w:val="0"/>
          <w:lang w:val="es-ES_tradnl"/>
        </w:rPr>
        <w:tab/>
      </w:r>
      <w:r w:rsidR="001526DB" w:rsidRPr="00E45053">
        <w:rPr>
          <w:spacing w:val="0"/>
          <w:lang w:val="es-ES_tradnl"/>
        </w:rPr>
        <w:t xml:space="preserve">de la labor del </w:t>
      </w:r>
      <w:r w:rsidR="001526DB" w:rsidRPr="00E45053">
        <w:rPr>
          <w:noProof/>
          <w:spacing w:val="0"/>
          <w:lang w:val="es-ES_tradnl"/>
        </w:rPr>
        <w:t>WG</w:t>
      </w:r>
      <w:r w:rsidR="001526DB" w:rsidRPr="00E45053">
        <w:rPr>
          <w:noProof/>
          <w:spacing w:val="0"/>
          <w:lang w:val="es-ES_tradnl"/>
        </w:rPr>
        <w:noBreakHyphen/>
        <w:t>DST</w:t>
      </w:r>
      <w:r w:rsidR="001526DB" w:rsidRPr="00E45053">
        <w:rPr>
          <w:spacing w:val="0"/>
          <w:lang w:val="es-ES_tradnl"/>
        </w:rPr>
        <w:t xml:space="preserve"> sobre la posible elaboración de un instrumento de la UPOV de búsqueda de similitud a los fines de la denominación de variedades</w:t>
      </w:r>
      <w:r w:rsidR="00DD7B53" w:rsidRPr="00E45053">
        <w:rPr>
          <w:spacing w:val="0"/>
          <w:lang w:val="es-ES_tradnl"/>
        </w:rPr>
        <w:t xml:space="preserve">, </w:t>
      </w:r>
      <w:r w:rsidR="001526DB" w:rsidRPr="00E45053">
        <w:rPr>
          <w:spacing w:val="0"/>
          <w:lang w:val="es-ES_tradnl"/>
        </w:rPr>
        <w:t>incluido el estudio de prueba</w:t>
      </w:r>
      <w:r w:rsidR="00DD7B53" w:rsidRPr="00E45053">
        <w:rPr>
          <w:spacing w:val="0"/>
          <w:lang w:val="es-ES_tradnl"/>
        </w:rPr>
        <w:t xml:space="preserve">, </w:t>
      </w:r>
      <w:r w:rsidR="001526DB" w:rsidRPr="00E45053">
        <w:rPr>
          <w:spacing w:val="0"/>
          <w:lang w:val="es-ES_tradnl"/>
        </w:rPr>
        <w:t>tal como se expone en los párrafos</w:t>
      </w:r>
      <w:r w:rsidR="0075058C">
        <w:rPr>
          <w:spacing w:val="0"/>
          <w:lang w:val="es-ES_tradnl"/>
        </w:rPr>
        <w:t xml:space="preserve"> </w:t>
      </w:r>
      <w:r w:rsidR="00DD7B53" w:rsidRPr="00E45053">
        <w:rPr>
          <w:spacing w:val="0"/>
          <w:lang w:val="es-ES_tradnl"/>
        </w:rPr>
        <w:t>5</w:t>
      </w:r>
      <w:r w:rsidR="0075058C">
        <w:rPr>
          <w:spacing w:val="0"/>
          <w:lang w:val="es-ES_tradnl"/>
        </w:rPr>
        <w:t xml:space="preserve"> a </w:t>
      </w:r>
      <w:r w:rsidR="00DD7B53" w:rsidRPr="00E45053">
        <w:rPr>
          <w:spacing w:val="0"/>
          <w:lang w:val="es-ES_tradnl"/>
        </w:rPr>
        <w:t>1</w:t>
      </w:r>
      <w:r w:rsidR="001526DB" w:rsidRPr="00E45053">
        <w:rPr>
          <w:spacing w:val="0"/>
          <w:lang w:val="es-ES_tradnl"/>
        </w:rPr>
        <w:t>5 del presente documento;</w:t>
      </w:r>
    </w:p>
    <w:p w:rsidR="00753491" w:rsidRPr="00E45053" w:rsidRDefault="00753491" w:rsidP="00753491">
      <w:pPr>
        <w:pStyle w:val="dec"/>
        <w:tabs>
          <w:tab w:val="left" w:pos="5387"/>
          <w:tab w:val="left" w:pos="5954"/>
        </w:tabs>
        <w:ind w:left="4820"/>
        <w:rPr>
          <w:color w:val="000000"/>
          <w:spacing w:val="0"/>
          <w:lang w:val="es-ES_tradnl"/>
        </w:rPr>
      </w:pPr>
    </w:p>
    <w:p w:rsidR="00753491" w:rsidRPr="00E45053" w:rsidRDefault="00753491" w:rsidP="00753491">
      <w:pPr>
        <w:pStyle w:val="dec"/>
        <w:tabs>
          <w:tab w:val="left" w:pos="5387"/>
          <w:tab w:val="left" w:pos="5954"/>
        </w:tabs>
        <w:ind w:left="4820"/>
        <w:rPr>
          <w:rFonts w:eastAsia="MS Mincho"/>
          <w:color w:val="000000"/>
          <w:lang w:val="es-ES_tradnl"/>
        </w:rPr>
      </w:pPr>
      <w:r w:rsidRPr="00E45053">
        <w:rPr>
          <w:rFonts w:eastAsia="MS Mincho" w:cs="Arial"/>
          <w:lang w:val="es-ES_tradnl" w:eastAsia="ja-JP"/>
        </w:rPr>
        <w:tab/>
        <w:t>b)</w:t>
      </w:r>
      <w:r w:rsidRPr="00E45053">
        <w:rPr>
          <w:rFonts w:eastAsia="MS Mincho" w:cs="Arial"/>
          <w:lang w:val="es-ES_tradnl" w:eastAsia="ja-JP"/>
        </w:rPr>
        <w:tab/>
      </w:r>
      <w:r w:rsidR="00B60386" w:rsidRPr="00E45053">
        <w:rPr>
          <w:rFonts w:eastAsia="MS Mincho" w:cs="Arial"/>
          <w:lang w:val="es-ES_tradnl" w:eastAsia="ja-JP"/>
        </w:rPr>
        <w:t>de que el Consejo</w:t>
      </w:r>
      <w:r w:rsidR="00DD7B53" w:rsidRPr="00E45053">
        <w:rPr>
          <w:rFonts w:eastAsia="MS Mincho" w:cs="Arial"/>
          <w:lang w:val="es-ES_tradnl" w:eastAsia="ja-JP"/>
        </w:rPr>
        <w:t xml:space="preserve">, </w:t>
      </w:r>
      <w:r w:rsidR="00B60386" w:rsidRPr="00E45053">
        <w:rPr>
          <w:rFonts w:eastAsia="MS Mincho" w:cs="Arial"/>
          <w:lang w:val="es-ES_tradnl" w:eastAsia="ja-JP"/>
        </w:rPr>
        <w:t>en su cuadragésima novena sesión ordinaria</w:t>
      </w:r>
      <w:r w:rsidR="00DD7B53" w:rsidRPr="00E45053">
        <w:rPr>
          <w:rFonts w:eastAsia="MS Mincho" w:cs="Arial"/>
          <w:lang w:val="es-ES_tradnl" w:eastAsia="ja-JP"/>
        </w:rPr>
        <w:t xml:space="preserve">, </w:t>
      </w:r>
      <w:r w:rsidR="001526DB" w:rsidRPr="00E45053">
        <w:rPr>
          <w:rFonts w:eastAsia="MS Mincho" w:cs="Arial"/>
          <w:lang w:val="es-ES_tradnl" w:eastAsia="ja-JP"/>
        </w:rPr>
        <w:t>aprobó la revisión del documento UPOV/INF/12 relativa a los cambios de denominación de variedades registradas (véase el párrafo</w:t>
      </w:r>
      <w:r w:rsidR="00DD7B53" w:rsidRPr="00E45053">
        <w:rPr>
          <w:rFonts w:eastAsia="MS Mincho" w:cs="Arial"/>
          <w:lang w:val="es-ES_tradnl" w:eastAsia="ja-JP"/>
        </w:rPr>
        <w:t> 1</w:t>
      </w:r>
      <w:r w:rsidR="001526DB" w:rsidRPr="00E45053">
        <w:rPr>
          <w:rFonts w:eastAsia="MS Mincho" w:cs="Arial"/>
          <w:lang w:val="es-ES_tradnl" w:eastAsia="ja-JP"/>
        </w:rPr>
        <w:t>7);</w:t>
      </w:r>
    </w:p>
    <w:p w:rsidR="00753491" w:rsidRPr="00E45053" w:rsidRDefault="00753491" w:rsidP="00753491">
      <w:pPr>
        <w:pStyle w:val="dec"/>
        <w:tabs>
          <w:tab w:val="left" w:pos="5387"/>
          <w:tab w:val="left" w:pos="5954"/>
        </w:tabs>
        <w:ind w:left="4820" w:firstLine="567"/>
        <w:rPr>
          <w:rFonts w:eastAsia="MS Mincho" w:cs="Arial"/>
          <w:lang w:val="es-ES_tradnl" w:eastAsia="ja-JP"/>
        </w:rPr>
      </w:pPr>
    </w:p>
    <w:p w:rsidR="00753491" w:rsidRPr="00E45053" w:rsidRDefault="00753491" w:rsidP="00753491">
      <w:pPr>
        <w:pStyle w:val="dec"/>
        <w:keepLines/>
        <w:tabs>
          <w:tab w:val="left" w:pos="5387"/>
          <w:tab w:val="left" w:pos="5954"/>
        </w:tabs>
        <w:ind w:left="4820" w:firstLine="567"/>
        <w:rPr>
          <w:rFonts w:cs="Arial"/>
          <w:lang w:val="es-ES_tradnl" w:eastAsia="ja-JP"/>
        </w:rPr>
      </w:pPr>
      <w:r w:rsidRPr="00E45053">
        <w:rPr>
          <w:rFonts w:eastAsia="MS Mincho" w:cs="Arial"/>
          <w:lang w:val="es-ES_tradnl" w:eastAsia="ja-JP"/>
        </w:rPr>
        <w:t>c)</w:t>
      </w:r>
      <w:r w:rsidRPr="00E45053">
        <w:rPr>
          <w:rFonts w:eastAsia="MS Mincho" w:cs="Arial"/>
          <w:lang w:val="es-ES_tradnl" w:eastAsia="ja-JP"/>
        </w:rPr>
        <w:tab/>
      </w:r>
      <w:r w:rsidR="001526DB" w:rsidRPr="00E45053">
        <w:rPr>
          <w:rFonts w:eastAsia="MS Mincho" w:cs="Arial"/>
          <w:lang w:val="es-ES_tradnl" w:eastAsia="ja-JP"/>
        </w:rPr>
        <w:t xml:space="preserve">de que se ha ampliado el mandato y la composición del </w:t>
      </w:r>
      <w:r w:rsidR="001526DB" w:rsidRPr="00E45053">
        <w:rPr>
          <w:rFonts w:eastAsia="MS Mincho" w:cs="Arial"/>
          <w:noProof/>
          <w:lang w:val="es-ES_tradnl" w:eastAsia="ja-JP"/>
        </w:rPr>
        <w:t>WG</w:t>
      </w:r>
      <w:r w:rsidR="001526DB" w:rsidRPr="00E45053">
        <w:rPr>
          <w:rFonts w:eastAsia="MS Mincho" w:cs="Arial"/>
          <w:noProof/>
          <w:lang w:val="es-ES_tradnl" w:eastAsia="ja-JP"/>
        </w:rPr>
        <w:noBreakHyphen/>
        <w:t>DST</w:t>
      </w:r>
      <w:r w:rsidR="001526DB" w:rsidRPr="00E45053">
        <w:rPr>
          <w:rFonts w:eastAsia="MS Mincho" w:cs="Arial"/>
          <w:lang w:val="es-ES_tradnl" w:eastAsia="ja-JP"/>
        </w:rPr>
        <w:t xml:space="preserve"> (con el nuevo nombre de </w:t>
      </w:r>
      <w:r w:rsidR="001526DB" w:rsidRPr="00E45053">
        <w:rPr>
          <w:rFonts w:eastAsia="MS Mincho" w:cs="Arial"/>
          <w:noProof/>
          <w:lang w:val="es-ES_tradnl" w:eastAsia="ja-JP"/>
        </w:rPr>
        <w:t>WG</w:t>
      </w:r>
      <w:r w:rsidR="001526DB" w:rsidRPr="00E45053">
        <w:rPr>
          <w:rFonts w:eastAsia="MS Mincho" w:cs="Arial"/>
          <w:noProof/>
          <w:lang w:val="es-ES_tradnl" w:eastAsia="ja-JP"/>
        </w:rPr>
        <w:noBreakHyphen/>
        <w:t>DEN</w:t>
      </w:r>
      <w:r w:rsidR="001526DB" w:rsidRPr="00E45053">
        <w:rPr>
          <w:rFonts w:eastAsia="MS Mincho" w:cs="Arial"/>
          <w:lang w:val="es-ES_tradnl" w:eastAsia="ja-JP"/>
        </w:rPr>
        <w:t xml:space="preserve">) a fin de que formule recomendaciones para el CAJ en relación con la eventual revisión del documento UPOV/INF/12 “Notas explicativas sobre las denominaciones de variedades con arreglo al Convenio de la UPOV” y de que el </w:t>
      </w:r>
      <w:r w:rsidR="001526DB" w:rsidRPr="00E45053">
        <w:rPr>
          <w:rFonts w:eastAsia="MS Mincho" w:cs="Arial"/>
          <w:noProof/>
          <w:lang w:val="es-ES_tradnl" w:eastAsia="ja-JP"/>
        </w:rPr>
        <w:t>WG</w:t>
      </w:r>
      <w:r w:rsidR="001526DB" w:rsidRPr="00E45053">
        <w:rPr>
          <w:rFonts w:eastAsia="MS Mincho" w:cs="Arial"/>
          <w:noProof/>
          <w:lang w:val="es-ES_tradnl" w:eastAsia="ja-JP"/>
        </w:rPr>
        <w:noBreakHyphen/>
        <w:t>DEN</w:t>
      </w:r>
      <w:r w:rsidR="001526DB" w:rsidRPr="00E45053">
        <w:rPr>
          <w:rFonts w:eastAsia="MS Mincho" w:cs="Arial"/>
          <w:lang w:val="es-ES_tradnl" w:eastAsia="ja-JP"/>
        </w:rPr>
        <w:t xml:space="preserve"> se reunirá el</w:t>
      </w:r>
      <w:r w:rsidR="00DD7B53" w:rsidRPr="00E45053">
        <w:rPr>
          <w:rFonts w:eastAsia="MS Mincho" w:cs="Arial"/>
          <w:lang w:val="es-ES_tradnl" w:eastAsia="ja-JP"/>
        </w:rPr>
        <w:t> 1</w:t>
      </w:r>
      <w:r w:rsidR="001526DB" w:rsidRPr="00E45053">
        <w:rPr>
          <w:rFonts w:eastAsia="MS Mincho" w:cs="Arial"/>
          <w:lang w:val="es-ES_tradnl" w:eastAsia="ja-JP"/>
        </w:rPr>
        <w:t>8 de marzo de</w:t>
      </w:r>
      <w:r w:rsidR="00DD7B53" w:rsidRPr="00E45053">
        <w:rPr>
          <w:rFonts w:eastAsia="MS Mincho" w:cs="Arial"/>
          <w:lang w:val="es-ES_tradnl" w:eastAsia="ja-JP"/>
        </w:rPr>
        <w:t> 2</w:t>
      </w:r>
      <w:r w:rsidR="001526DB" w:rsidRPr="00E45053">
        <w:rPr>
          <w:rFonts w:eastAsia="MS Mincho" w:cs="Arial"/>
          <w:lang w:val="es-ES_tradnl" w:eastAsia="ja-JP"/>
        </w:rPr>
        <w:t>016;  y</w:t>
      </w:r>
    </w:p>
    <w:p w:rsidR="00753491" w:rsidRPr="00E45053" w:rsidRDefault="00753491" w:rsidP="00753491">
      <w:pPr>
        <w:pStyle w:val="dec"/>
        <w:tabs>
          <w:tab w:val="left" w:pos="5387"/>
          <w:tab w:val="left" w:pos="5954"/>
        </w:tabs>
        <w:ind w:left="4820" w:firstLine="567"/>
        <w:rPr>
          <w:rFonts w:cs="Arial"/>
          <w:lang w:val="es-ES_tradnl" w:eastAsia="ja-JP"/>
        </w:rPr>
      </w:pPr>
    </w:p>
    <w:p w:rsidR="00753491" w:rsidRPr="00E45053" w:rsidRDefault="00753491" w:rsidP="00753491">
      <w:pPr>
        <w:pStyle w:val="dec"/>
        <w:tabs>
          <w:tab w:val="left" w:pos="5387"/>
          <w:tab w:val="left" w:pos="5954"/>
        </w:tabs>
        <w:ind w:left="4820" w:firstLine="567"/>
        <w:rPr>
          <w:rFonts w:cs="Arial"/>
          <w:lang w:val="es-ES_tradnl" w:eastAsia="ja-JP"/>
        </w:rPr>
      </w:pPr>
      <w:r w:rsidRPr="00E45053">
        <w:rPr>
          <w:rFonts w:eastAsia="MS Mincho" w:cs="Arial"/>
          <w:lang w:val="es-ES_tradnl" w:eastAsia="ja-JP"/>
        </w:rPr>
        <w:t>d</w:t>
      </w:r>
      <w:r w:rsidRPr="00E45053">
        <w:rPr>
          <w:rFonts w:cs="Arial"/>
          <w:lang w:val="es-ES_tradnl"/>
        </w:rPr>
        <w:t>)</w:t>
      </w:r>
      <w:r w:rsidRPr="00E45053">
        <w:rPr>
          <w:rFonts w:cs="Arial"/>
          <w:lang w:val="es-ES_tradnl"/>
        </w:rPr>
        <w:tab/>
      </w:r>
      <w:r w:rsidR="001526DB" w:rsidRPr="00E45053">
        <w:rPr>
          <w:rFonts w:cs="Arial"/>
          <w:lang w:val="es-ES_tradnl"/>
        </w:rPr>
        <w:t xml:space="preserve">de que la Oficina de la Unión emitió una circular en la que se invitaba a los miembros </w:t>
      </w:r>
      <w:r w:rsidR="00BC7D9B" w:rsidRPr="00E45053">
        <w:rPr>
          <w:rFonts w:cs="Arial"/>
          <w:lang w:val="es-ES_tradnl"/>
        </w:rPr>
        <w:t>y a los observadores</w:t>
      </w:r>
      <w:r w:rsidR="00BC7D9B" w:rsidRPr="00E45053">
        <w:rPr>
          <w:rFonts w:cs="Arial"/>
          <w:lang w:val="es-ES_tradnl"/>
        </w:rPr>
        <w:t xml:space="preserve"> </w:t>
      </w:r>
      <w:r w:rsidR="001526DB" w:rsidRPr="00E45053">
        <w:rPr>
          <w:rFonts w:cs="Arial"/>
          <w:lang w:val="es-ES_tradnl"/>
        </w:rPr>
        <w:t>del CAJ</w:t>
      </w:r>
      <w:r w:rsidR="00DD7B53" w:rsidRPr="00E45053">
        <w:rPr>
          <w:rFonts w:cs="Arial"/>
          <w:lang w:val="es-ES_tradnl"/>
        </w:rPr>
        <w:t xml:space="preserve">, </w:t>
      </w:r>
      <w:r w:rsidR="001526DB" w:rsidRPr="00E45053">
        <w:rPr>
          <w:rFonts w:cs="Arial"/>
          <w:lang w:val="es-ES_tradnl"/>
        </w:rPr>
        <w:t xml:space="preserve">así como a los miembros del </w:t>
      </w:r>
      <w:r w:rsidR="001526DB" w:rsidRPr="00E45053">
        <w:rPr>
          <w:rFonts w:cs="Arial"/>
          <w:noProof/>
          <w:lang w:val="es-ES_tradnl"/>
        </w:rPr>
        <w:t>WG</w:t>
      </w:r>
      <w:r w:rsidR="001526DB" w:rsidRPr="00E45053">
        <w:rPr>
          <w:rFonts w:cs="Arial"/>
          <w:noProof/>
          <w:lang w:val="es-ES_tradnl"/>
        </w:rPr>
        <w:noBreakHyphen/>
        <w:t>DST</w:t>
      </w:r>
      <w:r w:rsidR="00DD7B53" w:rsidRPr="00E45053">
        <w:rPr>
          <w:rFonts w:cs="Arial"/>
          <w:lang w:val="es-ES_tradnl"/>
        </w:rPr>
        <w:t xml:space="preserve">, </w:t>
      </w:r>
      <w:r w:rsidR="001526DB" w:rsidRPr="00E45053">
        <w:rPr>
          <w:rFonts w:cs="Arial"/>
          <w:lang w:val="es-ES_tradnl"/>
        </w:rPr>
        <w:t xml:space="preserve">a expresar su interés en participar en el </w:t>
      </w:r>
      <w:r w:rsidR="001526DB" w:rsidRPr="00E45053">
        <w:rPr>
          <w:rFonts w:cs="Arial"/>
          <w:noProof/>
          <w:lang w:val="es-ES_tradnl"/>
        </w:rPr>
        <w:t>WG</w:t>
      </w:r>
      <w:r w:rsidR="001526DB" w:rsidRPr="00E45053">
        <w:rPr>
          <w:rFonts w:cs="Arial"/>
          <w:noProof/>
          <w:lang w:val="es-ES_tradnl"/>
        </w:rPr>
        <w:noBreakHyphen/>
        <w:t>DEN</w:t>
      </w:r>
      <w:r w:rsidR="001526DB" w:rsidRPr="00E45053">
        <w:rPr>
          <w:rFonts w:cs="Arial"/>
          <w:lang w:val="es-ES_tradnl"/>
        </w:rPr>
        <w:t xml:space="preserve"> y a formular comentarios acerca del documento UPOV/INF/12/5.</w:t>
      </w:r>
    </w:p>
    <w:p w:rsidR="00753491" w:rsidRPr="00E45053" w:rsidRDefault="00753491" w:rsidP="00753491">
      <w:pPr>
        <w:rPr>
          <w:lang w:val="es-ES_tradnl"/>
        </w:rPr>
      </w:pPr>
    </w:p>
    <w:p w:rsidR="00753491" w:rsidRPr="00E45053" w:rsidRDefault="00753491" w:rsidP="00753491">
      <w:pPr>
        <w:rPr>
          <w:lang w:val="es-ES_tradnl"/>
        </w:rPr>
      </w:pPr>
    </w:p>
    <w:p w:rsidR="00753491" w:rsidRPr="00E45053" w:rsidRDefault="00753491" w:rsidP="00753491">
      <w:pPr>
        <w:rPr>
          <w:lang w:val="es-ES_tradnl"/>
        </w:rPr>
      </w:pPr>
    </w:p>
    <w:p w:rsidR="00361821" w:rsidRPr="00E45053" w:rsidRDefault="00E047CC" w:rsidP="00753491">
      <w:pPr>
        <w:jc w:val="right"/>
        <w:rPr>
          <w:snapToGrid w:val="0"/>
          <w:lang w:val="es-ES_tradnl"/>
        </w:rPr>
      </w:pPr>
      <w:r w:rsidRPr="00E45053">
        <w:rPr>
          <w:snapToGrid w:val="0"/>
          <w:lang w:val="es-ES_tradnl"/>
        </w:rPr>
        <w:t>[Fin del documento]</w:t>
      </w:r>
    </w:p>
    <w:sectPr w:rsidR="00361821" w:rsidRPr="00E45053" w:rsidSect="00E047CC">
      <w:headerReference w:type="default" r:id="rId10"/>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B9" w:rsidRDefault="00D67FB9" w:rsidP="00F45372">
      <w:r>
        <w:separator/>
      </w:r>
    </w:p>
    <w:p w:rsidR="00D67FB9" w:rsidRDefault="00D67FB9" w:rsidP="00F45372"/>
    <w:p w:rsidR="00D67FB9" w:rsidRDefault="00D67FB9" w:rsidP="00F45372"/>
  </w:endnote>
  <w:endnote w:type="continuationSeparator" w:id="0">
    <w:p w:rsidR="00D67FB9" w:rsidRDefault="00D67FB9" w:rsidP="00F45372">
      <w:r>
        <w:separator/>
      </w:r>
    </w:p>
    <w:p w:rsidR="00D67FB9" w:rsidRPr="00970020" w:rsidRDefault="00D67FB9">
      <w:pPr>
        <w:pStyle w:val="Footer"/>
        <w:spacing w:after="60"/>
        <w:rPr>
          <w:sz w:val="18"/>
          <w:lang w:val="fr-CH"/>
        </w:rPr>
      </w:pPr>
      <w:r w:rsidRPr="00970020">
        <w:rPr>
          <w:sz w:val="18"/>
          <w:lang w:val="fr-CH"/>
        </w:rPr>
        <w:t>[Suite de la note de la page précédente]</w:t>
      </w:r>
    </w:p>
    <w:p w:rsidR="00D67FB9" w:rsidRPr="00970020" w:rsidRDefault="00D67FB9" w:rsidP="00F45372">
      <w:pPr>
        <w:rPr>
          <w:lang w:val="fr-CH"/>
        </w:rPr>
      </w:pPr>
    </w:p>
    <w:p w:rsidR="00D67FB9" w:rsidRPr="00970020" w:rsidRDefault="00D67FB9" w:rsidP="00F45372">
      <w:pPr>
        <w:rPr>
          <w:lang w:val="fr-CH"/>
        </w:rPr>
      </w:pPr>
    </w:p>
  </w:endnote>
  <w:endnote w:type="continuationNotice" w:id="1">
    <w:p w:rsidR="00D67FB9" w:rsidRPr="00970020" w:rsidRDefault="00D67FB9" w:rsidP="00F45372">
      <w:pPr>
        <w:rPr>
          <w:lang w:val="fr-CH"/>
        </w:rPr>
      </w:pPr>
      <w:r w:rsidRPr="00970020">
        <w:rPr>
          <w:lang w:val="fr-CH"/>
        </w:rPr>
        <w:t>[Suite de la note page suivante]</w:t>
      </w:r>
    </w:p>
    <w:p w:rsidR="00D67FB9" w:rsidRPr="00970020" w:rsidRDefault="00D67FB9" w:rsidP="00F45372">
      <w:pPr>
        <w:rPr>
          <w:lang w:val="fr-CH"/>
        </w:rPr>
      </w:pPr>
    </w:p>
    <w:p w:rsidR="00D67FB9" w:rsidRPr="00970020" w:rsidRDefault="00D67FB9"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B9" w:rsidRDefault="00D67FB9" w:rsidP="00F45372">
      <w:r>
        <w:separator/>
      </w:r>
    </w:p>
  </w:footnote>
  <w:footnote w:type="continuationSeparator" w:id="0">
    <w:p w:rsidR="00D67FB9" w:rsidRDefault="00D67FB9" w:rsidP="00F45372">
      <w:r>
        <w:separator/>
      </w:r>
    </w:p>
  </w:footnote>
  <w:footnote w:type="continuationNotice" w:id="1">
    <w:p w:rsidR="00D67FB9" w:rsidRPr="00905020" w:rsidRDefault="00D67FB9"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97" w:rsidRPr="008D3729" w:rsidRDefault="00E86797" w:rsidP="00EB048E">
    <w:pPr>
      <w:pStyle w:val="Header"/>
      <w:rPr>
        <w:rStyle w:val="PageNumber"/>
        <w:lang w:val="es-ES_tradnl"/>
      </w:rPr>
    </w:pPr>
    <w:r>
      <w:rPr>
        <w:rStyle w:val="PageNumber"/>
        <w:lang w:val="es-ES_tradnl"/>
      </w:rPr>
      <w:t>TC/52/12</w:t>
    </w:r>
  </w:p>
  <w:p w:rsidR="00E86797" w:rsidRPr="008D3729" w:rsidRDefault="00E86797" w:rsidP="00EB048E">
    <w:pPr>
      <w:pStyle w:val="Header"/>
      <w:rPr>
        <w:lang w:val="es-ES_tradnl"/>
      </w:rPr>
    </w:pPr>
    <w:r w:rsidRPr="008D3729">
      <w:rPr>
        <w:lang w:val="es-ES_tradnl"/>
      </w:rPr>
      <w:t>página</w:t>
    </w:r>
    <w:r>
      <w:rPr>
        <w:lang w:val="es-ES_tradnl"/>
      </w:rPr>
      <w:t>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06664E">
      <w:rPr>
        <w:rStyle w:val="PageNumber"/>
        <w:noProof/>
        <w:lang w:val="es-ES_tradnl"/>
      </w:rPr>
      <w:t>6</w:t>
    </w:r>
    <w:r w:rsidRPr="008D3729">
      <w:rPr>
        <w:rStyle w:val="PageNumber"/>
        <w:lang w:val="es-ES_tradnl"/>
      </w:rPr>
      <w:fldChar w:fldCharType="end"/>
    </w:r>
  </w:p>
  <w:p w:rsidR="00E86797" w:rsidRPr="008D3729" w:rsidRDefault="00E86797" w:rsidP="00753491">
    <w:pP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525CD0"/>
    <w:rsid w:val="00010CF3"/>
    <w:rsid w:val="00011E27"/>
    <w:rsid w:val="00014128"/>
    <w:rsid w:val="000148BC"/>
    <w:rsid w:val="00024AB8"/>
    <w:rsid w:val="00030854"/>
    <w:rsid w:val="00036028"/>
    <w:rsid w:val="00044642"/>
    <w:rsid w:val="000446B9"/>
    <w:rsid w:val="00047E21"/>
    <w:rsid w:val="0006664E"/>
    <w:rsid w:val="00085505"/>
    <w:rsid w:val="000C6C12"/>
    <w:rsid w:val="000C7021"/>
    <w:rsid w:val="000D0A7C"/>
    <w:rsid w:val="000D6BBC"/>
    <w:rsid w:val="000D7780"/>
    <w:rsid w:val="000F3986"/>
    <w:rsid w:val="000F5E25"/>
    <w:rsid w:val="0010275F"/>
    <w:rsid w:val="00105929"/>
    <w:rsid w:val="0011152E"/>
    <w:rsid w:val="001131D5"/>
    <w:rsid w:val="00141DB8"/>
    <w:rsid w:val="00145FE9"/>
    <w:rsid w:val="001479AA"/>
    <w:rsid w:val="00147F38"/>
    <w:rsid w:val="001526DB"/>
    <w:rsid w:val="00152836"/>
    <w:rsid w:val="0017474A"/>
    <w:rsid w:val="001758C6"/>
    <w:rsid w:val="00184D5D"/>
    <w:rsid w:val="00185F46"/>
    <w:rsid w:val="001D4CC4"/>
    <w:rsid w:val="0021332C"/>
    <w:rsid w:val="00213982"/>
    <w:rsid w:val="00232408"/>
    <w:rsid w:val="00235267"/>
    <w:rsid w:val="0024416D"/>
    <w:rsid w:val="00266E18"/>
    <w:rsid w:val="002800A0"/>
    <w:rsid w:val="002801B3"/>
    <w:rsid w:val="00281060"/>
    <w:rsid w:val="002940E8"/>
    <w:rsid w:val="002A6E50"/>
    <w:rsid w:val="002C256A"/>
    <w:rsid w:val="002C29BF"/>
    <w:rsid w:val="002C6A47"/>
    <w:rsid w:val="00305A7F"/>
    <w:rsid w:val="003152FE"/>
    <w:rsid w:val="00320AE8"/>
    <w:rsid w:val="00323064"/>
    <w:rsid w:val="00327436"/>
    <w:rsid w:val="00333371"/>
    <w:rsid w:val="00335BB0"/>
    <w:rsid w:val="00344BD6"/>
    <w:rsid w:val="0035528D"/>
    <w:rsid w:val="00361821"/>
    <w:rsid w:val="0036329F"/>
    <w:rsid w:val="00366D8A"/>
    <w:rsid w:val="00370631"/>
    <w:rsid w:val="003B1F22"/>
    <w:rsid w:val="003C64B9"/>
    <w:rsid w:val="003D227C"/>
    <w:rsid w:val="003D2B4D"/>
    <w:rsid w:val="003D7E71"/>
    <w:rsid w:val="004005BE"/>
    <w:rsid w:val="00401A95"/>
    <w:rsid w:val="00407D32"/>
    <w:rsid w:val="00430E60"/>
    <w:rsid w:val="00444A88"/>
    <w:rsid w:val="0045119D"/>
    <w:rsid w:val="00474DA4"/>
    <w:rsid w:val="004943D1"/>
    <w:rsid w:val="004B6E6F"/>
    <w:rsid w:val="004C314B"/>
    <w:rsid w:val="004D047D"/>
    <w:rsid w:val="004F1D89"/>
    <w:rsid w:val="004F305A"/>
    <w:rsid w:val="004F7BAD"/>
    <w:rsid w:val="00504DBD"/>
    <w:rsid w:val="00506235"/>
    <w:rsid w:val="00512164"/>
    <w:rsid w:val="00520297"/>
    <w:rsid w:val="00525CD0"/>
    <w:rsid w:val="005338F9"/>
    <w:rsid w:val="00537E57"/>
    <w:rsid w:val="0054281C"/>
    <w:rsid w:val="0055268D"/>
    <w:rsid w:val="00554B1F"/>
    <w:rsid w:val="00573194"/>
    <w:rsid w:val="00576BE4"/>
    <w:rsid w:val="00576BF0"/>
    <w:rsid w:val="005A400A"/>
    <w:rsid w:val="005D69F9"/>
    <w:rsid w:val="005E0C03"/>
    <w:rsid w:val="00612379"/>
    <w:rsid w:val="0061555F"/>
    <w:rsid w:val="00625523"/>
    <w:rsid w:val="00641200"/>
    <w:rsid w:val="006510E9"/>
    <w:rsid w:val="006654DD"/>
    <w:rsid w:val="00687EB4"/>
    <w:rsid w:val="00692485"/>
    <w:rsid w:val="006A1ECF"/>
    <w:rsid w:val="006B0CB2"/>
    <w:rsid w:val="006B17D2"/>
    <w:rsid w:val="006B4D4F"/>
    <w:rsid w:val="006C224E"/>
    <w:rsid w:val="006C7698"/>
    <w:rsid w:val="006D780A"/>
    <w:rsid w:val="006E0471"/>
    <w:rsid w:val="006F42E7"/>
    <w:rsid w:val="006F6B23"/>
    <w:rsid w:val="006F6DD6"/>
    <w:rsid w:val="007125C7"/>
    <w:rsid w:val="00715BEC"/>
    <w:rsid w:val="00732DEC"/>
    <w:rsid w:val="00735BD5"/>
    <w:rsid w:val="00741F8F"/>
    <w:rsid w:val="0075058C"/>
    <w:rsid w:val="00753491"/>
    <w:rsid w:val="00753A37"/>
    <w:rsid w:val="007556F6"/>
    <w:rsid w:val="00760EEF"/>
    <w:rsid w:val="007711DA"/>
    <w:rsid w:val="00777EE5"/>
    <w:rsid w:val="00780EAF"/>
    <w:rsid w:val="00784836"/>
    <w:rsid w:val="0079023E"/>
    <w:rsid w:val="00791B25"/>
    <w:rsid w:val="007A2854"/>
    <w:rsid w:val="007B52EE"/>
    <w:rsid w:val="007B6A2C"/>
    <w:rsid w:val="007D0B9D"/>
    <w:rsid w:val="007D19B0"/>
    <w:rsid w:val="007E71AF"/>
    <w:rsid w:val="007F498F"/>
    <w:rsid w:val="007F4BB2"/>
    <w:rsid w:val="0080679D"/>
    <w:rsid w:val="008108B0"/>
    <w:rsid w:val="00811B20"/>
    <w:rsid w:val="0082296E"/>
    <w:rsid w:val="00824099"/>
    <w:rsid w:val="00830EF7"/>
    <w:rsid w:val="00837D5E"/>
    <w:rsid w:val="00863477"/>
    <w:rsid w:val="00867AC1"/>
    <w:rsid w:val="00875AEA"/>
    <w:rsid w:val="008A1693"/>
    <w:rsid w:val="008A743F"/>
    <w:rsid w:val="008B0AB1"/>
    <w:rsid w:val="008C0970"/>
    <w:rsid w:val="008D2CF7"/>
    <w:rsid w:val="008D3729"/>
    <w:rsid w:val="008F4155"/>
    <w:rsid w:val="00900C26"/>
    <w:rsid w:val="0090197F"/>
    <w:rsid w:val="00905020"/>
    <w:rsid w:val="00906DDC"/>
    <w:rsid w:val="00907F9E"/>
    <w:rsid w:val="00934E09"/>
    <w:rsid w:val="00936253"/>
    <w:rsid w:val="00952DD4"/>
    <w:rsid w:val="00970020"/>
    <w:rsid w:val="00970FED"/>
    <w:rsid w:val="00997029"/>
    <w:rsid w:val="009970E9"/>
    <w:rsid w:val="009A40B2"/>
    <w:rsid w:val="009C6D42"/>
    <w:rsid w:val="009D690D"/>
    <w:rsid w:val="009D6A44"/>
    <w:rsid w:val="009E65B6"/>
    <w:rsid w:val="009E7AF8"/>
    <w:rsid w:val="00A13C6F"/>
    <w:rsid w:val="00A2120C"/>
    <w:rsid w:val="00A268C5"/>
    <w:rsid w:val="00A32B6B"/>
    <w:rsid w:val="00A37B04"/>
    <w:rsid w:val="00A42AC3"/>
    <w:rsid w:val="00A430CF"/>
    <w:rsid w:val="00A4400E"/>
    <w:rsid w:val="00A47CDB"/>
    <w:rsid w:val="00A514C3"/>
    <w:rsid w:val="00A54309"/>
    <w:rsid w:val="00AA65E7"/>
    <w:rsid w:val="00AB2B93"/>
    <w:rsid w:val="00AB7E5B"/>
    <w:rsid w:val="00AC56EA"/>
    <w:rsid w:val="00AE0813"/>
    <w:rsid w:val="00AE0EF1"/>
    <w:rsid w:val="00B07301"/>
    <w:rsid w:val="00B129BA"/>
    <w:rsid w:val="00B161C9"/>
    <w:rsid w:val="00B224DE"/>
    <w:rsid w:val="00B60386"/>
    <w:rsid w:val="00B717F2"/>
    <w:rsid w:val="00B7302C"/>
    <w:rsid w:val="00B82170"/>
    <w:rsid w:val="00B84BBD"/>
    <w:rsid w:val="00BA43FB"/>
    <w:rsid w:val="00BC127D"/>
    <w:rsid w:val="00BC1FE6"/>
    <w:rsid w:val="00BC7D9B"/>
    <w:rsid w:val="00BD2A36"/>
    <w:rsid w:val="00BD5DD7"/>
    <w:rsid w:val="00BD69C1"/>
    <w:rsid w:val="00BD6AFE"/>
    <w:rsid w:val="00BF2405"/>
    <w:rsid w:val="00C061B6"/>
    <w:rsid w:val="00C13808"/>
    <w:rsid w:val="00C20852"/>
    <w:rsid w:val="00C2356B"/>
    <w:rsid w:val="00C2446C"/>
    <w:rsid w:val="00C36AE5"/>
    <w:rsid w:val="00C36DF5"/>
    <w:rsid w:val="00C41F17"/>
    <w:rsid w:val="00C53973"/>
    <w:rsid w:val="00C5791C"/>
    <w:rsid w:val="00C66290"/>
    <w:rsid w:val="00C72B7A"/>
    <w:rsid w:val="00C75022"/>
    <w:rsid w:val="00C91708"/>
    <w:rsid w:val="00C938EC"/>
    <w:rsid w:val="00C973F2"/>
    <w:rsid w:val="00CA774A"/>
    <w:rsid w:val="00CC11B0"/>
    <w:rsid w:val="00CC38ED"/>
    <w:rsid w:val="00CE7B53"/>
    <w:rsid w:val="00CF6490"/>
    <w:rsid w:val="00CF7E36"/>
    <w:rsid w:val="00D17133"/>
    <w:rsid w:val="00D261C5"/>
    <w:rsid w:val="00D3708D"/>
    <w:rsid w:val="00D37347"/>
    <w:rsid w:val="00D40426"/>
    <w:rsid w:val="00D57C96"/>
    <w:rsid w:val="00D67FB9"/>
    <w:rsid w:val="00D769FF"/>
    <w:rsid w:val="00D91203"/>
    <w:rsid w:val="00D95174"/>
    <w:rsid w:val="00DA4685"/>
    <w:rsid w:val="00DA6F36"/>
    <w:rsid w:val="00DB0966"/>
    <w:rsid w:val="00DB596E"/>
    <w:rsid w:val="00DB7071"/>
    <w:rsid w:val="00DC00EA"/>
    <w:rsid w:val="00DC291B"/>
    <w:rsid w:val="00DD7B53"/>
    <w:rsid w:val="00DF05E3"/>
    <w:rsid w:val="00E047CC"/>
    <w:rsid w:val="00E12CF3"/>
    <w:rsid w:val="00E31AD2"/>
    <w:rsid w:val="00E45053"/>
    <w:rsid w:val="00E50918"/>
    <w:rsid w:val="00E7161B"/>
    <w:rsid w:val="00E72D49"/>
    <w:rsid w:val="00E7593C"/>
    <w:rsid w:val="00E7678A"/>
    <w:rsid w:val="00E856E1"/>
    <w:rsid w:val="00E86797"/>
    <w:rsid w:val="00E935F1"/>
    <w:rsid w:val="00E94A81"/>
    <w:rsid w:val="00EA1FFB"/>
    <w:rsid w:val="00EA3C6E"/>
    <w:rsid w:val="00EA5245"/>
    <w:rsid w:val="00EB048E"/>
    <w:rsid w:val="00EB1382"/>
    <w:rsid w:val="00EC7D58"/>
    <w:rsid w:val="00EE34DF"/>
    <w:rsid w:val="00EE3892"/>
    <w:rsid w:val="00EF24BF"/>
    <w:rsid w:val="00EF2F89"/>
    <w:rsid w:val="00F1237A"/>
    <w:rsid w:val="00F22CBD"/>
    <w:rsid w:val="00F45372"/>
    <w:rsid w:val="00F45B4C"/>
    <w:rsid w:val="00F560F7"/>
    <w:rsid w:val="00F6334D"/>
    <w:rsid w:val="00F77B84"/>
    <w:rsid w:val="00FA49AB"/>
    <w:rsid w:val="00FA7DE6"/>
    <w:rsid w:val="00FC5BF5"/>
    <w:rsid w:val="00FD7EB7"/>
    <w:rsid w:val="00FE39C7"/>
    <w:rsid w:val="00FF71C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n-US" w:eastAsia="en-US"/>
    </w:rPr>
  </w:style>
  <w:style w:type="paragraph" w:styleId="Heading1">
    <w:name w:val="heading 1"/>
    <w:next w:val="Normal"/>
    <w:link w:val="Heading1Char"/>
    <w:autoRedefine/>
    <w:qFormat/>
    <w:rsid w:val="00753491"/>
    <w:pPr>
      <w:jc w:val="both"/>
      <w:outlineLvl w:val="0"/>
    </w:pPr>
    <w:rPr>
      <w:rFonts w:ascii="Arial" w:hAnsi="Arial"/>
      <w:caps/>
      <w:lang w:val="en-US" w:eastAsia="en-US"/>
    </w:rPr>
  </w:style>
  <w:style w:type="paragraph" w:styleId="Heading2">
    <w:name w:val="heading 2"/>
    <w:next w:val="Normal"/>
    <w:link w:val="Heading2Char"/>
    <w:autoRedefine/>
    <w:qFormat/>
    <w:rsid w:val="00370631"/>
    <w:pPr>
      <w:keepNext/>
      <w:jc w:val="both"/>
      <w:outlineLvl w:val="1"/>
    </w:pPr>
    <w:rPr>
      <w:rFonts w:ascii="Arial" w:hAnsi="Arial"/>
      <w:u w:val="single"/>
      <w:lang w:val="en-US" w:eastAsia="en-US"/>
    </w:rPr>
  </w:style>
  <w:style w:type="paragraph" w:styleId="Heading3">
    <w:name w:val="heading 3"/>
    <w:next w:val="Normal"/>
    <w:link w:val="Heading3Char"/>
    <w:autoRedefine/>
    <w:uiPriority w:val="99"/>
    <w:qFormat/>
    <w:rsid w:val="00370631"/>
    <w:pPr>
      <w:keepNext/>
      <w:jc w:val="both"/>
      <w:outlineLvl w:val="2"/>
    </w:pPr>
    <w:rPr>
      <w:rFonts w:ascii="Arial" w:hAnsi="Arial"/>
      <w:i/>
      <w:lang w:val="en-US" w:eastAsia="en-US"/>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eastAsia="en-US"/>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lang w:val="en-US" w:eastAsia="en-US"/>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eastAsia="en-US"/>
    </w:rPr>
  </w:style>
  <w:style w:type="paragraph" w:styleId="Footer">
    <w:name w:val="footer"/>
    <w:aliases w:val="doc_path_name"/>
    <w:link w:val="FooterChar"/>
    <w:autoRedefine/>
    <w:uiPriority w:val="99"/>
    <w:rsid w:val="009D690D"/>
    <w:pPr>
      <w:jc w:val="both"/>
    </w:pPr>
    <w:rPr>
      <w:rFonts w:ascii="Arial" w:hAnsi="Arial"/>
      <w:sz w:val="14"/>
      <w:lang w:val="en-US" w:eastAsia="en-US"/>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E45053"/>
    <w:pPr>
      <w:tabs>
        <w:tab w:val="right" w:leader="dot" w:pos="9639"/>
      </w:tabs>
      <w:spacing w:after="120"/>
      <w:ind w:left="454" w:right="851" w:hanging="284"/>
    </w:pPr>
    <w:rPr>
      <w:rFonts w:ascii="Arial" w:hAnsi="Arial"/>
      <w:i/>
      <w:sz w:val="18"/>
      <w:lang w:val="en-US" w:eastAsia="en-U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uiPriority w:val="39"/>
    <w:rsid w:val="00E45053"/>
    <w:pPr>
      <w:tabs>
        <w:tab w:val="right" w:leader="dot" w:pos="9639"/>
      </w:tabs>
      <w:spacing w:before="60" w:after="120"/>
      <w:ind w:right="284"/>
    </w:pPr>
    <w:rPr>
      <w:rFonts w:ascii="Arial" w:eastAsia="MS Mincho" w:hAnsi="Arial"/>
      <w:caps/>
      <w:noProof/>
      <w:sz w:val="18"/>
      <w:lang w:eastAsia="ja-JP"/>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753491"/>
    <w:rPr>
      <w:rFonts w:ascii="Arial" w:hAnsi="Arial"/>
      <w:caps/>
      <w:lang w:val="en-US" w:eastAsia="en-US" w:bidi="ar-SA"/>
    </w:rPr>
  </w:style>
  <w:style w:type="character" w:customStyle="1" w:styleId="Heading2Char">
    <w:name w:val="Heading 2 Char"/>
    <w:basedOn w:val="DefaultParagraphFont"/>
    <w:link w:val="Heading2"/>
    <w:locked/>
    <w:rsid w:val="00FD7EB7"/>
    <w:rPr>
      <w:rFonts w:ascii="Arial" w:hAnsi="Arial"/>
      <w:u w:val="single"/>
      <w:lang w:val="en-US" w:eastAsia="en-US" w:bidi="ar-SA"/>
    </w:rPr>
  </w:style>
  <w:style w:type="character" w:customStyle="1" w:styleId="Heading3Char">
    <w:name w:val="Heading 3 Char"/>
    <w:basedOn w:val="DefaultParagraphFont"/>
    <w:link w:val="Heading3"/>
    <w:uiPriority w:val="99"/>
    <w:locked/>
    <w:rsid w:val="00FD7EB7"/>
    <w:rPr>
      <w:rFonts w:ascii="Arial" w:hAnsi="Arial"/>
      <w:i/>
      <w:lang w:val="en-US" w:eastAsia="en-US" w:bidi="ar-SA"/>
    </w:rPr>
  </w:style>
  <w:style w:type="character" w:customStyle="1" w:styleId="Heading4Char">
    <w:name w:val="Heading 4 Char"/>
    <w:basedOn w:val="DefaultParagraphFont"/>
    <w:link w:val="Heading4"/>
    <w:uiPriority w:val="99"/>
    <w:locked/>
    <w:rsid w:val="00FD7EB7"/>
    <w:rPr>
      <w:rFonts w:ascii="Arial" w:hAnsi="Arial"/>
      <w:u w:val="single"/>
      <w:lang w:val="fr-FR" w:eastAsia="en-US" w:bidi="ar-SA"/>
    </w:rPr>
  </w:style>
  <w:style w:type="character" w:customStyle="1" w:styleId="Heading5Char">
    <w:name w:val="Heading 5 Char"/>
    <w:basedOn w:val="DefaultParagraphFont"/>
    <w:link w:val="Heading5"/>
    <w:uiPriority w:val="99"/>
    <w:locked/>
    <w:rsid w:val="00FD7EB7"/>
    <w:rPr>
      <w:rFonts w:ascii="Arial" w:hAnsi="Arial"/>
      <w:i/>
      <w:lang w:val="en-US" w:eastAsia="en-US" w:bidi="ar-SA"/>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eastAsia="en-US" w:bidi="ar-SA"/>
    </w:rPr>
  </w:style>
  <w:style w:type="character" w:customStyle="1" w:styleId="FooterChar">
    <w:name w:val="Footer Char"/>
    <w:aliases w:val="doc_path_name Char"/>
    <w:basedOn w:val="DefaultParagraphFont"/>
    <w:link w:val="Footer"/>
    <w:uiPriority w:val="99"/>
    <w:locked/>
    <w:rsid w:val="00FD7EB7"/>
    <w:rPr>
      <w:rFonts w:ascii="Arial" w:hAnsi="Arial"/>
      <w:sz w:val="14"/>
      <w:lang w:val="en-US" w:eastAsia="en-US" w:bidi="ar-SA"/>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lang w:val="en-US" w:eastAsia="en-US" w:bidi="ar-SA"/>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lang w:val="en-US" w:eastAsia="en-US" w:bidi="ar-SA"/>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ind w:left="284" w:hanging="284"/>
    </w:p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dec">
    <w:name w:val="dec"/>
    <w:basedOn w:val="Normal"/>
    <w:link w:val="decChar"/>
    <w:qFormat/>
    <w:rsid w:val="00753491"/>
    <w:pPr>
      <w:ind w:left="4536"/>
    </w:pPr>
    <w:rPr>
      <w:i/>
      <w:spacing w:val="-2"/>
    </w:rPr>
  </w:style>
  <w:style w:type="character" w:customStyle="1" w:styleId="decChar">
    <w:name w:val="dec Char"/>
    <w:basedOn w:val="DefaultParagraphFont"/>
    <w:link w:val="dec"/>
    <w:rsid w:val="00753491"/>
    <w:rPr>
      <w:rFonts w:ascii="Arial" w:eastAsia="Times New Roman" w:hAnsi="Arial"/>
      <w:i/>
      <w:spacing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lang w:val="en-US" w:eastAsia="en-US"/>
    </w:rPr>
  </w:style>
  <w:style w:type="paragraph" w:styleId="Heading1">
    <w:name w:val="heading 1"/>
    <w:next w:val="Normal"/>
    <w:link w:val="Heading1Char"/>
    <w:autoRedefine/>
    <w:qFormat/>
    <w:rsid w:val="00753491"/>
    <w:pPr>
      <w:jc w:val="both"/>
      <w:outlineLvl w:val="0"/>
    </w:pPr>
    <w:rPr>
      <w:rFonts w:ascii="Arial" w:hAnsi="Arial"/>
      <w:caps/>
      <w:lang w:val="en-US" w:eastAsia="en-US"/>
    </w:rPr>
  </w:style>
  <w:style w:type="paragraph" w:styleId="Heading2">
    <w:name w:val="heading 2"/>
    <w:next w:val="Normal"/>
    <w:link w:val="Heading2Char"/>
    <w:autoRedefine/>
    <w:qFormat/>
    <w:rsid w:val="00370631"/>
    <w:pPr>
      <w:keepNext/>
      <w:jc w:val="both"/>
      <w:outlineLvl w:val="1"/>
    </w:pPr>
    <w:rPr>
      <w:rFonts w:ascii="Arial" w:hAnsi="Arial"/>
      <w:u w:val="single"/>
      <w:lang w:val="en-US" w:eastAsia="en-US"/>
    </w:rPr>
  </w:style>
  <w:style w:type="paragraph" w:styleId="Heading3">
    <w:name w:val="heading 3"/>
    <w:next w:val="Normal"/>
    <w:link w:val="Heading3Char"/>
    <w:autoRedefine/>
    <w:uiPriority w:val="99"/>
    <w:qFormat/>
    <w:rsid w:val="00370631"/>
    <w:pPr>
      <w:keepNext/>
      <w:jc w:val="both"/>
      <w:outlineLvl w:val="2"/>
    </w:pPr>
    <w:rPr>
      <w:rFonts w:ascii="Arial" w:hAnsi="Arial"/>
      <w:i/>
      <w:lang w:val="en-US" w:eastAsia="en-US"/>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eastAsia="en-US"/>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lang w:val="en-US" w:eastAsia="en-US"/>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eastAsia="en-US"/>
    </w:rPr>
  </w:style>
  <w:style w:type="paragraph" w:styleId="Footer">
    <w:name w:val="footer"/>
    <w:aliases w:val="doc_path_name"/>
    <w:link w:val="FooterChar"/>
    <w:autoRedefine/>
    <w:uiPriority w:val="99"/>
    <w:rsid w:val="009D690D"/>
    <w:pPr>
      <w:jc w:val="both"/>
    </w:pPr>
    <w:rPr>
      <w:rFonts w:ascii="Arial" w:hAnsi="Arial"/>
      <w:sz w:val="14"/>
      <w:lang w:val="en-US" w:eastAsia="en-US"/>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lang w:val="en-US" w:eastAsia="en-US"/>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E45053"/>
    <w:pPr>
      <w:tabs>
        <w:tab w:val="right" w:leader="dot" w:pos="9639"/>
      </w:tabs>
      <w:spacing w:after="120"/>
      <w:ind w:left="454" w:right="851" w:hanging="284"/>
    </w:pPr>
    <w:rPr>
      <w:rFonts w:ascii="Arial" w:hAnsi="Arial"/>
      <w:i/>
      <w:sz w:val="18"/>
      <w:lang w:val="en-US" w:eastAsia="en-U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eastAsia="en-US"/>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eastAsia="en-US"/>
    </w:rPr>
  </w:style>
  <w:style w:type="paragraph" w:styleId="TOC1">
    <w:name w:val="toc 1"/>
    <w:next w:val="Normal"/>
    <w:autoRedefine/>
    <w:uiPriority w:val="39"/>
    <w:rsid w:val="00E45053"/>
    <w:pPr>
      <w:tabs>
        <w:tab w:val="right" w:leader="dot" w:pos="9639"/>
      </w:tabs>
      <w:spacing w:before="60" w:after="120"/>
      <w:ind w:right="284"/>
    </w:pPr>
    <w:rPr>
      <w:rFonts w:ascii="Arial" w:eastAsia="MS Mincho" w:hAnsi="Arial"/>
      <w:caps/>
      <w:noProof/>
      <w:sz w:val="18"/>
      <w:lang w:eastAsia="ja-JP"/>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eastAsia="en-US"/>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753491"/>
    <w:rPr>
      <w:rFonts w:ascii="Arial" w:hAnsi="Arial"/>
      <w:caps/>
      <w:lang w:val="en-US" w:eastAsia="en-US" w:bidi="ar-SA"/>
    </w:rPr>
  </w:style>
  <w:style w:type="character" w:customStyle="1" w:styleId="Heading2Char">
    <w:name w:val="Heading 2 Char"/>
    <w:basedOn w:val="DefaultParagraphFont"/>
    <w:link w:val="Heading2"/>
    <w:locked/>
    <w:rsid w:val="00FD7EB7"/>
    <w:rPr>
      <w:rFonts w:ascii="Arial" w:hAnsi="Arial"/>
      <w:u w:val="single"/>
      <w:lang w:val="en-US" w:eastAsia="en-US" w:bidi="ar-SA"/>
    </w:rPr>
  </w:style>
  <w:style w:type="character" w:customStyle="1" w:styleId="Heading3Char">
    <w:name w:val="Heading 3 Char"/>
    <w:basedOn w:val="DefaultParagraphFont"/>
    <w:link w:val="Heading3"/>
    <w:uiPriority w:val="99"/>
    <w:locked/>
    <w:rsid w:val="00FD7EB7"/>
    <w:rPr>
      <w:rFonts w:ascii="Arial" w:hAnsi="Arial"/>
      <w:i/>
      <w:lang w:val="en-US" w:eastAsia="en-US" w:bidi="ar-SA"/>
    </w:rPr>
  </w:style>
  <w:style w:type="character" w:customStyle="1" w:styleId="Heading4Char">
    <w:name w:val="Heading 4 Char"/>
    <w:basedOn w:val="DefaultParagraphFont"/>
    <w:link w:val="Heading4"/>
    <w:uiPriority w:val="99"/>
    <w:locked/>
    <w:rsid w:val="00FD7EB7"/>
    <w:rPr>
      <w:rFonts w:ascii="Arial" w:hAnsi="Arial"/>
      <w:u w:val="single"/>
      <w:lang w:val="fr-FR" w:eastAsia="en-US" w:bidi="ar-SA"/>
    </w:rPr>
  </w:style>
  <w:style w:type="character" w:customStyle="1" w:styleId="Heading5Char">
    <w:name w:val="Heading 5 Char"/>
    <w:basedOn w:val="DefaultParagraphFont"/>
    <w:link w:val="Heading5"/>
    <w:uiPriority w:val="99"/>
    <w:locked/>
    <w:rsid w:val="00FD7EB7"/>
    <w:rPr>
      <w:rFonts w:ascii="Arial" w:hAnsi="Arial"/>
      <w:i/>
      <w:lang w:val="en-US" w:eastAsia="en-US" w:bidi="ar-SA"/>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eastAsia="en-US" w:bidi="ar-SA"/>
    </w:rPr>
  </w:style>
  <w:style w:type="character" w:customStyle="1" w:styleId="FooterChar">
    <w:name w:val="Footer Char"/>
    <w:aliases w:val="doc_path_name Char"/>
    <w:basedOn w:val="DefaultParagraphFont"/>
    <w:link w:val="Footer"/>
    <w:uiPriority w:val="99"/>
    <w:locked/>
    <w:rsid w:val="00FD7EB7"/>
    <w:rPr>
      <w:rFonts w:ascii="Arial" w:hAnsi="Arial"/>
      <w:sz w:val="14"/>
      <w:lang w:val="en-US" w:eastAsia="en-US" w:bidi="ar-SA"/>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lang w:val="en-US" w:eastAsia="en-US" w:bidi="ar-SA"/>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lang w:val="en-US" w:eastAsia="en-US" w:bidi="ar-SA"/>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ind w:left="284" w:hanging="284"/>
    </w:p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lang w:val="en-US" w:eastAsia="en-US"/>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dec">
    <w:name w:val="dec"/>
    <w:basedOn w:val="Normal"/>
    <w:link w:val="decChar"/>
    <w:qFormat/>
    <w:rsid w:val="00753491"/>
    <w:pPr>
      <w:ind w:left="4536"/>
    </w:pPr>
    <w:rPr>
      <w:i/>
      <w:spacing w:val="-2"/>
    </w:rPr>
  </w:style>
  <w:style w:type="character" w:customStyle="1" w:styleId="decChar">
    <w:name w:val="dec Char"/>
    <w:basedOn w:val="DefaultParagraphFont"/>
    <w:link w:val="dec"/>
    <w:rsid w:val="00753491"/>
    <w:rPr>
      <w:rFonts w:ascii="Arial" w:eastAsia="Times New Roman" w:hAnsi="Arial"/>
      <w:i/>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plut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6</Pages>
  <Words>3150</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TC/52/12 -</vt:lpstr>
    </vt:vector>
  </TitlesOfParts>
  <Company>World Intellectual Property Organization</Company>
  <LinksUpToDate>false</LinksUpToDate>
  <CharactersWithSpaces>20358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TC/52/12 -</dc:title>
  <dc:creator>BOU LLORET Amparo</dc:creator>
  <dc:description>AS (trad. ext.) - 4/2/2016</dc:description>
  <cp:lastModifiedBy>SANCHEZ-VIZCAINO GOMEZ Rosa Maria</cp:lastModifiedBy>
  <cp:revision>7</cp:revision>
  <cp:lastPrinted>2016-02-17T17:21:00Z</cp:lastPrinted>
  <dcterms:created xsi:type="dcterms:W3CDTF">2016-02-10T13:37:00Z</dcterms:created>
  <dcterms:modified xsi:type="dcterms:W3CDTF">2016-02-17T17:21:00Z</dcterms:modified>
</cp:coreProperties>
</file>