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170F1" w:rsidRPr="006F6237" w:rsidTr="00C13808">
        <w:trPr>
          <w:trHeight w:val="1760"/>
        </w:trPr>
        <w:tc>
          <w:tcPr>
            <w:tcW w:w="4243" w:type="dxa"/>
          </w:tcPr>
          <w:p w:rsidR="005170F1" w:rsidRPr="008D3729" w:rsidRDefault="005170F1" w:rsidP="0040417D">
            <w:pPr>
              <w:rPr>
                <w:lang w:val="es-ES_tradnl"/>
              </w:rPr>
            </w:pPr>
          </w:p>
        </w:tc>
        <w:tc>
          <w:tcPr>
            <w:tcW w:w="1646" w:type="dxa"/>
            <w:vAlign w:val="center"/>
          </w:tcPr>
          <w:p w:rsidR="005170F1" w:rsidRPr="008D3729" w:rsidRDefault="005170F1" w:rsidP="0040417D">
            <w:pPr>
              <w:pStyle w:val="LogoUPOV"/>
              <w:rPr>
                <w:lang w:val="es-ES_tradnl"/>
              </w:rPr>
            </w:pPr>
            <w:r>
              <w:rPr>
                <w:noProof/>
                <w:lang w:val="en-US" w:eastAsia="en-US"/>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170F1" w:rsidRPr="008D3729" w:rsidRDefault="005170F1" w:rsidP="0040417D">
            <w:pPr>
              <w:pStyle w:val="Lettrine"/>
              <w:rPr>
                <w:lang w:val="es-ES_tradnl"/>
              </w:rPr>
            </w:pPr>
            <w:r w:rsidRPr="008D3729">
              <w:rPr>
                <w:lang w:val="es-ES_tradnl"/>
              </w:rPr>
              <w:t>S</w:t>
            </w:r>
          </w:p>
          <w:p w:rsidR="005170F1" w:rsidRPr="008D3729" w:rsidRDefault="005170F1" w:rsidP="0040417D">
            <w:pPr>
              <w:pStyle w:val="Docoriginal"/>
              <w:rPr>
                <w:lang w:val="es-ES_tradnl"/>
              </w:rPr>
            </w:pPr>
            <w:r>
              <w:rPr>
                <w:lang w:val="es-ES_tradnl"/>
              </w:rPr>
              <w:t>TC/52/</w:t>
            </w:r>
            <w:bookmarkStart w:id="0" w:name="Code"/>
            <w:bookmarkEnd w:id="0"/>
            <w:r>
              <w:rPr>
                <w:lang w:val="es-ES_tradnl"/>
              </w:rPr>
              <w:t>11</w:t>
            </w:r>
          </w:p>
          <w:p w:rsidR="005170F1" w:rsidRPr="008D3729" w:rsidRDefault="005170F1" w:rsidP="0040417D">
            <w:pPr>
              <w:pStyle w:val="Docoriginal"/>
              <w:rPr>
                <w:b w:val="0"/>
                <w:spacing w:val="0"/>
                <w:lang w:val="es-ES_tradnl"/>
              </w:rPr>
            </w:pPr>
            <w:r w:rsidRPr="008D3729">
              <w:rPr>
                <w:rStyle w:val="StyleDoclangBold"/>
                <w:b/>
                <w:bCs/>
                <w:spacing w:val="0"/>
                <w:lang w:val="es-ES_tradnl"/>
              </w:rPr>
              <w:t>ORIGINAL:</w:t>
            </w:r>
            <w:r w:rsidRPr="008D3729">
              <w:rPr>
                <w:rStyle w:val="StyleDocoriginalNotBold1"/>
                <w:spacing w:val="0"/>
                <w:lang w:val="es-ES_tradnl"/>
              </w:rPr>
              <w:t xml:space="preserve">  </w:t>
            </w:r>
            <w:bookmarkStart w:id="1" w:name="Original"/>
            <w:bookmarkEnd w:id="1"/>
            <w:r w:rsidRPr="008D3729">
              <w:rPr>
                <w:b w:val="0"/>
                <w:spacing w:val="0"/>
                <w:lang w:val="es-ES_tradnl"/>
              </w:rPr>
              <w:t>Inglés</w:t>
            </w:r>
          </w:p>
          <w:p w:rsidR="005170F1" w:rsidRPr="008D3729" w:rsidRDefault="005170F1" w:rsidP="0040417D">
            <w:pPr>
              <w:pStyle w:val="Docoriginal"/>
              <w:rPr>
                <w:lang w:val="es-ES_tradnl"/>
              </w:rPr>
            </w:pPr>
            <w:r w:rsidRPr="008D3729">
              <w:rPr>
                <w:spacing w:val="0"/>
                <w:lang w:val="es-ES_tradnl"/>
              </w:rPr>
              <w:t>FECHA:</w:t>
            </w:r>
            <w:r w:rsidRPr="008D3729">
              <w:rPr>
                <w:b w:val="0"/>
                <w:spacing w:val="0"/>
                <w:lang w:val="es-ES_tradnl"/>
              </w:rPr>
              <w:t xml:space="preserve"> </w:t>
            </w:r>
            <w:r w:rsidRPr="008D3729">
              <w:rPr>
                <w:rStyle w:val="StyleDocoriginalNotBold1"/>
                <w:spacing w:val="0"/>
                <w:lang w:val="es-ES_tradnl"/>
              </w:rPr>
              <w:t xml:space="preserve"> </w:t>
            </w:r>
            <w:bookmarkStart w:id="2" w:name="Date"/>
            <w:bookmarkEnd w:id="2"/>
            <w:r>
              <w:rPr>
                <w:rStyle w:val="StyleDocoriginalNotBold1"/>
                <w:spacing w:val="0"/>
                <w:lang w:val="es-ES_tradnl"/>
              </w:rPr>
              <w:t>23 de febrero de 2016</w:t>
            </w:r>
          </w:p>
        </w:tc>
      </w:tr>
      <w:tr w:rsidR="005170F1" w:rsidRPr="006F6237" w:rsidTr="00C13808">
        <w:tc>
          <w:tcPr>
            <w:tcW w:w="10131" w:type="dxa"/>
            <w:gridSpan w:val="3"/>
          </w:tcPr>
          <w:p w:rsidR="005170F1" w:rsidRPr="008D3729" w:rsidRDefault="005170F1" w:rsidP="0040417D">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46399D" w:rsidP="00F45372">
            <w:pPr>
              <w:pStyle w:val="Country"/>
            </w:pPr>
            <w:r>
              <w:t>Ginebra</w:t>
            </w:r>
          </w:p>
        </w:tc>
      </w:tr>
    </w:tbl>
    <w:p w:rsidR="000D7780" w:rsidRPr="008D3729" w:rsidRDefault="0046399D" w:rsidP="00F45372">
      <w:pPr>
        <w:pStyle w:val="Sessiontc"/>
      </w:pPr>
      <w:r>
        <w:t>Comité Técnico</w:t>
      </w:r>
    </w:p>
    <w:p w:rsidR="00E047CC" w:rsidRPr="008D3729" w:rsidRDefault="0046399D" w:rsidP="00E047CC">
      <w:pPr>
        <w:pStyle w:val="Sessiontcplacedate"/>
      </w:pPr>
      <w:r>
        <w:t>Quincuagésima segunda sesión</w:t>
      </w:r>
      <w:r>
        <w:br/>
        <w:t>Ginebra, 14 a 16 de marzo de 2016</w:t>
      </w:r>
    </w:p>
    <w:p w:rsidR="006F6237" w:rsidRPr="006F6237" w:rsidRDefault="0046399D" w:rsidP="006F6237">
      <w:pPr>
        <w:pStyle w:val="Titleofdoc0"/>
      </w:pPr>
      <w:bookmarkStart w:id="3" w:name="TitleOfDoc"/>
      <w:bookmarkStart w:id="4" w:name="Prepared"/>
      <w:bookmarkEnd w:id="3"/>
      <w:bookmarkEnd w:id="4"/>
      <w:r>
        <w:t>Técnicas moleculares</w:t>
      </w:r>
    </w:p>
    <w:p w:rsidR="00E047CC" w:rsidRPr="006F6237" w:rsidRDefault="0046399D" w:rsidP="00E047CC">
      <w:pPr>
        <w:pStyle w:val="preparedby1"/>
      </w:pPr>
      <w:r>
        <w:t>Documento preparado por la Oficina de la Unión</w:t>
      </w:r>
      <w:r>
        <w:br/>
      </w:r>
      <w:r>
        <w:br/>
      </w:r>
      <w:r>
        <w:rPr>
          <w:color w:val="A6A6A6"/>
        </w:rPr>
        <w:t>Descargo de responsabilidad:  el presente documento no constituye</w:t>
      </w:r>
      <w:r>
        <w:br/>
      </w:r>
      <w:r>
        <w:rPr>
          <w:color w:val="A6A6A6"/>
        </w:rPr>
        <w:t>un documento de política u orientación de la UPOV</w:t>
      </w:r>
    </w:p>
    <w:p w:rsidR="006F6237" w:rsidRPr="006F6237" w:rsidRDefault="0046399D" w:rsidP="006F6237">
      <w:pPr>
        <w:keepNext/>
        <w:outlineLvl w:val="0"/>
        <w:rPr>
          <w:caps/>
        </w:rPr>
      </w:pPr>
      <w:bookmarkStart w:id="5" w:name="_Toc444099792"/>
      <w:bookmarkStart w:id="6" w:name="_Toc444426162"/>
      <w:r>
        <w:rPr>
          <w:caps/>
        </w:rPr>
        <w:t>Resumen</w:t>
      </w:r>
      <w:bookmarkEnd w:id="5"/>
      <w:bookmarkEnd w:id="6"/>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El propósito del presente documento es informar acerca de las novedades que se han producido en el ámbito de las técnicas moleculares en relación con los Grupos de Trabajo Técnico y el Taller conjunto</w:t>
      </w:r>
      <w:r w:rsidR="00221A25">
        <w:t xml:space="preserve"> </w:t>
      </w:r>
      <w:r w:rsidR="0046399D">
        <w:t>OCDE-UPOV-ISTA sobre técnicas moleculares, y examinar una propuesta de pregunta y respuesta relativa a la información sobre la situación en la UPOV en lo que respecta al uso de técnicas moleculares, para un público más amplio, que incluya al público en general.</w:t>
      </w:r>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Se invita al TC a:</w:t>
      </w:r>
    </w:p>
    <w:p w:rsidR="006F6237" w:rsidRPr="006F6237" w:rsidRDefault="004F6C1B" w:rsidP="006F6237">
      <w:pPr>
        <w:ind w:left="540" w:hanging="540"/>
      </w:pPr>
    </w:p>
    <w:p w:rsidR="006F6237" w:rsidRPr="006F6237" w:rsidRDefault="0046399D" w:rsidP="006F6237">
      <w:r>
        <w:tab/>
        <w:t>a)</w:t>
      </w:r>
      <w:r>
        <w:tab/>
        <w:t xml:space="preserve">tomar nota del informe sobre las novedades que se han producido en los TWP y el BMT, </w:t>
      </w:r>
      <w:r w:rsidR="00040A61">
        <w:t>según</w:t>
      </w:r>
      <w:r w:rsidR="00832224">
        <w:t xml:space="preserve"> </w:t>
      </w:r>
      <w:r>
        <w:t>se expone en los párrafos 5 al 15 del presente documento;</w:t>
      </w:r>
    </w:p>
    <w:p w:rsidR="006F6237" w:rsidRPr="006F6237" w:rsidRDefault="004F6C1B" w:rsidP="006F6237"/>
    <w:p w:rsidR="006F6237" w:rsidRPr="006F6237" w:rsidRDefault="0046399D" w:rsidP="006F6237">
      <w:r>
        <w:tab/>
        <w:t>b)</w:t>
      </w:r>
      <w:r>
        <w:tab/>
        <w:t>tomar nota de los planes de los Sistemas de semillas de la OCDE de organizar un Taller conjunto entre la OCDE, la UPOV, la ISTA y la AOSA sobre técnicas bioquímicas y moleculares en París (Francia), el 7 y el 8 de junio de 2016;</w:t>
      </w:r>
    </w:p>
    <w:p w:rsidR="006F6237" w:rsidRPr="006F6237" w:rsidRDefault="004F6C1B" w:rsidP="006F6237"/>
    <w:p w:rsidR="006F6237" w:rsidRPr="006F6237" w:rsidRDefault="0046399D" w:rsidP="006F6237">
      <w:r>
        <w:tab/>
        <w:t>c)</w:t>
      </w:r>
      <w:r>
        <w:tab/>
        <w:t>tomar nota de que las observaciones formuladas por la OCDE y la ISTA sobre las características principales de los sistemas de la OCDE, la UPOV y la ISTA se notificarán al TC en su quincuagésima tercera sesión;</w:t>
      </w:r>
    </w:p>
    <w:p w:rsidR="006F6237" w:rsidRPr="006F6237" w:rsidRDefault="004F6C1B" w:rsidP="006F6237"/>
    <w:p w:rsidR="006F6237" w:rsidRPr="006F6237" w:rsidRDefault="0046399D" w:rsidP="006F6237">
      <w:r>
        <w:tab/>
        <w:t>d)</w:t>
      </w:r>
      <w:r>
        <w:tab/>
        <w:t>tomar nota de que las observaciones formuladas por la OCDE y la ISTA sobre la utilización de técnicas basadas en marcadores moleculares, por cultivos, se notificarán al TC en su quincuagésima tercera sesión;</w:t>
      </w:r>
    </w:p>
    <w:p w:rsidR="006F6237" w:rsidRPr="006F6237" w:rsidRDefault="004F6C1B" w:rsidP="006F6237"/>
    <w:p w:rsidR="006F6237" w:rsidRPr="006F6237" w:rsidRDefault="0046399D" w:rsidP="006F6237">
      <w:r>
        <w:tab/>
        <w:t>e)</w:t>
      </w:r>
      <w:r>
        <w:tab/>
        <w:t>tomar nota de que se invitará al BMT, en su decimoquinta reunión, a elaborar una lista de posibles iniciativas conjuntas con la OCDE y la ISTA, que se presentarán al TC en su quincuagésima tercera sesión;  y</w:t>
      </w:r>
    </w:p>
    <w:p w:rsidR="006F6237" w:rsidRPr="006F6237" w:rsidRDefault="004F6C1B" w:rsidP="006F6237"/>
    <w:p w:rsidR="006F6237" w:rsidRPr="006F6237" w:rsidRDefault="0046399D" w:rsidP="006F6237">
      <w:r>
        <w:tab/>
        <w:t>f)</w:t>
      </w:r>
      <w:r>
        <w:tab/>
        <w:t>examinar una propuesta de pregunta y respuesta relativa a la información sobre la situación en la UPOV en lo que respecta al uso de técnicas moleculares, para un público más amplio, que incluya al público en general, según consta en el párrafo 38 de este documento.</w:t>
      </w:r>
    </w:p>
    <w:p w:rsidR="006F6237" w:rsidRPr="006F6237" w:rsidRDefault="004F6C1B" w:rsidP="006F6237"/>
    <w:p w:rsidR="006F6237" w:rsidRPr="006F6237" w:rsidRDefault="0046399D" w:rsidP="006F6237">
      <w:pPr>
        <w:jc w:val="left"/>
      </w:pPr>
      <w:r>
        <w:br w:type="page"/>
      </w:r>
    </w:p>
    <w:p w:rsidR="006F6237" w:rsidRPr="006F6237" w:rsidRDefault="0046399D" w:rsidP="006F6237">
      <w:r>
        <w:lastRenderedPageBreak/>
        <w:t>3.</w:t>
      </w:r>
      <w:r>
        <w:tab/>
        <w:t>En el presente documento se utilizan las abreviaturas siguientes:</w:t>
      </w:r>
    </w:p>
    <w:p w:rsidR="006F6237" w:rsidRPr="006F6237" w:rsidRDefault="004F6C1B" w:rsidP="006F6237">
      <w:pPr>
        <w:keepNext/>
        <w:ind w:left="1692" w:hanging="1125"/>
        <w:jc w:val="left"/>
        <w:rPr>
          <w:color w:val="000000"/>
        </w:rPr>
      </w:pPr>
    </w:p>
    <w:p w:rsidR="006F6237" w:rsidRPr="006F6237" w:rsidRDefault="0046399D" w:rsidP="006F6237">
      <w:pPr>
        <w:keepNext/>
        <w:tabs>
          <w:tab w:val="left" w:pos="567"/>
        </w:tabs>
        <w:ind w:left="1560" w:hanging="993"/>
      </w:pPr>
      <w:r>
        <w:t>BMT:</w:t>
      </w:r>
      <w:r>
        <w:tab/>
        <w:t xml:space="preserve">Grupo de Trabajo sobre Técnicas Bioquímicas y Moleculares, y Perfiles de ADN en particular </w:t>
      </w:r>
    </w:p>
    <w:p w:rsidR="006F6237" w:rsidRPr="006F6237" w:rsidRDefault="0046399D" w:rsidP="006F6237">
      <w:pPr>
        <w:keepNext/>
        <w:tabs>
          <w:tab w:val="left" w:pos="567"/>
        </w:tabs>
        <w:ind w:left="1560" w:hanging="993"/>
      </w:pPr>
      <w:r>
        <w:t>CAJ:</w:t>
      </w:r>
      <w:r>
        <w:tab/>
        <w:t>Comité Administrativo y Jurídico</w:t>
      </w:r>
    </w:p>
    <w:p w:rsidR="006F6237" w:rsidRPr="006F6237" w:rsidRDefault="0046399D" w:rsidP="006F6237">
      <w:pPr>
        <w:keepNext/>
        <w:tabs>
          <w:tab w:val="left" w:pos="567"/>
        </w:tabs>
        <w:ind w:left="1560" w:hanging="993"/>
      </w:pPr>
      <w:r>
        <w:t>TC:</w:t>
      </w:r>
      <w:r>
        <w:tab/>
        <w:t>Comité Técnico</w:t>
      </w:r>
    </w:p>
    <w:p w:rsidR="006F6237" w:rsidRPr="006F6237" w:rsidRDefault="0046399D" w:rsidP="006F6237">
      <w:pPr>
        <w:keepNext/>
        <w:tabs>
          <w:tab w:val="left" w:pos="567"/>
        </w:tabs>
        <w:ind w:left="1560" w:hanging="993"/>
        <w:rPr>
          <w:rFonts w:eastAsia="PMingLiU" w:cs="Arial"/>
          <w:szCs w:val="24"/>
        </w:rPr>
      </w:pPr>
      <w:r>
        <w:t>TC-EDC:</w:t>
      </w:r>
      <w:r>
        <w:tab/>
        <w:t>Comité de Redacción Ampliado</w:t>
      </w:r>
    </w:p>
    <w:p w:rsidR="006F6237" w:rsidRPr="006F6237" w:rsidRDefault="0046399D" w:rsidP="006F6237">
      <w:pPr>
        <w:ind w:left="1560" w:hanging="993"/>
        <w:rPr>
          <w:rFonts w:eastAsia="PMingLiU" w:cs="Arial"/>
          <w:szCs w:val="24"/>
        </w:rPr>
      </w:pPr>
      <w:r>
        <w:t>TWA:</w:t>
      </w:r>
      <w:r>
        <w:tab/>
        <w:t>Grupo de Trabajo Técnico sobre Plantas Agrícolas</w:t>
      </w:r>
    </w:p>
    <w:p w:rsidR="006F6237" w:rsidRPr="006F6237" w:rsidRDefault="0046399D" w:rsidP="006F6237">
      <w:pPr>
        <w:ind w:left="1560" w:hanging="993"/>
        <w:rPr>
          <w:rFonts w:eastAsia="PMingLiU" w:cs="Arial"/>
          <w:szCs w:val="24"/>
        </w:rPr>
      </w:pPr>
      <w:r>
        <w:t>TWC:</w:t>
      </w:r>
      <w:r>
        <w:tab/>
        <w:t>Grupo de Trabajo Técnico sobre Automatización y Programas Informáticos</w:t>
      </w:r>
    </w:p>
    <w:p w:rsidR="006F6237" w:rsidRPr="006F6237" w:rsidRDefault="0046399D" w:rsidP="006F6237">
      <w:pPr>
        <w:ind w:left="1560" w:hanging="993"/>
        <w:rPr>
          <w:rFonts w:eastAsia="PMingLiU" w:cs="Arial"/>
          <w:szCs w:val="24"/>
        </w:rPr>
      </w:pPr>
      <w:r>
        <w:t>TWF:</w:t>
      </w:r>
      <w:r>
        <w:tab/>
        <w:t>Grupo de Trabajo Técnico sobre Plantas Frutales</w:t>
      </w:r>
    </w:p>
    <w:p w:rsidR="006F6237" w:rsidRPr="006F6237" w:rsidRDefault="0046399D" w:rsidP="006F6237">
      <w:pPr>
        <w:ind w:left="1560" w:hanging="993"/>
        <w:rPr>
          <w:rFonts w:eastAsia="PMingLiU" w:cs="Arial"/>
          <w:szCs w:val="24"/>
        </w:rPr>
      </w:pPr>
      <w:r>
        <w:t>TWO:</w:t>
      </w:r>
      <w:r>
        <w:tab/>
        <w:t>Grupo de Trabajo Técnico sobre Plantas Ornamentales y Árboles Forestales</w:t>
      </w:r>
    </w:p>
    <w:p w:rsidR="006F6237" w:rsidRPr="006F6237" w:rsidRDefault="0046399D" w:rsidP="006F6237">
      <w:pPr>
        <w:ind w:left="1560" w:hanging="993"/>
        <w:rPr>
          <w:rFonts w:eastAsia="PMingLiU" w:cs="Arial"/>
          <w:szCs w:val="24"/>
        </w:rPr>
      </w:pPr>
      <w:r>
        <w:t>TWP:</w:t>
      </w:r>
      <w:r>
        <w:tab/>
        <w:t>Grupos de Trabajo Técnico</w:t>
      </w:r>
      <w:r w:rsidR="00221A25">
        <w:t>s</w:t>
      </w:r>
    </w:p>
    <w:p w:rsidR="006F6237" w:rsidRPr="006F6237" w:rsidRDefault="0046399D" w:rsidP="006F6237">
      <w:pPr>
        <w:ind w:left="1560" w:hanging="993"/>
        <w:rPr>
          <w:rFonts w:eastAsia="PMingLiU" w:cs="Arial"/>
          <w:szCs w:val="24"/>
        </w:rPr>
      </w:pPr>
      <w:r>
        <w:t>TWV:</w:t>
      </w:r>
      <w:r>
        <w:tab/>
        <w:t>Grupo de Trabajo Técnico sobre Hortalizas</w:t>
      </w:r>
    </w:p>
    <w:p w:rsidR="006F6237" w:rsidRPr="006F6237" w:rsidRDefault="0046399D" w:rsidP="006F6237">
      <w:pPr>
        <w:ind w:left="1560" w:hanging="993"/>
        <w:rPr>
          <w:rFonts w:eastAsia="PMingLiU" w:cs="Arial"/>
          <w:snapToGrid w:val="0"/>
          <w:szCs w:val="24"/>
        </w:rPr>
      </w:pPr>
      <w:r>
        <w:t>OCDE:</w:t>
      </w:r>
      <w:r>
        <w:tab/>
        <w:t>Organización de Cooperación y Desarrollo Económicos</w:t>
      </w:r>
    </w:p>
    <w:p w:rsidR="006F6237" w:rsidRPr="006F6237" w:rsidRDefault="0046399D" w:rsidP="006F6237">
      <w:pPr>
        <w:ind w:left="1560" w:hanging="993"/>
        <w:rPr>
          <w:rFonts w:eastAsia="PMingLiU" w:cs="Arial"/>
          <w:szCs w:val="24"/>
        </w:rPr>
      </w:pPr>
      <w:r>
        <w:t>ISTA:</w:t>
      </w:r>
      <w:r>
        <w:tab/>
        <w:t>Asociación Internacional para el Ensayo de Semillas</w:t>
      </w:r>
    </w:p>
    <w:p w:rsidR="006F6237" w:rsidRPr="006F6237" w:rsidRDefault="004F6C1B" w:rsidP="006F6237"/>
    <w:p w:rsidR="006F6237" w:rsidRDefault="002C5D94" w:rsidP="006F6237">
      <w:pPr>
        <w:keepNext/>
      </w:pPr>
      <w:r>
        <w:fldChar w:fldCharType="begin"/>
      </w:r>
      <w:r w:rsidR="0046399D">
        <w:instrText xml:space="preserve"> AUTONUM  </w:instrText>
      </w:r>
      <w:r>
        <w:fldChar w:fldCharType="end"/>
      </w:r>
      <w:r w:rsidR="0046399D">
        <w:tab/>
        <w:t xml:space="preserve">El presente documento se estructura del modo siguiente: </w:t>
      </w:r>
    </w:p>
    <w:p w:rsidR="006F6237" w:rsidRPr="006F6237" w:rsidRDefault="004F6C1B" w:rsidP="006F6237">
      <w:pPr>
        <w:keepNext/>
        <w:rPr>
          <w:rFonts w:cs="Arial"/>
          <w:b/>
        </w:rPr>
      </w:pPr>
    </w:p>
    <w:p w:rsidR="005170F1" w:rsidRDefault="002C5D94" w:rsidP="005170F1">
      <w:pPr>
        <w:pStyle w:val="TOC1"/>
        <w:spacing w:before="60" w:after="120"/>
        <w:contextualSpacing w:val="0"/>
        <w:jc w:val="left"/>
        <w:rPr>
          <w:rFonts w:asciiTheme="minorHAnsi" w:eastAsiaTheme="minorEastAsia" w:hAnsiTheme="minorHAnsi" w:cstheme="minorBidi"/>
          <w:caps w:val="0"/>
          <w:noProof/>
          <w:sz w:val="22"/>
          <w:szCs w:val="22"/>
        </w:rPr>
      </w:pPr>
      <w:r>
        <w:rPr>
          <w:rFonts w:eastAsiaTheme="minorEastAsia"/>
          <w:noProof/>
          <w:lang w:val="en-US" w:eastAsia="en-US"/>
        </w:rPr>
        <w:fldChar w:fldCharType="begin"/>
      </w:r>
      <w:r w:rsidR="0046399D" w:rsidRPr="005170F1">
        <w:rPr>
          <w:rFonts w:eastAsiaTheme="minorEastAsia"/>
          <w:noProof/>
          <w:lang w:val="en-US" w:eastAsia="en-US"/>
        </w:rPr>
        <w:instrText xml:space="preserve"> TOC \o "1-3" \h \z \u </w:instrText>
      </w:r>
      <w:r>
        <w:rPr>
          <w:rFonts w:eastAsiaTheme="minorEastAsia"/>
          <w:noProof/>
          <w:lang w:val="en-US" w:eastAsia="en-US"/>
        </w:rPr>
        <w:fldChar w:fldCharType="separate"/>
      </w:r>
      <w:hyperlink w:anchor="_Toc444426162" w:history="1">
        <w:r w:rsidR="005170F1" w:rsidRPr="005170F1">
          <w:rPr>
            <w:rFonts w:eastAsiaTheme="minorEastAsia"/>
            <w:noProof/>
            <w:lang w:val="en-US" w:eastAsia="en-US"/>
          </w:rPr>
          <w:t>Resumen</w:t>
        </w:r>
        <w:r w:rsidR="005170F1">
          <w:rPr>
            <w:noProof/>
            <w:webHidden/>
          </w:rPr>
          <w:tab/>
        </w:r>
        <w:r>
          <w:rPr>
            <w:noProof/>
            <w:webHidden/>
          </w:rPr>
          <w:fldChar w:fldCharType="begin"/>
        </w:r>
        <w:r w:rsidR="005170F1">
          <w:rPr>
            <w:noProof/>
            <w:webHidden/>
          </w:rPr>
          <w:instrText xml:space="preserve"> PAGEREF _Toc444426162 \h </w:instrText>
        </w:r>
        <w:r>
          <w:rPr>
            <w:noProof/>
            <w:webHidden/>
          </w:rPr>
        </w:r>
        <w:r>
          <w:rPr>
            <w:noProof/>
            <w:webHidden/>
          </w:rPr>
          <w:fldChar w:fldCharType="separate"/>
        </w:r>
        <w:r w:rsidR="004F6C1B">
          <w:rPr>
            <w:noProof/>
            <w:webHidden/>
          </w:rPr>
          <w:t>1</w:t>
        </w:r>
        <w:r>
          <w:rPr>
            <w:noProof/>
            <w:webHidden/>
          </w:rPr>
          <w:fldChar w:fldCharType="end"/>
        </w:r>
      </w:hyperlink>
    </w:p>
    <w:p w:rsidR="005170F1" w:rsidRDefault="004F6C1B" w:rsidP="005170F1">
      <w:pPr>
        <w:pStyle w:val="TOC1"/>
        <w:spacing w:before="60" w:after="120"/>
        <w:contextualSpacing w:val="0"/>
        <w:jc w:val="left"/>
        <w:rPr>
          <w:rFonts w:asciiTheme="minorHAnsi" w:eastAsiaTheme="minorEastAsia" w:hAnsiTheme="minorHAnsi" w:cstheme="minorBidi"/>
          <w:caps w:val="0"/>
          <w:noProof/>
          <w:sz w:val="22"/>
          <w:szCs w:val="22"/>
        </w:rPr>
      </w:pPr>
      <w:hyperlink w:anchor="_Toc444426163" w:history="1">
        <w:r w:rsidR="005170F1" w:rsidRPr="00E80A47">
          <w:rPr>
            <w:rStyle w:val="Hyperlink"/>
            <w:noProof/>
          </w:rPr>
          <w:t>Novedades que se han producido en los Grupos de Trabajo Técnico</w:t>
        </w:r>
        <w:r w:rsidR="005170F1">
          <w:rPr>
            <w:noProof/>
            <w:webHidden/>
          </w:rPr>
          <w:tab/>
        </w:r>
        <w:r w:rsidR="002C5D94">
          <w:rPr>
            <w:noProof/>
            <w:webHidden/>
          </w:rPr>
          <w:fldChar w:fldCharType="begin"/>
        </w:r>
        <w:r w:rsidR="005170F1">
          <w:rPr>
            <w:noProof/>
            <w:webHidden/>
          </w:rPr>
          <w:instrText xml:space="preserve"> PAGEREF _Toc444426163 \h </w:instrText>
        </w:r>
        <w:r w:rsidR="002C5D94">
          <w:rPr>
            <w:noProof/>
            <w:webHidden/>
          </w:rPr>
        </w:r>
        <w:r w:rsidR="002C5D94">
          <w:rPr>
            <w:noProof/>
            <w:webHidden/>
          </w:rPr>
          <w:fldChar w:fldCharType="separate"/>
        </w:r>
        <w:r>
          <w:rPr>
            <w:noProof/>
            <w:webHidden/>
          </w:rPr>
          <w:t>2</w:t>
        </w:r>
        <w:r w:rsidR="002C5D94">
          <w:rPr>
            <w:noProof/>
            <w:webHidden/>
          </w:rPr>
          <w:fldChar w:fldCharType="end"/>
        </w:r>
      </w:hyperlink>
    </w:p>
    <w:p w:rsidR="005170F1" w:rsidRDefault="004F6C1B" w:rsidP="005170F1">
      <w:pPr>
        <w:pStyle w:val="TOC1"/>
        <w:spacing w:before="60" w:after="120"/>
        <w:contextualSpacing w:val="0"/>
        <w:jc w:val="left"/>
        <w:rPr>
          <w:rFonts w:asciiTheme="minorHAnsi" w:eastAsiaTheme="minorEastAsia" w:hAnsiTheme="minorHAnsi" w:cstheme="minorBidi"/>
          <w:caps w:val="0"/>
          <w:noProof/>
          <w:sz w:val="22"/>
          <w:szCs w:val="22"/>
        </w:rPr>
      </w:pPr>
      <w:hyperlink w:anchor="_Toc444426164" w:history="1">
        <w:r w:rsidR="005170F1" w:rsidRPr="00E80A47">
          <w:rPr>
            <w:rStyle w:val="Hyperlink"/>
            <w:noProof/>
          </w:rPr>
          <w:t>Grupo de Trabajo sobre Técnicas Bioquímicas y Moleculares, y Perfiles de ADN en particular</w:t>
        </w:r>
        <w:r w:rsidR="005170F1">
          <w:rPr>
            <w:noProof/>
            <w:webHidden/>
          </w:rPr>
          <w:tab/>
        </w:r>
        <w:r w:rsidR="002C5D94">
          <w:rPr>
            <w:noProof/>
            <w:webHidden/>
          </w:rPr>
          <w:fldChar w:fldCharType="begin"/>
        </w:r>
        <w:r w:rsidR="005170F1">
          <w:rPr>
            <w:noProof/>
            <w:webHidden/>
          </w:rPr>
          <w:instrText xml:space="preserve"> PAGEREF _Toc444426164 \h </w:instrText>
        </w:r>
        <w:r w:rsidR="002C5D94">
          <w:rPr>
            <w:noProof/>
            <w:webHidden/>
          </w:rPr>
        </w:r>
        <w:r w:rsidR="002C5D94">
          <w:rPr>
            <w:noProof/>
            <w:webHidden/>
          </w:rPr>
          <w:fldChar w:fldCharType="separate"/>
        </w:r>
        <w:r>
          <w:rPr>
            <w:noProof/>
            <w:webHidden/>
          </w:rPr>
          <w:t>4</w:t>
        </w:r>
        <w:r w:rsidR="002C5D94">
          <w:rPr>
            <w:noProof/>
            <w:webHidden/>
          </w:rPr>
          <w:fldChar w:fldCharType="end"/>
        </w:r>
      </w:hyperlink>
    </w:p>
    <w:p w:rsidR="005170F1" w:rsidRDefault="004F6C1B" w:rsidP="005170F1">
      <w:pPr>
        <w:pStyle w:val="TOC1"/>
        <w:spacing w:before="60" w:after="120"/>
        <w:contextualSpacing w:val="0"/>
        <w:jc w:val="left"/>
        <w:rPr>
          <w:rFonts w:asciiTheme="minorHAnsi" w:eastAsiaTheme="minorEastAsia" w:hAnsiTheme="minorHAnsi" w:cstheme="minorBidi"/>
          <w:caps w:val="0"/>
          <w:noProof/>
          <w:sz w:val="22"/>
          <w:szCs w:val="22"/>
        </w:rPr>
      </w:pPr>
      <w:hyperlink w:anchor="_Toc444426165" w:history="1">
        <w:r w:rsidR="005170F1" w:rsidRPr="00E80A47">
          <w:rPr>
            <w:rStyle w:val="Hyperlink"/>
            <w:noProof/>
          </w:rPr>
          <w:t>TALLER CONJUNTO OCDE-UPOV-ISTA SOBRE TÉCNICAS MOLECULARES</w:t>
        </w:r>
        <w:r w:rsidR="005170F1">
          <w:rPr>
            <w:noProof/>
            <w:webHidden/>
          </w:rPr>
          <w:tab/>
        </w:r>
        <w:r w:rsidR="002C5D94">
          <w:rPr>
            <w:noProof/>
            <w:webHidden/>
          </w:rPr>
          <w:fldChar w:fldCharType="begin"/>
        </w:r>
        <w:r w:rsidR="005170F1">
          <w:rPr>
            <w:noProof/>
            <w:webHidden/>
          </w:rPr>
          <w:instrText xml:space="preserve"> PAGEREF _Toc444426165 \h </w:instrText>
        </w:r>
        <w:r w:rsidR="002C5D94">
          <w:rPr>
            <w:noProof/>
            <w:webHidden/>
          </w:rPr>
        </w:r>
        <w:r w:rsidR="002C5D94">
          <w:rPr>
            <w:noProof/>
            <w:webHidden/>
          </w:rPr>
          <w:fldChar w:fldCharType="separate"/>
        </w:r>
        <w:r>
          <w:rPr>
            <w:noProof/>
            <w:webHidden/>
          </w:rPr>
          <w:t>4</w:t>
        </w:r>
        <w:r w:rsidR="002C5D94">
          <w:rPr>
            <w:noProof/>
            <w:webHidden/>
          </w:rPr>
          <w:fldChar w:fldCharType="end"/>
        </w:r>
      </w:hyperlink>
    </w:p>
    <w:p w:rsidR="005170F1" w:rsidRPr="005170F1" w:rsidRDefault="004F6C1B" w:rsidP="005170F1">
      <w:pPr>
        <w:pStyle w:val="TOC2"/>
        <w:spacing w:before="0" w:after="120"/>
        <w:ind w:left="284" w:right="283" w:firstLine="0"/>
        <w:contextualSpacing w:val="0"/>
        <w:rPr>
          <w:rFonts w:eastAsiaTheme="minorEastAsia"/>
          <w:smallCaps w:val="0"/>
          <w:noProof/>
          <w:lang w:val="en-US" w:eastAsia="en-US"/>
        </w:rPr>
      </w:pPr>
      <w:hyperlink w:anchor="_Toc444426166" w:history="1">
        <w:r w:rsidR="005170F1" w:rsidRPr="005170F1">
          <w:rPr>
            <w:rFonts w:eastAsiaTheme="minorEastAsia"/>
            <w:smallCaps w:val="0"/>
            <w:noProof/>
            <w:lang w:val="en-US" w:eastAsia="en-US"/>
          </w:rPr>
          <w:t>Antecedentes</w:t>
        </w:r>
        <w:r w:rsidR="005170F1" w:rsidRPr="005170F1">
          <w:rPr>
            <w:rFonts w:eastAsiaTheme="minorEastAsia"/>
            <w:smallCaps w:val="0"/>
            <w:noProof/>
            <w:webHidden/>
            <w:lang w:val="en-US" w:eastAsia="en-US"/>
          </w:rPr>
          <w:tab/>
        </w:r>
        <w:r w:rsidR="002C5D94" w:rsidRPr="005170F1">
          <w:rPr>
            <w:rFonts w:eastAsiaTheme="minorEastAsia"/>
            <w:smallCaps w:val="0"/>
            <w:noProof/>
            <w:webHidden/>
            <w:lang w:val="en-US" w:eastAsia="en-US"/>
          </w:rPr>
          <w:fldChar w:fldCharType="begin"/>
        </w:r>
        <w:r w:rsidR="005170F1" w:rsidRPr="005170F1">
          <w:rPr>
            <w:rFonts w:eastAsiaTheme="minorEastAsia"/>
            <w:smallCaps w:val="0"/>
            <w:noProof/>
            <w:webHidden/>
            <w:lang w:val="en-US" w:eastAsia="en-US"/>
          </w:rPr>
          <w:instrText xml:space="preserve"> PAGEREF _Toc444426166 \h </w:instrText>
        </w:r>
        <w:r w:rsidR="002C5D94" w:rsidRPr="005170F1">
          <w:rPr>
            <w:rFonts w:eastAsiaTheme="minorEastAsia"/>
            <w:smallCaps w:val="0"/>
            <w:noProof/>
            <w:webHidden/>
            <w:lang w:val="en-US" w:eastAsia="en-US"/>
          </w:rPr>
        </w:r>
        <w:r w:rsidR="002C5D94" w:rsidRPr="005170F1">
          <w:rPr>
            <w:rFonts w:eastAsiaTheme="minorEastAsia"/>
            <w:smallCaps w:val="0"/>
            <w:noProof/>
            <w:webHidden/>
            <w:lang w:val="en-US" w:eastAsia="en-US"/>
          </w:rPr>
          <w:fldChar w:fldCharType="separate"/>
        </w:r>
        <w:r>
          <w:rPr>
            <w:rFonts w:eastAsiaTheme="minorEastAsia"/>
            <w:smallCaps w:val="0"/>
            <w:noProof/>
            <w:webHidden/>
            <w:lang w:val="en-US" w:eastAsia="en-US"/>
          </w:rPr>
          <w:t>4</w:t>
        </w:r>
        <w:r w:rsidR="002C5D94" w:rsidRPr="005170F1">
          <w:rPr>
            <w:rFonts w:eastAsiaTheme="minorEastAsia"/>
            <w:smallCaps w:val="0"/>
            <w:noProof/>
            <w:webHidden/>
            <w:lang w:val="en-US" w:eastAsia="en-US"/>
          </w:rPr>
          <w:fldChar w:fldCharType="end"/>
        </w:r>
      </w:hyperlink>
    </w:p>
    <w:p w:rsidR="005170F1" w:rsidRPr="005170F1" w:rsidRDefault="004F6C1B" w:rsidP="005170F1">
      <w:pPr>
        <w:pStyle w:val="TOC2"/>
        <w:spacing w:before="0" w:after="120"/>
        <w:ind w:left="284" w:right="283" w:firstLine="0"/>
        <w:contextualSpacing w:val="0"/>
        <w:rPr>
          <w:rFonts w:eastAsiaTheme="minorEastAsia"/>
          <w:smallCaps w:val="0"/>
          <w:noProof/>
          <w:lang w:val="en-US" w:eastAsia="en-US"/>
        </w:rPr>
      </w:pPr>
      <w:hyperlink w:anchor="_Toc444426167" w:history="1">
        <w:r w:rsidR="005170F1" w:rsidRPr="005170F1">
          <w:rPr>
            <w:rFonts w:eastAsiaTheme="minorEastAsia"/>
            <w:smallCaps w:val="0"/>
            <w:noProof/>
            <w:lang w:val="en-US" w:eastAsia="en-US"/>
          </w:rPr>
          <w:t>Taller conjunto OCDE-UPOV-ISTA sobre técnicas moleculares en las reuniones pertinentes de la OCDE y la ISTA</w:t>
        </w:r>
        <w:r w:rsidR="005170F1" w:rsidRPr="005170F1">
          <w:rPr>
            <w:rFonts w:eastAsiaTheme="minorEastAsia"/>
            <w:smallCaps w:val="0"/>
            <w:noProof/>
            <w:webHidden/>
            <w:lang w:val="en-US" w:eastAsia="en-US"/>
          </w:rPr>
          <w:tab/>
        </w:r>
        <w:r w:rsidR="002C5D94" w:rsidRPr="005170F1">
          <w:rPr>
            <w:rFonts w:eastAsiaTheme="minorEastAsia"/>
            <w:smallCaps w:val="0"/>
            <w:noProof/>
            <w:webHidden/>
            <w:lang w:val="en-US" w:eastAsia="en-US"/>
          </w:rPr>
          <w:fldChar w:fldCharType="begin"/>
        </w:r>
        <w:r w:rsidR="005170F1" w:rsidRPr="005170F1">
          <w:rPr>
            <w:rFonts w:eastAsiaTheme="minorEastAsia"/>
            <w:smallCaps w:val="0"/>
            <w:noProof/>
            <w:webHidden/>
            <w:lang w:val="en-US" w:eastAsia="en-US"/>
          </w:rPr>
          <w:instrText xml:space="preserve"> PAGEREF _Toc444426167 \h </w:instrText>
        </w:r>
        <w:r w:rsidR="002C5D94" w:rsidRPr="005170F1">
          <w:rPr>
            <w:rFonts w:eastAsiaTheme="minorEastAsia"/>
            <w:smallCaps w:val="0"/>
            <w:noProof/>
            <w:webHidden/>
            <w:lang w:val="en-US" w:eastAsia="en-US"/>
          </w:rPr>
        </w:r>
        <w:r w:rsidR="002C5D94" w:rsidRPr="005170F1">
          <w:rPr>
            <w:rFonts w:eastAsiaTheme="minorEastAsia"/>
            <w:smallCaps w:val="0"/>
            <w:noProof/>
            <w:webHidden/>
            <w:lang w:val="en-US" w:eastAsia="en-US"/>
          </w:rPr>
          <w:fldChar w:fldCharType="separate"/>
        </w:r>
        <w:r>
          <w:rPr>
            <w:rFonts w:eastAsiaTheme="minorEastAsia"/>
            <w:smallCaps w:val="0"/>
            <w:noProof/>
            <w:webHidden/>
            <w:lang w:val="en-US" w:eastAsia="en-US"/>
          </w:rPr>
          <w:t>5</w:t>
        </w:r>
        <w:r w:rsidR="002C5D94" w:rsidRPr="005170F1">
          <w:rPr>
            <w:rFonts w:eastAsiaTheme="minorEastAsia"/>
            <w:smallCaps w:val="0"/>
            <w:noProof/>
            <w:webHidden/>
            <w:lang w:val="en-US" w:eastAsia="en-US"/>
          </w:rPr>
          <w:fldChar w:fldCharType="end"/>
        </w:r>
      </w:hyperlink>
    </w:p>
    <w:p w:rsidR="005170F1" w:rsidRPr="005170F1" w:rsidRDefault="004F6C1B" w:rsidP="005170F1">
      <w:pPr>
        <w:pStyle w:val="TOC2"/>
        <w:spacing w:before="0" w:after="120"/>
        <w:ind w:left="284" w:right="283" w:firstLine="0"/>
        <w:contextualSpacing w:val="0"/>
        <w:rPr>
          <w:rFonts w:eastAsiaTheme="minorEastAsia"/>
          <w:smallCaps w:val="0"/>
          <w:noProof/>
          <w:lang w:val="en-US" w:eastAsia="en-US"/>
        </w:rPr>
      </w:pPr>
      <w:hyperlink w:anchor="_Toc444426168" w:history="1">
        <w:r w:rsidR="005170F1" w:rsidRPr="005170F1">
          <w:rPr>
            <w:rFonts w:eastAsiaTheme="minorEastAsia"/>
            <w:smallCaps w:val="0"/>
            <w:noProof/>
            <w:lang w:val="en-US" w:eastAsia="en-US"/>
          </w:rPr>
          <w:t>Características principales de los sistemas de la OCDE, la UPOV y la ISTA</w:t>
        </w:r>
        <w:r w:rsidR="005170F1" w:rsidRPr="005170F1">
          <w:rPr>
            <w:rFonts w:eastAsiaTheme="minorEastAsia"/>
            <w:smallCaps w:val="0"/>
            <w:noProof/>
            <w:webHidden/>
            <w:lang w:val="en-US" w:eastAsia="en-US"/>
          </w:rPr>
          <w:tab/>
        </w:r>
        <w:r w:rsidR="002C5D94" w:rsidRPr="005170F1">
          <w:rPr>
            <w:rFonts w:eastAsiaTheme="minorEastAsia"/>
            <w:smallCaps w:val="0"/>
            <w:noProof/>
            <w:webHidden/>
            <w:lang w:val="en-US" w:eastAsia="en-US"/>
          </w:rPr>
          <w:fldChar w:fldCharType="begin"/>
        </w:r>
        <w:r w:rsidR="005170F1" w:rsidRPr="005170F1">
          <w:rPr>
            <w:rFonts w:eastAsiaTheme="minorEastAsia"/>
            <w:smallCaps w:val="0"/>
            <w:noProof/>
            <w:webHidden/>
            <w:lang w:val="en-US" w:eastAsia="en-US"/>
          </w:rPr>
          <w:instrText xml:space="preserve"> PAGEREF _Toc444426168 \h </w:instrText>
        </w:r>
        <w:r w:rsidR="002C5D94" w:rsidRPr="005170F1">
          <w:rPr>
            <w:rFonts w:eastAsiaTheme="minorEastAsia"/>
            <w:smallCaps w:val="0"/>
            <w:noProof/>
            <w:webHidden/>
            <w:lang w:val="en-US" w:eastAsia="en-US"/>
          </w:rPr>
        </w:r>
        <w:r w:rsidR="002C5D94" w:rsidRPr="005170F1">
          <w:rPr>
            <w:rFonts w:eastAsiaTheme="minorEastAsia"/>
            <w:smallCaps w:val="0"/>
            <w:noProof/>
            <w:webHidden/>
            <w:lang w:val="en-US" w:eastAsia="en-US"/>
          </w:rPr>
          <w:fldChar w:fldCharType="separate"/>
        </w:r>
        <w:r>
          <w:rPr>
            <w:rFonts w:eastAsiaTheme="minorEastAsia"/>
            <w:smallCaps w:val="0"/>
            <w:noProof/>
            <w:webHidden/>
            <w:lang w:val="en-US" w:eastAsia="en-US"/>
          </w:rPr>
          <w:t>5</w:t>
        </w:r>
        <w:r w:rsidR="002C5D94" w:rsidRPr="005170F1">
          <w:rPr>
            <w:rFonts w:eastAsiaTheme="minorEastAsia"/>
            <w:smallCaps w:val="0"/>
            <w:noProof/>
            <w:webHidden/>
            <w:lang w:val="en-US" w:eastAsia="en-US"/>
          </w:rPr>
          <w:fldChar w:fldCharType="end"/>
        </w:r>
      </w:hyperlink>
    </w:p>
    <w:p w:rsidR="005170F1" w:rsidRPr="005170F1" w:rsidRDefault="004F6C1B" w:rsidP="005170F1">
      <w:pPr>
        <w:pStyle w:val="TOC2"/>
        <w:spacing w:before="0" w:after="120"/>
        <w:ind w:left="284" w:right="283" w:firstLine="0"/>
        <w:contextualSpacing w:val="0"/>
        <w:rPr>
          <w:rFonts w:eastAsiaTheme="minorEastAsia"/>
          <w:smallCaps w:val="0"/>
          <w:noProof/>
          <w:lang w:val="en-US" w:eastAsia="en-US"/>
        </w:rPr>
      </w:pPr>
      <w:hyperlink w:anchor="_Toc444426169" w:history="1">
        <w:r w:rsidR="005170F1" w:rsidRPr="005170F1">
          <w:rPr>
            <w:rFonts w:eastAsiaTheme="minorEastAsia"/>
            <w:smallCaps w:val="0"/>
            <w:noProof/>
            <w:lang w:val="en-US" w:eastAsia="en-US"/>
          </w:rPr>
          <w:t>Inventario sobre la utilización de técnicas basadas en marcadores moleculares</w:t>
        </w:r>
        <w:r w:rsidR="005170F1" w:rsidRPr="005170F1">
          <w:rPr>
            <w:rFonts w:eastAsiaTheme="minorEastAsia"/>
            <w:smallCaps w:val="0"/>
            <w:noProof/>
            <w:webHidden/>
            <w:lang w:val="en-US" w:eastAsia="en-US"/>
          </w:rPr>
          <w:tab/>
        </w:r>
        <w:r w:rsidR="002C5D94" w:rsidRPr="005170F1">
          <w:rPr>
            <w:rFonts w:eastAsiaTheme="minorEastAsia"/>
            <w:smallCaps w:val="0"/>
            <w:noProof/>
            <w:webHidden/>
            <w:lang w:val="en-US" w:eastAsia="en-US"/>
          </w:rPr>
          <w:fldChar w:fldCharType="begin"/>
        </w:r>
        <w:r w:rsidR="005170F1" w:rsidRPr="005170F1">
          <w:rPr>
            <w:rFonts w:eastAsiaTheme="minorEastAsia"/>
            <w:smallCaps w:val="0"/>
            <w:noProof/>
            <w:webHidden/>
            <w:lang w:val="en-US" w:eastAsia="en-US"/>
          </w:rPr>
          <w:instrText xml:space="preserve"> PAGEREF _Toc444426169 \h </w:instrText>
        </w:r>
        <w:r w:rsidR="002C5D94" w:rsidRPr="005170F1">
          <w:rPr>
            <w:rFonts w:eastAsiaTheme="minorEastAsia"/>
            <w:smallCaps w:val="0"/>
            <w:noProof/>
            <w:webHidden/>
            <w:lang w:val="en-US" w:eastAsia="en-US"/>
          </w:rPr>
        </w:r>
        <w:r w:rsidR="002C5D94" w:rsidRPr="005170F1">
          <w:rPr>
            <w:rFonts w:eastAsiaTheme="minorEastAsia"/>
            <w:smallCaps w:val="0"/>
            <w:noProof/>
            <w:webHidden/>
            <w:lang w:val="en-US" w:eastAsia="en-US"/>
          </w:rPr>
          <w:fldChar w:fldCharType="separate"/>
        </w:r>
        <w:r>
          <w:rPr>
            <w:rFonts w:eastAsiaTheme="minorEastAsia"/>
            <w:smallCaps w:val="0"/>
            <w:noProof/>
            <w:webHidden/>
            <w:lang w:val="en-US" w:eastAsia="en-US"/>
          </w:rPr>
          <w:t>5</w:t>
        </w:r>
        <w:r w:rsidR="002C5D94" w:rsidRPr="005170F1">
          <w:rPr>
            <w:rFonts w:eastAsiaTheme="minorEastAsia"/>
            <w:smallCaps w:val="0"/>
            <w:noProof/>
            <w:webHidden/>
            <w:lang w:val="en-US" w:eastAsia="en-US"/>
          </w:rPr>
          <w:fldChar w:fldCharType="end"/>
        </w:r>
      </w:hyperlink>
    </w:p>
    <w:p w:rsidR="005170F1" w:rsidRPr="005170F1" w:rsidRDefault="004F6C1B" w:rsidP="005170F1">
      <w:pPr>
        <w:pStyle w:val="TOC2"/>
        <w:spacing w:before="0" w:after="120"/>
        <w:ind w:left="284" w:right="283" w:firstLine="0"/>
        <w:contextualSpacing w:val="0"/>
        <w:rPr>
          <w:rFonts w:eastAsiaTheme="minorEastAsia"/>
          <w:smallCaps w:val="0"/>
          <w:noProof/>
          <w:lang w:val="en-US" w:eastAsia="en-US"/>
        </w:rPr>
      </w:pPr>
      <w:hyperlink w:anchor="_Toc444426170" w:history="1">
        <w:r w:rsidR="005170F1" w:rsidRPr="005170F1">
          <w:rPr>
            <w:rFonts w:eastAsiaTheme="minorEastAsia"/>
            <w:smallCaps w:val="0"/>
            <w:noProof/>
            <w:lang w:val="en-US" w:eastAsia="en-US"/>
          </w:rPr>
          <w:t>Listas de posibles iniciativas conjuntas con la OCDE y la ISTA</w:t>
        </w:r>
        <w:r w:rsidR="005170F1" w:rsidRPr="005170F1">
          <w:rPr>
            <w:rFonts w:eastAsiaTheme="minorEastAsia"/>
            <w:smallCaps w:val="0"/>
            <w:noProof/>
            <w:webHidden/>
            <w:lang w:val="en-US" w:eastAsia="en-US"/>
          </w:rPr>
          <w:tab/>
        </w:r>
        <w:r w:rsidR="002C5D94" w:rsidRPr="005170F1">
          <w:rPr>
            <w:rFonts w:eastAsiaTheme="minorEastAsia"/>
            <w:smallCaps w:val="0"/>
            <w:noProof/>
            <w:webHidden/>
            <w:lang w:val="en-US" w:eastAsia="en-US"/>
          </w:rPr>
          <w:fldChar w:fldCharType="begin"/>
        </w:r>
        <w:r w:rsidR="005170F1" w:rsidRPr="005170F1">
          <w:rPr>
            <w:rFonts w:eastAsiaTheme="minorEastAsia"/>
            <w:smallCaps w:val="0"/>
            <w:noProof/>
            <w:webHidden/>
            <w:lang w:val="en-US" w:eastAsia="en-US"/>
          </w:rPr>
          <w:instrText xml:space="preserve"> PAGEREF _Toc444426170 \h </w:instrText>
        </w:r>
        <w:r w:rsidR="002C5D94" w:rsidRPr="005170F1">
          <w:rPr>
            <w:rFonts w:eastAsiaTheme="minorEastAsia"/>
            <w:smallCaps w:val="0"/>
            <w:noProof/>
            <w:webHidden/>
            <w:lang w:val="en-US" w:eastAsia="en-US"/>
          </w:rPr>
        </w:r>
        <w:r w:rsidR="002C5D94" w:rsidRPr="005170F1">
          <w:rPr>
            <w:rFonts w:eastAsiaTheme="minorEastAsia"/>
            <w:smallCaps w:val="0"/>
            <w:noProof/>
            <w:webHidden/>
            <w:lang w:val="en-US" w:eastAsia="en-US"/>
          </w:rPr>
          <w:fldChar w:fldCharType="separate"/>
        </w:r>
        <w:r>
          <w:rPr>
            <w:rFonts w:eastAsiaTheme="minorEastAsia"/>
            <w:smallCaps w:val="0"/>
            <w:noProof/>
            <w:webHidden/>
            <w:lang w:val="en-US" w:eastAsia="en-US"/>
          </w:rPr>
          <w:t>6</w:t>
        </w:r>
        <w:r w:rsidR="002C5D94" w:rsidRPr="005170F1">
          <w:rPr>
            <w:rFonts w:eastAsiaTheme="minorEastAsia"/>
            <w:smallCaps w:val="0"/>
            <w:noProof/>
            <w:webHidden/>
            <w:lang w:val="en-US" w:eastAsia="en-US"/>
          </w:rPr>
          <w:fldChar w:fldCharType="end"/>
        </w:r>
      </w:hyperlink>
    </w:p>
    <w:p w:rsidR="005170F1" w:rsidRDefault="004F6C1B" w:rsidP="005170F1">
      <w:pPr>
        <w:pStyle w:val="TOC1"/>
        <w:spacing w:before="60" w:after="120"/>
        <w:contextualSpacing w:val="0"/>
        <w:jc w:val="left"/>
        <w:rPr>
          <w:rFonts w:asciiTheme="minorHAnsi" w:eastAsiaTheme="minorEastAsia" w:hAnsiTheme="minorHAnsi" w:cstheme="minorBidi"/>
          <w:caps w:val="0"/>
          <w:noProof/>
          <w:sz w:val="22"/>
          <w:szCs w:val="22"/>
        </w:rPr>
      </w:pPr>
      <w:hyperlink w:anchor="_Toc444426171" w:history="1">
        <w:r w:rsidR="005170F1" w:rsidRPr="00E80A47">
          <w:rPr>
            <w:rStyle w:val="Hyperlink"/>
            <w:noProof/>
          </w:rPr>
          <w:t xml:space="preserve">Presentación </w:t>
        </w:r>
        <w:r w:rsidR="005170F1" w:rsidRPr="005170F1">
          <w:rPr>
            <w:rFonts w:eastAsiaTheme="minorEastAsia"/>
            <w:noProof/>
            <w:lang w:val="en-US" w:eastAsia="en-US"/>
          </w:rPr>
          <w:t>de</w:t>
        </w:r>
        <w:r w:rsidR="005170F1" w:rsidRPr="00E80A47">
          <w:rPr>
            <w:rStyle w:val="Hyperlink"/>
            <w:noProof/>
          </w:rPr>
          <w:t xml:space="preserve"> información sobre la situación en la UPOV en lo que respecta al uso de técnicas moleculares</w:t>
        </w:r>
        <w:r w:rsidR="005170F1">
          <w:rPr>
            <w:noProof/>
            <w:webHidden/>
          </w:rPr>
          <w:tab/>
        </w:r>
        <w:r w:rsidR="002C5D94">
          <w:rPr>
            <w:noProof/>
            <w:webHidden/>
          </w:rPr>
          <w:fldChar w:fldCharType="begin"/>
        </w:r>
        <w:r w:rsidR="005170F1">
          <w:rPr>
            <w:noProof/>
            <w:webHidden/>
          </w:rPr>
          <w:instrText xml:space="preserve"> PAGEREF _Toc444426171 \h </w:instrText>
        </w:r>
        <w:r w:rsidR="002C5D94">
          <w:rPr>
            <w:noProof/>
            <w:webHidden/>
          </w:rPr>
        </w:r>
        <w:r w:rsidR="002C5D94">
          <w:rPr>
            <w:noProof/>
            <w:webHidden/>
          </w:rPr>
          <w:fldChar w:fldCharType="separate"/>
        </w:r>
        <w:r>
          <w:rPr>
            <w:noProof/>
            <w:webHidden/>
          </w:rPr>
          <w:t>6</w:t>
        </w:r>
        <w:r w:rsidR="002C5D94">
          <w:rPr>
            <w:noProof/>
            <w:webHidden/>
          </w:rPr>
          <w:fldChar w:fldCharType="end"/>
        </w:r>
      </w:hyperlink>
    </w:p>
    <w:p w:rsidR="005170F1" w:rsidRDefault="004F6C1B" w:rsidP="005170F1">
      <w:pPr>
        <w:pStyle w:val="TOC2"/>
        <w:spacing w:before="0" w:after="120"/>
        <w:ind w:left="284" w:right="283" w:firstLine="0"/>
        <w:contextualSpacing w:val="0"/>
        <w:rPr>
          <w:rFonts w:asciiTheme="minorHAnsi" w:eastAsiaTheme="minorEastAsia" w:hAnsiTheme="minorHAnsi" w:cstheme="minorBidi"/>
          <w:smallCaps w:val="0"/>
          <w:noProof/>
          <w:sz w:val="22"/>
          <w:szCs w:val="22"/>
        </w:rPr>
      </w:pPr>
      <w:hyperlink w:anchor="_Toc444426172" w:history="1">
        <w:r w:rsidR="005170F1" w:rsidRPr="005170F1">
          <w:rPr>
            <w:rFonts w:eastAsiaTheme="minorEastAsia"/>
            <w:smallCaps w:val="0"/>
            <w:noProof/>
            <w:lang w:val="en-US" w:eastAsia="en-US"/>
          </w:rPr>
          <w:t>Antecedentes</w:t>
        </w:r>
        <w:r w:rsidR="005170F1">
          <w:rPr>
            <w:noProof/>
            <w:webHidden/>
          </w:rPr>
          <w:tab/>
        </w:r>
        <w:r w:rsidR="002C5D94">
          <w:rPr>
            <w:noProof/>
            <w:webHidden/>
          </w:rPr>
          <w:fldChar w:fldCharType="begin"/>
        </w:r>
        <w:r w:rsidR="005170F1">
          <w:rPr>
            <w:noProof/>
            <w:webHidden/>
          </w:rPr>
          <w:instrText xml:space="preserve"> PAGEREF _Toc444426172 \h </w:instrText>
        </w:r>
        <w:r w:rsidR="002C5D94">
          <w:rPr>
            <w:noProof/>
            <w:webHidden/>
          </w:rPr>
        </w:r>
        <w:r w:rsidR="002C5D94">
          <w:rPr>
            <w:noProof/>
            <w:webHidden/>
          </w:rPr>
          <w:fldChar w:fldCharType="separate"/>
        </w:r>
        <w:r>
          <w:rPr>
            <w:noProof/>
            <w:webHidden/>
          </w:rPr>
          <w:t>6</w:t>
        </w:r>
        <w:r w:rsidR="002C5D94">
          <w:rPr>
            <w:noProof/>
            <w:webHidden/>
          </w:rPr>
          <w:fldChar w:fldCharType="end"/>
        </w:r>
      </w:hyperlink>
    </w:p>
    <w:p w:rsidR="005170F1" w:rsidRDefault="004F6C1B" w:rsidP="005170F1">
      <w:pPr>
        <w:pStyle w:val="TOC2"/>
        <w:spacing w:before="0" w:after="120"/>
        <w:ind w:left="284" w:right="283" w:firstLine="0"/>
        <w:contextualSpacing w:val="0"/>
        <w:rPr>
          <w:rFonts w:asciiTheme="minorHAnsi" w:eastAsiaTheme="minorEastAsia" w:hAnsiTheme="minorHAnsi" w:cstheme="minorBidi"/>
          <w:smallCaps w:val="0"/>
          <w:noProof/>
          <w:sz w:val="22"/>
          <w:szCs w:val="22"/>
        </w:rPr>
      </w:pPr>
      <w:hyperlink w:anchor="_Toc444426173" w:history="1">
        <w:r w:rsidR="005170F1" w:rsidRPr="005170F1">
          <w:rPr>
            <w:rFonts w:eastAsiaTheme="minorEastAsia"/>
            <w:smallCaps w:val="0"/>
            <w:noProof/>
            <w:lang w:val="en-US" w:eastAsia="en-US"/>
          </w:rPr>
          <w:t>Observaciones formuladas por los Grupos de Trabajo Técnico en 2015</w:t>
        </w:r>
        <w:r w:rsidR="005170F1">
          <w:rPr>
            <w:noProof/>
            <w:webHidden/>
          </w:rPr>
          <w:tab/>
        </w:r>
        <w:r w:rsidR="002C5D94">
          <w:rPr>
            <w:noProof/>
            <w:webHidden/>
          </w:rPr>
          <w:fldChar w:fldCharType="begin"/>
        </w:r>
        <w:r w:rsidR="005170F1">
          <w:rPr>
            <w:noProof/>
            <w:webHidden/>
          </w:rPr>
          <w:instrText xml:space="preserve"> PAGEREF _Toc444426173 \h </w:instrText>
        </w:r>
        <w:r w:rsidR="002C5D94">
          <w:rPr>
            <w:noProof/>
            <w:webHidden/>
          </w:rPr>
        </w:r>
        <w:r w:rsidR="002C5D94">
          <w:rPr>
            <w:noProof/>
            <w:webHidden/>
          </w:rPr>
          <w:fldChar w:fldCharType="separate"/>
        </w:r>
        <w:r>
          <w:rPr>
            <w:noProof/>
            <w:webHidden/>
          </w:rPr>
          <w:t>7</w:t>
        </w:r>
        <w:r w:rsidR="002C5D94">
          <w:rPr>
            <w:noProof/>
            <w:webHidden/>
          </w:rPr>
          <w:fldChar w:fldCharType="end"/>
        </w:r>
      </w:hyperlink>
    </w:p>
    <w:p w:rsidR="005170F1" w:rsidRDefault="004F6C1B" w:rsidP="005170F1">
      <w:pPr>
        <w:pStyle w:val="TOC2"/>
        <w:spacing w:before="0" w:after="120"/>
        <w:ind w:left="284" w:right="283" w:firstLine="0"/>
        <w:contextualSpacing w:val="0"/>
        <w:rPr>
          <w:rFonts w:asciiTheme="minorHAnsi" w:eastAsiaTheme="minorEastAsia" w:hAnsiTheme="minorHAnsi" w:cstheme="minorBidi"/>
          <w:smallCaps w:val="0"/>
          <w:noProof/>
          <w:sz w:val="22"/>
          <w:szCs w:val="22"/>
        </w:rPr>
      </w:pPr>
      <w:hyperlink w:anchor="_Toc444426174" w:history="1">
        <w:r w:rsidR="005170F1" w:rsidRPr="005170F1">
          <w:rPr>
            <w:rFonts w:eastAsiaTheme="minorEastAsia"/>
            <w:smallCaps w:val="0"/>
            <w:noProof/>
            <w:lang w:val="en-US" w:eastAsia="en-US"/>
          </w:rPr>
          <w:t>Observaciones formuladas por el TC</w:t>
        </w:r>
        <w:r w:rsidR="005170F1" w:rsidRPr="005170F1">
          <w:rPr>
            <w:rFonts w:eastAsiaTheme="minorEastAsia"/>
            <w:smallCaps w:val="0"/>
            <w:noProof/>
            <w:lang w:val="en-US" w:eastAsia="en-US"/>
          </w:rPr>
          <w:noBreakHyphen/>
          <w:t>EDC</w:t>
        </w:r>
        <w:r w:rsidR="005170F1">
          <w:rPr>
            <w:noProof/>
            <w:webHidden/>
          </w:rPr>
          <w:tab/>
        </w:r>
        <w:r w:rsidR="002C5D94">
          <w:rPr>
            <w:noProof/>
            <w:webHidden/>
          </w:rPr>
          <w:fldChar w:fldCharType="begin"/>
        </w:r>
        <w:r w:rsidR="005170F1">
          <w:rPr>
            <w:noProof/>
            <w:webHidden/>
          </w:rPr>
          <w:instrText xml:space="preserve"> PAGEREF _Toc444426174 \h </w:instrText>
        </w:r>
        <w:r w:rsidR="002C5D94">
          <w:rPr>
            <w:noProof/>
            <w:webHidden/>
          </w:rPr>
        </w:r>
        <w:r w:rsidR="002C5D94">
          <w:rPr>
            <w:noProof/>
            <w:webHidden/>
          </w:rPr>
          <w:fldChar w:fldCharType="separate"/>
        </w:r>
        <w:r>
          <w:rPr>
            <w:noProof/>
            <w:webHidden/>
          </w:rPr>
          <w:t>7</w:t>
        </w:r>
        <w:r w:rsidR="002C5D94">
          <w:rPr>
            <w:noProof/>
            <w:webHidden/>
          </w:rPr>
          <w:fldChar w:fldCharType="end"/>
        </w:r>
      </w:hyperlink>
    </w:p>
    <w:p w:rsidR="006F6237" w:rsidRPr="006F6237" w:rsidRDefault="002C5D94" w:rsidP="006F6237">
      <w:pPr>
        <w:tabs>
          <w:tab w:val="right" w:leader="dot" w:pos="9639"/>
        </w:tabs>
        <w:spacing w:before="60" w:after="120"/>
        <w:jc w:val="left"/>
      </w:pPr>
      <w:r>
        <w:rPr>
          <w:b/>
        </w:rPr>
        <w:fldChar w:fldCharType="end"/>
      </w:r>
    </w:p>
    <w:p w:rsidR="006F6237" w:rsidRPr="006F6237" w:rsidRDefault="004F6C1B" w:rsidP="005513CE">
      <w:pPr>
        <w:rPr>
          <w:rFonts w:eastAsia="MS Mincho"/>
          <w:snapToGrid w:val="0"/>
        </w:rPr>
      </w:pPr>
    </w:p>
    <w:p w:rsidR="006F6237" w:rsidRPr="006F6237" w:rsidRDefault="0046399D" w:rsidP="005513CE">
      <w:pPr>
        <w:outlineLvl w:val="0"/>
        <w:rPr>
          <w:caps/>
          <w:snapToGrid w:val="0"/>
        </w:rPr>
      </w:pPr>
      <w:bookmarkStart w:id="7" w:name="_Toc410822402"/>
      <w:bookmarkStart w:id="8" w:name="_Toc410822806"/>
      <w:bookmarkStart w:id="9" w:name="_Toc410823313"/>
      <w:bookmarkStart w:id="10" w:name="_Toc410899581"/>
      <w:bookmarkStart w:id="11" w:name="_Toc444099793"/>
      <w:bookmarkStart w:id="12" w:name="_Toc444426163"/>
      <w:r>
        <w:rPr>
          <w:caps/>
        </w:rPr>
        <w:t>Novedades que se han producido en los Grupos de Trabajo Técnico</w:t>
      </w:r>
      <w:bookmarkEnd w:id="7"/>
      <w:bookmarkEnd w:id="8"/>
      <w:bookmarkEnd w:id="9"/>
      <w:bookmarkEnd w:id="10"/>
      <w:bookmarkEnd w:id="11"/>
      <w:bookmarkEnd w:id="12"/>
    </w:p>
    <w:p w:rsidR="006F6237" w:rsidRPr="006F6237" w:rsidRDefault="004F6C1B" w:rsidP="005513CE">
      <w:pPr>
        <w:rPr>
          <w:rFonts w:eastAsia="MS Mincho"/>
          <w:snapToGrid w:val="0"/>
        </w:rPr>
      </w:pPr>
    </w:p>
    <w:p w:rsidR="006F6237" w:rsidRPr="006F6237" w:rsidRDefault="002C5D94" w:rsidP="005513CE">
      <w:pPr>
        <w:rPr>
          <w:snapToGrid w:val="0"/>
          <w:color w:val="000000"/>
        </w:rPr>
      </w:pPr>
      <w:r>
        <w:fldChar w:fldCharType="begin"/>
      </w:r>
      <w:r w:rsidR="0046399D">
        <w:instrText xml:space="preserve"> AUTONUM  </w:instrText>
      </w:r>
      <w:r>
        <w:fldChar w:fldCharType="end"/>
      </w:r>
      <w:r w:rsidR="0046399D">
        <w:tab/>
        <w:t xml:space="preserve">En sus sesiones de 2015, el TWV, el TWC, el TWA, el TWF y el TWO </w:t>
      </w:r>
      <w:r w:rsidR="0046399D">
        <w:rPr>
          <w:color w:val="000000"/>
        </w:rPr>
        <w:t>examinaron los documentos TWV/49/2, TWC/33/2, TWA/44/2, TWF/46/2 y TWO/48/2</w:t>
      </w:r>
      <w:r w:rsidR="0046399D">
        <w:rPr>
          <w:rFonts w:cs="Arial"/>
          <w:color w:val="000000"/>
          <w:cs/>
        </w:rPr>
        <w:t xml:space="preserve"> “</w:t>
      </w:r>
      <w:r w:rsidR="0046399D">
        <w:rPr>
          <w:i/>
          <w:color w:val="000000"/>
        </w:rPr>
        <w:t>Molecular Techniques</w:t>
      </w:r>
      <w:r w:rsidR="0046399D">
        <w:rPr>
          <w:rFonts w:cs="Arial"/>
          <w:color w:val="000000"/>
          <w:cs/>
        </w:rPr>
        <w:t xml:space="preserve">” </w:t>
      </w:r>
      <w:r w:rsidR="0046399D">
        <w:rPr>
          <w:color w:val="000000"/>
        </w:rPr>
        <w:t>(Técnicas moleculares), respectivamente.</w:t>
      </w:r>
    </w:p>
    <w:p w:rsidR="006F6237" w:rsidRPr="006F6237" w:rsidRDefault="004F6C1B" w:rsidP="005513CE">
      <w:pPr>
        <w:rPr>
          <w:color w:val="000000"/>
        </w:rPr>
      </w:pPr>
    </w:p>
    <w:p w:rsidR="006F6237" w:rsidRPr="006F6237" w:rsidRDefault="002C5D94" w:rsidP="005513CE">
      <w:r>
        <w:fldChar w:fldCharType="begin"/>
      </w:r>
      <w:r w:rsidR="0046399D">
        <w:instrText xml:space="preserve"> AUTONUM  </w:instrText>
      </w:r>
      <w:r>
        <w:fldChar w:fldCharType="end"/>
      </w:r>
      <w:r w:rsidR="0046399D">
        <w:tab/>
        <w:t>El TWV, el TWC, el TWA, el TWF y el TWO tomaron nota de:</w:t>
      </w:r>
    </w:p>
    <w:p w:rsidR="006F6237" w:rsidRPr="006F6237" w:rsidRDefault="004F6C1B" w:rsidP="005513CE"/>
    <w:p w:rsidR="006F6237" w:rsidRPr="006F6237" w:rsidRDefault="0046399D" w:rsidP="006F6237">
      <w:r>
        <w:tab/>
        <w:t>a)</w:t>
      </w:r>
      <w:r>
        <w:tab/>
        <w:t>las novedades relativas al Grupo de Trabajo sobre Técnicas Bioquímicas y Moleculares, y Perfiles de ADN en particular (BMT);</w:t>
      </w:r>
    </w:p>
    <w:p w:rsidR="006F6237" w:rsidRPr="006F6237" w:rsidRDefault="004F6C1B" w:rsidP="006F6237"/>
    <w:p w:rsidR="006F6237" w:rsidRPr="006F6237" w:rsidRDefault="0046399D" w:rsidP="006F6237">
      <w:r>
        <w:tab/>
        <w:t>b)</w:t>
      </w:r>
      <w:r>
        <w:tab/>
        <w:t>que el TC, en su quincuagésima primera sesión, celebrada en Ginebra del 23 al 25 de marzo de 2015, había acordado elaborar un documento conjunto en el que se expli</w:t>
      </w:r>
      <w:r w:rsidR="001340E5">
        <w:t>que</w:t>
      </w:r>
      <w:r>
        <w:t>n las características principales de los sistemas de la OCDE, la UPOV y la ISTA;</w:t>
      </w:r>
    </w:p>
    <w:p w:rsidR="006F6237" w:rsidRPr="006F6237" w:rsidRDefault="004F6C1B" w:rsidP="006F6237"/>
    <w:p w:rsidR="006F6237" w:rsidRPr="006F6237" w:rsidRDefault="0046399D" w:rsidP="006F6237">
      <w:r>
        <w:tab/>
        <w:t>c)</w:t>
      </w:r>
      <w:r>
        <w:tab/>
        <w:t>que el TC, en su quincuagésima primera sesión, había acordado realizar un inventario sobre la utilización de técnicas basadas en marcadores moleculares, por cultivos, con objeto de elaborar un documento conjunto de la UPOV, la OCDE y la ISTA en el que figur</w:t>
      </w:r>
      <w:r w:rsidR="00DC4FB2">
        <w:t>e</w:t>
      </w:r>
      <w:r>
        <w:t xml:space="preserve"> dicha información en un formato </w:t>
      </w:r>
      <w:r>
        <w:lastRenderedPageBreak/>
        <w:t>similar al del documento UPOV/INF/16</w:t>
      </w:r>
      <w:r>
        <w:rPr>
          <w:rFonts w:cs="Arial"/>
          <w:cs/>
        </w:rPr>
        <w:t xml:space="preserve"> “</w:t>
      </w:r>
      <w:r>
        <w:t>Programas informáticos para intercambio</w:t>
      </w:r>
      <w:r>
        <w:rPr>
          <w:rFonts w:cs="Arial"/>
          <w:cs/>
        </w:rPr>
        <w:t>”</w:t>
      </w:r>
      <w:r>
        <w:t>, con sujeción a la aprobación por el Consejo y en coordinación con la OCDE y la ISTA;</w:t>
      </w:r>
    </w:p>
    <w:p w:rsidR="006F6237" w:rsidRPr="006F6237" w:rsidRDefault="004F6C1B" w:rsidP="006F6237"/>
    <w:p w:rsidR="006F6237" w:rsidRDefault="0046399D" w:rsidP="006F6237">
      <w:r>
        <w:tab/>
        <w:t>d)</w:t>
      </w:r>
      <w:r>
        <w:tab/>
        <w:t xml:space="preserve">que el TC, en su quincuagésima primera sesión, había aprobado la propuesta de que, en su decimoquinta reunión, </w:t>
      </w:r>
      <w:r w:rsidR="00315E4B">
        <w:t xml:space="preserve">el BMT </w:t>
      </w:r>
      <w:r>
        <w:t>elabore listas de posibles iniciativas conjuntas con la OCDE y la ISTA relacionadas con las técnicas moleculares a fin de que las examine el TC;  y</w:t>
      </w:r>
    </w:p>
    <w:p w:rsidR="00130DDF" w:rsidRPr="006F6237" w:rsidRDefault="00130DDF" w:rsidP="006F6237"/>
    <w:p w:rsidR="006F6237" w:rsidRPr="006F6237" w:rsidRDefault="0046399D" w:rsidP="006F6237">
      <w:r>
        <w:tab/>
        <w:t>e)</w:t>
      </w:r>
      <w:r>
        <w:tab/>
        <w:t xml:space="preserve">que </w:t>
      </w:r>
      <w:r w:rsidR="00603948">
        <w:t xml:space="preserve">en </w:t>
      </w:r>
      <w:r>
        <w:t xml:space="preserve">el Taller conjunto OCDE-UPOV-ISTA sobre técnicas moleculares </w:t>
      </w:r>
      <w:r w:rsidR="00603948">
        <w:t xml:space="preserve">se </w:t>
      </w:r>
      <w:r>
        <w:t>convino en que sería útil repetir e</w:t>
      </w:r>
      <w:r w:rsidR="00603948">
        <w:t>ste</w:t>
      </w:r>
      <w:r>
        <w:t xml:space="preserve"> taller conjunto en las reuniones pertinentes de la OCDE y la ISTA y, a este respecto, que </w:t>
      </w:r>
      <w:r w:rsidR="00603948">
        <w:t xml:space="preserve">en </w:t>
      </w:r>
      <w:r>
        <w:t xml:space="preserve">la reunión del </w:t>
      </w:r>
      <w:r w:rsidR="00393B3C">
        <w:t>G</w:t>
      </w:r>
      <w:r>
        <w:t xml:space="preserve">rupo de trabajo técnico de los </w:t>
      </w:r>
      <w:r w:rsidR="00393B3C">
        <w:t>S</w:t>
      </w:r>
      <w:r>
        <w:t xml:space="preserve">istemas de semillas de la OCDE </w:t>
      </w:r>
      <w:r w:rsidR="00603948">
        <w:t xml:space="preserve">se </w:t>
      </w:r>
      <w:r>
        <w:t xml:space="preserve">acordó que se organice otro Taller conjunto OCDE-UPOV-ISTA sobre técnicas moleculares, ya sea de manera consecutiva a la reunión anual de los sistemas de semillas de la OCDE o paralela a la reunión del </w:t>
      </w:r>
      <w:r w:rsidR="00393B3C">
        <w:t>g</w:t>
      </w:r>
      <w:r>
        <w:t xml:space="preserve">rupo de </w:t>
      </w:r>
      <w:r w:rsidR="00393B3C">
        <w:t>t</w:t>
      </w:r>
      <w:r>
        <w:t xml:space="preserve">rabajo </w:t>
      </w:r>
      <w:r w:rsidR="00393B3C">
        <w:t>t</w:t>
      </w:r>
      <w:r>
        <w:t>écnico de la OCDE.</w:t>
      </w:r>
    </w:p>
    <w:p w:rsidR="006F6237" w:rsidRPr="006F6237" w:rsidRDefault="004F6C1B" w:rsidP="006F6237">
      <w:pPr>
        <w:rPr>
          <w:snapToGrid w:val="0"/>
        </w:rPr>
      </w:pPr>
    </w:p>
    <w:p w:rsidR="006F6237" w:rsidRPr="006F6237" w:rsidRDefault="002C5D94" w:rsidP="006F6237">
      <w:pPr>
        <w:rPr>
          <w:snapToGrid w:val="0"/>
        </w:rPr>
      </w:pPr>
      <w:r>
        <w:fldChar w:fldCharType="begin"/>
      </w:r>
      <w:r w:rsidR="0046399D">
        <w:instrText xml:space="preserve"> AUTONUM  </w:instrText>
      </w:r>
      <w:r>
        <w:fldChar w:fldCharType="end"/>
      </w:r>
      <w:r w:rsidR="0046399D">
        <w:tab/>
        <w:t xml:space="preserve">En su trigésima tercera sesión, celebrada en Natal (Brasil) del 30 de junio al 2 de julio de 2015, el TWC tomó nota de un informe verbal del Sr. Kees van Ettekoven, Presidente del BMT, en el que se pusieron de relieve las novedades en materia de técnicas </w:t>
      </w:r>
      <w:r w:rsidR="0046399D">
        <w:rPr>
          <w:spacing w:val="-2"/>
        </w:rPr>
        <w:t>moleculares presentadas en la decimocuarta reunión del BMT, celebr</w:t>
      </w:r>
      <w:r w:rsidR="00663D1C">
        <w:rPr>
          <w:spacing w:val="-2"/>
        </w:rPr>
        <w:t>ada</w:t>
      </w:r>
      <w:r w:rsidR="0046399D">
        <w:rPr>
          <w:spacing w:val="-2"/>
        </w:rPr>
        <w:t xml:space="preserve"> en Seúl (República de Corea) del 10 al 13 de noviembre de 2014, en especial:  las ponencias presentadas por la República de Corea (véase el documento BMT/14/16 Rev. 2</w:t>
      </w:r>
      <w:r w:rsidR="0046399D">
        <w:rPr>
          <w:rFonts w:cs="Arial"/>
          <w:spacing w:val="-2"/>
          <w:cs/>
        </w:rPr>
        <w:t xml:space="preserve"> </w:t>
      </w:r>
      <w:r w:rsidR="0046399D">
        <w:rPr>
          <w:rFonts w:cs="Arial"/>
          <w:cs/>
        </w:rPr>
        <w:t>“</w:t>
      </w:r>
      <w:r w:rsidR="0046399D">
        <w:rPr>
          <w:i/>
        </w:rPr>
        <w:t xml:space="preserve">Use of Molecular Marker Techniques for Selection of </w:t>
      </w:r>
      <w:r w:rsidR="0046399D">
        <w:rPr>
          <w:rFonts w:cs="Arial"/>
          <w:i/>
          <w:cs/>
        </w:rPr>
        <w:t>‘</w:t>
      </w:r>
      <w:r w:rsidR="0046399D">
        <w:rPr>
          <w:i/>
        </w:rPr>
        <w:t>Similar Variety</w:t>
      </w:r>
      <w:r w:rsidR="0046399D">
        <w:rPr>
          <w:rFonts w:cs="Arial"/>
          <w:i/>
          <w:cs/>
        </w:rPr>
        <w:t xml:space="preserve">’ </w:t>
      </w:r>
      <w:r w:rsidR="0046399D">
        <w:rPr>
          <w:i/>
        </w:rPr>
        <w:t xml:space="preserve">about </w:t>
      </w:r>
      <w:r w:rsidR="0046399D">
        <w:rPr>
          <w:rFonts w:cs="Arial"/>
          <w:i/>
          <w:cs/>
        </w:rPr>
        <w:t>‘</w:t>
      </w:r>
      <w:r w:rsidR="0046399D">
        <w:rPr>
          <w:i/>
        </w:rPr>
        <w:t>Candidate Variety</w:t>
      </w:r>
      <w:r w:rsidR="0046399D">
        <w:rPr>
          <w:rFonts w:cs="Arial"/>
          <w:cs/>
        </w:rPr>
        <w:t xml:space="preserve">” </w:t>
      </w:r>
      <w:r w:rsidR="0046399D">
        <w:t xml:space="preserve">(Uso de técnicas basadas en marcadores moleculares para la selección de </w:t>
      </w:r>
      <w:r w:rsidR="0046399D">
        <w:rPr>
          <w:rFonts w:cs="Arial"/>
          <w:cs/>
        </w:rPr>
        <w:t>‘</w:t>
      </w:r>
      <w:r w:rsidR="0046399D">
        <w:t>variedades similares</w:t>
      </w:r>
      <w:r w:rsidR="0046399D">
        <w:rPr>
          <w:rFonts w:cs="Arial"/>
          <w:cs/>
        </w:rPr>
        <w:t xml:space="preserve">’ </w:t>
      </w:r>
      <w:r w:rsidR="0046399D">
        <w:t xml:space="preserve">a una </w:t>
      </w:r>
      <w:r w:rsidR="0046399D">
        <w:rPr>
          <w:rFonts w:cs="Arial"/>
          <w:cs/>
        </w:rPr>
        <w:t>‘</w:t>
      </w:r>
      <w:r w:rsidR="0046399D">
        <w:t>variedad candidata</w:t>
      </w:r>
      <w:r w:rsidR="0046399D">
        <w:rPr>
          <w:rFonts w:cs="Arial"/>
          <w:cs/>
        </w:rPr>
        <w:t>’</w:t>
      </w:r>
      <w:r w:rsidR="0046399D">
        <w:t>)</w:t>
      </w:r>
      <w:r w:rsidR="000E0368">
        <w:t>,</w:t>
      </w:r>
      <w:r w:rsidR="0046399D">
        <w:t xml:space="preserve"> los Estados Unidos de América (véanse los documentos BMT/14/5 y BMT/14/5 Add. </w:t>
      </w:r>
      <w:r w:rsidR="0046399D">
        <w:rPr>
          <w:rFonts w:cs="Arial"/>
          <w:cs/>
        </w:rPr>
        <w:t>“</w:t>
      </w:r>
      <w:r w:rsidR="0046399D">
        <w:rPr>
          <w:i/>
        </w:rPr>
        <w:t>The Use of Reference Varieties in Varietal Distinctness: An Approach under Investigation in the United States of America for Potential Application in Plant Variety Protection</w:t>
      </w:r>
      <w:r w:rsidR="0046399D">
        <w:rPr>
          <w:rFonts w:cs="Arial"/>
          <w:cs/>
        </w:rPr>
        <w:t xml:space="preserve">” </w:t>
      </w:r>
      <w:r w:rsidR="0046399D">
        <w:t>(Utilización de variedades de referencia en la distinción de variedades:  un método en investigación en los Estados Unidos de América para su posible aplicación en la protección de las obtenciones vegetales)</w:t>
      </w:r>
      <w:r w:rsidR="000E0368">
        <w:t>,</w:t>
      </w:r>
      <w:r w:rsidR="0046399D">
        <w:t xml:space="preserve"> los Países Bajos (véase el documento BMT/14/11</w:t>
      </w:r>
      <w:r w:rsidR="0046399D">
        <w:rPr>
          <w:rFonts w:cs="Arial"/>
          <w:cs/>
        </w:rPr>
        <w:t xml:space="preserve"> “</w:t>
      </w:r>
      <w:r w:rsidR="0046399D">
        <w:rPr>
          <w:i/>
        </w:rPr>
        <w:t>Ownership and Use of DUS Samples and of DNA and DNA Data During and After the DUS Tests</w:t>
      </w:r>
      <w:r w:rsidR="0046399D">
        <w:rPr>
          <w:rFonts w:cs="Arial"/>
          <w:i/>
          <w:cs/>
        </w:rPr>
        <w:t>”</w:t>
      </w:r>
      <w:r w:rsidR="0046399D">
        <w:rPr>
          <w:rFonts w:cs="Arial"/>
          <w:cs/>
        </w:rPr>
        <w:t xml:space="preserve"> </w:t>
      </w:r>
      <w:r w:rsidR="0046399D">
        <w:t>(Propiedad y uso de las muestras del examen DHE y del ADN y los datos sobre el ADN durante los exámenes DHE y posteriormente)</w:t>
      </w:r>
      <w:r w:rsidR="000E0368">
        <w:t>,</w:t>
      </w:r>
      <w:r w:rsidR="0046399D">
        <w:t xml:space="preserve"> y </w:t>
      </w:r>
      <w:r w:rsidR="00663D1C">
        <w:t>sobre la</w:t>
      </w:r>
      <w:r w:rsidR="0046399D">
        <w:t xml:space="preserve"> cooperación entre la UPOV, la OCDE y la ISTA en el ámbito de las técnicas moleculares (véase el párrafo 110 del documento TWC/33/30</w:t>
      </w:r>
      <w:r w:rsidR="0046399D">
        <w:rPr>
          <w:rFonts w:cs="Arial"/>
          <w:cs/>
        </w:rPr>
        <w:t xml:space="preserve"> “</w:t>
      </w:r>
      <w:r w:rsidR="0046399D">
        <w:rPr>
          <w:i/>
        </w:rPr>
        <w:t>Report</w:t>
      </w:r>
      <w:r w:rsidR="0046399D">
        <w:rPr>
          <w:rFonts w:cs="Arial"/>
          <w:cs/>
        </w:rPr>
        <w:t xml:space="preserve">” </w:t>
      </w:r>
      <w:r w:rsidR="0046399D">
        <w:t>(Informe)).</w:t>
      </w:r>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 xml:space="preserve">En su cuadragésima sexta sesión, celebrada en Mpumalanga (Sudáfrica) del 24 </w:t>
      </w:r>
      <w:r w:rsidR="00663D1C">
        <w:t>al 28 de agosto de 2015, el TWF</w:t>
      </w:r>
      <w:r w:rsidR="0046399D">
        <w:t xml:space="preserve"> tomó nota de que muchos miembros de la UPOV estaban utilizando técnicas basadas en marcadores moleculares para la identificación de variedades y que estas técnicas eran un instrumento importante a los efectos de la </w:t>
      </w:r>
      <w:r w:rsidR="00A62BAD">
        <w:t>defensa</w:t>
      </w:r>
      <w:r w:rsidR="0046399D">
        <w:t xml:space="preserve"> del derecho de obtentor.  El TWF convino en que sería útil </w:t>
      </w:r>
      <w:r w:rsidR="00510F32">
        <w:t>dar a conocer</w:t>
      </w:r>
      <w:r w:rsidR="0046399D">
        <w:t xml:space="preserve"> a un público más amplio que las técnicas basadas en marcadores moleculares se utilizan </w:t>
      </w:r>
      <w:r w:rsidR="00663D1C">
        <w:t>de forma generalizada</w:t>
      </w:r>
      <w:r w:rsidR="0046399D">
        <w:t xml:space="preserve"> en el contexto de los derechos de obtentor para identificar variedades y defender dichos derechos (véanse los párrafos 73 a 75 del documento TWF/46/29 Rev. </w:t>
      </w:r>
      <w:r w:rsidR="0046399D">
        <w:rPr>
          <w:rFonts w:cs="Arial"/>
          <w:cs/>
        </w:rPr>
        <w:t>“</w:t>
      </w:r>
      <w:r w:rsidR="0046399D">
        <w:rPr>
          <w:i/>
        </w:rPr>
        <w:t>Revised Report</w:t>
      </w:r>
      <w:r w:rsidR="0046399D">
        <w:rPr>
          <w:rFonts w:cs="Arial"/>
          <w:cs/>
        </w:rPr>
        <w:t xml:space="preserve">” </w:t>
      </w:r>
      <w:r w:rsidR="0046399D">
        <w:t xml:space="preserve">(Informe revisado)). </w:t>
      </w:r>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El TWF tomó nota de que Francia ha estado utilizando las distancias moleculares junto con la distancia fenotípica para optimizar el tamaño de los ensayos de plantas frutales desde 2000.  El TWF convino en que los marcadores m</w:t>
      </w:r>
      <w:r w:rsidR="002B6685">
        <w:t>oleculares también proporciona</w:t>
      </w:r>
      <w:r w:rsidR="00BF0924">
        <w:t>ba</w:t>
      </w:r>
      <w:r w:rsidR="0046399D">
        <w:t>n información útil sobre las especies de las q</w:t>
      </w:r>
      <w:r w:rsidR="009567A3">
        <w:t>ue las autoridades no conserva</w:t>
      </w:r>
      <w:r w:rsidR="00BF0924">
        <w:t>ba</w:t>
      </w:r>
      <w:r w:rsidR="0046399D">
        <w:t>n muestras patrón del material vivo.</w:t>
      </w:r>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 xml:space="preserve">El TWF tomó nota de que, los obtentores solicitan a las autoridades </w:t>
      </w:r>
      <w:r w:rsidR="00A62BAD">
        <w:t xml:space="preserve">de muchos miembros de la UPOV </w:t>
      </w:r>
      <w:r w:rsidR="0046399D">
        <w:t>que acepten la información obtenida mediante marcadores moleculares con las solicitudes de derechos de obtentor.  El TWF tomó nota de que las autoridades no exigían la información obtenida mediante marcadores moleculares con las solicitudes de derechos de obtentor, aunque algunas la aceptaban como información complementaria.  El TWF tomó nota de la preocupación expresada por algunos miembros acerca de las cuestiones relativas a la confidencialidad de la información obtenida mediante marcadores moleculares y a la posibilidad de que esa información se pusiera a disposición del público.</w:t>
      </w:r>
      <w:r w:rsidR="007C1A8F">
        <w:t xml:space="preserve">  </w:t>
      </w:r>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En su cuadragésima octava sesión, celebrada en Cambridge (Reino Unido) del 14 al 18 de septiembre de 2015, el TWO tomó nota de que algunos obtentores proporcionaban información obtenida mediante marcadores moleculares con sus solicitudes de derecho de obtentor y convinieron en que su relación con el material empleado en el examen DHE no se consideraría demostrada, a no ser que las autoridades validaran esa información (véase el párrafo 81 del documento TWO/48/26</w:t>
      </w:r>
      <w:r w:rsidR="0046399D">
        <w:rPr>
          <w:rFonts w:cs="Arial"/>
          <w:cs/>
        </w:rPr>
        <w:t xml:space="preserve"> “</w:t>
      </w:r>
      <w:r w:rsidR="0046399D" w:rsidRPr="009E624D">
        <w:rPr>
          <w:i/>
        </w:rPr>
        <w:t>Report</w:t>
      </w:r>
      <w:r w:rsidR="0046399D">
        <w:rPr>
          <w:rFonts w:cs="Arial"/>
          <w:cs/>
        </w:rPr>
        <w:t>”</w:t>
      </w:r>
      <w:r w:rsidR="0046399D">
        <w:t>).</w:t>
      </w:r>
      <w:r w:rsidR="007C1A8F">
        <w:t xml:space="preserve">  </w:t>
      </w:r>
    </w:p>
    <w:p w:rsidR="006F6237" w:rsidRPr="006F6237" w:rsidRDefault="004F6C1B" w:rsidP="006F6237"/>
    <w:p w:rsidR="006F6237" w:rsidRPr="006F6237" w:rsidRDefault="004F6C1B" w:rsidP="006F6237"/>
    <w:p w:rsidR="006F6237" w:rsidRPr="006F6237" w:rsidRDefault="0046399D" w:rsidP="006F6237">
      <w:pPr>
        <w:keepNext/>
        <w:outlineLvl w:val="0"/>
        <w:rPr>
          <w:caps/>
        </w:rPr>
      </w:pPr>
      <w:bookmarkStart w:id="13" w:name="_Toc410822403"/>
      <w:bookmarkStart w:id="14" w:name="_Toc410822807"/>
      <w:bookmarkStart w:id="15" w:name="_Toc410823314"/>
      <w:bookmarkStart w:id="16" w:name="_Toc410899582"/>
      <w:bookmarkStart w:id="17" w:name="_Toc444099794"/>
      <w:bookmarkStart w:id="18" w:name="_Toc444426164"/>
      <w:r>
        <w:rPr>
          <w:caps/>
        </w:rPr>
        <w:t>Grupo de Trabajo sobre Técnicas Bioquímicas y Moleculares, y Perfiles de ADN en particular</w:t>
      </w:r>
      <w:bookmarkEnd w:id="13"/>
      <w:bookmarkEnd w:id="14"/>
      <w:bookmarkEnd w:id="15"/>
      <w:bookmarkEnd w:id="16"/>
      <w:bookmarkEnd w:id="17"/>
      <w:bookmarkEnd w:id="18"/>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La función del BMT se reproduce en el Anexo I del presente documento.</w:t>
      </w:r>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En su decimocuarta reunión celebrada en Seúl (República de Corea) del 10 al 13 de noviembre de 2014, el BMT aceptó la invitación de la Federación de Rusia de celebrar su decimoquinta reunión en Moscú</w:t>
      </w:r>
      <w:r w:rsidR="00215E3C">
        <w:t xml:space="preserve"> en mayo de 2016, precedida de </w:t>
      </w:r>
      <w:r w:rsidR="0046399D">
        <w:t>un taller preparatorio</w:t>
      </w:r>
      <w:r w:rsidR="00215E3C">
        <w:t xml:space="preserve"> ese mismo mes</w:t>
      </w:r>
      <w:r w:rsidR="0046399D">
        <w:t>.  El BMT tenía previsto debatir los puntos siguientes:</w:t>
      </w:r>
    </w:p>
    <w:p w:rsidR="006F6237" w:rsidRPr="006F6237" w:rsidRDefault="004F6C1B" w:rsidP="006F6237">
      <w:pPr>
        <w:ind w:left="540" w:right="369"/>
      </w:pPr>
    </w:p>
    <w:p w:rsidR="006F6237" w:rsidRPr="006F6237" w:rsidRDefault="0046399D" w:rsidP="006F6237">
      <w:pPr>
        <w:ind w:left="1134" w:hanging="567"/>
      </w:pPr>
      <w:r>
        <w:t>1.</w:t>
      </w:r>
      <w:r>
        <w:tab/>
        <w:t xml:space="preserve">Apertura de la sesión </w:t>
      </w:r>
    </w:p>
    <w:p w:rsidR="006F6237" w:rsidRPr="006F6237" w:rsidRDefault="0046399D" w:rsidP="006F6237">
      <w:pPr>
        <w:ind w:left="1134" w:hanging="567"/>
      </w:pPr>
      <w:r>
        <w:t>2.</w:t>
      </w:r>
      <w:r>
        <w:tab/>
        <w:t>Aprobación del orden del día</w:t>
      </w:r>
    </w:p>
    <w:p w:rsidR="006F6237" w:rsidRPr="006F6237" w:rsidRDefault="0046399D" w:rsidP="006F6237">
      <w:pPr>
        <w:ind w:left="1134" w:hanging="567"/>
      </w:pPr>
      <w:r>
        <w:t>3.</w:t>
      </w:r>
      <w:r>
        <w:tab/>
        <w:t>Informe sobre las novedades acaecidas en la UPOV en relación con las técnicas bioquímicas y moleculares</w:t>
      </w:r>
    </w:p>
    <w:p w:rsidR="006F6237" w:rsidRPr="006F6237" w:rsidRDefault="0046399D" w:rsidP="006F6237">
      <w:pPr>
        <w:ind w:left="1134" w:hanging="567"/>
      </w:pPr>
      <w:r>
        <w:t>4.</w:t>
      </w:r>
      <w:r>
        <w:tab/>
        <w:t xml:space="preserve">Breves ponencias sobre los avances en las técnicas bioquímicas y moleculares a cargo de expertos en el examen DHE, especialistas en técnicas bioquímicas y moleculares, y obtentores y organizaciones internacionales pertinentes </w:t>
      </w:r>
    </w:p>
    <w:p w:rsidR="006F6237" w:rsidRPr="006F6237" w:rsidRDefault="0046399D" w:rsidP="006F6237">
      <w:pPr>
        <w:ind w:left="1134" w:hanging="567"/>
      </w:pPr>
      <w:r>
        <w:t>5.</w:t>
      </w:r>
      <w:r>
        <w:tab/>
        <w:t>Informe sobre la labor relativa a las técnicas moleculares en relación con el examen DHE</w:t>
      </w:r>
    </w:p>
    <w:p w:rsidR="006F6237" w:rsidRPr="006F6237" w:rsidRDefault="0046399D" w:rsidP="006F6237">
      <w:pPr>
        <w:ind w:left="1134" w:hanging="567"/>
      </w:pPr>
      <w:r>
        <w:t>6.</w:t>
      </w:r>
      <w:r>
        <w:tab/>
        <w:t>Directrices internacionales sobre metodologías moleculares</w:t>
      </w:r>
    </w:p>
    <w:p w:rsidR="006F6237" w:rsidRPr="006F6237" w:rsidRDefault="0046399D" w:rsidP="006F6237">
      <w:pPr>
        <w:ind w:left="1134" w:hanging="567"/>
      </w:pPr>
      <w:r>
        <w:t>7.</w:t>
      </w:r>
      <w:r>
        <w:tab/>
        <w:t>Bases de datos de descripciones de variedades</w:t>
      </w:r>
    </w:p>
    <w:p w:rsidR="006F6237" w:rsidRPr="006F6237" w:rsidRDefault="0046399D" w:rsidP="006F6237">
      <w:pPr>
        <w:ind w:left="1134" w:hanging="567"/>
      </w:pPr>
      <w:r>
        <w:t>8.</w:t>
      </w:r>
      <w:r>
        <w:tab/>
        <w:t xml:space="preserve">Métodos de análisis de datos moleculares </w:t>
      </w:r>
    </w:p>
    <w:p w:rsidR="006F6237" w:rsidRPr="006F6237" w:rsidRDefault="0046399D" w:rsidP="006F6237">
      <w:pPr>
        <w:ind w:left="1134" w:hanging="567"/>
      </w:pPr>
      <w:r>
        <w:t>9.</w:t>
      </w:r>
      <w:r>
        <w:tab/>
        <w:t>La utilización de técnicas moleculares en el examen de las variedades esencialmente derivadas</w:t>
      </w:r>
      <w:r w:rsidR="007C1A8F">
        <w:t xml:space="preserve">  </w:t>
      </w:r>
    </w:p>
    <w:p w:rsidR="006F6237" w:rsidRPr="006F6237" w:rsidRDefault="0046399D" w:rsidP="006F6237">
      <w:pPr>
        <w:ind w:left="1134" w:hanging="567"/>
      </w:pPr>
      <w:r>
        <w:t>10.</w:t>
      </w:r>
      <w:r>
        <w:tab/>
        <w:t>La utilización de técnicas moleculares en la identificación de variedades1</w:t>
      </w:r>
    </w:p>
    <w:p w:rsidR="006F6237" w:rsidRPr="006F6237" w:rsidRDefault="0046399D" w:rsidP="006F6237">
      <w:pPr>
        <w:ind w:left="1134" w:hanging="567"/>
      </w:pPr>
      <w:r>
        <w:t>11.</w:t>
      </w:r>
      <w:r>
        <w:tab/>
        <w:t>La cooperación entre la OCDE, la UPOV, la ISTA y la ISO</w:t>
      </w:r>
    </w:p>
    <w:p w:rsidR="006F6237" w:rsidRPr="006F6237" w:rsidRDefault="0046399D" w:rsidP="006F6237">
      <w:pPr>
        <w:ind w:left="1134" w:hanging="567"/>
      </w:pPr>
      <w:r>
        <w:t>12.</w:t>
      </w:r>
      <w:r>
        <w:tab/>
        <w:t>Fecha y lugar de la siguiente reunión</w:t>
      </w:r>
    </w:p>
    <w:p w:rsidR="006F6237" w:rsidRPr="006F6237" w:rsidRDefault="0046399D" w:rsidP="006F6237">
      <w:pPr>
        <w:ind w:left="1134" w:hanging="567"/>
      </w:pPr>
      <w:r>
        <w:t>13.</w:t>
      </w:r>
      <w:r>
        <w:tab/>
        <w:t>Futuro programa</w:t>
      </w:r>
    </w:p>
    <w:p w:rsidR="006F6237" w:rsidRPr="006F6237" w:rsidRDefault="0046399D" w:rsidP="006F6237">
      <w:pPr>
        <w:ind w:left="1134" w:hanging="567"/>
      </w:pPr>
      <w:r>
        <w:t>14.</w:t>
      </w:r>
      <w:r>
        <w:tab/>
        <w:t>Informe de la reunión (si se dispone de tiempo)</w:t>
      </w:r>
    </w:p>
    <w:p w:rsidR="006F6237" w:rsidRPr="006F6237" w:rsidRDefault="0046399D" w:rsidP="006F6237">
      <w:pPr>
        <w:ind w:left="1134" w:hanging="567"/>
      </w:pPr>
      <w:r>
        <w:t>15.</w:t>
      </w:r>
      <w:r>
        <w:tab/>
        <w:t>Clausura de la sesión</w:t>
      </w:r>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En su quincuagésima primera sesión celebrada en Ginebra del 23 al 25 de marzo de 2015, el TC aprobó el programa de la decimoquinta reunión del BMT, que se celebrará en 2016, en la que se dedicará una fecha concreta (</w:t>
      </w:r>
      <w:r w:rsidR="0046399D">
        <w:rPr>
          <w:rFonts w:cs="Arial"/>
          <w:cs/>
        </w:rPr>
        <w:t>“</w:t>
      </w:r>
      <w:r w:rsidR="0046399D">
        <w:t>Día del obtentor</w:t>
      </w:r>
      <w:r w:rsidR="0046399D">
        <w:rPr>
          <w:rFonts w:cs="Arial"/>
          <w:cs/>
        </w:rPr>
        <w:t>”</w:t>
      </w:r>
      <w:r w:rsidR="0046399D">
        <w:t>) a los puntos que tratan del uso de técnicas moleculares en el examen de las variedades esencialmente derivadas y en la identificación de variedades, según lo expuesto en el párrafo </w:t>
      </w:r>
      <w:r w:rsidR="00961A52">
        <w:t xml:space="preserve">12 </w:t>
      </w:r>
      <w:r w:rsidR="0046399D">
        <w:t>supra (véase el párrafo 176 del documento TC/51/39</w:t>
      </w:r>
      <w:r w:rsidR="0046399D">
        <w:rPr>
          <w:rFonts w:cs="Arial"/>
          <w:cs/>
        </w:rPr>
        <w:t xml:space="preserve"> “</w:t>
      </w:r>
      <w:r w:rsidR="0046399D">
        <w:t>Informe</w:t>
      </w:r>
      <w:r w:rsidR="0046399D">
        <w:rPr>
          <w:rFonts w:cs="Arial"/>
          <w:cs/>
        </w:rPr>
        <w:t>”</w:t>
      </w:r>
      <w:r w:rsidR="0046399D">
        <w:t>).</w:t>
      </w:r>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 xml:space="preserve">La decimoquinta reunión del BMT se celebrará en Moscú (Federación de Rusia) del 24 al 27 de mayo de 2016, precedida de un taller preparatorio que tendrá lugar el 23 de mayo de 2016. </w:t>
      </w:r>
    </w:p>
    <w:p w:rsidR="006F6237" w:rsidRPr="006F6237" w:rsidRDefault="004F6C1B" w:rsidP="006F6237">
      <w:pPr>
        <w:outlineLvl w:val="0"/>
        <w:rPr>
          <w:rFonts w:cs="Arial"/>
          <w:caps/>
        </w:rPr>
      </w:pPr>
    </w:p>
    <w:p w:rsidR="006F6237" w:rsidRPr="006F6237" w:rsidRDefault="004F6C1B" w:rsidP="006F6237">
      <w:pPr>
        <w:outlineLvl w:val="0"/>
        <w:rPr>
          <w:rFonts w:cs="Arial"/>
          <w:caps/>
        </w:rPr>
      </w:pPr>
    </w:p>
    <w:p w:rsidR="006F6237" w:rsidRPr="006F6237" w:rsidRDefault="0046399D" w:rsidP="005513CE">
      <w:pPr>
        <w:outlineLvl w:val="0"/>
        <w:rPr>
          <w:caps/>
        </w:rPr>
      </w:pPr>
      <w:bookmarkStart w:id="19" w:name="_Toc444099795"/>
      <w:bookmarkStart w:id="20" w:name="_Toc444426165"/>
      <w:r>
        <w:rPr>
          <w:caps/>
        </w:rPr>
        <w:t>TALLER CONJUNTO OCDE-UPOV-ISTA SOBRE TÉCNICAS MOLECULARES</w:t>
      </w:r>
      <w:bookmarkEnd w:id="19"/>
      <w:bookmarkEnd w:id="20"/>
    </w:p>
    <w:p w:rsidR="006F6237" w:rsidRPr="006F6237" w:rsidRDefault="004F6C1B" w:rsidP="005513CE">
      <w:pPr>
        <w:autoSpaceDE w:val="0"/>
        <w:autoSpaceDN w:val="0"/>
        <w:adjustRightInd w:val="0"/>
        <w:rPr>
          <w:rFonts w:cs="Arial"/>
        </w:rPr>
      </w:pPr>
    </w:p>
    <w:p w:rsidR="006F6237" w:rsidRPr="006F6237" w:rsidRDefault="0046399D" w:rsidP="005513CE">
      <w:pPr>
        <w:outlineLvl w:val="1"/>
        <w:rPr>
          <w:rFonts w:cs="Arial"/>
          <w:u w:val="single"/>
        </w:rPr>
      </w:pPr>
      <w:bookmarkStart w:id="21" w:name="_Toc444099796"/>
      <w:bookmarkStart w:id="22" w:name="_Toc444426166"/>
      <w:r>
        <w:rPr>
          <w:u w:val="single"/>
        </w:rPr>
        <w:t>Antecedentes</w:t>
      </w:r>
      <w:bookmarkEnd w:id="21"/>
      <w:bookmarkEnd w:id="22"/>
    </w:p>
    <w:p w:rsidR="006F6237" w:rsidRPr="006F6237" w:rsidRDefault="004F6C1B" w:rsidP="006F6237">
      <w:pPr>
        <w:autoSpaceDE w:val="0"/>
        <w:autoSpaceDN w:val="0"/>
        <w:adjustRightInd w:val="0"/>
        <w:rPr>
          <w:rFonts w:cs="Arial"/>
        </w:rPr>
      </w:pPr>
    </w:p>
    <w:p w:rsidR="006F6237" w:rsidRPr="006F6237" w:rsidRDefault="002C5D94" w:rsidP="006F6237">
      <w:pPr>
        <w:autoSpaceDE w:val="0"/>
        <w:autoSpaceDN w:val="0"/>
        <w:adjustRightInd w:val="0"/>
        <w:rPr>
          <w:rFonts w:cs="Arial"/>
        </w:rPr>
      </w:pPr>
      <w:r>
        <w:fldChar w:fldCharType="begin"/>
      </w:r>
      <w:r w:rsidR="0046399D">
        <w:instrText xml:space="preserve"> AUTONUM  </w:instrText>
      </w:r>
      <w:r>
        <w:fldChar w:fldCharType="end"/>
      </w:r>
      <w:r w:rsidR="0046399D">
        <w:tab/>
        <w:t xml:space="preserve">El Taller conjunto OCDE-UPOV-ISTA sobre técnicas moleculares se celebró en Seúl (República de Corea) el 12 de noviembre de 2014, junto con la decimocuarta reunión del BMT, celebrada en Seúl (República de Corea) del 10 al 13 de noviembre (véase el párrafo 23 del documento TC/51/11 Rev. </w:t>
      </w:r>
      <w:r w:rsidR="0046399D">
        <w:rPr>
          <w:rFonts w:cs="Arial"/>
          <w:cs/>
        </w:rPr>
        <w:t>“</w:t>
      </w:r>
      <w:r w:rsidR="0046399D">
        <w:t>Técnicas moleculares</w:t>
      </w:r>
      <w:r w:rsidR="0046399D">
        <w:rPr>
          <w:rFonts w:cs="Arial"/>
          <w:cs/>
        </w:rPr>
        <w:t>”</w:t>
      </w:r>
      <w:r w:rsidR="0046399D">
        <w:t>).</w:t>
      </w:r>
    </w:p>
    <w:p w:rsidR="006F6237" w:rsidRPr="006F6237" w:rsidRDefault="004F6C1B" w:rsidP="006F6237">
      <w:pPr>
        <w:autoSpaceDE w:val="0"/>
        <w:autoSpaceDN w:val="0"/>
        <w:adjustRightInd w:val="0"/>
        <w:rPr>
          <w:rFonts w:cs="Arial"/>
        </w:rPr>
      </w:pPr>
    </w:p>
    <w:p w:rsidR="006F6237" w:rsidRPr="006F6237" w:rsidRDefault="002C5D94" w:rsidP="006F6237">
      <w:pPr>
        <w:autoSpaceDE w:val="0"/>
        <w:autoSpaceDN w:val="0"/>
        <w:adjustRightInd w:val="0"/>
        <w:rPr>
          <w:rFonts w:cs="Arial"/>
        </w:rPr>
      </w:pPr>
      <w:r>
        <w:fldChar w:fldCharType="begin"/>
      </w:r>
      <w:r w:rsidR="0046399D">
        <w:instrText xml:space="preserve"> AUTONUM  </w:instrText>
      </w:r>
      <w:r>
        <w:fldChar w:fldCharType="end"/>
      </w:r>
      <w:r w:rsidR="0046399D">
        <w:tab/>
        <w:t>A continuación figuran los documentos presentados en cada uno de los puntos del orden del día del Taller conjunto</w:t>
      </w:r>
      <w:r w:rsidR="00000AC9">
        <w:t> </w:t>
      </w:r>
      <w:r w:rsidR="0046399D">
        <w:t xml:space="preserve">OCDE-UPOV-ISTA (véase el párrafo 24 del documento TC/51/11 Rev. </w:t>
      </w:r>
      <w:r w:rsidR="0046399D">
        <w:rPr>
          <w:rFonts w:cs="Arial"/>
          <w:cs/>
        </w:rPr>
        <w:t>“</w:t>
      </w:r>
      <w:r w:rsidR="0046399D">
        <w:t>Técnicas moleculares</w:t>
      </w:r>
      <w:r w:rsidR="0046399D">
        <w:rPr>
          <w:rFonts w:cs="Arial"/>
          <w:cs/>
        </w:rPr>
        <w:t>”</w:t>
      </w:r>
      <w:r w:rsidR="0046399D">
        <w:t>).</w:t>
      </w:r>
    </w:p>
    <w:p w:rsidR="006F6237" w:rsidRPr="006F6237" w:rsidRDefault="004F6C1B" w:rsidP="006F6237"/>
    <w:p w:rsidR="006F6237" w:rsidRPr="006F6237" w:rsidRDefault="0046399D" w:rsidP="006F6237">
      <w:pPr>
        <w:ind w:left="567"/>
        <w:rPr>
          <w:i/>
        </w:rPr>
      </w:pPr>
      <w:bookmarkStart w:id="23" w:name="_Toc410822413"/>
      <w:bookmarkStart w:id="24" w:name="_Toc410822809"/>
      <w:bookmarkStart w:id="25" w:name="_Toc410823316"/>
      <w:r>
        <w:rPr>
          <w:i/>
        </w:rPr>
        <w:t>Introducción a los sistemas de semillas de la OCDE y situación respecto de las técnicas moleculares</w:t>
      </w:r>
      <w:bookmarkEnd w:id="23"/>
      <w:bookmarkEnd w:id="24"/>
      <w:bookmarkEnd w:id="25"/>
      <w:r>
        <w:rPr>
          <w:i/>
        </w:rPr>
        <w:t xml:space="preserve"> </w:t>
      </w:r>
    </w:p>
    <w:p w:rsidR="006F6237" w:rsidRPr="006F6237" w:rsidRDefault="0046399D" w:rsidP="006F6237">
      <w:pPr>
        <w:ind w:left="567"/>
        <w:rPr>
          <w:i/>
        </w:rPr>
      </w:pPr>
      <w:bookmarkStart w:id="26" w:name="_Toc410822414"/>
      <w:bookmarkStart w:id="27" w:name="_Toc410822810"/>
      <w:bookmarkStart w:id="28" w:name="_Toc410823317"/>
      <w:r>
        <w:rPr>
          <w:i/>
        </w:rPr>
        <w:t>(documento BMT/14/Joint/6)</w:t>
      </w:r>
      <w:bookmarkEnd w:id="26"/>
      <w:bookmarkEnd w:id="27"/>
      <w:bookmarkEnd w:id="28"/>
    </w:p>
    <w:p w:rsidR="006F6237" w:rsidRPr="006F6237" w:rsidRDefault="004F6C1B" w:rsidP="006F6237">
      <w:pPr>
        <w:ind w:left="567"/>
        <w:rPr>
          <w:i/>
        </w:rPr>
      </w:pPr>
    </w:p>
    <w:p w:rsidR="006F6237" w:rsidRPr="006F6237" w:rsidRDefault="0046399D" w:rsidP="006F6237">
      <w:pPr>
        <w:ind w:left="567"/>
        <w:rPr>
          <w:i/>
        </w:rPr>
      </w:pPr>
      <w:bookmarkStart w:id="29" w:name="_Toc410822415"/>
      <w:bookmarkStart w:id="30" w:name="_Toc410822811"/>
      <w:bookmarkStart w:id="31" w:name="_Toc410823318"/>
      <w:r>
        <w:rPr>
          <w:i/>
        </w:rPr>
        <w:t>Introducción a la UPOV y situación respecto de las técnicas moleculares</w:t>
      </w:r>
      <w:bookmarkEnd w:id="29"/>
      <w:bookmarkEnd w:id="30"/>
      <w:bookmarkEnd w:id="31"/>
      <w:r>
        <w:rPr>
          <w:i/>
        </w:rPr>
        <w:t xml:space="preserve"> </w:t>
      </w:r>
    </w:p>
    <w:p w:rsidR="006F6237" w:rsidRPr="006F6237" w:rsidRDefault="0046399D" w:rsidP="006F6237">
      <w:pPr>
        <w:ind w:left="567"/>
        <w:rPr>
          <w:i/>
        </w:rPr>
      </w:pPr>
      <w:bookmarkStart w:id="32" w:name="_Toc410822416"/>
      <w:bookmarkStart w:id="33" w:name="_Toc410822812"/>
      <w:bookmarkStart w:id="34" w:name="_Toc410823319"/>
      <w:r>
        <w:rPr>
          <w:i/>
        </w:rPr>
        <w:t>(documento BMT/14/Joint/4 Rev.)</w:t>
      </w:r>
      <w:bookmarkEnd w:id="32"/>
      <w:bookmarkEnd w:id="33"/>
      <w:bookmarkEnd w:id="34"/>
    </w:p>
    <w:p w:rsidR="006F6237" w:rsidRPr="006F6237" w:rsidRDefault="004F6C1B" w:rsidP="006F6237">
      <w:pPr>
        <w:ind w:left="567"/>
        <w:rPr>
          <w:i/>
        </w:rPr>
      </w:pPr>
    </w:p>
    <w:p w:rsidR="006F6237" w:rsidRPr="006F6237" w:rsidRDefault="0046399D" w:rsidP="006F6237">
      <w:pPr>
        <w:ind w:left="567"/>
        <w:rPr>
          <w:i/>
        </w:rPr>
      </w:pPr>
      <w:bookmarkStart w:id="35" w:name="_Toc410822417"/>
      <w:bookmarkStart w:id="36" w:name="_Toc410822813"/>
      <w:bookmarkStart w:id="37" w:name="_Toc410823320"/>
      <w:r>
        <w:rPr>
          <w:i/>
        </w:rPr>
        <w:t xml:space="preserve">Introducción a la ISTA y situación respecto de las técnicas moleculares </w:t>
      </w:r>
    </w:p>
    <w:p w:rsidR="006F6237" w:rsidRPr="006F6237" w:rsidRDefault="0046399D" w:rsidP="006F6237">
      <w:pPr>
        <w:ind w:left="567"/>
        <w:rPr>
          <w:i/>
        </w:rPr>
      </w:pPr>
      <w:r>
        <w:rPr>
          <w:i/>
        </w:rPr>
        <w:t>(documento BMT/14/Joint/3 Rev.)</w:t>
      </w:r>
      <w:bookmarkEnd w:id="35"/>
      <w:bookmarkEnd w:id="36"/>
      <w:bookmarkEnd w:id="37"/>
    </w:p>
    <w:p w:rsidR="006F6237" w:rsidRPr="006F6237" w:rsidRDefault="004F6C1B" w:rsidP="006F6237">
      <w:pPr>
        <w:ind w:left="567"/>
        <w:rPr>
          <w:i/>
        </w:rPr>
      </w:pPr>
    </w:p>
    <w:p w:rsidR="006F6237" w:rsidRPr="006F6237" w:rsidRDefault="0046399D" w:rsidP="006F6237">
      <w:pPr>
        <w:ind w:left="567"/>
        <w:rPr>
          <w:i/>
        </w:rPr>
      </w:pPr>
      <w:bookmarkStart w:id="38" w:name="_Toc410822418"/>
      <w:bookmarkStart w:id="39" w:name="_Toc410822814"/>
      <w:bookmarkStart w:id="40" w:name="_Toc410823321"/>
      <w:r>
        <w:rPr>
          <w:i/>
        </w:rPr>
        <w:t>Introducción a la ISO y situación respecto de las técnicas moleculares (documento BMT/14/Joint/2)</w:t>
      </w:r>
      <w:bookmarkEnd w:id="38"/>
      <w:bookmarkEnd w:id="39"/>
      <w:bookmarkEnd w:id="40"/>
    </w:p>
    <w:p w:rsidR="006F6237" w:rsidRPr="006F6237" w:rsidRDefault="004F6C1B" w:rsidP="006F6237">
      <w:pPr>
        <w:ind w:left="567"/>
        <w:rPr>
          <w:i/>
        </w:rPr>
      </w:pPr>
    </w:p>
    <w:p w:rsidR="006F6237" w:rsidRPr="006F6237" w:rsidRDefault="0046399D" w:rsidP="006F6237">
      <w:pPr>
        <w:ind w:left="567"/>
        <w:rPr>
          <w:i/>
        </w:rPr>
      </w:pPr>
      <w:bookmarkStart w:id="41" w:name="_Toc410822419"/>
      <w:bookmarkStart w:id="42" w:name="_Toc410822815"/>
      <w:bookmarkStart w:id="43" w:name="_Toc410823322"/>
      <w:r>
        <w:rPr>
          <w:i/>
        </w:rPr>
        <w:t>Ámbitos de cooperación entre la OCDE, la UPOV y la ISTA en la actualidad (documento BMT/14/Joint/5)</w:t>
      </w:r>
      <w:bookmarkEnd w:id="41"/>
      <w:bookmarkEnd w:id="42"/>
      <w:bookmarkEnd w:id="43"/>
    </w:p>
    <w:p w:rsidR="006F6237" w:rsidRPr="006F6237" w:rsidRDefault="004F6C1B" w:rsidP="006F6237"/>
    <w:p w:rsidR="006F6237" w:rsidRPr="006F6237" w:rsidRDefault="002C5D94" w:rsidP="006F6237">
      <w:pPr>
        <w:rPr>
          <w:rFonts w:cs="Arial"/>
        </w:rPr>
      </w:pPr>
      <w:r>
        <w:fldChar w:fldCharType="begin"/>
      </w:r>
      <w:r w:rsidR="0046399D">
        <w:instrText xml:space="preserve"> AUTONUM  </w:instrText>
      </w:r>
      <w:r>
        <w:fldChar w:fldCharType="end"/>
      </w:r>
      <w:r w:rsidR="0046399D">
        <w:tab/>
        <w:t xml:space="preserve">En el taller se convino en que sería útil elaborar un documento conjunto en el que se expliquen las características principales de los sistemas de la OCDE, la UPOV y la ISTA (como, por ejemplo, la DHE, la identificación de variedades, la pureza de las variedades, etc.).  Se convino asimismo que sería útil para la comprensión mutua repetir el taller conjunto en las reuniones pertinentes de la OCDE y la ISTA (véase el párrafo 25 del documento TC/51/11 Rev. </w:t>
      </w:r>
      <w:r w:rsidR="0046399D">
        <w:rPr>
          <w:rFonts w:cs="Arial"/>
          <w:cs/>
        </w:rPr>
        <w:t>“</w:t>
      </w:r>
      <w:r w:rsidR="0046399D">
        <w:t>Técnicas moleculares</w:t>
      </w:r>
      <w:r w:rsidR="0046399D">
        <w:rPr>
          <w:rFonts w:cs="Arial"/>
          <w:cs/>
        </w:rPr>
        <w:t>”</w:t>
      </w:r>
      <w:r w:rsidR="0046399D">
        <w:t>).</w:t>
      </w:r>
    </w:p>
    <w:p w:rsidR="006F6237" w:rsidRPr="006F6237" w:rsidRDefault="004F6C1B" w:rsidP="006F6237">
      <w:pPr>
        <w:rPr>
          <w:rFonts w:cs="Arial"/>
        </w:rPr>
      </w:pPr>
    </w:p>
    <w:p w:rsidR="006F6237" w:rsidRPr="006F6237" w:rsidRDefault="002C5D94" w:rsidP="006F6237">
      <w:pPr>
        <w:rPr>
          <w:rFonts w:cs="Arial"/>
        </w:rPr>
      </w:pPr>
      <w:r>
        <w:fldChar w:fldCharType="begin"/>
      </w:r>
      <w:r w:rsidR="0046399D">
        <w:instrText xml:space="preserve"> AUTONUM  </w:instrText>
      </w:r>
      <w:r>
        <w:fldChar w:fldCharType="end"/>
      </w:r>
      <w:r w:rsidR="0046399D">
        <w:tab/>
      </w:r>
      <w:r w:rsidR="005C6888">
        <w:t>E</w:t>
      </w:r>
      <w:r w:rsidR="0046399D">
        <w:t xml:space="preserve">n el taller </w:t>
      </w:r>
      <w:r w:rsidR="005C6888">
        <w:t xml:space="preserve">se convino en </w:t>
      </w:r>
      <w:r w:rsidR="0046399D">
        <w:t>proponer un inventario de la UPOV, la OCDE y la ISTA sobre la utilización de técnicas basadas en marcadores moleculares, por cultivos, con objeto de elaborar un documento en el que figure dicha información en un formato similar al del documento UPOV/INF/16</w:t>
      </w:r>
      <w:r w:rsidR="0046399D">
        <w:rPr>
          <w:rFonts w:cs="Arial"/>
          <w:cs/>
        </w:rPr>
        <w:t xml:space="preserve"> “</w:t>
      </w:r>
      <w:r w:rsidR="0046399D">
        <w:t>Programas informáticos para intercambio</w:t>
      </w:r>
      <w:r w:rsidR="0046399D">
        <w:rPr>
          <w:rFonts w:cs="Arial"/>
          <w:cs/>
        </w:rPr>
        <w:t>”</w:t>
      </w:r>
      <w:r w:rsidR="0046399D">
        <w:t xml:space="preserve">.  Se señaló que la OCDE ya había reunido cierta información acerca del uso de técnicas moleculares por sus autoridades designadas (véase el párrafo 26 del documento TC/51/11 Rev. </w:t>
      </w:r>
      <w:r w:rsidR="0046399D">
        <w:rPr>
          <w:rFonts w:cs="Arial"/>
          <w:cs/>
        </w:rPr>
        <w:t>“</w:t>
      </w:r>
      <w:r w:rsidR="0046399D">
        <w:t>Técnicas moleculares</w:t>
      </w:r>
      <w:r w:rsidR="0046399D">
        <w:rPr>
          <w:rFonts w:cs="Arial"/>
          <w:cs/>
        </w:rPr>
        <w:t>”</w:t>
      </w:r>
      <w:r w:rsidR="0046399D">
        <w:t>).</w:t>
      </w:r>
    </w:p>
    <w:p w:rsidR="006F6237" w:rsidRPr="006F6237" w:rsidRDefault="004F6C1B" w:rsidP="006F6237">
      <w:pPr>
        <w:rPr>
          <w:rFonts w:cs="Arial"/>
        </w:rPr>
      </w:pPr>
    </w:p>
    <w:p w:rsidR="006F6237" w:rsidRPr="006F6237" w:rsidRDefault="002C5D94" w:rsidP="006F6237">
      <w:pPr>
        <w:rPr>
          <w:rFonts w:cs="Arial"/>
        </w:rPr>
      </w:pPr>
      <w:r>
        <w:fldChar w:fldCharType="begin"/>
      </w:r>
      <w:r w:rsidR="0046399D">
        <w:instrText xml:space="preserve"> AUTONUM  </w:instrText>
      </w:r>
      <w:r>
        <w:fldChar w:fldCharType="end"/>
      </w:r>
      <w:r w:rsidR="0046399D">
        <w:tab/>
        <w:t xml:space="preserve">Se acordó asimismo en el taller proponer que se invite a la UPOV, la OCDE y la ISTA a que elaboren listas de posibles iniciativas conjuntas relacionadas con las técnicas moleculares.  Se señaló que, en el caso de la UPOV, la lista podría redactarla el BMT en su decimoquinta reunión, </w:t>
      </w:r>
      <w:r w:rsidR="00997669">
        <w:t>a reserva de</w:t>
      </w:r>
      <w:r w:rsidR="0046399D">
        <w:t xml:space="preserve"> la aprobación del Comité Técnico (véase el párrafo 27 del documento TC/51/11 Rev. </w:t>
      </w:r>
      <w:r w:rsidR="0046399D">
        <w:rPr>
          <w:rFonts w:cs="Arial"/>
          <w:cs/>
        </w:rPr>
        <w:t>“</w:t>
      </w:r>
      <w:r w:rsidR="0046399D">
        <w:t>Técnicas moleculares</w:t>
      </w:r>
      <w:r w:rsidR="0046399D">
        <w:rPr>
          <w:rFonts w:cs="Arial"/>
          <w:cs/>
        </w:rPr>
        <w:t>”</w:t>
      </w:r>
      <w:r w:rsidR="0046399D">
        <w:t>).</w:t>
      </w:r>
    </w:p>
    <w:p w:rsidR="006F6237" w:rsidRPr="006F6237" w:rsidRDefault="004F6C1B" w:rsidP="006F6237">
      <w:pPr>
        <w:rPr>
          <w:rFonts w:cs="Arial"/>
        </w:rPr>
      </w:pPr>
    </w:p>
    <w:p w:rsidR="006F6237" w:rsidRPr="006F6237" w:rsidRDefault="004F6C1B" w:rsidP="006F6237">
      <w:pPr>
        <w:rPr>
          <w:rFonts w:cs="Arial"/>
        </w:rPr>
      </w:pPr>
    </w:p>
    <w:p w:rsidR="006F6237" w:rsidRPr="006F6237" w:rsidRDefault="0046399D" w:rsidP="005513CE">
      <w:pPr>
        <w:outlineLvl w:val="1"/>
        <w:rPr>
          <w:rFonts w:cs="Arial"/>
          <w:u w:val="single"/>
        </w:rPr>
      </w:pPr>
      <w:bookmarkStart w:id="44" w:name="_Toc444099797"/>
      <w:bookmarkStart w:id="45" w:name="_Toc444426167"/>
      <w:r>
        <w:rPr>
          <w:u w:val="single"/>
        </w:rPr>
        <w:t>Taller conjunto OCDE-UPOV-ISTA sobre técnicas moleculares en las reuniones pertinentes de la OCDE y la ISTA</w:t>
      </w:r>
      <w:bookmarkEnd w:id="44"/>
      <w:bookmarkEnd w:id="45"/>
    </w:p>
    <w:p w:rsidR="006F6237" w:rsidRPr="006F6237" w:rsidRDefault="004F6C1B" w:rsidP="005513CE"/>
    <w:p w:rsidR="006F6237" w:rsidRPr="006F6237" w:rsidRDefault="002C5D94" w:rsidP="005513CE">
      <w:r>
        <w:fldChar w:fldCharType="begin"/>
      </w:r>
      <w:r w:rsidR="0046399D">
        <w:instrText xml:space="preserve"> AUTONUM  </w:instrText>
      </w:r>
      <w:r>
        <w:fldChar w:fldCharType="end"/>
      </w:r>
      <w:r w:rsidR="0046399D">
        <w:tab/>
        <w:t>En su quincuagésima primera sesión, el TC</w:t>
      </w:r>
      <w:r w:rsidR="005C6888">
        <w:t xml:space="preserve"> </w:t>
      </w:r>
      <w:r w:rsidR="0046399D">
        <w:t xml:space="preserve">tomó nota de que el Taller conjunto OCDE-UPOV-ISTA sobre técnicas moleculares había convenido en que sería útil repetir el taller conjunto en las reuniones pertinentes de la OCDE y la ISTA y, a este respecto, que la reunión del </w:t>
      </w:r>
      <w:r w:rsidR="00A33023">
        <w:t>G</w:t>
      </w:r>
      <w:r w:rsidR="0046399D">
        <w:t>rupo de trabajo técnico de los Sistemas de semillas de la OCDE había acordado que se organi</w:t>
      </w:r>
      <w:r w:rsidR="00595DD6">
        <w:t>zara</w:t>
      </w:r>
      <w:r w:rsidR="0046399D">
        <w:t xml:space="preserve"> otro Taller conjunto</w:t>
      </w:r>
      <w:r w:rsidR="004D5694">
        <w:t> </w:t>
      </w:r>
      <w:r w:rsidR="0046399D">
        <w:t>OCDE</w:t>
      </w:r>
      <w:r w:rsidR="004D5694">
        <w:noBreakHyphen/>
      </w:r>
      <w:r w:rsidR="0046399D">
        <w:t>UPOV</w:t>
      </w:r>
      <w:r w:rsidR="004D5694">
        <w:noBreakHyphen/>
      </w:r>
      <w:r w:rsidR="0046399D">
        <w:t xml:space="preserve">ISTA sobre técnicas moleculares, ya sea de manera consecutiva </w:t>
      </w:r>
      <w:r w:rsidR="005C6888">
        <w:t xml:space="preserve">a </w:t>
      </w:r>
      <w:r w:rsidR="0046399D">
        <w:t xml:space="preserve">la reunión anual de los sistemas de semillas de la OCDE, prevista en París </w:t>
      </w:r>
      <w:r w:rsidR="00595DD6">
        <w:t xml:space="preserve">para </w:t>
      </w:r>
      <w:r w:rsidR="0046399D">
        <w:t xml:space="preserve">junio de 2015, o </w:t>
      </w:r>
      <w:r w:rsidR="005C6888">
        <w:t>paralela a</w:t>
      </w:r>
      <w:r w:rsidR="0046399D">
        <w:t xml:space="preserve"> la reunión del </w:t>
      </w:r>
      <w:r w:rsidR="00393B3C">
        <w:t>g</w:t>
      </w:r>
      <w:r w:rsidR="0046399D">
        <w:t xml:space="preserve">rupo de </w:t>
      </w:r>
      <w:r w:rsidR="00393B3C">
        <w:t>t</w:t>
      </w:r>
      <w:r w:rsidR="0046399D">
        <w:t xml:space="preserve">rabajo </w:t>
      </w:r>
      <w:r w:rsidR="00393B3C">
        <w:t>t</w:t>
      </w:r>
      <w:r w:rsidR="0046399D">
        <w:t xml:space="preserve">écnico, </w:t>
      </w:r>
      <w:r w:rsidR="00A33023">
        <w:t>prevista para</w:t>
      </w:r>
      <w:r w:rsidR="00595DD6">
        <w:t xml:space="preserve"> </w:t>
      </w:r>
      <w:r w:rsidR="0046399D">
        <w:t>enero de 2016 (véase el párrafo 178 del documento TC/51/39</w:t>
      </w:r>
      <w:r w:rsidR="0046399D">
        <w:rPr>
          <w:rFonts w:cs="Arial"/>
          <w:cs/>
        </w:rPr>
        <w:t xml:space="preserve"> “</w:t>
      </w:r>
      <w:r w:rsidR="0046399D">
        <w:t>Informe</w:t>
      </w:r>
      <w:r w:rsidR="0046399D">
        <w:rPr>
          <w:rFonts w:cs="Arial"/>
          <w:cs/>
        </w:rPr>
        <w:t>”</w:t>
      </w:r>
      <w:r w:rsidR="0046399D">
        <w:t>).</w:t>
      </w:r>
    </w:p>
    <w:p w:rsidR="006F6237" w:rsidRPr="006F6237" w:rsidRDefault="004F6C1B" w:rsidP="005513CE"/>
    <w:p w:rsidR="006F6237" w:rsidRPr="006F6237" w:rsidRDefault="002C5D94" w:rsidP="005513CE">
      <w:pPr>
        <w:autoSpaceDE w:val="0"/>
        <w:autoSpaceDN w:val="0"/>
        <w:adjustRightInd w:val="0"/>
        <w:rPr>
          <w:rFonts w:cs="Arial"/>
          <w:color w:val="000000"/>
        </w:rPr>
      </w:pPr>
      <w:r>
        <w:rPr>
          <w:color w:val="000000"/>
        </w:rPr>
        <w:fldChar w:fldCharType="begin"/>
      </w:r>
      <w:r w:rsidR="0046399D">
        <w:rPr>
          <w:color w:val="000000"/>
        </w:rPr>
        <w:instrText xml:space="preserve"> AUTONUM  </w:instrText>
      </w:r>
      <w:r>
        <w:rPr>
          <w:color w:val="000000"/>
        </w:rPr>
        <w:fldChar w:fldCharType="end"/>
      </w:r>
      <w:r w:rsidR="0046399D">
        <w:rPr>
          <w:color w:val="000000"/>
        </w:rPr>
        <w:tab/>
        <w:t>El 4 de enero de 2016, la OCDE publicó el documento TAD/CA/S/RD(2016)7</w:t>
      </w:r>
      <w:r w:rsidR="0046399D">
        <w:rPr>
          <w:rFonts w:cs="Arial"/>
          <w:color w:val="000000"/>
          <w:cs/>
        </w:rPr>
        <w:t xml:space="preserve"> “</w:t>
      </w:r>
      <w:r w:rsidR="0046399D">
        <w:rPr>
          <w:i/>
          <w:color w:val="000000"/>
        </w:rPr>
        <w:t>Preliminary Draft Programme of the Joint OECD/UPOV/ISTA/AOSA Workshop on Biochemical and Molecular Techniques</w:t>
      </w:r>
      <w:r w:rsidR="0046399D">
        <w:rPr>
          <w:rFonts w:cs="Arial"/>
          <w:color w:val="000000"/>
          <w:cs/>
        </w:rPr>
        <w:t xml:space="preserve">” </w:t>
      </w:r>
      <w:r w:rsidR="0046399D">
        <w:rPr>
          <w:color w:val="000000"/>
        </w:rPr>
        <w:t xml:space="preserve">(Proyecto preliminar del programa del Taller conjunto OECD/UPOV/ISTA/AOSA sobre técnicas bioquímicas y moleculares), a fin de someterlo a la consideración del </w:t>
      </w:r>
      <w:r w:rsidR="00A33023">
        <w:rPr>
          <w:color w:val="000000"/>
        </w:rPr>
        <w:t>G</w:t>
      </w:r>
      <w:r w:rsidR="0046399D">
        <w:rPr>
          <w:color w:val="000000"/>
        </w:rPr>
        <w:t>rupo de trabajo técnico de los Sistemas de semillas de la OCDE, en su reunión celebrada en Ciudad del Cabo (Sudáfrica) del 26 al 29 de enero de 2016, en el que se indicaba que el Taller conjunto OECD/UPOV/ISTA/AOSA sobre técnicas bioquímicas y moleculares se celebraría en París (Francia) el 7 o el 8 de junio de 2016.</w:t>
      </w:r>
    </w:p>
    <w:p w:rsidR="006F6237" w:rsidRPr="006F6237" w:rsidRDefault="004F6C1B" w:rsidP="005513CE">
      <w:pPr>
        <w:autoSpaceDE w:val="0"/>
        <w:autoSpaceDN w:val="0"/>
        <w:adjustRightInd w:val="0"/>
        <w:rPr>
          <w:rFonts w:cs="Arial"/>
          <w:color w:val="000000"/>
        </w:rPr>
      </w:pPr>
    </w:p>
    <w:p w:rsidR="006F6237" w:rsidRPr="006F6237" w:rsidRDefault="0046399D" w:rsidP="005513CE">
      <w:pPr>
        <w:outlineLvl w:val="1"/>
        <w:rPr>
          <w:rFonts w:cs="Arial"/>
          <w:u w:val="single"/>
        </w:rPr>
      </w:pPr>
      <w:bookmarkStart w:id="46" w:name="_Toc444099798"/>
      <w:bookmarkStart w:id="47" w:name="_Toc444426168"/>
      <w:r>
        <w:rPr>
          <w:u w:val="single"/>
        </w:rPr>
        <w:t>Características principales de los sistemas de la OCDE, la UPOV y la ISTA</w:t>
      </w:r>
      <w:bookmarkEnd w:id="46"/>
      <w:bookmarkEnd w:id="47"/>
    </w:p>
    <w:p w:rsidR="006F6237" w:rsidRPr="006F6237" w:rsidRDefault="004F6C1B" w:rsidP="006F6237">
      <w:pPr>
        <w:autoSpaceDE w:val="0"/>
        <w:autoSpaceDN w:val="0"/>
        <w:adjustRightInd w:val="0"/>
        <w:rPr>
          <w:rFonts w:cs="Arial"/>
        </w:rPr>
      </w:pPr>
    </w:p>
    <w:p w:rsidR="006F6237" w:rsidRPr="006F6237" w:rsidRDefault="002C5D94" w:rsidP="006F6237">
      <w:r>
        <w:fldChar w:fldCharType="begin"/>
      </w:r>
      <w:r w:rsidR="0046399D">
        <w:instrText xml:space="preserve"> AUTONUM  </w:instrText>
      </w:r>
      <w:r>
        <w:fldChar w:fldCharType="end"/>
      </w:r>
      <w:r w:rsidR="0046399D">
        <w:tab/>
        <w:t>En su quincuagésima primera sesión, el TC</w:t>
      </w:r>
      <w:r w:rsidR="00997669">
        <w:t xml:space="preserve"> </w:t>
      </w:r>
      <w:r w:rsidR="0046399D">
        <w:t>acordó elaborar un documento conjunto en el que se expliquen las características principales de los sistemas de la OCDE, la UPOV y la ISTA (por ejemplo, DHE, identificación de las variedades, pureza de las variedades, etcétera), con sujeción a la aprobación por el Consejo y en coordinación con la OCDE y la ISTA (véase el párrafo 177 del documento TC/51/39</w:t>
      </w:r>
      <w:r w:rsidR="0046399D">
        <w:rPr>
          <w:rFonts w:cs="Arial"/>
          <w:cs/>
        </w:rPr>
        <w:t xml:space="preserve"> “</w:t>
      </w:r>
      <w:r w:rsidR="0046399D">
        <w:t>Informe</w:t>
      </w:r>
      <w:r w:rsidR="0046399D">
        <w:rPr>
          <w:rFonts w:cs="Arial"/>
          <w:cs/>
        </w:rPr>
        <w:t>”</w:t>
      </w:r>
      <w:r w:rsidR="0046399D">
        <w:t>).</w:t>
      </w:r>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Las observaciones de la OCDE y la ISTA sobre la eventual elaboración de un documento conjunto en el que se expliquen las características principales de los sistemas de la OCDE, la UPOV y la ISTA se notificarán al TC en su quincuagésima tercera sesión que se celebrará en Ginebra en 2017.</w:t>
      </w:r>
    </w:p>
    <w:p w:rsidR="006F6237" w:rsidRPr="006F6237" w:rsidRDefault="004F6C1B" w:rsidP="006F6237"/>
    <w:p w:rsidR="006F6237" w:rsidRPr="006F6237" w:rsidRDefault="0046399D" w:rsidP="005513CE">
      <w:pPr>
        <w:outlineLvl w:val="1"/>
        <w:rPr>
          <w:rFonts w:cs="Arial"/>
          <w:u w:val="single"/>
        </w:rPr>
      </w:pPr>
      <w:bookmarkStart w:id="48" w:name="_Toc444099799"/>
      <w:bookmarkStart w:id="49" w:name="_Toc444426169"/>
      <w:r>
        <w:rPr>
          <w:u w:val="single"/>
        </w:rPr>
        <w:t>Inventario sobre la utilización de técnicas basadas en marcadores moleculares</w:t>
      </w:r>
      <w:bookmarkEnd w:id="48"/>
      <w:bookmarkEnd w:id="49"/>
    </w:p>
    <w:p w:rsidR="006F6237" w:rsidRPr="006F6237" w:rsidRDefault="004F6C1B" w:rsidP="005513CE"/>
    <w:p w:rsidR="006F6237" w:rsidRPr="006F6237" w:rsidRDefault="002C5D94" w:rsidP="005513CE">
      <w:r>
        <w:fldChar w:fldCharType="begin"/>
      </w:r>
      <w:r w:rsidR="0046399D">
        <w:instrText xml:space="preserve"> AUTONUM  </w:instrText>
      </w:r>
      <w:r>
        <w:fldChar w:fldCharType="end"/>
      </w:r>
      <w:r w:rsidR="0046399D">
        <w:tab/>
        <w:t>En su quincuagésima primera sesión, el TC</w:t>
      </w:r>
      <w:r w:rsidR="00997669">
        <w:t xml:space="preserve"> </w:t>
      </w:r>
      <w:r w:rsidR="0046399D">
        <w:t>acordó realizar un inventario sobre la utilización de técnicas basadas en marcadores moleculares, por cultivos, con objeto de elaborar un documento conjunto de la UPOV, la OCDE y la ISTA en el que figure dicha información en un formato similar al del documento UPOV/INF/16</w:t>
      </w:r>
      <w:r w:rsidR="0046399D">
        <w:rPr>
          <w:rFonts w:cs="Arial"/>
          <w:cs/>
        </w:rPr>
        <w:t xml:space="preserve"> “</w:t>
      </w:r>
      <w:r w:rsidR="0046399D">
        <w:t>Programas informáticos para intercambio</w:t>
      </w:r>
      <w:r w:rsidR="0046399D">
        <w:rPr>
          <w:rFonts w:cs="Arial"/>
          <w:cs/>
        </w:rPr>
        <w:t>”</w:t>
      </w:r>
      <w:r w:rsidR="0046399D">
        <w:t>, según consta en el párrafo 26 del documento TC/51/11, con sujeción a la aprobación por el Consejo y en coordinación con la OCDE y la ISTA.  Se convino en que sería necesario fijar criterios y establecer un procedimiento para añadir la información en el documento (véase el párrafo 179 del documento TC/51/39</w:t>
      </w:r>
      <w:r w:rsidR="0046399D">
        <w:rPr>
          <w:rFonts w:cs="Arial"/>
          <w:cs/>
        </w:rPr>
        <w:t xml:space="preserve"> “</w:t>
      </w:r>
      <w:r w:rsidR="0046399D">
        <w:t>Informe</w:t>
      </w:r>
      <w:r w:rsidR="0046399D">
        <w:rPr>
          <w:rFonts w:cs="Arial"/>
          <w:cs/>
        </w:rPr>
        <w:t>”</w:t>
      </w:r>
      <w:r w:rsidR="0046399D">
        <w:t>).</w:t>
      </w:r>
    </w:p>
    <w:p w:rsidR="006F6237" w:rsidRPr="006F6237" w:rsidRDefault="004F6C1B" w:rsidP="005513CE"/>
    <w:p w:rsidR="006F6237" w:rsidRPr="006F6237" w:rsidRDefault="002C5D94" w:rsidP="005513CE">
      <w:r>
        <w:fldChar w:fldCharType="begin"/>
      </w:r>
      <w:r w:rsidR="0046399D">
        <w:instrText xml:space="preserve"> AUTONUM  </w:instrText>
      </w:r>
      <w:r>
        <w:fldChar w:fldCharType="end"/>
      </w:r>
      <w:r w:rsidR="0046399D">
        <w:tab/>
        <w:t>Las observaciones de la OCDE y la ISTA sobre la eventual elaboración de un inventario sobre la utilización de técnicas basadas en marcadores moleculares, por cultivos, se notificarán al TC en su quincuagésima tercera sesión que se celebrará en Ginebra en 2017.</w:t>
      </w:r>
    </w:p>
    <w:p w:rsidR="006F6237" w:rsidRPr="006F6237" w:rsidRDefault="004F6C1B" w:rsidP="005513CE"/>
    <w:p w:rsidR="006F6237" w:rsidRPr="006F6237" w:rsidRDefault="0046399D" w:rsidP="005513CE">
      <w:pPr>
        <w:outlineLvl w:val="1"/>
        <w:rPr>
          <w:rFonts w:cs="Arial"/>
          <w:u w:val="single"/>
        </w:rPr>
      </w:pPr>
      <w:bookmarkStart w:id="50" w:name="_Toc444099800"/>
      <w:bookmarkStart w:id="51" w:name="_Toc444426170"/>
      <w:r>
        <w:rPr>
          <w:u w:val="single"/>
        </w:rPr>
        <w:t>Listas de posibles iniciativas conjuntas con la OCDE y la ISTA</w:t>
      </w:r>
      <w:bookmarkEnd w:id="50"/>
      <w:bookmarkEnd w:id="51"/>
    </w:p>
    <w:p w:rsidR="006F6237" w:rsidRPr="006F6237" w:rsidRDefault="004F6C1B" w:rsidP="006F6237"/>
    <w:p w:rsidR="006F6237" w:rsidRPr="006F6237" w:rsidRDefault="002C5D94" w:rsidP="006F6237">
      <w:pPr>
        <w:rPr>
          <w:rFonts w:cs="Arial"/>
        </w:rPr>
      </w:pPr>
      <w:r>
        <w:fldChar w:fldCharType="begin"/>
      </w:r>
      <w:r w:rsidR="0046399D">
        <w:instrText xml:space="preserve"> AUTONUM  </w:instrText>
      </w:r>
      <w:r>
        <w:fldChar w:fldCharType="end"/>
      </w:r>
      <w:r w:rsidR="0046399D">
        <w:tab/>
        <w:t xml:space="preserve">En el Taller conjunto OCDE-UPOV-ISTA sobre técnicas moleculares se acordó proponer que se invite a la UPOV, la OCDE y la ISTA a que elaboren listas de posibles iniciativas conjuntas relacionadas con las técnicas moleculares.  Se señaló que, en el caso de la UPOV, la lista podría redactarla el BMT en su decimoquinta reunión, </w:t>
      </w:r>
      <w:r w:rsidR="00997669">
        <w:t>a reserva de</w:t>
      </w:r>
      <w:r w:rsidR="0046399D">
        <w:t xml:space="preserve"> la aprobación del Comité Técnico (véase el párrafo 27 del documento TC/51/11 Rev. </w:t>
      </w:r>
      <w:r w:rsidR="0046399D">
        <w:rPr>
          <w:rFonts w:cs="Arial"/>
          <w:cs/>
        </w:rPr>
        <w:t>“</w:t>
      </w:r>
      <w:r w:rsidR="0046399D">
        <w:t>Técnicas moleculares</w:t>
      </w:r>
      <w:r w:rsidR="0046399D">
        <w:rPr>
          <w:rFonts w:cs="Arial"/>
          <w:cs/>
        </w:rPr>
        <w:t>”</w:t>
      </w:r>
      <w:r w:rsidR="0046399D">
        <w:t>).</w:t>
      </w:r>
    </w:p>
    <w:p w:rsidR="006F6237" w:rsidRPr="006F6237" w:rsidRDefault="004F6C1B" w:rsidP="006F6237"/>
    <w:p w:rsidR="006F6237" w:rsidRPr="006F6237" w:rsidRDefault="002C5D94" w:rsidP="006F6237">
      <w:pPr>
        <w:autoSpaceDE w:val="0"/>
        <w:autoSpaceDN w:val="0"/>
        <w:adjustRightInd w:val="0"/>
      </w:pPr>
      <w:r>
        <w:fldChar w:fldCharType="begin"/>
      </w:r>
      <w:r w:rsidR="0046399D">
        <w:instrText xml:space="preserve"> AUTONUM  </w:instrText>
      </w:r>
      <w:r>
        <w:fldChar w:fldCharType="end"/>
      </w:r>
      <w:r w:rsidR="0046399D">
        <w:tab/>
        <w:t>En su quincuagésima primera sesión, el TC</w:t>
      </w:r>
      <w:r w:rsidR="00130DDF">
        <w:t xml:space="preserve"> </w:t>
      </w:r>
      <w:r w:rsidR="0046399D">
        <w:t xml:space="preserve">aprobó la propuesta de que, en su decimoquinta sesión, </w:t>
      </w:r>
      <w:r w:rsidR="00315E4B">
        <w:t xml:space="preserve">el BMT </w:t>
      </w:r>
      <w:r w:rsidR="0046399D">
        <w:t>elabore listas de posibles iniciativas conjuntas con la OCDE y la ISTA relacionadas con las técnicas moleculares a fin de que las examine el TC (véase el párrafo 180 del documento TC/51/39</w:t>
      </w:r>
      <w:r w:rsidR="0046399D">
        <w:rPr>
          <w:rFonts w:cs="Arial"/>
          <w:cs/>
        </w:rPr>
        <w:t xml:space="preserve"> “</w:t>
      </w:r>
      <w:r w:rsidR="0046399D">
        <w:t>Informe</w:t>
      </w:r>
      <w:r w:rsidR="0046399D">
        <w:rPr>
          <w:rFonts w:cs="Arial"/>
          <w:cs/>
        </w:rPr>
        <w:t>”</w:t>
      </w:r>
      <w:r w:rsidR="0046399D">
        <w:t>).</w:t>
      </w:r>
    </w:p>
    <w:p w:rsidR="006F6237" w:rsidRPr="006F6237" w:rsidRDefault="004F6C1B" w:rsidP="006F6237">
      <w:pPr>
        <w:autoSpaceDE w:val="0"/>
        <w:autoSpaceDN w:val="0"/>
        <w:adjustRightInd w:val="0"/>
      </w:pPr>
    </w:p>
    <w:p w:rsidR="006F6237" w:rsidRPr="006F6237" w:rsidRDefault="002C5D94" w:rsidP="006F6237">
      <w:pPr>
        <w:autoSpaceDE w:val="0"/>
        <w:autoSpaceDN w:val="0"/>
        <w:adjustRightInd w:val="0"/>
      </w:pPr>
      <w:r>
        <w:fldChar w:fldCharType="begin"/>
      </w:r>
      <w:r w:rsidR="0046399D">
        <w:instrText xml:space="preserve"> AUTONUM  </w:instrText>
      </w:r>
      <w:r>
        <w:fldChar w:fldCharType="end"/>
      </w:r>
      <w:r w:rsidR="0046399D">
        <w:tab/>
        <w:t>En su decimoquinta reunión, se invitará al BMT a que elabore una lista de posibles iniciativas conjuntas con la OCDE y la ISTA.  Dicha lista se presentará al TC en su quincuagésima tercera sesión que se celebrará en Ginebra en 2017.</w:t>
      </w:r>
    </w:p>
    <w:p w:rsidR="006F6237" w:rsidRPr="006F6237" w:rsidRDefault="004F6C1B" w:rsidP="006F6237">
      <w:pPr>
        <w:autoSpaceDE w:val="0"/>
        <w:autoSpaceDN w:val="0"/>
        <w:adjustRightInd w:val="0"/>
        <w:rPr>
          <w:rFonts w:cs="Arial"/>
        </w:rPr>
      </w:pPr>
    </w:p>
    <w:p w:rsidR="006F6237" w:rsidRPr="006F6237" w:rsidRDefault="004F6C1B" w:rsidP="005513CE">
      <w:pPr>
        <w:autoSpaceDE w:val="0"/>
        <w:autoSpaceDN w:val="0"/>
        <w:adjustRightInd w:val="0"/>
        <w:jc w:val="left"/>
        <w:rPr>
          <w:rFonts w:cs="Arial"/>
          <w:color w:val="000000"/>
        </w:rPr>
      </w:pPr>
    </w:p>
    <w:p w:rsidR="006F6237" w:rsidRPr="006F6237" w:rsidRDefault="0046399D" w:rsidP="005513CE">
      <w:pPr>
        <w:outlineLvl w:val="0"/>
        <w:rPr>
          <w:caps/>
        </w:rPr>
      </w:pPr>
      <w:bookmarkStart w:id="52" w:name="_Toc410822422"/>
      <w:bookmarkStart w:id="53" w:name="_Toc410822818"/>
      <w:bookmarkStart w:id="54" w:name="_Toc410823325"/>
      <w:bookmarkStart w:id="55" w:name="_Toc410899586"/>
      <w:bookmarkStart w:id="56" w:name="_Toc444099801"/>
      <w:bookmarkStart w:id="57" w:name="_Toc444426171"/>
      <w:r>
        <w:rPr>
          <w:caps/>
        </w:rPr>
        <w:t>Presentación de información sobre la situación en la UPOV en lo que respecta al uso de técnicas moleculares</w:t>
      </w:r>
      <w:bookmarkEnd w:id="52"/>
      <w:bookmarkEnd w:id="53"/>
      <w:bookmarkEnd w:id="54"/>
      <w:bookmarkEnd w:id="55"/>
      <w:bookmarkEnd w:id="56"/>
      <w:bookmarkEnd w:id="57"/>
    </w:p>
    <w:p w:rsidR="006F6237" w:rsidRPr="006F6237" w:rsidRDefault="004F6C1B" w:rsidP="005513CE"/>
    <w:p w:rsidR="006F6237" w:rsidRPr="006F6237" w:rsidRDefault="0046399D" w:rsidP="005513CE">
      <w:pPr>
        <w:outlineLvl w:val="1"/>
        <w:rPr>
          <w:rFonts w:cs="Arial"/>
          <w:u w:val="single"/>
        </w:rPr>
      </w:pPr>
      <w:bookmarkStart w:id="58" w:name="_Toc410822423"/>
      <w:bookmarkStart w:id="59" w:name="_Toc410822819"/>
      <w:bookmarkStart w:id="60" w:name="_Toc410823326"/>
      <w:bookmarkStart w:id="61" w:name="_Toc410899587"/>
      <w:bookmarkStart w:id="62" w:name="_Toc444099802"/>
      <w:bookmarkStart w:id="63" w:name="_Toc444426172"/>
      <w:r>
        <w:rPr>
          <w:u w:val="single"/>
        </w:rPr>
        <w:t>Antecedentes</w:t>
      </w:r>
      <w:bookmarkEnd w:id="58"/>
      <w:bookmarkEnd w:id="59"/>
      <w:bookmarkEnd w:id="60"/>
      <w:bookmarkEnd w:id="61"/>
      <w:bookmarkEnd w:id="62"/>
      <w:bookmarkEnd w:id="63"/>
    </w:p>
    <w:p w:rsidR="006F6237" w:rsidRPr="006F6237" w:rsidRDefault="004F6C1B" w:rsidP="005513CE"/>
    <w:p w:rsidR="006F6237" w:rsidRPr="006F6237" w:rsidRDefault="002C5D94" w:rsidP="005513CE">
      <w:pPr>
        <w:autoSpaceDE w:val="0"/>
        <w:autoSpaceDN w:val="0"/>
        <w:adjustRightInd w:val="0"/>
        <w:rPr>
          <w:rFonts w:cs="Arial"/>
        </w:rPr>
      </w:pPr>
      <w:r>
        <w:fldChar w:fldCharType="begin"/>
      </w:r>
      <w:r w:rsidR="0046399D">
        <w:instrText xml:space="preserve"> AUTONUM  </w:instrText>
      </w:r>
      <w:r>
        <w:fldChar w:fldCharType="end"/>
      </w:r>
      <w:r w:rsidR="0046399D">
        <w:tab/>
        <w:t xml:space="preserve">En su cuadragésima novena sesión, celebrada en Ginebra del 18 al 20 de marzo de 2013, el TC convino en que era necesario proporcionar información adecuada sobre la situación en la UPOV en lo que respectaba al uso de técnicas moleculares, para un público más amplio, que incluyera a los obtentores y el público en general.  Esta información debía explicar las posibles ventajas e inconvenientes de las técnicas, así como la relación entre genotipo y fenotipo, que estaban detrás de la situación en la UPOV (véase el párrafo 136 del documento TC/49/41, </w:t>
      </w:r>
      <w:r w:rsidR="0046399D">
        <w:rPr>
          <w:rFonts w:cs="Arial"/>
          <w:cs/>
        </w:rPr>
        <w:t>“</w:t>
      </w:r>
      <w:r w:rsidR="0046399D">
        <w:t>Informe sobre las conclusiones</w:t>
      </w:r>
      <w:r w:rsidR="0046399D">
        <w:rPr>
          <w:rFonts w:cs="Arial"/>
          <w:cs/>
        </w:rPr>
        <w:t>”</w:t>
      </w:r>
      <w:r w:rsidR="0046399D">
        <w:t>).</w:t>
      </w:r>
    </w:p>
    <w:p w:rsidR="006F6237" w:rsidRPr="006F6237" w:rsidRDefault="004F6C1B" w:rsidP="006F6237">
      <w:pPr>
        <w:autoSpaceDE w:val="0"/>
        <w:autoSpaceDN w:val="0"/>
        <w:adjustRightInd w:val="0"/>
        <w:jc w:val="left"/>
        <w:rPr>
          <w:rFonts w:cs="Arial"/>
        </w:rPr>
      </w:pPr>
    </w:p>
    <w:p w:rsidR="006F6237" w:rsidRPr="006F6237" w:rsidRDefault="002C5D94" w:rsidP="006F6237">
      <w:pPr>
        <w:autoSpaceDE w:val="0"/>
        <w:autoSpaceDN w:val="0"/>
        <w:adjustRightInd w:val="0"/>
      </w:pPr>
      <w:r>
        <w:fldChar w:fldCharType="begin"/>
      </w:r>
      <w:r w:rsidR="0046399D">
        <w:instrText xml:space="preserve"> AUTONUM  </w:instrText>
      </w:r>
      <w:r>
        <w:fldChar w:fldCharType="end"/>
      </w:r>
      <w:r w:rsidR="0046399D">
        <w:tab/>
        <w:t>En su octogésima sexta sesión, celebrada en Ginebra los días 23 y 24 de octubre de 2013, el Comité Consultivo examinó una serie de respuestas a preguntas frecuentes.  Una de las preguntas era la siguiente</w:t>
      </w:r>
      <w:r w:rsidR="007C1A8F">
        <w:t xml:space="preserve">:  </w:t>
      </w:r>
      <w:r w:rsidR="0046399D">
        <w:rPr>
          <w:rFonts w:cs="Arial"/>
          <w:cs/>
        </w:rPr>
        <w:t>“</w:t>
      </w:r>
      <w:r w:rsidR="0046399D">
        <w:t>¿Permite la UPOV el uso de técnicas moleculares (perfiles de ADN) en el examen DHE?</w:t>
      </w:r>
      <w:r w:rsidR="0046399D">
        <w:rPr>
          <w:rFonts w:cs="Arial"/>
          <w:cs/>
        </w:rPr>
        <w:t xml:space="preserve">”  </w:t>
      </w:r>
      <w:r w:rsidR="0046399D">
        <w:t>A ese respecto, el Comité Consultivo convino en que la respuesta debía redactarla el Comité Técnico.  El Comité Consultivo acordó analizar las propuestas de respuesta a esta y otras preguntas frecuentes en su octogésima séptima sesión, que se celebró en Ginebra el 11 de abril de 2014.</w:t>
      </w:r>
    </w:p>
    <w:p w:rsidR="006F6237" w:rsidRPr="006F6237" w:rsidRDefault="004F6C1B" w:rsidP="006F6237"/>
    <w:p w:rsidR="006F6237" w:rsidRPr="006F6237" w:rsidRDefault="002C5D94" w:rsidP="006F6237">
      <w:pPr>
        <w:rPr>
          <w:rFonts w:cs="Arial"/>
        </w:rPr>
      </w:pPr>
      <w:r>
        <w:fldChar w:fldCharType="begin"/>
      </w:r>
      <w:r w:rsidR="0046399D">
        <w:instrText xml:space="preserve"> AUTONUM  </w:instrText>
      </w:r>
      <w:r>
        <w:fldChar w:fldCharType="end"/>
      </w:r>
      <w:r w:rsidR="0046399D">
        <w:tab/>
        <w:t>El TC, en su quincuagésima sesión, celebrada en Ginebra del 7 al 9 de abril de 2014</w:t>
      </w:r>
      <w:r w:rsidR="00997669">
        <w:t>,</w:t>
      </w:r>
      <w:r w:rsidR="0046399D">
        <w:t xml:space="preserve"> y el CAJ, en su sexagésima novena sesión, celebrada en Ginebra el 10 de abril de 2014, se mostraron de acuerdo con la propuesta de explicación de la situación en la UPOV en lo que respecta al uso de técnicas moleculares.</w:t>
      </w:r>
    </w:p>
    <w:p w:rsidR="006F6237" w:rsidRPr="006F6237" w:rsidRDefault="004F6C1B" w:rsidP="006F6237">
      <w:pPr>
        <w:rPr>
          <w:sz w:val="18"/>
          <w:szCs w:val="18"/>
        </w:rPr>
      </w:pPr>
    </w:p>
    <w:p w:rsidR="006F6237" w:rsidRPr="006F6237" w:rsidRDefault="002C5D94" w:rsidP="006F6237">
      <w:r>
        <w:fldChar w:fldCharType="begin"/>
      </w:r>
      <w:r w:rsidR="0046399D">
        <w:instrText xml:space="preserve"> AUTONUM  </w:instrText>
      </w:r>
      <w:r>
        <w:fldChar w:fldCharType="end"/>
      </w:r>
      <w:r w:rsidR="0046399D">
        <w:tab/>
        <w:t>Con respecto a un público más amplio, el TC convino en que la pregunta no estaba correctamente formulada y que, por lo tanto, no era adecuada para tratar de hallar una respuesta a la misma.  El TC acordó que se debía volver a redactar la pregunta después de aclarar las cuestiones de interés para una audiencia más amplia (véanse los párrafos 83 a 85 del documento TC/50/36</w:t>
      </w:r>
      <w:r w:rsidR="0046399D">
        <w:rPr>
          <w:rFonts w:cs="Arial"/>
          <w:cs/>
        </w:rPr>
        <w:t xml:space="preserve"> “</w:t>
      </w:r>
      <w:r w:rsidR="0046399D">
        <w:t>Informe sobre las Conclusiones</w:t>
      </w:r>
      <w:r w:rsidR="0046399D">
        <w:rPr>
          <w:rFonts w:cs="Arial"/>
          <w:cs/>
        </w:rPr>
        <w:t>”</w:t>
      </w:r>
      <w:r w:rsidR="0046399D">
        <w:t>).</w:t>
      </w:r>
    </w:p>
    <w:p w:rsidR="006F6237" w:rsidRPr="006F6237" w:rsidRDefault="004F6C1B" w:rsidP="006F6237"/>
    <w:p w:rsidR="006F6237" w:rsidRPr="006F6237" w:rsidRDefault="002C5D94" w:rsidP="006F6237">
      <w:pPr>
        <w:rPr>
          <w:snapToGrid w:val="0"/>
          <w:color w:val="000000"/>
        </w:rPr>
      </w:pPr>
      <w:r>
        <w:rPr>
          <w:color w:val="000000"/>
        </w:rPr>
        <w:fldChar w:fldCharType="begin"/>
      </w:r>
      <w:r w:rsidR="0046399D">
        <w:rPr>
          <w:color w:val="000000"/>
        </w:rPr>
        <w:instrText xml:space="preserve"> AUTONUM  </w:instrText>
      </w:r>
      <w:r>
        <w:rPr>
          <w:color w:val="000000"/>
        </w:rPr>
        <w:fldChar w:fldCharType="end"/>
      </w:r>
      <w:r w:rsidR="0046399D">
        <w:rPr>
          <w:color w:val="000000"/>
        </w:rPr>
        <w:tab/>
        <w:t>El Comité Consultivo, en su octogésima octava sesión, celebrada en Ginebra el 15 de octubre de 2014, convino en que las preguntas frecuentes propuestas relativas a la información sobre la situación en la UPOV en lo que respecta al uso de técnicas moleculares, para un público más amplio, que incluya al público en general, debían someterse a la consideración del TC (véase el párrafo 48 del documento C/48/19</w:t>
      </w:r>
      <w:r w:rsidR="0046399D">
        <w:rPr>
          <w:rFonts w:cs="Arial"/>
          <w:color w:val="000000"/>
          <w:cs/>
        </w:rPr>
        <w:t xml:space="preserve"> “</w:t>
      </w:r>
      <w:r w:rsidR="0046399D">
        <w:rPr>
          <w:color w:val="000000"/>
        </w:rPr>
        <w:t>Informe de la Presidenta sobre los trabajos de la octogésima sexta sesión del Comité Consultivo;  aprobación, si procede, de las recomendaciones preparadas por dicho Comité</w:t>
      </w:r>
      <w:r w:rsidR="0046399D">
        <w:rPr>
          <w:rFonts w:cs="Arial"/>
          <w:color w:val="000000"/>
          <w:cs/>
        </w:rPr>
        <w:t>”</w:t>
      </w:r>
      <w:r w:rsidR="0046399D">
        <w:rPr>
          <w:color w:val="000000"/>
        </w:rPr>
        <w:t>).</w:t>
      </w:r>
    </w:p>
    <w:p w:rsidR="006F6237" w:rsidRPr="006F6237" w:rsidRDefault="004F6C1B" w:rsidP="006F6237">
      <w:pPr>
        <w:rPr>
          <w:snapToGrid w:val="0"/>
          <w:color w:val="000000"/>
        </w:rPr>
      </w:pPr>
    </w:p>
    <w:p w:rsidR="006F6237" w:rsidRPr="006F6237" w:rsidRDefault="002C5D94" w:rsidP="006F6237">
      <w:pPr>
        <w:rPr>
          <w:snapToGrid w:val="0"/>
          <w:color w:val="000000"/>
        </w:rPr>
      </w:pPr>
      <w:r>
        <w:rPr>
          <w:color w:val="000000"/>
        </w:rPr>
        <w:fldChar w:fldCharType="begin"/>
      </w:r>
      <w:r w:rsidR="0046399D">
        <w:rPr>
          <w:color w:val="000000"/>
        </w:rPr>
        <w:instrText xml:space="preserve"> AUTONUM  </w:instrText>
      </w:r>
      <w:r>
        <w:rPr>
          <w:color w:val="000000"/>
        </w:rPr>
        <w:fldChar w:fldCharType="end"/>
      </w:r>
      <w:r w:rsidR="0046399D">
        <w:rPr>
          <w:color w:val="000000"/>
        </w:rPr>
        <w:tab/>
        <w:t xml:space="preserve">El TC, en su quincuagésima primera sesión, celebrada en Ginebra del 23 al 25 de marzo de 2015, estudió la posibilidad de elaborar una propuesta de pregunta y respuesta relativa a la información sobre la situación en la UPOV en lo que respecta al uso de técnicas moleculares, para un público más amplio, que incluya al público en general.  El TC acordó pedir a los TWP que, en sus sesiones de 2015, examinen </w:t>
      </w:r>
      <w:r w:rsidR="00EF6155">
        <w:rPr>
          <w:color w:val="000000"/>
        </w:rPr>
        <w:t>la propuesta</w:t>
      </w:r>
      <w:r w:rsidR="0046399D">
        <w:rPr>
          <w:color w:val="000000"/>
        </w:rPr>
        <w:t xml:space="preserve"> inicial siguiente, ya examinad</w:t>
      </w:r>
      <w:r w:rsidR="00EF6155">
        <w:rPr>
          <w:color w:val="000000"/>
        </w:rPr>
        <w:t>a</w:t>
      </w:r>
      <w:r w:rsidR="0046399D">
        <w:rPr>
          <w:color w:val="000000"/>
        </w:rPr>
        <w:t xml:space="preserve"> en la sesión del TC (véase el párrafo 181 del documento TC/51/39</w:t>
      </w:r>
      <w:r w:rsidR="0046399D">
        <w:rPr>
          <w:rFonts w:cs="Arial"/>
          <w:color w:val="000000"/>
          <w:cs/>
        </w:rPr>
        <w:t xml:space="preserve"> “</w:t>
      </w:r>
      <w:r w:rsidR="0046399D">
        <w:rPr>
          <w:color w:val="000000"/>
        </w:rPr>
        <w:t>Informe</w:t>
      </w:r>
      <w:r w:rsidR="0046399D">
        <w:rPr>
          <w:rFonts w:cs="Arial"/>
          <w:color w:val="000000"/>
          <w:cs/>
        </w:rPr>
        <w:t>”</w:t>
      </w:r>
      <w:r w:rsidR="00221A25">
        <w:rPr>
          <w:color w:val="000000"/>
        </w:rPr>
        <w:t>):</w:t>
      </w:r>
    </w:p>
    <w:p w:rsidR="006F6237" w:rsidRPr="006F6237" w:rsidRDefault="004F6C1B" w:rsidP="006F6237">
      <w:pPr>
        <w:rPr>
          <w:snapToGrid w:val="0"/>
          <w:color w:val="000000"/>
        </w:rPr>
      </w:pPr>
    </w:p>
    <w:p w:rsidR="006F6237" w:rsidRPr="00F73192" w:rsidRDefault="0046399D" w:rsidP="006F6237">
      <w:pPr>
        <w:autoSpaceDE w:val="0"/>
        <w:autoSpaceDN w:val="0"/>
        <w:adjustRightInd w:val="0"/>
        <w:ind w:left="540" w:right="549"/>
        <w:rPr>
          <w:rFonts w:cs="Arial"/>
          <w:color w:val="000000"/>
          <w:sz w:val="18"/>
          <w:szCs w:val="18"/>
        </w:rPr>
      </w:pPr>
      <w:r w:rsidRPr="00F73192">
        <w:rPr>
          <w:rFonts w:cs="Arial"/>
          <w:color w:val="000000"/>
          <w:sz w:val="18"/>
          <w:szCs w:val="18"/>
          <w:cs/>
        </w:rPr>
        <w:t>“</w:t>
      </w:r>
      <w:r w:rsidRPr="00F73192">
        <w:rPr>
          <w:color w:val="000000"/>
          <w:sz w:val="18"/>
          <w:szCs w:val="18"/>
        </w:rPr>
        <w:t xml:space="preserve">¿Es posible obtener la protección de una variedad sobre la base de su perfil de ADN? </w:t>
      </w:r>
    </w:p>
    <w:p w:rsidR="006F6237" w:rsidRPr="00F73192" w:rsidRDefault="004F6C1B" w:rsidP="006F6237">
      <w:pPr>
        <w:autoSpaceDE w:val="0"/>
        <w:autoSpaceDN w:val="0"/>
        <w:adjustRightInd w:val="0"/>
        <w:ind w:left="540" w:right="549"/>
        <w:rPr>
          <w:rFonts w:cs="Arial"/>
          <w:color w:val="000000"/>
          <w:sz w:val="18"/>
          <w:szCs w:val="18"/>
        </w:rPr>
      </w:pPr>
    </w:p>
    <w:p w:rsidR="006F6237" w:rsidRPr="00F73192" w:rsidRDefault="0046399D" w:rsidP="006F6237">
      <w:pPr>
        <w:autoSpaceDE w:val="0"/>
        <w:autoSpaceDN w:val="0"/>
        <w:adjustRightInd w:val="0"/>
        <w:ind w:left="540" w:right="549"/>
        <w:rPr>
          <w:rFonts w:cs="Arial"/>
          <w:color w:val="000000"/>
          <w:sz w:val="18"/>
          <w:szCs w:val="18"/>
        </w:rPr>
      </w:pPr>
      <w:r w:rsidRPr="00F73192">
        <w:rPr>
          <w:rFonts w:cs="Arial"/>
          <w:color w:val="000000"/>
          <w:sz w:val="18"/>
          <w:szCs w:val="18"/>
          <w:cs/>
        </w:rPr>
        <w:t>“</w:t>
      </w:r>
      <w:r w:rsidRPr="00F73192">
        <w:rPr>
          <w:color w:val="000000"/>
          <w:sz w:val="18"/>
          <w:szCs w:val="18"/>
        </w:rPr>
        <w:t xml:space="preserve">Para obtener protección, una variedad ha de poder distinguirse claramente de todas las variedades existentes, sobre la base de caracteres que se expresan físicamente, por ejemplo, altura de la planta, época de floración, color del fruto, resistencia a las enfermedades, etcétera [las técnicas moleculares (los perfiles de ADN) pueden utilizarse como información complementaria]. </w:t>
      </w:r>
    </w:p>
    <w:p w:rsidR="006F6237" w:rsidRPr="00F73192" w:rsidRDefault="004F6C1B" w:rsidP="006F6237">
      <w:pPr>
        <w:autoSpaceDE w:val="0"/>
        <w:autoSpaceDN w:val="0"/>
        <w:adjustRightInd w:val="0"/>
        <w:ind w:left="540" w:right="549"/>
        <w:rPr>
          <w:rFonts w:cs="Arial"/>
          <w:color w:val="000000"/>
          <w:sz w:val="18"/>
          <w:szCs w:val="18"/>
        </w:rPr>
      </w:pPr>
    </w:p>
    <w:p w:rsidR="006F6237" w:rsidRPr="00F73192" w:rsidRDefault="0046399D" w:rsidP="006F6237">
      <w:pPr>
        <w:autoSpaceDE w:val="0"/>
        <w:autoSpaceDN w:val="0"/>
        <w:adjustRightInd w:val="0"/>
        <w:ind w:left="540" w:right="549"/>
        <w:rPr>
          <w:rFonts w:cs="Arial"/>
          <w:color w:val="000000"/>
          <w:sz w:val="18"/>
          <w:szCs w:val="18"/>
        </w:rPr>
      </w:pPr>
      <w:r w:rsidRPr="00F73192">
        <w:rPr>
          <w:rFonts w:cs="Arial"/>
          <w:color w:val="000000"/>
          <w:sz w:val="18"/>
          <w:szCs w:val="18"/>
          <w:cs/>
        </w:rPr>
        <w:t>“</w:t>
      </w:r>
      <w:r w:rsidRPr="00F73192">
        <w:rPr>
          <w:color w:val="000000"/>
          <w:sz w:val="18"/>
          <w:szCs w:val="18"/>
        </w:rPr>
        <w:t xml:space="preserve">En la pregunta frecuente </w:t>
      </w:r>
      <w:r w:rsidRPr="00F73192">
        <w:rPr>
          <w:rFonts w:cs="Arial"/>
          <w:color w:val="000000"/>
          <w:sz w:val="18"/>
          <w:szCs w:val="18"/>
          <w:cs/>
        </w:rPr>
        <w:t>“</w:t>
      </w:r>
      <w:r w:rsidRPr="00F73192">
        <w:rPr>
          <w:color w:val="000000"/>
          <w:sz w:val="18"/>
          <w:szCs w:val="18"/>
        </w:rPr>
        <w:t>¿Permite la UPOV la utilización de técnicas moleculares (perfiles de ADN) en el examen de la distinción, la homogeneidad y la estabilidad (</w:t>
      </w:r>
      <w:r w:rsidRPr="00F73192">
        <w:rPr>
          <w:rFonts w:cs="Arial"/>
          <w:color w:val="000000"/>
          <w:sz w:val="18"/>
          <w:szCs w:val="18"/>
          <w:cs/>
        </w:rPr>
        <w:t>“</w:t>
      </w:r>
      <w:r w:rsidRPr="00F73192">
        <w:rPr>
          <w:color w:val="000000"/>
          <w:sz w:val="18"/>
          <w:szCs w:val="18"/>
        </w:rPr>
        <w:t>DHE</w:t>
      </w:r>
      <w:r w:rsidRPr="00F73192">
        <w:rPr>
          <w:rFonts w:cs="Arial"/>
          <w:color w:val="000000"/>
          <w:sz w:val="18"/>
          <w:szCs w:val="18"/>
          <w:cs/>
        </w:rPr>
        <w:t>”</w:t>
      </w:r>
      <w:r w:rsidRPr="00F73192">
        <w:rPr>
          <w:color w:val="000000"/>
          <w:sz w:val="18"/>
          <w:szCs w:val="18"/>
        </w:rPr>
        <w:t>)?</w:t>
      </w:r>
      <w:r w:rsidRPr="00F73192">
        <w:rPr>
          <w:rFonts w:cs="Arial"/>
          <w:color w:val="000000"/>
          <w:sz w:val="18"/>
          <w:szCs w:val="18"/>
          <w:cs/>
        </w:rPr>
        <w:t xml:space="preserve">” </w:t>
      </w:r>
      <w:r w:rsidRPr="00F73192">
        <w:rPr>
          <w:color w:val="000000"/>
          <w:sz w:val="18"/>
          <w:szCs w:val="18"/>
        </w:rPr>
        <w:t xml:space="preserve">figura una explicación más detallada. </w:t>
      </w:r>
    </w:p>
    <w:p w:rsidR="006F6237" w:rsidRPr="00F73192" w:rsidRDefault="004F6C1B" w:rsidP="006F6237">
      <w:pPr>
        <w:autoSpaceDE w:val="0"/>
        <w:autoSpaceDN w:val="0"/>
        <w:adjustRightInd w:val="0"/>
        <w:ind w:left="540" w:right="549"/>
        <w:rPr>
          <w:rFonts w:cs="Arial"/>
          <w:color w:val="000000"/>
          <w:sz w:val="18"/>
          <w:szCs w:val="18"/>
        </w:rPr>
      </w:pPr>
    </w:p>
    <w:p w:rsidR="006F6237" w:rsidRPr="00F73192" w:rsidRDefault="0046399D" w:rsidP="006F6237">
      <w:pPr>
        <w:autoSpaceDE w:val="0"/>
        <w:autoSpaceDN w:val="0"/>
        <w:adjustRightInd w:val="0"/>
        <w:ind w:left="540" w:right="549"/>
        <w:rPr>
          <w:rFonts w:cs="Arial"/>
          <w:color w:val="000000"/>
          <w:sz w:val="18"/>
          <w:szCs w:val="18"/>
        </w:rPr>
      </w:pPr>
      <w:r w:rsidRPr="00F73192">
        <w:rPr>
          <w:rFonts w:cs="Arial"/>
          <w:color w:val="000000"/>
          <w:sz w:val="18"/>
          <w:szCs w:val="18"/>
          <w:cs/>
        </w:rPr>
        <w:t>“</w:t>
      </w:r>
      <w:r w:rsidRPr="00F73192">
        <w:rPr>
          <w:color w:val="000000"/>
          <w:sz w:val="18"/>
          <w:szCs w:val="18"/>
        </w:rPr>
        <w:t xml:space="preserve">Véase también: </w:t>
      </w:r>
    </w:p>
    <w:p w:rsidR="006F6237" w:rsidRPr="00F73192" w:rsidRDefault="0046399D" w:rsidP="006F6237">
      <w:pPr>
        <w:ind w:left="540" w:right="549"/>
        <w:rPr>
          <w:rFonts w:cs="Arial"/>
          <w:snapToGrid w:val="0"/>
          <w:sz w:val="18"/>
          <w:szCs w:val="18"/>
          <w:u w:val="single"/>
        </w:rPr>
      </w:pPr>
      <w:r w:rsidRPr="00F73192">
        <w:rPr>
          <w:rFonts w:cs="Arial"/>
          <w:sz w:val="18"/>
          <w:szCs w:val="18"/>
          <w:cs/>
        </w:rPr>
        <w:t>“</w:t>
      </w:r>
      <w:r w:rsidRPr="00F73192">
        <w:rPr>
          <w:sz w:val="18"/>
          <w:szCs w:val="18"/>
        </w:rPr>
        <w:t>¿Qué requisitos ha de cumplir una obtención vegetal para recibir protección?</w:t>
      </w:r>
      <w:r w:rsidRPr="00F73192">
        <w:rPr>
          <w:rFonts w:cs="Arial"/>
          <w:sz w:val="18"/>
          <w:szCs w:val="18"/>
          <w:cs/>
        </w:rPr>
        <w:t>”</w:t>
      </w:r>
    </w:p>
    <w:p w:rsidR="006F6237" w:rsidRPr="006F6237" w:rsidRDefault="004F6C1B" w:rsidP="006F6237">
      <w:pPr>
        <w:jc w:val="left"/>
        <w:rPr>
          <w:rFonts w:cs="Arial"/>
          <w:snapToGrid w:val="0"/>
          <w:u w:val="single"/>
        </w:rPr>
      </w:pPr>
    </w:p>
    <w:p w:rsidR="006F6237" w:rsidRPr="006F6237" w:rsidRDefault="0046399D" w:rsidP="005513CE">
      <w:pPr>
        <w:outlineLvl w:val="1"/>
        <w:rPr>
          <w:rFonts w:cs="Arial"/>
          <w:snapToGrid w:val="0"/>
          <w:u w:val="single"/>
        </w:rPr>
      </w:pPr>
      <w:bookmarkStart w:id="64" w:name="_Toc444099803"/>
      <w:bookmarkStart w:id="65" w:name="_Toc444426173"/>
      <w:r>
        <w:rPr>
          <w:u w:val="single"/>
        </w:rPr>
        <w:t>Observaciones formuladas por los Grupos de Trabajo Técnico en 2015</w:t>
      </w:r>
      <w:bookmarkEnd w:id="64"/>
      <w:bookmarkEnd w:id="65"/>
    </w:p>
    <w:p w:rsidR="006F6237" w:rsidRPr="006F6237" w:rsidRDefault="004F6C1B" w:rsidP="006F6237">
      <w:pPr>
        <w:rPr>
          <w:snapToGrid w:val="0"/>
          <w:color w:val="000000"/>
        </w:rPr>
      </w:pPr>
    </w:p>
    <w:p w:rsidR="006F6237" w:rsidRPr="006F6237" w:rsidRDefault="002C5D94" w:rsidP="006F6237">
      <w:r>
        <w:fldChar w:fldCharType="begin"/>
      </w:r>
      <w:r w:rsidR="0046399D">
        <w:instrText xml:space="preserve"> AUTONUM  </w:instrText>
      </w:r>
      <w:r>
        <w:fldChar w:fldCharType="end"/>
      </w:r>
      <w:r w:rsidR="0046399D">
        <w:tab/>
        <w:t>El TWV, en su cuadragésima novena sesión celebrada en Angers (Francia) del 15 al 19 de junio de 2015, y el TWC,</w:t>
      </w:r>
      <w:r w:rsidR="00F73192">
        <w:t xml:space="preserve"> en su trigésima tercera sesión</w:t>
      </w:r>
      <w:r w:rsidR="0046399D">
        <w:t xml:space="preserve"> celebrada en Natal (Brasil) del 30 de junio al 2 de julio de 2015, estuvieron de acuerdo con la propuesta inicial de pregunta y respuesta relativa a la información sobre la situación en la UPOV en lo que respecta al uso de técnicas moleculares, para un público más amplio, que incluya al público en general, examinada en la quincuagésima primera sesión del TC (véanse los documentos TWV/49/32 Rev. </w:t>
      </w:r>
      <w:r w:rsidR="0046399D">
        <w:rPr>
          <w:rFonts w:cs="Arial"/>
          <w:cs/>
        </w:rPr>
        <w:t>“</w:t>
      </w:r>
      <w:r w:rsidR="0046399D">
        <w:rPr>
          <w:i/>
        </w:rPr>
        <w:t>Revised Report</w:t>
      </w:r>
      <w:r w:rsidR="0046399D">
        <w:rPr>
          <w:rFonts w:cs="Arial"/>
          <w:cs/>
        </w:rPr>
        <w:t>”</w:t>
      </w:r>
      <w:r w:rsidR="0046399D">
        <w:t>, párrafo 15, y TWC/33/30</w:t>
      </w:r>
      <w:r w:rsidR="0046399D">
        <w:rPr>
          <w:rFonts w:cs="Arial"/>
          <w:cs/>
        </w:rPr>
        <w:t xml:space="preserve"> “</w:t>
      </w:r>
      <w:r w:rsidR="0046399D">
        <w:rPr>
          <w:i/>
        </w:rPr>
        <w:t>Report</w:t>
      </w:r>
      <w:r w:rsidR="0046399D">
        <w:rPr>
          <w:rFonts w:cs="Arial"/>
          <w:cs/>
        </w:rPr>
        <w:t>”</w:t>
      </w:r>
      <w:r w:rsidR="0046399D">
        <w:t>, párrafo 110).</w:t>
      </w:r>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El TWA, e</w:t>
      </w:r>
      <w:r w:rsidR="00F73192">
        <w:t>n su cuadragésima cuarta sesión</w:t>
      </w:r>
      <w:r w:rsidR="0046399D">
        <w:t xml:space="preserve"> celebrada en Obihiro (Japón) del 6 al 10 de julio de 2015, el TWF, en su cuadragésima sexta sesión </w:t>
      </w:r>
      <w:r w:rsidR="00F73192">
        <w:t xml:space="preserve">celebrada </w:t>
      </w:r>
      <w:r w:rsidR="0046399D">
        <w:t>en Mpumalanga (Sudáfrica) del 24 al 28 de agosto de 2015, y el TWO, e</w:t>
      </w:r>
      <w:r w:rsidR="00F73192">
        <w:t>n su cuadragésima octava sesión</w:t>
      </w:r>
      <w:r w:rsidR="0046399D">
        <w:t xml:space="preserve"> celebrada en Cambridge (Reino Unido) del 14 al 18 de septiembre de 2015, convinieron en proponer el siguiente texto para la propuesta inicial de pregunta y respuesta relativa a la información sobre la situación en la UPOV en lo que respecta al uso de técnicas moleculares, para un público más amplio, que incluya al público en general, examinada en la quincuagésima primera sesión del TC (véanse los documentos TWA/44/23</w:t>
      </w:r>
      <w:r w:rsidR="0046399D">
        <w:rPr>
          <w:rFonts w:cs="Arial"/>
          <w:cs/>
        </w:rPr>
        <w:t xml:space="preserve"> “</w:t>
      </w:r>
      <w:r w:rsidR="0046399D">
        <w:rPr>
          <w:i/>
        </w:rPr>
        <w:t>Report</w:t>
      </w:r>
      <w:r w:rsidR="0046399D">
        <w:rPr>
          <w:rFonts w:cs="Arial"/>
          <w:cs/>
        </w:rPr>
        <w:t>”</w:t>
      </w:r>
      <w:r w:rsidR="0046399D">
        <w:t xml:space="preserve">, párrafo 70, TWF/46/29 Rev. </w:t>
      </w:r>
      <w:r w:rsidR="0046399D">
        <w:rPr>
          <w:rFonts w:cs="Arial"/>
          <w:cs/>
        </w:rPr>
        <w:t>“</w:t>
      </w:r>
      <w:r w:rsidR="0046399D">
        <w:rPr>
          <w:i/>
        </w:rPr>
        <w:t>Revised</w:t>
      </w:r>
      <w:r w:rsidR="0046399D">
        <w:t xml:space="preserve"> </w:t>
      </w:r>
      <w:r w:rsidR="0046399D">
        <w:rPr>
          <w:i/>
        </w:rPr>
        <w:t>Report</w:t>
      </w:r>
      <w:r w:rsidR="0046399D">
        <w:rPr>
          <w:rFonts w:cs="Arial"/>
          <w:cs/>
        </w:rPr>
        <w:t>”</w:t>
      </w:r>
      <w:r w:rsidR="0046399D">
        <w:t>, párrafo 72, y TWO/48/26</w:t>
      </w:r>
      <w:r w:rsidR="0046399D">
        <w:rPr>
          <w:rFonts w:cs="Arial"/>
          <w:cs/>
        </w:rPr>
        <w:t xml:space="preserve"> “</w:t>
      </w:r>
      <w:r w:rsidR="0046399D">
        <w:rPr>
          <w:i/>
        </w:rPr>
        <w:t>Report</w:t>
      </w:r>
      <w:r w:rsidR="0046399D">
        <w:rPr>
          <w:rFonts w:cs="Arial"/>
          <w:cs/>
        </w:rPr>
        <w:t>”</w:t>
      </w:r>
      <w:r w:rsidR="0046399D">
        <w:t>, párrafo 80):</w:t>
      </w:r>
    </w:p>
    <w:p w:rsidR="006F6237" w:rsidRPr="006F6237" w:rsidRDefault="004F6C1B" w:rsidP="006F6237"/>
    <w:p w:rsidR="006F6237" w:rsidRPr="00F73192" w:rsidRDefault="0046399D" w:rsidP="006F6237">
      <w:pPr>
        <w:ind w:left="567"/>
        <w:rPr>
          <w:rFonts w:cs="Arial"/>
          <w:sz w:val="18"/>
          <w:szCs w:val="18"/>
        </w:rPr>
      </w:pPr>
      <w:r w:rsidRPr="00F73192">
        <w:rPr>
          <w:rFonts w:cs="Arial"/>
          <w:sz w:val="18"/>
          <w:szCs w:val="18"/>
          <w:cs/>
        </w:rPr>
        <w:t>“</w:t>
      </w:r>
      <w:r w:rsidRPr="00F73192">
        <w:rPr>
          <w:sz w:val="18"/>
          <w:szCs w:val="18"/>
        </w:rPr>
        <w:t>¿Es posible obtener la protección de una variedad sobre la base de su perfil de ADN?</w:t>
      </w:r>
    </w:p>
    <w:p w:rsidR="006F6237" w:rsidRPr="00F73192" w:rsidRDefault="004F6C1B" w:rsidP="006F6237">
      <w:pPr>
        <w:ind w:left="567" w:right="567"/>
        <w:rPr>
          <w:rFonts w:cs="Arial"/>
          <w:sz w:val="18"/>
          <w:szCs w:val="18"/>
        </w:rPr>
      </w:pPr>
    </w:p>
    <w:p w:rsidR="006F6237" w:rsidRPr="00F73192" w:rsidRDefault="0046399D" w:rsidP="006F6237">
      <w:pPr>
        <w:ind w:left="567" w:right="567"/>
        <w:rPr>
          <w:rFonts w:cs="Arial"/>
          <w:strike/>
          <w:sz w:val="18"/>
          <w:szCs w:val="18"/>
        </w:rPr>
      </w:pPr>
      <w:r w:rsidRPr="00F73192">
        <w:rPr>
          <w:rFonts w:cs="Arial"/>
          <w:sz w:val="18"/>
          <w:szCs w:val="18"/>
          <w:cs/>
        </w:rPr>
        <w:t>“</w:t>
      </w:r>
      <w:r w:rsidRPr="00F73192">
        <w:rPr>
          <w:sz w:val="18"/>
          <w:szCs w:val="18"/>
          <w:highlight w:val="lightGray"/>
          <w:u w:val="single"/>
        </w:rPr>
        <w:t>La protección de una variedad no puede basarse en los perfiles de ADN.</w:t>
      </w:r>
      <w:r w:rsidRPr="00F73192">
        <w:rPr>
          <w:sz w:val="18"/>
          <w:szCs w:val="18"/>
        </w:rPr>
        <w:t xml:space="preserve"> </w:t>
      </w:r>
      <w:r w:rsidR="004332A5" w:rsidRPr="00F73192">
        <w:rPr>
          <w:sz w:val="18"/>
          <w:szCs w:val="18"/>
        </w:rPr>
        <w:t xml:space="preserve"> </w:t>
      </w:r>
      <w:r w:rsidRPr="00F73192">
        <w:rPr>
          <w:sz w:val="18"/>
          <w:szCs w:val="18"/>
        </w:rPr>
        <w:t xml:space="preserve">Para obtener protección, una variedad ha de poder distinguirse claramente de todas las variedades existentes, sobre la base de caracteres que se expresan físicamente, por ejemplo, altura de la planta, época de floración, color del fruto, resistencia a las enfermedades, etcétera. </w:t>
      </w:r>
      <w:r w:rsidRPr="00F73192">
        <w:rPr>
          <w:strike/>
          <w:sz w:val="18"/>
          <w:szCs w:val="18"/>
          <w:highlight w:val="lightGray"/>
        </w:rPr>
        <w:t>[las técnicas moleculares (los perfiles de ADN) pueden utilizarse como información complementaria].</w:t>
      </w:r>
    </w:p>
    <w:p w:rsidR="006F6237" w:rsidRPr="00F73192" w:rsidRDefault="004F6C1B" w:rsidP="006F6237">
      <w:pPr>
        <w:ind w:left="567" w:right="567"/>
        <w:rPr>
          <w:rFonts w:cs="Arial"/>
          <w:sz w:val="18"/>
          <w:szCs w:val="18"/>
        </w:rPr>
      </w:pPr>
    </w:p>
    <w:p w:rsidR="006F6237" w:rsidRPr="00F73192" w:rsidRDefault="0046399D" w:rsidP="006F6237">
      <w:pPr>
        <w:ind w:left="567" w:right="567"/>
        <w:rPr>
          <w:rFonts w:cs="Arial"/>
          <w:sz w:val="18"/>
          <w:szCs w:val="18"/>
        </w:rPr>
      </w:pPr>
      <w:r w:rsidRPr="00F73192">
        <w:rPr>
          <w:rFonts w:cs="Arial"/>
          <w:sz w:val="18"/>
          <w:szCs w:val="18"/>
          <w:cs/>
        </w:rPr>
        <w:t>“</w:t>
      </w:r>
      <w:r w:rsidRPr="00F73192">
        <w:rPr>
          <w:sz w:val="18"/>
          <w:szCs w:val="18"/>
        </w:rPr>
        <w:t xml:space="preserve">En la pregunta frecuente </w:t>
      </w:r>
      <w:r w:rsidRPr="00F73192">
        <w:rPr>
          <w:rFonts w:cs="Arial"/>
          <w:sz w:val="18"/>
          <w:szCs w:val="18"/>
          <w:cs/>
        </w:rPr>
        <w:t>“</w:t>
      </w:r>
      <w:r w:rsidRPr="00F73192">
        <w:rPr>
          <w:sz w:val="18"/>
          <w:szCs w:val="18"/>
        </w:rPr>
        <w:t>¿Permite la UPOV la utilización de técnicas moleculares (perfiles de ADN) en el examen de la distinción, la homogeneidad y la estabilidad (</w:t>
      </w:r>
      <w:r w:rsidRPr="00F73192">
        <w:rPr>
          <w:rFonts w:cs="Arial"/>
          <w:sz w:val="18"/>
          <w:szCs w:val="18"/>
          <w:cs/>
        </w:rPr>
        <w:t>“</w:t>
      </w:r>
      <w:r w:rsidRPr="00F73192">
        <w:rPr>
          <w:sz w:val="18"/>
          <w:szCs w:val="18"/>
        </w:rPr>
        <w:t>DHE</w:t>
      </w:r>
      <w:r w:rsidRPr="00F73192">
        <w:rPr>
          <w:rFonts w:cs="Arial"/>
          <w:sz w:val="18"/>
          <w:szCs w:val="18"/>
          <w:cs/>
        </w:rPr>
        <w:t>”</w:t>
      </w:r>
      <w:r w:rsidRPr="00F73192">
        <w:rPr>
          <w:sz w:val="18"/>
          <w:szCs w:val="18"/>
        </w:rPr>
        <w:t>)?</w:t>
      </w:r>
      <w:r w:rsidRPr="00F73192">
        <w:rPr>
          <w:rFonts w:cs="Arial"/>
          <w:sz w:val="18"/>
          <w:szCs w:val="18"/>
          <w:cs/>
        </w:rPr>
        <w:t xml:space="preserve">” </w:t>
      </w:r>
      <w:r w:rsidRPr="00F73192">
        <w:rPr>
          <w:sz w:val="18"/>
          <w:szCs w:val="18"/>
        </w:rPr>
        <w:t>figura una explicación más detallada.</w:t>
      </w:r>
    </w:p>
    <w:p w:rsidR="006F6237" w:rsidRPr="00F73192" w:rsidRDefault="004F6C1B" w:rsidP="006F6237">
      <w:pPr>
        <w:ind w:left="567" w:right="567"/>
        <w:rPr>
          <w:rFonts w:cs="Arial"/>
          <w:sz w:val="18"/>
          <w:szCs w:val="18"/>
        </w:rPr>
      </w:pPr>
    </w:p>
    <w:p w:rsidR="006F6237" w:rsidRPr="00F73192" w:rsidRDefault="0046399D" w:rsidP="006F6237">
      <w:pPr>
        <w:ind w:left="567" w:right="567"/>
        <w:rPr>
          <w:rFonts w:cs="Arial"/>
          <w:sz w:val="18"/>
          <w:szCs w:val="18"/>
        </w:rPr>
      </w:pPr>
      <w:r w:rsidRPr="00F73192">
        <w:rPr>
          <w:rFonts w:cs="Arial"/>
          <w:sz w:val="18"/>
          <w:szCs w:val="18"/>
          <w:cs/>
        </w:rPr>
        <w:t>“</w:t>
      </w:r>
      <w:r w:rsidRPr="00F73192">
        <w:rPr>
          <w:sz w:val="18"/>
          <w:szCs w:val="18"/>
        </w:rPr>
        <w:t>Véase también:</w:t>
      </w:r>
    </w:p>
    <w:p w:rsidR="006F6237" w:rsidRPr="00F73192" w:rsidRDefault="0046399D" w:rsidP="006F6237">
      <w:pPr>
        <w:ind w:left="567" w:right="567"/>
        <w:rPr>
          <w:rFonts w:cs="Arial"/>
          <w:sz w:val="18"/>
          <w:szCs w:val="18"/>
        </w:rPr>
      </w:pPr>
      <w:r w:rsidRPr="00F73192">
        <w:rPr>
          <w:rFonts w:cs="Arial"/>
          <w:sz w:val="18"/>
          <w:szCs w:val="18"/>
          <w:cs/>
        </w:rPr>
        <w:t>“</w:t>
      </w:r>
      <w:r w:rsidRPr="00F73192">
        <w:rPr>
          <w:sz w:val="18"/>
          <w:szCs w:val="18"/>
        </w:rPr>
        <w:t>¿Qué requisitos ha de cumplir una obtención vegetal para recibir protección?</w:t>
      </w:r>
      <w:r w:rsidRPr="00F73192">
        <w:rPr>
          <w:rFonts w:cs="Arial"/>
          <w:sz w:val="18"/>
          <w:szCs w:val="18"/>
          <w:cs/>
        </w:rPr>
        <w:t>”</w:t>
      </w:r>
    </w:p>
    <w:p w:rsidR="006F6237" w:rsidRPr="006F6237" w:rsidRDefault="004F6C1B" w:rsidP="006F6237">
      <w:pPr>
        <w:rPr>
          <w:snapToGrid w:val="0"/>
          <w:color w:val="000000"/>
        </w:rPr>
      </w:pPr>
    </w:p>
    <w:p w:rsidR="006F6237" w:rsidRPr="006F6237" w:rsidRDefault="0046399D" w:rsidP="006F6237">
      <w:pPr>
        <w:keepNext/>
        <w:outlineLvl w:val="1"/>
        <w:rPr>
          <w:rFonts w:cs="Arial"/>
          <w:u w:val="single"/>
        </w:rPr>
      </w:pPr>
      <w:bookmarkStart w:id="66" w:name="_Toc444099804"/>
      <w:bookmarkStart w:id="67" w:name="_Toc444426174"/>
      <w:r>
        <w:rPr>
          <w:u w:val="single"/>
        </w:rPr>
        <w:t>Observaciones formuladas por el TC</w:t>
      </w:r>
      <w:r>
        <w:rPr>
          <w:u w:val="single"/>
        </w:rPr>
        <w:noBreakHyphen/>
        <w:t>EDC</w:t>
      </w:r>
      <w:bookmarkEnd w:id="66"/>
      <w:bookmarkEnd w:id="67"/>
    </w:p>
    <w:p w:rsidR="006F6237" w:rsidRPr="006F6237" w:rsidRDefault="004F6C1B" w:rsidP="006F6237"/>
    <w:p w:rsidR="006F6237" w:rsidRPr="006F6237" w:rsidRDefault="002C5D94" w:rsidP="006F6237">
      <w:r>
        <w:fldChar w:fldCharType="begin"/>
      </w:r>
      <w:r w:rsidR="0046399D">
        <w:instrText xml:space="preserve"> AUTONUM  </w:instrText>
      </w:r>
      <w:r>
        <w:fldChar w:fldCharType="end"/>
      </w:r>
      <w:r w:rsidR="0046399D">
        <w:tab/>
        <w:t>En su reunión celebrada en Ginebra el 6 y el 7 de enero de 2016, el TC</w:t>
      </w:r>
      <w:r w:rsidR="0046399D">
        <w:noBreakHyphen/>
        <w:t xml:space="preserve">EDC examinó </w:t>
      </w:r>
      <w:r w:rsidR="00EF6155">
        <w:t>la propuesta</w:t>
      </w:r>
      <w:r w:rsidR="0046399D">
        <w:t xml:space="preserve"> inicial debatid</w:t>
      </w:r>
      <w:r w:rsidR="00EF6155">
        <w:t>a</w:t>
      </w:r>
      <w:r w:rsidR="0046399D">
        <w:t xml:space="preserve"> en la quincuagésima primera sesión del TC, junto con las observaciones formuladas por los TWP, y </w:t>
      </w:r>
      <w:r w:rsidR="00B44EF7">
        <w:t xml:space="preserve">planteó introducir </w:t>
      </w:r>
      <w:r w:rsidR="0046399D">
        <w:t>las siguientes modificaciones a</w:t>
      </w:r>
      <w:r w:rsidR="00EF6155">
        <w:t xml:space="preserve"> la propuesta</w:t>
      </w:r>
      <w:r w:rsidR="0046399D">
        <w:t xml:space="preserve"> inicial: </w:t>
      </w:r>
    </w:p>
    <w:p w:rsidR="006F6237" w:rsidRPr="006F6237" w:rsidRDefault="004F6C1B" w:rsidP="006F6237"/>
    <w:p w:rsidR="006F6237" w:rsidRPr="00F73192" w:rsidRDefault="0046399D" w:rsidP="006F6237">
      <w:pPr>
        <w:ind w:left="567"/>
        <w:rPr>
          <w:rFonts w:cs="Arial"/>
          <w:sz w:val="18"/>
          <w:szCs w:val="18"/>
        </w:rPr>
      </w:pPr>
      <w:r w:rsidRPr="00F73192">
        <w:rPr>
          <w:rFonts w:cs="Arial"/>
          <w:sz w:val="18"/>
          <w:szCs w:val="18"/>
          <w:cs/>
        </w:rPr>
        <w:t>“</w:t>
      </w:r>
      <w:r w:rsidRPr="00F73192">
        <w:rPr>
          <w:sz w:val="18"/>
          <w:szCs w:val="18"/>
        </w:rPr>
        <w:t>¿Es posible obtener la protección de una variedad sobre la base de su perfil de ADN?</w:t>
      </w:r>
    </w:p>
    <w:p w:rsidR="006F6237" w:rsidRPr="00F73192" w:rsidRDefault="004F6C1B" w:rsidP="006F6237">
      <w:pPr>
        <w:ind w:left="567" w:right="567"/>
        <w:rPr>
          <w:rFonts w:cs="Arial"/>
          <w:sz w:val="18"/>
          <w:szCs w:val="18"/>
        </w:rPr>
      </w:pPr>
    </w:p>
    <w:p w:rsidR="006F6237" w:rsidRPr="00F73192" w:rsidRDefault="0046399D" w:rsidP="006F6237">
      <w:pPr>
        <w:ind w:left="567" w:right="567"/>
        <w:rPr>
          <w:rFonts w:cs="Arial"/>
          <w:strike/>
          <w:sz w:val="18"/>
          <w:szCs w:val="18"/>
        </w:rPr>
      </w:pPr>
      <w:r w:rsidRPr="00F73192">
        <w:rPr>
          <w:rFonts w:cs="Arial"/>
          <w:sz w:val="18"/>
          <w:szCs w:val="18"/>
          <w:cs/>
        </w:rPr>
        <w:t>“</w:t>
      </w:r>
      <w:r w:rsidRPr="00F73192">
        <w:rPr>
          <w:sz w:val="18"/>
          <w:szCs w:val="18"/>
        </w:rPr>
        <w:t xml:space="preserve">Para obtener protección, una variedad ha de poder distinguirse claramente de todas las variedades existentes, sobre la base de caracteres que se expresan físicamente, por ejemplo, altura de la planta, época de floración, color del fruto, resistencia a las enfermedades, etcétera.  </w:t>
      </w:r>
      <w:r w:rsidRPr="00F73192">
        <w:rPr>
          <w:sz w:val="18"/>
          <w:szCs w:val="18"/>
          <w:highlight w:val="lightGray"/>
          <w:u w:val="single"/>
        </w:rPr>
        <w:t xml:space="preserve">La protección de una variedad no puede basarse en su perfil de ADN, aunque esta información se puede </w:t>
      </w:r>
      <w:r w:rsidRPr="00F73192">
        <w:rPr>
          <w:sz w:val="18"/>
          <w:szCs w:val="18"/>
          <w:highlight w:val="lightGray"/>
        </w:rPr>
        <w:t>utilizar en el examen de la distinción, la homogeneidad y la estabilidad (</w:t>
      </w:r>
      <w:r w:rsidRPr="00F73192">
        <w:rPr>
          <w:rFonts w:cs="Arial"/>
          <w:sz w:val="18"/>
          <w:szCs w:val="18"/>
          <w:highlight w:val="lightGray"/>
          <w:cs/>
        </w:rPr>
        <w:t>“</w:t>
      </w:r>
      <w:r w:rsidRPr="00F73192">
        <w:rPr>
          <w:sz w:val="18"/>
          <w:szCs w:val="18"/>
          <w:highlight w:val="lightGray"/>
        </w:rPr>
        <w:t>DHE</w:t>
      </w:r>
      <w:r w:rsidRPr="00F73192">
        <w:rPr>
          <w:rFonts w:cs="Arial"/>
          <w:sz w:val="18"/>
          <w:szCs w:val="18"/>
          <w:highlight w:val="lightGray"/>
          <w:cs/>
        </w:rPr>
        <w:t>”</w:t>
      </w:r>
      <w:r w:rsidRPr="00F73192">
        <w:rPr>
          <w:sz w:val="18"/>
          <w:szCs w:val="18"/>
          <w:highlight w:val="lightGray"/>
        </w:rPr>
        <w:t>).</w:t>
      </w:r>
      <w:r w:rsidRPr="00F73192">
        <w:rPr>
          <w:sz w:val="18"/>
          <w:szCs w:val="18"/>
        </w:rPr>
        <w:t xml:space="preserve">  </w:t>
      </w:r>
      <w:r w:rsidRPr="00F73192">
        <w:rPr>
          <w:strike/>
          <w:sz w:val="18"/>
          <w:szCs w:val="18"/>
          <w:highlight w:val="lightGray"/>
        </w:rPr>
        <w:t>[las técnicas moleculares (los perfiles de ADN) pueden utilizarse como información complementaria].</w:t>
      </w:r>
    </w:p>
    <w:p w:rsidR="006F6237" w:rsidRPr="00F73192" w:rsidRDefault="004F6C1B" w:rsidP="006F6237">
      <w:pPr>
        <w:ind w:left="567" w:right="567"/>
        <w:rPr>
          <w:rFonts w:cs="Arial"/>
          <w:sz w:val="18"/>
          <w:szCs w:val="18"/>
        </w:rPr>
      </w:pPr>
    </w:p>
    <w:p w:rsidR="006F6237" w:rsidRPr="00F73192" w:rsidRDefault="0046399D" w:rsidP="006F6237">
      <w:pPr>
        <w:ind w:left="567" w:right="567"/>
        <w:rPr>
          <w:rFonts w:cs="Arial"/>
          <w:sz w:val="18"/>
          <w:szCs w:val="18"/>
        </w:rPr>
      </w:pPr>
      <w:r w:rsidRPr="00F73192">
        <w:rPr>
          <w:rFonts w:cs="Arial"/>
          <w:sz w:val="18"/>
          <w:szCs w:val="18"/>
          <w:cs/>
        </w:rPr>
        <w:t>“</w:t>
      </w:r>
      <w:r w:rsidRPr="00F73192">
        <w:rPr>
          <w:sz w:val="18"/>
          <w:szCs w:val="18"/>
        </w:rPr>
        <w:t xml:space="preserve">En la pregunta frecuente </w:t>
      </w:r>
      <w:r w:rsidRPr="00F73192">
        <w:rPr>
          <w:rFonts w:cs="Arial"/>
          <w:sz w:val="18"/>
          <w:szCs w:val="18"/>
          <w:cs/>
        </w:rPr>
        <w:t>“</w:t>
      </w:r>
      <w:r w:rsidRPr="00F73192">
        <w:rPr>
          <w:sz w:val="18"/>
          <w:szCs w:val="18"/>
        </w:rPr>
        <w:t>¿Permite la UPOV la utilización de técnicas moleculares (perfiles de ADN) en el examen de la distinción, la homogeneidad y la estabilidad (</w:t>
      </w:r>
      <w:r w:rsidRPr="00F73192">
        <w:rPr>
          <w:rFonts w:cs="Arial"/>
          <w:sz w:val="18"/>
          <w:szCs w:val="18"/>
          <w:cs/>
        </w:rPr>
        <w:t>“</w:t>
      </w:r>
      <w:r w:rsidRPr="00F73192">
        <w:rPr>
          <w:sz w:val="18"/>
          <w:szCs w:val="18"/>
        </w:rPr>
        <w:t>DHE</w:t>
      </w:r>
      <w:r w:rsidRPr="00F73192">
        <w:rPr>
          <w:rFonts w:cs="Arial"/>
          <w:sz w:val="18"/>
          <w:szCs w:val="18"/>
          <w:cs/>
        </w:rPr>
        <w:t>”</w:t>
      </w:r>
      <w:r w:rsidRPr="00F73192">
        <w:rPr>
          <w:sz w:val="18"/>
          <w:szCs w:val="18"/>
        </w:rPr>
        <w:t>)?</w:t>
      </w:r>
      <w:r w:rsidRPr="00F73192">
        <w:rPr>
          <w:rFonts w:cs="Arial"/>
          <w:sz w:val="18"/>
          <w:szCs w:val="18"/>
          <w:cs/>
        </w:rPr>
        <w:t xml:space="preserve">” </w:t>
      </w:r>
      <w:r w:rsidRPr="00F73192">
        <w:rPr>
          <w:sz w:val="18"/>
          <w:szCs w:val="18"/>
        </w:rPr>
        <w:t>figura una explicación más detallada.</w:t>
      </w:r>
    </w:p>
    <w:p w:rsidR="006F6237" w:rsidRPr="006F6237" w:rsidRDefault="004F6C1B" w:rsidP="006F6237">
      <w:pPr>
        <w:ind w:left="567" w:right="567"/>
        <w:rPr>
          <w:rFonts w:cs="Arial"/>
          <w:sz w:val="18"/>
          <w:szCs w:val="24"/>
        </w:rPr>
      </w:pPr>
    </w:p>
    <w:p w:rsidR="006F6237" w:rsidRPr="006F6237" w:rsidRDefault="0046399D" w:rsidP="006F6237">
      <w:pPr>
        <w:ind w:left="567" w:right="567"/>
        <w:rPr>
          <w:rFonts w:cs="Arial"/>
          <w:sz w:val="18"/>
          <w:szCs w:val="24"/>
        </w:rPr>
      </w:pPr>
      <w:r>
        <w:rPr>
          <w:rFonts w:cs="Arial"/>
          <w:sz w:val="18"/>
          <w:cs/>
        </w:rPr>
        <w:t>“</w:t>
      </w:r>
      <w:r>
        <w:rPr>
          <w:sz w:val="18"/>
        </w:rPr>
        <w:t>Véase también:</w:t>
      </w:r>
    </w:p>
    <w:p w:rsidR="006F6237" w:rsidRPr="006F6237" w:rsidRDefault="0046399D" w:rsidP="006F6237">
      <w:pPr>
        <w:ind w:left="567" w:right="567"/>
        <w:rPr>
          <w:rFonts w:cs="Arial"/>
          <w:sz w:val="18"/>
          <w:szCs w:val="24"/>
        </w:rPr>
      </w:pPr>
      <w:r>
        <w:rPr>
          <w:rFonts w:cs="Arial"/>
          <w:sz w:val="18"/>
          <w:cs/>
        </w:rPr>
        <w:t>“</w:t>
      </w:r>
      <w:r>
        <w:rPr>
          <w:sz w:val="18"/>
        </w:rPr>
        <w:t>¿Qué requisitos ha de cumplir una obtención vegetal para recibir protección?</w:t>
      </w:r>
      <w:r>
        <w:rPr>
          <w:rFonts w:cs="Arial"/>
          <w:sz w:val="18"/>
          <w:cs/>
        </w:rPr>
        <w:t>”</w:t>
      </w:r>
    </w:p>
    <w:p w:rsidR="006F6237" w:rsidRPr="006F6237" w:rsidRDefault="004F6C1B" w:rsidP="006F6237">
      <w:pPr>
        <w:rPr>
          <w:snapToGrid w:val="0"/>
          <w:color w:val="000000"/>
        </w:rPr>
      </w:pPr>
    </w:p>
    <w:p w:rsidR="006F6237" w:rsidRPr="006F6237" w:rsidRDefault="002C5D94" w:rsidP="006F6237">
      <w:pPr>
        <w:tabs>
          <w:tab w:val="left" w:pos="5103"/>
        </w:tabs>
        <w:ind w:left="4536"/>
        <w:rPr>
          <w:i/>
        </w:rPr>
      </w:pPr>
      <w:r>
        <w:rPr>
          <w:i/>
        </w:rPr>
        <w:fldChar w:fldCharType="begin"/>
      </w:r>
      <w:r w:rsidR="0046399D">
        <w:rPr>
          <w:i/>
        </w:rPr>
        <w:instrText xml:space="preserve"> AUTONUM  </w:instrText>
      </w:r>
      <w:r>
        <w:rPr>
          <w:i/>
        </w:rPr>
        <w:fldChar w:fldCharType="end"/>
      </w:r>
      <w:r w:rsidR="0046399D">
        <w:rPr>
          <w:i/>
        </w:rPr>
        <w:tab/>
        <w:t>Se invita al TC a:</w:t>
      </w:r>
    </w:p>
    <w:p w:rsidR="006F6237" w:rsidRPr="006F6237" w:rsidRDefault="004F6C1B" w:rsidP="006F6237">
      <w:pPr>
        <w:tabs>
          <w:tab w:val="left" w:pos="5387"/>
        </w:tabs>
        <w:ind w:left="4536"/>
        <w:rPr>
          <w:i/>
        </w:rPr>
      </w:pPr>
    </w:p>
    <w:p w:rsidR="006F6237" w:rsidRPr="00FB4037" w:rsidRDefault="0046399D" w:rsidP="006F6237">
      <w:pPr>
        <w:tabs>
          <w:tab w:val="left" w:pos="5103"/>
          <w:tab w:val="left" w:pos="5670"/>
        </w:tabs>
        <w:ind w:left="4536" w:firstLine="567"/>
        <w:rPr>
          <w:i/>
        </w:rPr>
      </w:pPr>
      <w:r w:rsidRPr="00FB4037">
        <w:rPr>
          <w:i/>
        </w:rPr>
        <w:t>a)</w:t>
      </w:r>
      <w:r w:rsidRPr="00FB4037">
        <w:rPr>
          <w:i/>
        </w:rPr>
        <w:tab/>
        <w:t>tomar nota del informe sobre las novedades que se han producido en los</w:t>
      </w:r>
      <w:r w:rsidR="00F73192" w:rsidRPr="00FB4037">
        <w:rPr>
          <w:i/>
        </w:rPr>
        <w:t> </w:t>
      </w:r>
      <w:r w:rsidRPr="00FB4037">
        <w:rPr>
          <w:i/>
        </w:rPr>
        <w:t xml:space="preserve">TWP y el BMT, </w:t>
      </w:r>
      <w:r w:rsidR="00FB4037" w:rsidRPr="00FB4037">
        <w:rPr>
          <w:i/>
        </w:rPr>
        <w:t>según se</w:t>
      </w:r>
      <w:r w:rsidRPr="00FB4037">
        <w:rPr>
          <w:i/>
        </w:rPr>
        <w:t xml:space="preserve"> expone en los párrafos 5 al 15 del presente documento;</w:t>
      </w:r>
    </w:p>
    <w:p w:rsidR="006F6237" w:rsidRPr="006F6237" w:rsidRDefault="004F6C1B" w:rsidP="006F6237">
      <w:pPr>
        <w:tabs>
          <w:tab w:val="left" w:pos="5103"/>
          <w:tab w:val="left" w:pos="5670"/>
        </w:tabs>
        <w:ind w:left="4536" w:firstLine="567"/>
        <w:rPr>
          <w:i/>
        </w:rPr>
      </w:pPr>
    </w:p>
    <w:p w:rsidR="006F6237" w:rsidRPr="006F6237" w:rsidRDefault="0046399D" w:rsidP="006F6237">
      <w:pPr>
        <w:tabs>
          <w:tab w:val="left" w:pos="5103"/>
          <w:tab w:val="left" w:pos="5670"/>
        </w:tabs>
        <w:ind w:left="4536" w:firstLine="567"/>
        <w:rPr>
          <w:i/>
        </w:rPr>
      </w:pPr>
      <w:r>
        <w:rPr>
          <w:i/>
        </w:rPr>
        <w:t>b)</w:t>
      </w:r>
      <w:r>
        <w:rPr>
          <w:i/>
        </w:rPr>
        <w:tab/>
        <w:t>tomar nota de los planes de los Sistemas de semillas de la OCDE de organizar un Taller conjunto entre la OCDE, la UPOV, la ISTA y la AOSA sobre técnicas bioquímicas y moleculares en París (Francia), el 7 y el 8 de junio de 2016;</w:t>
      </w:r>
    </w:p>
    <w:p w:rsidR="006F6237" w:rsidRPr="006F6237" w:rsidRDefault="004F6C1B" w:rsidP="006F6237">
      <w:pPr>
        <w:tabs>
          <w:tab w:val="left" w:pos="5103"/>
          <w:tab w:val="left" w:pos="5670"/>
        </w:tabs>
        <w:ind w:left="4536" w:firstLine="567"/>
        <w:rPr>
          <w:i/>
        </w:rPr>
      </w:pPr>
    </w:p>
    <w:p w:rsidR="006F6237" w:rsidRPr="006F6237" w:rsidRDefault="0046399D" w:rsidP="006F6237">
      <w:pPr>
        <w:tabs>
          <w:tab w:val="left" w:pos="5103"/>
          <w:tab w:val="left" w:pos="5670"/>
        </w:tabs>
        <w:ind w:left="4536" w:firstLine="567"/>
        <w:rPr>
          <w:i/>
        </w:rPr>
      </w:pPr>
      <w:r>
        <w:rPr>
          <w:i/>
        </w:rPr>
        <w:t>c)</w:t>
      </w:r>
      <w:r>
        <w:rPr>
          <w:i/>
        </w:rPr>
        <w:tab/>
        <w:t>tomar nota de que las observaciones formuladas por la OCDE y la ISTA sobre las características principales de los sistemas de la OCDE, la UPOV y la ISTA se notificarán al TC en su quincuagésima tercera sesión;</w:t>
      </w:r>
    </w:p>
    <w:p w:rsidR="006F6237" w:rsidRPr="006F6237" w:rsidRDefault="004F6C1B" w:rsidP="006F6237">
      <w:pPr>
        <w:tabs>
          <w:tab w:val="left" w:pos="5103"/>
          <w:tab w:val="left" w:pos="5670"/>
        </w:tabs>
        <w:ind w:left="4536" w:firstLine="567"/>
        <w:rPr>
          <w:i/>
        </w:rPr>
      </w:pPr>
    </w:p>
    <w:p w:rsidR="006F6237" w:rsidRPr="006F6237" w:rsidRDefault="0046399D" w:rsidP="005513CE">
      <w:pPr>
        <w:tabs>
          <w:tab w:val="left" w:pos="5103"/>
          <w:tab w:val="left" w:pos="5670"/>
        </w:tabs>
        <w:ind w:left="4536" w:firstLine="567"/>
        <w:rPr>
          <w:i/>
        </w:rPr>
      </w:pPr>
      <w:r>
        <w:rPr>
          <w:i/>
        </w:rPr>
        <w:t>d)</w:t>
      </w:r>
      <w:r>
        <w:rPr>
          <w:i/>
        </w:rPr>
        <w:tab/>
        <w:t>tomar nota de que las observaciones formuladas por la OCDE y la ISTA sobre la utilización de técnicas basadas en marcadores moleculares, por cultivos, se notificarán al TC en su quincuagésima tercera sesión;</w:t>
      </w:r>
    </w:p>
    <w:p w:rsidR="006F6237" w:rsidRPr="006F6237" w:rsidRDefault="004F6C1B" w:rsidP="005513CE">
      <w:pPr>
        <w:tabs>
          <w:tab w:val="left" w:pos="5103"/>
          <w:tab w:val="left" w:pos="5670"/>
        </w:tabs>
        <w:ind w:left="4536" w:firstLine="567"/>
        <w:rPr>
          <w:i/>
        </w:rPr>
      </w:pPr>
    </w:p>
    <w:p w:rsidR="006F6237" w:rsidRPr="006F6237" w:rsidRDefault="0046399D" w:rsidP="005513CE">
      <w:pPr>
        <w:tabs>
          <w:tab w:val="left" w:pos="5103"/>
          <w:tab w:val="left" w:pos="5670"/>
        </w:tabs>
        <w:ind w:left="4536" w:firstLine="567"/>
        <w:rPr>
          <w:i/>
        </w:rPr>
      </w:pPr>
      <w:r>
        <w:rPr>
          <w:i/>
        </w:rPr>
        <w:t>e)</w:t>
      </w:r>
      <w:r>
        <w:rPr>
          <w:i/>
        </w:rPr>
        <w:tab/>
        <w:t>tomar nota de que se invitará al BMT, en su decimoquinta reunión, a elaborar una lista de posibles iniciativas conjuntas con la OCDE y la ISTA, que se presentarán al TC en su quincuagésima tercera sesión;</w:t>
      </w:r>
      <w:r w:rsidR="00FB4037">
        <w:rPr>
          <w:i/>
        </w:rPr>
        <w:t>  </w:t>
      </w:r>
      <w:r>
        <w:rPr>
          <w:i/>
        </w:rPr>
        <w:t>y</w:t>
      </w:r>
    </w:p>
    <w:p w:rsidR="006F6237" w:rsidRPr="006F6237" w:rsidRDefault="004F6C1B" w:rsidP="005513CE">
      <w:pPr>
        <w:tabs>
          <w:tab w:val="left" w:pos="5670"/>
        </w:tabs>
        <w:ind w:left="4536" w:firstLine="567"/>
        <w:rPr>
          <w:i/>
        </w:rPr>
      </w:pPr>
    </w:p>
    <w:p w:rsidR="006F6237" w:rsidRPr="006F6237" w:rsidRDefault="0046399D" w:rsidP="005513CE">
      <w:pPr>
        <w:tabs>
          <w:tab w:val="left" w:pos="5670"/>
        </w:tabs>
        <w:ind w:left="4536" w:firstLine="567"/>
        <w:rPr>
          <w:rFonts w:cs="Arial"/>
          <w:i/>
        </w:rPr>
      </w:pPr>
      <w:r>
        <w:rPr>
          <w:i/>
        </w:rPr>
        <w:t>f)</w:t>
      </w:r>
      <w:r>
        <w:rPr>
          <w:i/>
        </w:rPr>
        <w:tab/>
        <w:t>examinar una propuesta de pregunta y respuesta relativa a la información sobre la situación en la UPOV en lo que respecta al uso de técnicas moleculares, para un público más amplio, que incluya al público en general, según consta en el párrafo 38 de este documento.</w:t>
      </w:r>
    </w:p>
    <w:p w:rsidR="006F6237" w:rsidRPr="006F6237" w:rsidRDefault="004F6C1B" w:rsidP="005513CE">
      <w:pPr>
        <w:tabs>
          <w:tab w:val="left" w:pos="5670"/>
        </w:tabs>
        <w:ind w:left="4536" w:firstLine="567"/>
        <w:rPr>
          <w:rFonts w:cs="Arial"/>
        </w:rPr>
      </w:pPr>
    </w:p>
    <w:p w:rsidR="006F6237" w:rsidRPr="006F6237" w:rsidRDefault="004F6C1B" w:rsidP="005513CE">
      <w:pPr>
        <w:tabs>
          <w:tab w:val="left" w:pos="5670"/>
        </w:tabs>
        <w:ind w:left="4536" w:firstLine="567"/>
        <w:rPr>
          <w:rFonts w:cs="Arial"/>
        </w:rPr>
      </w:pPr>
    </w:p>
    <w:p w:rsidR="006F6237" w:rsidRPr="006F6237" w:rsidRDefault="004F6C1B" w:rsidP="005513CE">
      <w:pPr>
        <w:tabs>
          <w:tab w:val="left" w:pos="5670"/>
        </w:tabs>
        <w:ind w:left="4536" w:firstLine="567"/>
        <w:rPr>
          <w:rFonts w:cs="Arial"/>
        </w:rPr>
      </w:pPr>
    </w:p>
    <w:p w:rsidR="006F6237" w:rsidRPr="006F6237" w:rsidRDefault="0046399D" w:rsidP="005513CE">
      <w:pPr>
        <w:tabs>
          <w:tab w:val="left" w:pos="5670"/>
        </w:tabs>
        <w:ind w:left="4536" w:firstLine="567"/>
        <w:jc w:val="right"/>
        <w:rPr>
          <w:rFonts w:cs="Arial"/>
        </w:rPr>
      </w:pPr>
      <w:r>
        <w:t>[Sigue el Anexo]</w:t>
      </w:r>
    </w:p>
    <w:p w:rsidR="006F6237" w:rsidRPr="006F6237" w:rsidRDefault="004F6C1B" w:rsidP="005513CE">
      <w:pPr>
        <w:jc w:val="left"/>
      </w:pPr>
    </w:p>
    <w:p w:rsidR="002C5D94" w:rsidRDefault="002C5D94" w:rsidP="006F6237">
      <w:pPr>
        <w:jc w:val="left"/>
        <w:sectPr w:rsidR="002C5D94" w:rsidSect="00BD08E2">
          <w:headerReference w:type="default" r:id="rId9"/>
          <w:pgSz w:w="11907" w:h="16840" w:code="9"/>
          <w:pgMar w:top="510" w:right="1134" w:bottom="1134" w:left="1134" w:header="510" w:footer="680" w:gutter="0"/>
          <w:cols w:space="720"/>
          <w:titlePg/>
        </w:sectPr>
      </w:pPr>
    </w:p>
    <w:p w:rsidR="00990411" w:rsidRPr="00F33D64" w:rsidRDefault="00990411" w:rsidP="00990411">
      <w:pPr>
        <w:pStyle w:val="Header"/>
        <w:jc w:val="left"/>
      </w:pPr>
    </w:p>
    <w:p w:rsidR="00990411" w:rsidRPr="00F33D64" w:rsidRDefault="00990411" w:rsidP="00990411">
      <w:pPr>
        <w:spacing w:before="60" w:after="120"/>
        <w:jc w:val="center"/>
      </w:pPr>
      <w:r w:rsidRPr="00F33D64">
        <w:rPr>
          <w:lang w:val="es-ES_tradnl"/>
        </w:rPr>
        <w:t>FUNCIÓN DEL GRUPO DE TRABAJO SOBRE TÉCNICAS BIOQUÍMICAS Y MOLECULARES, Y PERFILES DE ADN EN PARTICULAR (BMT)</w:t>
      </w:r>
    </w:p>
    <w:p w:rsidR="00990411" w:rsidRPr="00F33D64" w:rsidRDefault="00990411" w:rsidP="00990411">
      <w:pPr>
        <w:spacing w:before="60" w:after="120"/>
        <w:jc w:val="center"/>
        <w:rPr>
          <w:i/>
        </w:rPr>
      </w:pPr>
      <w:r w:rsidRPr="00F33D64">
        <w:rPr>
          <w:i/>
          <w:lang w:val="es-ES_tradnl"/>
        </w:rPr>
        <w:t>(Tal como acordó el Comité Técnico en su trigésima octava sesión, celebrada en Ginebra</w:t>
      </w:r>
      <w:r w:rsidR="007C1A8F">
        <w:rPr>
          <w:i/>
          <w:lang w:val="es-ES_tradnl"/>
        </w:rPr>
        <w:t xml:space="preserve"> </w:t>
      </w:r>
      <w:r w:rsidRPr="00F33D64">
        <w:rPr>
          <w:i/>
          <w:lang w:val="es-ES_tradnl"/>
        </w:rPr>
        <w:t>del 15 al 17 de abril de 2002 (véase el documento TC/38/16, párrafo 204))</w:t>
      </w:r>
    </w:p>
    <w:p w:rsidR="00990411" w:rsidRPr="00F33D64" w:rsidRDefault="00990411" w:rsidP="00990411">
      <w:pPr>
        <w:spacing w:before="60" w:after="60"/>
      </w:pPr>
    </w:p>
    <w:p w:rsidR="00990411" w:rsidRPr="00F33D64" w:rsidRDefault="00990411" w:rsidP="00990411">
      <w:pPr>
        <w:spacing w:before="60" w:after="60"/>
      </w:pPr>
      <w:r w:rsidRPr="00F33D64">
        <w:rPr>
          <w:lang w:val="es-ES_tradnl"/>
        </w:rPr>
        <w:t>El BMT es un grupo compuesto por expertos en el examen DHE, especialistas en técnicas bioquímicas y moleculares y obtentores cuya función consiste en:</w:t>
      </w:r>
    </w:p>
    <w:p w:rsidR="00990411" w:rsidRPr="00F33D64" w:rsidRDefault="00990411" w:rsidP="00990411">
      <w:pPr>
        <w:spacing w:before="60" w:after="60"/>
      </w:pPr>
    </w:p>
    <w:p w:rsidR="00990411" w:rsidRPr="00990411" w:rsidRDefault="00990411" w:rsidP="00990411">
      <w:pPr>
        <w:tabs>
          <w:tab w:val="left" w:pos="1134"/>
        </w:tabs>
        <w:spacing w:before="60" w:after="60"/>
        <w:ind w:left="1134" w:hanging="708"/>
        <w:contextualSpacing/>
        <w:rPr>
          <w:lang w:val="es-ES_tradnl"/>
        </w:rPr>
      </w:pPr>
      <w:r>
        <w:rPr>
          <w:lang w:val="es-ES_tradnl"/>
        </w:rPr>
        <w:t>i)</w:t>
      </w:r>
      <w:r>
        <w:rPr>
          <w:lang w:val="es-ES_tradnl"/>
        </w:rPr>
        <w:tab/>
      </w:r>
      <w:r w:rsidRPr="00990411">
        <w:rPr>
          <w:lang w:val="es-ES_tradnl"/>
        </w:rPr>
        <w:t>examinar la evolución general de las técnicas bioquímicas y moleculares;</w:t>
      </w:r>
    </w:p>
    <w:p w:rsidR="00990411" w:rsidRPr="00990411" w:rsidRDefault="00990411" w:rsidP="00990411">
      <w:pPr>
        <w:tabs>
          <w:tab w:val="left" w:pos="1134"/>
        </w:tabs>
        <w:spacing w:before="60" w:after="60"/>
        <w:ind w:left="1134" w:hanging="708"/>
        <w:contextualSpacing/>
        <w:rPr>
          <w:lang w:val="es-ES_tradnl"/>
        </w:rPr>
      </w:pPr>
    </w:p>
    <w:p w:rsidR="00990411" w:rsidRPr="00990411" w:rsidRDefault="00990411" w:rsidP="00990411">
      <w:pPr>
        <w:tabs>
          <w:tab w:val="left" w:pos="1134"/>
        </w:tabs>
        <w:spacing w:before="60" w:after="60"/>
        <w:ind w:left="1134" w:hanging="708"/>
        <w:contextualSpacing/>
        <w:rPr>
          <w:lang w:val="es-ES_tradnl"/>
        </w:rPr>
      </w:pPr>
      <w:r>
        <w:rPr>
          <w:lang w:val="es-ES_tradnl"/>
        </w:rPr>
        <w:t>ii)</w:t>
      </w:r>
      <w:r>
        <w:rPr>
          <w:lang w:val="es-ES_tradnl"/>
        </w:rPr>
        <w:tab/>
      </w:r>
      <w:r w:rsidRPr="00990411">
        <w:rPr>
          <w:lang w:val="es-ES_tradnl"/>
        </w:rPr>
        <w:t xml:space="preserve">informar acerca de las aplicaciones pertinentes de las técnicas bioquímicas y moleculares al fitomejoramiento; </w:t>
      </w:r>
    </w:p>
    <w:p w:rsidR="00990411" w:rsidRPr="00990411" w:rsidRDefault="00990411" w:rsidP="00990411">
      <w:pPr>
        <w:tabs>
          <w:tab w:val="left" w:pos="1134"/>
        </w:tabs>
        <w:spacing w:before="60" w:after="60"/>
        <w:ind w:left="1134" w:hanging="708"/>
        <w:contextualSpacing/>
        <w:rPr>
          <w:lang w:val="es-ES_tradnl"/>
        </w:rPr>
      </w:pPr>
    </w:p>
    <w:p w:rsidR="00990411" w:rsidRPr="00990411" w:rsidRDefault="00990411" w:rsidP="00990411">
      <w:pPr>
        <w:tabs>
          <w:tab w:val="left" w:pos="1134"/>
        </w:tabs>
        <w:spacing w:before="60" w:after="60"/>
        <w:ind w:left="1134" w:hanging="708"/>
        <w:contextualSpacing/>
        <w:rPr>
          <w:lang w:val="es-ES_tradnl"/>
        </w:rPr>
      </w:pPr>
      <w:r>
        <w:rPr>
          <w:lang w:val="es-ES_tradnl"/>
        </w:rPr>
        <w:t>iii)</w:t>
      </w:r>
      <w:r>
        <w:rPr>
          <w:lang w:val="es-ES_tradnl"/>
        </w:rPr>
        <w:tab/>
      </w:r>
      <w:r w:rsidRPr="00990411">
        <w:rPr>
          <w:lang w:val="es-ES_tradnl"/>
        </w:rPr>
        <w:t>estudiar la posible aplicación de técnicas bioquímicas y moleculares al examen DHE e informar sobre sus conclusiones al TC;</w:t>
      </w:r>
    </w:p>
    <w:p w:rsidR="00990411" w:rsidRPr="00990411" w:rsidRDefault="00990411" w:rsidP="00990411">
      <w:pPr>
        <w:tabs>
          <w:tab w:val="left" w:pos="1134"/>
        </w:tabs>
        <w:spacing w:before="60" w:after="60"/>
        <w:ind w:left="1134" w:hanging="708"/>
        <w:contextualSpacing/>
        <w:rPr>
          <w:lang w:val="es-ES_tradnl"/>
        </w:rPr>
      </w:pPr>
    </w:p>
    <w:p w:rsidR="00990411" w:rsidRPr="00990411" w:rsidRDefault="00990411" w:rsidP="00990411">
      <w:pPr>
        <w:tabs>
          <w:tab w:val="left" w:pos="1134"/>
        </w:tabs>
        <w:spacing w:before="60" w:after="60"/>
        <w:ind w:left="1134" w:hanging="708"/>
        <w:contextualSpacing/>
        <w:rPr>
          <w:lang w:val="es-ES_tradnl"/>
        </w:rPr>
      </w:pPr>
      <w:r>
        <w:rPr>
          <w:lang w:val="es-ES_tradnl"/>
        </w:rPr>
        <w:t>iv)</w:t>
      </w:r>
      <w:r>
        <w:rPr>
          <w:lang w:val="es-ES_tradnl"/>
        </w:rPr>
        <w:tab/>
      </w:r>
      <w:r w:rsidRPr="00990411">
        <w:rPr>
          <w:lang w:val="es-ES_tradnl"/>
        </w:rPr>
        <w:t xml:space="preserve">si procede, elaborar directrices para metodologías bioquímicas y moleculares y su armonización y, en particular, contribuir a la elaboración del documento TGP/15, “Nuevos tipos de caracteres.”  Estas directrices se elaborarán en colaboración con los Grupos de Trabajo Técnico; </w:t>
      </w:r>
    </w:p>
    <w:p w:rsidR="00990411" w:rsidRPr="00990411" w:rsidRDefault="00990411" w:rsidP="00990411">
      <w:pPr>
        <w:tabs>
          <w:tab w:val="left" w:pos="1134"/>
        </w:tabs>
        <w:spacing w:before="60" w:after="60"/>
        <w:ind w:left="1134" w:hanging="708"/>
        <w:contextualSpacing/>
        <w:rPr>
          <w:lang w:val="es-ES_tradnl"/>
        </w:rPr>
      </w:pPr>
    </w:p>
    <w:p w:rsidR="00990411" w:rsidRPr="00990411" w:rsidRDefault="00990411" w:rsidP="00990411">
      <w:pPr>
        <w:tabs>
          <w:tab w:val="left" w:pos="1134"/>
        </w:tabs>
        <w:spacing w:before="60" w:after="60"/>
        <w:ind w:left="1134" w:hanging="708"/>
        <w:contextualSpacing/>
        <w:rPr>
          <w:lang w:val="es-ES_tradnl"/>
        </w:rPr>
      </w:pPr>
      <w:r>
        <w:rPr>
          <w:lang w:val="es-ES_tradnl"/>
        </w:rPr>
        <w:t>v)</w:t>
      </w:r>
      <w:r>
        <w:rPr>
          <w:lang w:val="es-ES_tradnl"/>
        </w:rPr>
        <w:tab/>
      </w:r>
      <w:r w:rsidRPr="00990411">
        <w:rPr>
          <w:lang w:val="es-ES_tradnl"/>
        </w:rPr>
        <w:t>examinar las iniciativas de los TWP sobre el establecimiento de subgrupos sobre cultivos específicos, tomando en consideración la información disponible y la necesidad de métodos bioquímicos y moleculares;</w:t>
      </w:r>
    </w:p>
    <w:p w:rsidR="00990411" w:rsidRPr="00990411" w:rsidRDefault="00990411" w:rsidP="00990411">
      <w:pPr>
        <w:tabs>
          <w:tab w:val="left" w:pos="1134"/>
        </w:tabs>
        <w:spacing w:before="60" w:after="60"/>
        <w:ind w:left="1134" w:hanging="708"/>
        <w:contextualSpacing/>
        <w:rPr>
          <w:lang w:val="es-ES_tradnl"/>
        </w:rPr>
      </w:pPr>
    </w:p>
    <w:p w:rsidR="00990411" w:rsidRPr="00990411" w:rsidRDefault="00990411" w:rsidP="00990411">
      <w:pPr>
        <w:tabs>
          <w:tab w:val="left" w:pos="1134"/>
        </w:tabs>
        <w:spacing w:before="60" w:after="60"/>
        <w:ind w:left="1134" w:hanging="708"/>
        <w:contextualSpacing/>
        <w:rPr>
          <w:lang w:val="es-ES_tradnl"/>
        </w:rPr>
      </w:pPr>
      <w:r>
        <w:rPr>
          <w:lang w:val="es-ES_tradnl"/>
        </w:rPr>
        <w:t>vi)</w:t>
      </w:r>
      <w:r>
        <w:rPr>
          <w:lang w:val="es-ES_tradnl"/>
        </w:rPr>
        <w:tab/>
      </w:r>
      <w:r w:rsidRPr="00990411">
        <w:rPr>
          <w:lang w:val="es-ES_tradnl"/>
        </w:rPr>
        <w:t>elaborar directrices en relación con la gestión y la armonización de bases de datos sobre información bioquímica y molecular, en colaboración con el TWC;</w:t>
      </w:r>
    </w:p>
    <w:p w:rsidR="00990411" w:rsidRPr="00990411" w:rsidRDefault="00990411" w:rsidP="00990411">
      <w:pPr>
        <w:tabs>
          <w:tab w:val="left" w:pos="1134"/>
        </w:tabs>
        <w:spacing w:before="60" w:after="60"/>
        <w:ind w:left="1134" w:hanging="708"/>
        <w:contextualSpacing/>
        <w:rPr>
          <w:lang w:val="es-ES_tradnl"/>
        </w:rPr>
      </w:pPr>
    </w:p>
    <w:p w:rsidR="00990411" w:rsidRPr="00990411" w:rsidRDefault="00990411" w:rsidP="00990411">
      <w:pPr>
        <w:tabs>
          <w:tab w:val="left" w:pos="1134"/>
        </w:tabs>
        <w:spacing w:before="60" w:after="60"/>
        <w:ind w:left="1134" w:hanging="708"/>
        <w:contextualSpacing/>
        <w:rPr>
          <w:lang w:val="es-ES_tradnl"/>
        </w:rPr>
      </w:pPr>
      <w:r>
        <w:rPr>
          <w:lang w:val="es-ES_tradnl"/>
        </w:rPr>
        <w:t>vii)</w:t>
      </w:r>
      <w:r>
        <w:rPr>
          <w:lang w:val="es-ES_tradnl"/>
        </w:rPr>
        <w:tab/>
      </w:r>
      <w:r w:rsidRPr="00990411">
        <w:rPr>
          <w:lang w:val="es-ES_tradnl"/>
        </w:rPr>
        <w:t>recibir informes de los Subgrupos sobre Cultivos y del Grupo de Consulta del BMT;</w:t>
      </w:r>
    </w:p>
    <w:p w:rsidR="00990411" w:rsidRPr="00990411" w:rsidRDefault="00990411" w:rsidP="00990411">
      <w:pPr>
        <w:tabs>
          <w:tab w:val="left" w:pos="1134"/>
        </w:tabs>
        <w:spacing w:before="60" w:after="60"/>
        <w:ind w:left="1134" w:hanging="708"/>
        <w:contextualSpacing/>
        <w:rPr>
          <w:lang w:val="es-ES_tradnl"/>
        </w:rPr>
      </w:pPr>
    </w:p>
    <w:p w:rsidR="00990411" w:rsidRPr="00990411" w:rsidRDefault="00990411" w:rsidP="00990411">
      <w:pPr>
        <w:tabs>
          <w:tab w:val="left" w:pos="1134"/>
        </w:tabs>
        <w:spacing w:before="60" w:after="60"/>
        <w:ind w:left="1134" w:hanging="708"/>
        <w:contextualSpacing/>
        <w:rPr>
          <w:lang w:val="es-ES_tradnl"/>
        </w:rPr>
      </w:pPr>
      <w:r>
        <w:rPr>
          <w:lang w:val="es-ES_tradnl"/>
        </w:rPr>
        <w:t>viii)</w:t>
      </w:r>
      <w:r>
        <w:rPr>
          <w:lang w:val="es-ES_tradnl"/>
        </w:rPr>
        <w:tab/>
      </w:r>
      <w:r w:rsidRPr="00990411">
        <w:rPr>
          <w:lang w:val="es-ES_tradnl"/>
        </w:rPr>
        <w:t>constituir un foro para debatir la utilización de técnicas bioquímicas y moleculares en las consideraciones de las variedades esencialmente derivadas y la identificación de variedades.</w:t>
      </w:r>
    </w:p>
    <w:p w:rsidR="00990411" w:rsidRPr="00F33D64" w:rsidRDefault="00990411" w:rsidP="00990411"/>
    <w:p w:rsidR="006F6237" w:rsidRDefault="004F6C1B" w:rsidP="006F6237">
      <w:pPr>
        <w:jc w:val="left"/>
      </w:pPr>
      <w:bookmarkStart w:id="72" w:name="_GoBack"/>
      <w:bookmarkEnd w:id="72"/>
    </w:p>
    <w:p w:rsidR="005513CE" w:rsidRPr="006F6237" w:rsidRDefault="005513CE" w:rsidP="006F6237">
      <w:pPr>
        <w:jc w:val="left"/>
      </w:pPr>
    </w:p>
    <w:p w:rsidR="00361821" w:rsidRPr="00D17133" w:rsidRDefault="00990411" w:rsidP="00D17133">
      <w:pPr>
        <w:jc w:val="right"/>
        <w:rPr>
          <w:snapToGrid w:val="0"/>
        </w:rPr>
      </w:pPr>
      <w:r w:rsidRPr="00F33D64">
        <w:rPr>
          <w:snapToGrid w:val="0"/>
          <w:lang w:val="es-ES_tradnl"/>
        </w:rPr>
        <w:t xml:space="preserve">[Fin del </w:t>
      </w:r>
      <w:r>
        <w:rPr>
          <w:snapToGrid w:val="0"/>
          <w:lang w:val="es-ES_tradnl"/>
        </w:rPr>
        <w:t>Anexo</w:t>
      </w:r>
      <w:r w:rsidRPr="00F33D64">
        <w:rPr>
          <w:snapToGrid w:val="0"/>
          <w:lang w:val="es-ES_tradnl"/>
        </w:rPr>
        <w:t xml:space="preserve"> y del documento]</w:t>
      </w:r>
    </w:p>
    <w:sectPr w:rsidR="00361821" w:rsidRPr="00D17133" w:rsidSect="00E047CC">
      <w:headerReference w:type="default" r:id="rId10"/>
      <w:headerReference w:type="first" r:id="rId11"/>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DD1" w:rsidRDefault="00E32DD1" w:rsidP="00F45372">
      <w:r>
        <w:separator/>
      </w:r>
    </w:p>
    <w:p w:rsidR="00E32DD1" w:rsidRDefault="00E32DD1" w:rsidP="00F45372"/>
    <w:p w:rsidR="00E32DD1" w:rsidRDefault="00E32DD1" w:rsidP="00F45372"/>
  </w:endnote>
  <w:endnote w:type="continuationSeparator" w:id="0">
    <w:p w:rsidR="00E32DD1" w:rsidRDefault="00E32DD1" w:rsidP="00F45372">
      <w:r>
        <w:separator/>
      </w:r>
    </w:p>
    <w:p w:rsidR="00E32DD1" w:rsidRPr="005170F1" w:rsidRDefault="00E32DD1">
      <w:pPr>
        <w:pStyle w:val="Footer"/>
        <w:spacing w:after="60"/>
        <w:rPr>
          <w:sz w:val="18"/>
          <w:lang w:val="fr-FR"/>
        </w:rPr>
      </w:pPr>
      <w:r w:rsidRPr="005170F1">
        <w:rPr>
          <w:sz w:val="18"/>
          <w:lang w:val="fr-FR"/>
        </w:rPr>
        <w:t>[Suite de la note de la page précédente]</w:t>
      </w:r>
    </w:p>
    <w:p w:rsidR="00E32DD1" w:rsidRPr="005170F1" w:rsidRDefault="00E32DD1" w:rsidP="00F45372">
      <w:pPr>
        <w:rPr>
          <w:lang w:val="fr-FR"/>
        </w:rPr>
      </w:pPr>
    </w:p>
    <w:p w:rsidR="00E32DD1" w:rsidRPr="005170F1" w:rsidRDefault="00E32DD1" w:rsidP="00F45372">
      <w:pPr>
        <w:rPr>
          <w:lang w:val="fr-FR"/>
        </w:rPr>
      </w:pPr>
    </w:p>
  </w:endnote>
  <w:endnote w:type="continuationNotice" w:id="1">
    <w:p w:rsidR="00E32DD1" w:rsidRPr="005170F1" w:rsidRDefault="00E32DD1" w:rsidP="00F45372">
      <w:pPr>
        <w:rPr>
          <w:lang w:val="fr-FR"/>
        </w:rPr>
      </w:pPr>
      <w:r w:rsidRPr="005170F1">
        <w:rPr>
          <w:lang w:val="fr-FR"/>
        </w:rPr>
        <w:t>[Suite de la note page suivante]</w:t>
      </w:r>
    </w:p>
    <w:p w:rsidR="00E32DD1" w:rsidRPr="005170F1" w:rsidRDefault="00E32DD1" w:rsidP="00F45372">
      <w:pPr>
        <w:rPr>
          <w:lang w:val="fr-FR"/>
        </w:rPr>
      </w:pPr>
    </w:p>
    <w:p w:rsidR="00E32DD1" w:rsidRPr="005170F1" w:rsidRDefault="00E32DD1"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DD1" w:rsidRDefault="00E32DD1" w:rsidP="00F45372">
      <w:r>
        <w:separator/>
      </w:r>
    </w:p>
  </w:footnote>
  <w:footnote w:type="continuationSeparator" w:id="0">
    <w:p w:rsidR="00E32DD1" w:rsidRDefault="00E32DD1" w:rsidP="00F45372">
      <w:r>
        <w:separator/>
      </w:r>
    </w:p>
  </w:footnote>
  <w:footnote w:type="continuationNotice" w:id="1">
    <w:p w:rsidR="00E32DD1" w:rsidRPr="00905020" w:rsidRDefault="00E32DD1"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237" w:rsidRPr="00C5280D" w:rsidRDefault="0046399D" w:rsidP="00EB048E">
    <w:pPr>
      <w:pStyle w:val="Header"/>
      <w:rPr>
        <w:rStyle w:val="PageNumber"/>
      </w:rPr>
    </w:pPr>
    <w:r>
      <w:rPr>
        <w:rStyle w:val="PageNumber"/>
      </w:rPr>
      <w:t>TC/52/11</w:t>
    </w:r>
  </w:p>
  <w:p w:rsidR="006F6237" w:rsidRPr="00C5280D" w:rsidRDefault="0046399D" w:rsidP="00EB048E">
    <w:pPr>
      <w:pStyle w:val="Header"/>
    </w:pPr>
    <w:r>
      <w:t xml:space="preserve">página </w:t>
    </w:r>
    <w:r w:rsidR="002C5D94">
      <w:rPr>
        <w:rStyle w:val="PageNumber"/>
      </w:rPr>
      <w:fldChar w:fldCharType="begin"/>
    </w:r>
    <w:r>
      <w:rPr>
        <w:rStyle w:val="PageNumber"/>
      </w:rPr>
      <w:instrText xml:space="preserve"> PAGE </w:instrText>
    </w:r>
    <w:r w:rsidR="002C5D94">
      <w:rPr>
        <w:rStyle w:val="PageNumber"/>
      </w:rPr>
      <w:fldChar w:fldCharType="separate"/>
    </w:r>
    <w:r w:rsidR="004F6C1B">
      <w:rPr>
        <w:rStyle w:val="PageNumber"/>
        <w:noProof/>
      </w:rPr>
      <w:t>2</w:t>
    </w:r>
    <w:r w:rsidR="002C5D94">
      <w:rPr>
        <w:rStyle w:val="PageNumber"/>
      </w:rPr>
      <w:fldChar w:fldCharType="end"/>
    </w:r>
    <w:bookmarkStart w:id="68" w:name="_Toc410822398"/>
    <w:bookmarkStart w:id="69" w:name="_Toc410822802"/>
  </w:p>
  <w:p w:rsidR="006F6237" w:rsidRPr="00C5280D" w:rsidRDefault="004F6C1B" w:rsidP="005513CE">
    <w:pPr>
      <w:jc w:val="center"/>
    </w:pPr>
    <w:bookmarkStart w:id="70" w:name="_Toc441145847"/>
    <w:bookmarkStart w:id="71" w:name="_Toc374716168"/>
    <w:bookmarkEnd w:id="68"/>
    <w:bookmarkEnd w:id="69"/>
    <w:bookmarkEnd w:id="70"/>
    <w:bookmarkEnd w:id="7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46399D" w:rsidP="00EB048E">
    <w:pPr>
      <w:pStyle w:val="Header"/>
      <w:rPr>
        <w:rStyle w:val="PageNumber"/>
      </w:rPr>
    </w:pPr>
    <w:r>
      <w:rPr>
        <w:rStyle w:val="PageNumber"/>
      </w:rPr>
      <w:t>TC/52/</w:t>
    </w:r>
  </w:p>
  <w:p w:rsidR="008A1693" w:rsidRPr="008D3729" w:rsidRDefault="0046399D" w:rsidP="00EB048E">
    <w:pPr>
      <w:pStyle w:val="Header"/>
    </w:pPr>
    <w:r>
      <w:t xml:space="preserve">página </w:t>
    </w:r>
    <w:r w:rsidR="002C5D94">
      <w:rPr>
        <w:rStyle w:val="PageNumber"/>
      </w:rPr>
      <w:fldChar w:fldCharType="begin"/>
    </w:r>
    <w:r>
      <w:rPr>
        <w:rStyle w:val="PageNumber"/>
      </w:rPr>
      <w:instrText xml:space="preserve"> PAGE </w:instrText>
    </w:r>
    <w:r w:rsidR="002C5D94">
      <w:rPr>
        <w:rStyle w:val="PageNumber"/>
      </w:rPr>
      <w:fldChar w:fldCharType="separate"/>
    </w:r>
    <w:r w:rsidR="004F6C1B">
      <w:rPr>
        <w:rStyle w:val="PageNumber"/>
        <w:noProof/>
      </w:rPr>
      <w:t>9</w:t>
    </w:r>
    <w:r w:rsidR="002C5D94">
      <w:rPr>
        <w:rStyle w:val="PageNumber"/>
      </w:rPr>
      <w:fldChar w:fldCharType="end"/>
    </w:r>
  </w:p>
  <w:p w:rsidR="008A1693" w:rsidRPr="008D3729" w:rsidRDefault="004F6C1B" w:rsidP="00F453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397" w:rsidRDefault="0046399D" w:rsidP="002D3397">
    <w:pPr>
      <w:pStyle w:val="Header"/>
    </w:pPr>
    <w:r>
      <w:t>TC/52/11</w:t>
    </w:r>
  </w:p>
  <w:p w:rsidR="002D3397" w:rsidRDefault="004F6C1B" w:rsidP="002D3397">
    <w:pPr>
      <w:pStyle w:val="Header"/>
    </w:pPr>
  </w:p>
  <w:p w:rsidR="002D3397" w:rsidRPr="00954973" w:rsidRDefault="0046399D" w:rsidP="002D3397">
    <w:pPr>
      <w:pStyle w:val="Header"/>
    </w:pPr>
    <w:r>
      <w:t>ANEXO</w:t>
    </w:r>
  </w:p>
  <w:p w:rsidR="002D3397" w:rsidRDefault="004F6C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3E36FC9"/>
    <w:multiLevelType w:val="hybridMultilevel"/>
    <w:tmpl w:val="847628F2"/>
    <w:lvl w:ilvl="0" w:tplc="F796B5D6">
      <w:start w:val="1"/>
      <w:numFmt w:val="lowerLetter"/>
      <w:lvlText w:val="(%1)"/>
      <w:lvlJc w:val="left"/>
      <w:pPr>
        <w:tabs>
          <w:tab w:val="num" w:pos="4926"/>
        </w:tabs>
        <w:ind w:left="4926" w:hanging="390"/>
      </w:pPr>
      <w:rPr>
        <w:rFonts w:cs="Times New Roman" w:hint="default"/>
      </w:rPr>
    </w:lvl>
    <w:lvl w:ilvl="1" w:tplc="6268B982" w:tentative="1">
      <w:start w:val="1"/>
      <w:numFmt w:val="lowerLetter"/>
      <w:lvlText w:val="%2."/>
      <w:lvlJc w:val="left"/>
      <w:pPr>
        <w:tabs>
          <w:tab w:val="num" w:pos="5616"/>
        </w:tabs>
        <w:ind w:left="5616" w:hanging="360"/>
      </w:pPr>
      <w:rPr>
        <w:rFonts w:cs="Times New Roman"/>
      </w:rPr>
    </w:lvl>
    <w:lvl w:ilvl="2" w:tplc="535C84FA" w:tentative="1">
      <w:start w:val="1"/>
      <w:numFmt w:val="lowerRoman"/>
      <w:lvlText w:val="%3."/>
      <w:lvlJc w:val="right"/>
      <w:pPr>
        <w:tabs>
          <w:tab w:val="num" w:pos="6336"/>
        </w:tabs>
        <w:ind w:left="6336" w:hanging="180"/>
      </w:pPr>
      <w:rPr>
        <w:rFonts w:cs="Times New Roman"/>
      </w:rPr>
    </w:lvl>
    <w:lvl w:ilvl="3" w:tplc="DA42923E" w:tentative="1">
      <w:start w:val="1"/>
      <w:numFmt w:val="decimal"/>
      <w:lvlText w:val="%4."/>
      <w:lvlJc w:val="left"/>
      <w:pPr>
        <w:tabs>
          <w:tab w:val="num" w:pos="7056"/>
        </w:tabs>
        <w:ind w:left="7056" w:hanging="360"/>
      </w:pPr>
      <w:rPr>
        <w:rFonts w:cs="Times New Roman"/>
      </w:rPr>
    </w:lvl>
    <w:lvl w:ilvl="4" w:tplc="D3DE8F34" w:tentative="1">
      <w:start w:val="1"/>
      <w:numFmt w:val="lowerLetter"/>
      <w:lvlText w:val="%5."/>
      <w:lvlJc w:val="left"/>
      <w:pPr>
        <w:tabs>
          <w:tab w:val="num" w:pos="7776"/>
        </w:tabs>
        <w:ind w:left="7776" w:hanging="360"/>
      </w:pPr>
      <w:rPr>
        <w:rFonts w:cs="Times New Roman"/>
      </w:rPr>
    </w:lvl>
    <w:lvl w:ilvl="5" w:tplc="62CEFF88" w:tentative="1">
      <w:start w:val="1"/>
      <w:numFmt w:val="lowerRoman"/>
      <w:lvlText w:val="%6."/>
      <w:lvlJc w:val="right"/>
      <w:pPr>
        <w:tabs>
          <w:tab w:val="num" w:pos="8496"/>
        </w:tabs>
        <w:ind w:left="8496" w:hanging="180"/>
      </w:pPr>
      <w:rPr>
        <w:rFonts w:cs="Times New Roman"/>
      </w:rPr>
    </w:lvl>
    <w:lvl w:ilvl="6" w:tplc="B00C63B2" w:tentative="1">
      <w:start w:val="1"/>
      <w:numFmt w:val="decimal"/>
      <w:lvlText w:val="%7."/>
      <w:lvlJc w:val="left"/>
      <w:pPr>
        <w:tabs>
          <w:tab w:val="num" w:pos="9216"/>
        </w:tabs>
        <w:ind w:left="9216" w:hanging="360"/>
      </w:pPr>
      <w:rPr>
        <w:rFonts w:cs="Times New Roman"/>
      </w:rPr>
    </w:lvl>
    <w:lvl w:ilvl="7" w:tplc="FD880564" w:tentative="1">
      <w:start w:val="1"/>
      <w:numFmt w:val="lowerLetter"/>
      <w:lvlText w:val="%8."/>
      <w:lvlJc w:val="left"/>
      <w:pPr>
        <w:tabs>
          <w:tab w:val="num" w:pos="9936"/>
        </w:tabs>
        <w:ind w:left="9936" w:hanging="360"/>
      </w:pPr>
      <w:rPr>
        <w:rFonts w:cs="Times New Roman"/>
      </w:rPr>
    </w:lvl>
    <w:lvl w:ilvl="8" w:tplc="0E54EF2A" w:tentative="1">
      <w:start w:val="1"/>
      <w:numFmt w:val="lowerRoman"/>
      <w:lvlText w:val="%9."/>
      <w:lvlJc w:val="right"/>
      <w:pPr>
        <w:tabs>
          <w:tab w:val="num" w:pos="10656"/>
        </w:tabs>
        <w:ind w:left="10656" w:hanging="180"/>
      </w:pPr>
      <w:rPr>
        <w:rFonts w:cs="Times New Roman"/>
      </w:rPr>
    </w:lvl>
  </w:abstractNum>
  <w:abstractNum w:abstractNumId="11">
    <w:nsid w:val="2AAC381E"/>
    <w:multiLevelType w:val="hybridMultilevel"/>
    <w:tmpl w:val="0D06F55E"/>
    <w:lvl w:ilvl="0" w:tplc="C3E47D24">
      <w:start w:val="1"/>
      <w:numFmt w:val="bullet"/>
      <w:lvlText w:val=""/>
      <w:lvlJc w:val="left"/>
      <w:pPr>
        <w:ind w:left="720" w:hanging="360"/>
      </w:pPr>
      <w:rPr>
        <w:rFonts w:ascii="Symbol" w:hAnsi="Symbol" w:hint="default"/>
      </w:rPr>
    </w:lvl>
    <w:lvl w:ilvl="1" w:tplc="3E1E7200">
      <w:start w:val="1"/>
      <w:numFmt w:val="decimal"/>
      <w:lvlText w:val="%2."/>
      <w:lvlJc w:val="left"/>
      <w:pPr>
        <w:tabs>
          <w:tab w:val="num" w:pos="1440"/>
        </w:tabs>
        <w:ind w:left="1440" w:hanging="360"/>
      </w:pPr>
    </w:lvl>
    <w:lvl w:ilvl="2" w:tplc="EE4A3D7E">
      <w:start w:val="1"/>
      <w:numFmt w:val="decimal"/>
      <w:lvlText w:val="%3."/>
      <w:lvlJc w:val="left"/>
      <w:pPr>
        <w:tabs>
          <w:tab w:val="num" w:pos="2160"/>
        </w:tabs>
        <w:ind w:left="2160" w:hanging="360"/>
      </w:pPr>
    </w:lvl>
    <w:lvl w:ilvl="3" w:tplc="64FEE4A2">
      <w:start w:val="1"/>
      <w:numFmt w:val="decimal"/>
      <w:lvlText w:val="%4."/>
      <w:lvlJc w:val="left"/>
      <w:pPr>
        <w:tabs>
          <w:tab w:val="num" w:pos="2880"/>
        </w:tabs>
        <w:ind w:left="2880" w:hanging="360"/>
      </w:pPr>
    </w:lvl>
    <w:lvl w:ilvl="4" w:tplc="D0C01436">
      <w:start w:val="1"/>
      <w:numFmt w:val="decimal"/>
      <w:lvlText w:val="%5."/>
      <w:lvlJc w:val="left"/>
      <w:pPr>
        <w:tabs>
          <w:tab w:val="num" w:pos="3600"/>
        </w:tabs>
        <w:ind w:left="3600" w:hanging="360"/>
      </w:pPr>
    </w:lvl>
    <w:lvl w:ilvl="5" w:tplc="B55403B8">
      <w:start w:val="1"/>
      <w:numFmt w:val="decimal"/>
      <w:lvlText w:val="%6."/>
      <w:lvlJc w:val="left"/>
      <w:pPr>
        <w:tabs>
          <w:tab w:val="num" w:pos="4320"/>
        </w:tabs>
        <w:ind w:left="4320" w:hanging="360"/>
      </w:pPr>
    </w:lvl>
    <w:lvl w:ilvl="6" w:tplc="190E873C">
      <w:start w:val="1"/>
      <w:numFmt w:val="decimal"/>
      <w:lvlText w:val="%7."/>
      <w:lvlJc w:val="left"/>
      <w:pPr>
        <w:tabs>
          <w:tab w:val="num" w:pos="5040"/>
        </w:tabs>
        <w:ind w:left="5040" w:hanging="360"/>
      </w:pPr>
    </w:lvl>
    <w:lvl w:ilvl="7" w:tplc="AC1C3EDE">
      <w:start w:val="1"/>
      <w:numFmt w:val="decimal"/>
      <w:lvlText w:val="%8."/>
      <w:lvlJc w:val="left"/>
      <w:pPr>
        <w:tabs>
          <w:tab w:val="num" w:pos="5760"/>
        </w:tabs>
        <w:ind w:left="5760" w:hanging="360"/>
      </w:pPr>
    </w:lvl>
    <w:lvl w:ilvl="8" w:tplc="292CC16A">
      <w:start w:val="1"/>
      <w:numFmt w:val="decimal"/>
      <w:lvlText w:val="%9."/>
      <w:lvlJc w:val="left"/>
      <w:pPr>
        <w:tabs>
          <w:tab w:val="num" w:pos="6480"/>
        </w:tabs>
        <w:ind w:left="6480" w:hanging="360"/>
      </w:pPr>
    </w:lvl>
  </w:abstractNum>
  <w:abstractNum w:abstractNumId="12">
    <w:nsid w:val="2BFB0472"/>
    <w:multiLevelType w:val="hybridMultilevel"/>
    <w:tmpl w:val="3F2E5AAA"/>
    <w:lvl w:ilvl="0" w:tplc="1E4253B4">
      <w:start w:val="1"/>
      <w:numFmt w:val="lowerLetter"/>
      <w:lvlText w:val="(%1)"/>
      <w:lvlJc w:val="left"/>
      <w:pPr>
        <w:ind w:left="720" w:hanging="360"/>
      </w:pPr>
      <w:rPr>
        <w:rFonts w:hint="default"/>
      </w:rPr>
    </w:lvl>
    <w:lvl w:ilvl="1" w:tplc="860AA60A" w:tentative="1">
      <w:start w:val="1"/>
      <w:numFmt w:val="lowerLetter"/>
      <w:lvlText w:val="%2."/>
      <w:lvlJc w:val="left"/>
      <w:pPr>
        <w:ind w:left="1440" w:hanging="360"/>
      </w:pPr>
    </w:lvl>
    <w:lvl w:ilvl="2" w:tplc="60D8CA90" w:tentative="1">
      <w:start w:val="1"/>
      <w:numFmt w:val="lowerRoman"/>
      <w:lvlText w:val="%3."/>
      <w:lvlJc w:val="right"/>
      <w:pPr>
        <w:ind w:left="2160" w:hanging="180"/>
      </w:pPr>
    </w:lvl>
    <w:lvl w:ilvl="3" w:tplc="A0BA762E" w:tentative="1">
      <w:start w:val="1"/>
      <w:numFmt w:val="decimal"/>
      <w:lvlText w:val="%4."/>
      <w:lvlJc w:val="left"/>
      <w:pPr>
        <w:ind w:left="2880" w:hanging="360"/>
      </w:pPr>
    </w:lvl>
    <w:lvl w:ilvl="4" w:tplc="2280F8A6" w:tentative="1">
      <w:start w:val="1"/>
      <w:numFmt w:val="lowerLetter"/>
      <w:lvlText w:val="%5."/>
      <w:lvlJc w:val="left"/>
      <w:pPr>
        <w:ind w:left="3600" w:hanging="360"/>
      </w:pPr>
    </w:lvl>
    <w:lvl w:ilvl="5" w:tplc="8652703E" w:tentative="1">
      <w:start w:val="1"/>
      <w:numFmt w:val="lowerRoman"/>
      <w:lvlText w:val="%6."/>
      <w:lvlJc w:val="right"/>
      <w:pPr>
        <w:ind w:left="4320" w:hanging="180"/>
      </w:pPr>
    </w:lvl>
    <w:lvl w:ilvl="6" w:tplc="7CF8BA3A" w:tentative="1">
      <w:start w:val="1"/>
      <w:numFmt w:val="decimal"/>
      <w:lvlText w:val="%7."/>
      <w:lvlJc w:val="left"/>
      <w:pPr>
        <w:ind w:left="5040" w:hanging="360"/>
      </w:pPr>
    </w:lvl>
    <w:lvl w:ilvl="7" w:tplc="CA3279E8" w:tentative="1">
      <w:start w:val="1"/>
      <w:numFmt w:val="lowerLetter"/>
      <w:lvlText w:val="%8."/>
      <w:lvlJc w:val="left"/>
      <w:pPr>
        <w:ind w:left="5760" w:hanging="360"/>
      </w:pPr>
    </w:lvl>
    <w:lvl w:ilvl="8" w:tplc="5E881ECC" w:tentative="1">
      <w:start w:val="1"/>
      <w:numFmt w:val="lowerRoman"/>
      <w:lvlText w:val="%9."/>
      <w:lvlJc w:val="right"/>
      <w:pPr>
        <w:ind w:left="6480" w:hanging="180"/>
      </w:pPr>
    </w:lvl>
  </w:abstractNum>
  <w:abstractNum w:abstractNumId="13">
    <w:nsid w:val="2CD23DA3"/>
    <w:multiLevelType w:val="hybridMultilevel"/>
    <w:tmpl w:val="B33483A2"/>
    <w:lvl w:ilvl="0" w:tplc="A7E2321A">
      <w:start w:val="1"/>
      <w:numFmt w:val="lowerRoman"/>
      <w:lvlText w:val="(%1)"/>
      <w:lvlJc w:val="left"/>
      <w:pPr>
        <w:ind w:left="1410" w:hanging="720"/>
      </w:pPr>
      <w:rPr>
        <w:rFonts w:hint="default"/>
      </w:rPr>
    </w:lvl>
    <w:lvl w:ilvl="1" w:tplc="5852D35A" w:tentative="1">
      <w:start w:val="1"/>
      <w:numFmt w:val="lowerLetter"/>
      <w:lvlText w:val="%2."/>
      <w:lvlJc w:val="left"/>
      <w:pPr>
        <w:ind w:left="1770" w:hanging="360"/>
      </w:pPr>
    </w:lvl>
    <w:lvl w:ilvl="2" w:tplc="9C0CF324" w:tentative="1">
      <w:start w:val="1"/>
      <w:numFmt w:val="lowerRoman"/>
      <w:lvlText w:val="%3."/>
      <w:lvlJc w:val="right"/>
      <w:pPr>
        <w:ind w:left="2490" w:hanging="180"/>
      </w:pPr>
    </w:lvl>
    <w:lvl w:ilvl="3" w:tplc="4244ABB6" w:tentative="1">
      <w:start w:val="1"/>
      <w:numFmt w:val="decimal"/>
      <w:lvlText w:val="%4."/>
      <w:lvlJc w:val="left"/>
      <w:pPr>
        <w:ind w:left="3210" w:hanging="360"/>
      </w:pPr>
    </w:lvl>
    <w:lvl w:ilvl="4" w:tplc="FDE6E730" w:tentative="1">
      <w:start w:val="1"/>
      <w:numFmt w:val="lowerLetter"/>
      <w:lvlText w:val="%5."/>
      <w:lvlJc w:val="left"/>
      <w:pPr>
        <w:ind w:left="3930" w:hanging="360"/>
      </w:pPr>
    </w:lvl>
    <w:lvl w:ilvl="5" w:tplc="E2B6E78C" w:tentative="1">
      <w:start w:val="1"/>
      <w:numFmt w:val="lowerRoman"/>
      <w:lvlText w:val="%6."/>
      <w:lvlJc w:val="right"/>
      <w:pPr>
        <w:ind w:left="4650" w:hanging="180"/>
      </w:pPr>
    </w:lvl>
    <w:lvl w:ilvl="6" w:tplc="69E8459E" w:tentative="1">
      <w:start w:val="1"/>
      <w:numFmt w:val="decimal"/>
      <w:lvlText w:val="%7."/>
      <w:lvlJc w:val="left"/>
      <w:pPr>
        <w:ind w:left="5370" w:hanging="360"/>
      </w:pPr>
    </w:lvl>
    <w:lvl w:ilvl="7" w:tplc="54385344" w:tentative="1">
      <w:start w:val="1"/>
      <w:numFmt w:val="lowerLetter"/>
      <w:lvlText w:val="%8."/>
      <w:lvlJc w:val="left"/>
      <w:pPr>
        <w:ind w:left="6090" w:hanging="360"/>
      </w:pPr>
    </w:lvl>
    <w:lvl w:ilvl="8" w:tplc="ACDE66BA" w:tentative="1">
      <w:start w:val="1"/>
      <w:numFmt w:val="lowerRoman"/>
      <w:lvlText w:val="%9."/>
      <w:lvlJc w:val="right"/>
      <w:pPr>
        <w:ind w:left="6810" w:hanging="180"/>
      </w:pPr>
    </w:lvl>
  </w:abstractNum>
  <w:abstractNum w:abstractNumId="14">
    <w:nsid w:val="301E1F87"/>
    <w:multiLevelType w:val="hybridMultilevel"/>
    <w:tmpl w:val="47864E24"/>
    <w:lvl w:ilvl="0" w:tplc="BF887F4A">
      <w:start w:val="1"/>
      <w:numFmt w:val="decimal"/>
      <w:lvlText w:val="%1."/>
      <w:lvlJc w:val="left"/>
      <w:pPr>
        <w:ind w:left="720" w:hanging="360"/>
      </w:pPr>
    </w:lvl>
    <w:lvl w:ilvl="1" w:tplc="D0341206">
      <w:start w:val="1"/>
      <w:numFmt w:val="lowerLetter"/>
      <w:lvlText w:val="%2."/>
      <w:lvlJc w:val="left"/>
      <w:pPr>
        <w:ind w:left="1440" w:hanging="360"/>
      </w:pPr>
    </w:lvl>
    <w:lvl w:ilvl="2" w:tplc="B7AE4568">
      <w:start w:val="1"/>
      <w:numFmt w:val="lowerRoman"/>
      <w:lvlText w:val="%3."/>
      <w:lvlJc w:val="right"/>
      <w:pPr>
        <w:ind w:left="2160" w:hanging="180"/>
      </w:pPr>
    </w:lvl>
    <w:lvl w:ilvl="3" w:tplc="067CFF4E">
      <w:start w:val="1"/>
      <w:numFmt w:val="decimal"/>
      <w:lvlText w:val="%4."/>
      <w:lvlJc w:val="left"/>
      <w:pPr>
        <w:ind w:left="2880" w:hanging="360"/>
      </w:pPr>
    </w:lvl>
    <w:lvl w:ilvl="4" w:tplc="1D0E0E7C">
      <w:start w:val="1"/>
      <w:numFmt w:val="lowerLetter"/>
      <w:lvlText w:val="%5."/>
      <w:lvlJc w:val="left"/>
      <w:pPr>
        <w:ind w:left="3600" w:hanging="360"/>
      </w:pPr>
    </w:lvl>
    <w:lvl w:ilvl="5" w:tplc="281C4496">
      <w:start w:val="1"/>
      <w:numFmt w:val="lowerRoman"/>
      <w:lvlText w:val="%6."/>
      <w:lvlJc w:val="right"/>
      <w:pPr>
        <w:ind w:left="4320" w:hanging="180"/>
      </w:pPr>
    </w:lvl>
    <w:lvl w:ilvl="6" w:tplc="A7C6BFAC">
      <w:start w:val="1"/>
      <w:numFmt w:val="decimal"/>
      <w:lvlText w:val="%7."/>
      <w:lvlJc w:val="left"/>
      <w:pPr>
        <w:ind w:left="5040" w:hanging="360"/>
      </w:pPr>
    </w:lvl>
    <w:lvl w:ilvl="7" w:tplc="9A4489FC">
      <w:start w:val="1"/>
      <w:numFmt w:val="lowerLetter"/>
      <w:lvlText w:val="%8."/>
      <w:lvlJc w:val="left"/>
      <w:pPr>
        <w:ind w:left="5760" w:hanging="360"/>
      </w:pPr>
    </w:lvl>
    <w:lvl w:ilvl="8" w:tplc="2C66C820">
      <w:start w:val="1"/>
      <w:numFmt w:val="lowerRoman"/>
      <w:lvlText w:val="%9."/>
      <w:lvlJc w:val="right"/>
      <w:pPr>
        <w:ind w:left="6480" w:hanging="180"/>
      </w:pPr>
    </w:lvl>
  </w:abstractNum>
  <w:abstractNum w:abstractNumId="15">
    <w:nsid w:val="32620BE6"/>
    <w:multiLevelType w:val="hybridMultilevel"/>
    <w:tmpl w:val="CA84BF40"/>
    <w:lvl w:ilvl="0" w:tplc="15E2DEA4">
      <w:start w:val="1"/>
      <w:numFmt w:val="lowerLetter"/>
      <w:lvlText w:val="%1)"/>
      <w:lvlJc w:val="left"/>
      <w:pPr>
        <w:ind w:left="7590" w:hanging="360"/>
      </w:pPr>
      <w:rPr>
        <w:rFonts w:eastAsia="MS Mincho" w:cs="Arial" w:hint="default"/>
        <w:color w:val="000000"/>
      </w:rPr>
    </w:lvl>
    <w:lvl w:ilvl="1" w:tplc="F676D4DA" w:tentative="1">
      <w:start w:val="1"/>
      <w:numFmt w:val="lowerLetter"/>
      <w:lvlText w:val="%2."/>
      <w:lvlJc w:val="left"/>
      <w:pPr>
        <w:ind w:left="1440" w:hanging="360"/>
      </w:pPr>
    </w:lvl>
    <w:lvl w:ilvl="2" w:tplc="3892A716" w:tentative="1">
      <w:start w:val="1"/>
      <w:numFmt w:val="lowerRoman"/>
      <w:lvlText w:val="%3."/>
      <w:lvlJc w:val="right"/>
      <w:pPr>
        <w:ind w:left="2160" w:hanging="180"/>
      </w:pPr>
    </w:lvl>
    <w:lvl w:ilvl="3" w:tplc="7786BC52" w:tentative="1">
      <w:start w:val="1"/>
      <w:numFmt w:val="decimal"/>
      <w:lvlText w:val="%4."/>
      <w:lvlJc w:val="left"/>
      <w:pPr>
        <w:ind w:left="2880" w:hanging="360"/>
      </w:pPr>
    </w:lvl>
    <w:lvl w:ilvl="4" w:tplc="44FC014E" w:tentative="1">
      <w:start w:val="1"/>
      <w:numFmt w:val="lowerLetter"/>
      <w:lvlText w:val="%5."/>
      <w:lvlJc w:val="left"/>
      <w:pPr>
        <w:ind w:left="3600" w:hanging="360"/>
      </w:pPr>
    </w:lvl>
    <w:lvl w:ilvl="5" w:tplc="5AB8DB50" w:tentative="1">
      <w:start w:val="1"/>
      <w:numFmt w:val="lowerRoman"/>
      <w:lvlText w:val="%6."/>
      <w:lvlJc w:val="right"/>
      <w:pPr>
        <w:ind w:left="4320" w:hanging="180"/>
      </w:pPr>
    </w:lvl>
    <w:lvl w:ilvl="6" w:tplc="2072FF6E" w:tentative="1">
      <w:start w:val="1"/>
      <w:numFmt w:val="decimal"/>
      <w:lvlText w:val="%7."/>
      <w:lvlJc w:val="left"/>
      <w:pPr>
        <w:ind w:left="5040" w:hanging="360"/>
      </w:pPr>
    </w:lvl>
    <w:lvl w:ilvl="7" w:tplc="AE881D26" w:tentative="1">
      <w:start w:val="1"/>
      <w:numFmt w:val="lowerLetter"/>
      <w:lvlText w:val="%8."/>
      <w:lvlJc w:val="left"/>
      <w:pPr>
        <w:ind w:left="5760" w:hanging="360"/>
      </w:pPr>
    </w:lvl>
    <w:lvl w:ilvl="8" w:tplc="8BA47F8A" w:tentative="1">
      <w:start w:val="1"/>
      <w:numFmt w:val="lowerRoman"/>
      <w:lvlText w:val="%9."/>
      <w:lvlJc w:val="right"/>
      <w:pPr>
        <w:ind w:left="6480" w:hanging="180"/>
      </w:pPr>
    </w:lvl>
  </w:abstractNum>
  <w:abstractNum w:abstractNumId="16">
    <w:nsid w:val="3C4B4723"/>
    <w:multiLevelType w:val="hybridMultilevel"/>
    <w:tmpl w:val="B6B01DEA"/>
    <w:lvl w:ilvl="0" w:tplc="4D922B5A">
      <w:start w:val="1"/>
      <w:numFmt w:val="decimal"/>
      <w:lvlText w:val="%1."/>
      <w:lvlJc w:val="left"/>
      <w:pPr>
        <w:ind w:left="720" w:hanging="360"/>
      </w:pPr>
      <w:rPr>
        <w:rFonts w:cs="Times New Roman"/>
      </w:rPr>
    </w:lvl>
    <w:lvl w:ilvl="1" w:tplc="986E40EC" w:tentative="1">
      <w:start w:val="1"/>
      <w:numFmt w:val="lowerLetter"/>
      <w:lvlText w:val="%2."/>
      <w:lvlJc w:val="left"/>
      <w:pPr>
        <w:ind w:left="1440" w:hanging="360"/>
      </w:pPr>
      <w:rPr>
        <w:rFonts w:cs="Times New Roman"/>
      </w:rPr>
    </w:lvl>
    <w:lvl w:ilvl="2" w:tplc="EBA225B8" w:tentative="1">
      <w:start w:val="1"/>
      <w:numFmt w:val="lowerRoman"/>
      <w:lvlText w:val="%3."/>
      <w:lvlJc w:val="right"/>
      <w:pPr>
        <w:ind w:left="2160" w:hanging="180"/>
      </w:pPr>
      <w:rPr>
        <w:rFonts w:cs="Times New Roman"/>
      </w:rPr>
    </w:lvl>
    <w:lvl w:ilvl="3" w:tplc="6F64C3CC" w:tentative="1">
      <w:start w:val="1"/>
      <w:numFmt w:val="decimal"/>
      <w:lvlText w:val="%4."/>
      <w:lvlJc w:val="left"/>
      <w:pPr>
        <w:ind w:left="2880" w:hanging="360"/>
      </w:pPr>
      <w:rPr>
        <w:rFonts w:cs="Times New Roman"/>
      </w:rPr>
    </w:lvl>
    <w:lvl w:ilvl="4" w:tplc="0C989EDE" w:tentative="1">
      <w:start w:val="1"/>
      <w:numFmt w:val="lowerLetter"/>
      <w:lvlText w:val="%5."/>
      <w:lvlJc w:val="left"/>
      <w:pPr>
        <w:ind w:left="3600" w:hanging="360"/>
      </w:pPr>
      <w:rPr>
        <w:rFonts w:cs="Times New Roman"/>
      </w:rPr>
    </w:lvl>
    <w:lvl w:ilvl="5" w:tplc="24DEAD10" w:tentative="1">
      <w:start w:val="1"/>
      <w:numFmt w:val="lowerRoman"/>
      <w:lvlText w:val="%6."/>
      <w:lvlJc w:val="right"/>
      <w:pPr>
        <w:ind w:left="4320" w:hanging="180"/>
      </w:pPr>
      <w:rPr>
        <w:rFonts w:cs="Times New Roman"/>
      </w:rPr>
    </w:lvl>
    <w:lvl w:ilvl="6" w:tplc="D318E974" w:tentative="1">
      <w:start w:val="1"/>
      <w:numFmt w:val="decimal"/>
      <w:lvlText w:val="%7."/>
      <w:lvlJc w:val="left"/>
      <w:pPr>
        <w:ind w:left="5040" w:hanging="360"/>
      </w:pPr>
      <w:rPr>
        <w:rFonts w:cs="Times New Roman"/>
      </w:rPr>
    </w:lvl>
    <w:lvl w:ilvl="7" w:tplc="948C33A6" w:tentative="1">
      <w:start w:val="1"/>
      <w:numFmt w:val="lowerLetter"/>
      <w:lvlText w:val="%8."/>
      <w:lvlJc w:val="left"/>
      <w:pPr>
        <w:ind w:left="5760" w:hanging="360"/>
      </w:pPr>
      <w:rPr>
        <w:rFonts w:cs="Times New Roman"/>
      </w:rPr>
    </w:lvl>
    <w:lvl w:ilvl="8" w:tplc="E6AE638C" w:tentative="1">
      <w:start w:val="1"/>
      <w:numFmt w:val="lowerRoman"/>
      <w:lvlText w:val="%9."/>
      <w:lvlJc w:val="right"/>
      <w:pPr>
        <w:ind w:left="6480" w:hanging="180"/>
      </w:pPr>
      <w:rPr>
        <w:rFonts w:cs="Times New Roman"/>
      </w:rPr>
    </w:lvl>
  </w:abstractNum>
  <w:abstractNum w:abstractNumId="17">
    <w:nsid w:val="41D140B4"/>
    <w:multiLevelType w:val="hybridMultilevel"/>
    <w:tmpl w:val="93467F42"/>
    <w:lvl w:ilvl="0" w:tplc="04F8EAC0">
      <w:start w:val="1"/>
      <w:numFmt w:val="lowerLetter"/>
      <w:lvlText w:val="%1)"/>
      <w:lvlJc w:val="left"/>
      <w:pPr>
        <w:ind w:left="720" w:hanging="360"/>
      </w:pPr>
      <w:rPr>
        <w:rFonts w:hint="default"/>
      </w:rPr>
    </w:lvl>
    <w:lvl w:ilvl="1" w:tplc="8404EB8A" w:tentative="1">
      <w:start w:val="1"/>
      <w:numFmt w:val="lowerLetter"/>
      <w:lvlText w:val="%2."/>
      <w:lvlJc w:val="left"/>
      <w:pPr>
        <w:ind w:left="1440" w:hanging="360"/>
      </w:pPr>
    </w:lvl>
    <w:lvl w:ilvl="2" w:tplc="A5DC6BC0" w:tentative="1">
      <w:start w:val="1"/>
      <w:numFmt w:val="lowerRoman"/>
      <w:lvlText w:val="%3."/>
      <w:lvlJc w:val="right"/>
      <w:pPr>
        <w:ind w:left="2160" w:hanging="180"/>
      </w:pPr>
    </w:lvl>
    <w:lvl w:ilvl="3" w:tplc="17FEB396" w:tentative="1">
      <w:start w:val="1"/>
      <w:numFmt w:val="decimal"/>
      <w:lvlText w:val="%4."/>
      <w:lvlJc w:val="left"/>
      <w:pPr>
        <w:ind w:left="2880" w:hanging="360"/>
      </w:pPr>
    </w:lvl>
    <w:lvl w:ilvl="4" w:tplc="12CA5372" w:tentative="1">
      <w:start w:val="1"/>
      <w:numFmt w:val="lowerLetter"/>
      <w:lvlText w:val="%5."/>
      <w:lvlJc w:val="left"/>
      <w:pPr>
        <w:ind w:left="3600" w:hanging="360"/>
      </w:pPr>
    </w:lvl>
    <w:lvl w:ilvl="5" w:tplc="A7806CB4" w:tentative="1">
      <w:start w:val="1"/>
      <w:numFmt w:val="lowerRoman"/>
      <w:lvlText w:val="%6."/>
      <w:lvlJc w:val="right"/>
      <w:pPr>
        <w:ind w:left="4320" w:hanging="180"/>
      </w:pPr>
    </w:lvl>
    <w:lvl w:ilvl="6" w:tplc="B3D81268" w:tentative="1">
      <w:start w:val="1"/>
      <w:numFmt w:val="decimal"/>
      <w:lvlText w:val="%7."/>
      <w:lvlJc w:val="left"/>
      <w:pPr>
        <w:ind w:left="5040" w:hanging="360"/>
      </w:pPr>
    </w:lvl>
    <w:lvl w:ilvl="7" w:tplc="726AC44A" w:tentative="1">
      <w:start w:val="1"/>
      <w:numFmt w:val="lowerLetter"/>
      <w:lvlText w:val="%8."/>
      <w:lvlJc w:val="left"/>
      <w:pPr>
        <w:ind w:left="5760" w:hanging="360"/>
      </w:pPr>
    </w:lvl>
    <w:lvl w:ilvl="8" w:tplc="EE54B2A6" w:tentative="1">
      <w:start w:val="1"/>
      <w:numFmt w:val="lowerRoman"/>
      <w:lvlText w:val="%9."/>
      <w:lvlJc w:val="right"/>
      <w:pPr>
        <w:ind w:left="6480" w:hanging="180"/>
      </w:pPr>
    </w:lvl>
  </w:abstractNum>
  <w:abstractNum w:abstractNumId="18">
    <w:nsid w:val="45075894"/>
    <w:multiLevelType w:val="hybridMultilevel"/>
    <w:tmpl w:val="FDCABA6A"/>
    <w:lvl w:ilvl="0" w:tplc="07B40404">
      <w:start w:val="1"/>
      <w:numFmt w:val="bullet"/>
      <w:lvlText w:val=""/>
      <w:lvlJc w:val="left"/>
      <w:pPr>
        <w:ind w:left="1853" w:hanging="360"/>
      </w:pPr>
      <w:rPr>
        <w:rFonts w:ascii="Symbol" w:hAnsi="Symbol" w:hint="default"/>
      </w:rPr>
    </w:lvl>
    <w:lvl w:ilvl="1" w:tplc="55762554" w:tentative="1">
      <w:start w:val="1"/>
      <w:numFmt w:val="bullet"/>
      <w:lvlText w:val="o"/>
      <w:lvlJc w:val="left"/>
      <w:pPr>
        <w:ind w:left="2573" w:hanging="360"/>
      </w:pPr>
      <w:rPr>
        <w:rFonts w:ascii="Courier New" w:hAnsi="Courier New" w:hint="default"/>
      </w:rPr>
    </w:lvl>
    <w:lvl w:ilvl="2" w:tplc="894A420E" w:tentative="1">
      <w:start w:val="1"/>
      <w:numFmt w:val="bullet"/>
      <w:lvlText w:val=""/>
      <w:lvlJc w:val="left"/>
      <w:pPr>
        <w:ind w:left="3293" w:hanging="360"/>
      </w:pPr>
      <w:rPr>
        <w:rFonts w:ascii="Wingdings" w:hAnsi="Wingdings" w:hint="default"/>
      </w:rPr>
    </w:lvl>
    <w:lvl w:ilvl="3" w:tplc="6916E7FE" w:tentative="1">
      <w:start w:val="1"/>
      <w:numFmt w:val="bullet"/>
      <w:lvlText w:val=""/>
      <w:lvlJc w:val="left"/>
      <w:pPr>
        <w:ind w:left="4013" w:hanging="360"/>
      </w:pPr>
      <w:rPr>
        <w:rFonts w:ascii="Symbol" w:hAnsi="Symbol" w:hint="default"/>
      </w:rPr>
    </w:lvl>
    <w:lvl w:ilvl="4" w:tplc="A770EC0E" w:tentative="1">
      <w:start w:val="1"/>
      <w:numFmt w:val="bullet"/>
      <w:lvlText w:val="o"/>
      <w:lvlJc w:val="left"/>
      <w:pPr>
        <w:ind w:left="4733" w:hanging="360"/>
      </w:pPr>
      <w:rPr>
        <w:rFonts w:ascii="Courier New" w:hAnsi="Courier New" w:hint="default"/>
      </w:rPr>
    </w:lvl>
    <w:lvl w:ilvl="5" w:tplc="6B88C74E" w:tentative="1">
      <w:start w:val="1"/>
      <w:numFmt w:val="bullet"/>
      <w:lvlText w:val=""/>
      <w:lvlJc w:val="left"/>
      <w:pPr>
        <w:ind w:left="5453" w:hanging="360"/>
      </w:pPr>
      <w:rPr>
        <w:rFonts w:ascii="Wingdings" w:hAnsi="Wingdings" w:hint="default"/>
      </w:rPr>
    </w:lvl>
    <w:lvl w:ilvl="6" w:tplc="7A0ED99E" w:tentative="1">
      <w:start w:val="1"/>
      <w:numFmt w:val="bullet"/>
      <w:lvlText w:val=""/>
      <w:lvlJc w:val="left"/>
      <w:pPr>
        <w:ind w:left="6173" w:hanging="360"/>
      </w:pPr>
      <w:rPr>
        <w:rFonts w:ascii="Symbol" w:hAnsi="Symbol" w:hint="default"/>
      </w:rPr>
    </w:lvl>
    <w:lvl w:ilvl="7" w:tplc="45CE3E7C" w:tentative="1">
      <w:start w:val="1"/>
      <w:numFmt w:val="bullet"/>
      <w:lvlText w:val="o"/>
      <w:lvlJc w:val="left"/>
      <w:pPr>
        <w:ind w:left="6893" w:hanging="360"/>
      </w:pPr>
      <w:rPr>
        <w:rFonts w:ascii="Courier New" w:hAnsi="Courier New" w:hint="default"/>
      </w:rPr>
    </w:lvl>
    <w:lvl w:ilvl="8" w:tplc="6CA225AE" w:tentative="1">
      <w:start w:val="1"/>
      <w:numFmt w:val="bullet"/>
      <w:lvlText w:val=""/>
      <w:lvlJc w:val="left"/>
      <w:pPr>
        <w:ind w:left="7613" w:hanging="360"/>
      </w:pPr>
      <w:rPr>
        <w:rFonts w:ascii="Wingdings" w:hAnsi="Wingdings" w:hint="default"/>
      </w:rPr>
    </w:lvl>
  </w:abstractNum>
  <w:abstractNum w:abstractNumId="19">
    <w:nsid w:val="484D744B"/>
    <w:multiLevelType w:val="hybridMultilevel"/>
    <w:tmpl w:val="85DCA81E"/>
    <w:lvl w:ilvl="0" w:tplc="2BB4E07A">
      <w:start w:val="1"/>
      <w:numFmt w:val="lowerLetter"/>
      <w:lvlText w:val="(%1)"/>
      <w:lvlJc w:val="left"/>
      <w:pPr>
        <w:tabs>
          <w:tab w:val="num" w:pos="930"/>
        </w:tabs>
        <w:ind w:left="930" w:hanging="570"/>
      </w:pPr>
      <w:rPr>
        <w:rFonts w:hint="default"/>
      </w:rPr>
    </w:lvl>
    <w:lvl w:ilvl="1" w:tplc="27B0E55A" w:tentative="1">
      <w:start w:val="1"/>
      <w:numFmt w:val="lowerLetter"/>
      <w:lvlText w:val="%2."/>
      <w:lvlJc w:val="left"/>
      <w:pPr>
        <w:tabs>
          <w:tab w:val="num" w:pos="1440"/>
        </w:tabs>
        <w:ind w:left="1440" w:hanging="360"/>
      </w:pPr>
    </w:lvl>
    <w:lvl w:ilvl="2" w:tplc="6CE031BC" w:tentative="1">
      <w:start w:val="1"/>
      <w:numFmt w:val="lowerRoman"/>
      <w:lvlText w:val="%3."/>
      <w:lvlJc w:val="right"/>
      <w:pPr>
        <w:tabs>
          <w:tab w:val="num" w:pos="2160"/>
        </w:tabs>
        <w:ind w:left="2160" w:hanging="180"/>
      </w:pPr>
    </w:lvl>
    <w:lvl w:ilvl="3" w:tplc="4CDCE37A" w:tentative="1">
      <w:start w:val="1"/>
      <w:numFmt w:val="decimal"/>
      <w:lvlText w:val="%4."/>
      <w:lvlJc w:val="left"/>
      <w:pPr>
        <w:tabs>
          <w:tab w:val="num" w:pos="2880"/>
        </w:tabs>
        <w:ind w:left="2880" w:hanging="360"/>
      </w:pPr>
    </w:lvl>
    <w:lvl w:ilvl="4" w:tplc="3D4CE57A" w:tentative="1">
      <w:start w:val="1"/>
      <w:numFmt w:val="lowerLetter"/>
      <w:lvlText w:val="%5."/>
      <w:lvlJc w:val="left"/>
      <w:pPr>
        <w:tabs>
          <w:tab w:val="num" w:pos="3600"/>
        </w:tabs>
        <w:ind w:left="3600" w:hanging="360"/>
      </w:pPr>
    </w:lvl>
    <w:lvl w:ilvl="5" w:tplc="FFE0E70A" w:tentative="1">
      <w:start w:val="1"/>
      <w:numFmt w:val="lowerRoman"/>
      <w:lvlText w:val="%6."/>
      <w:lvlJc w:val="right"/>
      <w:pPr>
        <w:tabs>
          <w:tab w:val="num" w:pos="4320"/>
        </w:tabs>
        <w:ind w:left="4320" w:hanging="180"/>
      </w:pPr>
    </w:lvl>
    <w:lvl w:ilvl="6" w:tplc="1E480E1E" w:tentative="1">
      <w:start w:val="1"/>
      <w:numFmt w:val="decimal"/>
      <w:lvlText w:val="%7."/>
      <w:lvlJc w:val="left"/>
      <w:pPr>
        <w:tabs>
          <w:tab w:val="num" w:pos="5040"/>
        </w:tabs>
        <w:ind w:left="5040" w:hanging="360"/>
      </w:pPr>
    </w:lvl>
    <w:lvl w:ilvl="7" w:tplc="EF2E75A8" w:tentative="1">
      <w:start w:val="1"/>
      <w:numFmt w:val="lowerLetter"/>
      <w:lvlText w:val="%8."/>
      <w:lvlJc w:val="left"/>
      <w:pPr>
        <w:tabs>
          <w:tab w:val="num" w:pos="5760"/>
        </w:tabs>
        <w:ind w:left="5760" w:hanging="360"/>
      </w:pPr>
    </w:lvl>
    <w:lvl w:ilvl="8" w:tplc="3856B37E" w:tentative="1">
      <w:start w:val="1"/>
      <w:numFmt w:val="lowerRoman"/>
      <w:lvlText w:val="%9."/>
      <w:lvlJc w:val="right"/>
      <w:pPr>
        <w:tabs>
          <w:tab w:val="num" w:pos="6480"/>
        </w:tabs>
        <w:ind w:left="6480" w:hanging="180"/>
      </w:pPr>
    </w:lvl>
  </w:abstractNum>
  <w:abstractNum w:abstractNumId="20">
    <w:nsid w:val="486D3DA0"/>
    <w:multiLevelType w:val="hybridMultilevel"/>
    <w:tmpl w:val="21C26D80"/>
    <w:lvl w:ilvl="0" w:tplc="DA6AB488">
      <w:start w:val="1"/>
      <w:numFmt w:val="lowerLetter"/>
      <w:lvlText w:val="%1)"/>
      <w:lvlJc w:val="left"/>
      <w:pPr>
        <w:ind w:left="720" w:hanging="360"/>
      </w:pPr>
      <w:rPr>
        <w:rFonts w:hint="default"/>
      </w:rPr>
    </w:lvl>
    <w:lvl w:ilvl="1" w:tplc="42ECA7AC" w:tentative="1">
      <w:start w:val="1"/>
      <w:numFmt w:val="lowerLetter"/>
      <w:lvlText w:val="%2."/>
      <w:lvlJc w:val="left"/>
      <w:pPr>
        <w:ind w:left="1440" w:hanging="360"/>
      </w:pPr>
    </w:lvl>
    <w:lvl w:ilvl="2" w:tplc="044AFD44" w:tentative="1">
      <w:start w:val="1"/>
      <w:numFmt w:val="lowerRoman"/>
      <w:lvlText w:val="%3."/>
      <w:lvlJc w:val="right"/>
      <w:pPr>
        <w:ind w:left="2160" w:hanging="180"/>
      </w:pPr>
    </w:lvl>
    <w:lvl w:ilvl="3" w:tplc="DD70BC88" w:tentative="1">
      <w:start w:val="1"/>
      <w:numFmt w:val="decimal"/>
      <w:lvlText w:val="%4."/>
      <w:lvlJc w:val="left"/>
      <w:pPr>
        <w:ind w:left="2880" w:hanging="360"/>
      </w:pPr>
    </w:lvl>
    <w:lvl w:ilvl="4" w:tplc="5726B9A8" w:tentative="1">
      <w:start w:val="1"/>
      <w:numFmt w:val="lowerLetter"/>
      <w:lvlText w:val="%5."/>
      <w:lvlJc w:val="left"/>
      <w:pPr>
        <w:ind w:left="3600" w:hanging="360"/>
      </w:pPr>
    </w:lvl>
    <w:lvl w:ilvl="5" w:tplc="E0E439D2" w:tentative="1">
      <w:start w:val="1"/>
      <w:numFmt w:val="lowerRoman"/>
      <w:lvlText w:val="%6."/>
      <w:lvlJc w:val="right"/>
      <w:pPr>
        <w:ind w:left="4320" w:hanging="180"/>
      </w:pPr>
    </w:lvl>
    <w:lvl w:ilvl="6" w:tplc="BF5CDEA4" w:tentative="1">
      <w:start w:val="1"/>
      <w:numFmt w:val="decimal"/>
      <w:lvlText w:val="%7."/>
      <w:lvlJc w:val="left"/>
      <w:pPr>
        <w:ind w:left="5040" w:hanging="360"/>
      </w:pPr>
    </w:lvl>
    <w:lvl w:ilvl="7" w:tplc="DB606F22" w:tentative="1">
      <w:start w:val="1"/>
      <w:numFmt w:val="lowerLetter"/>
      <w:lvlText w:val="%8."/>
      <w:lvlJc w:val="left"/>
      <w:pPr>
        <w:ind w:left="5760" w:hanging="360"/>
      </w:pPr>
    </w:lvl>
    <w:lvl w:ilvl="8" w:tplc="E7CCF96C" w:tentative="1">
      <w:start w:val="1"/>
      <w:numFmt w:val="lowerRoman"/>
      <w:lvlText w:val="%9."/>
      <w:lvlJc w:val="right"/>
      <w:pPr>
        <w:ind w:left="6480" w:hanging="180"/>
      </w:pPr>
    </w:lvl>
  </w:abstractNum>
  <w:abstractNum w:abstractNumId="21">
    <w:nsid w:val="5ED84FA6"/>
    <w:multiLevelType w:val="hybridMultilevel"/>
    <w:tmpl w:val="1A08E8AC"/>
    <w:lvl w:ilvl="0" w:tplc="88163C98">
      <w:start w:val="1"/>
      <w:numFmt w:val="decimal"/>
      <w:lvlText w:val="%1."/>
      <w:lvlJc w:val="left"/>
      <w:pPr>
        <w:ind w:left="1144" w:hanging="435"/>
      </w:pPr>
      <w:rPr>
        <w:rFonts w:hint="default"/>
      </w:rPr>
    </w:lvl>
    <w:lvl w:ilvl="1" w:tplc="F66C5050" w:tentative="1">
      <w:start w:val="1"/>
      <w:numFmt w:val="lowerLetter"/>
      <w:lvlText w:val="%2."/>
      <w:lvlJc w:val="left"/>
      <w:pPr>
        <w:ind w:left="1789" w:hanging="360"/>
      </w:pPr>
    </w:lvl>
    <w:lvl w:ilvl="2" w:tplc="74AED9C2" w:tentative="1">
      <w:start w:val="1"/>
      <w:numFmt w:val="lowerRoman"/>
      <w:lvlText w:val="%3."/>
      <w:lvlJc w:val="right"/>
      <w:pPr>
        <w:ind w:left="2509" w:hanging="180"/>
      </w:pPr>
    </w:lvl>
    <w:lvl w:ilvl="3" w:tplc="A8CE94FC" w:tentative="1">
      <w:start w:val="1"/>
      <w:numFmt w:val="decimal"/>
      <w:lvlText w:val="%4."/>
      <w:lvlJc w:val="left"/>
      <w:pPr>
        <w:ind w:left="3229" w:hanging="360"/>
      </w:pPr>
    </w:lvl>
    <w:lvl w:ilvl="4" w:tplc="F35A4754" w:tentative="1">
      <w:start w:val="1"/>
      <w:numFmt w:val="lowerLetter"/>
      <w:lvlText w:val="%5."/>
      <w:lvlJc w:val="left"/>
      <w:pPr>
        <w:ind w:left="3949" w:hanging="360"/>
      </w:pPr>
    </w:lvl>
    <w:lvl w:ilvl="5" w:tplc="F7A651EC" w:tentative="1">
      <w:start w:val="1"/>
      <w:numFmt w:val="lowerRoman"/>
      <w:lvlText w:val="%6."/>
      <w:lvlJc w:val="right"/>
      <w:pPr>
        <w:ind w:left="4669" w:hanging="180"/>
      </w:pPr>
    </w:lvl>
    <w:lvl w:ilvl="6" w:tplc="639838E4" w:tentative="1">
      <w:start w:val="1"/>
      <w:numFmt w:val="decimal"/>
      <w:lvlText w:val="%7."/>
      <w:lvlJc w:val="left"/>
      <w:pPr>
        <w:ind w:left="5389" w:hanging="360"/>
      </w:pPr>
    </w:lvl>
    <w:lvl w:ilvl="7" w:tplc="F37EED86" w:tentative="1">
      <w:start w:val="1"/>
      <w:numFmt w:val="lowerLetter"/>
      <w:lvlText w:val="%8."/>
      <w:lvlJc w:val="left"/>
      <w:pPr>
        <w:ind w:left="6109" w:hanging="360"/>
      </w:pPr>
    </w:lvl>
    <w:lvl w:ilvl="8" w:tplc="B7A003B2" w:tentative="1">
      <w:start w:val="1"/>
      <w:numFmt w:val="lowerRoman"/>
      <w:lvlText w:val="%9."/>
      <w:lvlJc w:val="right"/>
      <w:pPr>
        <w:ind w:left="6829" w:hanging="180"/>
      </w:pPr>
    </w:lvl>
  </w:abstractNum>
  <w:abstractNum w:abstractNumId="22">
    <w:nsid w:val="608E619A"/>
    <w:multiLevelType w:val="hybridMultilevel"/>
    <w:tmpl w:val="75EA1B9A"/>
    <w:lvl w:ilvl="0" w:tplc="DA9ADE84">
      <w:start w:val="1"/>
      <w:numFmt w:val="decimal"/>
      <w:lvlText w:val="%1)"/>
      <w:lvlJc w:val="left"/>
      <w:pPr>
        <w:ind w:left="5180" w:hanging="360"/>
      </w:pPr>
      <w:rPr>
        <w:rFonts w:eastAsia="MS Mincho" w:cs="Arial" w:hint="default"/>
        <w:color w:val="000000"/>
      </w:rPr>
    </w:lvl>
    <w:lvl w:ilvl="1" w:tplc="2674A838" w:tentative="1">
      <w:start w:val="1"/>
      <w:numFmt w:val="lowerLetter"/>
      <w:lvlText w:val="%2."/>
      <w:lvlJc w:val="left"/>
      <w:pPr>
        <w:ind w:left="5900" w:hanging="360"/>
      </w:pPr>
    </w:lvl>
    <w:lvl w:ilvl="2" w:tplc="F24E5970" w:tentative="1">
      <w:start w:val="1"/>
      <w:numFmt w:val="lowerRoman"/>
      <w:lvlText w:val="%3."/>
      <w:lvlJc w:val="right"/>
      <w:pPr>
        <w:ind w:left="6620" w:hanging="180"/>
      </w:pPr>
    </w:lvl>
    <w:lvl w:ilvl="3" w:tplc="A2F07C90" w:tentative="1">
      <w:start w:val="1"/>
      <w:numFmt w:val="decimal"/>
      <w:lvlText w:val="%4."/>
      <w:lvlJc w:val="left"/>
      <w:pPr>
        <w:ind w:left="7340" w:hanging="360"/>
      </w:pPr>
    </w:lvl>
    <w:lvl w:ilvl="4" w:tplc="2FE0056A" w:tentative="1">
      <w:start w:val="1"/>
      <w:numFmt w:val="lowerLetter"/>
      <w:lvlText w:val="%5."/>
      <w:lvlJc w:val="left"/>
      <w:pPr>
        <w:ind w:left="8060" w:hanging="360"/>
      </w:pPr>
    </w:lvl>
    <w:lvl w:ilvl="5" w:tplc="FEAA77CE" w:tentative="1">
      <w:start w:val="1"/>
      <w:numFmt w:val="lowerRoman"/>
      <w:lvlText w:val="%6."/>
      <w:lvlJc w:val="right"/>
      <w:pPr>
        <w:ind w:left="8780" w:hanging="180"/>
      </w:pPr>
    </w:lvl>
    <w:lvl w:ilvl="6" w:tplc="939E9CFE" w:tentative="1">
      <w:start w:val="1"/>
      <w:numFmt w:val="decimal"/>
      <w:lvlText w:val="%7."/>
      <w:lvlJc w:val="left"/>
      <w:pPr>
        <w:ind w:left="9500" w:hanging="360"/>
      </w:pPr>
    </w:lvl>
    <w:lvl w:ilvl="7" w:tplc="625A9478" w:tentative="1">
      <w:start w:val="1"/>
      <w:numFmt w:val="lowerLetter"/>
      <w:lvlText w:val="%8."/>
      <w:lvlJc w:val="left"/>
      <w:pPr>
        <w:ind w:left="10220" w:hanging="360"/>
      </w:pPr>
    </w:lvl>
    <w:lvl w:ilvl="8" w:tplc="46FCAB02" w:tentative="1">
      <w:start w:val="1"/>
      <w:numFmt w:val="lowerRoman"/>
      <w:lvlText w:val="%9."/>
      <w:lvlJc w:val="right"/>
      <w:pPr>
        <w:ind w:left="10940" w:hanging="180"/>
      </w:pPr>
    </w:lvl>
  </w:abstractNum>
  <w:abstractNum w:abstractNumId="23">
    <w:nsid w:val="66175CB0"/>
    <w:multiLevelType w:val="hybridMultilevel"/>
    <w:tmpl w:val="847628F2"/>
    <w:lvl w:ilvl="0" w:tplc="76D8ACC6">
      <w:start w:val="1"/>
      <w:numFmt w:val="lowerLetter"/>
      <w:lvlText w:val="(%1)"/>
      <w:lvlJc w:val="left"/>
      <w:pPr>
        <w:tabs>
          <w:tab w:val="num" w:pos="4926"/>
        </w:tabs>
        <w:ind w:left="4926" w:hanging="390"/>
      </w:pPr>
      <w:rPr>
        <w:rFonts w:cs="Times New Roman" w:hint="default"/>
      </w:rPr>
    </w:lvl>
    <w:lvl w:ilvl="1" w:tplc="D1D67F12" w:tentative="1">
      <w:start w:val="1"/>
      <w:numFmt w:val="lowerLetter"/>
      <w:lvlText w:val="%2."/>
      <w:lvlJc w:val="left"/>
      <w:pPr>
        <w:tabs>
          <w:tab w:val="num" w:pos="5616"/>
        </w:tabs>
        <w:ind w:left="5616" w:hanging="360"/>
      </w:pPr>
      <w:rPr>
        <w:rFonts w:cs="Times New Roman"/>
      </w:rPr>
    </w:lvl>
    <w:lvl w:ilvl="2" w:tplc="6CA45BEC" w:tentative="1">
      <w:start w:val="1"/>
      <w:numFmt w:val="lowerRoman"/>
      <w:lvlText w:val="%3."/>
      <w:lvlJc w:val="right"/>
      <w:pPr>
        <w:tabs>
          <w:tab w:val="num" w:pos="6336"/>
        </w:tabs>
        <w:ind w:left="6336" w:hanging="180"/>
      </w:pPr>
      <w:rPr>
        <w:rFonts w:cs="Times New Roman"/>
      </w:rPr>
    </w:lvl>
    <w:lvl w:ilvl="3" w:tplc="000AD2CC" w:tentative="1">
      <w:start w:val="1"/>
      <w:numFmt w:val="decimal"/>
      <w:lvlText w:val="%4."/>
      <w:lvlJc w:val="left"/>
      <w:pPr>
        <w:tabs>
          <w:tab w:val="num" w:pos="7056"/>
        </w:tabs>
        <w:ind w:left="7056" w:hanging="360"/>
      </w:pPr>
      <w:rPr>
        <w:rFonts w:cs="Times New Roman"/>
      </w:rPr>
    </w:lvl>
    <w:lvl w:ilvl="4" w:tplc="6570F5D4" w:tentative="1">
      <w:start w:val="1"/>
      <w:numFmt w:val="lowerLetter"/>
      <w:lvlText w:val="%5."/>
      <w:lvlJc w:val="left"/>
      <w:pPr>
        <w:tabs>
          <w:tab w:val="num" w:pos="7776"/>
        </w:tabs>
        <w:ind w:left="7776" w:hanging="360"/>
      </w:pPr>
      <w:rPr>
        <w:rFonts w:cs="Times New Roman"/>
      </w:rPr>
    </w:lvl>
    <w:lvl w:ilvl="5" w:tplc="4DB0C706" w:tentative="1">
      <w:start w:val="1"/>
      <w:numFmt w:val="lowerRoman"/>
      <w:lvlText w:val="%6."/>
      <w:lvlJc w:val="right"/>
      <w:pPr>
        <w:tabs>
          <w:tab w:val="num" w:pos="8496"/>
        </w:tabs>
        <w:ind w:left="8496" w:hanging="180"/>
      </w:pPr>
      <w:rPr>
        <w:rFonts w:cs="Times New Roman"/>
      </w:rPr>
    </w:lvl>
    <w:lvl w:ilvl="6" w:tplc="CFC0B76C" w:tentative="1">
      <w:start w:val="1"/>
      <w:numFmt w:val="decimal"/>
      <w:lvlText w:val="%7."/>
      <w:lvlJc w:val="left"/>
      <w:pPr>
        <w:tabs>
          <w:tab w:val="num" w:pos="9216"/>
        </w:tabs>
        <w:ind w:left="9216" w:hanging="360"/>
      </w:pPr>
      <w:rPr>
        <w:rFonts w:cs="Times New Roman"/>
      </w:rPr>
    </w:lvl>
    <w:lvl w:ilvl="7" w:tplc="390A7D66" w:tentative="1">
      <w:start w:val="1"/>
      <w:numFmt w:val="lowerLetter"/>
      <w:lvlText w:val="%8."/>
      <w:lvlJc w:val="left"/>
      <w:pPr>
        <w:tabs>
          <w:tab w:val="num" w:pos="9936"/>
        </w:tabs>
        <w:ind w:left="9936" w:hanging="360"/>
      </w:pPr>
      <w:rPr>
        <w:rFonts w:cs="Times New Roman"/>
      </w:rPr>
    </w:lvl>
    <w:lvl w:ilvl="8" w:tplc="1780F114" w:tentative="1">
      <w:start w:val="1"/>
      <w:numFmt w:val="lowerRoman"/>
      <w:lvlText w:val="%9."/>
      <w:lvlJc w:val="right"/>
      <w:pPr>
        <w:tabs>
          <w:tab w:val="num" w:pos="10656"/>
        </w:tabs>
        <w:ind w:left="10656" w:hanging="180"/>
      </w:pPr>
      <w:rPr>
        <w:rFonts w:cs="Times New Roman"/>
      </w:rPr>
    </w:lvl>
  </w:abstractNum>
  <w:abstractNum w:abstractNumId="24">
    <w:nsid w:val="673E0B56"/>
    <w:multiLevelType w:val="hybridMultilevel"/>
    <w:tmpl w:val="91144E5C"/>
    <w:lvl w:ilvl="0" w:tplc="217E48CA">
      <w:start w:val="1"/>
      <w:numFmt w:val="lowerLetter"/>
      <w:lvlText w:val="%1)"/>
      <w:lvlJc w:val="left"/>
      <w:pPr>
        <w:ind w:left="720" w:hanging="360"/>
      </w:pPr>
      <w:rPr>
        <w:rFonts w:hint="default"/>
      </w:rPr>
    </w:lvl>
    <w:lvl w:ilvl="1" w:tplc="03C2A916" w:tentative="1">
      <w:start w:val="1"/>
      <w:numFmt w:val="lowerLetter"/>
      <w:lvlText w:val="%2."/>
      <w:lvlJc w:val="left"/>
      <w:pPr>
        <w:ind w:left="1440" w:hanging="360"/>
      </w:pPr>
    </w:lvl>
    <w:lvl w:ilvl="2" w:tplc="2BACCFC4" w:tentative="1">
      <w:start w:val="1"/>
      <w:numFmt w:val="lowerRoman"/>
      <w:lvlText w:val="%3."/>
      <w:lvlJc w:val="right"/>
      <w:pPr>
        <w:ind w:left="2160" w:hanging="180"/>
      </w:pPr>
    </w:lvl>
    <w:lvl w:ilvl="3" w:tplc="0AD255AC" w:tentative="1">
      <w:start w:val="1"/>
      <w:numFmt w:val="decimal"/>
      <w:lvlText w:val="%4."/>
      <w:lvlJc w:val="left"/>
      <w:pPr>
        <w:ind w:left="2880" w:hanging="360"/>
      </w:pPr>
    </w:lvl>
    <w:lvl w:ilvl="4" w:tplc="F9F4C7E2" w:tentative="1">
      <w:start w:val="1"/>
      <w:numFmt w:val="lowerLetter"/>
      <w:lvlText w:val="%5."/>
      <w:lvlJc w:val="left"/>
      <w:pPr>
        <w:ind w:left="3600" w:hanging="360"/>
      </w:pPr>
    </w:lvl>
    <w:lvl w:ilvl="5" w:tplc="B538B394" w:tentative="1">
      <w:start w:val="1"/>
      <w:numFmt w:val="lowerRoman"/>
      <w:lvlText w:val="%6."/>
      <w:lvlJc w:val="right"/>
      <w:pPr>
        <w:ind w:left="4320" w:hanging="180"/>
      </w:pPr>
    </w:lvl>
    <w:lvl w:ilvl="6" w:tplc="B1940C76" w:tentative="1">
      <w:start w:val="1"/>
      <w:numFmt w:val="decimal"/>
      <w:lvlText w:val="%7."/>
      <w:lvlJc w:val="left"/>
      <w:pPr>
        <w:ind w:left="5040" w:hanging="360"/>
      </w:pPr>
    </w:lvl>
    <w:lvl w:ilvl="7" w:tplc="7FC8788E" w:tentative="1">
      <w:start w:val="1"/>
      <w:numFmt w:val="lowerLetter"/>
      <w:lvlText w:val="%8."/>
      <w:lvlJc w:val="left"/>
      <w:pPr>
        <w:ind w:left="5760" w:hanging="360"/>
      </w:pPr>
    </w:lvl>
    <w:lvl w:ilvl="8" w:tplc="4E4889CE" w:tentative="1">
      <w:start w:val="1"/>
      <w:numFmt w:val="lowerRoman"/>
      <w:lvlText w:val="%9."/>
      <w:lvlJc w:val="right"/>
      <w:pPr>
        <w:ind w:left="6480" w:hanging="180"/>
      </w:pPr>
    </w:lvl>
  </w:abstractNum>
  <w:abstractNum w:abstractNumId="25">
    <w:nsid w:val="6A823DC3"/>
    <w:multiLevelType w:val="hybridMultilevel"/>
    <w:tmpl w:val="764258C4"/>
    <w:lvl w:ilvl="0" w:tplc="317A9778">
      <w:start w:val="1"/>
      <w:numFmt w:val="bullet"/>
      <w:lvlText w:val=""/>
      <w:lvlJc w:val="left"/>
      <w:pPr>
        <w:ind w:left="1440" w:hanging="360"/>
      </w:pPr>
      <w:rPr>
        <w:rFonts w:ascii="Symbol" w:hAnsi="Symbol" w:hint="default"/>
      </w:rPr>
    </w:lvl>
    <w:lvl w:ilvl="1" w:tplc="57C8136E" w:tentative="1">
      <w:start w:val="1"/>
      <w:numFmt w:val="bullet"/>
      <w:lvlText w:val="o"/>
      <w:lvlJc w:val="left"/>
      <w:pPr>
        <w:ind w:left="2160" w:hanging="360"/>
      </w:pPr>
      <w:rPr>
        <w:rFonts w:ascii="Courier New" w:hAnsi="Courier New" w:hint="default"/>
      </w:rPr>
    </w:lvl>
    <w:lvl w:ilvl="2" w:tplc="B8DC7066" w:tentative="1">
      <w:start w:val="1"/>
      <w:numFmt w:val="bullet"/>
      <w:lvlText w:val=""/>
      <w:lvlJc w:val="left"/>
      <w:pPr>
        <w:ind w:left="2880" w:hanging="360"/>
      </w:pPr>
      <w:rPr>
        <w:rFonts w:ascii="Wingdings" w:hAnsi="Wingdings" w:hint="default"/>
      </w:rPr>
    </w:lvl>
    <w:lvl w:ilvl="3" w:tplc="88D4A1E6" w:tentative="1">
      <w:start w:val="1"/>
      <w:numFmt w:val="bullet"/>
      <w:lvlText w:val=""/>
      <w:lvlJc w:val="left"/>
      <w:pPr>
        <w:ind w:left="3600" w:hanging="360"/>
      </w:pPr>
      <w:rPr>
        <w:rFonts w:ascii="Symbol" w:hAnsi="Symbol" w:hint="default"/>
      </w:rPr>
    </w:lvl>
    <w:lvl w:ilvl="4" w:tplc="62605098" w:tentative="1">
      <w:start w:val="1"/>
      <w:numFmt w:val="bullet"/>
      <w:lvlText w:val="o"/>
      <w:lvlJc w:val="left"/>
      <w:pPr>
        <w:ind w:left="4320" w:hanging="360"/>
      </w:pPr>
      <w:rPr>
        <w:rFonts w:ascii="Courier New" w:hAnsi="Courier New" w:hint="default"/>
      </w:rPr>
    </w:lvl>
    <w:lvl w:ilvl="5" w:tplc="2BDAAAB2" w:tentative="1">
      <w:start w:val="1"/>
      <w:numFmt w:val="bullet"/>
      <w:lvlText w:val=""/>
      <w:lvlJc w:val="left"/>
      <w:pPr>
        <w:ind w:left="5040" w:hanging="360"/>
      </w:pPr>
      <w:rPr>
        <w:rFonts w:ascii="Wingdings" w:hAnsi="Wingdings" w:hint="default"/>
      </w:rPr>
    </w:lvl>
    <w:lvl w:ilvl="6" w:tplc="157CA3CE" w:tentative="1">
      <w:start w:val="1"/>
      <w:numFmt w:val="bullet"/>
      <w:lvlText w:val=""/>
      <w:lvlJc w:val="left"/>
      <w:pPr>
        <w:ind w:left="5760" w:hanging="360"/>
      </w:pPr>
      <w:rPr>
        <w:rFonts w:ascii="Symbol" w:hAnsi="Symbol" w:hint="default"/>
      </w:rPr>
    </w:lvl>
    <w:lvl w:ilvl="7" w:tplc="BB3215E8" w:tentative="1">
      <w:start w:val="1"/>
      <w:numFmt w:val="bullet"/>
      <w:lvlText w:val="o"/>
      <w:lvlJc w:val="left"/>
      <w:pPr>
        <w:ind w:left="6480" w:hanging="360"/>
      </w:pPr>
      <w:rPr>
        <w:rFonts w:ascii="Courier New" w:hAnsi="Courier New" w:hint="default"/>
      </w:rPr>
    </w:lvl>
    <w:lvl w:ilvl="8" w:tplc="CC10225A" w:tentative="1">
      <w:start w:val="1"/>
      <w:numFmt w:val="bullet"/>
      <w:lvlText w:val=""/>
      <w:lvlJc w:val="left"/>
      <w:pPr>
        <w:ind w:left="7200" w:hanging="360"/>
      </w:pPr>
      <w:rPr>
        <w:rFonts w:ascii="Wingdings" w:hAnsi="Wingdings" w:hint="default"/>
      </w:rPr>
    </w:lvl>
  </w:abstractNum>
  <w:abstractNum w:abstractNumId="26">
    <w:nsid w:val="6FB67671"/>
    <w:multiLevelType w:val="hybridMultilevel"/>
    <w:tmpl w:val="61E6488A"/>
    <w:lvl w:ilvl="0" w:tplc="0B32EDE6">
      <w:start w:val="1"/>
      <w:numFmt w:val="bullet"/>
      <w:lvlText w:val=""/>
      <w:lvlJc w:val="left"/>
      <w:pPr>
        <w:ind w:left="720" w:hanging="360"/>
      </w:pPr>
      <w:rPr>
        <w:rFonts w:ascii="Symbol" w:hAnsi="Symbol" w:hint="default"/>
      </w:rPr>
    </w:lvl>
    <w:lvl w:ilvl="1" w:tplc="52EA7010" w:tentative="1">
      <w:start w:val="1"/>
      <w:numFmt w:val="bullet"/>
      <w:lvlText w:val="o"/>
      <w:lvlJc w:val="left"/>
      <w:pPr>
        <w:ind w:left="1440" w:hanging="360"/>
      </w:pPr>
      <w:rPr>
        <w:rFonts w:ascii="Courier New" w:hAnsi="Courier New" w:cs="Courier New" w:hint="default"/>
      </w:rPr>
    </w:lvl>
    <w:lvl w:ilvl="2" w:tplc="A6AED684" w:tentative="1">
      <w:start w:val="1"/>
      <w:numFmt w:val="bullet"/>
      <w:lvlText w:val=""/>
      <w:lvlJc w:val="left"/>
      <w:pPr>
        <w:ind w:left="2160" w:hanging="360"/>
      </w:pPr>
      <w:rPr>
        <w:rFonts w:ascii="Wingdings" w:hAnsi="Wingdings" w:hint="default"/>
      </w:rPr>
    </w:lvl>
    <w:lvl w:ilvl="3" w:tplc="184C9D52" w:tentative="1">
      <w:start w:val="1"/>
      <w:numFmt w:val="bullet"/>
      <w:lvlText w:val=""/>
      <w:lvlJc w:val="left"/>
      <w:pPr>
        <w:ind w:left="2880" w:hanging="360"/>
      </w:pPr>
      <w:rPr>
        <w:rFonts w:ascii="Symbol" w:hAnsi="Symbol" w:hint="default"/>
      </w:rPr>
    </w:lvl>
    <w:lvl w:ilvl="4" w:tplc="F8E87E92" w:tentative="1">
      <w:start w:val="1"/>
      <w:numFmt w:val="bullet"/>
      <w:lvlText w:val="o"/>
      <w:lvlJc w:val="left"/>
      <w:pPr>
        <w:ind w:left="3600" w:hanging="360"/>
      </w:pPr>
      <w:rPr>
        <w:rFonts w:ascii="Courier New" w:hAnsi="Courier New" w:cs="Courier New" w:hint="default"/>
      </w:rPr>
    </w:lvl>
    <w:lvl w:ilvl="5" w:tplc="2892CBE0" w:tentative="1">
      <w:start w:val="1"/>
      <w:numFmt w:val="bullet"/>
      <w:lvlText w:val=""/>
      <w:lvlJc w:val="left"/>
      <w:pPr>
        <w:ind w:left="4320" w:hanging="360"/>
      </w:pPr>
      <w:rPr>
        <w:rFonts w:ascii="Wingdings" w:hAnsi="Wingdings" w:hint="default"/>
      </w:rPr>
    </w:lvl>
    <w:lvl w:ilvl="6" w:tplc="C958D91A" w:tentative="1">
      <w:start w:val="1"/>
      <w:numFmt w:val="bullet"/>
      <w:lvlText w:val=""/>
      <w:lvlJc w:val="left"/>
      <w:pPr>
        <w:ind w:left="5040" w:hanging="360"/>
      </w:pPr>
      <w:rPr>
        <w:rFonts w:ascii="Symbol" w:hAnsi="Symbol" w:hint="default"/>
      </w:rPr>
    </w:lvl>
    <w:lvl w:ilvl="7" w:tplc="7DFC9398" w:tentative="1">
      <w:start w:val="1"/>
      <w:numFmt w:val="bullet"/>
      <w:lvlText w:val="o"/>
      <w:lvlJc w:val="left"/>
      <w:pPr>
        <w:ind w:left="5760" w:hanging="360"/>
      </w:pPr>
      <w:rPr>
        <w:rFonts w:ascii="Courier New" w:hAnsi="Courier New" w:cs="Courier New" w:hint="default"/>
      </w:rPr>
    </w:lvl>
    <w:lvl w:ilvl="8" w:tplc="CB540CE0" w:tentative="1">
      <w:start w:val="1"/>
      <w:numFmt w:val="bullet"/>
      <w:lvlText w:val=""/>
      <w:lvlJc w:val="left"/>
      <w:pPr>
        <w:ind w:left="6480" w:hanging="360"/>
      </w:pPr>
      <w:rPr>
        <w:rFonts w:ascii="Wingdings" w:hAnsi="Wingdings" w:hint="default"/>
      </w:rPr>
    </w:lvl>
  </w:abstractNum>
  <w:abstractNum w:abstractNumId="27">
    <w:nsid w:val="70234A3F"/>
    <w:multiLevelType w:val="hybridMultilevel"/>
    <w:tmpl w:val="407C452C"/>
    <w:lvl w:ilvl="0" w:tplc="23CCC7BC">
      <w:start w:val="1"/>
      <w:numFmt w:val="bullet"/>
      <w:lvlText w:val=""/>
      <w:lvlJc w:val="left"/>
      <w:pPr>
        <w:ind w:left="999" w:hanging="360"/>
      </w:pPr>
      <w:rPr>
        <w:rFonts w:ascii="Symbol" w:hAnsi="Symbol" w:hint="default"/>
      </w:rPr>
    </w:lvl>
    <w:lvl w:ilvl="1" w:tplc="0C067DA0" w:tentative="1">
      <w:start w:val="1"/>
      <w:numFmt w:val="bullet"/>
      <w:lvlText w:val="o"/>
      <w:lvlJc w:val="left"/>
      <w:pPr>
        <w:ind w:left="1719" w:hanging="360"/>
      </w:pPr>
      <w:rPr>
        <w:rFonts w:ascii="Courier New" w:hAnsi="Courier New" w:cs="Courier New" w:hint="default"/>
      </w:rPr>
    </w:lvl>
    <w:lvl w:ilvl="2" w:tplc="DB608B3E" w:tentative="1">
      <w:start w:val="1"/>
      <w:numFmt w:val="bullet"/>
      <w:lvlText w:val=""/>
      <w:lvlJc w:val="left"/>
      <w:pPr>
        <w:ind w:left="2439" w:hanging="360"/>
      </w:pPr>
      <w:rPr>
        <w:rFonts w:ascii="Wingdings" w:hAnsi="Wingdings" w:hint="default"/>
      </w:rPr>
    </w:lvl>
    <w:lvl w:ilvl="3" w:tplc="395A8032" w:tentative="1">
      <w:start w:val="1"/>
      <w:numFmt w:val="bullet"/>
      <w:lvlText w:val=""/>
      <w:lvlJc w:val="left"/>
      <w:pPr>
        <w:ind w:left="3159" w:hanging="360"/>
      </w:pPr>
      <w:rPr>
        <w:rFonts w:ascii="Symbol" w:hAnsi="Symbol" w:hint="default"/>
      </w:rPr>
    </w:lvl>
    <w:lvl w:ilvl="4" w:tplc="68C83210" w:tentative="1">
      <w:start w:val="1"/>
      <w:numFmt w:val="bullet"/>
      <w:lvlText w:val="o"/>
      <w:lvlJc w:val="left"/>
      <w:pPr>
        <w:ind w:left="3879" w:hanging="360"/>
      </w:pPr>
      <w:rPr>
        <w:rFonts w:ascii="Courier New" w:hAnsi="Courier New" w:cs="Courier New" w:hint="default"/>
      </w:rPr>
    </w:lvl>
    <w:lvl w:ilvl="5" w:tplc="0A0E11C2" w:tentative="1">
      <w:start w:val="1"/>
      <w:numFmt w:val="bullet"/>
      <w:lvlText w:val=""/>
      <w:lvlJc w:val="left"/>
      <w:pPr>
        <w:ind w:left="4599" w:hanging="360"/>
      </w:pPr>
      <w:rPr>
        <w:rFonts w:ascii="Wingdings" w:hAnsi="Wingdings" w:hint="default"/>
      </w:rPr>
    </w:lvl>
    <w:lvl w:ilvl="6" w:tplc="88AEE1EA" w:tentative="1">
      <w:start w:val="1"/>
      <w:numFmt w:val="bullet"/>
      <w:lvlText w:val=""/>
      <w:lvlJc w:val="left"/>
      <w:pPr>
        <w:ind w:left="5319" w:hanging="360"/>
      </w:pPr>
      <w:rPr>
        <w:rFonts w:ascii="Symbol" w:hAnsi="Symbol" w:hint="default"/>
      </w:rPr>
    </w:lvl>
    <w:lvl w:ilvl="7" w:tplc="875C6052" w:tentative="1">
      <w:start w:val="1"/>
      <w:numFmt w:val="bullet"/>
      <w:lvlText w:val="o"/>
      <w:lvlJc w:val="left"/>
      <w:pPr>
        <w:ind w:left="6039" w:hanging="360"/>
      </w:pPr>
      <w:rPr>
        <w:rFonts w:ascii="Courier New" w:hAnsi="Courier New" w:cs="Courier New" w:hint="default"/>
      </w:rPr>
    </w:lvl>
    <w:lvl w:ilvl="8" w:tplc="A9AA8D80" w:tentative="1">
      <w:start w:val="1"/>
      <w:numFmt w:val="bullet"/>
      <w:lvlText w:val=""/>
      <w:lvlJc w:val="left"/>
      <w:pPr>
        <w:ind w:left="6759" w:hanging="360"/>
      </w:pPr>
      <w:rPr>
        <w:rFonts w:ascii="Wingdings" w:hAnsi="Wingdings" w:hint="default"/>
      </w:rPr>
    </w:lvl>
  </w:abstractNum>
  <w:abstractNum w:abstractNumId="28">
    <w:nsid w:val="727368B3"/>
    <w:multiLevelType w:val="hybridMultilevel"/>
    <w:tmpl w:val="EBFE0584"/>
    <w:lvl w:ilvl="0" w:tplc="C0948D0E">
      <w:start w:val="1"/>
      <w:numFmt w:val="bullet"/>
      <w:lvlText w:val=""/>
      <w:lvlJc w:val="left"/>
      <w:pPr>
        <w:ind w:left="720" w:hanging="360"/>
      </w:pPr>
      <w:rPr>
        <w:rFonts w:ascii="Symbol" w:hAnsi="Symbol" w:hint="default"/>
      </w:rPr>
    </w:lvl>
    <w:lvl w:ilvl="1" w:tplc="B3B01680" w:tentative="1">
      <w:start w:val="1"/>
      <w:numFmt w:val="bullet"/>
      <w:lvlText w:val="o"/>
      <w:lvlJc w:val="left"/>
      <w:pPr>
        <w:ind w:left="1440" w:hanging="360"/>
      </w:pPr>
      <w:rPr>
        <w:rFonts w:ascii="Courier New" w:hAnsi="Courier New" w:hint="default"/>
      </w:rPr>
    </w:lvl>
    <w:lvl w:ilvl="2" w:tplc="A8AEC366" w:tentative="1">
      <w:start w:val="1"/>
      <w:numFmt w:val="bullet"/>
      <w:lvlText w:val=""/>
      <w:lvlJc w:val="left"/>
      <w:pPr>
        <w:ind w:left="2160" w:hanging="360"/>
      </w:pPr>
      <w:rPr>
        <w:rFonts w:ascii="Wingdings" w:hAnsi="Wingdings" w:hint="default"/>
      </w:rPr>
    </w:lvl>
    <w:lvl w:ilvl="3" w:tplc="A25C47EA" w:tentative="1">
      <w:start w:val="1"/>
      <w:numFmt w:val="bullet"/>
      <w:lvlText w:val=""/>
      <w:lvlJc w:val="left"/>
      <w:pPr>
        <w:ind w:left="2880" w:hanging="360"/>
      </w:pPr>
      <w:rPr>
        <w:rFonts w:ascii="Symbol" w:hAnsi="Symbol" w:hint="default"/>
      </w:rPr>
    </w:lvl>
    <w:lvl w:ilvl="4" w:tplc="43AEFB20" w:tentative="1">
      <w:start w:val="1"/>
      <w:numFmt w:val="bullet"/>
      <w:lvlText w:val="o"/>
      <w:lvlJc w:val="left"/>
      <w:pPr>
        <w:ind w:left="3600" w:hanging="360"/>
      </w:pPr>
      <w:rPr>
        <w:rFonts w:ascii="Courier New" w:hAnsi="Courier New" w:hint="default"/>
      </w:rPr>
    </w:lvl>
    <w:lvl w:ilvl="5" w:tplc="B754B05A" w:tentative="1">
      <w:start w:val="1"/>
      <w:numFmt w:val="bullet"/>
      <w:lvlText w:val=""/>
      <w:lvlJc w:val="left"/>
      <w:pPr>
        <w:ind w:left="4320" w:hanging="360"/>
      </w:pPr>
      <w:rPr>
        <w:rFonts w:ascii="Wingdings" w:hAnsi="Wingdings" w:hint="default"/>
      </w:rPr>
    </w:lvl>
    <w:lvl w:ilvl="6" w:tplc="12AE1892" w:tentative="1">
      <w:start w:val="1"/>
      <w:numFmt w:val="bullet"/>
      <w:lvlText w:val=""/>
      <w:lvlJc w:val="left"/>
      <w:pPr>
        <w:ind w:left="5040" w:hanging="360"/>
      </w:pPr>
      <w:rPr>
        <w:rFonts w:ascii="Symbol" w:hAnsi="Symbol" w:hint="default"/>
      </w:rPr>
    </w:lvl>
    <w:lvl w:ilvl="7" w:tplc="DE8C4F3A" w:tentative="1">
      <w:start w:val="1"/>
      <w:numFmt w:val="bullet"/>
      <w:lvlText w:val="o"/>
      <w:lvlJc w:val="left"/>
      <w:pPr>
        <w:ind w:left="5760" w:hanging="360"/>
      </w:pPr>
      <w:rPr>
        <w:rFonts w:ascii="Courier New" w:hAnsi="Courier New" w:hint="default"/>
      </w:rPr>
    </w:lvl>
    <w:lvl w:ilvl="8" w:tplc="F00E0250" w:tentative="1">
      <w:start w:val="1"/>
      <w:numFmt w:val="bullet"/>
      <w:lvlText w:val=""/>
      <w:lvlJc w:val="left"/>
      <w:pPr>
        <w:ind w:left="6480" w:hanging="360"/>
      </w:pPr>
      <w:rPr>
        <w:rFonts w:ascii="Wingdings" w:hAnsi="Wingdings" w:hint="default"/>
      </w:rPr>
    </w:lvl>
  </w:abstractNum>
  <w:abstractNum w:abstractNumId="29">
    <w:nsid w:val="73DB60EA"/>
    <w:multiLevelType w:val="hybridMultilevel"/>
    <w:tmpl w:val="45289DBA"/>
    <w:lvl w:ilvl="0" w:tplc="922E773A">
      <w:start w:val="1"/>
      <w:numFmt w:val="bullet"/>
      <w:lvlText w:val=""/>
      <w:lvlJc w:val="left"/>
      <w:pPr>
        <w:ind w:left="1429" w:hanging="360"/>
      </w:pPr>
      <w:rPr>
        <w:rFonts w:ascii="Symbol" w:hAnsi="Symbol" w:hint="default"/>
      </w:rPr>
    </w:lvl>
    <w:lvl w:ilvl="1" w:tplc="60F2A10E">
      <w:start w:val="1"/>
      <w:numFmt w:val="bullet"/>
      <w:lvlText w:val="o"/>
      <w:lvlJc w:val="left"/>
      <w:pPr>
        <w:ind w:left="2149" w:hanging="360"/>
      </w:pPr>
      <w:rPr>
        <w:rFonts w:ascii="Courier New" w:hAnsi="Courier New" w:hint="default"/>
      </w:rPr>
    </w:lvl>
    <w:lvl w:ilvl="2" w:tplc="4098651E" w:tentative="1">
      <w:start w:val="1"/>
      <w:numFmt w:val="bullet"/>
      <w:lvlText w:val=""/>
      <w:lvlJc w:val="left"/>
      <w:pPr>
        <w:ind w:left="2869" w:hanging="360"/>
      </w:pPr>
      <w:rPr>
        <w:rFonts w:ascii="Wingdings" w:hAnsi="Wingdings" w:hint="default"/>
      </w:rPr>
    </w:lvl>
    <w:lvl w:ilvl="3" w:tplc="B3A8D534" w:tentative="1">
      <w:start w:val="1"/>
      <w:numFmt w:val="bullet"/>
      <w:lvlText w:val=""/>
      <w:lvlJc w:val="left"/>
      <w:pPr>
        <w:ind w:left="3589" w:hanging="360"/>
      </w:pPr>
      <w:rPr>
        <w:rFonts w:ascii="Symbol" w:hAnsi="Symbol" w:hint="default"/>
      </w:rPr>
    </w:lvl>
    <w:lvl w:ilvl="4" w:tplc="BCF47688" w:tentative="1">
      <w:start w:val="1"/>
      <w:numFmt w:val="bullet"/>
      <w:lvlText w:val="o"/>
      <w:lvlJc w:val="left"/>
      <w:pPr>
        <w:ind w:left="4309" w:hanging="360"/>
      </w:pPr>
      <w:rPr>
        <w:rFonts w:ascii="Courier New" w:hAnsi="Courier New" w:hint="default"/>
      </w:rPr>
    </w:lvl>
    <w:lvl w:ilvl="5" w:tplc="AD787B24" w:tentative="1">
      <w:start w:val="1"/>
      <w:numFmt w:val="bullet"/>
      <w:lvlText w:val=""/>
      <w:lvlJc w:val="left"/>
      <w:pPr>
        <w:ind w:left="5029" w:hanging="360"/>
      </w:pPr>
      <w:rPr>
        <w:rFonts w:ascii="Wingdings" w:hAnsi="Wingdings" w:hint="default"/>
      </w:rPr>
    </w:lvl>
    <w:lvl w:ilvl="6" w:tplc="7C568400" w:tentative="1">
      <w:start w:val="1"/>
      <w:numFmt w:val="bullet"/>
      <w:lvlText w:val=""/>
      <w:lvlJc w:val="left"/>
      <w:pPr>
        <w:ind w:left="5749" w:hanging="360"/>
      </w:pPr>
      <w:rPr>
        <w:rFonts w:ascii="Symbol" w:hAnsi="Symbol" w:hint="default"/>
      </w:rPr>
    </w:lvl>
    <w:lvl w:ilvl="7" w:tplc="8794C34E" w:tentative="1">
      <w:start w:val="1"/>
      <w:numFmt w:val="bullet"/>
      <w:lvlText w:val="o"/>
      <w:lvlJc w:val="left"/>
      <w:pPr>
        <w:ind w:left="6469" w:hanging="360"/>
      </w:pPr>
      <w:rPr>
        <w:rFonts w:ascii="Courier New" w:hAnsi="Courier New" w:hint="default"/>
      </w:rPr>
    </w:lvl>
    <w:lvl w:ilvl="8" w:tplc="34AE7048" w:tentative="1">
      <w:start w:val="1"/>
      <w:numFmt w:val="bullet"/>
      <w:lvlText w:val=""/>
      <w:lvlJc w:val="left"/>
      <w:pPr>
        <w:ind w:left="7189" w:hanging="360"/>
      </w:pPr>
      <w:rPr>
        <w:rFonts w:ascii="Wingdings" w:hAnsi="Wingdings" w:hint="default"/>
      </w:rPr>
    </w:lvl>
  </w:abstractNum>
  <w:abstractNum w:abstractNumId="30">
    <w:nsid w:val="7A77042D"/>
    <w:multiLevelType w:val="hybridMultilevel"/>
    <w:tmpl w:val="C6A8A290"/>
    <w:lvl w:ilvl="0" w:tplc="5498CAE2">
      <w:start w:val="1"/>
      <w:numFmt w:val="bullet"/>
      <w:lvlText w:val=""/>
      <w:lvlJc w:val="left"/>
      <w:pPr>
        <w:ind w:left="1287" w:hanging="360"/>
      </w:pPr>
      <w:rPr>
        <w:rFonts w:ascii="Symbol" w:hAnsi="Symbol" w:hint="default"/>
      </w:rPr>
    </w:lvl>
    <w:lvl w:ilvl="1" w:tplc="CB088692" w:tentative="1">
      <w:start w:val="1"/>
      <w:numFmt w:val="bullet"/>
      <w:lvlText w:val="o"/>
      <w:lvlJc w:val="left"/>
      <w:pPr>
        <w:ind w:left="2007" w:hanging="360"/>
      </w:pPr>
      <w:rPr>
        <w:rFonts w:ascii="Courier New" w:hAnsi="Courier New" w:hint="default"/>
      </w:rPr>
    </w:lvl>
    <w:lvl w:ilvl="2" w:tplc="FEF0C8D8" w:tentative="1">
      <w:start w:val="1"/>
      <w:numFmt w:val="bullet"/>
      <w:lvlText w:val=""/>
      <w:lvlJc w:val="left"/>
      <w:pPr>
        <w:ind w:left="2727" w:hanging="360"/>
      </w:pPr>
      <w:rPr>
        <w:rFonts w:ascii="Wingdings" w:hAnsi="Wingdings" w:hint="default"/>
      </w:rPr>
    </w:lvl>
    <w:lvl w:ilvl="3" w:tplc="BB22A82E" w:tentative="1">
      <w:start w:val="1"/>
      <w:numFmt w:val="bullet"/>
      <w:lvlText w:val=""/>
      <w:lvlJc w:val="left"/>
      <w:pPr>
        <w:ind w:left="3447" w:hanging="360"/>
      </w:pPr>
      <w:rPr>
        <w:rFonts w:ascii="Symbol" w:hAnsi="Symbol" w:hint="default"/>
      </w:rPr>
    </w:lvl>
    <w:lvl w:ilvl="4" w:tplc="9C9EE9B0" w:tentative="1">
      <w:start w:val="1"/>
      <w:numFmt w:val="bullet"/>
      <w:lvlText w:val="o"/>
      <w:lvlJc w:val="left"/>
      <w:pPr>
        <w:ind w:left="4167" w:hanging="360"/>
      </w:pPr>
      <w:rPr>
        <w:rFonts w:ascii="Courier New" w:hAnsi="Courier New" w:hint="default"/>
      </w:rPr>
    </w:lvl>
    <w:lvl w:ilvl="5" w:tplc="C8447BCE" w:tentative="1">
      <w:start w:val="1"/>
      <w:numFmt w:val="bullet"/>
      <w:lvlText w:val=""/>
      <w:lvlJc w:val="left"/>
      <w:pPr>
        <w:ind w:left="4887" w:hanging="360"/>
      </w:pPr>
      <w:rPr>
        <w:rFonts w:ascii="Wingdings" w:hAnsi="Wingdings" w:hint="default"/>
      </w:rPr>
    </w:lvl>
    <w:lvl w:ilvl="6" w:tplc="2B06F188" w:tentative="1">
      <w:start w:val="1"/>
      <w:numFmt w:val="bullet"/>
      <w:lvlText w:val=""/>
      <w:lvlJc w:val="left"/>
      <w:pPr>
        <w:ind w:left="5607" w:hanging="360"/>
      </w:pPr>
      <w:rPr>
        <w:rFonts w:ascii="Symbol" w:hAnsi="Symbol" w:hint="default"/>
      </w:rPr>
    </w:lvl>
    <w:lvl w:ilvl="7" w:tplc="71EE2BAE" w:tentative="1">
      <w:start w:val="1"/>
      <w:numFmt w:val="bullet"/>
      <w:lvlText w:val="o"/>
      <w:lvlJc w:val="left"/>
      <w:pPr>
        <w:ind w:left="6327" w:hanging="360"/>
      </w:pPr>
      <w:rPr>
        <w:rFonts w:ascii="Courier New" w:hAnsi="Courier New" w:hint="default"/>
      </w:rPr>
    </w:lvl>
    <w:lvl w:ilvl="8" w:tplc="0CE6286C" w:tentative="1">
      <w:start w:val="1"/>
      <w:numFmt w:val="bullet"/>
      <w:lvlText w:val=""/>
      <w:lvlJc w:val="left"/>
      <w:pPr>
        <w:ind w:left="7047" w:hanging="360"/>
      </w:pPr>
      <w:rPr>
        <w:rFonts w:ascii="Wingdings" w:hAnsi="Wingdings" w:hint="default"/>
      </w:rPr>
    </w:lvl>
  </w:abstractNum>
  <w:abstractNum w:abstractNumId="31">
    <w:nsid w:val="7C8D04CB"/>
    <w:multiLevelType w:val="hybridMultilevel"/>
    <w:tmpl w:val="FC32B2DC"/>
    <w:lvl w:ilvl="0" w:tplc="921CCD1A">
      <w:start w:val="1"/>
      <w:numFmt w:val="decimal"/>
      <w:lvlText w:val="%1."/>
      <w:lvlJc w:val="left"/>
      <w:pPr>
        <w:ind w:left="720" w:hanging="360"/>
      </w:pPr>
      <w:rPr>
        <w:rFonts w:cs="Times New Roman"/>
      </w:rPr>
    </w:lvl>
    <w:lvl w:ilvl="1" w:tplc="052A84D4" w:tentative="1">
      <w:start w:val="1"/>
      <w:numFmt w:val="lowerLetter"/>
      <w:lvlText w:val="%2."/>
      <w:lvlJc w:val="left"/>
      <w:pPr>
        <w:ind w:left="1440" w:hanging="360"/>
      </w:pPr>
      <w:rPr>
        <w:rFonts w:cs="Times New Roman"/>
      </w:rPr>
    </w:lvl>
    <w:lvl w:ilvl="2" w:tplc="32A0A060" w:tentative="1">
      <w:start w:val="1"/>
      <w:numFmt w:val="lowerRoman"/>
      <w:lvlText w:val="%3."/>
      <w:lvlJc w:val="right"/>
      <w:pPr>
        <w:ind w:left="2160" w:hanging="180"/>
      </w:pPr>
      <w:rPr>
        <w:rFonts w:cs="Times New Roman"/>
      </w:rPr>
    </w:lvl>
    <w:lvl w:ilvl="3" w:tplc="130C3626" w:tentative="1">
      <w:start w:val="1"/>
      <w:numFmt w:val="decimal"/>
      <w:lvlText w:val="%4."/>
      <w:lvlJc w:val="left"/>
      <w:pPr>
        <w:ind w:left="2880" w:hanging="360"/>
      </w:pPr>
      <w:rPr>
        <w:rFonts w:cs="Times New Roman"/>
      </w:rPr>
    </w:lvl>
    <w:lvl w:ilvl="4" w:tplc="DD2EBC60" w:tentative="1">
      <w:start w:val="1"/>
      <w:numFmt w:val="lowerLetter"/>
      <w:lvlText w:val="%5."/>
      <w:lvlJc w:val="left"/>
      <w:pPr>
        <w:ind w:left="3600" w:hanging="360"/>
      </w:pPr>
      <w:rPr>
        <w:rFonts w:cs="Times New Roman"/>
      </w:rPr>
    </w:lvl>
    <w:lvl w:ilvl="5" w:tplc="5A1C518C" w:tentative="1">
      <w:start w:val="1"/>
      <w:numFmt w:val="lowerRoman"/>
      <w:lvlText w:val="%6."/>
      <w:lvlJc w:val="right"/>
      <w:pPr>
        <w:ind w:left="4320" w:hanging="180"/>
      </w:pPr>
      <w:rPr>
        <w:rFonts w:cs="Times New Roman"/>
      </w:rPr>
    </w:lvl>
    <w:lvl w:ilvl="6" w:tplc="EC540024" w:tentative="1">
      <w:start w:val="1"/>
      <w:numFmt w:val="decimal"/>
      <w:lvlText w:val="%7."/>
      <w:lvlJc w:val="left"/>
      <w:pPr>
        <w:ind w:left="5040" w:hanging="360"/>
      </w:pPr>
      <w:rPr>
        <w:rFonts w:cs="Times New Roman"/>
      </w:rPr>
    </w:lvl>
    <w:lvl w:ilvl="7" w:tplc="D2081306" w:tentative="1">
      <w:start w:val="1"/>
      <w:numFmt w:val="lowerLetter"/>
      <w:lvlText w:val="%8."/>
      <w:lvlJc w:val="left"/>
      <w:pPr>
        <w:ind w:left="5760" w:hanging="360"/>
      </w:pPr>
      <w:rPr>
        <w:rFonts w:cs="Times New Roman"/>
      </w:rPr>
    </w:lvl>
    <w:lvl w:ilvl="8" w:tplc="15AE089A"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6"/>
  </w:num>
  <w:num w:numId="13">
    <w:abstractNumId w:val="30"/>
  </w:num>
  <w:num w:numId="14">
    <w:abstractNumId w:val="29"/>
  </w:num>
  <w:num w:numId="15">
    <w:abstractNumId w:val="31"/>
  </w:num>
  <w:num w:numId="16">
    <w:abstractNumId w:val="28"/>
  </w:num>
  <w:num w:numId="17">
    <w:abstractNumId w:val="18"/>
  </w:num>
  <w:num w:numId="18">
    <w:abstractNumId w:val="19"/>
  </w:num>
  <w:num w:numId="19">
    <w:abstractNumId w:val="13"/>
  </w:num>
  <w:num w:numId="20">
    <w:abstractNumId w:val="27"/>
  </w:num>
  <w:num w:numId="21">
    <w:abstractNumId w:val="22"/>
  </w:num>
  <w:num w:numId="22">
    <w:abstractNumId w:val="15"/>
  </w:num>
  <w:num w:numId="23">
    <w:abstractNumId w:val="2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0"/>
  </w:num>
  <w:num w:numId="27">
    <w:abstractNumId w:val="24"/>
  </w:num>
  <w:num w:numId="28">
    <w:abstractNumId w:val="12"/>
  </w:num>
  <w:num w:numId="29">
    <w:abstractNumId w:val="10"/>
  </w:num>
  <w:num w:numId="30">
    <w:abstractNumId w:val="26"/>
  </w:num>
  <w:num w:numId="31">
    <w:abstractNumId w:val="23"/>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00AC9"/>
    <w:rsid w:val="00002C41"/>
    <w:rsid w:val="00026C3C"/>
    <w:rsid w:val="00040A61"/>
    <w:rsid w:val="000E0368"/>
    <w:rsid w:val="000F19A3"/>
    <w:rsid w:val="00130DDF"/>
    <w:rsid w:val="001340E5"/>
    <w:rsid w:val="00215E3C"/>
    <w:rsid w:val="00221A25"/>
    <w:rsid w:val="002B6685"/>
    <w:rsid w:val="002C5D94"/>
    <w:rsid w:val="00315E4B"/>
    <w:rsid w:val="003904FF"/>
    <w:rsid w:val="00393B3C"/>
    <w:rsid w:val="0041571C"/>
    <w:rsid w:val="004332A5"/>
    <w:rsid w:val="0046399D"/>
    <w:rsid w:val="004D5606"/>
    <w:rsid w:val="004D5694"/>
    <w:rsid w:val="004F6C1B"/>
    <w:rsid w:val="00510F32"/>
    <w:rsid w:val="005170F1"/>
    <w:rsid w:val="005513CE"/>
    <w:rsid w:val="00595DD6"/>
    <w:rsid w:val="005C6888"/>
    <w:rsid w:val="00603948"/>
    <w:rsid w:val="00663D1C"/>
    <w:rsid w:val="00692D87"/>
    <w:rsid w:val="00794137"/>
    <w:rsid w:val="007A1F68"/>
    <w:rsid w:val="007C1A8F"/>
    <w:rsid w:val="00832224"/>
    <w:rsid w:val="009567A3"/>
    <w:rsid w:val="00961A52"/>
    <w:rsid w:val="00990411"/>
    <w:rsid w:val="00997029"/>
    <w:rsid w:val="00997669"/>
    <w:rsid w:val="009E624D"/>
    <w:rsid w:val="00A33023"/>
    <w:rsid w:val="00A62BAD"/>
    <w:rsid w:val="00B44EF7"/>
    <w:rsid w:val="00BF0924"/>
    <w:rsid w:val="00DC4346"/>
    <w:rsid w:val="00DC4FB2"/>
    <w:rsid w:val="00DF08B6"/>
    <w:rsid w:val="00E32DD1"/>
    <w:rsid w:val="00EF6155"/>
    <w:rsid w:val="00F73192"/>
    <w:rsid w:val="00FB4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lang w:val="es-ES" w:eastAsia="es-ES"/>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lang w:val="es-ES" w:eastAsia="es-ES"/>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eastAsia="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lang w:val="es-ES" w:eastAsia="es-ES"/>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es-ES" w:eastAsia="es-E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s-ES" w:eastAsia="es-E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s-ES" w:eastAsia="es-E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s-ES" w:eastAsia="es-E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ar-SA"/>
    </w:rPr>
  </w:style>
  <w:style w:type="character" w:customStyle="1" w:styleId="StyleDocoriginalNotBold1">
    <w:name w:val="Style Doc_original + Not Bold1"/>
    <w:basedOn w:val="StyleStyleDocoriginalNotBoldNotBoldChar"/>
    <w:rsid w:val="00281060"/>
    <w:rPr>
      <w:rFonts w:ascii="Arial" w:hAnsi="Arial"/>
      <w:b/>
      <w:bCs/>
      <w:spacing w:val="10"/>
      <w:lang w:val="es-ES" w:eastAsia="es-ES" w:bidi="ar-SA"/>
    </w:rPr>
  </w:style>
  <w:style w:type="character" w:customStyle="1" w:styleId="StyleDoclangBold">
    <w:name w:val="Style Doc_lang + Bold"/>
    <w:basedOn w:val="Doclang"/>
    <w:rsid w:val="00281060"/>
    <w:rPr>
      <w:rFonts w:ascii="Arial" w:hAnsi="Arial"/>
      <w:b/>
      <w:bCs/>
      <w:sz w:val="20"/>
      <w:lang w:val="es-ES" w:eastAsia="es-ES"/>
    </w:rPr>
  </w:style>
  <w:style w:type="paragraph" w:styleId="TOC2">
    <w:name w:val="toc 2"/>
    <w:next w:val="Normal"/>
    <w:autoRedefine/>
    <w:uiPriority w:val="39"/>
    <w:qFormat/>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370631"/>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905020"/>
    <w:rPr>
      <w:rFonts w:ascii="Arial" w:hAnsi="Arial"/>
      <w:color w:val="0000FF"/>
      <w:u w:val="single"/>
      <w:lang w:val="es-ES" w:eastAsia="es-ES"/>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lang w:val="es-ES" w:eastAsia="es-ES"/>
    </w:rPr>
  </w:style>
  <w:style w:type="character" w:customStyle="1" w:styleId="Heading1Char">
    <w:name w:val="Heading 1 Char"/>
    <w:basedOn w:val="DefaultParagraphFont"/>
    <w:link w:val="Heading1"/>
    <w:locked/>
    <w:rsid w:val="00FD7EB7"/>
    <w:rPr>
      <w:rFonts w:ascii="Arial" w:hAnsi="Arial"/>
      <w:caps/>
      <w:lang w:val="es-ES" w:eastAsia="es-ES" w:bidi="ar-SA"/>
    </w:rPr>
  </w:style>
  <w:style w:type="character" w:customStyle="1" w:styleId="Heading2Char">
    <w:name w:val="Heading 2 Char"/>
    <w:basedOn w:val="DefaultParagraphFont"/>
    <w:link w:val="Heading2"/>
    <w:locked/>
    <w:rsid w:val="00FD7EB7"/>
    <w:rPr>
      <w:rFonts w:ascii="Arial" w:hAnsi="Arial"/>
      <w:u w:val="single"/>
      <w:lang w:val="es-ES" w:eastAsia="es-ES" w:bidi="ar-SA"/>
    </w:rPr>
  </w:style>
  <w:style w:type="character" w:customStyle="1" w:styleId="Heading3Char">
    <w:name w:val="Heading 3 Char"/>
    <w:basedOn w:val="DefaultParagraphFont"/>
    <w:link w:val="Heading3"/>
    <w:locked/>
    <w:rsid w:val="00FD7EB7"/>
    <w:rPr>
      <w:rFonts w:ascii="Arial" w:hAnsi="Arial"/>
      <w:i/>
      <w:lang w:val="es-ES" w:eastAsia="es-ES" w:bidi="ar-SA"/>
    </w:rPr>
  </w:style>
  <w:style w:type="character" w:customStyle="1" w:styleId="Heading4Char">
    <w:name w:val="Heading 4 Char"/>
    <w:basedOn w:val="DefaultParagraphFont"/>
    <w:link w:val="Heading4"/>
    <w:locked/>
    <w:rsid w:val="00FD7EB7"/>
    <w:rPr>
      <w:rFonts w:ascii="Arial" w:hAnsi="Arial"/>
      <w:u w:val="single"/>
      <w:lang w:val="es-ES" w:eastAsia="es-ES" w:bidi="ar-SA"/>
    </w:rPr>
  </w:style>
  <w:style w:type="character" w:customStyle="1" w:styleId="Heading5Char">
    <w:name w:val="Heading 5 Char"/>
    <w:basedOn w:val="DefaultParagraphFont"/>
    <w:link w:val="Heading5"/>
    <w:locked/>
    <w:rsid w:val="00FD7EB7"/>
    <w:rPr>
      <w:rFonts w:ascii="Arial" w:hAnsi="Arial"/>
      <w:i/>
      <w:lang w:val="es-ES" w:eastAsia="es-ES" w:bidi="ar-SA"/>
    </w:rPr>
  </w:style>
  <w:style w:type="character" w:customStyle="1" w:styleId="Heading9Char">
    <w:name w:val="Heading 9 Char"/>
    <w:basedOn w:val="DefaultParagraphFont"/>
    <w:link w:val="Heading9"/>
    <w:uiPriority w:val="99"/>
    <w:locked/>
    <w:rsid w:val="00FD7EB7"/>
    <w:rPr>
      <w:rFonts w:ascii="Arial" w:hAnsi="Arial"/>
      <w:i/>
      <w:sz w:val="18"/>
      <w:lang w:val="es-ES" w:eastAsia="es-ES"/>
    </w:rPr>
  </w:style>
  <w:style w:type="character" w:customStyle="1" w:styleId="HeaderChar">
    <w:name w:val="Header Char"/>
    <w:basedOn w:val="DefaultParagraphFont"/>
    <w:link w:val="Header"/>
    <w:uiPriority w:val="99"/>
    <w:locked/>
    <w:rsid w:val="00FD7EB7"/>
    <w:rPr>
      <w:rFonts w:ascii="Arial" w:hAnsi="Arial"/>
      <w:lang w:val="es-ES" w:eastAsia="es-ES" w:bidi="ar-SA"/>
    </w:rPr>
  </w:style>
  <w:style w:type="character" w:customStyle="1" w:styleId="FooterChar">
    <w:name w:val="Footer Char"/>
    <w:aliases w:val="doc_path_name Char"/>
    <w:basedOn w:val="DefaultParagraphFont"/>
    <w:link w:val="Footer"/>
    <w:locked/>
    <w:rsid w:val="00FD7EB7"/>
    <w:rPr>
      <w:rFonts w:ascii="Arial" w:hAnsi="Arial"/>
      <w:sz w:val="14"/>
      <w:lang w:val="es-ES" w:eastAsia="es-ES" w:bidi="ar-SA"/>
    </w:rPr>
  </w:style>
  <w:style w:type="character" w:customStyle="1" w:styleId="TitleChar">
    <w:name w:val="Title Char"/>
    <w:basedOn w:val="DefaultParagraphFont"/>
    <w:link w:val="Title"/>
    <w:uiPriority w:val="99"/>
    <w:locked/>
    <w:rsid w:val="00FD7EB7"/>
    <w:rPr>
      <w:rFonts w:ascii="Arial" w:hAnsi="Arial"/>
      <w:b/>
      <w:caps/>
      <w:kern w:val="28"/>
      <w:sz w:val="30"/>
      <w:lang w:val="es-ES" w:eastAsia="es-ES"/>
    </w:rPr>
  </w:style>
  <w:style w:type="character" w:customStyle="1" w:styleId="FootnoteTextChar">
    <w:name w:val="Footnote Text Char"/>
    <w:basedOn w:val="DefaultParagraphFont"/>
    <w:link w:val="FootnoteText"/>
    <w:uiPriority w:val="99"/>
    <w:locked/>
    <w:rsid w:val="00FD7EB7"/>
    <w:rPr>
      <w:rFonts w:ascii="Arial" w:hAnsi="Arial"/>
      <w:sz w:val="16"/>
      <w:lang w:val="es-ES" w:eastAsia="es-ES" w:bidi="ar-SA"/>
    </w:rPr>
  </w:style>
  <w:style w:type="character" w:customStyle="1" w:styleId="ClosingChar">
    <w:name w:val="Closing Char"/>
    <w:basedOn w:val="DefaultParagraphFont"/>
    <w:link w:val="Closing"/>
    <w:uiPriority w:val="99"/>
    <w:locked/>
    <w:rsid w:val="00FD7EB7"/>
    <w:rPr>
      <w:rFonts w:ascii="Arial" w:hAnsi="Arial"/>
      <w:lang w:val="es-ES" w:eastAsia="es-ES"/>
    </w:rPr>
  </w:style>
  <w:style w:type="character" w:customStyle="1" w:styleId="MacroTextChar">
    <w:name w:val="Macro Text Char"/>
    <w:basedOn w:val="DefaultParagraphFont"/>
    <w:link w:val="MacroText"/>
    <w:semiHidden/>
    <w:locked/>
    <w:rsid w:val="00FD7EB7"/>
    <w:rPr>
      <w:rFonts w:ascii="Courier New" w:hAnsi="Courier New"/>
      <w:sz w:val="16"/>
      <w:lang w:val="es-ES" w:eastAsia="es-ES" w:bidi="ar-SA"/>
    </w:rPr>
  </w:style>
  <w:style w:type="character" w:customStyle="1" w:styleId="SignatureChar">
    <w:name w:val="Signature Char"/>
    <w:basedOn w:val="DefaultParagraphFont"/>
    <w:link w:val="Signature"/>
    <w:uiPriority w:val="99"/>
    <w:locked/>
    <w:rsid w:val="00FD7EB7"/>
    <w:rPr>
      <w:rFonts w:ascii="Arial" w:hAnsi="Arial"/>
      <w:lang w:val="es-ES" w:eastAsia="es-ES"/>
    </w:rPr>
  </w:style>
  <w:style w:type="character" w:customStyle="1" w:styleId="BodyTextChar">
    <w:name w:val="Body Text Char"/>
    <w:basedOn w:val="DefaultParagraphFont"/>
    <w:link w:val="BodyText"/>
    <w:uiPriority w:val="99"/>
    <w:locked/>
    <w:rsid w:val="00FD7EB7"/>
    <w:rPr>
      <w:rFonts w:ascii="Arial" w:hAnsi="Arial"/>
      <w:lang w:val="es-ES" w:eastAsia="es-ES"/>
    </w:rPr>
  </w:style>
  <w:style w:type="character" w:customStyle="1" w:styleId="EndnoteTextChar">
    <w:name w:val="Endnote Text Char"/>
    <w:basedOn w:val="DefaultParagraphFont"/>
    <w:link w:val="EndnoteText"/>
    <w:uiPriority w:val="99"/>
    <w:semiHidden/>
    <w:locked/>
    <w:rsid w:val="00FD7EB7"/>
    <w:rPr>
      <w:rFonts w:ascii="Arial" w:hAnsi="Arial"/>
      <w:lang w:val="es-ES" w:eastAsia="es-ES"/>
    </w:rPr>
  </w:style>
  <w:style w:type="character" w:customStyle="1" w:styleId="DateChar">
    <w:name w:val="Date Char"/>
    <w:basedOn w:val="DefaultParagraphFont"/>
    <w:link w:val="Date"/>
    <w:uiPriority w:val="99"/>
    <w:semiHidden/>
    <w:locked/>
    <w:rsid w:val="00FD7EB7"/>
    <w:rPr>
      <w:rFonts w:ascii="Arial" w:hAnsi="Arial"/>
      <w:b/>
      <w:sz w:val="22"/>
      <w:lang w:val="es-ES" w:eastAsia="es-ES"/>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lang w:val="es-ES" w:eastAsia="es-ES"/>
    </w:rPr>
  </w:style>
  <w:style w:type="numbering" w:customStyle="1" w:styleId="NoList1">
    <w:name w:val="No List1"/>
    <w:next w:val="NoList"/>
    <w:uiPriority w:val="99"/>
    <w:semiHidden/>
    <w:unhideWhenUsed/>
    <w:rsid w:val="006F6237"/>
  </w:style>
  <w:style w:type="character" w:styleId="Emphasis">
    <w:name w:val="Emphasis"/>
    <w:basedOn w:val="DefaultParagraphFont"/>
    <w:qFormat/>
    <w:rsid w:val="006F6237"/>
    <w:rPr>
      <w:i/>
      <w:iCs/>
      <w:lang w:val="es-ES" w:eastAsia="es-ES"/>
    </w:rPr>
  </w:style>
  <w:style w:type="paragraph" w:styleId="BodyTextIndent3">
    <w:name w:val="Body Text Indent 3"/>
    <w:basedOn w:val="Normal"/>
    <w:link w:val="BodyTextIndent3Char"/>
    <w:rsid w:val="006F6237"/>
    <w:pPr>
      <w:ind w:left="1701" w:hanging="1701"/>
    </w:pPr>
    <w:rPr>
      <w:rFonts w:ascii="Times New Roman" w:hAnsi="Times New Roman" w:cs="Angsana New"/>
      <w:color w:val="000000"/>
      <w:sz w:val="24"/>
      <w:szCs w:val="24"/>
      <w:lang w:bidi="th-TH"/>
    </w:rPr>
  </w:style>
  <w:style w:type="character" w:customStyle="1" w:styleId="BodyTextIndent3Char">
    <w:name w:val="Body Text Indent 3 Char"/>
    <w:basedOn w:val="DefaultParagraphFont"/>
    <w:link w:val="BodyTextIndent3"/>
    <w:rsid w:val="006F6237"/>
    <w:rPr>
      <w:rFonts w:eastAsia="Times New Roman" w:cs="Angsana New"/>
      <w:color w:val="000000"/>
      <w:sz w:val="24"/>
      <w:szCs w:val="24"/>
      <w:lang w:val="es-ES" w:eastAsia="es-ES" w:bidi="th-TH"/>
    </w:rPr>
  </w:style>
  <w:style w:type="table" w:customStyle="1" w:styleId="TableGrid1">
    <w:name w:val="Table Grid1"/>
    <w:basedOn w:val="TableNormal"/>
    <w:next w:val="TableGrid"/>
    <w:rsid w:val="006F623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F6237"/>
    <w:pPr>
      <w:spacing w:after="120"/>
      <w:ind w:left="283"/>
    </w:pPr>
  </w:style>
  <w:style w:type="character" w:customStyle="1" w:styleId="BodyTextIndentChar">
    <w:name w:val="Body Text Indent Char"/>
    <w:basedOn w:val="DefaultParagraphFont"/>
    <w:link w:val="BodyTextIndent"/>
    <w:rsid w:val="006F6237"/>
    <w:rPr>
      <w:rFonts w:ascii="Arial" w:eastAsia="Times New Roman" w:hAnsi="Arial"/>
      <w:lang w:val="es-ES" w:eastAsia="es-ES"/>
    </w:rPr>
  </w:style>
  <w:style w:type="paragraph" w:customStyle="1" w:styleId="DecisionInvitingPara">
    <w:name w:val="Decision Inviting Para."/>
    <w:basedOn w:val="Normal"/>
    <w:rsid w:val="006F6237"/>
    <w:pPr>
      <w:ind w:left="4536"/>
    </w:pPr>
    <w:rPr>
      <w:i/>
    </w:rPr>
  </w:style>
  <w:style w:type="paragraph" w:customStyle="1" w:styleId="Style10">
    <w:name w:val="Style1"/>
    <w:basedOn w:val="Normal"/>
    <w:rsid w:val="006F6237"/>
    <w:pPr>
      <w:tabs>
        <w:tab w:val="decimal" w:pos="907"/>
        <w:tab w:val="left" w:pos="1077"/>
      </w:tabs>
    </w:pPr>
    <w:rPr>
      <w:rFonts w:ascii="Times New Roman" w:hAnsi="Times New Roman"/>
      <w:sz w:val="24"/>
      <w:szCs w:val="24"/>
    </w:rPr>
  </w:style>
  <w:style w:type="paragraph" w:styleId="TOCHeading">
    <w:name w:val="TOC Heading"/>
    <w:basedOn w:val="Heading1"/>
    <w:next w:val="Normal"/>
    <w:uiPriority w:val="39"/>
    <w:unhideWhenUsed/>
    <w:qFormat/>
    <w:rsid w:val="006F6237"/>
    <w:pPr>
      <w:keepLines/>
      <w:spacing w:before="480" w:line="276" w:lineRule="auto"/>
      <w:jc w:val="left"/>
      <w:outlineLvl w:val="9"/>
    </w:pPr>
    <w:rPr>
      <w:rFonts w:ascii="Cambria" w:hAnsi="Cambria"/>
      <w:b/>
      <w:bCs/>
      <w:caps w:val="0"/>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lang w:val="es-ES" w:eastAsia="es-ES"/>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lang w:val="es-ES" w:eastAsia="es-ES"/>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eastAsia="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lang w:val="es-ES" w:eastAsia="es-ES"/>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es-ES" w:eastAsia="es-E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s-ES" w:eastAsia="es-E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s-ES" w:eastAsia="es-E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s-ES" w:eastAsia="es-E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ar-SA"/>
    </w:rPr>
  </w:style>
  <w:style w:type="character" w:customStyle="1" w:styleId="StyleDocoriginalNotBold1">
    <w:name w:val="Style Doc_original + Not Bold1"/>
    <w:basedOn w:val="StyleStyleDocoriginalNotBoldNotBoldChar"/>
    <w:rsid w:val="00281060"/>
    <w:rPr>
      <w:rFonts w:ascii="Arial" w:hAnsi="Arial"/>
      <w:b/>
      <w:bCs/>
      <w:spacing w:val="10"/>
      <w:lang w:val="es-ES" w:eastAsia="es-ES" w:bidi="ar-SA"/>
    </w:rPr>
  </w:style>
  <w:style w:type="character" w:customStyle="1" w:styleId="StyleDoclangBold">
    <w:name w:val="Style Doc_lang + Bold"/>
    <w:basedOn w:val="Doclang"/>
    <w:rsid w:val="00281060"/>
    <w:rPr>
      <w:rFonts w:ascii="Arial" w:hAnsi="Arial"/>
      <w:b/>
      <w:bCs/>
      <w:sz w:val="20"/>
      <w:lang w:val="es-ES" w:eastAsia="es-ES"/>
    </w:rPr>
  </w:style>
  <w:style w:type="paragraph" w:styleId="TOC2">
    <w:name w:val="toc 2"/>
    <w:next w:val="Normal"/>
    <w:autoRedefine/>
    <w:uiPriority w:val="39"/>
    <w:qFormat/>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370631"/>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905020"/>
    <w:rPr>
      <w:rFonts w:ascii="Arial" w:hAnsi="Arial"/>
      <w:color w:val="0000FF"/>
      <w:u w:val="single"/>
      <w:lang w:val="es-ES" w:eastAsia="es-ES"/>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lang w:val="es-ES" w:eastAsia="es-ES"/>
    </w:rPr>
  </w:style>
  <w:style w:type="character" w:customStyle="1" w:styleId="Heading1Char">
    <w:name w:val="Heading 1 Char"/>
    <w:basedOn w:val="DefaultParagraphFont"/>
    <w:link w:val="Heading1"/>
    <w:locked/>
    <w:rsid w:val="00FD7EB7"/>
    <w:rPr>
      <w:rFonts w:ascii="Arial" w:hAnsi="Arial"/>
      <w:caps/>
      <w:lang w:val="es-ES" w:eastAsia="es-ES" w:bidi="ar-SA"/>
    </w:rPr>
  </w:style>
  <w:style w:type="character" w:customStyle="1" w:styleId="Heading2Char">
    <w:name w:val="Heading 2 Char"/>
    <w:basedOn w:val="DefaultParagraphFont"/>
    <w:link w:val="Heading2"/>
    <w:locked/>
    <w:rsid w:val="00FD7EB7"/>
    <w:rPr>
      <w:rFonts w:ascii="Arial" w:hAnsi="Arial"/>
      <w:u w:val="single"/>
      <w:lang w:val="es-ES" w:eastAsia="es-ES" w:bidi="ar-SA"/>
    </w:rPr>
  </w:style>
  <w:style w:type="character" w:customStyle="1" w:styleId="Heading3Char">
    <w:name w:val="Heading 3 Char"/>
    <w:basedOn w:val="DefaultParagraphFont"/>
    <w:link w:val="Heading3"/>
    <w:locked/>
    <w:rsid w:val="00FD7EB7"/>
    <w:rPr>
      <w:rFonts w:ascii="Arial" w:hAnsi="Arial"/>
      <w:i/>
      <w:lang w:val="es-ES" w:eastAsia="es-ES" w:bidi="ar-SA"/>
    </w:rPr>
  </w:style>
  <w:style w:type="character" w:customStyle="1" w:styleId="Heading4Char">
    <w:name w:val="Heading 4 Char"/>
    <w:basedOn w:val="DefaultParagraphFont"/>
    <w:link w:val="Heading4"/>
    <w:locked/>
    <w:rsid w:val="00FD7EB7"/>
    <w:rPr>
      <w:rFonts w:ascii="Arial" w:hAnsi="Arial"/>
      <w:u w:val="single"/>
      <w:lang w:val="es-ES" w:eastAsia="es-ES" w:bidi="ar-SA"/>
    </w:rPr>
  </w:style>
  <w:style w:type="character" w:customStyle="1" w:styleId="Heading5Char">
    <w:name w:val="Heading 5 Char"/>
    <w:basedOn w:val="DefaultParagraphFont"/>
    <w:link w:val="Heading5"/>
    <w:locked/>
    <w:rsid w:val="00FD7EB7"/>
    <w:rPr>
      <w:rFonts w:ascii="Arial" w:hAnsi="Arial"/>
      <w:i/>
      <w:lang w:val="es-ES" w:eastAsia="es-ES" w:bidi="ar-SA"/>
    </w:rPr>
  </w:style>
  <w:style w:type="character" w:customStyle="1" w:styleId="Heading9Char">
    <w:name w:val="Heading 9 Char"/>
    <w:basedOn w:val="DefaultParagraphFont"/>
    <w:link w:val="Heading9"/>
    <w:uiPriority w:val="99"/>
    <w:locked/>
    <w:rsid w:val="00FD7EB7"/>
    <w:rPr>
      <w:rFonts w:ascii="Arial" w:hAnsi="Arial"/>
      <w:i/>
      <w:sz w:val="18"/>
      <w:lang w:val="es-ES" w:eastAsia="es-ES"/>
    </w:rPr>
  </w:style>
  <w:style w:type="character" w:customStyle="1" w:styleId="HeaderChar">
    <w:name w:val="Header Char"/>
    <w:basedOn w:val="DefaultParagraphFont"/>
    <w:link w:val="Header"/>
    <w:uiPriority w:val="99"/>
    <w:locked/>
    <w:rsid w:val="00FD7EB7"/>
    <w:rPr>
      <w:rFonts w:ascii="Arial" w:hAnsi="Arial"/>
      <w:lang w:val="es-ES" w:eastAsia="es-ES" w:bidi="ar-SA"/>
    </w:rPr>
  </w:style>
  <w:style w:type="character" w:customStyle="1" w:styleId="FooterChar">
    <w:name w:val="Footer Char"/>
    <w:aliases w:val="doc_path_name Char"/>
    <w:basedOn w:val="DefaultParagraphFont"/>
    <w:link w:val="Footer"/>
    <w:locked/>
    <w:rsid w:val="00FD7EB7"/>
    <w:rPr>
      <w:rFonts w:ascii="Arial" w:hAnsi="Arial"/>
      <w:sz w:val="14"/>
      <w:lang w:val="es-ES" w:eastAsia="es-ES" w:bidi="ar-SA"/>
    </w:rPr>
  </w:style>
  <w:style w:type="character" w:customStyle="1" w:styleId="TitleChar">
    <w:name w:val="Title Char"/>
    <w:basedOn w:val="DefaultParagraphFont"/>
    <w:link w:val="Title"/>
    <w:uiPriority w:val="99"/>
    <w:locked/>
    <w:rsid w:val="00FD7EB7"/>
    <w:rPr>
      <w:rFonts w:ascii="Arial" w:hAnsi="Arial"/>
      <w:b/>
      <w:caps/>
      <w:kern w:val="28"/>
      <w:sz w:val="30"/>
      <w:lang w:val="es-ES" w:eastAsia="es-ES"/>
    </w:rPr>
  </w:style>
  <w:style w:type="character" w:customStyle="1" w:styleId="FootnoteTextChar">
    <w:name w:val="Footnote Text Char"/>
    <w:basedOn w:val="DefaultParagraphFont"/>
    <w:link w:val="FootnoteText"/>
    <w:uiPriority w:val="99"/>
    <w:locked/>
    <w:rsid w:val="00FD7EB7"/>
    <w:rPr>
      <w:rFonts w:ascii="Arial" w:hAnsi="Arial"/>
      <w:sz w:val="16"/>
      <w:lang w:val="es-ES" w:eastAsia="es-ES" w:bidi="ar-SA"/>
    </w:rPr>
  </w:style>
  <w:style w:type="character" w:customStyle="1" w:styleId="ClosingChar">
    <w:name w:val="Closing Char"/>
    <w:basedOn w:val="DefaultParagraphFont"/>
    <w:link w:val="Closing"/>
    <w:uiPriority w:val="99"/>
    <w:locked/>
    <w:rsid w:val="00FD7EB7"/>
    <w:rPr>
      <w:rFonts w:ascii="Arial" w:hAnsi="Arial"/>
      <w:lang w:val="es-ES" w:eastAsia="es-ES"/>
    </w:rPr>
  </w:style>
  <w:style w:type="character" w:customStyle="1" w:styleId="MacroTextChar">
    <w:name w:val="Macro Text Char"/>
    <w:basedOn w:val="DefaultParagraphFont"/>
    <w:link w:val="MacroText"/>
    <w:semiHidden/>
    <w:locked/>
    <w:rsid w:val="00FD7EB7"/>
    <w:rPr>
      <w:rFonts w:ascii="Courier New" w:hAnsi="Courier New"/>
      <w:sz w:val="16"/>
      <w:lang w:val="es-ES" w:eastAsia="es-ES" w:bidi="ar-SA"/>
    </w:rPr>
  </w:style>
  <w:style w:type="character" w:customStyle="1" w:styleId="SignatureChar">
    <w:name w:val="Signature Char"/>
    <w:basedOn w:val="DefaultParagraphFont"/>
    <w:link w:val="Signature"/>
    <w:uiPriority w:val="99"/>
    <w:locked/>
    <w:rsid w:val="00FD7EB7"/>
    <w:rPr>
      <w:rFonts w:ascii="Arial" w:hAnsi="Arial"/>
      <w:lang w:val="es-ES" w:eastAsia="es-ES"/>
    </w:rPr>
  </w:style>
  <w:style w:type="character" w:customStyle="1" w:styleId="BodyTextChar">
    <w:name w:val="Body Text Char"/>
    <w:basedOn w:val="DefaultParagraphFont"/>
    <w:link w:val="BodyText"/>
    <w:uiPriority w:val="99"/>
    <w:locked/>
    <w:rsid w:val="00FD7EB7"/>
    <w:rPr>
      <w:rFonts w:ascii="Arial" w:hAnsi="Arial"/>
      <w:lang w:val="es-ES" w:eastAsia="es-ES"/>
    </w:rPr>
  </w:style>
  <w:style w:type="character" w:customStyle="1" w:styleId="EndnoteTextChar">
    <w:name w:val="Endnote Text Char"/>
    <w:basedOn w:val="DefaultParagraphFont"/>
    <w:link w:val="EndnoteText"/>
    <w:uiPriority w:val="99"/>
    <w:semiHidden/>
    <w:locked/>
    <w:rsid w:val="00FD7EB7"/>
    <w:rPr>
      <w:rFonts w:ascii="Arial" w:hAnsi="Arial"/>
      <w:lang w:val="es-ES" w:eastAsia="es-ES"/>
    </w:rPr>
  </w:style>
  <w:style w:type="character" w:customStyle="1" w:styleId="DateChar">
    <w:name w:val="Date Char"/>
    <w:basedOn w:val="DefaultParagraphFont"/>
    <w:link w:val="Date"/>
    <w:uiPriority w:val="99"/>
    <w:semiHidden/>
    <w:locked/>
    <w:rsid w:val="00FD7EB7"/>
    <w:rPr>
      <w:rFonts w:ascii="Arial" w:hAnsi="Arial"/>
      <w:b/>
      <w:sz w:val="22"/>
      <w:lang w:val="es-ES" w:eastAsia="es-ES"/>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lang w:val="es-ES" w:eastAsia="es-ES"/>
    </w:rPr>
  </w:style>
  <w:style w:type="numbering" w:customStyle="1" w:styleId="NoList1">
    <w:name w:val="No List1"/>
    <w:next w:val="NoList"/>
    <w:uiPriority w:val="99"/>
    <w:semiHidden/>
    <w:unhideWhenUsed/>
    <w:rsid w:val="006F6237"/>
  </w:style>
  <w:style w:type="character" w:styleId="Emphasis">
    <w:name w:val="Emphasis"/>
    <w:basedOn w:val="DefaultParagraphFont"/>
    <w:qFormat/>
    <w:rsid w:val="006F6237"/>
    <w:rPr>
      <w:i/>
      <w:iCs/>
      <w:lang w:val="es-ES" w:eastAsia="es-ES"/>
    </w:rPr>
  </w:style>
  <w:style w:type="paragraph" w:styleId="BodyTextIndent3">
    <w:name w:val="Body Text Indent 3"/>
    <w:basedOn w:val="Normal"/>
    <w:link w:val="BodyTextIndent3Char"/>
    <w:rsid w:val="006F6237"/>
    <w:pPr>
      <w:ind w:left="1701" w:hanging="1701"/>
    </w:pPr>
    <w:rPr>
      <w:rFonts w:ascii="Times New Roman" w:hAnsi="Times New Roman" w:cs="Angsana New"/>
      <w:color w:val="000000"/>
      <w:sz w:val="24"/>
      <w:szCs w:val="24"/>
      <w:lang w:bidi="th-TH"/>
    </w:rPr>
  </w:style>
  <w:style w:type="character" w:customStyle="1" w:styleId="BodyTextIndent3Char">
    <w:name w:val="Body Text Indent 3 Char"/>
    <w:basedOn w:val="DefaultParagraphFont"/>
    <w:link w:val="BodyTextIndent3"/>
    <w:rsid w:val="006F6237"/>
    <w:rPr>
      <w:rFonts w:eastAsia="Times New Roman" w:cs="Angsana New"/>
      <w:color w:val="000000"/>
      <w:sz w:val="24"/>
      <w:szCs w:val="24"/>
      <w:lang w:val="es-ES" w:eastAsia="es-ES" w:bidi="th-TH"/>
    </w:rPr>
  </w:style>
  <w:style w:type="table" w:customStyle="1" w:styleId="TableGrid1">
    <w:name w:val="Table Grid1"/>
    <w:basedOn w:val="TableNormal"/>
    <w:next w:val="TableGrid"/>
    <w:rsid w:val="006F623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F6237"/>
    <w:pPr>
      <w:spacing w:after="120"/>
      <w:ind w:left="283"/>
    </w:pPr>
  </w:style>
  <w:style w:type="character" w:customStyle="1" w:styleId="BodyTextIndentChar">
    <w:name w:val="Body Text Indent Char"/>
    <w:basedOn w:val="DefaultParagraphFont"/>
    <w:link w:val="BodyTextIndent"/>
    <w:rsid w:val="006F6237"/>
    <w:rPr>
      <w:rFonts w:ascii="Arial" w:eastAsia="Times New Roman" w:hAnsi="Arial"/>
      <w:lang w:val="es-ES" w:eastAsia="es-ES"/>
    </w:rPr>
  </w:style>
  <w:style w:type="paragraph" w:customStyle="1" w:styleId="DecisionInvitingPara">
    <w:name w:val="Decision Inviting Para."/>
    <w:basedOn w:val="Normal"/>
    <w:rsid w:val="006F6237"/>
    <w:pPr>
      <w:ind w:left="4536"/>
    </w:pPr>
    <w:rPr>
      <w:i/>
    </w:rPr>
  </w:style>
  <w:style w:type="paragraph" w:customStyle="1" w:styleId="Style10">
    <w:name w:val="Style1"/>
    <w:basedOn w:val="Normal"/>
    <w:rsid w:val="006F6237"/>
    <w:pPr>
      <w:tabs>
        <w:tab w:val="decimal" w:pos="907"/>
        <w:tab w:val="left" w:pos="1077"/>
      </w:tabs>
    </w:pPr>
    <w:rPr>
      <w:rFonts w:ascii="Times New Roman" w:hAnsi="Times New Roman"/>
      <w:sz w:val="24"/>
      <w:szCs w:val="24"/>
    </w:rPr>
  </w:style>
  <w:style w:type="paragraph" w:styleId="TOCHeading">
    <w:name w:val="TOC Heading"/>
    <w:basedOn w:val="Heading1"/>
    <w:next w:val="Normal"/>
    <w:uiPriority w:val="39"/>
    <w:unhideWhenUsed/>
    <w:qFormat/>
    <w:rsid w:val="006F6237"/>
    <w:pPr>
      <w:keepLines/>
      <w:spacing w:before="480" w:line="276" w:lineRule="auto"/>
      <w:jc w:val="left"/>
      <w:outlineLvl w:val="9"/>
    </w:pPr>
    <w:rPr>
      <w:rFonts w:ascii="Cambria" w:hAnsi="Cambria"/>
      <w:b/>
      <w:bCs/>
      <w:caps w:val="0"/>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4756</Words>
  <Characters>25811</Characters>
  <Application>Microsoft Office Word</Application>
  <DocSecurity>0</DocSecurity>
  <Lines>215</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TC/52/11 - Técnicas moleculares</vt:lpstr>
      <vt:lpstr>TC/50</vt:lpstr>
    </vt:vector>
  </TitlesOfParts>
  <Company>World Intellectual Property Organization</Company>
  <LinksUpToDate>false</LinksUpToDate>
  <CharactersWithSpaces>30506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TC/52/11 - Técnicas moleculares</dc:title>
  <dc:creator/>
  <dc:description>DG (trad. ext.) - 25/2/2016</dc:description>
  <cp:lastModifiedBy>SANCHEZ-VIZCAINO GOMEZ Rosa Maria</cp:lastModifiedBy>
  <cp:revision>8</cp:revision>
  <cp:lastPrinted>2016-03-03T09:38:00Z</cp:lastPrinted>
  <dcterms:created xsi:type="dcterms:W3CDTF">2016-03-01T14:12:00Z</dcterms:created>
  <dcterms:modified xsi:type="dcterms:W3CDTF">2016-03-03T09:38:00Z</dcterms:modified>
</cp:coreProperties>
</file>