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A05473" w:rsidRPr="00E6018E" w:rsidTr="00C13808">
        <w:trPr>
          <w:trHeight w:val="1760"/>
        </w:trPr>
        <w:tc>
          <w:tcPr>
            <w:tcW w:w="4243" w:type="dxa"/>
          </w:tcPr>
          <w:p w:rsidR="000D7780" w:rsidRPr="00A05473" w:rsidRDefault="000D7780" w:rsidP="00F45372">
            <w:pPr>
              <w:rPr>
                <w:dstrike/>
                <w:lang w:val="es-ES_tradnl"/>
              </w:rPr>
            </w:pPr>
          </w:p>
        </w:tc>
        <w:tc>
          <w:tcPr>
            <w:tcW w:w="1646" w:type="dxa"/>
            <w:vAlign w:val="center"/>
          </w:tcPr>
          <w:p w:rsidR="004F1D89" w:rsidRPr="00A05473" w:rsidRDefault="004F1D89" w:rsidP="00F45372">
            <w:pPr>
              <w:pStyle w:val="LogoUPOV"/>
              <w:rPr>
                <w:dstrike/>
                <w:lang w:val="es-ES_tradnl"/>
              </w:rPr>
            </w:pPr>
            <w:r w:rsidRPr="00A05473">
              <w:rPr>
                <w:noProof/>
              </w:rPr>
              <w:drawing>
                <wp:inline distT="0" distB="0" distL="0" distR="0" wp14:anchorId="6BC381F2" wp14:editId="465D08C4">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A05473" w:rsidRDefault="00A47CDB" w:rsidP="00F45372">
            <w:pPr>
              <w:pStyle w:val="Lettrine"/>
              <w:rPr>
                <w:lang w:val="es-ES_tradnl"/>
              </w:rPr>
            </w:pPr>
            <w:r w:rsidRPr="00A05473">
              <w:rPr>
                <w:lang w:val="es-ES_tradnl"/>
              </w:rPr>
              <w:t>S</w:t>
            </w:r>
          </w:p>
          <w:p w:rsidR="000D7780" w:rsidRPr="00A05473" w:rsidRDefault="008A1693" w:rsidP="00F45372">
            <w:pPr>
              <w:pStyle w:val="Docoriginal"/>
              <w:rPr>
                <w:lang w:val="es-ES_tradnl"/>
              </w:rPr>
            </w:pPr>
            <w:r w:rsidRPr="00A05473">
              <w:rPr>
                <w:lang w:val="es-ES_tradnl"/>
              </w:rPr>
              <w:t>TC/</w:t>
            </w:r>
            <w:r w:rsidR="007F4BB2" w:rsidRPr="00A05473">
              <w:rPr>
                <w:lang w:val="es-ES_tradnl"/>
              </w:rPr>
              <w:t>5</w:t>
            </w:r>
            <w:r w:rsidR="00625523" w:rsidRPr="00A05473">
              <w:rPr>
                <w:lang w:val="es-ES_tradnl"/>
              </w:rPr>
              <w:t>1</w:t>
            </w:r>
            <w:r w:rsidRPr="00A05473">
              <w:rPr>
                <w:lang w:val="es-ES_tradnl"/>
              </w:rPr>
              <w:t>/</w:t>
            </w:r>
            <w:bookmarkStart w:id="0" w:name="Code"/>
            <w:bookmarkEnd w:id="0"/>
            <w:r w:rsidR="004059A3" w:rsidRPr="00A05473">
              <w:rPr>
                <w:lang w:val="es-ES_tradnl"/>
              </w:rPr>
              <w:t>38</w:t>
            </w:r>
          </w:p>
          <w:p w:rsidR="000D7780" w:rsidRPr="00A05473" w:rsidRDefault="0061555F" w:rsidP="00F45372">
            <w:pPr>
              <w:pStyle w:val="Docoriginal"/>
              <w:rPr>
                <w:b w:val="0"/>
                <w:spacing w:val="0"/>
                <w:lang w:val="es-ES_tradnl"/>
              </w:rPr>
            </w:pPr>
            <w:r w:rsidRPr="00A05473">
              <w:rPr>
                <w:rStyle w:val="StyleDoclangBold"/>
                <w:b/>
                <w:bCs/>
                <w:spacing w:val="0"/>
                <w:lang w:val="es-ES_tradnl"/>
              </w:rPr>
              <w:t>ORIGINAL</w:t>
            </w:r>
            <w:r w:rsidR="000D7780" w:rsidRPr="00A05473">
              <w:rPr>
                <w:rStyle w:val="StyleDoclangBold"/>
                <w:b/>
                <w:bCs/>
                <w:spacing w:val="0"/>
                <w:lang w:val="es-ES_tradnl"/>
              </w:rPr>
              <w:t>:</w:t>
            </w:r>
            <w:r w:rsidRPr="00A05473">
              <w:rPr>
                <w:rStyle w:val="StyleDocoriginalNotBold1"/>
                <w:spacing w:val="0"/>
                <w:lang w:val="es-ES_tradnl"/>
              </w:rPr>
              <w:t xml:space="preserve"> </w:t>
            </w:r>
            <w:r w:rsidR="000D7780" w:rsidRPr="00A05473">
              <w:rPr>
                <w:rStyle w:val="StyleDocoriginalNotBold1"/>
                <w:spacing w:val="0"/>
                <w:lang w:val="es-ES_tradnl"/>
              </w:rPr>
              <w:t xml:space="preserve"> </w:t>
            </w:r>
            <w:bookmarkStart w:id="1" w:name="Original"/>
            <w:bookmarkEnd w:id="1"/>
            <w:r w:rsidR="00A47CDB" w:rsidRPr="00A05473">
              <w:rPr>
                <w:b w:val="0"/>
                <w:spacing w:val="0"/>
                <w:lang w:val="es-ES_tradnl"/>
              </w:rPr>
              <w:t>Inglés</w:t>
            </w:r>
          </w:p>
          <w:p w:rsidR="000D7780" w:rsidRPr="00A05473" w:rsidRDefault="00A47CDB" w:rsidP="00E6018E">
            <w:pPr>
              <w:pStyle w:val="Docoriginal"/>
              <w:rPr>
                <w:lang w:val="es-ES_tradnl"/>
              </w:rPr>
            </w:pPr>
            <w:r w:rsidRPr="00A05473">
              <w:rPr>
                <w:spacing w:val="0"/>
                <w:lang w:val="es-ES_tradnl"/>
              </w:rPr>
              <w:t>FECHA</w:t>
            </w:r>
            <w:r w:rsidR="000D7780" w:rsidRPr="00A05473">
              <w:rPr>
                <w:spacing w:val="0"/>
                <w:lang w:val="es-ES_tradnl"/>
              </w:rPr>
              <w:t>:</w:t>
            </w:r>
            <w:r w:rsidR="0061555F" w:rsidRPr="00A05473">
              <w:rPr>
                <w:b w:val="0"/>
                <w:spacing w:val="0"/>
                <w:lang w:val="es-ES_tradnl"/>
              </w:rPr>
              <w:t xml:space="preserve"> </w:t>
            </w:r>
            <w:r w:rsidR="000D7780" w:rsidRPr="00A05473">
              <w:rPr>
                <w:rStyle w:val="StyleDocoriginalNotBold1"/>
                <w:spacing w:val="0"/>
                <w:lang w:val="es-ES_tradnl"/>
              </w:rPr>
              <w:t xml:space="preserve"> </w:t>
            </w:r>
            <w:bookmarkStart w:id="2" w:name="Date"/>
            <w:bookmarkEnd w:id="2"/>
            <w:r w:rsidR="00E6018E" w:rsidRPr="00E6018E">
              <w:rPr>
                <w:rStyle w:val="StyleDocoriginalNotBold1"/>
                <w:spacing w:val="0"/>
                <w:lang w:val="es-ES_tradnl"/>
              </w:rPr>
              <w:t>1</w:t>
            </w:r>
            <w:r w:rsidR="004059A3" w:rsidRPr="00E6018E">
              <w:rPr>
                <w:rStyle w:val="StyleDocoriginalNotBold1"/>
                <w:spacing w:val="0"/>
                <w:lang w:val="es-ES_tradnl"/>
              </w:rPr>
              <w:t xml:space="preserve"> de </w:t>
            </w:r>
            <w:r w:rsidR="00E6018E" w:rsidRPr="00E6018E">
              <w:rPr>
                <w:rStyle w:val="StyleDocoriginalNotBold1"/>
                <w:spacing w:val="0"/>
                <w:lang w:val="es-ES_tradnl"/>
              </w:rPr>
              <w:t>febrero</w:t>
            </w:r>
            <w:r w:rsidRPr="00E6018E">
              <w:rPr>
                <w:b w:val="0"/>
                <w:spacing w:val="0"/>
                <w:lang w:val="es-ES_tradnl"/>
              </w:rPr>
              <w:t xml:space="preserve"> </w:t>
            </w:r>
            <w:r w:rsidR="00625523" w:rsidRPr="00E6018E">
              <w:rPr>
                <w:b w:val="0"/>
                <w:spacing w:val="0"/>
                <w:lang w:val="es-ES_tradnl"/>
              </w:rPr>
              <w:t xml:space="preserve">de </w:t>
            </w:r>
            <w:r w:rsidR="001131D5" w:rsidRPr="00E6018E">
              <w:rPr>
                <w:b w:val="0"/>
                <w:spacing w:val="0"/>
                <w:lang w:val="es-ES_tradnl"/>
              </w:rPr>
              <w:t>201</w:t>
            </w:r>
            <w:r w:rsidR="00625523" w:rsidRPr="00E6018E">
              <w:rPr>
                <w:b w:val="0"/>
                <w:spacing w:val="0"/>
                <w:lang w:val="es-ES_tradnl"/>
              </w:rPr>
              <w:t>5</w:t>
            </w:r>
          </w:p>
        </w:tc>
      </w:tr>
      <w:tr w:rsidR="00A05473" w:rsidRPr="00E6018E" w:rsidTr="00C13808">
        <w:tc>
          <w:tcPr>
            <w:tcW w:w="10131" w:type="dxa"/>
            <w:gridSpan w:val="3"/>
          </w:tcPr>
          <w:p w:rsidR="000D7780" w:rsidRPr="00A05473" w:rsidRDefault="00A47CDB" w:rsidP="00F45372">
            <w:pPr>
              <w:pStyle w:val="upove"/>
              <w:rPr>
                <w:sz w:val="28"/>
                <w:lang w:val="es-ES_tradnl"/>
              </w:rPr>
            </w:pPr>
            <w:r w:rsidRPr="00A05473">
              <w:rPr>
                <w:spacing w:val="2"/>
                <w:lang w:val="es-ES_tradnl"/>
              </w:rPr>
              <w:t>UNIÓN INTERNACIONAL PARA LA PROTECCIÓN DE LAS OBTENCIONES VEGETALES</w:t>
            </w:r>
          </w:p>
        </w:tc>
      </w:tr>
      <w:tr w:rsidR="00A05473" w:rsidRPr="00A05473" w:rsidTr="00C13808">
        <w:tc>
          <w:tcPr>
            <w:tcW w:w="10131" w:type="dxa"/>
            <w:gridSpan w:val="3"/>
          </w:tcPr>
          <w:p w:rsidR="000D7780" w:rsidRPr="00A05473" w:rsidRDefault="00A47CDB" w:rsidP="00F45372">
            <w:pPr>
              <w:pStyle w:val="Country"/>
              <w:rPr>
                <w:lang w:val="es-ES_tradnl"/>
              </w:rPr>
            </w:pPr>
            <w:r w:rsidRPr="00A05473">
              <w:rPr>
                <w:lang w:val="es-ES_tradnl"/>
              </w:rPr>
              <w:t>Ginebra</w:t>
            </w:r>
          </w:p>
        </w:tc>
      </w:tr>
    </w:tbl>
    <w:p w:rsidR="000D7780" w:rsidRPr="00A05473" w:rsidRDefault="00A47CDB" w:rsidP="00F45372">
      <w:pPr>
        <w:pStyle w:val="Sessiontc"/>
        <w:rPr>
          <w:lang w:val="es-ES_tradnl"/>
        </w:rPr>
      </w:pPr>
      <w:r w:rsidRPr="00A05473">
        <w:rPr>
          <w:lang w:val="es-ES_tradnl"/>
        </w:rPr>
        <w:t>Comité TÉCNICO</w:t>
      </w:r>
    </w:p>
    <w:p w:rsidR="00361821" w:rsidRPr="00A05473" w:rsidRDefault="007F4BB2" w:rsidP="00F45372">
      <w:pPr>
        <w:pStyle w:val="Sessiontcplacedate"/>
        <w:rPr>
          <w:lang w:val="es-ES_tradnl"/>
        </w:rPr>
      </w:pPr>
      <w:r w:rsidRPr="00A05473">
        <w:rPr>
          <w:lang w:val="es-ES_tradnl"/>
        </w:rPr>
        <w:t>Quincua</w:t>
      </w:r>
      <w:r w:rsidR="00A47CDB" w:rsidRPr="00A05473">
        <w:rPr>
          <w:lang w:val="es-ES_tradnl"/>
        </w:rPr>
        <w:t xml:space="preserve">gésima </w:t>
      </w:r>
      <w:r w:rsidR="00AA65E7" w:rsidRPr="00A05473">
        <w:rPr>
          <w:lang w:val="es-ES_tradnl"/>
        </w:rPr>
        <w:t xml:space="preserve">primera </w:t>
      </w:r>
      <w:r w:rsidR="00A47CDB" w:rsidRPr="00A05473">
        <w:rPr>
          <w:lang w:val="es-ES_tradnl"/>
        </w:rPr>
        <w:t>sesión</w:t>
      </w:r>
      <w:r w:rsidR="00A47CDB" w:rsidRPr="00A05473">
        <w:rPr>
          <w:lang w:val="es-ES_tradnl"/>
        </w:rPr>
        <w:br/>
        <w:t xml:space="preserve">Ginebra, </w:t>
      </w:r>
      <w:r w:rsidR="00AA65E7" w:rsidRPr="00A05473">
        <w:rPr>
          <w:lang w:val="es-ES_tradnl"/>
        </w:rPr>
        <w:t>23</w:t>
      </w:r>
      <w:r w:rsidR="008A1693" w:rsidRPr="00A05473">
        <w:rPr>
          <w:lang w:val="es-ES_tradnl"/>
        </w:rPr>
        <w:t xml:space="preserve"> a </w:t>
      </w:r>
      <w:r w:rsidR="00AA65E7" w:rsidRPr="00A05473">
        <w:rPr>
          <w:lang w:val="es-ES_tradnl"/>
        </w:rPr>
        <w:t>25</w:t>
      </w:r>
      <w:r w:rsidR="008A1693" w:rsidRPr="00A05473">
        <w:rPr>
          <w:lang w:val="es-ES_tradnl"/>
        </w:rPr>
        <w:t xml:space="preserve"> </w:t>
      </w:r>
      <w:r w:rsidR="00F77B84" w:rsidRPr="00A05473">
        <w:rPr>
          <w:lang w:val="es-ES_tradnl"/>
        </w:rPr>
        <w:t>de</w:t>
      </w:r>
      <w:r w:rsidR="008A1693" w:rsidRPr="00A05473">
        <w:rPr>
          <w:lang w:val="es-ES_tradnl"/>
        </w:rPr>
        <w:t xml:space="preserve"> </w:t>
      </w:r>
      <w:r w:rsidR="00AA65E7" w:rsidRPr="00A05473">
        <w:rPr>
          <w:lang w:val="es-ES_tradnl"/>
        </w:rPr>
        <w:t xml:space="preserve">marzo </w:t>
      </w:r>
      <w:r w:rsidR="008A1693" w:rsidRPr="00A05473">
        <w:rPr>
          <w:lang w:val="es-ES_tradnl"/>
        </w:rPr>
        <w:t>de 201</w:t>
      </w:r>
      <w:r w:rsidR="00AA65E7" w:rsidRPr="00A05473">
        <w:rPr>
          <w:lang w:val="es-ES_tradnl"/>
        </w:rPr>
        <w:t>5</w:t>
      </w:r>
    </w:p>
    <w:p w:rsidR="000D7780" w:rsidRPr="00A05473" w:rsidRDefault="004059A3" w:rsidP="00F45372">
      <w:pPr>
        <w:pStyle w:val="Titleofdoc0"/>
        <w:rPr>
          <w:lang w:val="es-ES_tradnl"/>
        </w:rPr>
      </w:pPr>
      <w:bookmarkStart w:id="3" w:name="TitleOfDoc"/>
      <w:bookmarkEnd w:id="3"/>
      <w:r w:rsidRPr="00A05473">
        <w:rPr>
          <w:lang w:val="es-ES_tradnl"/>
        </w:rPr>
        <w:t>Asuntos relativos a las descripciones de variedades</w:t>
      </w:r>
    </w:p>
    <w:p w:rsidR="00184D5D" w:rsidRPr="00041A81" w:rsidRDefault="00184D5D" w:rsidP="00184D5D">
      <w:pPr>
        <w:pStyle w:val="preparedby1"/>
        <w:rPr>
          <w:lang w:val="es-ES_tradnl"/>
        </w:rPr>
      </w:pPr>
      <w:bookmarkStart w:id="4" w:name="Prepared"/>
      <w:bookmarkEnd w:id="4"/>
      <w:r w:rsidRPr="00A05473">
        <w:rPr>
          <w:lang w:val="es-ES_tradnl"/>
        </w:rPr>
        <w:t>Documento preparado por la Oficina de la Unión</w:t>
      </w:r>
      <w:r w:rsidRPr="00041A81">
        <w:rPr>
          <w:color w:val="808080"/>
          <w:lang w:val="es-ES_tradnl"/>
        </w:rPr>
        <w:br/>
      </w:r>
      <w:r w:rsidRPr="00041A81">
        <w:rPr>
          <w:lang w:val="es-ES_tradnl"/>
        </w:rPr>
        <w:br/>
      </w:r>
      <w:r w:rsidRPr="00041A81">
        <w:rPr>
          <w:color w:val="A6A6A6"/>
          <w:lang w:val="es-ES_tradnl"/>
        </w:rPr>
        <w:t>Descargo de responsabilidad</w:t>
      </w:r>
      <w:proofErr w:type="gramStart"/>
      <w:r w:rsidRPr="00041A81">
        <w:rPr>
          <w:color w:val="A6A6A6"/>
          <w:lang w:val="es-ES_tradnl"/>
        </w:rPr>
        <w:t>:  el</w:t>
      </w:r>
      <w:proofErr w:type="gramEnd"/>
      <w:r w:rsidRPr="00041A81">
        <w:rPr>
          <w:color w:val="A6A6A6"/>
          <w:lang w:val="es-ES_tradnl"/>
        </w:rPr>
        <w:t xml:space="preserve"> presente documento no constituye</w:t>
      </w:r>
      <w:r w:rsidRPr="00041A81">
        <w:rPr>
          <w:color w:val="A6A6A6"/>
          <w:lang w:val="es-ES_tradnl"/>
        </w:rPr>
        <w:br/>
        <w:t>un documento de política u orientación de la UPOV</w:t>
      </w:r>
    </w:p>
    <w:p w:rsidR="004059A3" w:rsidRPr="00A05473" w:rsidRDefault="009B2118" w:rsidP="004059A3">
      <w:pPr>
        <w:rPr>
          <w:snapToGrid w:val="0"/>
          <w:lang w:val="es-ES_tradnl"/>
        </w:rPr>
      </w:pPr>
      <w:r w:rsidRPr="00A05473">
        <w:rPr>
          <w:snapToGrid w:val="0"/>
        </w:rPr>
        <w:fldChar w:fldCharType="begin"/>
      </w:r>
      <w:r w:rsidR="004059A3" w:rsidRPr="00A05473">
        <w:rPr>
          <w:snapToGrid w:val="0"/>
          <w:lang w:val="es-ES_tradnl"/>
        </w:rPr>
        <w:instrText xml:space="preserve"> AUTONUM  </w:instrText>
      </w:r>
      <w:r w:rsidRPr="00A05473">
        <w:rPr>
          <w:snapToGrid w:val="0"/>
        </w:rPr>
        <w:fldChar w:fldCharType="end"/>
      </w:r>
      <w:r w:rsidR="004059A3" w:rsidRPr="00A05473">
        <w:rPr>
          <w:snapToGrid w:val="0"/>
          <w:lang w:val="es-ES_tradnl"/>
        </w:rPr>
        <w:tab/>
      </w:r>
      <w:r w:rsidR="000C0531" w:rsidRPr="00A05473">
        <w:rPr>
          <w:snapToGrid w:val="0"/>
          <w:lang w:val="es-ES_tradnl"/>
        </w:rPr>
        <w:t xml:space="preserve">El presente documento tiene por objeto </w:t>
      </w:r>
      <w:r w:rsidR="00CB7E9A" w:rsidRPr="00A05473">
        <w:rPr>
          <w:snapToGrid w:val="0"/>
          <w:lang w:val="es-ES_tradnl"/>
        </w:rPr>
        <w:t>examinar</w:t>
      </w:r>
      <w:r w:rsidR="000C0531" w:rsidRPr="00A05473">
        <w:rPr>
          <w:snapToGrid w:val="0"/>
          <w:lang w:val="es-ES_tradnl"/>
        </w:rPr>
        <w:t xml:space="preserve"> </w:t>
      </w:r>
      <w:r w:rsidR="00CB7E9A" w:rsidRPr="00A05473">
        <w:rPr>
          <w:snapToGrid w:val="0"/>
          <w:lang w:val="es-ES_tradnl"/>
        </w:rPr>
        <w:t xml:space="preserve">los </w:t>
      </w:r>
      <w:r w:rsidR="000C0531" w:rsidRPr="00A05473">
        <w:rPr>
          <w:snapToGrid w:val="0"/>
          <w:lang w:val="es-ES_tradnl"/>
        </w:rPr>
        <w:t xml:space="preserve">asuntos referidos a la verificación de </w:t>
      </w:r>
      <w:r w:rsidR="00CB7E9A" w:rsidRPr="00A05473">
        <w:rPr>
          <w:snapToGrid w:val="0"/>
          <w:lang w:val="es-ES_tradnl"/>
        </w:rPr>
        <w:t xml:space="preserve">la </w:t>
      </w:r>
      <w:r w:rsidR="000C0531" w:rsidRPr="00A05473">
        <w:rPr>
          <w:snapToGrid w:val="0"/>
          <w:lang w:val="es-ES_tradnl"/>
        </w:rPr>
        <w:t xml:space="preserve">conformidad del mantenimiento de la variedad y referidos a las </w:t>
      </w:r>
      <w:r w:rsidR="000C0531" w:rsidRPr="00A05473">
        <w:rPr>
          <w:lang w:val="es-ES_tradnl"/>
        </w:rPr>
        <w:t xml:space="preserve">descripciones de variedades que </w:t>
      </w:r>
      <w:r w:rsidR="00CB7E9A" w:rsidRPr="00A05473">
        <w:rPr>
          <w:lang w:val="es-ES_tradnl"/>
        </w:rPr>
        <w:t xml:space="preserve">fueron remitidos </w:t>
      </w:r>
      <w:r w:rsidR="000C0531" w:rsidRPr="00A05473">
        <w:rPr>
          <w:lang w:val="es-ES_tradnl"/>
        </w:rPr>
        <w:t>al TC</w:t>
      </w:r>
      <w:r w:rsidR="00CB7E9A" w:rsidRPr="00A05473">
        <w:rPr>
          <w:lang w:val="es-ES_tradnl"/>
        </w:rPr>
        <w:t xml:space="preserve"> por el CAJ</w:t>
      </w:r>
      <w:r w:rsidR="000C0531" w:rsidRPr="00A05473">
        <w:rPr>
          <w:snapToGrid w:val="0"/>
          <w:lang w:val="es-ES_tradnl"/>
        </w:rPr>
        <w:t>.</w:t>
      </w:r>
    </w:p>
    <w:p w:rsidR="004059A3" w:rsidRPr="00A05473" w:rsidRDefault="004059A3" w:rsidP="004059A3">
      <w:pPr>
        <w:rPr>
          <w:snapToGrid w:val="0"/>
          <w:lang w:val="es-ES_tradnl"/>
        </w:rPr>
      </w:pPr>
    </w:p>
    <w:p w:rsidR="004059A3" w:rsidRPr="00A05473" w:rsidRDefault="009B2118" w:rsidP="004059A3">
      <w:pPr>
        <w:rPr>
          <w:rFonts w:cs="Arial"/>
          <w:lang w:val="es-ES_tradnl"/>
        </w:rPr>
      </w:pPr>
      <w:r w:rsidRPr="00A05473">
        <w:rPr>
          <w:rFonts w:cs="Arial"/>
        </w:rPr>
        <w:fldChar w:fldCharType="begin"/>
      </w:r>
      <w:r w:rsidR="004059A3" w:rsidRPr="00A05473">
        <w:rPr>
          <w:rFonts w:cs="Arial"/>
          <w:lang w:val="es-ES_tradnl"/>
        </w:rPr>
        <w:instrText xml:space="preserve"> AUTONUM  </w:instrText>
      </w:r>
      <w:r w:rsidRPr="00A05473">
        <w:rPr>
          <w:rFonts w:cs="Arial"/>
        </w:rPr>
        <w:fldChar w:fldCharType="end"/>
      </w:r>
      <w:r w:rsidR="004059A3" w:rsidRPr="00A05473">
        <w:rPr>
          <w:rFonts w:cs="Arial"/>
          <w:lang w:val="es-ES_tradnl"/>
        </w:rPr>
        <w:tab/>
        <w:t>En el presente documento se utilizan las abreviaturas siguientes:</w:t>
      </w:r>
    </w:p>
    <w:p w:rsidR="004059A3" w:rsidRPr="00A05473" w:rsidRDefault="004059A3" w:rsidP="004059A3">
      <w:pPr>
        <w:ind w:left="1701" w:hanging="1134"/>
        <w:rPr>
          <w:rFonts w:cs="Arial"/>
          <w:lang w:val="es-ES_tradnl"/>
        </w:rPr>
      </w:pPr>
    </w:p>
    <w:p w:rsidR="004059A3" w:rsidRPr="00A05473" w:rsidRDefault="004059A3" w:rsidP="004059A3">
      <w:pPr>
        <w:ind w:left="1701" w:hanging="1134"/>
        <w:rPr>
          <w:rFonts w:cs="Arial"/>
          <w:lang w:val="es-ES_tradnl"/>
        </w:rPr>
      </w:pPr>
      <w:r w:rsidRPr="00A05473">
        <w:rPr>
          <w:rFonts w:cs="Arial"/>
          <w:lang w:val="es-ES_tradnl"/>
        </w:rPr>
        <w:t>CAJ:</w:t>
      </w:r>
      <w:r w:rsidRPr="00A05473">
        <w:rPr>
          <w:rFonts w:cs="Arial"/>
          <w:lang w:val="es-ES_tradnl"/>
        </w:rPr>
        <w:tab/>
        <w:t>Comité Administrativo y Jurídico</w:t>
      </w:r>
    </w:p>
    <w:p w:rsidR="004059A3" w:rsidRPr="00A05473" w:rsidRDefault="004059A3" w:rsidP="004059A3">
      <w:pPr>
        <w:ind w:left="1701" w:hanging="1134"/>
        <w:rPr>
          <w:rFonts w:cs="Arial"/>
          <w:lang w:val="es-ES_tradnl"/>
        </w:rPr>
      </w:pPr>
      <w:r w:rsidRPr="00A05473">
        <w:rPr>
          <w:rFonts w:cs="Arial"/>
          <w:lang w:val="es-ES_tradnl"/>
        </w:rPr>
        <w:t>TC:</w:t>
      </w:r>
      <w:r w:rsidRPr="00A05473">
        <w:rPr>
          <w:rFonts w:cs="Arial"/>
          <w:lang w:val="es-ES_tradnl"/>
        </w:rPr>
        <w:tab/>
        <w:t>Comité Técnico</w:t>
      </w:r>
    </w:p>
    <w:p w:rsidR="004059A3" w:rsidRPr="00A05473" w:rsidRDefault="004059A3" w:rsidP="004059A3">
      <w:pPr>
        <w:ind w:left="1701" w:hanging="1134"/>
        <w:rPr>
          <w:rFonts w:cs="Arial"/>
          <w:lang w:val="es-ES_tradnl"/>
        </w:rPr>
      </w:pPr>
      <w:r w:rsidRPr="00A05473">
        <w:rPr>
          <w:rFonts w:cs="Arial"/>
          <w:lang w:val="es-ES_tradnl"/>
        </w:rPr>
        <w:t>TC-ED</w:t>
      </w:r>
      <w:r w:rsidR="000027F7" w:rsidRPr="00A05473">
        <w:rPr>
          <w:rFonts w:cs="Arial"/>
          <w:lang w:val="es-ES_tradnl"/>
        </w:rPr>
        <w:t>C</w:t>
      </w:r>
      <w:r w:rsidRPr="00A05473">
        <w:rPr>
          <w:rFonts w:cs="Arial"/>
          <w:lang w:val="es-ES_tradnl"/>
        </w:rPr>
        <w:t>:</w:t>
      </w:r>
      <w:r w:rsidRPr="00A05473">
        <w:rPr>
          <w:rFonts w:cs="Arial"/>
          <w:lang w:val="es-ES_tradnl"/>
        </w:rPr>
        <w:tab/>
        <w:t>Comité de Redacción Ampliado</w:t>
      </w:r>
    </w:p>
    <w:p w:rsidR="004059A3" w:rsidRPr="00A05473" w:rsidRDefault="004059A3" w:rsidP="004059A3">
      <w:pPr>
        <w:ind w:left="1701" w:hanging="1134"/>
        <w:rPr>
          <w:rFonts w:cs="Arial"/>
          <w:lang w:val="es-ES_tradnl"/>
        </w:rPr>
      </w:pPr>
      <w:r w:rsidRPr="00A05473">
        <w:rPr>
          <w:rFonts w:cs="Arial"/>
          <w:lang w:val="es-ES_tradnl"/>
        </w:rPr>
        <w:t>TWA:</w:t>
      </w:r>
      <w:r w:rsidRPr="00A05473">
        <w:rPr>
          <w:rFonts w:cs="Arial"/>
          <w:lang w:val="es-ES_tradnl"/>
        </w:rPr>
        <w:tab/>
        <w:t>Grupo de Trabajo Técnico sobre Plantas Agrícolas</w:t>
      </w:r>
    </w:p>
    <w:p w:rsidR="004059A3" w:rsidRPr="00A05473" w:rsidRDefault="004059A3" w:rsidP="004059A3">
      <w:pPr>
        <w:ind w:left="1701" w:hanging="1134"/>
        <w:rPr>
          <w:rFonts w:cs="Arial"/>
          <w:lang w:val="es-ES_tradnl"/>
        </w:rPr>
      </w:pPr>
      <w:r w:rsidRPr="00A05473">
        <w:rPr>
          <w:rFonts w:cs="Arial"/>
          <w:lang w:val="es-ES_tradnl"/>
        </w:rPr>
        <w:t>TWC:</w:t>
      </w:r>
      <w:r w:rsidRPr="00A05473">
        <w:rPr>
          <w:rFonts w:cs="Arial"/>
          <w:lang w:val="es-ES_tradnl"/>
        </w:rPr>
        <w:tab/>
        <w:t>Grupo de Trabajo Técnico sobre Automatización y Programas Informáticos</w:t>
      </w:r>
    </w:p>
    <w:p w:rsidR="004059A3" w:rsidRPr="00A05473" w:rsidRDefault="004059A3" w:rsidP="004059A3">
      <w:pPr>
        <w:ind w:left="1701" w:hanging="1134"/>
        <w:rPr>
          <w:rFonts w:cs="Arial"/>
          <w:lang w:val="es-ES_tradnl"/>
        </w:rPr>
      </w:pPr>
      <w:r w:rsidRPr="00A05473">
        <w:rPr>
          <w:rFonts w:cs="Arial"/>
          <w:lang w:val="es-ES_tradnl"/>
        </w:rPr>
        <w:t>TWF:</w:t>
      </w:r>
      <w:r w:rsidRPr="00A05473">
        <w:rPr>
          <w:rFonts w:cs="Arial"/>
          <w:lang w:val="es-ES_tradnl"/>
        </w:rPr>
        <w:tab/>
        <w:t>Grupo de Trabajo Técnico sobre Plantas Frutales</w:t>
      </w:r>
    </w:p>
    <w:p w:rsidR="004059A3" w:rsidRPr="00A05473" w:rsidRDefault="004059A3" w:rsidP="004059A3">
      <w:pPr>
        <w:ind w:left="1701" w:hanging="1134"/>
        <w:rPr>
          <w:rFonts w:cs="Arial"/>
          <w:lang w:val="es-ES"/>
        </w:rPr>
      </w:pPr>
      <w:r w:rsidRPr="00A05473">
        <w:rPr>
          <w:rFonts w:cs="Arial"/>
          <w:lang w:val="es-ES_tradnl"/>
        </w:rPr>
        <w:t>TW</w:t>
      </w:r>
      <w:r w:rsidR="000027F7" w:rsidRPr="00A05473">
        <w:rPr>
          <w:rFonts w:cs="Arial"/>
          <w:lang w:val="es-ES_tradnl"/>
        </w:rPr>
        <w:t>O</w:t>
      </w:r>
      <w:r w:rsidRPr="00A05473">
        <w:rPr>
          <w:rFonts w:cs="Arial"/>
          <w:lang w:val="es-ES_tradnl"/>
        </w:rPr>
        <w:t>:</w:t>
      </w:r>
      <w:r w:rsidRPr="00A05473">
        <w:rPr>
          <w:rFonts w:cs="Arial"/>
          <w:lang w:val="es-ES_tradnl"/>
        </w:rPr>
        <w:tab/>
      </w:r>
      <w:r w:rsidR="000027F7" w:rsidRPr="00A05473">
        <w:rPr>
          <w:rFonts w:cs="Arial"/>
          <w:lang w:val="es-ES"/>
        </w:rPr>
        <w:t>Grupo de Trabajo Técnico sobre Plantas Ornamentales y Árboles Forestales</w:t>
      </w:r>
      <w:r w:rsidRPr="00A05473">
        <w:rPr>
          <w:rFonts w:cs="Arial"/>
          <w:lang w:val="es-ES"/>
        </w:rPr>
        <w:t xml:space="preserve"> </w:t>
      </w:r>
    </w:p>
    <w:p w:rsidR="004059A3" w:rsidRPr="00A05473" w:rsidRDefault="004059A3" w:rsidP="004059A3">
      <w:pPr>
        <w:ind w:left="1701" w:hanging="1134"/>
        <w:rPr>
          <w:rFonts w:cs="Arial"/>
          <w:lang w:val="es-ES_tradnl"/>
        </w:rPr>
      </w:pPr>
      <w:r w:rsidRPr="00A05473">
        <w:rPr>
          <w:rFonts w:cs="Arial"/>
          <w:lang w:val="es-ES_tradnl"/>
        </w:rPr>
        <w:t>TWV:</w:t>
      </w:r>
      <w:r w:rsidRPr="00A05473">
        <w:rPr>
          <w:rFonts w:cs="Arial"/>
          <w:lang w:val="es-ES_tradnl"/>
        </w:rPr>
        <w:tab/>
        <w:t>Grupo de Trabajo Técnico sobre Hortalizas</w:t>
      </w:r>
    </w:p>
    <w:p w:rsidR="004059A3" w:rsidRPr="00A05473" w:rsidRDefault="004059A3" w:rsidP="004059A3">
      <w:pPr>
        <w:ind w:firstLine="567"/>
        <w:rPr>
          <w:rFonts w:cs="Arial"/>
          <w:lang w:val="es-ES_tradnl"/>
        </w:rPr>
      </w:pPr>
      <w:r w:rsidRPr="00A05473">
        <w:rPr>
          <w:rFonts w:cs="Arial"/>
          <w:lang w:val="es-ES_tradnl"/>
        </w:rPr>
        <w:t>TWP:</w:t>
      </w:r>
      <w:r w:rsidR="000027F7" w:rsidRPr="00A05473">
        <w:rPr>
          <w:rFonts w:cs="Arial"/>
          <w:lang w:val="es-ES_tradnl"/>
        </w:rPr>
        <w:tab/>
      </w:r>
      <w:r w:rsidRPr="00A05473">
        <w:rPr>
          <w:rFonts w:cs="Arial"/>
          <w:lang w:val="es-ES_tradnl"/>
        </w:rPr>
        <w:tab/>
        <w:t>Grupos de Trabajo Técnico</w:t>
      </w:r>
    </w:p>
    <w:p w:rsidR="004059A3" w:rsidRPr="00A05473" w:rsidRDefault="004059A3" w:rsidP="004059A3">
      <w:pPr>
        <w:ind w:firstLine="567"/>
        <w:rPr>
          <w:snapToGrid w:val="0"/>
          <w:lang w:val="es-ES_tradnl"/>
        </w:rPr>
      </w:pPr>
    </w:p>
    <w:p w:rsidR="004059A3" w:rsidRPr="00A05473" w:rsidRDefault="009B2118" w:rsidP="004059A3">
      <w:pPr>
        <w:rPr>
          <w:snapToGrid w:val="0"/>
          <w:lang w:val="es-ES_tradnl"/>
        </w:rPr>
      </w:pPr>
      <w:r w:rsidRPr="00A05473">
        <w:fldChar w:fldCharType="begin"/>
      </w:r>
      <w:r w:rsidR="004059A3" w:rsidRPr="00A05473">
        <w:rPr>
          <w:lang w:val="es-ES_tradnl"/>
        </w:rPr>
        <w:instrText xml:space="preserve"> AUTONUM  </w:instrText>
      </w:r>
      <w:r w:rsidRPr="00A05473">
        <w:fldChar w:fldCharType="end"/>
      </w:r>
      <w:r w:rsidR="004059A3" w:rsidRPr="00A05473">
        <w:rPr>
          <w:lang w:val="es-ES_tradnl"/>
        </w:rPr>
        <w:tab/>
        <w:t>La estructura del presente documento es la siguiente</w:t>
      </w:r>
      <w:r w:rsidR="004059A3" w:rsidRPr="00A05473">
        <w:rPr>
          <w:snapToGrid w:val="0"/>
          <w:lang w:val="es-ES_tradnl"/>
        </w:rPr>
        <w:t>:</w:t>
      </w:r>
    </w:p>
    <w:p w:rsidR="004059A3" w:rsidRPr="00A05473" w:rsidRDefault="004059A3" w:rsidP="004059A3">
      <w:pPr>
        <w:rPr>
          <w:snapToGrid w:val="0"/>
          <w:lang w:val="es-ES_tradnl"/>
        </w:rPr>
      </w:pPr>
    </w:p>
    <w:p w:rsidR="00E1743E" w:rsidRPr="00A05473" w:rsidRDefault="009B2118" w:rsidP="00E1743E">
      <w:pPr>
        <w:pStyle w:val="TOC1"/>
        <w:rPr>
          <w:rFonts w:asciiTheme="minorHAnsi" w:eastAsiaTheme="minorEastAsia" w:hAnsiTheme="minorHAnsi" w:cstheme="minorBidi"/>
          <w:noProof/>
          <w:sz w:val="22"/>
          <w:szCs w:val="22"/>
          <w:lang w:val="es-ES" w:eastAsia="es-ES"/>
        </w:rPr>
      </w:pPr>
      <w:r w:rsidRPr="00A05473">
        <w:rPr>
          <w:noProof/>
          <w:snapToGrid w:val="0"/>
        </w:rPr>
        <w:fldChar w:fldCharType="begin"/>
      </w:r>
      <w:r w:rsidR="004059A3" w:rsidRPr="00A05473">
        <w:rPr>
          <w:snapToGrid w:val="0"/>
        </w:rPr>
        <w:instrText xml:space="preserve"> TOC \o "1-3" \h \z \u </w:instrText>
      </w:r>
      <w:r w:rsidRPr="00A05473">
        <w:rPr>
          <w:noProof/>
          <w:snapToGrid w:val="0"/>
        </w:rPr>
        <w:fldChar w:fldCharType="separate"/>
      </w:r>
      <w:hyperlink w:anchor="_Toc411849612" w:history="1">
        <w:r w:rsidR="00E1743E" w:rsidRPr="00A05473">
          <w:rPr>
            <w:rStyle w:val="Hyperlink"/>
            <w:noProof/>
            <w:color w:val="auto"/>
          </w:rPr>
          <w:t>Control del mantenimiento de la variedad</w:t>
        </w:r>
        <w:r w:rsidR="00E1743E" w:rsidRPr="00A05473">
          <w:rPr>
            <w:noProof/>
            <w:webHidden/>
          </w:rPr>
          <w:tab/>
        </w:r>
        <w:r w:rsidRPr="00A05473">
          <w:rPr>
            <w:noProof/>
            <w:webHidden/>
          </w:rPr>
          <w:fldChar w:fldCharType="begin"/>
        </w:r>
        <w:r w:rsidR="00E1743E" w:rsidRPr="00A05473">
          <w:rPr>
            <w:noProof/>
            <w:webHidden/>
          </w:rPr>
          <w:instrText xml:space="preserve"> PAGEREF _Toc411849612 \h </w:instrText>
        </w:r>
        <w:r w:rsidRPr="00A05473">
          <w:rPr>
            <w:noProof/>
            <w:webHidden/>
          </w:rPr>
        </w:r>
        <w:r w:rsidRPr="00A05473">
          <w:rPr>
            <w:noProof/>
            <w:webHidden/>
          </w:rPr>
          <w:fldChar w:fldCharType="separate"/>
        </w:r>
        <w:r w:rsidR="003F5309">
          <w:rPr>
            <w:noProof/>
            <w:webHidden/>
          </w:rPr>
          <w:t>2</w:t>
        </w:r>
        <w:r w:rsidRPr="00A05473">
          <w:rPr>
            <w:noProof/>
            <w:webHidden/>
          </w:rPr>
          <w:fldChar w:fldCharType="end"/>
        </w:r>
      </w:hyperlink>
    </w:p>
    <w:p w:rsidR="00E1743E" w:rsidRPr="00A05473" w:rsidRDefault="003F5309" w:rsidP="00E1743E">
      <w:pPr>
        <w:pStyle w:val="TOC1"/>
        <w:rPr>
          <w:rFonts w:asciiTheme="minorHAnsi" w:eastAsiaTheme="minorEastAsia" w:hAnsiTheme="minorHAnsi" w:cstheme="minorBidi"/>
          <w:noProof/>
          <w:sz w:val="22"/>
          <w:szCs w:val="22"/>
          <w:lang w:val="es-ES" w:eastAsia="es-ES"/>
        </w:rPr>
      </w:pPr>
      <w:hyperlink w:anchor="_Toc411849613" w:history="1">
        <w:r w:rsidR="00E1743E" w:rsidRPr="00A05473">
          <w:rPr>
            <w:rStyle w:val="Hyperlink"/>
            <w:noProof/>
            <w:color w:val="auto"/>
          </w:rPr>
          <w:t>PropUESTA</w:t>
        </w:r>
        <w:r w:rsidR="00E1743E" w:rsidRPr="00A05473">
          <w:rPr>
            <w:noProof/>
            <w:webHidden/>
          </w:rPr>
          <w:tab/>
        </w:r>
        <w:r w:rsidR="009B2118" w:rsidRPr="00A05473">
          <w:rPr>
            <w:noProof/>
            <w:webHidden/>
          </w:rPr>
          <w:fldChar w:fldCharType="begin"/>
        </w:r>
        <w:r w:rsidR="00E1743E" w:rsidRPr="00A05473">
          <w:rPr>
            <w:noProof/>
            <w:webHidden/>
          </w:rPr>
          <w:instrText xml:space="preserve"> PAGEREF _Toc411849613 \h </w:instrText>
        </w:r>
        <w:r w:rsidR="009B2118" w:rsidRPr="00A05473">
          <w:rPr>
            <w:noProof/>
            <w:webHidden/>
          </w:rPr>
        </w:r>
        <w:r w:rsidR="009B2118" w:rsidRPr="00A05473">
          <w:rPr>
            <w:noProof/>
            <w:webHidden/>
          </w:rPr>
          <w:fldChar w:fldCharType="separate"/>
        </w:r>
        <w:r>
          <w:rPr>
            <w:noProof/>
            <w:webHidden/>
          </w:rPr>
          <w:t>3</w:t>
        </w:r>
        <w:r w:rsidR="009B2118" w:rsidRPr="00A05473">
          <w:rPr>
            <w:noProof/>
            <w:webHidden/>
          </w:rPr>
          <w:fldChar w:fldCharType="end"/>
        </w:r>
      </w:hyperlink>
    </w:p>
    <w:p w:rsidR="00E1743E" w:rsidRPr="00A05473" w:rsidRDefault="003F5309" w:rsidP="00E1743E">
      <w:pPr>
        <w:pStyle w:val="TOC1"/>
        <w:rPr>
          <w:rFonts w:asciiTheme="minorHAnsi" w:eastAsiaTheme="minorEastAsia" w:hAnsiTheme="minorHAnsi" w:cstheme="minorBidi"/>
          <w:noProof/>
          <w:sz w:val="22"/>
          <w:szCs w:val="22"/>
          <w:lang w:val="es-ES" w:eastAsia="es-ES"/>
        </w:rPr>
      </w:pPr>
      <w:hyperlink w:anchor="_Toc411849614" w:history="1">
        <w:r w:rsidR="00E1743E" w:rsidRPr="00A05473">
          <w:rPr>
            <w:rStyle w:val="Hyperlink"/>
            <w:noProof/>
            <w:color w:val="auto"/>
          </w:rPr>
          <w:t>ASUNTOS RELATIVOS A LAS DESCRIPCIONES DE VARIEDADES</w:t>
        </w:r>
        <w:r w:rsidR="00E1743E" w:rsidRPr="00A05473">
          <w:rPr>
            <w:noProof/>
            <w:webHidden/>
          </w:rPr>
          <w:tab/>
        </w:r>
        <w:r w:rsidR="009B2118" w:rsidRPr="00A05473">
          <w:rPr>
            <w:noProof/>
            <w:webHidden/>
          </w:rPr>
          <w:fldChar w:fldCharType="begin"/>
        </w:r>
        <w:r w:rsidR="00E1743E" w:rsidRPr="00A05473">
          <w:rPr>
            <w:noProof/>
            <w:webHidden/>
          </w:rPr>
          <w:instrText xml:space="preserve"> PAGEREF _Toc411849614 \h </w:instrText>
        </w:r>
        <w:r w:rsidR="009B2118" w:rsidRPr="00A05473">
          <w:rPr>
            <w:noProof/>
            <w:webHidden/>
          </w:rPr>
        </w:r>
        <w:r w:rsidR="009B2118" w:rsidRPr="00A05473">
          <w:rPr>
            <w:noProof/>
            <w:webHidden/>
          </w:rPr>
          <w:fldChar w:fldCharType="separate"/>
        </w:r>
        <w:r>
          <w:rPr>
            <w:noProof/>
            <w:webHidden/>
          </w:rPr>
          <w:t>3</w:t>
        </w:r>
        <w:r w:rsidR="009B2118" w:rsidRPr="00A05473">
          <w:rPr>
            <w:noProof/>
            <w:webHidden/>
          </w:rPr>
          <w:fldChar w:fldCharType="end"/>
        </w:r>
      </w:hyperlink>
    </w:p>
    <w:p w:rsidR="00E1743E" w:rsidRPr="00A05473" w:rsidRDefault="003F5309" w:rsidP="00E1743E">
      <w:pPr>
        <w:pStyle w:val="TOC2"/>
        <w:spacing w:before="0" w:after="120"/>
        <w:rPr>
          <w:rFonts w:asciiTheme="minorHAnsi" w:eastAsiaTheme="minorEastAsia" w:hAnsiTheme="minorHAnsi" w:cstheme="minorBidi"/>
          <w:smallCaps w:val="0"/>
          <w:noProof/>
          <w:sz w:val="22"/>
          <w:szCs w:val="22"/>
          <w:lang w:val="es-ES" w:eastAsia="es-ES"/>
        </w:rPr>
      </w:pPr>
      <w:hyperlink w:anchor="_Toc411849615" w:history="1">
        <w:r w:rsidR="00E1743E" w:rsidRPr="00A05473">
          <w:rPr>
            <w:rStyle w:val="Hyperlink"/>
            <w:noProof/>
            <w:color w:val="auto"/>
            <w:lang w:val="es-ES_tradnl"/>
          </w:rPr>
          <w:t>Novedades en el Grupo Asesor del Comité Administrativo y Jurídico (CAJ-AG)</w:t>
        </w:r>
        <w:r w:rsidR="00E1743E" w:rsidRPr="00A05473">
          <w:rPr>
            <w:noProof/>
            <w:webHidden/>
          </w:rPr>
          <w:tab/>
        </w:r>
        <w:r w:rsidR="009B2118" w:rsidRPr="00A05473">
          <w:rPr>
            <w:noProof/>
            <w:webHidden/>
          </w:rPr>
          <w:fldChar w:fldCharType="begin"/>
        </w:r>
        <w:r w:rsidR="00E1743E" w:rsidRPr="00A05473">
          <w:rPr>
            <w:noProof/>
            <w:webHidden/>
          </w:rPr>
          <w:instrText xml:space="preserve"> PAGEREF _Toc411849615 \h </w:instrText>
        </w:r>
        <w:r w:rsidR="009B2118" w:rsidRPr="00A05473">
          <w:rPr>
            <w:noProof/>
            <w:webHidden/>
          </w:rPr>
        </w:r>
        <w:r w:rsidR="009B2118" w:rsidRPr="00A05473">
          <w:rPr>
            <w:noProof/>
            <w:webHidden/>
          </w:rPr>
          <w:fldChar w:fldCharType="separate"/>
        </w:r>
        <w:r>
          <w:rPr>
            <w:noProof/>
            <w:webHidden/>
          </w:rPr>
          <w:t>4</w:t>
        </w:r>
        <w:r w:rsidR="009B2118" w:rsidRPr="00A05473">
          <w:rPr>
            <w:noProof/>
            <w:webHidden/>
          </w:rPr>
          <w:fldChar w:fldCharType="end"/>
        </w:r>
      </w:hyperlink>
    </w:p>
    <w:p w:rsidR="00E1743E" w:rsidRPr="00A05473" w:rsidRDefault="003F5309" w:rsidP="00E1743E">
      <w:pPr>
        <w:pStyle w:val="TOC1"/>
        <w:rPr>
          <w:rFonts w:asciiTheme="minorHAnsi" w:eastAsiaTheme="minorEastAsia" w:hAnsiTheme="minorHAnsi" w:cstheme="minorBidi"/>
          <w:noProof/>
          <w:sz w:val="22"/>
          <w:szCs w:val="22"/>
          <w:lang w:val="es-ES" w:eastAsia="es-ES"/>
        </w:rPr>
      </w:pPr>
      <w:hyperlink w:anchor="_Toc411849616" w:history="1">
        <w:r w:rsidR="00E1743E" w:rsidRPr="00A05473">
          <w:rPr>
            <w:rStyle w:val="Hyperlink"/>
            <w:noProof/>
            <w:color w:val="auto"/>
          </w:rPr>
          <w:t>PropUESTA</w:t>
        </w:r>
        <w:r w:rsidR="00E1743E" w:rsidRPr="00A05473">
          <w:rPr>
            <w:noProof/>
            <w:webHidden/>
          </w:rPr>
          <w:tab/>
        </w:r>
        <w:r w:rsidR="009B2118" w:rsidRPr="00A05473">
          <w:rPr>
            <w:noProof/>
            <w:webHidden/>
          </w:rPr>
          <w:fldChar w:fldCharType="begin"/>
        </w:r>
        <w:r w:rsidR="00E1743E" w:rsidRPr="00A05473">
          <w:rPr>
            <w:noProof/>
            <w:webHidden/>
          </w:rPr>
          <w:instrText xml:space="preserve"> PAGEREF _Toc411849616 \h </w:instrText>
        </w:r>
        <w:r w:rsidR="009B2118" w:rsidRPr="00A05473">
          <w:rPr>
            <w:noProof/>
            <w:webHidden/>
          </w:rPr>
        </w:r>
        <w:r w:rsidR="009B2118" w:rsidRPr="00A05473">
          <w:rPr>
            <w:noProof/>
            <w:webHidden/>
          </w:rPr>
          <w:fldChar w:fldCharType="separate"/>
        </w:r>
        <w:r>
          <w:rPr>
            <w:noProof/>
            <w:webHidden/>
          </w:rPr>
          <w:t>5</w:t>
        </w:r>
        <w:r w:rsidR="009B2118" w:rsidRPr="00A05473">
          <w:rPr>
            <w:noProof/>
            <w:webHidden/>
          </w:rPr>
          <w:fldChar w:fldCharType="end"/>
        </w:r>
      </w:hyperlink>
    </w:p>
    <w:p w:rsidR="004059A3" w:rsidRPr="00A05473" w:rsidRDefault="009B2118" w:rsidP="00E1743E">
      <w:pPr>
        <w:spacing w:after="120"/>
        <w:rPr>
          <w:snapToGrid w:val="0"/>
        </w:rPr>
      </w:pPr>
      <w:r w:rsidRPr="00A05473">
        <w:rPr>
          <w:snapToGrid w:val="0"/>
        </w:rPr>
        <w:fldChar w:fldCharType="end"/>
      </w:r>
    </w:p>
    <w:p w:rsidR="00E6018E" w:rsidRPr="00A05473" w:rsidRDefault="000C0531" w:rsidP="00E6018E">
      <w:pPr>
        <w:jc w:val="center"/>
        <w:rPr>
          <w:caps/>
          <w:lang w:val="es-ES_tradnl"/>
        </w:rPr>
      </w:pPr>
      <w:r w:rsidRPr="00A05473">
        <w:rPr>
          <w:snapToGrid w:val="0"/>
          <w:lang w:val="es-ES_tradnl"/>
        </w:rPr>
        <w:t>ANEXO:</w:t>
      </w:r>
      <w:r w:rsidR="00E6018E">
        <w:rPr>
          <w:snapToGrid w:val="0"/>
          <w:lang w:val="es-ES_tradnl"/>
        </w:rPr>
        <w:t xml:space="preserve"> </w:t>
      </w:r>
      <w:r w:rsidR="00E6018E">
        <w:rPr>
          <w:snapToGrid w:val="0"/>
          <w:lang w:val="es-ES_tradnl"/>
        </w:rPr>
        <w:tab/>
      </w:r>
      <w:r w:rsidR="00E6018E" w:rsidRPr="00A05473">
        <w:rPr>
          <w:caps/>
          <w:lang w:val="es-ES_tradnl"/>
        </w:rPr>
        <w:t>Orientación de la UPOV sobre la descripción de variedades</w:t>
      </w:r>
    </w:p>
    <w:p w:rsidR="004059A3" w:rsidRPr="00A05473" w:rsidRDefault="004059A3" w:rsidP="004059A3">
      <w:pPr>
        <w:pStyle w:val="TitleofDoc"/>
        <w:spacing w:before="0"/>
        <w:ind w:left="851" w:hanging="851"/>
        <w:jc w:val="both"/>
        <w:rPr>
          <w:caps w:val="0"/>
          <w:snapToGrid w:val="0"/>
          <w:lang w:val="es-ES_tradnl"/>
        </w:rPr>
      </w:pPr>
    </w:p>
    <w:p w:rsidR="004059A3" w:rsidRPr="00A05473" w:rsidRDefault="004059A3" w:rsidP="004059A3">
      <w:pPr>
        <w:rPr>
          <w:snapToGrid w:val="0"/>
          <w:lang w:val="es-ES_tradnl"/>
        </w:rPr>
      </w:pPr>
    </w:p>
    <w:p w:rsidR="004059A3" w:rsidRPr="00A05473" w:rsidRDefault="004059A3" w:rsidP="004059A3">
      <w:pPr>
        <w:rPr>
          <w:snapToGrid w:val="0"/>
          <w:lang w:val="es-ES_tradnl"/>
        </w:rPr>
      </w:pPr>
    </w:p>
    <w:p w:rsidR="004059A3" w:rsidRPr="00A05473" w:rsidRDefault="004059A3" w:rsidP="004059A3">
      <w:pPr>
        <w:rPr>
          <w:snapToGrid w:val="0"/>
          <w:lang w:val="es-ES_tradnl"/>
        </w:rPr>
      </w:pPr>
    </w:p>
    <w:p w:rsidR="004059A3" w:rsidRPr="00A05473" w:rsidRDefault="004059A3" w:rsidP="004059A3">
      <w:pPr>
        <w:jc w:val="left"/>
        <w:rPr>
          <w:caps/>
          <w:snapToGrid w:val="0"/>
          <w:lang w:val="es-ES_tradnl"/>
        </w:rPr>
      </w:pPr>
      <w:r w:rsidRPr="00A05473">
        <w:rPr>
          <w:caps/>
          <w:snapToGrid w:val="0"/>
          <w:lang w:val="es-ES_tradnl"/>
        </w:rPr>
        <w:br w:type="page"/>
      </w:r>
    </w:p>
    <w:p w:rsidR="004059A3" w:rsidRPr="00A05473" w:rsidRDefault="004059A3" w:rsidP="004059A3">
      <w:pPr>
        <w:jc w:val="left"/>
        <w:rPr>
          <w:caps/>
          <w:snapToGrid w:val="0"/>
          <w:lang w:val="es-ES_tradnl"/>
        </w:rPr>
      </w:pPr>
    </w:p>
    <w:p w:rsidR="004059A3" w:rsidRPr="00A05473" w:rsidRDefault="004059A3" w:rsidP="002C7A0B">
      <w:pPr>
        <w:pStyle w:val="Heading1"/>
        <w:rPr>
          <w:dstrike w:val="0"/>
          <w:color w:val="auto"/>
        </w:rPr>
      </w:pPr>
      <w:bookmarkStart w:id="5" w:name="_Toc411849612"/>
      <w:r w:rsidRPr="00A05473">
        <w:rPr>
          <w:dstrike w:val="0"/>
          <w:color w:val="auto"/>
        </w:rPr>
        <w:t>Control del mantenimiento de la variedad</w:t>
      </w:r>
      <w:bookmarkEnd w:id="5"/>
    </w:p>
    <w:p w:rsidR="004059A3" w:rsidRPr="00A05473" w:rsidRDefault="004059A3" w:rsidP="004059A3">
      <w:pPr>
        <w:rPr>
          <w:caps/>
          <w:lang w:val="es-ES_tradnl"/>
        </w:rPr>
      </w:pPr>
    </w:p>
    <w:p w:rsidR="004059A3" w:rsidRPr="00A05473" w:rsidRDefault="009B2118" w:rsidP="004059A3">
      <w:pPr>
        <w:rPr>
          <w:rFonts w:cs="Arial"/>
          <w:lang w:val="es-ES_tradnl"/>
        </w:rPr>
      </w:pPr>
      <w:r w:rsidRPr="00A05473">
        <w:rPr>
          <w:rFonts w:cs="Arial"/>
          <w:lang w:val="en-GB"/>
        </w:rPr>
        <w:fldChar w:fldCharType="begin"/>
      </w:r>
      <w:r w:rsidR="004059A3" w:rsidRPr="00A05473">
        <w:rPr>
          <w:rFonts w:cs="Arial"/>
          <w:lang w:val="es-ES_tradnl"/>
        </w:rPr>
        <w:instrText xml:space="preserve"> AUTONUM  </w:instrText>
      </w:r>
      <w:r w:rsidRPr="00A05473">
        <w:rPr>
          <w:rFonts w:cs="Arial"/>
          <w:lang w:val="en-GB"/>
        </w:rPr>
        <w:fldChar w:fldCharType="end"/>
      </w:r>
      <w:r w:rsidR="004059A3" w:rsidRPr="00A05473">
        <w:rPr>
          <w:rFonts w:cs="Arial"/>
          <w:lang w:val="es-ES_tradnl"/>
        </w:rPr>
        <w:tab/>
        <w:t xml:space="preserve">A </w:t>
      </w:r>
      <w:r w:rsidR="00C66BF4" w:rsidRPr="00A05473">
        <w:rPr>
          <w:rFonts w:cs="Arial"/>
          <w:lang w:val="es-ES_tradnl"/>
        </w:rPr>
        <w:t>continuación figuran las disposi</w:t>
      </w:r>
      <w:r w:rsidR="004059A3" w:rsidRPr="00A05473">
        <w:rPr>
          <w:rFonts w:cs="Arial"/>
          <w:lang w:val="es-ES_tradnl"/>
        </w:rPr>
        <w:t>ciones sobre la caducidad del derecho de obtentor contenidas en el Artículo 22 del Acta de 1991 del Convenio de la UPOV y en el Artículo 10.2) a 4) del Acta de 1978 del Convenio de la UPOV:</w:t>
      </w:r>
    </w:p>
    <w:p w:rsidR="004059A3" w:rsidRPr="00A05473" w:rsidRDefault="004059A3" w:rsidP="004059A3">
      <w:pPr>
        <w:rPr>
          <w:rFonts w:cs="Arial"/>
          <w:lang w:val="es-ES_tradnl"/>
        </w:rPr>
      </w:pPr>
    </w:p>
    <w:p w:rsidR="004059A3" w:rsidRPr="00A05473" w:rsidRDefault="004059A3" w:rsidP="004059A3">
      <w:pPr>
        <w:keepNext/>
        <w:keepLines/>
        <w:pBdr>
          <w:top w:val="single" w:sz="4" w:space="1" w:color="auto"/>
          <w:left w:val="single" w:sz="4" w:space="1" w:color="auto"/>
          <w:bottom w:val="single" w:sz="4" w:space="1" w:color="auto"/>
          <w:right w:val="single" w:sz="4" w:space="1" w:color="auto"/>
        </w:pBdr>
        <w:ind w:left="567" w:right="571"/>
        <w:jc w:val="center"/>
        <w:rPr>
          <w:rFonts w:cs="Arial"/>
          <w:b/>
          <w:lang w:val="es-ES_tradnl"/>
        </w:rPr>
      </w:pPr>
    </w:p>
    <w:p w:rsidR="004059A3" w:rsidRPr="00A05473" w:rsidRDefault="004059A3" w:rsidP="004059A3">
      <w:pPr>
        <w:keepNext/>
        <w:keepLines/>
        <w:pBdr>
          <w:top w:val="single" w:sz="4" w:space="1" w:color="auto"/>
          <w:left w:val="single" w:sz="4" w:space="1" w:color="auto"/>
          <w:bottom w:val="single" w:sz="4" w:space="1" w:color="auto"/>
          <w:right w:val="single" w:sz="4" w:space="1" w:color="auto"/>
        </w:pBdr>
        <w:ind w:left="567" w:right="571"/>
        <w:jc w:val="center"/>
        <w:rPr>
          <w:rFonts w:cs="Arial"/>
          <w:b/>
          <w:lang w:val="es-ES_tradnl"/>
        </w:rPr>
      </w:pPr>
      <w:r w:rsidRPr="00A05473">
        <w:rPr>
          <w:rFonts w:cs="Arial"/>
          <w:b/>
          <w:lang w:val="es-ES_tradnl"/>
        </w:rPr>
        <w:t>Acta de 1991</w:t>
      </w:r>
      <w:r w:rsidRPr="00A05473">
        <w:rPr>
          <w:rFonts w:cs="Arial"/>
          <w:lang w:val="es-ES_tradnl"/>
        </w:rPr>
        <w:t xml:space="preserve"> del Convenio de la </w:t>
      </w:r>
      <w:r w:rsidRPr="00A05473">
        <w:rPr>
          <w:rFonts w:cs="Arial"/>
          <w:snapToGrid w:val="0"/>
          <w:lang w:val="es-ES_tradnl"/>
        </w:rPr>
        <w:t>UP</w:t>
      </w:r>
      <w:r w:rsidRPr="00A05473">
        <w:rPr>
          <w:rFonts w:cs="Arial"/>
          <w:lang w:val="es-ES_tradnl"/>
        </w:rPr>
        <w:t>OV</w:t>
      </w:r>
    </w:p>
    <w:p w:rsidR="004059A3" w:rsidRPr="00A05473" w:rsidRDefault="004059A3" w:rsidP="004059A3">
      <w:pPr>
        <w:keepNext/>
        <w:keepLines/>
        <w:pBdr>
          <w:top w:val="single" w:sz="4" w:space="1" w:color="auto"/>
          <w:left w:val="single" w:sz="4" w:space="1" w:color="auto"/>
          <w:bottom w:val="single" w:sz="4" w:space="1" w:color="auto"/>
          <w:right w:val="single" w:sz="4" w:space="1" w:color="auto"/>
        </w:pBdr>
        <w:ind w:left="567" w:right="571"/>
        <w:jc w:val="center"/>
        <w:rPr>
          <w:rFonts w:cs="Arial"/>
          <w:b/>
          <w:lang w:val="es-ES_tradnl"/>
        </w:rPr>
      </w:pPr>
    </w:p>
    <w:p w:rsidR="004059A3" w:rsidRPr="00A05473" w:rsidRDefault="004059A3" w:rsidP="004059A3">
      <w:pPr>
        <w:keepNext/>
        <w:keepLines/>
        <w:pBdr>
          <w:top w:val="single" w:sz="4" w:space="1" w:color="auto"/>
          <w:left w:val="single" w:sz="4" w:space="1" w:color="auto"/>
          <w:bottom w:val="single" w:sz="4" w:space="1" w:color="auto"/>
          <w:right w:val="single" w:sz="4" w:space="1" w:color="auto"/>
        </w:pBdr>
        <w:ind w:left="567" w:right="571"/>
        <w:jc w:val="center"/>
        <w:rPr>
          <w:rFonts w:cs="Arial"/>
          <w:b/>
          <w:lang w:val="es-ES"/>
        </w:rPr>
      </w:pPr>
      <w:r w:rsidRPr="00A05473">
        <w:rPr>
          <w:rFonts w:cs="Arial"/>
          <w:b/>
          <w:lang w:val="es-ES"/>
        </w:rPr>
        <w:t>Artículo 22</w:t>
      </w:r>
    </w:p>
    <w:p w:rsidR="004059A3" w:rsidRPr="00A05473" w:rsidRDefault="004059A3" w:rsidP="004059A3">
      <w:pPr>
        <w:keepNext/>
        <w:keepLines/>
        <w:pBdr>
          <w:top w:val="single" w:sz="4" w:space="1" w:color="auto"/>
          <w:left w:val="single" w:sz="4" w:space="1" w:color="auto"/>
          <w:bottom w:val="single" w:sz="4" w:space="1" w:color="auto"/>
          <w:right w:val="single" w:sz="4" w:space="1" w:color="auto"/>
        </w:pBdr>
        <w:ind w:left="567" w:right="571"/>
        <w:jc w:val="center"/>
        <w:rPr>
          <w:rFonts w:cs="Arial"/>
          <w:b/>
          <w:lang w:val="es-ES_tradnl"/>
        </w:rPr>
      </w:pPr>
    </w:p>
    <w:p w:rsidR="004059A3" w:rsidRPr="00A05473" w:rsidRDefault="00C66BF4" w:rsidP="004059A3">
      <w:pPr>
        <w:keepNext/>
        <w:keepLines/>
        <w:pBdr>
          <w:top w:val="single" w:sz="4" w:space="1" w:color="auto"/>
          <w:left w:val="single" w:sz="4" w:space="1" w:color="auto"/>
          <w:bottom w:val="single" w:sz="4" w:space="1" w:color="auto"/>
          <w:right w:val="single" w:sz="4" w:space="1" w:color="auto"/>
        </w:pBdr>
        <w:ind w:left="567" w:right="571"/>
        <w:jc w:val="center"/>
        <w:rPr>
          <w:rFonts w:cs="Arial"/>
          <w:b/>
          <w:lang w:val="es-ES"/>
        </w:rPr>
      </w:pPr>
      <w:r w:rsidRPr="00A05473">
        <w:rPr>
          <w:rFonts w:cs="Arial"/>
          <w:b/>
          <w:lang w:val="es-ES"/>
        </w:rPr>
        <w:t>Caducidad del derecho de obtentor</w:t>
      </w:r>
    </w:p>
    <w:p w:rsidR="004059A3" w:rsidRPr="00A05473" w:rsidRDefault="004059A3" w:rsidP="004059A3">
      <w:pPr>
        <w:keepNext/>
        <w:keepLines/>
        <w:pBdr>
          <w:top w:val="single" w:sz="4" w:space="1" w:color="auto"/>
          <w:left w:val="single" w:sz="4" w:space="1" w:color="auto"/>
          <w:bottom w:val="single" w:sz="4" w:space="1" w:color="auto"/>
          <w:right w:val="single" w:sz="4" w:space="1" w:color="auto"/>
        </w:pBdr>
        <w:ind w:left="567" w:right="571"/>
        <w:jc w:val="center"/>
        <w:rPr>
          <w:rFonts w:cs="Arial"/>
          <w:b/>
          <w:lang w:val="es-ES_tradnl"/>
        </w:rPr>
      </w:pPr>
    </w:p>
    <w:p w:rsidR="004059A3" w:rsidRPr="00A05473" w:rsidRDefault="004059A3" w:rsidP="004059A3">
      <w:pPr>
        <w:keepNext/>
        <w:keepLines/>
        <w:pBdr>
          <w:top w:val="single" w:sz="4" w:space="1" w:color="auto"/>
          <w:left w:val="single" w:sz="4" w:space="1" w:color="auto"/>
          <w:bottom w:val="single" w:sz="4" w:space="1" w:color="auto"/>
          <w:right w:val="single" w:sz="4" w:space="1" w:color="auto"/>
        </w:pBdr>
        <w:ind w:left="567" w:right="571"/>
        <w:jc w:val="left"/>
        <w:rPr>
          <w:rFonts w:cs="Arial"/>
          <w:lang w:val="es-ES_tradnl"/>
        </w:rPr>
      </w:pPr>
      <w:r w:rsidRPr="00A05473">
        <w:rPr>
          <w:rFonts w:cs="Arial"/>
          <w:lang w:val="es-ES_tradnl"/>
        </w:rPr>
        <w:tab/>
        <w:t>1)</w:t>
      </w:r>
      <w:r w:rsidRPr="00A05473">
        <w:rPr>
          <w:rFonts w:cs="Arial"/>
          <w:lang w:val="es-ES_tradnl"/>
        </w:rPr>
        <w:tab/>
        <w:t>[</w:t>
      </w:r>
      <w:r w:rsidR="00C66BF4" w:rsidRPr="00A05473">
        <w:rPr>
          <w:rFonts w:cs="Arial"/>
          <w:i/>
          <w:lang w:val="es-ES_tradnl"/>
        </w:rPr>
        <w:t>Causas de caducidad</w:t>
      </w:r>
      <w:r w:rsidRPr="00A05473">
        <w:rPr>
          <w:rFonts w:cs="Arial"/>
          <w:lang w:val="es-ES_tradnl"/>
        </w:rPr>
        <w:t xml:space="preserve">]  </w:t>
      </w:r>
      <w:r w:rsidRPr="00A05473">
        <w:rPr>
          <w:rFonts w:cs="Arial"/>
          <w:i/>
          <w:lang w:val="es-ES_tradnl"/>
        </w:rPr>
        <w:t>a)</w:t>
      </w:r>
      <w:r w:rsidRPr="00A05473">
        <w:rPr>
          <w:rFonts w:cs="Arial"/>
          <w:lang w:val="es-ES_tradnl"/>
        </w:rPr>
        <w:t>  Cada Parte Contratante podrá declarar la caducidad del derecho de obtentor que hubiera concedido, si se comprueba que ya no se cumplen efectivamente las condiciones fijadas en los Artículos</w:t>
      </w:r>
      <w:r w:rsidR="00C66BF4" w:rsidRPr="00A05473">
        <w:rPr>
          <w:rFonts w:cs="Arial"/>
          <w:lang w:val="es-ES_tradnl"/>
        </w:rPr>
        <w:t xml:space="preserve"> </w:t>
      </w:r>
      <w:r w:rsidRPr="00A05473">
        <w:rPr>
          <w:rFonts w:cs="Arial"/>
          <w:lang w:val="es-ES_tradnl"/>
        </w:rPr>
        <w:t>8 y</w:t>
      </w:r>
      <w:r w:rsidR="00C66BF4" w:rsidRPr="00A05473">
        <w:rPr>
          <w:rFonts w:cs="Arial"/>
          <w:lang w:val="es-ES_tradnl"/>
        </w:rPr>
        <w:t xml:space="preserve"> </w:t>
      </w:r>
      <w:r w:rsidRPr="00A05473">
        <w:rPr>
          <w:rFonts w:cs="Arial"/>
          <w:lang w:val="es-ES_tradnl"/>
        </w:rPr>
        <w:t>9</w:t>
      </w:r>
      <w:r w:rsidR="00C66BF4" w:rsidRPr="00A05473">
        <w:rPr>
          <w:rFonts w:cs="Arial"/>
          <w:lang w:val="es-ES_tradnl"/>
        </w:rPr>
        <w:t>.</w:t>
      </w:r>
      <w:r w:rsidRPr="00A05473">
        <w:rPr>
          <w:rFonts w:cs="Arial"/>
          <w:lang w:val="es-ES_tradnl"/>
        </w:rPr>
        <w:br/>
      </w:r>
      <w:r w:rsidRPr="00A05473">
        <w:rPr>
          <w:rFonts w:cs="Arial"/>
          <w:lang w:val="es-ES_tradnl"/>
        </w:rPr>
        <w:br/>
      </w:r>
      <w:r w:rsidRPr="00A05473">
        <w:rPr>
          <w:rFonts w:cs="Arial"/>
          <w:i/>
          <w:lang w:val="es-ES_tradnl"/>
        </w:rPr>
        <w:t>b)</w:t>
      </w:r>
      <w:r w:rsidRPr="00A05473">
        <w:rPr>
          <w:rFonts w:cs="Arial"/>
          <w:lang w:val="es-ES_tradnl"/>
        </w:rPr>
        <w:t> Además, cada Parte Contratante podrá declarar la caducidad de un derecho de obtentor que hubiera concedido si, dentro de un plazo establecido y después de haber sido requerido al efecto,</w:t>
      </w:r>
      <w:r w:rsidRPr="00A05473">
        <w:rPr>
          <w:rFonts w:cs="Arial"/>
          <w:lang w:val="es-ES_tradnl"/>
        </w:rPr>
        <w:br/>
      </w:r>
    </w:p>
    <w:p w:rsidR="004059A3" w:rsidRPr="00A05473" w:rsidRDefault="004059A3" w:rsidP="004059A3">
      <w:pPr>
        <w:keepNext/>
        <w:keepLines/>
        <w:pBdr>
          <w:top w:val="single" w:sz="4" w:space="1" w:color="auto"/>
          <w:left w:val="single" w:sz="4" w:space="1" w:color="auto"/>
          <w:bottom w:val="single" w:sz="4" w:space="1" w:color="auto"/>
          <w:right w:val="single" w:sz="4" w:space="1" w:color="auto"/>
        </w:pBdr>
        <w:ind w:left="567" w:right="571"/>
        <w:jc w:val="left"/>
        <w:rPr>
          <w:rFonts w:cs="Arial"/>
          <w:lang w:val="es-ES_tradnl"/>
        </w:rPr>
      </w:pPr>
      <w:r w:rsidRPr="00A05473">
        <w:rPr>
          <w:rFonts w:cs="Arial"/>
          <w:lang w:val="es-ES"/>
        </w:rPr>
        <w:tab/>
        <w:t>i)</w:t>
      </w:r>
      <w:r w:rsidRPr="00A05473">
        <w:rPr>
          <w:rFonts w:cs="Arial"/>
          <w:lang w:val="es-ES"/>
        </w:rPr>
        <w:tab/>
      </w:r>
      <w:proofErr w:type="gramStart"/>
      <w:r w:rsidR="00C66BF4" w:rsidRPr="00A05473">
        <w:rPr>
          <w:rFonts w:cs="Arial"/>
          <w:lang w:val="es-ES"/>
        </w:rPr>
        <w:t>el</w:t>
      </w:r>
      <w:proofErr w:type="gramEnd"/>
      <w:r w:rsidR="00C66BF4" w:rsidRPr="00A05473">
        <w:rPr>
          <w:rFonts w:cs="Arial"/>
          <w:lang w:val="es-ES"/>
        </w:rPr>
        <w:t xml:space="preserve"> obtentor no presenta a la autoridad las informaciones, documentos o material considerados necesarios para controlar </w:t>
      </w:r>
      <w:r w:rsidR="00C66BF4" w:rsidRPr="00E6018E">
        <w:rPr>
          <w:rFonts w:cs="Arial"/>
          <w:lang w:val="es-ES"/>
        </w:rPr>
        <w:t>el mantenimiento de la varied</w:t>
      </w:r>
      <w:r w:rsidR="00C66BF4" w:rsidRPr="00A05473">
        <w:rPr>
          <w:rFonts w:cs="Arial"/>
          <w:lang w:val="es-ES"/>
        </w:rPr>
        <w:t>ad</w:t>
      </w:r>
      <w:r w:rsidRPr="00A05473">
        <w:rPr>
          <w:rFonts w:cs="Arial"/>
          <w:lang w:val="es-ES"/>
        </w:rPr>
        <w:t>,</w:t>
      </w:r>
      <w:r w:rsidRPr="00A05473">
        <w:rPr>
          <w:rFonts w:cs="Arial"/>
          <w:lang w:val="es-ES"/>
        </w:rPr>
        <w:br/>
      </w:r>
      <w:r w:rsidRPr="00A05473">
        <w:rPr>
          <w:rFonts w:cs="Arial"/>
          <w:lang w:val="es-ES"/>
        </w:rPr>
        <w:br/>
      </w:r>
      <w:r w:rsidRPr="00A05473">
        <w:rPr>
          <w:rFonts w:cs="Arial"/>
          <w:lang w:val="es-ES"/>
        </w:rPr>
        <w:tab/>
        <w:t>ii)</w:t>
      </w:r>
      <w:r w:rsidRPr="00A05473">
        <w:rPr>
          <w:rFonts w:cs="Arial"/>
          <w:lang w:val="es-ES"/>
        </w:rPr>
        <w:tab/>
      </w:r>
      <w:r w:rsidR="00C66BF4" w:rsidRPr="00A05473">
        <w:rPr>
          <w:rFonts w:cs="Arial"/>
          <w:lang w:val="es-ES"/>
        </w:rPr>
        <w:t>el obtentor no ha pagado las tasas adeudadas, en su caso, para el mantenimiento en vigor de su derecho, o</w:t>
      </w:r>
      <w:r w:rsidRPr="00A05473">
        <w:rPr>
          <w:rFonts w:cs="Arial"/>
          <w:lang w:val="es-ES"/>
        </w:rPr>
        <w:br/>
      </w:r>
      <w:r w:rsidRPr="00A05473">
        <w:rPr>
          <w:rFonts w:cs="Arial"/>
          <w:lang w:val="es-ES"/>
        </w:rPr>
        <w:br/>
      </w:r>
      <w:r w:rsidRPr="00A05473">
        <w:rPr>
          <w:rFonts w:cs="Arial"/>
          <w:lang w:val="es-ES"/>
        </w:rPr>
        <w:tab/>
        <w:t>iii)</w:t>
      </w:r>
      <w:r w:rsidRPr="00A05473">
        <w:rPr>
          <w:rFonts w:cs="Arial"/>
          <w:lang w:val="es-ES"/>
        </w:rPr>
        <w:tab/>
      </w:r>
      <w:r w:rsidR="00C66BF4" w:rsidRPr="00A05473">
        <w:rPr>
          <w:rFonts w:cs="Arial"/>
          <w:lang w:val="es-ES"/>
        </w:rPr>
        <w:t>el obtentor no propone otra denominación adecuada, en caso de cancelación de la denominación de la variedad después de la concesión del derecho</w:t>
      </w:r>
      <w:r w:rsidRPr="00A05473">
        <w:rPr>
          <w:rFonts w:cs="Arial"/>
          <w:lang w:val="es-ES"/>
        </w:rPr>
        <w:t>.</w:t>
      </w:r>
      <w:r w:rsidRPr="00A05473">
        <w:rPr>
          <w:rFonts w:cs="Arial"/>
          <w:lang w:val="es-ES"/>
        </w:rPr>
        <w:br/>
      </w:r>
      <w:r w:rsidRPr="00A05473">
        <w:rPr>
          <w:rFonts w:cs="Arial"/>
          <w:lang w:val="es-ES"/>
        </w:rPr>
        <w:br/>
      </w:r>
      <w:r w:rsidRPr="00A05473">
        <w:rPr>
          <w:rFonts w:cs="Arial"/>
          <w:lang w:val="es-ES"/>
        </w:rPr>
        <w:tab/>
        <w:t>2)</w:t>
      </w:r>
      <w:r w:rsidRPr="00A05473">
        <w:rPr>
          <w:rFonts w:cs="Arial"/>
          <w:lang w:val="es-ES"/>
        </w:rPr>
        <w:tab/>
        <w:t>[</w:t>
      </w:r>
      <w:r w:rsidRPr="00A05473">
        <w:rPr>
          <w:rFonts w:cs="Arial"/>
          <w:i/>
          <w:lang w:val="es-ES"/>
        </w:rPr>
        <w:t>Exclusi</w:t>
      </w:r>
      <w:r w:rsidR="00C66BF4" w:rsidRPr="00A05473">
        <w:rPr>
          <w:rFonts w:cs="Arial"/>
          <w:i/>
          <w:lang w:val="es-ES"/>
        </w:rPr>
        <w:t>ó</w:t>
      </w:r>
      <w:r w:rsidRPr="00A05473">
        <w:rPr>
          <w:rFonts w:cs="Arial"/>
          <w:i/>
          <w:lang w:val="es-ES"/>
        </w:rPr>
        <w:t xml:space="preserve">n </w:t>
      </w:r>
      <w:r w:rsidR="00C66BF4" w:rsidRPr="00A05473">
        <w:rPr>
          <w:rFonts w:cs="Arial"/>
          <w:i/>
          <w:lang w:val="es-ES"/>
        </w:rPr>
        <w:t>de cualquier otra causa</w:t>
      </w:r>
      <w:r w:rsidRPr="00A05473">
        <w:rPr>
          <w:rFonts w:cs="Arial"/>
          <w:lang w:val="es-ES"/>
        </w:rPr>
        <w:t xml:space="preserve">] </w:t>
      </w:r>
      <w:r w:rsidR="00C66BF4" w:rsidRPr="00A05473">
        <w:rPr>
          <w:rFonts w:cs="Arial"/>
          <w:lang w:val="es-ES"/>
        </w:rPr>
        <w:t>No podrá declararse la caducidad de un derecho de obtentor por causas distintas de las mencionadas en el párrafo 1</w:t>
      </w:r>
      <w:r w:rsidRPr="00A05473">
        <w:rPr>
          <w:rFonts w:cs="Arial"/>
          <w:lang w:val="es-ES_tradnl"/>
        </w:rPr>
        <w:t>).</w:t>
      </w:r>
      <w:r w:rsidRPr="00A05473">
        <w:rPr>
          <w:rFonts w:cs="Arial"/>
          <w:lang w:val="es-ES_tradnl"/>
        </w:rPr>
        <w:br/>
      </w:r>
    </w:p>
    <w:p w:rsidR="004059A3" w:rsidRPr="00A05473" w:rsidRDefault="004059A3" w:rsidP="004059A3">
      <w:pPr>
        <w:rPr>
          <w:caps/>
          <w:lang w:val="es-ES_tradnl"/>
        </w:rPr>
      </w:pPr>
    </w:p>
    <w:p w:rsidR="004059A3" w:rsidRPr="00A05473" w:rsidRDefault="009B2118" w:rsidP="004059A3">
      <w:pPr>
        <w:rPr>
          <w:rFonts w:cs="Arial"/>
          <w:lang w:val="es-ES_tradnl"/>
        </w:rPr>
      </w:pPr>
      <w:r w:rsidRPr="00A05473">
        <w:rPr>
          <w:rFonts w:cs="Arial"/>
        </w:rPr>
        <w:fldChar w:fldCharType="begin"/>
      </w:r>
      <w:r w:rsidR="004059A3" w:rsidRPr="00A05473">
        <w:rPr>
          <w:rFonts w:cs="Arial"/>
          <w:lang w:val="es-ES_tradnl"/>
        </w:rPr>
        <w:instrText xml:space="preserve"> AUTONUM  </w:instrText>
      </w:r>
      <w:r w:rsidRPr="00A05473">
        <w:rPr>
          <w:rFonts w:cs="Arial"/>
        </w:rPr>
        <w:fldChar w:fldCharType="end"/>
      </w:r>
      <w:r w:rsidR="004059A3" w:rsidRPr="00A05473">
        <w:rPr>
          <w:rFonts w:cs="Arial"/>
          <w:lang w:val="es-ES_tradnl"/>
        </w:rPr>
        <w:tab/>
      </w:r>
      <w:r w:rsidR="00A10D4F" w:rsidRPr="00A05473">
        <w:rPr>
          <w:rFonts w:cs="Arial"/>
          <w:lang w:val="es-ES_tradnl"/>
        </w:rPr>
        <w:t xml:space="preserve">En su sexagésima novena sesión, celebrada en Ginebra el 10 de abril de 2014, de conformidad con la propuesta del CAJ-AG, el CAJ convino en </w:t>
      </w:r>
      <w:r w:rsidR="00B85A8A" w:rsidRPr="00A05473">
        <w:rPr>
          <w:rFonts w:cs="Arial"/>
          <w:lang w:val="es-ES_tradnl"/>
        </w:rPr>
        <w:t>elaborar orientaci</w:t>
      </w:r>
      <w:r w:rsidR="00CB7E9A" w:rsidRPr="00A05473">
        <w:rPr>
          <w:rFonts w:cs="Arial"/>
          <w:lang w:val="es-ES_tradnl"/>
        </w:rPr>
        <w:t>ones</w:t>
      </w:r>
      <w:r w:rsidR="00B85A8A" w:rsidRPr="00A05473">
        <w:rPr>
          <w:rFonts w:cs="Arial"/>
          <w:lang w:val="es-ES_tradnl"/>
        </w:rPr>
        <w:t xml:space="preserve"> sobre los siguientes asuntos relativos a la</w:t>
      </w:r>
      <w:r w:rsidR="007B72B3" w:rsidRPr="00A05473">
        <w:rPr>
          <w:rFonts w:cs="Arial"/>
          <w:lang w:val="es-ES_tradnl"/>
        </w:rPr>
        <w:t xml:space="preserve"> caducidad de</w:t>
      </w:r>
      <w:r w:rsidR="00CB7E9A" w:rsidRPr="00A05473">
        <w:rPr>
          <w:rFonts w:cs="Arial"/>
          <w:lang w:val="es-ES_tradnl"/>
        </w:rPr>
        <w:t xml:space="preserve"> </w:t>
      </w:r>
      <w:r w:rsidR="007B72B3" w:rsidRPr="00A05473">
        <w:rPr>
          <w:rFonts w:cs="Arial"/>
          <w:lang w:val="es-ES_tradnl"/>
        </w:rPr>
        <w:t>l</w:t>
      </w:r>
      <w:r w:rsidR="00CB7E9A" w:rsidRPr="00A05473">
        <w:rPr>
          <w:rFonts w:cs="Arial"/>
          <w:lang w:val="es-ES_tradnl"/>
        </w:rPr>
        <w:t>os</w:t>
      </w:r>
      <w:r w:rsidR="007B72B3" w:rsidRPr="00A05473">
        <w:rPr>
          <w:rFonts w:cs="Arial"/>
          <w:lang w:val="es-ES_tradnl"/>
        </w:rPr>
        <w:t xml:space="preserve"> derecho</w:t>
      </w:r>
      <w:r w:rsidR="00CB7E9A" w:rsidRPr="00A05473">
        <w:rPr>
          <w:rFonts w:cs="Arial"/>
          <w:lang w:val="es-ES_tradnl"/>
        </w:rPr>
        <w:t>s</w:t>
      </w:r>
      <w:r w:rsidR="007B72B3" w:rsidRPr="00A05473">
        <w:rPr>
          <w:rFonts w:cs="Arial"/>
          <w:lang w:val="es-ES_tradnl"/>
        </w:rPr>
        <w:t xml:space="preserve"> de obtentor</w:t>
      </w:r>
      <w:r w:rsidR="00A10D4F" w:rsidRPr="00A05473">
        <w:rPr>
          <w:rFonts w:cs="Arial"/>
          <w:lang w:val="es-ES_tradnl"/>
        </w:rPr>
        <w:t xml:space="preserve">, e invitó al Comité Técnico (TC) a </w:t>
      </w:r>
      <w:r w:rsidR="00B85A8A" w:rsidRPr="00A05473">
        <w:rPr>
          <w:rFonts w:cs="Arial"/>
          <w:lang w:val="es-ES_tradnl"/>
        </w:rPr>
        <w:t>examinarlas en primera instancia</w:t>
      </w:r>
      <w:r w:rsidR="00A10D4F" w:rsidRPr="00A05473">
        <w:rPr>
          <w:rFonts w:cs="Arial"/>
          <w:lang w:val="es-ES_tradnl"/>
        </w:rPr>
        <w:t xml:space="preserve"> </w:t>
      </w:r>
      <w:r w:rsidR="00A10D4F" w:rsidRPr="00A05473">
        <w:rPr>
          <w:lang w:val="es-ES_tradnl"/>
        </w:rPr>
        <w:t>(</w:t>
      </w:r>
      <w:r w:rsidR="00B85A8A" w:rsidRPr="00A05473">
        <w:rPr>
          <w:lang w:val="es-ES_tradnl"/>
        </w:rPr>
        <w:t>véa</w:t>
      </w:r>
      <w:r w:rsidR="00CB7E9A" w:rsidRPr="00A05473">
        <w:rPr>
          <w:lang w:val="es-ES_tradnl"/>
        </w:rPr>
        <w:t>n</w:t>
      </w:r>
      <w:r w:rsidR="00B85A8A" w:rsidRPr="00A05473">
        <w:rPr>
          <w:lang w:val="es-ES_tradnl"/>
        </w:rPr>
        <w:t xml:space="preserve">se el párrafo 73 del </w:t>
      </w:r>
      <w:r w:rsidR="00A10D4F" w:rsidRPr="00A05473">
        <w:rPr>
          <w:lang w:val="es-ES_tradnl"/>
        </w:rPr>
        <w:t>document</w:t>
      </w:r>
      <w:r w:rsidR="00B85A8A" w:rsidRPr="00A05473">
        <w:rPr>
          <w:lang w:val="es-ES_tradnl"/>
        </w:rPr>
        <w:t>o</w:t>
      </w:r>
      <w:r w:rsidR="00A10D4F" w:rsidRPr="00A05473">
        <w:rPr>
          <w:lang w:val="es-ES_tradnl"/>
        </w:rPr>
        <w:t> CAJ-AG/13/8/10 “</w:t>
      </w:r>
      <w:r w:rsidR="00B85A8A" w:rsidRPr="00A05473">
        <w:rPr>
          <w:lang w:val="es-ES_tradnl"/>
        </w:rPr>
        <w:t>Informe</w:t>
      </w:r>
      <w:r w:rsidR="00A10D4F" w:rsidRPr="00A05473">
        <w:rPr>
          <w:lang w:val="es-ES_tradnl"/>
        </w:rPr>
        <w:t xml:space="preserve">” </w:t>
      </w:r>
      <w:r w:rsidR="00B85A8A" w:rsidRPr="00A05473">
        <w:rPr>
          <w:lang w:val="es-ES_tradnl"/>
        </w:rPr>
        <w:t>y el párrafo 19 del documento </w:t>
      </w:r>
      <w:r w:rsidR="00A10D4F" w:rsidRPr="00A05473">
        <w:rPr>
          <w:lang w:val="es-ES_tradnl"/>
        </w:rPr>
        <w:t>CAJ/69/13 “</w:t>
      </w:r>
      <w:r w:rsidR="00B85A8A" w:rsidRPr="00A05473">
        <w:rPr>
          <w:lang w:val="es-ES_tradnl"/>
        </w:rPr>
        <w:t>Informe</w:t>
      </w:r>
      <w:r w:rsidR="00A10D4F" w:rsidRPr="00A05473">
        <w:rPr>
          <w:lang w:val="es-ES_tradnl"/>
        </w:rPr>
        <w:t>”)</w:t>
      </w:r>
      <w:r w:rsidR="00A10D4F" w:rsidRPr="00A05473">
        <w:rPr>
          <w:rFonts w:cs="Arial"/>
          <w:lang w:val="es-ES_tradnl"/>
        </w:rPr>
        <w:t>:</w:t>
      </w:r>
    </w:p>
    <w:p w:rsidR="004059A3" w:rsidRPr="00A05473" w:rsidRDefault="004059A3" w:rsidP="004059A3">
      <w:pPr>
        <w:tabs>
          <w:tab w:val="left" w:pos="810"/>
        </w:tabs>
        <w:rPr>
          <w:rFonts w:cs="Arial"/>
          <w:lang w:val="es-ES_tradnl"/>
        </w:rPr>
      </w:pPr>
      <w:r w:rsidRPr="00A05473">
        <w:rPr>
          <w:rFonts w:cs="Arial"/>
          <w:lang w:val="es-ES_tradnl"/>
        </w:rPr>
        <w:tab/>
      </w:r>
    </w:p>
    <w:p w:rsidR="004059A3" w:rsidRPr="00A05473" w:rsidRDefault="004059A3" w:rsidP="004059A3">
      <w:pPr>
        <w:rPr>
          <w:rFonts w:cs="Arial"/>
          <w:lang w:val="es-ES_tradnl"/>
        </w:rPr>
      </w:pPr>
      <w:r w:rsidRPr="00A05473">
        <w:rPr>
          <w:rFonts w:cs="Arial"/>
          <w:lang w:val="es-ES_tradnl"/>
        </w:rPr>
        <w:tab/>
        <w:t>a)</w:t>
      </w:r>
      <w:r w:rsidRPr="00A05473">
        <w:rPr>
          <w:rFonts w:cs="Arial"/>
          <w:lang w:val="es-ES_tradnl"/>
        </w:rPr>
        <w:tab/>
      </w:r>
      <w:r w:rsidR="007B72B3" w:rsidRPr="00A05473">
        <w:rPr>
          <w:rFonts w:cs="Arial"/>
          <w:lang w:val="es-ES_tradnl"/>
        </w:rPr>
        <w:t>el uso de informaciones, documentos o material proporcionados por el obtentor para controlar el mantenimiento de la variedad, conforme al párrafo 15 del documento CAJ-AG/13/8/4 “</w:t>
      </w:r>
      <w:r w:rsidR="007B72B3" w:rsidRPr="00A05473">
        <w:rPr>
          <w:rFonts w:cs="Arial"/>
          <w:i/>
          <w:lang w:val="es-ES_tradnl"/>
        </w:rPr>
        <w:t>Matters concerning cancellation of the breeder's right</w:t>
      </w:r>
      <w:r w:rsidR="007B72B3" w:rsidRPr="00A05473">
        <w:rPr>
          <w:rFonts w:cs="Arial"/>
          <w:lang w:val="es-ES_tradnl"/>
        </w:rPr>
        <w:t>” (Asuntos relativos a la caducidad del derecho de obtentor), transcrito a continuación, indicando que las informaciones, los documentos o el material pueden conservarse en otro país;</w:t>
      </w:r>
    </w:p>
    <w:p w:rsidR="004059A3" w:rsidRPr="00A05473" w:rsidRDefault="004059A3" w:rsidP="004059A3">
      <w:pPr>
        <w:rPr>
          <w:rFonts w:cs="Arial"/>
          <w:lang w:val="es-ES_tradnl"/>
        </w:rPr>
      </w:pPr>
    </w:p>
    <w:p w:rsidR="004059A3" w:rsidRPr="00A05473" w:rsidRDefault="004059A3" w:rsidP="004059A3">
      <w:pPr>
        <w:ind w:left="567" w:right="567"/>
        <w:rPr>
          <w:sz w:val="18"/>
          <w:lang w:val="es-ES_tradnl"/>
        </w:rPr>
      </w:pPr>
      <w:r w:rsidRPr="00A05473">
        <w:rPr>
          <w:sz w:val="18"/>
          <w:lang w:val="es-ES_tradnl"/>
        </w:rPr>
        <w:t>“15.</w:t>
      </w:r>
      <w:r w:rsidRPr="00A05473">
        <w:rPr>
          <w:sz w:val="18"/>
          <w:lang w:val="es-ES_tradnl"/>
        </w:rPr>
        <w:tab/>
      </w:r>
      <w:r w:rsidR="0081778B" w:rsidRPr="00A05473">
        <w:rPr>
          <w:sz w:val="18"/>
          <w:lang w:val="es-ES_tradnl"/>
        </w:rPr>
        <w:t xml:space="preserve">En los </w:t>
      </w:r>
      <w:r w:rsidR="00D87187" w:rsidRPr="00A05473">
        <w:rPr>
          <w:sz w:val="18"/>
          <w:lang w:val="es-ES_tradnl"/>
        </w:rPr>
        <w:t>A</w:t>
      </w:r>
      <w:r w:rsidR="007B72B3" w:rsidRPr="00A05473">
        <w:rPr>
          <w:sz w:val="18"/>
          <w:lang w:val="es-ES_tradnl"/>
        </w:rPr>
        <w:t>nex</w:t>
      </w:r>
      <w:r w:rsidR="0081778B" w:rsidRPr="00A05473">
        <w:rPr>
          <w:sz w:val="18"/>
          <w:lang w:val="es-ES_tradnl"/>
        </w:rPr>
        <w:t>o</w:t>
      </w:r>
      <w:r w:rsidR="007B72B3" w:rsidRPr="00A05473">
        <w:rPr>
          <w:sz w:val="18"/>
          <w:lang w:val="es-ES_tradnl"/>
        </w:rPr>
        <w:t>s</w:t>
      </w:r>
      <w:r w:rsidR="0081778B" w:rsidRPr="00A05473">
        <w:rPr>
          <w:sz w:val="18"/>
          <w:lang w:val="es-ES_tradnl"/>
        </w:rPr>
        <w:t> </w:t>
      </w:r>
      <w:r w:rsidR="007B72B3" w:rsidRPr="00A05473">
        <w:rPr>
          <w:sz w:val="18"/>
          <w:lang w:val="es-ES_tradnl"/>
        </w:rPr>
        <w:t xml:space="preserve">I, II </w:t>
      </w:r>
      <w:r w:rsidR="0081778B" w:rsidRPr="00A05473">
        <w:rPr>
          <w:sz w:val="18"/>
          <w:lang w:val="es-ES_tradnl"/>
        </w:rPr>
        <w:t>y </w:t>
      </w:r>
      <w:r w:rsidR="007B72B3" w:rsidRPr="00A05473">
        <w:rPr>
          <w:sz w:val="18"/>
          <w:lang w:val="es-ES_tradnl"/>
        </w:rPr>
        <w:t xml:space="preserve">III </w:t>
      </w:r>
      <w:r w:rsidR="0081778B" w:rsidRPr="00A05473">
        <w:rPr>
          <w:sz w:val="18"/>
          <w:lang w:val="es-ES_tradnl"/>
        </w:rPr>
        <w:t xml:space="preserve">del presente </w:t>
      </w:r>
      <w:r w:rsidR="007B72B3" w:rsidRPr="00A05473">
        <w:rPr>
          <w:sz w:val="18"/>
          <w:lang w:val="es-ES_tradnl"/>
        </w:rPr>
        <w:t>document</w:t>
      </w:r>
      <w:r w:rsidR="0081778B" w:rsidRPr="00A05473">
        <w:rPr>
          <w:sz w:val="18"/>
          <w:lang w:val="es-ES_tradnl"/>
        </w:rPr>
        <w:t>o</w:t>
      </w:r>
      <w:r w:rsidR="007B72B3" w:rsidRPr="00A05473">
        <w:rPr>
          <w:sz w:val="18"/>
          <w:lang w:val="es-ES_tradnl"/>
        </w:rPr>
        <w:t xml:space="preserve"> </w:t>
      </w:r>
      <w:r w:rsidR="00D87187" w:rsidRPr="00A05473">
        <w:rPr>
          <w:sz w:val="18"/>
          <w:lang w:val="es-ES_tradnl"/>
        </w:rPr>
        <w:t xml:space="preserve">se exponen </w:t>
      </w:r>
      <w:r w:rsidR="0081778B" w:rsidRPr="00A05473">
        <w:rPr>
          <w:sz w:val="18"/>
          <w:lang w:val="es-ES_tradnl"/>
        </w:rPr>
        <w:t xml:space="preserve">ejemplos de </w:t>
      </w:r>
      <w:r w:rsidR="007B72B3" w:rsidRPr="00A05473">
        <w:rPr>
          <w:sz w:val="18"/>
          <w:lang w:val="es-ES_tradnl"/>
        </w:rPr>
        <w:t>cas</w:t>
      </w:r>
      <w:r w:rsidR="0081778B" w:rsidRPr="00A05473">
        <w:rPr>
          <w:sz w:val="18"/>
          <w:lang w:val="es-ES_tradnl"/>
        </w:rPr>
        <w:t>o</w:t>
      </w:r>
      <w:r w:rsidR="007B72B3" w:rsidRPr="00A05473">
        <w:rPr>
          <w:sz w:val="18"/>
          <w:lang w:val="es-ES_tradnl"/>
        </w:rPr>
        <w:t xml:space="preserve">s </w:t>
      </w:r>
      <w:r w:rsidR="0081778B" w:rsidRPr="00A05473">
        <w:rPr>
          <w:sz w:val="18"/>
          <w:lang w:val="es-ES_tradnl"/>
        </w:rPr>
        <w:t>e</w:t>
      </w:r>
      <w:r w:rsidR="007B72B3" w:rsidRPr="00A05473">
        <w:rPr>
          <w:sz w:val="18"/>
          <w:lang w:val="es-ES_tradnl"/>
        </w:rPr>
        <w:t xml:space="preserve">n </w:t>
      </w:r>
      <w:r w:rsidR="0081778B" w:rsidRPr="00A05473">
        <w:rPr>
          <w:sz w:val="18"/>
          <w:lang w:val="es-ES_tradnl"/>
        </w:rPr>
        <w:t xml:space="preserve">los que </w:t>
      </w:r>
      <w:r w:rsidR="007B72B3" w:rsidRPr="00A05473">
        <w:rPr>
          <w:sz w:val="18"/>
          <w:lang w:val="es-ES_tradnl"/>
        </w:rPr>
        <w:t>miembros de la Unión ha</w:t>
      </w:r>
      <w:r w:rsidR="0081778B" w:rsidRPr="00A05473">
        <w:rPr>
          <w:sz w:val="18"/>
          <w:lang w:val="es-ES_tradnl"/>
        </w:rPr>
        <w:t xml:space="preserve">n </w:t>
      </w:r>
      <w:r w:rsidR="007B72B3" w:rsidRPr="00A05473">
        <w:rPr>
          <w:sz w:val="18"/>
          <w:lang w:val="es-ES_tradnl"/>
        </w:rPr>
        <w:t>consider</w:t>
      </w:r>
      <w:r w:rsidR="0081778B" w:rsidRPr="00A05473">
        <w:rPr>
          <w:sz w:val="18"/>
          <w:lang w:val="es-ES_tradnl"/>
        </w:rPr>
        <w:t>a</w:t>
      </w:r>
      <w:r w:rsidR="007B72B3" w:rsidRPr="00A05473">
        <w:rPr>
          <w:sz w:val="18"/>
          <w:lang w:val="es-ES_tradnl"/>
        </w:rPr>
        <w:t>d</w:t>
      </w:r>
      <w:r w:rsidR="0081778B" w:rsidRPr="00A05473">
        <w:rPr>
          <w:sz w:val="18"/>
          <w:lang w:val="es-ES_tradnl"/>
        </w:rPr>
        <w:t>o</w:t>
      </w:r>
      <w:r w:rsidR="007B72B3" w:rsidRPr="00A05473">
        <w:rPr>
          <w:sz w:val="18"/>
          <w:lang w:val="es-ES_tradnl"/>
        </w:rPr>
        <w:t xml:space="preserve"> </w:t>
      </w:r>
      <w:r w:rsidR="0081778B" w:rsidRPr="00A05473">
        <w:rPr>
          <w:sz w:val="18"/>
          <w:lang w:val="es-ES_tradnl"/>
        </w:rPr>
        <w:t xml:space="preserve">la </w:t>
      </w:r>
      <w:r w:rsidR="007B72B3" w:rsidRPr="00A05473">
        <w:rPr>
          <w:sz w:val="18"/>
          <w:lang w:val="es-ES_tradnl"/>
        </w:rPr>
        <w:t>ca</w:t>
      </w:r>
      <w:r w:rsidR="0081778B" w:rsidRPr="00A05473">
        <w:rPr>
          <w:sz w:val="18"/>
          <w:lang w:val="es-ES_tradnl"/>
        </w:rPr>
        <w:t xml:space="preserve">ducidad de un </w:t>
      </w:r>
      <w:r w:rsidR="007B72B3" w:rsidRPr="00A05473">
        <w:rPr>
          <w:sz w:val="18"/>
          <w:lang w:val="es-ES_tradnl"/>
        </w:rPr>
        <w:t xml:space="preserve">derecho de obtentor </w:t>
      </w:r>
      <w:r w:rsidR="00D87187" w:rsidRPr="00A05473">
        <w:rPr>
          <w:sz w:val="18"/>
          <w:lang w:val="es-ES_tradnl"/>
        </w:rPr>
        <w:t>basándose en</w:t>
      </w:r>
      <w:r w:rsidR="007B72B3" w:rsidRPr="00A05473">
        <w:rPr>
          <w:sz w:val="18"/>
          <w:lang w:val="es-ES_tradnl"/>
        </w:rPr>
        <w:t xml:space="preserve"> </w:t>
      </w:r>
      <w:r w:rsidR="0081778B" w:rsidRPr="00A05473">
        <w:rPr>
          <w:sz w:val="18"/>
          <w:lang w:val="es-ES_tradnl"/>
        </w:rPr>
        <w:t>información, documentos o material proporcionados por el obtentor para controlar el mantenimiento de la variedad</w:t>
      </w:r>
      <w:r w:rsidR="007B72B3" w:rsidRPr="00A05473">
        <w:rPr>
          <w:sz w:val="18"/>
          <w:lang w:val="es-ES_tradnl"/>
        </w:rPr>
        <w:t>.</w:t>
      </w:r>
      <w:r w:rsidRPr="00A05473">
        <w:rPr>
          <w:sz w:val="18"/>
          <w:lang w:val="es-ES_tradnl"/>
        </w:rPr>
        <w:t xml:space="preserve">  </w:t>
      </w:r>
      <w:r w:rsidR="0081778B" w:rsidRPr="00A05473">
        <w:rPr>
          <w:sz w:val="18"/>
          <w:lang w:val="es-ES_tradnl"/>
        </w:rPr>
        <w:t>A este respecto, se sugiere al CAJ­AG que considere la elaboración de orientación basada en los aspectos planteados por la Unión Europea en el Anexo IV del presente documento:</w:t>
      </w:r>
      <w:r w:rsidRPr="00A05473">
        <w:rPr>
          <w:sz w:val="18"/>
          <w:lang w:val="es-ES_tradnl"/>
        </w:rPr>
        <w:t xml:space="preserve"> </w:t>
      </w:r>
    </w:p>
    <w:p w:rsidR="004059A3" w:rsidRPr="00A05473" w:rsidRDefault="004059A3" w:rsidP="004059A3">
      <w:pPr>
        <w:ind w:left="567" w:right="567" w:firstLine="27"/>
        <w:rPr>
          <w:sz w:val="18"/>
          <w:lang w:val="es-ES_tradnl"/>
        </w:rPr>
      </w:pPr>
    </w:p>
    <w:p w:rsidR="004059A3" w:rsidRPr="00A05473" w:rsidRDefault="004059A3" w:rsidP="004059A3">
      <w:pPr>
        <w:ind w:left="851" w:right="1134" w:firstLine="27"/>
        <w:rPr>
          <w:sz w:val="16"/>
          <w:szCs w:val="18"/>
          <w:lang w:val="es-ES_tradnl"/>
        </w:rPr>
      </w:pPr>
      <w:r w:rsidRPr="00A05473">
        <w:rPr>
          <w:sz w:val="16"/>
          <w:szCs w:val="18"/>
          <w:lang w:val="es-ES_tradnl"/>
        </w:rPr>
        <w:t xml:space="preserve">‘“si se ponen en tela de juicio los requisitos de homogeneidad o estabilidad, es posible que sea necesario realizar una verificación técnica. Para que la oficina de examen pueda comparar los resultados de una verificación técnica realizada con el material vegetal objeto de la protección a los efectos de determinar la estabilidad, es importante que la autoridad conserve el material vegetal de las variedades protegidas en una colección de referencias vivas o que mantenga documentos, por ejemplo, la descripción de la variedad, fotografías de la variedad tomadas durante el examen DHE, notas de los ensayos en parcela, etc.’” </w:t>
      </w:r>
    </w:p>
    <w:p w:rsidR="004059A3" w:rsidRPr="00A05473" w:rsidRDefault="004059A3" w:rsidP="004059A3">
      <w:pPr>
        <w:rPr>
          <w:rFonts w:cs="Arial"/>
          <w:lang w:val="es-ES_tradnl"/>
        </w:rPr>
      </w:pPr>
    </w:p>
    <w:p w:rsidR="004059A3" w:rsidRPr="00A05473" w:rsidRDefault="004059A3" w:rsidP="004059A3">
      <w:pPr>
        <w:rPr>
          <w:rFonts w:cs="Arial"/>
          <w:lang w:val="es-ES_tradnl"/>
        </w:rPr>
      </w:pPr>
      <w:proofErr w:type="gramStart"/>
      <w:r w:rsidRPr="00A05473">
        <w:rPr>
          <w:rFonts w:cs="Arial"/>
          <w:lang w:val="es-ES_tradnl"/>
        </w:rPr>
        <w:t>y</w:t>
      </w:r>
      <w:proofErr w:type="gramEnd"/>
    </w:p>
    <w:p w:rsidR="004059A3" w:rsidRPr="00A05473" w:rsidRDefault="004059A3" w:rsidP="004059A3">
      <w:pPr>
        <w:tabs>
          <w:tab w:val="left" w:pos="7500"/>
        </w:tabs>
        <w:rPr>
          <w:rFonts w:cs="Arial"/>
          <w:lang w:val="es-ES_tradnl"/>
        </w:rPr>
      </w:pPr>
    </w:p>
    <w:p w:rsidR="004059A3" w:rsidRPr="00A05473" w:rsidRDefault="004059A3" w:rsidP="00E1743E">
      <w:pPr>
        <w:rPr>
          <w:lang w:val="es-ES_tradnl"/>
        </w:rPr>
      </w:pPr>
      <w:r w:rsidRPr="00A05473">
        <w:rPr>
          <w:rFonts w:cs="Arial"/>
          <w:lang w:val="es-ES_tradnl"/>
        </w:rPr>
        <w:tab/>
        <w:t>b)</w:t>
      </w:r>
      <w:r w:rsidRPr="00A05473">
        <w:rPr>
          <w:rFonts w:cs="Arial"/>
          <w:lang w:val="es-ES_tradnl"/>
        </w:rPr>
        <w:tab/>
        <w:t>el uso de directrices de examen diferentes de las empleadas en el examen de la distinción, la homogeneidad y la estabilidad (DHE)</w:t>
      </w:r>
      <w:r w:rsidR="000D62A4" w:rsidRPr="00A05473">
        <w:rPr>
          <w:rFonts w:cs="Arial"/>
          <w:lang w:val="es-ES_tradnl"/>
        </w:rPr>
        <w:t>,</w:t>
      </w:r>
      <w:r w:rsidRPr="00A05473">
        <w:rPr>
          <w:rFonts w:cs="Arial"/>
          <w:lang w:val="es-ES_tradnl"/>
        </w:rPr>
        <w:t xml:space="preserve"> para controlar el mantenimiento de la variedad.</w:t>
      </w:r>
      <w:r w:rsidRPr="00A05473">
        <w:rPr>
          <w:lang w:val="es-ES_tradnl"/>
        </w:rPr>
        <w:br w:type="page"/>
      </w:r>
    </w:p>
    <w:p w:rsidR="004059A3" w:rsidRPr="00A05473" w:rsidRDefault="004059A3" w:rsidP="002C7A0B">
      <w:pPr>
        <w:pStyle w:val="Heading1"/>
        <w:rPr>
          <w:dstrike w:val="0"/>
          <w:color w:val="auto"/>
        </w:rPr>
      </w:pPr>
      <w:bookmarkStart w:id="6" w:name="_Toc411849613"/>
      <w:r w:rsidRPr="00A05473">
        <w:rPr>
          <w:dstrike w:val="0"/>
          <w:color w:val="auto"/>
        </w:rPr>
        <w:lastRenderedPageBreak/>
        <w:t>PropUESTA</w:t>
      </w:r>
      <w:bookmarkEnd w:id="6"/>
    </w:p>
    <w:p w:rsidR="004059A3" w:rsidRPr="00A05473" w:rsidRDefault="004059A3" w:rsidP="004059A3">
      <w:pPr>
        <w:rPr>
          <w:lang w:val="es-ES_tradnl"/>
        </w:rPr>
      </w:pPr>
    </w:p>
    <w:p w:rsidR="004059A3" w:rsidRPr="00A05473" w:rsidRDefault="009B2118" w:rsidP="004059A3">
      <w:pPr>
        <w:keepNext/>
        <w:rPr>
          <w:rFonts w:cs="Arial"/>
          <w:lang w:val="es-ES_tradnl"/>
        </w:rPr>
      </w:pPr>
      <w:r w:rsidRPr="00A05473">
        <w:fldChar w:fldCharType="begin"/>
      </w:r>
      <w:r w:rsidR="004059A3" w:rsidRPr="00A05473">
        <w:rPr>
          <w:lang w:val="es-ES_tradnl"/>
        </w:rPr>
        <w:instrText xml:space="preserve"> AUTONUM  </w:instrText>
      </w:r>
      <w:r w:rsidRPr="00A05473">
        <w:fldChar w:fldCharType="end"/>
      </w:r>
      <w:r w:rsidR="004059A3" w:rsidRPr="00A05473">
        <w:rPr>
          <w:lang w:val="es-ES_tradnl"/>
        </w:rPr>
        <w:tab/>
      </w:r>
      <w:r w:rsidR="001101AF" w:rsidRPr="00A05473">
        <w:rPr>
          <w:lang w:val="es-ES_tradnl"/>
        </w:rPr>
        <w:t xml:space="preserve">Se propone que el TC invite a expertos a </w:t>
      </w:r>
      <w:r w:rsidR="00D87187" w:rsidRPr="00A05473">
        <w:rPr>
          <w:lang w:val="es-ES_tradnl"/>
        </w:rPr>
        <w:t xml:space="preserve">que </w:t>
      </w:r>
      <w:r w:rsidR="001101AF" w:rsidRPr="00A05473">
        <w:rPr>
          <w:lang w:val="es-ES_tradnl"/>
        </w:rPr>
        <w:t>present</w:t>
      </w:r>
      <w:r w:rsidR="00D87187" w:rsidRPr="00A05473">
        <w:rPr>
          <w:lang w:val="es-ES_tradnl"/>
        </w:rPr>
        <w:t xml:space="preserve">en </w:t>
      </w:r>
      <w:r w:rsidR="001101AF" w:rsidRPr="00A05473">
        <w:rPr>
          <w:lang w:val="es-ES_tradnl"/>
        </w:rPr>
        <w:t>a</w:t>
      </w:r>
      <w:r w:rsidR="00D87187" w:rsidRPr="00A05473">
        <w:rPr>
          <w:lang w:val="es-ES_tradnl"/>
        </w:rPr>
        <w:t>nte</w:t>
      </w:r>
      <w:r w:rsidR="001101AF" w:rsidRPr="00A05473">
        <w:rPr>
          <w:lang w:val="es-ES_tradnl"/>
        </w:rPr>
        <w:t xml:space="preserve"> los TWP, en sus sesiones de 2015, sus experiencias relativas al </w:t>
      </w:r>
      <w:r w:rsidR="001101AF" w:rsidRPr="00A05473">
        <w:rPr>
          <w:rFonts w:cs="Arial"/>
          <w:lang w:val="es-ES_tradnl"/>
        </w:rPr>
        <w:t>uso de información, documentos o material proporcionados por el obtentor para controlar el mantenimiento de la variedad y el uso de directrices de examen diferentes de las empleadas en el examen DHE para controlar el mantenimiento de la variedad.</w:t>
      </w:r>
      <w:r w:rsidR="004059A3" w:rsidRPr="00A05473">
        <w:rPr>
          <w:rFonts w:cs="Arial"/>
          <w:lang w:val="es-ES_tradnl"/>
        </w:rPr>
        <w:t xml:space="preserve">  </w:t>
      </w:r>
    </w:p>
    <w:p w:rsidR="004059A3" w:rsidRPr="00A05473" w:rsidRDefault="004059A3" w:rsidP="004059A3">
      <w:pPr>
        <w:rPr>
          <w:lang w:val="es-ES_tradnl"/>
        </w:rPr>
      </w:pPr>
    </w:p>
    <w:p w:rsidR="004059A3" w:rsidRPr="00A05473" w:rsidRDefault="009B2118" w:rsidP="004059A3">
      <w:pPr>
        <w:pStyle w:val="DecisionParagraphs"/>
        <w:rPr>
          <w:lang w:val="es-ES_tradnl"/>
        </w:rPr>
      </w:pPr>
      <w:r w:rsidRPr="00A05473">
        <w:fldChar w:fldCharType="begin"/>
      </w:r>
      <w:r w:rsidR="004059A3" w:rsidRPr="00A05473">
        <w:rPr>
          <w:lang w:val="es-ES_tradnl"/>
        </w:rPr>
        <w:instrText xml:space="preserve"> AUTONUM  </w:instrText>
      </w:r>
      <w:r w:rsidRPr="00A05473">
        <w:fldChar w:fldCharType="end"/>
      </w:r>
      <w:r w:rsidR="004059A3" w:rsidRPr="00A05473">
        <w:rPr>
          <w:lang w:val="es-ES_tradnl"/>
        </w:rPr>
        <w:tab/>
      </w:r>
      <w:r w:rsidR="001101AF" w:rsidRPr="00A05473">
        <w:rPr>
          <w:lang w:val="es-ES_tradnl"/>
        </w:rPr>
        <w:t>Se invita al TC a considerar si procede invitar a expertos a presentar a</w:t>
      </w:r>
      <w:r w:rsidR="00D87187" w:rsidRPr="00A05473">
        <w:rPr>
          <w:lang w:val="es-ES_tradnl"/>
        </w:rPr>
        <w:t>nte</w:t>
      </w:r>
      <w:r w:rsidR="001101AF" w:rsidRPr="00A05473">
        <w:rPr>
          <w:lang w:val="es-ES_tradnl"/>
        </w:rPr>
        <w:t xml:space="preserve"> los TWP, en sus sesiones de 2015, sus experiencias relativas al uso de información, documentos o material proporcionados por el obtentor para controlar el mantenimiento de la variedad y el uso de directrices de examen diferentes de las empleadas en el examen DHE para controlar el mantenimiento de la variedad.</w:t>
      </w:r>
    </w:p>
    <w:p w:rsidR="004059A3" w:rsidRPr="00A05473" w:rsidRDefault="004059A3" w:rsidP="004059A3">
      <w:pPr>
        <w:rPr>
          <w:lang w:val="es-ES_tradnl"/>
        </w:rPr>
      </w:pPr>
    </w:p>
    <w:p w:rsidR="004059A3" w:rsidRPr="00A05473" w:rsidRDefault="004571A1" w:rsidP="002C7A0B">
      <w:pPr>
        <w:pStyle w:val="Heading1"/>
        <w:rPr>
          <w:dstrike w:val="0"/>
          <w:color w:val="auto"/>
        </w:rPr>
      </w:pPr>
      <w:bookmarkStart w:id="7" w:name="_Toc411849614"/>
      <w:r w:rsidRPr="00A05473">
        <w:rPr>
          <w:dstrike w:val="0"/>
          <w:color w:val="auto"/>
        </w:rPr>
        <w:t>ASUNTOS RELATIVOS A LAS DESCRIPCIONES DE VARIEDADES</w:t>
      </w:r>
      <w:bookmarkEnd w:id="7"/>
    </w:p>
    <w:p w:rsidR="004059A3" w:rsidRPr="00A05473" w:rsidRDefault="004059A3" w:rsidP="004059A3">
      <w:pPr>
        <w:rPr>
          <w:lang w:val="es-ES_tradnl"/>
        </w:rPr>
      </w:pPr>
    </w:p>
    <w:p w:rsidR="004059A3" w:rsidRPr="00A05473" w:rsidRDefault="009B2118" w:rsidP="004059A3">
      <w:pPr>
        <w:rPr>
          <w:rFonts w:cs="Arial"/>
          <w:lang w:val="es-ES_tradnl"/>
        </w:rPr>
      </w:pPr>
      <w:r w:rsidRPr="00A05473">
        <w:rPr>
          <w:rFonts w:cs="Arial"/>
        </w:rPr>
        <w:fldChar w:fldCharType="begin"/>
      </w:r>
      <w:r w:rsidR="004059A3" w:rsidRPr="00A05473">
        <w:rPr>
          <w:rFonts w:cs="Arial"/>
          <w:lang w:val="es-ES_tradnl"/>
        </w:rPr>
        <w:instrText xml:space="preserve"> AUTONUM  </w:instrText>
      </w:r>
      <w:r w:rsidRPr="00A05473">
        <w:rPr>
          <w:rFonts w:cs="Arial"/>
        </w:rPr>
        <w:fldChar w:fldCharType="end"/>
      </w:r>
      <w:r w:rsidR="004059A3" w:rsidRPr="00A05473">
        <w:rPr>
          <w:rFonts w:cs="Arial"/>
          <w:lang w:val="es-ES_tradnl"/>
        </w:rPr>
        <w:tab/>
      </w:r>
      <w:r w:rsidR="001101AF" w:rsidRPr="00A05473">
        <w:rPr>
          <w:rFonts w:cs="Arial"/>
          <w:lang w:val="es-ES_tradnl"/>
        </w:rPr>
        <w:t xml:space="preserve">En su sexagésima novena sesión, celebrada en Ginebra el 10 de abril de 2014, el CAJ convino en proponer, con arreglo a la propuesta del CAJ-AG, que </w:t>
      </w:r>
      <w:r w:rsidR="00450F4A" w:rsidRPr="00A05473">
        <w:rPr>
          <w:rFonts w:cs="Arial"/>
          <w:lang w:val="es-ES_tradnl"/>
        </w:rPr>
        <w:t>el TC examine en primera instancia las cuestiones siguientes que figuran e</w:t>
      </w:r>
      <w:r w:rsidR="001101AF" w:rsidRPr="00A05473">
        <w:rPr>
          <w:rFonts w:cs="Arial"/>
          <w:lang w:val="es-ES_tradnl"/>
        </w:rPr>
        <w:t xml:space="preserve">n </w:t>
      </w:r>
      <w:r w:rsidR="00450F4A" w:rsidRPr="00A05473">
        <w:rPr>
          <w:rFonts w:cs="Arial"/>
          <w:lang w:val="es-ES_tradnl"/>
        </w:rPr>
        <w:t xml:space="preserve">el párrafo 4 del </w:t>
      </w:r>
      <w:r w:rsidR="001101AF" w:rsidRPr="00A05473">
        <w:rPr>
          <w:rFonts w:cs="Arial"/>
          <w:lang w:val="es-ES_tradnl"/>
        </w:rPr>
        <w:t>document</w:t>
      </w:r>
      <w:r w:rsidR="00450F4A" w:rsidRPr="00A05473">
        <w:rPr>
          <w:rFonts w:cs="Arial"/>
          <w:lang w:val="es-ES_tradnl"/>
        </w:rPr>
        <w:t>o </w:t>
      </w:r>
      <w:r w:rsidR="001101AF" w:rsidRPr="00A05473">
        <w:rPr>
          <w:rFonts w:cs="Arial"/>
          <w:lang w:val="es-ES_tradnl"/>
        </w:rPr>
        <w:t>CAJ-AG/13/8/7 “</w:t>
      </w:r>
      <w:r w:rsidR="001101AF" w:rsidRPr="00A05473">
        <w:rPr>
          <w:rFonts w:cs="Arial"/>
          <w:i/>
          <w:lang w:val="es-ES_tradnl"/>
        </w:rPr>
        <w:t xml:space="preserve">Matters concerning </w:t>
      </w:r>
      <w:r w:rsidR="00450F4A" w:rsidRPr="00A05473">
        <w:rPr>
          <w:rFonts w:cs="Arial"/>
          <w:i/>
          <w:lang w:val="es-ES_tradnl"/>
        </w:rPr>
        <w:t>variety descriptions</w:t>
      </w:r>
      <w:r w:rsidR="001101AF" w:rsidRPr="00A05473">
        <w:rPr>
          <w:rFonts w:cs="Arial"/>
          <w:lang w:val="es-ES_tradnl"/>
        </w:rPr>
        <w:t>”</w:t>
      </w:r>
      <w:r w:rsidR="00450F4A" w:rsidRPr="00A05473">
        <w:rPr>
          <w:rFonts w:cs="Arial"/>
          <w:lang w:val="es-ES_tradnl"/>
        </w:rPr>
        <w:t xml:space="preserve"> (Asuntos relativos a las descripciones de variedades)</w:t>
      </w:r>
      <w:r w:rsidR="001101AF" w:rsidRPr="00A05473">
        <w:rPr>
          <w:rFonts w:cs="Arial"/>
          <w:lang w:val="es-ES_tradnl"/>
        </w:rPr>
        <w:t xml:space="preserve"> </w:t>
      </w:r>
      <w:r w:rsidR="001101AF" w:rsidRPr="00A05473">
        <w:rPr>
          <w:lang w:val="es-ES_tradnl"/>
        </w:rPr>
        <w:t>(</w:t>
      </w:r>
      <w:r w:rsidR="00450F4A" w:rsidRPr="00A05473">
        <w:rPr>
          <w:lang w:val="es-ES_tradnl"/>
        </w:rPr>
        <w:t>véanse el</w:t>
      </w:r>
      <w:r w:rsidR="001101AF" w:rsidRPr="00A05473">
        <w:rPr>
          <w:lang w:val="es-ES_tradnl"/>
        </w:rPr>
        <w:t xml:space="preserve"> párrafo</w:t>
      </w:r>
      <w:r w:rsidR="00450F4A" w:rsidRPr="00A05473">
        <w:rPr>
          <w:lang w:val="es-ES_tradnl"/>
        </w:rPr>
        <w:t> </w:t>
      </w:r>
      <w:r w:rsidR="001101AF" w:rsidRPr="00A05473">
        <w:rPr>
          <w:lang w:val="es-ES_tradnl"/>
        </w:rPr>
        <w:t>74</w:t>
      </w:r>
      <w:r w:rsidR="00450F4A" w:rsidRPr="00A05473">
        <w:rPr>
          <w:lang w:val="es-ES_tradnl"/>
        </w:rPr>
        <w:t xml:space="preserve"> </w:t>
      </w:r>
      <w:r w:rsidR="00450F4A" w:rsidRPr="00A05473">
        <w:rPr>
          <w:rFonts w:cs="Arial"/>
          <w:lang w:val="es-ES_tradnl"/>
        </w:rPr>
        <w:t>del documento </w:t>
      </w:r>
      <w:r w:rsidR="00450F4A" w:rsidRPr="00A05473">
        <w:rPr>
          <w:lang w:val="es-ES_tradnl"/>
        </w:rPr>
        <w:t xml:space="preserve">CAJ-AG/13/8/10 “Informe” y el </w:t>
      </w:r>
      <w:r w:rsidR="001101AF" w:rsidRPr="00A05473">
        <w:rPr>
          <w:lang w:val="es-ES_tradnl"/>
        </w:rPr>
        <w:t>párrafo</w:t>
      </w:r>
      <w:r w:rsidR="00450F4A" w:rsidRPr="00A05473">
        <w:rPr>
          <w:lang w:val="es-ES_tradnl"/>
        </w:rPr>
        <w:t> </w:t>
      </w:r>
      <w:r w:rsidR="001101AF" w:rsidRPr="00A05473">
        <w:rPr>
          <w:lang w:val="es-ES_tradnl"/>
        </w:rPr>
        <w:t>19</w:t>
      </w:r>
      <w:r w:rsidR="00450F4A" w:rsidRPr="00A05473">
        <w:rPr>
          <w:lang w:val="es-ES_tradnl"/>
        </w:rPr>
        <w:t xml:space="preserve"> </w:t>
      </w:r>
      <w:r w:rsidR="00450F4A" w:rsidRPr="00A05473">
        <w:rPr>
          <w:rFonts w:cs="Arial"/>
          <w:lang w:val="es-ES_tradnl"/>
        </w:rPr>
        <w:t>del documento </w:t>
      </w:r>
      <w:r w:rsidR="00450F4A" w:rsidRPr="00A05473">
        <w:rPr>
          <w:lang w:val="es-ES_tradnl"/>
        </w:rPr>
        <w:t>CAJ/69/13 “Informe”</w:t>
      </w:r>
      <w:r w:rsidR="001101AF" w:rsidRPr="00A05473">
        <w:rPr>
          <w:lang w:val="es-ES_tradnl"/>
        </w:rPr>
        <w:t>)</w:t>
      </w:r>
      <w:r w:rsidR="001101AF" w:rsidRPr="00A05473">
        <w:rPr>
          <w:rFonts w:cs="Arial"/>
          <w:lang w:val="es-ES_tradnl"/>
        </w:rPr>
        <w:t>:</w:t>
      </w:r>
    </w:p>
    <w:p w:rsidR="004059A3" w:rsidRPr="00A05473" w:rsidRDefault="004059A3" w:rsidP="004059A3">
      <w:pPr>
        <w:rPr>
          <w:rFonts w:cs="Arial"/>
          <w:lang w:val="es-ES_tradnl"/>
        </w:rPr>
      </w:pPr>
    </w:p>
    <w:p w:rsidR="004059A3" w:rsidRPr="00A05473" w:rsidRDefault="004059A3" w:rsidP="004059A3">
      <w:pPr>
        <w:ind w:left="567" w:right="567"/>
        <w:rPr>
          <w:sz w:val="18"/>
          <w:szCs w:val="18"/>
          <w:lang w:val="es-ES_tradnl"/>
        </w:rPr>
      </w:pPr>
      <w:r w:rsidRPr="00A05473">
        <w:rPr>
          <w:sz w:val="18"/>
          <w:szCs w:val="18"/>
          <w:lang w:val="es-ES_tradnl"/>
        </w:rPr>
        <w:t>“[…]</w:t>
      </w:r>
    </w:p>
    <w:p w:rsidR="004059A3" w:rsidRPr="00A05473" w:rsidRDefault="004059A3" w:rsidP="004059A3">
      <w:pPr>
        <w:ind w:left="567" w:right="567"/>
        <w:rPr>
          <w:sz w:val="18"/>
          <w:szCs w:val="18"/>
          <w:lang w:val="es-ES_tradnl"/>
        </w:rPr>
      </w:pPr>
    </w:p>
    <w:p w:rsidR="004059A3" w:rsidRPr="00A05473" w:rsidRDefault="004059A3" w:rsidP="004059A3">
      <w:pPr>
        <w:ind w:left="567" w:right="567"/>
        <w:rPr>
          <w:sz w:val="18"/>
          <w:szCs w:val="18"/>
          <w:lang w:val="es-ES_tradnl"/>
        </w:rPr>
      </w:pPr>
      <w:r w:rsidRPr="00A05473">
        <w:rPr>
          <w:sz w:val="18"/>
          <w:szCs w:val="18"/>
          <w:lang w:val="es-ES_tradnl"/>
        </w:rPr>
        <w:t>“b)</w:t>
      </w:r>
      <w:r w:rsidRPr="00A05473">
        <w:rPr>
          <w:sz w:val="18"/>
          <w:szCs w:val="18"/>
          <w:lang w:val="es-ES_tradnl"/>
        </w:rPr>
        <w:tab/>
        <w:t>la situación de la descripción original de la variedad con respecto a la comprobación de que el material vegetal corresponde a una variedad protegida a los fines de:</w:t>
      </w:r>
    </w:p>
    <w:p w:rsidR="004059A3" w:rsidRPr="00A05473" w:rsidRDefault="004059A3" w:rsidP="004059A3">
      <w:pPr>
        <w:ind w:left="567" w:right="567"/>
        <w:rPr>
          <w:sz w:val="18"/>
          <w:szCs w:val="18"/>
          <w:lang w:val="es-ES_tradnl"/>
        </w:rPr>
      </w:pPr>
    </w:p>
    <w:p w:rsidR="004059A3" w:rsidRPr="00A05473" w:rsidRDefault="004059A3" w:rsidP="004059A3">
      <w:pPr>
        <w:ind w:left="1134" w:right="567"/>
        <w:rPr>
          <w:sz w:val="18"/>
          <w:szCs w:val="18"/>
          <w:lang w:val="es-ES_tradnl"/>
        </w:rPr>
      </w:pPr>
      <w:r w:rsidRPr="00A05473">
        <w:rPr>
          <w:sz w:val="18"/>
          <w:szCs w:val="18"/>
          <w:lang w:val="es-ES_tradnl"/>
        </w:rPr>
        <w:t>i)</w:t>
      </w:r>
      <w:r w:rsidRPr="00A05473">
        <w:rPr>
          <w:sz w:val="18"/>
          <w:szCs w:val="18"/>
          <w:lang w:val="es-ES_tradnl"/>
        </w:rPr>
        <w:tab/>
        <w:t>controlar el mantenimiento de la variedad (</w:t>
      </w:r>
      <w:r w:rsidR="000D62A4" w:rsidRPr="00A05473">
        <w:rPr>
          <w:sz w:val="18"/>
          <w:szCs w:val="18"/>
          <w:lang w:val="es-ES_tradnl"/>
        </w:rPr>
        <w:t xml:space="preserve">Artículo 22 </w:t>
      </w:r>
      <w:r w:rsidRPr="00A05473">
        <w:rPr>
          <w:sz w:val="18"/>
          <w:szCs w:val="18"/>
          <w:lang w:val="es-ES_tradnl"/>
        </w:rPr>
        <w:t xml:space="preserve">del Acta de1991, </w:t>
      </w:r>
      <w:r w:rsidR="000D62A4" w:rsidRPr="00A05473">
        <w:rPr>
          <w:sz w:val="18"/>
          <w:szCs w:val="18"/>
          <w:lang w:val="es-ES_tradnl"/>
        </w:rPr>
        <w:t xml:space="preserve">Artículo 10 </w:t>
      </w:r>
      <w:r w:rsidRPr="00A05473">
        <w:rPr>
          <w:sz w:val="18"/>
          <w:szCs w:val="18"/>
          <w:lang w:val="es-ES_tradnl"/>
        </w:rPr>
        <w:t>del Acta de</w:t>
      </w:r>
      <w:r w:rsidR="000D62A4" w:rsidRPr="00A05473">
        <w:rPr>
          <w:sz w:val="18"/>
          <w:szCs w:val="18"/>
          <w:lang w:val="es-ES_tradnl"/>
        </w:rPr>
        <w:t xml:space="preserve"> </w:t>
      </w:r>
      <w:r w:rsidRPr="00A05473">
        <w:rPr>
          <w:sz w:val="18"/>
          <w:szCs w:val="18"/>
          <w:lang w:val="es-ES_tradnl"/>
        </w:rPr>
        <w:t>1978);</w:t>
      </w:r>
    </w:p>
    <w:p w:rsidR="004059A3" w:rsidRPr="00A05473" w:rsidRDefault="004059A3" w:rsidP="004059A3">
      <w:pPr>
        <w:ind w:left="1134" w:right="567"/>
        <w:rPr>
          <w:sz w:val="18"/>
          <w:szCs w:val="18"/>
          <w:lang w:val="es-ES_tradnl"/>
        </w:rPr>
      </w:pPr>
    </w:p>
    <w:p w:rsidR="004059A3" w:rsidRPr="00A05473" w:rsidRDefault="004059A3" w:rsidP="004059A3">
      <w:pPr>
        <w:ind w:left="1134" w:right="567"/>
        <w:rPr>
          <w:sz w:val="18"/>
          <w:szCs w:val="18"/>
          <w:lang w:val="es-ES_tradnl"/>
        </w:rPr>
      </w:pPr>
      <w:r w:rsidRPr="00A05473">
        <w:rPr>
          <w:sz w:val="18"/>
          <w:szCs w:val="18"/>
          <w:lang w:val="es-ES_tradnl"/>
        </w:rPr>
        <w:t>ii)</w:t>
      </w:r>
      <w:r w:rsidRPr="00A05473">
        <w:rPr>
          <w:sz w:val="18"/>
          <w:szCs w:val="18"/>
          <w:lang w:val="es-ES_tradnl"/>
        </w:rPr>
        <w:tab/>
        <w:t>el examen de la distinción, la homogeneidad y la estabilidad (DHE) de las variedades candidatas;  y</w:t>
      </w:r>
    </w:p>
    <w:p w:rsidR="004059A3" w:rsidRPr="00A05473" w:rsidRDefault="004059A3" w:rsidP="004059A3">
      <w:pPr>
        <w:ind w:left="567" w:right="567"/>
        <w:rPr>
          <w:sz w:val="18"/>
          <w:szCs w:val="18"/>
          <w:lang w:val="es-ES_tradnl"/>
        </w:rPr>
      </w:pPr>
    </w:p>
    <w:p w:rsidR="004059A3" w:rsidRPr="00A05473" w:rsidRDefault="004059A3" w:rsidP="004059A3">
      <w:pPr>
        <w:spacing w:after="240"/>
        <w:ind w:left="567" w:right="567" w:firstLine="567"/>
        <w:rPr>
          <w:sz w:val="18"/>
          <w:szCs w:val="18"/>
          <w:lang w:val="es-ES_tradnl"/>
        </w:rPr>
      </w:pPr>
      <w:r w:rsidRPr="00A05473">
        <w:rPr>
          <w:sz w:val="18"/>
          <w:szCs w:val="18"/>
          <w:lang w:val="es-ES_tradnl"/>
        </w:rPr>
        <w:t>“[…]</w:t>
      </w:r>
    </w:p>
    <w:p w:rsidR="004059A3" w:rsidRPr="00A05473" w:rsidRDefault="004059A3" w:rsidP="004059A3">
      <w:pPr>
        <w:ind w:left="567" w:right="567"/>
        <w:rPr>
          <w:sz w:val="18"/>
          <w:szCs w:val="18"/>
          <w:lang w:val="es-ES_tradnl"/>
        </w:rPr>
      </w:pPr>
      <w:r w:rsidRPr="00A05473">
        <w:rPr>
          <w:sz w:val="18"/>
          <w:szCs w:val="18"/>
          <w:lang w:val="es-ES_tradnl"/>
        </w:rPr>
        <w:t>c)</w:t>
      </w:r>
      <w:r w:rsidRPr="00A05473">
        <w:rPr>
          <w:sz w:val="18"/>
          <w:szCs w:val="18"/>
          <w:lang w:val="es-ES_tradnl"/>
        </w:rPr>
        <w:tab/>
      </w:r>
      <w:proofErr w:type="gramStart"/>
      <w:r w:rsidR="00AB085F" w:rsidRPr="00A05473">
        <w:rPr>
          <w:sz w:val="18"/>
          <w:szCs w:val="18"/>
          <w:lang w:val="es-ES_tradnl"/>
        </w:rPr>
        <w:t>la</w:t>
      </w:r>
      <w:proofErr w:type="gramEnd"/>
      <w:r w:rsidR="00AB085F" w:rsidRPr="00A05473">
        <w:rPr>
          <w:sz w:val="18"/>
          <w:szCs w:val="18"/>
          <w:lang w:val="es-ES_tradnl"/>
        </w:rPr>
        <w:t xml:space="preserve"> situación de una descripción modificada de la variedad con respecto a los puntos a</w:t>
      </w:r>
      <w:r w:rsidR="00AB085F" w:rsidRPr="00A05473">
        <w:rPr>
          <w:rStyle w:val="FootnoteReference"/>
          <w:sz w:val="18"/>
          <w:szCs w:val="18"/>
        </w:rPr>
        <w:footnoteReference w:id="2"/>
      </w:r>
      <w:r w:rsidR="00AB085F" w:rsidRPr="00A05473">
        <w:rPr>
          <w:sz w:val="18"/>
          <w:szCs w:val="18"/>
          <w:lang w:val="es-ES_tradnl"/>
        </w:rPr>
        <w:t>) y b) anteriores, producida, por ejemplo, como consecuencia de</w:t>
      </w:r>
      <w:r w:rsidRPr="00A05473">
        <w:rPr>
          <w:sz w:val="18"/>
          <w:szCs w:val="18"/>
          <w:lang w:val="es-ES_tradnl"/>
        </w:rPr>
        <w:t>:</w:t>
      </w:r>
    </w:p>
    <w:p w:rsidR="004059A3" w:rsidRPr="00A05473" w:rsidRDefault="004059A3" w:rsidP="004059A3">
      <w:pPr>
        <w:ind w:left="567" w:right="567"/>
        <w:rPr>
          <w:sz w:val="18"/>
          <w:szCs w:val="18"/>
          <w:lang w:val="es-ES_tradnl"/>
        </w:rPr>
      </w:pPr>
    </w:p>
    <w:p w:rsidR="004059A3" w:rsidRPr="00A05473" w:rsidRDefault="004059A3" w:rsidP="004059A3">
      <w:pPr>
        <w:spacing w:after="60"/>
        <w:ind w:left="1701" w:right="567" w:hanging="567"/>
        <w:rPr>
          <w:sz w:val="18"/>
          <w:szCs w:val="18"/>
          <w:lang w:val="es-ES_tradnl"/>
        </w:rPr>
      </w:pPr>
      <w:r w:rsidRPr="00A05473">
        <w:rPr>
          <w:sz w:val="18"/>
          <w:szCs w:val="18"/>
          <w:lang w:val="es-ES_tradnl"/>
        </w:rPr>
        <w:t>i)</w:t>
      </w:r>
      <w:r w:rsidRPr="00A05473">
        <w:rPr>
          <w:sz w:val="18"/>
          <w:szCs w:val="18"/>
          <w:lang w:val="es-ES_tradnl"/>
        </w:rPr>
        <w:tab/>
      </w:r>
      <w:r w:rsidR="00AB085F" w:rsidRPr="00A05473">
        <w:rPr>
          <w:sz w:val="18"/>
          <w:szCs w:val="18"/>
          <w:lang w:val="es-ES_tradnl"/>
        </w:rPr>
        <w:t>una recalibración de la escala en las directrices de examen (especialmente para los caracteres no señalados con asterisco</w:t>
      </w:r>
      <w:r w:rsidRPr="00A05473">
        <w:rPr>
          <w:rStyle w:val="FootnoteReference"/>
          <w:sz w:val="18"/>
          <w:szCs w:val="18"/>
        </w:rPr>
        <w:footnoteReference w:id="3"/>
      </w:r>
      <w:r w:rsidRPr="00A05473">
        <w:rPr>
          <w:sz w:val="18"/>
          <w:szCs w:val="18"/>
          <w:lang w:val="es-ES_tradnl"/>
        </w:rPr>
        <w:t>);</w:t>
      </w:r>
    </w:p>
    <w:p w:rsidR="004059A3" w:rsidRPr="00A05473" w:rsidRDefault="004059A3" w:rsidP="004059A3">
      <w:pPr>
        <w:spacing w:after="60"/>
        <w:ind w:left="1701" w:right="567" w:hanging="567"/>
        <w:rPr>
          <w:sz w:val="18"/>
          <w:szCs w:val="18"/>
          <w:lang w:val="es-ES_tradnl"/>
        </w:rPr>
      </w:pPr>
      <w:r w:rsidRPr="00A05473">
        <w:rPr>
          <w:sz w:val="18"/>
          <w:szCs w:val="18"/>
          <w:lang w:val="es-ES_tradnl"/>
        </w:rPr>
        <w:t>ii)</w:t>
      </w:r>
      <w:r w:rsidRPr="00A05473">
        <w:rPr>
          <w:sz w:val="18"/>
          <w:szCs w:val="18"/>
          <w:lang w:val="es-ES_tradnl"/>
        </w:rPr>
        <w:tab/>
      </w:r>
      <w:r w:rsidR="00E617E4" w:rsidRPr="00A05473">
        <w:rPr>
          <w:sz w:val="18"/>
          <w:szCs w:val="18"/>
          <w:lang w:val="es-ES_tradnl"/>
        </w:rPr>
        <w:t>una variación resultante de las condiciones medioambientales en los años de ensayo de los caracteres que están influenciados por el medio ambiente</w:t>
      </w:r>
      <w:r w:rsidRPr="00A05473">
        <w:rPr>
          <w:sz w:val="18"/>
          <w:szCs w:val="18"/>
          <w:lang w:val="es-ES_tradnl"/>
        </w:rPr>
        <w:t>;</w:t>
      </w:r>
    </w:p>
    <w:p w:rsidR="004059A3" w:rsidRPr="00A05473" w:rsidRDefault="004059A3" w:rsidP="004059A3">
      <w:pPr>
        <w:spacing w:after="60"/>
        <w:ind w:left="1701" w:right="567" w:hanging="567"/>
        <w:rPr>
          <w:sz w:val="18"/>
          <w:szCs w:val="18"/>
          <w:lang w:val="es-ES_tradnl"/>
        </w:rPr>
      </w:pPr>
      <w:r w:rsidRPr="00A05473">
        <w:rPr>
          <w:sz w:val="18"/>
          <w:szCs w:val="18"/>
          <w:lang w:val="es-ES_tradnl"/>
        </w:rPr>
        <w:t>iii)</w:t>
      </w:r>
      <w:r w:rsidRPr="00A05473">
        <w:rPr>
          <w:sz w:val="18"/>
          <w:szCs w:val="18"/>
          <w:lang w:val="es-ES_tradnl"/>
        </w:rPr>
        <w:tab/>
      </w:r>
      <w:r w:rsidR="00E617E4" w:rsidRPr="00A05473">
        <w:rPr>
          <w:sz w:val="18"/>
          <w:szCs w:val="18"/>
          <w:lang w:val="es-ES_tradnl"/>
        </w:rPr>
        <w:t>una variación resultante de las observaciones realizadas por distintos expertos;  o</w:t>
      </w:r>
    </w:p>
    <w:p w:rsidR="004059A3" w:rsidRPr="00A05473" w:rsidRDefault="004059A3" w:rsidP="004059A3">
      <w:pPr>
        <w:ind w:left="1701" w:right="567" w:hanging="567"/>
        <w:rPr>
          <w:sz w:val="18"/>
          <w:szCs w:val="18"/>
          <w:lang w:val="es-ES_tradnl"/>
        </w:rPr>
      </w:pPr>
      <w:r w:rsidRPr="00A05473">
        <w:rPr>
          <w:sz w:val="18"/>
          <w:szCs w:val="18"/>
          <w:lang w:val="es-ES_tradnl"/>
        </w:rPr>
        <w:t>iv)</w:t>
      </w:r>
      <w:r w:rsidRPr="00A05473">
        <w:rPr>
          <w:sz w:val="18"/>
          <w:szCs w:val="18"/>
          <w:lang w:val="es-ES_tradnl"/>
        </w:rPr>
        <w:tab/>
      </w:r>
      <w:r w:rsidR="00E617E4" w:rsidRPr="00A05473">
        <w:rPr>
          <w:sz w:val="18"/>
          <w:szCs w:val="18"/>
          <w:lang w:val="es-ES_tradnl"/>
        </w:rPr>
        <w:t>la utilización de diferentes versiones de escalas (por ejemplo, diferentes versiones de la Carta de Colores RHS</w:t>
      </w:r>
      <w:r w:rsidRPr="00A05473">
        <w:rPr>
          <w:sz w:val="18"/>
          <w:szCs w:val="18"/>
          <w:lang w:val="es-ES_tradnl"/>
        </w:rPr>
        <w:t>).</w:t>
      </w:r>
    </w:p>
    <w:p w:rsidR="004059A3" w:rsidRPr="00A05473" w:rsidRDefault="004059A3" w:rsidP="004059A3">
      <w:pPr>
        <w:ind w:left="567" w:right="567"/>
        <w:rPr>
          <w:sz w:val="18"/>
          <w:szCs w:val="18"/>
          <w:lang w:val="es-ES_tradnl"/>
        </w:rPr>
      </w:pPr>
    </w:p>
    <w:p w:rsidR="004059A3" w:rsidRPr="00A05473" w:rsidRDefault="004059A3" w:rsidP="004059A3">
      <w:pPr>
        <w:ind w:left="567" w:right="567"/>
        <w:rPr>
          <w:sz w:val="18"/>
          <w:szCs w:val="18"/>
          <w:lang w:val="es-ES_tradnl"/>
        </w:rPr>
      </w:pPr>
      <w:r w:rsidRPr="00A05473">
        <w:rPr>
          <w:sz w:val="18"/>
          <w:szCs w:val="18"/>
          <w:lang w:val="es-ES_tradnl"/>
        </w:rPr>
        <w:t>d)</w:t>
      </w:r>
      <w:r w:rsidRPr="00A05473">
        <w:rPr>
          <w:sz w:val="18"/>
          <w:szCs w:val="18"/>
          <w:lang w:val="es-ES_tradnl"/>
        </w:rPr>
        <w:tab/>
      </w:r>
      <w:r w:rsidR="00E617E4" w:rsidRPr="00A05473">
        <w:rPr>
          <w:sz w:val="18"/>
          <w:szCs w:val="18"/>
          <w:lang w:val="es-ES_tradnl"/>
        </w:rPr>
        <w:t>situaciones en las que con posterioridad se detecta un error en la descripción inicial de la variedad</w:t>
      </w:r>
      <w:r w:rsidRPr="00A05473">
        <w:rPr>
          <w:sz w:val="18"/>
          <w:szCs w:val="18"/>
          <w:lang w:val="es-ES_tradnl"/>
        </w:rPr>
        <w:t>.”</w:t>
      </w:r>
    </w:p>
    <w:p w:rsidR="004059A3" w:rsidRPr="00A05473" w:rsidRDefault="004059A3" w:rsidP="004059A3">
      <w:pPr>
        <w:ind w:left="567" w:right="567"/>
        <w:rPr>
          <w:sz w:val="18"/>
          <w:szCs w:val="18"/>
          <w:lang w:val="es-ES_tradnl"/>
        </w:rPr>
      </w:pPr>
    </w:p>
    <w:p w:rsidR="004059A3" w:rsidRPr="00A05473" w:rsidRDefault="004059A3" w:rsidP="004059A3">
      <w:pPr>
        <w:ind w:left="567" w:right="567"/>
        <w:rPr>
          <w:sz w:val="18"/>
          <w:szCs w:val="18"/>
          <w:lang w:val="es-ES_tradnl"/>
        </w:rPr>
      </w:pPr>
    </w:p>
    <w:p w:rsidR="00E1743E" w:rsidRPr="00A05473" w:rsidRDefault="00E1743E">
      <w:pPr>
        <w:jc w:val="left"/>
        <w:rPr>
          <w:u w:val="single"/>
          <w:lang w:val="es-ES_tradnl"/>
        </w:rPr>
      </w:pPr>
      <w:bookmarkStart w:id="8" w:name="_Toc411849615"/>
      <w:r w:rsidRPr="00A05473">
        <w:rPr>
          <w:lang w:val="es-ES_tradnl"/>
        </w:rPr>
        <w:br w:type="page"/>
      </w:r>
    </w:p>
    <w:p w:rsidR="004059A3" w:rsidRPr="00A05473" w:rsidRDefault="00450F4A" w:rsidP="004059A3">
      <w:pPr>
        <w:pStyle w:val="Heading2"/>
        <w:rPr>
          <w:lang w:val="es-ES_tradnl"/>
        </w:rPr>
      </w:pPr>
      <w:r w:rsidRPr="00A05473">
        <w:rPr>
          <w:lang w:val="es-ES_tradnl"/>
        </w:rPr>
        <w:lastRenderedPageBreak/>
        <w:t>Novedades en el Grupo Asesor del Comité Administrativo y Jurídico (CAJ-AG)</w:t>
      </w:r>
      <w:bookmarkEnd w:id="8"/>
    </w:p>
    <w:p w:rsidR="004059A3" w:rsidRPr="00A05473" w:rsidRDefault="004059A3" w:rsidP="004059A3">
      <w:pPr>
        <w:rPr>
          <w:lang w:val="es-ES_tradnl"/>
        </w:rPr>
      </w:pPr>
    </w:p>
    <w:p w:rsidR="004059A3" w:rsidRPr="00A05473" w:rsidRDefault="009B2118" w:rsidP="004059A3">
      <w:pPr>
        <w:rPr>
          <w:lang w:val="es-ES_tradnl"/>
        </w:rPr>
      </w:pPr>
      <w:r w:rsidRPr="00A05473">
        <w:fldChar w:fldCharType="begin"/>
      </w:r>
      <w:r w:rsidR="004059A3" w:rsidRPr="00A05473">
        <w:rPr>
          <w:lang w:val="es-ES_tradnl"/>
        </w:rPr>
        <w:instrText xml:space="preserve"> AUTONUM  </w:instrText>
      </w:r>
      <w:r w:rsidRPr="00A05473">
        <w:fldChar w:fldCharType="end"/>
      </w:r>
      <w:r w:rsidR="004059A3" w:rsidRPr="00A05473">
        <w:rPr>
          <w:lang w:val="es-ES_tradnl"/>
        </w:rPr>
        <w:tab/>
      </w:r>
      <w:r w:rsidR="00450F4A" w:rsidRPr="00A05473">
        <w:rPr>
          <w:lang w:val="es-ES_tradnl"/>
        </w:rPr>
        <w:t>En su sesión de los días 14 y 17 de octubre de 2014, el CAJ-AG examinó el documento CAJ-AG/14/9/4 “</w:t>
      </w:r>
      <w:r w:rsidR="00041A81" w:rsidRPr="00A05473">
        <w:rPr>
          <w:i/>
          <w:lang w:val="es-ES_tradnl"/>
        </w:rPr>
        <w:t>Matters concerning variety descriptions</w:t>
      </w:r>
      <w:r w:rsidR="00450F4A" w:rsidRPr="00A05473">
        <w:rPr>
          <w:lang w:val="es-ES_tradnl"/>
        </w:rPr>
        <w:t>”</w:t>
      </w:r>
      <w:r w:rsidR="00041A81" w:rsidRPr="00A05473">
        <w:rPr>
          <w:lang w:val="es-ES_tradnl"/>
        </w:rPr>
        <w:t xml:space="preserve"> (Asuntos relativos a las descripciones de variedades)</w:t>
      </w:r>
      <w:r w:rsidR="00450F4A" w:rsidRPr="00A05473">
        <w:rPr>
          <w:lang w:val="es-ES_tradnl"/>
        </w:rPr>
        <w:t>.</w:t>
      </w:r>
    </w:p>
    <w:p w:rsidR="004059A3" w:rsidRPr="00A05473" w:rsidRDefault="004059A3" w:rsidP="004059A3">
      <w:pPr>
        <w:rPr>
          <w:lang w:val="es-ES_tradnl"/>
        </w:rPr>
      </w:pPr>
    </w:p>
    <w:p w:rsidR="004059A3" w:rsidRPr="00A05473" w:rsidRDefault="009B2118" w:rsidP="004059A3">
      <w:pPr>
        <w:rPr>
          <w:lang w:val="es-ES_tradnl"/>
        </w:rPr>
      </w:pPr>
      <w:r w:rsidRPr="00A05473">
        <w:fldChar w:fldCharType="begin"/>
      </w:r>
      <w:r w:rsidR="004059A3" w:rsidRPr="00A05473">
        <w:rPr>
          <w:lang w:val="es-ES_tradnl"/>
        </w:rPr>
        <w:instrText xml:space="preserve"> AUTONUM  </w:instrText>
      </w:r>
      <w:r w:rsidRPr="00A05473">
        <w:fldChar w:fldCharType="end"/>
      </w:r>
      <w:r w:rsidR="004059A3" w:rsidRPr="00A05473">
        <w:rPr>
          <w:lang w:val="es-ES_tradnl"/>
        </w:rPr>
        <w:tab/>
      </w:r>
      <w:r w:rsidR="00F6224A" w:rsidRPr="00A05473">
        <w:rPr>
          <w:lang w:val="es-ES_tradnl"/>
        </w:rPr>
        <w:t>El CAJ-AG convino en que, de conformidad con la sección 6 “Informe de la UPOV sobre el examen técnico y sobre la descripción de variedades” del documento TGP/5 “Experiencia y cooperación en el examen DHE”, las finalidades de la descripción de la variedad que se elaboró cuando se concedió el derecho (descripción original de la variedad) pueden resumirse en (véanse los párrafos 19 al 23 del documento CAJ-AG/14/9/6 “Informe sobre las conclusiones”):</w:t>
      </w:r>
      <w:r w:rsidR="004059A3" w:rsidRPr="00A05473">
        <w:rPr>
          <w:lang w:val="es-ES_tradnl"/>
        </w:rPr>
        <w:t xml:space="preserve"> </w:t>
      </w:r>
    </w:p>
    <w:p w:rsidR="004059A3" w:rsidRPr="00A05473" w:rsidRDefault="004059A3" w:rsidP="004059A3">
      <w:pPr>
        <w:rPr>
          <w:lang w:val="es-ES_tradnl"/>
        </w:rPr>
      </w:pPr>
    </w:p>
    <w:p w:rsidR="004059A3" w:rsidRPr="00A05473" w:rsidRDefault="00463114" w:rsidP="00463114">
      <w:pPr>
        <w:pStyle w:val="ListParagraph"/>
        <w:numPr>
          <w:ilvl w:val="0"/>
          <w:numId w:val="3"/>
        </w:numPr>
        <w:ind w:left="993" w:hanging="426"/>
        <w:rPr>
          <w:snapToGrid w:val="0"/>
          <w:lang w:val="es-ES"/>
        </w:rPr>
      </w:pPr>
      <w:r w:rsidRPr="00A05473">
        <w:rPr>
          <w:snapToGrid w:val="0"/>
          <w:lang w:val="es-ES"/>
        </w:rPr>
        <w:t>describir los caracteres de la variedad</w:t>
      </w:r>
      <w:r w:rsidR="004059A3" w:rsidRPr="00A05473">
        <w:rPr>
          <w:snapToGrid w:val="0"/>
          <w:lang w:val="es-ES"/>
        </w:rPr>
        <w:t xml:space="preserve">; </w:t>
      </w:r>
      <w:r w:rsidRPr="00A05473">
        <w:rPr>
          <w:snapToGrid w:val="0"/>
          <w:lang w:val="es-ES"/>
        </w:rPr>
        <w:t xml:space="preserve"> y</w:t>
      </w:r>
    </w:p>
    <w:p w:rsidR="004059A3" w:rsidRPr="00A05473" w:rsidRDefault="00463114" w:rsidP="006E0B8C">
      <w:pPr>
        <w:pStyle w:val="ListParagraph"/>
        <w:numPr>
          <w:ilvl w:val="0"/>
          <w:numId w:val="3"/>
        </w:numPr>
        <w:ind w:left="993" w:hanging="426"/>
        <w:rPr>
          <w:snapToGrid w:val="0"/>
          <w:lang w:val="es-ES"/>
        </w:rPr>
      </w:pPr>
      <w:r w:rsidRPr="00A05473">
        <w:rPr>
          <w:snapToGrid w:val="0"/>
          <w:lang w:val="es-ES"/>
        </w:rPr>
        <w:t>identificar y enumerar las variedades similares y las diferencias con respecto a esas variedades</w:t>
      </w:r>
      <w:r w:rsidR="004059A3" w:rsidRPr="00A05473">
        <w:rPr>
          <w:snapToGrid w:val="0"/>
          <w:lang w:val="es-ES"/>
        </w:rPr>
        <w:t xml:space="preserve">; </w:t>
      </w:r>
      <w:r w:rsidRPr="00A05473">
        <w:rPr>
          <w:snapToGrid w:val="0"/>
          <w:lang w:val="es-ES"/>
        </w:rPr>
        <w:t>junto con la siguiente información basada en a) y b):</w:t>
      </w:r>
    </w:p>
    <w:p w:rsidR="004059A3" w:rsidRPr="00A05473" w:rsidRDefault="00CD537B" w:rsidP="00CD537B">
      <w:pPr>
        <w:pStyle w:val="ListParagraph"/>
        <w:numPr>
          <w:ilvl w:val="2"/>
          <w:numId w:val="2"/>
        </w:numPr>
        <w:tabs>
          <w:tab w:val="left" w:pos="567"/>
          <w:tab w:val="left" w:pos="1560"/>
          <w:tab w:val="left" w:pos="5103"/>
        </w:tabs>
        <w:spacing w:line="276" w:lineRule="auto"/>
        <w:ind w:left="1701" w:hanging="567"/>
        <w:rPr>
          <w:lang w:val="es-ES"/>
        </w:rPr>
      </w:pPr>
      <w:r w:rsidRPr="00A05473">
        <w:rPr>
          <w:lang w:val="es-ES"/>
        </w:rPr>
        <w:t>Fecha y número de documento de las Directrices de Examen de la UPOV</w:t>
      </w:r>
      <w:r w:rsidR="004059A3" w:rsidRPr="00A05473">
        <w:rPr>
          <w:snapToGrid w:val="0"/>
          <w:lang w:val="es-ES"/>
        </w:rPr>
        <w:t>;</w:t>
      </w:r>
    </w:p>
    <w:p w:rsidR="004059A3" w:rsidRPr="00A05473" w:rsidRDefault="00CD537B" w:rsidP="00CD537B">
      <w:pPr>
        <w:pStyle w:val="ListParagraph"/>
        <w:numPr>
          <w:ilvl w:val="2"/>
          <w:numId w:val="2"/>
        </w:numPr>
        <w:tabs>
          <w:tab w:val="left" w:pos="567"/>
          <w:tab w:val="left" w:pos="1560"/>
          <w:tab w:val="left" w:pos="5103"/>
        </w:tabs>
        <w:spacing w:line="276" w:lineRule="auto"/>
        <w:ind w:left="1701" w:hanging="567"/>
        <w:rPr>
          <w:lang w:val="es-ES"/>
        </w:rPr>
      </w:pPr>
      <w:r w:rsidRPr="00A05473">
        <w:rPr>
          <w:lang w:val="es-ES"/>
        </w:rPr>
        <w:t>Fecha y/o número de documento de las directrices de examen de la autoridad informante</w:t>
      </w:r>
      <w:r w:rsidR="004059A3" w:rsidRPr="00A05473">
        <w:rPr>
          <w:snapToGrid w:val="0"/>
          <w:lang w:val="es-ES"/>
        </w:rPr>
        <w:t>;</w:t>
      </w:r>
    </w:p>
    <w:p w:rsidR="004059A3" w:rsidRPr="00A05473" w:rsidRDefault="00CD537B" w:rsidP="00CD537B">
      <w:pPr>
        <w:pStyle w:val="ListParagraph"/>
        <w:numPr>
          <w:ilvl w:val="2"/>
          <w:numId w:val="2"/>
        </w:numPr>
        <w:tabs>
          <w:tab w:val="left" w:pos="567"/>
          <w:tab w:val="left" w:pos="1560"/>
          <w:tab w:val="left" w:pos="5103"/>
        </w:tabs>
        <w:spacing w:line="276" w:lineRule="auto"/>
        <w:ind w:left="1701" w:hanging="567"/>
        <w:rPr>
          <w:lang w:val="es-ES"/>
        </w:rPr>
      </w:pPr>
      <w:r w:rsidRPr="00A05473">
        <w:rPr>
          <w:lang w:val="es-ES"/>
        </w:rPr>
        <w:t>Autoridad informante</w:t>
      </w:r>
      <w:r w:rsidR="004059A3" w:rsidRPr="00A05473">
        <w:rPr>
          <w:snapToGrid w:val="0"/>
          <w:lang w:val="es-ES"/>
        </w:rPr>
        <w:t>;</w:t>
      </w:r>
    </w:p>
    <w:p w:rsidR="004059A3" w:rsidRPr="00A05473" w:rsidRDefault="00CD537B" w:rsidP="00CD537B">
      <w:pPr>
        <w:pStyle w:val="ListParagraph"/>
        <w:numPr>
          <w:ilvl w:val="2"/>
          <w:numId w:val="2"/>
        </w:numPr>
        <w:tabs>
          <w:tab w:val="left" w:pos="567"/>
          <w:tab w:val="left" w:pos="1560"/>
          <w:tab w:val="left" w:pos="5103"/>
        </w:tabs>
        <w:spacing w:line="276" w:lineRule="auto"/>
        <w:ind w:left="1701" w:hanging="567"/>
        <w:rPr>
          <w:lang w:val="es-ES"/>
        </w:rPr>
      </w:pPr>
      <w:r w:rsidRPr="00A05473">
        <w:rPr>
          <w:lang w:val="es-ES"/>
        </w:rPr>
        <w:t>Estación(es) y lugar(es) del examen</w:t>
      </w:r>
      <w:r w:rsidR="004059A3" w:rsidRPr="00A05473">
        <w:rPr>
          <w:snapToGrid w:val="0"/>
          <w:lang w:val="es-ES"/>
        </w:rPr>
        <w:t>;</w:t>
      </w:r>
    </w:p>
    <w:p w:rsidR="004059A3" w:rsidRPr="00A05473" w:rsidRDefault="002401B6" w:rsidP="002401B6">
      <w:pPr>
        <w:pStyle w:val="ListParagraph"/>
        <w:numPr>
          <w:ilvl w:val="2"/>
          <w:numId w:val="2"/>
        </w:numPr>
        <w:tabs>
          <w:tab w:val="left" w:pos="567"/>
          <w:tab w:val="left" w:pos="1560"/>
          <w:tab w:val="left" w:pos="5103"/>
        </w:tabs>
        <w:spacing w:line="276" w:lineRule="auto"/>
        <w:ind w:left="1701" w:hanging="567"/>
        <w:rPr>
          <w:lang w:val="es-ES"/>
        </w:rPr>
      </w:pPr>
      <w:r w:rsidRPr="00A05473">
        <w:rPr>
          <w:lang w:val="es-ES"/>
        </w:rPr>
        <w:t>Período de realización del examen</w:t>
      </w:r>
      <w:r w:rsidR="004059A3" w:rsidRPr="00A05473">
        <w:rPr>
          <w:lang w:val="es-ES"/>
        </w:rPr>
        <w:t>;</w:t>
      </w:r>
    </w:p>
    <w:p w:rsidR="004059A3" w:rsidRPr="00A05473" w:rsidRDefault="002401B6" w:rsidP="002401B6">
      <w:pPr>
        <w:pStyle w:val="ListParagraph"/>
        <w:numPr>
          <w:ilvl w:val="2"/>
          <w:numId w:val="2"/>
        </w:numPr>
        <w:tabs>
          <w:tab w:val="left" w:pos="567"/>
          <w:tab w:val="left" w:pos="1560"/>
          <w:tab w:val="left" w:pos="5103"/>
        </w:tabs>
        <w:spacing w:line="276" w:lineRule="auto"/>
        <w:ind w:left="1701" w:hanging="567"/>
        <w:rPr>
          <w:lang w:val="es-ES"/>
        </w:rPr>
      </w:pPr>
      <w:r w:rsidRPr="00A05473">
        <w:rPr>
          <w:lang w:val="es-ES"/>
        </w:rPr>
        <w:t>Fecha y lugar de emisión del documento</w:t>
      </w:r>
      <w:r w:rsidR="004059A3" w:rsidRPr="00A05473">
        <w:rPr>
          <w:snapToGrid w:val="0"/>
          <w:lang w:val="es-ES"/>
        </w:rPr>
        <w:t>;</w:t>
      </w:r>
    </w:p>
    <w:p w:rsidR="004059A3" w:rsidRPr="00A05473" w:rsidRDefault="002401B6" w:rsidP="002401B6">
      <w:pPr>
        <w:pStyle w:val="ListParagraph"/>
        <w:numPr>
          <w:ilvl w:val="2"/>
          <w:numId w:val="2"/>
        </w:numPr>
        <w:tabs>
          <w:tab w:val="left" w:pos="567"/>
          <w:tab w:val="left" w:pos="1560"/>
          <w:tab w:val="left" w:pos="5103"/>
        </w:tabs>
        <w:spacing w:line="276" w:lineRule="auto"/>
        <w:ind w:left="1701" w:hanging="567"/>
        <w:rPr>
          <w:lang w:val="es-ES"/>
        </w:rPr>
      </w:pPr>
      <w:r w:rsidRPr="00A05473">
        <w:rPr>
          <w:lang w:val="es-ES"/>
        </w:rPr>
        <w:t xml:space="preserve">Grupo:  (Cuadro: </w:t>
      </w:r>
      <w:r w:rsidR="006E0B8C" w:rsidRPr="00A05473">
        <w:rPr>
          <w:lang w:val="es-ES"/>
        </w:rPr>
        <w:t xml:space="preserve"> </w:t>
      </w:r>
      <w:r w:rsidRPr="00A05473">
        <w:rPr>
          <w:lang w:val="es-ES"/>
        </w:rPr>
        <w:t>Caracteres; Niveles de expresión; Nota; Observaciones);</w:t>
      </w:r>
    </w:p>
    <w:p w:rsidR="004059A3" w:rsidRPr="00A05473" w:rsidRDefault="002401B6" w:rsidP="002401B6">
      <w:pPr>
        <w:pStyle w:val="ListParagraph"/>
        <w:numPr>
          <w:ilvl w:val="2"/>
          <w:numId w:val="2"/>
        </w:numPr>
        <w:tabs>
          <w:tab w:val="left" w:pos="567"/>
          <w:tab w:val="left" w:pos="1560"/>
          <w:tab w:val="left" w:pos="5103"/>
        </w:tabs>
        <w:spacing w:line="276" w:lineRule="auto"/>
        <w:ind w:left="1701" w:hanging="567"/>
        <w:rPr>
          <w:lang w:val="es-ES"/>
        </w:rPr>
      </w:pPr>
      <w:r w:rsidRPr="00A05473">
        <w:rPr>
          <w:lang w:val="es-ES"/>
        </w:rPr>
        <w:t>Información adicional;</w:t>
      </w:r>
    </w:p>
    <w:p w:rsidR="004059A3" w:rsidRPr="00A05473" w:rsidRDefault="002401B6" w:rsidP="004059A3">
      <w:pPr>
        <w:spacing w:line="276" w:lineRule="auto"/>
        <w:ind w:left="1134"/>
        <w:rPr>
          <w:lang w:val="es-ES"/>
        </w:rPr>
      </w:pPr>
      <w:r w:rsidRPr="00A05473">
        <w:rPr>
          <w:lang w:val="es-ES"/>
        </w:rPr>
        <w:tab/>
      </w:r>
      <w:r w:rsidR="004059A3" w:rsidRPr="00A05473">
        <w:rPr>
          <w:lang w:val="es-ES"/>
        </w:rPr>
        <w:t>a)</w:t>
      </w:r>
      <w:r w:rsidR="004059A3" w:rsidRPr="00A05473">
        <w:rPr>
          <w:lang w:val="es-ES"/>
        </w:rPr>
        <w:tab/>
      </w:r>
      <w:r w:rsidRPr="00A05473">
        <w:rPr>
          <w:lang w:val="es-ES"/>
        </w:rPr>
        <w:t>Datos adicionales</w:t>
      </w:r>
    </w:p>
    <w:p w:rsidR="004059A3" w:rsidRPr="00A05473" w:rsidRDefault="004059A3" w:rsidP="004059A3">
      <w:pPr>
        <w:spacing w:line="276" w:lineRule="auto"/>
        <w:ind w:left="1134"/>
        <w:rPr>
          <w:lang w:val="es-ES"/>
        </w:rPr>
      </w:pPr>
      <w:r w:rsidRPr="00A05473">
        <w:rPr>
          <w:lang w:val="es-ES"/>
        </w:rPr>
        <w:tab/>
        <w:t>b)</w:t>
      </w:r>
      <w:r w:rsidRPr="00A05473">
        <w:rPr>
          <w:lang w:val="es-ES"/>
        </w:rPr>
        <w:tab/>
      </w:r>
      <w:r w:rsidR="002401B6" w:rsidRPr="00A05473">
        <w:rPr>
          <w:lang w:val="es-ES"/>
        </w:rPr>
        <w:t>Fotografía (si procede)</w:t>
      </w:r>
    </w:p>
    <w:p w:rsidR="004059A3" w:rsidRPr="00A05473" w:rsidRDefault="004059A3" w:rsidP="004059A3">
      <w:pPr>
        <w:spacing w:line="276" w:lineRule="auto"/>
        <w:ind w:left="1134"/>
        <w:rPr>
          <w:lang w:val="es-ES"/>
        </w:rPr>
      </w:pPr>
      <w:r w:rsidRPr="00A05473">
        <w:rPr>
          <w:lang w:val="es-ES"/>
        </w:rPr>
        <w:tab/>
        <w:t>c)</w:t>
      </w:r>
      <w:r w:rsidRPr="00A05473">
        <w:rPr>
          <w:lang w:val="es-ES"/>
        </w:rPr>
        <w:tab/>
      </w:r>
      <w:r w:rsidR="002401B6" w:rsidRPr="00A05473">
        <w:rPr>
          <w:lang w:val="es-ES"/>
        </w:rPr>
        <w:t>Versión de la Carta de Colores RHS empleada (cuando proceda)</w:t>
      </w:r>
    </w:p>
    <w:p w:rsidR="004059A3" w:rsidRPr="00A05473" w:rsidRDefault="004059A3" w:rsidP="004059A3">
      <w:pPr>
        <w:tabs>
          <w:tab w:val="left" w:pos="284"/>
        </w:tabs>
        <w:spacing w:line="276" w:lineRule="auto"/>
        <w:ind w:left="1134"/>
        <w:rPr>
          <w:lang w:val="es-ES"/>
        </w:rPr>
      </w:pPr>
      <w:r w:rsidRPr="00A05473">
        <w:rPr>
          <w:lang w:val="es-ES"/>
        </w:rPr>
        <w:tab/>
        <w:t>d)</w:t>
      </w:r>
      <w:r w:rsidRPr="00A05473">
        <w:rPr>
          <w:lang w:val="es-ES"/>
        </w:rPr>
        <w:tab/>
      </w:r>
      <w:r w:rsidR="002401B6" w:rsidRPr="00A05473">
        <w:rPr>
          <w:lang w:val="es-ES"/>
        </w:rPr>
        <w:t>Observaciones</w:t>
      </w:r>
    </w:p>
    <w:p w:rsidR="004059A3" w:rsidRPr="00A05473" w:rsidRDefault="004059A3" w:rsidP="002401B6">
      <w:pPr>
        <w:rPr>
          <w:snapToGrid w:val="0"/>
          <w:lang w:val="es-ES"/>
        </w:rPr>
      </w:pPr>
    </w:p>
    <w:p w:rsidR="004059A3" w:rsidRPr="00A05473" w:rsidRDefault="009B2118" w:rsidP="004059A3">
      <w:pPr>
        <w:rPr>
          <w:snapToGrid w:val="0"/>
          <w:lang w:val="es-ES_tradnl"/>
        </w:rPr>
      </w:pPr>
      <w:r w:rsidRPr="00A05473">
        <w:rPr>
          <w:snapToGrid w:val="0"/>
        </w:rPr>
        <w:fldChar w:fldCharType="begin"/>
      </w:r>
      <w:r w:rsidR="004059A3" w:rsidRPr="00A05473">
        <w:rPr>
          <w:snapToGrid w:val="0"/>
          <w:lang w:val="es-ES_tradnl"/>
        </w:rPr>
        <w:instrText xml:space="preserve"> AUTONUM  </w:instrText>
      </w:r>
      <w:r w:rsidRPr="00A05473">
        <w:rPr>
          <w:snapToGrid w:val="0"/>
        </w:rPr>
        <w:fldChar w:fldCharType="end"/>
      </w:r>
      <w:r w:rsidR="004059A3" w:rsidRPr="00A05473">
        <w:rPr>
          <w:snapToGrid w:val="0"/>
          <w:lang w:val="es-ES_tradnl"/>
        </w:rPr>
        <w:tab/>
      </w:r>
      <w:r w:rsidR="002401B6" w:rsidRPr="00A05473">
        <w:rPr>
          <w:snapToGrid w:val="0"/>
          <w:lang w:val="es-ES_tradnl"/>
        </w:rPr>
        <w:t>El CAJ-AG examinó la situación de la descripción original de la variedad con respecto a la comprobación del material vegetal de una variedad protegida a efectos de la defensa del derecho de obtentor y señaló que en las orientaciones de la UPOV relativas a la observancia de los derechos de los obtentores que figuran en el documento UPOV/EXN/ENF/1 “Notas explicativas sobre la defensa de los derechos del obtentor con arreglo al Convenio de la UPOV” se ofrece la siguiente explicación</w:t>
      </w:r>
      <w:r w:rsidR="004059A3" w:rsidRPr="00A05473">
        <w:rPr>
          <w:snapToGrid w:val="0"/>
          <w:lang w:val="es-ES_tradnl"/>
        </w:rPr>
        <w:t xml:space="preserve">: </w:t>
      </w:r>
    </w:p>
    <w:p w:rsidR="004059A3" w:rsidRPr="00A05473" w:rsidRDefault="004059A3" w:rsidP="00340E47">
      <w:pPr>
        <w:rPr>
          <w:snapToGrid w:val="0"/>
          <w:lang w:val="es-ES_tradnl"/>
        </w:rPr>
      </w:pPr>
    </w:p>
    <w:p w:rsidR="004059A3" w:rsidRPr="00A05473" w:rsidRDefault="004059A3" w:rsidP="004059A3">
      <w:pPr>
        <w:pStyle w:val="ListParagraph"/>
        <w:ind w:left="567"/>
        <w:rPr>
          <w:snapToGrid w:val="0"/>
          <w:sz w:val="18"/>
          <w:lang w:val="es-ES_tradnl"/>
        </w:rPr>
      </w:pPr>
      <w:r w:rsidRPr="00A05473">
        <w:rPr>
          <w:snapToGrid w:val="0"/>
          <w:sz w:val="18"/>
          <w:lang w:val="es-ES_tradnl"/>
        </w:rPr>
        <w:t>“</w:t>
      </w:r>
      <w:r w:rsidR="00E6018E">
        <w:rPr>
          <w:snapToGrid w:val="0"/>
          <w:sz w:val="18"/>
          <w:lang w:val="es-ES_tradnl"/>
        </w:rPr>
        <w:t xml:space="preserve">SECCIÓN II: </w:t>
      </w:r>
      <w:r w:rsidR="00340E47" w:rsidRPr="00A05473">
        <w:rPr>
          <w:snapToGrid w:val="0"/>
          <w:sz w:val="18"/>
          <w:lang w:val="es-ES_tradnl"/>
        </w:rPr>
        <w:t>Algunas medidas posibles para la defensa de los</w:t>
      </w:r>
      <w:r w:rsidR="006E0B8C" w:rsidRPr="00A05473">
        <w:rPr>
          <w:snapToGrid w:val="0"/>
          <w:sz w:val="18"/>
          <w:lang w:val="es-ES_tradnl"/>
        </w:rPr>
        <w:t xml:space="preserve"> </w:t>
      </w:r>
      <w:r w:rsidR="00340E47" w:rsidRPr="00A05473">
        <w:rPr>
          <w:snapToGrid w:val="0"/>
          <w:sz w:val="18"/>
          <w:lang w:val="es-ES_tradnl"/>
        </w:rPr>
        <w:t>derechos de obtentor</w:t>
      </w:r>
      <w:r w:rsidRPr="00A05473">
        <w:rPr>
          <w:snapToGrid w:val="0"/>
          <w:sz w:val="18"/>
          <w:lang w:val="es-ES_tradnl"/>
        </w:rPr>
        <w:t xml:space="preserve"> </w:t>
      </w:r>
    </w:p>
    <w:p w:rsidR="004059A3" w:rsidRPr="00A05473" w:rsidRDefault="004059A3" w:rsidP="004059A3">
      <w:pPr>
        <w:pStyle w:val="ListParagraph"/>
        <w:ind w:left="567"/>
        <w:rPr>
          <w:snapToGrid w:val="0"/>
          <w:sz w:val="18"/>
          <w:lang w:val="es-ES_tradnl"/>
        </w:rPr>
      </w:pPr>
    </w:p>
    <w:p w:rsidR="004059A3" w:rsidRPr="00A05473" w:rsidRDefault="004059A3" w:rsidP="004059A3">
      <w:pPr>
        <w:pStyle w:val="ListParagraph"/>
        <w:ind w:left="567" w:right="567"/>
        <w:rPr>
          <w:snapToGrid w:val="0"/>
          <w:sz w:val="18"/>
          <w:lang w:val="es-ES_tradnl"/>
        </w:rPr>
      </w:pPr>
      <w:r w:rsidRPr="00A05473">
        <w:rPr>
          <w:snapToGrid w:val="0"/>
          <w:sz w:val="18"/>
          <w:lang w:val="es-ES_tradnl"/>
        </w:rPr>
        <w:t>“</w:t>
      </w:r>
      <w:r w:rsidR="00340E47" w:rsidRPr="00A05473">
        <w:rPr>
          <w:snapToGrid w:val="0"/>
          <w:sz w:val="18"/>
          <w:lang w:val="es-ES_tradnl"/>
        </w:rPr>
        <w:t>Si bien el Convenio de la UPOV exige a los miembros de la Unión que prevean los recursos legales apropiados que permitan defender eficazmente los derechos de obtentor, corresponde a los obtentores la defensa de sus derechos</w:t>
      </w:r>
      <w:r w:rsidRPr="00A05473">
        <w:rPr>
          <w:snapToGrid w:val="0"/>
          <w:sz w:val="18"/>
          <w:lang w:val="es-ES_tradnl"/>
        </w:rPr>
        <w:t>.”</w:t>
      </w:r>
    </w:p>
    <w:p w:rsidR="004059A3" w:rsidRPr="00A05473" w:rsidRDefault="004059A3" w:rsidP="004059A3">
      <w:pPr>
        <w:pStyle w:val="ListParagraph"/>
        <w:ind w:left="567" w:right="567"/>
        <w:rPr>
          <w:snapToGrid w:val="0"/>
          <w:sz w:val="18"/>
          <w:lang w:val="es-ES_tradnl"/>
        </w:rPr>
      </w:pPr>
      <w:r w:rsidRPr="00A05473">
        <w:rPr>
          <w:snapToGrid w:val="0"/>
          <w:sz w:val="18"/>
          <w:lang w:val="es-ES_tradnl"/>
        </w:rPr>
        <w:t>[…]</w:t>
      </w:r>
    </w:p>
    <w:p w:rsidR="004059A3" w:rsidRPr="00A05473" w:rsidRDefault="004059A3" w:rsidP="004059A3">
      <w:pPr>
        <w:pStyle w:val="ListParagraph"/>
        <w:ind w:left="567" w:right="567"/>
        <w:rPr>
          <w:snapToGrid w:val="0"/>
          <w:sz w:val="18"/>
          <w:lang w:val="es-ES_tradnl"/>
        </w:rPr>
      </w:pPr>
    </w:p>
    <w:p w:rsidR="004059A3" w:rsidRPr="00A05473" w:rsidRDefault="009B2118" w:rsidP="004059A3">
      <w:pPr>
        <w:rPr>
          <w:snapToGrid w:val="0"/>
          <w:lang w:val="es-ES_tradnl"/>
        </w:rPr>
      </w:pPr>
      <w:r w:rsidRPr="00A05473">
        <w:rPr>
          <w:snapToGrid w:val="0"/>
        </w:rPr>
        <w:fldChar w:fldCharType="begin"/>
      </w:r>
      <w:r w:rsidR="004059A3" w:rsidRPr="00A05473">
        <w:rPr>
          <w:snapToGrid w:val="0"/>
          <w:lang w:val="es-ES_tradnl"/>
        </w:rPr>
        <w:instrText xml:space="preserve"> AUTONUM  </w:instrText>
      </w:r>
      <w:r w:rsidRPr="00A05473">
        <w:rPr>
          <w:snapToGrid w:val="0"/>
        </w:rPr>
        <w:fldChar w:fldCharType="end"/>
      </w:r>
      <w:r w:rsidR="004059A3" w:rsidRPr="00A05473">
        <w:rPr>
          <w:snapToGrid w:val="0"/>
          <w:lang w:val="es-ES_tradnl"/>
        </w:rPr>
        <w:tab/>
      </w:r>
      <w:r w:rsidR="004571A1" w:rsidRPr="00A05473">
        <w:rPr>
          <w:snapToGrid w:val="0"/>
          <w:lang w:val="es-ES_tradnl"/>
        </w:rPr>
        <w:t>El CAJ-AG convino en que, en relación con el uso de la descripción original de la variedad, debía recordarse que la descripción de los caracteres de la variedad y la base para la distinción respecto de la variedad más similar están vinculadas a las circunstancias del examen DHE, según se expone en el párrafo 9.</w:t>
      </w:r>
      <w:r w:rsidR="004059A3" w:rsidRPr="00A05473">
        <w:rPr>
          <w:snapToGrid w:val="0"/>
          <w:lang w:val="es-ES_tradnl"/>
        </w:rPr>
        <w:t>b)</w:t>
      </w:r>
      <w:r w:rsidR="004F1BFB" w:rsidRPr="00A05473">
        <w:rPr>
          <w:snapToGrid w:val="0"/>
          <w:lang w:val="es-ES_tradnl"/>
        </w:rPr>
        <w:t xml:space="preserve"> del presente documento</w:t>
      </w:r>
      <w:r w:rsidR="004059A3" w:rsidRPr="00A05473">
        <w:rPr>
          <w:snapToGrid w:val="0"/>
          <w:lang w:val="es-ES_tradnl"/>
        </w:rPr>
        <w:t>:</w:t>
      </w:r>
    </w:p>
    <w:p w:rsidR="004059A3" w:rsidRPr="00A05473" w:rsidRDefault="004059A3" w:rsidP="004059A3">
      <w:pPr>
        <w:rPr>
          <w:snapToGrid w:val="0"/>
          <w:lang w:val="es-ES_tradnl"/>
        </w:rPr>
      </w:pPr>
      <w:bookmarkStart w:id="9" w:name="_GoBack"/>
      <w:bookmarkEnd w:id="9"/>
    </w:p>
    <w:p w:rsidR="00340E47" w:rsidRPr="00A05473" w:rsidRDefault="00340E47" w:rsidP="00340E47">
      <w:pPr>
        <w:pStyle w:val="ListParagraph"/>
        <w:numPr>
          <w:ilvl w:val="2"/>
          <w:numId w:val="2"/>
        </w:numPr>
        <w:tabs>
          <w:tab w:val="left" w:pos="567"/>
          <w:tab w:val="left" w:pos="1560"/>
          <w:tab w:val="left" w:pos="5103"/>
        </w:tabs>
        <w:spacing w:line="276" w:lineRule="auto"/>
        <w:ind w:left="1701" w:hanging="567"/>
        <w:rPr>
          <w:lang w:val="es-ES"/>
        </w:rPr>
      </w:pPr>
      <w:r w:rsidRPr="00A05473">
        <w:rPr>
          <w:lang w:val="es-ES"/>
        </w:rPr>
        <w:t>Fecha y número de documento de las Directrices de Examen de la UPOV;</w:t>
      </w:r>
    </w:p>
    <w:p w:rsidR="00340E47" w:rsidRPr="00A05473" w:rsidRDefault="00340E47" w:rsidP="00340E47">
      <w:pPr>
        <w:pStyle w:val="ListParagraph"/>
        <w:numPr>
          <w:ilvl w:val="2"/>
          <w:numId w:val="2"/>
        </w:numPr>
        <w:tabs>
          <w:tab w:val="left" w:pos="567"/>
          <w:tab w:val="left" w:pos="1560"/>
          <w:tab w:val="left" w:pos="5103"/>
        </w:tabs>
        <w:spacing w:line="276" w:lineRule="auto"/>
        <w:ind w:left="1701" w:hanging="567"/>
        <w:rPr>
          <w:lang w:val="es-ES"/>
        </w:rPr>
      </w:pPr>
      <w:r w:rsidRPr="00A05473">
        <w:rPr>
          <w:lang w:val="es-ES"/>
        </w:rPr>
        <w:t>Fecha y/o número de documento de las directrices de examen de la autoridad informante;</w:t>
      </w:r>
    </w:p>
    <w:p w:rsidR="00340E47" w:rsidRPr="00A05473" w:rsidRDefault="00340E47" w:rsidP="00340E47">
      <w:pPr>
        <w:pStyle w:val="ListParagraph"/>
        <w:numPr>
          <w:ilvl w:val="2"/>
          <w:numId w:val="2"/>
        </w:numPr>
        <w:tabs>
          <w:tab w:val="left" w:pos="567"/>
          <w:tab w:val="left" w:pos="1560"/>
          <w:tab w:val="left" w:pos="5103"/>
        </w:tabs>
        <w:spacing w:line="276" w:lineRule="auto"/>
        <w:ind w:left="1701" w:hanging="567"/>
        <w:rPr>
          <w:lang w:val="es-ES"/>
        </w:rPr>
      </w:pPr>
      <w:r w:rsidRPr="00A05473">
        <w:rPr>
          <w:lang w:val="es-ES"/>
        </w:rPr>
        <w:t>Autoridad informante;</w:t>
      </w:r>
    </w:p>
    <w:p w:rsidR="00340E47" w:rsidRPr="00A05473" w:rsidRDefault="00340E47" w:rsidP="00340E47">
      <w:pPr>
        <w:pStyle w:val="ListParagraph"/>
        <w:numPr>
          <w:ilvl w:val="2"/>
          <w:numId w:val="2"/>
        </w:numPr>
        <w:tabs>
          <w:tab w:val="left" w:pos="567"/>
          <w:tab w:val="left" w:pos="1560"/>
          <w:tab w:val="left" w:pos="5103"/>
        </w:tabs>
        <w:spacing w:line="276" w:lineRule="auto"/>
        <w:ind w:left="1701" w:hanging="567"/>
        <w:rPr>
          <w:lang w:val="es-ES"/>
        </w:rPr>
      </w:pPr>
      <w:r w:rsidRPr="00A05473">
        <w:rPr>
          <w:lang w:val="es-ES"/>
        </w:rPr>
        <w:t>Estación(es) y lugar(es) del examen;</w:t>
      </w:r>
    </w:p>
    <w:p w:rsidR="00340E47" w:rsidRPr="00A05473" w:rsidRDefault="00340E47" w:rsidP="00340E47">
      <w:pPr>
        <w:pStyle w:val="ListParagraph"/>
        <w:numPr>
          <w:ilvl w:val="2"/>
          <w:numId w:val="2"/>
        </w:numPr>
        <w:tabs>
          <w:tab w:val="left" w:pos="567"/>
          <w:tab w:val="left" w:pos="1560"/>
          <w:tab w:val="left" w:pos="5103"/>
        </w:tabs>
        <w:spacing w:line="276" w:lineRule="auto"/>
        <w:ind w:left="1701" w:hanging="567"/>
        <w:rPr>
          <w:lang w:val="es-ES"/>
        </w:rPr>
      </w:pPr>
      <w:r w:rsidRPr="00A05473">
        <w:rPr>
          <w:lang w:val="es-ES"/>
        </w:rPr>
        <w:t>Período de realización del examen;</w:t>
      </w:r>
    </w:p>
    <w:p w:rsidR="00340E47" w:rsidRPr="00A05473" w:rsidRDefault="00340E47" w:rsidP="00340E47">
      <w:pPr>
        <w:pStyle w:val="ListParagraph"/>
        <w:numPr>
          <w:ilvl w:val="2"/>
          <w:numId w:val="2"/>
        </w:numPr>
        <w:tabs>
          <w:tab w:val="left" w:pos="567"/>
          <w:tab w:val="left" w:pos="1560"/>
          <w:tab w:val="left" w:pos="5103"/>
        </w:tabs>
        <w:spacing w:line="276" w:lineRule="auto"/>
        <w:ind w:left="1701" w:hanging="567"/>
        <w:rPr>
          <w:lang w:val="es-ES"/>
        </w:rPr>
      </w:pPr>
      <w:r w:rsidRPr="00A05473">
        <w:rPr>
          <w:lang w:val="es-ES"/>
        </w:rPr>
        <w:t>Fecha y lugar de emisión del documento;</w:t>
      </w:r>
    </w:p>
    <w:p w:rsidR="00340E47" w:rsidRPr="00A05473" w:rsidRDefault="00340E47" w:rsidP="00340E47">
      <w:pPr>
        <w:pStyle w:val="ListParagraph"/>
        <w:numPr>
          <w:ilvl w:val="2"/>
          <w:numId w:val="2"/>
        </w:numPr>
        <w:tabs>
          <w:tab w:val="left" w:pos="567"/>
          <w:tab w:val="left" w:pos="1560"/>
          <w:tab w:val="left" w:pos="5103"/>
        </w:tabs>
        <w:spacing w:line="276" w:lineRule="auto"/>
        <w:ind w:left="1701" w:hanging="567"/>
        <w:rPr>
          <w:lang w:val="es-ES"/>
        </w:rPr>
      </w:pPr>
      <w:r w:rsidRPr="00A05473">
        <w:rPr>
          <w:lang w:val="es-ES"/>
        </w:rPr>
        <w:t xml:space="preserve">Grupo:  (Cuadro: </w:t>
      </w:r>
      <w:r w:rsidR="004F1BFB" w:rsidRPr="00A05473">
        <w:rPr>
          <w:lang w:val="es-ES"/>
        </w:rPr>
        <w:t xml:space="preserve"> </w:t>
      </w:r>
      <w:r w:rsidRPr="00A05473">
        <w:rPr>
          <w:lang w:val="es-ES"/>
        </w:rPr>
        <w:t xml:space="preserve">Caracteres; </w:t>
      </w:r>
      <w:r w:rsidR="004F1BFB" w:rsidRPr="00A05473">
        <w:rPr>
          <w:lang w:val="es-ES"/>
        </w:rPr>
        <w:t xml:space="preserve"> </w:t>
      </w:r>
      <w:r w:rsidRPr="00A05473">
        <w:rPr>
          <w:lang w:val="es-ES"/>
        </w:rPr>
        <w:t xml:space="preserve">Niveles de expresión; </w:t>
      </w:r>
      <w:r w:rsidR="004F1BFB" w:rsidRPr="00A05473">
        <w:rPr>
          <w:lang w:val="es-ES"/>
        </w:rPr>
        <w:t xml:space="preserve"> </w:t>
      </w:r>
      <w:r w:rsidRPr="00A05473">
        <w:rPr>
          <w:lang w:val="es-ES"/>
        </w:rPr>
        <w:t xml:space="preserve">Nota; </w:t>
      </w:r>
      <w:r w:rsidR="004F1BFB" w:rsidRPr="00A05473">
        <w:rPr>
          <w:lang w:val="es-ES"/>
        </w:rPr>
        <w:t xml:space="preserve"> </w:t>
      </w:r>
      <w:r w:rsidRPr="00A05473">
        <w:rPr>
          <w:lang w:val="es-ES"/>
        </w:rPr>
        <w:t>Observaciones);</w:t>
      </w:r>
    </w:p>
    <w:p w:rsidR="00340E47" w:rsidRPr="00A05473" w:rsidRDefault="00340E47" w:rsidP="00340E47">
      <w:pPr>
        <w:pStyle w:val="ListParagraph"/>
        <w:numPr>
          <w:ilvl w:val="2"/>
          <w:numId w:val="2"/>
        </w:numPr>
        <w:tabs>
          <w:tab w:val="left" w:pos="567"/>
          <w:tab w:val="left" w:pos="1560"/>
          <w:tab w:val="left" w:pos="5103"/>
        </w:tabs>
        <w:spacing w:line="276" w:lineRule="auto"/>
        <w:ind w:left="1701" w:hanging="567"/>
        <w:rPr>
          <w:lang w:val="es-ES"/>
        </w:rPr>
      </w:pPr>
      <w:r w:rsidRPr="00A05473">
        <w:rPr>
          <w:lang w:val="es-ES"/>
        </w:rPr>
        <w:t>Información adicional;</w:t>
      </w:r>
    </w:p>
    <w:p w:rsidR="00340E47" w:rsidRPr="00A05473" w:rsidRDefault="00340E47" w:rsidP="00340E47">
      <w:pPr>
        <w:spacing w:line="276" w:lineRule="auto"/>
        <w:ind w:left="1134"/>
        <w:rPr>
          <w:lang w:val="es-ES"/>
        </w:rPr>
      </w:pPr>
      <w:r w:rsidRPr="00A05473">
        <w:rPr>
          <w:lang w:val="es-ES"/>
        </w:rPr>
        <w:tab/>
        <w:t>a)</w:t>
      </w:r>
      <w:r w:rsidRPr="00A05473">
        <w:rPr>
          <w:lang w:val="es-ES"/>
        </w:rPr>
        <w:tab/>
        <w:t>Datos adicionales</w:t>
      </w:r>
    </w:p>
    <w:p w:rsidR="00340E47" w:rsidRPr="00A05473" w:rsidRDefault="00340E47" w:rsidP="00340E47">
      <w:pPr>
        <w:spacing w:line="276" w:lineRule="auto"/>
        <w:ind w:left="1134"/>
        <w:rPr>
          <w:lang w:val="es-ES"/>
        </w:rPr>
      </w:pPr>
      <w:r w:rsidRPr="00A05473">
        <w:rPr>
          <w:lang w:val="es-ES"/>
        </w:rPr>
        <w:tab/>
        <w:t>b)</w:t>
      </w:r>
      <w:r w:rsidRPr="00A05473">
        <w:rPr>
          <w:lang w:val="es-ES"/>
        </w:rPr>
        <w:tab/>
        <w:t>Fotografía (si procede)</w:t>
      </w:r>
    </w:p>
    <w:p w:rsidR="00340E47" w:rsidRPr="00A05473" w:rsidRDefault="00340E47" w:rsidP="00340E47">
      <w:pPr>
        <w:spacing w:line="276" w:lineRule="auto"/>
        <w:ind w:left="1134"/>
        <w:rPr>
          <w:lang w:val="es-ES"/>
        </w:rPr>
      </w:pPr>
      <w:r w:rsidRPr="00A05473">
        <w:rPr>
          <w:lang w:val="es-ES"/>
        </w:rPr>
        <w:tab/>
        <w:t>c)</w:t>
      </w:r>
      <w:r w:rsidRPr="00A05473">
        <w:rPr>
          <w:lang w:val="es-ES"/>
        </w:rPr>
        <w:tab/>
        <w:t>Versión de la Carta de Colores RHS empleada (cuando proceda)</w:t>
      </w:r>
    </w:p>
    <w:p w:rsidR="00340E47" w:rsidRPr="00A05473" w:rsidRDefault="00340E47" w:rsidP="00340E47">
      <w:pPr>
        <w:spacing w:line="276" w:lineRule="auto"/>
        <w:ind w:left="1134"/>
        <w:rPr>
          <w:lang w:val="es-ES"/>
        </w:rPr>
      </w:pPr>
      <w:r w:rsidRPr="00A05473">
        <w:rPr>
          <w:lang w:val="es-ES"/>
        </w:rPr>
        <w:tab/>
        <w:t>d)</w:t>
      </w:r>
      <w:r w:rsidRPr="00A05473">
        <w:rPr>
          <w:lang w:val="es-ES"/>
        </w:rPr>
        <w:tab/>
        <w:t>Observaciones</w:t>
      </w:r>
    </w:p>
    <w:p w:rsidR="004059A3" w:rsidRPr="00A05473" w:rsidRDefault="004059A3" w:rsidP="00340E47">
      <w:pPr>
        <w:spacing w:line="276" w:lineRule="auto"/>
        <w:rPr>
          <w:lang w:val="es-ES_tradnl"/>
        </w:rPr>
      </w:pPr>
    </w:p>
    <w:p w:rsidR="004059A3" w:rsidRPr="00E6018E" w:rsidRDefault="009B2118" w:rsidP="004059A3">
      <w:pPr>
        <w:rPr>
          <w:lang w:val="es-ES_tradnl"/>
        </w:rPr>
      </w:pPr>
      <w:r w:rsidRPr="00A05473">
        <w:rPr>
          <w:snapToGrid w:val="0"/>
        </w:rPr>
        <w:fldChar w:fldCharType="begin"/>
      </w:r>
      <w:r w:rsidR="004059A3" w:rsidRPr="00A05473">
        <w:rPr>
          <w:snapToGrid w:val="0"/>
          <w:lang w:val="es-ES_tradnl"/>
        </w:rPr>
        <w:instrText xml:space="preserve"> AUTONUM  </w:instrText>
      </w:r>
      <w:r w:rsidRPr="00A05473">
        <w:rPr>
          <w:snapToGrid w:val="0"/>
        </w:rPr>
        <w:fldChar w:fldCharType="end"/>
      </w:r>
      <w:r w:rsidR="004059A3" w:rsidRPr="00A05473">
        <w:rPr>
          <w:snapToGrid w:val="0"/>
          <w:lang w:val="es-ES_tradnl"/>
        </w:rPr>
        <w:tab/>
      </w:r>
      <w:r w:rsidR="00F6224A" w:rsidRPr="00A05473">
        <w:rPr>
          <w:snapToGrid w:val="0"/>
          <w:lang w:val="es-ES_tradnl"/>
        </w:rPr>
        <w:t xml:space="preserve">El CAJ-AG convino en recomendar al CAJ que informe al Comité Técnico sobre la finalidad de la descripción original de la variedad y la situación de la descripción original de la variedad con respecto a la </w:t>
      </w:r>
      <w:r w:rsidR="00F6224A" w:rsidRPr="00A05473">
        <w:rPr>
          <w:snapToGrid w:val="0"/>
          <w:lang w:val="es-ES_tradnl"/>
        </w:rPr>
        <w:lastRenderedPageBreak/>
        <w:t xml:space="preserve">comprobación de que el material vegetal corresponde a una variedad protegida a los fines de la defensa del derecho, según se ha descrito antes, a fin de facilitar su examen de las cuestiones </w:t>
      </w:r>
      <w:r w:rsidR="00DD1C85" w:rsidRPr="00A05473">
        <w:rPr>
          <w:snapToGrid w:val="0"/>
          <w:lang w:val="es-ES_tradnl"/>
        </w:rPr>
        <w:t xml:space="preserve">indicadas en el </w:t>
      </w:r>
      <w:r w:rsidR="00DD1C85" w:rsidRPr="00E6018E">
        <w:rPr>
          <w:snapToGrid w:val="0"/>
          <w:lang w:val="es-ES_tradnl"/>
        </w:rPr>
        <w:t>párrafo 8 d</w:t>
      </w:r>
      <w:r w:rsidR="00DD1C85" w:rsidRPr="00E6018E">
        <w:rPr>
          <w:lang w:val="es-ES_tradnl"/>
        </w:rPr>
        <w:t>el presente documento.</w:t>
      </w:r>
    </w:p>
    <w:p w:rsidR="004059A3" w:rsidRPr="00E6018E" w:rsidRDefault="004059A3" w:rsidP="004059A3">
      <w:pPr>
        <w:rPr>
          <w:lang w:val="es-ES_tradnl"/>
        </w:rPr>
      </w:pPr>
    </w:p>
    <w:p w:rsidR="004059A3" w:rsidRPr="00E6018E" w:rsidRDefault="009B2118" w:rsidP="004059A3">
      <w:pPr>
        <w:rPr>
          <w:lang w:val="es-ES_tradnl"/>
        </w:rPr>
      </w:pPr>
      <w:r w:rsidRPr="00E6018E">
        <w:fldChar w:fldCharType="begin"/>
      </w:r>
      <w:r w:rsidR="004059A3" w:rsidRPr="00E6018E">
        <w:rPr>
          <w:lang w:val="es-ES_tradnl"/>
        </w:rPr>
        <w:instrText xml:space="preserve"> AUTONUM  </w:instrText>
      </w:r>
      <w:r w:rsidRPr="00E6018E">
        <w:fldChar w:fldCharType="end"/>
      </w:r>
      <w:r w:rsidR="004059A3" w:rsidRPr="00E6018E">
        <w:rPr>
          <w:lang w:val="es-ES_tradnl"/>
        </w:rPr>
        <w:tab/>
      </w:r>
      <w:r w:rsidR="00041A81" w:rsidRPr="00E6018E">
        <w:rPr>
          <w:lang w:val="es-ES_tradnl"/>
        </w:rPr>
        <w:t>En su septuagésima primera sesión, prevista en Ginebra el 26 de marzo de 2015, e</w:t>
      </w:r>
      <w:r w:rsidR="00DD1C85" w:rsidRPr="00E6018E">
        <w:rPr>
          <w:lang w:val="es-ES_tradnl"/>
        </w:rPr>
        <w:t xml:space="preserve">l CAJ examinará las recomendaciones del CAJ-AG </w:t>
      </w:r>
      <w:r w:rsidR="00041A81" w:rsidRPr="00E6018E">
        <w:rPr>
          <w:lang w:val="es-ES_tradnl"/>
        </w:rPr>
        <w:t>sobr</w:t>
      </w:r>
      <w:r w:rsidR="00DD1C85" w:rsidRPr="00E6018E">
        <w:rPr>
          <w:lang w:val="es-ES_tradnl"/>
        </w:rPr>
        <w:t>e asuntos relativos a las descripciones de variedades.</w:t>
      </w:r>
    </w:p>
    <w:p w:rsidR="004059A3" w:rsidRPr="00E6018E" w:rsidRDefault="004059A3" w:rsidP="004059A3">
      <w:pPr>
        <w:rPr>
          <w:lang w:val="es-ES_tradnl"/>
        </w:rPr>
      </w:pPr>
    </w:p>
    <w:p w:rsidR="004059A3" w:rsidRPr="00E6018E" w:rsidRDefault="004059A3" w:rsidP="002C7A0B">
      <w:pPr>
        <w:pStyle w:val="Heading1"/>
        <w:rPr>
          <w:dstrike w:val="0"/>
          <w:color w:val="auto"/>
        </w:rPr>
      </w:pPr>
      <w:bookmarkStart w:id="10" w:name="_Toc411849616"/>
      <w:r w:rsidRPr="00E6018E">
        <w:rPr>
          <w:dstrike w:val="0"/>
          <w:color w:val="auto"/>
        </w:rPr>
        <w:t>Prop</w:t>
      </w:r>
      <w:r w:rsidR="004571A1" w:rsidRPr="00E6018E">
        <w:rPr>
          <w:dstrike w:val="0"/>
          <w:color w:val="auto"/>
        </w:rPr>
        <w:t>UESTA</w:t>
      </w:r>
      <w:bookmarkEnd w:id="10"/>
    </w:p>
    <w:p w:rsidR="004059A3" w:rsidRPr="00E6018E" w:rsidRDefault="004059A3" w:rsidP="004059A3">
      <w:pPr>
        <w:rPr>
          <w:lang w:val="es-ES_tradnl"/>
        </w:rPr>
      </w:pPr>
    </w:p>
    <w:p w:rsidR="004059A3" w:rsidRPr="00E6018E" w:rsidRDefault="009B2118" w:rsidP="004059A3">
      <w:pPr>
        <w:rPr>
          <w:lang w:val="es-ES_tradnl"/>
        </w:rPr>
      </w:pPr>
      <w:r w:rsidRPr="00E6018E">
        <w:fldChar w:fldCharType="begin"/>
      </w:r>
      <w:r w:rsidR="004059A3" w:rsidRPr="00E6018E">
        <w:rPr>
          <w:lang w:val="es-ES_tradnl"/>
        </w:rPr>
        <w:instrText xml:space="preserve"> AUTONUM  </w:instrText>
      </w:r>
      <w:r w:rsidRPr="00E6018E">
        <w:fldChar w:fldCharType="end"/>
      </w:r>
      <w:r w:rsidR="004059A3" w:rsidRPr="00E6018E">
        <w:rPr>
          <w:lang w:val="es-ES_tradnl"/>
        </w:rPr>
        <w:tab/>
      </w:r>
      <w:r w:rsidR="006D12CB" w:rsidRPr="00E6018E">
        <w:rPr>
          <w:lang w:val="es-ES_tradnl"/>
        </w:rPr>
        <w:t xml:space="preserve">En base a las novedades </w:t>
      </w:r>
      <w:r w:rsidR="000E70C7" w:rsidRPr="00E6018E">
        <w:rPr>
          <w:lang w:val="es-ES_tradnl"/>
        </w:rPr>
        <w:t xml:space="preserve">acaecidas </w:t>
      </w:r>
      <w:r w:rsidR="006D12CB" w:rsidRPr="00E6018E">
        <w:rPr>
          <w:lang w:val="es-ES_tradnl"/>
        </w:rPr>
        <w:t xml:space="preserve">en el CAJ-AG, se propone </w:t>
      </w:r>
      <w:r w:rsidR="000E70C7" w:rsidRPr="00E6018E">
        <w:rPr>
          <w:lang w:val="es-ES_tradnl"/>
        </w:rPr>
        <w:t>que e</w:t>
      </w:r>
      <w:r w:rsidR="006D12CB" w:rsidRPr="00E6018E">
        <w:rPr>
          <w:lang w:val="es-ES_tradnl"/>
        </w:rPr>
        <w:t xml:space="preserve">l TC considere </w:t>
      </w:r>
      <w:r w:rsidR="000E70C7" w:rsidRPr="00E6018E">
        <w:rPr>
          <w:lang w:val="es-ES_tradnl"/>
        </w:rPr>
        <w:t xml:space="preserve">la necesidad de </w:t>
      </w:r>
      <w:r w:rsidR="006D12CB" w:rsidRPr="00E6018E">
        <w:rPr>
          <w:lang w:val="es-ES_tradnl"/>
        </w:rPr>
        <w:t xml:space="preserve">elaborar información adicional, además de la </w:t>
      </w:r>
      <w:r w:rsidR="000E70C7" w:rsidRPr="00E6018E">
        <w:rPr>
          <w:lang w:val="es-ES_tradnl"/>
        </w:rPr>
        <w:t>indic</w:t>
      </w:r>
      <w:r w:rsidR="006D12CB" w:rsidRPr="00E6018E">
        <w:rPr>
          <w:lang w:val="es-ES_tradnl"/>
        </w:rPr>
        <w:t>ada en los párrafos 9 al 12 del presente documento</w:t>
      </w:r>
      <w:r w:rsidR="000E70C7" w:rsidRPr="00E6018E">
        <w:rPr>
          <w:lang w:val="es-ES_tradnl"/>
        </w:rPr>
        <w:t>,</w:t>
      </w:r>
      <w:r w:rsidR="006D12CB" w:rsidRPr="00E6018E">
        <w:rPr>
          <w:lang w:val="es-ES_tradnl"/>
        </w:rPr>
        <w:t xml:space="preserve"> con objeto de abordar los asuntos relativos a las descripciones de variedades </w:t>
      </w:r>
      <w:r w:rsidR="000E70C7" w:rsidRPr="00E6018E">
        <w:rPr>
          <w:lang w:val="es-ES_tradnl"/>
        </w:rPr>
        <w:t>indic</w:t>
      </w:r>
      <w:r w:rsidR="006D12CB" w:rsidRPr="00E6018E">
        <w:rPr>
          <w:lang w:val="es-ES_tradnl"/>
        </w:rPr>
        <w:t>ados en el párrafo 8 del documento.</w:t>
      </w:r>
    </w:p>
    <w:p w:rsidR="004059A3" w:rsidRPr="00E6018E" w:rsidRDefault="004059A3" w:rsidP="004059A3">
      <w:pPr>
        <w:rPr>
          <w:lang w:val="es-ES_tradnl"/>
        </w:rPr>
      </w:pPr>
    </w:p>
    <w:p w:rsidR="004059A3" w:rsidRPr="00E6018E" w:rsidRDefault="009B2118" w:rsidP="004059A3">
      <w:pPr>
        <w:rPr>
          <w:rFonts w:cs="Arial"/>
          <w:lang w:val="es-ES_tradnl"/>
        </w:rPr>
      </w:pPr>
      <w:r w:rsidRPr="00E6018E">
        <w:fldChar w:fldCharType="begin"/>
      </w:r>
      <w:r w:rsidR="004059A3" w:rsidRPr="00E6018E">
        <w:rPr>
          <w:lang w:val="es-ES_tradnl"/>
        </w:rPr>
        <w:instrText xml:space="preserve"> AUTONUM  </w:instrText>
      </w:r>
      <w:r w:rsidRPr="00E6018E">
        <w:fldChar w:fldCharType="end"/>
      </w:r>
      <w:r w:rsidR="004059A3" w:rsidRPr="00E6018E">
        <w:rPr>
          <w:lang w:val="es-ES_tradnl"/>
        </w:rPr>
        <w:tab/>
      </w:r>
      <w:r w:rsidR="006D12CB" w:rsidRPr="00E6018E">
        <w:rPr>
          <w:lang w:val="es-ES_tradnl"/>
        </w:rPr>
        <w:t xml:space="preserve">Se sugiere asimismo al TC que invite al CAJ a </w:t>
      </w:r>
      <w:r w:rsidR="000E70C7" w:rsidRPr="00E6018E">
        <w:rPr>
          <w:lang w:val="es-ES_tradnl"/>
        </w:rPr>
        <w:t xml:space="preserve">que </w:t>
      </w:r>
      <w:r w:rsidR="006D12CB" w:rsidRPr="00E6018E">
        <w:rPr>
          <w:lang w:val="es-ES_tradnl"/>
        </w:rPr>
        <w:t>consider</w:t>
      </w:r>
      <w:r w:rsidR="000E70C7" w:rsidRPr="00E6018E">
        <w:rPr>
          <w:lang w:val="es-ES_tradnl"/>
        </w:rPr>
        <w:t xml:space="preserve">e la posibilidad de </w:t>
      </w:r>
      <w:r w:rsidR="006D12CB" w:rsidRPr="00E6018E">
        <w:rPr>
          <w:lang w:val="es-ES_tradnl"/>
        </w:rPr>
        <w:t xml:space="preserve">elaborar información adicional acerca de la función del </w:t>
      </w:r>
      <w:r w:rsidR="006D12CB" w:rsidRPr="00E6018E">
        <w:rPr>
          <w:snapToGrid w:val="0"/>
          <w:lang w:val="es-ES_tradnl"/>
        </w:rPr>
        <w:t>material vegetal</w:t>
      </w:r>
      <w:r w:rsidR="006D12CB" w:rsidRPr="00E6018E">
        <w:rPr>
          <w:lang w:val="es-ES_tradnl"/>
        </w:rPr>
        <w:t xml:space="preserve"> usado para el examen DHE</w:t>
      </w:r>
      <w:r w:rsidR="006D12CB" w:rsidRPr="00E6018E">
        <w:rPr>
          <w:rFonts w:cs="Arial"/>
          <w:lang w:val="es-ES_tradnl"/>
        </w:rPr>
        <w:t xml:space="preserve"> con respecto a los asuntos </w:t>
      </w:r>
      <w:r w:rsidR="000E70C7" w:rsidRPr="00E6018E">
        <w:rPr>
          <w:rFonts w:cs="Arial"/>
          <w:lang w:val="es-ES_tradnl"/>
        </w:rPr>
        <w:t>enumer</w:t>
      </w:r>
      <w:r w:rsidR="006D12CB" w:rsidRPr="00E6018E">
        <w:rPr>
          <w:rFonts w:cs="Arial"/>
          <w:lang w:val="es-ES_tradnl"/>
        </w:rPr>
        <w:t>ados en el párrafo 8 del presente documento.</w:t>
      </w:r>
    </w:p>
    <w:p w:rsidR="004059A3" w:rsidRPr="00E6018E" w:rsidRDefault="004059A3" w:rsidP="004059A3">
      <w:pPr>
        <w:rPr>
          <w:rFonts w:cs="Arial"/>
          <w:lang w:val="es-ES_tradnl"/>
        </w:rPr>
      </w:pPr>
    </w:p>
    <w:p w:rsidR="004059A3" w:rsidRPr="00E6018E" w:rsidRDefault="009B2118" w:rsidP="004059A3">
      <w:pPr>
        <w:tabs>
          <w:tab w:val="left" w:pos="5387"/>
        </w:tabs>
        <w:ind w:left="4820"/>
        <w:rPr>
          <w:i/>
          <w:lang w:val="es-ES_tradnl"/>
        </w:rPr>
      </w:pPr>
      <w:r w:rsidRPr="00E6018E">
        <w:rPr>
          <w:i/>
        </w:rPr>
        <w:fldChar w:fldCharType="begin"/>
      </w:r>
      <w:r w:rsidR="004059A3" w:rsidRPr="00E6018E">
        <w:rPr>
          <w:i/>
          <w:lang w:val="es-ES_tradnl"/>
        </w:rPr>
        <w:instrText xml:space="preserve"> AUTONUM  </w:instrText>
      </w:r>
      <w:r w:rsidRPr="00E6018E">
        <w:rPr>
          <w:i/>
        </w:rPr>
        <w:fldChar w:fldCharType="end"/>
      </w:r>
      <w:r w:rsidR="004059A3" w:rsidRPr="00E6018E">
        <w:rPr>
          <w:i/>
          <w:lang w:val="es-ES_tradnl"/>
        </w:rPr>
        <w:tab/>
      </w:r>
      <w:r w:rsidR="006D12CB" w:rsidRPr="00E6018E">
        <w:rPr>
          <w:i/>
          <w:lang w:val="es-ES_tradnl"/>
        </w:rPr>
        <w:t>Se invita al TC a considerar si:</w:t>
      </w:r>
      <w:r w:rsidR="004059A3" w:rsidRPr="00E6018E">
        <w:rPr>
          <w:i/>
          <w:lang w:val="es-ES_tradnl"/>
        </w:rPr>
        <w:t xml:space="preserve"> </w:t>
      </w:r>
    </w:p>
    <w:p w:rsidR="004059A3" w:rsidRPr="00E6018E" w:rsidRDefault="004059A3" w:rsidP="004059A3">
      <w:pPr>
        <w:tabs>
          <w:tab w:val="left" w:pos="5529"/>
        </w:tabs>
        <w:ind w:left="4820"/>
        <w:rPr>
          <w:i/>
          <w:lang w:val="es-ES_tradnl"/>
        </w:rPr>
      </w:pPr>
    </w:p>
    <w:p w:rsidR="004059A3" w:rsidRPr="00E6018E" w:rsidRDefault="00D53E70" w:rsidP="00D53E70">
      <w:pPr>
        <w:pStyle w:val="ListParagraph"/>
        <w:numPr>
          <w:ilvl w:val="0"/>
          <w:numId w:val="4"/>
        </w:numPr>
        <w:tabs>
          <w:tab w:val="left" w:pos="5954"/>
        </w:tabs>
        <w:ind w:left="4820" w:firstLine="567"/>
        <w:rPr>
          <w:i/>
          <w:lang w:val="es-ES_tradnl"/>
        </w:rPr>
      </w:pPr>
      <w:r w:rsidRPr="00E6018E">
        <w:rPr>
          <w:i/>
          <w:lang w:val="es-ES_tradnl"/>
        </w:rPr>
        <w:t>es preciso elaborar información adicional, además de la in</w:t>
      </w:r>
      <w:r w:rsidR="000E70C7" w:rsidRPr="00E6018E">
        <w:rPr>
          <w:i/>
          <w:lang w:val="es-ES_tradnl"/>
        </w:rPr>
        <w:t>dic</w:t>
      </w:r>
      <w:r w:rsidRPr="00E6018E">
        <w:rPr>
          <w:i/>
          <w:lang w:val="es-ES_tradnl"/>
        </w:rPr>
        <w:t xml:space="preserve">ada en los párrafos 9 al 12 con objeto de abordar los asuntos relativos a las descripciones de variedades </w:t>
      </w:r>
      <w:r w:rsidR="000E70C7" w:rsidRPr="00E6018E">
        <w:rPr>
          <w:i/>
          <w:lang w:val="es-ES_tradnl"/>
        </w:rPr>
        <w:t>indic</w:t>
      </w:r>
      <w:r w:rsidRPr="00E6018E">
        <w:rPr>
          <w:i/>
          <w:lang w:val="es-ES_tradnl"/>
        </w:rPr>
        <w:t>ados en el párrafo 8 del documento, y</w:t>
      </w:r>
    </w:p>
    <w:p w:rsidR="004059A3" w:rsidRPr="00E6018E" w:rsidRDefault="004059A3" w:rsidP="004059A3">
      <w:pPr>
        <w:pStyle w:val="ListParagraph"/>
        <w:tabs>
          <w:tab w:val="left" w:pos="5954"/>
        </w:tabs>
        <w:ind w:left="5387"/>
        <w:rPr>
          <w:i/>
          <w:lang w:val="es-ES_tradnl"/>
        </w:rPr>
      </w:pPr>
    </w:p>
    <w:p w:rsidR="004059A3" w:rsidRPr="00E6018E" w:rsidRDefault="00D53E70" w:rsidP="00D53E70">
      <w:pPr>
        <w:pStyle w:val="ListParagraph"/>
        <w:numPr>
          <w:ilvl w:val="0"/>
          <w:numId w:val="4"/>
        </w:numPr>
        <w:tabs>
          <w:tab w:val="left" w:pos="5954"/>
        </w:tabs>
        <w:ind w:left="4820" w:firstLine="567"/>
        <w:rPr>
          <w:i/>
          <w:lang w:val="es-ES_tradnl"/>
        </w:rPr>
      </w:pPr>
      <w:r w:rsidRPr="00E6018E">
        <w:rPr>
          <w:i/>
          <w:lang w:val="es-ES_tradnl"/>
        </w:rPr>
        <w:t xml:space="preserve">si procede invitar al CAJ a que considere </w:t>
      </w:r>
      <w:r w:rsidR="000E70C7" w:rsidRPr="00E6018E">
        <w:rPr>
          <w:i/>
          <w:lang w:val="es-ES_tradnl"/>
        </w:rPr>
        <w:t xml:space="preserve">la posibilidad de </w:t>
      </w:r>
      <w:r w:rsidRPr="00E6018E">
        <w:rPr>
          <w:i/>
          <w:lang w:val="es-ES_tradnl"/>
        </w:rPr>
        <w:t xml:space="preserve">elaborar información adicional acerca de la función del material vegetal usado para el examen DHE con respecto a los asuntos </w:t>
      </w:r>
      <w:r w:rsidR="000E70C7" w:rsidRPr="00E6018E">
        <w:rPr>
          <w:i/>
          <w:lang w:val="es-ES_tradnl"/>
        </w:rPr>
        <w:t>enumer</w:t>
      </w:r>
      <w:r w:rsidRPr="00E6018E">
        <w:rPr>
          <w:i/>
          <w:lang w:val="es-ES_tradnl"/>
        </w:rPr>
        <w:t>ados en el párrafo 8 del presente documento.</w:t>
      </w:r>
    </w:p>
    <w:p w:rsidR="004059A3" w:rsidRPr="00A05473" w:rsidRDefault="004059A3" w:rsidP="004059A3">
      <w:pPr>
        <w:rPr>
          <w:rFonts w:eastAsia="SimSun"/>
          <w:lang w:val="es-ES_tradnl"/>
        </w:rPr>
      </w:pPr>
    </w:p>
    <w:p w:rsidR="004059A3" w:rsidRPr="00A05473" w:rsidRDefault="004059A3" w:rsidP="004059A3">
      <w:pPr>
        <w:rPr>
          <w:rFonts w:eastAsia="SimSun"/>
          <w:lang w:val="es-ES_tradnl"/>
        </w:rPr>
      </w:pPr>
    </w:p>
    <w:p w:rsidR="004059A3" w:rsidRPr="00A05473" w:rsidRDefault="004059A3" w:rsidP="004059A3">
      <w:pPr>
        <w:rPr>
          <w:rFonts w:eastAsia="SimSun"/>
          <w:lang w:val="es-ES_tradnl"/>
        </w:rPr>
      </w:pPr>
    </w:p>
    <w:p w:rsidR="004059A3" w:rsidRPr="00A05473" w:rsidRDefault="004059A3" w:rsidP="004059A3">
      <w:pPr>
        <w:keepNext/>
        <w:tabs>
          <w:tab w:val="left" w:pos="5245"/>
        </w:tabs>
        <w:ind w:left="4678"/>
        <w:jc w:val="right"/>
        <w:rPr>
          <w:rFonts w:eastAsia="SimSun"/>
          <w:iCs/>
          <w:lang w:val="es-ES"/>
        </w:rPr>
      </w:pPr>
      <w:r w:rsidRPr="00A05473">
        <w:rPr>
          <w:rFonts w:eastAsia="SimSun"/>
          <w:iCs/>
          <w:lang w:val="es-ES"/>
        </w:rPr>
        <w:t>[</w:t>
      </w:r>
      <w:r w:rsidR="004571A1" w:rsidRPr="00A05473">
        <w:rPr>
          <w:rFonts w:eastAsia="SimSun"/>
          <w:iCs/>
          <w:lang w:val="es-ES"/>
        </w:rPr>
        <w:t xml:space="preserve">Sigue el </w:t>
      </w:r>
      <w:r w:rsidRPr="00A05473">
        <w:rPr>
          <w:rFonts w:eastAsia="SimSun"/>
          <w:iCs/>
          <w:lang w:val="es-ES"/>
        </w:rPr>
        <w:t>Anexo]</w:t>
      </w:r>
    </w:p>
    <w:p w:rsidR="004059A3" w:rsidRPr="00A05473" w:rsidRDefault="004059A3" w:rsidP="004059A3">
      <w:pPr>
        <w:keepNext/>
        <w:tabs>
          <w:tab w:val="left" w:pos="5245"/>
        </w:tabs>
        <w:ind w:left="4678"/>
        <w:rPr>
          <w:rFonts w:eastAsia="SimSun"/>
          <w:i/>
          <w:iCs/>
          <w:lang w:val="es-ES_tradnl"/>
        </w:rPr>
      </w:pPr>
    </w:p>
    <w:p w:rsidR="004059A3" w:rsidRPr="00A05473" w:rsidRDefault="004059A3" w:rsidP="004059A3">
      <w:pPr>
        <w:keepNext/>
        <w:tabs>
          <w:tab w:val="left" w:pos="5245"/>
        </w:tabs>
        <w:ind w:left="4678"/>
        <w:rPr>
          <w:rFonts w:eastAsia="SimSun"/>
          <w:i/>
          <w:iCs/>
          <w:lang w:val="es-ES_tradnl"/>
        </w:rPr>
        <w:sectPr w:rsidR="004059A3" w:rsidRPr="00A05473" w:rsidSect="00450F4A">
          <w:headerReference w:type="default" r:id="rId9"/>
          <w:pgSz w:w="11907" w:h="16840" w:code="9"/>
          <w:pgMar w:top="510" w:right="1134" w:bottom="1134" w:left="1134" w:header="510" w:footer="680" w:gutter="0"/>
          <w:pgNumType w:start="1"/>
          <w:cols w:space="720"/>
          <w:titlePg/>
        </w:sectPr>
      </w:pPr>
    </w:p>
    <w:p w:rsidR="004059A3" w:rsidRPr="00A05473" w:rsidRDefault="00D53E70" w:rsidP="004059A3">
      <w:pPr>
        <w:jc w:val="center"/>
        <w:rPr>
          <w:caps/>
          <w:lang w:val="es-ES_tradnl"/>
        </w:rPr>
      </w:pPr>
      <w:r w:rsidRPr="00A05473">
        <w:rPr>
          <w:caps/>
          <w:lang w:val="es-ES_tradnl"/>
        </w:rPr>
        <w:lastRenderedPageBreak/>
        <w:t>Orientación de la UPOV sobre la descripción de variedades</w:t>
      </w:r>
    </w:p>
    <w:p w:rsidR="004059A3" w:rsidRPr="00A05473" w:rsidRDefault="004059A3" w:rsidP="004059A3">
      <w:pPr>
        <w:rPr>
          <w:lang w:val="es-ES_tradnl"/>
        </w:rPr>
      </w:pPr>
    </w:p>
    <w:p w:rsidR="004059A3" w:rsidRPr="00A05473" w:rsidRDefault="00C92A65" w:rsidP="004059A3">
      <w:pPr>
        <w:rPr>
          <w:u w:val="single"/>
          <w:lang w:val="es-ES_tradnl"/>
        </w:rPr>
      </w:pPr>
      <w:r w:rsidRPr="00A05473">
        <w:rPr>
          <w:u w:val="single"/>
          <w:lang w:val="es-ES_tradnl"/>
        </w:rPr>
        <w:t>Referencias a la “descripción de variedades” en el Convenio de la UPOV</w:t>
      </w:r>
    </w:p>
    <w:p w:rsidR="004059A3" w:rsidRPr="00A05473" w:rsidRDefault="004059A3" w:rsidP="004059A3">
      <w:pPr>
        <w:rPr>
          <w:lang w:val="es-ES_tradnl"/>
        </w:rPr>
      </w:pPr>
    </w:p>
    <w:p w:rsidR="004059A3" w:rsidRPr="00A05473" w:rsidRDefault="00C92A65" w:rsidP="004059A3">
      <w:pPr>
        <w:rPr>
          <w:snapToGrid w:val="0"/>
          <w:sz w:val="18"/>
          <w:lang w:val="es-ES_tradnl"/>
        </w:rPr>
      </w:pPr>
      <w:r w:rsidRPr="00A05473">
        <w:rPr>
          <w:snapToGrid w:val="0"/>
          <w:lang w:val="es-ES_tradnl"/>
        </w:rPr>
        <w:t>En el Acta de 1991 del Convenio de la UPOV no se hace referencia a la “descripción de variedades”.</w:t>
      </w:r>
      <w:r w:rsidR="004059A3" w:rsidRPr="00A05473">
        <w:rPr>
          <w:snapToGrid w:val="0"/>
          <w:lang w:val="es-ES_tradnl"/>
        </w:rPr>
        <w:t xml:space="preserve"> </w:t>
      </w:r>
    </w:p>
    <w:p w:rsidR="004059A3" w:rsidRPr="00A05473" w:rsidRDefault="004059A3" w:rsidP="004059A3">
      <w:pPr>
        <w:rPr>
          <w:snapToGrid w:val="0"/>
          <w:lang w:val="es-ES_tradnl"/>
        </w:rPr>
      </w:pPr>
    </w:p>
    <w:p w:rsidR="004059A3" w:rsidRPr="00A05473" w:rsidRDefault="00C92A65" w:rsidP="004059A3">
      <w:pPr>
        <w:rPr>
          <w:snapToGrid w:val="0"/>
          <w:lang w:val="es-ES_tradnl"/>
        </w:rPr>
      </w:pPr>
      <w:r w:rsidRPr="00A05473">
        <w:rPr>
          <w:snapToGrid w:val="0"/>
          <w:lang w:val="es-ES_tradnl"/>
        </w:rPr>
        <w:t>En el Acta de 1978 del Convenio de la UPOV figuran las siguientes referencias al término “descripción”:</w:t>
      </w:r>
    </w:p>
    <w:p w:rsidR="004059A3" w:rsidRPr="00A05473" w:rsidRDefault="004059A3" w:rsidP="004059A3">
      <w:pPr>
        <w:ind w:firstLine="567"/>
        <w:rPr>
          <w:snapToGrid w:val="0"/>
          <w:lang w:val="es-ES_tradnl"/>
        </w:rPr>
      </w:pPr>
    </w:p>
    <w:p w:rsidR="004059A3" w:rsidRPr="00A05473" w:rsidRDefault="004059A3" w:rsidP="004059A3">
      <w:pPr>
        <w:ind w:left="567" w:right="567" w:firstLine="567"/>
        <w:rPr>
          <w:bCs/>
          <w:snapToGrid w:val="0"/>
          <w:sz w:val="18"/>
          <w:lang w:val="es-ES"/>
        </w:rPr>
      </w:pPr>
      <w:r w:rsidRPr="00A05473">
        <w:rPr>
          <w:bCs/>
          <w:snapToGrid w:val="0"/>
          <w:sz w:val="18"/>
          <w:lang w:val="es-ES"/>
        </w:rPr>
        <w:t>“Art</w:t>
      </w:r>
      <w:r w:rsidR="004571A1" w:rsidRPr="00A05473">
        <w:rPr>
          <w:bCs/>
          <w:snapToGrid w:val="0"/>
          <w:sz w:val="18"/>
          <w:lang w:val="es-ES"/>
        </w:rPr>
        <w:t>ículo</w:t>
      </w:r>
      <w:r w:rsidRPr="00A05473">
        <w:rPr>
          <w:bCs/>
          <w:snapToGrid w:val="0"/>
          <w:sz w:val="18"/>
          <w:lang w:val="es-ES"/>
        </w:rPr>
        <w:t xml:space="preserve"> 6: </w:t>
      </w:r>
      <w:r w:rsidR="004F1BFB" w:rsidRPr="00A05473">
        <w:rPr>
          <w:bCs/>
          <w:snapToGrid w:val="0"/>
          <w:sz w:val="18"/>
          <w:lang w:val="es-ES"/>
        </w:rPr>
        <w:t>Condiciones requeridas para beneficiarse de la protección</w:t>
      </w:r>
    </w:p>
    <w:p w:rsidR="004059A3" w:rsidRPr="00A05473" w:rsidRDefault="004059A3" w:rsidP="004059A3">
      <w:pPr>
        <w:ind w:left="567" w:right="567" w:firstLine="567"/>
        <w:rPr>
          <w:bCs/>
          <w:snapToGrid w:val="0"/>
          <w:sz w:val="18"/>
          <w:lang w:val="es-ES_tradnl"/>
        </w:rPr>
      </w:pPr>
    </w:p>
    <w:p w:rsidR="004059A3" w:rsidRPr="00A05473" w:rsidRDefault="004059A3" w:rsidP="004059A3">
      <w:pPr>
        <w:ind w:left="567" w:right="567" w:firstLine="567"/>
        <w:rPr>
          <w:snapToGrid w:val="0"/>
          <w:sz w:val="18"/>
          <w:lang w:val="es-ES_tradnl"/>
        </w:rPr>
      </w:pPr>
      <w:r w:rsidRPr="00A05473">
        <w:rPr>
          <w:snapToGrid w:val="0"/>
          <w:sz w:val="18"/>
          <w:lang w:val="es-ES_tradnl"/>
        </w:rPr>
        <w:t>1)</w:t>
      </w:r>
      <w:r w:rsidRPr="00A05473">
        <w:rPr>
          <w:snapToGrid w:val="0"/>
          <w:sz w:val="18"/>
          <w:lang w:val="es-ES_tradnl"/>
        </w:rPr>
        <w:tab/>
      </w:r>
      <w:r w:rsidR="004571A1" w:rsidRPr="00A05473">
        <w:rPr>
          <w:snapToGrid w:val="0"/>
          <w:sz w:val="18"/>
          <w:lang w:val="es-ES_tradnl"/>
        </w:rPr>
        <w:t>El obtentor gozará de la protección prevista por el presente Convenio cuando se cumplan las siguientes condiciones</w:t>
      </w:r>
      <w:r w:rsidRPr="00A05473">
        <w:rPr>
          <w:snapToGrid w:val="0"/>
          <w:sz w:val="18"/>
          <w:lang w:val="es-ES_tradnl"/>
        </w:rPr>
        <w:t>:</w:t>
      </w:r>
    </w:p>
    <w:p w:rsidR="004059A3" w:rsidRPr="00A05473" w:rsidRDefault="004059A3" w:rsidP="004059A3">
      <w:pPr>
        <w:ind w:left="567" w:right="567" w:firstLine="567"/>
        <w:rPr>
          <w:snapToGrid w:val="0"/>
          <w:sz w:val="18"/>
          <w:lang w:val="es-ES_tradnl"/>
        </w:rPr>
      </w:pPr>
    </w:p>
    <w:p w:rsidR="004059A3" w:rsidRPr="00E6018E" w:rsidRDefault="004059A3" w:rsidP="004571A1">
      <w:pPr>
        <w:tabs>
          <w:tab w:val="left" w:pos="2268"/>
        </w:tabs>
        <w:ind w:left="567" w:right="567" w:firstLine="851"/>
        <w:rPr>
          <w:snapToGrid w:val="0"/>
          <w:sz w:val="18"/>
          <w:lang w:val="es-ES_tradnl"/>
        </w:rPr>
      </w:pPr>
      <w:r w:rsidRPr="00A05473">
        <w:rPr>
          <w:iCs/>
          <w:snapToGrid w:val="0"/>
          <w:sz w:val="18"/>
          <w:lang w:val="es-ES_tradnl"/>
        </w:rPr>
        <w:t>a)</w:t>
      </w:r>
      <w:r w:rsidRPr="00A05473">
        <w:rPr>
          <w:i/>
          <w:iCs/>
          <w:snapToGrid w:val="0"/>
          <w:sz w:val="18"/>
          <w:lang w:val="es-ES_tradnl"/>
        </w:rPr>
        <w:tab/>
      </w:r>
      <w:r w:rsidR="004F1BFB" w:rsidRPr="00A05473">
        <w:rPr>
          <w:snapToGrid w:val="0"/>
          <w:sz w:val="18"/>
          <w:lang w:val="es-ES"/>
        </w:rPr>
        <w:t>Sea cual sea el origen, artificial o natural, de la variación inicial que ha dado lugar a la variedad, ésta debe poder distinguirse claramente por uno o varios caracteres importantes de cualquier otra variedad, cuya existencia sea notoriamente conocida en el momento en que se solicite la protección</w:t>
      </w:r>
      <w:r w:rsidRPr="00A05473">
        <w:rPr>
          <w:snapToGrid w:val="0"/>
          <w:sz w:val="18"/>
          <w:lang w:val="es-ES"/>
        </w:rPr>
        <w:t>.</w:t>
      </w:r>
      <w:r w:rsidRPr="00A05473">
        <w:rPr>
          <w:snapToGrid w:val="0"/>
          <w:sz w:val="18"/>
          <w:lang w:val="es-ES_tradnl"/>
        </w:rPr>
        <w:t xml:space="preserve"> </w:t>
      </w:r>
      <w:r w:rsidR="004571A1" w:rsidRPr="00A05473">
        <w:rPr>
          <w:snapToGrid w:val="0"/>
          <w:sz w:val="18"/>
          <w:lang w:val="es-ES_tradnl"/>
        </w:rPr>
        <w:t xml:space="preserve">Esta notoriedad podrá establecerse por diversas referencias, tales como cultivo o comercialización ya en curso, inscripción efectuada o en trámite en un registro oficial de variedades, presencia en una colección de referencias o </w:t>
      </w:r>
      <w:r w:rsidR="004571A1" w:rsidRPr="00E6018E">
        <w:rPr>
          <w:snapToGrid w:val="0"/>
          <w:sz w:val="18"/>
          <w:lang w:val="es-ES_tradnl"/>
        </w:rPr>
        <w:t>descripción precisa en una publicación. Los caracteres que permitan definir y distinguir una variedad deberán poder ser reconocidos y descritos con precisión</w:t>
      </w:r>
      <w:r w:rsidRPr="00E6018E">
        <w:rPr>
          <w:snapToGrid w:val="0"/>
          <w:sz w:val="18"/>
          <w:lang w:val="es-ES_tradnl"/>
        </w:rPr>
        <w:t>.</w:t>
      </w:r>
    </w:p>
    <w:p w:rsidR="004059A3" w:rsidRPr="00E6018E" w:rsidRDefault="004059A3" w:rsidP="004059A3">
      <w:pPr>
        <w:ind w:left="1418" w:right="567"/>
        <w:rPr>
          <w:snapToGrid w:val="0"/>
          <w:sz w:val="18"/>
          <w:lang w:val="es-ES_tradnl"/>
        </w:rPr>
      </w:pPr>
      <w:r w:rsidRPr="00E6018E">
        <w:rPr>
          <w:snapToGrid w:val="0"/>
          <w:sz w:val="18"/>
          <w:lang w:val="es-ES_tradnl"/>
        </w:rPr>
        <w:t>[…]</w:t>
      </w:r>
    </w:p>
    <w:p w:rsidR="004059A3" w:rsidRPr="00A05473" w:rsidRDefault="004059A3" w:rsidP="004571A1">
      <w:pPr>
        <w:tabs>
          <w:tab w:val="left" w:pos="2268"/>
        </w:tabs>
        <w:ind w:left="567" w:right="567" w:firstLine="851"/>
        <w:rPr>
          <w:snapToGrid w:val="0"/>
          <w:sz w:val="18"/>
          <w:lang w:val="es-ES"/>
        </w:rPr>
      </w:pPr>
      <w:r w:rsidRPr="00E6018E">
        <w:rPr>
          <w:snapToGrid w:val="0"/>
          <w:sz w:val="18"/>
          <w:lang w:val="es-ES_tradnl"/>
        </w:rPr>
        <w:t>d)</w:t>
      </w:r>
      <w:r w:rsidRPr="00E6018E">
        <w:rPr>
          <w:snapToGrid w:val="0"/>
          <w:sz w:val="18"/>
          <w:lang w:val="es-ES_tradnl"/>
        </w:rPr>
        <w:tab/>
      </w:r>
      <w:r w:rsidR="004F1BFB" w:rsidRPr="00E6018E">
        <w:rPr>
          <w:sz w:val="18"/>
          <w:lang w:val="es-ES"/>
        </w:rPr>
        <w:t>La variedad deberá ser estable en sus caracteres esenciales, es decir, deberá permanecer conforme a su definición des</w:t>
      </w:r>
      <w:r w:rsidR="004F1BFB" w:rsidRPr="00A05473">
        <w:rPr>
          <w:sz w:val="18"/>
          <w:lang w:val="es-ES"/>
        </w:rPr>
        <w:t>pués de reproducciones o multiplicaciones sucesivas o, cuando el obtentor haya definido un ciclo particular de reproducciones o de multiplicaciones, al final de cada ciclo</w:t>
      </w:r>
      <w:r w:rsidRPr="00A05473">
        <w:rPr>
          <w:sz w:val="18"/>
          <w:lang w:val="es-ES"/>
        </w:rPr>
        <w:t>.”</w:t>
      </w:r>
      <w:r w:rsidRPr="00A05473">
        <w:rPr>
          <w:snapToGrid w:val="0"/>
          <w:sz w:val="18"/>
          <w:lang w:val="es-ES"/>
        </w:rPr>
        <w:t xml:space="preserve"> </w:t>
      </w:r>
    </w:p>
    <w:p w:rsidR="004059A3" w:rsidRPr="00A05473" w:rsidRDefault="004059A3" w:rsidP="004059A3">
      <w:pPr>
        <w:rPr>
          <w:snapToGrid w:val="0"/>
          <w:lang w:val="es-ES_tradnl"/>
        </w:rPr>
      </w:pPr>
    </w:p>
    <w:p w:rsidR="004059A3" w:rsidRPr="00A05473" w:rsidRDefault="004059A3" w:rsidP="004059A3">
      <w:pPr>
        <w:rPr>
          <w:snapToGrid w:val="0"/>
          <w:lang w:val="es-ES_tradnl"/>
        </w:rPr>
      </w:pPr>
    </w:p>
    <w:p w:rsidR="004059A3" w:rsidRPr="00A05473" w:rsidRDefault="004059A3" w:rsidP="004059A3">
      <w:pPr>
        <w:rPr>
          <w:snapToGrid w:val="0"/>
          <w:vanish/>
          <w:sz w:val="18"/>
          <w:lang w:val="es-ES_tradnl"/>
        </w:rPr>
      </w:pPr>
    </w:p>
    <w:p w:rsidR="004059A3" w:rsidRPr="00A05473" w:rsidRDefault="00C92A65" w:rsidP="004059A3">
      <w:pPr>
        <w:rPr>
          <w:b/>
          <w:u w:val="single"/>
          <w:lang w:val="es-ES_tradnl"/>
        </w:rPr>
      </w:pPr>
      <w:r w:rsidRPr="00A05473">
        <w:rPr>
          <w:u w:val="single"/>
          <w:lang w:val="es-ES_tradnl"/>
        </w:rPr>
        <w:t>Sección 6 “Informe de la UPOV sobre el examen técnico y Formulario UPOV para la descripción de variedades” del documento TGP/5 “Experiencia y cooperación en el examen DHE”</w:t>
      </w:r>
    </w:p>
    <w:p w:rsidR="004059A3" w:rsidRPr="00A05473" w:rsidRDefault="004059A3" w:rsidP="004059A3">
      <w:pPr>
        <w:rPr>
          <w:snapToGrid w:val="0"/>
          <w:lang w:val="es-ES_tradnl"/>
        </w:rPr>
      </w:pPr>
    </w:p>
    <w:p w:rsidR="004059A3" w:rsidRPr="00A05473" w:rsidRDefault="00C92A65" w:rsidP="004059A3">
      <w:pPr>
        <w:rPr>
          <w:lang w:val="es-ES_tradnl"/>
        </w:rPr>
      </w:pPr>
      <w:r w:rsidRPr="00A05473">
        <w:rPr>
          <w:lang w:val="es-ES_tradnl"/>
        </w:rPr>
        <w:t>En el Anexo “Formulario UPOV para la descripción de variedades” de la Sección</w:t>
      </w:r>
      <w:r w:rsidR="002656D8" w:rsidRPr="00A05473">
        <w:rPr>
          <w:lang w:val="es-ES_tradnl"/>
        </w:rPr>
        <w:t> </w:t>
      </w:r>
      <w:r w:rsidRPr="00A05473">
        <w:rPr>
          <w:lang w:val="es-ES_tradnl"/>
        </w:rPr>
        <w:t>6 “Informe de la UPOV sobre el examen técnico y Formulario UPOV para la descripción de variedades” del documento</w:t>
      </w:r>
      <w:r w:rsidR="002656D8" w:rsidRPr="00A05473">
        <w:rPr>
          <w:lang w:val="es-ES_tradnl"/>
        </w:rPr>
        <w:t> </w:t>
      </w:r>
      <w:r w:rsidRPr="00A05473">
        <w:rPr>
          <w:lang w:val="es-ES_tradnl"/>
        </w:rPr>
        <w:t>TGP/5 “Experiencia y cooperación en el examen</w:t>
      </w:r>
      <w:r w:rsidR="002656D8" w:rsidRPr="00A05473">
        <w:rPr>
          <w:lang w:val="es-ES_tradnl"/>
        </w:rPr>
        <w:t> </w:t>
      </w:r>
      <w:r w:rsidRPr="00A05473">
        <w:rPr>
          <w:lang w:val="es-ES_tradnl"/>
        </w:rPr>
        <w:t xml:space="preserve">DHE”, </w:t>
      </w:r>
      <w:r w:rsidR="00F403ED" w:rsidRPr="00A05473">
        <w:rPr>
          <w:lang w:val="es-ES_tradnl"/>
        </w:rPr>
        <w:t>que se reproduce como</w:t>
      </w:r>
      <w:r w:rsidRPr="00A05473">
        <w:rPr>
          <w:lang w:val="es-ES_tradnl"/>
        </w:rPr>
        <w:t xml:space="preserve"> A</w:t>
      </w:r>
      <w:r w:rsidR="00F403ED" w:rsidRPr="00A05473">
        <w:rPr>
          <w:lang w:val="es-ES_tradnl"/>
        </w:rPr>
        <w:t>nex</w:t>
      </w:r>
      <w:r w:rsidRPr="00A05473">
        <w:rPr>
          <w:lang w:val="es-ES_tradnl"/>
        </w:rPr>
        <w:t xml:space="preserve">o </w:t>
      </w:r>
      <w:r w:rsidR="00F403ED" w:rsidRPr="00A05473">
        <w:rPr>
          <w:lang w:val="es-ES_tradnl"/>
        </w:rPr>
        <w:t>d</w:t>
      </w:r>
      <w:r w:rsidRPr="00A05473">
        <w:rPr>
          <w:lang w:val="es-ES_tradnl"/>
        </w:rPr>
        <w:t>el presente documento</w:t>
      </w:r>
      <w:r w:rsidR="00F403ED" w:rsidRPr="00A05473">
        <w:rPr>
          <w:lang w:val="es-ES_tradnl"/>
        </w:rPr>
        <w:t>, se indican los componentes de una descripción de variedades</w:t>
      </w:r>
      <w:r w:rsidRPr="00A05473">
        <w:rPr>
          <w:lang w:val="es-ES_tradnl"/>
        </w:rPr>
        <w:t>.</w:t>
      </w:r>
      <w:r w:rsidR="004059A3" w:rsidRPr="00A05473">
        <w:rPr>
          <w:lang w:val="es-ES_tradnl"/>
        </w:rPr>
        <w:t xml:space="preserve"> </w:t>
      </w:r>
      <w:r w:rsidR="00F403ED" w:rsidRPr="00A05473">
        <w:rPr>
          <w:lang w:val="es-ES_tradnl"/>
        </w:rPr>
        <w:t>Los elementos que integran el formulario UPOV para la descripción de variedades son los siguientes:</w:t>
      </w:r>
      <w:r w:rsidR="004059A3" w:rsidRPr="00A05473">
        <w:rPr>
          <w:lang w:val="es-ES_tradnl"/>
        </w:rPr>
        <w:t xml:space="preserve"> </w:t>
      </w:r>
    </w:p>
    <w:p w:rsidR="004059A3" w:rsidRPr="00A05473" w:rsidRDefault="004059A3" w:rsidP="004059A3">
      <w:pPr>
        <w:rPr>
          <w:lang w:val="es-ES_tradnl"/>
        </w:rPr>
      </w:pPr>
    </w:p>
    <w:p w:rsidR="004059A3" w:rsidRPr="00A05473" w:rsidRDefault="004059A3" w:rsidP="004059A3">
      <w:pPr>
        <w:spacing w:line="276" w:lineRule="auto"/>
        <w:ind w:left="567"/>
        <w:rPr>
          <w:lang w:val="es-ES_tradnl"/>
        </w:rPr>
      </w:pPr>
      <w:r w:rsidRPr="00A05473">
        <w:rPr>
          <w:lang w:val="es-ES_tradnl"/>
        </w:rPr>
        <w:t>1.</w:t>
      </w:r>
      <w:r w:rsidRPr="00A05473">
        <w:rPr>
          <w:lang w:val="es-ES_tradnl"/>
        </w:rPr>
        <w:tab/>
      </w:r>
      <w:r w:rsidR="004571A1" w:rsidRPr="00A05473">
        <w:rPr>
          <w:lang w:val="es-ES_tradnl"/>
        </w:rPr>
        <w:t>Número de referencia de la autoridad informante</w:t>
      </w:r>
    </w:p>
    <w:p w:rsidR="004059A3" w:rsidRPr="00A05473" w:rsidRDefault="004059A3" w:rsidP="004059A3">
      <w:pPr>
        <w:spacing w:line="276" w:lineRule="auto"/>
        <w:ind w:left="567"/>
        <w:rPr>
          <w:lang w:val="es-ES_tradnl"/>
        </w:rPr>
      </w:pPr>
      <w:r w:rsidRPr="00A05473">
        <w:rPr>
          <w:lang w:val="es-ES_tradnl"/>
        </w:rPr>
        <w:t>2.</w:t>
      </w:r>
      <w:r w:rsidRPr="00A05473">
        <w:rPr>
          <w:lang w:val="es-ES_tradnl"/>
        </w:rPr>
        <w:tab/>
      </w:r>
      <w:r w:rsidR="004571A1" w:rsidRPr="00A05473">
        <w:rPr>
          <w:lang w:val="es-ES_tradnl"/>
        </w:rPr>
        <w:t>Número de referencia de la autoridad solicitante</w:t>
      </w:r>
    </w:p>
    <w:p w:rsidR="004059A3" w:rsidRPr="00A05473" w:rsidRDefault="004059A3" w:rsidP="004059A3">
      <w:pPr>
        <w:spacing w:line="276" w:lineRule="auto"/>
        <w:ind w:left="567"/>
        <w:rPr>
          <w:lang w:val="es-ES_tradnl"/>
        </w:rPr>
      </w:pPr>
      <w:r w:rsidRPr="00A05473">
        <w:rPr>
          <w:lang w:val="es-ES_tradnl"/>
        </w:rPr>
        <w:t>3.</w:t>
      </w:r>
      <w:r w:rsidRPr="00A05473">
        <w:rPr>
          <w:lang w:val="es-ES_tradnl"/>
        </w:rPr>
        <w:tab/>
      </w:r>
      <w:r w:rsidR="004571A1" w:rsidRPr="00A05473">
        <w:rPr>
          <w:lang w:val="es-ES_tradnl"/>
        </w:rPr>
        <w:t>Referencia del obtentor</w:t>
      </w:r>
    </w:p>
    <w:p w:rsidR="004059A3" w:rsidRPr="00A05473" w:rsidRDefault="004059A3" w:rsidP="004059A3">
      <w:pPr>
        <w:spacing w:line="276" w:lineRule="auto"/>
        <w:ind w:left="567"/>
        <w:rPr>
          <w:lang w:val="es-ES_tradnl"/>
        </w:rPr>
      </w:pPr>
      <w:r w:rsidRPr="00A05473">
        <w:rPr>
          <w:lang w:val="es-ES_tradnl"/>
        </w:rPr>
        <w:t>4.</w:t>
      </w:r>
      <w:r w:rsidRPr="00A05473">
        <w:rPr>
          <w:lang w:val="es-ES_tradnl"/>
        </w:rPr>
        <w:tab/>
      </w:r>
      <w:r w:rsidR="004571A1" w:rsidRPr="00A05473">
        <w:rPr>
          <w:lang w:val="es-ES_tradnl"/>
        </w:rPr>
        <w:t>Solicitante (nombre y dirección)</w:t>
      </w:r>
    </w:p>
    <w:p w:rsidR="004059A3" w:rsidRPr="00A05473" w:rsidRDefault="004059A3" w:rsidP="004059A3">
      <w:pPr>
        <w:spacing w:line="276" w:lineRule="auto"/>
        <w:ind w:left="567"/>
        <w:rPr>
          <w:lang w:val="es-ES_tradnl"/>
        </w:rPr>
      </w:pPr>
      <w:r w:rsidRPr="00A05473">
        <w:rPr>
          <w:lang w:val="es-ES_tradnl"/>
        </w:rPr>
        <w:t>5.</w:t>
      </w:r>
      <w:r w:rsidRPr="00A05473">
        <w:rPr>
          <w:lang w:val="es-ES_tradnl"/>
        </w:rPr>
        <w:tab/>
        <w:t>a)</w:t>
      </w:r>
      <w:r w:rsidR="004571A1" w:rsidRPr="00A05473">
        <w:rPr>
          <w:lang w:val="es-ES_tradnl"/>
        </w:rPr>
        <w:tab/>
        <w:t>Nombre botánico del taxón</w:t>
      </w:r>
    </w:p>
    <w:p w:rsidR="004059A3" w:rsidRPr="00A05473" w:rsidRDefault="004059A3" w:rsidP="004059A3">
      <w:pPr>
        <w:spacing w:line="276" w:lineRule="auto"/>
        <w:ind w:left="709"/>
        <w:rPr>
          <w:lang w:val="es-ES_tradnl"/>
        </w:rPr>
      </w:pPr>
      <w:r w:rsidRPr="00A05473">
        <w:rPr>
          <w:lang w:val="es-ES_tradnl"/>
        </w:rPr>
        <w:tab/>
        <w:t>b)</w:t>
      </w:r>
      <w:r w:rsidR="004571A1" w:rsidRPr="00A05473">
        <w:rPr>
          <w:lang w:val="es-ES_tradnl"/>
        </w:rPr>
        <w:tab/>
        <w:t>Código UPOV</w:t>
      </w:r>
    </w:p>
    <w:p w:rsidR="004059A3" w:rsidRPr="00A05473" w:rsidRDefault="004571A1" w:rsidP="004059A3">
      <w:pPr>
        <w:spacing w:line="276" w:lineRule="auto"/>
        <w:ind w:left="567"/>
        <w:rPr>
          <w:lang w:val="es-ES_tradnl"/>
        </w:rPr>
      </w:pPr>
      <w:r w:rsidRPr="00A05473">
        <w:rPr>
          <w:lang w:val="es-ES_tradnl"/>
        </w:rPr>
        <w:t>6.</w:t>
      </w:r>
      <w:r w:rsidR="004059A3" w:rsidRPr="00A05473">
        <w:rPr>
          <w:lang w:val="es-ES_tradnl"/>
        </w:rPr>
        <w:tab/>
      </w:r>
      <w:r w:rsidRPr="00A05473">
        <w:rPr>
          <w:lang w:val="es-ES_tradnl"/>
        </w:rPr>
        <w:t>Nombre común del taxón</w:t>
      </w:r>
    </w:p>
    <w:p w:rsidR="004059A3" w:rsidRPr="00A05473" w:rsidRDefault="004059A3" w:rsidP="004059A3">
      <w:pPr>
        <w:spacing w:line="276" w:lineRule="auto"/>
        <w:ind w:left="567"/>
        <w:rPr>
          <w:lang w:val="es-ES_tradnl"/>
        </w:rPr>
      </w:pPr>
      <w:r w:rsidRPr="00A05473">
        <w:rPr>
          <w:lang w:val="es-ES_tradnl"/>
        </w:rPr>
        <w:t>7.</w:t>
      </w:r>
      <w:r w:rsidRPr="00A05473">
        <w:rPr>
          <w:lang w:val="es-ES_tradnl"/>
        </w:rPr>
        <w:tab/>
      </w:r>
      <w:r w:rsidR="006607F4" w:rsidRPr="00A05473">
        <w:rPr>
          <w:lang w:val="es-ES_tradnl"/>
        </w:rPr>
        <w:t>Denominación de la variedad</w:t>
      </w:r>
    </w:p>
    <w:p w:rsidR="004059A3" w:rsidRPr="00A05473" w:rsidRDefault="004059A3" w:rsidP="004059A3">
      <w:pPr>
        <w:spacing w:line="276" w:lineRule="auto"/>
        <w:ind w:left="567"/>
        <w:rPr>
          <w:lang w:val="es-ES_tradnl"/>
        </w:rPr>
      </w:pPr>
      <w:r w:rsidRPr="00A05473">
        <w:rPr>
          <w:lang w:val="es-ES_tradnl"/>
        </w:rPr>
        <w:t>8.</w:t>
      </w:r>
      <w:r w:rsidRPr="00A05473">
        <w:rPr>
          <w:lang w:val="es-ES_tradnl"/>
        </w:rPr>
        <w:tab/>
      </w:r>
      <w:r w:rsidR="006607F4" w:rsidRPr="00A05473">
        <w:rPr>
          <w:lang w:val="es-ES_tradnl"/>
        </w:rPr>
        <w:t xml:space="preserve">Fecha y número de documento de </w:t>
      </w:r>
      <w:r w:rsidR="00F86BF8" w:rsidRPr="00A05473">
        <w:rPr>
          <w:lang w:val="es-ES"/>
        </w:rPr>
        <w:t xml:space="preserve">las </w:t>
      </w:r>
      <w:r w:rsidR="006C1B61" w:rsidRPr="00A05473">
        <w:rPr>
          <w:lang w:val="es-ES"/>
        </w:rPr>
        <w:t>d</w:t>
      </w:r>
      <w:r w:rsidR="00F86BF8" w:rsidRPr="00A05473">
        <w:rPr>
          <w:lang w:val="es-ES"/>
        </w:rPr>
        <w:t xml:space="preserve">irectrices de </w:t>
      </w:r>
      <w:r w:rsidR="006C1B61" w:rsidRPr="00A05473">
        <w:rPr>
          <w:lang w:val="es-ES"/>
        </w:rPr>
        <w:t>e</w:t>
      </w:r>
      <w:r w:rsidR="00F86BF8" w:rsidRPr="00A05473">
        <w:rPr>
          <w:lang w:val="es-ES"/>
        </w:rPr>
        <w:t>xamen de la UPOV</w:t>
      </w:r>
    </w:p>
    <w:p w:rsidR="004059A3" w:rsidRPr="00A05473" w:rsidRDefault="004059A3" w:rsidP="004059A3">
      <w:pPr>
        <w:spacing w:line="276" w:lineRule="auto"/>
        <w:ind w:left="567"/>
        <w:rPr>
          <w:lang w:val="es-ES_tradnl"/>
        </w:rPr>
      </w:pPr>
      <w:r w:rsidRPr="00A05473">
        <w:rPr>
          <w:lang w:val="es-ES_tradnl"/>
        </w:rPr>
        <w:t>9.</w:t>
      </w:r>
      <w:r w:rsidRPr="00A05473">
        <w:rPr>
          <w:lang w:val="es-ES_tradnl"/>
        </w:rPr>
        <w:tab/>
      </w:r>
      <w:r w:rsidR="00F86BF8" w:rsidRPr="00A05473">
        <w:rPr>
          <w:lang w:val="es-ES"/>
        </w:rPr>
        <w:t>Fecha y/o número de documento de las directrices de examen de la autoridad informante</w:t>
      </w:r>
    </w:p>
    <w:p w:rsidR="004059A3" w:rsidRPr="00A05473" w:rsidRDefault="004059A3" w:rsidP="004059A3">
      <w:pPr>
        <w:spacing w:line="276" w:lineRule="auto"/>
        <w:ind w:left="567"/>
        <w:rPr>
          <w:lang w:val="es-ES_tradnl"/>
        </w:rPr>
      </w:pPr>
      <w:r w:rsidRPr="00A05473">
        <w:rPr>
          <w:lang w:val="es-ES_tradnl"/>
        </w:rPr>
        <w:t>10.</w:t>
      </w:r>
      <w:r w:rsidRPr="00A05473">
        <w:rPr>
          <w:lang w:val="es-ES_tradnl"/>
        </w:rPr>
        <w:tab/>
      </w:r>
      <w:r w:rsidR="006607F4" w:rsidRPr="00A05473">
        <w:rPr>
          <w:lang w:val="es-ES_tradnl"/>
        </w:rPr>
        <w:t xml:space="preserve">Autoridad </w:t>
      </w:r>
      <w:r w:rsidR="006C1B61" w:rsidRPr="00A05473">
        <w:rPr>
          <w:lang w:val="es-ES_tradnl"/>
        </w:rPr>
        <w:t>i</w:t>
      </w:r>
      <w:r w:rsidR="006607F4" w:rsidRPr="00A05473">
        <w:rPr>
          <w:lang w:val="es-ES_tradnl"/>
        </w:rPr>
        <w:t>nformante</w:t>
      </w:r>
    </w:p>
    <w:p w:rsidR="004059A3" w:rsidRPr="00A05473" w:rsidRDefault="004059A3" w:rsidP="004059A3">
      <w:pPr>
        <w:spacing w:line="276" w:lineRule="auto"/>
        <w:ind w:left="567"/>
        <w:rPr>
          <w:lang w:val="es-ES_tradnl"/>
        </w:rPr>
      </w:pPr>
      <w:r w:rsidRPr="00A05473">
        <w:rPr>
          <w:lang w:val="es-ES_tradnl"/>
        </w:rPr>
        <w:t>11.</w:t>
      </w:r>
      <w:r w:rsidRPr="00A05473">
        <w:rPr>
          <w:lang w:val="es-ES_tradnl"/>
        </w:rPr>
        <w:tab/>
      </w:r>
      <w:r w:rsidR="006607F4" w:rsidRPr="00A05473">
        <w:rPr>
          <w:lang w:val="es-ES_tradnl"/>
        </w:rPr>
        <w:t>Estación(es) y lugar(es) del examen</w:t>
      </w:r>
    </w:p>
    <w:p w:rsidR="004059A3" w:rsidRPr="00A05473" w:rsidRDefault="004059A3" w:rsidP="004059A3">
      <w:pPr>
        <w:spacing w:line="276" w:lineRule="auto"/>
        <w:ind w:left="567"/>
        <w:rPr>
          <w:lang w:val="es-ES_tradnl"/>
        </w:rPr>
      </w:pPr>
      <w:r w:rsidRPr="00A05473">
        <w:rPr>
          <w:lang w:val="es-ES_tradnl"/>
        </w:rPr>
        <w:t>12.</w:t>
      </w:r>
      <w:r w:rsidRPr="00A05473">
        <w:rPr>
          <w:lang w:val="es-ES_tradnl"/>
        </w:rPr>
        <w:tab/>
      </w:r>
      <w:r w:rsidR="006607F4" w:rsidRPr="00A05473">
        <w:rPr>
          <w:lang w:val="es-ES_tradnl"/>
        </w:rPr>
        <w:t>Período del examen</w:t>
      </w:r>
    </w:p>
    <w:p w:rsidR="004059A3" w:rsidRPr="00A05473" w:rsidRDefault="004059A3" w:rsidP="004059A3">
      <w:pPr>
        <w:spacing w:line="276" w:lineRule="auto"/>
        <w:ind w:left="567"/>
        <w:rPr>
          <w:lang w:val="es-ES_tradnl"/>
        </w:rPr>
      </w:pPr>
      <w:r w:rsidRPr="00A05473">
        <w:rPr>
          <w:lang w:val="es-ES_tradnl"/>
        </w:rPr>
        <w:t>13.</w:t>
      </w:r>
      <w:r w:rsidRPr="00A05473">
        <w:rPr>
          <w:lang w:val="es-ES_tradnl"/>
        </w:rPr>
        <w:tab/>
      </w:r>
      <w:r w:rsidR="006607F4" w:rsidRPr="00A05473">
        <w:rPr>
          <w:lang w:val="es-ES_tradnl"/>
        </w:rPr>
        <w:t>Fecha y lugar de emisión del documento</w:t>
      </w:r>
    </w:p>
    <w:p w:rsidR="004059A3" w:rsidRPr="00A05473" w:rsidRDefault="004059A3" w:rsidP="004059A3">
      <w:pPr>
        <w:spacing w:line="276" w:lineRule="auto"/>
        <w:ind w:left="1134" w:hanging="567"/>
        <w:rPr>
          <w:lang w:val="es-ES_tradnl"/>
        </w:rPr>
      </w:pPr>
      <w:r w:rsidRPr="00A05473">
        <w:rPr>
          <w:lang w:val="es-ES_tradnl"/>
        </w:rPr>
        <w:t>14.</w:t>
      </w:r>
      <w:r w:rsidRPr="00A05473">
        <w:rPr>
          <w:lang w:val="es-ES_tradnl"/>
        </w:rPr>
        <w:tab/>
      </w:r>
      <w:r w:rsidR="00F86BF8" w:rsidRPr="00A05473">
        <w:rPr>
          <w:lang w:val="es-ES"/>
        </w:rPr>
        <w:t>Grupo</w:t>
      </w:r>
      <w:proofErr w:type="gramStart"/>
      <w:r w:rsidR="00F86BF8" w:rsidRPr="00A05473">
        <w:rPr>
          <w:lang w:val="es-ES"/>
        </w:rPr>
        <w:t>:  (</w:t>
      </w:r>
      <w:proofErr w:type="gramEnd"/>
      <w:r w:rsidR="00F86BF8" w:rsidRPr="00A05473">
        <w:rPr>
          <w:lang w:val="es-ES"/>
        </w:rPr>
        <w:t>Cuadro:  Caracteres;  Niveles de expresión;  Nota;  Observaciones)</w:t>
      </w:r>
    </w:p>
    <w:p w:rsidR="004059A3" w:rsidRPr="00A05473" w:rsidRDefault="004059A3" w:rsidP="00F403ED">
      <w:pPr>
        <w:spacing w:line="280" w:lineRule="auto"/>
        <w:ind w:left="1134" w:hanging="567"/>
        <w:rPr>
          <w:lang w:val="es-ES_tradnl"/>
        </w:rPr>
      </w:pPr>
      <w:r w:rsidRPr="00A05473">
        <w:rPr>
          <w:lang w:val="es-ES_tradnl"/>
        </w:rPr>
        <w:t>15.</w:t>
      </w:r>
      <w:r w:rsidRPr="00A05473">
        <w:rPr>
          <w:lang w:val="es-ES_tradnl"/>
        </w:rPr>
        <w:tab/>
      </w:r>
      <w:r w:rsidR="00F403ED" w:rsidRPr="00A05473">
        <w:rPr>
          <w:lang w:val="es-ES_tradnl"/>
        </w:rPr>
        <w:t>Caracteres incluidos en las directrices de examen de la UPOV o en las de la Autoridad Informante (Cuadro: Caracteres; Niveles de expresión; Nota; Observaciones)</w:t>
      </w:r>
    </w:p>
    <w:p w:rsidR="004059A3" w:rsidRPr="00A05473" w:rsidRDefault="004059A3" w:rsidP="004059A3">
      <w:pPr>
        <w:spacing w:line="276" w:lineRule="auto"/>
        <w:ind w:left="567"/>
        <w:rPr>
          <w:lang w:val="es-ES_tradnl"/>
        </w:rPr>
      </w:pPr>
      <w:r w:rsidRPr="00A05473">
        <w:rPr>
          <w:lang w:val="es-ES_tradnl"/>
        </w:rPr>
        <w:t>16.</w:t>
      </w:r>
      <w:r w:rsidRPr="00A05473">
        <w:rPr>
          <w:lang w:val="es-ES_tradnl"/>
        </w:rPr>
        <w:tab/>
      </w:r>
      <w:r w:rsidR="006607F4" w:rsidRPr="00A05473">
        <w:rPr>
          <w:lang w:val="es-ES_tradnl"/>
        </w:rPr>
        <w:t>Variedades similares y diferencias con respecto a esas variedades</w:t>
      </w:r>
    </w:p>
    <w:p w:rsidR="004059A3" w:rsidRPr="00A05473" w:rsidRDefault="004059A3" w:rsidP="004059A3">
      <w:pPr>
        <w:spacing w:line="276" w:lineRule="auto"/>
        <w:ind w:left="567"/>
        <w:rPr>
          <w:lang w:val="es-ES"/>
        </w:rPr>
      </w:pPr>
      <w:r w:rsidRPr="00A05473">
        <w:rPr>
          <w:lang w:val="es-ES_tradnl"/>
        </w:rPr>
        <w:t>17.</w:t>
      </w:r>
      <w:r w:rsidRPr="00A05473">
        <w:rPr>
          <w:lang w:val="es-ES_tradnl"/>
        </w:rPr>
        <w:tab/>
      </w:r>
      <w:r w:rsidR="006607F4" w:rsidRPr="00A05473">
        <w:rPr>
          <w:lang w:val="es-ES"/>
        </w:rPr>
        <w:t>Información adicional</w:t>
      </w:r>
    </w:p>
    <w:p w:rsidR="006607F4" w:rsidRPr="00A05473" w:rsidRDefault="006607F4" w:rsidP="006607F4">
      <w:pPr>
        <w:spacing w:line="276" w:lineRule="auto"/>
        <w:ind w:left="1134"/>
        <w:rPr>
          <w:lang w:val="es-ES"/>
        </w:rPr>
      </w:pPr>
      <w:r w:rsidRPr="00A05473">
        <w:rPr>
          <w:lang w:val="es-ES"/>
        </w:rPr>
        <w:tab/>
        <w:t>a)</w:t>
      </w:r>
      <w:r w:rsidRPr="00A05473">
        <w:rPr>
          <w:lang w:val="es-ES"/>
        </w:rPr>
        <w:tab/>
        <w:t>Datos adicionales</w:t>
      </w:r>
    </w:p>
    <w:p w:rsidR="006607F4" w:rsidRPr="00A05473" w:rsidRDefault="006607F4" w:rsidP="006607F4">
      <w:pPr>
        <w:spacing w:line="276" w:lineRule="auto"/>
        <w:ind w:left="1134"/>
        <w:rPr>
          <w:lang w:val="es-ES"/>
        </w:rPr>
      </w:pPr>
      <w:r w:rsidRPr="00A05473">
        <w:rPr>
          <w:lang w:val="es-ES"/>
        </w:rPr>
        <w:tab/>
        <w:t>b)</w:t>
      </w:r>
      <w:r w:rsidRPr="00A05473">
        <w:rPr>
          <w:lang w:val="es-ES"/>
        </w:rPr>
        <w:tab/>
        <w:t>Fotografía (si procede)</w:t>
      </w:r>
    </w:p>
    <w:p w:rsidR="006607F4" w:rsidRPr="00A05473" w:rsidRDefault="006607F4" w:rsidP="006607F4">
      <w:pPr>
        <w:spacing w:line="276" w:lineRule="auto"/>
        <w:ind w:left="1134"/>
        <w:rPr>
          <w:lang w:val="es-ES"/>
        </w:rPr>
      </w:pPr>
      <w:r w:rsidRPr="00A05473">
        <w:rPr>
          <w:lang w:val="es-ES"/>
        </w:rPr>
        <w:tab/>
        <w:t>c)</w:t>
      </w:r>
      <w:r w:rsidRPr="00A05473">
        <w:rPr>
          <w:lang w:val="es-ES"/>
        </w:rPr>
        <w:tab/>
        <w:t>Versión de la Carta de Colores RHS empleada (cuando proceda)</w:t>
      </w:r>
    </w:p>
    <w:p w:rsidR="004059A3" w:rsidRPr="00A05473" w:rsidRDefault="006607F4" w:rsidP="006607F4">
      <w:pPr>
        <w:spacing w:line="276" w:lineRule="auto"/>
        <w:ind w:left="1134"/>
        <w:rPr>
          <w:lang w:val="es-ES"/>
        </w:rPr>
      </w:pPr>
      <w:r w:rsidRPr="00A05473">
        <w:rPr>
          <w:lang w:val="es-ES"/>
        </w:rPr>
        <w:tab/>
        <w:t>d)</w:t>
      </w:r>
      <w:r w:rsidRPr="00A05473">
        <w:rPr>
          <w:lang w:val="es-ES"/>
        </w:rPr>
        <w:tab/>
        <w:t>Observaciones</w:t>
      </w:r>
    </w:p>
    <w:p w:rsidR="004059A3" w:rsidRPr="00A05473" w:rsidRDefault="00781330" w:rsidP="004059A3">
      <w:pPr>
        <w:rPr>
          <w:snapToGrid w:val="0"/>
          <w:lang w:val="es-ES_tradnl"/>
        </w:rPr>
      </w:pPr>
      <w:r w:rsidRPr="00A05473">
        <w:rPr>
          <w:snapToGrid w:val="0"/>
          <w:lang w:val="es-ES_tradnl"/>
        </w:rPr>
        <w:t xml:space="preserve">En el “Formulario UPOV para la descripción de variedades” se aclara que la descripción no </w:t>
      </w:r>
      <w:r w:rsidR="006C1B61" w:rsidRPr="00A05473">
        <w:rPr>
          <w:snapToGrid w:val="0"/>
          <w:lang w:val="es-ES_tradnl"/>
        </w:rPr>
        <w:t>se limita exclusivamente a</w:t>
      </w:r>
      <w:r w:rsidRPr="00A05473">
        <w:rPr>
          <w:snapToGrid w:val="0"/>
          <w:lang w:val="es-ES_tradnl"/>
        </w:rPr>
        <w:t xml:space="preserve"> una descripción de los caracteres (elemento</w:t>
      </w:r>
      <w:r w:rsidR="002656D8" w:rsidRPr="00A05473">
        <w:rPr>
          <w:snapToGrid w:val="0"/>
          <w:lang w:val="es-ES_tradnl"/>
        </w:rPr>
        <w:t> </w:t>
      </w:r>
      <w:r w:rsidR="006C1B61" w:rsidRPr="00A05473">
        <w:rPr>
          <w:snapToGrid w:val="0"/>
          <w:lang w:val="es-ES_tradnl"/>
        </w:rPr>
        <w:t>15)</w:t>
      </w:r>
      <w:r w:rsidRPr="00A05473">
        <w:rPr>
          <w:snapToGrid w:val="0"/>
          <w:lang w:val="es-ES_tradnl"/>
        </w:rPr>
        <w:t>.</w:t>
      </w:r>
      <w:r w:rsidR="004059A3" w:rsidRPr="00A05473">
        <w:rPr>
          <w:snapToGrid w:val="0"/>
          <w:lang w:val="es-ES_tradnl"/>
        </w:rPr>
        <w:t xml:space="preserve"> </w:t>
      </w:r>
      <w:r w:rsidRPr="00A05473">
        <w:rPr>
          <w:snapToGrid w:val="0"/>
          <w:lang w:val="es-ES_tradnl"/>
        </w:rPr>
        <w:t xml:space="preserve">En particular, los elementos clave de una </w:t>
      </w:r>
      <w:r w:rsidRPr="00A05473">
        <w:rPr>
          <w:snapToGrid w:val="0"/>
          <w:lang w:val="es-ES_tradnl"/>
        </w:rPr>
        <w:lastRenderedPageBreak/>
        <w:t>descripción de una variedad en el momento de la concesión del derecho de obtentor pueden resumirse en los siguientes:</w:t>
      </w:r>
    </w:p>
    <w:p w:rsidR="004059A3" w:rsidRPr="00A05473" w:rsidRDefault="004059A3" w:rsidP="004059A3">
      <w:pPr>
        <w:rPr>
          <w:snapToGrid w:val="0"/>
          <w:lang w:val="es-ES_tradnl"/>
        </w:rPr>
      </w:pPr>
    </w:p>
    <w:p w:rsidR="004059A3" w:rsidRPr="00A05473" w:rsidRDefault="00781330" w:rsidP="00781330">
      <w:pPr>
        <w:pStyle w:val="ListParagraph"/>
        <w:numPr>
          <w:ilvl w:val="0"/>
          <w:numId w:val="1"/>
        </w:numPr>
        <w:ind w:left="993" w:hanging="426"/>
        <w:rPr>
          <w:snapToGrid w:val="0"/>
          <w:lang w:val="es-ES_tradnl"/>
        </w:rPr>
      </w:pPr>
      <w:r w:rsidRPr="00A05473">
        <w:rPr>
          <w:snapToGrid w:val="0"/>
          <w:lang w:val="es-ES_tradnl"/>
        </w:rPr>
        <w:t>caracteres de la variedad (elemento 15)</w:t>
      </w:r>
      <w:r w:rsidR="006C1B61" w:rsidRPr="00A05473">
        <w:rPr>
          <w:snapToGrid w:val="0"/>
          <w:lang w:val="es-ES_tradnl"/>
        </w:rPr>
        <w:t>,</w:t>
      </w:r>
      <w:r w:rsidRPr="00A05473">
        <w:rPr>
          <w:snapToGrid w:val="0"/>
          <w:lang w:val="es-ES_tradnl"/>
        </w:rPr>
        <w:t xml:space="preserve"> y</w:t>
      </w:r>
    </w:p>
    <w:p w:rsidR="004059A3" w:rsidRPr="00A05473" w:rsidRDefault="006C1B61" w:rsidP="00781330">
      <w:pPr>
        <w:pStyle w:val="ListParagraph"/>
        <w:numPr>
          <w:ilvl w:val="0"/>
          <w:numId w:val="1"/>
        </w:numPr>
        <w:ind w:left="993" w:hanging="426"/>
        <w:rPr>
          <w:snapToGrid w:val="0"/>
          <w:lang w:val="es-ES_tradnl"/>
        </w:rPr>
      </w:pPr>
      <w:r w:rsidRPr="00A05473">
        <w:rPr>
          <w:snapToGrid w:val="0"/>
          <w:lang w:val="es-ES_tradnl"/>
        </w:rPr>
        <w:t>v</w:t>
      </w:r>
      <w:r w:rsidR="00781330" w:rsidRPr="00A05473">
        <w:rPr>
          <w:snapToGrid w:val="0"/>
          <w:lang w:val="es-ES_tradnl"/>
        </w:rPr>
        <w:t>ariedades similares y diferencias con respecto a esas variedades (elemento 16)</w:t>
      </w:r>
      <w:r w:rsidRPr="00A05473">
        <w:rPr>
          <w:snapToGrid w:val="0"/>
          <w:lang w:val="es-ES_tradnl"/>
        </w:rPr>
        <w:t>,</w:t>
      </w:r>
      <w:r w:rsidR="004059A3" w:rsidRPr="00A05473">
        <w:rPr>
          <w:snapToGrid w:val="0"/>
          <w:lang w:val="es-ES_tradnl"/>
        </w:rPr>
        <w:t xml:space="preserve"> </w:t>
      </w:r>
    </w:p>
    <w:p w:rsidR="004059A3" w:rsidRPr="00A05473" w:rsidRDefault="00781330" w:rsidP="004059A3">
      <w:pPr>
        <w:ind w:left="993" w:hanging="426"/>
        <w:rPr>
          <w:snapToGrid w:val="0"/>
        </w:rPr>
      </w:pPr>
      <w:proofErr w:type="gramStart"/>
      <w:r w:rsidRPr="00A05473">
        <w:rPr>
          <w:snapToGrid w:val="0"/>
          <w:lang w:val="es-ES_tradnl"/>
        </w:rPr>
        <w:t>junto</w:t>
      </w:r>
      <w:proofErr w:type="gramEnd"/>
      <w:r w:rsidRPr="00A05473">
        <w:rPr>
          <w:snapToGrid w:val="0"/>
          <w:lang w:val="es-ES_tradnl"/>
        </w:rPr>
        <w:t xml:space="preserve"> con</w:t>
      </w:r>
    </w:p>
    <w:p w:rsidR="004059A3" w:rsidRPr="00A05473" w:rsidRDefault="00781330" w:rsidP="00781330">
      <w:pPr>
        <w:pStyle w:val="ListParagraph"/>
        <w:numPr>
          <w:ilvl w:val="0"/>
          <w:numId w:val="1"/>
        </w:numPr>
        <w:ind w:left="993" w:hanging="426"/>
        <w:rPr>
          <w:snapToGrid w:val="0"/>
          <w:lang w:val="es-ES_tradnl"/>
        </w:rPr>
      </w:pPr>
      <w:r w:rsidRPr="00A05473">
        <w:rPr>
          <w:snapToGrid w:val="0"/>
          <w:lang w:val="es-ES_tradnl"/>
        </w:rPr>
        <w:t>la siguiente información basada en</w:t>
      </w:r>
      <w:r w:rsidR="006C1B61" w:rsidRPr="00A05473">
        <w:rPr>
          <w:snapToGrid w:val="0"/>
          <w:lang w:val="es-ES_tradnl"/>
        </w:rPr>
        <w:t> </w:t>
      </w:r>
      <w:r w:rsidRPr="00A05473">
        <w:rPr>
          <w:snapToGrid w:val="0"/>
          <w:lang w:val="es-ES_tradnl"/>
        </w:rPr>
        <w:t>a) y</w:t>
      </w:r>
      <w:r w:rsidR="006C1B61" w:rsidRPr="00A05473">
        <w:rPr>
          <w:snapToGrid w:val="0"/>
          <w:lang w:val="es-ES_tradnl"/>
        </w:rPr>
        <w:t> </w:t>
      </w:r>
      <w:r w:rsidRPr="00A05473">
        <w:rPr>
          <w:snapToGrid w:val="0"/>
          <w:lang w:val="es-ES_tradnl"/>
        </w:rPr>
        <w:t>b):</w:t>
      </w:r>
    </w:p>
    <w:p w:rsidR="004059A3" w:rsidRPr="00A05473" w:rsidRDefault="00781330" w:rsidP="00781330">
      <w:pPr>
        <w:pStyle w:val="ListParagraph"/>
        <w:numPr>
          <w:ilvl w:val="2"/>
          <w:numId w:val="2"/>
        </w:numPr>
        <w:tabs>
          <w:tab w:val="left" w:pos="567"/>
          <w:tab w:val="left" w:pos="1560"/>
        </w:tabs>
        <w:spacing w:line="280" w:lineRule="auto"/>
        <w:ind w:left="1701" w:hanging="567"/>
        <w:rPr>
          <w:lang w:val="es-ES_tradnl"/>
        </w:rPr>
      </w:pPr>
      <w:r w:rsidRPr="00A05473">
        <w:rPr>
          <w:lang w:val="es-ES_tradnl"/>
        </w:rPr>
        <w:t xml:space="preserve">Fecha y número de documento de las </w:t>
      </w:r>
      <w:r w:rsidR="006C1B61" w:rsidRPr="00A05473">
        <w:rPr>
          <w:lang w:val="es-ES_tradnl"/>
        </w:rPr>
        <w:t>d</w:t>
      </w:r>
      <w:r w:rsidRPr="00A05473">
        <w:rPr>
          <w:lang w:val="es-ES_tradnl"/>
        </w:rPr>
        <w:t xml:space="preserve">irectrices de </w:t>
      </w:r>
      <w:r w:rsidR="006C1B61" w:rsidRPr="00A05473">
        <w:rPr>
          <w:lang w:val="es-ES_tradnl"/>
        </w:rPr>
        <w:t>e</w:t>
      </w:r>
      <w:r w:rsidRPr="00A05473">
        <w:rPr>
          <w:lang w:val="es-ES_tradnl"/>
        </w:rPr>
        <w:t>xamen de la UPOV (</w:t>
      </w:r>
      <w:r w:rsidRPr="00A05473">
        <w:rPr>
          <w:snapToGrid w:val="0"/>
          <w:lang w:val="es-ES_tradnl"/>
        </w:rPr>
        <w:t>elemento 8</w:t>
      </w:r>
      <w:r w:rsidRPr="00A05473">
        <w:rPr>
          <w:lang w:val="es-ES_tradnl"/>
        </w:rPr>
        <w:t>);</w:t>
      </w:r>
    </w:p>
    <w:p w:rsidR="004059A3" w:rsidRPr="00A05473" w:rsidRDefault="00781330" w:rsidP="00781330">
      <w:pPr>
        <w:pStyle w:val="ListParagraph"/>
        <w:numPr>
          <w:ilvl w:val="2"/>
          <w:numId w:val="2"/>
        </w:numPr>
        <w:tabs>
          <w:tab w:val="left" w:pos="567"/>
          <w:tab w:val="left" w:pos="1560"/>
          <w:tab w:val="left" w:pos="5103"/>
        </w:tabs>
        <w:spacing w:line="280" w:lineRule="auto"/>
        <w:ind w:left="1701" w:hanging="567"/>
        <w:rPr>
          <w:lang w:val="es-ES_tradnl"/>
        </w:rPr>
      </w:pPr>
      <w:r w:rsidRPr="00A05473">
        <w:rPr>
          <w:lang w:val="es-ES_tradnl"/>
        </w:rPr>
        <w:t>Fecha y/o número de documento de las directrices de examen de la autoridad informante (</w:t>
      </w:r>
      <w:r w:rsidRPr="00A05473">
        <w:rPr>
          <w:snapToGrid w:val="0"/>
          <w:lang w:val="es-ES_tradnl"/>
        </w:rPr>
        <w:t>elemento 9</w:t>
      </w:r>
      <w:r w:rsidRPr="00A05473">
        <w:rPr>
          <w:lang w:val="es-ES_tradnl"/>
        </w:rPr>
        <w:t>);</w:t>
      </w:r>
    </w:p>
    <w:p w:rsidR="004059A3" w:rsidRPr="00A05473" w:rsidRDefault="00781330" w:rsidP="00781330">
      <w:pPr>
        <w:pStyle w:val="ListParagraph"/>
        <w:numPr>
          <w:ilvl w:val="2"/>
          <w:numId w:val="2"/>
        </w:numPr>
        <w:tabs>
          <w:tab w:val="left" w:pos="567"/>
          <w:tab w:val="left" w:pos="1560"/>
          <w:tab w:val="left" w:pos="5103"/>
        </w:tabs>
        <w:spacing w:line="280" w:lineRule="auto"/>
        <w:ind w:left="1701" w:hanging="567"/>
      </w:pPr>
      <w:r w:rsidRPr="00A05473">
        <w:rPr>
          <w:lang w:val="es-ES_tradnl"/>
        </w:rPr>
        <w:t xml:space="preserve">Autoridad </w:t>
      </w:r>
      <w:r w:rsidR="006C1B61" w:rsidRPr="00A05473">
        <w:rPr>
          <w:lang w:val="es-ES_tradnl"/>
        </w:rPr>
        <w:t>i</w:t>
      </w:r>
      <w:r w:rsidRPr="00A05473">
        <w:rPr>
          <w:lang w:val="es-ES_tradnl"/>
        </w:rPr>
        <w:t xml:space="preserve">nformante </w:t>
      </w:r>
      <w:r w:rsidRPr="00A05473">
        <w:rPr>
          <w:snapToGrid w:val="0"/>
          <w:lang w:val="es-ES_tradnl"/>
        </w:rPr>
        <w:t>(elemento 10);</w:t>
      </w:r>
    </w:p>
    <w:p w:rsidR="004059A3" w:rsidRPr="00A05473" w:rsidRDefault="00781330" w:rsidP="00781330">
      <w:pPr>
        <w:pStyle w:val="ListParagraph"/>
        <w:numPr>
          <w:ilvl w:val="2"/>
          <w:numId w:val="2"/>
        </w:numPr>
        <w:tabs>
          <w:tab w:val="left" w:pos="567"/>
          <w:tab w:val="left" w:pos="1560"/>
          <w:tab w:val="left" w:pos="5103"/>
        </w:tabs>
        <w:spacing w:line="280" w:lineRule="auto"/>
        <w:ind w:left="1701" w:hanging="567"/>
        <w:rPr>
          <w:lang w:val="es-ES_tradnl"/>
        </w:rPr>
      </w:pPr>
      <w:r w:rsidRPr="00A05473">
        <w:rPr>
          <w:lang w:val="es-ES_tradnl"/>
        </w:rPr>
        <w:t xml:space="preserve">Estación(es) y lugar(es) del examen </w:t>
      </w:r>
      <w:r w:rsidRPr="00A05473">
        <w:rPr>
          <w:snapToGrid w:val="0"/>
          <w:lang w:val="es-ES_tradnl"/>
        </w:rPr>
        <w:t>(elemento 11)</w:t>
      </w:r>
      <w:r w:rsidRPr="00A05473">
        <w:rPr>
          <w:lang w:val="es-ES_tradnl"/>
        </w:rPr>
        <w:t>;</w:t>
      </w:r>
    </w:p>
    <w:p w:rsidR="004059A3" w:rsidRPr="00A05473" w:rsidRDefault="00781330" w:rsidP="00781330">
      <w:pPr>
        <w:pStyle w:val="ListParagraph"/>
        <w:numPr>
          <w:ilvl w:val="2"/>
          <w:numId w:val="2"/>
        </w:numPr>
        <w:tabs>
          <w:tab w:val="left" w:pos="567"/>
          <w:tab w:val="left" w:pos="1560"/>
          <w:tab w:val="left" w:pos="5103"/>
        </w:tabs>
        <w:spacing w:line="280" w:lineRule="auto"/>
        <w:ind w:left="1701" w:hanging="567"/>
      </w:pPr>
      <w:r w:rsidRPr="00A05473">
        <w:rPr>
          <w:lang w:val="es-ES_tradnl"/>
        </w:rPr>
        <w:t xml:space="preserve">Período del examen </w:t>
      </w:r>
      <w:r w:rsidRPr="00A05473">
        <w:rPr>
          <w:snapToGrid w:val="0"/>
          <w:lang w:val="es-ES_tradnl"/>
        </w:rPr>
        <w:t>(elemento 12);</w:t>
      </w:r>
    </w:p>
    <w:p w:rsidR="004059A3" w:rsidRPr="00A05473" w:rsidRDefault="00781330" w:rsidP="0076571D">
      <w:pPr>
        <w:pStyle w:val="ListParagraph"/>
        <w:numPr>
          <w:ilvl w:val="2"/>
          <w:numId w:val="2"/>
        </w:numPr>
        <w:tabs>
          <w:tab w:val="left" w:pos="567"/>
          <w:tab w:val="left" w:pos="1560"/>
          <w:tab w:val="left" w:pos="5103"/>
        </w:tabs>
        <w:spacing w:line="280" w:lineRule="auto"/>
        <w:ind w:left="1701" w:hanging="567"/>
        <w:rPr>
          <w:lang w:val="es-ES_tradnl"/>
        </w:rPr>
      </w:pPr>
      <w:r w:rsidRPr="00A05473">
        <w:rPr>
          <w:lang w:val="es-ES_tradnl"/>
        </w:rPr>
        <w:t>Fecha y lugar de emisión del documento</w:t>
      </w:r>
      <w:r w:rsidR="0076571D" w:rsidRPr="00A05473">
        <w:rPr>
          <w:lang w:val="es-ES_tradnl"/>
        </w:rPr>
        <w:t xml:space="preserve"> </w:t>
      </w:r>
      <w:r w:rsidR="0076571D" w:rsidRPr="00A05473">
        <w:rPr>
          <w:snapToGrid w:val="0"/>
          <w:lang w:val="es-ES_tradnl"/>
        </w:rPr>
        <w:t>(elemento 13)</w:t>
      </w:r>
      <w:r w:rsidRPr="00A05473">
        <w:rPr>
          <w:lang w:val="es-ES_tradnl"/>
        </w:rPr>
        <w:t>;</w:t>
      </w:r>
    </w:p>
    <w:p w:rsidR="004059A3" w:rsidRPr="00A05473" w:rsidRDefault="0076571D" w:rsidP="006C1B61">
      <w:pPr>
        <w:pStyle w:val="ListParagraph"/>
        <w:numPr>
          <w:ilvl w:val="2"/>
          <w:numId w:val="2"/>
        </w:numPr>
        <w:tabs>
          <w:tab w:val="left" w:pos="567"/>
          <w:tab w:val="left" w:pos="1560"/>
          <w:tab w:val="left" w:pos="5103"/>
        </w:tabs>
        <w:spacing w:line="280" w:lineRule="auto"/>
        <w:ind w:left="1701" w:hanging="567"/>
        <w:rPr>
          <w:lang w:val="es-ES_tradnl"/>
        </w:rPr>
      </w:pPr>
      <w:r w:rsidRPr="00A05473">
        <w:rPr>
          <w:lang w:val="es-ES_tradnl"/>
        </w:rPr>
        <w:t>Grupo:</w:t>
      </w:r>
      <w:r w:rsidR="004059A3" w:rsidRPr="00A05473">
        <w:rPr>
          <w:lang w:val="es-ES_tradnl"/>
        </w:rPr>
        <w:t xml:space="preserve"> </w:t>
      </w:r>
      <w:r w:rsidRPr="00A05473">
        <w:rPr>
          <w:lang w:val="es-ES_tradnl"/>
        </w:rPr>
        <w:t>(Cuadro:</w:t>
      </w:r>
      <w:r w:rsidR="004059A3" w:rsidRPr="00A05473">
        <w:rPr>
          <w:lang w:val="es-ES_tradnl"/>
        </w:rPr>
        <w:t xml:space="preserve"> </w:t>
      </w:r>
      <w:r w:rsidRPr="00A05473">
        <w:rPr>
          <w:lang w:val="es-ES_tradnl"/>
        </w:rPr>
        <w:t>Caracteres;</w:t>
      </w:r>
      <w:r w:rsidR="004059A3" w:rsidRPr="00A05473">
        <w:rPr>
          <w:lang w:val="es-ES_tradnl"/>
        </w:rPr>
        <w:t xml:space="preserve"> </w:t>
      </w:r>
      <w:r w:rsidR="006C1B61" w:rsidRPr="00A05473">
        <w:rPr>
          <w:lang w:val="es-ES_tradnl"/>
        </w:rPr>
        <w:t xml:space="preserve"> </w:t>
      </w:r>
      <w:r w:rsidRPr="00A05473">
        <w:rPr>
          <w:lang w:val="es-ES_tradnl"/>
        </w:rPr>
        <w:t>Niveles de expresión;</w:t>
      </w:r>
      <w:r w:rsidR="004059A3" w:rsidRPr="00A05473">
        <w:rPr>
          <w:lang w:val="es-ES_tradnl"/>
        </w:rPr>
        <w:t xml:space="preserve"> </w:t>
      </w:r>
      <w:r w:rsidRPr="00A05473">
        <w:rPr>
          <w:lang w:val="es-ES_tradnl"/>
        </w:rPr>
        <w:t>Nota;</w:t>
      </w:r>
      <w:r w:rsidR="004059A3" w:rsidRPr="00A05473">
        <w:rPr>
          <w:lang w:val="es-ES_tradnl"/>
        </w:rPr>
        <w:t xml:space="preserve"> </w:t>
      </w:r>
      <w:r w:rsidR="006C1B61" w:rsidRPr="00A05473">
        <w:rPr>
          <w:lang w:val="es-ES_tradnl"/>
        </w:rPr>
        <w:t xml:space="preserve"> </w:t>
      </w:r>
      <w:r w:rsidRPr="00A05473">
        <w:rPr>
          <w:lang w:val="es-ES_tradnl"/>
        </w:rPr>
        <w:t xml:space="preserve">Observaciones) </w:t>
      </w:r>
      <w:r w:rsidRPr="00A05473">
        <w:rPr>
          <w:snapToGrid w:val="0"/>
          <w:lang w:val="es-ES_tradnl"/>
        </w:rPr>
        <w:t>(elemento 14);</w:t>
      </w:r>
    </w:p>
    <w:p w:rsidR="004059A3" w:rsidRPr="00A05473" w:rsidRDefault="0076571D" w:rsidP="0076571D">
      <w:pPr>
        <w:pStyle w:val="ListParagraph"/>
        <w:numPr>
          <w:ilvl w:val="2"/>
          <w:numId w:val="2"/>
        </w:numPr>
        <w:tabs>
          <w:tab w:val="left" w:pos="1560"/>
        </w:tabs>
        <w:spacing w:line="280" w:lineRule="auto"/>
        <w:ind w:left="1701" w:hanging="567"/>
      </w:pPr>
      <w:r w:rsidRPr="00A05473">
        <w:rPr>
          <w:lang w:val="es-ES_tradnl"/>
        </w:rPr>
        <w:t xml:space="preserve">Información adicional </w:t>
      </w:r>
      <w:r w:rsidRPr="00A05473">
        <w:rPr>
          <w:snapToGrid w:val="0"/>
          <w:lang w:val="es-ES_tradnl"/>
        </w:rPr>
        <w:t>(elemento 17)</w:t>
      </w:r>
      <w:r w:rsidRPr="00A05473">
        <w:rPr>
          <w:lang w:val="es-ES_tradnl"/>
        </w:rPr>
        <w:t>;</w:t>
      </w:r>
    </w:p>
    <w:p w:rsidR="004059A3" w:rsidRPr="00A05473" w:rsidRDefault="004059A3" w:rsidP="0076571D">
      <w:pPr>
        <w:spacing w:line="280" w:lineRule="auto"/>
        <w:ind w:left="1134"/>
      </w:pPr>
      <w:r w:rsidRPr="00A05473">
        <w:tab/>
        <w:t>a)</w:t>
      </w:r>
      <w:r w:rsidRPr="00A05473">
        <w:tab/>
      </w:r>
      <w:r w:rsidR="0076571D" w:rsidRPr="00A05473">
        <w:rPr>
          <w:lang w:val="es-ES_tradnl"/>
        </w:rPr>
        <w:t>Datos adicionales</w:t>
      </w:r>
    </w:p>
    <w:p w:rsidR="004059A3" w:rsidRPr="00A05473" w:rsidRDefault="004059A3" w:rsidP="0076571D">
      <w:pPr>
        <w:spacing w:line="280" w:lineRule="auto"/>
        <w:ind w:left="1134"/>
      </w:pPr>
      <w:r w:rsidRPr="00A05473">
        <w:tab/>
        <w:t>b)</w:t>
      </w:r>
      <w:r w:rsidRPr="00A05473">
        <w:tab/>
      </w:r>
      <w:r w:rsidR="0076571D" w:rsidRPr="00A05473">
        <w:rPr>
          <w:lang w:val="es-ES_tradnl"/>
        </w:rPr>
        <w:t>Fotografía (si procede)</w:t>
      </w:r>
    </w:p>
    <w:p w:rsidR="004059A3" w:rsidRPr="00A05473" w:rsidRDefault="004059A3" w:rsidP="0076571D">
      <w:pPr>
        <w:spacing w:line="280" w:lineRule="auto"/>
        <w:ind w:left="1134"/>
        <w:rPr>
          <w:lang w:val="es-ES_tradnl"/>
        </w:rPr>
      </w:pPr>
      <w:r w:rsidRPr="00A05473">
        <w:rPr>
          <w:lang w:val="es-ES_tradnl"/>
        </w:rPr>
        <w:tab/>
        <w:t>c)</w:t>
      </w:r>
      <w:r w:rsidRPr="00A05473">
        <w:rPr>
          <w:lang w:val="es-ES_tradnl"/>
        </w:rPr>
        <w:tab/>
      </w:r>
      <w:r w:rsidR="0076571D" w:rsidRPr="00A05473">
        <w:rPr>
          <w:lang w:val="es-ES_tradnl"/>
        </w:rPr>
        <w:t>Versión de la Carta de Colores RHS empleada (cuando proceda)</w:t>
      </w:r>
    </w:p>
    <w:p w:rsidR="004059A3" w:rsidRPr="00A05473" w:rsidRDefault="004059A3" w:rsidP="0076571D">
      <w:pPr>
        <w:tabs>
          <w:tab w:val="left" w:pos="284"/>
        </w:tabs>
        <w:spacing w:line="280" w:lineRule="auto"/>
        <w:ind w:left="1134"/>
        <w:rPr>
          <w:lang w:val="es-ES_tradnl"/>
        </w:rPr>
      </w:pPr>
      <w:r w:rsidRPr="00A05473">
        <w:rPr>
          <w:lang w:val="es-ES_tradnl"/>
        </w:rPr>
        <w:tab/>
        <w:t>d)</w:t>
      </w:r>
      <w:r w:rsidRPr="00A05473">
        <w:rPr>
          <w:lang w:val="es-ES_tradnl"/>
        </w:rPr>
        <w:tab/>
      </w:r>
      <w:r w:rsidR="0076571D" w:rsidRPr="00A05473">
        <w:rPr>
          <w:lang w:val="es-ES_tradnl"/>
        </w:rPr>
        <w:t>Observaciones</w:t>
      </w:r>
    </w:p>
    <w:p w:rsidR="004059A3" w:rsidRPr="00A05473" w:rsidRDefault="004059A3" w:rsidP="004059A3">
      <w:pPr>
        <w:rPr>
          <w:snapToGrid w:val="0"/>
          <w:vanish/>
          <w:sz w:val="18"/>
          <w:lang w:val="es-ES_tradnl"/>
        </w:rPr>
      </w:pPr>
    </w:p>
    <w:p w:rsidR="004059A3" w:rsidRPr="00A05473" w:rsidRDefault="00EA5A7A" w:rsidP="004059A3">
      <w:pPr>
        <w:rPr>
          <w:snapToGrid w:val="0"/>
          <w:lang w:val="es-ES_tradnl"/>
        </w:rPr>
      </w:pPr>
      <w:r w:rsidRPr="00A05473">
        <w:rPr>
          <w:lang w:val="es-ES_tradnl"/>
        </w:rPr>
        <w:t>En la descripción de la variedad se deben indicar l</w:t>
      </w:r>
      <w:r w:rsidR="0076571D" w:rsidRPr="00A05473">
        <w:rPr>
          <w:snapToGrid w:val="0"/>
          <w:lang w:val="es-ES_tradnl"/>
        </w:rPr>
        <w:t xml:space="preserve">os caracteres </w:t>
      </w:r>
      <w:r w:rsidR="0076571D" w:rsidRPr="00A05473">
        <w:rPr>
          <w:lang w:val="es-ES_tradnl"/>
        </w:rPr>
        <w:t>us</w:t>
      </w:r>
      <w:r w:rsidRPr="00A05473">
        <w:rPr>
          <w:lang w:val="es-ES_tradnl"/>
        </w:rPr>
        <w:t>a</w:t>
      </w:r>
      <w:r w:rsidR="0076571D" w:rsidRPr="00A05473">
        <w:rPr>
          <w:lang w:val="es-ES_tradnl"/>
        </w:rPr>
        <w:t>d</w:t>
      </w:r>
      <w:r w:rsidRPr="00A05473">
        <w:rPr>
          <w:lang w:val="es-ES_tradnl"/>
        </w:rPr>
        <w:t>os</w:t>
      </w:r>
      <w:r w:rsidR="0076571D" w:rsidRPr="00A05473">
        <w:rPr>
          <w:lang w:val="es-ES_tradnl"/>
        </w:rPr>
        <w:t xml:space="preserve"> </w:t>
      </w:r>
      <w:r w:rsidRPr="00A05473">
        <w:rPr>
          <w:lang w:val="es-ES_tradnl"/>
        </w:rPr>
        <w:t xml:space="preserve">en el </w:t>
      </w:r>
      <w:r w:rsidR="0076571D" w:rsidRPr="00A05473">
        <w:rPr>
          <w:lang w:val="es-ES_tradnl"/>
        </w:rPr>
        <w:t xml:space="preserve">ensayo en cultivo </w:t>
      </w:r>
      <w:r w:rsidRPr="00A05473">
        <w:rPr>
          <w:lang w:val="es-ES_tradnl"/>
        </w:rPr>
        <w:t xml:space="preserve">para </w:t>
      </w:r>
      <w:r w:rsidR="0076571D" w:rsidRPr="00A05473">
        <w:rPr>
          <w:lang w:val="es-ES_tradnl"/>
        </w:rPr>
        <w:t>estab</w:t>
      </w:r>
      <w:r w:rsidR="006C1B61" w:rsidRPr="00A05473">
        <w:rPr>
          <w:lang w:val="es-ES_tradnl"/>
        </w:rPr>
        <w:t>lece</w:t>
      </w:r>
      <w:r w:rsidRPr="00A05473">
        <w:rPr>
          <w:lang w:val="es-ES_tradnl"/>
        </w:rPr>
        <w:t xml:space="preserve">r la </w:t>
      </w:r>
      <w:r w:rsidR="0076571D" w:rsidRPr="00A05473">
        <w:rPr>
          <w:lang w:val="es-ES_tradnl"/>
        </w:rPr>
        <w:t xml:space="preserve">distinción </w:t>
      </w:r>
      <w:r w:rsidRPr="00A05473">
        <w:rPr>
          <w:lang w:val="es-ES_tradnl"/>
        </w:rPr>
        <w:t xml:space="preserve">y las </w:t>
      </w:r>
      <w:r w:rsidR="0076571D" w:rsidRPr="00A05473">
        <w:rPr>
          <w:lang w:val="es-ES_tradnl"/>
        </w:rPr>
        <w:t>diferenc</w:t>
      </w:r>
      <w:r w:rsidRPr="00A05473">
        <w:rPr>
          <w:lang w:val="es-ES_tradnl"/>
        </w:rPr>
        <w:t>ia</w:t>
      </w:r>
      <w:r w:rsidR="0076571D" w:rsidRPr="00A05473">
        <w:rPr>
          <w:lang w:val="es-ES_tradnl"/>
        </w:rPr>
        <w:t xml:space="preserve">s </w:t>
      </w:r>
      <w:r w:rsidRPr="00A05473">
        <w:rPr>
          <w:lang w:val="es-ES_tradnl"/>
        </w:rPr>
        <w:t>e</w:t>
      </w:r>
      <w:r w:rsidR="0076571D" w:rsidRPr="00A05473">
        <w:rPr>
          <w:lang w:val="es-ES_tradnl"/>
        </w:rPr>
        <w:t xml:space="preserve">n </w:t>
      </w:r>
      <w:r w:rsidRPr="00A05473">
        <w:rPr>
          <w:lang w:val="es-ES_tradnl"/>
        </w:rPr>
        <w:t>el nivel de expresión</w:t>
      </w:r>
      <w:r w:rsidR="0076571D" w:rsidRPr="00A05473">
        <w:rPr>
          <w:lang w:val="es-ES_tradnl"/>
        </w:rPr>
        <w:t xml:space="preserve"> </w:t>
      </w:r>
      <w:r w:rsidRPr="00A05473">
        <w:rPr>
          <w:lang w:val="es-ES_tradnl"/>
        </w:rPr>
        <w:t xml:space="preserve">entre la variedad </w:t>
      </w:r>
      <w:r w:rsidR="0076571D" w:rsidRPr="00A05473">
        <w:rPr>
          <w:snapToGrid w:val="0"/>
          <w:lang w:val="es-ES_tradnl"/>
        </w:rPr>
        <w:t>candidat</w:t>
      </w:r>
      <w:r w:rsidRPr="00A05473">
        <w:rPr>
          <w:snapToGrid w:val="0"/>
          <w:lang w:val="es-ES_tradnl"/>
        </w:rPr>
        <w:t>a y la</w:t>
      </w:r>
      <w:r w:rsidR="006C1B61" w:rsidRPr="00A05473">
        <w:rPr>
          <w:snapToGrid w:val="0"/>
          <w:lang w:val="es-ES_tradnl"/>
        </w:rPr>
        <w:t>(s)</w:t>
      </w:r>
      <w:r w:rsidRPr="00A05473">
        <w:rPr>
          <w:snapToGrid w:val="0"/>
          <w:lang w:val="es-ES_tradnl"/>
        </w:rPr>
        <w:t xml:space="preserve"> variedad(es) más </w:t>
      </w:r>
      <w:r w:rsidR="0076571D" w:rsidRPr="00A05473">
        <w:rPr>
          <w:snapToGrid w:val="0"/>
          <w:lang w:val="es-ES_tradnl"/>
        </w:rPr>
        <w:t>similar(</w:t>
      </w:r>
      <w:r w:rsidRPr="00A05473">
        <w:rPr>
          <w:snapToGrid w:val="0"/>
          <w:lang w:val="es-ES_tradnl"/>
        </w:rPr>
        <w:t>es)</w:t>
      </w:r>
      <w:r w:rsidR="0076571D" w:rsidRPr="00A05473">
        <w:rPr>
          <w:lang w:val="es-ES_tradnl"/>
        </w:rPr>
        <w:t xml:space="preserve">, </w:t>
      </w:r>
      <w:r w:rsidRPr="00A05473">
        <w:rPr>
          <w:lang w:val="es-ES_tradnl"/>
        </w:rPr>
        <w:t xml:space="preserve">según se </w:t>
      </w:r>
      <w:r w:rsidR="0076571D" w:rsidRPr="00A05473">
        <w:rPr>
          <w:lang w:val="es-ES_tradnl"/>
        </w:rPr>
        <w:t>deta</w:t>
      </w:r>
      <w:r w:rsidRPr="00A05473">
        <w:rPr>
          <w:lang w:val="es-ES_tradnl"/>
        </w:rPr>
        <w:t>lla en la siguiente adición</w:t>
      </w:r>
      <w:r w:rsidR="0076571D" w:rsidRPr="00A05473">
        <w:rPr>
          <w:lang w:val="es-ES_tradnl"/>
        </w:rPr>
        <w:t xml:space="preserve"> </w:t>
      </w:r>
      <w:r w:rsidRPr="00A05473">
        <w:rPr>
          <w:lang w:val="es-ES_tradnl"/>
        </w:rPr>
        <w:t>al elemento </w:t>
      </w:r>
      <w:r w:rsidR="0076571D" w:rsidRPr="00A05473">
        <w:rPr>
          <w:lang w:val="es-ES_tradnl"/>
        </w:rPr>
        <w:t>16 “</w:t>
      </w:r>
      <w:r w:rsidRPr="00A05473">
        <w:rPr>
          <w:lang w:val="es-ES_tradnl"/>
        </w:rPr>
        <w:t>Variedades similares y diferencias con respecto a esas variedades</w:t>
      </w:r>
      <w:r w:rsidR="0076571D" w:rsidRPr="00A05473">
        <w:rPr>
          <w:lang w:val="es-ES_tradnl"/>
        </w:rPr>
        <w:t>”</w:t>
      </w:r>
      <w:r w:rsidR="0076571D" w:rsidRPr="00A05473">
        <w:rPr>
          <w:snapToGrid w:val="0"/>
          <w:lang w:val="es-ES_tradnl"/>
        </w:rPr>
        <w:t>:</w:t>
      </w:r>
    </w:p>
    <w:p w:rsidR="004059A3" w:rsidRPr="00A05473" w:rsidRDefault="004059A3" w:rsidP="004059A3">
      <w:pPr>
        <w:rPr>
          <w:snapToGrid w:val="0"/>
          <w:lang w:val="es-ES_tradnl"/>
        </w:rPr>
      </w:pPr>
    </w:p>
    <w:p w:rsidR="004059A3" w:rsidRPr="00A05473" w:rsidRDefault="004059A3" w:rsidP="004059A3">
      <w:pPr>
        <w:rPr>
          <w:snapToGrid w:val="0"/>
          <w:vanish/>
          <w:sz w:val="18"/>
          <w:lang w:val="es-ES_tradnl"/>
        </w:rPr>
      </w:pPr>
    </w:p>
    <w:p w:rsidR="004059A3" w:rsidRPr="00A05473" w:rsidRDefault="004059A3" w:rsidP="004059A3">
      <w:pPr>
        <w:ind w:left="567" w:right="567"/>
        <w:rPr>
          <w:sz w:val="18"/>
          <w:lang w:val="es-ES_tradnl"/>
        </w:rPr>
      </w:pPr>
      <w:r w:rsidRPr="00A05473">
        <w:rPr>
          <w:sz w:val="18"/>
          <w:lang w:val="es-ES_tradnl"/>
        </w:rPr>
        <w:t>“18.</w:t>
      </w:r>
      <w:r w:rsidRPr="00A05473">
        <w:rPr>
          <w:sz w:val="18"/>
          <w:lang w:val="es-ES_tradnl"/>
        </w:rPr>
        <w:tab/>
      </w:r>
      <w:r w:rsidR="00E660BF" w:rsidRPr="00A05473">
        <w:rPr>
          <w:sz w:val="18"/>
          <w:u w:val="single"/>
          <w:lang w:val="es-ES_tradnl"/>
        </w:rPr>
        <w:t>Notas explicativas al Anexo: FORMULARIO UPOV PARA LA DESCRIPCIÓN DE VARIEDADES</w:t>
      </w:r>
    </w:p>
    <w:p w:rsidR="004059A3" w:rsidRPr="00A05473" w:rsidRDefault="004059A3" w:rsidP="004059A3">
      <w:pPr>
        <w:ind w:left="567" w:right="567" w:firstLine="567"/>
        <w:rPr>
          <w:sz w:val="18"/>
          <w:lang w:val="es-ES_tradnl"/>
        </w:rPr>
      </w:pPr>
      <w:r w:rsidRPr="00A05473">
        <w:rPr>
          <w:sz w:val="18"/>
          <w:lang w:val="es-ES_tradnl"/>
        </w:rPr>
        <w:t>[…]</w:t>
      </w:r>
    </w:p>
    <w:p w:rsidR="004059A3" w:rsidRPr="00A05473" w:rsidRDefault="004059A3" w:rsidP="004059A3">
      <w:pPr>
        <w:ind w:left="567" w:right="567"/>
        <w:rPr>
          <w:sz w:val="18"/>
          <w:lang w:val="es-ES_tradnl"/>
        </w:rPr>
      </w:pPr>
      <w:r w:rsidRPr="00A05473">
        <w:rPr>
          <w:sz w:val="18"/>
          <w:lang w:val="es-ES_tradnl"/>
        </w:rPr>
        <w:tab/>
        <w:t>d)</w:t>
      </w:r>
      <w:r w:rsidRPr="00A05473">
        <w:rPr>
          <w:sz w:val="18"/>
          <w:lang w:val="es-ES_tradnl"/>
        </w:rPr>
        <w:tab/>
      </w:r>
      <w:r w:rsidR="00E660BF" w:rsidRPr="00A05473">
        <w:rPr>
          <w:sz w:val="18"/>
          <w:u w:val="single"/>
          <w:lang w:val="es-ES_tradnl"/>
        </w:rPr>
        <w:t>Apartado 16 (Anexo: Formulario UPOV para la descripción de variedades)</w:t>
      </w:r>
    </w:p>
    <w:p w:rsidR="004059A3" w:rsidRPr="00A05473" w:rsidRDefault="004059A3" w:rsidP="004059A3">
      <w:pPr>
        <w:ind w:left="567" w:right="567"/>
        <w:rPr>
          <w:sz w:val="18"/>
          <w:lang w:val="es-ES_tradnl"/>
        </w:rPr>
      </w:pPr>
    </w:p>
    <w:p w:rsidR="004059A3" w:rsidRPr="00A05473" w:rsidRDefault="004059A3" w:rsidP="004059A3">
      <w:pPr>
        <w:ind w:left="567" w:right="567" w:hanging="567"/>
        <w:rPr>
          <w:sz w:val="18"/>
          <w:lang w:val="es-ES_tradnl"/>
        </w:rPr>
      </w:pPr>
      <w:r w:rsidRPr="00A05473">
        <w:rPr>
          <w:sz w:val="18"/>
          <w:lang w:val="es-ES_tradnl"/>
        </w:rPr>
        <w:tab/>
      </w:r>
      <w:r w:rsidRPr="00A05473">
        <w:rPr>
          <w:sz w:val="18"/>
          <w:lang w:val="es-ES_tradnl"/>
        </w:rPr>
        <w:tab/>
      </w:r>
      <w:r w:rsidR="00E660BF" w:rsidRPr="00A05473">
        <w:rPr>
          <w:sz w:val="18"/>
          <w:lang w:val="es-ES_tradnl"/>
        </w:rPr>
        <w:t>Sólo se deberán indicar los caracteres que tengan diferencias suficientes para establecer una distinción. En la información relativa a las diferencias entre dos variedades, se indicarán siempre los niveles de expresión con sus notas respectivas para ambas variedades y, de ser posible, en columnas, si se menciona más de una variedad</w:t>
      </w:r>
      <w:r w:rsidRPr="00A05473">
        <w:rPr>
          <w:sz w:val="18"/>
          <w:lang w:val="es-ES_tradnl"/>
        </w:rPr>
        <w:t>.”</w:t>
      </w:r>
    </w:p>
    <w:p w:rsidR="004059A3" w:rsidRPr="00A05473" w:rsidRDefault="004059A3" w:rsidP="004059A3">
      <w:pPr>
        <w:rPr>
          <w:lang w:val="es-ES_tradnl"/>
        </w:rPr>
      </w:pPr>
    </w:p>
    <w:p w:rsidR="004059A3" w:rsidRPr="00A05473" w:rsidRDefault="004059A3" w:rsidP="004059A3">
      <w:pPr>
        <w:rPr>
          <w:lang w:val="es-ES_tradnl"/>
        </w:rPr>
      </w:pPr>
    </w:p>
    <w:p w:rsidR="004059A3" w:rsidRPr="00A05473" w:rsidRDefault="00EA5A7A" w:rsidP="004059A3">
      <w:pPr>
        <w:rPr>
          <w:u w:val="single"/>
          <w:lang w:val="es-ES_tradnl"/>
        </w:rPr>
      </w:pPr>
      <w:bookmarkStart w:id="11" w:name="_6_1_b"/>
      <w:bookmarkEnd w:id="11"/>
      <w:r w:rsidRPr="00A05473">
        <w:rPr>
          <w:u w:val="single"/>
          <w:lang w:val="es-ES_tradnl"/>
        </w:rPr>
        <w:t>Referencia a la descripción de variedades en otros documentos de la UPOV</w:t>
      </w:r>
    </w:p>
    <w:p w:rsidR="004059A3" w:rsidRPr="00A05473" w:rsidRDefault="004059A3" w:rsidP="004059A3">
      <w:pPr>
        <w:rPr>
          <w:snapToGrid w:val="0"/>
          <w:lang w:val="es-ES_tradnl"/>
        </w:rPr>
      </w:pPr>
    </w:p>
    <w:p w:rsidR="004059A3" w:rsidRPr="00A05473" w:rsidRDefault="00EA5A7A" w:rsidP="004059A3">
      <w:pPr>
        <w:rPr>
          <w:snapToGrid w:val="0"/>
          <w:lang w:val="es-ES_tradnl"/>
        </w:rPr>
      </w:pPr>
      <w:r w:rsidRPr="00A05473">
        <w:rPr>
          <w:snapToGrid w:val="0"/>
          <w:lang w:val="es-ES_tradnl"/>
        </w:rPr>
        <w:t>En el documento TG/1/3 “Introducción general al examen de la distinción, la homogeneidad y la estabilidad y a la elaboración de descripciones armonizadas de las obtenciones vegetales” y en los documentos TGP asociados se hacen varias menciones a las descripciones de variedades con respecto al examen DHE.</w:t>
      </w:r>
      <w:r w:rsidR="004059A3" w:rsidRPr="00A05473">
        <w:rPr>
          <w:snapToGrid w:val="0"/>
          <w:lang w:val="es-ES_tradnl"/>
        </w:rPr>
        <w:t xml:space="preserve"> </w:t>
      </w:r>
      <w:r w:rsidR="00F65E84" w:rsidRPr="00A05473">
        <w:rPr>
          <w:snapToGrid w:val="0"/>
          <w:lang w:val="es-ES_tradnl"/>
        </w:rPr>
        <w:t>Sin embargo</w:t>
      </w:r>
      <w:r w:rsidRPr="00A05473">
        <w:rPr>
          <w:snapToGrid w:val="0"/>
          <w:lang w:val="es-ES_tradnl"/>
        </w:rPr>
        <w:t xml:space="preserve">, </w:t>
      </w:r>
      <w:r w:rsidR="00F65E84" w:rsidRPr="00A05473">
        <w:rPr>
          <w:snapToGrid w:val="0"/>
          <w:lang w:val="es-ES_tradnl"/>
        </w:rPr>
        <w:t xml:space="preserve">no se menciona el objeto ni el estado de la descripción de </w:t>
      </w:r>
      <w:r w:rsidR="00B91910" w:rsidRPr="00A05473">
        <w:rPr>
          <w:snapToGrid w:val="0"/>
          <w:lang w:val="es-ES_tradnl"/>
        </w:rPr>
        <w:t>la variedad</w:t>
      </w:r>
      <w:r w:rsidRPr="00A05473">
        <w:rPr>
          <w:snapToGrid w:val="0"/>
          <w:lang w:val="es-ES_tradnl"/>
        </w:rPr>
        <w:t xml:space="preserve"> genera</w:t>
      </w:r>
      <w:r w:rsidR="00F65E84" w:rsidRPr="00A05473">
        <w:rPr>
          <w:snapToGrid w:val="0"/>
          <w:lang w:val="es-ES_tradnl"/>
        </w:rPr>
        <w:t xml:space="preserve">da en el momento de la concesión del </w:t>
      </w:r>
      <w:r w:rsidRPr="00A05473">
        <w:rPr>
          <w:snapToGrid w:val="0"/>
          <w:lang w:val="es-ES_tradnl"/>
        </w:rPr>
        <w:t>derecho de obtentor.</w:t>
      </w:r>
    </w:p>
    <w:p w:rsidR="004059A3" w:rsidRPr="00A05473" w:rsidRDefault="004059A3" w:rsidP="004059A3">
      <w:pPr>
        <w:rPr>
          <w:snapToGrid w:val="0"/>
          <w:lang w:val="es-ES_tradnl"/>
        </w:rPr>
      </w:pPr>
    </w:p>
    <w:p w:rsidR="004059A3" w:rsidRPr="00A05473" w:rsidRDefault="004059A3" w:rsidP="004059A3">
      <w:pPr>
        <w:rPr>
          <w:snapToGrid w:val="0"/>
          <w:lang w:val="es-ES_tradnl"/>
        </w:rPr>
      </w:pPr>
    </w:p>
    <w:p w:rsidR="004059A3" w:rsidRPr="00A05473" w:rsidRDefault="004059A3" w:rsidP="004059A3">
      <w:pPr>
        <w:rPr>
          <w:snapToGrid w:val="0"/>
          <w:lang w:val="es-ES_tradnl"/>
        </w:rPr>
      </w:pPr>
    </w:p>
    <w:p w:rsidR="004059A3" w:rsidRPr="00A05473" w:rsidRDefault="004059A3" w:rsidP="004059A3">
      <w:pPr>
        <w:jc w:val="right"/>
        <w:rPr>
          <w:snapToGrid w:val="0"/>
          <w:lang w:val="es-ES_tradnl"/>
        </w:rPr>
      </w:pPr>
      <w:r w:rsidRPr="00A05473">
        <w:rPr>
          <w:snapToGrid w:val="0"/>
          <w:lang w:val="es-ES_tradnl"/>
        </w:rPr>
        <w:t>[Fin del Anexo y del documento]</w:t>
      </w:r>
    </w:p>
    <w:p w:rsidR="004059A3" w:rsidRPr="00A05473" w:rsidRDefault="004059A3" w:rsidP="004059A3">
      <w:pPr>
        <w:rPr>
          <w:lang w:val="es-ES_tradnl"/>
        </w:rPr>
      </w:pPr>
    </w:p>
    <w:p w:rsidR="007F4BB2" w:rsidRPr="00A05473" w:rsidRDefault="007F4BB2" w:rsidP="004059A3">
      <w:pPr>
        <w:rPr>
          <w:snapToGrid w:val="0"/>
          <w:lang w:val="es-ES_tradnl"/>
        </w:rPr>
      </w:pPr>
    </w:p>
    <w:sectPr w:rsidR="007F4BB2" w:rsidRPr="00A05473" w:rsidSect="004059A3">
      <w:headerReference w:type="default" r:id="rId10"/>
      <w:headerReference w:type="first" r:id="rId11"/>
      <w:foot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F4A" w:rsidRDefault="00450F4A" w:rsidP="00F45372">
      <w:r>
        <w:separator/>
      </w:r>
    </w:p>
    <w:p w:rsidR="00450F4A" w:rsidRDefault="00450F4A" w:rsidP="00F45372"/>
    <w:p w:rsidR="00450F4A" w:rsidRDefault="00450F4A" w:rsidP="00F45372"/>
  </w:endnote>
  <w:endnote w:type="continuationSeparator" w:id="0">
    <w:p w:rsidR="00450F4A" w:rsidRDefault="00450F4A" w:rsidP="00F45372">
      <w:r>
        <w:separator/>
      </w:r>
    </w:p>
    <w:p w:rsidR="00450F4A" w:rsidRPr="00970020" w:rsidRDefault="00450F4A">
      <w:pPr>
        <w:pStyle w:val="Footer"/>
        <w:spacing w:after="60"/>
        <w:rPr>
          <w:sz w:val="18"/>
          <w:lang w:val="fr-CH"/>
        </w:rPr>
      </w:pPr>
      <w:r w:rsidRPr="00970020">
        <w:rPr>
          <w:sz w:val="18"/>
          <w:lang w:val="fr-CH"/>
        </w:rPr>
        <w:t>[Suite de la note de la page précédente]</w:t>
      </w:r>
    </w:p>
    <w:p w:rsidR="00450F4A" w:rsidRPr="00970020" w:rsidRDefault="00450F4A" w:rsidP="00F45372">
      <w:pPr>
        <w:rPr>
          <w:lang w:val="fr-CH"/>
        </w:rPr>
      </w:pPr>
    </w:p>
    <w:p w:rsidR="00450F4A" w:rsidRPr="00970020" w:rsidRDefault="00450F4A" w:rsidP="00F45372">
      <w:pPr>
        <w:rPr>
          <w:lang w:val="fr-CH"/>
        </w:rPr>
      </w:pPr>
    </w:p>
  </w:endnote>
  <w:endnote w:type="continuationNotice" w:id="1">
    <w:p w:rsidR="00450F4A" w:rsidRPr="00970020" w:rsidRDefault="00450F4A" w:rsidP="00F45372">
      <w:pPr>
        <w:rPr>
          <w:lang w:val="fr-CH"/>
        </w:rPr>
      </w:pPr>
      <w:r w:rsidRPr="00970020">
        <w:rPr>
          <w:lang w:val="fr-CH"/>
        </w:rPr>
        <w:t>[Suite de la note page suivante]</w:t>
      </w:r>
    </w:p>
    <w:p w:rsidR="00450F4A" w:rsidRPr="00970020" w:rsidRDefault="00450F4A" w:rsidP="00F45372">
      <w:pPr>
        <w:rPr>
          <w:lang w:val="fr-CH"/>
        </w:rPr>
      </w:pPr>
    </w:p>
    <w:p w:rsidR="00450F4A" w:rsidRPr="00970020" w:rsidRDefault="00450F4A"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F4A" w:rsidRPr="004571A1" w:rsidRDefault="00450F4A" w:rsidP="004571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F4A" w:rsidRDefault="00450F4A" w:rsidP="00F45372">
      <w:r>
        <w:separator/>
      </w:r>
    </w:p>
  </w:footnote>
  <w:footnote w:type="continuationSeparator" w:id="0">
    <w:p w:rsidR="00450F4A" w:rsidRDefault="00450F4A" w:rsidP="00F45372">
      <w:r>
        <w:separator/>
      </w:r>
    </w:p>
  </w:footnote>
  <w:footnote w:type="continuationNotice" w:id="1">
    <w:p w:rsidR="00450F4A" w:rsidRPr="00905020" w:rsidRDefault="00450F4A" w:rsidP="00905020">
      <w:pPr>
        <w:pStyle w:val="Footer"/>
      </w:pPr>
    </w:p>
  </w:footnote>
  <w:footnote w:id="2">
    <w:p w:rsidR="00450F4A" w:rsidRPr="00AB085F" w:rsidRDefault="00450F4A" w:rsidP="00E617E4">
      <w:pPr>
        <w:pStyle w:val="FootnoteText"/>
        <w:rPr>
          <w:lang w:val="es-ES_tradnl"/>
        </w:rPr>
      </w:pPr>
      <w:r w:rsidRPr="00AB085F">
        <w:rPr>
          <w:rStyle w:val="FootnoteReference"/>
          <w:color w:val="808080"/>
        </w:rPr>
        <w:footnoteRef/>
      </w:r>
      <w:r w:rsidRPr="00AB085F">
        <w:rPr>
          <w:lang w:val="es-ES_tradnl"/>
        </w:rPr>
        <w:t xml:space="preserve"> “</w:t>
      </w:r>
      <w:r w:rsidRPr="00E617E4">
        <w:rPr>
          <w:color w:val="808080"/>
          <w:lang w:val="es-ES_tradnl"/>
        </w:rPr>
        <w:t>a)</w:t>
      </w:r>
      <w:r w:rsidRPr="00AB085F">
        <w:rPr>
          <w:lang w:val="es-ES_tradnl"/>
        </w:rPr>
        <w:tab/>
      </w:r>
      <w:r w:rsidRPr="00E617E4">
        <w:rPr>
          <w:color w:val="808080"/>
          <w:lang w:val="es-ES_tradnl"/>
        </w:rPr>
        <w:t>la finalidad o finalidades de la descripción de la variedad que se elaboró cuando se concedió el derecho (descripción original de la variedad)</w:t>
      </w:r>
      <w:r w:rsidRPr="00AB085F">
        <w:rPr>
          <w:lang w:val="es-ES_tradnl"/>
        </w:rPr>
        <w:t>,”</w:t>
      </w:r>
    </w:p>
  </w:footnote>
  <w:footnote w:id="3">
    <w:p w:rsidR="00450F4A" w:rsidRPr="00E617E4" w:rsidRDefault="00450F4A" w:rsidP="00E617E4">
      <w:pPr>
        <w:pStyle w:val="FootnoteText"/>
        <w:rPr>
          <w:lang w:val="es-ES_tradnl"/>
        </w:rPr>
      </w:pPr>
      <w:r w:rsidRPr="00E617E4">
        <w:rPr>
          <w:rStyle w:val="FootnoteReference"/>
          <w:color w:val="808080"/>
        </w:rPr>
        <w:footnoteRef/>
      </w:r>
      <w:r w:rsidRPr="00E617E4">
        <w:rPr>
          <w:lang w:val="es-ES_tradnl"/>
        </w:rPr>
        <w:tab/>
      </w:r>
      <w:r w:rsidRPr="00E617E4">
        <w:rPr>
          <w:color w:val="808080"/>
          <w:lang w:val="es-ES_tradnl"/>
        </w:rPr>
        <w:t xml:space="preserve">“[S]i el carácter es importante para la armonización internacional de las descripciones de variedades (por ejemplo, caracteres señalados con asterisco) y está influenciado por el medio ambiente (por ejemplo, la mayoría de los caracteres cuantitativos y pseudocualitativos) […] será necesario proporcionar variedades ejemplo” en las directrices de examen (véase el inciso iii) de la sección </w:t>
      </w:r>
      <w:r w:rsidR="00E6018E">
        <w:rPr>
          <w:color w:val="808080"/>
          <w:lang w:val="es-ES_tradnl"/>
        </w:rPr>
        <w:t>1</w:t>
      </w:r>
      <w:r w:rsidRPr="00E617E4">
        <w:rPr>
          <w:color w:val="808080"/>
          <w:lang w:val="es-ES_tradnl"/>
        </w:rPr>
        <w:t>.3. de la nota orientativa GN</w:t>
      </w:r>
      <w:r>
        <w:rPr>
          <w:color w:val="808080"/>
          <w:lang w:val="es-ES_tradnl"/>
        </w:rPr>
        <w:t xml:space="preserve"> </w:t>
      </w:r>
      <w:r w:rsidRPr="00E617E4">
        <w:rPr>
          <w:color w:val="808080"/>
          <w:lang w:val="es-ES_tradnl"/>
        </w:rPr>
        <w:t>28 “Variedades ejemplo” en el Anexo 3 del documento TGP/7</w:t>
      </w:r>
      <w:r w:rsidR="00E6018E">
        <w:rPr>
          <w:color w:val="808080"/>
          <w:lang w:val="es-ES_tradnl"/>
        </w:rPr>
        <w:t>/4</w:t>
      </w:r>
      <w:r w:rsidRPr="00E617E4">
        <w:rPr>
          <w:color w:val="808080"/>
          <w:lang w:val="es-ES_tradnl"/>
        </w:rPr>
        <w:t>))</w:t>
      </w:r>
      <w:r w:rsidRPr="00E617E4">
        <w:rPr>
          <w:lang w:val="es-ES_tradnl"/>
        </w:rPr>
        <w:t>.</w:t>
      </w:r>
    </w:p>
    <w:p w:rsidR="00450F4A" w:rsidRPr="00E617E4" w:rsidRDefault="00450F4A" w:rsidP="00E617E4">
      <w:pPr>
        <w:pStyle w:val="FootnoteText"/>
        <w:rPr>
          <w:color w:val="808080"/>
          <w:lang w:val="es-ES_tradnl"/>
        </w:rPr>
      </w:pPr>
      <w:r w:rsidRPr="00E617E4">
        <w:rPr>
          <w:lang w:val="es-ES_tradnl"/>
        </w:rPr>
        <w:tab/>
        <w:t>“</w:t>
      </w:r>
      <w:r w:rsidRPr="00E617E4">
        <w:rPr>
          <w:color w:val="808080"/>
          <w:lang w:val="es-ES_tradnl"/>
        </w:rPr>
        <w:t>1.2.3</w:t>
      </w:r>
      <w:r w:rsidRPr="00E617E4">
        <w:rPr>
          <w:color w:val="808080"/>
          <w:lang w:val="es-ES_tradnl"/>
        </w:rPr>
        <w:tab/>
        <w:t>Las variedades ejemplo son importantes para ajustar en la medida de lo posible la descripción del carácter a los efectos de la influencia anual y local.  […] ” (véase la sección</w:t>
      </w:r>
      <w:r>
        <w:rPr>
          <w:color w:val="808080"/>
          <w:lang w:val="es-ES_tradnl"/>
        </w:rPr>
        <w:t xml:space="preserve"> </w:t>
      </w:r>
      <w:r w:rsidR="00E6018E">
        <w:rPr>
          <w:color w:val="808080"/>
          <w:lang w:val="es-ES_tradnl"/>
        </w:rPr>
        <w:t>4.2.2.</w:t>
      </w:r>
      <w:r w:rsidRPr="00E617E4">
        <w:rPr>
          <w:color w:val="808080"/>
          <w:lang w:val="es-ES_tradnl"/>
        </w:rPr>
        <w:t xml:space="preserve"> de la nota orientativa GN</w:t>
      </w:r>
      <w:r>
        <w:rPr>
          <w:color w:val="808080"/>
          <w:lang w:val="es-ES_tradnl"/>
        </w:rPr>
        <w:t xml:space="preserve"> </w:t>
      </w:r>
      <w:r w:rsidRPr="00E617E4">
        <w:rPr>
          <w:color w:val="808080"/>
          <w:lang w:val="es-ES_tradnl"/>
        </w:rPr>
        <w:t>28 “Variedades ejemplo” en el Anexo</w:t>
      </w:r>
      <w:r>
        <w:rPr>
          <w:color w:val="808080"/>
          <w:lang w:val="es-ES_tradnl"/>
        </w:rPr>
        <w:t xml:space="preserve"> </w:t>
      </w:r>
      <w:r w:rsidRPr="00E617E4">
        <w:rPr>
          <w:color w:val="808080"/>
          <w:lang w:val="es-ES_tradnl"/>
        </w:rPr>
        <w:t>3 del documento TGP/7</w:t>
      </w:r>
      <w:r w:rsidR="00E6018E">
        <w:rPr>
          <w:color w:val="808080"/>
          <w:lang w:val="es-ES_tradnl"/>
        </w:rPr>
        <w:t>/4</w:t>
      </w:r>
      <w:r w:rsidRPr="00E617E4">
        <w:rPr>
          <w:color w:val="808080"/>
          <w:lang w:val="es-ES_tradnl"/>
        </w:rPr>
        <w:t>)</w:t>
      </w:r>
      <w:r>
        <w:rPr>
          <w:color w:val="808080"/>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F4A" w:rsidRPr="00951B00" w:rsidRDefault="00450F4A" w:rsidP="00450F4A">
    <w:pPr>
      <w:pStyle w:val="Header"/>
      <w:rPr>
        <w:lang w:val="es-ES_tradnl"/>
      </w:rPr>
    </w:pPr>
    <w:r w:rsidRPr="00951B00">
      <w:rPr>
        <w:lang w:val="es-ES_tradnl"/>
      </w:rPr>
      <w:t>TC/51/38</w:t>
    </w:r>
  </w:p>
  <w:p w:rsidR="00450F4A" w:rsidRPr="00951B00" w:rsidRDefault="00450F4A" w:rsidP="00450F4A">
    <w:pPr>
      <w:pStyle w:val="Header"/>
      <w:rPr>
        <w:lang w:val="es-ES_tradnl"/>
      </w:rPr>
    </w:pPr>
    <w:r w:rsidRPr="00951B00">
      <w:rPr>
        <w:lang w:val="es-ES_tradnl"/>
      </w:rPr>
      <w:t xml:space="preserve">página </w:t>
    </w:r>
    <w:r w:rsidR="009B2118" w:rsidRPr="00951B00">
      <w:rPr>
        <w:rStyle w:val="PageNumber"/>
        <w:lang w:val="es-ES_tradnl"/>
      </w:rPr>
      <w:fldChar w:fldCharType="begin"/>
    </w:r>
    <w:r w:rsidRPr="00951B00">
      <w:rPr>
        <w:rStyle w:val="PageNumber"/>
        <w:lang w:val="es-ES_tradnl"/>
      </w:rPr>
      <w:instrText xml:space="preserve"> PAGE </w:instrText>
    </w:r>
    <w:r w:rsidR="009B2118" w:rsidRPr="00951B00">
      <w:rPr>
        <w:rStyle w:val="PageNumber"/>
        <w:lang w:val="es-ES_tradnl"/>
      </w:rPr>
      <w:fldChar w:fldCharType="separate"/>
    </w:r>
    <w:r w:rsidR="003F5309">
      <w:rPr>
        <w:rStyle w:val="PageNumber"/>
        <w:noProof/>
        <w:lang w:val="es-ES_tradnl"/>
      </w:rPr>
      <w:t>5</w:t>
    </w:r>
    <w:r w:rsidR="009B2118" w:rsidRPr="00951B00">
      <w:rPr>
        <w:rStyle w:val="PageNumber"/>
        <w:lang w:val="es-ES_tradnl"/>
      </w:rPr>
      <w:fldChar w:fldCharType="end"/>
    </w:r>
  </w:p>
  <w:p w:rsidR="00450F4A" w:rsidRPr="00951B00" w:rsidRDefault="00450F4A" w:rsidP="00EB048E">
    <w:pPr>
      <w:jc w:val="center"/>
      <w:rPr>
        <w:lang w:val="es-ES_trad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F4A" w:rsidRPr="008D3729" w:rsidRDefault="00450F4A" w:rsidP="00EB048E">
    <w:pPr>
      <w:pStyle w:val="Header"/>
      <w:rPr>
        <w:rStyle w:val="PageNumber"/>
        <w:lang w:val="es-ES_tradnl"/>
      </w:rPr>
    </w:pPr>
    <w:r>
      <w:rPr>
        <w:rStyle w:val="PageNumber"/>
        <w:lang w:val="es-ES_tradnl"/>
      </w:rPr>
      <w:t>TC/51/38</w:t>
    </w:r>
  </w:p>
  <w:p w:rsidR="00450F4A" w:rsidRPr="008D3729" w:rsidRDefault="00450F4A" w:rsidP="00EB048E">
    <w:pPr>
      <w:pStyle w:val="Header"/>
      <w:rPr>
        <w:lang w:val="es-ES_tradnl"/>
      </w:rPr>
    </w:pPr>
    <w:r>
      <w:rPr>
        <w:lang w:val="es-ES_tradnl"/>
      </w:rPr>
      <w:t xml:space="preserve">Anexo, </w:t>
    </w:r>
    <w:r w:rsidRPr="008D3729">
      <w:rPr>
        <w:lang w:val="es-ES_tradnl"/>
      </w:rPr>
      <w:t xml:space="preserve">página </w:t>
    </w:r>
    <w:r w:rsidR="009B2118" w:rsidRPr="008D3729">
      <w:rPr>
        <w:rStyle w:val="PageNumber"/>
        <w:lang w:val="es-ES_tradnl"/>
      </w:rPr>
      <w:fldChar w:fldCharType="begin"/>
    </w:r>
    <w:r w:rsidRPr="008D3729">
      <w:rPr>
        <w:rStyle w:val="PageNumber"/>
        <w:lang w:val="es-ES_tradnl"/>
      </w:rPr>
      <w:instrText xml:space="preserve"> PAGE </w:instrText>
    </w:r>
    <w:r w:rsidR="009B2118" w:rsidRPr="008D3729">
      <w:rPr>
        <w:rStyle w:val="PageNumber"/>
        <w:lang w:val="es-ES_tradnl"/>
      </w:rPr>
      <w:fldChar w:fldCharType="separate"/>
    </w:r>
    <w:r w:rsidR="003F5309">
      <w:rPr>
        <w:rStyle w:val="PageNumber"/>
        <w:noProof/>
        <w:lang w:val="es-ES_tradnl"/>
      </w:rPr>
      <w:t>2</w:t>
    </w:r>
    <w:r w:rsidR="009B2118" w:rsidRPr="008D3729">
      <w:rPr>
        <w:rStyle w:val="PageNumber"/>
        <w:lang w:val="es-ES_tradnl"/>
      </w:rPr>
      <w:fldChar w:fldCharType="end"/>
    </w:r>
  </w:p>
  <w:p w:rsidR="00450F4A" w:rsidRPr="008D3729" w:rsidRDefault="00450F4A" w:rsidP="00F45372">
    <w:pPr>
      <w:rPr>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F4A" w:rsidRDefault="00450F4A" w:rsidP="004059A3">
    <w:pPr>
      <w:pStyle w:val="Header"/>
    </w:pPr>
    <w:r w:rsidRPr="00BC7B53">
      <w:t>TC/</w:t>
    </w:r>
    <w:r>
      <w:t>51</w:t>
    </w:r>
    <w:r w:rsidRPr="00BC7B53">
      <w:t>/</w:t>
    </w:r>
    <w:r>
      <w:t>38</w:t>
    </w:r>
  </w:p>
  <w:p w:rsidR="00450F4A" w:rsidRDefault="00450F4A" w:rsidP="004059A3">
    <w:pPr>
      <w:pStyle w:val="Header"/>
    </w:pPr>
  </w:p>
  <w:p w:rsidR="00450F4A" w:rsidRDefault="00450F4A" w:rsidP="004059A3">
    <w:pPr>
      <w:pStyle w:val="Header"/>
    </w:pPr>
    <w:r>
      <w:t>ANEXO</w:t>
    </w:r>
  </w:p>
  <w:p w:rsidR="00450F4A" w:rsidRDefault="00450F4A" w:rsidP="004059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04F8E"/>
    <w:multiLevelType w:val="hybridMultilevel"/>
    <w:tmpl w:val="C776A0C6"/>
    <w:lvl w:ilvl="0" w:tplc="04090017">
      <w:start w:val="1"/>
      <w:numFmt w:val="lowerLetter"/>
      <w:lvlText w:val="%1)"/>
      <w:lvlJc w:val="left"/>
      <w:pPr>
        <w:ind w:left="5540" w:hanging="360"/>
      </w:p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1">
    <w:nsid w:val="3CD3268D"/>
    <w:multiLevelType w:val="hybridMultilevel"/>
    <w:tmpl w:val="FA02D16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044055"/>
    <w:multiLevelType w:val="hybridMultilevel"/>
    <w:tmpl w:val="003437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s>
  <w:rsids>
    <w:rsidRoot w:val="00997029"/>
    <w:rsid w:val="000027F7"/>
    <w:rsid w:val="00010CF3"/>
    <w:rsid w:val="00011E27"/>
    <w:rsid w:val="000148BC"/>
    <w:rsid w:val="00024AB8"/>
    <w:rsid w:val="00030854"/>
    <w:rsid w:val="00036028"/>
    <w:rsid w:val="00041A81"/>
    <w:rsid w:val="00044642"/>
    <w:rsid w:val="000446B9"/>
    <w:rsid w:val="00047E21"/>
    <w:rsid w:val="00085505"/>
    <w:rsid w:val="000C0531"/>
    <w:rsid w:val="000C7021"/>
    <w:rsid w:val="000D62A4"/>
    <w:rsid w:val="000D6BBC"/>
    <w:rsid w:val="000D7780"/>
    <w:rsid w:val="000E70C7"/>
    <w:rsid w:val="00105929"/>
    <w:rsid w:val="001101AF"/>
    <w:rsid w:val="001131D5"/>
    <w:rsid w:val="00141DB8"/>
    <w:rsid w:val="001479AA"/>
    <w:rsid w:val="0015047D"/>
    <w:rsid w:val="0017474A"/>
    <w:rsid w:val="001758C6"/>
    <w:rsid w:val="00184D5D"/>
    <w:rsid w:val="00193609"/>
    <w:rsid w:val="00197EF7"/>
    <w:rsid w:val="001F26EB"/>
    <w:rsid w:val="001F6F23"/>
    <w:rsid w:val="0021332C"/>
    <w:rsid w:val="00213982"/>
    <w:rsid w:val="00235267"/>
    <w:rsid w:val="002401B6"/>
    <w:rsid w:val="0024416D"/>
    <w:rsid w:val="002656D8"/>
    <w:rsid w:val="00266E18"/>
    <w:rsid w:val="002800A0"/>
    <w:rsid w:val="002801B3"/>
    <w:rsid w:val="00281060"/>
    <w:rsid w:val="002940E8"/>
    <w:rsid w:val="002A6E50"/>
    <w:rsid w:val="002C256A"/>
    <w:rsid w:val="002C7A0B"/>
    <w:rsid w:val="00305A7F"/>
    <w:rsid w:val="003152FE"/>
    <w:rsid w:val="00320AE8"/>
    <w:rsid w:val="00327436"/>
    <w:rsid w:val="00340E47"/>
    <w:rsid w:val="00344BD6"/>
    <w:rsid w:val="0035528D"/>
    <w:rsid w:val="00361821"/>
    <w:rsid w:val="00366D8A"/>
    <w:rsid w:val="00367987"/>
    <w:rsid w:val="00370631"/>
    <w:rsid w:val="003D227C"/>
    <w:rsid w:val="003D2B4D"/>
    <w:rsid w:val="003D7E71"/>
    <w:rsid w:val="003F5309"/>
    <w:rsid w:val="003F5E17"/>
    <w:rsid w:val="004059A3"/>
    <w:rsid w:val="00407CE9"/>
    <w:rsid w:val="00444A88"/>
    <w:rsid w:val="00450F4A"/>
    <w:rsid w:val="004518D0"/>
    <w:rsid w:val="004571A1"/>
    <w:rsid w:val="00463114"/>
    <w:rsid w:val="00474DA4"/>
    <w:rsid w:val="004D047D"/>
    <w:rsid w:val="004F1BFB"/>
    <w:rsid w:val="004F1D89"/>
    <w:rsid w:val="004F305A"/>
    <w:rsid w:val="00512164"/>
    <w:rsid w:val="00520297"/>
    <w:rsid w:val="005338F9"/>
    <w:rsid w:val="0054281C"/>
    <w:rsid w:val="0055268D"/>
    <w:rsid w:val="00576BE4"/>
    <w:rsid w:val="00576BF0"/>
    <w:rsid w:val="005A400A"/>
    <w:rsid w:val="005C2EC7"/>
    <w:rsid w:val="00612379"/>
    <w:rsid w:val="0061555F"/>
    <w:rsid w:val="00625523"/>
    <w:rsid w:val="00641200"/>
    <w:rsid w:val="006607F4"/>
    <w:rsid w:val="00687EB4"/>
    <w:rsid w:val="006A1ECF"/>
    <w:rsid w:val="006B17D2"/>
    <w:rsid w:val="006C1B61"/>
    <w:rsid w:val="006C224E"/>
    <w:rsid w:val="006D12CB"/>
    <w:rsid w:val="006D780A"/>
    <w:rsid w:val="006E0B8C"/>
    <w:rsid w:val="00732DEC"/>
    <w:rsid w:val="00735BD5"/>
    <w:rsid w:val="00753A37"/>
    <w:rsid w:val="007556F6"/>
    <w:rsid w:val="0075770E"/>
    <w:rsid w:val="00760EEF"/>
    <w:rsid w:val="0076571D"/>
    <w:rsid w:val="00777EE5"/>
    <w:rsid w:val="00781330"/>
    <w:rsid w:val="00784836"/>
    <w:rsid w:val="0079023E"/>
    <w:rsid w:val="007A2854"/>
    <w:rsid w:val="007B72B3"/>
    <w:rsid w:val="007D0B9D"/>
    <w:rsid w:val="007D19B0"/>
    <w:rsid w:val="007F498F"/>
    <w:rsid w:val="007F4BB2"/>
    <w:rsid w:val="0080679D"/>
    <w:rsid w:val="008108B0"/>
    <w:rsid w:val="00811B20"/>
    <w:rsid w:val="0081778B"/>
    <w:rsid w:val="0082296E"/>
    <w:rsid w:val="00824099"/>
    <w:rsid w:val="00867AC1"/>
    <w:rsid w:val="008A1693"/>
    <w:rsid w:val="008A743F"/>
    <w:rsid w:val="008C0970"/>
    <w:rsid w:val="008D2CF7"/>
    <w:rsid w:val="008D3729"/>
    <w:rsid w:val="008E4370"/>
    <w:rsid w:val="00900C26"/>
    <w:rsid w:val="0090197F"/>
    <w:rsid w:val="00905020"/>
    <w:rsid w:val="00906DDC"/>
    <w:rsid w:val="009106F0"/>
    <w:rsid w:val="00934E09"/>
    <w:rsid w:val="00936253"/>
    <w:rsid w:val="00951B00"/>
    <w:rsid w:val="00952DD4"/>
    <w:rsid w:val="00970020"/>
    <w:rsid w:val="00970FED"/>
    <w:rsid w:val="00997029"/>
    <w:rsid w:val="009B2118"/>
    <w:rsid w:val="009D690D"/>
    <w:rsid w:val="009E65B6"/>
    <w:rsid w:val="00A05473"/>
    <w:rsid w:val="00A10D4F"/>
    <w:rsid w:val="00A13C6F"/>
    <w:rsid w:val="00A37B04"/>
    <w:rsid w:val="00A42AC3"/>
    <w:rsid w:val="00A430CF"/>
    <w:rsid w:val="00A43F4E"/>
    <w:rsid w:val="00A47CDB"/>
    <w:rsid w:val="00A54309"/>
    <w:rsid w:val="00AA65E7"/>
    <w:rsid w:val="00AB085F"/>
    <w:rsid w:val="00AB2B93"/>
    <w:rsid w:val="00AB7E5B"/>
    <w:rsid w:val="00AE0EF1"/>
    <w:rsid w:val="00B07301"/>
    <w:rsid w:val="00B224DE"/>
    <w:rsid w:val="00B84BBD"/>
    <w:rsid w:val="00B85A8A"/>
    <w:rsid w:val="00B91910"/>
    <w:rsid w:val="00BA43FB"/>
    <w:rsid w:val="00BC127D"/>
    <w:rsid w:val="00BC1FE6"/>
    <w:rsid w:val="00BF257C"/>
    <w:rsid w:val="00C061B6"/>
    <w:rsid w:val="00C13808"/>
    <w:rsid w:val="00C14609"/>
    <w:rsid w:val="00C2446C"/>
    <w:rsid w:val="00C36AE5"/>
    <w:rsid w:val="00C41F17"/>
    <w:rsid w:val="00C5791C"/>
    <w:rsid w:val="00C66290"/>
    <w:rsid w:val="00C66BF4"/>
    <w:rsid w:val="00C72B7A"/>
    <w:rsid w:val="00C92A65"/>
    <w:rsid w:val="00C973F2"/>
    <w:rsid w:val="00CA774A"/>
    <w:rsid w:val="00CB7E9A"/>
    <w:rsid w:val="00CC11B0"/>
    <w:rsid w:val="00CD537B"/>
    <w:rsid w:val="00CF7E36"/>
    <w:rsid w:val="00D261C5"/>
    <w:rsid w:val="00D3708D"/>
    <w:rsid w:val="00D40426"/>
    <w:rsid w:val="00D53E70"/>
    <w:rsid w:val="00D57C96"/>
    <w:rsid w:val="00D87187"/>
    <w:rsid w:val="00D91203"/>
    <w:rsid w:val="00D95174"/>
    <w:rsid w:val="00DA4685"/>
    <w:rsid w:val="00DA6F36"/>
    <w:rsid w:val="00DB596E"/>
    <w:rsid w:val="00DC00EA"/>
    <w:rsid w:val="00DD1C85"/>
    <w:rsid w:val="00E1743E"/>
    <w:rsid w:val="00E50918"/>
    <w:rsid w:val="00E6018E"/>
    <w:rsid w:val="00E617E4"/>
    <w:rsid w:val="00E660BF"/>
    <w:rsid w:val="00E72D49"/>
    <w:rsid w:val="00E7593C"/>
    <w:rsid w:val="00E7678A"/>
    <w:rsid w:val="00E935F1"/>
    <w:rsid w:val="00E94A81"/>
    <w:rsid w:val="00EA1FFB"/>
    <w:rsid w:val="00EA5245"/>
    <w:rsid w:val="00EA5A7A"/>
    <w:rsid w:val="00EB048E"/>
    <w:rsid w:val="00EE34DF"/>
    <w:rsid w:val="00EF2F89"/>
    <w:rsid w:val="00F0322D"/>
    <w:rsid w:val="00F1237A"/>
    <w:rsid w:val="00F22CBD"/>
    <w:rsid w:val="00F403ED"/>
    <w:rsid w:val="00F45372"/>
    <w:rsid w:val="00F560F7"/>
    <w:rsid w:val="00F6224A"/>
    <w:rsid w:val="00F6334D"/>
    <w:rsid w:val="00F65E84"/>
    <w:rsid w:val="00F77B84"/>
    <w:rsid w:val="00F86BF8"/>
    <w:rsid w:val="00FA49AB"/>
    <w:rsid w:val="00FD318E"/>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autoRedefine/>
    <w:qFormat/>
    <w:rsid w:val="002C7A0B"/>
    <w:pPr>
      <w:keepNext/>
      <w:jc w:val="both"/>
      <w:outlineLvl w:val="0"/>
    </w:pPr>
    <w:rPr>
      <w:rFonts w:ascii="Arial" w:hAnsi="Arial"/>
      <w:caps/>
      <w:dstrike/>
      <w:snapToGrid w:val="0"/>
      <w:color w:val="808080"/>
      <w:lang w:val="es-ES_tradnl"/>
    </w:rPr>
  </w:style>
  <w:style w:type="paragraph" w:styleId="Heading2">
    <w:name w:val="heading 2"/>
    <w:next w:val="Normal"/>
    <w:link w:val="Heading2Char"/>
    <w:autoRedefine/>
    <w:qFormat/>
    <w:rsid w:val="00370631"/>
    <w:pPr>
      <w:keepNext/>
      <w:jc w:val="both"/>
      <w:outlineLvl w:val="1"/>
    </w:pPr>
    <w:rPr>
      <w:rFonts w:ascii="Arial" w:hAnsi="Arial"/>
      <w:u w:val="single"/>
    </w:rPr>
  </w:style>
  <w:style w:type="paragraph" w:styleId="Heading3">
    <w:name w:val="heading 3"/>
    <w:next w:val="Normal"/>
    <w:autoRedefine/>
    <w:qFormat/>
    <w:rsid w:val="00370631"/>
    <w:pPr>
      <w:keepNext/>
      <w:jc w:val="both"/>
      <w:outlineLvl w:val="2"/>
    </w:pPr>
    <w:rPr>
      <w:rFonts w:ascii="Arial" w:hAnsi="Arial"/>
      <w:i/>
    </w:rPr>
  </w:style>
  <w:style w:type="paragraph" w:styleId="Heading4">
    <w:name w:val="heading 4"/>
    <w:next w:val="Normal"/>
    <w:autoRedefine/>
    <w:qFormat/>
    <w:rsid w:val="00370631"/>
    <w:pPr>
      <w:keepNext/>
      <w:ind w:left="567"/>
      <w:jc w:val="both"/>
      <w:outlineLvl w:val="3"/>
    </w:pPr>
    <w:rPr>
      <w:rFonts w:ascii="Arial" w:hAnsi="Arial"/>
      <w:u w:val="single"/>
      <w:lang w:val="fr-FR"/>
    </w:rPr>
  </w:style>
  <w:style w:type="paragraph" w:styleId="Heading5">
    <w:name w:val="heading 5"/>
    <w:next w:val="Normal"/>
    <w:autoRedefine/>
    <w:qFormat/>
    <w:rsid w:val="00370631"/>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905020"/>
    <w:pPr>
      <w:tabs>
        <w:tab w:val="left" w:pos="5387"/>
      </w:tabs>
      <w:ind w:left="4820"/>
    </w:pPr>
    <w:rPr>
      <w:i/>
    </w:rPr>
  </w:style>
  <w:style w:type="paragraph" w:styleId="FootnoteText">
    <w:name w:val="footnote text"/>
    <w:link w:val="FootnoteTextChar"/>
    <w:autoRedefine/>
    <w:rsid w:val="00E617E4"/>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link w:val="TitleofDocChar"/>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snapToGrid w:val="0"/>
      <w:u w:val="single"/>
    </w:rPr>
  </w:style>
  <w:style w:type="paragraph" w:customStyle="1" w:styleId="pldetails">
    <w:name w:val="pldetails"/>
    <w:basedOn w:val="Normal"/>
    <w:rsid w:val="00905020"/>
    <w:pPr>
      <w:keepLines/>
      <w:spacing w:before="60" w:after="60"/>
      <w:jc w:val="left"/>
    </w:pPr>
    <w:rPr>
      <w:noProof/>
      <w:snapToGrid w:val="0"/>
    </w:rPr>
  </w:style>
  <w:style w:type="paragraph" w:customStyle="1" w:styleId="plheading">
    <w:name w:val="plheading"/>
    <w:basedOn w:val="Normal"/>
    <w:rsid w:val="00905020"/>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E1743E"/>
    <w:pPr>
      <w:tabs>
        <w:tab w:val="right" w:leader="dot" w:pos="9639"/>
      </w:tabs>
      <w:spacing w:before="60" w:after="120"/>
      <w:jc w:val="center"/>
    </w:pPr>
    <w:rPr>
      <w:rFonts w:ascii="Arial" w:hAnsi="Arial"/>
      <w:caps/>
    </w:rPr>
  </w:style>
  <w:style w:type="paragraph" w:styleId="TOC5">
    <w:name w:val="toc 5"/>
    <w:next w:val="Normal"/>
    <w:autoRedefine/>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rsid w:val="001479AA"/>
    <w:rPr>
      <w:rFonts w:ascii="Tahoma" w:hAnsi="Tahoma" w:cs="Tahoma"/>
      <w:sz w:val="16"/>
      <w:szCs w:val="16"/>
    </w:rPr>
  </w:style>
  <w:style w:type="character" w:customStyle="1" w:styleId="Heading2Char">
    <w:name w:val="Heading 2 Char"/>
    <w:basedOn w:val="DefaultParagraphFont"/>
    <w:link w:val="Heading2"/>
    <w:rsid w:val="004059A3"/>
    <w:rPr>
      <w:rFonts w:ascii="Arial" w:hAnsi="Arial"/>
      <w:u w:val="single"/>
    </w:rPr>
  </w:style>
  <w:style w:type="character" w:customStyle="1" w:styleId="TitleofDocChar">
    <w:name w:val="Title of Doc Char"/>
    <w:basedOn w:val="DefaultParagraphFont"/>
    <w:link w:val="TitleofDoc"/>
    <w:rsid w:val="004059A3"/>
    <w:rPr>
      <w:rFonts w:ascii="Arial" w:hAnsi="Arial"/>
      <w:caps/>
    </w:rPr>
  </w:style>
  <w:style w:type="paragraph" w:styleId="ListParagraph">
    <w:name w:val="List Paragraph"/>
    <w:basedOn w:val="Normal"/>
    <w:uiPriority w:val="34"/>
    <w:qFormat/>
    <w:rsid w:val="004059A3"/>
    <w:pPr>
      <w:ind w:left="720"/>
      <w:contextualSpacing/>
    </w:pPr>
  </w:style>
  <w:style w:type="character" w:customStyle="1" w:styleId="FootnoteTextChar">
    <w:name w:val="Footnote Text Char"/>
    <w:link w:val="FootnoteText"/>
    <w:rsid w:val="00E617E4"/>
    <w:rPr>
      <w:rFonts w:ascii="Arial" w:hAnsi="Arial"/>
      <w:sz w:val="16"/>
    </w:rPr>
  </w:style>
  <w:style w:type="character" w:styleId="CommentReference">
    <w:name w:val="annotation reference"/>
    <w:basedOn w:val="DefaultParagraphFont"/>
    <w:rsid w:val="00C92A65"/>
    <w:rPr>
      <w:sz w:val="16"/>
      <w:szCs w:val="16"/>
    </w:rPr>
  </w:style>
  <w:style w:type="paragraph" w:styleId="CommentText">
    <w:name w:val="annotation text"/>
    <w:basedOn w:val="Normal"/>
    <w:link w:val="CommentTextChar"/>
    <w:rsid w:val="00C92A65"/>
  </w:style>
  <w:style w:type="character" w:customStyle="1" w:styleId="CommentTextChar">
    <w:name w:val="Comment Text Char"/>
    <w:basedOn w:val="DefaultParagraphFont"/>
    <w:link w:val="CommentText"/>
    <w:rsid w:val="00C92A65"/>
    <w:rPr>
      <w:rFonts w:ascii="Arial" w:hAnsi="Arial"/>
    </w:rPr>
  </w:style>
  <w:style w:type="paragraph" w:styleId="CommentSubject">
    <w:name w:val="annotation subject"/>
    <w:basedOn w:val="CommentText"/>
    <w:next w:val="CommentText"/>
    <w:link w:val="CommentSubjectChar"/>
    <w:rsid w:val="00C92A65"/>
    <w:rPr>
      <w:b/>
      <w:bCs/>
    </w:rPr>
  </w:style>
  <w:style w:type="character" w:customStyle="1" w:styleId="CommentSubjectChar">
    <w:name w:val="Comment Subject Char"/>
    <w:basedOn w:val="CommentTextChar"/>
    <w:link w:val="CommentSubject"/>
    <w:rsid w:val="00C92A65"/>
    <w:rPr>
      <w:rFonts w:ascii="Arial" w:hAnsi="Arial"/>
      <w:b/>
      <w:bCs/>
    </w:rPr>
  </w:style>
  <w:style w:type="paragraph" w:styleId="Revision">
    <w:name w:val="Revision"/>
    <w:hidden/>
    <w:uiPriority w:val="99"/>
    <w:semiHidden/>
    <w:rsid w:val="00C92A65"/>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autoRedefine/>
    <w:qFormat/>
    <w:rsid w:val="002C7A0B"/>
    <w:pPr>
      <w:keepNext/>
      <w:jc w:val="both"/>
      <w:outlineLvl w:val="0"/>
    </w:pPr>
    <w:rPr>
      <w:rFonts w:ascii="Arial" w:hAnsi="Arial"/>
      <w:caps/>
      <w:dstrike/>
      <w:snapToGrid w:val="0"/>
      <w:color w:val="808080"/>
      <w:lang w:val="es-ES_tradnl"/>
    </w:rPr>
  </w:style>
  <w:style w:type="paragraph" w:styleId="Heading2">
    <w:name w:val="heading 2"/>
    <w:next w:val="Normal"/>
    <w:link w:val="Heading2Char"/>
    <w:autoRedefine/>
    <w:qFormat/>
    <w:rsid w:val="00370631"/>
    <w:pPr>
      <w:keepNext/>
      <w:jc w:val="both"/>
      <w:outlineLvl w:val="1"/>
    </w:pPr>
    <w:rPr>
      <w:rFonts w:ascii="Arial" w:hAnsi="Arial"/>
      <w:u w:val="single"/>
    </w:rPr>
  </w:style>
  <w:style w:type="paragraph" w:styleId="Heading3">
    <w:name w:val="heading 3"/>
    <w:next w:val="Normal"/>
    <w:autoRedefine/>
    <w:qFormat/>
    <w:rsid w:val="00370631"/>
    <w:pPr>
      <w:keepNext/>
      <w:jc w:val="both"/>
      <w:outlineLvl w:val="2"/>
    </w:pPr>
    <w:rPr>
      <w:rFonts w:ascii="Arial" w:hAnsi="Arial"/>
      <w:i/>
    </w:rPr>
  </w:style>
  <w:style w:type="paragraph" w:styleId="Heading4">
    <w:name w:val="heading 4"/>
    <w:next w:val="Normal"/>
    <w:autoRedefine/>
    <w:qFormat/>
    <w:rsid w:val="00370631"/>
    <w:pPr>
      <w:keepNext/>
      <w:ind w:left="567"/>
      <w:jc w:val="both"/>
      <w:outlineLvl w:val="3"/>
    </w:pPr>
    <w:rPr>
      <w:rFonts w:ascii="Arial" w:hAnsi="Arial"/>
      <w:u w:val="single"/>
      <w:lang w:val="fr-FR"/>
    </w:rPr>
  </w:style>
  <w:style w:type="paragraph" w:styleId="Heading5">
    <w:name w:val="heading 5"/>
    <w:next w:val="Normal"/>
    <w:autoRedefine/>
    <w:qFormat/>
    <w:rsid w:val="00370631"/>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905020"/>
    <w:pPr>
      <w:tabs>
        <w:tab w:val="left" w:pos="5387"/>
      </w:tabs>
      <w:ind w:left="4820"/>
    </w:pPr>
    <w:rPr>
      <w:i/>
    </w:rPr>
  </w:style>
  <w:style w:type="paragraph" w:styleId="FootnoteText">
    <w:name w:val="footnote text"/>
    <w:link w:val="FootnoteTextChar"/>
    <w:autoRedefine/>
    <w:rsid w:val="00E617E4"/>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link w:val="TitleofDocChar"/>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snapToGrid w:val="0"/>
      <w:u w:val="single"/>
    </w:rPr>
  </w:style>
  <w:style w:type="paragraph" w:customStyle="1" w:styleId="pldetails">
    <w:name w:val="pldetails"/>
    <w:basedOn w:val="Normal"/>
    <w:rsid w:val="00905020"/>
    <w:pPr>
      <w:keepLines/>
      <w:spacing w:before="60" w:after="60"/>
      <w:jc w:val="left"/>
    </w:pPr>
    <w:rPr>
      <w:noProof/>
      <w:snapToGrid w:val="0"/>
    </w:rPr>
  </w:style>
  <w:style w:type="paragraph" w:customStyle="1" w:styleId="plheading">
    <w:name w:val="plheading"/>
    <w:basedOn w:val="Normal"/>
    <w:rsid w:val="00905020"/>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E1743E"/>
    <w:pPr>
      <w:tabs>
        <w:tab w:val="right" w:leader="dot" w:pos="9639"/>
      </w:tabs>
      <w:spacing w:before="60" w:after="120"/>
      <w:jc w:val="center"/>
    </w:pPr>
    <w:rPr>
      <w:rFonts w:ascii="Arial" w:hAnsi="Arial"/>
      <w:caps/>
    </w:rPr>
  </w:style>
  <w:style w:type="paragraph" w:styleId="TOC5">
    <w:name w:val="toc 5"/>
    <w:next w:val="Normal"/>
    <w:autoRedefine/>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rsid w:val="001479AA"/>
    <w:rPr>
      <w:rFonts w:ascii="Tahoma" w:hAnsi="Tahoma" w:cs="Tahoma"/>
      <w:sz w:val="16"/>
      <w:szCs w:val="16"/>
    </w:rPr>
  </w:style>
  <w:style w:type="character" w:customStyle="1" w:styleId="Heading2Char">
    <w:name w:val="Heading 2 Char"/>
    <w:basedOn w:val="DefaultParagraphFont"/>
    <w:link w:val="Heading2"/>
    <w:rsid w:val="004059A3"/>
    <w:rPr>
      <w:rFonts w:ascii="Arial" w:hAnsi="Arial"/>
      <w:u w:val="single"/>
    </w:rPr>
  </w:style>
  <w:style w:type="character" w:customStyle="1" w:styleId="TitleofDocChar">
    <w:name w:val="Title of Doc Char"/>
    <w:basedOn w:val="DefaultParagraphFont"/>
    <w:link w:val="TitleofDoc"/>
    <w:rsid w:val="004059A3"/>
    <w:rPr>
      <w:rFonts w:ascii="Arial" w:hAnsi="Arial"/>
      <w:caps/>
    </w:rPr>
  </w:style>
  <w:style w:type="paragraph" w:styleId="ListParagraph">
    <w:name w:val="List Paragraph"/>
    <w:basedOn w:val="Normal"/>
    <w:uiPriority w:val="34"/>
    <w:qFormat/>
    <w:rsid w:val="004059A3"/>
    <w:pPr>
      <w:ind w:left="720"/>
      <w:contextualSpacing/>
    </w:pPr>
  </w:style>
  <w:style w:type="character" w:customStyle="1" w:styleId="FootnoteTextChar">
    <w:name w:val="Footnote Text Char"/>
    <w:link w:val="FootnoteText"/>
    <w:rsid w:val="00E617E4"/>
    <w:rPr>
      <w:rFonts w:ascii="Arial" w:hAnsi="Arial"/>
      <w:sz w:val="16"/>
    </w:rPr>
  </w:style>
  <w:style w:type="character" w:styleId="CommentReference">
    <w:name w:val="annotation reference"/>
    <w:basedOn w:val="DefaultParagraphFont"/>
    <w:rsid w:val="00C92A65"/>
    <w:rPr>
      <w:sz w:val="16"/>
      <w:szCs w:val="16"/>
    </w:rPr>
  </w:style>
  <w:style w:type="paragraph" w:styleId="CommentText">
    <w:name w:val="annotation text"/>
    <w:basedOn w:val="Normal"/>
    <w:link w:val="CommentTextChar"/>
    <w:rsid w:val="00C92A65"/>
  </w:style>
  <w:style w:type="character" w:customStyle="1" w:styleId="CommentTextChar">
    <w:name w:val="Comment Text Char"/>
    <w:basedOn w:val="DefaultParagraphFont"/>
    <w:link w:val="CommentText"/>
    <w:rsid w:val="00C92A65"/>
    <w:rPr>
      <w:rFonts w:ascii="Arial" w:hAnsi="Arial"/>
    </w:rPr>
  </w:style>
  <w:style w:type="paragraph" w:styleId="CommentSubject">
    <w:name w:val="annotation subject"/>
    <w:basedOn w:val="CommentText"/>
    <w:next w:val="CommentText"/>
    <w:link w:val="CommentSubjectChar"/>
    <w:rsid w:val="00C92A65"/>
    <w:rPr>
      <w:b/>
      <w:bCs/>
    </w:rPr>
  </w:style>
  <w:style w:type="character" w:customStyle="1" w:styleId="CommentSubjectChar">
    <w:name w:val="Comment Subject Char"/>
    <w:basedOn w:val="CommentTextChar"/>
    <w:link w:val="CommentSubject"/>
    <w:rsid w:val="00C92A65"/>
    <w:rPr>
      <w:rFonts w:ascii="Arial" w:hAnsi="Arial"/>
      <w:b/>
      <w:bCs/>
    </w:rPr>
  </w:style>
  <w:style w:type="paragraph" w:styleId="Revision">
    <w:name w:val="Revision"/>
    <w:hidden/>
    <w:uiPriority w:val="99"/>
    <w:semiHidden/>
    <w:rsid w:val="00C92A6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2771</Words>
  <Characters>15798</Characters>
  <Application>Microsoft Office Word</Application>
  <DocSecurity>0</DocSecurity>
  <Lines>131</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TC/51/38</vt:lpstr>
      <vt:lpstr>TC/51/38</vt:lpstr>
    </vt:vector>
  </TitlesOfParts>
  <Company>UPOV</Company>
  <LinksUpToDate>false</LinksUpToDate>
  <CharactersWithSpaces>18532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TC/51/38</dc:title>
  <dc:creator>BOU LLORET Amparo</dc:creator>
  <cp:lastModifiedBy>LONG Victoria</cp:lastModifiedBy>
  <cp:revision>4</cp:revision>
  <cp:lastPrinted>2015-02-27T09:12:00Z</cp:lastPrinted>
  <dcterms:created xsi:type="dcterms:W3CDTF">2015-02-16T12:57:00Z</dcterms:created>
  <dcterms:modified xsi:type="dcterms:W3CDTF">2015-02-27T09:12:00Z</dcterms:modified>
</cp:coreProperties>
</file>