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861E5" w:rsidRPr="00787511" w:rsidTr="00E3364A">
        <w:trPr>
          <w:trHeight w:val="1760"/>
        </w:trPr>
        <w:tc>
          <w:tcPr>
            <w:tcW w:w="4243" w:type="dxa"/>
          </w:tcPr>
          <w:p w:rsidR="003861E5" w:rsidRPr="00AD1135" w:rsidRDefault="003861E5" w:rsidP="00E3364A">
            <w:pPr>
              <w:rPr>
                <w:color w:val="808080"/>
                <w:lang w:val="es-ES_tradnl"/>
              </w:rPr>
            </w:pPr>
          </w:p>
        </w:tc>
        <w:tc>
          <w:tcPr>
            <w:tcW w:w="1646" w:type="dxa"/>
            <w:vAlign w:val="center"/>
          </w:tcPr>
          <w:p w:rsidR="003861E5" w:rsidRPr="00745482" w:rsidRDefault="004D1EEB" w:rsidP="00E3364A">
            <w:pPr>
              <w:pStyle w:val="LogoUPOV"/>
              <w:rPr>
                <w:lang w:val="es-ES_tradnl"/>
              </w:rPr>
            </w:pPr>
            <w:r>
              <w:rPr>
                <w:noProof/>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3861E5" w:rsidRPr="00745482" w:rsidRDefault="003861E5" w:rsidP="00E3364A">
            <w:pPr>
              <w:pStyle w:val="Lettrine"/>
              <w:rPr>
                <w:lang w:val="es-ES_tradnl"/>
              </w:rPr>
            </w:pPr>
            <w:r w:rsidRPr="00745482">
              <w:rPr>
                <w:lang w:val="es-ES_tradnl"/>
              </w:rPr>
              <w:t>S</w:t>
            </w:r>
          </w:p>
          <w:p w:rsidR="003861E5" w:rsidRPr="00745482" w:rsidRDefault="003861E5" w:rsidP="00E3364A">
            <w:pPr>
              <w:pStyle w:val="Docoriginal"/>
              <w:rPr>
                <w:lang w:val="es-ES_tradnl"/>
              </w:rPr>
            </w:pPr>
            <w:r w:rsidRPr="00745482">
              <w:rPr>
                <w:lang w:val="es-ES_tradnl"/>
              </w:rPr>
              <w:t>TC/51/</w:t>
            </w:r>
            <w:bookmarkStart w:id="0" w:name="Code"/>
            <w:bookmarkEnd w:id="0"/>
            <w:r w:rsidRPr="00745482">
              <w:rPr>
                <w:lang w:val="es-ES_tradnl"/>
              </w:rPr>
              <w:t>3</w:t>
            </w:r>
          </w:p>
          <w:p w:rsidR="003861E5" w:rsidRPr="00745482" w:rsidRDefault="003861E5" w:rsidP="00E3364A">
            <w:pPr>
              <w:pStyle w:val="Docoriginal"/>
              <w:rPr>
                <w:b w:val="0"/>
                <w:spacing w:val="0"/>
                <w:lang w:val="es-ES_tradnl"/>
              </w:rPr>
            </w:pPr>
            <w:r w:rsidRPr="00745482">
              <w:rPr>
                <w:rStyle w:val="StyleDoclangBold"/>
                <w:b/>
                <w:bCs/>
                <w:spacing w:val="0"/>
                <w:lang w:val="es-ES_tradnl"/>
              </w:rPr>
              <w:t>ORIGINAL:</w:t>
            </w:r>
            <w:r w:rsidRPr="00745482">
              <w:rPr>
                <w:rStyle w:val="StyleDocoriginalNotBold1"/>
                <w:spacing w:val="0"/>
                <w:lang w:val="es-ES_tradnl"/>
              </w:rPr>
              <w:t xml:space="preserve">  </w:t>
            </w:r>
            <w:bookmarkStart w:id="1" w:name="Original"/>
            <w:bookmarkEnd w:id="1"/>
            <w:r w:rsidRPr="00745482">
              <w:rPr>
                <w:b w:val="0"/>
                <w:spacing w:val="0"/>
                <w:lang w:val="es-ES_tradnl"/>
              </w:rPr>
              <w:t>Inglés</w:t>
            </w:r>
          </w:p>
          <w:p w:rsidR="003861E5" w:rsidRPr="00745482" w:rsidRDefault="003861E5" w:rsidP="00C640F9">
            <w:pPr>
              <w:pStyle w:val="Docoriginal"/>
              <w:rPr>
                <w:lang w:val="es-ES_tradnl"/>
              </w:rPr>
            </w:pPr>
            <w:r w:rsidRPr="00745482">
              <w:rPr>
                <w:spacing w:val="0"/>
                <w:lang w:val="es-ES_tradnl"/>
              </w:rPr>
              <w:t>FECHA:</w:t>
            </w:r>
            <w:r w:rsidRPr="00745482">
              <w:rPr>
                <w:b w:val="0"/>
                <w:spacing w:val="0"/>
                <w:lang w:val="es-ES_tradnl"/>
              </w:rPr>
              <w:t xml:space="preserve"> </w:t>
            </w:r>
            <w:r w:rsidR="00C640F9" w:rsidRPr="00C640F9">
              <w:rPr>
                <w:rStyle w:val="StyleDocoriginalNotBold1"/>
                <w:spacing w:val="0"/>
                <w:lang w:val="es-ES_tradnl"/>
              </w:rPr>
              <w:t>1</w:t>
            </w:r>
            <w:r w:rsidRPr="00C640F9">
              <w:rPr>
                <w:rStyle w:val="StyleDocoriginalNotBold1"/>
                <w:spacing w:val="0"/>
                <w:lang w:val="es-ES_tradnl"/>
              </w:rPr>
              <w:t xml:space="preserve"> de febrero</w:t>
            </w:r>
            <w:r w:rsidRPr="00C640F9">
              <w:rPr>
                <w:b w:val="0"/>
                <w:spacing w:val="0"/>
                <w:lang w:val="es-ES_tradnl"/>
              </w:rPr>
              <w:t xml:space="preserve"> de 2015</w:t>
            </w:r>
          </w:p>
        </w:tc>
      </w:tr>
      <w:tr w:rsidR="003861E5" w:rsidRPr="00787511" w:rsidTr="00E3364A">
        <w:tc>
          <w:tcPr>
            <w:tcW w:w="10131" w:type="dxa"/>
            <w:gridSpan w:val="3"/>
          </w:tcPr>
          <w:p w:rsidR="003861E5" w:rsidRPr="00745482" w:rsidRDefault="003861E5" w:rsidP="00E3364A">
            <w:pPr>
              <w:pStyle w:val="upove"/>
              <w:rPr>
                <w:sz w:val="28"/>
                <w:lang w:val="es-ES_tradnl"/>
              </w:rPr>
            </w:pPr>
            <w:r w:rsidRPr="00745482">
              <w:rPr>
                <w:spacing w:val="2"/>
                <w:lang w:val="es-ES_tradnl"/>
              </w:rPr>
              <w:t>UNIÓN INTERNACIONAL PARA LA PROTECCIÓN DE LAS OBTENCIONES VEGETALES</w:t>
            </w:r>
          </w:p>
        </w:tc>
      </w:tr>
      <w:tr w:rsidR="003861E5" w:rsidRPr="00AD1135" w:rsidTr="00E3364A">
        <w:tc>
          <w:tcPr>
            <w:tcW w:w="10131" w:type="dxa"/>
            <w:gridSpan w:val="3"/>
          </w:tcPr>
          <w:p w:rsidR="003861E5" w:rsidRPr="00745482" w:rsidRDefault="003861E5" w:rsidP="00E3364A">
            <w:pPr>
              <w:pStyle w:val="Country"/>
              <w:rPr>
                <w:lang w:val="es-ES_tradnl"/>
              </w:rPr>
            </w:pPr>
            <w:r w:rsidRPr="00745482">
              <w:rPr>
                <w:lang w:val="es-ES_tradnl"/>
              </w:rPr>
              <w:t>Ginebra</w:t>
            </w:r>
          </w:p>
        </w:tc>
      </w:tr>
    </w:tbl>
    <w:p w:rsidR="003861E5" w:rsidRPr="00745482" w:rsidRDefault="003861E5" w:rsidP="00AD1135">
      <w:pPr>
        <w:pStyle w:val="Sessiontc"/>
        <w:rPr>
          <w:lang w:val="es-ES_tradnl"/>
        </w:rPr>
      </w:pPr>
      <w:r w:rsidRPr="00745482">
        <w:rPr>
          <w:lang w:val="es-ES_tradnl"/>
        </w:rPr>
        <w:t>Comité TÉCNICO</w:t>
      </w:r>
    </w:p>
    <w:p w:rsidR="003861E5" w:rsidRPr="00745482" w:rsidRDefault="003861E5" w:rsidP="00F45372">
      <w:pPr>
        <w:pStyle w:val="Sessiontcplacedate"/>
        <w:rPr>
          <w:lang w:val="es-ES_tradnl"/>
        </w:rPr>
      </w:pPr>
      <w:r w:rsidRPr="00745482">
        <w:rPr>
          <w:lang w:val="es-ES_tradnl"/>
        </w:rPr>
        <w:t>Quincuagésima primera sesión</w:t>
      </w:r>
      <w:bookmarkStart w:id="2" w:name="_GoBack"/>
      <w:bookmarkEnd w:id="2"/>
      <w:r w:rsidRPr="00745482">
        <w:rPr>
          <w:lang w:val="es-ES_tradnl"/>
        </w:rPr>
        <w:br/>
        <w:t>Ginebra, 23 a 25 de marzo de 2015</w:t>
      </w:r>
    </w:p>
    <w:p w:rsidR="003861E5" w:rsidRPr="00745482" w:rsidRDefault="003861E5" w:rsidP="00F36BDF">
      <w:pPr>
        <w:pStyle w:val="Titleofdoc0"/>
        <w:rPr>
          <w:lang w:val="es-ES"/>
        </w:rPr>
      </w:pPr>
      <w:bookmarkStart w:id="3" w:name="TitleOfDoc"/>
      <w:bookmarkEnd w:id="3"/>
      <w:r w:rsidRPr="00745482">
        <w:rPr>
          <w:lang w:val="es-ES_tradnl"/>
        </w:rPr>
        <w:t>CUESTIONES PLANTEADAS POR LOS Grupos de Trabajo Técnico</w:t>
      </w:r>
    </w:p>
    <w:p w:rsidR="003861E5" w:rsidRPr="00787511" w:rsidRDefault="003861E5" w:rsidP="00F36BDF">
      <w:pPr>
        <w:pStyle w:val="preparedby1"/>
        <w:rPr>
          <w:color w:val="A6A6A6" w:themeColor="background1" w:themeShade="A6"/>
          <w:lang w:val="fr-FR"/>
        </w:rPr>
      </w:pPr>
      <w:bookmarkStart w:id="4" w:name="Prepared"/>
      <w:bookmarkEnd w:id="4"/>
      <w:r w:rsidRPr="00745482">
        <w:rPr>
          <w:lang w:val="es-ES_tradnl"/>
        </w:rPr>
        <w:t>Documento preparado por la Oficina de la Unión</w:t>
      </w:r>
      <w:r w:rsidRPr="00745482">
        <w:rPr>
          <w:lang w:val="es-ES_tradnl"/>
        </w:rPr>
        <w:br/>
      </w:r>
      <w:r>
        <w:rPr>
          <w:color w:val="000000"/>
          <w:lang w:val="es-ES_tradnl"/>
        </w:rPr>
        <w:br/>
      </w:r>
      <w:r w:rsidR="00A86E03" w:rsidRPr="00787511">
        <w:rPr>
          <w:color w:val="A6A6A6" w:themeColor="background1" w:themeShade="A6"/>
          <w:lang w:val="fr-FR"/>
        </w:rPr>
        <w:t xml:space="preserve">Descargo de responsabilidad: </w:t>
      </w:r>
      <w:r w:rsidRPr="00787511">
        <w:rPr>
          <w:color w:val="A6A6A6" w:themeColor="background1" w:themeShade="A6"/>
          <w:lang w:val="fr-FR"/>
        </w:rPr>
        <w:t>el presente documento no constituye</w:t>
      </w:r>
      <w:r w:rsidRPr="00787511">
        <w:rPr>
          <w:color w:val="A6A6A6" w:themeColor="background1" w:themeShade="A6"/>
          <w:lang w:val="fr-FR"/>
        </w:rPr>
        <w:br/>
        <w:t>un documento de política u orientación de la UPOV</w:t>
      </w:r>
    </w:p>
    <w:p w:rsidR="003861E5" w:rsidRPr="00745482" w:rsidRDefault="003861E5" w:rsidP="00F36BDF">
      <w:pPr>
        <w:rPr>
          <w:lang w:val="es-ES"/>
        </w:rPr>
      </w:pPr>
      <w:r w:rsidRPr="00745482">
        <w:rPr>
          <w:lang w:val="es-ES"/>
        </w:rPr>
        <w:fldChar w:fldCharType="begin"/>
      </w:r>
      <w:r w:rsidRPr="00745482">
        <w:rPr>
          <w:lang w:val="es-ES"/>
        </w:rPr>
        <w:instrText xml:space="preserve"> AUTONUM  </w:instrText>
      </w:r>
      <w:r w:rsidRPr="00745482">
        <w:rPr>
          <w:lang w:val="es-ES"/>
        </w:rPr>
        <w:fldChar w:fldCharType="end"/>
      </w:r>
      <w:r w:rsidRPr="00617EC3">
        <w:rPr>
          <w:color w:val="000000"/>
          <w:lang w:val="es-ES"/>
        </w:rPr>
        <w:tab/>
      </w:r>
      <w:r w:rsidRPr="00745482">
        <w:rPr>
          <w:lang w:val="es-ES_tradnl"/>
        </w:rPr>
        <w:t>En el presente documento se resumen algunas de las cuestiones planteadas en las sesiones de los Grupos de Trabajo Técnico (TWP) celebradas en 2014 y que no fueron incluidas explícitamente en ningún punto del orden del día.</w:t>
      </w:r>
      <w:r w:rsidRPr="00072B53">
        <w:rPr>
          <w:color w:val="000000"/>
          <w:lang w:val="es-ES"/>
        </w:rPr>
        <w:t xml:space="preserve">  </w:t>
      </w:r>
      <w:r w:rsidRPr="00745482">
        <w:rPr>
          <w:lang w:val="es-ES"/>
        </w:rPr>
        <w:t>Las cuestiones planteadas se presentan en dos secciones.</w:t>
      </w:r>
      <w:r w:rsidRPr="004D1EEB">
        <w:rPr>
          <w:lang w:val="es-ES_tradnl"/>
        </w:rPr>
        <w:t xml:space="preserve">  </w:t>
      </w:r>
      <w:r w:rsidRPr="00017563">
        <w:rPr>
          <w:lang w:val="es-ES_tradnl"/>
        </w:rPr>
        <w:t>En la primera sección, “Cuestiones para información y para una eventual decisión del Comité Técnico”, se exponen cuestiones planteadas por los TWP sobre las que debe tomar una decisión el Comité Técnico (TC).</w:t>
      </w:r>
      <w:r w:rsidRPr="004D1EEB">
        <w:rPr>
          <w:lang w:val="es-ES_tradnl"/>
        </w:rPr>
        <w:t xml:space="preserve">  </w:t>
      </w:r>
      <w:r w:rsidRPr="00017563">
        <w:rPr>
          <w:lang w:val="es-ES_tradnl"/>
        </w:rPr>
        <w:t>La Oficina de la Unión ha destacado los aspectos sobre los que el TC podría tomar una decisión mediante la inclusión de un párrafo que contiene una propuesta de decisión.</w:t>
      </w:r>
      <w:r w:rsidRPr="004D1EEB">
        <w:rPr>
          <w:lang w:val="es-ES_tradnl"/>
        </w:rPr>
        <w:t xml:space="preserve">  </w:t>
      </w:r>
      <w:r w:rsidRPr="00745482">
        <w:rPr>
          <w:lang w:val="es-ES_tradnl"/>
        </w:rPr>
        <w:t>En la segunda sección, “Cuestiones para información”, se exponen cuestiones para información del Comité, acerca de las cuales no es necesario tomar decisiones en la presente etapa.</w:t>
      </w:r>
    </w:p>
    <w:p w:rsidR="003861E5" w:rsidRPr="00617EC3" w:rsidRDefault="003861E5" w:rsidP="00E72472">
      <w:pPr>
        <w:tabs>
          <w:tab w:val="left" w:pos="567"/>
          <w:tab w:val="left" w:pos="1701"/>
        </w:tabs>
        <w:ind w:left="1695" w:hanging="1695"/>
        <w:rPr>
          <w:rFonts w:eastAsia="PMingLiU"/>
          <w:szCs w:val="24"/>
          <w:lang w:val="es-ES"/>
        </w:rPr>
      </w:pPr>
    </w:p>
    <w:p w:rsidR="003861E5" w:rsidRPr="00745482" w:rsidRDefault="003861E5" w:rsidP="00F36BDF">
      <w:pPr>
        <w:rPr>
          <w:lang w:val="es-ES"/>
        </w:rPr>
      </w:pPr>
      <w:r w:rsidRPr="00745482">
        <w:rPr>
          <w:lang w:val="es-ES"/>
        </w:rPr>
        <w:fldChar w:fldCharType="begin"/>
      </w:r>
      <w:r w:rsidRPr="00745482">
        <w:rPr>
          <w:lang w:val="es-ES"/>
        </w:rPr>
        <w:instrText xml:space="preserve"> AUTONUM  </w:instrText>
      </w:r>
      <w:r w:rsidRPr="00745482">
        <w:rPr>
          <w:lang w:val="es-ES"/>
        </w:rPr>
        <w:fldChar w:fldCharType="end"/>
      </w:r>
      <w:r w:rsidRPr="00745482">
        <w:rPr>
          <w:lang w:val="es-ES"/>
        </w:rPr>
        <w:tab/>
      </w:r>
      <w:r w:rsidRPr="00745482">
        <w:rPr>
          <w:lang w:val="es-ES_tradnl"/>
        </w:rPr>
        <w:t>La estructura del presente documento es la siguiente:</w:t>
      </w:r>
    </w:p>
    <w:p w:rsidR="003861E5" w:rsidRPr="00617EC3" w:rsidRDefault="003861E5" w:rsidP="00E72472">
      <w:pPr>
        <w:rPr>
          <w:lang w:val="es-ES"/>
        </w:rPr>
      </w:pPr>
    </w:p>
    <w:p w:rsidR="003861E5" w:rsidRDefault="003861E5">
      <w:pPr>
        <w:pStyle w:val="TOC1"/>
        <w:rPr>
          <w:rFonts w:ascii="Times New Roman" w:hAnsi="Times New Roman"/>
          <w:caps w:val="0"/>
          <w:noProof/>
          <w:sz w:val="24"/>
          <w:szCs w:val="24"/>
          <w:lang w:val="es-ES_tradnl" w:eastAsia="es-ES_tradnl"/>
        </w:rPr>
      </w:pPr>
      <w:r w:rsidRPr="004B5650">
        <w:rPr>
          <w:color w:val="808080"/>
        </w:rPr>
        <w:fldChar w:fldCharType="begin"/>
      </w:r>
      <w:r w:rsidRPr="004B5650">
        <w:rPr>
          <w:color w:val="808080"/>
        </w:rPr>
        <w:instrText xml:space="preserve"> TOC \o "1-3" \h \z \u </w:instrText>
      </w:r>
      <w:r w:rsidRPr="004B5650">
        <w:rPr>
          <w:color w:val="808080"/>
        </w:rPr>
        <w:fldChar w:fldCharType="separate"/>
      </w:r>
      <w:hyperlink w:anchor="_Toc411849550" w:history="1">
        <w:r w:rsidRPr="00746173">
          <w:rPr>
            <w:rStyle w:val="Hyperlink"/>
            <w:rFonts w:eastAsia="PMingLiU"/>
            <w:noProof/>
            <w:lang w:val="es-ES_tradnl"/>
          </w:rPr>
          <w:t>cuestiones para información y para una eventual decisión del comité técnico</w:t>
        </w:r>
        <w:r>
          <w:rPr>
            <w:noProof/>
            <w:webHidden/>
          </w:rPr>
          <w:tab/>
        </w:r>
        <w:r>
          <w:rPr>
            <w:noProof/>
            <w:webHidden/>
          </w:rPr>
          <w:fldChar w:fldCharType="begin"/>
        </w:r>
        <w:r>
          <w:rPr>
            <w:noProof/>
            <w:webHidden/>
          </w:rPr>
          <w:instrText xml:space="preserve"> PAGEREF _Toc411849550 \h </w:instrText>
        </w:r>
        <w:r>
          <w:rPr>
            <w:noProof/>
            <w:webHidden/>
          </w:rPr>
        </w:r>
        <w:r>
          <w:rPr>
            <w:noProof/>
            <w:webHidden/>
          </w:rPr>
          <w:fldChar w:fldCharType="separate"/>
        </w:r>
        <w:r w:rsidR="00CB50CB">
          <w:rPr>
            <w:noProof/>
            <w:webHidden/>
          </w:rPr>
          <w:t>2</w:t>
        </w:r>
        <w:r>
          <w:rPr>
            <w:noProof/>
            <w:webHidden/>
          </w:rPr>
          <w:fldChar w:fldCharType="end"/>
        </w:r>
      </w:hyperlink>
    </w:p>
    <w:p w:rsidR="003861E5" w:rsidRDefault="00CB50CB">
      <w:pPr>
        <w:pStyle w:val="TOC1"/>
        <w:rPr>
          <w:rFonts w:ascii="Times New Roman" w:hAnsi="Times New Roman"/>
          <w:caps w:val="0"/>
          <w:noProof/>
          <w:sz w:val="24"/>
          <w:szCs w:val="24"/>
          <w:lang w:val="es-ES_tradnl" w:eastAsia="es-ES_tradnl"/>
        </w:rPr>
      </w:pPr>
      <w:hyperlink w:anchor="_Toc411849551" w:history="1">
        <w:r w:rsidR="003861E5" w:rsidRPr="00746173">
          <w:rPr>
            <w:rStyle w:val="Hyperlink"/>
            <w:noProof/>
            <w:lang w:val="es-ES_tradnl"/>
          </w:rPr>
          <w:t>cuestiones para información</w:t>
        </w:r>
        <w:r w:rsidR="003861E5">
          <w:rPr>
            <w:noProof/>
            <w:webHidden/>
          </w:rPr>
          <w:tab/>
        </w:r>
        <w:r w:rsidR="003861E5">
          <w:rPr>
            <w:noProof/>
            <w:webHidden/>
          </w:rPr>
          <w:fldChar w:fldCharType="begin"/>
        </w:r>
        <w:r w:rsidR="003861E5">
          <w:rPr>
            <w:noProof/>
            <w:webHidden/>
          </w:rPr>
          <w:instrText xml:space="preserve"> PAGEREF _Toc411849551 \h </w:instrText>
        </w:r>
        <w:r w:rsidR="003861E5">
          <w:rPr>
            <w:noProof/>
            <w:webHidden/>
          </w:rPr>
        </w:r>
        <w:r w:rsidR="003861E5">
          <w:rPr>
            <w:noProof/>
            <w:webHidden/>
          </w:rPr>
          <w:fldChar w:fldCharType="separate"/>
        </w:r>
        <w:r>
          <w:rPr>
            <w:noProof/>
            <w:webHidden/>
          </w:rPr>
          <w:t>2</w:t>
        </w:r>
        <w:r w:rsidR="003861E5">
          <w:rPr>
            <w:noProof/>
            <w:webHidden/>
          </w:rPr>
          <w:fldChar w:fldCharType="end"/>
        </w:r>
      </w:hyperlink>
    </w:p>
    <w:p w:rsidR="003861E5" w:rsidRDefault="00CB50CB">
      <w:pPr>
        <w:pStyle w:val="TOC2"/>
        <w:rPr>
          <w:rFonts w:ascii="Times New Roman" w:hAnsi="Times New Roman"/>
          <w:smallCaps w:val="0"/>
          <w:noProof/>
          <w:sz w:val="24"/>
          <w:szCs w:val="24"/>
          <w:lang w:val="es-ES_tradnl" w:eastAsia="es-ES_tradnl"/>
        </w:rPr>
      </w:pPr>
      <w:hyperlink w:anchor="_Toc411849552" w:history="1">
        <w:r w:rsidR="003861E5" w:rsidRPr="00746173">
          <w:rPr>
            <w:rStyle w:val="Hyperlink"/>
            <w:noProof/>
            <w:lang w:val="es-ES_tradnl"/>
          </w:rPr>
          <w:t>Duración de los exámenes DHE en el sector frutícola</w:t>
        </w:r>
        <w:r w:rsidR="003861E5">
          <w:rPr>
            <w:noProof/>
            <w:webHidden/>
          </w:rPr>
          <w:tab/>
        </w:r>
        <w:r w:rsidR="003861E5">
          <w:rPr>
            <w:noProof/>
            <w:webHidden/>
          </w:rPr>
          <w:fldChar w:fldCharType="begin"/>
        </w:r>
        <w:r w:rsidR="003861E5">
          <w:rPr>
            <w:noProof/>
            <w:webHidden/>
          </w:rPr>
          <w:instrText xml:space="preserve"> PAGEREF _Toc411849552 \h </w:instrText>
        </w:r>
        <w:r w:rsidR="003861E5">
          <w:rPr>
            <w:noProof/>
            <w:webHidden/>
          </w:rPr>
        </w:r>
        <w:r w:rsidR="003861E5">
          <w:rPr>
            <w:noProof/>
            <w:webHidden/>
          </w:rPr>
          <w:fldChar w:fldCharType="separate"/>
        </w:r>
        <w:r>
          <w:rPr>
            <w:noProof/>
            <w:webHidden/>
          </w:rPr>
          <w:t>2</w:t>
        </w:r>
        <w:r w:rsidR="003861E5">
          <w:rPr>
            <w:noProof/>
            <w:webHidden/>
          </w:rPr>
          <w:fldChar w:fldCharType="end"/>
        </w:r>
      </w:hyperlink>
    </w:p>
    <w:p w:rsidR="003861E5" w:rsidRDefault="00CB50CB">
      <w:pPr>
        <w:pStyle w:val="TOC2"/>
        <w:rPr>
          <w:rFonts w:ascii="Times New Roman" w:hAnsi="Times New Roman"/>
          <w:smallCaps w:val="0"/>
          <w:noProof/>
          <w:sz w:val="24"/>
          <w:szCs w:val="24"/>
          <w:lang w:val="es-ES_tradnl" w:eastAsia="es-ES_tradnl"/>
        </w:rPr>
      </w:pPr>
      <w:hyperlink w:anchor="_Toc411849553" w:history="1">
        <w:r w:rsidR="003861E5" w:rsidRPr="00746173">
          <w:rPr>
            <w:rStyle w:val="Hyperlink"/>
            <w:noProof/>
            <w:lang w:val="es-ES_tradnl"/>
          </w:rPr>
          <w:t>Utilización de caracteres de resistencia a las enfermedades en el examen DHE</w:t>
        </w:r>
        <w:r w:rsidR="003861E5">
          <w:rPr>
            <w:noProof/>
            <w:webHidden/>
          </w:rPr>
          <w:tab/>
        </w:r>
        <w:r w:rsidR="003861E5">
          <w:rPr>
            <w:noProof/>
            <w:webHidden/>
          </w:rPr>
          <w:fldChar w:fldCharType="begin"/>
        </w:r>
        <w:r w:rsidR="003861E5">
          <w:rPr>
            <w:noProof/>
            <w:webHidden/>
          </w:rPr>
          <w:instrText xml:space="preserve"> PAGEREF _Toc411849553 \h </w:instrText>
        </w:r>
        <w:r w:rsidR="003861E5">
          <w:rPr>
            <w:noProof/>
            <w:webHidden/>
          </w:rPr>
        </w:r>
        <w:r w:rsidR="003861E5">
          <w:rPr>
            <w:noProof/>
            <w:webHidden/>
          </w:rPr>
          <w:fldChar w:fldCharType="separate"/>
        </w:r>
        <w:r>
          <w:rPr>
            <w:noProof/>
            <w:webHidden/>
          </w:rPr>
          <w:t>2</w:t>
        </w:r>
        <w:r w:rsidR="003861E5">
          <w:rPr>
            <w:noProof/>
            <w:webHidden/>
          </w:rPr>
          <w:fldChar w:fldCharType="end"/>
        </w:r>
      </w:hyperlink>
    </w:p>
    <w:p w:rsidR="003861E5" w:rsidRDefault="00CB50CB">
      <w:pPr>
        <w:pStyle w:val="TOC2"/>
        <w:rPr>
          <w:rFonts w:ascii="Times New Roman" w:hAnsi="Times New Roman"/>
          <w:smallCaps w:val="0"/>
          <w:noProof/>
          <w:sz w:val="24"/>
          <w:szCs w:val="24"/>
          <w:lang w:val="es-ES_tradnl" w:eastAsia="es-ES_tradnl"/>
        </w:rPr>
      </w:pPr>
      <w:hyperlink w:anchor="_Toc411849554" w:history="1">
        <w:r w:rsidR="003861E5" w:rsidRPr="00746173">
          <w:rPr>
            <w:rStyle w:val="Hyperlink"/>
            <w:noProof/>
            <w:lang w:val="es-ES"/>
          </w:rPr>
          <w:t>Registro de datos</w:t>
        </w:r>
        <w:r w:rsidR="003861E5">
          <w:rPr>
            <w:noProof/>
            <w:webHidden/>
          </w:rPr>
          <w:tab/>
        </w:r>
        <w:r w:rsidR="003861E5">
          <w:rPr>
            <w:noProof/>
            <w:webHidden/>
          </w:rPr>
          <w:fldChar w:fldCharType="begin"/>
        </w:r>
        <w:r w:rsidR="003861E5">
          <w:rPr>
            <w:noProof/>
            <w:webHidden/>
          </w:rPr>
          <w:instrText xml:space="preserve"> PAGEREF _Toc411849554 \h </w:instrText>
        </w:r>
        <w:r w:rsidR="003861E5">
          <w:rPr>
            <w:noProof/>
            <w:webHidden/>
          </w:rPr>
        </w:r>
        <w:r w:rsidR="003861E5">
          <w:rPr>
            <w:noProof/>
            <w:webHidden/>
          </w:rPr>
          <w:fldChar w:fldCharType="separate"/>
        </w:r>
        <w:r>
          <w:rPr>
            <w:noProof/>
            <w:webHidden/>
          </w:rPr>
          <w:t>3</w:t>
        </w:r>
        <w:r w:rsidR="003861E5">
          <w:rPr>
            <w:noProof/>
            <w:webHidden/>
          </w:rPr>
          <w:fldChar w:fldCharType="end"/>
        </w:r>
      </w:hyperlink>
    </w:p>
    <w:p w:rsidR="003861E5" w:rsidRDefault="00CB50CB">
      <w:pPr>
        <w:pStyle w:val="TOC2"/>
        <w:rPr>
          <w:rFonts w:ascii="Times New Roman" w:hAnsi="Times New Roman"/>
          <w:smallCaps w:val="0"/>
          <w:noProof/>
          <w:sz w:val="24"/>
          <w:szCs w:val="24"/>
          <w:lang w:val="es-ES_tradnl" w:eastAsia="es-ES_tradnl"/>
        </w:rPr>
      </w:pPr>
      <w:hyperlink w:anchor="_Toc411849555" w:history="1">
        <w:r w:rsidR="003861E5" w:rsidRPr="00746173">
          <w:rPr>
            <w:rStyle w:val="Hyperlink"/>
            <w:noProof/>
            <w:lang w:val="es-ES_tradnl"/>
          </w:rPr>
          <w:t>Experiencias con nuevos tipos y especies</w:t>
        </w:r>
        <w:r w:rsidR="003861E5">
          <w:rPr>
            <w:noProof/>
            <w:webHidden/>
          </w:rPr>
          <w:tab/>
        </w:r>
        <w:r w:rsidR="003861E5">
          <w:rPr>
            <w:noProof/>
            <w:webHidden/>
          </w:rPr>
          <w:fldChar w:fldCharType="begin"/>
        </w:r>
        <w:r w:rsidR="003861E5">
          <w:rPr>
            <w:noProof/>
            <w:webHidden/>
          </w:rPr>
          <w:instrText xml:space="preserve"> PAGEREF _Toc411849555 \h </w:instrText>
        </w:r>
        <w:r w:rsidR="003861E5">
          <w:rPr>
            <w:noProof/>
            <w:webHidden/>
          </w:rPr>
        </w:r>
        <w:r w:rsidR="003861E5">
          <w:rPr>
            <w:noProof/>
            <w:webHidden/>
          </w:rPr>
          <w:fldChar w:fldCharType="separate"/>
        </w:r>
        <w:r>
          <w:rPr>
            <w:noProof/>
            <w:webHidden/>
          </w:rPr>
          <w:t>3</w:t>
        </w:r>
        <w:r w:rsidR="003861E5">
          <w:rPr>
            <w:noProof/>
            <w:webHidden/>
          </w:rPr>
          <w:fldChar w:fldCharType="end"/>
        </w:r>
      </w:hyperlink>
    </w:p>
    <w:p w:rsidR="003861E5" w:rsidRDefault="00CB50CB">
      <w:pPr>
        <w:pStyle w:val="TOC3"/>
        <w:rPr>
          <w:rFonts w:ascii="Times New Roman" w:hAnsi="Times New Roman"/>
          <w:noProof/>
          <w:sz w:val="24"/>
          <w:szCs w:val="24"/>
          <w:lang w:val="es-ES_tradnl" w:eastAsia="es-ES_tradnl"/>
        </w:rPr>
      </w:pPr>
      <w:hyperlink w:anchor="_Toc411849556" w:history="1">
        <w:r w:rsidR="003861E5" w:rsidRPr="00746173">
          <w:rPr>
            <w:rStyle w:val="Hyperlink"/>
            <w:noProof/>
          </w:rPr>
          <w:t>Grupo de Trabajo Técnico sobre Plantas Ornamentales y Árboles Forestales</w:t>
        </w:r>
        <w:r w:rsidR="003861E5">
          <w:rPr>
            <w:noProof/>
            <w:webHidden/>
          </w:rPr>
          <w:tab/>
        </w:r>
        <w:r w:rsidR="003861E5">
          <w:rPr>
            <w:noProof/>
            <w:webHidden/>
          </w:rPr>
          <w:fldChar w:fldCharType="begin"/>
        </w:r>
        <w:r w:rsidR="003861E5">
          <w:rPr>
            <w:noProof/>
            <w:webHidden/>
          </w:rPr>
          <w:instrText xml:space="preserve"> PAGEREF _Toc411849556 \h </w:instrText>
        </w:r>
        <w:r w:rsidR="003861E5">
          <w:rPr>
            <w:noProof/>
            <w:webHidden/>
          </w:rPr>
        </w:r>
        <w:r w:rsidR="003861E5">
          <w:rPr>
            <w:noProof/>
            <w:webHidden/>
          </w:rPr>
          <w:fldChar w:fldCharType="separate"/>
        </w:r>
        <w:r>
          <w:rPr>
            <w:noProof/>
            <w:webHidden/>
          </w:rPr>
          <w:t>3</w:t>
        </w:r>
        <w:r w:rsidR="003861E5">
          <w:rPr>
            <w:noProof/>
            <w:webHidden/>
          </w:rPr>
          <w:fldChar w:fldCharType="end"/>
        </w:r>
      </w:hyperlink>
    </w:p>
    <w:p w:rsidR="003861E5" w:rsidRDefault="00CB50CB">
      <w:pPr>
        <w:pStyle w:val="TOC3"/>
        <w:rPr>
          <w:rFonts w:ascii="Times New Roman" w:hAnsi="Times New Roman"/>
          <w:noProof/>
          <w:sz w:val="24"/>
          <w:szCs w:val="24"/>
          <w:lang w:val="es-ES_tradnl" w:eastAsia="es-ES_tradnl"/>
        </w:rPr>
      </w:pPr>
      <w:hyperlink w:anchor="_Toc411849557" w:history="1">
        <w:r w:rsidR="003861E5" w:rsidRPr="00746173">
          <w:rPr>
            <w:rStyle w:val="Hyperlink"/>
            <w:noProof/>
          </w:rPr>
          <w:t>Grupo de Trabajo Técnico sobre Plantas Frutales</w:t>
        </w:r>
        <w:r w:rsidR="003861E5">
          <w:rPr>
            <w:noProof/>
            <w:webHidden/>
          </w:rPr>
          <w:tab/>
        </w:r>
        <w:r w:rsidR="003861E5">
          <w:rPr>
            <w:noProof/>
            <w:webHidden/>
          </w:rPr>
          <w:fldChar w:fldCharType="begin"/>
        </w:r>
        <w:r w:rsidR="003861E5">
          <w:rPr>
            <w:noProof/>
            <w:webHidden/>
          </w:rPr>
          <w:instrText xml:space="preserve"> PAGEREF _Toc411849557 \h </w:instrText>
        </w:r>
        <w:r w:rsidR="003861E5">
          <w:rPr>
            <w:noProof/>
            <w:webHidden/>
          </w:rPr>
        </w:r>
        <w:r w:rsidR="003861E5">
          <w:rPr>
            <w:noProof/>
            <w:webHidden/>
          </w:rPr>
          <w:fldChar w:fldCharType="separate"/>
        </w:r>
        <w:r>
          <w:rPr>
            <w:noProof/>
            <w:webHidden/>
          </w:rPr>
          <w:t>4</w:t>
        </w:r>
        <w:r w:rsidR="003861E5">
          <w:rPr>
            <w:noProof/>
            <w:webHidden/>
          </w:rPr>
          <w:fldChar w:fldCharType="end"/>
        </w:r>
      </w:hyperlink>
    </w:p>
    <w:p w:rsidR="003861E5" w:rsidRDefault="00CB50CB">
      <w:pPr>
        <w:pStyle w:val="TOC3"/>
        <w:rPr>
          <w:rFonts w:ascii="Times New Roman" w:hAnsi="Times New Roman"/>
          <w:noProof/>
          <w:sz w:val="24"/>
          <w:szCs w:val="24"/>
          <w:lang w:val="es-ES_tradnl" w:eastAsia="es-ES_tradnl"/>
        </w:rPr>
      </w:pPr>
      <w:hyperlink w:anchor="_Toc411849558" w:history="1">
        <w:r w:rsidR="003861E5" w:rsidRPr="00746173">
          <w:rPr>
            <w:rStyle w:val="Hyperlink"/>
            <w:noProof/>
          </w:rPr>
          <w:t>Grupo de Trabajo Técnico sobre Automatización y Programas Informáticos</w:t>
        </w:r>
        <w:r w:rsidR="003861E5">
          <w:rPr>
            <w:noProof/>
            <w:webHidden/>
          </w:rPr>
          <w:tab/>
        </w:r>
        <w:r w:rsidR="003861E5">
          <w:rPr>
            <w:noProof/>
            <w:webHidden/>
          </w:rPr>
          <w:fldChar w:fldCharType="begin"/>
        </w:r>
        <w:r w:rsidR="003861E5">
          <w:rPr>
            <w:noProof/>
            <w:webHidden/>
          </w:rPr>
          <w:instrText xml:space="preserve"> PAGEREF _Toc411849558 \h </w:instrText>
        </w:r>
        <w:r w:rsidR="003861E5">
          <w:rPr>
            <w:noProof/>
            <w:webHidden/>
          </w:rPr>
        </w:r>
        <w:r w:rsidR="003861E5">
          <w:rPr>
            <w:noProof/>
            <w:webHidden/>
          </w:rPr>
          <w:fldChar w:fldCharType="separate"/>
        </w:r>
        <w:r>
          <w:rPr>
            <w:noProof/>
            <w:webHidden/>
          </w:rPr>
          <w:t>4</w:t>
        </w:r>
        <w:r w:rsidR="003861E5">
          <w:rPr>
            <w:noProof/>
            <w:webHidden/>
          </w:rPr>
          <w:fldChar w:fldCharType="end"/>
        </w:r>
      </w:hyperlink>
    </w:p>
    <w:p w:rsidR="003861E5" w:rsidRDefault="00CB50CB">
      <w:pPr>
        <w:pStyle w:val="TOC3"/>
        <w:rPr>
          <w:rFonts w:ascii="Times New Roman" w:hAnsi="Times New Roman"/>
          <w:noProof/>
          <w:sz w:val="24"/>
          <w:szCs w:val="24"/>
          <w:lang w:val="es-ES_tradnl" w:eastAsia="es-ES_tradnl"/>
        </w:rPr>
      </w:pPr>
      <w:hyperlink w:anchor="_Toc411849559" w:history="1">
        <w:r w:rsidR="003861E5" w:rsidRPr="00746173">
          <w:rPr>
            <w:rStyle w:val="Hyperlink"/>
            <w:noProof/>
          </w:rPr>
          <w:t>Grupo de Trabajo Técnico sobre Hortalizas</w:t>
        </w:r>
        <w:r w:rsidR="003861E5">
          <w:rPr>
            <w:noProof/>
            <w:webHidden/>
          </w:rPr>
          <w:tab/>
        </w:r>
        <w:r w:rsidR="003861E5">
          <w:rPr>
            <w:noProof/>
            <w:webHidden/>
          </w:rPr>
          <w:fldChar w:fldCharType="begin"/>
        </w:r>
        <w:r w:rsidR="003861E5">
          <w:rPr>
            <w:noProof/>
            <w:webHidden/>
          </w:rPr>
          <w:instrText xml:space="preserve"> PAGEREF _Toc411849559 \h </w:instrText>
        </w:r>
        <w:r w:rsidR="003861E5">
          <w:rPr>
            <w:noProof/>
            <w:webHidden/>
          </w:rPr>
        </w:r>
        <w:r w:rsidR="003861E5">
          <w:rPr>
            <w:noProof/>
            <w:webHidden/>
          </w:rPr>
          <w:fldChar w:fldCharType="separate"/>
        </w:r>
        <w:r>
          <w:rPr>
            <w:noProof/>
            <w:webHidden/>
          </w:rPr>
          <w:t>4</w:t>
        </w:r>
        <w:r w:rsidR="003861E5">
          <w:rPr>
            <w:noProof/>
            <w:webHidden/>
          </w:rPr>
          <w:fldChar w:fldCharType="end"/>
        </w:r>
      </w:hyperlink>
    </w:p>
    <w:p w:rsidR="003861E5" w:rsidRDefault="00CB50CB">
      <w:pPr>
        <w:pStyle w:val="TOC3"/>
        <w:rPr>
          <w:rFonts w:ascii="Times New Roman" w:hAnsi="Times New Roman"/>
          <w:noProof/>
          <w:sz w:val="24"/>
          <w:szCs w:val="24"/>
          <w:lang w:val="es-ES_tradnl" w:eastAsia="es-ES_tradnl"/>
        </w:rPr>
      </w:pPr>
      <w:hyperlink w:anchor="_Toc411849560" w:history="1">
        <w:r w:rsidR="003861E5" w:rsidRPr="00746173">
          <w:rPr>
            <w:rStyle w:val="Hyperlink"/>
            <w:noProof/>
          </w:rPr>
          <w:t>Grupo de Trabajo Técnico sobre Plantas Agrícolas</w:t>
        </w:r>
        <w:r w:rsidR="003861E5">
          <w:rPr>
            <w:noProof/>
            <w:webHidden/>
          </w:rPr>
          <w:tab/>
        </w:r>
        <w:r w:rsidR="003861E5">
          <w:rPr>
            <w:noProof/>
            <w:webHidden/>
          </w:rPr>
          <w:fldChar w:fldCharType="begin"/>
        </w:r>
        <w:r w:rsidR="003861E5">
          <w:rPr>
            <w:noProof/>
            <w:webHidden/>
          </w:rPr>
          <w:instrText xml:space="preserve"> PAGEREF _Toc411849560 \h </w:instrText>
        </w:r>
        <w:r w:rsidR="003861E5">
          <w:rPr>
            <w:noProof/>
            <w:webHidden/>
          </w:rPr>
        </w:r>
        <w:r w:rsidR="003861E5">
          <w:rPr>
            <w:noProof/>
            <w:webHidden/>
          </w:rPr>
          <w:fldChar w:fldCharType="separate"/>
        </w:r>
        <w:r>
          <w:rPr>
            <w:noProof/>
            <w:webHidden/>
          </w:rPr>
          <w:t>4</w:t>
        </w:r>
        <w:r w:rsidR="003861E5">
          <w:rPr>
            <w:noProof/>
            <w:webHidden/>
          </w:rPr>
          <w:fldChar w:fldCharType="end"/>
        </w:r>
      </w:hyperlink>
    </w:p>
    <w:p w:rsidR="003861E5" w:rsidRDefault="00CB50CB">
      <w:pPr>
        <w:pStyle w:val="TOC2"/>
        <w:rPr>
          <w:rFonts w:ascii="Times New Roman" w:hAnsi="Times New Roman"/>
          <w:smallCaps w:val="0"/>
          <w:noProof/>
          <w:sz w:val="24"/>
          <w:szCs w:val="24"/>
          <w:lang w:val="es-ES_tradnl" w:eastAsia="es-ES_tradnl"/>
        </w:rPr>
      </w:pPr>
      <w:hyperlink w:anchor="_Toc411849561" w:history="1">
        <w:r w:rsidR="003861E5" w:rsidRPr="00746173">
          <w:rPr>
            <w:rStyle w:val="Hyperlink"/>
            <w:noProof/>
            <w:lang w:val="es-ES_tradnl"/>
          </w:rPr>
          <w:t>Gestión de las colecciones de variedades a los efectos del examen DHE</w:t>
        </w:r>
        <w:r w:rsidR="003861E5">
          <w:rPr>
            <w:noProof/>
            <w:webHidden/>
          </w:rPr>
          <w:tab/>
        </w:r>
        <w:r w:rsidR="003861E5">
          <w:rPr>
            <w:noProof/>
            <w:webHidden/>
          </w:rPr>
          <w:fldChar w:fldCharType="begin"/>
        </w:r>
        <w:r w:rsidR="003861E5">
          <w:rPr>
            <w:noProof/>
            <w:webHidden/>
          </w:rPr>
          <w:instrText xml:space="preserve"> PAGEREF _Toc411849561 \h </w:instrText>
        </w:r>
        <w:r w:rsidR="003861E5">
          <w:rPr>
            <w:noProof/>
            <w:webHidden/>
          </w:rPr>
        </w:r>
        <w:r w:rsidR="003861E5">
          <w:rPr>
            <w:noProof/>
            <w:webHidden/>
          </w:rPr>
          <w:fldChar w:fldCharType="separate"/>
        </w:r>
        <w:r>
          <w:rPr>
            <w:noProof/>
            <w:webHidden/>
          </w:rPr>
          <w:t>5</w:t>
        </w:r>
        <w:r w:rsidR="003861E5">
          <w:rPr>
            <w:noProof/>
            <w:webHidden/>
          </w:rPr>
          <w:fldChar w:fldCharType="end"/>
        </w:r>
      </w:hyperlink>
    </w:p>
    <w:p w:rsidR="003861E5" w:rsidRDefault="00CB50CB">
      <w:pPr>
        <w:pStyle w:val="TOC2"/>
        <w:rPr>
          <w:rFonts w:ascii="Times New Roman" w:hAnsi="Times New Roman"/>
          <w:smallCaps w:val="0"/>
          <w:noProof/>
          <w:sz w:val="24"/>
          <w:szCs w:val="24"/>
          <w:lang w:val="es-ES_tradnl" w:eastAsia="es-ES_tradnl"/>
        </w:rPr>
      </w:pPr>
      <w:hyperlink w:anchor="_Toc411849562" w:history="1">
        <w:r w:rsidR="003861E5" w:rsidRPr="00746173">
          <w:rPr>
            <w:rStyle w:val="Hyperlink"/>
            <w:noProof/>
            <w:lang w:val="es-ES_tradnl"/>
          </w:rPr>
          <w:t>Utilización de métodos estadísticos en el examen DHE</w:t>
        </w:r>
        <w:r w:rsidR="003861E5">
          <w:rPr>
            <w:noProof/>
            <w:webHidden/>
          </w:rPr>
          <w:tab/>
        </w:r>
        <w:r w:rsidR="003861E5">
          <w:rPr>
            <w:noProof/>
            <w:webHidden/>
          </w:rPr>
          <w:fldChar w:fldCharType="begin"/>
        </w:r>
        <w:r w:rsidR="003861E5">
          <w:rPr>
            <w:noProof/>
            <w:webHidden/>
          </w:rPr>
          <w:instrText xml:space="preserve"> PAGEREF _Toc411849562 \h </w:instrText>
        </w:r>
        <w:r w:rsidR="003861E5">
          <w:rPr>
            <w:noProof/>
            <w:webHidden/>
          </w:rPr>
        </w:r>
        <w:r w:rsidR="003861E5">
          <w:rPr>
            <w:noProof/>
            <w:webHidden/>
          </w:rPr>
          <w:fldChar w:fldCharType="separate"/>
        </w:r>
        <w:r>
          <w:rPr>
            <w:noProof/>
            <w:webHidden/>
          </w:rPr>
          <w:t>5</w:t>
        </w:r>
        <w:r w:rsidR="003861E5">
          <w:rPr>
            <w:noProof/>
            <w:webHidden/>
          </w:rPr>
          <w:fldChar w:fldCharType="end"/>
        </w:r>
      </w:hyperlink>
    </w:p>
    <w:p w:rsidR="003861E5" w:rsidRPr="00617EC3" w:rsidRDefault="003861E5" w:rsidP="00E72472">
      <w:r w:rsidRPr="004B5650">
        <w:rPr>
          <w:color w:val="808080"/>
        </w:rPr>
        <w:fldChar w:fldCharType="end"/>
      </w:r>
    </w:p>
    <w:p w:rsidR="003861E5" w:rsidRPr="00745482" w:rsidRDefault="003861E5" w:rsidP="00F36BDF">
      <w:pPr>
        <w:keepNext/>
        <w:rPr>
          <w:lang w:val="es-ES"/>
        </w:rPr>
      </w:pPr>
      <w:r w:rsidRPr="00745482">
        <w:rPr>
          <w:lang w:val="es-ES"/>
        </w:rPr>
        <w:lastRenderedPageBreak/>
        <w:fldChar w:fldCharType="begin"/>
      </w:r>
      <w:r w:rsidRPr="00745482">
        <w:rPr>
          <w:lang w:val="es-ES"/>
        </w:rPr>
        <w:instrText xml:space="preserve"> AUTONUM  </w:instrText>
      </w:r>
      <w:r w:rsidRPr="00745482">
        <w:rPr>
          <w:lang w:val="es-ES"/>
        </w:rPr>
        <w:fldChar w:fldCharType="end"/>
      </w:r>
      <w:r w:rsidRPr="00745482">
        <w:rPr>
          <w:lang w:val="es-ES"/>
        </w:rPr>
        <w:tab/>
      </w:r>
      <w:r w:rsidRPr="00745482">
        <w:rPr>
          <w:lang w:val="es-ES_tradnl"/>
        </w:rPr>
        <w:t>En el presente documento se utilizan las abreviaturas siguientes:</w:t>
      </w:r>
    </w:p>
    <w:p w:rsidR="003861E5" w:rsidRPr="00745482" w:rsidRDefault="003861E5" w:rsidP="00E72472">
      <w:pPr>
        <w:keepNext/>
        <w:ind w:left="1692" w:hanging="1125"/>
        <w:jc w:val="left"/>
        <w:rPr>
          <w:lang w:val="es-ES"/>
        </w:rPr>
      </w:pPr>
    </w:p>
    <w:p w:rsidR="003861E5" w:rsidRPr="00745482" w:rsidRDefault="003861E5" w:rsidP="00F36BDF">
      <w:pPr>
        <w:keepNext/>
        <w:tabs>
          <w:tab w:val="left" w:pos="567"/>
          <w:tab w:val="left" w:pos="1701"/>
        </w:tabs>
        <w:rPr>
          <w:lang w:val="es-ES"/>
        </w:rPr>
      </w:pPr>
      <w:r w:rsidRPr="00745482">
        <w:rPr>
          <w:lang w:val="es-ES"/>
        </w:rPr>
        <w:tab/>
      </w:r>
      <w:r w:rsidRPr="00745482">
        <w:rPr>
          <w:lang w:val="es-ES_tradnl"/>
        </w:rPr>
        <w:t>CAJ:</w:t>
      </w:r>
      <w:r w:rsidRPr="00745482">
        <w:rPr>
          <w:lang w:val="es-ES_tradnl"/>
        </w:rPr>
        <w:tab/>
        <w:t>Comité Administrativo y Jurídico</w:t>
      </w:r>
      <w:r w:rsidRPr="00745482">
        <w:rPr>
          <w:lang w:val="es-ES"/>
        </w:rPr>
        <w:t xml:space="preserve"> </w:t>
      </w:r>
    </w:p>
    <w:p w:rsidR="003861E5" w:rsidRPr="00745482" w:rsidRDefault="003861E5" w:rsidP="00F36BDF">
      <w:pPr>
        <w:keepNext/>
        <w:tabs>
          <w:tab w:val="left" w:pos="567"/>
          <w:tab w:val="left" w:pos="1701"/>
        </w:tabs>
        <w:rPr>
          <w:lang w:val="es-ES"/>
        </w:rPr>
      </w:pPr>
      <w:r w:rsidRPr="00745482">
        <w:rPr>
          <w:lang w:val="es-ES"/>
        </w:rPr>
        <w:tab/>
      </w:r>
      <w:r w:rsidRPr="00745482">
        <w:rPr>
          <w:lang w:val="es-ES_tradnl"/>
        </w:rPr>
        <w:t>TC:</w:t>
      </w:r>
      <w:r w:rsidRPr="00745482">
        <w:rPr>
          <w:lang w:val="es-ES_tradnl"/>
        </w:rPr>
        <w:tab/>
        <w:t>Comité Técnico</w:t>
      </w:r>
    </w:p>
    <w:p w:rsidR="003861E5" w:rsidRPr="00745482" w:rsidRDefault="003861E5" w:rsidP="00F36BDF">
      <w:pPr>
        <w:keepNext/>
        <w:tabs>
          <w:tab w:val="left" w:pos="567"/>
          <w:tab w:val="left" w:pos="1701"/>
        </w:tabs>
        <w:rPr>
          <w:rFonts w:eastAsia="PMingLiU"/>
          <w:szCs w:val="24"/>
          <w:lang w:val="es-ES"/>
        </w:rPr>
      </w:pPr>
      <w:r w:rsidRPr="00745482">
        <w:rPr>
          <w:rFonts w:eastAsia="PMingLiU"/>
          <w:szCs w:val="24"/>
          <w:lang w:val="es-ES"/>
        </w:rPr>
        <w:tab/>
      </w:r>
      <w:r w:rsidRPr="00745482">
        <w:rPr>
          <w:rFonts w:eastAsia="PMingLiU"/>
          <w:szCs w:val="24"/>
          <w:lang w:val="es-ES_tradnl"/>
        </w:rPr>
        <w:t>TC-EDC:</w:t>
      </w:r>
      <w:r w:rsidRPr="00745482">
        <w:rPr>
          <w:rFonts w:eastAsia="PMingLiU"/>
          <w:szCs w:val="24"/>
          <w:lang w:val="es-ES_tradnl"/>
        </w:rPr>
        <w:tab/>
        <w:t>Comité de Redacción Ampliado</w:t>
      </w:r>
    </w:p>
    <w:p w:rsidR="003861E5" w:rsidRPr="00745482" w:rsidRDefault="003861E5" w:rsidP="00F36BDF">
      <w:pPr>
        <w:keepNext/>
        <w:tabs>
          <w:tab w:val="left" w:pos="567"/>
          <w:tab w:val="left" w:pos="1701"/>
        </w:tabs>
        <w:rPr>
          <w:rFonts w:eastAsia="PMingLiU"/>
          <w:szCs w:val="24"/>
          <w:lang w:val="es-ES"/>
        </w:rPr>
      </w:pPr>
      <w:r w:rsidRPr="00745482">
        <w:rPr>
          <w:rFonts w:eastAsia="PMingLiU"/>
          <w:szCs w:val="24"/>
          <w:lang w:val="es-ES"/>
        </w:rPr>
        <w:tab/>
      </w:r>
      <w:r w:rsidRPr="00745482">
        <w:rPr>
          <w:rFonts w:eastAsia="PMingLiU"/>
          <w:szCs w:val="24"/>
          <w:lang w:val="es-ES_tradnl"/>
        </w:rPr>
        <w:t>TWA:</w:t>
      </w:r>
      <w:r w:rsidRPr="00745482">
        <w:rPr>
          <w:rFonts w:eastAsia="PMingLiU"/>
          <w:szCs w:val="24"/>
          <w:lang w:val="es-ES_tradnl"/>
        </w:rPr>
        <w:tab/>
        <w:t>Grupo de Trabajo Técnico sobre Plantas Agrícolas</w:t>
      </w:r>
    </w:p>
    <w:p w:rsidR="003861E5" w:rsidRPr="00745482" w:rsidRDefault="003861E5" w:rsidP="00F36BDF">
      <w:pPr>
        <w:keepNext/>
        <w:tabs>
          <w:tab w:val="left" w:pos="567"/>
          <w:tab w:val="left" w:pos="1701"/>
        </w:tabs>
        <w:rPr>
          <w:rFonts w:eastAsia="PMingLiU"/>
          <w:szCs w:val="24"/>
          <w:lang w:val="es-ES"/>
        </w:rPr>
      </w:pPr>
      <w:r w:rsidRPr="00745482">
        <w:rPr>
          <w:rFonts w:eastAsia="PMingLiU"/>
          <w:szCs w:val="24"/>
          <w:lang w:val="es-ES"/>
        </w:rPr>
        <w:tab/>
      </w:r>
      <w:r w:rsidRPr="00745482">
        <w:rPr>
          <w:rFonts w:eastAsia="PMingLiU"/>
          <w:szCs w:val="24"/>
          <w:lang w:val="es-ES_tradnl"/>
        </w:rPr>
        <w:t>TWC:</w:t>
      </w:r>
      <w:r w:rsidRPr="00745482">
        <w:rPr>
          <w:rFonts w:eastAsia="PMingLiU"/>
          <w:szCs w:val="24"/>
          <w:lang w:val="es-ES_tradnl"/>
        </w:rPr>
        <w:tab/>
        <w:t>Grupo de Trabajo Técnico sobre Automatización y Programas Informáticos</w:t>
      </w:r>
    </w:p>
    <w:p w:rsidR="003861E5" w:rsidRPr="00745482" w:rsidRDefault="003861E5" w:rsidP="00F36BDF">
      <w:pPr>
        <w:keepNext/>
        <w:tabs>
          <w:tab w:val="left" w:pos="567"/>
          <w:tab w:val="left" w:pos="1701"/>
        </w:tabs>
        <w:rPr>
          <w:rFonts w:eastAsia="PMingLiU"/>
          <w:szCs w:val="24"/>
          <w:lang w:val="es-ES"/>
        </w:rPr>
      </w:pPr>
      <w:r w:rsidRPr="00745482">
        <w:rPr>
          <w:rFonts w:eastAsia="PMingLiU"/>
          <w:szCs w:val="24"/>
          <w:lang w:val="es-ES"/>
        </w:rPr>
        <w:tab/>
      </w:r>
      <w:r w:rsidRPr="00745482">
        <w:rPr>
          <w:rFonts w:eastAsia="PMingLiU"/>
          <w:szCs w:val="24"/>
          <w:lang w:val="es-ES_tradnl"/>
        </w:rPr>
        <w:t>TWF:</w:t>
      </w:r>
      <w:r w:rsidRPr="00745482">
        <w:rPr>
          <w:rFonts w:eastAsia="PMingLiU"/>
          <w:szCs w:val="24"/>
          <w:lang w:val="es-ES_tradnl"/>
        </w:rPr>
        <w:tab/>
        <w:t>Grupo de Trabajo Técnico sobre Plantas Frutales</w:t>
      </w:r>
    </w:p>
    <w:p w:rsidR="003861E5" w:rsidRPr="00745482" w:rsidRDefault="003861E5" w:rsidP="00F36BDF">
      <w:pPr>
        <w:keepNext/>
        <w:tabs>
          <w:tab w:val="left" w:pos="567"/>
          <w:tab w:val="left" w:pos="1701"/>
        </w:tabs>
        <w:rPr>
          <w:rFonts w:eastAsia="PMingLiU"/>
          <w:szCs w:val="24"/>
          <w:lang w:val="es-ES"/>
        </w:rPr>
      </w:pPr>
      <w:r w:rsidRPr="00745482">
        <w:rPr>
          <w:rFonts w:eastAsia="PMingLiU"/>
          <w:szCs w:val="24"/>
          <w:lang w:val="es-ES"/>
        </w:rPr>
        <w:tab/>
      </w:r>
      <w:r w:rsidRPr="00745482">
        <w:rPr>
          <w:rFonts w:eastAsia="PMingLiU"/>
          <w:szCs w:val="24"/>
          <w:lang w:val="es-ES_tradnl"/>
        </w:rPr>
        <w:t>TWO:</w:t>
      </w:r>
      <w:r w:rsidRPr="00745482">
        <w:rPr>
          <w:rFonts w:eastAsia="PMingLiU"/>
          <w:szCs w:val="24"/>
          <w:lang w:val="es-ES_tradnl"/>
        </w:rPr>
        <w:tab/>
        <w:t>Grupo de Trabajo Técnico sobre Plantas Ornamentales y Árboles Forestales</w:t>
      </w:r>
    </w:p>
    <w:p w:rsidR="003861E5" w:rsidRPr="00745482" w:rsidRDefault="003861E5" w:rsidP="00F36BDF">
      <w:pPr>
        <w:keepNext/>
        <w:tabs>
          <w:tab w:val="left" w:pos="567"/>
          <w:tab w:val="left" w:pos="1701"/>
        </w:tabs>
        <w:rPr>
          <w:rFonts w:eastAsia="PMingLiU"/>
          <w:szCs w:val="24"/>
          <w:lang w:val="es-ES"/>
        </w:rPr>
      </w:pPr>
      <w:r w:rsidRPr="00745482">
        <w:rPr>
          <w:rFonts w:eastAsia="PMingLiU"/>
          <w:szCs w:val="24"/>
          <w:lang w:val="es-ES"/>
        </w:rPr>
        <w:tab/>
      </w:r>
      <w:r w:rsidRPr="00745482">
        <w:rPr>
          <w:rFonts w:eastAsia="PMingLiU"/>
          <w:szCs w:val="24"/>
          <w:lang w:val="es-ES_tradnl"/>
        </w:rPr>
        <w:t>TWP:</w:t>
      </w:r>
      <w:r w:rsidRPr="00745482">
        <w:rPr>
          <w:rFonts w:eastAsia="PMingLiU"/>
          <w:szCs w:val="24"/>
          <w:lang w:val="es-ES_tradnl"/>
        </w:rPr>
        <w:tab/>
        <w:t>Grupos de Trabajo Técnico</w:t>
      </w:r>
    </w:p>
    <w:p w:rsidR="003861E5" w:rsidRPr="00745482" w:rsidRDefault="003861E5" w:rsidP="00F36BDF">
      <w:pPr>
        <w:keepNext/>
        <w:tabs>
          <w:tab w:val="left" w:pos="567"/>
          <w:tab w:val="left" w:pos="1701"/>
        </w:tabs>
        <w:rPr>
          <w:rFonts w:eastAsia="PMingLiU"/>
          <w:szCs w:val="24"/>
          <w:lang w:val="es-ES"/>
        </w:rPr>
      </w:pPr>
      <w:r w:rsidRPr="00745482">
        <w:rPr>
          <w:rFonts w:eastAsia="PMingLiU"/>
          <w:szCs w:val="24"/>
          <w:lang w:val="es-ES"/>
        </w:rPr>
        <w:tab/>
      </w:r>
      <w:r w:rsidRPr="00745482">
        <w:rPr>
          <w:rFonts w:eastAsia="PMingLiU"/>
          <w:szCs w:val="24"/>
          <w:lang w:val="es-ES_tradnl"/>
        </w:rPr>
        <w:t>TWV:</w:t>
      </w:r>
      <w:r w:rsidRPr="00745482">
        <w:rPr>
          <w:rFonts w:eastAsia="PMingLiU"/>
          <w:szCs w:val="24"/>
          <w:lang w:val="es-ES_tradnl"/>
        </w:rPr>
        <w:tab/>
        <w:t>Grupo de Trabajo Técnico sobre Hortalizas</w:t>
      </w:r>
    </w:p>
    <w:p w:rsidR="003861E5" w:rsidRPr="00617EC3" w:rsidRDefault="003861E5" w:rsidP="00E72472">
      <w:pPr>
        <w:tabs>
          <w:tab w:val="left" w:pos="567"/>
          <w:tab w:val="left" w:pos="1701"/>
        </w:tabs>
        <w:rPr>
          <w:rFonts w:eastAsia="PMingLiU"/>
          <w:szCs w:val="24"/>
          <w:lang w:val="es-ES"/>
        </w:rPr>
      </w:pPr>
    </w:p>
    <w:p w:rsidR="003861E5" w:rsidRPr="00617EC3" w:rsidRDefault="003861E5" w:rsidP="00E72472">
      <w:pPr>
        <w:tabs>
          <w:tab w:val="left" w:pos="567"/>
          <w:tab w:val="left" w:pos="1701"/>
        </w:tabs>
        <w:rPr>
          <w:rFonts w:eastAsia="PMingLiU"/>
          <w:szCs w:val="24"/>
          <w:lang w:val="es-ES"/>
        </w:rPr>
      </w:pPr>
    </w:p>
    <w:p w:rsidR="003861E5" w:rsidRPr="00617EC3" w:rsidRDefault="003861E5" w:rsidP="00F36BDF">
      <w:pPr>
        <w:pStyle w:val="Heading1"/>
        <w:rPr>
          <w:rFonts w:eastAsia="PMingLiU"/>
          <w:szCs w:val="24"/>
          <w:lang w:val="es-ES"/>
        </w:rPr>
      </w:pPr>
      <w:bookmarkStart w:id="5" w:name="_Toc411849550"/>
      <w:r w:rsidRPr="00745482">
        <w:rPr>
          <w:rFonts w:eastAsia="PMingLiU"/>
          <w:szCs w:val="24"/>
          <w:lang w:val="es-ES_tradnl"/>
        </w:rPr>
        <w:t>cuestiones para información y para una eventual decisión del comité técnico</w:t>
      </w:r>
      <w:bookmarkEnd w:id="5"/>
    </w:p>
    <w:p w:rsidR="003861E5" w:rsidRPr="00617EC3" w:rsidRDefault="003861E5" w:rsidP="00E72472">
      <w:pPr>
        <w:tabs>
          <w:tab w:val="left" w:pos="567"/>
          <w:tab w:val="left" w:pos="1701"/>
        </w:tabs>
        <w:rPr>
          <w:rFonts w:eastAsia="PMingLiU"/>
          <w:szCs w:val="24"/>
          <w:lang w:val="es-ES"/>
        </w:rPr>
      </w:pPr>
    </w:p>
    <w:p w:rsidR="003861E5" w:rsidRPr="004D1EEB" w:rsidRDefault="003861E5" w:rsidP="00E72472">
      <w:pPr>
        <w:tabs>
          <w:tab w:val="left" w:pos="567"/>
          <w:tab w:val="left" w:pos="1701"/>
        </w:tabs>
        <w:rPr>
          <w:rFonts w:eastAsia="PMingLiU"/>
          <w:szCs w:val="24"/>
          <w:lang w:val="es-ES_tradnl"/>
        </w:rPr>
      </w:pPr>
      <w:r w:rsidRPr="00617EC3">
        <w:rPr>
          <w:rFonts w:eastAsia="PMingLiU"/>
          <w:szCs w:val="24"/>
        </w:rPr>
        <w:fldChar w:fldCharType="begin"/>
      </w:r>
      <w:r w:rsidRPr="004D1EEB">
        <w:rPr>
          <w:rFonts w:eastAsia="PMingLiU"/>
          <w:szCs w:val="24"/>
          <w:lang w:val="es-ES_tradnl"/>
        </w:rPr>
        <w:instrText xml:space="preserve"> AUTONUM  </w:instrText>
      </w:r>
      <w:r w:rsidRPr="00617EC3">
        <w:rPr>
          <w:rFonts w:eastAsia="PMingLiU"/>
          <w:szCs w:val="24"/>
        </w:rPr>
        <w:fldChar w:fldCharType="end"/>
      </w:r>
      <w:r w:rsidRPr="004D1EEB">
        <w:rPr>
          <w:rFonts w:eastAsia="PMingLiU"/>
          <w:szCs w:val="24"/>
          <w:lang w:val="es-ES_tradnl"/>
        </w:rPr>
        <w:tab/>
      </w:r>
      <w:r w:rsidRPr="00017563">
        <w:rPr>
          <w:rFonts w:eastAsia="PMingLiU"/>
          <w:szCs w:val="24"/>
          <w:lang w:val="es-ES_tradnl"/>
        </w:rPr>
        <w:t>No hay cuestiones sobre las que el Comité Técnico deba tomar una decisión en su quincuagésima primera sesión.</w:t>
      </w:r>
    </w:p>
    <w:p w:rsidR="003861E5" w:rsidRPr="004D1EEB" w:rsidRDefault="003861E5" w:rsidP="00E72472">
      <w:pPr>
        <w:tabs>
          <w:tab w:val="left" w:pos="567"/>
          <w:tab w:val="left" w:pos="1701"/>
        </w:tabs>
        <w:rPr>
          <w:rFonts w:eastAsia="PMingLiU"/>
          <w:szCs w:val="24"/>
          <w:lang w:val="es-ES_tradnl"/>
        </w:rPr>
      </w:pPr>
    </w:p>
    <w:p w:rsidR="003861E5" w:rsidRPr="004D1EEB" w:rsidRDefault="003861E5" w:rsidP="00E72472">
      <w:pPr>
        <w:tabs>
          <w:tab w:val="left" w:pos="567"/>
          <w:tab w:val="left" w:pos="1701"/>
        </w:tabs>
        <w:rPr>
          <w:rFonts w:eastAsia="PMingLiU"/>
          <w:szCs w:val="24"/>
          <w:lang w:val="es-ES_tradnl"/>
        </w:rPr>
      </w:pPr>
    </w:p>
    <w:p w:rsidR="003861E5" w:rsidRPr="00F665A8" w:rsidRDefault="003861E5" w:rsidP="00F36BDF">
      <w:pPr>
        <w:pStyle w:val="Heading1"/>
        <w:rPr>
          <w:lang w:val="es-ES_tradnl"/>
        </w:rPr>
      </w:pPr>
      <w:bookmarkStart w:id="6" w:name="_Toc411849551"/>
      <w:r w:rsidRPr="00745482">
        <w:rPr>
          <w:lang w:val="es-ES_tradnl"/>
        </w:rPr>
        <w:t>cuestiones para información</w:t>
      </w:r>
      <w:bookmarkEnd w:id="6"/>
    </w:p>
    <w:p w:rsidR="003861E5" w:rsidRPr="004D1EEB" w:rsidRDefault="003861E5" w:rsidP="00E72472">
      <w:pPr>
        <w:ind w:firstLine="567"/>
        <w:rPr>
          <w:i/>
          <w:lang w:val="es-ES_tradnl"/>
        </w:rPr>
      </w:pPr>
    </w:p>
    <w:p w:rsidR="003861E5" w:rsidRPr="004D1EEB" w:rsidRDefault="003861E5" w:rsidP="00E30074">
      <w:pPr>
        <w:pStyle w:val="Heading2"/>
        <w:rPr>
          <w:color w:val="auto"/>
          <w:lang w:val="es-ES_tradnl"/>
        </w:rPr>
      </w:pPr>
      <w:bookmarkStart w:id="7" w:name="_Toc411849552"/>
      <w:r w:rsidRPr="00017563">
        <w:rPr>
          <w:color w:val="auto"/>
          <w:lang w:val="es-ES_tradnl"/>
        </w:rPr>
        <w:t>Duración de los exámenes DHE en el sector frutícola</w:t>
      </w:r>
      <w:bookmarkEnd w:id="7"/>
    </w:p>
    <w:p w:rsidR="003861E5" w:rsidRPr="004D1EEB" w:rsidRDefault="003861E5" w:rsidP="00E72472">
      <w:pPr>
        <w:rPr>
          <w:lang w:val="es-ES_tradnl"/>
        </w:rPr>
      </w:pPr>
    </w:p>
    <w:p w:rsidR="003861E5" w:rsidRPr="004D1EEB" w:rsidRDefault="003861E5" w:rsidP="00E72472">
      <w:pPr>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017563">
        <w:rPr>
          <w:lang w:val="es-ES_tradnl"/>
        </w:rPr>
        <w:t>En su cuadragésima quinta sesión, el TWF examinó el documento TWF/45/27 “</w:t>
      </w:r>
      <w:r w:rsidRPr="00A86E03">
        <w:rPr>
          <w:lang w:val="es-ES_tradnl"/>
        </w:rPr>
        <w:t>Use of Disease Resistance Characteristics in DUS Examination</w:t>
      </w:r>
      <w:r w:rsidRPr="00017563">
        <w:rPr>
          <w:lang w:val="es-ES_tradnl"/>
        </w:rPr>
        <w:t>”, presentado por un experto de la Unión Europea en relación con la duración del examen DHE en el sector frutícola.</w:t>
      </w:r>
    </w:p>
    <w:p w:rsidR="003861E5" w:rsidRPr="004D1EEB" w:rsidRDefault="003861E5" w:rsidP="00E72472">
      <w:pPr>
        <w:rPr>
          <w:lang w:val="es-ES_tradnl"/>
        </w:rPr>
      </w:pPr>
    </w:p>
    <w:p w:rsidR="003861E5" w:rsidRPr="00617EC3" w:rsidRDefault="003861E5" w:rsidP="00F36BDF">
      <w:pPr>
        <w:rPr>
          <w:lang w:val="es-ES"/>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017563">
        <w:rPr>
          <w:lang w:val="es-ES_tradnl"/>
        </w:rPr>
        <w:t xml:space="preserve">El TWF escuchó una ponencia de un experto de la Unión Europea sobre un proyecto de la Oficina Comunitaria de Variedades Vegetales </w:t>
      </w:r>
      <w:r w:rsidRPr="00017563">
        <w:rPr>
          <w:rFonts w:cs="Arial"/>
          <w:lang w:val="es-ES_tradnl"/>
        </w:rPr>
        <w:t>(OCVV)</w:t>
      </w:r>
      <w:r w:rsidRPr="00017563">
        <w:rPr>
          <w:lang w:val="es-ES_tradnl"/>
        </w:rPr>
        <w:t xml:space="preserve"> de la Unión Europea denominado “Reducción del número de períodos obligatorios de observación en el examen DHE de variedades candidatas en el sector frutícola”.</w:t>
      </w:r>
      <w:r w:rsidRPr="004D1EEB">
        <w:rPr>
          <w:lang w:val="es-ES_tradnl"/>
        </w:rPr>
        <w:t xml:space="preserve">  </w:t>
      </w:r>
      <w:r w:rsidRPr="00017563">
        <w:rPr>
          <w:lang w:val="es-ES_tradnl"/>
        </w:rPr>
        <w:t>Dicha ponencia se reproduce en el documento TWF/45/27</w:t>
      </w:r>
      <w:r>
        <w:rPr>
          <w:lang w:val="es-ES_tradnl"/>
        </w:rPr>
        <w:t> </w:t>
      </w:r>
      <w:r w:rsidRPr="00017563">
        <w:rPr>
          <w:lang w:val="es-ES_tradnl"/>
        </w:rPr>
        <w:t>Add.</w:t>
      </w:r>
    </w:p>
    <w:p w:rsidR="003861E5" w:rsidRPr="00617EC3" w:rsidRDefault="003861E5" w:rsidP="00E72472">
      <w:pPr>
        <w:rPr>
          <w:lang w:val="es-ES"/>
        </w:rPr>
      </w:pPr>
    </w:p>
    <w:p w:rsidR="003861E5" w:rsidRPr="004D1EEB" w:rsidRDefault="003861E5" w:rsidP="00E72472">
      <w:pPr>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017563">
        <w:rPr>
          <w:lang w:val="es-ES_tradnl"/>
        </w:rPr>
        <w:t>El TWF convino en que, en algunos casos, podría mejorarse el texto estándar que se emplea en la actualidad en algunas directrices de examen de frutales con respecto a la duración mínima y el número de ciclos de cultivo.</w:t>
      </w:r>
      <w:r w:rsidRPr="004D1EEB">
        <w:rPr>
          <w:lang w:val="es-ES_tradnl"/>
        </w:rPr>
        <w:t xml:space="preserve">  </w:t>
      </w:r>
      <w:r w:rsidRPr="00017563">
        <w:rPr>
          <w:lang w:val="es-ES_tradnl"/>
        </w:rPr>
        <w:t xml:space="preserve">Por ello, solicitó a los expertos principales que propongan texto adecuado para los proyectos de directrices de examen que redacten en 2015 y pidió al experto de la Unión Europea que recopile las opciones formuladas por los expertos principales e intente elaborar otras posibles opciones de nuevo texto estándar </w:t>
      </w:r>
      <w:r w:rsidRPr="00017563">
        <w:rPr>
          <w:rFonts w:cs="Arial"/>
          <w:lang w:val="es-ES_tradnl"/>
        </w:rPr>
        <w:t xml:space="preserve">(véanse los </w:t>
      </w:r>
      <w:r w:rsidRPr="00017563">
        <w:rPr>
          <w:lang w:val="es-ES_tradnl"/>
        </w:rPr>
        <w:t>párrafos 74 a 76 d</w:t>
      </w:r>
      <w:r w:rsidRPr="00017563">
        <w:rPr>
          <w:rFonts w:cs="Arial"/>
          <w:lang w:val="es-ES_tradnl"/>
        </w:rPr>
        <w:t>el documento</w:t>
      </w:r>
      <w:r>
        <w:rPr>
          <w:lang w:val="es-ES_tradnl"/>
        </w:rPr>
        <w:t xml:space="preserve"> </w:t>
      </w:r>
      <w:r w:rsidRPr="00017563">
        <w:rPr>
          <w:lang w:val="es-ES_tradnl"/>
        </w:rPr>
        <w:t>TWF/45/32 “</w:t>
      </w:r>
      <w:r w:rsidRPr="0056046A">
        <w:rPr>
          <w:lang w:val="es-ES_tradnl"/>
        </w:rPr>
        <w:t>Report</w:t>
      </w:r>
      <w:r w:rsidRPr="00017563">
        <w:rPr>
          <w:lang w:val="es-ES_tradnl"/>
        </w:rPr>
        <w:t>”).</w:t>
      </w:r>
      <w:r w:rsidRPr="004D1EEB">
        <w:rPr>
          <w:lang w:val="es-ES_tradnl"/>
        </w:rPr>
        <w:t xml:space="preserve"> </w:t>
      </w:r>
    </w:p>
    <w:p w:rsidR="003861E5" w:rsidRPr="004D1EEB" w:rsidRDefault="003861E5" w:rsidP="00E72472">
      <w:pPr>
        <w:rPr>
          <w:lang w:val="es-ES_tradnl"/>
        </w:rPr>
      </w:pPr>
    </w:p>
    <w:p w:rsidR="003861E5" w:rsidRPr="004D1EEB" w:rsidRDefault="003861E5" w:rsidP="00E72472">
      <w:pPr>
        <w:rPr>
          <w:i/>
          <w:lang w:val="es-ES_tradnl"/>
        </w:rPr>
      </w:pPr>
    </w:p>
    <w:p w:rsidR="003861E5" w:rsidRPr="004D1EEB" w:rsidRDefault="003861E5" w:rsidP="00E30074">
      <w:pPr>
        <w:pStyle w:val="Heading2"/>
        <w:rPr>
          <w:color w:val="auto"/>
          <w:lang w:val="es-ES_tradnl"/>
        </w:rPr>
      </w:pPr>
      <w:bookmarkStart w:id="8" w:name="_Toc411849553"/>
      <w:r w:rsidRPr="00017563">
        <w:rPr>
          <w:color w:val="auto"/>
          <w:lang w:val="es-ES_tradnl"/>
        </w:rPr>
        <w:t>Utilización de caracteres de resistencia a las enfermedades en el examen DHE</w:t>
      </w:r>
      <w:bookmarkEnd w:id="8"/>
    </w:p>
    <w:p w:rsidR="003861E5" w:rsidRPr="004D1EEB" w:rsidRDefault="003861E5" w:rsidP="00E72472">
      <w:pPr>
        <w:rPr>
          <w:lang w:val="es-ES_tradnl"/>
        </w:rPr>
      </w:pPr>
    </w:p>
    <w:p w:rsidR="003861E5" w:rsidRPr="004D1EEB" w:rsidRDefault="003861E5" w:rsidP="00E72472">
      <w:pPr>
        <w:autoSpaceDE w:val="0"/>
        <w:autoSpaceDN w:val="0"/>
        <w:adjustRightInd w:val="0"/>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017563">
        <w:rPr>
          <w:lang w:val="es-ES_tradnl"/>
        </w:rPr>
        <w:t>En su cuadragésima octava sesión, el TWV escuchó las siguientes ponencias: “Utilización de caracteres de resistencia a las enfermedades en el examen DHE”, a cargo de u</w:t>
      </w:r>
      <w:r w:rsidR="0056046A">
        <w:rPr>
          <w:lang w:val="es-ES_tradnl"/>
        </w:rPr>
        <w:t xml:space="preserve">n experto de la Unión Europea; </w:t>
      </w:r>
      <w:r w:rsidRPr="00017563">
        <w:rPr>
          <w:lang w:val="es-ES_tradnl"/>
        </w:rPr>
        <w:t xml:space="preserve">“Encuesta sobre los caracteres de resistencia en los protocolos de la OCVV para cultivos hortícolas”, a cargo de un experto de la </w:t>
      </w:r>
      <w:r w:rsidRPr="0056046A">
        <w:rPr>
          <w:lang w:val="es-ES_tradnl"/>
        </w:rPr>
        <w:t>European Seed Association</w:t>
      </w:r>
      <w:r w:rsidRPr="00017563">
        <w:rPr>
          <w:lang w:val="es-ES_tradnl"/>
        </w:rPr>
        <w:t xml:space="preserve"> (ESA);  y “Panorama de los ensayos de resistencia en variedades hortícolas en Italia”, a </w:t>
      </w:r>
      <w:r w:rsidR="0056046A">
        <w:rPr>
          <w:lang w:val="es-ES_tradnl"/>
        </w:rPr>
        <w:t xml:space="preserve">cargo de un experto de Italia. </w:t>
      </w:r>
      <w:r>
        <w:rPr>
          <w:lang w:val="es-ES_tradnl"/>
        </w:rPr>
        <w:t>Dichas ponencias</w:t>
      </w:r>
      <w:r w:rsidRPr="00017563">
        <w:rPr>
          <w:lang w:val="es-ES_tradnl"/>
        </w:rPr>
        <w:t xml:space="preserve"> se reproducen en el documento TWV/48/27</w:t>
      </w:r>
      <w:r>
        <w:rPr>
          <w:lang w:val="es-ES_tradnl"/>
        </w:rPr>
        <w:t> </w:t>
      </w:r>
      <w:r w:rsidRPr="00017563">
        <w:rPr>
          <w:lang w:val="es-ES_tradnl"/>
        </w:rPr>
        <w:t>Add.</w:t>
      </w:r>
    </w:p>
    <w:p w:rsidR="003861E5" w:rsidRPr="004D1EEB" w:rsidRDefault="003861E5" w:rsidP="00E72472">
      <w:pPr>
        <w:rPr>
          <w:lang w:val="es-ES_tradnl"/>
        </w:rPr>
      </w:pPr>
    </w:p>
    <w:p w:rsidR="003861E5" w:rsidRPr="004D1EEB" w:rsidRDefault="003861E5" w:rsidP="00E72472">
      <w:pPr>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017563">
        <w:rPr>
          <w:lang w:val="es-ES_tradnl"/>
        </w:rPr>
        <w:t>El TWV convino en la importancia y el valor que revisten los caracteres de resistencia a las enfermedades en las directrices de examen de la UPOV.</w:t>
      </w:r>
      <w:r w:rsidRPr="004D1EEB">
        <w:rPr>
          <w:lang w:val="es-ES_tradnl"/>
        </w:rPr>
        <w:t xml:space="preserve">  </w:t>
      </w:r>
      <w:r w:rsidRPr="00017563">
        <w:rPr>
          <w:lang w:val="es-ES_tradnl"/>
        </w:rPr>
        <w:t>Convino asimismo en que, al revisar o redactar directrices de examen, debe prestarse especial atención a los caracteres de resistencia a las enfermedades para que el método presentado (por ejemplo, en lo que atañe a la disponibilidad del aislado) resulte claro y completo.</w:t>
      </w:r>
    </w:p>
    <w:p w:rsidR="003861E5" w:rsidRPr="004D1EEB" w:rsidRDefault="003861E5" w:rsidP="00E72472">
      <w:pPr>
        <w:rPr>
          <w:lang w:val="es-ES_tradnl"/>
        </w:rPr>
      </w:pPr>
    </w:p>
    <w:p w:rsidR="003861E5" w:rsidRPr="004D1EEB" w:rsidRDefault="003861E5" w:rsidP="00E72472">
      <w:pPr>
        <w:autoSpaceDE w:val="0"/>
        <w:autoSpaceDN w:val="0"/>
        <w:adjustRightInd w:val="0"/>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017563">
        <w:rPr>
          <w:lang w:val="es-ES_tradnl"/>
        </w:rPr>
        <w:t>El TWV recordó que los caracteres señalados con un asterisco “se consideran importantes para la armonización internacional de las descripciones de las variedades” (véase la GN 13 del documento TGP/7, que se reproduce a continuación) y que las directrices de examen deben ser consensuadas por todos los miembros de la Unión, también en lo que respecta a la selección de los caracteres con asterisco.</w:t>
      </w:r>
    </w:p>
    <w:p w:rsidR="003861E5" w:rsidRPr="004D1EEB" w:rsidRDefault="003861E5" w:rsidP="00E72472">
      <w:pPr>
        <w:autoSpaceDE w:val="0"/>
        <w:autoSpaceDN w:val="0"/>
        <w:adjustRightInd w:val="0"/>
        <w:ind w:right="-425"/>
        <w:rPr>
          <w:lang w:val="es-ES_tradnl"/>
        </w:rPr>
      </w:pPr>
    </w:p>
    <w:p w:rsidR="003861E5" w:rsidRPr="00745482" w:rsidRDefault="003861E5" w:rsidP="00E30074">
      <w:pPr>
        <w:keepNext/>
        <w:tabs>
          <w:tab w:val="left" w:pos="1701"/>
        </w:tabs>
        <w:ind w:left="567"/>
        <w:rPr>
          <w:i/>
          <w:sz w:val="18"/>
          <w:lang w:val="es-ES"/>
        </w:rPr>
      </w:pPr>
      <w:r w:rsidRPr="00745482">
        <w:rPr>
          <w:i/>
          <w:sz w:val="18"/>
          <w:lang w:val="es-ES_tradnl"/>
        </w:rPr>
        <w:lastRenderedPageBreak/>
        <w:t>“GN 13</w:t>
      </w:r>
      <w:r w:rsidRPr="00745482">
        <w:rPr>
          <w:i/>
          <w:sz w:val="18"/>
          <w:lang w:val="es-ES_tradnl"/>
        </w:rPr>
        <w:tab/>
        <w:t>Caracteres con funciones específicas</w:t>
      </w:r>
    </w:p>
    <w:p w:rsidR="003861E5" w:rsidRPr="00617EC3" w:rsidRDefault="003861E5" w:rsidP="00E72472">
      <w:pPr>
        <w:keepNext/>
        <w:ind w:left="567"/>
        <w:rPr>
          <w:i/>
          <w:sz w:val="18"/>
          <w:lang w:val="es-ES"/>
        </w:rPr>
      </w:pPr>
      <w:bookmarkStart w:id="9" w:name="_Toc226858768"/>
      <w:bookmarkStart w:id="10" w:name="_Toc309114910"/>
    </w:p>
    <w:bookmarkEnd w:id="9"/>
    <w:bookmarkEnd w:id="10"/>
    <w:p w:rsidR="003861E5" w:rsidRPr="00745482" w:rsidRDefault="003861E5" w:rsidP="003C6C4B">
      <w:pPr>
        <w:keepNext/>
        <w:ind w:left="1134" w:right="567" w:hanging="567"/>
        <w:rPr>
          <w:i/>
          <w:sz w:val="18"/>
          <w:u w:val="single"/>
          <w:lang w:val="es-ES"/>
        </w:rPr>
      </w:pPr>
      <w:r w:rsidRPr="00745482">
        <w:rPr>
          <w:i/>
          <w:sz w:val="18"/>
          <w:u w:val="single"/>
          <w:lang w:val="es-ES_tradnl"/>
        </w:rPr>
        <w:t>1.</w:t>
      </w:r>
      <w:r w:rsidRPr="00745482">
        <w:rPr>
          <w:i/>
          <w:sz w:val="18"/>
          <w:u w:val="single"/>
          <w:lang w:val="es-ES_tradnl"/>
        </w:rPr>
        <w:tab/>
        <w:t>Caracteres señalados con asterisco (Plantilla de los documentos TG</w:t>
      </w:r>
      <w:proofErr w:type="gramStart"/>
      <w:r w:rsidRPr="00745482">
        <w:rPr>
          <w:i/>
          <w:sz w:val="18"/>
          <w:u w:val="single"/>
          <w:lang w:val="es-ES_tradnl"/>
        </w:rPr>
        <w:t>:  Capítulo</w:t>
      </w:r>
      <w:proofErr w:type="gramEnd"/>
      <w:r w:rsidRPr="00745482">
        <w:rPr>
          <w:i/>
          <w:sz w:val="18"/>
          <w:u w:val="single"/>
          <w:lang w:val="es-ES_tradnl"/>
        </w:rPr>
        <w:t> 7:  columna 1, hilera de encabezamiento 2)</w:t>
      </w:r>
    </w:p>
    <w:p w:rsidR="003861E5" w:rsidRPr="00617EC3" w:rsidRDefault="003861E5" w:rsidP="00E72472">
      <w:pPr>
        <w:keepNext/>
        <w:ind w:left="567"/>
        <w:rPr>
          <w:i/>
          <w:sz w:val="18"/>
          <w:lang w:val="es-ES"/>
        </w:rPr>
      </w:pPr>
    </w:p>
    <w:p w:rsidR="003861E5" w:rsidRPr="00617EC3" w:rsidRDefault="003861E5" w:rsidP="00F36BDF">
      <w:pPr>
        <w:ind w:left="567" w:right="567"/>
        <w:rPr>
          <w:sz w:val="18"/>
          <w:szCs w:val="18"/>
          <w:lang w:val="es-ES"/>
        </w:rPr>
      </w:pPr>
      <w:r w:rsidRPr="00745482">
        <w:rPr>
          <w:sz w:val="18"/>
          <w:szCs w:val="18"/>
          <w:lang w:val="es-ES_tradnl"/>
        </w:rPr>
        <w:t>1.1</w:t>
      </w:r>
      <w:r w:rsidRPr="00617EC3">
        <w:rPr>
          <w:color w:val="000000"/>
          <w:sz w:val="18"/>
          <w:szCs w:val="18"/>
          <w:lang w:val="es-ES_tradnl"/>
        </w:rPr>
        <w:tab/>
      </w:r>
      <w:r w:rsidRPr="00745482">
        <w:rPr>
          <w:sz w:val="18"/>
          <w:szCs w:val="18"/>
          <w:lang w:val="es-ES_tradnl"/>
        </w:rPr>
        <w:t>En la Introducción General (Capítulo 4.8: Cuadro: Categorías funcionales de los caracteres) se establece que los caracteres señalados con asterisco son “caracteres que se consideran importantes para la armonización internacional de las des</w:t>
      </w:r>
      <w:r w:rsidR="00DB5FAA">
        <w:rPr>
          <w:sz w:val="18"/>
          <w:szCs w:val="18"/>
          <w:lang w:val="es-ES_tradnl"/>
        </w:rPr>
        <w:t xml:space="preserve">cripciones de las variedades.” </w:t>
      </w:r>
      <w:r w:rsidRPr="00745482">
        <w:rPr>
          <w:sz w:val="18"/>
          <w:szCs w:val="18"/>
          <w:lang w:val="es-ES_tradnl"/>
        </w:rPr>
        <w:t>Los criterios para que un carácter pueda señalarse con un asterisco son los siguientes:</w:t>
      </w:r>
    </w:p>
    <w:p w:rsidR="003861E5" w:rsidRPr="00617EC3" w:rsidRDefault="003861E5" w:rsidP="00E72472">
      <w:pPr>
        <w:ind w:left="567" w:right="567"/>
        <w:rPr>
          <w:sz w:val="18"/>
          <w:szCs w:val="18"/>
          <w:lang w:val="es-ES"/>
        </w:rPr>
      </w:pPr>
    </w:p>
    <w:p w:rsidR="003861E5" w:rsidRPr="00745482" w:rsidRDefault="00DB5FAA" w:rsidP="00F36BDF">
      <w:pPr>
        <w:ind w:left="567" w:right="567"/>
        <w:rPr>
          <w:sz w:val="18"/>
          <w:szCs w:val="18"/>
          <w:lang w:val="es-ES"/>
        </w:rPr>
      </w:pPr>
      <w:r>
        <w:rPr>
          <w:sz w:val="18"/>
          <w:szCs w:val="18"/>
          <w:lang w:val="es-ES_tradnl"/>
        </w:rPr>
        <w:t>“</w:t>
      </w:r>
      <w:r w:rsidR="003861E5" w:rsidRPr="00745482">
        <w:rPr>
          <w:sz w:val="18"/>
          <w:szCs w:val="18"/>
          <w:lang w:val="es-ES_tradnl"/>
        </w:rPr>
        <w:t>a)</w:t>
      </w:r>
      <w:r w:rsidR="003861E5" w:rsidRPr="00745482">
        <w:rPr>
          <w:sz w:val="18"/>
          <w:szCs w:val="18"/>
          <w:lang w:val="es-ES_tradnl"/>
        </w:rPr>
        <w:tab/>
        <w:t>el carácter debe estar contemplado en las directrices de examen;</w:t>
      </w:r>
    </w:p>
    <w:p w:rsidR="003861E5" w:rsidRPr="00617EC3" w:rsidRDefault="003861E5" w:rsidP="00E72472">
      <w:pPr>
        <w:ind w:left="567" w:right="567" w:hanging="992"/>
        <w:rPr>
          <w:sz w:val="18"/>
          <w:szCs w:val="18"/>
          <w:lang w:val="es-ES"/>
        </w:rPr>
      </w:pPr>
    </w:p>
    <w:p w:rsidR="003861E5" w:rsidRPr="00617EC3" w:rsidRDefault="00DB5FAA" w:rsidP="00F36BDF">
      <w:pPr>
        <w:ind w:left="567" w:right="567"/>
        <w:rPr>
          <w:sz w:val="18"/>
          <w:szCs w:val="18"/>
          <w:lang w:val="es-ES"/>
        </w:rPr>
      </w:pPr>
      <w:r>
        <w:rPr>
          <w:sz w:val="18"/>
          <w:szCs w:val="18"/>
          <w:lang w:val="es-ES"/>
        </w:rPr>
        <w:t>“</w:t>
      </w:r>
      <w:r w:rsidR="003861E5" w:rsidRPr="00745482">
        <w:rPr>
          <w:sz w:val="18"/>
          <w:szCs w:val="18"/>
          <w:lang w:val="es-ES_tradnl"/>
        </w:rPr>
        <w:t>b)</w:t>
      </w:r>
      <w:r w:rsidR="003861E5" w:rsidRPr="00617EC3">
        <w:rPr>
          <w:color w:val="000000"/>
          <w:sz w:val="18"/>
          <w:szCs w:val="18"/>
          <w:lang w:val="es-ES_tradnl"/>
        </w:rPr>
        <w:tab/>
      </w:r>
      <w:r w:rsidR="003861E5" w:rsidRPr="00745482">
        <w:rPr>
          <w:sz w:val="18"/>
          <w:szCs w:val="18"/>
          <w:lang w:val="es-ES_tradnl"/>
        </w:rPr>
        <w:t>el carácter deberá utilizarse siempre en el examen DHE y ser incluido en la descripción de la variedad por todos los Miembros de la Unión, excepto cuando el nivel de expresión de un carácter precedente o las condiciones medioambientales de la región lo imposibiliten;</w:t>
      </w:r>
    </w:p>
    <w:p w:rsidR="003861E5" w:rsidRPr="00617EC3" w:rsidRDefault="003861E5" w:rsidP="00E72472">
      <w:pPr>
        <w:ind w:left="567" w:right="567" w:hanging="992"/>
        <w:rPr>
          <w:sz w:val="18"/>
          <w:szCs w:val="18"/>
          <w:lang w:val="es-ES"/>
        </w:rPr>
      </w:pPr>
    </w:p>
    <w:p w:rsidR="003861E5" w:rsidRPr="00617EC3" w:rsidRDefault="00DB5FAA" w:rsidP="00F36BDF">
      <w:pPr>
        <w:ind w:left="567" w:right="567"/>
        <w:rPr>
          <w:sz w:val="18"/>
          <w:szCs w:val="18"/>
          <w:lang w:val="es-ES"/>
        </w:rPr>
      </w:pPr>
      <w:r>
        <w:rPr>
          <w:sz w:val="18"/>
          <w:szCs w:val="18"/>
          <w:lang w:val="es-ES"/>
        </w:rPr>
        <w:t>“</w:t>
      </w:r>
      <w:r w:rsidR="003861E5" w:rsidRPr="00745482">
        <w:rPr>
          <w:sz w:val="18"/>
          <w:szCs w:val="18"/>
          <w:lang w:val="es-ES_tradnl"/>
        </w:rPr>
        <w:t>c)</w:t>
      </w:r>
      <w:r w:rsidR="003861E5" w:rsidRPr="00617EC3">
        <w:rPr>
          <w:color w:val="000000"/>
          <w:sz w:val="18"/>
          <w:szCs w:val="18"/>
          <w:lang w:val="es-ES_tradnl"/>
        </w:rPr>
        <w:tab/>
      </w:r>
      <w:r w:rsidR="003861E5" w:rsidRPr="00745482">
        <w:rPr>
          <w:sz w:val="18"/>
          <w:szCs w:val="18"/>
          <w:lang w:val="es-ES_tradnl"/>
        </w:rPr>
        <w:t>el carácter deberá ser útil para la armonización internacional de las descripciones de las variedades;</w:t>
      </w:r>
    </w:p>
    <w:p w:rsidR="003861E5" w:rsidRPr="00617EC3" w:rsidRDefault="003861E5" w:rsidP="00E72472">
      <w:pPr>
        <w:ind w:left="567" w:right="567"/>
        <w:rPr>
          <w:sz w:val="18"/>
          <w:szCs w:val="18"/>
          <w:lang w:val="es-ES"/>
        </w:rPr>
      </w:pPr>
    </w:p>
    <w:p w:rsidR="003861E5" w:rsidRPr="00745482" w:rsidRDefault="00DB5FAA" w:rsidP="00F36BDF">
      <w:pPr>
        <w:ind w:left="567" w:right="567"/>
        <w:rPr>
          <w:sz w:val="18"/>
          <w:szCs w:val="18"/>
          <w:lang w:val="es-ES"/>
        </w:rPr>
      </w:pPr>
      <w:r>
        <w:rPr>
          <w:sz w:val="18"/>
          <w:szCs w:val="18"/>
          <w:lang w:val="es-ES"/>
        </w:rPr>
        <w:t>“</w:t>
      </w:r>
      <w:r w:rsidR="003861E5" w:rsidRPr="00745482">
        <w:rPr>
          <w:sz w:val="18"/>
          <w:szCs w:val="18"/>
          <w:lang w:val="es-ES_tradnl"/>
        </w:rPr>
        <w:t>d)</w:t>
      </w:r>
      <w:r w:rsidR="003861E5" w:rsidRPr="00745482">
        <w:rPr>
          <w:sz w:val="18"/>
          <w:szCs w:val="18"/>
          <w:lang w:val="es-ES_tradnl"/>
        </w:rPr>
        <w:tab/>
        <w:t>debería prestarse una atención particular antes de seleccionar caracteres relativos a la resistencia a las enfermedades.</w:t>
      </w:r>
    </w:p>
    <w:p w:rsidR="003861E5" w:rsidRPr="00617EC3" w:rsidRDefault="003861E5" w:rsidP="00E72472">
      <w:pPr>
        <w:ind w:left="567" w:right="567" w:hanging="992"/>
        <w:rPr>
          <w:sz w:val="18"/>
          <w:szCs w:val="18"/>
          <w:lang w:val="es-ES"/>
        </w:rPr>
      </w:pPr>
    </w:p>
    <w:p w:rsidR="003861E5" w:rsidRPr="00617EC3" w:rsidRDefault="00DB5FAA" w:rsidP="00F36BDF">
      <w:pPr>
        <w:ind w:left="567" w:right="567"/>
        <w:rPr>
          <w:sz w:val="18"/>
          <w:szCs w:val="18"/>
          <w:lang w:val="es-ES"/>
        </w:rPr>
      </w:pPr>
      <w:r>
        <w:rPr>
          <w:sz w:val="18"/>
          <w:szCs w:val="18"/>
          <w:lang w:val="es-ES"/>
        </w:rPr>
        <w:t>“</w:t>
      </w:r>
      <w:r w:rsidR="003861E5" w:rsidRPr="00745482">
        <w:rPr>
          <w:sz w:val="18"/>
          <w:szCs w:val="18"/>
          <w:lang w:val="es-ES_tradnl"/>
        </w:rPr>
        <w:t>1.2</w:t>
      </w:r>
      <w:r w:rsidR="003861E5" w:rsidRPr="00617EC3">
        <w:rPr>
          <w:color w:val="000000"/>
          <w:sz w:val="18"/>
          <w:szCs w:val="18"/>
          <w:lang w:val="es-ES_tradnl"/>
        </w:rPr>
        <w:tab/>
      </w:r>
      <w:r w:rsidR="003861E5" w:rsidRPr="00745482">
        <w:rPr>
          <w:sz w:val="18"/>
          <w:szCs w:val="18"/>
          <w:lang w:val="es-ES_tradnl"/>
        </w:rPr>
        <w:t>Cabe aclarar que el criterio b) obedece a la necesidad de garantizar que los Miembros de la Unión que no puedan examinar el carácter no se valgan de ello como motivo para objetar que ese carácter se señale con un asterisco.  Así pues, cualquier carácter que satisfaga los criterios citados y, en particular, sea útil para la armonización internacional de las descripciones de variedades, debería seleccionarse como carácter señalado con asterisco, aunque no pueda ser examinado para todas las variedades ni por todos los Miembros de la Unión.</w:t>
      </w:r>
      <w:r w:rsidR="003861E5" w:rsidRPr="00745482">
        <w:rPr>
          <w:sz w:val="18"/>
          <w:szCs w:val="18"/>
          <w:lang w:val="es-ES"/>
        </w:rPr>
        <w:t xml:space="preserve">  </w:t>
      </w:r>
      <w:r w:rsidR="003861E5" w:rsidRPr="00745482">
        <w:rPr>
          <w:sz w:val="18"/>
          <w:szCs w:val="18"/>
          <w:lang w:val="es-ES_tradnl"/>
        </w:rPr>
        <w:t>Por lo tanto, el límite superior en el número de caracteres señalados con asterisco quedará determinado por el número necesario para crear descripciones de variedades útiles y armonizadas internacionalmente</w:t>
      </w:r>
      <w:r>
        <w:rPr>
          <w:sz w:val="18"/>
          <w:szCs w:val="18"/>
          <w:lang w:val="es-ES_tradnl"/>
        </w:rPr>
        <w:t>”</w:t>
      </w:r>
      <w:r w:rsidR="003861E5" w:rsidRPr="00745482">
        <w:rPr>
          <w:sz w:val="18"/>
          <w:szCs w:val="18"/>
          <w:lang w:val="es-ES_tradnl"/>
        </w:rPr>
        <w:t>.</w:t>
      </w:r>
    </w:p>
    <w:p w:rsidR="003861E5" w:rsidRPr="00617EC3" w:rsidRDefault="003861E5" w:rsidP="00E72472">
      <w:pPr>
        <w:autoSpaceDE w:val="0"/>
        <w:autoSpaceDN w:val="0"/>
        <w:adjustRightInd w:val="0"/>
        <w:ind w:right="-425"/>
        <w:rPr>
          <w:sz w:val="18"/>
          <w:szCs w:val="18"/>
          <w:lang w:val="es-ES"/>
        </w:rPr>
      </w:pPr>
      <w:r w:rsidRPr="00617EC3">
        <w:rPr>
          <w:sz w:val="18"/>
          <w:szCs w:val="18"/>
          <w:lang w:val="es-ES"/>
        </w:rPr>
        <w:t xml:space="preserve"> </w:t>
      </w:r>
    </w:p>
    <w:p w:rsidR="003861E5" w:rsidRPr="004D1EEB" w:rsidRDefault="003861E5" w:rsidP="00E72472">
      <w:pPr>
        <w:autoSpaceDE w:val="0"/>
        <w:autoSpaceDN w:val="0"/>
        <w:adjustRightInd w:val="0"/>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017563">
        <w:rPr>
          <w:lang w:val="es-ES_tradnl"/>
        </w:rPr>
        <w:t>El TWV convino en que sería conveniente revisar el documento TGP/7 para:</w:t>
      </w:r>
      <w:r w:rsidR="00DB5FAA">
        <w:rPr>
          <w:lang w:val="es-ES_tradnl"/>
        </w:rPr>
        <w:t xml:space="preserve"> </w:t>
      </w:r>
      <w:r w:rsidRPr="00017563">
        <w:rPr>
          <w:lang w:val="es-ES_tradnl"/>
        </w:rPr>
        <w:t>a) posponer la obligatoriedad de que todos los miembros de la Unión examinen los caracteres de resistencia a las enfermedades señalados con asterisco;</w:t>
      </w:r>
      <w:r w:rsidR="001323F9">
        <w:rPr>
          <w:lang w:val="es-ES_tradnl"/>
        </w:rPr>
        <w:t xml:space="preserve"> </w:t>
      </w:r>
      <w:r w:rsidRPr="00017563">
        <w:rPr>
          <w:lang w:val="es-ES_tradnl"/>
        </w:rPr>
        <w:t xml:space="preserve">y b) proporcionar orientación sobre un criterio adicional de homogeneidad para las plantas resistentes de una variedad susceptible (véanse los </w:t>
      </w:r>
      <w:r w:rsidRPr="00017563">
        <w:rPr>
          <w:color w:val="000000"/>
          <w:lang w:val="es-ES_tradnl"/>
        </w:rPr>
        <w:t>párrafos 85 a 88 d</w:t>
      </w:r>
      <w:r w:rsidRPr="00017563">
        <w:rPr>
          <w:lang w:val="es-ES_tradnl"/>
        </w:rPr>
        <w:t>el documento</w:t>
      </w:r>
      <w:r w:rsidRPr="00017563">
        <w:rPr>
          <w:color w:val="000000"/>
          <w:lang w:val="es-ES_tradnl"/>
        </w:rPr>
        <w:t xml:space="preserve"> TWV/48/43 “</w:t>
      </w:r>
      <w:r w:rsidRPr="001323F9">
        <w:rPr>
          <w:color w:val="000000"/>
          <w:lang w:val="es-ES_tradnl"/>
        </w:rPr>
        <w:t>Report”</w:t>
      </w:r>
      <w:r w:rsidRPr="00017563">
        <w:rPr>
          <w:color w:val="000000"/>
          <w:lang w:val="es-ES_tradnl"/>
        </w:rPr>
        <w:t>)</w:t>
      </w:r>
      <w:r w:rsidRPr="00017563">
        <w:rPr>
          <w:lang w:val="es-ES_tradnl"/>
        </w:rPr>
        <w:t>.</w:t>
      </w:r>
      <w:r w:rsidRPr="004D1EEB">
        <w:rPr>
          <w:lang w:val="es-ES_tradnl"/>
        </w:rPr>
        <w:t xml:space="preserve"> </w:t>
      </w:r>
    </w:p>
    <w:p w:rsidR="003861E5" w:rsidRPr="004D1EEB" w:rsidRDefault="003861E5" w:rsidP="00E72472">
      <w:pPr>
        <w:ind w:right="-425"/>
        <w:rPr>
          <w:lang w:val="es-ES_tradnl"/>
        </w:rPr>
      </w:pPr>
    </w:p>
    <w:p w:rsidR="003861E5" w:rsidRPr="004D1EEB" w:rsidRDefault="003861E5" w:rsidP="00E72472">
      <w:pPr>
        <w:rPr>
          <w:caps/>
          <w:lang w:val="es-ES_tradnl"/>
        </w:rPr>
      </w:pPr>
    </w:p>
    <w:p w:rsidR="003861E5" w:rsidRPr="00745482" w:rsidRDefault="003861E5" w:rsidP="00E30074">
      <w:pPr>
        <w:pStyle w:val="Heading2"/>
        <w:rPr>
          <w:color w:val="auto"/>
          <w:lang w:val="es-ES"/>
        </w:rPr>
      </w:pPr>
      <w:bookmarkStart w:id="11" w:name="_Toc411849554"/>
      <w:r w:rsidRPr="00745482">
        <w:rPr>
          <w:color w:val="auto"/>
          <w:lang w:val="es-ES"/>
        </w:rPr>
        <w:t>Registro de datos</w:t>
      </w:r>
      <w:bookmarkEnd w:id="11"/>
    </w:p>
    <w:p w:rsidR="003861E5" w:rsidRPr="004D1EEB" w:rsidRDefault="003861E5" w:rsidP="00E72472">
      <w:pPr>
        <w:autoSpaceDE w:val="0"/>
        <w:autoSpaceDN w:val="0"/>
        <w:adjustRightInd w:val="0"/>
        <w:jc w:val="left"/>
        <w:rPr>
          <w:szCs w:val="24"/>
          <w:lang w:val="es-ES_tradnl"/>
        </w:rPr>
      </w:pPr>
    </w:p>
    <w:p w:rsidR="003861E5" w:rsidRPr="004D1EEB" w:rsidRDefault="003861E5" w:rsidP="00E72472">
      <w:pPr>
        <w:autoSpaceDE w:val="0"/>
        <w:autoSpaceDN w:val="0"/>
        <w:adjustRightInd w:val="0"/>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017563">
        <w:rPr>
          <w:lang w:val="es-ES_tradnl"/>
        </w:rPr>
        <w:t>En su trigésima segunda sesión, el TWC examinó el documento TWC/32/27 “</w:t>
      </w:r>
      <w:r w:rsidRPr="001323F9">
        <w:rPr>
          <w:lang w:val="es-ES_tradnl"/>
        </w:rPr>
        <w:t>Updated Survey on Hand-Held Capture Devices”</w:t>
      </w:r>
      <w:r w:rsidRPr="00017563">
        <w:rPr>
          <w:lang w:val="es-ES_tradnl"/>
        </w:rPr>
        <w:t xml:space="preserve"> y tomó nota del resumen de la información proporcionada por los participantes en el TWC sobre el empleo de sistemas de registro de datos en los ensayos DHE, que consta en el Anexo I del documento TWC/32/27 y se incluirá en el documento</w:t>
      </w:r>
      <w:r>
        <w:rPr>
          <w:lang w:val="es-ES_tradnl"/>
        </w:rPr>
        <w:t xml:space="preserve"> </w:t>
      </w:r>
      <w:r w:rsidRPr="00017563">
        <w:rPr>
          <w:lang w:val="es-ES_tradnl"/>
        </w:rPr>
        <w:t>UPOV/INF/22 “Programas informáticos y equipos utilizados por los miembros de la Unión” previa aprobación del Consejo.</w:t>
      </w:r>
    </w:p>
    <w:p w:rsidR="003861E5" w:rsidRPr="004D1EEB" w:rsidRDefault="003861E5" w:rsidP="00E72472">
      <w:pPr>
        <w:autoSpaceDE w:val="0"/>
        <w:autoSpaceDN w:val="0"/>
        <w:adjustRightInd w:val="0"/>
        <w:rPr>
          <w:lang w:val="es-ES_tradnl"/>
        </w:rPr>
      </w:pPr>
    </w:p>
    <w:p w:rsidR="003861E5" w:rsidRPr="004D1EEB" w:rsidRDefault="003861E5" w:rsidP="00E72472">
      <w:pPr>
        <w:autoSpaceDE w:val="0"/>
        <w:autoSpaceDN w:val="0"/>
        <w:adjustRightInd w:val="0"/>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017563">
        <w:rPr>
          <w:lang w:val="es-ES_tradnl"/>
        </w:rPr>
        <w:t xml:space="preserve">El TWC escuchó una ponencia a cargo de un experto de Alemania sobre la utilización de dispositivos portátiles de registro de datos en los exámenes DHE en Alemania, de la cual figura una copia en el Anexo II del documento TWC/32/27 </w:t>
      </w:r>
      <w:r w:rsidRPr="00017563">
        <w:rPr>
          <w:spacing w:val="-2"/>
          <w:lang w:val="es-ES_tradnl"/>
        </w:rPr>
        <w:t xml:space="preserve">(véanse los </w:t>
      </w:r>
      <w:r w:rsidRPr="00017563">
        <w:rPr>
          <w:lang w:val="es-ES_tradnl"/>
        </w:rPr>
        <w:t>párrafos 99 a 102</w:t>
      </w:r>
      <w:r w:rsidRPr="00017563">
        <w:rPr>
          <w:spacing w:val="-2"/>
          <w:lang w:val="es-ES_tradnl"/>
        </w:rPr>
        <w:t xml:space="preserve"> del </w:t>
      </w:r>
      <w:r w:rsidRPr="00017563">
        <w:rPr>
          <w:rFonts w:eastAsia="PMingLiU" w:cs="Arial"/>
          <w:szCs w:val="24"/>
          <w:lang w:val="es-ES_tradnl"/>
        </w:rPr>
        <w:t>documento</w:t>
      </w:r>
      <w:r w:rsidRPr="00017563">
        <w:rPr>
          <w:lang w:val="es-ES_tradnl"/>
        </w:rPr>
        <w:t xml:space="preserve"> TWC/32/28 “</w:t>
      </w:r>
      <w:r w:rsidRPr="00DA36BA">
        <w:rPr>
          <w:lang w:val="es-ES_tradnl"/>
        </w:rPr>
        <w:t>Report</w:t>
      </w:r>
      <w:r w:rsidRPr="00017563">
        <w:rPr>
          <w:lang w:val="es-ES_tradnl"/>
        </w:rPr>
        <w:t>”).</w:t>
      </w:r>
      <w:r w:rsidRPr="004D1EEB">
        <w:rPr>
          <w:lang w:val="es-ES_tradnl"/>
        </w:rPr>
        <w:t xml:space="preserve"> </w:t>
      </w:r>
    </w:p>
    <w:p w:rsidR="003861E5" w:rsidRPr="004D1EEB" w:rsidRDefault="003861E5" w:rsidP="00E72472">
      <w:pPr>
        <w:autoSpaceDE w:val="0"/>
        <w:autoSpaceDN w:val="0"/>
        <w:adjustRightInd w:val="0"/>
        <w:rPr>
          <w:lang w:val="es-ES_tradnl"/>
        </w:rPr>
      </w:pPr>
    </w:p>
    <w:p w:rsidR="003861E5" w:rsidRPr="004D1EEB" w:rsidRDefault="003861E5" w:rsidP="00E72472">
      <w:pPr>
        <w:rPr>
          <w:rFonts w:cs="Arial"/>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017563">
        <w:rPr>
          <w:rFonts w:cs="Arial"/>
          <w:lang w:val="es-ES_tradnl"/>
        </w:rPr>
        <w:t>En el documento TC/51/8 “Intercambio y uso de programa informáticos y equipos” se presenta una propuesta de inclusión de información relativa al empleo de sistemas de registro de datos en los ensayos DHE en el</w:t>
      </w:r>
      <w:r w:rsidRPr="00017563">
        <w:rPr>
          <w:lang w:val="es-ES_tradnl"/>
        </w:rPr>
        <w:t xml:space="preserve"> documento UPOV/INF/22 “Programas informáticos y equipos utilizados por los miembros de la Unión”</w:t>
      </w:r>
      <w:r w:rsidRPr="00017563">
        <w:rPr>
          <w:rFonts w:cs="Arial"/>
          <w:lang w:val="es-ES_tradnl"/>
        </w:rPr>
        <w:t>.</w:t>
      </w:r>
    </w:p>
    <w:p w:rsidR="003861E5" w:rsidRPr="004D1EEB" w:rsidRDefault="003861E5" w:rsidP="00E72472">
      <w:pPr>
        <w:rPr>
          <w:caps/>
          <w:lang w:val="es-ES_tradnl"/>
        </w:rPr>
      </w:pPr>
    </w:p>
    <w:p w:rsidR="003861E5" w:rsidRPr="00745482" w:rsidRDefault="003861E5" w:rsidP="00E30074">
      <w:pPr>
        <w:pStyle w:val="Heading2"/>
        <w:rPr>
          <w:color w:val="auto"/>
          <w:lang w:val="es-ES"/>
        </w:rPr>
      </w:pPr>
      <w:bookmarkStart w:id="12" w:name="_Toc411849555"/>
      <w:r w:rsidRPr="00745482">
        <w:rPr>
          <w:color w:val="auto"/>
          <w:lang w:val="es-ES_tradnl"/>
        </w:rPr>
        <w:t>Experiencias con nuevos tipos y especies</w:t>
      </w:r>
      <w:bookmarkEnd w:id="12"/>
    </w:p>
    <w:p w:rsidR="003861E5" w:rsidRPr="00617EC3" w:rsidRDefault="003861E5" w:rsidP="00E72472">
      <w:pPr>
        <w:rPr>
          <w:lang w:val="es-ES"/>
        </w:rPr>
      </w:pPr>
    </w:p>
    <w:p w:rsidR="003861E5" w:rsidRPr="00745482" w:rsidRDefault="003861E5" w:rsidP="00E30074">
      <w:pPr>
        <w:pStyle w:val="Heading3"/>
        <w:rPr>
          <w:color w:val="auto"/>
          <w:lang w:val="es-ES"/>
        </w:rPr>
      </w:pPr>
      <w:bookmarkStart w:id="13" w:name="_Toc411849556"/>
      <w:r w:rsidRPr="00745482">
        <w:rPr>
          <w:color w:val="auto"/>
        </w:rPr>
        <w:t>Grupo de Trabajo Técnico sobre Plantas Ornamentales y Árboles Forestales</w:t>
      </w:r>
      <w:bookmarkEnd w:id="13"/>
    </w:p>
    <w:p w:rsidR="003861E5" w:rsidRPr="00617EC3" w:rsidRDefault="003861E5" w:rsidP="00E72472">
      <w:pPr>
        <w:rPr>
          <w:lang w:val="es-ES"/>
        </w:rPr>
      </w:pPr>
    </w:p>
    <w:p w:rsidR="003861E5" w:rsidRPr="004D1EEB" w:rsidRDefault="003861E5" w:rsidP="00E72472">
      <w:pPr>
        <w:rPr>
          <w:snapToGrid w:val="0"/>
          <w:lang w:val="es-ES_tradnl"/>
        </w:rPr>
      </w:pPr>
      <w:r w:rsidRPr="00617EC3">
        <w:rPr>
          <w:snapToGrid w:val="0"/>
        </w:rPr>
        <w:fldChar w:fldCharType="begin"/>
      </w:r>
      <w:r w:rsidRPr="004D1EEB">
        <w:rPr>
          <w:snapToGrid w:val="0"/>
          <w:lang w:val="es-ES_tradnl"/>
        </w:rPr>
        <w:instrText xml:space="preserve"> AUTONUM  </w:instrText>
      </w:r>
      <w:r w:rsidRPr="00617EC3">
        <w:rPr>
          <w:snapToGrid w:val="0"/>
        </w:rPr>
        <w:fldChar w:fldCharType="end"/>
      </w:r>
      <w:r w:rsidRPr="004D1EEB">
        <w:rPr>
          <w:snapToGrid w:val="0"/>
          <w:lang w:val="es-ES_tradnl"/>
        </w:rPr>
        <w:tab/>
      </w:r>
      <w:r w:rsidRPr="00A30006">
        <w:rPr>
          <w:snapToGrid w:val="0"/>
          <w:lang w:val="es-ES_tradnl"/>
        </w:rPr>
        <w:t>En su cuadragésima séptima sesión, el TWO fue informado por un experto de</w:t>
      </w:r>
      <w:r w:rsidRPr="00A30006">
        <w:rPr>
          <w:lang w:val="es-ES_tradnl"/>
        </w:rPr>
        <w:t xml:space="preserve"> Nueva Zelandia </w:t>
      </w:r>
      <w:r w:rsidRPr="00A30006">
        <w:rPr>
          <w:snapToGrid w:val="0"/>
          <w:lang w:val="es-ES_tradnl"/>
        </w:rPr>
        <w:t xml:space="preserve">de que se han </w:t>
      </w:r>
      <w:r w:rsidRPr="00A30006">
        <w:rPr>
          <w:lang w:val="es-ES_tradnl"/>
        </w:rPr>
        <w:t xml:space="preserve">presentado solicitudes de protección de nuevas variedades de </w:t>
      </w:r>
      <w:r w:rsidRPr="00A30006">
        <w:rPr>
          <w:i/>
          <w:lang w:val="es-ES_tradnl"/>
        </w:rPr>
        <w:t>Loropetalum</w:t>
      </w:r>
      <w:r w:rsidRPr="00A30006">
        <w:rPr>
          <w:lang w:val="es-ES_tradnl"/>
        </w:rPr>
        <w:t xml:space="preserve"> </w:t>
      </w:r>
      <w:r w:rsidRPr="00A30006">
        <w:rPr>
          <w:rFonts w:cs="Arial"/>
          <w:szCs w:val="24"/>
          <w:lang w:val="es-ES_tradnl"/>
        </w:rPr>
        <w:t xml:space="preserve">(véase el </w:t>
      </w:r>
      <w:r w:rsidRPr="00A30006">
        <w:rPr>
          <w:rFonts w:eastAsia="PMingLiU" w:cs="Arial"/>
          <w:szCs w:val="24"/>
          <w:lang w:val="es-ES_tradnl"/>
        </w:rPr>
        <w:t xml:space="preserve">párrafo 70 del </w:t>
      </w:r>
      <w:r w:rsidRPr="00A30006">
        <w:rPr>
          <w:rFonts w:cs="Arial"/>
          <w:szCs w:val="24"/>
          <w:lang w:val="es-ES_tradnl"/>
        </w:rPr>
        <w:t>documento</w:t>
      </w:r>
      <w:r w:rsidRPr="00A30006">
        <w:rPr>
          <w:rFonts w:eastAsia="PMingLiU" w:cs="Arial"/>
          <w:szCs w:val="24"/>
          <w:lang w:val="es-ES_tradnl"/>
        </w:rPr>
        <w:t xml:space="preserve"> TWO/47/28 “</w:t>
      </w:r>
      <w:r w:rsidRPr="00DA36BA">
        <w:rPr>
          <w:rFonts w:eastAsia="PMingLiU" w:cs="Arial"/>
          <w:szCs w:val="24"/>
          <w:lang w:val="es-ES_tradnl"/>
        </w:rPr>
        <w:t>Report</w:t>
      </w:r>
      <w:r w:rsidRPr="00A30006">
        <w:rPr>
          <w:rFonts w:eastAsia="PMingLiU" w:cs="Arial"/>
          <w:szCs w:val="24"/>
          <w:lang w:val="es-ES_tradnl"/>
        </w:rPr>
        <w:t>”)</w:t>
      </w:r>
      <w:r w:rsidRPr="00A30006">
        <w:rPr>
          <w:rFonts w:cs="Arial"/>
          <w:lang w:val="es-ES_tradnl"/>
        </w:rPr>
        <w:t>.</w:t>
      </w:r>
    </w:p>
    <w:p w:rsidR="003861E5" w:rsidRPr="004D1EEB" w:rsidRDefault="003861E5" w:rsidP="00E72472">
      <w:pPr>
        <w:rPr>
          <w:lang w:val="es-ES_tradnl"/>
        </w:rPr>
      </w:pPr>
    </w:p>
    <w:p w:rsidR="003861E5" w:rsidRPr="00745482" w:rsidRDefault="003861E5" w:rsidP="007A2F70">
      <w:pPr>
        <w:pStyle w:val="Heading3"/>
        <w:rPr>
          <w:color w:val="auto"/>
          <w:lang w:val="es-ES"/>
        </w:rPr>
      </w:pPr>
      <w:bookmarkStart w:id="14" w:name="_Toc411849557"/>
      <w:r w:rsidRPr="00745482">
        <w:rPr>
          <w:color w:val="auto"/>
        </w:rPr>
        <w:lastRenderedPageBreak/>
        <w:t>Grupo de Trabajo Técnico sobre Plantas Frutales</w:t>
      </w:r>
      <w:bookmarkEnd w:id="14"/>
    </w:p>
    <w:p w:rsidR="003861E5" w:rsidRPr="00617EC3" w:rsidRDefault="003861E5" w:rsidP="007A2F70">
      <w:pPr>
        <w:keepNext/>
        <w:rPr>
          <w:lang w:val="es-ES"/>
        </w:rPr>
      </w:pPr>
    </w:p>
    <w:p w:rsidR="003861E5" w:rsidRPr="004D1EEB" w:rsidRDefault="003861E5" w:rsidP="007A2F70">
      <w:pPr>
        <w:keepNext/>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017563">
        <w:rPr>
          <w:lang w:val="es-ES_tradnl"/>
        </w:rPr>
        <w:t xml:space="preserve">El TWF recibió información del experto de España acerca del examen de </w:t>
      </w:r>
      <w:proofErr w:type="spellStart"/>
      <w:r w:rsidRPr="00017563">
        <w:rPr>
          <w:i/>
          <w:lang w:val="es-ES_tradnl"/>
        </w:rPr>
        <w:t>Diospyros</w:t>
      </w:r>
      <w:proofErr w:type="spellEnd"/>
      <w:r w:rsidRPr="00017563">
        <w:rPr>
          <w:i/>
          <w:lang w:val="es-ES_tradnl"/>
        </w:rPr>
        <w:t xml:space="preserve"> kaki </w:t>
      </w:r>
      <w:r w:rsidR="00DA36BA">
        <w:rPr>
          <w:lang w:val="es-ES_tradnl"/>
        </w:rPr>
        <w:t xml:space="preserve">(nombre común: </w:t>
      </w:r>
      <w:r w:rsidRPr="00017563">
        <w:rPr>
          <w:lang w:val="es-ES_tradnl"/>
        </w:rPr>
        <w:t xml:space="preserve">caqui), </w:t>
      </w:r>
      <w:proofErr w:type="spellStart"/>
      <w:r w:rsidRPr="00017563">
        <w:rPr>
          <w:i/>
          <w:lang w:val="es-ES_tradnl"/>
        </w:rPr>
        <w:t>Punica</w:t>
      </w:r>
      <w:proofErr w:type="spellEnd"/>
      <w:r w:rsidRPr="00017563">
        <w:rPr>
          <w:i/>
          <w:lang w:val="es-ES_tradnl"/>
        </w:rPr>
        <w:t xml:space="preserve"> </w:t>
      </w:r>
      <w:proofErr w:type="spellStart"/>
      <w:r w:rsidRPr="00017563">
        <w:rPr>
          <w:i/>
          <w:lang w:val="es-ES_tradnl"/>
        </w:rPr>
        <w:t>granatum</w:t>
      </w:r>
      <w:proofErr w:type="spellEnd"/>
      <w:r w:rsidRPr="00017563">
        <w:rPr>
          <w:i/>
          <w:lang w:val="es-ES_tradnl"/>
        </w:rPr>
        <w:t xml:space="preserve"> </w:t>
      </w:r>
      <w:r w:rsidR="00DA36BA">
        <w:rPr>
          <w:lang w:val="es-ES_tradnl"/>
        </w:rPr>
        <w:t xml:space="preserve">(nombre común: </w:t>
      </w:r>
      <w:r w:rsidRPr="00017563">
        <w:rPr>
          <w:lang w:val="es-ES_tradnl"/>
        </w:rPr>
        <w:t xml:space="preserve">granado) y </w:t>
      </w:r>
      <w:proofErr w:type="spellStart"/>
      <w:r w:rsidRPr="00017563">
        <w:rPr>
          <w:i/>
          <w:lang w:val="es-ES_tradnl"/>
        </w:rPr>
        <w:t>Eriobotrya</w:t>
      </w:r>
      <w:proofErr w:type="spellEnd"/>
      <w:r w:rsidRPr="00017563">
        <w:rPr>
          <w:i/>
          <w:lang w:val="es-ES_tradnl"/>
        </w:rPr>
        <w:t xml:space="preserve"> </w:t>
      </w:r>
      <w:proofErr w:type="spellStart"/>
      <w:r w:rsidRPr="00017563">
        <w:rPr>
          <w:i/>
          <w:lang w:val="es-ES_tradnl"/>
        </w:rPr>
        <w:t>japonica</w:t>
      </w:r>
      <w:proofErr w:type="spellEnd"/>
      <w:r w:rsidR="00DA36BA">
        <w:rPr>
          <w:lang w:val="es-ES_tradnl"/>
        </w:rPr>
        <w:t xml:space="preserve"> (nombre común: </w:t>
      </w:r>
      <w:r w:rsidRPr="00017563">
        <w:rPr>
          <w:lang w:val="es-ES_tradnl"/>
        </w:rPr>
        <w:t>níspero).</w:t>
      </w:r>
      <w:r w:rsidR="00DA36BA">
        <w:rPr>
          <w:lang w:val="es-ES_tradnl"/>
        </w:rPr>
        <w:t xml:space="preserve"> </w:t>
      </w:r>
      <w:r w:rsidRPr="00017563">
        <w:rPr>
          <w:lang w:val="es-ES_tradnl"/>
        </w:rPr>
        <w:t>El experto de España aceptó presentar una ponencia sobre dichas especies en la sesión de 2015 del TWF.</w:t>
      </w:r>
    </w:p>
    <w:p w:rsidR="003861E5" w:rsidRPr="004D1EEB" w:rsidRDefault="003861E5" w:rsidP="00E72472">
      <w:pPr>
        <w:rPr>
          <w:lang w:val="es-ES_tradnl"/>
        </w:rPr>
      </w:pPr>
    </w:p>
    <w:p w:rsidR="003861E5" w:rsidRPr="004D1EEB" w:rsidRDefault="003861E5" w:rsidP="00E72472">
      <w:pPr>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745482">
        <w:rPr>
          <w:lang w:val="es-ES_tradnl"/>
        </w:rPr>
        <w:t xml:space="preserve">El TWF recibió información del experto de Alemania acerca del examen de </w:t>
      </w:r>
      <w:proofErr w:type="spellStart"/>
      <w:r w:rsidRPr="00745482">
        <w:rPr>
          <w:i/>
          <w:lang w:val="es-ES_tradnl"/>
        </w:rPr>
        <w:t>Lycium</w:t>
      </w:r>
      <w:proofErr w:type="spellEnd"/>
      <w:r w:rsidRPr="00745482">
        <w:rPr>
          <w:i/>
          <w:lang w:val="es-ES_tradnl"/>
        </w:rPr>
        <w:t> </w:t>
      </w:r>
      <w:proofErr w:type="spellStart"/>
      <w:r w:rsidRPr="00745482">
        <w:rPr>
          <w:i/>
          <w:lang w:val="es-ES_tradnl"/>
        </w:rPr>
        <w:t>barbarum</w:t>
      </w:r>
      <w:proofErr w:type="spellEnd"/>
      <w:r w:rsidRPr="00745482">
        <w:rPr>
          <w:lang w:val="es-ES_tradnl"/>
        </w:rPr>
        <w:t xml:space="preserve"> (nombre común: </w:t>
      </w:r>
      <w:proofErr w:type="spellStart"/>
      <w:r w:rsidRPr="00745482">
        <w:rPr>
          <w:lang w:val="es-ES_tradnl"/>
        </w:rPr>
        <w:t>goji</w:t>
      </w:r>
      <w:proofErr w:type="spellEnd"/>
      <w:r w:rsidRPr="00745482">
        <w:rPr>
          <w:lang w:val="es-ES_tradnl"/>
        </w:rPr>
        <w:t>).</w:t>
      </w:r>
      <w:r w:rsidRPr="004D1EEB">
        <w:rPr>
          <w:lang w:val="es-ES_tradnl"/>
        </w:rPr>
        <w:t xml:space="preserve"> </w:t>
      </w:r>
      <w:r w:rsidRPr="00017563">
        <w:rPr>
          <w:lang w:val="es-ES_tradnl"/>
        </w:rPr>
        <w:t>El experto de Alemania aceptó presentar una ponencia sobre dicha especie en la sesión de 2015 del TWF.</w:t>
      </w:r>
    </w:p>
    <w:p w:rsidR="003861E5" w:rsidRPr="004D1EEB" w:rsidRDefault="003861E5" w:rsidP="00E72472">
      <w:pPr>
        <w:rPr>
          <w:lang w:val="es-ES_tradnl"/>
        </w:rPr>
      </w:pPr>
    </w:p>
    <w:p w:rsidR="003861E5" w:rsidRPr="004D1EEB" w:rsidRDefault="003861E5" w:rsidP="00E72472">
      <w:pPr>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017563">
        <w:rPr>
          <w:lang w:val="es-ES_tradnl"/>
        </w:rPr>
        <w:t>El TWF recibió información del experto de la Unión Europea acerca del examen de un tipo de arándano con necesidad media de frío.</w:t>
      </w:r>
      <w:r w:rsidRPr="004D1EEB">
        <w:rPr>
          <w:lang w:val="es-ES_tradnl"/>
        </w:rPr>
        <w:t xml:space="preserve">  </w:t>
      </w:r>
      <w:r w:rsidRPr="00017563">
        <w:rPr>
          <w:lang w:val="es-ES_tradnl"/>
        </w:rPr>
        <w:t>El experto de la Unión Europea aceptó presentar una ponencia sobre dicho tipo en la sesión de 2015 del TWF.</w:t>
      </w:r>
    </w:p>
    <w:p w:rsidR="003861E5" w:rsidRPr="004D1EEB" w:rsidRDefault="003861E5" w:rsidP="00E72472">
      <w:pPr>
        <w:rPr>
          <w:lang w:val="es-ES_tradnl"/>
        </w:rPr>
      </w:pPr>
    </w:p>
    <w:p w:rsidR="003861E5" w:rsidRPr="004D1EEB" w:rsidRDefault="003861E5" w:rsidP="00E72472">
      <w:pPr>
        <w:pStyle w:val="Style1"/>
        <w:tabs>
          <w:tab w:val="clear" w:pos="907"/>
          <w:tab w:val="clear" w:pos="1077"/>
        </w:tabs>
        <w:rPr>
          <w:rFonts w:ascii="Arial" w:hAnsi="Arial" w:cs="Arial"/>
          <w:sz w:val="20"/>
          <w:szCs w:val="20"/>
          <w:lang w:val="es-ES_tradnl"/>
        </w:rPr>
      </w:pPr>
      <w:r w:rsidRPr="00617EC3">
        <w:rPr>
          <w:rFonts w:ascii="Arial" w:hAnsi="Arial" w:cs="Arial"/>
          <w:sz w:val="20"/>
          <w:szCs w:val="20"/>
        </w:rPr>
        <w:fldChar w:fldCharType="begin"/>
      </w:r>
      <w:r w:rsidRPr="004D1EEB">
        <w:rPr>
          <w:rFonts w:ascii="Arial" w:hAnsi="Arial" w:cs="Arial"/>
          <w:sz w:val="20"/>
          <w:szCs w:val="20"/>
          <w:lang w:val="es-ES_tradnl"/>
        </w:rPr>
        <w:instrText xml:space="preserve"> AUTONUM  </w:instrText>
      </w:r>
      <w:r w:rsidRPr="00617EC3">
        <w:rPr>
          <w:rFonts w:ascii="Arial" w:hAnsi="Arial" w:cs="Arial"/>
          <w:sz w:val="20"/>
          <w:szCs w:val="20"/>
        </w:rPr>
        <w:fldChar w:fldCharType="end"/>
      </w:r>
      <w:r w:rsidRPr="004D1EEB">
        <w:rPr>
          <w:rFonts w:ascii="Arial" w:hAnsi="Arial" w:cs="Arial"/>
          <w:sz w:val="20"/>
          <w:szCs w:val="20"/>
          <w:lang w:val="es-ES_tradnl"/>
        </w:rPr>
        <w:tab/>
      </w:r>
      <w:r w:rsidRPr="00017563">
        <w:rPr>
          <w:rFonts w:ascii="Arial" w:hAnsi="Arial" w:cs="Arial"/>
          <w:sz w:val="20"/>
          <w:szCs w:val="20"/>
          <w:lang w:val="es-ES_tradnl"/>
        </w:rPr>
        <w:t xml:space="preserve">El TWF recibió información del experto de México acerca del examen de </w:t>
      </w:r>
      <w:proofErr w:type="spellStart"/>
      <w:r w:rsidRPr="00017563">
        <w:rPr>
          <w:rFonts w:ascii="Arial" w:hAnsi="Arial" w:cs="Arial"/>
          <w:i/>
          <w:sz w:val="20"/>
          <w:szCs w:val="20"/>
          <w:lang w:val="es-ES_tradnl"/>
        </w:rPr>
        <w:t>Jatropha</w:t>
      </w:r>
      <w:proofErr w:type="spellEnd"/>
      <w:r w:rsidRPr="00017563">
        <w:rPr>
          <w:rFonts w:ascii="Arial" w:hAnsi="Arial" w:cs="Arial"/>
          <w:i/>
          <w:sz w:val="20"/>
          <w:szCs w:val="20"/>
          <w:lang w:val="es-ES_tradnl"/>
        </w:rPr>
        <w:t> curcas</w:t>
      </w:r>
      <w:r w:rsidRPr="00017563">
        <w:rPr>
          <w:rFonts w:ascii="Arial" w:hAnsi="Arial" w:cs="Arial"/>
          <w:sz w:val="20"/>
          <w:szCs w:val="20"/>
          <w:lang w:val="es-ES_tradnl"/>
        </w:rPr>
        <w:t xml:space="preserve"> L.</w:t>
      </w:r>
      <w:r w:rsidR="00DA36BA">
        <w:rPr>
          <w:rFonts w:ascii="Arial" w:hAnsi="Arial" w:cs="Arial"/>
          <w:sz w:val="20"/>
          <w:szCs w:val="20"/>
          <w:lang w:val="es-ES_tradnl"/>
        </w:rPr>
        <w:t xml:space="preserve"> </w:t>
      </w:r>
      <w:r w:rsidRPr="00017563">
        <w:rPr>
          <w:rFonts w:ascii="Arial" w:hAnsi="Arial" w:cs="Arial"/>
          <w:sz w:val="20"/>
          <w:szCs w:val="20"/>
          <w:lang w:val="es-ES_tradnl"/>
        </w:rPr>
        <w:t>El</w:t>
      </w:r>
      <w:r w:rsidR="00DA36BA">
        <w:rPr>
          <w:rFonts w:ascii="Arial" w:hAnsi="Arial" w:cs="Arial"/>
          <w:sz w:val="20"/>
          <w:szCs w:val="20"/>
          <w:lang w:val="es-ES_tradnl"/>
        </w:rPr>
        <w:t> </w:t>
      </w:r>
      <w:r w:rsidRPr="00017563">
        <w:rPr>
          <w:rFonts w:ascii="Arial" w:hAnsi="Arial" w:cs="Arial"/>
          <w:sz w:val="20"/>
          <w:szCs w:val="20"/>
          <w:lang w:val="es-ES_tradnl"/>
        </w:rPr>
        <w:t>experto de México aceptó presentar una ponencia sobre dicha especie en la sesión de 2015 del TWF.</w:t>
      </w:r>
    </w:p>
    <w:p w:rsidR="003861E5" w:rsidRPr="004D1EEB" w:rsidRDefault="003861E5" w:rsidP="00E72472">
      <w:pPr>
        <w:jc w:val="left"/>
        <w:rPr>
          <w:lang w:val="es-ES_tradnl"/>
        </w:rPr>
      </w:pPr>
    </w:p>
    <w:p w:rsidR="003861E5" w:rsidRPr="004D1EEB" w:rsidRDefault="003861E5" w:rsidP="00E72472">
      <w:pPr>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017563">
        <w:rPr>
          <w:lang w:val="es-ES_tradnl"/>
        </w:rPr>
        <w:t xml:space="preserve">El TWF escuchó una ponencia de un experto de Omán sobre la </w:t>
      </w:r>
      <w:r w:rsidRPr="00017563">
        <w:rPr>
          <w:rFonts w:cs="Arial"/>
          <w:color w:val="000000"/>
          <w:lang w:val="es-ES_tradnl"/>
        </w:rPr>
        <w:t xml:space="preserve">palmera datilera </w:t>
      </w:r>
      <w:r w:rsidRPr="00017563">
        <w:rPr>
          <w:lang w:val="es-ES_tradnl"/>
        </w:rPr>
        <w:t>(</w:t>
      </w:r>
      <w:r w:rsidRPr="00017563">
        <w:rPr>
          <w:i/>
          <w:lang w:val="es-ES_tradnl"/>
        </w:rPr>
        <w:t xml:space="preserve">Phoenix </w:t>
      </w:r>
      <w:proofErr w:type="spellStart"/>
      <w:r w:rsidRPr="00017563">
        <w:rPr>
          <w:i/>
          <w:lang w:val="es-ES_tradnl"/>
        </w:rPr>
        <w:t>dactylifera</w:t>
      </w:r>
      <w:proofErr w:type="spellEnd"/>
      <w:r w:rsidRPr="00017563">
        <w:rPr>
          <w:lang w:val="es-ES_tradnl"/>
        </w:rPr>
        <w:t xml:space="preserve">), </w:t>
      </w:r>
      <w:r w:rsidRPr="00017563">
        <w:rPr>
          <w:rFonts w:cs="Arial"/>
          <w:color w:val="000000"/>
          <w:lang w:val="es-ES_tradnl"/>
        </w:rPr>
        <w:t xml:space="preserve">que se reproduce en el Anexo IV del </w:t>
      </w:r>
      <w:r w:rsidRPr="00017563">
        <w:rPr>
          <w:lang w:val="es-ES_tradnl"/>
        </w:rPr>
        <w:t>documento TWF/45/32 “</w:t>
      </w:r>
      <w:r w:rsidRPr="00DA36BA">
        <w:rPr>
          <w:lang w:val="es-ES_tradnl"/>
        </w:rPr>
        <w:t>Report</w:t>
      </w:r>
      <w:r w:rsidRPr="00017563">
        <w:rPr>
          <w:lang w:val="es-ES_tradnl"/>
        </w:rPr>
        <w:t>” (véanse los párrafos 69 a 73 del documento TWF/45/32 “</w:t>
      </w:r>
      <w:r w:rsidRPr="00DA36BA">
        <w:rPr>
          <w:lang w:val="es-ES_tradnl"/>
        </w:rPr>
        <w:t>Report”</w:t>
      </w:r>
      <w:r w:rsidRPr="00017563">
        <w:rPr>
          <w:lang w:val="es-ES_tradnl"/>
        </w:rPr>
        <w:t>)</w:t>
      </w:r>
      <w:r w:rsidRPr="00017563">
        <w:rPr>
          <w:rFonts w:cs="Arial"/>
          <w:color w:val="000000"/>
          <w:lang w:val="es-ES_tradnl"/>
        </w:rPr>
        <w:t>.</w:t>
      </w:r>
    </w:p>
    <w:p w:rsidR="003861E5" w:rsidRPr="004D1EEB" w:rsidRDefault="003861E5" w:rsidP="00E72472">
      <w:pPr>
        <w:rPr>
          <w:lang w:val="es-ES_tradnl"/>
        </w:rPr>
      </w:pPr>
    </w:p>
    <w:p w:rsidR="003861E5" w:rsidRPr="00745482" w:rsidRDefault="003861E5" w:rsidP="00E30074">
      <w:pPr>
        <w:pStyle w:val="Heading3"/>
        <w:rPr>
          <w:color w:val="auto"/>
          <w:lang w:val="es-ES"/>
        </w:rPr>
      </w:pPr>
      <w:bookmarkStart w:id="15" w:name="_Toc411849558"/>
      <w:r w:rsidRPr="00745482">
        <w:rPr>
          <w:color w:val="auto"/>
        </w:rPr>
        <w:t>Grupo de Trabajo Técnico sobre Automatización y Programas Informáticos</w:t>
      </w:r>
      <w:bookmarkEnd w:id="15"/>
    </w:p>
    <w:p w:rsidR="003861E5" w:rsidRPr="00617EC3" w:rsidRDefault="003861E5" w:rsidP="00E72472">
      <w:pPr>
        <w:rPr>
          <w:lang w:val="es-ES"/>
        </w:rPr>
      </w:pPr>
    </w:p>
    <w:p w:rsidR="003861E5" w:rsidRPr="004D1EEB" w:rsidRDefault="003861E5" w:rsidP="00E72472">
      <w:pPr>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A30006">
        <w:rPr>
          <w:lang w:val="es-ES_tradnl"/>
        </w:rPr>
        <w:t xml:space="preserve">En su trigésima tercera sesión, el TWC recibió un informe verbal de un experto del Brasil sobre experiencias con nuevos tipos y especies en dicho país respecto de la elaboración de </w:t>
      </w:r>
      <w:r w:rsidRPr="00A30006">
        <w:rPr>
          <w:rFonts w:cs="Arial"/>
          <w:lang w:val="es-ES_tradnl"/>
        </w:rPr>
        <w:t xml:space="preserve">directrices nacionales para el examen de </w:t>
      </w:r>
      <w:proofErr w:type="spellStart"/>
      <w:r w:rsidRPr="00A30006">
        <w:rPr>
          <w:rFonts w:cs="Arial"/>
          <w:i/>
          <w:iCs/>
          <w:lang w:val="es-ES_tradnl"/>
        </w:rPr>
        <w:t>Centrosema</w:t>
      </w:r>
      <w:proofErr w:type="spellEnd"/>
      <w:r w:rsidRPr="00A30006">
        <w:rPr>
          <w:rFonts w:cs="Arial"/>
          <w:i/>
          <w:iCs/>
          <w:lang w:val="es-ES_tradnl"/>
        </w:rPr>
        <w:t xml:space="preserve"> </w:t>
      </w:r>
      <w:proofErr w:type="spellStart"/>
      <w:r w:rsidRPr="00A30006">
        <w:rPr>
          <w:rFonts w:cs="Arial"/>
          <w:i/>
          <w:iCs/>
          <w:lang w:val="es-ES_tradnl"/>
        </w:rPr>
        <w:t>pubescens</w:t>
      </w:r>
      <w:proofErr w:type="spellEnd"/>
      <w:r w:rsidRPr="00A30006">
        <w:rPr>
          <w:rFonts w:cs="Arial"/>
          <w:i/>
          <w:iCs/>
          <w:lang w:val="es-ES_tradnl"/>
        </w:rPr>
        <w:t xml:space="preserve">, </w:t>
      </w:r>
      <w:proofErr w:type="spellStart"/>
      <w:r w:rsidRPr="00A30006">
        <w:rPr>
          <w:rFonts w:cs="Arial"/>
          <w:i/>
          <w:iCs/>
          <w:lang w:val="es-ES_tradnl"/>
        </w:rPr>
        <w:t>Galactia</w:t>
      </w:r>
      <w:proofErr w:type="spellEnd"/>
      <w:r w:rsidRPr="00A30006">
        <w:rPr>
          <w:rFonts w:cs="Arial"/>
          <w:i/>
          <w:iCs/>
          <w:lang w:val="es-ES_tradnl"/>
        </w:rPr>
        <w:t xml:space="preserve"> </w:t>
      </w:r>
      <w:proofErr w:type="spellStart"/>
      <w:r w:rsidRPr="00A30006">
        <w:rPr>
          <w:rFonts w:cs="Arial"/>
          <w:i/>
          <w:iCs/>
          <w:lang w:val="es-ES_tradnl"/>
        </w:rPr>
        <w:t>striata</w:t>
      </w:r>
      <w:proofErr w:type="spellEnd"/>
      <w:r w:rsidRPr="00A30006">
        <w:rPr>
          <w:rFonts w:cs="Arial"/>
          <w:i/>
          <w:iCs/>
          <w:lang w:val="es-ES_tradnl"/>
        </w:rPr>
        <w:t xml:space="preserve">, </w:t>
      </w:r>
      <w:proofErr w:type="spellStart"/>
      <w:r w:rsidRPr="00A30006">
        <w:rPr>
          <w:rFonts w:cs="Arial"/>
          <w:i/>
          <w:iCs/>
          <w:lang w:val="es-ES_tradnl"/>
        </w:rPr>
        <w:t>Calopogonium</w:t>
      </w:r>
      <w:proofErr w:type="spellEnd"/>
      <w:r w:rsidRPr="00A30006">
        <w:rPr>
          <w:rFonts w:cs="Arial"/>
          <w:i/>
          <w:iCs/>
          <w:lang w:val="es-ES_tradnl"/>
        </w:rPr>
        <w:t xml:space="preserve"> </w:t>
      </w:r>
      <w:proofErr w:type="spellStart"/>
      <w:r w:rsidRPr="00A30006">
        <w:rPr>
          <w:rFonts w:cs="Arial"/>
          <w:i/>
          <w:iCs/>
          <w:lang w:val="es-ES_tradnl"/>
        </w:rPr>
        <w:t>mucunoides</w:t>
      </w:r>
      <w:proofErr w:type="spellEnd"/>
      <w:r w:rsidRPr="00A30006">
        <w:rPr>
          <w:rFonts w:cs="Arial"/>
          <w:iCs/>
          <w:lang w:val="es-ES_tradnl"/>
        </w:rPr>
        <w:t xml:space="preserve"> y </w:t>
      </w:r>
      <w:proofErr w:type="spellStart"/>
      <w:r w:rsidRPr="00A30006">
        <w:rPr>
          <w:rFonts w:cs="Arial"/>
          <w:i/>
          <w:iCs/>
          <w:lang w:val="es-ES_tradnl"/>
        </w:rPr>
        <w:t>Neonotonia</w:t>
      </w:r>
      <w:proofErr w:type="spellEnd"/>
      <w:r w:rsidRPr="00A30006">
        <w:rPr>
          <w:rFonts w:cs="Arial"/>
          <w:i/>
          <w:iCs/>
          <w:lang w:val="es-ES_tradnl"/>
        </w:rPr>
        <w:t xml:space="preserve"> wightii</w:t>
      </w:r>
      <w:r w:rsidRPr="00A30006">
        <w:rPr>
          <w:rFonts w:cs="Arial"/>
          <w:iCs/>
          <w:lang w:val="es-ES_tradnl"/>
        </w:rPr>
        <w:t>, especies de las cuales se han presentado solicitudes de protección de obtenciones (véase el párrafo 103 del documento TWC/32/28 “</w:t>
      </w:r>
      <w:r w:rsidRPr="00316518">
        <w:rPr>
          <w:rFonts w:cs="Arial"/>
          <w:iCs/>
          <w:lang w:val="es-ES_tradnl"/>
        </w:rPr>
        <w:t>Report”</w:t>
      </w:r>
      <w:r w:rsidRPr="00A30006">
        <w:rPr>
          <w:rFonts w:cs="Arial"/>
          <w:iCs/>
          <w:lang w:val="es-ES_tradnl"/>
        </w:rPr>
        <w:t>)</w:t>
      </w:r>
      <w:r w:rsidRPr="00A30006">
        <w:rPr>
          <w:rFonts w:cs="Arial"/>
          <w:lang w:val="es-ES_tradnl"/>
        </w:rPr>
        <w:t>.</w:t>
      </w:r>
    </w:p>
    <w:p w:rsidR="003861E5" w:rsidRPr="004D1EEB" w:rsidRDefault="003861E5" w:rsidP="00E72472">
      <w:pPr>
        <w:rPr>
          <w:lang w:val="es-ES_tradnl"/>
        </w:rPr>
      </w:pPr>
    </w:p>
    <w:p w:rsidR="003861E5" w:rsidRPr="00745482" w:rsidRDefault="003861E5" w:rsidP="00E30074">
      <w:pPr>
        <w:pStyle w:val="Heading3"/>
        <w:rPr>
          <w:color w:val="auto"/>
          <w:lang w:val="es-ES"/>
        </w:rPr>
      </w:pPr>
      <w:bookmarkStart w:id="16" w:name="_Toc411849559"/>
      <w:r w:rsidRPr="00745482">
        <w:rPr>
          <w:color w:val="auto"/>
        </w:rPr>
        <w:t>Grupo de Trabajo Técnico sobre Hortalizas</w:t>
      </w:r>
      <w:bookmarkEnd w:id="16"/>
    </w:p>
    <w:p w:rsidR="003861E5" w:rsidRPr="00617EC3" w:rsidRDefault="003861E5" w:rsidP="00E72472">
      <w:pPr>
        <w:rPr>
          <w:lang w:val="es-ES"/>
        </w:rPr>
      </w:pPr>
    </w:p>
    <w:p w:rsidR="003861E5" w:rsidRPr="004D1EEB" w:rsidRDefault="003861E5" w:rsidP="00E72472">
      <w:pPr>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A30006">
        <w:rPr>
          <w:rFonts w:cs="Arial"/>
          <w:lang w:val="es-ES_tradnl"/>
        </w:rPr>
        <w:t xml:space="preserve">El </w:t>
      </w:r>
      <w:r w:rsidRPr="00A30006">
        <w:rPr>
          <w:lang w:val="es-ES_tradnl"/>
        </w:rPr>
        <w:t xml:space="preserve">TWV </w:t>
      </w:r>
      <w:r w:rsidRPr="00A30006">
        <w:rPr>
          <w:rFonts w:cs="Arial"/>
          <w:lang w:val="es-ES_tradnl"/>
        </w:rPr>
        <w:t xml:space="preserve">recibió información del experto de </w:t>
      </w:r>
      <w:r w:rsidRPr="00A30006">
        <w:rPr>
          <w:lang w:val="es-ES_tradnl"/>
        </w:rPr>
        <w:t xml:space="preserve">España acerca del examen de un nuevo cruzamiento de </w:t>
      </w:r>
      <w:r w:rsidRPr="00316518">
        <w:rPr>
          <w:lang w:val="es-ES"/>
        </w:rPr>
        <w:t>portainjerto</w:t>
      </w:r>
      <w:r w:rsidRPr="00A30006">
        <w:rPr>
          <w:lang w:val="es-ES_tradnl"/>
        </w:rPr>
        <w:t xml:space="preserve"> de tomate (</w:t>
      </w:r>
      <w:r w:rsidRPr="00A30006">
        <w:rPr>
          <w:i/>
          <w:lang w:val="es-ES_tradnl"/>
        </w:rPr>
        <w:t xml:space="preserve">Solanum </w:t>
      </w:r>
      <w:proofErr w:type="spellStart"/>
      <w:r w:rsidRPr="00A30006">
        <w:rPr>
          <w:i/>
          <w:lang w:val="es-ES_tradnl"/>
        </w:rPr>
        <w:t>pimpinellifolium</w:t>
      </w:r>
      <w:proofErr w:type="spellEnd"/>
      <w:r w:rsidRPr="00A30006">
        <w:rPr>
          <w:lang w:val="es-ES_tradnl"/>
        </w:rPr>
        <w:t xml:space="preserve"> × </w:t>
      </w:r>
      <w:proofErr w:type="spellStart"/>
      <w:r w:rsidRPr="00A30006">
        <w:rPr>
          <w:i/>
          <w:lang w:val="es-ES_tradnl"/>
        </w:rPr>
        <w:t>Solanum</w:t>
      </w:r>
      <w:proofErr w:type="spellEnd"/>
      <w:r w:rsidRPr="00A30006">
        <w:rPr>
          <w:i/>
          <w:lang w:val="es-ES_tradnl"/>
        </w:rPr>
        <w:t xml:space="preserve"> </w:t>
      </w:r>
      <w:proofErr w:type="spellStart"/>
      <w:r w:rsidRPr="00A30006">
        <w:rPr>
          <w:i/>
          <w:lang w:val="es-ES_tradnl"/>
        </w:rPr>
        <w:t>habrochaites</w:t>
      </w:r>
      <w:proofErr w:type="spellEnd"/>
      <w:r w:rsidRPr="00A30006">
        <w:rPr>
          <w:lang w:val="es-ES_tradnl"/>
        </w:rPr>
        <w:t>).</w:t>
      </w:r>
      <w:r w:rsidRPr="004D1EEB">
        <w:rPr>
          <w:lang w:val="es-ES_tradnl"/>
        </w:rPr>
        <w:t xml:space="preserve">  </w:t>
      </w:r>
      <w:r w:rsidRPr="00A30006">
        <w:rPr>
          <w:lang w:val="es-ES_tradnl"/>
        </w:rPr>
        <w:t>El experto de España aceptó presentar una ponencia sobre dicho cruzamiento en la sesión de 2015 del TWV.</w:t>
      </w:r>
    </w:p>
    <w:p w:rsidR="003861E5" w:rsidRPr="004D1EEB" w:rsidRDefault="003861E5" w:rsidP="00E72472">
      <w:pPr>
        <w:rPr>
          <w:lang w:val="es-ES_tradnl"/>
        </w:rPr>
      </w:pPr>
    </w:p>
    <w:p w:rsidR="003861E5" w:rsidRPr="004D1EEB" w:rsidRDefault="003861E5" w:rsidP="00E72472">
      <w:pPr>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A30006">
        <w:rPr>
          <w:rFonts w:cs="Arial"/>
          <w:lang w:val="es-ES_tradnl"/>
        </w:rPr>
        <w:t xml:space="preserve">El </w:t>
      </w:r>
      <w:r w:rsidRPr="00A30006">
        <w:rPr>
          <w:lang w:val="es-ES_tradnl"/>
        </w:rPr>
        <w:t xml:space="preserve">TWV </w:t>
      </w:r>
      <w:r w:rsidRPr="00A30006">
        <w:rPr>
          <w:rFonts w:cs="Arial"/>
          <w:lang w:val="es-ES_tradnl"/>
        </w:rPr>
        <w:t xml:space="preserve">recibió información del experto de </w:t>
      </w:r>
      <w:r w:rsidRPr="00A30006">
        <w:rPr>
          <w:lang w:val="es-ES_tradnl"/>
        </w:rPr>
        <w:t xml:space="preserve">Francia acerca del examen de </w:t>
      </w:r>
      <w:proofErr w:type="spellStart"/>
      <w:r w:rsidRPr="00A30006">
        <w:rPr>
          <w:i/>
          <w:lang w:val="es-ES_tradnl"/>
        </w:rPr>
        <w:t>Stevia</w:t>
      </w:r>
      <w:proofErr w:type="spellEnd"/>
      <w:r w:rsidRPr="00A30006">
        <w:rPr>
          <w:i/>
          <w:lang w:val="es-ES_tradnl"/>
        </w:rPr>
        <w:t xml:space="preserve"> </w:t>
      </w:r>
      <w:proofErr w:type="spellStart"/>
      <w:r w:rsidRPr="00A30006">
        <w:rPr>
          <w:i/>
          <w:lang w:val="es-ES_tradnl"/>
        </w:rPr>
        <w:t>rebaudiana</w:t>
      </w:r>
      <w:proofErr w:type="spellEnd"/>
      <w:r w:rsidRPr="00A30006">
        <w:rPr>
          <w:lang w:val="es-ES_tradnl"/>
        </w:rPr>
        <w:t>.</w:t>
      </w:r>
      <w:r w:rsidRPr="004D1EEB">
        <w:rPr>
          <w:lang w:val="es-ES_tradnl"/>
        </w:rPr>
        <w:t xml:space="preserve">  </w:t>
      </w:r>
      <w:r w:rsidRPr="00A30006">
        <w:rPr>
          <w:lang w:val="es-ES_tradnl"/>
        </w:rPr>
        <w:t>El experto de Francia aceptó presentar una ponencia sobre dicha especie en la sesión de 2015 del TWV.</w:t>
      </w:r>
    </w:p>
    <w:p w:rsidR="003861E5" w:rsidRPr="004D1EEB" w:rsidRDefault="003861E5" w:rsidP="00E72472">
      <w:pPr>
        <w:rPr>
          <w:lang w:val="es-ES_tradnl"/>
        </w:rPr>
      </w:pPr>
    </w:p>
    <w:p w:rsidR="003861E5" w:rsidRPr="004D1EEB" w:rsidRDefault="003861E5" w:rsidP="00E72472">
      <w:pPr>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A30006">
        <w:rPr>
          <w:rFonts w:cs="Arial"/>
          <w:lang w:val="es-ES_tradnl"/>
        </w:rPr>
        <w:t xml:space="preserve">El </w:t>
      </w:r>
      <w:r w:rsidRPr="00A30006">
        <w:rPr>
          <w:lang w:val="es-ES_tradnl"/>
        </w:rPr>
        <w:t xml:space="preserve">TWV </w:t>
      </w:r>
      <w:r w:rsidRPr="00A30006">
        <w:rPr>
          <w:rFonts w:cs="Arial"/>
          <w:lang w:val="es-ES_tradnl"/>
        </w:rPr>
        <w:t xml:space="preserve">recibió información del experto de </w:t>
      </w:r>
      <w:r w:rsidRPr="00A30006">
        <w:rPr>
          <w:lang w:val="es-ES_tradnl"/>
        </w:rPr>
        <w:t>los Países Bajos acerca del examen de algas y de papas/patatas de siembra genuinas.</w:t>
      </w:r>
      <w:r w:rsidRPr="004D1EEB">
        <w:rPr>
          <w:lang w:val="es-ES_tradnl"/>
        </w:rPr>
        <w:t xml:space="preserve">  </w:t>
      </w:r>
      <w:r w:rsidRPr="00A30006">
        <w:rPr>
          <w:lang w:val="es-ES_tradnl"/>
        </w:rPr>
        <w:t>El experto de los Países Bajos aceptó presentar una ponencia sobre ellas en la sesión de 2015 del TWV.</w:t>
      </w:r>
    </w:p>
    <w:p w:rsidR="003861E5" w:rsidRPr="004D1EEB" w:rsidRDefault="003861E5" w:rsidP="00E72472">
      <w:pPr>
        <w:rPr>
          <w:lang w:val="es-ES_tradnl"/>
        </w:rPr>
      </w:pPr>
    </w:p>
    <w:p w:rsidR="003861E5" w:rsidRPr="004D1EEB" w:rsidRDefault="003861E5" w:rsidP="00E72472">
      <w:pPr>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A30006">
        <w:rPr>
          <w:rFonts w:cs="Arial"/>
          <w:lang w:val="es-ES_tradnl"/>
        </w:rPr>
        <w:t xml:space="preserve">El </w:t>
      </w:r>
      <w:r w:rsidRPr="00A30006">
        <w:rPr>
          <w:lang w:val="es-ES_tradnl"/>
        </w:rPr>
        <w:t xml:space="preserve">TWV </w:t>
      </w:r>
      <w:r w:rsidRPr="00A30006">
        <w:rPr>
          <w:rFonts w:cs="Arial"/>
          <w:lang w:val="es-ES_tradnl"/>
        </w:rPr>
        <w:t xml:space="preserve">recibió información del experto </w:t>
      </w:r>
      <w:r w:rsidRPr="00A30006">
        <w:rPr>
          <w:lang w:val="es-ES_tradnl"/>
        </w:rPr>
        <w:t>del Japón acerca del examen del pepino</w:t>
      </w:r>
      <w:r w:rsidRPr="00A30006">
        <w:rPr>
          <w:i/>
          <w:lang w:val="es-ES_tradnl"/>
        </w:rPr>
        <w:t xml:space="preserve"> </w:t>
      </w:r>
      <w:r w:rsidRPr="00A30006">
        <w:rPr>
          <w:lang w:val="es-ES_tradnl"/>
        </w:rPr>
        <w:t>(</w:t>
      </w:r>
      <w:r w:rsidRPr="00A30006">
        <w:rPr>
          <w:i/>
          <w:lang w:val="es-ES_tradnl"/>
        </w:rPr>
        <w:t>Solanum muricatum</w:t>
      </w:r>
      <w:r w:rsidRPr="00A30006">
        <w:rPr>
          <w:lang w:val="es-ES_tradnl"/>
        </w:rPr>
        <w:t xml:space="preserve">) (véanse los párrafos 81 a 84 del documento TWV/48/43 </w:t>
      </w:r>
      <w:r w:rsidRPr="00316518">
        <w:rPr>
          <w:lang w:val="es-ES_tradnl"/>
        </w:rPr>
        <w:t>“Report”</w:t>
      </w:r>
      <w:r w:rsidRPr="00A30006">
        <w:rPr>
          <w:lang w:val="es-ES_tradnl"/>
        </w:rPr>
        <w:t>).</w:t>
      </w:r>
      <w:r w:rsidRPr="004D1EEB">
        <w:rPr>
          <w:lang w:val="es-ES_tradnl"/>
        </w:rPr>
        <w:t xml:space="preserve">  </w:t>
      </w:r>
    </w:p>
    <w:p w:rsidR="003861E5" w:rsidRPr="004D1EEB" w:rsidRDefault="003861E5" w:rsidP="00E72472">
      <w:pPr>
        <w:rPr>
          <w:lang w:val="es-ES_tradnl"/>
        </w:rPr>
      </w:pPr>
    </w:p>
    <w:p w:rsidR="003861E5" w:rsidRPr="00745482" w:rsidRDefault="003861E5" w:rsidP="00E30074">
      <w:pPr>
        <w:pStyle w:val="Heading3"/>
        <w:rPr>
          <w:color w:val="auto"/>
          <w:lang w:val="es-ES"/>
        </w:rPr>
      </w:pPr>
      <w:bookmarkStart w:id="17" w:name="_Toc411849560"/>
      <w:r w:rsidRPr="00745482">
        <w:rPr>
          <w:color w:val="auto"/>
        </w:rPr>
        <w:t>Grupo de Trabajo Técnico sobre Plantas Agrícolas</w:t>
      </w:r>
      <w:bookmarkEnd w:id="17"/>
    </w:p>
    <w:p w:rsidR="003861E5" w:rsidRPr="00617EC3" w:rsidRDefault="003861E5" w:rsidP="00E72472">
      <w:pPr>
        <w:rPr>
          <w:lang w:val="es-ES"/>
        </w:rPr>
      </w:pPr>
    </w:p>
    <w:p w:rsidR="003861E5" w:rsidRPr="00316518" w:rsidRDefault="003861E5" w:rsidP="00E72472">
      <w:r w:rsidRPr="00617EC3">
        <w:fldChar w:fldCharType="begin"/>
      </w:r>
      <w:r w:rsidRPr="004D1EEB">
        <w:rPr>
          <w:lang w:val="es-ES_tradnl"/>
        </w:rPr>
        <w:instrText xml:space="preserve"> AUTONUM  </w:instrText>
      </w:r>
      <w:r w:rsidRPr="00617EC3">
        <w:fldChar w:fldCharType="end"/>
      </w:r>
      <w:r w:rsidRPr="004D1EEB">
        <w:rPr>
          <w:lang w:val="es-ES_tradnl"/>
        </w:rPr>
        <w:tab/>
      </w:r>
      <w:r w:rsidRPr="00A30006">
        <w:rPr>
          <w:lang w:val="es-ES_tradnl"/>
        </w:rPr>
        <w:t xml:space="preserve">En su cuadragésima tercera sesión, el TWA escuchó por medios electrónicos la ponencia de un experto de Nueva Zelandia sobre experiencias con hongos endófitos del género </w:t>
      </w:r>
      <w:proofErr w:type="spellStart"/>
      <w:r w:rsidRPr="00A30006">
        <w:rPr>
          <w:i/>
          <w:lang w:val="es-ES_tradnl"/>
        </w:rPr>
        <w:t>Neotyphodium</w:t>
      </w:r>
      <w:proofErr w:type="spellEnd"/>
      <w:r w:rsidRPr="00A30006">
        <w:rPr>
          <w:lang w:val="es-ES_tradnl"/>
        </w:rPr>
        <w:t>.</w:t>
      </w:r>
      <w:r w:rsidR="00316518">
        <w:rPr>
          <w:lang w:val="es-ES_tradnl"/>
        </w:rPr>
        <w:t xml:space="preserve"> </w:t>
      </w:r>
      <w:proofErr w:type="spellStart"/>
      <w:r w:rsidRPr="00316518">
        <w:t>Dicha</w:t>
      </w:r>
      <w:proofErr w:type="spellEnd"/>
      <w:r w:rsidR="00316518">
        <w:t> </w:t>
      </w:r>
      <w:proofErr w:type="spellStart"/>
      <w:r w:rsidRPr="00316518">
        <w:t>ponencia</w:t>
      </w:r>
      <w:proofErr w:type="spellEnd"/>
      <w:r w:rsidRPr="00316518">
        <w:t xml:space="preserve"> </w:t>
      </w:r>
      <w:proofErr w:type="spellStart"/>
      <w:r w:rsidRPr="00316518">
        <w:t>figura</w:t>
      </w:r>
      <w:proofErr w:type="spellEnd"/>
      <w:r w:rsidRPr="00316518">
        <w:t xml:space="preserve"> </w:t>
      </w:r>
      <w:proofErr w:type="spellStart"/>
      <w:proofErr w:type="gramStart"/>
      <w:r w:rsidRPr="00316518">
        <w:t>como</w:t>
      </w:r>
      <w:proofErr w:type="spellEnd"/>
      <w:proofErr w:type="gramEnd"/>
      <w:r w:rsidRPr="00316518">
        <w:t xml:space="preserve"> </w:t>
      </w:r>
      <w:proofErr w:type="spellStart"/>
      <w:r w:rsidRPr="00316518">
        <w:t>anexo</w:t>
      </w:r>
      <w:proofErr w:type="spellEnd"/>
      <w:r w:rsidRPr="00316518">
        <w:t xml:space="preserve"> del </w:t>
      </w:r>
      <w:proofErr w:type="spellStart"/>
      <w:r w:rsidRPr="00316518">
        <w:t>documento</w:t>
      </w:r>
      <w:proofErr w:type="spellEnd"/>
      <w:r w:rsidRPr="00316518">
        <w:t xml:space="preserve"> TWA/43/25 “Reports on Developments in Plant Variety Protection from Members and Observers”.</w:t>
      </w:r>
    </w:p>
    <w:p w:rsidR="003861E5" w:rsidRPr="00316518" w:rsidRDefault="003861E5" w:rsidP="00E72472"/>
    <w:p w:rsidR="003861E5" w:rsidRPr="004D1EEB" w:rsidRDefault="003861E5" w:rsidP="00E72472">
      <w:pPr>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A30006">
        <w:rPr>
          <w:lang w:val="es-ES_tradnl"/>
        </w:rPr>
        <w:t>El TWA tomó nota de las distintas situaciones de los miembros de la UPOV con respecto a la posibilidad de brindar protección para variedades de hongos endófitos.</w:t>
      </w:r>
      <w:r w:rsidRPr="004D1EEB">
        <w:rPr>
          <w:lang w:val="es-ES_tradnl"/>
        </w:rPr>
        <w:t xml:space="preserve">  </w:t>
      </w:r>
    </w:p>
    <w:p w:rsidR="003861E5" w:rsidRPr="004D1EEB" w:rsidRDefault="003861E5" w:rsidP="00E72472">
      <w:pPr>
        <w:rPr>
          <w:lang w:val="es-ES_tradnl"/>
        </w:rPr>
      </w:pPr>
    </w:p>
    <w:p w:rsidR="003861E5" w:rsidRPr="004D1EEB" w:rsidRDefault="003861E5" w:rsidP="00E72472">
      <w:pPr>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A30006">
        <w:rPr>
          <w:lang w:val="es-ES_tradnl"/>
        </w:rPr>
        <w:t>El TWA acordó solicitar a un experto de la Oficina Comunitaria de Variedades Vegetales (OCVV) de la Unión Europea que presente en 2016 una ponencia sobre los resultados de un estudio de evaluación de los posibles efectos de la infección por endófitos en la expresión de los caracteres DHE del raygrás y la festuca alta.</w:t>
      </w:r>
    </w:p>
    <w:p w:rsidR="003861E5" w:rsidRPr="004D1EEB" w:rsidRDefault="003861E5" w:rsidP="00E72472">
      <w:pPr>
        <w:rPr>
          <w:lang w:val="es-ES_tradnl"/>
        </w:rPr>
      </w:pPr>
    </w:p>
    <w:p w:rsidR="003861E5" w:rsidRPr="00617EC3" w:rsidRDefault="003861E5" w:rsidP="00F36BDF">
      <w:pPr>
        <w:rPr>
          <w:rFonts w:eastAsia="PMingLiU" w:cs="Arial"/>
          <w:szCs w:val="24"/>
          <w:lang w:val="es-ES"/>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A30006">
        <w:rPr>
          <w:lang w:val="es-ES_tradnl"/>
        </w:rPr>
        <w:t xml:space="preserve">El TWA escuchó una ponencia a cargo de un experto de la Argentina sobre experiencias con </w:t>
      </w:r>
      <w:proofErr w:type="spellStart"/>
      <w:r w:rsidRPr="00A30006">
        <w:rPr>
          <w:i/>
          <w:lang w:val="es-ES_tradnl"/>
        </w:rPr>
        <w:t>Cyamopsis</w:t>
      </w:r>
      <w:proofErr w:type="spellEnd"/>
      <w:r w:rsidRPr="00A30006">
        <w:rPr>
          <w:i/>
          <w:lang w:val="es-ES_tradnl"/>
        </w:rPr>
        <w:t xml:space="preserve"> </w:t>
      </w:r>
      <w:proofErr w:type="spellStart"/>
      <w:r w:rsidRPr="00A30006">
        <w:rPr>
          <w:i/>
          <w:lang w:val="es-ES_tradnl"/>
        </w:rPr>
        <w:t>tetragonoloba</w:t>
      </w:r>
      <w:proofErr w:type="spellEnd"/>
      <w:r w:rsidRPr="00A30006">
        <w:rPr>
          <w:lang w:val="es-ES_tradnl"/>
        </w:rPr>
        <w:t>.</w:t>
      </w:r>
      <w:r w:rsidRPr="004D1EEB">
        <w:rPr>
          <w:lang w:val="es-ES_tradnl"/>
        </w:rPr>
        <w:t xml:space="preserve">  </w:t>
      </w:r>
      <w:r w:rsidRPr="00A30006">
        <w:rPr>
          <w:lang w:val="es-ES_tradnl"/>
        </w:rPr>
        <w:t xml:space="preserve">Dicha ponencia figura como anexo del documento TWA/43/25 </w:t>
      </w:r>
      <w:r w:rsidRPr="009C6AA4">
        <w:rPr>
          <w:lang w:val="es-ES_tradnl"/>
        </w:rPr>
        <w:t>“</w:t>
      </w:r>
      <w:proofErr w:type="spellStart"/>
      <w:r w:rsidRPr="009C6AA4">
        <w:rPr>
          <w:lang w:val="es-ES_tradnl"/>
        </w:rPr>
        <w:t>Reports</w:t>
      </w:r>
      <w:proofErr w:type="spellEnd"/>
      <w:r w:rsidRPr="009C6AA4">
        <w:rPr>
          <w:lang w:val="es-ES_tradnl"/>
        </w:rPr>
        <w:t xml:space="preserve"> </w:t>
      </w:r>
      <w:proofErr w:type="spellStart"/>
      <w:r w:rsidRPr="009C6AA4">
        <w:rPr>
          <w:lang w:val="es-ES_tradnl"/>
        </w:rPr>
        <w:t>on</w:t>
      </w:r>
      <w:proofErr w:type="spellEnd"/>
      <w:r w:rsidRPr="009C6AA4">
        <w:rPr>
          <w:lang w:val="es-ES_tradnl"/>
        </w:rPr>
        <w:t xml:space="preserve"> </w:t>
      </w:r>
      <w:proofErr w:type="spellStart"/>
      <w:r w:rsidRPr="009C6AA4">
        <w:rPr>
          <w:lang w:val="es-ES_tradnl"/>
        </w:rPr>
        <w:lastRenderedPageBreak/>
        <w:t>Developments</w:t>
      </w:r>
      <w:proofErr w:type="spellEnd"/>
      <w:r w:rsidRPr="009C6AA4">
        <w:rPr>
          <w:lang w:val="es-ES_tradnl"/>
        </w:rPr>
        <w:t xml:space="preserve"> in </w:t>
      </w:r>
      <w:proofErr w:type="spellStart"/>
      <w:r w:rsidRPr="009C6AA4">
        <w:rPr>
          <w:lang w:val="es-ES_tradnl"/>
        </w:rPr>
        <w:t>Plant</w:t>
      </w:r>
      <w:proofErr w:type="spellEnd"/>
      <w:r w:rsidRPr="009C6AA4">
        <w:rPr>
          <w:lang w:val="es-ES_tradnl"/>
        </w:rPr>
        <w:t xml:space="preserve"> </w:t>
      </w:r>
      <w:proofErr w:type="spellStart"/>
      <w:r w:rsidRPr="009C6AA4">
        <w:rPr>
          <w:lang w:val="es-ES_tradnl"/>
        </w:rPr>
        <w:t>Variety</w:t>
      </w:r>
      <w:proofErr w:type="spellEnd"/>
      <w:r w:rsidRPr="009C6AA4">
        <w:rPr>
          <w:lang w:val="es-ES_tradnl"/>
        </w:rPr>
        <w:t xml:space="preserve"> </w:t>
      </w:r>
      <w:proofErr w:type="spellStart"/>
      <w:r w:rsidRPr="009C6AA4">
        <w:rPr>
          <w:lang w:val="es-ES_tradnl"/>
        </w:rPr>
        <w:t>Protection</w:t>
      </w:r>
      <w:proofErr w:type="spellEnd"/>
      <w:r w:rsidRPr="009C6AA4">
        <w:rPr>
          <w:lang w:val="es-ES_tradnl"/>
        </w:rPr>
        <w:t xml:space="preserve"> </w:t>
      </w:r>
      <w:proofErr w:type="spellStart"/>
      <w:r w:rsidRPr="009C6AA4">
        <w:rPr>
          <w:lang w:val="es-ES_tradnl"/>
        </w:rPr>
        <w:t>from</w:t>
      </w:r>
      <w:proofErr w:type="spellEnd"/>
      <w:r w:rsidRPr="009C6AA4">
        <w:rPr>
          <w:lang w:val="es-ES_tradnl"/>
        </w:rPr>
        <w:t xml:space="preserve"> </w:t>
      </w:r>
      <w:proofErr w:type="spellStart"/>
      <w:r w:rsidRPr="009C6AA4">
        <w:rPr>
          <w:lang w:val="es-ES_tradnl"/>
        </w:rPr>
        <w:t>Members</w:t>
      </w:r>
      <w:proofErr w:type="spellEnd"/>
      <w:r w:rsidRPr="009C6AA4">
        <w:rPr>
          <w:lang w:val="es-ES_tradnl"/>
        </w:rPr>
        <w:t xml:space="preserve"> and </w:t>
      </w:r>
      <w:proofErr w:type="spellStart"/>
      <w:r w:rsidRPr="009C6AA4">
        <w:rPr>
          <w:lang w:val="es-ES_tradnl"/>
        </w:rPr>
        <w:t>Observers</w:t>
      </w:r>
      <w:proofErr w:type="spellEnd"/>
      <w:r w:rsidRPr="009C6AA4">
        <w:rPr>
          <w:lang w:val="es-ES_tradnl"/>
        </w:rPr>
        <w:t>”</w:t>
      </w:r>
      <w:r w:rsidRPr="00A30006">
        <w:rPr>
          <w:lang w:val="es-ES_tradnl"/>
        </w:rPr>
        <w:t xml:space="preserve"> (véanse los </w:t>
      </w:r>
      <w:r w:rsidRPr="00A30006">
        <w:rPr>
          <w:rFonts w:eastAsia="PMingLiU" w:cs="Arial"/>
          <w:szCs w:val="24"/>
          <w:lang w:val="es-ES_tradnl"/>
        </w:rPr>
        <w:t>párrafos 73 a 76 del documento TWA/43/27 “</w:t>
      </w:r>
      <w:r w:rsidRPr="009C6AA4">
        <w:rPr>
          <w:rFonts w:eastAsia="PMingLiU" w:cs="Arial"/>
          <w:szCs w:val="24"/>
          <w:lang w:val="es-ES_tradnl"/>
        </w:rPr>
        <w:t>Report”</w:t>
      </w:r>
      <w:r w:rsidRPr="00A30006">
        <w:rPr>
          <w:lang w:val="es-ES_tradnl"/>
        </w:rPr>
        <w:t>).</w:t>
      </w:r>
    </w:p>
    <w:p w:rsidR="003861E5" w:rsidRPr="00617EC3" w:rsidRDefault="003861E5" w:rsidP="00E72472">
      <w:pPr>
        <w:rPr>
          <w:color w:val="000000"/>
          <w:lang w:val="es-ES"/>
        </w:rPr>
      </w:pPr>
    </w:p>
    <w:p w:rsidR="003861E5" w:rsidRPr="004D1EEB" w:rsidRDefault="003861E5" w:rsidP="00E30074">
      <w:pPr>
        <w:pStyle w:val="Heading2"/>
        <w:rPr>
          <w:color w:val="auto"/>
          <w:lang w:val="es-ES_tradnl"/>
        </w:rPr>
      </w:pPr>
      <w:bookmarkStart w:id="18" w:name="_Toc411849561"/>
      <w:r w:rsidRPr="00A30006">
        <w:rPr>
          <w:color w:val="auto"/>
          <w:lang w:val="es-ES_tradnl"/>
        </w:rPr>
        <w:t>Gestión de las colecciones de variedades a los efectos del examen DHE</w:t>
      </w:r>
      <w:bookmarkEnd w:id="18"/>
      <w:r w:rsidRPr="004D1EEB">
        <w:rPr>
          <w:color w:val="auto"/>
          <w:lang w:val="es-ES_tradnl"/>
        </w:rPr>
        <w:t xml:space="preserve"> </w:t>
      </w:r>
    </w:p>
    <w:p w:rsidR="003861E5" w:rsidRPr="004D1EEB" w:rsidRDefault="003861E5" w:rsidP="00E72472">
      <w:pPr>
        <w:keepNext/>
        <w:rPr>
          <w:lang w:val="es-ES_tradnl"/>
        </w:rPr>
      </w:pPr>
    </w:p>
    <w:p w:rsidR="003861E5" w:rsidRPr="004D1EEB" w:rsidRDefault="003861E5" w:rsidP="00E72472">
      <w:pPr>
        <w:jc w:val="left"/>
        <w:rPr>
          <w:rFonts w:cs="Arial"/>
          <w:lang w:val="es-ES_tradnl"/>
        </w:rPr>
      </w:pPr>
      <w:r w:rsidRPr="00617EC3">
        <w:rPr>
          <w:iCs/>
          <w:snapToGrid w:val="0"/>
        </w:rPr>
        <w:fldChar w:fldCharType="begin"/>
      </w:r>
      <w:r w:rsidRPr="004D1EEB">
        <w:rPr>
          <w:iCs/>
          <w:snapToGrid w:val="0"/>
          <w:lang w:val="es-ES_tradnl"/>
        </w:rPr>
        <w:instrText xml:space="preserve"> AUTONUM  </w:instrText>
      </w:r>
      <w:r w:rsidRPr="00617EC3">
        <w:rPr>
          <w:iCs/>
          <w:snapToGrid w:val="0"/>
        </w:rPr>
        <w:fldChar w:fldCharType="end"/>
      </w:r>
      <w:r w:rsidRPr="004D1EEB">
        <w:rPr>
          <w:snapToGrid w:val="0"/>
          <w:lang w:val="es-ES_tradnl"/>
        </w:rPr>
        <w:tab/>
      </w:r>
      <w:r w:rsidRPr="00A30006">
        <w:rPr>
          <w:snapToGrid w:val="0"/>
          <w:lang w:val="es-ES_tradnl"/>
        </w:rPr>
        <w:t xml:space="preserve">El TWF escuchó una ponencia del experto de la Unión Europea sobre “Gestión de las colecciones de variedades a los efectos del examen DHE”, como se </w:t>
      </w:r>
      <w:r w:rsidRPr="00A30006">
        <w:rPr>
          <w:rFonts w:cs="Arial"/>
          <w:lang w:val="es-ES_tradnl"/>
        </w:rPr>
        <w:t xml:space="preserve">indica en el documento TWF/45/26 (véase el </w:t>
      </w:r>
      <w:r w:rsidRPr="00A30006">
        <w:rPr>
          <w:lang w:val="es-ES_tradnl"/>
        </w:rPr>
        <w:t>párrafo 65 del documento TWF/45/32 “</w:t>
      </w:r>
      <w:r w:rsidRPr="009C6AA4">
        <w:rPr>
          <w:lang w:val="es-ES_tradnl"/>
        </w:rPr>
        <w:t>Report</w:t>
      </w:r>
      <w:r w:rsidRPr="00A30006">
        <w:rPr>
          <w:lang w:val="es-ES_tradnl"/>
        </w:rPr>
        <w:t>”)</w:t>
      </w:r>
      <w:r w:rsidRPr="00A30006">
        <w:rPr>
          <w:rFonts w:cs="Arial"/>
          <w:lang w:val="es-ES_tradnl"/>
        </w:rPr>
        <w:t>.</w:t>
      </w:r>
    </w:p>
    <w:p w:rsidR="003861E5" w:rsidRPr="004D1EEB" w:rsidRDefault="003861E5" w:rsidP="00E72472">
      <w:pPr>
        <w:jc w:val="left"/>
        <w:rPr>
          <w:rFonts w:cs="Arial"/>
          <w:lang w:val="es-ES_tradnl"/>
        </w:rPr>
      </w:pPr>
    </w:p>
    <w:p w:rsidR="003861E5" w:rsidRPr="004D1EEB" w:rsidRDefault="003861E5" w:rsidP="00E72472">
      <w:pPr>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A30006">
        <w:rPr>
          <w:lang w:val="es-ES_tradnl"/>
        </w:rPr>
        <w:t xml:space="preserve">El TWV tomó nota de que, en su cuadragésima novena sesión, un experto de Francia presentará una ponencia sobre “Gestión de las colecciones de referencia” (véase el </w:t>
      </w:r>
      <w:r w:rsidRPr="00A30006">
        <w:rPr>
          <w:color w:val="000000"/>
          <w:lang w:val="es-ES_tradnl"/>
        </w:rPr>
        <w:t xml:space="preserve">párrafo 113 del </w:t>
      </w:r>
      <w:r w:rsidRPr="00A30006">
        <w:rPr>
          <w:lang w:val="es-ES_tradnl"/>
        </w:rPr>
        <w:t>documento</w:t>
      </w:r>
      <w:r w:rsidRPr="00A30006">
        <w:rPr>
          <w:color w:val="000000"/>
          <w:lang w:val="es-ES_tradnl"/>
        </w:rPr>
        <w:t xml:space="preserve"> TWV/48/43 “</w:t>
      </w:r>
      <w:r w:rsidRPr="009C6AA4">
        <w:rPr>
          <w:color w:val="000000"/>
          <w:lang w:val="es-ES_tradnl"/>
        </w:rPr>
        <w:t>Report”</w:t>
      </w:r>
      <w:r w:rsidRPr="00A30006">
        <w:rPr>
          <w:color w:val="000000"/>
          <w:lang w:val="es-ES_tradnl"/>
        </w:rPr>
        <w:t>)</w:t>
      </w:r>
      <w:r w:rsidRPr="00A30006">
        <w:rPr>
          <w:lang w:val="es-ES_tradnl"/>
        </w:rPr>
        <w:t>.</w:t>
      </w:r>
    </w:p>
    <w:p w:rsidR="003861E5" w:rsidRPr="004D1EEB" w:rsidRDefault="003861E5" w:rsidP="00E72472">
      <w:pPr>
        <w:rPr>
          <w:lang w:val="es-ES_tradnl"/>
        </w:rPr>
      </w:pPr>
    </w:p>
    <w:p w:rsidR="003861E5" w:rsidRPr="004D1EEB" w:rsidRDefault="003861E5" w:rsidP="00E30074">
      <w:pPr>
        <w:pStyle w:val="Heading2"/>
        <w:rPr>
          <w:color w:val="auto"/>
          <w:lang w:val="es-ES_tradnl"/>
        </w:rPr>
      </w:pPr>
      <w:bookmarkStart w:id="19" w:name="_Toc411849562"/>
      <w:r w:rsidRPr="00A30006">
        <w:rPr>
          <w:color w:val="auto"/>
          <w:lang w:val="es-ES_tradnl"/>
        </w:rPr>
        <w:t>Utilización de métodos estadísticos en el examen DHE</w:t>
      </w:r>
      <w:bookmarkEnd w:id="19"/>
    </w:p>
    <w:p w:rsidR="003861E5" w:rsidRPr="004D1EEB" w:rsidRDefault="003861E5" w:rsidP="00E72472">
      <w:pPr>
        <w:rPr>
          <w:lang w:val="es-ES_tradnl"/>
        </w:rPr>
      </w:pPr>
    </w:p>
    <w:p w:rsidR="003861E5" w:rsidRPr="004D1EEB" w:rsidRDefault="003861E5" w:rsidP="00E72472">
      <w:pPr>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A30006">
        <w:rPr>
          <w:lang w:val="es-ES_tradnl"/>
        </w:rPr>
        <w:t xml:space="preserve">El TWV escuchó una ponencia de un experto de los Países Bajos sobre “Utilización de métodos estadísticos en el examen DHE”, que se reproduce en una </w:t>
      </w:r>
      <w:r w:rsidRPr="00A30006">
        <w:rPr>
          <w:rFonts w:cs="Arial"/>
          <w:lang w:val="es-ES_tradnl"/>
        </w:rPr>
        <w:t>adición a</w:t>
      </w:r>
      <w:r w:rsidRPr="00A30006">
        <w:rPr>
          <w:lang w:val="es-ES_tradnl"/>
        </w:rPr>
        <w:t xml:space="preserve">l documento TWV/48/26 (véase el </w:t>
      </w:r>
      <w:r w:rsidRPr="00A30006">
        <w:rPr>
          <w:color w:val="000000"/>
          <w:lang w:val="es-ES_tradnl"/>
        </w:rPr>
        <w:t>párrafo 112 del documento TWV/48/43 “</w:t>
      </w:r>
      <w:r w:rsidRPr="009C6AA4">
        <w:rPr>
          <w:color w:val="000000"/>
          <w:lang w:val="es-ES_tradnl"/>
        </w:rPr>
        <w:t>Report</w:t>
      </w:r>
      <w:r w:rsidRPr="00A30006">
        <w:rPr>
          <w:color w:val="000000"/>
          <w:lang w:val="es-ES_tradnl"/>
        </w:rPr>
        <w:t>”)</w:t>
      </w:r>
      <w:r w:rsidRPr="00A30006">
        <w:rPr>
          <w:lang w:val="es-ES_tradnl"/>
        </w:rPr>
        <w:t>.</w:t>
      </w:r>
    </w:p>
    <w:p w:rsidR="003861E5" w:rsidRPr="004D1EEB" w:rsidRDefault="003861E5" w:rsidP="00E72472">
      <w:pPr>
        <w:rPr>
          <w:caps/>
          <w:lang w:val="es-ES_tradnl"/>
        </w:rPr>
      </w:pPr>
    </w:p>
    <w:p w:rsidR="003861E5" w:rsidRPr="004D1EEB" w:rsidRDefault="003861E5" w:rsidP="00E72472">
      <w:pPr>
        <w:pStyle w:val="DecisionParagraphs"/>
        <w:rPr>
          <w:lang w:val="es-ES_tradnl"/>
        </w:rPr>
      </w:pPr>
      <w:r w:rsidRPr="00617EC3">
        <w:fldChar w:fldCharType="begin"/>
      </w:r>
      <w:r w:rsidRPr="004D1EEB">
        <w:rPr>
          <w:lang w:val="es-ES_tradnl"/>
        </w:rPr>
        <w:instrText xml:space="preserve"> AUTONUM  </w:instrText>
      </w:r>
      <w:r w:rsidRPr="00617EC3">
        <w:fldChar w:fldCharType="end"/>
      </w:r>
      <w:r w:rsidRPr="004D1EEB">
        <w:rPr>
          <w:lang w:val="es-ES_tradnl"/>
        </w:rPr>
        <w:tab/>
      </w:r>
      <w:r w:rsidRPr="00A30006">
        <w:rPr>
          <w:lang w:val="es-ES_tradnl"/>
        </w:rPr>
        <w:t>Se invita al TC a tomar nota de las novedades acaecidas en los TWP en relación con las siguientes cuestiones:</w:t>
      </w:r>
    </w:p>
    <w:p w:rsidR="003861E5" w:rsidRPr="004D1EEB" w:rsidRDefault="003861E5" w:rsidP="00E72472">
      <w:pPr>
        <w:pStyle w:val="DecisionParagraphs"/>
        <w:ind w:left="5387" w:hanging="567"/>
        <w:rPr>
          <w:lang w:val="es-ES_tradnl"/>
        </w:rPr>
      </w:pPr>
    </w:p>
    <w:p w:rsidR="003861E5" w:rsidRPr="004D1EEB" w:rsidRDefault="003861E5" w:rsidP="00212F0E">
      <w:pPr>
        <w:pStyle w:val="DecisionParagraphs"/>
        <w:numPr>
          <w:ilvl w:val="0"/>
          <w:numId w:val="1"/>
        </w:numPr>
        <w:tabs>
          <w:tab w:val="left" w:pos="5954"/>
        </w:tabs>
        <w:ind w:left="5387" w:hanging="567"/>
        <w:rPr>
          <w:lang w:val="es-ES_tradnl"/>
        </w:rPr>
      </w:pPr>
      <w:r w:rsidRPr="00A30006">
        <w:rPr>
          <w:lang w:val="es-ES_tradnl"/>
        </w:rPr>
        <w:t>duración de los exámenes DHE en el sector frutícola;</w:t>
      </w:r>
    </w:p>
    <w:p w:rsidR="003861E5" w:rsidRPr="004D1EEB" w:rsidRDefault="003861E5" w:rsidP="00E72472">
      <w:pPr>
        <w:pStyle w:val="DecisionParagraphs"/>
        <w:tabs>
          <w:tab w:val="left" w:pos="5954"/>
        </w:tabs>
        <w:ind w:left="5387" w:hanging="567"/>
        <w:rPr>
          <w:lang w:val="es-ES_tradnl"/>
        </w:rPr>
      </w:pPr>
    </w:p>
    <w:p w:rsidR="003861E5" w:rsidRPr="004D1EEB" w:rsidRDefault="003861E5" w:rsidP="00E72472">
      <w:pPr>
        <w:pStyle w:val="DecisionParagraphs"/>
        <w:numPr>
          <w:ilvl w:val="0"/>
          <w:numId w:val="1"/>
        </w:numPr>
        <w:tabs>
          <w:tab w:val="left" w:pos="5954"/>
        </w:tabs>
        <w:ind w:left="5387" w:hanging="567"/>
        <w:rPr>
          <w:lang w:val="es-ES_tradnl"/>
        </w:rPr>
      </w:pPr>
      <w:r w:rsidRPr="00A30006">
        <w:rPr>
          <w:lang w:val="es-ES_tradnl"/>
        </w:rPr>
        <w:t>utilización de caracteres de resistencia a las enfermedades en el examen DHE;</w:t>
      </w:r>
    </w:p>
    <w:p w:rsidR="003861E5" w:rsidRPr="004D1EEB" w:rsidRDefault="003861E5" w:rsidP="00E72472">
      <w:pPr>
        <w:pStyle w:val="DecisionParagraphs"/>
        <w:tabs>
          <w:tab w:val="left" w:pos="5954"/>
        </w:tabs>
        <w:ind w:left="5387" w:hanging="567"/>
        <w:rPr>
          <w:lang w:val="es-ES_tradnl"/>
        </w:rPr>
      </w:pPr>
    </w:p>
    <w:p w:rsidR="003861E5" w:rsidRPr="00745482" w:rsidRDefault="003861E5" w:rsidP="00F36BDF">
      <w:pPr>
        <w:pStyle w:val="DecisionParagraphs"/>
        <w:numPr>
          <w:ilvl w:val="0"/>
          <w:numId w:val="1"/>
        </w:numPr>
        <w:tabs>
          <w:tab w:val="left" w:pos="5954"/>
        </w:tabs>
        <w:ind w:left="5387" w:hanging="567"/>
      </w:pPr>
      <w:r w:rsidRPr="00745482">
        <w:rPr>
          <w:color w:val="000000"/>
          <w:lang w:val="es-ES_tradnl"/>
        </w:rPr>
        <w:t>registro de datos;</w:t>
      </w:r>
    </w:p>
    <w:p w:rsidR="003861E5" w:rsidRPr="00745482" w:rsidRDefault="003861E5" w:rsidP="00E72472">
      <w:pPr>
        <w:pStyle w:val="DecisionParagraphs"/>
        <w:tabs>
          <w:tab w:val="left" w:pos="5954"/>
        </w:tabs>
        <w:ind w:left="5387" w:hanging="567"/>
      </w:pPr>
    </w:p>
    <w:p w:rsidR="003861E5" w:rsidRPr="00745482" w:rsidRDefault="003861E5" w:rsidP="00F36BDF">
      <w:pPr>
        <w:pStyle w:val="DecisionParagraphs"/>
        <w:numPr>
          <w:ilvl w:val="0"/>
          <w:numId w:val="1"/>
        </w:numPr>
        <w:tabs>
          <w:tab w:val="left" w:pos="5954"/>
        </w:tabs>
        <w:ind w:left="5387" w:hanging="567"/>
        <w:rPr>
          <w:lang w:val="es-ES"/>
        </w:rPr>
      </w:pPr>
      <w:r w:rsidRPr="00745482">
        <w:rPr>
          <w:color w:val="000000"/>
          <w:lang w:val="es-ES_tradnl"/>
        </w:rPr>
        <w:t>experiencias con nuevos tipos y especies;</w:t>
      </w:r>
    </w:p>
    <w:p w:rsidR="003861E5" w:rsidRPr="00AD1135" w:rsidRDefault="003861E5" w:rsidP="00E72472">
      <w:pPr>
        <w:pStyle w:val="ListParagraph"/>
        <w:tabs>
          <w:tab w:val="left" w:pos="5387"/>
        </w:tabs>
        <w:ind w:left="5387" w:hanging="567"/>
        <w:rPr>
          <w:lang w:val="es-ES"/>
        </w:rPr>
      </w:pPr>
    </w:p>
    <w:p w:rsidR="003861E5" w:rsidRPr="004D1EEB" w:rsidRDefault="003861E5" w:rsidP="00E72472">
      <w:pPr>
        <w:pStyle w:val="DecisionParagraphs"/>
        <w:numPr>
          <w:ilvl w:val="0"/>
          <w:numId w:val="1"/>
        </w:numPr>
        <w:tabs>
          <w:tab w:val="left" w:pos="5954"/>
        </w:tabs>
        <w:ind w:left="5387" w:hanging="567"/>
        <w:rPr>
          <w:lang w:val="es-ES_tradnl"/>
        </w:rPr>
      </w:pPr>
      <w:r w:rsidRPr="00A30006">
        <w:rPr>
          <w:lang w:val="es-ES_tradnl"/>
        </w:rPr>
        <w:t>gestión de las colecciones de variedades a los efectos del examen DHE;</w:t>
      </w:r>
      <w:r w:rsidRPr="004D1EEB">
        <w:rPr>
          <w:lang w:val="es-ES_tradnl"/>
        </w:rPr>
        <w:t xml:space="preserve">  </w:t>
      </w:r>
      <w:r w:rsidRPr="00745482">
        <w:rPr>
          <w:lang w:val="es-ES_tradnl"/>
        </w:rPr>
        <w:t>y</w:t>
      </w:r>
    </w:p>
    <w:p w:rsidR="003861E5" w:rsidRPr="004D1EEB" w:rsidRDefault="003861E5" w:rsidP="00E72472">
      <w:pPr>
        <w:pStyle w:val="ListParagraph"/>
        <w:tabs>
          <w:tab w:val="left" w:pos="5387"/>
        </w:tabs>
        <w:ind w:left="5387" w:hanging="567"/>
        <w:rPr>
          <w:lang w:val="es-ES_tradnl"/>
        </w:rPr>
      </w:pPr>
    </w:p>
    <w:p w:rsidR="003861E5" w:rsidRPr="004D1EEB" w:rsidRDefault="003861E5" w:rsidP="00E72472">
      <w:pPr>
        <w:pStyle w:val="DecisionParagraphs"/>
        <w:numPr>
          <w:ilvl w:val="0"/>
          <w:numId w:val="1"/>
        </w:numPr>
        <w:tabs>
          <w:tab w:val="left" w:pos="5954"/>
        </w:tabs>
        <w:ind w:left="5387" w:hanging="567"/>
        <w:rPr>
          <w:lang w:val="es-ES_tradnl"/>
        </w:rPr>
      </w:pPr>
      <w:r w:rsidRPr="00A30006">
        <w:rPr>
          <w:lang w:val="es-ES_tradnl"/>
        </w:rPr>
        <w:t>utilización de métodos estadísticos en el examen DHE,</w:t>
      </w:r>
    </w:p>
    <w:p w:rsidR="003861E5" w:rsidRPr="00C63694" w:rsidRDefault="003861E5" w:rsidP="00C63694">
      <w:pPr>
        <w:rPr>
          <w:lang w:val="es-ES_tradnl"/>
        </w:rPr>
      </w:pPr>
    </w:p>
    <w:p w:rsidR="003861E5" w:rsidRPr="004D1EEB" w:rsidRDefault="003861E5" w:rsidP="00E72472">
      <w:pPr>
        <w:pStyle w:val="DecisionParagraphs"/>
        <w:tabs>
          <w:tab w:val="left" w:pos="5954"/>
        </w:tabs>
        <w:rPr>
          <w:lang w:val="es-ES_tradnl"/>
        </w:rPr>
      </w:pPr>
      <w:proofErr w:type="gramStart"/>
      <w:r w:rsidRPr="00A30006">
        <w:rPr>
          <w:lang w:val="es-ES_tradnl"/>
        </w:rPr>
        <w:t>según</w:t>
      </w:r>
      <w:proofErr w:type="gramEnd"/>
      <w:r w:rsidRPr="00A30006">
        <w:rPr>
          <w:lang w:val="es-ES_tradnl"/>
        </w:rPr>
        <w:t xml:space="preserve"> se informa en el presente documento.</w:t>
      </w:r>
    </w:p>
    <w:p w:rsidR="003861E5" w:rsidRPr="004D1EEB" w:rsidRDefault="003861E5" w:rsidP="00E72472">
      <w:pPr>
        <w:rPr>
          <w:lang w:val="es-ES_tradnl"/>
        </w:rPr>
      </w:pPr>
    </w:p>
    <w:p w:rsidR="003861E5" w:rsidRPr="004D1EEB" w:rsidRDefault="003861E5" w:rsidP="00E72472">
      <w:pPr>
        <w:rPr>
          <w:lang w:val="es-ES_tradnl"/>
        </w:rPr>
      </w:pPr>
    </w:p>
    <w:p w:rsidR="003861E5" w:rsidRPr="004D1EEB" w:rsidRDefault="003861E5" w:rsidP="00E72472">
      <w:pPr>
        <w:rPr>
          <w:lang w:val="es-ES_tradnl"/>
        </w:rPr>
      </w:pPr>
    </w:p>
    <w:p w:rsidR="003861E5" w:rsidRPr="004D1EEB" w:rsidRDefault="003861E5" w:rsidP="007F4BB2">
      <w:pPr>
        <w:jc w:val="right"/>
        <w:rPr>
          <w:snapToGrid w:val="0"/>
          <w:lang w:val="es-ES_tradnl"/>
        </w:rPr>
      </w:pPr>
    </w:p>
    <w:p w:rsidR="003861E5" w:rsidRPr="00745482" w:rsidRDefault="003861E5" w:rsidP="00F36BDF">
      <w:pPr>
        <w:jc w:val="right"/>
        <w:rPr>
          <w:snapToGrid w:val="0"/>
          <w:lang w:val="es-ES_tradnl"/>
        </w:rPr>
      </w:pPr>
      <w:r w:rsidRPr="00745482">
        <w:rPr>
          <w:snapToGrid w:val="0"/>
          <w:lang w:val="es-ES_tradnl"/>
        </w:rPr>
        <w:t>[Fin del documento]</w:t>
      </w:r>
    </w:p>
    <w:p w:rsidR="003861E5" w:rsidRPr="008D3729" w:rsidRDefault="003861E5" w:rsidP="007F4BB2">
      <w:pPr>
        <w:jc w:val="right"/>
        <w:rPr>
          <w:snapToGrid w:val="0"/>
          <w:lang w:val="es-ES_tradnl"/>
        </w:rPr>
      </w:pPr>
    </w:p>
    <w:sectPr w:rsidR="003861E5" w:rsidRPr="008D3729" w:rsidSect="00906DDC">
      <w:headerReference w:type="default" r:id="rId9"/>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5D8" w:rsidRDefault="003165D8" w:rsidP="00F45372">
      <w:r>
        <w:separator/>
      </w:r>
    </w:p>
    <w:p w:rsidR="003165D8" w:rsidRDefault="003165D8" w:rsidP="00F45372"/>
    <w:p w:rsidR="003165D8" w:rsidRDefault="003165D8" w:rsidP="00F45372"/>
  </w:endnote>
  <w:endnote w:type="continuationSeparator" w:id="0">
    <w:p w:rsidR="003165D8" w:rsidRDefault="003165D8" w:rsidP="00F45372">
      <w:r>
        <w:separator/>
      </w:r>
    </w:p>
    <w:p w:rsidR="003165D8" w:rsidRPr="00970020" w:rsidRDefault="003165D8">
      <w:pPr>
        <w:pStyle w:val="Footer"/>
        <w:spacing w:after="60"/>
        <w:rPr>
          <w:sz w:val="18"/>
          <w:lang w:val="fr-CH"/>
        </w:rPr>
      </w:pPr>
      <w:r w:rsidRPr="00970020">
        <w:rPr>
          <w:sz w:val="18"/>
          <w:lang w:val="fr-CH"/>
        </w:rPr>
        <w:t>[Suite de la note de la page précédente]</w:t>
      </w:r>
    </w:p>
    <w:p w:rsidR="003165D8" w:rsidRPr="00970020" w:rsidRDefault="003165D8" w:rsidP="00F45372">
      <w:pPr>
        <w:rPr>
          <w:lang w:val="fr-CH"/>
        </w:rPr>
      </w:pPr>
    </w:p>
    <w:p w:rsidR="003165D8" w:rsidRPr="00970020" w:rsidRDefault="003165D8" w:rsidP="00F45372">
      <w:pPr>
        <w:rPr>
          <w:lang w:val="fr-CH"/>
        </w:rPr>
      </w:pPr>
    </w:p>
  </w:endnote>
  <w:endnote w:type="continuationNotice" w:id="1">
    <w:p w:rsidR="003165D8" w:rsidRPr="00970020" w:rsidRDefault="003165D8" w:rsidP="00F45372">
      <w:pPr>
        <w:rPr>
          <w:lang w:val="fr-CH"/>
        </w:rPr>
      </w:pPr>
      <w:r w:rsidRPr="00970020">
        <w:rPr>
          <w:lang w:val="fr-CH"/>
        </w:rPr>
        <w:t>[Suite de la note page suivante]</w:t>
      </w:r>
    </w:p>
    <w:p w:rsidR="003165D8" w:rsidRPr="00970020" w:rsidRDefault="003165D8" w:rsidP="00F45372">
      <w:pPr>
        <w:rPr>
          <w:lang w:val="fr-CH"/>
        </w:rPr>
      </w:pPr>
    </w:p>
    <w:p w:rsidR="003165D8" w:rsidRPr="00970020" w:rsidRDefault="003165D8"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5D8" w:rsidRDefault="003165D8" w:rsidP="00F45372">
      <w:r>
        <w:separator/>
      </w:r>
    </w:p>
  </w:footnote>
  <w:footnote w:type="continuationSeparator" w:id="0">
    <w:p w:rsidR="003165D8" w:rsidRDefault="003165D8" w:rsidP="00F45372">
      <w:r>
        <w:separator/>
      </w:r>
    </w:p>
  </w:footnote>
  <w:footnote w:type="continuationNotice" w:id="1">
    <w:p w:rsidR="003165D8" w:rsidRPr="00905020" w:rsidRDefault="003165D8"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E5" w:rsidRPr="004B5650" w:rsidRDefault="003861E5" w:rsidP="004B5650">
    <w:pPr>
      <w:pStyle w:val="Header"/>
      <w:rPr>
        <w:rStyle w:val="PageNumber"/>
      </w:rPr>
    </w:pPr>
    <w:r w:rsidRPr="004B5650">
      <w:rPr>
        <w:rStyle w:val="PageNumber"/>
      </w:rPr>
      <w:t>TC/51/3</w:t>
    </w:r>
  </w:p>
  <w:p w:rsidR="003861E5" w:rsidRPr="008D3729" w:rsidRDefault="003861E5" w:rsidP="004B5650">
    <w:pPr>
      <w:pStyle w:val="Header"/>
    </w:pPr>
    <w:r w:rsidRPr="008D3729">
      <w:t xml:space="preserve">página </w:t>
    </w:r>
    <w:r w:rsidRPr="008D3729">
      <w:rPr>
        <w:rStyle w:val="PageNumber"/>
      </w:rPr>
      <w:fldChar w:fldCharType="begin"/>
    </w:r>
    <w:r w:rsidRPr="008D3729">
      <w:rPr>
        <w:rStyle w:val="PageNumber"/>
      </w:rPr>
      <w:instrText xml:space="preserve"> PAGE </w:instrText>
    </w:r>
    <w:r w:rsidRPr="008D3729">
      <w:rPr>
        <w:rStyle w:val="PageNumber"/>
      </w:rPr>
      <w:fldChar w:fldCharType="separate"/>
    </w:r>
    <w:r w:rsidR="00CB50CB">
      <w:rPr>
        <w:rStyle w:val="PageNumber"/>
        <w:noProof/>
      </w:rPr>
      <w:t>5</w:t>
    </w:r>
    <w:r w:rsidRPr="008D3729">
      <w:rPr>
        <w:rStyle w:val="PageNumber"/>
      </w:rPr>
      <w:fldChar w:fldCharType="end"/>
    </w:r>
  </w:p>
  <w:p w:rsidR="003861E5" w:rsidRPr="008D3729" w:rsidRDefault="003861E5"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53705"/>
    <w:multiLevelType w:val="hybridMultilevel"/>
    <w:tmpl w:val="7DC0ADD6"/>
    <w:lvl w:ilvl="0" w:tplc="6B144FE2">
      <w:start w:val="1"/>
      <w:numFmt w:val="lowerLetter"/>
      <w:lvlText w:val="%1)"/>
      <w:lvlJc w:val="left"/>
      <w:pPr>
        <w:tabs>
          <w:tab w:val="num" w:pos="0"/>
        </w:tabs>
        <w:ind w:left="5322" w:hanging="360"/>
      </w:pPr>
      <w:rPr>
        <w:rFonts w:cs="Times New Roman" w:hint="default"/>
      </w:rPr>
    </w:lvl>
    <w:lvl w:ilvl="1" w:tplc="04090019" w:tentative="1">
      <w:start w:val="1"/>
      <w:numFmt w:val="lowerLetter"/>
      <w:lvlText w:val="%2."/>
      <w:lvlJc w:val="left"/>
      <w:pPr>
        <w:ind w:left="6042" w:hanging="360"/>
      </w:pPr>
      <w:rPr>
        <w:rFonts w:cs="Times New Roman"/>
      </w:rPr>
    </w:lvl>
    <w:lvl w:ilvl="2" w:tplc="0409001B" w:tentative="1">
      <w:start w:val="1"/>
      <w:numFmt w:val="lowerRoman"/>
      <w:lvlText w:val="%3."/>
      <w:lvlJc w:val="right"/>
      <w:pPr>
        <w:ind w:left="6762" w:hanging="180"/>
      </w:pPr>
      <w:rPr>
        <w:rFonts w:cs="Times New Roman"/>
      </w:rPr>
    </w:lvl>
    <w:lvl w:ilvl="3" w:tplc="0409000F" w:tentative="1">
      <w:start w:val="1"/>
      <w:numFmt w:val="decimal"/>
      <w:lvlText w:val="%4."/>
      <w:lvlJc w:val="left"/>
      <w:pPr>
        <w:ind w:left="7482" w:hanging="360"/>
      </w:pPr>
      <w:rPr>
        <w:rFonts w:cs="Times New Roman"/>
      </w:rPr>
    </w:lvl>
    <w:lvl w:ilvl="4" w:tplc="04090019" w:tentative="1">
      <w:start w:val="1"/>
      <w:numFmt w:val="lowerLetter"/>
      <w:lvlText w:val="%5."/>
      <w:lvlJc w:val="left"/>
      <w:pPr>
        <w:ind w:left="8202" w:hanging="360"/>
      </w:pPr>
      <w:rPr>
        <w:rFonts w:cs="Times New Roman"/>
      </w:rPr>
    </w:lvl>
    <w:lvl w:ilvl="5" w:tplc="0409001B" w:tentative="1">
      <w:start w:val="1"/>
      <w:numFmt w:val="lowerRoman"/>
      <w:lvlText w:val="%6."/>
      <w:lvlJc w:val="right"/>
      <w:pPr>
        <w:ind w:left="8922" w:hanging="180"/>
      </w:pPr>
      <w:rPr>
        <w:rFonts w:cs="Times New Roman"/>
      </w:rPr>
    </w:lvl>
    <w:lvl w:ilvl="6" w:tplc="0409000F" w:tentative="1">
      <w:start w:val="1"/>
      <w:numFmt w:val="decimal"/>
      <w:lvlText w:val="%7."/>
      <w:lvlJc w:val="left"/>
      <w:pPr>
        <w:ind w:left="9642" w:hanging="360"/>
      </w:pPr>
      <w:rPr>
        <w:rFonts w:cs="Times New Roman"/>
      </w:rPr>
    </w:lvl>
    <w:lvl w:ilvl="7" w:tplc="04090019" w:tentative="1">
      <w:start w:val="1"/>
      <w:numFmt w:val="lowerLetter"/>
      <w:lvlText w:val="%8."/>
      <w:lvlJc w:val="left"/>
      <w:pPr>
        <w:ind w:left="10362" w:hanging="360"/>
      </w:pPr>
      <w:rPr>
        <w:rFonts w:cs="Times New Roman"/>
      </w:rPr>
    </w:lvl>
    <w:lvl w:ilvl="8" w:tplc="0409001B" w:tentative="1">
      <w:start w:val="1"/>
      <w:numFmt w:val="lowerRoman"/>
      <w:lvlText w:val="%9."/>
      <w:lvlJc w:val="right"/>
      <w:pPr>
        <w:ind w:left="11082" w:hanging="180"/>
      </w:pPr>
      <w:rPr>
        <w:rFonts w:cs="Times New Roman"/>
      </w:rPr>
    </w:lvl>
  </w:abstractNum>
  <w:abstractNum w:abstractNumId="1">
    <w:nsid w:val="794B789F"/>
    <w:multiLevelType w:val="multilevel"/>
    <w:tmpl w:val="F9BC4AAA"/>
    <w:lvl w:ilvl="0">
      <w:start w:val="1"/>
      <w:numFmt w:val="lowerLetter"/>
      <w:lvlText w:val="(%1)"/>
      <w:lvlJc w:val="left"/>
      <w:pPr>
        <w:ind w:left="5322" w:hanging="360"/>
      </w:pPr>
      <w:rPr>
        <w:rFonts w:cs="Times New Roman" w:hint="default"/>
      </w:rPr>
    </w:lvl>
    <w:lvl w:ilvl="1">
      <w:start w:val="1"/>
      <w:numFmt w:val="lowerLetter"/>
      <w:lvlText w:val="%2."/>
      <w:lvlJc w:val="left"/>
      <w:pPr>
        <w:ind w:left="6042" w:hanging="360"/>
      </w:pPr>
      <w:rPr>
        <w:rFonts w:cs="Times New Roman"/>
      </w:rPr>
    </w:lvl>
    <w:lvl w:ilvl="2">
      <w:start w:val="1"/>
      <w:numFmt w:val="lowerRoman"/>
      <w:lvlText w:val="%3."/>
      <w:lvlJc w:val="right"/>
      <w:pPr>
        <w:ind w:left="6762" w:hanging="180"/>
      </w:pPr>
      <w:rPr>
        <w:rFonts w:cs="Times New Roman"/>
      </w:rPr>
    </w:lvl>
    <w:lvl w:ilvl="3">
      <w:start w:val="1"/>
      <w:numFmt w:val="decimal"/>
      <w:lvlText w:val="%4."/>
      <w:lvlJc w:val="left"/>
      <w:pPr>
        <w:ind w:left="7482" w:hanging="360"/>
      </w:pPr>
      <w:rPr>
        <w:rFonts w:cs="Times New Roman"/>
      </w:rPr>
    </w:lvl>
    <w:lvl w:ilvl="4">
      <w:start w:val="1"/>
      <w:numFmt w:val="lowerLetter"/>
      <w:lvlText w:val="%5."/>
      <w:lvlJc w:val="left"/>
      <w:pPr>
        <w:ind w:left="8202" w:hanging="360"/>
      </w:pPr>
      <w:rPr>
        <w:rFonts w:cs="Times New Roman"/>
      </w:rPr>
    </w:lvl>
    <w:lvl w:ilvl="5">
      <w:start w:val="1"/>
      <w:numFmt w:val="lowerRoman"/>
      <w:lvlText w:val="%6."/>
      <w:lvlJc w:val="right"/>
      <w:pPr>
        <w:ind w:left="8922" w:hanging="180"/>
      </w:pPr>
      <w:rPr>
        <w:rFonts w:cs="Times New Roman"/>
      </w:rPr>
    </w:lvl>
    <w:lvl w:ilvl="6">
      <w:start w:val="1"/>
      <w:numFmt w:val="decimal"/>
      <w:lvlText w:val="%7."/>
      <w:lvlJc w:val="left"/>
      <w:pPr>
        <w:ind w:left="9642" w:hanging="360"/>
      </w:pPr>
      <w:rPr>
        <w:rFonts w:cs="Times New Roman"/>
      </w:rPr>
    </w:lvl>
    <w:lvl w:ilvl="7">
      <w:start w:val="1"/>
      <w:numFmt w:val="lowerLetter"/>
      <w:lvlText w:val="%8."/>
      <w:lvlJc w:val="left"/>
      <w:pPr>
        <w:ind w:left="10362" w:hanging="360"/>
      </w:pPr>
      <w:rPr>
        <w:rFonts w:cs="Times New Roman"/>
      </w:rPr>
    </w:lvl>
    <w:lvl w:ilvl="8">
      <w:start w:val="1"/>
      <w:numFmt w:val="lowerRoman"/>
      <w:lvlText w:val="%9."/>
      <w:lvlJc w:val="right"/>
      <w:pPr>
        <w:ind w:left="11082"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Meetings|UPOV\Other|UPOV\Publications|UPOV\Technical Guidelines|WorkspaceSTS\EN-ES\UPOV\Meetings|WorkspaceSTS\EN-ES\UPOV\Other|WorkspaceSTS\EN-ES\UPOV\Publications|WorkspaceSTS\EN-ES\UPOV\Technical Guidelines|WorkspaceSTS\EN-ES\UPOV\TGP_7"/>
    <w:docVar w:name="TextBaseURL" w:val="empty"/>
    <w:docVar w:name="UILng" w:val="en"/>
    <w:docVar w:name="WfColors" w:val="1"/>
    <w:docVar w:name="WtBookmark" w:val="00009"/>
  </w:docVars>
  <w:rsids>
    <w:rsidRoot w:val="00997029"/>
    <w:rsid w:val="00010CF3"/>
    <w:rsid w:val="00011E27"/>
    <w:rsid w:val="000148BC"/>
    <w:rsid w:val="00017563"/>
    <w:rsid w:val="000248A4"/>
    <w:rsid w:val="00024AB8"/>
    <w:rsid w:val="00030854"/>
    <w:rsid w:val="00034B31"/>
    <w:rsid w:val="00036028"/>
    <w:rsid w:val="00044642"/>
    <w:rsid w:val="000446B9"/>
    <w:rsid w:val="00047E21"/>
    <w:rsid w:val="00072B53"/>
    <w:rsid w:val="00085505"/>
    <w:rsid w:val="000C207B"/>
    <w:rsid w:val="000C7021"/>
    <w:rsid w:val="000D2BFB"/>
    <w:rsid w:val="000D6BBC"/>
    <w:rsid w:val="000D7780"/>
    <w:rsid w:val="00105929"/>
    <w:rsid w:val="001131D5"/>
    <w:rsid w:val="001311E1"/>
    <w:rsid w:val="001323F9"/>
    <w:rsid w:val="00141DB8"/>
    <w:rsid w:val="00145638"/>
    <w:rsid w:val="001479AA"/>
    <w:rsid w:val="0017474A"/>
    <w:rsid w:val="001758C6"/>
    <w:rsid w:val="00184D5D"/>
    <w:rsid w:val="00197AFF"/>
    <w:rsid w:val="001C2618"/>
    <w:rsid w:val="002008C5"/>
    <w:rsid w:val="00212F0E"/>
    <w:rsid w:val="0021332C"/>
    <w:rsid w:val="00213982"/>
    <w:rsid w:val="00235267"/>
    <w:rsid w:val="0024416D"/>
    <w:rsid w:val="00262869"/>
    <w:rsid w:val="00266E18"/>
    <w:rsid w:val="002800A0"/>
    <w:rsid w:val="002801B3"/>
    <w:rsid w:val="00281060"/>
    <w:rsid w:val="002939E1"/>
    <w:rsid w:val="002940E8"/>
    <w:rsid w:val="00296F35"/>
    <w:rsid w:val="002A6E50"/>
    <w:rsid w:val="002C256A"/>
    <w:rsid w:val="002E117D"/>
    <w:rsid w:val="00305A7F"/>
    <w:rsid w:val="00307D37"/>
    <w:rsid w:val="003152FE"/>
    <w:rsid w:val="00316518"/>
    <w:rsid w:val="003165D8"/>
    <w:rsid w:val="00320AE8"/>
    <w:rsid w:val="00327436"/>
    <w:rsid w:val="00344BD6"/>
    <w:rsid w:val="0034535D"/>
    <w:rsid w:val="0035528D"/>
    <w:rsid w:val="00361821"/>
    <w:rsid w:val="00366D8A"/>
    <w:rsid w:val="00370631"/>
    <w:rsid w:val="003861E5"/>
    <w:rsid w:val="003B4998"/>
    <w:rsid w:val="003C6C4B"/>
    <w:rsid w:val="003D227C"/>
    <w:rsid w:val="003D2B4D"/>
    <w:rsid w:val="003D7E71"/>
    <w:rsid w:val="00430FC1"/>
    <w:rsid w:val="00444A88"/>
    <w:rsid w:val="00454450"/>
    <w:rsid w:val="00474DA4"/>
    <w:rsid w:val="004B5650"/>
    <w:rsid w:val="004D047D"/>
    <w:rsid w:val="004D1EEB"/>
    <w:rsid w:val="004E2DC3"/>
    <w:rsid w:val="004F1D89"/>
    <w:rsid w:val="004F305A"/>
    <w:rsid w:val="00512164"/>
    <w:rsid w:val="00520297"/>
    <w:rsid w:val="0052311F"/>
    <w:rsid w:val="005338F9"/>
    <w:rsid w:val="0053773E"/>
    <w:rsid w:val="0054281C"/>
    <w:rsid w:val="0055268D"/>
    <w:rsid w:val="0056046A"/>
    <w:rsid w:val="00576BE4"/>
    <w:rsid w:val="00576BF0"/>
    <w:rsid w:val="00597B3B"/>
    <w:rsid w:val="005A400A"/>
    <w:rsid w:val="005A7B51"/>
    <w:rsid w:val="005E3682"/>
    <w:rsid w:val="00612379"/>
    <w:rsid w:val="0061555F"/>
    <w:rsid w:val="00617EC3"/>
    <w:rsid w:val="00625523"/>
    <w:rsid w:val="00625D44"/>
    <w:rsid w:val="00634914"/>
    <w:rsid w:val="00641200"/>
    <w:rsid w:val="00644D30"/>
    <w:rsid w:val="00653DEB"/>
    <w:rsid w:val="006664FF"/>
    <w:rsid w:val="00687EB4"/>
    <w:rsid w:val="006A1ECF"/>
    <w:rsid w:val="006B17D2"/>
    <w:rsid w:val="006C224E"/>
    <w:rsid w:val="006D780A"/>
    <w:rsid w:val="00714D61"/>
    <w:rsid w:val="00732DEC"/>
    <w:rsid w:val="00735BD5"/>
    <w:rsid w:val="00745482"/>
    <w:rsid w:val="00746173"/>
    <w:rsid w:val="0074652B"/>
    <w:rsid w:val="00751C31"/>
    <w:rsid w:val="00753A37"/>
    <w:rsid w:val="007556F6"/>
    <w:rsid w:val="00760EEF"/>
    <w:rsid w:val="0077516E"/>
    <w:rsid w:val="00777EE5"/>
    <w:rsid w:val="00784836"/>
    <w:rsid w:val="00787511"/>
    <w:rsid w:val="0079023E"/>
    <w:rsid w:val="007A2854"/>
    <w:rsid w:val="007A2F70"/>
    <w:rsid w:val="007D0B9D"/>
    <w:rsid w:val="007D19B0"/>
    <w:rsid w:val="007F498F"/>
    <w:rsid w:val="007F4BB2"/>
    <w:rsid w:val="0080679D"/>
    <w:rsid w:val="008108B0"/>
    <w:rsid w:val="00811B20"/>
    <w:rsid w:val="0082296E"/>
    <w:rsid w:val="00824099"/>
    <w:rsid w:val="00843074"/>
    <w:rsid w:val="00867AC1"/>
    <w:rsid w:val="00880287"/>
    <w:rsid w:val="00891312"/>
    <w:rsid w:val="008A1693"/>
    <w:rsid w:val="008A743F"/>
    <w:rsid w:val="008C0970"/>
    <w:rsid w:val="008C3DCA"/>
    <w:rsid w:val="008D2CF7"/>
    <w:rsid w:val="008D3729"/>
    <w:rsid w:val="00900C26"/>
    <w:rsid w:val="0090197F"/>
    <w:rsid w:val="00905020"/>
    <w:rsid w:val="00906927"/>
    <w:rsid w:val="00906DDC"/>
    <w:rsid w:val="00934E09"/>
    <w:rsid w:val="00936253"/>
    <w:rsid w:val="00952DD4"/>
    <w:rsid w:val="00970020"/>
    <w:rsid w:val="00970FED"/>
    <w:rsid w:val="00987060"/>
    <w:rsid w:val="00997029"/>
    <w:rsid w:val="009C6AA4"/>
    <w:rsid w:val="009D690D"/>
    <w:rsid w:val="009E65B6"/>
    <w:rsid w:val="00A13C6F"/>
    <w:rsid w:val="00A30006"/>
    <w:rsid w:val="00A37B04"/>
    <w:rsid w:val="00A42AC3"/>
    <w:rsid w:val="00A430CF"/>
    <w:rsid w:val="00A47CDB"/>
    <w:rsid w:val="00A54309"/>
    <w:rsid w:val="00A7495C"/>
    <w:rsid w:val="00A86E03"/>
    <w:rsid w:val="00AA65E7"/>
    <w:rsid w:val="00AB2B93"/>
    <w:rsid w:val="00AB7E5B"/>
    <w:rsid w:val="00AD1135"/>
    <w:rsid w:val="00AE0EF1"/>
    <w:rsid w:val="00B07301"/>
    <w:rsid w:val="00B12DA0"/>
    <w:rsid w:val="00B224DE"/>
    <w:rsid w:val="00B4219E"/>
    <w:rsid w:val="00B84BBD"/>
    <w:rsid w:val="00B92E3B"/>
    <w:rsid w:val="00BA43FB"/>
    <w:rsid w:val="00BC127D"/>
    <w:rsid w:val="00BC1FE6"/>
    <w:rsid w:val="00BD45B4"/>
    <w:rsid w:val="00C061B6"/>
    <w:rsid w:val="00C13808"/>
    <w:rsid w:val="00C2446C"/>
    <w:rsid w:val="00C36AE5"/>
    <w:rsid w:val="00C41F17"/>
    <w:rsid w:val="00C5791C"/>
    <w:rsid w:val="00C63694"/>
    <w:rsid w:val="00C640F9"/>
    <w:rsid w:val="00C66290"/>
    <w:rsid w:val="00C72B7A"/>
    <w:rsid w:val="00C973F2"/>
    <w:rsid w:val="00CA774A"/>
    <w:rsid w:val="00CB50CB"/>
    <w:rsid w:val="00CC11B0"/>
    <w:rsid w:val="00CC2C31"/>
    <w:rsid w:val="00CE5FE3"/>
    <w:rsid w:val="00CF7E36"/>
    <w:rsid w:val="00D261C5"/>
    <w:rsid w:val="00D26830"/>
    <w:rsid w:val="00D3708D"/>
    <w:rsid w:val="00D40426"/>
    <w:rsid w:val="00D57C96"/>
    <w:rsid w:val="00D7286B"/>
    <w:rsid w:val="00D91203"/>
    <w:rsid w:val="00D91578"/>
    <w:rsid w:val="00D91F4A"/>
    <w:rsid w:val="00D95174"/>
    <w:rsid w:val="00DA36BA"/>
    <w:rsid w:val="00DA4685"/>
    <w:rsid w:val="00DA6F36"/>
    <w:rsid w:val="00DB596E"/>
    <w:rsid w:val="00DB5FAA"/>
    <w:rsid w:val="00DC00EA"/>
    <w:rsid w:val="00E30074"/>
    <w:rsid w:val="00E3364A"/>
    <w:rsid w:val="00E50918"/>
    <w:rsid w:val="00E72472"/>
    <w:rsid w:val="00E72D49"/>
    <w:rsid w:val="00E7593C"/>
    <w:rsid w:val="00E7678A"/>
    <w:rsid w:val="00E935F1"/>
    <w:rsid w:val="00E94A81"/>
    <w:rsid w:val="00EA1FFB"/>
    <w:rsid w:val="00EA5245"/>
    <w:rsid w:val="00EB048E"/>
    <w:rsid w:val="00ED4777"/>
    <w:rsid w:val="00EE34DF"/>
    <w:rsid w:val="00EF0139"/>
    <w:rsid w:val="00EF2F89"/>
    <w:rsid w:val="00F1237A"/>
    <w:rsid w:val="00F206F2"/>
    <w:rsid w:val="00F22CBD"/>
    <w:rsid w:val="00F3117D"/>
    <w:rsid w:val="00F36BDF"/>
    <w:rsid w:val="00F42EF4"/>
    <w:rsid w:val="00F45372"/>
    <w:rsid w:val="00F560F7"/>
    <w:rsid w:val="00F6334D"/>
    <w:rsid w:val="00F665A8"/>
    <w:rsid w:val="00F77B84"/>
    <w:rsid w:val="00F83FA6"/>
    <w:rsid w:val="00FA49AB"/>
    <w:rsid w:val="00FA7BE2"/>
    <w:rsid w:val="00FC609B"/>
    <w:rsid w:val="00FE1E16"/>
    <w:rsid w:val="00FE39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370631"/>
    <w:pPr>
      <w:keepNext/>
      <w:outlineLvl w:val="0"/>
    </w:pPr>
    <w:rPr>
      <w:caps/>
    </w:rPr>
  </w:style>
  <w:style w:type="paragraph" w:styleId="Heading2">
    <w:name w:val="heading 2"/>
    <w:aliases w:val="VARIETY,variety"/>
    <w:basedOn w:val="Normal"/>
    <w:next w:val="Normal"/>
    <w:link w:val="Heading2Char"/>
    <w:autoRedefine/>
    <w:uiPriority w:val="99"/>
    <w:qFormat/>
    <w:rsid w:val="00E30074"/>
    <w:pPr>
      <w:keepNext/>
      <w:outlineLvl w:val="1"/>
    </w:pPr>
    <w:rPr>
      <w:color w:val="808080"/>
      <w:u w:val="single"/>
    </w:rPr>
  </w:style>
  <w:style w:type="paragraph" w:styleId="Heading3">
    <w:name w:val="heading 3"/>
    <w:basedOn w:val="Normal"/>
    <w:next w:val="Normal"/>
    <w:link w:val="Heading3Char"/>
    <w:autoRedefine/>
    <w:uiPriority w:val="99"/>
    <w:qFormat/>
    <w:rsid w:val="00E30074"/>
    <w:pPr>
      <w:keepNext/>
      <w:outlineLvl w:val="2"/>
    </w:pPr>
    <w:rPr>
      <w:i/>
      <w:color w:val="808080"/>
      <w:lang w:val="es-ES_tradnl"/>
    </w:rPr>
  </w:style>
  <w:style w:type="paragraph" w:styleId="Heading4">
    <w:name w:val="heading 4"/>
    <w:basedOn w:val="Normal"/>
    <w:next w:val="Normal"/>
    <w:link w:val="Heading4Char"/>
    <w:autoRedefine/>
    <w:uiPriority w:val="99"/>
    <w:qFormat/>
    <w:rsid w:val="00370631"/>
    <w:pPr>
      <w:keepNext/>
      <w:ind w:left="567"/>
      <w:outlineLvl w:val="3"/>
    </w:pPr>
    <w:rPr>
      <w:u w:val="single"/>
      <w:lang w:val="fr-FR"/>
    </w:rPr>
  </w:style>
  <w:style w:type="paragraph" w:styleId="Heading5">
    <w:name w:val="heading 5"/>
    <w:basedOn w:val="Normal"/>
    <w:next w:val="Normal"/>
    <w:link w:val="Heading5Char"/>
    <w:autoRedefine/>
    <w:uiPriority w:val="99"/>
    <w:qFormat/>
    <w:rsid w:val="00370631"/>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117D"/>
    <w:rPr>
      <w:rFonts w:ascii="Cambria" w:hAnsi="Cambria" w:cs="Times New Roman"/>
      <w:b/>
      <w:bCs/>
      <w:kern w:val="32"/>
      <w:sz w:val="32"/>
      <w:szCs w:val="32"/>
      <w:lang w:val="en-US" w:eastAsia="en-US"/>
    </w:rPr>
  </w:style>
  <w:style w:type="character" w:customStyle="1" w:styleId="Heading2Char">
    <w:name w:val="Heading 2 Char"/>
    <w:aliases w:val="VARIETY Char,variety Char"/>
    <w:basedOn w:val="DefaultParagraphFont"/>
    <w:link w:val="Heading2"/>
    <w:uiPriority w:val="99"/>
    <w:locked/>
    <w:rsid w:val="00E30074"/>
    <w:rPr>
      <w:rFonts w:ascii="Arial" w:hAnsi="Arial" w:cs="Times New Roman"/>
      <w:color w:val="808080"/>
      <w:u w:val="single"/>
      <w:lang w:val="en-US" w:eastAsia="en-US" w:bidi="ar-SA"/>
    </w:rPr>
  </w:style>
  <w:style w:type="character" w:customStyle="1" w:styleId="Heading3Char">
    <w:name w:val="Heading 3 Char"/>
    <w:basedOn w:val="DefaultParagraphFont"/>
    <w:link w:val="Heading3"/>
    <w:uiPriority w:val="99"/>
    <w:semiHidden/>
    <w:locked/>
    <w:rsid w:val="002E117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2E117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2E117D"/>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2E117D"/>
    <w:rPr>
      <w:rFonts w:ascii="Cambria" w:hAnsi="Cambria" w:cs="Times New Roman"/>
      <w:lang w:val="en-US" w:eastAsia="en-US"/>
    </w:rPr>
  </w:style>
  <w:style w:type="paragraph" w:styleId="Header">
    <w:name w:val="header"/>
    <w:basedOn w:val="Normal"/>
    <w:link w:val="HeaderChar"/>
    <w:autoRedefine/>
    <w:uiPriority w:val="99"/>
    <w:rsid w:val="004B5650"/>
    <w:pPr>
      <w:tabs>
        <w:tab w:val="center" w:pos="4536"/>
        <w:tab w:val="right" w:pos="9072"/>
      </w:tabs>
      <w:jc w:val="center"/>
    </w:pPr>
    <w:rPr>
      <w:lang w:val="es-ES_tradnl"/>
    </w:rPr>
  </w:style>
  <w:style w:type="character" w:customStyle="1" w:styleId="HeaderChar">
    <w:name w:val="Header Char"/>
    <w:basedOn w:val="DefaultParagraphFont"/>
    <w:link w:val="Header"/>
    <w:uiPriority w:val="99"/>
    <w:semiHidden/>
    <w:locked/>
    <w:rsid w:val="002E117D"/>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2E117D"/>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2E117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link w:val="DecisionParagraphsChar"/>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2E117D"/>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2E117D"/>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2E117D"/>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2E117D"/>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semiHidden/>
    <w:locked/>
    <w:rsid w:val="002E117D"/>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2E117D"/>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2E117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370631"/>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rsid w:val="00370631"/>
    <w:pPr>
      <w:tabs>
        <w:tab w:val="right" w:leader="dot" w:pos="9639"/>
      </w:tabs>
      <w:contextualSpacing/>
      <w:jc w:val="center"/>
    </w:pPr>
    <w:rPr>
      <w:caps/>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character" w:customStyle="1" w:styleId="DecisionParagraphsChar">
    <w:name w:val="DecisionParagraphs Char"/>
    <w:basedOn w:val="DefaultParagraphFont"/>
    <w:link w:val="DecisionParagraphs"/>
    <w:uiPriority w:val="99"/>
    <w:locked/>
    <w:rsid w:val="00E72472"/>
    <w:rPr>
      <w:rFonts w:ascii="Arial" w:hAnsi="Arial" w:cs="Times New Roman"/>
      <w:i/>
    </w:rPr>
  </w:style>
  <w:style w:type="paragraph" w:styleId="ListParagraph">
    <w:name w:val="List Paragraph"/>
    <w:basedOn w:val="Normal"/>
    <w:uiPriority w:val="99"/>
    <w:qFormat/>
    <w:rsid w:val="00E72472"/>
    <w:pPr>
      <w:ind w:left="720"/>
      <w:contextualSpacing/>
    </w:pPr>
  </w:style>
  <w:style w:type="paragraph" w:customStyle="1" w:styleId="Style1">
    <w:name w:val="Style1"/>
    <w:basedOn w:val="Normal"/>
    <w:uiPriority w:val="99"/>
    <w:rsid w:val="00E72472"/>
    <w:pPr>
      <w:tabs>
        <w:tab w:val="decimal" w:pos="907"/>
        <w:tab w:val="left" w:pos="1077"/>
      </w:tabs>
    </w:pPr>
    <w:rPr>
      <w:rFonts w:ascii="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370631"/>
    <w:pPr>
      <w:keepNext/>
      <w:outlineLvl w:val="0"/>
    </w:pPr>
    <w:rPr>
      <w:caps/>
    </w:rPr>
  </w:style>
  <w:style w:type="paragraph" w:styleId="Heading2">
    <w:name w:val="heading 2"/>
    <w:aliases w:val="VARIETY,variety"/>
    <w:basedOn w:val="Normal"/>
    <w:next w:val="Normal"/>
    <w:link w:val="Heading2Char"/>
    <w:autoRedefine/>
    <w:uiPriority w:val="99"/>
    <w:qFormat/>
    <w:rsid w:val="00E30074"/>
    <w:pPr>
      <w:keepNext/>
      <w:outlineLvl w:val="1"/>
    </w:pPr>
    <w:rPr>
      <w:color w:val="808080"/>
      <w:u w:val="single"/>
    </w:rPr>
  </w:style>
  <w:style w:type="paragraph" w:styleId="Heading3">
    <w:name w:val="heading 3"/>
    <w:basedOn w:val="Normal"/>
    <w:next w:val="Normal"/>
    <w:link w:val="Heading3Char"/>
    <w:autoRedefine/>
    <w:uiPriority w:val="99"/>
    <w:qFormat/>
    <w:rsid w:val="00E30074"/>
    <w:pPr>
      <w:keepNext/>
      <w:outlineLvl w:val="2"/>
    </w:pPr>
    <w:rPr>
      <w:i/>
      <w:color w:val="808080"/>
      <w:lang w:val="es-ES_tradnl"/>
    </w:rPr>
  </w:style>
  <w:style w:type="paragraph" w:styleId="Heading4">
    <w:name w:val="heading 4"/>
    <w:basedOn w:val="Normal"/>
    <w:next w:val="Normal"/>
    <w:link w:val="Heading4Char"/>
    <w:autoRedefine/>
    <w:uiPriority w:val="99"/>
    <w:qFormat/>
    <w:rsid w:val="00370631"/>
    <w:pPr>
      <w:keepNext/>
      <w:ind w:left="567"/>
      <w:outlineLvl w:val="3"/>
    </w:pPr>
    <w:rPr>
      <w:u w:val="single"/>
      <w:lang w:val="fr-FR"/>
    </w:rPr>
  </w:style>
  <w:style w:type="paragraph" w:styleId="Heading5">
    <w:name w:val="heading 5"/>
    <w:basedOn w:val="Normal"/>
    <w:next w:val="Normal"/>
    <w:link w:val="Heading5Char"/>
    <w:autoRedefine/>
    <w:uiPriority w:val="99"/>
    <w:qFormat/>
    <w:rsid w:val="00370631"/>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117D"/>
    <w:rPr>
      <w:rFonts w:ascii="Cambria" w:hAnsi="Cambria" w:cs="Times New Roman"/>
      <w:b/>
      <w:bCs/>
      <w:kern w:val="32"/>
      <w:sz w:val="32"/>
      <w:szCs w:val="32"/>
      <w:lang w:val="en-US" w:eastAsia="en-US"/>
    </w:rPr>
  </w:style>
  <w:style w:type="character" w:customStyle="1" w:styleId="Heading2Char">
    <w:name w:val="Heading 2 Char"/>
    <w:aliases w:val="VARIETY Char,variety Char"/>
    <w:basedOn w:val="DefaultParagraphFont"/>
    <w:link w:val="Heading2"/>
    <w:uiPriority w:val="99"/>
    <w:locked/>
    <w:rsid w:val="00E30074"/>
    <w:rPr>
      <w:rFonts w:ascii="Arial" w:hAnsi="Arial" w:cs="Times New Roman"/>
      <w:color w:val="808080"/>
      <w:u w:val="single"/>
      <w:lang w:val="en-US" w:eastAsia="en-US" w:bidi="ar-SA"/>
    </w:rPr>
  </w:style>
  <w:style w:type="character" w:customStyle="1" w:styleId="Heading3Char">
    <w:name w:val="Heading 3 Char"/>
    <w:basedOn w:val="DefaultParagraphFont"/>
    <w:link w:val="Heading3"/>
    <w:uiPriority w:val="99"/>
    <w:semiHidden/>
    <w:locked/>
    <w:rsid w:val="002E117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2E117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2E117D"/>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2E117D"/>
    <w:rPr>
      <w:rFonts w:ascii="Cambria" w:hAnsi="Cambria" w:cs="Times New Roman"/>
      <w:lang w:val="en-US" w:eastAsia="en-US"/>
    </w:rPr>
  </w:style>
  <w:style w:type="paragraph" w:styleId="Header">
    <w:name w:val="header"/>
    <w:basedOn w:val="Normal"/>
    <w:link w:val="HeaderChar"/>
    <w:autoRedefine/>
    <w:uiPriority w:val="99"/>
    <w:rsid w:val="004B5650"/>
    <w:pPr>
      <w:tabs>
        <w:tab w:val="center" w:pos="4536"/>
        <w:tab w:val="right" w:pos="9072"/>
      </w:tabs>
      <w:jc w:val="center"/>
    </w:pPr>
    <w:rPr>
      <w:lang w:val="es-ES_tradnl"/>
    </w:rPr>
  </w:style>
  <w:style w:type="character" w:customStyle="1" w:styleId="HeaderChar">
    <w:name w:val="Header Char"/>
    <w:basedOn w:val="DefaultParagraphFont"/>
    <w:link w:val="Header"/>
    <w:uiPriority w:val="99"/>
    <w:semiHidden/>
    <w:locked/>
    <w:rsid w:val="002E117D"/>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2E117D"/>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2E117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link w:val="DecisionParagraphsChar"/>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2E117D"/>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2E117D"/>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2E117D"/>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2E117D"/>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semiHidden/>
    <w:locked/>
    <w:rsid w:val="002E117D"/>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2E117D"/>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2E117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370631"/>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rsid w:val="00370631"/>
    <w:pPr>
      <w:tabs>
        <w:tab w:val="right" w:leader="dot" w:pos="9639"/>
      </w:tabs>
      <w:contextualSpacing/>
      <w:jc w:val="center"/>
    </w:pPr>
    <w:rPr>
      <w:caps/>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character" w:customStyle="1" w:styleId="DecisionParagraphsChar">
    <w:name w:val="DecisionParagraphs Char"/>
    <w:basedOn w:val="DefaultParagraphFont"/>
    <w:link w:val="DecisionParagraphs"/>
    <w:uiPriority w:val="99"/>
    <w:locked/>
    <w:rsid w:val="00E72472"/>
    <w:rPr>
      <w:rFonts w:ascii="Arial" w:hAnsi="Arial" w:cs="Times New Roman"/>
      <w:i/>
    </w:rPr>
  </w:style>
  <w:style w:type="paragraph" w:styleId="ListParagraph">
    <w:name w:val="List Paragraph"/>
    <w:basedOn w:val="Normal"/>
    <w:uiPriority w:val="99"/>
    <w:qFormat/>
    <w:rsid w:val="00E72472"/>
    <w:pPr>
      <w:ind w:left="720"/>
      <w:contextualSpacing/>
    </w:pPr>
  </w:style>
  <w:style w:type="paragraph" w:customStyle="1" w:styleId="Style1">
    <w:name w:val="Style1"/>
    <w:basedOn w:val="Normal"/>
    <w:uiPriority w:val="99"/>
    <w:rsid w:val="00E72472"/>
    <w:pPr>
      <w:tabs>
        <w:tab w:val="decimal" w:pos="907"/>
        <w:tab w:val="left" w:pos="1077"/>
      </w:tabs>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2289</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CEVALLOS DUQUE Nilo</dc:creator>
  <cp:lastModifiedBy>LONG Victoria</cp:lastModifiedBy>
  <cp:revision>16</cp:revision>
  <cp:lastPrinted>2015-02-20T11:31:00Z</cp:lastPrinted>
  <dcterms:created xsi:type="dcterms:W3CDTF">2015-02-16T13:03:00Z</dcterms:created>
  <dcterms:modified xsi:type="dcterms:W3CDTF">2015-02-20T11:31:00Z</dcterms:modified>
</cp:coreProperties>
</file>