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A5250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0D77F3">
              <w:rPr>
                <w:lang w:val="es-ES_tradnl"/>
              </w:rPr>
              <w:t>28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8A5250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9C3B9C" w:rsidRPr="008A5250">
              <w:rPr>
                <w:rStyle w:val="StyleDocoriginalNotBold1"/>
                <w:spacing w:val="0"/>
                <w:lang w:val="es-ES_tradnl"/>
              </w:rPr>
              <w:t xml:space="preserve">6 de </w:t>
            </w:r>
            <w:r w:rsidR="008A5250" w:rsidRPr="008A5250">
              <w:rPr>
                <w:rStyle w:val="StyleDocoriginalNotBold1"/>
                <w:spacing w:val="0"/>
                <w:lang w:val="es-ES_tradnl"/>
              </w:rPr>
              <w:t>febr</w:t>
            </w:r>
            <w:r w:rsidR="009C3B9C" w:rsidRPr="008A5250">
              <w:rPr>
                <w:rStyle w:val="StyleDocoriginalNotBold1"/>
                <w:spacing w:val="0"/>
                <w:lang w:val="es-ES_tradnl"/>
              </w:rPr>
              <w:t>ero</w:t>
            </w:r>
            <w:r w:rsidRPr="008A5250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8A5250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8A5250">
              <w:rPr>
                <w:b w:val="0"/>
                <w:spacing w:val="0"/>
                <w:lang w:val="es-ES_tradnl"/>
              </w:rPr>
              <w:t>201</w:t>
            </w:r>
            <w:r w:rsidR="00625523" w:rsidRPr="008A5250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8A5250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0D77F3" w:rsidRPr="000D77F3" w:rsidRDefault="000D77F3" w:rsidP="000D77F3">
      <w:pPr>
        <w:spacing w:before="600"/>
        <w:jc w:val="center"/>
        <w:rPr>
          <w:caps/>
          <w:lang w:val="es-ES_tradnl"/>
        </w:rPr>
      </w:pPr>
      <w:bookmarkStart w:id="4" w:name="TitleOfDoc"/>
      <w:bookmarkEnd w:id="4"/>
      <w:r w:rsidRPr="000D77F3">
        <w:rPr>
          <w:caps/>
          <w:lang w:val="es-ES_tradnl"/>
        </w:rPr>
        <w:t>REVISIÓN PARCIAL DE LAS DIRECTRICES DE EXAMEN DEl SHIITAKE (DOCUMENTO TG/282/1)</w:t>
      </w:r>
    </w:p>
    <w:p w:rsidR="000D77F3" w:rsidRPr="000D77F3" w:rsidRDefault="000D77F3" w:rsidP="000D77F3">
      <w:pPr>
        <w:spacing w:before="240" w:after="600"/>
        <w:jc w:val="center"/>
        <w:rPr>
          <w:i/>
          <w:lang w:val="es-ES_tradnl"/>
        </w:rPr>
      </w:pPr>
      <w:bookmarkStart w:id="5" w:name="Prepared"/>
      <w:bookmarkEnd w:id="5"/>
      <w:r w:rsidRPr="000D77F3">
        <w:rPr>
          <w:i/>
          <w:lang w:val="es-ES_tradnl"/>
        </w:rPr>
        <w:t>Documento preparado por la Oficina de la Unión</w:t>
      </w:r>
      <w:r w:rsidRPr="000D77F3">
        <w:rPr>
          <w:i/>
          <w:lang w:val="es-ES_tradnl"/>
        </w:rPr>
        <w:br/>
      </w:r>
      <w:r w:rsidRPr="000D77F3">
        <w:rPr>
          <w:i/>
          <w:lang w:val="es-ES_tradnl"/>
        </w:rPr>
        <w:br/>
      </w:r>
      <w:r w:rsidRPr="000D77F3">
        <w:rPr>
          <w:i/>
          <w:color w:val="A6A6A6"/>
          <w:lang w:val="es-ES_tradnl"/>
        </w:rPr>
        <w:t>Descargo de responsabilidad</w:t>
      </w:r>
      <w:proofErr w:type="gramStart"/>
      <w:r w:rsidRPr="000D77F3">
        <w:rPr>
          <w:i/>
          <w:color w:val="A6A6A6"/>
          <w:lang w:val="es-ES_tradnl"/>
        </w:rPr>
        <w:t>:  el</w:t>
      </w:r>
      <w:proofErr w:type="gramEnd"/>
      <w:r w:rsidRPr="000D77F3">
        <w:rPr>
          <w:i/>
          <w:color w:val="A6A6A6"/>
          <w:lang w:val="es-ES_tradnl"/>
        </w:rPr>
        <w:t xml:space="preserve"> presente documento no constituye</w:t>
      </w:r>
      <w:r w:rsidRPr="000D77F3">
        <w:rPr>
          <w:i/>
          <w:color w:val="A6A6A6"/>
          <w:lang w:val="es-ES_tradnl"/>
        </w:rPr>
        <w:br/>
        <w:t>un documento de política u orientación de la UPOV</w:t>
      </w:r>
    </w:p>
    <w:p w:rsidR="000D77F3" w:rsidRPr="000D77F3" w:rsidRDefault="000D77F3" w:rsidP="000D77F3">
      <w:pPr>
        <w:rPr>
          <w:iCs/>
          <w:lang w:val="es-ES_tradnl"/>
        </w:rPr>
      </w:pPr>
      <w:r w:rsidRPr="000D77F3">
        <w:rPr>
          <w:rFonts w:cs="Arial"/>
        </w:rPr>
        <w:fldChar w:fldCharType="begin"/>
      </w:r>
      <w:r w:rsidRPr="000D77F3">
        <w:rPr>
          <w:rFonts w:cs="Arial"/>
          <w:lang w:val="es-ES_tradnl"/>
        </w:rPr>
        <w:instrText xml:space="preserve"> AUTONUM  </w:instrText>
      </w:r>
      <w:r w:rsidRPr="000D77F3">
        <w:rPr>
          <w:rFonts w:cs="Arial"/>
        </w:rPr>
        <w:fldChar w:fldCharType="end"/>
      </w:r>
      <w:r w:rsidRPr="000D77F3">
        <w:rPr>
          <w:rFonts w:cs="Arial"/>
          <w:lang w:val="es-ES_tradnl"/>
        </w:rPr>
        <w:tab/>
      </w:r>
      <w:r w:rsidRPr="000D77F3">
        <w:rPr>
          <w:iCs/>
          <w:lang w:val="es-ES_tradnl"/>
        </w:rPr>
        <w:t xml:space="preserve">En su cuadragésima octava sesión, celebrada </w:t>
      </w:r>
      <w:proofErr w:type="spellStart"/>
      <w:r w:rsidRPr="000D77F3">
        <w:rPr>
          <w:iCs/>
          <w:lang w:val="es-ES_tradnl"/>
        </w:rPr>
        <w:t>Paestum</w:t>
      </w:r>
      <w:proofErr w:type="spellEnd"/>
      <w:r w:rsidRPr="000D77F3">
        <w:rPr>
          <w:iCs/>
          <w:lang w:val="es-ES_tradnl"/>
        </w:rPr>
        <w:t xml:space="preserve"> (Italia) del 23 al 27 de junio de 2014, el Grupo de Trabajo Técnico sobre Hortalizas (TWV) examinó la posibilidad de efectuar una revisión parcial de las directrices de examen del </w:t>
      </w:r>
      <w:proofErr w:type="spellStart"/>
      <w:r w:rsidRPr="000D77F3">
        <w:rPr>
          <w:iCs/>
          <w:lang w:val="es-ES_tradnl"/>
        </w:rPr>
        <w:t>shiitake</w:t>
      </w:r>
      <w:proofErr w:type="spellEnd"/>
      <w:r w:rsidRPr="000D77F3">
        <w:rPr>
          <w:iCs/>
          <w:lang w:val="es-ES_tradnl"/>
        </w:rPr>
        <w:t xml:space="preserve"> sobre la base de los documentos TG/282/1 y TWV/48/36 "</w:t>
      </w:r>
      <w:proofErr w:type="spellStart"/>
      <w:r w:rsidRPr="000D77F3">
        <w:rPr>
          <w:i/>
          <w:lang w:val="es-ES"/>
        </w:rPr>
        <w:t>Partial</w:t>
      </w:r>
      <w:proofErr w:type="spellEnd"/>
      <w:r w:rsidRPr="000D77F3">
        <w:rPr>
          <w:i/>
          <w:lang w:val="es-ES"/>
        </w:rPr>
        <w:t xml:space="preserve"> </w:t>
      </w:r>
      <w:proofErr w:type="spellStart"/>
      <w:r w:rsidRPr="000D77F3">
        <w:rPr>
          <w:i/>
          <w:lang w:val="es-ES"/>
        </w:rPr>
        <w:t>Revision</w:t>
      </w:r>
      <w:proofErr w:type="spellEnd"/>
      <w:r w:rsidRPr="000D77F3">
        <w:rPr>
          <w:i/>
          <w:lang w:val="es-ES"/>
        </w:rPr>
        <w:t xml:space="preserve"> of </w:t>
      </w:r>
      <w:proofErr w:type="spellStart"/>
      <w:r w:rsidRPr="000D77F3">
        <w:rPr>
          <w:i/>
          <w:lang w:val="es-ES"/>
        </w:rPr>
        <w:t>the</w:t>
      </w:r>
      <w:proofErr w:type="spellEnd"/>
      <w:r w:rsidRPr="000D77F3">
        <w:rPr>
          <w:i/>
          <w:lang w:val="es-ES"/>
        </w:rPr>
        <w:t xml:space="preserve"> Test </w:t>
      </w:r>
      <w:proofErr w:type="spellStart"/>
      <w:r w:rsidRPr="000D77F3">
        <w:rPr>
          <w:i/>
          <w:lang w:val="es-ES"/>
        </w:rPr>
        <w:t>Guidelines</w:t>
      </w:r>
      <w:proofErr w:type="spellEnd"/>
      <w:r w:rsidRPr="000D77F3">
        <w:rPr>
          <w:i/>
          <w:lang w:val="es-ES"/>
        </w:rPr>
        <w:t xml:space="preserve"> </w:t>
      </w:r>
      <w:proofErr w:type="spellStart"/>
      <w:r w:rsidRPr="000D77F3">
        <w:rPr>
          <w:i/>
          <w:lang w:val="es-ES"/>
        </w:rPr>
        <w:t>for</w:t>
      </w:r>
      <w:proofErr w:type="spellEnd"/>
      <w:r w:rsidRPr="000D77F3">
        <w:rPr>
          <w:i/>
          <w:lang w:val="es-ES"/>
        </w:rPr>
        <w:t xml:space="preserve"> </w:t>
      </w:r>
      <w:proofErr w:type="spellStart"/>
      <w:r w:rsidRPr="000D77F3">
        <w:rPr>
          <w:i/>
          <w:lang w:val="es-ES"/>
        </w:rPr>
        <w:t>Shiitake</w:t>
      </w:r>
      <w:proofErr w:type="spellEnd"/>
      <w:r w:rsidRPr="000D77F3">
        <w:rPr>
          <w:i/>
          <w:lang w:val="es-ES"/>
        </w:rPr>
        <w:t xml:space="preserve"> (</w:t>
      </w:r>
      <w:proofErr w:type="spellStart"/>
      <w:r w:rsidRPr="000D77F3">
        <w:rPr>
          <w:i/>
          <w:lang w:val="es-ES"/>
        </w:rPr>
        <w:t>Document</w:t>
      </w:r>
      <w:proofErr w:type="spellEnd"/>
      <w:r w:rsidRPr="000D77F3">
        <w:rPr>
          <w:i/>
          <w:lang w:val="es-ES"/>
        </w:rPr>
        <w:t xml:space="preserve"> TG/282/1)</w:t>
      </w:r>
      <w:r w:rsidRPr="000D77F3">
        <w:rPr>
          <w:iCs/>
          <w:lang w:val="es-ES_tradnl"/>
        </w:rPr>
        <w:t xml:space="preserve">” y propuso efectuar una revisión del apartado 2.2 de la sección 2 "Material necesario" de las directrices de examen del </w:t>
      </w:r>
      <w:proofErr w:type="spellStart"/>
      <w:r w:rsidRPr="000D77F3">
        <w:rPr>
          <w:iCs/>
          <w:lang w:val="es-ES_tradnl"/>
        </w:rPr>
        <w:t>shiitake</w:t>
      </w:r>
      <w:proofErr w:type="spellEnd"/>
      <w:r w:rsidRPr="000D77F3">
        <w:rPr>
          <w:iCs/>
          <w:lang w:val="es-ES_tradnl"/>
        </w:rPr>
        <w:t>, a fin de incluir el "sustrato de aserrín" como material necesario (véase el párrafo 100 del documento TWV/48/43 “</w:t>
      </w:r>
      <w:proofErr w:type="spellStart"/>
      <w:r w:rsidRPr="000D77F3">
        <w:rPr>
          <w:i/>
          <w:iCs/>
          <w:lang w:val="es-ES_tradnl"/>
        </w:rPr>
        <w:t>Report</w:t>
      </w:r>
      <w:proofErr w:type="spellEnd"/>
      <w:r w:rsidRPr="000D77F3">
        <w:rPr>
          <w:iCs/>
          <w:lang w:val="es-ES_tradnl"/>
        </w:rPr>
        <w:t>”) según lo expuesto a continuación:</w:t>
      </w:r>
    </w:p>
    <w:p w:rsidR="000D77F3" w:rsidRPr="000D77F3" w:rsidRDefault="000D77F3" w:rsidP="000D77F3">
      <w:pPr>
        <w:rPr>
          <w:iCs/>
          <w:lang w:val="es-ES_tradnl"/>
        </w:rPr>
      </w:pPr>
    </w:p>
    <w:p w:rsidR="000D77F3" w:rsidRPr="000D77F3" w:rsidRDefault="000D77F3" w:rsidP="000D77F3">
      <w:pPr>
        <w:rPr>
          <w:i/>
          <w:noProof/>
          <w:lang w:val="es-ES_tradnl" w:eastAsia="ja-JP"/>
        </w:rPr>
      </w:pPr>
      <w:r w:rsidRPr="000D77F3">
        <w:rPr>
          <w:i/>
          <w:noProof/>
          <w:lang w:val="es-ES_tradnl" w:eastAsia="ja-JP"/>
        </w:rPr>
        <w:t>Texto actual:</w:t>
      </w:r>
    </w:p>
    <w:p w:rsidR="000D77F3" w:rsidRPr="000D77F3" w:rsidRDefault="000D77F3" w:rsidP="000D77F3">
      <w:pPr>
        <w:rPr>
          <w:noProof/>
          <w:lang w:val="es-ES_tradnl" w:eastAsia="ja-JP"/>
        </w:rPr>
      </w:pPr>
    </w:p>
    <w:p w:rsidR="000D77F3" w:rsidRPr="000D77F3" w:rsidRDefault="000D77F3" w:rsidP="000D77F3">
      <w:pPr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t>2.2</w:t>
      </w:r>
      <w:r w:rsidRPr="000D77F3">
        <w:rPr>
          <w:noProof/>
          <w:lang w:val="es-ES_tradnl" w:eastAsia="ja-JP"/>
        </w:rPr>
        <w:tab/>
        <w:t xml:space="preserve">El material se entregará en forma de micelio y de cultivo puro en un medio adecuado. </w:t>
      </w:r>
    </w:p>
    <w:p w:rsidR="000D77F3" w:rsidRPr="000D77F3" w:rsidRDefault="000D77F3" w:rsidP="000D77F3">
      <w:pPr>
        <w:rPr>
          <w:noProof/>
          <w:lang w:val="es-ES_tradnl" w:eastAsia="ja-JP"/>
        </w:rPr>
      </w:pPr>
    </w:p>
    <w:p w:rsidR="000D77F3" w:rsidRPr="000D77F3" w:rsidRDefault="000D77F3" w:rsidP="000D77F3">
      <w:pPr>
        <w:ind w:left="567"/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t>a)</w:t>
      </w:r>
      <w:r w:rsidRPr="000D77F3">
        <w:rPr>
          <w:noProof/>
          <w:lang w:val="es-ES_tradnl" w:eastAsia="ja-JP"/>
        </w:rPr>
        <w:tab/>
        <w:t>La calidad del micelio debe garantizar la expresión de todos los caracteres pertinentes de la variedad. En particular, el micelio en grano debe apreciarse a simple vista y no debe estar colonizado hasta el punto de que los granos estén pegados. El micelio no debe tener más de tres meses y debe estar almacenado en condiciones adecuadas.</w:t>
      </w:r>
    </w:p>
    <w:p w:rsidR="000D77F3" w:rsidRPr="000D77F3" w:rsidRDefault="000D77F3" w:rsidP="000D77F3">
      <w:pPr>
        <w:ind w:left="567"/>
        <w:rPr>
          <w:noProof/>
          <w:lang w:val="es-ES_tradnl" w:eastAsia="ja-JP"/>
        </w:rPr>
      </w:pPr>
    </w:p>
    <w:p w:rsidR="000D77F3" w:rsidRPr="000D77F3" w:rsidRDefault="000D77F3" w:rsidP="000D77F3">
      <w:pPr>
        <w:ind w:left="567"/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t>b)</w:t>
      </w:r>
      <w:r w:rsidRPr="000D77F3">
        <w:rPr>
          <w:noProof/>
          <w:lang w:val="es-ES_tradnl" w:eastAsia="ja-JP"/>
        </w:rPr>
        <w:tab/>
        <w:t>Los cultivos puros deben realizarse en tubos de agar inclinados, utilizando un medio apropiado como el PDA (agar–papa–dextrosa) o agar extracto de malta. Los tubos deben cubrirse con fundas de algodón o de plástico que permitan la difusión de aire estéril. Los cultivos deben ser recientes, es decir, no deben haber estado más de 2 semanas a baja temperatura.</w:t>
      </w:r>
    </w:p>
    <w:p w:rsidR="000D77F3" w:rsidRPr="000D77F3" w:rsidRDefault="000D77F3" w:rsidP="000D77F3">
      <w:pPr>
        <w:rPr>
          <w:noProof/>
          <w:lang w:val="es-ES_tradnl" w:eastAsia="ja-JP"/>
        </w:rPr>
      </w:pPr>
    </w:p>
    <w:p w:rsidR="000D77F3" w:rsidRPr="000D77F3" w:rsidRDefault="000D77F3" w:rsidP="000D77F3">
      <w:pPr>
        <w:rPr>
          <w:i/>
          <w:noProof/>
          <w:lang w:val="es-ES_tradnl" w:eastAsia="ja-JP"/>
        </w:rPr>
      </w:pPr>
      <w:r w:rsidRPr="000D77F3">
        <w:rPr>
          <w:i/>
          <w:noProof/>
          <w:lang w:val="es-ES_tradnl" w:eastAsia="ja-JP"/>
        </w:rPr>
        <w:t>Nuevo texto propuesto:</w:t>
      </w:r>
    </w:p>
    <w:p w:rsidR="000D77F3" w:rsidRPr="000D77F3" w:rsidRDefault="000D77F3" w:rsidP="000D77F3">
      <w:pPr>
        <w:rPr>
          <w:noProof/>
          <w:lang w:val="es-ES_tradnl" w:eastAsia="ja-JP"/>
        </w:rPr>
      </w:pPr>
    </w:p>
    <w:p w:rsidR="000D77F3" w:rsidRPr="000D77F3" w:rsidRDefault="000D77F3" w:rsidP="000D77F3">
      <w:pPr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t>2.2</w:t>
      </w:r>
      <w:r w:rsidRPr="000D77F3">
        <w:rPr>
          <w:noProof/>
          <w:lang w:val="es-ES_tradnl" w:eastAsia="ja-JP"/>
        </w:rPr>
        <w:tab/>
        <w:t xml:space="preserve">El material se entregará en forma de micelio y de cultivo puro en un medio adecuado. </w:t>
      </w:r>
    </w:p>
    <w:p w:rsidR="000D77F3" w:rsidRPr="000D77F3" w:rsidRDefault="000D77F3" w:rsidP="000D77F3">
      <w:pPr>
        <w:rPr>
          <w:noProof/>
          <w:lang w:val="es-ES_tradnl" w:eastAsia="ja-JP"/>
        </w:rPr>
      </w:pPr>
    </w:p>
    <w:p w:rsidR="000D77F3" w:rsidRPr="000D77F3" w:rsidRDefault="000D77F3" w:rsidP="000D77F3">
      <w:pPr>
        <w:ind w:left="567"/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t>a)</w:t>
      </w:r>
      <w:r w:rsidRPr="000D77F3">
        <w:rPr>
          <w:noProof/>
          <w:lang w:val="es-ES_tradnl" w:eastAsia="ja-JP"/>
        </w:rPr>
        <w:tab/>
        <w:t xml:space="preserve">La calidad del micelio debe garantizar la expresión de todos los caracteres pertinentes de la variedad. En particular, el micelio en grano </w:t>
      </w:r>
      <w:r w:rsidRPr="000D77F3">
        <w:rPr>
          <w:noProof/>
          <w:highlight w:val="lightGray"/>
          <w:u w:val="single"/>
          <w:lang w:val="es-ES_tradnl" w:eastAsia="ja-JP"/>
        </w:rPr>
        <w:t>o sustrato de aserrín</w:t>
      </w:r>
      <w:r w:rsidRPr="000D77F3">
        <w:rPr>
          <w:noProof/>
          <w:lang w:val="es-ES_tradnl" w:eastAsia="ja-JP"/>
        </w:rPr>
        <w:t xml:space="preserve"> debe apreciarse a simple vista y no debe estar colonizado hasta el punto de que los granos </w:t>
      </w:r>
      <w:r w:rsidRPr="000D77F3">
        <w:rPr>
          <w:noProof/>
          <w:highlight w:val="lightGray"/>
          <w:u w:val="single"/>
          <w:lang w:val="es-ES_tradnl" w:eastAsia="ja-JP"/>
        </w:rPr>
        <w:t>o el sustrato de aserrín</w:t>
      </w:r>
      <w:r w:rsidRPr="000D77F3">
        <w:rPr>
          <w:noProof/>
          <w:lang w:val="es-ES_tradnl" w:eastAsia="ja-JP"/>
        </w:rPr>
        <w:t xml:space="preserve"> estén pegados. El micelio no debe tener más de tres meses y debe estar almacenado en condiciones adecuadas.</w:t>
      </w:r>
    </w:p>
    <w:p w:rsidR="000D77F3" w:rsidRPr="000D77F3" w:rsidRDefault="000D77F3" w:rsidP="000D77F3">
      <w:pPr>
        <w:ind w:left="567"/>
        <w:rPr>
          <w:noProof/>
          <w:lang w:val="es-ES_tradnl" w:eastAsia="ja-JP"/>
        </w:rPr>
      </w:pPr>
    </w:p>
    <w:p w:rsidR="000D77F3" w:rsidRPr="000D77F3" w:rsidRDefault="000D77F3" w:rsidP="009C3B9C">
      <w:pPr>
        <w:keepNext/>
        <w:ind w:left="567"/>
        <w:rPr>
          <w:noProof/>
          <w:lang w:val="es-ES_tradnl" w:eastAsia="ja-JP"/>
        </w:rPr>
      </w:pPr>
      <w:r w:rsidRPr="000D77F3">
        <w:rPr>
          <w:noProof/>
          <w:lang w:val="es-ES_tradnl" w:eastAsia="ja-JP"/>
        </w:rPr>
        <w:lastRenderedPageBreak/>
        <w:t>b)</w:t>
      </w:r>
      <w:r w:rsidRPr="000D77F3">
        <w:rPr>
          <w:noProof/>
          <w:lang w:val="es-ES_tradnl" w:eastAsia="ja-JP"/>
        </w:rPr>
        <w:tab/>
        <w:t>Los cultivos puros deben realizarse en tubos de agar inclinados, utilizando un medio apropiado como el PDA (agar–papa–dextrosa) o agar extracto de malta. Los tubos deben cubrirse con fundas de algodón o de plástico que permitan la difusión de aire estéril. Los cultivos deben ser recientes, es decir, no deben haber estado más de 2 semanas a baja temperatura.</w:t>
      </w:r>
    </w:p>
    <w:p w:rsidR="000D77F3" w:rsidRPr="000D77F3" w:rsidRDefault="000D77F3" w:rsidP="009C3B9C">
      <w:pPr>
        <w:keepNext/>
        <w:rPr>
          <w:lang w:val="es-ES_tradnl"/>
        </w:rPr>
      </w:pPr>
    </w:p>
    <w:p w:rsidR="000D77F3" w:rsidRDefault="000D77F3" w:rsidP="000D77F3">
      <w:pPr>
        <w:rPr>
          <w:lang w:val="es-ES_tradnl"/>
        </w:rPr>
      </w:pPr>
    </w:p>
    <w:p w:rsidR="009C3B9C" w:rsidRPr="000D77F3" w:rsidRDefault="009C3B9C" w:rsidP="000D77F3">
      <w:pPr>
        <w:rPr>
          <w:lang w:val="es-ES_tradnl"/>
        </w:rPr>
      </w:pPr>
    </w:p>
    <w:p w:rsidR="000D77F3" w:rsidRPr="000D77F3" w:rsidRDefault="000D77F3" w:rsidP="000D77F3">
      <w:pPr>
        <w:ind w:left="567" w:hanging="567"/>
        <w:jc w:val="right"/>
        <w:rPr>
          <w:lang w:val="es-ES_tradnl"/>
        </w:rPr>
      </w:pPr>
      <w:r w:rsidRPr="000D77F3">
        <w:rPr>
          <w:lang w:val="es-ES_tradnl"/>
        </w:rPr>
        <w:t>[Fin del documento]</w:t>
      </w:r>
    </w:p>
    <w:p w:rsidR="00361821" w:rsidRPr="008D3729" w:rsidRDefault="00361821" w:rsidP="000D77F3">
      <w:pPr>
        <w:pStyle w:val="Titleofdoc0"/>
        <w:rPr>
          <w:lang w:val="es-ES_tradnl"/>
        </w:rPr>
      </w:pPr>
    </w:p>
    <w:sectPr w:rsidR="00361821" w:rsidRPr="008D3729" w:rsidSect="00E047C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F3" w:rsidRDefault="000D77F3" w:rsidP="00F45372">
      <w:r>
        <w:separator/>
      </w:r>
    </w:p>
    <w:p w:rsidR="000D77F3" w:rsidRDefault="000D77F3" w:rsidP="00F45372"/>
    <w:p w:rsidR="000D77F3" w:rsidRDefault="000D77F3" w:rsidP="00F45372"/>
  </w:endnote>
  <w:endnote w:type="continuationSeparator" w:id="0">
    <w:p w:rsidR="000D77F3" w:rsidRDefault="000D77F3" w:rsidP="00F45372">
      <w:r>
        <w:separator/>
      </w:r>
    </w:p>
    <w:p w:rsidR="000D77F3" w:rsidRPr="00970020" w:rsidRDefault="000D77F3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0D77F3" w:rsidRPr="00970020" w:rsidRDefault="000D77F3" w:rsidP="00F45372">
      <w:pPr>
        <w:rPr>
          <w:lang w:val="fr-CH"/>
        </w:rPr>
      </w:pPr>
    </w:p>
    <w:p w:rsidR="000D77F3" w:rsidRPr="00970020" w:rsidRDefault="000D77F3" w:rsidP="00F45372">
      <w:pPr>
        <w:rPr>
          <w:lang w:val="fr-CH"/>
        </w:rPr>
      </w:pPr>
    </w:p>
  </w:endnote>
  <w:endnote w:type="continuationNotice" w:id="1">
    <w:p w:rsidR="000D77F3" w:rsidRPr="00970020" w:rsidRDefault="000D77F3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0D77F3" w:rsidRPr="00970020" w:rsidRDefault="000D77F3" w:rsidP="00F45372">
      <w:pPr>
        <w:rPr>
          <w:lang w:val="fr-CH"/>
        </w:rPr>
      </w:pPr>
    </w:p>
    <w:p w:rsidR="000D77F3" w:rsidRPr="00970020" w:rsidRDefault="000D77F3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F3" w:rsidRDefault="000D77F3" w:rsidP="00F45372">
      <w:r>
        <w:separator/>
      </w:r>
    </w:p>
  </w:footnote>
  <w:footnote w:type="continuationSeparator" w:id="0">
    <w:p w:rsidR="000D77F3" w:rsidRDefault="000D77F3" w:rsidP="00F45372">
      <w:r>
        <w:separator/>
      </w:r>
    </w:p>
  </w:footnote>
  <w:footnote w:type="continuationNotice" w:id="1">
    <w:p w:rsidR="000D77F3" w:rsidRPr="00905020" w:rsidRDefault="000D77F3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0D77F3">
      <w:rPr>
        <w:rStyle w:val="PageNumber"/>
        <w:lang w:val="es-ES_tradnl"/>
      </w:rPr>
      <w:t>28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8A5250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F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0D77F3"/>
    <w:rsid w:val="00105929"/>
    <w:rsid w:val="001131D5"/>
    <w:rsid w:val="00141DB8"/>
    <w:rsid w:val="001479AA"/>
    <w:rsid w:val="0017474A"/>
    <w:rsid w:val="001758C6"/>
    <w:rsid w:val="00184D5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1D89"/>
    <w:rsid w:val="004F305A"/>
    <w:rsid w:val="00512164"/>
    <w:rsid w:val="00520297"/>
    <w:rsid w:val="005338F9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5250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C3B9C"/>
    <w:rsid w:val="009D690D"/>
    <w:rsid w:val="009E65B6"/>
    <w:rsid w:val="00A13C6F"/>
    <w:rsid w:val="00A37B04"/>
    <w:rsid w:val="00A42AC3"/>
    <w:rsid w:val="00A430CF"/>
    <w:rsid w:val="00A47CDB"/>
    <w:rsid w:val="00A54309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047CC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1</TotalTime>
  <Pages>2</Pages>
  <Words>464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2011-12-19T06:47:00Z</cp:lastPrinted>
  <dcterms:created xsi:type="dcterms:W3CDTF">2015-01-09T14:42:00Z</dcterms:created>
  <dcterms:modified xsi:type="dcterms:W3CDTF">2015-02-09T10:48:00Z</dcterms:modified>
</cp:coreProperties>
</file>