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515" w:type="pct"/>
        <w:tblInd w:w="-426" w:type="dxa"/>
        <w:tblLayout w:type="fixed"/>
        <w:tblCellMar>
          <w:left w:w="0" w:type="dxa"/>
          <w:right w:w="0" w:type="dxa"/>
        </w:tblCellMar>
        <w:tblLook w:val="0000" w:firstRow="0" w:lastRow="0" w:firstColumn="0" w:lastColumn="0" w:noHBand="0" w:noVBand="0"/>
      </w:tblPr>
      <w:tblGrid>
        <w:gridCol w:w="4244"/>
        <w:gridCol w:w="1646"/>
        <w:gridCol w:w="4742"/>
      </w:tblGrid>
      <w:tr w:rsidR="003575E6" w:rsidRPr="007E0D61" w:rsidTr="000F137E">
        <w:trPr>
          <w:trHeight w:val="1760"/>
        </w:trPr>
        <w:tc>
          <w:tcPr>
            <w:tcW w:w="4244" w:type="dxa"/>
          </w:tcPr>
          <w:p w:rsidR="000D7780" w:rsidRPr="003575E6" w:rsidRDefault="000D7780" w:rsidP="00F45372">
            <w:pPr>
              <w:rPr>
                <w:dstrike/>
                <w:lang w:val="es-ES_tradnl"/>
              </w:rPr>
            </w:pPr>
            <w:bookmarkStart w:id="0" w:name="_GoBack"/>
            <w:bookmarkEnd w:id="0"/>
          </w:p>
        </w:tc>
        <w:tc>
          <w:tcPr>
            <w:tcW w:w="1646" w:type="dxa"/>
            <w:vAlign w:val="center"/>
          </w:tcPr>
          <w:p w:rsidR="004F1D89" w:rsidRPr="003575E6" w:rsidRDefault="004F1D89" w:rsidP="00F45372">
            <w:pPr>
              <w:pStyle w:val="LogoUPOV"/>
              <w:rPr>
                <w:dstrike/>
                <w:lang w:val="es-ES_tradnl"/>
              </w:rPr>
            </w:pPr>
            <w:r w:rsidRPr="003575E6">
              <w:rPr>
                <w:noProof/>
              </w:rPr>
              <w:drawing>
                <wp:inline distT="0" distB="0" distL="0" distR="0" wp14:anchorId="648743C8" wp14:editId="344048D1">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742" w:type="dxa"/>
            <w:vAlign w:val="center"/>
          </w:tcPr>
          <w:p w:rsidR="000F2D0A" w:rsidRPr="003575E6" w:rsidRDefault="000F2D0A" w:rsidP="000F2D0A">
            <w:pPr>
              <w:pStyle w:val="Lettrine"/>
              <w:rPr>
                <w:lang w:val="es-ES_tradnl"/>
              </w:rPr>
            </w:pPr>
            <w:r w:rsidRPr="003575E6">
              <w:rPr>
                <w:lang w:val="es-ES_tradnl"/>
              </w:rPr>
              <w:t>S</w:t>
            </w:r>
          </w:p>
          <w:p w:rsidR="000F2D0A" w:rsidRPr="003575E6" w:rsidRDefault="000F2D0A" w:rsidP="000F2D0A">
            <w:pPr>
              <w:pStyle w:val="Docoriginal"/>
              <w:rPr>
                <w:lang w:val="es-ES_tradnl"/>
              </w:rPr>
            </w:pPr>
            <w:r w:rsidRPr="003575E6">
              <w:rPr>
                <w:lang w:val="es-ES_tradnl"/>
              </w:rPr>
              <w:t>TC/51/24</w:t>
            </w:r>
          </w:p>
          <w:p w:rsidR="000F2D0A" w:rsidRPr="003575E6" w:rsidRDefault="0061555F" w:rsidP="00F45372">
            <w:pPr>
              <w:pStyle w:val="Docoriginal"/>
              <w:rPr>
                <w:b w:val="0"/>
                <w:spacing w:val="0"/>
                <w:lang w:val="es-ES_tradnl"/>
              </w:rPr>
            </w:pPr>
            <w:r w:rsidRPr="003575E6">
              <w:rPr>
                <w:rStyle w:val="StyleDoclangBold"/>
                <w:b/>
                <w:bCs/>
                <w:spacing w:val="0"/>
                <w:lang w:val="es-ES_tradnl"/>
              </w:rPr>
              <w:t>ORIGINAL</w:t>
            </w:r>
            <w:r w:rsidR="000D7780" w:rsidRPr="003575E6">
              <w:rPr>
                <w:rStyle w:val="StyleDoclangBold"/>
                <w:b/>
                <w:bCs/>
                <w:spacing w:val="0"/>
                <w:lang w:val="es-ES_tradnl"/>
              </w:rPr>
              <w:t>:</w:t>
            </w:r>
            <w:r w:rsidRPr="003575E6">
              <w:rPr>
                <w:rStyle w:val="StyleDocoriginalNotBold1"/>
                <w:spacing w:val="0"/>
                <w:lang w:val="es-ES_tradnl"/>
              </w:rPr>
              <w:t xml:space="preserve"> </w:t>
            </w:r>
            <w:r w:rsidR="000D7780" w:rsidRPr="003575E6">
              <w:rPr>
                <w:rStyle w:val="StyleDocoriginalNotBold1"/>
                <w:spacing w:val="0"/>
                <w:lang w:val="es-ES_tradnl"/>
              </w:rPr>
              <w:t xml:space="preserve"> </w:t>
            </w:r>
            <w:bookmarkStart w:id="1" w:name="Original"/>
            <w:bookmarkEnd w:id="1"/>
            <w:r w:rsidR="00A47CDB" w:rsidRPr="003575E6">
              <w:rPr>
                <w:b w:val="0"/>
                <w:spacing w:val="0"/>
                <w:lang w:val="es-ES_tradnl"/>
              </w:rPr>
              <w:t>Inglés</w:t>
            </w:r>
          </w:p>
          <w:p w:rsidR="000D7780" w:rsidRPr="003575E6" w:rsidRDefault="00A47CDB" w:rsidP="007E0D61">
            <w:pPr>
              <w:pStyle w:val="Docoriginal"/>
              <w:rPr>
                <w:lang w:val="es-ES_tradnl"/>
              </w:rPr>
            </w:pPr>
            <w:r w:rsidRPr="003575E6">
              <w:rPr>
                <w:spacing w:val="0"/>
                <w:lang w:val="es-ES_tradnl"/>
              </w:rPr>
              <w:t>FECHA</w:t>
            </w:r>
            <w:r w:rsidR="000D7780" w:rsidRPr="003575E6">
              <w:rPr>
                <w:spacing w:val="0"/>
                <w:lang w:val="es-ES_tradnl"/>
              </w:rPr>
              <w:t>:</w:t>
            </w:r>
            <w:r w:rsidR="0061555F" w:rsidRPr="003575E6">
              <w:rPr>
                <w:b w:val="0"/>
                <w:spacing w:val="0"/>
                <w:lang w:val="es-ES_tradnl"/>
              </w:rPr>
              <w:t xml:space="preserve"> </w:t>
            </w:r>
            <w:r w:rsidR="000D7780" w:rsidRPr="003575E6">
              <w:rPr>
                <w:rStyle w:val="StyleDocoriginalNotBold1"/>
                <w:spacing w:val="0"/>
                <w:lang w:val="es-ES_tradnl"/>
              </w:rPr>
              <w:t xml:space="preserve"> </w:t>
            </w:r>
            <w:bookmarkStart w:id="2" w:name="Date"/>
            <w:bookmarkEnd w:id="2"/>
            <w:r w:rsidR="007E0D61" w:rsidRPr="007E0D61">
              <w:rPr>
                <w:rStyle w:val="StyleDocoriginalNotBold1"/>
                <w:spacing w:val="0"/>
                <w:lang w:val="es-ES_tradnl"/>
              </w:rPr>
              <w:t>1 de febrero</w:t>
            </w:r>
            <w:r w:rsidR="005C5BCA" w:rsidRPr="007E0D61">
              <w:rPr>
                <w:rStyle w:val="StyleDocoriginalNotBold1"/>
                <w:spacing w:val="0"/>
                <w:lang w:val="es-ES_tradnl"/>
              </w:rPr>
              <w:t xml:space="preserve"> de</w:t>
            </w:r>
            <w:r w:rsidR="00625523" w:rsidRPr="007E0D61">
              <w:rPr>
                <w:b w:val="0"/>
                <w:spacing w:val="0"/>
                <w:lang w:val="es-ES_tradnl"/>
              </w:rPr>
              <w:t xml:space="preserve"> </w:t>
            </w:r>
            <w:r w:rsidR="001131D5" w:rsidRPr="007E0D61">
              <w:rPr>
                <w:b w:val="0"/>
                <w:spacing w:val="0"/>
                <w:lang w:val="es-ES_tradnl"/>
              </w:rPr>
              <w:t>201</w:t>
            </w:r>
            <w:r w:rsidR="00625523" w:rsidRPr="007E0D61">
              <w:rPr>
                <w:b w:val="0"/>
                <w:spacing w:val="0"/>
                <w:lang w:val="es-ES_tradnl"/>
              </w:rPr>
              <w:t>5</w:t>
            </w:r>
          </w:p>
        </w:tc>
      </w:tr>
      <w:tr w:rsidR="003575E6" w:rsidRPr="007E0D61" w:rsidTr="000F137E">
        <w:tc>
          <w:tcPr>
            <w:tcW w:w="10632" w:type="dxa"/>
            <w:gridSpan w:val="3"/>
          </w:tcPr>
          <w:p w:rsidR="000D7780" w:rsidRPr="003575E6" w:rsidRDefault="000F2D0A" w:rsidP="000F137E">
            <w:pPr>
              <w:pStyle w:val="upove"/>
              <w:ind w:left="-36"/>
              <w:rPr>
                <w:szCs w:val="24"/>
                <w:lang w:val="es-ES_tradnl"/>
              </w:rPr>
            </w:pPr>
            <w:r w:rsidRPr="003575E6">
              <w:rPr>
                <w:szCs w:val="24"/>
                <w:lang w:val="es-ES_tradnl"/>
              </w:rPr>
              <w:t>UNIÓN INTERNACIONAL PARA LA PROTECCIÓN DE LAS OBTENCIONES VEGETALES</w:t>
            </w:r>
          </w:p>
        </w:tc>
      </w:tr>
      <w:tr w:rsidR="003575E6" w:rsidRPr="003575E6" w:rsidTr="000F137E">
        <w:tc>
          <w:tcPr>
            <w:tcW w:w="10632" w:type="dxa"/>
            <w:gridSpan w:val="3"/>
          </w:tcPr>
          <w:p w:rsidR="000D7780" w:rsidRPr="003575E6" w:rsidRDefault="000F2D0A" w:rsidP="000F2D0A">
            <w:pPr>
              <w:pStyle w:val="Country"/>
              <w:rPr>
                <w:lang w:val="es-ES_tradnl"/>
              </w:rPr>
            </w:pPr>
            <w:r w:rsidRPr="003575E6">
              <w:rPr>
                <w:lang w:val="es-ES_tradnl"/>
              </w:rPr>
              <w:t>Ginebra</w:t>
            </w:r>
          </w:p>
        </w:tc>
      </w:tr>
    </w:tbl>
    <w:p w:rsidR="0059001A" w:rsidRPr="003575E6" w:rsidRDefault="0059001A" w:rsidP="0059001A">
      <w:pPr>
        <w:pStyle w:val="Sessiontc"/>
        <w:rPr>
          <w:lang w:val="es-ES_tradnl"/>
        </w:rPr>
      </w:pPr>
      <w:r w:rsidRPr="003575E6">
        <w:rPr>
          <w:lang w:val="es-ES_tradnl"/>
        </w:rPr>
        <w:t>Comité TÉCNICO</w:t>
      </w:r>
    </w:p>
    <w:p w:rsidR="000F2D0A" w:rsidRPr="003575E6" w:rsidRDefault="007F4BB2" w:rsidP="00F45372">
      <w:pPr>
        <w:pStyle w:val="Sessiontcplacedate"/>
        <w:rPr>
          <w:lang w:val="es-ES_tradnl"/>
        </w:rPr>
      </w:pPr>
      <w:r w:rsidRPr="003575E6">
        <w:rPr>
          <w:lang w:val="es-ES_tradnl"/>
        </w:rPr>
        <w:t>Quincua</w:t>
      </w:r>
      <w:r w:rsidR="00A47CDB" w:rsidRPr="003575E6">
        <w:rPr>
          <w:lang w:val="es-ES_tradnl"/>
        </w:rPr>
        <w:t xml:space="preserve">gésima </w:t>
      </w:r>
      <w:r w:rsidR="00AA65E7" w:rsidRPr="003575E6">
        <w:rPr>
          <w:lang w:val="es-ES_tradnl"/>
        </w:rPr>
        <w:t xml:space="preserve">primera </w:t>
      </w:r>
      <w:r w:rsidR="00A47CDB" w:rsidRPr="003575E6">
        <w:rPr>
          <w:lang w:val="es-ES_tradnl"/>
        </w:rPr>
        <w:t>sesión</w:t>
      </w:r>
      <w:r w:rsidR="00A47CDB" w:rsidRPr="003575E6">
        <w:rPr>
          <w:lang w:val="es-ES_tradnl"/>
        </w:rPr>
        <w:br/>
        <w:t xml:space="preserve">Ginebra, </w:t>
      </w:r>
      <w:r w:rsidR="00AA65E7" w:rsidRPr="003575E6">
        <w:rPr>
          <w:lang w:val="es-ES_tradnl"/>
        </w:rPr>
        <w:t>23</w:t>
      </w:r>
      <w:r w:rsidR="008A1693" w:rsidRPr="003575E6">
        <w:rPr>
          <w:lang w:val="es-ES_tradnl"/>
        </w:rPr>
        <w:t xml:space="preserve"> a </w:t>
      </w:r>
      <w:r w:rsidR="00AA65E7" w:rsidRPr="003575E6">
        <w:rPr>
          <w:lang w:val="es-ES_tradnl"/>
        </w:rPr>
        <w:t>25</w:t>
      </w:r>
      <w:r w:rsidR="008A1693" w:rsidRPr="003575E6">
        <w:rPr>
          <w:lang w:val="es-ES_tradnl"/>
        </w:rPr>
        <w:t xml:space="preserve"> </w:t>
      </w:r>
      <w:r w:rsidR="00F77B84" w:rsidRPr="003575E6">
        <w:rPr>
          <w:lang w:val="es-ES_tradnl"/>
        </w:rPr>
        <w:t>de</w:t>
      </w:r>
      <w:r w:rsidR="008A1693" w:rsidRPr="003575E6">
        <w:rPr>
          <w:lang w:val="es-ES_tradnl"/>
        </w:rPr>
        <w:t xml:space="preserve"> </w:t>
      </w:r>
      <w:r w:rsidR="00AA65E7" w:rsidRPr="003575E6">
        <w:rPr>
          <w:lang w:val="es-ES_tradnl"/>
        </w:rPr>
        <w:t xml:space="preserve">marzo </w:t>
      </w:r>
      <w:r w:rsidR="008A1693" w:rsidRPr="003575E6">
        <w:rPr>
          <w:lang w:val="es-ES_tradnl"/>
        </w:rPr>
        <w:t>de 201</w:t>
      </w:r>
      <w:r w:rsidR="00AA65E7" w:rsidRPr="003575E6">
        <w:rPr>
          <w:lang w:val="es-ES_tradnl"/>
        </w:rPr>
        <w:t>5</w:t>
      </w:r>
    </w:p>
    <w:p w:rsidR="000F2D0A" w:rsidRPr="003575E6" w:rsidRDefault="00330F65" w:rsidP="00330F65">
      <w:pPr>
        <w:pStyle w:val="Titleofdoc0"/>
        <w:rPr>
          <w:lang w:val="es-ES_tradnl"/>
        </w:rPr>
      </w:pPr>
      <w:bookmarkStart w:id="3" w:name="TitleOfDoc"/>
      <w:bookmarkEnd w:id="3"/>
      <w:r w:rsidRPr="003575E6">
        <w:rPr>
          <w:lang w:val="es-ES_tradnl"/>
        </w:rPr>
        <w:t>REVISIÓN DEL DOCUMENTO TGP/10:</w:t>
      </w:r>
      <w:r w:rsidR="000745A3">
        <w:rPr>
          <w:lang w:val="es-ES_tradnl"/>
        </w:rPr>
        <w:t xml:space="preserve"> </w:t>
      </w:r>
      <w:r w:rsidRPr="003575E6">
        <w:rPr>
          <w:lang w:val="es-ES_tradnl"/>
        </w:rPr>
        <w:t>nueva sección:</w:t>
      </w:r>
      <w:r w:rsidR="00424E4B">
        <w:rPr>
          <w:lang w:val="es-ES_tradnl"/>
        </w:rPr>
        <w:t xml:space="preserve"> </w:t>
      </w:r>
      <w:r w:rsidRPr="003575E6">
        <w:rPr>
          <w:lang w:val="es-ES_tradnl"/>
        </w:rPr>
        <w:t>Evaluación de la homogeneidad de las plantas fuera de tipo</w:t>
      </w:r>
      <w:r w:rsidRPr="003575E6">
        <w:rPr>
          <w:lang w:val="es-ES_tradnl"/>
        </w:rPr>
        <w:br/>
        <w:t>mediante la observación de más de una muestra o submuestras</w:t>
      </w:r>
    </w:p>
    <w:p w:rsidR="000F2D0A" w:rsidRPr="00881EC8" w:rsidRDefault="000F2D0A" w:rsidP="00EC5E77">
      <w:pPr>
        <w:pStyle w:val="preparedby1"/>
        <w:rPr>
          <w:color w:val="A6A6A6" w:themeColor="background1" w:themeShade="A6"/>
          <w:lang w:val="es-ES_tradnl"/>
        </w:rPr>
      </w:pPr>
      <w:bookmarkStart w:id="4" w:name="Prepared"/>
      <w:bookmarkEnd w:id="4"/>
      <w:r w:rsidRPr="003575E6">
        <w:rPr>
          <w:lang w:val="es-ES_tradnl"/>
        </w:rPr>
        <w:t>Documento preparado por la Oficina de la Unión</w:t>
      </w:r>
      <w:r w:rsidR="00EC5E77" w:rsidRPr="003575E6">
        <w:rPr>
          <w:lang w:val="es-ES_tradnl"/>
        </w:rPr>
        <w:br/>
      </w:r>
      <w:r w:rsidR="00EC5E77" w:rsidRPr="00881EC8">
        <w:rPr>
          <w:color w:val="000000"/>
          <w:lang w:val="es-ES_tradnl"/>
        </w:rPr>
        <w:br/>
      </w:r>
      <w:r w:rsidRPr="00881EC8">
        <w:rPr>
          <w:i w:val="0"/>
          <w:color w:val="008000"/>
          <w:lang w:val="es-ES_tradnl"/>
        </w:rPr>
        <w:t xml:space="preserve"> </w:t>
      </w:r>
      <w:r w:rsidR="007E0D61">
        <w:rPr>
          <w:color w:val="A6A6A6" w:themeColor="background1" w:themeShade="A6"/>
          <w:lang w:val="es-ES_tradnl"/>
        </w:rPr>
        <w:t xml:space="preserve">Descargo de responsabilidad: </w:t>
      </w:r>
      <w:r w:rsidRPr="00881EC8">
        <w:rPr>
          <w:color w:val="A6A6A6" w:themeColor="background1" w:themeShade="A6"/>
          <w:lang w:val="es-ES_tradnl"/>
        </w:rPr>
        <w:t>el presente documento no constituye</w:t>
      </w:r>
      <w:r w:rsidRPr="00881EC8">
        <w:rPr>
          <w:i w:val="0"/>
          <w:color w:val="A6A6A6" w:themeColor="background1" w:themeShade="A6"/>
          <w:lang w:val="es-ES_tradnl"/>
        </w:rPr>
        <w:t xml:space="preserve"> </w:t>
      </w:r>
      <w:r w:rsidR="00950C3C" w:rsidRPr="00881EC8">
        <w:rPr>
          <w:i w:val="0"/>
          <w:color w:val="A6A6A6" w:themeColor="background1" w:themeShade="A6"/>
          <w:lang w:val="es-ES_tradnl"/>
        </w:rPr>
        <w:br/>
      </w:r>
      <w:r w:rsidRPr="00881EC8">
        <w:rPr>
          <w:color w:val="A6A6A6" w:themeColor="background1" w:themeShade="A6"/>
          <w:lang w:val="es-ES_tradnl"/>
        </w:rPr>
        <w:t>un documento de política u orientación de la UPOV</w:t>
      </w:r>
    </w:p>
    <w:p w:rsidR="000F2D0A" w:rsidRPr="003575E6" w:rsidRDefault="008638B2" w:rsidP="005C5BCA">
      <w:pPr>
        <w:autoSpaceDE w:val="0"/>
        <w:autoSpaceDN w:val="0"/>
        <w:adjustRightInd w:val="0"/>
        <w:rPr>
          <w:rFonts w:eastAsia="MS Mincho"/>
          <w:szCs w:val="24"/>
          <w:lang w:val="es-ES_tradnl" w:eastAsia="ja-JP"/>
        </w:rPr>
      </w:pPr>
      <w:r w:rsidRPr="003575E6">
        <w:rPr>
          <w:szCs w:val="24"/>
        </w:rPr>
        <w:fldChar w:fldCharType="begin"/>
      </w:r>
      <w:r w:rsidR="005C5BCA" w:rsidRPr="003575E6">
        <w:rPr>
          <w:szCs w:val="24"/>
          <w:lang w:val="es-ES_tradnl"/>
        </w:rPr>
        <w:instrText xml:space="preserve"> AUTONUM  </w:instrText>
      </w:r>
      <w:r w:rsidRPr="003575E6">
        <w:rPr>
          <w:szCs w:val="24"/>
        </w:rPr>
        <w:fldChar w:fldCharType="end"/>
      </w:r>
      <w:r w:rsidR="005C5BCA" w:rsidRPr="003575E6">
        <w:rPr>
          <w:szCs w:val="24"/>
          <w:lang w:val="es-ES_tradnl"/>
        </w:rPr>
        <w:tab/>
      </w:r>
      <w:r w:rsidR="00330F65" w:rsidRPr="003575E6">
        <w:rPr>
          <w:rFonts w:eastAsia="MS Mincho"/>
          <w:szCs w:val="24"/>
          <w:lang w:val="es-ES_tradnl" w:eastAsia="ja-JP"/>
        </w:rPr>
        <w:t xml:space="preserve">El presente documento tiene por objeto presentar una propuesta </w:t>
      </w:r>
      <w:r w:rsidR="009C1D94" w:rsidRPr="003575E6">
        <w:rPr>
          <w:rFonts w:eastAsia="MS Mincho"/>
          <w:szCs w:val="24"/>
          <w:lang w:val="es-ES_tradnl" w:eastAsia="ja-JP"/>
        </w:rPr>
        <w:t>de</w:t>
      </w:r>
      <w:r w:rsidR="00330F65" w:rsidRPr="003575E6">
        <w:rPr>
          <w:rFonts w:eastAsia="MS Mincho"/>
          <w:szCs w:val="24"/>
          <w:lang w:val="es-ES_tradnl" w:eastAsia="ja-JP"/>
        </w:rPr>
        <w:t xml:space="preserve"> revisión del documento TGP/10 “Examen de la homogeneidad” para ofrecer orientación sobre la evaluación de la homogeneidad de las plantas fuera de tipo mediante la observación de más de una muestra o submuestra.</w:t>
      </w:r>
      <w:r w:rsidR="005C5BCA" w:rsidRPr="003575E6">
        <w:rPr>
          <w:rFonts w:eastAsia="MS Mincho"/>
          <w:szCs w:val="24"/>
          <w:lang w:val="es-ES_tradnl" w:eastAsia="ja-JP"/>
        </w:rPr>
        <w:t xml:space="preserve">  </w:t>
      </w:r>
    </w:p>
    <w:p w:rsidR="000F2D0A" w:rsidRPr="003575E6" w:rsidRDefault="000F2D0A" w:rsidP="005C5BCA">
      <w:pPr>
        <w:autoSpaceDE w:val="0"/>
        <w:autoSpaceDN w:val="0"/>
        <w:adjustRightInd w:val="0"/>
        <w:rPr>
          <w:rFonts w:eastAsia="MS Mincho"/>
          <w:szCs w:val="24"/>
          <w:lang w:val="es-ES_tradnl" w:eastAsia="ja-JP"/>
        </w:rPr>
      </w:pPr>
    </w:p>
    <w:p w:rsidR="000F2D0A" w:rsidRPr="003575E6" w:rsidRDefault="008638B2" w:rsidP="000F2D0A">
      <w:pPr>
        <w:rPr>
          <w:rFonts w:cs="Arial"/>
          <w:lang w:val="es-ES"/>
        </w:rPr>
      </w:pPr>
      <w:r w:rsidRPr="003575E6">
        <w:fldChar w:fldCharType="begin"/>
      </w:r>
      <w:r w:rsidR="005C5BCA" w:rsidRPr="003575E6">
        <w:rPr>
          <w:lang w:val="es-ES"/>
        </w:rPr>
        <w:instrText xml:space="preserve"> AUTONUM  </w:instrText>
      </w:r>
      <w:r w:rsidRPr="003575E6">
        <w:fldChar w:fldCharType="end"/>
      </w:r>
      <w:r w:rsidR="005C5BCA" w:rsidRPr="003575E6">
        <w:rPr>
          <w:lang w:val="es-ES"/>
        </w:rPr>
        <w:tab/>
      </w:r>
      <w:r w:rsidR="000F2D0A" w:rsidRPr="003575E6">
        <w:rPr>
          <w:lang w:val="es-ES_tradnl"/>
        </w:rPr>
        <w:t>En el presente documento se utilizan las abreviaturas siguientes:</w:t>
      </w:r>
    </w:p>
    <w:p w:rsidR="000F2D0A" w:rsidRPr="003575E6" w:rsidRDefault="000F2D0A" w:rsidP="005C5BCA">
      <w:pPr>
        <w:rPr>
          <w:rFonts w:cs="Arial"/>
          <w:lang w:val="es-ES"/>
        </w:rPr>
      </w:pPr>
    </w:p>
    <w:p w:rsidR="00424E4B" w:rsidRDefault="005C5BCA" w:rsidP="00424E4B">
      <w:pPr>
        <w:tabs>
          <w:tab w:val="left" w:pos="567"/>
          <w:tab w:val="left" w:pos="1701"/>
        </w:tabs>
        <w:rPr>
          <w:rFonts w:cs="Arial"/>
          <w:lang w:val="es-ES"/>
        </w:rPr>
      </w:pPr>
      <w:r w:rsidRPr="003575E6">
        <w:rPr>
          <w:rFonts w:cs="Arial"/>
          <w:lang w:val="es-ES"/>
        </w:rPr>
        <w:tab/>
      </w:r>
      <w:r w:rsidR="000F7304" w:rsidRPr="003575E6">
        <w:rPr>
          <w:rFonts w:cs="Arial"/>
          <w:lang w:val="es-ES_tradnl"/>
        </w:rPr>
        <w:t>TC:</w:t>
      </w:r>
      <w:r w:rsidR="000F7304" w:rsidRPr="003575E6">
        <w:rPr>
          <w:rFonts w:cs="Arial"/>
          <w:lang w:val="es-ES_tradnl"/>
        </w:rPr>
        <w:tab/>
      </w:r>
      <w:r w:rsidR="000F2D0A" w:rsidRPr="003575E6">
        <w:rPr>
          <w:rFonts w:cs="Arial"/>
          <w:lang w:val="es-ES_tradnl"/>
        </w:rPr>
        <w:t>Comité Técnico</w:t>
      </w:r>
    </w:p>
    <w:p w:rsidR="000F2D0A" w:rsidRPr="00424E4B" w:rsidRDefault="00424E4B" w:rsidP="00424E4B">
      <w:pPr>
        <w:tabs>
          <w:tab w:val="left" w:pos="567"/>
          <w:tab w:val="left" w:pos="1701"/>
        </w:tabs>
        <w:rPr>
          <w:rFonts w:cs="Arial"/>
          <w:lang w:val="es-ES"/>
        </w:rPr>
      </w:pPr>
      <w:r>
        <w:rPr>
          <w:rFonts w:cs="Arial"/>
          <w:lang w:val="es-ES"/>
        </w:rPr>
        <w:tab/>
        <w:t>TC-EDC:</w:t>
      </w:r>
      <w:r>
        <w:rPr>
          <w:rFonts w:cs="Arial"/>
          <w:lang w:val="es-ES"/>
        </w:rPr>
        <w:tab/>
      </w:r>
      <w:r w:rsidR="000F2D0A" w:rsidRPr="003575E6">
        <w:rPr>
          <w:rFonts w:eastAsia="PMingLiU" w:cs="Arial"/>
          <w:szCs w:val="24"/>
          <w:lang w:val="es-ES_tradnl"/>
        </w:rPr>
        <w:t>Comité de Redacción Ampliado</w:t>
      </w:r>
    </w:p>
    <w:p w:rsidR="000F2D0A" w:rsidRPr="003575E6" w:rsidRDefault="005C5BCA" w:rsidP="00F6316F">
      <w:pPr>
        <w:tabs>
          <w:tab w:val="left" w:pos="567"/>
          <w:tab w:val="left" w:pos="1701"/>
        </w:tabs>
        <w:rPr>
          <w:rFonts w:eastAsia="PMingLiU" w:cs="Arial"/>
          <w:szCs w:val="24"/>
          <w:lang w:val="es-ES"/>
        </w:rPr>
      </w:pPr>
      <w:r w:rsidRPr="003575E6">
        <w:rPr>
          <w:rFonts w:eastAsia="PMingLiU" w:cs="Arial"/>
          <w:szCs w:val="24"/>
          <w:lang w:val="es-ES"/>
        </w:rPr>
        <w:tab/>
      </w:r>
      <w:r w:rsidR="00F6316F" w:rsidRPr="003575E6">
        <w:rPr>
          <w:rFonts w:eastAsia="PMingLiU" w:cs="Arial"/>
          <w:szCs w:val="24"/>
          <w:lang w:val="es-ES_tradnl"/>
        </w:rPr>
        <w:t>TWA:</w:t>
      </w:r>
      <w:r w:rsidR="00F6316F" w:rsidRPr="003575E6">
        <w:rPr>
          <w:rFonts w:eastAsia="PMingLiU" w:cs="Arial"/>
          <w:szCs w:val="24"/>
          <w:lang w:val="es-ES_tradnl"/>
        </w:rPr>
        <w:tab/>
      </w:r>
      <w:r w:rsidR="000F2D0A" w:rsidRPr="003575E6">
        <w:rPr>
          <w:rFonts w:cs="Arial"/>
          <w:lang w:val="es-ES_tradnl"/>
        </w:rPr>
        <w:t>Grupo</w:t>
      </w:r>
      <w:r w:rsidR="000F2D0A" w:rsidRPr="003575E6">
        <w:rPr>
          <w:rFonts w:eastAsia="PMingLiU" w:cs="Arial"/>
          <w:szCs w:val="24"/>
          <w:lang w:val="es-ES_tradnl"/>
        </w:rPr>
        <w:t xml:space="preserve"> de Trabajo Técnico sobre Plantas Agrícolas</w:t>
      </w:r>
    </w:p>
    <w:p w:rsidR="000F2D0A" w:rsidRPr="003575E6" w:rsidRDefault="005C5BCA" w:rsidP="00F6316F">
      <w:pPr>
        <w:tabs>
          <w:tab w:val="left" w:pos="567"/>
          <w:tab w:val="left" w:pos="1701"/>
        </w:tabs>
        <w:rPr>
          <w:rFonts w:eastAsia="PMingLiU" w:cs="Arial"/>
          <w:szCs w:val="24"/>
          <w:lang w:val="es-ES"/>
        </w:rPr>
      </w:pPr>
      <w:r w:rsidRPr="003575E6">
        <w:rPr>
          <w:rFonts w:eastAsia="PMingLiU" w:cs="Arial"/>
          <w:szCs w:val="24"/>
          <w:lang w:val="es-ES"/>
        </w:rPr>
        <w:tab/>
      </w:r>
      <w:r w:rsidR="000F2D0A" w:rsidRPr="003575E6">
        <w:rPr>
          <w:rFonts w:eastAsia="PMingLiU" w:cs="Arial"/>
          <w:szCs w:val="24"/>
          <w:lang w:val="es-ES_tradnl"/>
        </w:rPr>
        <w:t xml:space="preserve">TWC: </w:t>
      </w:r>
      <w:r w:rsidR="00F6316F" w:rsidRPr="003575E6">
        <w:rPr>
          <w:rFonts w:eastAsia="PMingLiU" w:cs="Arial"/>
          <w:szCs w:val="24"/>
          <w:lang w:val="es-ES_tradnl"/>
        </w:rPr>
        <w:tab/>
      </w:r>
      <w:r w:rsidR="000F2D0A" w:rsidRPr="003575E6">
        <w:rPr>
          <w:rFonts w:eastAsia="PMingLiU" w:cs="Arial"/>
          <w:szCs w:val="24"/>
          <w:lang w:val="es-ES_tradnl"/>
        </w:rPr>
        <w:t>Grupo de Trabajo Técnico sobre Automatización y Programas Informáticos</w:t>
      </w:r>
    </w:p>
    <w:p w:rsidR="000F2D0A" w:rsidRPr="003575E6" w:rsidRDefault="005C5BCA" w:rsidP="00F6316F">
      <w:pPr>
        <w:tabs>
          <w:tab w:val="left" w:pos="567"/>
          <w:tab w:val="left" w:pos="1701"/>
        </w:tabs>
        <w:rPr>
          <w:rFonts w:eastAsia="PMingLiU" w:cs="Arial"/>
          <w:szCs w:val="24"/>
          <w:lang w:val="es-ES"/>
        </w:rPr>
      </w:pPr>
      <w:r w:rsidRPr="003575E6">
        <w:rPr>
          <w:rFonts w:eastAsia="PMingLiU" w:cs="Arial"/>
          <w:szCs w:val="24"/>
          <w:lang w:val="es-ES"/>
        </w:rPr>
        <w:tab/>
      </w:r>
      <w:r w:rsidR="000F2D0A" w:rsidRPr="003575E6">
        <w:rPr>
          <w:rFonts w:eastAsia="PMingLiU" w:cs="Arial"/>
          <w:szCs w:val="24"/>
          <w:lang w:val="es-ES_tradnl"/>
        </w:rPr>
        <w:t xml:space="preserve">TWF:  </w:t>
      </w:r>
      <w:r w:rsidR="00F6316F" w:rsidRPr="003575E6">
        <w:rPr>
          <w:rFonts w:eastAsia="PMingLiU" w:cs="Arial"/>
          <w:szCs w:val="24"/>
          <w:lang w:val="es-ES_tradnl"/>
        </w:rPr>
        <w:tab/>
      </w:r>
      <w:r w:rsidR="000F2D0A" w:rsidRPr="003575E6">
        <w:rPr>
          <w:rFonts w:eastAsia="PMingLiU" w:cs="Arial"/>
          <w:szCs w:val="24"/>
          <w:lang w:val="es-ES_tradnl"/>
        </w:rPr>
        <w:t>Grupo de Trabajo Técnico sobre Plantas Frutales</w:t>
      </w:r>
    </w:p>
    <w:p w:rsidR="000F2D0A" w:rsidRPr="003575E6" w:rsidRDefault="005C5BCA" w:rsidP="00F6316F">
      <w:pPr>
        <w:tabs>
          <w:tab w:val="left" w:pos="567"/>
          <w:tab w:val="left" w:pos="1701"/>
        </w:tabs>
        <w:rPr>
          <w:rFonts w:eastAsia="PMingLiU" w:cs="Arial"/>
          <w:szCs w:val="24"/>
          <w:lang w:val="es-ES"/>
        </w:rPr>
      </w:pPr>
      <w:r w:rsidRPr="003575E6">
        <w:rPr>
          <w:rFonts w:eastAsia="PMingLiU" w:cs="Arial"/>
          <w:szCs w:val="24"/>
          <w:lang w:val="es-ES"/>
        </w:rPr>
        <w:tab/>
      </w:r>
      <w:r w:rsidR="000F2D0A" w:rsidRPr="003575E6">
        <w:rPr>
          <w:rFonts w:eastAsia="PMingLiU" w:cs="Arial"/>
          <w:szCs w:val="24"/>
          <w:lang w:val="es-ES_tradnl"/>
        </w:rPr>
        <w:t xml:space="preserve">TWO: </w:t>
      </w:r>
      <w:r w:rsidR="00F6316F" w:rsidRPr="003575E6">
        <w:rPr>
          <w:rFonts w:eastAsia="PMingLiU" w:cs="Arial"/>
          <w:szCs w:val="24"/>
          <w:lang w:val="es-ES_tradnl"/>
        </w:rPr>
        <w:tab/>
      </w:r>
      <w:r w:rsidR="000F2D0A" w:rsidRPr="003575E6">
        <w:rPr>
          <w:rFonts w:cs="Arial"/>
          <w:lang w:val="es-ES_tradnl"/>
        </w:rPr>
        <w:t>Grupo</w:t>
      </w:r>
      <w:r w:rsidR="000F2D0A" w:rsidRPr="003575E6">
        <w:rPr>
          <w:rFonts w:eastAsia="PMingLiU" w:cs="Arial"/>
          <w:szCs w:val="24"/>
          <w:lang w:val="es-ES_tradnl"/>
        </w:rPr>
        <w:t xml:space="preserve"> de Trabajo Técnico sobre Plantas Ornamentales y Árboles Forestales</w:t>
      </w:r>
    </w:p>
    <w:p w:rsidR="000F2D0A" w:rsidRPr="003575E6" w:rsidRDefault="005C5BCA" w:rsidP="00F6316F">
      <w:pPr>
        <w:tabs>
          <w:tab w:val="left" w:pos="567"/>
          <w:tab w:val="left" w:pos="1701"/>
        </w:tabs>
        <w:rPr>
          <w:rFonts w:eastAsia="PMingLiU" w:cs="Arial"/>
          <w:szCs w:val="24"/>
          <w:lang w:val="es-ES"/>
        </w:rPr>
      </w:pPr>
      <w:r w:rsidRPr="003575E6">
        <w:rPr>
          <w:rFonts w:eastAsia="PMingLiU" w:cs="Arial"/>
          <w:szCs w:val="24"/>
          <w:lang w:val="es-ES"/>
        </w:rPr>
        <w:tab/>
      </w:r>
      <w:r w:rsidR="000F2D0A" w:rsidRPr="003575E6">
        <w:rPr>
          <w:rFonts w:eastAsia="PMingLiU" w:cs="Arial"/>
          <w:szCs w:val="24"/>
          <w:lang w:val="es-ES_tradnl"/>
        </w:rPr>
        <w:t xml:space="preserve">TWP: </w:t>
      </w:r>
      <w:r w:rsidR="00F6316F" w:rsidRPr="003575E6">
        <w:rPr>
          <w:rFonts w:eastAsia="PMingLiU" w:cs="Arial"/>
          <w:szCs w:val="24"/>
          <w:lang w:val="es-ES_tradnl"/>
        </w:rPr>
        <w:tab/>
      </w:r>
      <w:r w:rsidR="000F2D0A" w:rsidRPr="003575E6">
        <w:rPr>
          <w:rFonts w:cs="Arial"/>
          <w:lang w:val="es-ES_tradnl"/>
        </w:rPr>
        <w:t>Grupos</w:t>
      </w:r>
      <w:r w:rsidR="000F2D0A" w:rsidRPr="003575E6">
        <w:rPr>
          <w:rFonts w:eastAsia="PMingLiU" w:cs="Arial"/>
          <w:szCs w:val="24"/>
          <w:lang w:val="es-ES_tradnl"/>
        </w:rPr>
        <w:t xml:space="preserve"> de Trabajo Técnico</w:t>
      </w:r>
    </w:p>
    <w:p w:rsidR="000F2D0A" w:rsidRPr="003575E6" w:rsidRDefault="005C5BCA" w:rsidP="00F6316F">
      <w:pPr>
        <w:tabs>
          <w:tab w:val="left" w:pos="567"/>
          <w:tab w:val="left" w:pos="1701"/>
        </w:tabs>
        <w:rPr>
          <w:rFonts w:eastAsia="PMingLiU" w:cs="Arial"/>
          <w:szCs w:val="24"/>
          <w:lang w:val="es-ES"/>
        </w:rPr>
      </w:pPr>
      <w:r w:rsidRPr="003575E6">
        <w:rPr>
          <w:rFonts w:eastAsia="PMingLiU" w:cs="Arial"/>
          <w:szCs w:val="24"/>
          <w:lang w:val="es-ES"/>
        </w:rPr>
        <w:tab/>
      </w:r>
      <w:r w:rsidR="000F2D0A" w:rsidRPr="003575E6">
        <w:rPr>
          <w:rFonts w:eastAsia="PMingLiU" w:cs="Arial"/>
          <w:szCs w:val="24"/>
          <w:lang w:val="es-ES_tradnl"/>
        </w:rPr>
        <w:t xml:space="preserve">TWV: </w:t>
      </w:r>
      <w:r w:rsidR="00F6316F" w:rsidRPr="003575E6">
        <w:rPr>
          <w:rFonts w:eastAsia="PMingLiU" w:cs="Arial"/>
          <w:szCs w:val="24"/>
          <w:lang w:val="es-ES_tradnl"/>
        </w:rPr>
        <w:tab/>
      </w:r>
      <w:r w:rsidR="000F2D0A" w:rsidRPr="003575E6">
        <w:rPr>
          <w:rFonts w:cs="Arial"/>
          <w:lang w:val="es-ES_tradnl"/>
        </w:rPr>
        <w:t>Grupo</w:t>
      </w:r>
      <w:r w:rsidR="000F2D0A" w:rsidRPr="003575E6">
        <w:rPr>
          <w:rFonts w:eastAsia="PMingLiU" w:cs="Arial"/>
          <w:szCs w:val="24"/>
          <w:lang w:val="es-ES_tradnl"/>
        </w:rPr>
        <w:t xml:space="preserve"> de Trabajo Técnico sobre Hortalizas</w:t>
      </w:r>
    </w:p>
    <w:p w:rsidR="000F2D0A" w:rsidRPr="003575E6" w:rsidRDefault="000F2D0A" w:rsidP="005C5BCA">
      <w:pPr>
        <w:rPr>
          <w:rFonts w:eastAsia="PMingLiU" w:cs="Arial"/>
          <w:szCs w:val="24"/>
          <w:lang w:val="es-ES"/>
        </w:rPr>
      </w:pPr>
    </w:p>
    <w:p w:rsidR="000F2D0A" w:rsidRPr="003575E6" w:rsidRDefault="008638B2" w:rsidP="000F2D0A">
      <w:pPr>
        <w:autoSpaceDE w:val="0"/>
        <w:autoSpaceDN w:val="0"/>
        <w:adjustRightInd w:val="0"/>
        <w:spacing w:before="120"/>
        <w:rPr>
          <w:rFonts w:eastAsia="MS Mincho"/>
          <w:szCs w:val="24"/>
          <w:lang w:val="es-ES" w:eastAsia="ja-JP"/>
        </w:rPr>
      </w:pPr>
      <w:r w:rsidRPr="003575E6">
        <w:fldChar w:fldCharType="begin"/>
      </w:r>
      <w:r w:rsidR="005C5BCA" w:rsidRPr="003575E6">
        <w:rPr>
          <w:lang w:val="es-ES"/>
        </w:rPr>
        <w:instrText xml:space="preserve"> AUTONUM  </w:instrText>
      </w:r>
      <w:r w:rsidRPr="003575E6">
        <w:fldChar w:fldCharType="end"/>
      </w:r>
      <w:r w:rsidR="005C5BCA" w:rsidRPr="003575E6">
        <w:rPr>
          <w:lang w:val="es-ES"/>
        </w:rPr>
        <w:tab/>
      </w:r>
      <w:r w:rsidR="000F2D0A" w:rsidRPr="003575E6">
        <w:rPr>
          <w:lang w:val="es-ES_tradnl"/>
        </w:rPr>
        <w:t>La estructura del presente documento es la siguiente:</w:t>
      </w:r>
    </w:p>
    <w:p w:rsidR="000F2D0A" w:rsidRPr="003575E6" w:rsidRDefault="000F2D0A" w:rsidP="005C5BCA">
      <w:pPr>
        <w:autoSpaceDE w:val="0"/>
        <w:autoSpaceDN w:val="0"/>
        <w:adjustRightInd w:val="0"/>
        <w:spacing w:before="120"/>
        <w:rPr>
          <w:rFonts w:eastAsia="MS Mincho"/>
          <w:szCs w:val="24"/>
          <w:lang w:val="es-ES" w:eastAsia="ja-JP"/>
        </w:rPr>
      </w:pPr>
    </w:p>
    <w:p w:rsidR="000F7304" w:rsidRPr="003575E6" w:rsidRDefault="008638B2" w:rsidP="00F6316F">
      <w:pPr>
        <w:pStyle w:val="TOC1"/>
        <w:rPr>
          <w:rStyle w:val="Hyperlink"/>
          <w:noProof/>
          <w:color w:val="auto"/>
        </w:rPr>
      </w:pPr>
      <w:r w:rsidRPr="003575E6">
        <w:rPr>
          <w:noProof/>
          <w:snapToGrid w:val="0"/>
        </w:rPr>
        <w:fldChar w:fldCharType="begin"/>
      </w:r>
      <w:r w:rsidR="005C5BCA" w:rsidRPr="003575E6">
        <w:rPr>
          <w:snapToGrid w:val="0"/>
        </w:rPr>
        <w:instrText xml:space="preserve"> TOC \o "1-3" \h \z \u </w:instrText>
      </w:r>
      <w:r w:rsidRPr="003575E6">
        <w:rPr>
          <w:noProof/>
          <w:snapToGrid w:val="0"/>
        </w:rPr>
        <w:fldChar w:fldCharType="separate"/>
      </w:r>
      <w:hyperlink w:anchor="_Toc410723871" w:history="1">
        <w:r w:rsidR="000F7304" w:rsidRPr="003575E6">
          <w:rPr>
            <w:rStyle w:val="Hyperlink"/>
            <w:rFonts w:eastAsia="MS Mincho"/>
            <w:noProof/>
            <w:color w:val="auto"/>
            <w:lang w:eastAsia="ja-JP"/>
          </w:rPr>
          <w:t>ANTECEDENTES</w:t>
        </w:r>
        <w:r w:rsidR="000F7304" w:rsidRPr="003575E6">
          <w:rPr>
            <w:noProof/>
            <w:webHidden/>
          </w:rPr>
          <w:tab/>
        </w:r>
        <w:r w:rsidRPr="003575E6">
          <w:rPr>
            <w:noProof/>
            <w:webHidden/>
          </w:rPr>
          <w:fldChar w:fldCharType="begin"/>
        </w:r>
        <w:r w:rsidR="000F7304" w:rsidRPr="003575E6">
          <w:rPr>
            <w:noProof/>
            <w:webHidden/>
          </w:rPr>
          <w:instrText xml:space="preserve"> PAGEREF _Toc410723871 \h </w:instrText>
        </w:r>
        <w:r w:rsidRPr="003575E6">
          <w:rPr>
            <w:noProof/>
            <w:webHidden/>
          </w:rPr>
        </w:r>
        <w:r w:rsidRPr="003575E6">
          <w:rPr>
            <w:noProof/>
            <w:webHidden/>
          </w:rPr>
          <w:fldChar w:fldCharType="separate"/>
        </w:r>
        <w:r w:rsidR="002D7493">
          <w:rPr>
            <w:noProof/>
            <w:webHidden/>
          </w:rPr>
          <w:t>2</w:t>
        </w:r>
        <w:r w:rsidRPr="003575E6">
          <w:rPr>
            <w:noProof/>
            <w:webHidden/>
          </w:rPr>
          <w:fldChar w:fldCharType="end"/>
        </w:r>
      </w:hyperlink>
    </w:p>
    <w:p w:rsidR="00F6316F" w:rsidRPr="003575E6" w:rsidRDefault="00F6316F" w:rsidP="00F6316F">
      <w:pPr>
        <w:rPr>
          <w:rFonts w:eastAsiaTheme="minorEastAsia"/>
          <w:noProof/>
        </w:rPr>
      </w:pPr>
    </w:p>
    <w:p w:rsidR="000F7304" w:rsidRPr="003575E6" w:rsidRDefault="002D7493" w:rsidP="00F6316F">
      <w:pPr>
        <w:pStyle w:val="TOC1"/>
        <w:rPr>
          <w:rFonts w:asciiTheme="minorHAnsi" w:eastAsiaTheme="minorEastAsia" w:hAnsiTheme="minorHAnsi" w:cstheme="minorBidi"/>
          <w:noProof/>
          <w:sz w:val="22"/>
          <w:szCs w:val="22"/>
          <w:lang w:val="es-ES" w:eastAsia="es-ES" w:bidi="lo-LA"/>
        </w:rPr>
      </w:pPr>
      <w:hyperlink w:anchor="_Toc410723872" w:history="1">
        <w:r w:rsidR="000F7304" w:rsidRPr="003575E6">
          <w:rPr>
            <w:rStyle w:val="Hyperlink"/>
            <w:noProof/>
            <w:color w:val="auto"/>
            <w:lang w:val="es-ES_tradnl"/>
          </w:rPr>
          <w:t>NOVEDADES ACAECIDAS EN 2014</w:t>
        </w:r>
        <w:r w:rsidR="000F7304" w:rsidRPr="003575E6">
          <w:rPr>
            <w:noProof/>
            <w:webHidden/>
          </w:rPr>
          <w:tab/>
        </w:r>
        <w:r w:rsidR="008638B2" w:rsidRPr="003575E6">
          <w:rPr>
            <w:noProof/>
            <w:webHidden/>
          </w:rPr>
          <w:fldChar w:fldCharType="begin"/>
        </w:r>
        <w:r w:rsidR="000F7304" w:rsidRPr="003575E6">
          <w:rPr>
            <w:noProof/>
            <w:webHidden/>
          </w:rPr>
          <w:instrText xml:space="preserve"> PAGEREF _Toc410723872 \h </w:instrText>
        </w:r>
        <w:r w:rsidR="008638B2" w:rsidRPr="003575E6">
          <w:rPr>
            <w:noProof/>
            <w:webHidden/>
          </w:rPr>
        </w:r>
        <w:r w:rsidR="008638B2" w:rsidRPr="003575E6">
          <w:rPr>
            <w:noProof/>
            <w:webHidden/>
          </w:rPr>
          <w:fldChar w:fldCharType="separate"/>
        </w:r>
        <w:r>
          <w:rPr>
            <w:noProof/>
            <w:webHidden/>
          </w:rPr>
          <w:t>2</w:t>
        </w:r>
        <w:r w:rsidR="008638B2" w:rsidRPr="003575E6">
          <w:rPr>
            <w:noProof/>
            <w:webHidden/>
          </w:rPr>
          <w:fldChar w:fldCharType="end"/>
        </w:r>
      </w:hyperlink>
    </w:p>
    <w:p w:rsidR="000F7304" w:rsidRPr="003575E6" w:rsidRDefault="002D7493">
      <w:pPr>
        <w:pStyle w:val="TOC2"/>
        <w:rPr>
          <w:rFonts w:asciiTheme="minorHAnsi" w:eastAsiaTheme="minorEastAsia" w:hAnsiTheme="minorHAnsi" w:cstheme="minorBidi"/>
          <w:smallCaps w:val="0"/>
          <w:noProof/>
          <w:sz w:val="22"/>
          <w:szCs w:val="22"/>
          <w:lang w:val="es-ES" w:eastAsia="es-ES" w:bidi="lo-LA"/>
        </w:rPr>
      </w:pPr>
      <w:hyperlink w:anchor="_Toc410723873" w:history="1">
        <w:r w:rsidR="000F7304" w:rsidRPr="003575E6">
          <w:rPr>
            <w:rStyle w:val="Hyperlink"/>
            <w:noProof/>
            <w:color w:val="auto"/>
            <w:lang w:val="es-ES_tradnl"/>
          </w:rPr>
          <w:t>Comité Técnico</w:t>
        </w:r>
        <w:r w:rsidR="000F7304" w:rsidRPr="003575E6">
          <w:rPr>
            <w:noProof/>
            <w:webHidden/>
          </w:rPr>
          <w:tab/>
        </w:r>
        <w:r w:rsidR="008638B2" w:rsidRPr="003575E6">
          <w:rPr>
            <w:noProof/>
            <w:webHidden/>
          </w:rPr>
          <w:fldChar w:fldCharType="begin"/>
        </w:r>
        <w:r w:rsidR="000F7304" w:rsidRPr="003575E6">
          <w:rPr>
            <w:noProof/>
            <w:webHidden/>
          </w:rPr>
          <w:instrText xml:space="preserve"> PAGEREF _Toc410723873 \h </w:instrText>
        </w:r>
        <w:r w:rsidR="008638B2" w:rsidRPr="003575E6">
          <w:rPr>
            <w:noProof/>
            <w:webHidden/>
          </w:rPr>
        </w:r>
        <w:r w:rsidR="008638B2" w:rsidRPr="003575E6">
          <w:rPr>
            <w:noProof/>
            <w:webHidden/>
          </w:rPr>
          <w:fldChar w:fldCharType="separate"/>
        </w:r>
        <w:r>
          <w:rPr>
            <w:noProof/>
            <w:webHidden/>
          </w:rPr>
          <w:t>2</w:t>
        </w:r>
        <w:r w:rsidR="008638B2" w:rsidRPr="003575E6">
          <w:rPr>
            <w:noProof/>
            <w:webHidden/>
          </w:rPr>
          <w:fldChar w:fldCharType="end"/>
        </w:r>
      </w:hyperlink>
    </w:p>
    <w:p w:rsidR="000F7304" w:rsidRPr="003575E6" w:rsidRDefault="002D7493">
      <w:pPr>
        <w:pStyle w:val="TOC2"/>
        <w:rPr>
          <w:rFonts w:asciiTheme="minorHAnsi" w:eastAsiaTheme="minorEastAsia" w:hAnsiTheme="minorHAnsi" w:cstheme="minorBidi"/>
          <w:smallCaps w:val="0"/>
          <w:noProof/>
          <w:sz w:val="22"/>
          <w:szCs w:val="22"/>
          <w:lang w:val="es-ES" w:eastAsia="es-ES" w:bidi="lo-LA"/>
        </w:rPr>
      </w:pPr>
      <w:hyperlink w:anchor="_Toc410723874" w:history="1">
        <w:r w:rsidR="000F7304" w:rsidRPr="003575E6">
          <w:rPr>
            <w:rStyle w:val="Hyperlink"/>
            <w:noProof/>
            <w:color w:val="auto"/>
            <w:lang w:val="es-ES_tradnl"/>
          </w:rPr>
          <w:t>TWP</w:t>
        </w:r>
        <w:r w:rsidR="000F7304" w:rsidRPr="003575E6">
          <w:rPr>
            <w:noProof/>
            <w:webHidden/>
          </w:rPr>
          <w:tab/>
        </w:r>
        <w:r w:rsidR="008638B2" w:rsidRPr="003575E6">
          <w:rPr>
            <w:noProof/>
            <w:webHidden/>
          </w:rPr>
          <w:fldChar w:fldCharType="begin"/>
        </w:r>
        <w:r w:rsidR="000F7304" w:rsidRPr="003575E6">
          <w:rPr>
            <w:noProof/>
            <w:webHidden/>
          </w:rPr>
          <w:instrText xml:space="preserve"> PAGEREF _Toc410723874 \h </w:instrText>
        </w:r>
        <w:r w:rsidR="008638B2" w:rsidRPr="003575E6">
          <w:rPr>
            <w:noProof/>
            <w:webHidden/>
          </w:rPr>
        </w:r>
        <w:r w:rsidR="008638B2" w:rsidRPr="003575E6">
          <w:rPr>
            <w:noProof/>
            <w:webHidden/>
          </w:rPr>
          <w:fldChar w:fldCharType="separate"/>
        </w:r>
        <w:r>
          <w:rPr>
            <w:noProof/>
            <w:webHidden/>
          </w:rPr>
          <w:t>2</w:t>
        </w:r>
        <w:r w:rsidR="008638B2" w:rsidRPr="003575E6">
          <w:rPr>
            <w:noProof/>
            <w:webHidden/>
          </w:rPr>
          <w:fldChar w:fldCharType="end"/>
        </w:r>
      </w:hyperlink>
    </w:p>
    <w:p w:rsidR="000F7304" w:rsidRPr="003575E6" w:rsidRDefault="002D7493">
      <w:pPr>
        <w:pStyle w:val="TOC3"/>
        <w:rPr>
          <w:rFonts w:asciiTheme="minorHAnsi" w:eastAsiaTheme="minorEastAsia" w:hAnsiTheme="minorHAnsi" w:cstheme="minorBidi"/>
          <w:noProof/>
          <w:sz w:val="22"/>
          <w:szCs w:val="22"/>
          <w:lang w:val="es-ES" w:eastAsia="es-ES" w:bidi="lo-LA"/>
        </w:rPr>
      </w:pPr>
      <w:hyperlink w:anchor="_Toc410723875" w:history="1">
        <w:r w:rsidR="000F7304" w:rsidRPr="003575E6">
          <w:rPr>
            <w:rStyle w:val="Hyperlink"/>
            <w:noProof/>
            <w:color w:val="auto"/>
            <w:lang w:val="es-ES_tradnl"/>
          </w:rPr>
          <w:t>Grupo de Trabajo Técnico sobre Plantas Ornamentales y Árboles Forestales</w:t>
        </w:r>
        <w:r w:rsidR="000F7304" w:rsidRPr="003575E6">
          <w:rPr>
            <w:noProof/>
            <w:webHidden/>
          </w:rPr>
          <w:tab/>
        </w:r>
        <w:r w:rsidR="008638B2" w:rsidRPr="003575E6">
          <w:rPr>
            <w:noProof/>
            <w:webHidden/>
          </w:rPr>
          <w:fldChar w:fldCharType="begin"/>
        </w:r>
        <w:r w:rsidR="000F7304" w:rsidRPr="003575E6">
          <w:rPr>
            <w:noProof/>
            <w:webHidden/>
          </w:rPr>
          <w:instrText xml:space="preserve"> PAGEREF _Toc410723875 \h </w:instrText>
        </w:r>
        <w:r w:rsidR="008638B2" w:rsidRPr="003575E6">
          <w:rPr>
            <w:noProof/>
            <w:webHidden/>
          </w:rPr>
        </w:r>
        <w:r w:rsidR="008638B2" w:rsidRPr="003575E6">
          <w:rPr>
            <w:noProof/>
            <w:webHidden/>
          </w:rPr>
          <w:fldChar w:fldCharType="separate"/>
        </w:r>
        <w:r>
          <w:rPr>
            <w:noProof/>
            <w:webHidden/>
          </w:rPr>
          <w:t>2</w:t>
        </w:r>
        <w:r w:rsidR="008638B2" w:rsidRPr="003575E6">
          <w:rPr>
            <w:noProof/>
            <w:webHidden/>
          </w:rPr>
          <w:fldChar w:fldCharType="end"/>
        </w:r>
      </w:hyperlink>
    </w:p>
    <w:p w:rsidR="000F7304" w:rsidRPr="003575E6" w:rsidRDefault="002D7493">
      <w:pPr>
        <w:pStyle w:val="TOC3"/>
        <w:rPr>
          <w:rFonts w:asciiTheme="minorHAnsi" w:eastAsiaTheme="minorEastAsia" w:hAnsiTheme="minorHAnsi" w:cstheme="minorBidi"/>
          <w:noProof/>
          <w:sz w:val="22"/>
          <w:szCs w:val="22"/>
          <w:lang w:val="es-ES" w:eastAsia="es-ES" w:bidi="lo-LA"/>
        </w:rPr>
      </w:pPr>
      <w:hyperlink w:anchor="_Toc410723876" w:history="1">
        <w:r w:rsidR="000F7304" w:rsidRPr="003575E6">
          <w:rPr>
            <w:rStyle w:val="Hyperlink"/>
            <w:noProof/>
            <w:color w:val="auto"/>
            <w:lang w:val="es-ES_tradnl"/>
          </w:rPr>
          <w:t>Grupo de Trabajo Técnico sobre Plantas Frutales</w:t>
        </w:r>
        <w:r w:rsidR="000F7304" w:rsidRPr="003575E6">
          <w:rPr>
            <w:noProof/>
            <w:webHidden/>
          </w:rPr>
          <w:tab/>
        </w:r>
        <w:r w:rsidR="008638B2" w:rsidRPr="003575E6">
          <w:rPr>
            <w:noProof/>
            <w:webHidden/>
          </w:rPr>
          <w:fldChar w:fldCharType="begin"/>
        </w:r>
        <w:r w:rsidR="000F7304" w:rsidRPr="003575E6">
          <w:rPr>
            <w:noProof/>
            <w:webHidden/>
          </w:rPr>
          <w:instrText xml:space="preserve"> PAGEREF _Toc410723876 \h </w:instrText>
        </w:r>
        <w:r w:rsidR="008638B2" w:rsidRPr="003575E6">
          <w:rPr>
            <w:noProof/>
            <w:webHidden/>
          </w:rPr>
        </w:r>
        <w:r w:rsidR="008638B2" w:rsidRPr="003575E6">
          <w:rPr>
            <w:noProof/>
            <w:webHidden/>
          </w:rPr>
          <w:fldChar w:fldCharType="separate"/>
        </w:r>
        <w:r>
          <w:rPr>
            <w:noProof/>
            <w:webHidden/>
          </w:rPr>
          <w:t>2</w:t>
        </w:r>
        <w:r w:rsidR="008638B2" w:rsidRPr="003575E6">
          <w:rPr>
            <w:noProof/>
            <w:webHidden/>
          </w:rPr>
          <w:fldChar w:fldCharType="end"/>
        </w:r>
      </w:hyperlink>
    </w:p>
    <w:p w:rsidR="000F7304" w:rsidRPr="003575E6" w:rsidRDefault="002D7493">
      <w:pPr>
        <w:pStyle w:val="TOC3"/>
        <w:rPr>
          <w:rFonts w:asciiTheme="minorHAnsi" w:eastAsiaTheme="minorEastAsia" w:hAnsiTheme="minorHAnsi" w:cstheme="minorBidi"/>
          <w:noProof/>
          <w:sz w:val="22"/>
          <w:szCs w:val="22"/>
          <w:lang w:val="es-ES" w:eastAsia="es-ES" w:bidi="lo-LA"/>
        </w:rPr>
      </w:pPr>
      <w:hyperlink w:anchor="_Toc410723877" w:history="1">
        <w:r w:rsidR="000F7304" w:rsidRPr="003575E6">
          <w:rPr>
            <w:rStyle w:val="Hyperlink"/>
            <w:noProof/>
            <w:color w:val="auto"/>
            <w:lang w:val="es-ES_tradnl"/>
          </w:rPr>
          <w:t>Grupo de Trabajo Técnico sobre Automatización y Programas Informáticos</w:t>
        </w:r>
        <w:r w:rsidR="000F7304" w:rsidRPr="003575E6">
          <w:rPr>
            <w:noProof/>
            <w:webHidden/>
          </w:rPr>
          <w:tab/>
        </w:r>
        <w:r w:rsidR="008638B2" w:rsidRPr="003575E6">
          <w:rPr>
            <w:noProof/>
            <w:webHidden/>
          </w:rPr>
          <w:fldChar w:fldCharType="begin"/>
        </w:r>
        <w:r w:rsidR="000F7304" w:rsidRPr="003575E6">
          <w:rPr>
            <w:noProof/>
            <w:webHidden/>
          </w:rPr>
          <w:instrText xml:space="preserve"> PAGEREF _Toc410723877 \h </w:instrText>
        </w:r>
        <w:r w:rsidR="008638B2" w:rsidRPr="003575E6">
          <w:rPr>
            <w:noProof/>
            <w:webHidden/>
          </w:rPr>
        </w:r>
        <w:r w:rsidR="008638B2" w:rsidRPr="003575E6">
          <w:rPr>
            <w:noProof/>
            <w:webHidden/>
          </w:rPr>
          <w:fldChar w:fldCharType="separate"/>
        </w:r>
        <w:r>
          <w:rPr>
            <w:noProof/>
            <w:webHidden/>
          </w:rPr>
          <w:t>3</w:t>
        </w:r>
        <w:r w:rsidR="008638B2" w:rsidRPr="003575E6">
          <w:rPr>
            <w:noProof/>
            <w:webHidden/>
          </w:rPr>
          <w:fldChar w:fldCharType="end"/>
        </w:r>
      </w:hyperlink>
    </w:p>
    <w:p w:rsidR="000F7304" w:rsidRPr="003575E6" w:rsidRDefault="002D7493">
      <w:pPr>
        <w:pStyle w:val="TOC3"/>
        <w:rPr>
          <w:rFonts w:asciiTheme="minorHAnsi" w:eastAsiaTheme="minorEastAsia" w:hAnsiTheme="minorHAnsi" w:cstheme="minorBidi"/>
          <w:noProof/>
          <w:sz w:val="22"/>
          <w:szCs w:val="22"/>
          <w:lang w:val="es-ES" w:eastAsia="es-ES" w:bidi="lo-LA"/>
        </w:rPr>
      </w:pPr>
      <w:hyperlink w:anchor="_Toc410723878" w:history="1">
        <w:r w:rsidR="000F7304" w:rsidRPr="003575E6">
          <w:rPr>
            <w:rStyle w:val="Hyperlink"/>
            <w:noProof/>
            <w:color w:val="auto"/>
            <w:lang w:val="es-ES_tradnl" w:eastAsia="de-DE" w:bidi="de-DE"/>
          </w:rPr>
          <w:t>Grupo de Trabajo Técnico sobre Hortalizas</w:t>
        </w:r>
        <w:r w:rsidR="000F7304" w:rsidRPr="003575E6">
          <w:rPr>
            <w:noProof/>
            <w:webHidden/>
          </w:rPr>
          <w:tab/>
        </w:r>
        <w:r w:rsidR="008638B2" w:rsidRPr="003575E6">
          <w:rPr>
            <w:noProof/>
            <w:webHidden/>
          </w:rPr>
          <w:fldChar w:fldCharType="begin"/>
        </w:r>
        <w:r w:rsidR="000F7304" w:rsidRPr="003575E6">
          <w:rPr>
            <w:noProof/>
            <w:webHidden/>
          </w:rPr>
          <w:instrText xml:space="preserve"> PAGEREF _Toc410723878 \h </w:instrText>
        </w:r>
        <w:r w:rsidR="008638B2" w:rsidRPr="003575E6">
          <w:rPr>
            <w:noProof/>
            <w:webHidden/>
          </w:rPr>
        </w:r>
        <w:r w:rsidR="008638B2" w:rsidRPr="003575E6">
          <w:rPr>
            <w:noProof/>
            <w:webHidden/>
          </w:rPr>
          <w:fldChar w:fldCharType="separate"/>
        </w:r>
        <w:r>
          <w:rPr>
            <w:noProof/>
            <w:webHidden/>
          </w:rPr>
          <w:t>4</w:t>
        </w:r>
        <w:r w:rsidR="008638B2" w:rsidRPr="003575E6">
          <w:rPr>
            <w:noProof/>
            <w:webHidden/>
          </w:rPr>
          <w:fldChar w:fldCharType="end"/>
        </w:r>
      </w:hyperlink>
    </w:p>
    <w:p w:rsidR="000F7304" w:rsidRPr="003575E6" w:rsidRDefault="002D7493">
      <w:pPr>
        <w:pStyle w:val="TOC3"/>
        <w:rPr>
          <w:rStyle w:val="Hyperlink"/>
          <w:noProof/>
          <w:color w:val="auto"/>
        </w:rPr>
      </w:pPr>
      <w:hyperlink w:anchor="_Toc410723879" w:history="1">
        <w:r w:rsidR="000F7304" w:rsidRPr="003575E6">
          <w:rPr>
            <w:rStyle w:val="Hyperlink"/>
            <w:noProof/>
            <w:color w:val="auto"/>
            <w:lang w:val="es-ES_tradnl"/>
          </w:rPr>
          <w:t>Grupo de Trabajo Técnico sobre Plantas Agrícolas</w:t>
        </w:r>
        <w:r w:rsidR="000F7304" w:rsidRPr="003575E6">
          <w:rPr>
            <w:noProof/>
            <w:webHidden/>
          </w:rPr>
          <w:tab/>
        </w:r>
        <w:r w:rsidR="008638B2" w:rsidRPr="003575E6">
          <w:rPr>
            <w:noProof/>
            <w:webHidden/>
          </w:rPr>
          <w:fldChar w:fldCharType="begin"/>
        </w:r>
        <w:r w:rsidR="000F7304" w:rsidRPr="003575E6">
          <w:rPr>
            <w:noProof/>
            <w:webHidden/>
          </w:rPr>
          <w:instrText xml:space="preserve"> PAGEREF _Toc410723879 \h </w:instrText>
        </w:r>
        <w:r w:rsidR="008638B2" w:rsidRPr="003575E6">
          <w:rPr>
            <w:noProof/>
            <w:webHidden/>
          </w:rPr>
        </w:r>
        <w:r w:rsidR="008638B2" w:rsidRPr="003575E6">
          <w:rPr>
            <w:noProof/>
            <w:webHidden/>
          </w:rPr>
          <w:fldChar w:fldCharType="separate"/>
        </w:r>
        <w:r>
          <w:rPr>
            <w:noProof/>
            <w:webHidden/>
          </w:rPr>
          <w:t>4</w:t>
        </w:r>
        <w:r w:rsidR="008638B2" w:rsidRPr="003575E6">
          <w:rPr>
            <w:noProof/>
            <w:webHidden/>
          </w:rPr>
          <w:fldChar w:fldCharType="end"/>
        </w:r>
      </w:hyperlink>
    </w:p>
    <w:p w:rsidR="00F6316F" w:rsidRPr="003575E6" w:rsidRDefault="00F6316F" w:rsidP="00F6316F">
      <w:pPr>
        <w:rPr>
          <w:rFonts w:eastAsiaTheme="minorEastAsia"/>
          <w:noProof/>
          <w:lang w:val="fr-FR"/>
        </w:rPr>
      </w:pPr>
    </w:p>
    <w:p w:rsidR="000F7304" w:rsidRPr="003575E6" w:rsidRDefault="002D7493" w:rsidP="00F6316F">
      <w:pPr>
        <w:pStyle w:val="TOC1"/>
        <w:rPr>
          <w:rStyle w:val="Hyperlink"/>
          <w:noProof/>
          <w:color w:val="auto"/>
        </w:rPr>
      </w:pPr>
      <w:hyperlink w:anchor="_Toc410723880" w:history="1">
        <w:r w:rsidR="000F7304" w:rsidRPr="003575E6">
          <w:rPr>
            <w:rStyle w:val="Hyperlink"/>
            <w:noProof/>
            <w:color w:val="auto"/>
            <w:lang w:val="es-ES_tradnl"/>
          </w:rPr>
          <w:t>OBSERVACIONES DEL COMITÉ DE REDACCIÓN AMPLIADO FORMULADAS EN SU REUNIÓN DE ENERO DE 2015</w:t>
        </w:r>
        <w:r w:rsidR="000F7304" w:rsidRPr="003575E6">
          <w:rPr>
            <w:noProof/>
            <w:webHidden/>
          </w:rPr>
          <w:tab/>
        </w:r>
        <w:r w:rsidR="008638B2" w:rsidRPr="003575E6">
          <w:rPr>
            <w:noProof/>
            <w:webHidden/>
          </w:rPr>
          <w:fldChar w:fldCharType="begin"/>
        </w:r>
        <w:r w:rsidR="000F7304" w:rsidRPr="003575E6">
          <w:rPr>
            <w:noProof/>
            <w:webHidden/>
          </w:rPr>
          <w:instrText xml:space="preserve"> PAGEREF _Toc410723880 \h </w:instrText>
        </w:r>
        <w:r w:rsidR="008638B2" w:rsidRPr="003575E6">
          <w:rPr>
            <w:noProof/>
            <w:webHidden/>
          </w:rPr>
        </w:r>
        <w:r w:rsidR="008638B2" w:rsidRPr="003575E6">
          <w:rPr>
            <w:noProof/>
            <w:webHidden/>
          </w:rPr>
          <w:fldChar w:fldCharType="separate"/>
        </w:r>
        <w:r>
          <w:rPr>
            <w:noProof/>
            <w:webHidden/>
          </w:rPr>
          <w:t>5</w:t>
        </w:r>
        <w:r w:rsidR="008638B2" w:rsidRPr="003575E6">
          <w:rPr>
            <w:noProof/>
            <w:webHidden/>
          </w:rPr>
          <w:fldChar w:fldCharType="end"/>
        </w:r>
      </w:hyperlink>
    </w:p>
    <w:p w:rsidR="001C6237" w:rsidRPr="003575E6" w:rsidRDefault="001C6237" w:rsidP="001C6237">
      <w:pPr>
        <w:rPr>
          <w:rFonts w:eastAsiaTheme="minorEastAsia"/>
          <w:noProof/>
        </w:rPr>
      </w:pPr>
    </w:p>
    <w:p w:rsidR="000F7304" w:rsidRPr="003575E6" w:rsidRDefault="002D7493" w:rsidP="00F6316F">
      <w:pPr>
        <w:pStyle w:val="TOC1"/>
        <w:rPr>
          <w:rFonts w:asciiTheme="minorHAnsi" w:eastAsiaTheme="minorEastAsia" w:hAnsiTheme="minorHAnsi" w:cstheme="minorBidi"/>
          <w:noProof/>
          <w:sz w:val="22"/>
          <w:szCs w:val="22"/>
          <w:lang w:val="es-ES" w:eastAsia="es-ES" w:bidi="lo-LA"/>
        </w:rPr>
      </w:pPr>
      <w:hyperlink w:anchor="_Toc410723881" w:history="1">
        <w:r w:rsidR="000F7304" w:rsidRPr="003575E6">
          <w:rPr>
            <w:rStyle w:val="Hyperlink"/>
            <w:noProof/>
            <w:color w:val="auto"/>
          </w:rPr>
          <w:t>RESUMEN DE MÉTODOS</w:t>
        </w:r>
        <w:r w:rsidR="000F7304" w:rsidRPr="003575E6">
          <w:rPr>
            <w:noProof/>
            <w:webHidden/>
          </w:rPr>
          <w:tab/>
        </w:r>
        <w:r w:rsidR="008638B2" w:rsidRPr="003575E6">
          <w:rPr>
            <w:noProof/>
            <w:webHidden/>
          </w:rPr>
          <w:fldChar w:fldCharType="begin"/>
        </w:r>
        <w:r w:rsidR="000F7304" w:rsidRPr="003575E6">
          <w:rPr>
            <w:noProof/>
            <w:webHidden/>
          </w:rPr>
          <w:instrText xml:space="preserve"> PAGEREF _Toc410723881 \h </w:instrText>
        </w:r>
        <w:r w:rsidR="008638B2" w:rsidRPr="003575E6">
          <w:rPr>
            <w:noProof/>
            <w:webHidden/>
          </w:rPr>
          <w:fldChar w:fldCharType="separate"/>
        </w:r>
        <w:r>
          <w:rPr>
            <w:b/>
            <w:bCs/>
            <w:noProof/>
            <w:webHidden/>
          </w:rPr>
          <w:t>Error! Bookmark not defined.</w:t>
        </w:r>
        <w:r w:rsidR="008638B2" w:rsidRPr="003575E6">
          <w:rPr>
            <w:noProof/>
            <w:webHidden/>
          </w:rPr>
          <w:fldChar w:fldCharType="end"/>
        </w:r>
      </w:hyperlink>
    </w:p>
    <w:p w:rsidR="000F2D0A" w:rsidRPr="003575E6" w:rsidRDefault="008638B2" w:rsidP="005C5BCA">
      <w:pPr>
        <w:rPr>
          <w:snapToGrid w:val="0"/>
        </w:rPr>
      </w:pPr>
      <w:r w:rsidRPr="003575E6">
        <w:rPr>
          <w:snapToGrid w:val="0"/>
        </w:rPr>
        <w:fldChar w:fldCharType="end"/>
      </w:r>
    </w:p>
    <w:p w:rsidR="000F2D0A" w:rsidRPr="003575E6" w:rsidRDefault="00431767" w:rsidP="00431767">
      <w:pPr>
        <w:tabs>
          <w:tab w:val="left" w:pos="1418"/>
        </w:tabs>
        <w:autoSpaceDE w:val="0"/>
        <w:autoSpaceDN w:val="0"/>
        <w:adjustRightInd w:val="0"/>
        <w:rPr>
          <w:rFonts w:eastAsia="MS Mincho"/>
          <w:szCs w:val="24"/>
          <w:lang w:val="es-ES" w:eastAsia="ja-JP"/>
        </w:rPr>
      </w:pPr>
      <w:r w:rsidRPr="003575E6">
        <w:rPr>
          <w:rFonts w:eastAsia="MS Mincho"/>
          <w:szCs w:val="24"/>
          <w:lang w:val="es-ES_tradnl" w:eastAsia="ja-JP"/>
        </w:rPr>
        <w:lastRenderedPageBreak/>
        <w:t>ANEXO I:</w:t>
      </w:r>
      <w:r w:rsidRPr="003575E6">
        <w:rPr>
          <w:rFonts w:eastAsia="MS Mincho"/>
          <w:szCs w:val="24"/>
          <w:lang w:val="es-ES_tradnl" w:eastAsia="ja-JP"/>
        </w:rPr>
        <w:tab/>
      </w:r>
      <w:r w:rsidR="005753EF">
        <w:rPr>
          <w:rFonts w:eastAsia="MS Mincho"/>
          <w:szCs w:val="24"/>
          <w:lang w:val="es-ES_tradnl" w:eastAsia="ja-JP"/>
        </w:rPr>
        <w:t xml:space="preserve">Situación A: </w:t>
      </w:r>
      <w:r w:rsidR="0059001A" w:rsidRPr="003575E6">
        <w:rPr>
          <w:rFonts w:eastAsia="MS Mincho"/>
          <w:szCs w:val="24"/>
          <w:lang w:val="es-ES_tradnl" w:eastAsia="ja-JP"/>
        </w:rPr>
        <w:t xml:space="preserve">dos </w:t>
      </w:r>
      <w:r w:rsidR="000F2D0A" w:rsidRPr="003575E6">
        <w:rPr>
          <w:rFonts w:eastAsia="MS Mincho"/>
          <w:szCs w:val="24"/>
          <w:lang w:val="es-ES_tradnl" w:eastAsia="ja-JP"/>
        </w:rPr>
        <w:t>ciclos de cultivo en un solo lugar</w:t>
      </w:r>
    </w:p>
    <w:p w:rsidR="000F2D0A" w:rsidRPr="003575E6" w:rsidRDefault="00431767" w:rsidP="00431767">
      <w:pPr>
        <w:tabs>
          <w:tab w:val="left" w:pos="1418"/>
        </w:tabs>
        <w:autoSpaceDE w:val="0"/>
        <w:autoSpaceDN w:val="0"/>
        <w:adjustRightInd w:val="0"/>
        <w:rPr>
          <w:rFonts w:eastAsia="MS Mincho"/>
          <w:szCs w:val="24"/>
          <w:lang w:val="es-ES" w:eastAsia="ja-JP"/>
        </w:rPr>
      </w:pPr>
      <w:r w:rsidRPr="003575E6">
        <w:rPr>
          <w:rFonts w:eastAsia="MS Mincho"/>
          <w:szCs w:val="24"/>
          <w:lang w:val="es-ES" w:eastAsia="ja-JP"/>
        </w:rPr>
        <w:t>ANEXO II:</w:t>
      </w:r>
      <w:r w:rsidRPr="003575E6">
        <w:rPr>
          <w:rFonts w:eastAsia="MS Mincho"/>
          <w:szCs w:val="24"/>
          <w:lang w:val="es-ES" w:eastAsia="ja-JP"/>
        </w:rPr>
        <w:tab/>
      </w:r>
      <w:r w:rsidR="005753EF">
        <w:rPr>
          <w:rFonts w:eastAsia="MS Mincho"/>
          <w:szCs w:val="24"/>
          <w:lang w:val="es-ES" w:eastAsia="ja-JP"/>
        </w:rPr>
        <w:t xml:space="preserve">Situación B: </w:t>
      </w:r>
      <w:r w:rsidR="000F2D0A" w:rsidRPr="003575E6">
        <w:rPr>
          <w:rFonts w:eastAsia="MS Mincho"/>
          <w:szCs w:val="24"/>
          <w:lang w:val="es-ES" w:eastAsia="ja-JP"/>
        </w:rPr>
        <w:t>dos lugares de cultivo en el mismo año</w:t>
      </w:r>
    </w:p>
    <w:p w:rsidR="000F2D0A" w:rsidRPr="003575E6" w:rsidRDefault="000F2D0A" w:rsidP="0059001A">
      <w:pPr>
        <w:tabs>
          <w:tab w:val="left" w:pos="1418"/>
        </w:tabs>
        <w:autoSpaceDE w:val="0"/>
        <w:autoSpaceDN w:val="0"/>
        <w:adjustRightInd w:val="0"/>
        <w:ind w:left="1418" w:hanging="1418"/>
        <w:rPr>
          <w:rFonts w:eastAsia="MS Mincho"/>
          <w:szCs w:val="24"/>
          <w:lang w:val="es-ES" w:eastAsia="ja-JP"/>
        </w:rPr>
      </w:pPr>
      <w:r w:rsidRPr="003575E6">
        <w:rPr>
          <w:rFonts w:eastAsia="MS Mincho"/>
          <w:szCs w:val="24"/>
          <w:lang w:val="es-ES" w:eastAsia="ja-JP"/>
        </w:rPr>
        <w:t xml:space="preserve">ANEXO III: </w:t>
      </w:r>
      <w:r w:rsidR="00431767" w:rsidRPr="003575E6">
        <w:rPr>
          <w:rFonts w:eastAsia="MS Mincho"/>
          <w:szCs w:val="24"/>
          <w:lang w:val="es-ES" w:eastAsia="ja-JP"/>
        </w:rPr>
        <w:tab/>
      </w:r>
      <w:r w:rsidR="005753EF">
        <w:rPr>
          <w:rFonts w:eastAsia="MS Mincho"/>
          <w:szCs w:val="24"/>
          <w:lang w:val="es-ES" w:eastAsia="ja-JP"/>
        </w:rPr>
        <w:t>Situación C:</w:t>
      </w:r>
      <w:r w:rsidRPr="003575E6">
        <w:rPr>
          <w:rFonts w:eastAsia="MS Mincho"/>
          <w:szCs w:val="24"/>
          <w:lang w:val="es-ES" w:eastAsia="ja-JP"/>
        </w:rPr>
        <w:t xml:space="preserve"> más de un examen o ensayo para la observación de car</w:t>
      </w:r>
      <w:r w:rsidR="00A80212" w:rsidRPr="003575E6">
        <w:rPr>
          <w:rFonts w:eastAsia="MS Mincho"/>
          <w:szCs w:val="24"/>
          <w:lang w:val="es-ES" w:eastAsia="ja-JP"/>
        </w:rPr>
        <w:t>a</w:t>
      </w:r>
      <w:r w:rsidRPr="003575E6">
        <w:rPr>
          <w:rFonts w:eastAsia="MS Mincho"/>
          <w:szCs w:val="24"/>
          <w:lang w:val="es-ES" w:eastAsia="ja-JP"/>
        </w:rPr>
        <w:t>cter</w:t>
      </w:r>
      <w:r w:rsidR="00A80212" w:rsidRPr="003575E6">
        <w:rPr>
          <w:rFonts w:eastAsia="MS Mincho"/>
          <w:szCs w:val="24"/>
          <w:lang w:val="es-ES" w:eastAsia="ja-JP"/>
        </w:rPr>
        <w:t>es</w:t>
      </w:r>
      <w:r w:rsidRPr="003575E6">
        <w:rPr>
          <w:rFonts w:eastAsia="MS Mincho"/>
          <w:szCs w:val="24"/>
          <w:lang w:val="es-ES" w:eastAsia="ja-JP"/>
        </w:rPr>
        <w:t xml:space="preserve"> en el mismo ciclo de cultivo</w:t>
      </w:r>
    </w:p>
    <w:p w:rsidR="000F2D0A" w:rsidRPr="003575E6" w:rsidRDefault="00431767" w:rsidP="00431767">
      <w:pPr>
        <w:tabs>
          <w:tab w:val="left" w:pos="1418"/>
        </w:tabs>
        <w:autoSpaceDE w:val="0"/>
        <w:autoSpaceDN w:val="0"/>
        <w:adjustRightInd w:val="0"/>
        <w:rPr>
          <w:rFonts w:eastAsia="MS Mincho"/>
          <w:szCs w:val="24"/>
          <w:lang w:val="es-ES" w:eastAsia="ja-JP"/>
        </w:rPr>
      </w:pPr>
      <w:r w:rsidRPr="003575E6">
        <w:rPr>
          <w:rFonts w:eastAsia="MS Mincho"/>
          <w:szCs w:val="24"/>
          <w:lang w:val="es-ES" w:eastAsia="ja-JP"/>
        </w:rPr>
        <w:t>ANEXO IV:</w:t>
      </w:r>
      <w:r w:rsidRPr="003575E6">
        <w:rPr>
          <w:rFonts w:eastAsia="MS Mincho"/>
          <w:szCs w:val="24"/>
          <w:lang w:val="es-ES" w:eastAsia="ja-JP"/>
        </w:rPr>
        <w:tab/>
      </w:r>
      <w:r w:rsidR="005753EF">
        <w:rPr>
          <w:rFonts w:eastAsia="MS Mincho"/>
          <w:szCs w:val="24"/>
          <w:lang w:val="es-ES" w:eastAsia="ja-JP"/>
        </w:rPr>
        <w:t xml:space="preserve">Situación D: </w:t>
      </w:r>
      <w:r w:rsidR="000F2D0A" w:rsidRPr="003575E6">
        <w:rPr>
          <w:rFonts w:eastAsia="MS Mincho"/>
          <w:szCs w:val="24"/>
          <w:lang w:val="es-ES" w:eastAsia="ja-JP"/>
        </w:rPr>
        <w:t>Evaluación de submuestras en un único examen o ensayo</w:t>
      </w:r>
      <w:r w:rsidR="005C5BCA" w:rsidRPr="003575E6">
        <w:rPr>
          <w:rFonts w:eastAsia="MS Mincho"/>
          <w:szCs w:val="24"/>
          <w:lang w:val="es-ES" w:eastAsia="ja-JP"/>
        </w:rPr>
        <w:t xml:space="preserve"> </w:t>
      </w:r>
    </w:p>
    <w:p w:rsidR="000F2D0A" w:rsidRPr="003575E6" w:rsidRDefault="00D0156C" w:rsidP="00431767">
      <w:pPr>
        <w:tabs>
          <w:tab w:val="left" w:pos="1418"/>
        </w:tabs>
        <w:autoSpaceDE w:val="0"/>
        <w:autoSpaceDN w:val="0"/>
        <w:adjustRightInd w:val="0"/>
        <w:rPr>
          <w:lang w:val="es-ES_tradnl"/>
        </w:rPr>
      </w:pPr>
      <w:r w:rsidRPr="003575E6">
        <w:rPr>
          <w:rFonts w:eastAsia="MS Mincho"/>
          <w:szCs w:val="24"/>
          <w:lang w:val="es-ES_tradnl" w:eastAsia="ja-JP"/>
        </w:rPr>
        <w:t>AN</w:t>
      </w:r>
      <w:r w:rsidR="005C5BCA" w:rsidRPr="003575E6">
        <w:rPr>
          <w:rFonts w:eastAsia="MS Mincho"/>
          <w:szCs w:val="24"/>
          <w:lang w:val="es-ES_tradnl" w:eastAsia="ja-JP"/>
        </w:rPr>
        <w:t>EX</w:t>
      </w:r>
      <w:r w:rsidRPr="003575E6">
        <w:rPr>
          <w:rFonts w:eastAsia="MS Mincho"/>
          <w:szCs w:val="24"/>
          <w:lang w:val="es-ES_tradnl" w:eastAsia="ja-JP"/>
        </w:rPr>
        <w:t>O</w:t>
      </w:r>
      <w:r w:rsidR="005C5BCA" w:rsidRPr="003575E6">
        <w:rPr>
          <w:rFonts w:eastAsia="MS Mincho"/>
          <w:szCs w:val="24"/>
          <w:lang w:val="es-ES_tradnl" w:eastAsia="ja-JP"/>
        </w:rPr>
        <w:t xml:space="preserve"> V:</w:t>
      </w:r>
      <w:r w:rsidR="005C5BCA" w:rsidRPr="003575E6">
        <w:rPr>
          <w:rFonts w:eastAsia="MS Mincho"/>
          <w:szCs w:val="24"/>
          <w:lang w:val="es-ES_tradnl" w:eastAsia="ja-JP"/>
        </w:rPr>
        <w:tab/>
      </w:r>
      <w:r w:rsidR="0064663E" w:rsidRPr="003575E6">
        <w:rPr>
          <w:rFonts w:eastAsia="MS Mincho"/>
          <w:szCs w:val="24"/>
          <w:lang w:val="es-ES_tradnl" w:eastAsia="ja-JP"/>
        </w:rPr>
        <w:t>Aplicación de un</w:t>
      </w:r>
      <w:r w:rsidR="0064663E" w:rsidRPr="003575E6">
        <w:rPr>
          <w:lang w:val="es-ES_tradnl"/>
        </w:rPr>
        <w:t xml:space="preserve"> </w:t>
      </w:r>
      <w:r w:rsidR="00C417F4" w:rsidRPr="003575E6">
        <w:rPr>
          <w:lang w:val="es-ES_tradnl"/>
        </w:rPr>
        <w:t>métod</w:t>
      </w:r>
      <w:r w:rsidR="0064663E" w:rsidRPr="003575E6">
        <w:rPr>
          <w:lang w:val="es-ES_tradnl"/>
        </w:rPr>
        <w:t xml:space="preserve">o </w:t>
      </w:r>
      <w:r w:rsidR="00673736" w:rsidRPr="003575E6">
        <w:rPr>
          <w:lang w:val="es-ES_tradnl"/>
        </w:rPr>
        <w:t>por etapas</w:t>
      </w:r>
      <w:r w:rsidR="0064663E" w:rsidRPr="003575E6">
        <w:rPr>
          <w:lang w:val="es-ES_tradnl"/>
        </w:rPr>
        <w:t xml:space="preserve"> en el </w:t>
      </w:r>
      <w:r w:rsidR="00417CE3" w:rsidRPr="003575E6">
        <w:rPr>
          <w:lang w:val="es-ES_tradnl"/>
        </w:rPr>
        <w:t>procedimiento basado en las plantas fuera de tipo</w:t>
      </w:r>
      <w:r w:rsidR="00845E0F" w:rsidRPr="003575E6">
        <w:rPr>
          <w:lang w:val="es-ES_tradnl"/>
        </w:rPr>
        <w:t xml:space="preserve"> dentro del mismo </w:t>
      </w:r>
      <w:r w:rsidR="0064663E" w:rsidRPr="003575E6">
        <w:rPr>
          <w:lang w:val="es-ES_tradnl"/>
        </w:rPr>
        <w:t>ciclo de cultivo</w:t>
      </w:r>
    </w:p>
    <w:p w:rsidR="00431767" w:rsidRPr="003575E6" w:rsidRDefault="00431767" w:rsidP="00431767">
      <w:pPr>
        <w:tabs>
          <w:tab w:val="left" w:pos="1418"/>
        </w:tabs>
        <w:autoSpaceDE w:val="0"/>
        <w:autoSpaceDN w:val="0"/>
        <w:adjustRightInd w:val="0"/>
        <w:rPr>
          <w:lang w:val="es-ES_tradnl"/>
        </w:rPr>
      </w:pPr>
    </w:p>
    <w:p w:rsidR="000F2D0A" w:rsidRPr="003575E6" w:rsidRDefault="000F2D0A" w:rsidP="000F2D0A">
      <w:pPr>
        <w:pStyle w:val="Heading1"/>
        <w:rPr>
          <w:rFonts w:eastAsia="MS Mincho"/>
          <w:lang w:val="es-ES_tradnl" w:eastAsia="ja-JP"/>
        </w:rPr>
      </w:pPr>
      <w:bookmarkStart w:id="5" w:name="_Toc410723871"/>
      <w:r w:rsidRPr="003575E6">
        <w:rPr>
          <w:rFonts w:eastAsia="MS Mincho"/>
          <w:lang w:val="es-ES_tradnl" w:eastAsia="ja-JP"/>
        </w:rPr>
        <w:t>ANTECEDENTES</w:t>
      </w:r>
      <w:bookmarkEnd w:id="5"/>
    </w:p>
    <w:p w:rsidR="000F2D0A" w:rsidRPr="003575E6" w:rsidRDefault="000F2D0A" w:rsidP="005C5BCA">
      <w:pPr>
        <w:rPr>
          <w:rFonts w:eastAsia="MS Mincho"/>
          <w:lang w:val="es-ES_tradnl" w:eastAsia="ja-JP"/>
        </w:rPr>
      </w:pPr>
    </w:p>
    <w:p w:rsidR="000F2D0A" w:rsidRPr="003575E6" w:rsidRDefault="008638B2" w:rsidP="005C5BCA">
      <w:pPr>
        <w:rPr>
          <w:lang w:val="es-ES_tradnl"/>
        </w:rPr>
      </w:pPr>
      <w:r w:rsidRPr="003575E6">
        <w:fldChar w:fldCharType="begin"/>
      </w:r>
      <w:r w:rsidR="005C5BCA" w:rsidRPr="003575E6">
        <w:rPr>
          <w:lang w:val="es-ES_tradnl"/>
        </w:rPr>
        <w:instrText xml:space="preserve"> AUTONUM  </w:instrText>
      </w:r>
      <w:r w:rsidRPr="003575E6">
        <w:fldChar w:fldCharType="end"/>
      </w:r>
      <w:r w:rsidR="005C5BCA" w:rsidRPr="003575E6">
        <w:rPr>
          <w:lang w:val="es-ES_tradnl"/>
        </w:rPr>
        <w:tab/>
      </w:r>
      <w:r w:rsidR="00AF2CF0" w:rsidRPr="003575E6">
        <w:rPr>
          <w:szCs w:val="24"/>
          <w:lang w:val="es-ES_tradnl"/>
        </w:rPr>
        <w:t>Los antecedentes de esta cuestión figuran en los documentos</w:t>
      </w:r>
      <w:r w:rsidR="00881EC8" w:rsidRPr="003575E6">
        <w:rPr>
          <w:szCs w:val="24"/>
          <w:lang w:val="es-ES_tradnl"/>
        </w:rPr>
        <w:t> </w:t>
      </w:r>
      <w:r w:rsidR="00AF2CF0" w:rsidRPr="003575E6">
        <w:rPr>
          <w:szCs w:val="24"/>
          <w:lang w:val="es-ES_tradnl"/>
        </w:rPr>
        <w:t>TC/48/14 “</w:t>
      </w:r>
      <w:r w:rsidR="00AF2CF0" w:rsidRPr="003575E6">
        <w:rPr>
          <w:lang w:val="es-ES_tradnl"/>
        </w:rPr>
        <w:t>Evaluación de la homogeneidad de las plantas fuera de tipo mediante la observación de más de una muestra o submuestra” y TC/50/12 “Evaluación de la homogeneidad de las plantas fuera de tipo mediante la observación de más de una muestra o submuestra”.</w:t>
      </w:r>
    </w:p>
    <w:p w:rsidR="000F2D0A" w:rsidRPr="003575E6" w:rsidRDefault="000F2D0A" w:rsidP="005C5BCA">
      <w:pPr>
        <w:rPr>
          <w:lang w:val="es-ES_tradnl"/>
        </w:rPr>
      </w:pPr>
    </w:p>
    <w:p w:rsidR="000F2D0A" w:rsidRPr="003575E6" w:rsidRDefault="000F2D0A" w:rsidP="000F2D0A">
      <w:pPr>
        <w:pStyle w:val="Heading1"/>
        <w:rPr>
          <w:lang w:val="es-ES"/>
        </w:rPr>
      </w:pPr>
      <w:bookmarkStart w:id="6" w:name="_Toc410723872"/>
      <w:r w:rsidRPr="003575E6">
        <w:rPr>
          <w:lang w:val="es-ES_tradnl"/>
        </w:rPr>
        <w:t>NOVEDADES ACAECIDAS EN 2014</w:t>
      </w:r>
      <w:bookmarkEnd w:id="6"/>
    </w:p>
    <w:p w:rsidR="000F2D0A" w:rsidRPr="003575E6" w:rsidRDefault="000F2D0A" w:rsidP="005C5BCA">
      <w:pPr>
        <w:rPr>
          <w:caps/>
          <w:lang w:val="es-ES"/>
        </w:rPr>
      </w:pPr>
    </w:p>
    <w:p w:rsidR="000F2D0A" w:rsidRPr="003575E6" w:rsidRDefault="000F2D0A" w:rsidP="00D0156C">
      <w:pPr>
        <w:pStyle w:val="Heading2"/>
        <w:rPr>
          <w:color w:val="auto"/>
          <w:lang w:val="es-ES"/>
        </w:rPr>
      </w:pPr>
      <w:bookmarkStart w:id="7" w:name="_Toc410723873"/>
      <w:bookmarkStart w:id="8" w:name="_Toc380151005"/>
      <w:r w:rsidRPr="003575E6">
        <w:rPr>
          <w:color w:val="auto"/>
        </w:rPr>
        <w:t>Comité Técnico</w:t>
      </w:r>
      <w:bookmarkEnd w:id="7"/>
    </w:p>
    <w:p w:rsidR="000F2D0A" w:rsidRPr="003575E6" w:rsidRDefault="000F2D0A" w:rsidP="005C5BCA">
      <w:pPr>
        <w:rPr>
          <w:lang w:val="es-ES"/>
        </w:rPr>
      </w:pPr>
    </w:p>
    <w:p w:rsidR="000F2D0A" w:rsidRPr="003575E6" w:rsidRDefault="008638B2" w:rsidP="000F2D0A">
      <w:pPr>
        <w:rPr>
          <w:lang w:val="es-ES"/>
        </w:rPr>
      </w:pPr>
      <w:r w:rsidRPr="003575E6">
        <w:fldChar w:fldCharType="begin"/>
      </w:r>
      <w:r w:rsidR="005C5BCA" w:rsidRPr="003575E6">
        <w:rPr>
          <w:lang w:val="es-ES"/>
        </w:rPr>
        <w:instrText xml:space="preserve"> AUTONUM  </w:instrText>
      </w:r>
      <w:r w:rsidRPr="003575E6">
        <w:fldChar w:fldCharType="end"/>
      </w:r>
      <w:r w:rsidR="005C5BCA" w:rsidRPr="003575E6">
        <w:rPr>
          <w:lang w:val="es-ES"/>
        </w:rPr>
        <w:tab/>
      </w:r>
      <w:r w:rsidR="000F2D0A" w:rsidRPr="003575E6">
        <w:rPr>
          <w:lang w:val="es-ES_tradnl"/>
        </w:rPr>
        <w:t>El TC examinó el documento TC/50/12.</w:t>
      </w:r>
    </w:p>
    <w:p w:rsidR="000F2D0A" w:rsidRPr="003575E6" w:rsidRDefault="000F2D0A" w:rsidP="005C5BCA">
      <w:pPr>
        <w:rPr>
          <w:lang w:val="es-ES"/>
        </w:rPr>
      </w:pPr>
    </w:p>
    <w:p w:rsidR="000F2D0A" w:rsidRPr="003575E6" w:rsidRDefault="008638B2" w:rsidP="000F2D0A">
      <w:pPr>
        <w:rPr>
          <w:lang w:val="es-ES"/>
        </w:rPr>
      </w:pPr>
      <w:r w:rsidRPr="003575E6">
        <w:fldChar w:fldCharType="begin"/>
      </w:r>
      <w:r w:rsidR="005C5BCA" w:rsidRPr="003575E6">
        <w:rPr>
          <w:lang w:val="es-ES"/>
        </w:rPr>
        <w:instrText xml:space="preserve"> AUTONUM  </w:instrText>
      </w:r>
      <w:r w:rsidRPr="003575E6">
        <w:fldChar w:fldCharType="end"/>
      </w:r>
      <w:r w:rsidR="005C5BCA" w:rsidRPr="003575E6">
        <w:rPr>
          <w:lang w:val="es-ES"/>
        </w:rPr>
        <w:tab/>
      </w:r>
      <w:r w:rsidR="000F2D0A" w:rsidRPr="003575E6">
        <w:rPr>
          <w:lang w:val="es-ES_tradnl"/>
        </w:rPr>
        <w:t>El TC tomó nota de que el TWC había propuesto facilitar información más detallada y análisis sobre las consecuencias de la utilización de los diferentes métodos presentados en las situaciones A, B, C y D en su sesión de 2014, como se indica en el párrafo 33 del documento TC/50/12.  El TC convino en que se debe modificar el documento para explicar que, en ciertas circunstancias, puede rechazarse una variedad después de un único ciclo de cultivo en las situaciones A y B.</w:t>
      </w:r>
    </w:p>
    <w:p w:rsidR="000F2D0A" w:rsidRPr="003575E6" w:rsidRDefault="000F2D0A" w:rsidP="005C5BCA">
      <w:pPr>
        <w:rPr>
          <w:i/>
          <w:lang w:val="es-ES"/>
        </w:rPr>
      </w:pPr>
    </w:p>
    <w:p w:rsidR="000F2D0A" w:rsidRPr="003575E6" w:rsidRDefault="008638B2" w:rsidP="000F2D0A">
      <w:pPr>
        <w:rPr>
          <w:lang w:val="es-ES"/>
        </w:rPr>
      </w:pPr>
      <w:r w:rsidRPr="003575E6">
        <w:fldChar w:fldCharType="begin"/>
      </w:r>
      <w:r w:rsidR="005C5BCA" w:rsidRPr="003575E6">
        <w:rPr>
          <w:lang w:val="es-ES"/>
        </w:rPr>
        <w:instrText xml:space="preserve"> AUTONUM  </w:instrText>
      </w:r>
      <w:r w:rsidRPr="003575E6">
        <w:fldChar w:fldCharType="end"/>
      </w:r>
      <w:r w:rsidR="005C5BCA" w:rsidRPr="003575E6">
        <w:rPr>
          <w:lang w:val="es-ES"/>
        </w:rPr>
        <w:tab/>
      </w:r>
      <w:r w:rsidR="000F2D0A" w:rsidRPr="003575E6">
        <w:rPr>
          <w:lang w:val="es-ES_tradnl"/>
        </w:rPr>
        <w:t>El TC tomó nota de que el TWC había propuesto que en su sesión de 2014 se siga reflexionando sobre la base estadística del número aceptable de plantas fuera de tipo en la situación D, tal como se expone en los párrafos 34 y 35 del documento TC/50/12.</w:t>
      </w:r>
    </w:p>
    <w:p w:rsidR="000F2D0A" w:rsidRPr="003575E6" w:rsidRDefault="000F2D0A" w:rsidP="005C5BCA">
      <w:pPr>
        <w:rPr>
          <w:lang w:val="es-ES"/>
        </w:rPr>
      </w:pPr>
    </w:p>
    <w:p w:rsidR="000F2D0A" w:rsidRPr="003575E6" w:rsidRDefault="008638B2" w:rsidP="000F2D0A">
      <w:pPr>
        <w:rPr>
          <w:lang w:val="es-ES"/>
        </w:rPr>
      </w:pPr>
      <w:r w:rsidRPr="003575E6">
        <w:fldChar w:fldCharType="begin"/>
      </w:r>
      <w:r w:rsidR="005C5BCA" w:rsidRPr="003575E6">
        <w:rPr>
          <w:lang w:val="es-ES"/>
        </w:rPr>
        <w:instrText xml:space="preserve"> AUTONUM  </w:instrText>
      </w:r>
      <w:r w:rsidRPr="003575E6">
        <w:fldChar w:fldCharType="end"/>
      </w:r>
      <w:r w:rsidR="005C5BCA" w:rsidRPr="003575E6">
        <w:rPr>
          <w:lang w:val="es-ES"/>
        </w:rPr>
        <w:tab/>
      </w:r>
      <w:r w:rsidR="000F2D0A" w:rsidRPr="003575E6">
        <w:rPr>
          <w:lang w:val="es-ES_tradnl"/>
        </w:rPr>
        <w:t>El TC convino en que se elaboren orientaciones para las situaciones A, B, C y D</w:t>
      </w:r>
      <w:r w:rsidR="00A80212" w:rsidRPr="003575E6">
        <w:rPr>
          <w:lang w:val="es-ES_tradnl"/>
        </w:rPr>
        <w:t xml:space="preserve"> </w:t>
      </w:r>
      <w:r w:rsidR="000F2D0A" w:rsidRPr="003575E6">
        <w:rPr>
          <w:lang w:val="es-ES_tradnl"/>
        </w:rPr>
        <w:t>del documento TGP/10, según se exponen en los Anexos I a IV del documento TC/50/12, después de examinar los comentarios formulados por el TWC.</w:t>
      </w:r>
    </w:p>
    <w:p w:rsidR="000F2D0A" w:rsidRPr="003575E6" w:rsidRDefault="000F2D0A" w:rsidP="005C5BCA">
      <w:pPr>
        <w:rPr>
          <w:lang w:val="es-ES"/>
        </w:rPr>
      </w:pPr>
    </w:p>
    <w:p w:rsidR="000F2D0A" w:rsidRPr="003575E6" w:rsidRDefault="008638B2" w:rsidP="005C5BCA">
      <w:pPr>
        <w:rPr>
          <w:rFonts w:cs="Arial"/>
          <w:lang w:val="es-ES_tradnl"/>
        </w:rPr>
      </w:pPr>
      <w:r w:rsidRPr="003575E6">
        <w:fldChar w:fldCharType="begin"/>
      </w:r>
      <w:r w:rsidR="005C5BCA" w:rsidRPr="003575E6">
        <w:rPr>
          <w:lang w:val="es-ES_tradnl"/>
        </w:rPr>
        <w:instrText xml:space="preserve"> AUTONUM  </w:instrText>
      </w:r>
      <w:r w:rsidRPr="003575E6">
        <w:fldChar w:fldCharType="end"/>
      </w:r>
      <w:r w:rsidR="005C5BCA" w:rsidRPr="003575E6">
        <w:rPr>
          <w:lang w:val="es-ES_tradnl"/>
        </w:rPr>
        <w:tab/>
      </w:r>
      <w:r w:rsidR="00AF2CF0" w:rsidRPr="003575E6">
        <w:rPr>
          <w:lang w:val="es-ES_tradnl"/>
        </w:rPr>
        <w:t>El TC convino en que se debe tener en cuenta el párrafo 6 del documento TGP/10 al considerar la elaboración de orientaciones sobre el método presentado en la situación C, tal como se expone en el Anexo III del documento TC/50/12 (véanse los párrafos 123 al 127 del documento TC/50/36 “Informe sobre las conclusiones”).</w:t>
      </w:r>
    </w:p>
    <w:p w:rsidR="000F2D0A" w:rsidRPr="003575E6" w:rsidRDefault="000F2D0A" w:rsidP="005C5BCA">
      <w:pPr>
        <w:rPr>
          <w:lang w:val="es-ES_tradnl"/>
        </w:rPr>
      </w:pPr>
    </w:p>
    <w:p w:rsidR="000F2D0A" w:rsidRPr="003575E6" w:rsidRDefault="000F2D0A" w:rsidP="00D0156C">
      <w:pPr>
        <w:pStyle w:val="Heading2"/>
        <w:rPr>
          <w:color w:val="auto"/>
          <w:lang w:val="es-ES"/>
        </w:rPr>
      </w:pPr>
      <w:bookmarkStart w:id="9" w:name="_Toc410723874"/>
      <w:r w:rsidRPr="003575E6">
        <w:rPr>
          <w:color w:val="auto"/>
        </w:rPr>
        <w:t>TWP</w:t>
      </w:r>
      <w:bookmarkEnd w:id="9"/>
    </w:p>
    <w:p w:rsidR="000F2D0A" w:rsidRPr="003575E6" w:rsidRDefault="000F2D0A" w:rsidP="005C5BCA">
      <w:pPr>
        <w:rPr>
          <w:lang w:val="es-ES"/>
        </w:rPr>
      </w:pPr>
    </w:p>
    <w:p w:rsidR="000F2D0A" w:rsidRPr="003575E6" w:rsidRDefault="000F2D0A" w:rsidP="003E5EA6">
      <w:pPr>
        <w:pStyle w:val="Heading3"/>
        <w:rPr>
          <w:color w:val="auto"/>
          <w:lang w:val="es-ES"/>
        </w:rPr>
      </w:pPr>
      <w:bookmarkStart w:id="10" w:name="_Toc410723875"/>
      <w:r w:rsidRPr="003575E6">
        <w:rPr>
          <w:color w:val="auto"/>
        </w:rPr>
        <w:t>Grupo de Trabajo Técnico sobre Plantas Ornamentales y Árboles Forestales</w:t>
      </w:r>
      <w:bookmarkEnd w:id="10"/>
      <w:r w:rsidR="005C5BCA" w:rsidRPr="003575E6">
        <w:rPr>
          <w:color w:val="auto"/>
          <w:lang w:val="es-ES"/>
        </w:rPr>
        <w:t xml:space="preserve"> </w:t>
      </w:r>
    </w:p>
    <w:p w:rsidR="000F2D0A" w:rsidRPr="003575E6" w:rsidRDefault="000F2D0A" w:rsidP="005C5BCA">
      <w:pPr>
        <w:rPr>
          <w:rFonts w:eastAsia="MS Mincho"/>
          <w:lang w:val="es-ES" w:eastAsia="ja-JP"/>
        </w:rPr>
      </w:pPr>
    </w:p>
    <w:p w:rsidR="000F2D0A" w:rsidRPr="003575E6" w:rsidRDefault="008638B2" w:rsidP="005C5BCA">
      <w:pPr>
        <w:rPr>
          <w:lang w:val="es-ES_tradnl"/>
        </w:rPr>
      </w:pPr>
      <w:r w:rsidRPr="003575E6">
        <w:fldChar w:fldCharType="begin"/>
      </w:r>
      <w:r w:rsidR="005C5BCA" w:rsidRPr="003575E6">
        <w:rPr>
          <w:lang w:val="es-ES_tradnl"/>
        </w:rPr>
        <w:instrText xml:space="preserve"> AUTONUM  </w:instrText>
      </w:r>
      <w:r w:rsidRPr="003575E6">
        <w:fldChar w:fldCharType="end"/>
      </w:r>
      <w:r w:rsidR="005C5BCA" w:rsidRPr="003575E6">
        <w:rPr>
          <w:lang w:val="es-ES_tradnl"/>
        </w:rPr>
        <w:tab/>
      </w:r>
      <w:r w:rsidR="00AF2CF0" w:rsidRPr="003575E6">
        <w:rPr>
          <w:lang w:val="es-ES_tradnl"/>
        </w:rPr>
        <w:t>El TWO examinó el documento</w:t>
      </w:r>
      <w:r w:rsidR="00881EC8" w:rsidRPr="003575E6">
        <w:rPr>
          <w:lang w:val="es-ES_tradnl"/>
        </w:rPr>
        <w:t> </w:t>
      </w:r>
      <w:r w:rsidR="00AF2CF0" w:rsidRPr="003575E6">
        <w:rPr>
          <w:lang w:val="es-ES_tradnl"/>
        </w:rPr>
        <w:t xml:space="preserve">TWO/47/9 y las situaciones descritas en los </w:t>
      </w:r>
      <w:r w:rsidR="00881EC8" w:rsidRPr="003575E6">
        <w:rPr>
          <w:lang w:val="es-ES_tradnl"/>
        </w:rPr>
        <w:t>A</w:t>
      </w:r>
      <w:r w:rsidR="00AF2CF0" w:rsidRPr="003575E6">
        <w:rPr>
          <w:lang w:val="es-ES_tradnl"/>
        </w:rPr>
        <w:t>nexos I a IV como base para la elaboración de orientaciones en el documento TGP/10.</w:t>
      </w:r>
      <w:r w:rsidR="005C5BCA" w:rsidRPr="003575E6">
        <w:rPr>
          <w:lang w:val="es-ES_tradnl"/>
        </w:rPr>
        <w:t xml:space="preserve"> </w:t>
      </w:r>
    </w:p>
    <w:p w:rsidR="000F2D0A" w:rsidRPr="003575E6" w:rsidRDefault="000F2D0A" w:rsidP="005C5BCA">
      <w:pPr>
        <w:rPr>
          <w:lang w:val="es-ES_tradnl"/>
        </w:rPr>
      </w:pPr>
    </w:p>
    <w:p w:rsidR="000F2D0A" w:rsidRPr="003575E6" w:rsidRDefault="008638B2" w:rsidP="005C5BCA">
      <w:pPr>
        <w:rPr>
          <w:lang w:val="es-ES_tradnl"/>
        </w:rPr>
      </w:pPr>
      <w:r w:rsidRPr="003575E6">
        <w:fldChar w:fldCharType="begin"/>
      </w:r>
      <w:r w:rsidR="005C5BCA" w:rsidRPr="003575E6">
        <w:rPr>
          <w:lang w:val="es-ES_tradnl"/>
        </w:rPr>
        <w:instrText xml:space="preserve"> AUTONUM  </w:instrText>
      </w:r>
      <w:r w:rsidRPr="003575E6">
        <w:fldChar w:fldCharType="end"/>
      </w:r>
      <w:r w:rsidR="005C5BCA" w:rsidRPr="003575E6">
        <w:rPr>
          <w:lang w:val="es-ES_tradnl"/>
        </w:rPr>
        <w:tab/>
      </w:r>
      <w:r w:rsidR="00AF2CF0" w:rsidRPr="003575E6">
        <w:rPr>
          <w:lang w:val="es-ES_tradnl"/>
        </w:rPr>
        <w:t xml:space="preserve">El TWO convino en que </w:t>
      </w:r>
      <w:r w:rsidR="007A7DAF" w:rsidRPr="003575E6">
        <w:rPr>
          <w:lang w:val="es-ES_tradnl"/>
        </w:rPr>
        <w:t>se deberá aportar una aclaración sobre la decisión</w:t>
      </w:r>
      <w:r w:rsidR="00AF2CF0" w:rsidRPr="003575E6">
        <w:rPr>
          <w:lang w:val="es-ES_tradnl"/>
        </w:rPr>
        <w:t xml:space="preserve"> </w:t>
      </w:r>
      <w:r w:rsidR="007A7DAF" w:rsidRPr="003575E6">
        <w:rPr>
          <w:lang w:val="es-ES_tradnl"/>
        </w:rPr>
        <w:t xml:space="preserve">que ha de </w:t>
      </w:r>
      <w:r w:rsidR="00AF2CF0" w:rsidRPr="003575E6">
        <w:rPr>
          <w:lang w:val="es-ES_tradnl"/>
        </w:rPr>
        <w:t>to</w:t>
      </w:r>
      <w:r w:rsidR="007A7DAF" w:rsidRPr="003575E6">
        <w:rPr>
          <w:lang w:val="es-ES_tradnl"/>
        </w:rPr>
        <w:t>marse</w:t>
      </w:r>
      <w:r w:rsidR="00AF2CF0" w:rsidRPr="003575E6">
        <w:rPr>
          <w:lang w:val="es-ES_tradnl"/>
        </w:rPr>
        <w:t xml:space="preserve"> </w:t>
      </w:r>
      <w:r w:rsidR="007A7DAF" w:rsidRPr="003575E6">
        <w:rPr>
          <w:lang w:val="es-ES_tradnl"/>
        </w:rPr>
        <w:t>e</w:t>
      </w:r>
      <w:r w:rsidR="00AF2CF0" w:rsidRPr="003575E6">
        <w:rPr>
          <w:lang w:val="es-ES_tradnl"/>
        </w:rPr>
        <w:t xml:space="preserve">n </w:t>
      </w:r>
      <w:r w:rsidR="007A7DAF" w:rsidRPr="003575E6">
        <w:rPr>
          <w:lang w:val="es-ES_tradnl"/>
        </w:rPr>
        <w:t xml:space="preserve">la </w:t>
      </w:r>
      <w:r w:rsidR="00C417F4" w:rsidRPr="003575E6">
        <w:rPr>
          <w:lang w:val="es-ES_tradnl"/>
        </w:rPr>
        <w:t>s</w:t>
      </w:r>
      <w:r w:rsidR="007A7DAF" w:rsidRPr="003575E6">
        <w:rPr>
          <w:lang w:val="es-ES_tradnl"/>
        </w:rPr>
        <w:t>ituación </w:t>
      </w:r>
      <w:r w:rsidR="00AF2CF0" w:rsidRPr="003575E6">
        <w:rPr>
          <w:lang w:val="es-ES_tradnl"/>
        </w:rPr>
        <w:t>B, Alternativ</w:t>
      </w:r>
      <w:r w:rsidR="007A7DAF" w:rsidRPr="003575E6">
        <w:rPr>
          <w:lang w:val="es-ES_tradnl"/>
        </w:rPr>
        <w:t>a </w:t>
      </w:r>
      <w:r w:rsidR="00AF2CF0" w:rsidRPr="003575E6">
        <w:rPr>
          <w:lang w:val="es-ES_tradnl"/>
        </w:rPr>
        <w:t>a) “</w:t>
      </w:r>
      <w:r w:rsidR="007A7DAF" w:rsidRPr="003575E6">
        <w:rPr>
          <w:lang w:val="es-ES_tradnl"/>
        </w:rPr>
        <w:t>el ensayo se repite en ambos lugares un segundo año</w:t>
      </w:r>
      <w:r w:rsidR="00881EC8" w:rsidRPr="003575E6">
        <w:rPr>
          <w:lang w:val="es-ES_tradnl"/>
        </w:rPr>
        <w:t>”</w:t>
      </w:r>
      <w:r w:rsidR="00AF2CF0" w:rsidRPr="003575E6">
        <w:rPr>
          <w:lang w:val="es-ES_tradnl"/>
        </w:rPr>
        <w:t xml:space="preserve"> </w:t>
      </w:r>
      <w:r w:rsidR="007A7DAF" w:rsidRPr="003575E6">
        <w:rPr>
          <w:lang w:val="es-ES_tradnl"/>
        </w:rPr>
        <w:t>e</w:t>
      </w:r>
      <w:r w:rsidR="00AF2CF0" w:rsidRPr="003575E6">
        <w:rPr>
          <w:lang w:val="es-ES_tradnl"/>
        </w:rPr>
        <w:t xml:space="preserve">n </w:t>
      </w:r>
      <w:r w:rsidR="007A7DAF" w:rsidRPr="003575E6">
        <w:rPr>
          <w:lang w:val="es-ES_tradnl"/>
        </w:rPr>
        <w:t xml:space="preserve">el </w:t>
      </w:r>
      <w:r w:rsidR="00AF2CF0" w:rsidRPr="003575E6">
        <w:rPr>
          <w:lang w:val="es-ES_tradnl"/>
        </w:rPr>
        <w:t>cas</w:t>
      </w:r>
      <w:r w:rsidR="007A7DAF" w:rsidRPr="003575E6">
        <w:rPr>
          <w:lang w:val="es-ES_tradnl"/>
        </w:rPr>
        <w:t>o d</w:t>
      </w:r>
      <w:r w:rsidR="00AF2CF0" w:rsidRPr="003575E6">
        <w:rPr>
          <w:lang w:val="es-ES_tradnl"/>
        </w:rPr>
        <w:t xml:space="preserve">e </w:t>
      </w:r>
      <w:r w:rsidR="007A7DAF" w:rsidRPr="003575E6">
        <w:rPr>
          <w:lang w:val="es-ES_tradnl"/>
        </w:rPr>
        <w:t xml:space="preserve">que tras repetirse </w:t>
      </w:r>
      <w:r w:rsidR="00881EC8" w:rsidRPr="003575E6">
        <w:rPr>
          <w:lang w:val="es-ES_tradnl"/>
        </w:rPr>
        <w:t>un</w:t>
      </w:r>
      <w:r w:rsidR="007A7DAF" w:rsidRPr="003575E6">
        <w:rPr>
          <w:lang w:val="es-ES_tradnl"/>
        </w:rPr>
        <w:t xml:space="preserve"> ensayo </w:t>
      </w:r>
      <w:r w:rsidR="00881EC8" w:rsidRPr="003575E6">
        <w:rPr>
          <w:lang w:val="es-ES_tradnl"/>
        </w:rPr>
        <w:t xml:space="preserve">en </w:t>
      </w:r>
      <w:r w:rsidR="007A7DAF" w:rsidRPr="003575E6">
        <w:rPr>
          <w:lang w:val="es-ES_tradnl"/>
        </w:rPr>
        <w:t>un segundo año un</w:t>
      </w:r>
      <w:r w:rsidR="00AF2CF0" w:rsidRPr="003575E6">
        <w:rPr>
          <w:lang w:val="es-ES_tradnl"/>
        </w:rPr>
        <w:t xml:space="preserve">a </w:t>
      </w:r>
      <w:r w:rsidR="00AF2CF0" w:rsidRPr="003575E6">
        <w:rPr>
          <w:rFonts w:eastAsia="SimSun"/>
          <w:szCs w:val="24"/>
          <w:lang w:val="es-ES_tradnl" w:eastAsia="zh-CN"/>
        </w:rPr>
        <w:t>varie</w:t>
      </w:r>
      <w:r w:rsidR="007A7DAF" w:rsidRPr="003575E6">
        <w:rPr>
          <w:rFonts w:eastAsia="SimSun"/>
          <w:szCs w:val="24"/>
          <w:lang w:val="es-ES_tradnl" w:eastAsia="zh-CN"/>
        </w:rPr>
        <w:t>dad cumpl</w:t>
      </w:r>
      <w:r w:rsidR="00881EC8" w:rsidRPr="003575E6">
        <w:rPr>
          <w:rFonts w:eastAsia="SimSun"/>
          <w:szCs w:val="24"/>
          <w:lang w:val="es-ES_tradnl" w:eastAsia="zh-CN"/>
        </w:rPr>
        <w:t>a</w:t>
      </w:r>
      <w:r w:rsidR="007A7DAF" w:rsidRPr="003575E6">
        <w:rPr>
          <w:rFonts w:eastAsia="SimSun"/>
          <w:szCs w:val="24"/>
          <w:lang w:val="es-ES_tradnl" w:eastAsia="zh-CN"/>
        </w:rPr>
        <w:t xml:space="preserve"> el estándar de homogeneidad</w:t>
      </w:r>
      <w:r w:rsidR="00AF2CF0" w:rsidRPr="003575E6">
        <w:rPr>
          <w:rFonts w:eastAsia="SimSun"/>
          <w:szCs w:val="24"/>
          <w:lang w:val="es-ES_tradnl" w:eastAsia="zh-CN"/>
        </w:rPr>
        <w:t xml:space="preserve"> </w:t>
      </w:r>
      <w:r w:rsidR="007A7DAF" w:rsidRPr="003575E6">
        <w:rPr>
          <w:rFonts w:eastAsia="SimSun"/>
          <w:szCs w:val="24"/>
          <w:lang w:val="es-ES_tradnl" w:eastAsia="zh-CN"/>
        </w:rPr>
        <w:t>en un</w:t>
      </w:r>
      <w:r w:rsidR="00AF2CF0" w:rsidRPr="003575E6">
        <w:rPr>
          <w:rFonts w:eastAsia="SimSun"/>
          <w:szCs w:val="24"/>
          <w:lang w:val="es-ES_tradnl" w:eastAsia="zh-CN"/>
        </w:rPr>
        <w:t xml:space="preserve"> </w:t>
      </w:r>
      <w:r w:rsidR="007A7DAF" w:rsidRPr="003575E6">
        <w:rPr>
          <w:rFonts w:eastAsia="SimSun"/>
          <w:szCs w:val="24"/>
          <w:lang w:val="es-ES_tradnl" w:eastAsia="zh-CN"/>
        </w:rPr>
        <w:t>lugar de cultivo</w:t>
      </w:r>
      <w:r w:rsidR="00AF2CF0" w:rsidRPr="003575E6">
        <w:rPr>
          <w:rFonts w:eastAsia="SimSun"/>
          <w:szCs w:val="24"/>
          <w:lang w:val="es-ES_tradnl" w:eastAsia="zh-CN"/>
        </w:rPr>
        <w:t xml:space="preserve"> </w:t>
      </w:r>
      <w:r w:rsidR="007A7DAF" w:rsidRPr="003575E6">
        <w:rPr>
          <w:rFonts w:eastAsia="SimSun"/>
          <w:szCs w:val="24"/>
          <w:lang w:val="es-ES_tradnl" w:eastAsia="zh-CN"/>
        </w:rPr>
        <w:t>pero no lo cumpl</w:t>
      </w:r>
      <w:r w:rsidR="00881EC8" w:rsidRPr="003575E6">
        <w:rPr>
          <w:rFonts w:eastAsia="SimSun"/>
          <w:szCs w:val="24"/>
          <w:lang w:val="es-ES_tradnl" w:eastAsia="zh-CN"/>
        </w:rPr>
        <w:t>a</w:t>
      </w:r>
      <w:r w:rsidR="007A7DAF" w:rsidRPr="003575E6">
        <w:rPr>
          <w:rFonts w:eastAsia="SimSun"/>
          <w:szCs w:val="24"/>
          <w:lang w:val="es-ES_tradnl" w:eastAsia="zh-CN"/>
        </w:rPr>
        <w:t xml:space="preserve"> e</w:t>
      </w:r>
      <w:r w:rsidR="00AF2CF0" w:rsidRPr="003575E6">
        <w:rPr>
          <w:rFonts w:eastAsia="SimSun"/>
          <w:szCs w:val="24"/>
          <w:lang w:val="es-ES_tradnl" w:eastAsia="zh-CN"/>
        </w:rPr>
        <w:t xml:space="preserve">n </w:t>
      </w:r>
      <w:r w:rsidR="007A7DAF" w:rsidRPr="003575E6">
        <w:rPr>
          <w:rFonts w:eastAsia="SimSun"/>
          <w:szCs w:val="24"/>
          <w:lang w:val="es-ES_tradnl" w:eastAsia="zh-CN"/>
        </w:rPr>
        <w:t>el otro lugar de cultivo</w:t>
      </w:r>
      <w:r w:rsidR="00AF2CF0" w:rsidRPr="003575E6">
        <w:rPr>
          <w:rFonts w:eastAsia="SimSun"/>
          <w:szCs w:val="24"/>
          <w:lang w:val="es-ES_tradnl" w:eastAsia="zh-CN"/>
        </w:rPr>
        <w:t xml:space="preserve"> </w:t>
      </w:r>
      <w:r w:rsidR="00AF2CF0" w:rsidRPr="003575E6">
        <w:rPr>
          <w:lang w:val="es-ES_tradnl"/>
        </w:rPr>
        <w:t>(véa</w:t>
      </w:r>
      <w:r w:rsidR="007A7DAF" w:rsidRPr="003575E6">
        <w:rPr>
          <w:lang w:val="es-ES_tradnl"/>
        </w:rPr>
        <w:t>n</w:t>
      </w:r>
      <w:r w:rsidR="00AF2CF0" w:rsidRPr="003575E6">
        <w:rPr>
          <w:lang w:val="es-ES_tradnl"/>
        </w:rPr>
        <w:t xml:space="preserve">se </w:t>
      </w:r>
      <w:r w:rsidR="007A7DAF" w:rsidRPr="003575E6">
        <w:rPr>
          <w:lang w:val="es-ES_tradnl"/>
        </w:rPr>
        <w:t>los párrafos 61 y 62 d</w:t>
      </w:r>
      <w:r w:rsidR="00AF2CF0" w:rsidRPr="003575E6">
        <w:rPr>
          <w:lang w:val="es-ES_tradnl"/>
        </w:rPr>
        <w:t>el documento</w:t>
      </w:r>
      <w:r w:rsidR="007A7DAF" w:rsidRPr="003575E6">
        <w:rPr>
          <w:lang w:val="es-ES_tradnl"/>
        </w:rPr>
        <w:t> </w:t>
      </w:r>
      <w:r w:rsidR="00AF2CF0" w:rsidRPr="003575E6">
        <w:rPr>
          <w:lang w:val="es-ES_tradnl"/>
        </w:rPr>
        <w:t>TWO</w:t>
      </w:r>
      <w:r w:rsidR="007A7DAF" w:rsidRPr="003575E6">
        <w:rPr>
          <w:lang w:val="es-ES_tradnl"/>
        </w:rPr>
        <w:t>/47/28 “</w:t>
      </w:r>
      <w:r w:rsidR="007A7DAF" w:rsidRPr="003575E6">
        <w:rPr>
          <w:i/>
          <w:lang w:val="es-ES_tradnl"/>
        </w:rPr>
        <w:t>Report</w:t>
      </w:r>
      <w:r w:rsidR="007A7DAF" w:rsidRPr="003575E6">
        <w:rPr>
          <w:lang w:val="es-ES_tradnl"/>
        </w:rPr>
        <w:t>”</w:t>
      </w:r>
      <w:r w:rsidR="00AF2CF0" w:rsidRPr="003575E6">
        <w:rPr>
          <w:lang w:val="es-ES_tradnl"/>
        </w:rPr>
        <w:t>)</w:t>
      </w:r>
      <w:r w:rsidR="00AF2CF0" w:rsidRPr="003575E6">
        <w:rPr>
          <w:rFonts w:eastAsia="SimSun"/>
          <w:szCs w:val="24"/>
          <w:lang w:val="es-ES_tradnl" w:eastAsia="zh-CN"/>
        </w:rPr>
        <w:t>.</w:t>
      </w:r>
    </w:p>
    <w:p w:rsidR="000F2D0A" w:rsidRPr="003575E6" w:rsidRDefault="000F2D0A" w:rsidP="005C5BCA">
      <w:pPr>
        <w:rPr>
          <w:rFonts w:eastAsia="MS Mincho"/>
          <w:lang w:val="es-ES_tradnl" w:eastAsia="ja-JP"/>
        </w:rPr>
      </w:pPr>
    </w:p>
    <w:p w:rsidR="000F2D0A" w:rsidRPr="003575E6" w:rsidRDefault="000F2D0A" w:rsidP="003E5EA6">
      <w:pPr>
        <w:pStyle w:val="Heading3"/>
        <w:rPr>
          <w:color w:val="auto"/>
          <w:lang w:val="es-ES"/>
        </w:rPr>
      </w:pPr>
      <w:bookmarkStart w:id="11" w:name="_Toc410723876"/>
      <w:r w:rsidRPr="003575E6">
        <w:rPr>
          <w:color w:val="auto"/>
        </w:rPr>
        <w:t>Grupo de Trabajo Técnico sobre Plantas Frutales</w:t>
      </w:r>
      <w:bookmarkEnd w:id="11"/>
      <w:r w:rsidR="005C5BCA" w:rsidRPr="003575E6">
        <w:rPr>
          <w:color w:val="auto"/>
          <w:lang w:val="es-ES"/>
        </w:rPr>
        <w:t xml:space="preserve"> </w:t>
      </w:r>
    </w:p>
    <w:p w:rsidR="000F2D0A" w:rsidRPr="003575E6" w:rsidRDefault="000F2D0A" w:rsidP="005C5BCA">
      <w:pPr>
        <w:rPr>
          <w:rFonts w:eastAsia="MS Mincho"/>
          <w:lang w:val="es-ES" w:eastAsia="ja-JP"/>
        </w:rPr>
      </w:pPr>
    </w:p>
    <w:p w:rsidR="000F2D0A" w:rsidRPr="003575E6" w:rsidRDefault="008638B2" w:rsidP="005C5BCA">
      <w:pPr>
        <w:rPr>
          <w:lang w:val="es-ES_tradnl"/>
        </w:rPr>
      </w:pPr>
      <w:r w:rsidRPr="003575E6">
        <w:fldChar w:fldCharType="begin"/>
      </w:r>
      <w:r w:rsidR="005C5BCA" w:rsidRPr="003575E6">
        <w:rPr>
          <w:lang w:val="es-ES_tradnl"/>
        </w:rPr>
        <w:instrText xml:space="preserve"> AUTONUM  </w:instrText>
      </w:r>
      <w:r w:rsidRPr="003575E6">
        <w:fldChar w:fldCharType="end"/>
      </w:r>
      <w:r w:rsidR="005C5BCA" w:rsidRPr="003575E6">
        <w:rPr>
          <w:lang w:val="es-ES_tradnl"/>
        </w:rPr>
        <w:tab/>
      </w:r>
      <w:r w:rsidR="00B546A9" w:rsidRPr="003575E6">
        <w:rPr>
          <w:lang w:val="es-ES_tradnl"/>
        </w:rPr>
        <w:t>El TWF examinó el documento</w:t>
      </w:r>
      <w:r w:rsidR="00A63276" w:rsidRPr="003575E6">
        <w:rPr>
          <w:lang w:val="es-ES_tradnl"/>
        </w:rPr>
        <w:t> </w:t>
      </w:r>
      <w:r w:rsidR="00B546A9" w:rsidRPr="003575E6">
        <w:rPr>
          <w:lang w:val="es-ES_tradnl"/>
        </w:rPr>
        <w:t xml:space="preserve">TWF/45/9 y las situaciones descritas en los </w:t>
      </w:r>
      <w:r w:rsidR="00881EC8" w:rsidRPr="003575E6">
        <w:rPr>
          <w:lang w:val="es-ES_tradnl"/>
        </w:rPr>
        <w:t>A</w:t>
      </w:r>
      <w:r w:rsidR="00B546A9" w:rsidRPr="003575E6">
        <w:rPr>
          <w:lang w:val="es-ES_tradnl"/>
        </w:rPr>
        <w:t>nexos I a IV como base para la elaboración de orientaciones en el documento TGP/10.</w:t>
      </w:r>
    </w:p>
    <w:p w:rsidR="000F2D0A" w:rsidRPr="003575E6" w:rsidRDefault="000F2D0A" w:rsidP="005C5BCA">
      <w:pPr>
        <w:rPr>
          <w:lang w:val="es-ES_tradnl"/>
        </w:rPr>
      </w:pPr>
    </w:p>
    <w:p w:rsidR="000F2D0A" w:rsidRPr="003575E6" w:rsidRDefault="008638B2" w:rsidP="005C5BCA">
      <w:pPr>
        <w:rPr>
          <w:lang w:val="es-ES_tradnl"/>
        </w:rPr>
      </w:pPr>
      <w:r w:rsidRPr="003575E6">
        <w:fldChar w:fldCharType="begin"/>
      </w:r>
      <w:r w:rsidR="005C5BCA" w:rsidRPr="003575E6">
        <w:rPr>
          <w:lang w:val="es-ES_tradnl"/>
        </w:rPr>
        <w:instrText xml:space="preserve"> AUTONUM  </w:instrText>
      </w:r>
      <w:r w:rsidRPr="003575E6">
        <w:fldChar w:fldCharType="end"/>
      </w:r>
      <w:r w:rsidR="005C5BCA" w:rsidRPr="003575E6">
        <w:rPr>
          <w:lang w:val="es-ES_tradnl"/>
        </w:rPr>
        <w:tab/>
      </w:r>
      <w:r w:rsidR="00B546A9" w:rsidRPr="003575E6">
        <w:rPr>
          <w:lang w:val="es-ES_tradnl"/>
        </w:rPr>
        <w:t xml:space="preserve">El TWF coincidió con la observación realizada por el TWO en su cuadragésima séptima sesión sobre que se deberá aportar una aclaración sobre la decisión que ha de tomarse en la </w:t>
      </w:r>
      <w:r w:rsidR="00C417F4" w:rsidRPr="003575E6">
        <w:rPr>
          <w:lang w:val="es-ES_tradnl"/>
        </w:rPr>
        <w:t>s</w:t>
      </w:r>
      <w:r w:rsidR="00B546A9" w:rsidRPr="003575E6">
        <w:rPr>
          <w:lang w:val="es-ES_tradnl"/>
        </w:rPr>
        <w:t>ituación B, Alternativa a) “el ensayo se repite en ambos lugares u</w:t>
      </w:r>
      <w:r w:rsidR="00741AF4" w:rsidRPr="003575E6">
        <w:rPr>
          <w:lang w:val="es-ES_tradnl"/>
        </w:rPr>
        <w:t>n segundo año”</w:t>
      </w:r>
      <w:r w:rsidR="00B546A9" w:rsidRPr="003575E6">
        <w:rPr>
          <w:lang w:val="es-ES_tradnl"/>
        </w:rPr>
        <w:t xml:space="preserve"> en el caso de que tras repetirse el ensayo un segundo año una variedad cumpl</w:t>
      </w:r>
      <w:r w:rsidR="00741AF4" w:rsidRPr="003575E6">
        <w:rPr>
          <w:lang w:val="es-ES_tradnl"/>
        </w:rPr>
        <w:t>a</w:t>
      </w:r>
      <w:r w:rsidR="00B546A9" w:rsidRPr="003575E6">
        <w:rPr>
          <w:lang w:val="es-ES_tradnl"/>
        </w:rPr>
        <w:t xml:space="preserve"> el estándar de homogeneidad en un lugar de cultivo o año pero no lo cumpl</w:t>
      </w:r>
      <w:r w:rsidR="00741AF4" w:rsidRPr="003575E6">
        <w:rPr>
          <w:lang w:val="es-ES_tradnl"/>
        </w:rPr>
        <w:t>a</w:t>
      </w:r>
      <w:r w:rsidR="00B546A9" w:rsidRPr="003575E6">
        <w:rPr>
          <w:lang w:val="es-ES_tradnl"/>
        </w:rPr>
        <w:t xml:space="preserve"> en el otro lugar de cultivo o año.</w:t>
      </w:r>
    </w:p>
    <w:p w:rsidR="000F2D0A" w:rsidRPr="003575E6" w:rsidRDefault="000F2D0A" w:rsidP="005C5BCA">
      <w:pPr>
        <w:rPr>
          <w:lang w:val="es-ES_tradnl"/>
        </w:rPr>
      </w:pPr>
    </w:p>
    <w:p w:rsidR="000F2D0A" w:rsidRPr="003575E6" w:rsidRDefault="008638B2" w:rsidP="005C5BCA">
      <w:pPr>
        <w:rPr>
          <w:lang w:val="es-ES_tradnl"/>
        </w:rPr>
      </w:pPr>
      <w:r w:rsidRPr="003575E6">
        <w:fldChar w:fldCharType="begin"/>
      </w:r>
      <w:r w:rsidR="005C5BCA" w:rsidRPr="003575E6">
        <w:rPr>
          <w:lang w:val="es-ES_tradnl"/>
        </w:rPr>
        <w:instrText xml:space="preserve"> AUTONUM  </w:instrText>
      </w:r>
      <w:r w:rsidRPr="003575E6">
        <w:fldChar w:fldCharType="end"/>
      </w:r>
      <w:r w:rsidR="005C5BCA" w:rsidRPr="003575E6">
        <w:rPr>
          <w:lang w:val="es-ES_tradnl"/>
        </w:rPr>
        <w:tab/>
      </w:r>
      <w:r w:rsidR="00B546A9" w:rsidRPr="003575E6">
        <w:rPr>
          <w:lang w:val="es-ES_tradnl"/>
        </w:rPr>
        <w:t xml:space="preserve">El TWF convino en que los </w:t>
      </w:r>
      <w:r w:rsidR="00201893" w:rsidRPr="003575E6">
        <w:rPr>
          <w:lang w:val="es-ES_tradnl"/>
        </w:rPr>
        <w:t xml:space="preserve">métodos </w:t>
      </w:r>
      <w:r w:rsidR="00B546A9" w:rsidRPr="003575E6">
        <w:rPr>
          <w:lang w:val="es-ES_tradnl"/>
        </w:rPr>
        <w:t xml:space="preserve">no eran pertinentes para el sector de los frutales, porque las variedades de multiplicación vegetativa no </w:t>
      </w:r>
      <w:r w:rsidR="00201893" w:rsidRPr="003575E6">
        <w:rPr>
          <w:lang w:val="es-ES_tradnl"/>
        </w:rPr>
        <w:t>est</w:t>
      </w:r>
      <w:r w:rsidR="00B546A9" w:rsidRPr="003575E6">
        <w:rPr>
          <w:lang w:val="es-ES_tradnl"/>
        </w:rPr>
        <w:t>aban</w:t>
      </w:r>
      <w:r w:rsidR="00201893" w:rsidRPr="003575E6">
        <w:rPr>
          <w:lang w:val="es-ES_tradnl"/>
        </w:rPr>
        <w:t xml:space="preserve"> incluidas</w:t>
      </w:r>
      <w:r w:rsidR="00B546A9" w:rsidRPr="003575E6">
        <w:rPr>
          <w:lang w:val="es-ES_tradnl"/>
        </w:rPr>
        <w:t>, según parece, en el alcance del documento (véanse los párrafos 66 al 68 del documento TWF/45/32 “</w:t>
      </w:r>
      <w:r w:rsidR="00B546A9" w:rsidRPr="003575E6">
        <w:rPr>
          <w:i/>
          <w:lang w:val="es-ES_tradnl"/>
        </w:rPr>
        <w:t>Report</w:t>
      </w:r>
      <w:r w:rsidR="00B546A9" w:rsidRPr="003575E6">
        <w:rPr>
          <w:lang w:val="es-ES_tradnl"/>
        </w:rPr>
        <w:t>”).</w:t>
      </w:r>
    </w:p>
    <w:p w:rsidR="000F2D0A" w:rsidRPr="003575E6" w:rsidRDefault="000F2D0A" w:rsidP="005C5BCA">
      <w:pPr>
        <w:rPr>
          <w:rFonts w:eastAsia="MS Mincho"/>
          <w:lang w:val="es-ES_tradnl" w:eastAsia="ja-JP"/>
        </w:rPr>
      </w:pPr>
    </w:p>
    <w:p w:rsidR="000F2D0A" w:rsidRPr="003575E6" w:rsidRDefault="000F2D0A" w:rsidP="003E5EA6">
      <w:pPr>
        <w:pStyle w:val="Heading3"/>
        <w:rPr>
          <w:color w:val="auto"/>
          <w:lang w:val="es-ES"/>
        </w:rPr>
      </w:pPr>
      <w:bookmarkStart w:id="12" w:name="_Toc410723877"/>
      <w:r w:rsidRPr="003575E6">
        <w:rPr>
          <w:color w:val="auto"/>
        </w:rPr>
        <w:t>Grupo de Trabajo Técnico sobre Automatización y Programas Informáticos</w:t>
      </w:r>
      <w:bookmarkEnd w:id="12"/>
      <w:r w:rsidR="005C5BCA" w:rsidRPr="003575E6">
        <w:rPr>
          <w:color w:val="auto"/>
          <w:lang w:val="es-ES"/>
        </w:rPr>
        <w:t xml:space="preserve"> </w:t>
      </w:r>
    </w:p>
    <w:p w:rsidR="000F2D0A" w:rsidRPr="003575E6" w:rsidRDefault="000F2D0A" w:rsidP="005C5BCA">
      <w:pPr>
        <w:rPr>
          <w:lang w:val="es-ES"/>
        </w:rPr>
      </w:pPr>
    </w:p>
    <w:p w:rsidR="000F2D0A" w:rsidRPr="003575E6" w:rsidRDefault="008638B2" w:rsidP="000F2D0A">
      <w:pPr>
        <w:rPr>
          <w:lang w:val="es-ES"/>
        </w:rPr>
      </w:pPr>
      <w:r w:rsidRPr="003575E6">
        <w:fldChar w:fldCharType="begin"/>
      </w:r>
      <w:r w:rsidR="005C5BCA" w:rsidRPr="003575E6">
        <w:rPr>
          <w:lang w:val="es-ES"/>
        </w:rPr>
        <w:instrText xml:space="preserve"> AUTONUM  </w:instrText>
      </w:r>
      <w:r w:rsidRPr="003575E6">
        <w:fldChar w:fldCharType="end"/>
      </w:r>
      <w:r w:rsidR="005C5BCA" w:rsidRPr="003575E6">
        <w:rPr>
          <w:lang w:val="es-ES"/>
        </w:rPr>
        <w:tab/>
      </w:r>
      <w:r w:rsidR="000F2D0A" w:rsidRPr="003575E6">
        <w:rPr>
          <w:lang w:val="es-ES_tradnl"/>
        </w:rPr>
        <w:t>El TWC examinó el documento TWC/32/9.</w:t>
      </w:r>
      <w:r w:rsidR="005C5BCA" w:rsidRPr="003575E6">
        <w:rPr>
          <w:lang w:val="es-ES"/>
        </w:rPr>
        <w:t xml:space="preserve"> </w:t>
      </w:r>
    </w:p>
    <w:p w:rsidR="000F2D0A" w:rsidRPr="003575E6" w:rsidRDefault="000F2D0A" w:rsidP="005C5BCA">
      <w:pPr>
        <w:rPr>
          <w:lang w:val="es-ES"/>
        </w:rPr>
      </w:pPr>
    </w:p>
    <w:p w:rsidR="000F2D0A" w:rsidRPr="003575E6" w:rsidRDefault="008638B2" w:rsidP="005C5BCA">
      <w:pPr>
        <w:rPr>
          <w:lang w:val="es-ES_tradnl"/>
        </w:rPr>
      </w:pPr>
      <w:r w:rsidRPr="003575E6">
        <w:fldChar w:fldCharType="begin"/>
      </w:r>
      <w:r w:rsidR="005C5BCA" w:rsidRPr="003575E6">
        <w:rPr>
          <w:lang w:val="es-ES_tradnl"/>
        </w:rPr>
        <w:instrText xml:space="preserve"> AUTONUM  </w:instrText>
      </w:r>
      <w:r w:rsidRPr="003575E6">
        <w:fldChar w:fldCharType="end"/>
      </w:r>
      <w:r w:rsidR="005C5BCA" w:rsidRPr="003575E6">
        <w:rPr>
          <w:lang w:val="es-ES_tradnl"/>
        </w:rPr>
        <w:tab/>
      </w:r>
      <w:r w:rsidR="00806518" w:rsidRPr="003575E6">
        <w:rPr>
          <w:lang w:val="es-ES_tradnl"/>
        </w:rPr>
        <w:t>El TWC convino en que debían incluirse los valores de los errores de tipo I y de tipo II en cada uno de los ejemplos descritos en las situaciones A y B para la elaboración de orientaci</w:t>
      </w:r>
      <w:r w:rsidR="004F6340" w:rsidRPr="003575E6">
        <w:rPr>
          <w:lang w:val="es-ES_tradnl"/>
        </w:rPr>
        <w:t>o</w:t>
      </w:r>
      <w:r w:rsidR="00806518" w:rsidRPr="003575E6">
        <w:rPr>
          <w:lang w:val="es-ES_tradnl"/>
        </w:rPr>
        <w:t>n</w:t>
      </w:r>
      <w:r w:rsidR="004F6340" w:rsidRPr="003575E6">
        <w:rPr>
          <w:lang w:val="es-ES_tradnl"/>
        </w:rPr>
        <w:t>es</w:t>
      </w:r>
      <w:r w:rsidR="00806518" w:rsidRPr="003575E6">
        <w:rPr>
          <w:lang w:val="es-ES_tradnl"/>
        </w:rPr>
        <w:t xml:space="preserve"> en el documento TGP/10.</w:t>
      </w:r>
      <w:r w:rsidR="005C5BCA" w:rsidRPr="003575E6">
        <w:rPr>
          <w:lang w:val="es-ES_tradnl"/>
        </w:rPr>
        <w:t xml:space="preserve"> </w:t>
      </w:r>
      <w:r w:rsidR="00806518" w:rsidRPr="003575E6">
        <w:rPr>
          <w:lang w:val="es-ES_tradnl"/>
        </w:rPr>
        <w:t xml:space="preserve">El error de tipo I se asocia con una decisión de </w:t>
      </w:r>
      <w:r w:rsidR="004F6340" w:rsidRPr="003575E6">
        <w:rPr>
          <w:lang w:val="es-ES_tradnl"/>
        </w:rPr>
        <w:t>no hom</w:t>
      </w:r>
      <w:r w:rsidR="00806518" w:rsidRPr="003575E6">
        <w:rPr>
          <w:lang w:val="es-ES_tradnl"/>
        </w:rPr>
        <w:t>ogeneidad (rechazo de la hipótesis nula, siendo cierta) y el error de tipo II se asocia con una decisión de homogeneidad (aceptación de la hipótesis alternativa).</w:t>
      </w:r>
    </w:p>
    <w:p w:rsidR="000F2D0A" w:rsidRPr="003575E6" w:rsidRDefault="000F2D0A" w:rsidP="005C5BCA">
      <w:pPr>
        <w:rPr>
          <w:lang w:val="es-ES_tradnl"/>
        </w:rPr>
      </w:pPr>
    </w:p>
    <w:p w:rsidR="000F2D0A" w:rsidRPr="003575E6" w:rsidRDefault="008638B2" w:rsidP="005C5BCA">
      <w:pPr>
        <w:rPr>
          <w:szCs w:val="24"/>
          <w:lang w:val="es-ES_tradnl"/>
        </w:rPr>
      </w:pPr>
      <w:r w:rsidRPr="003575E6">
        <w:fldChar w:fldCharType="begin"/>
      </w:r>
      <w:r w:rsidR="005C5BCA" w:rsidRPr="003575E6">
        <w:rPr>
          <w:lang w:val="es-ES_tradnl"/>
        </w:rPr>
        <w:instrText xml:space="preserve"> AUTONUM  </w:instrText>
      </w:r>
      <w:r w:rsidRPr="003575E6">
        <w:fldChar w:fldCharType="end"/>
      </w:r>
      <w:r w:rsidR="005C5BCA" w:rsidRPr="003575E6">
        <w:rPr>
          <w:lang w:val="es-ES_tradnl"/>
        </w:rPr>
        <w:tab/>
      </w:r>
      <w:r w:rsidR="00806518" w:rsidRPr="003575E6">
        <w:rPr>
          <w:szCs w:val="24"/>
          <w:lang w:val="es-ES_tradnl"/>
        </w:rPr>
        <w:t xml:space="preserve">El TWC convino en que la orientación que figura en </w:t>
      </w:r>
      <w:r w:rsidR="009A32AD" w:rsidRPr="003575E6">
        <w:rPr>
          <w:szCs w:val="24"/>
          <w:lang w:val="es-ES_tradnl"/>
        </w:rPr>
        <w:t>la Sección 6 “Combinando todas las observaciones en una misma variedad” d</w:t>
      </w:r>
      <w:r w:rsidR="00806518" w:rsidRPr="003575E6">
        <w:rPr>
          <w:szCs w:val="24"/>
          <w:lang w:val="es-ES_tradnl"/>
        </w:rPr>
        <w:t>el documento TGP/10 “Examen de la homogeneidad</w:t>
      </w:r>
      <w:r w:rsidR="009A32AD" w:rsidRPr="003575E6">
        <w:rPr>
          <w:szCs w:val="24"/>
          <w:lang w:val="es-ES_tradnl"/>
        </w:rPr>
        <w:t>”</w:t>
      </w:r>
      <w:r w:rsidR="00806518" w:rsidRPr="003575E6">
        <w:rPr>
          <w:szCs w:val="24"/>
          <w:lang w:val="es-ES_tradnl"/>
        </w:rPr>
        <w:t xml:space="preserve"> </w:t>
      </w:r>
      <w:r w:rsidR="009A32AD" w:rsidRPr="003575E6">
        <w:rPr>
          <w:szCs w:val="24"/>
          <w:lang w:val="es-ES_tradnl"/>
        </w:rPr>
        <w:t>e</w:t>
      </w:r>
      <w:r w:rsidR="002446CE" w:rsidRPr="003575E6">
        <w:rPr>
          <w:szCs w:val="24"/>
          <w:lang w:val="es-ES_tradnl"/>
        </w:rPr>
        <w:t>s</w:t>
      </w:r>
      <w:r w:rsidR="009A32AD" w:rsidRPr="003575E6">
        <w:rPr>
          <w:szCs w:val="24"/>
          <w:lang w:val="es-ES_tradnl"/>
        </w:rPr>
        <w:t xml:space="preserve"> </w:t>
      </w:r>
      <w:r w:rsidR="00806518" w:rsidRPr="003575E6">
        <w:rPr>
          <w:szCs w:val="24"/>
          <w:lang w:val="es-ES_tradnl"/>
        </w:rPr>
        <w:t>suficient</w:t>
      </w:r>
      <w:r w:rsidR="009A32AD" w:rsidRPr="003575E6">
        <w:rPr>
          <w:szCs w:val="24"/>
          <w:lang w:val="es-ES_tradnl"/>
        </w:rPr>
        <w:t>e</w:t>
      </w:r>
      <w:r w:rsidR="00806518" w:rsidRPr="003575E6">
        <w:rPr>
          <w:szCs w:val="24"/>
          <w:lang w:val="es-ES_tradnl"/>
        </w:rPr>
        <w:t xml:space="preserve"> </w:t>
      </w:r>
      <w:r w:rsidR="009A32AD" w:rsidRPr="003575E6">
        <w:rPr>
          <w:szCs w:val="24"/>
          <w:lang w:val="es-ES_tradnl"/>
        </w:rPr>
        <w:t>para abordar la situación </w:t>
      </w:r>
      <w:r w:rsidR="00806518" w:rsidRPr="003575E6">
        <w:rPr>
          <w:szCs w:val="24"/>
          <w:lang w:val="es-ES_tradnl"/>
        </w:rPr>
        <w:t>C “</w:t>
      </w:r>
      <w:r w:rsidR="009A32AD" w:rsidRPr="003575E6">
        <w:rPr>
          <w:szCs w:val="24"/>
          <w:lang w:val="es-ES_tradnl"/>
        </w:rPr>
        <w:t>Más de una muestra o submuestra para la observación de un carácter en el mismo ciclo de cultivo</w:t>
      </w:r>
      <w:r w:rsidR="00806518" w:rsidRPr="003575E6">
        <w:rPr>
          <w:szCs w:val="24"/>
          <w:lang w:val="es-ES_tradnl"/>
        </w:rPr>
        <w:t>”</w:t>
      </w:r>
      <w:r w:rsidR="002446CE" w:rsidRPr="003575E6">
        <w:rPr>
          <w:szCs w:val="24"/>
          <w:lang w:val="es-ES_tradnl"/>
        </w:rPr>
        <w:t>:</w:t>
      </w:r>
      <w:r w:rsidR="009A32AD" w:rsidRPr="003575E6">
        <w:rPr>
          <w:szCs w:val="24"/>
          <w:lang w:val="es-ES_tradnl"/>
        </w:rPr>
        <w:t xml:space="preserve"> </w:t>
      </w:r>
      <w:r w:rsidR="00806518" w:rsidRPr="003575E6">
        <w:rPr>
          <w:szCs w:val="24"/>
          <w:lang w:val="es-ES_tradnl"/>
        </w:rPr>
        <w:t>Anex</w:t>
      </w:r>
      <w:r w:rsidR="009A32AD" w:rsidRPr="003575E6">
        <w:rPr>
          <w:szCs w:val="24"/>
          <w:lang w:val="es-ES_tradnl"/>
        </w:rPr>
        <w:t>o </w:t>
      </w:r>
      <w:r w:rsidR="00806518" w:rsidRPr="003575E6">
        <w:rPr>
          <w:szCs w:val="24"/>
          <w:lang w:val="es-ES_tradnl"/>
        </w:rPr>
        <w:t xml:space="preserve">III </w:t>
      </w:r>
      <w:r w:rsidR="009A32AD" w:rsidRPr="003575E6">
        <w:rPr>
          <w:szCs w:val="24"/>
          <w:lang w:val="es-ES_tradnl"/>
        </w:rPr>
        <w:t xml:space="preserve">del </w:t>
      </w:r>
      <w:r w:rsidR="00806518" w:rsidRPr="003575E6">
        <w:rPr>
          <w:szCs w:val="24"/>
          <w:lang w:val="es-ES_tradnl"/>
        </w:rPr>
        <w:t>document</w:t>
      </w:r>
      <w:r w:rsidR="009A32AD" w:rsidRPr="003575E6">
        <w:rPr>
          <w:szCs w:val="24"/>
          <w:lang w:val="es-ES_tradnl"/>
        </w:rPr>
        <w:t>o </w:t>
      </w:r>
      <w:r w:rsidR="00806518" w:rsidRPr="003575E6">
        <w:rPr>
          <w:szCs w:val="24"/>
          <w:lang w:val="es-ES_tradnl"/>
        </w:rPr>
        <w:t>TWC/32/9.</w:t>
      </w:r>
      <w:r w:rsidR="005C5BCA" w:rsidRPr="003575E6">
        <w:rPr>
          <w:szCs w:val="24"/>
          <w:lang w:val="es-ES_tradnl"/>
        </w:rPr>
        <w:t xml:space="preserve"> </w:t>
      </w:r>
      <w:r w:rsidR="005C5BCA" w:rsidRPr="003575E6">
        <w:rPr>
          <w:rFonts w:eastAsia="SimSun"/>
          <w:szCs w:val="24"/>
          <w:lang w:val="es-ES_tradnl" w:eastAsia="zh-CN"/>
        </w:rPr>
        <w:t xml:space="preserve"> </w:t>
      </w:r>
      <w:r w:rsidR="009A32AD" w:rsidRPr="003575E6">
        <w:rPr>
          <w:rFonts w:eastAsia="SimSun"/>
          <w:szCs w:val="24"/>
          <w:lang w:val="es-ES_tradnl" w:eastAsia="zh-CN"/>
        </w:rPr>
        <w:t xml:space="preserve">El TWC convino en que el ejemplo proporcionado podía considerarse un </w:t>
      </w:r>
      <w:r w:rsidR="00324963" w:rsidRPr="003575E6">
        <w:rPr>
          <w:rFonts w:eastAsia="SimSun"/>
          <w:szCs w:val="24"/>
          <w:lang w:val="es-ES_tradnl" w:eastAsia="zh-CN"/>
        </w:rPr>
        <w:t>examen</w:t>
      </w:r>
      <w:r w:rsidR="009A32AD" w:rsidRPr="003575E6">
        <w:rPr>
          <w:rFonts w:eastAsia="SimSun"/>
          <w:szCs w:val="24"/>
          <w:lang w:val="es-ES_tradnl" w:eastAsia="zh-CN"/>
        </w:rPr>
        <w:t xml:space="preserve"> especial y en que los resultados de la evaluación de la homogeneidad debían considerarse de manera independiente.</w:t>
      </w:r>
    </w:p>
    <w:p w:rsidR="000F2D0A" w:rsidRPr="003575E6" w:rsidRDefault="000F2D0A" w:rsidP="005C5BCA">
      <w:pPr>
        <w:rPr>
          <w:szCs w:val="24"/>
          <w:lang w:val="es-ES_tradnl"/>
        </w:rPr>
      </w:pPr>
    </w:p>
    <w:p w:rsidR="000F2D0A" w:rsidRPr="003575E6" w:rsidRDefault="008638B2" w:rsidP="005C5BCA">
      <w:pPr>
        <w:rPr>
          <w:szCs w:val="24"/>
          <w:lang w:val="es-ES_tradnl"/>
        </w:rPr>
      </w:pPr>
      <w:r w:rsidRPr="003575E6">
        <w:fldChar w:fldCharType="begin"/>
      </w:r>
      <w:r w:rsidR="005C5BCA" w:rsidRPr="003575E6">
        <w:rPr>
          <w:lang w:val="es-ES_tradnl"/>
        </w:rPr>
        <w:instrText xml:space="preserve"> AUTONUM  </w:instrText>
      </w:r>
      <w:r w:rsidRPr="003575E6">
        <w:fldChar w:fldCharType="end"/>
      </w:r>
      <w:r w:rsidR="005C5BCA" w:rsidRPr="003575E6">
        <w:rPr>
          <w:lang w:val="es-ES_tradnl"/>
        </w:rPr>
        <w:tab/>
      </w:r>
      <w:r w:rsidR="009A32AD" w:rsidRPr="003575E6">
        <w:rPr>
          <w:lang w:val="es-ES_tradnl"/>
        </w:rPr>
        <w:t xml:space="preserve">En lo que respecta a la situación D, </w:t>
      </w:r>
      <w:r w:rsidR="009A32AD" w:rsidRPr="003575E6">
        <w:rPr>
          <w:szCs w:val="24"/>
          <w:lang w:val="es-ES_tradnl"/>
        </w:rPr>
        <w:t xml:space="preserve">el TWC </w:t>
      </w:r>
      <w:r w:rsidR="00F45F96" w:rsidRPr="003575E6">
        <w:rPr>
          <w:szCs w:val="24"/>
          <w:lang w:val="es-ES_tradnl"/>
        </w:rPr>
        <w:t>examin</w:t>
      </w:r>
      <w:r w:rsidR="009A32AD" w:rsidRPr="003575E6">
        <w:rPr>
          <w:szCs w:val="24"/>
          <w:lang w:val="es-ES_tradnl"/>
        </w:rPr>
        <w:t xml:space="preserve">ó </w:t>
      </w:r>
      <w:r w:rsidR="00094B8A" w:rsidRPr="003575E6">
        <w:rPr>
          <w:szCs w:val="24"/>
          <w:lang w:val="es-ES_tradnl"/>
        </w:rPr>
        <w:t>la aplicación</w:t>
      </w:r>
      <w:r w:rsidR="009A32AD" w:rsidRPr="003575E6">
        <w:rPr>
          <w:lang w:val="es-ES_tradnl"/>
        </w:rPr>
        <w:t xml:space="preserve"> de un </w:t>
      </w:r>
      <w:r w:rsidR="00C417F4" w:rsidRPr="003575E6">
        <w:rPr>
          <w:lang w:val="es-ES_tradnl"/>
        </w:rPr>
        <w:t>método</w:t>
      </w:r>
      <w:r w:rsidR="009A32AD" w:rsidRPr="003575E6">
        <w:rPr>
          <w:lang w:val="es-ES_tradnl"/>
        </w:rPr>
        <w:t xml:space="preserve"> </w:t>
      </w:r>
      <w:r w:rsidR="00673736" w:rsidRPr="003575E6">
        <w:rPr>
          <w:lang w:val="es-ES_tradnl"/>
        </w:rPr>
        <w:t>por etapas</w:t>
      </w:r>
      <w:r w:rsidR="009A32AD" w:rsidRPr="003575E6">
        <w:rPr>
          <w:lang w:val="es-ES_tradnl"/>
        </w:rPr>
        <w:t xml:space="preserve"> en el </w:t>
      </w:r>
      <w:r w:rsidR="00417CE3" w:rsidRPr="003575E6">
        <w:rPr>
          <w:lang w:val="es-ES_tradnl"/>
        </w:rPr>
        <w:t>procedimiento basado en las plantas fuera de tipo</w:t>
      </w:r>
      <w:r w:rsidR="009A32AD" w:rsidRPr="003575E6">
        <w:rPr>
          <w:lang w:val="es-ES_tradnl"/>
        </w:rPr>
        <w:t xml:space="preserve"> dentro del mismo ciclo de cultivo y las bases estadísticas del número aceptable de plantas fuera de tipo en la submuestra de 20</w:t>
      </w:r>
      <w:r w:rsidR="00473645" w:rsidRPr="003575E6">
        <w:rPr>
          <w:lang w:val="es-ES_tradnl"/>
        </w:rPr>
        <w:t> </w:t>
      </w:r>
      <w:r w:rsidR="009A32AD" w:rsidRPr="003575E6">
        <w:rPr>
          <w:lang w:val="es-ES_tradnl"/>
        </w:rPr>
        <w:t>plantas que se utiliza en el contexto de un tamaño de muestra de 100</w:t>
      </w:r>
      <w:r w:rsidR="00473645" w:rsidRPr="003575E6">
        <w:rPr>
          <w:lang w:val="es-ES_tradnl"/>
        </w:rPr>
        <w:t> </w:t>
      </w:r>
      <w:r w:rsidR="009A32AD" w:rsidRPr="003575E6">
        <w:rPr>
          <w:lang w:val="es-ES_tradnl"/>
        </w:rPr>
        <w:t>plantas</w:t>
      </w:r>
      <w:r w:rsidR="009A32AD" w:rsidRPr="003575E6">
        <w:rPr>
          <w:szCs w:val="24"/>
          <w:lang w:val="es-ES_tradnl"/>
        </w:rPr>
        <w:t xml:space="preserve">, </w:t>
      </w:r>
      <w:r w:rsidR="00473645" w:rsidRPr="003575E6">
        <w:rPr>
          <w:szCs w:val="24"/>
          <w:lang w:val="es-ES_tradnl"/>
        </w:rPr>
        <w:t xml:space="preserve">según </w:t>
      </w:r>
      <w:r w:rsidR="00F45F96" w:rsidRPr="003575E6">
        <w:rPr>
          <w:szCs w:val="24"/>
          <w:lang w:val="es-ES_tradnl"/>
        </w:rPr>
        <w:t>se exponen</w:t>
      </w:r>
      <w:r w:rsidR="00473645" w:rsidRPr="003575E6">
        <w:rPr>
          <w:szCs w:val="24"/>
          <w:lang w:val="es-ES_tradnl"/>
        </w:rPr>
        <w:t xml:space="preserve"> en el </w:t>
      </w:r>
      <w:r w:rsidR="009A32AD" w:rsidRPr="003575E6">
        <w:rPr>
          <w:szCs w:val="24"/>
          <w:lang w:val="es-ES_tradnl"/>
        </w:rPr>
        <w:t>Anex</w:t>
      </w:r>
      <w:r w:rsidR="00473645" w:rsidRPr="003575E6">
        <w:rPr>
          <w:szCs w:val="24"/>
          <w:lang w:val="es-ES_tradnl"/>
        </w:rPr>
        <w:t>o </w:t>
      </w:r>
      <w:r w:rsidR="009A32AD" w:rsidRPr="003575E6">
        <w:rPr>
          <w:szCs w:val="24"/>
          <w:lang w:val="es-ES_tradnl"/>
        </w:rPr>
        <w:t xml:space="preserve">V </w:t>
      </w:r>
      <w:r w:rsidR="00473645" w:rsidRPr="003575E6">
        <w:rPr>
          <w:szCs w:val="24"/>
          <w:lang w:val="es-ES_tradnl"/>
        </w:rPr>
        <w:t xml:space="preserve">del </w:t>
      </w:r>
      <w:r w:rsidR="009A32AD" w:rsidRPr="003575E6">
        <w:rPr>
          <w:szCs w:val="24"/>
          <w:lang w:val="es-ES_tradnl"/>
        </w:rPr>
        <w:t>document</w:t>
      </w:r>
      <w:r w:rsidR="00473645" w:rsidRPr="003575E6">
        <w:rPr>
          <w:szCs w:val="24"/>
          <w:lang w:val="es-ES_tradnl"/>
        </w:rPr>
        <w:t>o </w:t>
      </w:r>
      <w:r w:rsidR="009A32AD" w:rsidRPr="003575E6">
        <w:rPr>
          <w:szCs w:val="24"/>
          <w:lang w:val="es-ES_tradnl"/>
        </w:rPr>
        <w:t xml:space="preserve">TWC/32/9, </w:t>
      </w:r>
      <w:r w:rsidR="00473645" w:rsidRPr="003575E6">
        <w:rPr>
          <w:szCs w:val="24"/>
          <w:lang w:val="es-ES_tradnl"/>
        </w:rPr>
        <w:t xml:space="preserve">que fue </w:t>
      </w:r>
      <w:r w:rsidR="00F45F96" w:rsidRPr="003575E6">
        <w:rPr>
          <w:szCs w:val="24"/>
          <w:lang w:val="es-ES_tradnl"/>
        </w:rPr>
        <w:t>presenta</w:t>
      </w:r>
      <w:r w:rsidR="00473645" w:rsidRPr="003575E6">
        <w:rPr>
          <w:szCs w:val="24"/>
          <w:lang w:val="es-ES_tradnl"/>
        </w:rPr>
        <w:t>do por u</w:t>
      </w:r>
      <w:r w:rsidR="009A32AD" w:rsidRPr="003575E6">
        <w:rPr>
          <w:szCs w:val="24"/>
          <w:lang w:val="es-ES_tradnl"/>
        </w:rPr>
        <w:t>n expert</w:t>
      </w:r>
      <w:r w:rsidR="00473645" w:rsidRPr="003575E6">
        <w:rPr>
          <w:szCs w:val="24"/>
          <w:lang w:val="es-ES_tradnl"/>
        </w:rPr>
        <w:t>o</w:t>
      </w:r>
      <w:r w:rsidR="009A32AD" w:rsidRPr="003575E6">
        <w:rPr>
          <w:szCs w:val="24"/>
          <w:lang w:val="es-ES_tradnl"/>
        </w:rPr>
        <w:t xml:space="preserve"> </w:t>
      </w:r>
      <w:r w:rsidR="00473645" w:rsidRPr="003575E6">
        <w:rPr>
          <w:szCs w:val="24"/>
          <w:lang w:val="es-ES_tradnl"/>
        </w:rPr>
        <w:t xml:space="preserve">de </w:t>
      </w:r>
      <w:r w:rsidR="009A32AD" w:rsidRPr="003575E6">
        <w:rPr>
          <w:szCs w:val="24"/>
          <w:lang w:val="es-ES_tradnl"/>
        </w:rPr>
        <w:t>Alemania.</w:t>
      </w:r>
      <w:r w:rsidR="005C5BCA" w:rsidRPr="003575E6">
        <w:rPr>
          <w:szCs w:val="24"/>
          <w:lang w:val="es-ES_tradnl"/>
        </w:rPr>
        <w:t xml:space="preserve">  </w:t>
      </w:r>
    </w:p>
    <w:p w:rsidR="000F2D0A" w:rsidRPr="003575E6" w:rsidRDefault="000F2D0A" w:rsidP="005C5BCA">
      <w:pPr>
        <w:rPr>
          <w:szCs w:val="24"/>
          <w:lang w:val="es-ES_tradnl"/>
        </w:rPr>
      </w:pPr>
    </w:p>
    <w:p w:rsidR="000F2D0A" w:rsidRPr="003575E6" w:rsidRDefault="008638B2" w:rsidP="005C5BCA">
      <w:pPr>
        <w:rPr>
          <w:szCs w:val="24"/>
          <w:lang w:val="es-ES_tradnl"/>
        </w:rPr>
      </w:pPr>
      <w:r w:rsidRPr="003575E6">
        <w:fldChar w:fldCharType="begin"/>
      </w:r>
      <w:r w:rsidR="005C5BCA" w:rsidRPr="003575E6">
        <w:rPr>
          <w:lang w:val="es-ES_tradnl"/>
        </w:rPr>
        <w:instrText xml:space="preserve"> AUTONUM  </w:instrText>
      </w:r>
      <w:r w:rsidRPr="003575E6">
        <w:fldChar w:fldCharType="end"/>
      </w:r>
      <w:r w:rsidR="005C5BCA" w:rsidRPr="003575E6">
        <w:rPr>
          <w:lang w:val="es-ES_tradnl"/>
        </w:rPr>
        <w:tab/>
      </w:r>
      <w:r w:rsidR="00473645" w:rsidRPr="003575E6">
        <w:rPr>
          <w:szCs w:val="24"/>
          <w:lang w:val="es-ES_tradnl"/>
        </w:rPr>
        <w:t xml:space="preserve">El TWC convino en que los errores de tipo I y de tipo II usados en las bases estadísticas del número aceptable de plantas fuera de tipo en la submuestra de 20 plantas que se utiliza en el contexto de un tamaño de muestra de 100 plantas eran comparables a los correspondientes a </w:t>
      </w:r>
      <w:r w:rsidR="0010566F" w:rsidRPr="003575E6">
        <w:rPr>
          <w:szCs w:val="24"/>
          <w:lang w:val="es-ES_tradnl"/>
        </w:rPr>
        <w:t>la muestra</w:t>
      </w:r>
      <w:r w:rsidR="00473645" w:rsidRPr="003575E6">
        <w:rPr>
          <w:szCs w:val="24"/>
          <w:lang w:val="es-ES_tradnl"/>
        </w:rPr>
        <w:t xml:space="preserve"> </w:t>
      </w:r>
      <w:r w:rsidR="00F45F96" w:rsidRPr="003575E6">
        <w:rPr>
          <w:szCs w:val="24"/>
          <w:lang w:val="es-ES_tradnl"/>
        </w:rPr>
        <w:t xml:space="preserve">completa </w:t>
      </w:r>
      <w:r w:rsidR="00473645" w:rsidRPr="003575E6">
        <w:rPr>
          <w:szCs w:val="24"/>
          <w:lang w:val="es-ES_tradnl"/>
        </w:rPr>
        <w:t xml:space="preserve">del ejemplo proporcionado </w:t>
      </w:r>
      <w:r w:rsidR="00F45F96" w:rsidRPr="003575E6">
        <w:rPr>
          <w:szCs w:val="24"/>
          <w:lang w:val="es-ES_tradnl"/>
        </w:rPr>
        <w:t>relativo a</w:t>
      </w:r>
      <w:r w:rsidR="00473645" w:rsidRPr="003575E6">
        <w:rPr>
          <w:szCs w:val="24"/>
          <w:lang w:val="es-ES_tradnl"/>
        </w:rPr>
        <w:t>l trigo y la cebada.</w:t>
      </w:r>
      <w:r w:rsidR="005C5BCA" w:rsidRPr="003575E6">
        <w:rPr>
          <w:szCs w:val="24"/>
          <w:lang w:val="es-ES_tradnl"/>
        </w:rPr>
        <w:t xml:space="preserve">  </w:t>
      </w:r>
    </w:p>
    <w:p w:rsidR="000F2D0A" w:rsidRPr="003575E6" w:rsidRDefault="000F2D0A" w:rsidP="005C5BCA">
      <w:pPr>
        <w:rPr>
          <w:szCs w:val="24"/>
          <w:lang w:val="es-ES_tradnl"/>
        </w:rPr>
      </w:pPr>
    </w:p>
    <w:p w:rsidR="000F2D0A" w:rsidRPr="003575E6" w:rsidRDefault="008638B2" w:rsidP="005C5BCA">
      <w:pPr>
        <w:rPr>
          <w:rFonts w:cs="Arial"/>
          <w:lang w:val="es-ES_tradnl"/>
        </w:rPr>
      </w:pPr>
      <w:r w:rsidRPr="003575E6">
        <w:fldChar w:fldCharType="begin"/>
      </w:r>
      <w:r w:rsidR="005C5BCA" w:rsidRPr="003575E6">
        <w:rPr>
          <w:lang w:val="es-ES_tradnl"/>
        </w:rPr>
        <w:instrText xml:space="preserve"> AUTONUM  </w:instrText>
      </w:r>
      <w:r w:rsidRPr="003575E6">
        <w:fldChar w:fldCharType="end"/>
      </w:r>
      <w:r w:rsidR="005C5BCA" w:rsidRPr="003575E6">
        <w:rPr>
          <w:lang w:val="es-ES_tradnl"/>
        </w:rPr>
        <w:tab/>
      </w:r>
      <w:r w:rsidR="00473645" w:rsidRPr="003575E6">
        <w:rPr>
          <w:szCs w:val="24"/>
          <w:lang w:val="es-ES_tradnl"/>
        </w:rPr>
        <w:t xml:space="preserve">El TWC señaló que el </w:t>
      </w:r>
      <w:r w:rsidR="00F45F96" w:rsidRPr="003575E6">
        <w:rPr>
          <w:lang w:val="es-ES_tradnl"/>
        </w:rPr>
        <w:t xml:space="preserve">objeto del </w:t>
      </w:r>
      <w:r w:rsidR="00C417F4" w:rsidRPr="003575E6">
        <w:rPr>
          <w:lang w:val="es-ES_tradnl"/>
        </w:rPr>
        <w:t>método</w:t>
      </w:r>
      <w:r w:rsidR="00473645" w:rsidRPr="003575E6">
        <w:rPr>
          <w:lang w:val="es-ES_tradnl"/>
        </w:rPr>
        <w:t xml:space="preserve"> </w:t>
      </w:r>
      <w:r w:rsidR="00673736" w:rsidRPr="003575E6">
        <w:rPr>
          <w:lang w:val="es-ES_tradnl"/>
        </w:rPr>
        <w:t>por etapas</w:t>
      </w:r>
      <w:r w:rsidR="00473645" w:rsidRPr="003575E6">
        <w:rPr>
          <w:lang w:val="es-ES_tradnl"/>
        </w:rPr>
        <w:t xml:space="preserve"> en el </w:t>
      </w:r>
      <w:r w:rsidR="00417CE3" w:rsidRPr="003575E6">
        <w:rPr>
          <w:lang w:val="es-ES_tradnl"/>
        </w:rPr>
        <w:t>procedimiento basado en las plantas fuera de tipo</w:t>
      </w:r>
      <w:r w:rsidR="00473645" w:rsidRPr="003575E6">
        <w:rPr>
          <w:lang w:val="es-ES_tradnl"/>
        </w:rPr>
        <w:t xml:space="preserve"> </w:t>
      </w:r>
      <w:r w:rsidR="00F45F96" w:rsidRPr="003575E6">
        <w:rPr>
          <w:lang w:val="es-ES_tradnl"/>
        </w:rPr>
        <w:t>era</w:t>
      </w:r>
      <w:r w:rsidR="00473645" w:rsidRPr="003575E6">
        <w:rPr>
          <w:lang w:val="es-ES_tradnl"/>
        </w:rPr>
        <w:t xml:space="preserve"> </w:t>
      </w:r>
      <w:r w:rsidR="00473645" w:rsidRPr="003575E6">
        <w:rPr>
          <w:szCs w:val="24"/>
          <w:lang w:val="es-ES_tradnl"/>
        </w:rPr>
        <w:t>reducir costos</w:t>
      </w:r>
      <w:r w:rsidR="00F45F96" w:rsidRPr="003575E6">
        <w:rPr>
          <w:szCs w:val="24"/>
          <w:lang w:val="es-ES_tradnl"/>
        </w:rPr>
        <w:t>,</w:t>
      </w:r>
      <w:r w:rsidR="00473645" w:rsidRPr="003575E6">
        <w:rPr>
          <w:szCs w:val="24"/>
          <w:lang w:val="es-ES_tradnl"/>
        </w:rPr>
        <w:t xml:space="preserve"> sin aumentar los riesgos</w:t>
      </w:r>
      <w:r w:rsidR="00F45F96" w:rsidRPr="003575E6">
        <w:rPr>
          <w:szCs w:val="24"/>
          <w:lang w:val="es-ES_tradnl"/>
        </w:rPr>
        <w:t>,</w:t>
      </w:r>
      <w:r w:rsidR="00473645" w:rsidRPr="003575E6">
        <w:rPr>
          <w:szCs w:val="24"/>
          <w:lang w:val="es-ES_tradnl"/>
        </w:rPr>
        <w:t xml:space="preserve"> en la evaluación de la homogeneidad.</w:t>
      </w:r>
      <w:r w:rsidR="005C5BCA" w:rsidRPr="003575E6">
        <w:rPr>
          <w:szCs w:val="24"/>
          <w:lang w:val="es-ES_tradnl"/>
        </w:rPr>
        <w:t xml:space="preserve"> </w:t>
      </w:r>
      <w:r w:rsidR="00473645" w:rsidRPr="003575E6">
        <w:rPr>
          <w:szCs w:val="24"/>
          <w:lang w:val="es-ES_tradnl"/>
        </w:rPr>
        <w:t xml:space="preserve">El TWC convino en proponer la orientación siguiente </w:t>
      </w:r>
      <w:r w:rsidR="00473645" w:rsidRPr="003575E6">
        <w:rPr>
          <w:lang w:val="es-ES_tradnl"/>
        </w:rPr>
        <w:t xml:space="preserve">(véanse los párrafos 19 al 24 el documento TWC/32/28 </w:t>
      </w:r>
      <w:r w:rsidR="00473645" w:rsidRPr="003575E6">
        <w:rPr>
          <w:i/>
          <w:lang w:val="es-ES_tradnl"/>
        </w:rPr>
        <w:t>“Report”</w:t>
      </w:r>
      <w:r w:rsidR="00473645" w:rsidRPr="003575E6">
        <w:rPr>
          <w:lang w:val="es-ES_tradnl"/>
        </w:rPr>
        <w:t>)</w:t>
      </w:r>
      <w:r w:rsidR="00473645" w:rsidRPr="003575E6">
        <w:rPr>
          <w:szCs w:val="24"/>
          <w:lang w:val="es-ES_tradnl"/>
        </w:rPr>
        <w:t>:</w:t>
      </w:r>
    </w:p>
    <w:p w:rsidR="000F2D0A" w:rsidRPr="003575E6" w:rsidRDefault="000F2D0A" w:rsidP="005C5BCA">
      <w:pPr>
        <w:ind w:left="567" w:right="567"/>
        <w:jc w:val="left"/>
        <w:rPr>
          <w:sz w:val="18"/>
          <w:lang w:val="es-ES_tradnl"/>
        </w:rPr>
      </w:pPr>
    </w:p>
    <w:p w:rsidR="000F2D0A" w:rsidRPr="003575E6" w:rsidRDefault="000F2D0A" w:rsidP="005C5BCA">
      <w:pPr>
        <w:ind w:left="567" w:right="567"/>
        <w:rPr>
          <w:rFonts w:cs="Arial"/>
          <w:sz w:val="18"/>
          <w:lang w:val="es-ES_tradnl"/>
        </w:rPr>
      </w:pPr>
    </w:p>
    <w:p w:rsidR="000F2D0A" w:rsidRPr="003575E6" w:rsidRDefault="00A230A3" w:rsidP="000F2D0A">
      <w:pPr>
        <w:ind w:left="567" w:right="567"/>
        <w:rPr>
          <w:sz w:val="18"/>
          <w:szCs w:val="24"/>
          <w:lang w:val="es-ES"/>
        </w:rPr>
      </w:pPr>
      <w:r w:rsidRPr="003575E6">
        <w:rPr>
          <w:sz w:val="18"/>
          <w:szCs w:val="24"/>
          <w:lang w:val="es-ES_tradnl"/>
        </w:rPr>
        <w:t>“</w:t>
      </w:r>
      <w:r w:rsidR="000F2D0A" w:rsidRPr="003575E6">
        <w:rPr>
          <w:sz w:val="18"/>
          <w:szCs w:val="24"/>
          <w:lang w:val="es-ES_tradnl"/>
        </w:rPr>
        <w:t>SITUACIÓN D</w:t>
      </w:r>
      <w:r w:rsidR="005753EF" w:rsidRPr="003575E6">
        <w:rPr>
          <w:sz w:val="18"/>
          <w:szCs w:val="24"/>
          <w:lang w:val="es-ES_tradnl"/>
        </w:rPr>
        <w:t>: EVALUACIÓN</w:t>
      </w:r>
      <w:r w:rsidR="000F2D0A" w:rsidRPr="003575E6">
        <w:rPr>
          <w:sz w:val="18"/>
          <w:szCs w:val="24"/>
          <w:lang w:val="es-ES_tradnl"/>
        </w:rPr>
        <w:t xml:space="preserve"> DE SUBMUESTRAS EN UN ÚNICO EXAMEN O ENSAYO</w:t>
      </w:r>
    </w:p>
    <w:p w:rsidR="000F2D0A" w:rsidRPr="003575E6" w:rsidRDefault="000F2D0A" w:rsidP="005C5BCA">
      <w:pPr>
        <w:ind w:left="567" w:right="567"/>
        <w:rPr>
          <w:sz w:val="18"/>
          <w:szCs w:val="24"/>
          <w:lang w:val="es-ES"/>
        </w:rPr>
      </w:pPr>
    </w:p>
    <w:p w:rsidR="000F2D0A" w:rsidRPr="003575E6" w:rsidRDefault="005753EF" w:rsidP="000F2D0A">
      <w:pPr>
        <w:ind w:left="567"/>
        <w:rPr>
          <w:b/>
          <w:sz w:val="18"/>
          <w:lang w:val="es-ES"/>
        </w:rPr>
      </w:pPr>
      <w:r>
        <w:rPr>
          <w:b/>
          <w:sz w:val="18"/>
          <w:lang w:val="es-ES_tradnl"/>
        </w:rPr>
        <w:t>“</w:t>
      </w:r>
      <w:r w:rsidR="000F2D0A" w:rsidRPr="003575E6">
        <w:rPr>
          <w:b/>
          <w:sz w:val="18"/>
          <w:lang w:val="es-ES_tradnl"/>
        </w:rPr>
        <w:t>Método</w:t>
      </w:r>
      <w:r w:rsidRPr="003575E6">
        <w:rPr>
          <w:b/>
          <w:sz w:val="18"/>
          <w:lang w:val="es-ES_tradnl"/>
        </w:rPr>
        <w:t>: Utilización</w:t>
      </w:r>
      <w:r w:rsidR="000F2D0A" w:rsidRPr="003575E6">
        <w:rPr>
          <w:b/>
          <w:sz w:val="18"/>
          <w:lang w:val="es-ES_tradnl"/>
        </w:rPr>
        <w:t xml:space="preserve"> de una submuestra como primera etapa de la evaluación</w:t>
      </w:r>
    </w:p>
    <w:p w:rsidR="000F2D0A" w:rsidRPr="003575E6" w:rsidRDefault="000F2D0A" w:rsidP="005C5BCA">
      <w:pPr>
        <w:ind w:left="567" w:right="567"/>
        <w:rPr>
          <w:rFonts w:cs="Arial"/>
          <w:sz w:val="18"/>
          <w:lang w:val="es-ES"/>
        </w:rPr>
      </w:pPr>
    </w:p>
    <w:p w:rsidR="000F2D0A" w:rsidRPr="003575E6" w:rsidRDefault="005C5BCA" w:rsidP="005C5BCA">
      <w:pPr>
        <w:ind w:left="567" w:right="567"/>
        <w:rPr>
          <w:rFonts w:cs="Arial"/>
          <w:sz w:val="18"/>
          <w:lang w:val="es-ES_tradnl"/>
        </w:rPr>
      </w:pPr>
      <w:r w:rsidRPr="003575E6">
        <w:rPr>
          <w:rFonts w:cs="Arial"/>
          <w:sz w:val="18"/>
          <w:lang w:val="es-ES_tradnl"/>
        </w:rPr>
        <w:t>“</w:t>
      </w:r>
      <w:r w:rsidR="00A63276" w:rsidRPr="003575E6">
        <w:rPr>
          <w:rFonts w:cs="Arial"/>
          <w:sz w:val="18"/>
          <w:lang w:val="es-ES_tradnl"/>
        </w:rPr>
        <w:t>Una variedad se considera homogénea si el número de plantas fuera de tipo</w:t>
      </w:r>
      <w:r w:rsidR="00422FD5" w:rsidRPr="003575E6">
        <w:rPr>
          <w:rFonts w:cs="Arial"/>
          <w:sz w:val="18"/>
          <w:lang w:val="es-ES_tradnl"/>
        </w:rPr>
        <w:t xml:space="preserve"> en la submuestra</w:t>
      </w:r>
      <w:r w:rsidR="00A63276" w:rsidRPr="003575E6">
        <w:rPr>
          <w:rFonts w:cs="Arial"/>
          <w:sz w:val="18"/>
          <w:lang w:val="es-ES_tradnl"/>
        </w:rPr>
        <w:t xml:space="preserve"> no supera un límite inferior predefinido.</w:t>
      </w:r>
      <w:r w:rsidRPr="003575E6">
        <w:rPr>
          <w:rFonts w:cs="Arial"/>
          <w:sz w:val="18"/>
          <w:lang w:val="es-ES_tradnl"/>
        </w:rPr>
        <w:t xml:space="preserve"> </w:t>
      </w:r>
    </w:p>
    <w:p w:rsidR="000F2D0A" w:rsidRPr="003575E6" w:rsidRDefault="000F2D0A" w:rsidP="005C5BCA">
      <w:pPr>
        <w:ind w:left="567" w:right="567"/>
        <w:rPr>
          <w:rFonts w:cs="Arial"/>
          <w:sz w:val="18"/>
          <w:lang w:val="es-ES_tradnl"/>
        </w:rPr>
      </w:pPr>
    </w:p>
    <w:p w:rsidR="000F2D0A" w:rsidRPr="003575E6" w:rsidRDefault="005C5BCA" w:rsidP="005C5BCA">
      <w:pPr>
        <w:ind w:left="567" w:right="567"/>
        <w:rPr>
          <w:rFonts w:cs="Arial"/>
          <w:sz w:val="18"/>
          <w:lang w:val="es-ES_tradnl"/>
        </w:rPr>
      </w:pPr>
      <w:r w:rsidRPr="003575E6">
        <w:rPr>
          <w:rFonts w:cs="Arial"/>
          <w:sz w:val="18"/>
          <w:lang w:val="es-ES_tradnl"/>
        </w:rPr>
        <w:t>“</w:t>
      </w:r>
      <w:r w:rsidR="00A63276" w:rsidRPr="003575E6">
        <w:rPr>
          <w:rFonts w:cs="Arial"/>
          <w:sz w:val="18"/>
          <w:lang w:val="es-ES_tradnl"/>
        </w:rPr>
        <w:t xml:space="preserve">Una variedad se considera </w:t>
      </w:r>
      <w:r w:rsidR="004F6340" w:rsidRPr="003575E6">
        <w:rPr>
          <w:rFonts w:cs="Arial"/>
          <w:sz w:val="18"/>
          <w:lang w:val="es-ES_tradnl"/>
        </w:rPr>
        <w:t>no hom</w:t>
      </w:r>
      <w:r w:rsidR="00A63276" w:rsidRPr="003575E6">
        <w:rPr>
          <w:rFonts w:cs="Arial"/>
          <w:sz w:val="18"/>
          <w:lang w:val="es-ES_tradnl"/>
        </w:rPr>
        <w:t>ogénea si el número de plantas fuera de tipo</w:t>
      </w:r>
      <w:r w:rsidR="00422FD5" w:rsidRPr="003575E6">
        <w:rPr>
          <w:rFonts w:cs="Arial"/>
          <w:sz w:val="18"/>
          <w:lang w:val="es-ES_tradnl"/>
        </w:rPr>
        <w:t xml:space="preserve"> en la submuestra</w:t>
      </w:r>
      <w:r w:rsidR="00A63276" w:rsidRPr="003575E6">
        <w:rPr>
          <w:rFonts w:cs="Arial"/>
          <w:sz w:val="18"/>
          <w:lang w:val="es-ES_tradnl"/>
        </w:rPr>
        <w:t xml:space="preserve"> supera un límite superior predefinido.</w:t>
      </w:r>
    </w:p>
    <w:p w:rsidR="000F2D0A" w:rsidRPr="003575E6" w:rsidRDefault="000F2D0A" w:rsidP="005C5BCA">
      <w:pPr>
        <w:ind w:left="567" w:right="567"/>
        <w:rPr>
          <w:rFonts w:cs="Arial"/>
          <w:sz w:val="18"/>
          <w:lang w:val="es-ES_tradnl"/>
        </w:rPr>
      </w:pPr>
    </w:p>
    <w:p w:rsidR="000F2D0A" w:rsidRPr="003575E6" w:rsidRDefault="005C5BCA" w:rsidP="005C5BCA">
      <w:pPr>
        <w:ind w:left="567" w:right="567"/>
        <w:rPr>
          <w:rFonts w:cs="Arial"/>
          <w:sz w:val="18"/>
          <w:lang w:val="es-ES_tradnl"/>
        </w:rPr>
      </w:pPr>
      <w:r w:rsidRPr="003575E6">
        <w:rPr>
          <w:rFonts w:cs="Arial"/>
          <w:sz w:val="18"/>
          <w:lang w:val="es-ES_tradnl"/>
        </w:rPr>
        <w:t>“</w:t>
      </w:r>
      <w:r w:rsidR="00A63276" w:rsidRPr="003575E6">
        <w:rPr>
          <w:rFonts w:cs="Arial"/>
          <w:sz w:val="18"/>
          <w:lang w:val="es-ES_tradnl"/>
        </w:rPr>
        <w:t xml:space="preserve">Si el número de plantas fuera de tipo está entre el límite inferior y el límite superior predefinidos, se evalúa </w:t>
      </w:r>
      <w:r w:rsidR="0010566F" w:rsidRPr="003575E6">
        <w:rPr>
          <w:rFonts w:cs="Arial"/>
          <w:sz w:val="18"/>
          <w:lang w:val="es-ES_tradnl"/>
        </w:rPr>
        <w:t>toda la muestra</w:t>
      </w:r>
      <w:r w:rsidR="00A63276" w:rsidRPr="003575E6">
        <w:rPr>
          <w:rFonts w:cs="Arial"/>
          <w:sz w:val="18"/>
          <w:lang w:val="es-ES_tradnl"/>
        </w:rPr>
        <w:t>.</w:t>
      </w:r>
      <w:r w:rsidRPr="003575E6">
        <w:rPr>
          <w:rFonts w:cs="Arial"/>
          <w:sz w:val="18"/>
          <w:lang w:val="es-ES_tradnl"/>
        </w:rPr>
        <w:t xml:space="preserve"> </w:t>
      </w:r>
      <w:r w:rsidR="00A63276" w:rsidRPr="003575E6">
        <w:rPr>
          <w:rFonts w:cs="Arial"/>
          <w:sz w:val="18"/>
          <w:lang w:val="es-ES_tradnl"/>
        </w:rPr>
        <w:t xml:space="preserve">Los límites inferior y superior deben fijarse teniendo en cuenta errores de tipo I y de tipo II similares en la submuestra y en </w:t>
      </w:r>
      <w:r w:rsidR="0010566F" w:rsidRPr="003575E6">
        <w:rPr>
          <w:rFonts w:cs="Arial"/>
          <w:sz w:val="18"/>
          <w:lang w:val="es-ES_tradnl"/>
        </w:rPr>
        <w:t>toda la muestra</w:t>
      </w:r>
      <w:r w:rsidR="00A63276" w:rsidRPr="003575E6">
        <w:rPr>
          <w:rFonts w:cs="Arial"/>
          <w:sz w:val="18"/>
          <w:lang w:val="es-ES_tradnl"/>
        </w:rPr>
        <w:t>.</w:t>
      </w:r>
    </w:p>
    <w:p w:rsidR="000F2D0A" w:rsidRPr="003575E6" w:rsidRDefault="000F2D0A" w:rsidP="005C5BCA">
      <w:pPr>
        <w:ind w:left="567" w:right="567"/>
        <w:rPr>
          <w:rFonts w:cs="Arial"/>
          <w:sz w:val="18"/>
          <w:lang w:val="es-ES_tradnl"/>
        </w:rPr>
      </w:pPr>
    </w:p>
    <w:p w:rsidR="000F2D0A" w:rsidRPr="003575E6" w:rsidRDefault="005753EF" w:rsidP="000F2D0A">
      <w:pPr>
        <w:ind w:left="567" w:right="567"/>
        <w:rPr>
          <w:rFonts w:cs="Arial"/>
          <w:sz w:val="18"/>
          <w:lang w:val="es-ES"/>
        </w:rPr>
      </w:pPr>
      <w:r>
        <w:rPr>
          <w:rFonts w:cs="Arial"/>
          <w:sz w:val="18"/>
          <w:lang w:val="es-ES_tradnl"/>
        </w:rPr>
        <w:t>“</w:t>
      </w:r>
      <w:r w:rsidR="000F2D0A" w:rsidRPr="003575E6">
        <w:rPr>
          <w:rFonts w:cs="Arial"/>
          <w:sz w:val="18"/>
          <w:lang w:val="es-ES_tradnl"/>
        </w:rPr>
        <w:t>Ejemplo:</w:t>
      </w:r>
    </w:p>
    <w:p w:rsidR="000F2D0A" w:rsidRPr="003575E6" w:rsidRDefault="000F2D0A" w:rsidP="005C5BCA">
      <w:pPr>
        <w:ind w:left="567" w:right="567"/>
        <w:rPr>
          <w:rFonts w:cs="Arial"/>
          <w:sz w:val="18"/>
          <w:lang w:val="es-ES"/>
        </w:rPr>
      </w:pPr>
    </w:p>
    <w:p w:rsidR="000F2D0A" w:rsidRPr="003575E6" w:rsidRDefault="005753EF" w:rsidP="000F2D0A">
      <w:pPr>
        <w:autoSpaceDE w:val="0"/>
        <w:autoSpaceDN w:val="0"/>
        <w:adjustRightInd w:val="0"/>
        <w:ind w:left="567" w:right="567"/>
        <w:rPr>
          <w:rFonts w:cs="Arial"/>
          <w:sz w:val="18"/>
          <w:lang w:val="es-ES"/>
        </w:rPr>
      </w:pPr>
      <w:r>
        <w:rPr>
          <w:rFonts w:cs="Arial"/>
          <w:sz w:val="18"/>
          <w:lang w:val="es-ES"/>
        </w:rPr>
        <w:t>“</w:t>
      </w:r>
      <w:r w:rsidR="000F2D0A" w:rsidRPr="003575E6">
        <w:rPr>
          <w:rFonts w:cs="Arial"/>
          <w:sz w:val="18"/>
          <w:lang w:val="es-ES_tradnl"/>
        </w:rPr>
        <w:t>En el caso de una muestra de 100 plantas, el número aceptable de plantas fuera de tipo es 3 (aplicando una población estándar del 1% y una probabilidad de aceptación del 95% como mínimo).</w:t>
      </w:r>
    </w:p>
    <w:p w:rsidR="000F2D0A" w:rsidRPr="003575E6" w:rsidRDefault="000F2D0A" w:rsidP="005C5BCA">
      <w:pPr>
        <w:autoSpaceDE w:val="0"/>
        <w:autoSpaceDN w:val="0"/>
        <w:adjustRightInd w:val="0"/>
        <w:ind w:left="567" w:right="567"/>
        <w:rPr>
          <w:rFonts w:cs="Arial"/>
          <w:sz w:val="18"/>
          <w:lang w:val="es-ES"/>
        </w:rPr>
      </w:pPr>
    </w:p>
    <w:p w:rsidR="000F2D0A" w:rsidRPr="003575E6" w:rsidRDefault="005753EF" w:rsidP="000F2D0A">
      <w:pPr>
        <w:autoSpaceDE w:val="0"/>
        <w:autoSpaceDN w:val="0"/>
        <w:adjustRightInd w:val="0"/>
        <w:ind w:left="567" w:right="567"/>
        <w:rPr>
          <w:rFonts w:cs="Arial"/>
          <w:sz w:val="18"/>
          <w:lang w:val="es-ES"/>
        </w:rPr>
      </w:pPr>
      <w:r>
        <w:rPr>
          <w:rFonts w:cs="Arial"/>
          <w:sz w:val="18"/>
          <w:lang w:val="es-ES"/>
        </w:rPr>
        <w:t>“</w:t>
      </w:r>
      <w:r w:rsidR="000F2D0A" w:rsidRPr="003575E6">
        <w:rPr>
          <w:rFonts w:cs="Arial"/>
          <w:sz w:val="18"/>
          <w:lang w:val="es-ES_tradnl"/>
        </w:rPr>
        <w:t>En una submuestra de 20 plantas utilizada en el contexto de la antedicha muestra de 100 plantas:</w:t>
      </w:r>
    </w:p>
    <w:p w:rsidR="000F2D0A" w:rsidRPr="003575E6" w:rsidRDefault="000F2D0A" w:rsidP="005C5BCA">
      <w:pPr>
        <w:autoSpaceDE w:val="0"/>
        <w:autoSpaceDN w:val="0"/>
        <w:adjustRightInd w:val="0"/>
        <w:ind w:left="1134" w:right="567"/>
        <w:rPr>
          <w:rFonts w:cs="Arial"/>
          <w:sz w:val="18"/>
          <w:lang w:val="es-ES"/>
        </w:rPr>
      </w:pPr>
    </w:p>
    <w:p w:rsidR="000F2D0A" w:rsidRPr="003575E6" w:rsidRDefault="005753EF" w:rsidP="000F2D0A">
      <w:pPr>
        <w:ind w:left="1134" w:right="567"/>
        <w:rPr>
          <w:rFonts w:cs="Arial"/>
          <w:sz w:val="18"/>
          <w:lang w:val="es-ES"/>
        </w:rPr>
      </w:pPr>
      <w:r>
        <w:rPr>
          <w:rFonts w:cs="Arial"/>
          <w:sz w:val="18"/>
          <w:lang w:val="es-ES"/>
        </w:rPr>
        <w:t>“</w:t>
      </w:r>
      <w:r w:rsidR="000F2D0A" w:rsidRPr="003575E6">
        <w:rPr>
          <w:rFonts w:cs="Arial"/>
          <w:sz w:val="18"/>
          <w:lang w:val="es-ES_tradnl"/>
        </w:rPr>
        <w:t>Se considera que una variedad es homogénea si no se observan plantas fuera de tipo en la submuestra.</w:t>
      </w:r>
    </w:p>
    <w:p w:rsidR="000F2D0A" w:rsidRPr="003575E6" w:rsidRDefault="000F2D0A" w:rsidP="005C5BCA">
      <w:pPr>
        <w:ind w:left="1134" w:right="567"/>
        <w:rPr>
          <w:rFonts w:cs="Arial"/>
          <w:sz w:val="18"/>
          <w:lang w:val="es-ES"/>
        </w:rPr>
      </w:pPr>
    </w:p>
    <w:p w:rsidR="000F2D0A" w:rsidRPr="003575E6" w:rsidRDefault="005753EF" w:rsidP="000F2D0A">
      <w:pPr>
        <w:ind w:left="1134" w:right="567"/>
        <w:rPr>
          <w:rFonts w:cs="Arial"/>
          <w:sz w:val="18"/>
          <w:lang w:val="es-ES"/>
        </w:rPr>
      </w:pPr>
      <w:r>
        <w:rPr>
          <w:rFonts w:cs="Arial"/>
          <w:sz w:val="18"/>
          <w:lang w:val="es-ES"/>
        </w:rPr>
        <w:t>“</w:t>
      </w:r>
      <w:r w:rsidR="000F2D0A" w:rsidRPr="003575E6">
        <w:rPr>
          <w:rFonts w:cs="Arial"/>
          <w:sz w:val="18"/>
          <w:lang w:val="es-ES_tradnl"/>
        </w:rPr>
        <w:t>Se considera que una variedad no es homogénea si el número de plantas fuera de tipo en la submuestra es mayor de 3.</w:t>
      </w:r>
    </w:p>
    <w:p w:rsidR="000F2D0A" w:rsidRPr="003575E6" w:rsidRDefault="000F2D0A" w:rsidP="005C5BCA">
      <w:pPr>
        <w:ind w:left="1134" w:right="567"/>
        <w:rPr>
          <w:rFonts w:cs="Arial"/>
          <w:sz w:val="18"/>
          <w:lang w:val="es-ES"/>
        </w:rPr>
      </w:pPr>
    </w:p>
    <w:p w:rsidR="000F2D0A" w:rsidRPr="003575E6" w:rsidRDefault="005753EF" w:rsidP="000F2D0A">
      <w:pPr>
        <w:ind w:left="1134" w:right="567"/>
        <w:rPr>
          <w:rFonts w:cs="Arial"/>
          <w:sz w:val="18"/>
          <w:lang w:val="es-ES"/>
        </w:rPr>
      </w:pPr>
      <w:r>
        <w:rPr>
          <w:rFonts w:cs="Arial"/>
          <w:sz w:val="18"/>
          <w:lang w:val="es-ES"/>
        </w:rPr>
        <w:t>“</w:t>
      </w:r>
      <w:r w:rsidR="000F2D0A" w:rsidRPr="003575E6">
        <w:rPr>
          <w:rFonts w:cs="Arial"/>
          <w:sz w:val="18"/>
          <w:lang w:val="es-ES_tradnl"/>
        </w:rPr>
        <w:t>Si el número de plantas fuera de tipo está entre 1 y 3, se evalúa toda la muestra de 100 plantas.</w:t>
      </w:r>
    </w:p>
    <w:p w:rsidR="000F2D0A" w:rsidRPr="003575E6" w:rsidRDefault="000F2D0A" w:rsidP="005C5BCA">
      <w:pPr>
        <w:ind w:left="567" w:right="567"/>
        <w:rPr>
          <w:rFonts w:cs="Arial"/>
          <w:sz w:val="18"/>
          <w:lang w:val="es-ES"/>
        </w:rPr>
      </w:pPr>
    </w:p>
    <w:p w:rsidR="000F2D0A" w:rsidRPr="003575E6" w:rsidRDefault="005C5BCA" w:rsidP="005C5BCA">
      <w:pPr>
        <w:ind w:left="567" w:right="567"/>
        <w:rPr>
          <w:rFonts w:cs="Arial"/>
          <w:b/>
          <w:sz w:val="18"/>
          <w:lang w:val="es-ES_tradnl"/>
        </w:rPr>
      </w:pPr>
      <w:r w:rsidRPr="003575E6">
        <w:rPr>
          <w:rFonts w:cs="Arial"/>
          <w:sz w:val="18"/>
          <w:lang w:val="es-ES_tradnl"/>
        </w:rPr>
        <w:t>“</w:t>
      </w:r>
      <w:r w:rsidR="008E60B9" w:rsidRPr="003575E6">
        <w:rPr>
          <w:rFonts w:cs="Arial"/>
          <w:sz w:val="18"/>
          <w:lang w:val="es-ES_tradnl"/>
        </w:rPr>
        <w:t>Las bases estadísticas</w:t>
      </w:r>
      <w:r w:rsidR="00A63276" w:rsidRPr="003575E6">
        <w:rPr>
          <w:rFonts w:cs="Arial"/>
          <w:sz w:val="18"/>
          <w:lang w:val="es-ES_tradnl"/>
        </w:rPr>
        <w:t xml:space="preserve"> de este método se describe</w:t>
      </w:r>
      <w:r w:rsidR="008E60B9" w:rsidRPr="003575E6">
        <w:rPr>
          <w:rFonts w:cs="Arial"/>
          <w:sz w:val="18"/>
          <w:lang w:val="es-ES_tradnl"/>
        </w:rPr>
        <w:t>n</w:t>
      </w:r>
      <w:r w:rsidR="00A63276" w:rsidRPr="003575E6">
        <w:rPr>
          <w:rFonts w:cs="Arial"/>
          <w:sz w:val="18"/>
          <w:lang w:val="es-ES_tradnl"/>
        </w:rPr>
        <w:t xml:space="preserve"> exhaustivamente en el Anexo V del documento TWC/32/9.</w:t>
      </w:r>
      <w:r w:rsidRPr="003575E6">
        <w:rPr>
          <w:rFonts w:cs="Arial"/>
          <w:sz w:val="18"/>
          <w:lang w:val="es-ES_tradnl"/>
        </w:rPr>
        <w:t>”</w:t>
      </w:r>
    </w:p>
    <w:p w:rsidR="000F2D0A" w:rsidRPr="003575E6" w:rsidRDefault="000F2D0A" w:rsidP="00D0156C">
      <w:pPr>
        <w:pStyle w:val="Heading2"/>
        <w:rPr>
          <w:color w:val="auto"/>
          <w:lang w:eastAsia="de-DE" w:bidi="de-DE"/>
        </w:rPr>
      </w:pPr>
    </w:p>
    <w:p w:rsidR="000F2D0A" w:rsidRPr="003575E6" w:rsidRDefault="000F2D0A" w:rsidP="005C5BCA">
      <w:pPr>
        <w:rPr>
          <w:lang w:val="es-ES_tradnl" w:eastAsia="de-DE" w:bidi="de-DE"/>
        </w:rPr>
      </w:pPr>
    </w:p>
    <w:p w:rsidR="000F2D0A" w:rsidRPr="003575E6" w:rsidRDefault="000F2D0A" w:rsidP="003E5EA6">
      <w:pPr>
        <w:pStyle w:val="Heading3"/>
        <w:rPr>
          <w:color w:val="auto"/>
          <w:lang w:val="es-ES"/>
        </w:rPr>
      </w:pPr>
      <w:bookmarkStart w:id="13" w:name="_Toc410723878"/>
      <w:r w:rsidRPr="003575E6">
        <w:rPr>
          <w:color w:val="auto"/>
        </w:rPr>
        <w:t>Grupo de Trabajo Técnico sobre Hortalizas</w:t>
      </w:r>
      <w:bookmarkEnd w:id="13"/>
      <w:r w:rsidR="005C5BCA" w:rsidRPr="003575E6">
        <w:rPr>
          <w:color w:val="auto"/>
          <w:lang w:val="es-ES"/>
        </w:rPr>
        <w:t xml:space="preserve"> </w:t>
      </w:r>
    </w:p>
    <w:p w:rsidR="000F2D0A" w:rsidRPr="003575E6" w:rsidRDefault="000F2D0A" w:rsidP="00A230A3">
      <w:pPr>
        <w:keepNext/>
        <w:keepLines/>
        <w:rPr>
          <w:lang w:val="es-ES"/>
        </w:rPr>
      </w:pPr>
    </w:p>
    <w:p w:rsidR="000F2D0A" w:rsidRPr="003575E6" w:rsidRDefault="008638B2" w:rsidP="00A230A3">
      <w:pPr>
        <w:keepNext/>
        <w:keepLines/>
        <w:ind w:right="-425"/>
        <w:rPr>
          <w:lang w:val="es-ES_tradnl"/>
        </w:rPr>
      </w:pPr>
      <w:r w:rsidRPr="003575E6">
        <w:fldChar w:fldCharType="begin"/>
      </w:r>
      <w:r w:rsidR="005C5BCA" w:rsidRPr="003575E6">
        <w:rPr>
          <w:lang w:val="es-ES_tradnl"/>
        </w:rPr>
        <w:instrText xml:space="preserve"> AUTONUM  </w:instrText>
      </w:r>
      <w:r w:rsidRPr="003575E6">
        <w:fldChar w:fldCharType="end"/>
      </w:r>
      <w:r w:rsidR="005C5BCA" w:rsidRPr="003575E6">
        <w:rPr>
          <w:lang w:val="es-ES_tradnl"/>
        </w:rPr>
        <w:tab/>
      </w:r>
      <w:r w:rsidR="00A63276" w:rsidRPr="003575E6">
        <w:rPr>
          <w:lang w:val="es-ES_tradnl"/>
        </w:rPr>
        <w:t xml:space="preserve">El TWV examinó el documento TWV/48/9 y las situaciones descritas en los </w:t>
      </w:r>
      <w:r w:rsidR="00881EC8" w:rsidRPr="003575E6">
        <w:rPr>
          <w:lang w:val="es-ES_tradnl"/>
        </w:rPr>
        <w:t>A</w:t>
      </w:r>
      <w:r w:rsidR="00A63276" w:rsidRPr="003575E6">
        <w:rPr>
          <w:lang w:val="es-ES_tradnl"/>
        </w:rPr>
        <w:t>nexos I a IV como base para la elaboración de orientaciones en el documento TGP/10.</w:t>
      </w:r>
    </w:p>
    <w:p w:rsidR="000F2D0A" w:rsidRPr="003575E6" w:rsidRDefault="000F2D0A" w:rsidP="005C5BCA">
      <w:pPr>
        <w:rPr>
          <w:lang w:val="es-ES_tradnl"/>
        </w:rPr>
      </w:pPr>
    </w:p>
    <w:p w:rsidR="000F2D0A" w:rsidRPr="003575E6" w:rsidRDefault="008638B2" w:rsidP="005C5BCA">
      <w:pPr>
        <w:ind w:right="-425"/>
        <w:rPr>
          <w:lang w:val="es-ES_tradnl"/>
        </w:rPr>
      </w:pPr>
      <w:r w:rsidRPr="003575E6">
        <w:fldChar w:fldCharType="begin"/>
      </w:r>
      <w:r w:rsidR="005C5BCA" w:rsidRPr="003575E6">
        <w:rPr>
          <w:lang w:val="es-ES_tradnl"/>
        </w:rPr>
        <w:instrText xml:space="preserve"> AUTONUM  </w:instrText>
      </w:r>
      <w:r w:rsidRPr="003575E6">
        <w:fldChar w:fldCharType="end"/>
      </w:r>
      <w:r w:rsidR="005C5BCA" w:rsidRPr="003575E6">
        <w:rPr>
          <w:lang w:val="es-ES_tradnl"/>
        </w:rPr>
        <w:tab/>
      </w:r>
      <w:r w:rsidR="00A63276" w:rsidRPr="003575E6">
        <w:rPr>
          <w:lang w:val="es-ES_tradnl"/>
        </w:rPr>
        <w:t>El TWV convino en la importancia de evalua</w:t>
      </w:r>
      <w:r w:rsidR="00CB4552" w:rsidRPr="003575E6">
        <w:rPr>
          <w:lang w:val="es-ES_tradnl"/>
        </w:rPr>
        <w:t xml:space="preserve">r </w:t>
      </w:r>
      <w:r w:rsidR="00A63276" w:rsidRPr="003575E6">
        <w:rPr>
          <w:lang w:val="es-ES_tradnl"/>
        </w:rPr>
        <w:t xml:space="preserve">la homogeneidad en cada ciclo de cultivo independiente </w:t>
      </w:r>
      <w:r w:rsidR="00B309E6" w:rsidRPr="003575E6">
        <w:rPr>
          <w:lang w:val="es-ES_tradnl"/>
        </w:rPr>
        <w:t xml:space="preserve">y </w:t>
      </w:r>
      <w:r w:rsidR="00A63276" w:rsidRPr="003575E6">
        <w:rPr>
          <w:lang w:val="es-ES_tradnl"/>
        </w:rPr>
        <w:t>no</w:t>
      </w:r>
      <w:r w:rsidR="00B309E6" w:rsidRPr="003575E6">
        <w:rPr>
          <w:lang w:val="es-ES_tradnl"/>
        </w:rPr>
        <w:t xml:space="preserve"> es partidario de </w:t>
      </w:r>
      <w:r w:rsidR="00A63276" w:rsidRPr="003575E6">
        <w:rPr>
          <w:lang w:val="es-ES_tradnl"/>
        </w:rPr>
        <w:t>combin</w:t>
      </w:r>
      <w:r w:rsidR="00B309E6" w:rsidRPr="003575E6">
        <w:rPr>
          <w:lang w:val="es-ES_tradnl"/>
        </w:rPr>
        <w:t xml:space="preserve">ar los </w:t>
      </w:r>
      <w:r w:rsidR="00A63276" w:rsidRPr="003575E6">
        <w:rPr>
          <w:lang w:val="es-ES_tradnl"/>
        </w:rPr>
        <w:t>result</w:t>
      </w:r>
      <w:r w:rsidR="00B309E6" w:rsidRPr="003575E6">
        <w:rPr>
          <w:lang w:val="es-ES_tradnl"/>
        </w:rPr>
        <w:t>ado</w:t>
      </w:r>
      <w:r w:rsidR="00A63276" w:rsidRPr="003575E6">
        <w:rPr>
          <w:lang w:val="es-ES_tradnl"/>
        </w:rPr>
        <w:t xml:space="preserve">s </w:t>
      </w:r>
      <w:r w:rsidR="00B309E6" w:rsidRPr="003575E6">
        <w:rPr>
          <w:lang w:val="es-ES_tradnl"/>
        </w:rPr>
        <w:t>de dos</w:t>
      </w:r>
      <w:r w:rsidR="00A63276" w:rsidRPr="003575E6">
        <w:rPr>
          <w:lang w:val="es-ES_tradnl"/>
        </w:rPr>
        <w:t xml:space="preserve"> c</w:t>
      </w:r>
      <w:r w:rsidR="00B309E6" w:rsidRPr="003575E6">
        <w:rPr>
          <w:lang w:val="es-ES_tradnl"/>
        </w:rPr>
        <w:t>i</w:t>
      </w:r>
      <w:r w:rsidR="00A63276" w:rsidRPr="003575E6">
        <w:rPr>
          <w:lang w:val="es-ES_tradnl"/>
        </w:rPr>
        <w:t>cl</w:t>
      </w:r>
      <w:r w:rsidR="00B309E6" w:rsidRPr="003575E6">
        <w:rPr>
          <w:lang w:val="es-ES_tradnl"/>
        </w:rPr>
        <w:t>o</w:t>
      </w:r>
      <w:r w:rsidR="00A63276" w:rsidRPr="003575E6">
        <w:rPr>
          <w:lang w:val="es-ES_tradnl"/>
        </w:rPr>
        <w:t>s (véa</w:t>
      </w:r>
      <w:r w:rsidR="00B309E6" w:rsidRPr="003575E6">
        <w:rPr>
          <w:lang w:val="es-ES_tradnl"/>
        </w:rPr>
        <w:t>n</w:t>
      </w:r>
      <w:r w:rsidR="00A63276" w:rsidRPr="003575E6">
        <w:rPr>
          <w:lang w:val="es-ES_tradnl"/>
        </w:rPr>
        <w:t xml:space="preserve">se </w:t>
      </w:r>
      <w:r w:rsidR="00B309E6" w:rsidRPr="003575E6">
        <w:rPr>
          <w:lang w:val="es-ES_tradnl"/>
        </w:rPr>
        <w:t>los párrafos 79 y 80 d</w:t>
      </w:r>
      <w:r w:rsidR="00A63276" w:rsidRPr="003575E6">
        <w:rPr>
          <w:lang w:val="es-ES_tradnl"/>
        </w:rPr>
        <w:t>el documento</w:t>
      </w:r>
      <w:r w:rsidR="00B309E6" w:rsidRPr="003575E6">
        <w:rPr>
          <w:lang w:val="es-ES_tradnl"/>
        </w:rPr>
        <w:t> </w:t>
      </w:r>
      <w:r w:rsidR="00A63276" w:rsidRPr="003575E6">
        <w:rPr>
          <w:lang w:val="es-ES_tradnl"/>
        </w:rPr>
        <w:t>TWV</w:t>
      </w:r>
      <w:r w:rsidR="00B309E6" w:rsidRPr="003575E6">
        <w:rPr>
          <w:lang w:val="es-ES_tradnl"/>
        </w:rPr>
        <w:t>/48/43 “</w:t>
      </w:r>
      <w:r w:rsidR="00B309E6" w:rsidRPr="003575E6">
        <w:rPr>
          <w:i/>
          <w:lang w:val="es-ES_tradnl"/>
        </w:rPr>
        <w:t>Report</w:t>
      </w:r>
      <w:r w:rsidR="00B309E6" w:rsidRPr="003575E6">
        <w:rPr>
          <w:lang w:val="es-ES_tradnl"/>
        </w:rPr>
        <w:t>”</w:t>
      </w:r>
      <w:r w:rsidR="00A63276" w:rsidRPr="003575E6">
        <w:rPr>
          <w:lang w:val="es-ES_tradnl"/>
        </w:rPr>
        <w:t>).</w:t>
      </w:r>
    </w:p>
    <w:p w:rsidR="000F2D0A" w:rsidRPr="003575E6" w:rsidRDefault="000F2D0A" w:rsidP="005C5BCA">
      <w:pPr>
        <w:rPr>
          <w:lang w:val="es-ES_tradnl"/>
        </w:rPr>
      </w:pPr>
    </w:p>
    <w:p w:rsidR="00431767" w:rsidRPr="003575E6" w:rsidRDefault="00431767" w:rsidP="005C5BCA">
      <w:pPr>
        <w:rPr>
          <w:lang w:val="es-ES_tradnl"/>
        </w:rPr>
      </w:pPr>
    </w:p>
    <w:p w:rsidR="000F2D0A" w:rsidRPr="003575E6" w:rsidRDefault="000F2D0A" w:rsidP="003E5EA6">
      <w:pPr>
        <w:pStyle w:val="Heading3"/>
        <w:rPr>
          <w:color w:val="auto"/>
          <w:lang w:val="es-ES"/>
        </w:rPr>
      </w:pPr>
      <w:bookmarkStart w:id="14" w:name="_Toc410723879"/>
      <w:r w:rsidRPr="003575E6">
        <w:rPr>
          <w:color w:val="auto"/>
        </w:rPr>
        <w:t>Grupo de Trabajo Técnico sobre Plantas Agrícolas</w:t>
      </w:r>
      <w:bookmarkEnd w:id="14"/>
    </w:p>
    <w:p w:rsidR="000F2D0A" w:rsidRPr="003575E6" w:rsidRDefault="000F2D0A" w:rsidP="005C5BCA">
      <w:pPr>
        <w:rPr>
          <w:lang w:val="es-ES"/>
        </w:rPr>
      </w:pPr>
    </w:p>
    <w:p w:rsidR="000F2D0A" w:rsidRPr="003575E6" w:rsidRDefault="008638B2" w:rsidP="005C5BCA">
      <w:pPr>
        <w:rPr>
          <w:lang w:val="es-ES_tradnl"/>
        </w:rPr>
      </w:pPr>
      <w:r w:rsidRPr="003575E6">
        <w:fldChar w:fldCharType="begin"/>
      </w:r>
      <w:r w:rsidR="005C5BCA" w:rsidRPr="003575E6">
        <w:rPr>
          <w:lang w:val="es-ES_tradnl"/>
        </w:rPr>
        <w:instrText xml:space="preserve"> AUTONUM  </w:instrText>
      </w:r>
      <w:r w:rsidRPr="003575E6">
        <w:fldChar w:fldCharType="end"/>
      </w:r>
      <w:r w:rsidR="005C5BCA" w:rsidRPr="003575E6">
        <w:rPr>
          <w:lang w:val="es-ES_tradnl"/>
        </w:rPr>
        <w:tab/>
      </w:r>
      <w:r w:rsidR="00663160" w:rsidRPr="003575E6">
        <w:rPr>
          <w:lang w:val="es-ES_tradnl"/>
        </w:rPr>
        <w:t xml:space="preserve">El TWA examinó el documento TWA/43/9, incluidos los </w:t>
      </w:r>
      <w:r w:rsidR="00881EC8" w:rsidRPr="003575E6">
        <w:rPr>
          <w:lang w:val="es-ES_tradnl"/>
        </w:rPr>
        <w:t>A</w:t>
      </w:r>
      <w:r w:rsidR="00663160" w:rsidRPr="003575E6">
        <w:rPr>
          <w:lang w:val="es-ES_tradnl"/>
        </w:rPr>
        <w:t>nexos I a IV, como base para la elaboración de orientaciones en el documento TGP/10.</w:t>
      </w:r>
    </w:p>
    <w:p w:rsidR="000F2D0A" w:rsidRPr="003575E6" w:rsidRDefault="000F2D0A" w:rsidP="005C5BCA">
      <w:pPr>
        <w:rPr>
          <w:lang w:val="es-ES_tradnl"/>
        </w:rPr>
      </w:pPr>
    </w:p>
    <w:p w:rsidR="000F2D0A" w:rsidRPr="003575E6" w:rsidRDefault="008638B2" w:rsidP="005C5BCA">
      <w:pPr>
        <w:rPr>
          <w:lang w:val="es-ES_tradnl"/>
        </w:rPr>
      </w:pPr>
      <w:r w:rsidRPr="003575E6">
        <w:fldChar w:fldCharType="begin"/>
      </w:r>
      <w:r w:rsidR="005C5BCA" w:rsidRPr="003575E6">
        <w:rPr>
          <w:lang w:val="es-ES_tradnl"/>
        </w:rPr>
        <w:instrText xml:space="preserve"> AUTONUM  </w:instrText>
      </w:r>
      <w:r w:rsidRPr="003575E6">
        <w:fldChar w:fldCharType="end"/>
      </w:r>
      <w:r w:rsidR="005C5BCA" w:rsidRPr="003575E6">
        <w:rPr>
          <w:lang w:val="es-ES_tradnl"/>
        </w:rPr>
        <w:tab/>
      </w:r>
      <w:r w:rsidR="00663160" w:rsidRPr="003575E6">
        <w:rPr>
          <w:lang w:val="es-ES_tradnl"/>
        </w:rPr>
        <w:t>El TWA señaló que se había sido invitado al TWC a proporcionar un análisis de las consecuencias de los diferentes métodos presentados en los Anex</w:t>
      </w:r>
      <w:r w:rsidR="00CB4552" w:rsidRPr="003575E6">
        <w:rPr>
          <w:lang w:val="es-ES_tradnl"/>
        </w:rPr>
        <w:t>o</w:t>
      </w:r>
      <w:r w:rsidR="00663160" w:rsidRPr="003575E6">
        <w:rPr>
          <w:lang w:val="es-ES_tradnl"/>
        </w:rPr>
        <w:t>s del documento TWA/43/9 y, en particular, de la pertinencia del método 2 en las situaciones A y B.</w:t>
      </w:r>
    </w:p>
    <w:p w:rsidR="000F2D0A" w:rsidRPr="003575E6" w:rsidRDefault="000F2D0A" w:rsidP="005C5BCA">
      <w:pPr>
        <w:rPr>
          <w:lang w:val="es-ES_tradnl"/>
        </w:rPr>
      </w:pPr>
    </w:p>
    <w:p w:rsidR="000F2D0A" w:rsidRPr="003575E6" w:rsidRDefault="008638B2" w:rsidP="005C5BCA">
      <w:pPr>
        <w:rPr>
          <w:rFonts w:eastAsiaTheme="minorEastAsia"/>
          <w:lang w:val="es-ES_tradnl"/>
        </w:rPr>
      </w:pPr>
      <w:r w:rsidRPr="003575E6">
        <w:fldChar w:fldCharType="begin"/>
      </w:r>
      <w:r w:rsidR="005C5BCA" w:rsidRPr="003575E6">
        <w:rPr>
          <w:lang w:val="es-ES_tradnl"/>
        </w:rPr>
        <w:instrText xml:space="preserve"> AUTONUM  </w:instrText>
      </w:r>
      <w:r w:rsidRPr="003575E6">
        <w:fldChar w:fldCharType="end"/>
      </w:r>
      <w:r w:rsidR="005C5BCA" w:rsidRPr="003575E6">
        <w:rPr>
          <w:lang w:val="es-ES_tradnl"/>
        </w:rPr>
        <w:tab/>
      </w:r>
      <w:r w:rsidR="00663160" w:rsidRPr="003575E6">
        <w:rPr>
          <w:lang w:val="es-ES_tradnl"/>
        </w:rPr>
        <w:t>El TWA coincidió con el TWV en la importancia de evalua</w:t>
      </w:r>
      <w:r w:rsidR="00CB4552" w:rsidRPr="003575E6">
        <w:rPr>
          <w:lang w:val="es-ES_tradnl"/>
        </w:rPr>
        <w:t xml:space="preserve">r </w:t>
      </w:r>
      <w:r w:rsidR="00663160" w:rsidRPr="003575E6">
        <w:rPr>
          <w:lang w:val="es-ES_tradnl"/>
        </w:rPr>
        <w:t xml:space="preserve">la homogeneidad en cada ciclo de cultivo independiente y </w:t>
      </w:r>
      <w:r w:rsidR="00CB4552" w:rsidRPr="003575E6">
        <w:rPr>
          <w:lang w:val="es-ES_tradnl"/>
        </w:rPr>
        <w:t xml:space="preserve">en su oposición a </w:t>
      </w:r>
      <w:r w:rsidR="00663160" w:rsidRPr="003575E6">
        <w:rPr>
          <w:lang w:val="es-ES_tradnl"/>
        </w:rPr>
        <w:t>combinar los resultados de dos ciclos.</w:t>
      </w:r>
    </w:p>
    <w:p w:rsidR="000F2D0A" w:rsidRPr="003575E6" w:rsidRDefault="000F2D0A" w:rsidP="005C5BCA">
      <w:pPr>
        <w:rPr>
          <w:rFonts w:eastAsiaTheme="minorEastAsia"/>
          <w:lang w:val="es-ES_tradnl"/>
        </w:rPr>
      </w:pPr>
    </w:p>
    <w:p w:rsidR="000F2D0A" w:rsidRPr="003575E6" w:rsidRDefault="008638B2" w:rsidP="005C5BCA">
      <w:pPr>
        <w:rPr>
          <w:lang w:val="es-ES_tradnl"/>
        </w:rPr>
      </w:pPr>
      <w:r w:rsidRPr="003575E6">
        <w:fldChar w:fldCharType="begin"/>
      </w:r>
      <w:r w:rsidR="005C5BCA" w:rsidRPr="003575E6">
        <w:rPr>
          <w:lang w:val="es-ES_tradnl"/>
        </w:rPr>
        <w:instrText xml:space="preserve"> AUTONUM  </w:instrText>
      </w:r>
      <w:r w:rsidRPr="003575E6">
        <w:fldChar w:fldCharType="end"/>
      </w:r>
      <w:r w:rsidR="005C5BCA" w:rsidRPr="003575E6">
        <w:rPr>
          <w:lang w:val="es-ES_tradnl"/>
        </w:rPr>
        <w:tab/>
      </w:r>
      <w:r w:rsidR="00663160" w:rsidRPr="003575E6">
        <w:rPr>
          <w:lang w:val="es-ES_tradnl"/>
        </w:rPr>
        <w:t xml:space="preserve">El TWA convino en que debía añadirse a la </w:t>
      </w:r>
      <w:r w:rsidR="00C417F4" w:rsidRPr="003575E6">
        <w:rPr>
          <w:lang w:val="es-ES_tradnl"/>
        </w:rPr>
        <w:t>situación</w:t>
      </w:r>
      <w:r w:rsidR="00663160" w:rsidRPr="003575E6">
        <w:rPr>
          <w:lang w:val="es-ES_tradnl"/>
        </w:rPr>
        <w:t xml:space="preserve"> B un párrafo de introducción </w:t>
      </w:r>
      <w:r w:rsidR="00CB4552" w:rsidRPr="003575E6">
        <w:rPr>
          <w:lang w:val="es-ES_tradnl"/>
        </w:rPr>
        <w:t>para</w:t>
      </w:r>
      <w:r w:rsidR="00663160" w:rsidRPr="003575E6">
        <w:rPr>
          <w:lang w:val="es-ES_tradnl"/>
        </w:rPr>
        <w:t xml:space="preserve"> expli</w:t>
      </w:r>
      <w:r w:rsidR="00CB4552" w:rsidRPr="003575E6">
        <w:rPr>
          <w:lang w:val="es-ES_tradnl"/>
        </w:rPr>
        <w:t xml:space="preserve">car </w:t>
      </w:r>
      <w:r w:rsidR="00663160" w:rsidRPr="003575E6">
        <w:rPr>
          <w:lang w:val="es-ES_tradnl"/>
        </w:rPr>
        <w:t>que en los ensayos del examen DHE los años solo p</w:t>
      </w:r>
      <w:r w:rsidR="00CB4552" w:rsidRPr="003575E6">
        <w:rPr>
          <w:lang w:val="es-ES_tradnl"/>
        </w:rPr>
        <w:t>uede</w:t>
      </w:r>
      <w:r w:rsidR="00663160" w:rsidRPr="003575E6">
        <w:rPr>
          <w:lang w:val="es-ES_tradnl"/>
        </w:rPr>
        <w:t>n sustituirse por l</w:t>
      </w:r>
      <w:r w:rsidR="00E81772" w:rsidRPr="003575E6">
        <w:rPr>
          <w:lang w:val="es-ES_tradnl"/>
        </w:rPr>
        <w:t>os lugare</w:t>
      </w:r>
      <w:r w:rsidR="00663160" w:rsidRPr="003575E6">
        <w:rPr>
          <w:lang w:val="es-ES_tradnl"/>
        </w:rPr>
        <w:t xml:space="preserve">s </w:t>
      </w:r>
      <w:r w:rsidR="00E81772" w:rsidRPr="003575E6">
        <w:rPr>
          <w:lang w:val="es-ES_tradnl"/>
        </w:rPr>
        <w:t>cuando se cumplen ciertos requisitos e</w:t>
      </w:r>
      <w:r w:rsidR="00663160" w:rsidRPr="003575E6">
        <w:rPr>
          <w:lang w:val="es-ES_tradnl"/>
        </w:rPr>
        <w:t>spec</w:t>
      </w:r>
      <w:r w:rsidR="00E81772" w:rsidRPr="003575E6">
        <w:rPr>
          <w:lang w:val="es-ES_tradnl"/>
        </w:rPr>
        <w:t>í</w:t>
      </w:r>
      <w:r w:rsidR="00663160" w:rsidRPr="003575E6">
        <w:rPr>
          <w:lang w:val="es-ES_tradnl"/>
        </w:rPr>
        <w:t>fic</w:t>
      </w:r>
      <w:r w:rsidR="00E81772" w:rsidRPr="003575E6">
        <w:rPr>
          <w:lang w:val="es-ES_tradnl"/>
        </w:rPr>
        <w:t xml:space="preserve">os, como que </w:t>
      </w:r>
      <w:r w:rsidR="00E634EA" w:rsidRPr="003575E6">
        <w:rPr>
          <w:lang w:val="es-ES_tradnl"/>
        </w:rPr>
        <w:t xml:space="preserve">ninguno de los caracteres utilizados en el examen DHE presenten </w:t>
      </w:r>
      <w:r w:rsidR="00E81772" w:rsidRPr="003575E6">
        <w:rPr>
          <w:lang w:val="es-ES_tradnl"/>
        </w:rPr>
        <w:t>interacci</w:t>
      </w:r>
      <w:r w:rsidR="00CB4552" w:rsidRPr="003575E6">
        <w:rPr>
          <w:lang w:val="es-ES_tradnl"/>
        </w:rPr>
        <w:t xml:space="preserve">ones </w:t>
      </w:r>
      <w:r w:rsidR="00663160" w:rsidRPr="003575E6">
        <w:rPr>
          <w:lang w:val="es-ES_tradnl"/>
        </w:rPr>
        <w:t>significa</w:t>
      </w:r>
      <w:r w:rsidR="00CB4552" w:rsidRPr="003575E6">
        <w:rPr>
          <w:lang w:val="es-ES_tradnl"/>
        </w:rPr>
        <w:t>tivas</w:t>
      </w:r>
      <w:r w:rsidR="00E81772" w:rsidRPr="003575E6">
        <w:rPr>
          <w:lang w:val="es-ES_tradnl"/>
        </w:rPr>
        <w:t xml:space="preserve"> de</w:t>
      </w:r>
      <w:r w:rsidR="00663160" w:rsidRPr="003575E6">
        <w:rPr>
          <w:lang w:val="es-ES_tradnl"/>
        </w:rPr>
        <w:t xml:space="preserve"> genotipo </w:t>
      </w:r>
      <w:r w:rsidR="00CB4552" w:rsidRPr="003575E6">
        <w:rPr>
          <w:lang w:val="es-ES_tradnl"/>
        </w:rPr>
        <w:t>×</w:t>
      </w:r>
      <w:r w:rsidR="00663160" w:rsidRPr="003575E6">
        <w:rPr>
          <w:lang w:val="es-ES_tradnl"/>
        </w:rPr>
        <w:t xml:space="preserve"> </w:t>
      </w:r>
      <w:r w:rsidR="00E81772" w:rsidRPr="003575E6">
        <w:rPr>
          <w:lang w:val="es-ES_tradnl"/>
        </w:rPr>
        <w:t>lugar</w:t>
      </w:r>
      <w:r w:rsidR="00663160" w:rsidRPr="003575E6">
        <w:rPr>
          <w:lang w:val="es-ES_tradnl"/>
        </w:rPr>
        <w:t>.</w:t>
      </w:r>
      <w:r w:rsidR="005C5BCA" w:rsidRPr="003575E6">
        <w:rPr>
          <w:lang w:val="es-ES_tradnl"/>
        </w:rPr>
        <w:t xml:space="preserve">  </w:t>
      </w:r>
    </w:p>
    <w:p w:rsidR="000F2D0A" w:rsidRPr="003575E6" w:rsidRDefault="000F2D0A" w:rsidP="005C5BCA">
      <w:pPr>
        <w:rPr>
          <w:lang w:val="es-ES_tradnl"/>
        </w:rPr>
      </w:pPr>
    </w:p>
    <w:p w:rsidR="000F2D0A" w:rsidRPr="003575E6" w:rsidRDefault="008638B2" w:rsidP="005C5BCA">
      <w:pPr>
        <w:rPr>
          <w:lang w:val="es-ES_tradnl"/>
        </w:rPr>
      </w:pPr>
      <w:r w:rsidRPr="003575E6">
        <w:fldChar w:fldCharType="begin"/>
      </w:r>
      <w:r w:rsidR="005C5BCA" w:rsidRPr="003575E6">
        <w:rPr>
          <w:lang w:val="es-ES_tradnl"/>
        </w:rPr>
        <w:instrText xml:space="preserve"> AUTONUM  </w:instrText>
      </w:r>
      <w:r w:rsidRPr="003575E6">
        <w:fldChar w:fldCharType="end"/>
      </w:r>
      <w:r w:rsidR="005C5BCA" w:rsidRPr="003575E6">
        <w:rPr>
          <w:lang w:val="es-ES_tradnl"/>
        </w:rPr>
        <w:tab/>
      </w:r>
      <w:r w:rsidR="00E81772" w:rsidRPr="003575E6">
        <w:rPr>
          <w:lang w:val="es-ES_tradnl"/>
        </w:rPr>
        <w:t>El TWA coincidió con el TWC en que la orientación que figura en la Sección 6 “Combinando todas las observaciones en una misma variedad” del documento TGP/10 “Examen de la homogeneidad” e</w:t>
      </w:r>
      <w:r w:rsidR="00E634EA" w:rsidRPr="003575E6">
        <w:rPr>
          <w:lang w:val="es-ES_tradnl"/>
        </w:rPr>
        <w:t>s</w:t>
      </w:r>
      <w:r w:rsidR="00E81772" w:rsidRPr="003575E6">
        <w:rPr>
          <w:lang w:val="es-ES_tradnl"/>
        </w:rPr>
        <w:t xml:space="preserve"> suficiente para abordar la situación C “Más de una muestra o submuestra para la observación de un carácter en el mismo ciclo de cultivo”</w:t>
      </w:r>
      <w:r w:rsidR="00E634EA" w:rsidRPr="003575E6">
        <w:rPr>
          <w:lang w:val="es-ES_tradnl"/>
        </w:rPr>
        <w:t>:</w:t>
      </w:r>
      <w:r w:rsidR="00E81772" w:rsidRPr="003575E6">
        <w:rPr>
          <w:lang w:val="es-ES_tradnl"/>
        </w:rPr>
        <w:t xml:space="preserve"> Anexo III del documento TWA/43/9.</w:t>
      </w:r>
      <w:r w:rsidR="005C5BCA" w:rsidRPr="003575E6">
        <w:rPr>
          <w:lang w:val="es-ES_tradnl"/>
        </w:rPr>
        <w:t xml:space="preserve"> </w:t>
      </w:r>
    </w:p>
    <w:p w:rsidR="000F2D0A" w:rsidRPr="003575E6" w:rsidRDefault="000F2D0A" w:rsidP="005C5BCA">
      <w:pPr>
        <w:rPr>
          <w:lang w:val="es-ES_tradnl"/>
        </w:rPr>
      </w:pPr>
    </w:p>
    <w:p w:rsidR="000F2D0A" w:rsidRPr="003575E6" w:rsidRDefault="008638B2" w:rsidP="005C5BCA">
      <w:pPr>
        <w:rPr>
          <w:lang w:val="es-ES_tradnl"/>
        </w:rPr>
      </w:pPr>
      <w:r w:rsidRPr="003575E6">
        <w:fldChar w:fldCharType="begin"/>
      </w:r>
      <w:r w:rsidR="005C5BCA" w:rsidRPr="003575E6">
        <w:rPr>
          <w:lang w:val="es-ES_tradnl"/>
        </w:rPr>
        <w:instrText xml:space="preserve"> AUTONUM  </w:instrText>
      </w:r>
      <w:r w:rsidRPr="003575E6">
        <w:fldChar w:fldCharType="end"/>
      </w:r>
      <w:r w:rsidR="005C5BCA" w:rsidRPr="003575E6">
        <w:rPr>
          <w:lang w:val="es-ES_tradnl"/>
        </w:rPr>
        <w:tab/>
      </w:r>
      <w:r w:rsidR="00E81772" w:rsidRPr="003575E6">
        <w:rPr>
          <w:lang w:val="es-ES_tradnl"/>
        </w:rPr>
        <w:t xml:space="preserve">El TWA coincidió con el TWC en que la orientación </w:t>
      </w:r>
      <w:r w:rsidR="00E634EA" w:rsidRPr="003575E6">
        <w:rPr>
          <w:lang w:val="es-ES_tradnl"/>
        </w:rPr>
        <w:t>proporcionada en</w:t>
      </w:r>
      <w:r w:rsidR="00E81772" w:rsidRPr="003575E6">
        <w:rPr>
          <w:lang w:val="es-ES_tradnl"/>
        </w:rPr>
        <w:t xml:space="preserve"> la </w:t>
      </w:r>
      <w:r w:rsidR="00C417F4" w:rsidRPr="003575E6">
        <w:rPr>
          <w:lang w:val="es-ES_tradnl"/>
        </w:rPr>
        <w:t>situación</w:t>
      </w:r>
      <w:r w:rsidR="00E81772" w:rsidRPr="003575E6">
        <w:rPr>
          <w:lang w:val="es-ES_tradnl"/>
        </w:rPr>
        <w:t> D debe ser la siguiente (véanse los párrafos 66 al 71 del documento TWA/43/27 “</w:t>
      </w:r>
      <w:r w:rsidR="00E81772" w:rsidRPr="003575E6">
        <w:rPr>
          <w:i/>
          <w:lang w:val="es-ES_tradnl"/>
        </w:rPr>
        <w:t>Report</w:t>
      </w:r>
      <w:r w:rsidR="00E81772" w:rsidRPr="003575E6">
        <w:rPr>
          <w:lang w:val="es-ES_tradnl"/>
        </w:rPr>
        <w:t>”):</w:t>
      </w:r>
      <w:r w:rsidR="005C5BCA" w:rsidRPr="003575E6">
        <w:rPr>
          <w:lang w:val="es-ES_tradnl"/>
        </w:rPr>
        <w:t xml:space="preserve"> </w:t>
      </w:r>
    </w:p>
    <w:p w:rsidR="000F2D0A" w:rsidRPr="003575E6" w:rsidRDefault="000F2D0A" w:rsidP="005C5BCA">
      <w:pPr>
        <w:rPr>
          <w:lang w:val="es-ES_tradnl"/>
        </w:rPr>
      </w:pPr>
    </w:p>
    <w:p w:rsidR="000F2D0A" w:rsidRPr="003575E6" w:rsidRDefault="00A230A3" w:rsidP="000F2D0A">
      <w:pPr>
        <w:ind w:left="567" w:right="567"/>
        <w:rPr>
          <w:sz w:val="18"/>
          <w:lang w:val="es-ES"/>
        </w:rPr>
      </w:pPr>
      <w:r w:rsidRPr="003575E6">
        <w:rPr>
          <w:sz w:val="18"/>
          <w:lang w:val="es-ES_tradnl"/>
        </w:rPr>
        <w:t>“</w:t>
      </w:r>
      <w:r w:rsidR="001C1042">
        <w:rPr>
          <w:sz w:val="18"/>
          <w:lang w:val="es-ES_tradnl"/>
        </w:rPr>
        <w:t xml:space="preserve">SITUACIÓN D: </w:t>
      </w:r>
      <w:r w:rsidR="000F2D0A" w:rsidRPr="003575E6">
        <w:rPr>
          <w:sz w:val="18"/>
          <w:lang w:val="es-ES_tradnl"/>
        </w:rPr>
        <w:t>EVALUACIÓN DE SUBMUESTRAS EN UN ÚNICO EXAMEN O ENSAYO</w:t>
      </w:r>
    </w:p>
    <w:p w:rsidR="000F2D0A" w:rsidRPr="003575E6" w:rsidRDefault="000F2D0A" w:rsidP="005C5BCA">
      <w:pPr>
        <w:ind w:left="567" w:right="567"/>
        <w:rPr>
          <w:sz w:val="18"/>
          <w:lang w:val="es-ES"/>
        </w:rPr>
      </w:pPr>
    </w:p>
    <w:p w:rsidR="000F2D0A" w:rsidRPr="003575E6" w:rsidRDefault="001C1042" w:rsidP="000F2D0A">
      <w:pPr>
        <w:ind w:left="567"/>
        <w:rPr>
          <w:b/>
          <w:sz w:val="18"/>
          <w:lang w:val="es-ES"/>
        </w:rPr>
      </w:pPr>
      <w:r>
        <w:rPr>
          <w:b/>
          <w:sz w:val="18"/>
          <w:lang w:val="es-ES_tradnl"/>
        </w:rPr>
        <w:t xml:space="preserve">“Método: </w:t>
      </w:r>
      <w:r w:rsidR="000F2D0A" w:rsidRPr="003575E6">
        <w:rPr>
          <w:b/>
          <w:sz w:val="18"/>
          <w:lang w:val="es-ES_tradnl"/>
        </w:rPr>
        <w:t>Utilización de una submuestra como primera etapa de la evaluación</w:t>
      </w:r>
    </w:p>
    <w:p w:rsidR="000F2D0A" w:rsidRPr="003575E6" w:rsidRDefault="000F2D0A" w:rsidP="005C5BCA">
      <w:pPr>
        <w:ind w:left="567" w:right="567"/>
        <w:rPr>
          <w:sz w:val="18"/>
          <w:lang w:val="es-ES"/>
        </w:rPr>
      </w:pPr>
    </w:p>
    <w:p w:rsidR="000F2D0A" w:rsidRPr="003575E6" w:rsidRDefault="005C5BCA" w:rsidP="005C5BCA">
      <w:pPr>
        <w:ind w:left="567" w:right="567"/>
        <w:rPr>
          <w:sz w:val="18"/>
          <w:lang w:val="es-ES_tradnl"/>
        </w:rPr>
      </w:pPr>
      <w:r w:rsidRPr="003575E6">
        <w:rPr>
          <w:sz w:val="18"/>
          <w:lang w:val="es-ES_tradnl"/>
        </w:rPr>
        <w:t>“</w:t>
      </w:r>
      <w:r w:rsidR="00E81772" w:rsidRPr="003575E6">
        <w:rPr>
          <w:sz w:val="18"/>
          <w:lang w:val="es-ES_tradnl"/>
        </w:rPr>
        <w:t>Una variedad se considera homogénea si el número de plantas fuera de tipo</w:t>
      </w:r>
      <w:r w:rsidR="00422FD5" w:rsidRPr="003575E6">
        <w:rPr>
          <w:sz w:val="18"/>
          <w:lang w:val="es-ES_tradnl"/>
        </w:rPr>
        <w:t xml:space="preserve"> en la submuestra</w:t>
      </w:r>
      <w:r w:rsidR="00E81772" w:rsidRPr="003575E6">
        <w:rPr>
          <w:sz w:val="18"/>
          <w:lang w:val="es-ES_tradnl"/>
        </w:rPr>
        <w:t xml:space="preserve"> no supera un límite inferior predefinido.</w:t>
      </w:r>
      <w:r w:rsidRPr="003575E6">
        <w:rPr>
          <w:sz w:val="18"/>
          <w:lang w:val="es-ES_tradnl"/>
        </w:rPr>
        <w:t xml:space="preserve"> </w:t>
      </w:r>
    </w:p>
    <w:p w:rsidR="000F2D0A" w:rsidRPr="003575E6" w:rsidRDefault="000F2D0A" w:rsidP="005C5BCA">
      <w:pPr>
        <w:ind w:left="567" w:right="567"/>
        <w:rPr>
          <w:sz w:val="18"/>
          <w:lang w:val="es-ES_tradnl"/>
        </w:rPr>
      </w:pPr>
    </w:p>
    <w:p w:rsidR="000F2D0A" w:rsidRPr="003575E6" w:rsidRDefault="005C5BCA" w:rsidP="005C5BCA">
      <w:pPr>
        <w:ind w:left="567" w:right="567"/>
        <w:rPr>
          <w:sz w:val="18"/>
          <w:lang w:val="es-ES_tradnl"/>
        </w:rPr>
      </w:pPr>
      <w:r w:rsidRPr="003575E6">
        <w:rPr>
          <w:sz w:val="18"/>
          <w:lang w:val="es-ES_tradnl"/>
        </w:rPr>
        <w:t>“</w:t>
      </w:r>
      <w:r w:rsidR="00E81772" w:rsidRPr="003575E6">
        <w:rPr>
          <w:sz w:val="18"/>
          <w:lang w:val="es-ES_tradnl"/>
        </w:rPr>
        <w:t xml:space="preserve">Una variedad se considera </w:t>
      </w:r>
      <w:r w:rsidR="004F6340" w:rsidRPr="003575E6">
        <w:rPr>
          <w:sz w:val="18"/>
          <w:lang w:val="es-ES_tradnl"/>
        </w:rPr>
        <w:t>no hom</w:t>
      </w:r>
      <w:r w:rsidR="00E81772" w:rsidRPr="003575E6">
        <w:rPr>
          <w:sz w:val="18"/>
          <w:lang w:val="es-ES_tradnl"/>
        </w:rPr>
        <w:t>ogénea si el número de plantas fuera de tipo</w:t>
      </w:r>
      <w:r w:rsidR="00422FD5" w:rsidRPr="003575E6">
        <w:rPr>
          <w:sz w:val="18"/>
          <w:lang w:val="es-ES_tradnl"/>
        </w:rPr>
        <w:t xml:space="preserve"> en la submuestra</w:t>
      </w:r>
      <w:r w:rsidR="00E81772" w:rsidRPr="003575E6">
        <w:rPr>
          <w:sz w:val="18"/>
          <w:lang w:val="es-ES_tradnl"/>
        </w:rPr>
        <w:t xml:space="preserve"> supera un límite superior predefinido.</w:t>
      </w:r>
    </w:p>
    <w:p w:rsidR="000F2D0A" w:rsidRPr="003575E6" w:rsidRDefault="000F2D0A" w:rsidP="005C5BCA">
      <w:pPr>
        <w:ind w:left="567" w:right="567"/>
        <w:rPr>
          <w:sz w:val="18"/>
          <w:lang w:val="es-ES_tradnl"/>
        </w:rPr>
      </w:pPr>
    </w:p>
    <w:p w:rsidR="000F2D0A" w:rsidRPr="003575E6" w:rsidRDefault="005C5BCA" w:rsidP="005C5BCA">
      <w:pPr>
        <w:ind w:left="567" w:right="567"/>
        <w:rPr>
          <w:sz w:val="18"/>
          <w:lang w:val="es-ES_tradnl"/>
        </w:rPr>
      </w:pPr>
      <w:r w:rsidRPr="003575E6">
        <w:rPr>
          <w:sz w:val="18"/>
          <w:lang w:val="es-ES_tradnl"/>
        </w:rPr>
        <w:t>“</w:t>
      </w:r>
      <w:r w:rsidR="00E81772" w:rsidRPr="003575E6">
        <w:rPr>
          <w:sz w:val="18"/>
          <w:lang w:val="es-ES_tradnl"/>
        </w:rPr>
        <w:t xml:space="preserve">Si el número de plantas fuera de tipo está entre el límite inferior y el límite superior predefinidos, se evalúa </w:t>
      </w:r>
      <w:r w:rsidR="0010566F" w:rsidRPr="003575E6">
        <w:rPr>
          <w:sz w:val="18"/>
          <w:lang w:val="es-ES_tradnl"/>
        </w:rPr>
        <w:t>toda la muestra</w:t>
      </w:r>
      <w:r w:rsidR="00E81772" w:rsidRPr="003575E6">
        <w:rPr>
          <w:sz w:val="18"/>
          <w:lang w:val="es-ES_tradnl"/>
        </w:rPr>
        <w:t>.</w:t>
      </w:r>
      <w:r w:rsidRPr="003575E6">
        <w:rPr>
          <w:sz w:val="18"/>
          <w:lang w:val="es-ES_tradnl"/>
        </w:rPr>
        <w:t xml:space="preserve"> </w:t>
      </w:r>
      <w:r w:rsidR="00E81772" w:rsidRPr="003575E6">
        <w:rPr>
          <w:sz w:val="18"/>
          <w:lang w:val="es-ES_tradnl"/>
        </w:rPr>
        <w:t xml:space="preserve">Los límites inferior y superior deben fijarse teniendo en cuenta errores de tipo I y de tipo II similares en la submuestra y en </w:t>
      </w:r>
      <w:r w:rsidR="0010566F" w:rsidRPr="003575E6">
        <w:rPr>
          <w:sz w:val="18"/>
          <w:lang w:val="es-ES_tradnl"/>
        </w:rPr>
        <w:t>toda la muestra</w:t>
      </w:r>
      <w:r w:rsidR="00E81772" w:rsidRPr="003575E6">
        <w:rPr>
          <w:sz w:val="18"/>
          <w:lang w:val="es-ES_tradnl"/>
        </w:rPr>
        <w:t>.</w:t>
      </w:r>
    </w:p>
    <w:p w:rsidR="000F2D0A" w:rsidRPr="003575E6" w:rsidRDefault="000F2D0A" w:rsidP="005C5BCA">
      <w:pPr>
        <w:ind w:left="567" w:right="567"/>
        <w:rPr>
          <w:sz w:val="18"/>
          <w:lang w:val="es-ES_tradnl"/>
        </w:rPr>
      </w:pPr>
    </w:p>
    <w:p w:rsidR="000F2D0A" w:rsidRPr="003575E6" w:rsidRDefault="001C1042" w:rsidP="000F2D0A">
      <w:pPr>
        <w:ind w:left="567" w:right="567"/>
        <w:rPr>
          <w:sz w:val="18"/>
          <w:lang w:val="es-ES"/>
        </w:rPr>
      </w:pPr>
      <w:r>
        <w:rPr>
          <w:sz w:val="18"/>
          <w:lang w:val="es-ES_tradnl"/>
        </w:rPr>
        <w:t>“</w:t>
      </w:r>
      <w:r w:rsidR="000F2D0A" w:rsidRPr="003575E6">
        <w:rPr>
          <w:sz w:val="18"/>
          <w:lang w:val="es-ES_tradnl"/>
        </w:rPr>
        <w:t>Ejemplo:</w:t>
      </w:r>
    </w:p>
    <w:p w:rsidR="000F2D0A" w:rsidRPr="003575E6" w:rsidRDefault="000F2D0A" w:rsidP="005C5BCA">
      <w:pPr>
        <w:ind w:left="567" w:right="567"/>
        <w:rPr>
          <w:sz w:val="18"/>
          <w:lang w:val="es-ES"/>
        </w:rPr>
      </w:pPr>
    </w:p>
    <w:p w:rsidR="000F2D0A" w:rsidRPr="003575E6" w:rsidRDefault="001C1042" w:rsidP="000F2D0A">
      <w:pPr>
        <w:autoSpaceDE w:val="0"/>
        <w:autoSpaceDN w:val="0"/>
        <w:adjustRightInd w:val="0"/>
        <w:ind w:left="567" w:right="567"/>
        <w:rPr>
          <w:sz w:val="18"/>
          <w:lang w:val="es-ES"/>
        </w:rPr>
      </w:pPr>
      <w:r>
        <w:rPr>
          <w:sz w:val="18"/>
          <w:lang w:val="es-ES_tradnl"/>
        </w:rPr>
        <w:t>“</w:t>
      </w:r>
      <w:r w:rsidR="000F2D0A" w:rsidRPr="003575E6">
        <w:rPr>
          <w:sz w:val="18"/>
          <w:lang w:val="es-ES_tradnl"/>
        </w:rPr>
        <w:t>En el caso de una muestra de 100 plantas, el número aceptable de plantas fuera de tipo es 3 (aplicando una población estándar del 1% y una probabilidad de aceptación del 95% como mínimo).</w:t>
      </w:r>
    </w:p>
    <w:p w:rsidR="000F2D0A" w:rsidRPr="003575E6" w:rsidRDefault="000F2D0A" w:rsidP="005C5BCA">
      <w:pPr>
        <w:autoSpaceDE w:val="0"/>
        <w:autoSpaceDN w:val="0"/>
        <w:adjustRightInd w:val="0"/>
        <w:ind w:left="567" w:right="567"/>
        <w:rPr>
          <w:sz w:val="18"/>
          <w:lang w:val="es-ES"/>
        </w:rPr>
      </w:pPr>
    </w:p>
    <w:p w:rsidR="000F2D0A" w:rsidRPr="003575E6" w:rsidRDefault="001C1042" w:rsidP="000F2D0A">
      <w:pPr>
        <w:autoSpaceDE w:val="0"/>
        <w:autoSpaceDN w:val="0"/>
        <w:adjustRightInd w:val="0"/>
        <w:ind w:left="567" w:right="567"/>
        <w:rPr>
          <w:sz w:val="18"/>
          <w:lang w:val="es-ES"/>
        </w:rPr>
      </w:pPr>
      <w:r>
        <w:rPr>
          <w:sz w:val="18"/>
          <w:lang w:val="es-ES_tradnl"/>
        </w:rPr>
        <w:t>“</w:t>
      </w:r>
      <w:r w:rsidR="000F2D0A" w:rsidRPr="003575E6">
        <w:rPr>
          <w:sz w:val="18"/>
          <w:lang w:val="es-ES_tradnl"/>
        </w:rPr>
        <w:t>En una submuestra de 20 plantas utilizada en el contexto de la antedicha muestra de 100 plantas:</w:t>
      </w:r>
    </w:p>
    <w:p w:rsidR="000F2D0A" w:rsidRPr="003575E6" w:rsidRDefault="000F2D0A" w:rsidP="005C5BCA">
      <w:pPr>
        <w:autoSpaceDE w:val="0"/>
        <w:autoSpaceDN w:val="0"/>
        <w:adjustRightInd w:val="0"/>
        <w:ind w:left="1134" w:right="567"/>
        <w:rPr>
          <w:sz w:val="18"/>
          <w:lang w:val="es-ES"/>
        </w:rPr>
      </w:pPr>
    </w:p>
    <w:p w:rsidR="000F2D0A" w:rsidRPr="003575E6" w:rsidRDefault="001C1042" w:rsidP="000F2D0A">
      <w:pPr>
        <w:ind w:left="1134" w:right="567"/>
        <w:rPr>
          <w:sz w:val="18"/>
          <w:lang w:val="es-ES"/>
        </w:rPr>
      </w:pPr>
      <w:r>
        <w:rPr>
          <w:sz w:val="18"/>
          <w:lang w:val="es-ES"/>
        </w:rPr>
        <w:t>“</w:t>
      </w:r>
      <w:r w:rsidR="000F2D0A" w:rsidRPr="003575E6">
        <w:rPr>
          <w:sz w:val="18"/>
          <w:lang w:val="es-ES_tradnl"/>
        </w:rPr>
        <w:t>Se considera que una variedad es homogénea si no se observan plantas fuera de tipo en la submuestra.</w:t>
      </w:r>
    </w:p>
    <w:p w:rsidR="000F2D0A" w:rsidRPr="003575E6" w:rsidRDefault="000F2D0A" w:rsidP="005C5BCA">
      <w:pPr>
        <w:ind w:left="1134" w:right="567"/>
        <w:rPr>
          <w:sz w:val="18"/>
          <w:lang w:val="es-ES"/>
        </w:rPr>
      </w:pPr>
    </w:p>
    <w:p w:rsidR="000F2D0A" w:rsidRPr="003575E6" w:rsidRDefault="001C1042" w:rsidP="000F2D0A">
      <w:pPr>
        <w:ind w:left="1134" w:right="567"/>
        <w:rPr>
          <w:sz w:val="18"/>
          <w:lang w:val="es-ES"/>
        </w:rPr>
      </w:pPr>
      <w:r>
        <w:rPr>
          <w:sz w:val="18"/>
          <w:lang w:val="es-ES"/>
        </w:rPr>
        <w:t>“</w:t>
      </w:r>
      <w:r w:rsidR="000F2D0A" w:rsidRPr="003575E6">
        <w:rPr>
          <w:sz w:val="18"/>
          <w:lang w:val="es-ES_tradnl"/>
        </w:rPr>
        <w:t>Se considera que una variedad no es homogénea si el número de plantas fuera de tipo en la submuestra es mayor de 3.</w:t>
      </w:r>
    </w:p>
    <w:p w:rsidR="000F2D0A" w:rsidRPr="003575E6" w:rsidRDefault="000F2D0A" w:rsidP="005C5BCA">
      <w:pPr>
        <w:ind w:left="1134" w:right="567"/>
        <w:rPr>
          <w:sz w:val="18"/>
          <w:lang w:val="es-ES"/>
        </w:rPr>
      </w:pPr>
    </w:p>
    <w:p w:rsidR="000F2D0A" w:rsidRPr="003575E6" w:rsidRDefault="001C1042" w:rsidP="000F2D0A">
      <w:pPr>
        <w:ind w:left="1134" w:right="567"/>
        <w:rPr>
          <w:sz w:val="18"/>
          <w:lang w:val="es-ES"/>
        </w:rPr>
      </w:pPr>
      <w:r>
        <w:rPr>
          <w:sz w:val="18"/>
          <w:lang w:val="es-ES_tradnl"/>
        </w:rPr>
        <w:t>“</w:t>
      </w:r>
      <w:r w:rsidR="000F2D0A" w:rsidRPr="003575E6">
        <w:rPr>
          <w:sz w:val="18"/>
          <w:lang w:val="es-ES_tradnl"/>
        </w:rPr>
        <w:t>Si el número de plantas fuera de tipo está entre 1 y 3, se evalúa toda la muestra de 100 plantas.</w:t>
      </w:r>
    </w:p>
    <w:p w:rsidR="000F2D0A" w:rsidRPr="003575E6" w:rsidRDefault="000F2D0A" w:rsidP="005C5BCA">
      <w:pPr>
        <w:ind w:left="567" w:right="567"/>
        <w:rPr>
          <w:sz w:val="18"/>
          <w:lang w:val="es-ES"/>
        </w:rPr>
      </w:pPr>
    </w:p>
    <w:p w:rsidR="000F2D0A" w:rsidRPr="003575E6" w:rsidRDefault="005C5BCA" w:rsidP="005C5BCA">
      <w:pPr>
        <w:ind w:left="567" w:right="567"/>
        <w:rPr>
          <w:b/>
          <w:sz w:val="18"/>
          <w:lang w:val="es-ES_tradnl"/>
        </w:rPr>
      </w:pPr>
      <w:r w:rsidRPr="003575E6">
        <w:rPr>
          <w:sz w:val="18"/>
          <w:lang w:val="es-ES_tradnl"/>
        </w:rPr>
        <w:t>“</w:t>
      </w:r>
      <w:r w:rsidR="00E634EA" w:rsidRPr="003575E6">
        <w:rPr>
          <w:sz w:val="18"/>
          <w:lang w:val="es-ES_tradnl"/>
        </w:rPr>
        <w:t>Las bases</w:t>
      </w:r>
      <w:r w:rsidR="00E81772" w:rsidRPr="003575E6">
        <w:rPr>
          <w:sz w:val="18"/>
          <w:lang w:val="es-ES_tradnl"/>
        </w:rPr>
        <w:t xml:space="preserve"> estadístic</w:t>
      </w:r>
      <w:r w:rsidR="00E634EA" w:rsidRPr="003575E6">
        <w:rPr>
          <w:sz w:val="18"/>
          <w:lang w:val="es-ES_tradnl"/>
        </w:rPr>
        <w:t>as</w:t>
      </w:r>
      <w:r w:rsidR="00E81772" w:rsidRPr="003575E6">
        <w:rPr>
          <w:sz w:val="18"/>
          <w:lang w:val="es-ES_tradnl"/>
        </w:rPr>
        <w:t xml:space="preserve"> de este método se describe</w:t>
      </w:r>
      <w:r w:rsidR="00E634EA" w:rsidRPr="003575E6">
        <w:rPr>
          <w:sz w:val="18"/>
          <w:lang w:val="es-ES_tradnl"/>
        </w:rPr>
        <w:t>n</w:t>
      </w:r>
      <w:r w:rsidR="00E81772" w:rsidRPr="003575E6">
        <w:rPr>
          <w:sz w:val="18"/>
          <w:lang w:val="es-ES_tradnl"/>
        </w:rPr>
        <w:t xml:space="preserve"> exhaustivamente en el Anexo V del documento TWC/32/9.</w:t>
      </w:r>
      <w:r w:rsidRPr="003575E6">
        <w:rPr>
          <w:sz w:val="18"/>
          <w:lang w:val="es-ES_tradnl"/>
        </w:rPr>
        <w:t>”</w:t>
      </w:r>
    </w:p>
    <w:p w:rsidR="000F2D0A" w:rsidRPr="003575E6" w:rsidRDefault="000F2D0A" w:rsidP="005C5BCA">
      <w:pPr>
        <w:rPr>
          <w:lang w:val="es-ES_tradnl"/>
        </w:rPr>
      </w:pPr>
    </w:p>
    <w:p w:rsidR="000F2D0A" w:rsidRPr="003575E6" w:rsidRDefault="000F2D0A" w:rsidP="005C5BCA">
      <w:pPr>
        <w:rPr>
          <w:lang w:val="es-ES_tradnl"/>
        </w:rPr>
      </w:pPr>
    </w:p>
    <w:p w:rsidR="000F2D0A" w:rsidRPr="003575E6" w:rsidRDefault="000F2D0A" w:rsidP="000F2D0A">
      <w:pPr>
        <w:pStyle w:val="Heading1"/>
        <w:rPr>
          <w:lang w:val="es-ES"/>
        </w:rPr>
      </w:pPr>
      <w:bookmarkStart w:id="15" w:name="_Toc410723880"/>
      <w:r w:rsidRPr="003575E6">
        <w:rPr>
          <w:lang w:val="es-ES_tradnl"/>
        </w:rPr>
        <w:t>OBSERVACIONES DEL COMITÉ DE REDACCIÓN AMPLIADO FORMULADAS EN SU REUNIÓN DE ENERO DE 2015</w:t>
      </w:r>
      <w:bookmarkEnd w:id="15"/>
    </w:p>
    <w:p w:rsidR="000F2D0A" w:rsidRPr="003575E6" w:rsidRDefault="000F2D0A" w:rsidP="005C5BCA">
      <w:pPr>
        <w:rPr>
          <w:rFonts w:cs="Arial"/>
          <w:snapToGrid w:val="0"/>
          <w:lang w:val="es-ES"/>
        </w:rPr>
      </w:pPr>
    </w:p>
    <w:p w:rsidR="000F2D0A" w:rsidRPr="003575E6" w:rsidRDefault="008638B2" w:rsidP="005C5BCA">
      <w:pPr>
        <w:rPr>
          <w:lang w:val="es-ES_tradnl"/>
        </w:rPr>
      </w:pPr>
      <w:r w:rsidRPr="003575E6">
        <w:fldChar w:fldCharType="begin"/>
      </w:r>
      <w:r w:rsidR="005C5BCA" w:rsidRPr="003575E6">
        <w:rPr>
          <w:lang w:val="es-ES_tradnl"/>
        </w:rPr>
        <w:instrText xml:space="preserve"> AUTONUM  </w:instrText>
      </w:r>
      <w:r w:rsidRPr="003575E6">
        <w:fldChar w:fldCharType="end"/>
      </w:r>
      <w:r w:rsidR="005C5BCA" w:rsidRPr="003575E6">
        <w:rPr>
          <w:lang w:val="es-ES_tradnl"/>
        </w:rPr>
        <w:tab/>
      </w:r>
      <w:r w:rsidR="009E3412" w:rsidRPr="003575E6">
        <w:rPr>
          <w:lang w:val="es-ES_tradnl"/>
        </w:rPr>
        <w:t>En su reunión celebrada e</w:t>
      </w:r>
      <w:r w:rsidR="009E3412" w:rsidRPr="003575E6">
        <w:rPr>
          <w:rFonts w:cs="Arial"/>
          <w:lang w:val="es-ES_tradnl" w:eastAsia="ja-JP"/>
        </w:rPr>
        <w:t>n Ginebra los días 7 y 8 de enero de 2015,</w:t>
      </w:r>
      <w:r w:rsidR="009E3412" w:rsidRPr="003575E6">
        <w:rPr>
          <w:lang w:val="es-ES_tradnl"/>
        </w:rPr>
        <w:t xml:space="preserve"> el TC-EDC examinó el documento TC</w:t>
      </w:r>
      <w:r w:rsidR="002E4F18" w:rsidRPr="003575E6">
        <w:rPr>
          <w:lang w:val="es-ES_tradnl"/>
        </w:rPr>
        <w:t>-</w:t>
      </w:r>
      <w:r w:rsidR="009E3412" w:rsidRPr="003575E6">
        <w:rPr>
          <w:lang w:val="es-ES_tradnl"/>
        </w:rPr>
        <w:t>EDC/Jan15/5 “Revisión del documento TGP</w:t>
      </w:r>
      <w:r w:rsidR="009E3412" w:rsidRPr="003575E6">
        <w:rPr>
          <w:rFonts w:cs="Arial"/>
          <w:snapToGrid w:val="0"/>
          <w:lang w:val="es-ES_tradnl"/>
        </w:rPr>
        <w:t xml:space="preserve">/10: Nueva sección: Evaluación de la homogeneidad de las plantas fuera de tipo mediante la observación de </w:t>
      </w:r>
      <w:r w:rsidR="009C1D94" w:rsidRPr="003575E6">
        <w:rPr>
          <w:rFonts w:cs="Arial"/>
          <w:snapToGrid w:val="0"/>
          <w:lang w:val="es-ES_tradnl"/>
        </w:rPr>
        <w:t xml:space="preserve">más de </w:t>
      </w:r>
      <w:r w:rsidR="009E3412" w:rsidRPr="003575E6">
        <w:rPr>
          <w:rFonts w:cs="Arial"/>
          <w:snapToGrid w:val="0"/>
          <w:lang w:val="es-ES_tradnl"/>
        </w:rPr>
        <w:t>una muestra o submuestras</w:t>
      </w:r>
      <w:r w:rsidR="009E3412" w:rsidRPr="003575E6">
        <w:rPr>
          <w:lang w:val="es-ES_tradnl"/>
        </w:rPr>
        <w:t>” y realizó las observaciones siguientes:</w:t>
      </w:r>
    </w:p>
    <w:p w:rsidR="005C5BCA" w:rsidRPr="003575E6" w:rsidRDefault="005C5BCA" w:rsidP="005C5BCA">
      <w:pPr>
        <w:rPr>
          <w:lang w:val="es-ES_tradn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1"/>
        <w:gridCol w:w="8208"/>
      </w:tblGrid>
      <w:tr w:rsidR="003575E6" w:rsidRPr="007E0D61" w:rsidTr="00431767">
        <w:tc>
          <w:tcPr>
            <w:tcW w:w="1431" w:type="dxa"/>
            <w:tcBorders>
              <w:top w:val="single" w:sz="4" w:space="0" w:color="auto"/>
              <w:left w:val="single" w:sz="4" w:space="0" w:color="auto"/>
              <w:bottom w:val="single" w:sz="4" w:space="0" w:color="auto"/>
              <w:right w:val="single" w:sz="4" w:space="0" w:color="auto"/>
            </w:tcBorders>
          </w:tcPr>
          <w:p w:rsidR="005C5BCA" w:rsidRPr="003575E6" w:rsidRDefault="009E3412" w:rsidP="009273A4">
            <w:pPr>
              <w:jc w:val="left"/>
              <w:rPr>
                <w:rFonts w:cs="Arial"/>
              </w:rPr>
            </w:pPr>
            <w:r w:rsidRPr="003575E6">
              <w:rPr>
                <w:rFonts w:cs="Arial"/>
                <w:lang w:val="es-ES_tradnl"/>
              </w:rPr>
              <w:t xml:space="preserve">Anexo I, </w:t>
            </w:r>
            <w:r w:rsidR="002E4F18" w:rsidRPr="003575E6">
              <w:rPr>
                <w:rFonts w:cs="Arial"/>
                <w:lang w:val="es-ES_tradnl"/>
              </w:rPr>
              <w:t>m</w:t>
            </w:r>
            <w:r w:rsidRPr="003575E6">
              <w:rPr>
                <w:rFonts w:cs="Arial"/>
                <w:lang w:val="es-ES_tradnl"/>
              </w:rPr>
              <w:t>étodo 1</w:t>
            </w:r>
          </w:p>
        </w:tc>
        <w:tc>
          <w:tcPr>
            <w:tcW w:w="8208" w:type="dxa"/>
            <w:tcBorders>
              <w:top w:val="single" w:sz="4" w:space="0" w:color="auto"/>
              <w:left w:val="single" w:sz="4" w:space="0" w:color="auto"/>
              <w:bottom w:val="single" w:sz="4" w:space="0" w:color="auto"/>
              <w:right w:val="single" w:sz="4" w:space="0" w:color="auto"/>
            </w:tcBorders>
          </w:tcPr>
          <w:p w:rsidR="005C5BCA" w:rsidRPr="003575E6" w:rsidRDefault="00A80554" w:rsidP="009273A4">
            <w:pPr>
              <w:keepNext/>
              <w:keepLines/>
              <w:rPr>
                <w:rFonts w:cs="Arial"/>
                <w:lang w:val="es-ES_tradnl"/>
              </w:rPr>
            </w:pPr>
            <w:r w:rsidRPr="003575E6">
              <w:rPr>
                <w:rFonts w:cs="Arial"/>
                <w:lang w:val="es-ES_tradnl"/>
              </w:rPr>
              <w:t>S</w:t>
            </w:r>
            <w:r w:rsidR="00390B78" w:rsidRPr="003575E6">
              <w:rPr>
                <w:rFonts w:cs="Arial"/>
                <w:lang w:val="es-ES_tradnl"/>
              </w:rPr>
              <w:t>e propone s</w:t>
            </w:r>
            <w:r w:rsidR="009E3412" w:rsidRPr="003575E6">
              <w:rPr>
                <w:rFonts w:cs="Arial"/>
                <w:lang w:val="es-ES_tradnl"/>
              </w:rPr>
              <w:t>upr</w:t>
            </w:r>
            <w:r w:rsidR="00390B78" w:rsidRPr="003575E6">
              <w:rPr>
                <w:rFonts w:cs="Arial"/>
                <w:lang w:val="es-ES_tradnl"/>
              </w:rPr>
              <w:t xml:space="preserve">imir </w:t>
            </w:r>
            <w:r w:rsidR="009E3412" w:rsidRPr="003575E6">
              <w:rPr>
                <w:rFonts w:cs="Arial"/>
                <w:lang w:val="es-ES_tradnl"/>
              </w:rPr>
              <w:t>“</w:t>
            </w:r>
            <w:r w:rsidRPr="003575E6">
              <w:rPr>
                <w:rFonts w:cs="Arial"/>
                <w:i/>
                <w:lang w:val="es-ES_tradnl"/>
              </w:rPr>
              <w:t>after consultation with the applicant</w:t>
            </w:r>
            <w:r w:rsidR="009E3412" w:rsidRPr="003575E6">
              <w:rPr>
                <w:rFonts w:cs="Arial"/>
                <w:lang w:val="es-ES_tradnl"/>
              </w:rPr>
              <w:t xml:space="preserve">” </w:t>
            </w:r>
            <w:r w:rsidRPr="003575E6">
              <w:rPr>
                <w:rFonts w:cs="Arial"/>
                <w:lang w:val="es-ES_tradnl"/>
              </w:rPr>
              <w:t>(tras consultarlo con el solicitante) e</w:t>
            </w:r>
            <w:r w:rsidR="009E3412" w:rsidRPr="003575E6">
              <w:rPr>
                <w:rFonts w:cs="Arial"/>
                <w:lang w:val="es-ES_tradnl"/>
              </w:rPr>
              <w:t xml:space="preserve">n </w:t>
            </w:r>
            <w:r w:rsidRPr="003575E6">
              <w:rPr>
                <w:rFonts w:cs="Arial"/>
                <w:lang w:val="es-ES_tradnl"/>
              </w:rPr>
              <w:t xml:space="preserve">el </w:t>
            </w:r>
            <w:r w:rsidR="009E3412" w:rsidRPr="003575E6">
              <w:rPr>
                <w:rFonts w:cs="Arial"/>
                <w:lang w:val="es-ES_tradnl"/>
              </w:rPr>
              <w:t>tercer párrafo</w:t>
            </w:r>
            <w:r w:rsidRPr="003575E6">
              <w:rPr>
                <w:rFonts w:cs="Arial"/>
                <w:lang w:val="es-ES_tradnl"/>
              </w:rPr>
              <w:t>.</w:t>
            </w:r>
            <w:r w:rsidR="005C5BCA" w:rsidRPr="003575E6">
              <w:rPr>
                <w:rFonts w:cs="Arial"/>
                <w:lang w:val="es-ES_tradnl"/>
              </w:rPr>
              <w:t xml:space="preserve"> </w:t>
            </w:r>
          </w:p>
        </w:tc>
      </w:tr>
      <w:tr w:rsidR="003575E6" w:rsidRPr="007E0D61" w:rsidTr="00431767">
        <w:tc>
          <w:tcPr>
            <w:tcW w:w="1431" w:type="dxa"/>
            <w:tcBorders>
              <w:top w:val="single" w:sz="4" w:space="0" w:color="auto"/>
              <w:left w:val="single" w:sz="4" w:space="0" w:color="auto"/>
              <w:bottom w:val="single" w:sz="4" w:space="0" w:color="auto"/>
              <w:right w:val="single" w:sz="4" w:space="0" w:color="auto"/>
            </w:tcBorders>
          </w:tcPr>
          <w:p w:rsidR="005C5BCA" w:rsidRPr="003575E6" w:rsidRDefault="00A80554" w:rsidP="009273A4">
            <w:pPr>
              <w:jc w:val="left"/>
              <w:rPr>
                <w:rFonts w:cs="Arial"/>
              </w:rPr>
            </w:pPr>
            <w:r w:rsidRPr="003575E6">
              <w:rPr>
                <w:rFonts w:cs="Arial"/>
                <w:lang w:val="es-ES_tradnl"/>
              </w:rPr>
              <w:t>Anexos I y II</w:t>
            </w:r>
          </w:p>
        </w:tc>
        <w:tc>
          <w:tcPr>
            <w:tcW w:w="8208" w:type="dxa"/>
            <w:tcBorders>
              <w:top w:val="single" w:sz="4" w:space="0" w:color="auto"/>
              <w:left w:val="single" w:sz="4" w:space="0" w:color="auto"/>
              <w:bottom w:val="single" w:sz="4" w:space="0" w:color="auto"/>
              <w:right w:val="single" w:sz="4" w:space="0" w:color="auto"/>
            </w:tcBorders>
          </w:tcPr>
          <w:p w:rsidR="005C5BCA" w:rsidRPr="003575E6" w:rsidRDefault="00A80554" w:rsidP="009273A4">
            <w:pPr>
              <w:keepNext/>
              <w:keepLines/>
              <w:rPr>
                <w:rFonts w:cs="Arial"/>
                <w:lang w:val="es-ES_tradnl"/>
              </w:rPr>
            </w:pPr>
            <w:r w:rsidRPr="003575E6">
              <w:rPr>
                <w:rFonts w:cs="Arial"/>
                <w:lang w:val="es-ES_tradnl"/>
              </w:rPr>
              <w:t xml:space="preserve">Con objeto de lograr comprender mejor los riesgos, los beneficios, la repercusión en el costo y otros aspectos pertinentes, </w:t>
            </w:r>
            <w:r w:rsidR="00390B78" w:rsidRPr="003575E6">
              <w:rPr>
                <w:rFonts w:cs="Arial"/>
                <w:lang w:val="es-ES_tradnl"/>
              </w:rPr>
              <w:t>se propone invitar</w:t>
            </w:r>
            <w:r w:rsidRPr="003575E6">
              <w:rPr>
                <w:rFonts w:cs="Arial"/>
                <w:lang w:val="es-ES_tradnl"/>
              </w:rPr>
              <w:t xml:space="preserve"> a los miembros de la Unión a present</w:t>
            </w:r>
            <w:r w:rsidR="00390B78" w:rsidRPr="003575E6">
              <w:rPr>
                <w:rFonts w:cs="Arial"/>
                <w:lang w:val="es-ES_tradnl"/>
              </w:rPr>
              <w:t>ar</w:t>
            </w:r>
            <w:r w:rsidRPr="003575E6">
              <w:rPr>
                <w:rFonts w:cs="Arial"/>
                <w:lang w:val="es-ES_tradnl"/>
              </w:rPr>
              <w:t xml:space="preserve"> a los TWP y al TC información acerca del fundamento de su elección del método 1 o el 2.</w:t>
            </w:r>
          </w:p>
        </w:tc>
      </w:tr>
      <w:tr w:rsidR="003575E6" w:rsidRPr="007E0D61" w:rsidTr="00431767">
        <w:tc>
          <w:tcPr>
            <w:tcW w:w="1431" w:type="dxa"/>
          </w:tcPr>
          <w:p w:rsidR="005C5BCA" w:rsidRPr="003575E6" w:rsidRDefault="00D0156C" w:rsidP="000F2D0A">
            <w:pPr>
              <w:jc w:val="left"/>
              <w:rPr>
                <w:rFonts w:cs="Arial"/>
              </w:rPr>
            </w:pPr>
            <w:r w:rsidRPr="003575E6">
              <w:rPr>
                <w:rFonts w:cs="Arial"/>
                <w:lang w:val="es-ES_tradnl"/>
              </w:rPr>
              <w:t xml:space="preserve">Anexo </w:t>
            </w:r>
            <w:r w:rsidR="000F2D0A" w:rsidRPr="003575E6">
              <w:rPr>
                <w:rFonts w:cs="Arial"/>
                <w:lang w:val="es-ES_tradnl"/>
              </w:rPr>
              <w:t>II</w:t>
            </w:r>
          </w:p>
        </w:tc>
        <w:tc>
          <w:tcPr>
            <w:tcW w:w="8208" w:type="dxa"/>
          </w:tcPr>
          <w:p w:rsidR="000F2D0A" w:rsidRPr="003575E6" w:rsidRDefault="00A80554" w:rsidP="00431767">
            <w:pPr>
              <w:keepNext/>
              <w:keepLines/>
              <w:rPr>
                <w:rFonts w:cs="Arial"/>
                <w:lang w:val="es-ES_tradnl"/>
              </w:rPr>
            </w:pPr>
            <w:r w:rsidRPr="003575E6">
              <w:rPr>
                <w:rFonts w:cs="Arial"/>
                <w:lang w:val="es-ES_tradnl"/>
              </w:rPr>
              <w:t xml:space="preserve">Las situaciones A y B deberían combinarse y se debería aclarar que podrían desarrollarse </w:t>
            </w:r>
            <w:r w:rsidR="00A81C00" w:rsidRPr="003575E6">
              <w:rPr>
                <w:rFonts w:cs="Arial"/>
                <w:lang w:val="es-ES_tradnl"/>
              </w:rPr>
              <w:t xml:space="preserve">dos ciclos de cultivo independientes </w:t>
            </w:r>
            <w:r w:rsidRPr="003575E6">
              <w:rPr>
                <w:rFonts w:cs="Arial"/>
                <w:lang w:val="es-ES_tradnl"/>
              </w:rPr>
              <w:t>en un único lugar en diferentes años o en diferentes lugares en el mismo año, según</w:t>
            </w:r>
            <w:r w:rsidR="0076277A" w:rsidRPr="003575E6">
              <w:rPr>
                <w:rFonts w:cs="Arial"/>
                <w:lang w:val="es-ES_tradnl"/>
              </w:rPr>
              <w:t xml:space="preserve"> se indica en</w:t>
            </w:r>
            <w:r w:rsidRPr="003575E6">
              <w:rPr>
                <w:rFonts w:cs="Arial"/>
                <w:lang w:val="es-ES_tradnl"/>
              </w:rPr>
              <w:t xml:space="preserve"> las secciones 1.2 y 1.3 de la </w:t>
            </w:r>
            <w:r w:rsidR="00A81C00" w:rsidRPr="003575E6">
              <w:rPr>
                <w:rFonts w:cs="Arial"/>
                <w:lang w:val="es-ES_tradnl"/>
              </w:rPr>
              <w:t>p</w:t>
            </w:r>
            <w:r w:rsidRPr="003575E6">
              <w:rPr>
                <w:rFonts w:cs="Arial"/>
                <w:lang w:val="es-ES_tradnl"/>
              </w:rPr>
              <w:t>arte I del documento TGP/8.</w:t>
            </w:r>
            <w:r w:rsidR="005C5BCA" w:rsidRPr="003575E6">
              <w:rPr>
                <w:rFonts w:cs="Arial"/>
                <w:lang w:val="es-ES_tradnl"/>
              </w:rPr>
              <w:t xml:space="preserve"> </w:t>
            </w:r>
          </w:p>
          <w:p w:rsidR="005C5BCA" w:rsidRPr="003575E6" w:rsidRDefault="005C5BCA" w:rsidP="00431767">
            <w:pPr>
              <w:keepNext/>
              <w:keepLines/>
              <w:rPr>
                <w:rFonts w:cs="Arial"/>
                <w:lang w:val="es-ES_tradnl"/>
              </w:rPr>
            </w:pPr>
          </w:p>
        </w:tc>
      </w:tr>
      <w:tr w:rsidR="003575E6" w:rsidRPr="007E0D61" w:rsidTr="00431767">
        <w:tc>
          <w:tcPr>
            <w:tcW w:w="1431" w:type="dxa"/>
          </w:tcPr>
          <w:p w:rsidR="005C5BCA" w:rsidRPr="003575E6" w:rsidRDefault="00D0156C" w:rsidP="000F2D0A">
            <w:pPr>
              <w:jc w:val="left"/>
              <w:rPr>
                <w:rFonts w:cs="Arial"/>
              </w:rPr>
            </w:pPr>
            <w:r w:rsidRPr="003575E6">
              <w:rPr>
                <w:rFonts w:cs="Arial"/>
                <w:lang w:val="es-ES_tradnl"/>
              </w:rPr>
              <w:t xml:space="preserve">Anexo </w:t>
            </w:r>
            <w:r w:rsidR="000F2D0A" w:rsidRPr="003575E6">
              <w:rPr>
                <w:rFonts w:cs="Arial"/>
                <w:lang w:val="es-ES_tradnl"/>
              </w:rPr>
              <w:t>IV</w:t>
            </w:r>
          </w:p>
        </w:tc>
        <w:tc>
          <w:tcPr>
            <w:tcW w:w="8208" w:type="dxa"/>
          </w:tcPr>
          <w:p w:rsidR="005C5BCA" w:rsidRPr="003575E6" w:rsidRDefault="0076277A" w:rsidP="009273A4">
            <w:pPr>
              <w:keepNext/>
              <w:keepLines/>
              <w:rPr>
                <w:rFonts w:cs="Arial"/>
                <w:lang w:val="es-ES_tradnl"/>
              </w:rPr>
            </w:pPr>
            <w:r w:rsidRPr="003575E6">
              <w:rPr>
                <w:rFonts w:cs="Arial"/>
                <w:lang w:val="es-ES_tradnl"/>
              </w:rPr>
              <w:t>Debería añadirse en el ejemplo proporcionado la siguiente aclaración: “Si el número de plantas fuera de tipo de la muestra de 100</w:t>
            </w:r>
            <w:r w:rsidR="00094B8A" w:rsidRPr="003575E6">
              <w:rPr>
                <w:rFonts w:cs="Arial"/>
                <w:lang w:val="es-ES_tradnl"/>
              </w:rPr>
              <w:t> </w:t>
            </w:r>
            <w:r w:rsidRPr="003575E6">
              <w:rPr>
                <w:rFonts w:cs="Arial"/>
                <w:lang w:val="es-ES_tradnl"/>
              </w:rPr>
              <w:t>plantas es mayor que 3, se considera que la variedad no es homogénea.”</w:t>
            </w:r>
          </w:p>
        </w:tc>
      </w:tr>
    </w:tbl>
    <w:p w:rsidR="000F2D0A" w:rsidRPr="003575E6" w:rsidRDefault="000F2D0A" w:rsidP="005C5BCA">
      <w:pPr>
        <w:rPr>
          <w:lang w:val="es-ES_tradnl"/>
        </w:rPr>
      </w:pPr>
    </w:p>
    <w:p w:rsidR="000F2D0A" w:rsidRPr="003575E6" w:rsidRDefault="000F2D0A" w:rsidP="005C5BCA">
      <w:pPr>
        <w:rPr>
          <w:lang w:val="es-ES_tradnl"/>
        </w:rPr>
      </w:pPr>
    </w:p>
    <w:bookmarkEnd w:id="8"/>
    <w:p w:rsidR="00F72BB3" w:rsidRPr="003575E6" w:rsidRDefault="0076277A" w:rsidP="00F72BB3">
      <w:pPr>
        <w:pStyle w:val="Heading1"/>
        <w:rPr>
          <w:lang w:val="es-ES_tradnl"/>
        </w:rPr>
      </w:pPr>
      <w:r w:rsidRPr="003575E6">
        <w:rPr>
          <w:lang w:val="es-ES_tradnl"/>
        </w:rPr>
        <w:t>Resumen de los métodos</w:t>
      </w:r>
    </w:p>
    <w:p w:rsidR="000F2D0A" w:rsidRPr="003575E6" w:rsidRDefault="000F2D0A" w:rsidP="005C5BCA">
      <w:pPr>
        <w:rPr>
          <w:rFonts w:cs="Arial"/>
          <w:caps/>
          <w:snapToGrid w:val="0"/>
          <w:lang w:val="es-ES_tradnl"/>
        </w:rPr>
      </w:pPr>
    </w:p>
    <w:p w:rsidR="000F2D0A" w:rsidRPr="003575E6" w:rsidRDefault="008638B2" w:rsidP="005C5BCA">
      <w:pPr>
        <w:rPr>
          <w:szCs w:val="24"/>
          <w:lang w:val="es-ES_tradnl"/>
        </w:rPr>
      </w:pPr>
      <w:r w:rsidRPr="003575E6">
        <w:fldChar w:fldCharType="begin"/>
      </w:r>
      <w:r w:rsidR="005C5BCA" w:rsidRPr="003575E6">
        <w:rPr>
          <w:lang w:val="es-ES_tradnl"/>
        </w:rPr>
        <w:instrText xml:space="preserve"> AUTONUM  </w:instrText>
      </w:r>
      <w:r w:rsidRPr="003575E6">
        <w:fldChar w:fldCharType="end"/>
      </w:r>
      <w:r w:rsidR="005C5BCA" w:rsidRPr="003575E6">
        <w:rPr>
          <w:lang w:val="es-ES_tradnl"/>
        </w:rPr>
        <w:tab/>
      </w:r>
      <w:r w:rsidR="0076277A" w:rsidRPr="003575E6">
        <w:rPr>
          <w:szCs w:val="24"/>
          <w:lang w:val="es-ES_tradnl"/>
        </w:rPr>
        <w:t xml:space="preserve">En los Anexos I a IV del presente documento se resumen diferentes situaciones en las que se combinan </w:t>
      </w:r>
      <w:r w:rsidR="00094B8A" w:rsidRPr="003575E6">
        <w:rPr>
          <w:szCs w:val="24"/>
          <w:lang w:val="es-ES_tradnl"/>
        </w:rPr>
        <w:t xml:space="preserve">diferentes muestras </w:t>
      </w:r>
      <w:r w:rsidR="0076277A" w:rsidRPr="003575E6">
        <w:rPr>
          <w:szCs w:val="24"/>
          <w:lang w:val="es-ES_tradnl"/>
        </w:rPr>
        <w:t>para obtener una evaluación global de la homogeneidad de una variedad de conformidad con las conclusiones del TC</w:t>
      </w:r>
      <w:r w:rsidR="00094B8A" w:rsidRPr="003575E6">
        <w:rPr>
          <w:szCs w:val="24"/>
          <w:lang w:val="es-ES_tradnl"/>
        </w:rPr>
        <w:t>,</w:t>
      </w:r>
      <w:r w:rsidR="0076277A" w:rsidRPr="003575E6">
        <w:rPr>
          <w:szCs w:val="24"/>
          <w:lang w:val="es-ES_tradnl"/>
        </w:rPr>
        <w:t xml:space="preserve"> en su quincuagésima sesión</w:t>
      </w:r>
      <w:r w:rsidR="00094B8A" w:rsidRPr="003575E6">
        <w:rPr>
          <w:szCs w:val="24"/>
          <w:lang w:val="es-ES_tradnl"/>
        </w:rPr>
        <w:t>,</w:t>
      </w:r>
      <w:r w:rsidR="0076277A" w:rsidRPr="003575E6">
        <w:rPr>
          <w:szCs w:val="24"/>
          <w:lang w:val="es-ES_tradnl"/>
        </w:rPr>
        <w:t xml:space="preserve"> basadas en las propuestas formuladas por los TWP en sus sesiones de 2014, conforme se indica a continuación:</w:t>
      </w:r>
    </w:p>
    <w:p w:rsidR="005C5BCA" w:rsidRPr="003575E6" w:rsidRDefault="005C5BCA" w:rsidP="005C5BCA">
      <w:pPr>
        <w:jc w:val="left"/>
        <w:rPr>
          <w:szCs w:val="24"/>
          <w:lang w:val="es-ES_tradnl"/>
        </w:rPr>
      </w:pPr>
    </w:p>
    <w:tbl>
      <w:tblPr>
        <w:tblStyle w:val="TableGrid"/>
        <w:tblW w:w="0" w:type="auto"/>
        <w:jc w:val="center"/>
        <w:tblLayout w:type="fixed"/>
        <w:tblLook w:val="04A0" w:firstRow="1" w:lastRow="0" w:firstColumn="1" w:lastColumn="0" w:noHBand="0" w:noVBand="1"/>
      </w:tblPr>
      <w:tblGrid>
        <w:gridCol w:w="6664"/>
      </w:tblGrid>
      <w:tr w:rsidR="005C5BCA" w:rsidRPr="007E0D61" w:rsidTr="001C1042">
        <w:trPr>
          <w:jc w:val="center"/>
        </w:trPr>
        <w:tc>
          <w:tcPr>
            <w:tcW w:w="6664" w:type="dxa"/>
            <w:shd w:val="clear" w:color="auto" w:fill="D9D9D9" w:themeFill="background1" w:themeFillShade="D9"/>
          </w:tcPr>
          <w:p w:rsidR="000F2D0A" w:rsidRPr="003575E6" w:rsidRDefault="00C326BF" w:rsidP="00431767">
            <w:pPr>
              <w:jc w:val="center"/>
              <w:rPr>
                <w:rFonts w:cs="Arial"/>
                <w:sz w:val="18"/>
                <w:szCs w:val="22"/>
                <w:u w:val="single"/>
                <w:lang w:val="es-ES_tradnl"/>
              </w:rPr>
            </w:pPr>
            <w:r w:rsidRPr="003575E6">
              <w:rPr>
                <w:rFonts w:cs="Arial"/>
                <w:sz w:val="18"/>
                <w:szCs w:val="22"/>
                <w:u w:val="single"/>
                <w:lang w:val="es-ES_tradnl"/>
              </w:rPr>
              <w:t>Nota sobre las revisiones de los Anexos I a IV</w:t>
            </w:r>
          </w:p>
          <w:p w:rsidR="000F2D0A" w:rsidRPr="003575E6" w:rsidRDefault="000F2D0A" w:rsidP="00431767">
            <w:pPr>
              <w:rPr>
                <w:rFonts w:cs="Arial"/>
                <w:sz w:val="18"/>
                <w:szCs w:val="22"/>
                <w:u w:val="single"/>
                <w:lang w:val="es-ES_tradnl"/>
              </w:rPr>
            </w:pPr>
          </w:p>
          <w:p w:rsidR="000F2D0A" w:rsidRPr="003575E6" w:rsidRDefault="00C326BF" w:rsidP="00431767">
            <w:pPr>
              <w:rPr>
                <w:rFonts w:cs="Arial"/>
                <w:sz w:val="18"/>
                <w:szCs w:val="22"/>
                <w:lang w:val="es-ES_tradnl"/>
              </w:rPr>
            </w:pPr>
            <w:r w:rsidRPr="003575E6">
              <w:rPr>
                <w:rFonts w:cs="Arial"/>
                <w:sz w:val="18"/>
                <w:szCs w:val="22"/>
                <w:lang w:val="es-ES_tradnl"/>
              </w:rPr>
              <w:t xml:space="preserve">Se indica con </w:t>
            </w:r>
            <w:r w:rsidRPr="003575E6">
              <w:rPr>
                <w:rFonts w:cs="Arial"/>
                <w:b/>
                <w:strike/>
                <w:sz w:val="18"/>
                <w:szCs w:val="22"/>
                <w:lang w:val="es-ES_tradnl"/>
              </w:rPr>
              <w:t>tachado</w:t>
            </w:r>
            <w:r w:rsidRPr="003575E6">
              <w:rPr>
                <w:rFonts w:cs="Arial"/>
                <w:b/>
                <w:sz w:val="18"/>
                <w:szCs w:val="22"/>
                <w:lang w:val="es-ES_tradnl"/>
              </w:rPr>
              <w:t xml:space="preserve"> (sombreado)</w:t>
            </w:r>
            <w:r w:rsidRPr="003575E6">
              <w:rPr>
                <w:rFonts w:cs="Arial"/>
                <w:sz w:val="18"/>
                <w:szCs w:val="22"/>
                <w:lang w:val="es-ES_tradnl"/>
              </w:rPr>
              <w:t xml:space="preserve"> el texto que se propone suprimir según las modificaciones propuestas por los TWP en sus sesiones de 2014.</w:t>
            </w:r>
          </w:p>
          <w:p w:rsidR="000F2D0A" w:rsidRPr="003575E6" w:rsidRDefault="000F2D0A" w:rsidP="00431767">
            <w:pPr>
              <w:rPr>
                <w:rFonts w:cs="Arial"/>
                <w:sz w:val="18"/>
                <w:szCs w:val="22"/>
                <w:lang w:val="es-ES_tradnl"/>
              </w:rPr>
            </w:pPr>
          </w:p>
          <w:p w:rsidR="005C5BCA" w:rsidRPr="003575E6" w:rsidRDefault="00C326BF" w:rsidP="009273A4">
            <w:pPr>
              <w:rPr>
                <w:rFonts w:cs="Arial"/>
                <w:sz w:val="18"/>
                <w:szCs w:val="22"/>
                <w:lang w:val="es-ES_tradnl"/>
              </w:rPr>
            </w:pPr>
            <w:r w:rsidRPr="003575E6">
              <w:rPr>
                <w:rFonts w:cs="Arial"/>
                <w:sz w:val="18"/>
                <w:szCs w:val="22"/>
                <w:lang w:val="es-ES_tradnl"/>
              </w:rPr>
              <w:t xml:space="preserve">Se indica con </w:t>
            </w:r>
            <w:r w:rsidRPr="003575E6">
              <w:rPr>
                <w:rFonts w:cs="Arial"/>
                <w:b/>
                <w:sz w:val="18"/>
                <w:szCs w:val="22"/>
                <w:u w:val="single"/>
                <w:lang w:val="es-ES_tradnl"/>
              </w:rPr>
              <w:t>subrayado</w:t>
            </w:r>
            <w:r w:rsidRPr="003575E6">
              <w:rPr>
                <w:rFonts w:cs="Arial"/>
                <w:b/>
                <w:sz w:val="18"/>
                <w:szCs w:val="22"/>
                <w:lang w:val="es-ES_tradnl"/>
              </w:rPr>
              <w:t xml:space="preserve"> (sombreado)</w:t>
            </w:r>
            <w:r w:rsidRPr="003575E6">
              <w:rPr>
                <w:rFonts w:cs="Arial"/>
                <w:sz w:val="18"/>
                <w:szCs w:val="22"/>
                <w:lang w:val="es-ES_tradnl"/>
              </w:rPr>
              <w:t xml:space="preserve"> el texto que se propone añadir según las modificaciones propuestas por los TWP en sus sesiones de 2014.</w:t>
            </w:r>
          </w:p>
        </w:tc>
      </w:tr>
    </w:tbl>
    <w:p w:rsidR="000F2D0A" w:rsidRPr="003575E6" w:rsidRDefault="000F2D0A" w:rsidP="005C5BCA">
      <w:pPr>
        <w:snapToGrid w:val="0"/>
        <w:jc w:val="left"/>
        <w:rPr>
          <w:szCs w:val="24"/>
          <w:lang w:val="es-ES_tradnl"/>
        </w:rPr>
      </w:pPr>
    </w:p>
    <w:p w:rsidR="000F2D0A" w:rsidRPr="003575E6" w:rsidRDefault="001C1042" w:rsidP="000F2D0A">
      <w:pPr>
        <w:autoSpaceDE w:val="0"/>
        <w:autoSpaceDN w:val="0"/>
        <w:adjustRightInd w:val="0"/>
        <w:snapToGrid w:val="0"/>
        <w:rPr>
          <w:i/>
          <w:szCs w:val="24"/>
          <w:lang w:val="es-ES"/>
        </w:rPr>
      </w:pPr>
      <w:r>
        <w:rPr>
          <w:i/>
          <w:szCs w:val="24"/>
          <w:lang w:val="es-ES_tradnl"/>
        </w:rPr>
        <w:t xml:space="preserve">Anexo I: Situación A: </w:t>
      </w:r>
      <w:r w:rsidR="000F2D0A" w:rsidRPr="003575E6">
        <w:rPr>
          <w:i/>
          <w:szCs w:val="24"/>
          <w:lang w:val="es-ES_tradnl"/>
        </w:rPr>
        <w:t>Dos ciclos de cultivo en un solo lugar</w:t>
      </w:r>
    </w:p>
    <w:p w:rsidR="000F2D0A" w:rsidRPr="003575E6" w:rsidRDefault="000F2D0A" w:rsidP="005C5BCA">
      <w:pPr>
        <w:autoSpaceDE w:val="0"/>
        <w:autoSpaceDN w:val="0"/>
        <w:adjustRightInd w:val="0"/>
        <w:snapToGrid w:val="0"/>
        <w:ind w:left="567"/>
        <w:rPr>
          <w:szCs w:val="24"/>
          <w:lang w:val="es-ES"/>
        </w:rPr>
      </w:pPr>
    </w:p>
    <w:p w:rsidR="000F2D0A" w:rsidRPr="003575E6" w:rsidRDefault="001C1042" w:rsidP="000F2D0A">
      <w:pPr>
        <w:autoSpaceDE w:val="0"/>
        <w:autoSpaceDN w:val="0"/>
        <w:adjustRightInd w:val="0"/>
        <w:snapToGrid w:val="0"/>
        <w:ind w:left="567" w:firstLine="273"/>
        <w:rPr>
          <w:szCs w:val="24"/>
          <w:lang w:val="es-ES"/>
        </w:rPr>
      </w:pPr>
      <w:r>
        <w:rPr>
          <w:szCs w:val="24"/>
          <w:lang w:val="es-ES_tradnl"/>
        </w:rPr>
        <w:t xml:space="preserve">Método 1: </w:t>
      </w:r>
      <w:r w:rsidR="000F2D0A" w:rsidRPr="003575E6">
        <w:rPr>
          <w:szCs w:val="24"/>
          <w:lang w:val="es-ES_tradnl"/>
        </w:rPr>
        <w:t>Tercer ciclo de cultivo en el caso de resultados contradictorios</w:t>
      </w:r>
      <w:r w:rsidR="005C5BCA" w:rsidRPr="003575E6">
        <w:rPr>
          <w:szCs w:val="24"/>
          <w:lang w:val="es-ES"/>
        </w:rPr>
        <w:t xml:space="preserve"> </w:t>
      </w:r>
    </w:p>
    <w:p w:rsidR="000F2D0A" w:rsidRPr="003575E6" w:rsidRDefault="001C1042" w:rsidP="000F2D0A">
      <w:pPr>
        <w:autoSpaceDE w:val="0"/>
        <w:autoSpaceDN w:val="0"/>
        <w:adjustRightInd w:val="0"/>
        <w:snapToGrid w:val="0"/>
        <w:ind w:left="567" w:firstLine="273"/>
        <w:rPr>
          <w:szCs w:val="24"/>
          <w:lang w:val="es-ES"/>
        </w:rPr>
      </w:pPr>
      <w:r>
        <w:rPr>
          <w:szCs w:val="24"/>
          <w:lang w:val="es-ES_tradnl"/>
        </w:rPr>
        <w:t xml:space="preserve">Método 2: </w:t>
      </w:r>
      <w:r w:rsidR="000F2D0A" w:rsidRPr="003575E6">
        <w:rPr>
          <w:szCs w:val="24"/>
          <w:lang w:val="es-ES_tradnl"/>
        </w:rPr>
        <w:t>Combinar los resultados de dos ciclos de cultivo</w:t>
      </w:r>
    </w:p>
    <w:p w:rsidR="000F2D0A" w:rsidRPr="003575E6" w:rsidRDefault="000F2D0A" w:rsidP="005C5BCA">
      <w:pPr>
        <w:jc w:val="left"/>
        <w:rPr>
          <w:szCs w:val="24"/>
          <w:lang w:val="es-ES"/>
        </w:rPr>
      </w:pPr>
    </w:p>
    <w:p w:rsidR="000F2D0A" w:rsidRPr="003575E6" w:rsidRDefault="001C1042" w:rsidP="000F2D0A">
      <w:pPr>
        <w:snapToGrid w:val="0"/>
        <w:jc w:val="left"/>
        <w:rPr>
          <w:i/>
          <w:szCs w:val="24"/>
          <w:lang w:val="es-ES"/>
        </w:rPr>
      </w:pPr>
      <w:r>
        <w:rPr>
          <w:i/>
          <w:szCs w:val="24"/>
          <w:lang w:val="es-ES_tradnl"/>
        </w:rPr>
        <w:t xml:space="preserve">Anexo II: Situación B: </w:t>
      </w:r>
      <w:r w:rsidR="000F2D0A" w:rsidRPr="003575E6">
        <w:rPr>
          <w:i/>
          <w:szCs w:val="24"/>
          <w:lang w:val="es-ES_tradnl"/>
        </w:rPr>
        <w:t>Dos lugares de cultivo en el mismo año</w:t>
      </w:r>
      <w:r w:rsidR="005C5BCA" w:rsidRPr="003575E6">
        <w:rPr>
          <w:i/>
          <w:szCs w:val="24"/>
          <w:lang w:val="es-ES"/>
        </w:rPr>
        <w:t xml:space="preserve"> </w:t>
      </w:r>
    </w:p>
    <w:p w:rsidR="000F2D0A" w:rsidRPr="003575E6" w:rsidRDefault="000F2D0A" w:rsidP="005C5BCA">
      <w:pPr>
        <w:snapToGrid w:val="0"/>
        <w:ind w:left="567"/>
        <w:jc w:val="left"/>
        <w:rPr>
          <w:lang w:val="es-ES"/>
        </w:rPr>
      </w:pPr>
    </w:p>
    <w:p w:rsidR="000F2D0A" w:rsidRPr="003575E6" w:rsidRDefault="001C1042" w:rsidP="000F2D0A">
      <w:pPr>
        <w:snapToGrid w:val="0"/>
        <w:ind w:left="567" w:firstLine="273"/>
        <w:rPr>
          <w:szCs w:val="24"/>
          <w:lang w:val="es-ES"/>
        </w:rPr>
      </w:pPr>
      <w:r>
        <w:rPr>
          <w:szCs w:val="24"/>
          <w:lang w:val="es-ES_tradnl"/>
        </w:rPr>
        <w:t xml:space="preserve">Método 1: </w:t>
      </w:r>
      <w:r w:rsidR="000F2D0A" w:rsidRPr="003575E6">
        <w:rPr>
          <w:szCs w:val="24"/>
          <w:lang w:val="es-ES_tradnl"/>
        </w:rPr>
        <w:t>Tercer ciclo de cultivo en el caso de resultados contradictorios</w:t>
      </w:r>
      <w:r w:rsidR="005C5BCA" w:rsidRPr="003575E6">
        <w:rPr>
          <w:szCs w:val="24"/>
          <w:lang w:val="es-ES"/>
        </w:rPr>
        <w:t xml:space="preserve"> </w:t>
      </w:r>
    </w:p>
    <w:p w:rsidR="000F2D0A" w:rsidRPr="003575E6" w:rsidRDefault="001C1042" w:rsidP="000F2D0A">
      <w:pPr>
        <w:snapToGrid w:val="0"/>
        <w:ind w:left="567" w:firstLine="273"/>
        <w:rPr>
          <w:szCs w:val="24"/>
          <w:lang w:val="es-ES"/>
        </w:rPr>
      </w:pPr>
      <w:r>
        <w:rPr>
          <w:szCs w:val="24"/>
          <w:lang w:val="es-ES_tradnl"/>
        </w:rPr>
        <w:t xml:space="preserve">Método 2: </w:t>
      </w:r>
      <w:r w:rsidR="000F2D0A" w:rsidRPr="003575E6">
        <w:rPr>
          <w:szCs w:val="24"/>
          <w:lang w:val="es-ES_tradnl"/>
        </w:rPr>
        <w:t>Combinar los resultados de dos lugares</w:t>
      </w:r>
      <w:r w:rsidR="005C5BCA" w:rsidRPr="003575E6">
        <w:rPr>
          <w:szCs w:val="24"/>
          <w:lang w:val="es-ES"/>
        </w:rPr>
        <w:t xml:space="preserve"> </w:t>
      </w:r>
    </w:p>
    <w:p w:rsidR="000F2D0A" w:rsidRPr="003575E6" w:rsidRDefault="000F2D0A" w:rsidP="005C5BCA">
      <w:pPr>
        <w:autoSpaceDE w:val="0"/>
        <w:autoSpaceDN w:val="0"/>
        <w:adjustRightInd w:val="0"/>
        <w:snapToGrid w:val="0"/>
        <w:ind w:left="567"/>
        <w:rPr>
          <w:szCs w:val="24"/>
          <w:lang w:val="es-ES"/>
        </w:rPr>
      </w:pPr>
    </w:p>
    <w:p w:rsidR="000F2D0A" w:rsidRPr="003575E6" w:rsidRDefault="000F2D0A" w:rsidP="000F2D0A">
      <w:pPr>
        <w:snapToGrid w:val="0"/>
        <w:jc w:val="left"/>
        <w:rPr>
          <w:i/>
          <w:strike/>
          <w:lang w:val="es-ES"/>
        </w:rPr>
      </w:pPr>
      <w:r w:rsidRPr="003575E6">
        <w:rPr>
          <w:i/>
          <w:strike/>
          <w:highlight w:val="lightGray"/>
          <w:lang w:val="es-ES_tradnl"/>
        </w:rPr>
        <w:t>Anexo III:  Situación C:  Más de una muestra o submuestra para la observación de un carácter en el mismo ciclo de cultivo</w:t>
      </w:r>
    </w:p>
    <w:p w:rsidR="000F2D0A" w:rsidRPr="003575E6" w:rsidRDefault="000F2D0A" w:rsidP="005C5BCA">
      <w:pPr>
        <w:snapToGrid w:val="0"/>
        <w:ind w:left="567"/>
        <w:jc w:val="left"/>
        <w:rPr>
          <w:i/>
          <w:strike/>
          <w:lang w:val="es-ES"/>
        </w:rPr>
      </w:pPr>
    </w:p>
    <w:p w:rsidR="000F2D0A" w:rsidRPr="003575E6" w:rsidRDefault="00C326BF" w:rsidP="005C5BCA">
      <w:pPr>
        <w:snapToGrid w:val="0"/>
        <w:ind w:left="567" w:firstLine="273"/>
        <w:jc w:val="left"/>
        <w:rPr>
          <w:lang w:val="es-ES_tradnl"/>
        </w:rPr>
      </w:pPr>
      <w:r w:rsidRPr="003575E6">
        <w:rPr>
          <w:strike/>
          <w:highlight w:val="lightGray"/>
          <w:lang w:val="es-ES_tradnl"/>
        </w:rPr>
        <w:t>Método:</w:t>
      </w:r>
      <w:r w:rsidR="005C5BCA" w:rsidRPr="003575E6">
        <w:rPr>
          <w:strike/>
          <w:highlight w:val="lightGray"/>
          <w:lang w:val="es-ES_tradnl"/>
        </w:rPr>
        <w:t xml:space="preserve">  </w:t>
      </w:r>
      <w:r w:rsidRPr="003575E6">
        <w:rPr>
          <w:strike/>
          <w:highlight w:val="lightGray"/>
          <w:lang w:val="es-ES_tradnl"/>
        </w:rPr>
        <w:t xml:space="preserve">Ciclo de cultivo adicional en el caso de resultados contradictorios </w:t>
      </w:r>
      <w:r w:rsidRPr="003575E6">
        <w:rPr>
          <w:highlight w:val="lightGray"/>
          <w:lang w:val="es-ES_tradnl"/>
        </w:rPr>
        <w:t>(suprímase)</w:t>
      </w:r>
    </w:p>
    <w:p w:rsidR="000F2D0A" w:rsidRPr="003575E6" w:rsidRDefault="000F2D0A" w:rsidP="005C5BCA">
      <w:pPr>
        <w:autoSpaceDE w:val="0"/>
        <w:autoSpaceDN w:val="0"/>
        <w:adjustRightInd w:val="0"/>
        <w:snapToGrid w:val="0"/>
        <w:ind w:left="567"/>
        <w:rPr>
          <w:szCs w:val="24"/>
          <w:lang w:val="es-ES_tradnl"/>
        </w:rPr>
      </w:pPr>
    </w:p>
    <w:p w:rsidR="001C1042" w:rsidRDefault="001C1042">
      <w:pPr>
        <w:jc w:val="left"/>
        <w:rPr>
          <w:i/>
          <w:szCs w:val="24"/>
          <w:lang w:val="es-ES_tradnl"/>
        </w:rPr>
      </w:pPr>
      <w:r>
        <w:rPr>
          <w:i/>
          <w:szCs w:val="24"/>
          <w:lang w:val="es-ES_tradnl"/>
        </w:rPr>
        <w:br w:type="page"/>
      </w:r>
    </w:p>
    <w:p w:rsidR="000F2D0A" w:rsidRPr="003575E6" w:rsidRDefault="001C1042" w:rsidP="000F2D0A">
      <w:pPr>
        <w:snapToGrid w:val="0"/>
        <w:jc w:val="left"/>
        <w:rPr>
          <w:i/>
          <w:szCs w:val="24"/>
          <w:lang w:val="es-ES"/>
        </w:rPr>
      </w:pPr>
      <w:r>
        <w:rPr>
          <w:i/>
          <w:szCs w:val="24"/>
          <w:lang w:val="es-ES_tradnl"/>
        </w:rPr>
        <w:lastRenderedPageBreak/>
        <w:t xml:space="preserve">Anexo IV: Situación D: </w:t>
      </w:r>
      <w:r w:rsidR="000F2D0A" w:rsidRPr="003575E6">
        <w:rPr>
          <w:i/>
          <w:szCs w:val="24"/>
          <w:lang w:val="es-ES_tradnl"/>
        </w:rPr>
        <w:t>Evaluación de submuestras en un único examen o ensayo</w:t>
      </w:r>
      <w:r w:rsidR="005C5BCA" w:rsidRPr="003575E6">
        <w:rPr>
          <w:i/>
          <w:szCs w:val="24"/>
          <w:lang w:val="es-ES"/>
        </w:rPr>
        <w:t xml:space="preserve"> </w:t>
      </w:r>
    </w:p>
    <w:p w:rsidR="000F2D0A" w:rsidRPr="003575E6" w:rsidRDefault="000F2D0A" w:rsidP="005C5BCA">
      <w:pPr>
        <w:snapToGrid w:val="0"/>
        <w:ind w:left="567"/>
        <w:jc w:val="left"/>
        <w:rPr>
          <w:i/>
          <w:szCs w:val="24"/>
          <w:lang w:val="es-ES"/>
        </w:rPr>
      </w:pPr>
    </w:p>
    <w:p w:rsidR="000F2D0A" w:rsidRPr="003575E6" w:rsidRDefault="000F2D0A" w:rsidP="000F2D0A">
      <w:pPr>
        <w:snapToGrid w:val="0"/>
        <w:ind w:left="567" w:firstLine="273"/>
        <w:jc w:val="left"/>
        <w:rPr>
          <w:i/>
          <w:szCs w:val="24"/>
          <w:lang w:val="es-ES"/>
        </w:rPr>
      </w:pPr>
      <w:r w:rsidRPr="003575E6">
        <w:rPr>
          <w:szCs w:val="24"/>
          <w:lang w:val="es-ES_tradnl"/>
        </w:rPr>
        <w:t>Método</w:t>
      </w:r>
      <w:r w:rsidRPr="003575E6">
        <w:rPr>
          <w:i/>
          <w:szCs w:val="24"/>
          <w:lang w:val="es-ES_tradnl"/>
        </w:rPr>
        <w:t xml:space="preserve">: </w:t>
      </w:r>
      <w:r w:rsidRPr="003575E6">
        <w:rPr>
          <w:szCs w:val="24"/>
          <w:lang w:val="es-ES_tradnl"/>
        </w:rPr>
        <w:t>Submuestra como primera etapa de la evaluación</w:t>
      </w:r>
      <w:r w:rsidR="005C5BCA" w:rsidRPr="003575E6">
        <w:rPr>
          <w:szCs w:val="24"/>
          <w:lang w:val="es-ES"/>
        </w:rPr>
        <w:t xml:space="preserve"> </w:t>
      </w:r>
    </w:p>
    <w:p w:rsidR="000F2D0A" w:rsidRPr="003575E6" w:rsidRDefault="000F2D0A" w:rsidP="005C5BCA">
      <w:pPr>
        <w:snapToGrid w:val="0"/>
        <w:jc w:val="left"/>
        <w:rPr>
          <w:szCs w:val="24"/>
          <w:lang w:val="es-ES"/>
        </w:rPr>
      </w:pPr>
    </w:p>
    <w:p w:rsidR="000F2D0A" w:rsidRPr="003575E6" w:rsidRDefault="008638B2" w:rsidP="000F2D0A">
      <w:pPr>
        <w:rPr>
          <w:lang w:val="es-ES"/>
        </w:rPr>
      </w:pPr>
      <w:r w:rsidRPr="003575E6">
        <w:fldChar w:fldCharType="begin"/>
      </w:r>
      <w:r w:rsidR="005C5BCA" w:rsidRPr="003575E6">
        <w:rPr>
          <w:lang w:val="es-ES"/>
        </w:rPr>
        <w:instrText xml:space="preserve"> AUTONUM  </w:instrText>
      </w:r>
      <w:r w:rsidRPr="003575E6">
        <w:fldChar w:fldCharType="end"/>
      </w:r>
      <w:r w:rsidR="005C5BCA" w:rsidRPr="003575E6">
        <w:rPr>
          <w:lang w:val="es-ES"/>
        </w:rPr>
        <w:tab/>
      </w:r>
      <w:r w:rsidR="000F2D0A" w:rsidRPr="003575E6">
        <w:rPr>
          <w:lang w:val="es-ES_tradnl"/>
        </w:rPr>
        <w:t>El resumen de los Anexos I a IV atañe únicamente a situaciones en que más de una muestra, o una submuestra, corresponden al examen del mismo carácter.</w:t>
      </w:r>
      <w:r w:rsidR="005C5BCA" w:rsidRPr="003575E6">
        <w:rPr>
          <w:lang w:val="es-ES"/>
        </w:rPr>
        <w:t xml:space="preserve">  </w:t>
      </w:r>
      <w:r w:rsidR="000F2D0A" w:rsidRPr="003575E6">
        <w:rPr>
          <w:lang w:val="es-ES_tradnl"/>
        </w:rPr>
        <w:t>En el caso de diferentes muestras o submuestras (por ejemplo, un ensayo especial), para examinar un carácter diferente no se exige combinar los resultados, ya que una variedad debe ser homogénea para todos los caracteres pertinentes.</w:t>
      </w:r>
    </w:p>
    <w:p w:rsidR="000F2D0A" w:rsidRPr="003575E6" w:rsidRDefault="000F2D0A" w:rsidP="005C5BCA">
      <w:pPr>
        <w:jc w:val="left"/>
        <w:rPr>
          <w:szCs w:val="24"/>
          <w:lang w:val="es-ES"/>
        </w:rPr>
      </w:pPr>
    </w:p>
    <w:p w:rsidR="000F2D0A" w:rsidRPr="003575E6" w:rsidRDefault="008638B2" w:rsidP="005C5BCA">
      <w:pPr>
        <w:jc w:val="left"/>
        <w:rPr>
          <w:szCs w:val="24"/>
          <w:lang w:val="es-ES_tradnl"/>
        </w:rPr>
      </w:pPr>
      <w:r w:rsidRPr="003575E6">
        <w:rPr>
          <w:szCs w:val="24"/>
        </w:rPr>
        <w:fldChar w:fldCharType="begin"/>
      </w:r>
      <w:r w:rsidR="005C5BCA" w:rsidRPr="003575E6">
        <w:rPr>
          <w:szCs w:val="24"/>
          <w:lang w:val="es-ES_tradnl"/>
        </w:rPr>
        <w:instrText xml:space="preserve"> AUTONUM  </w:instrText>
      </w:r>
      <w:r w:rsidRPr="003575E6">
        <w:rPr>
          <w:szCs w:val="24"/>
        </w:rPr>
        <w:fldChar w:fldCharType="end"/>
      </w:r>
      <w:r w:rsidR="005C5BCA" w:rsidRPr="003575E6">
        <w:rPr>
          <w:szCs w:val="24"/>
          <w:lang w:val="es-ES_tradnl"/>
        </w:rPr>
        <w:tab/>
      </w:r>
      <w:r w:rsidR="00C417F4" w:rsidRPr="003575E6">
        <w:rPr>
          <w:szCs w:val="24"/>
          <w:lang w:val="es-ES_tradnl"/>
        </w:rPr>
        <w:t xml:space="preserve">En el Anexo V del presente documento figura un memorando proporcionado por los expertos de Alemania sobre </w:t>
      </w:r>
      <w:r w:rsidR="00094B8A" w:rsidRPr="003575E6">
        <w:rPr>
          <w:szCs w:val="24"/>
          <w:lang w:val="es-ES_tradnl"/>
        </w:rPr>
        <w:t>la aplicación</w:t>
      </w:r>
      <w:r w:rsidR="00C417F4" w:rsidRPr="003575E6">
        <w:rPr>
          <w:lang w:val="es-ES_tradnl"/>
        </w:rPr>
        <w:t xml:space="preserve"> de un método </w:t>
      </w:r>
      <w:r w:rsidR="00673736" w:rsidRPr="003575E6">
        <w:rPr>
          <w:lang w:val="es-ES_tradnl"/>
        </w:rPr>
        <w:t>por etapas</w:t>
      </w:r>
      <w:r w:rsidR="00C417F4" w:rsidRPr="003575E6">
        <w:rPr>
          <w:lang w:val="es-ES_tradnl"/>
        </w:rPr>
        <w:t xml:space="preserve"> en el </w:t>
      </w:r>
      <w:r w:rsidR="00417CE3" w:rsidRPr="003575E6">
        <w:rPr>
          <w:lang w:val="es-ES_tradnl"/>
        </w:rPr>
        <w:t>procedimiento basado en las plantas fuera de tipo</w:t>
      </w:r>
      <w:r w:rsidR="00C417F4" w:rsidRPr="003575E6">
        <w:rPr>
          <w:lang w:val="es-ES_tradnl"/>
        </w:rPr>
        <w:t xml:space="preserve"> dentro del mismo ciclo de cultivo en la situación D.</w:t>
      </w:r>
    </w:p>
    <w:p w:rsidR="000F2D0A" w:rsidRPr="003575E6" w:rsidRDefault="000F2D0A" w:rsidP="005C5BCA">
      <w:pPr>
        <w:jc w:val="left"/>
        <w:rPr>
          <w:szCs w:val="24"/>
          <w:lang w:val="es-ES_tradnl"/>
        </w:rPr>
      </w:pPr>
    </w:p>
    <w:p w:rsidR="000F2D0A" w:rsidRPr="003575E6" w:rsidRDefault="008638B2" w:rsidP="000F2D0A">
      <w:pPr>
        <w:pStyle w:val="DecisionParagraphs"/>
        <w:tabs>
          <w:tab w:val="num" w:pos="5387"/>
        </w:tabs>
        <w:rPr>
          <w:lang w:val="es-ES"/>
        </w:rPr>
      </w:pPr>
      <w:r w:rsidRPr="003575E6">
        <w:fldChar w:fldCharType="begin"/>
      </w:r>
      <w:r w:rsidR="005C5BCA" w:rsidRPr="003575E6">
        <w:rPr>
          <w:lang w:val="es-ES"/>
        </w:rPr>
        <w:instrText xml:space="preserve"> AUTONUM  </w:instrText>
      </w:r>
      <w:r w:rsidRPr="003575E6">
        <w:fldChar w:fldCharType="end"/>
      </w:r>
      <w:r w:rsidR="005C5BCA" w:rsidRPr="003575E6">
        <w:rPr>
          <w:lang w:val="es-ES"/>
        </w:rPr>
        <w:tab/>
      </w:r>
      <w:r w:rsidR="000F2D0A" w:rsidRPr="003575E6">
        <w:rPr>
          <w:lang w:val="es-ES_tradnl"/>
        </w:rPr>
        <w:t xml:space="preserve">Se invita al TC a </w:t>
      </w:r>
      <w:r w:rsidR="00B70F0E" w:rsidRPr="003575E6">
        <w:rPr>
          <w:lang w:val="es-ES_tradnl"/>
        </w:rPr>
        <w:t>consider</w:t>
      </w:r>
      <w:r w:rsidR="000F2D0A" w:rsidRPr="003575E6">
        <w:rPr>
          <w:lang w:val="es-ES_tradnl"/>
        </w:rPr>
        <w:t>ar:</w:t>
      </w:r>
      <w:r w:rsidR="005C5BCA" w:rsidRPr="003575E6">
        <w:rPr>
          <w:lang w:val="es-ES"/>
        </w:rPr>
        <w:t xml:space="preserve"> </w:t>
      </w:r>
    </w:p>
    <w:p w:rsidR="000F2D0A" w:rsidRPr="003575E6" w:rsidRDefault="000F2D0A" w:rsidP="005C5BCA">
      <w:pPr>
        <w:pStyle w:val="DecisionParagraphs"/>
        <w:tabs>
          <w:tab w:val="num" w:pos="5387"/>
        </w:tabs>
        <w:rPr>
          <w:lang w:val="es-ES"/>
        </w:rPr>
      </w:pPr>
    </w:p>
    <w:p w:rsidR="000F2D0A" w:rsidRPr="003575E6" w:rsidRDefault="00051763" w:rsidP="00051763">
      <w:pPr>
        <w:pStyle w:val="DecisionParagraphs"/>
        <w:numPr>
          <w:ilvl w:val="0"/>
          <w:numId w:val="2"/>
        </w:numPr>
        <w:tabs>
          <w:tab w:val="clear" w:pos="5387"/>
          <w:tab w:val="left" w:pos="5954"/>
        </w:tabs>
        <w:ind w:left="4820" w:firstLine="567"/>
        <w:rPr>
          <w:lang w:val="es-ES_tradnl"/>
        </w:rPr>
      </w:pPr>
      <w:r w:rsidRPr="003575E6">
        <w:rPr>
          <w:szCs w:val="24"/>
          <w:lang w:val="es-ES_tradnl"/>
        </w:rPr>
        <w:t xml:space="preserve">las </w:t>
      </w:r>
      <w:r w:rsidRPr="001C1042">
        <w:rPr>
          <w:szCs w:val="24"/>
          <w:lang w:val="es-ES_tradnl"/>
        </w:rPr>
        <w:t>propuestas</w:t>
      </w:r>
      <w:r w:rsidRPr="003575E6">
        <w:rPr>
          <w:szCs w:val="24"/>
          <w:lang w:val="es-ES_tradnl"/>
        </w:rPr>
        <w:t xml:space="preserve"> formuladas por los TWP en sus sesiones de 2014 y por el TC-EDC en su reunión de enero de 2015 relativas al proyecto de orientación para</w:t>
      </w:r>
      <w:r w:rsidRPr="003575E6">
        <w:rPr>
          <w:lang w:val="es-ES_tradnl"/>
        </w:rPr>
        <w:t xml:space="preserve"> inclusión en una futura revisión del documento TGP/10,</w:t>
      </w:r>
      <w:r w:rsidRPr="003575E6">
        <w:rPr>
          <w:szCs w:val="24"/>
          <w:lang w:val="es-ES_tradnl"/>
        </w:rPr>
        <w:t xml:space="preserve"> según consta en los Anexos I a IV del presente documento;</w:t>
      </w:r>
    </w:p>
    <w:p w:rsidR="000F2D0A" w:rsidRPr="003575E6" w:rsidRDefault="000F2D0A" w:rsidP="005C5BCA">
      <w:pPr>
        <w:pStyle w:val="DecisionParagraphs"/>
        <w:tabs>
          <w:tab w:val="clear" w:pos="5387"/>
          <w:tab w:val="left" w:pos="5954"/>
        </w:tabs>
        <w:ind w:left="5387"/>
        <w:rPr>
          <w:lang w:val="es-ES_tradnl"/>
        </w:rPr>
      </w:pPr>
    </w:p>
    <w:p w:rsidR="000F2D0A" w:rsidRPr="003575E6" w:rsidRDefault="00051763" w:rsidP="00051763">
      <w:pPr>
        <w:pStyle w:val="DecisionParagraphs"/>
        <w:keepLines/>
        <w:numPr>
          <w:ilvl w:val="0"/>
          <w:numId w:val="2"/>
        </w:numPr>
        <w:tabs>
          <w:tab w:val="clear" w:pos="5387"/>
          <w:tab w:val="left" w:pos="5954"/>
        </w:tabs>
        <w:ind w:left="4820" w:firstLine="567"/>
        <w:rPr>
          <w:lang w:val="es-ES_tradnl"/>
        </w:rPr>
      </w:pPr>
      <w:r w:rsidRPr="003575E6">
        <w:rPr>
          <w:lang w:val="es-ES_tradnl"/>
        </w:rPr>
        <w:t xml:space="preserve">si las situaciones A y B, según constan en los Anexos I y II del presente documento, deberían combinarse, con una aclaración en la que se indique que </w:t>
      </w:r>
      <w:r w:rsidR="003533B8" w:rsidRPr="003575E6">
        <w:rPr>
          <w:lang w:val="es-ES_tradnl"/>
        </w:rPr>
        <w:t xml:space="preserve">podrían desarrollarse </w:t>
      </w:r>
      <w:r w:rsidRPr="003575E6">
        <w:rPr>
          <w:lang w:val="es-ES_tradnl"/>
        </w:rPr>
        <w:t xml:space="preserve">dos ciclos de cultivo independientes en un único lugar en diferentes años o en diferentes lugares en el mismo año, según se indica en las secciones 1.2 y 1.3 de la </w:t>
      </w:r>
      <w:r w:rsidR="00C846CF" w:rsidRPr="003575E6">
        <w:rPr>
          <w:lang w:val="es-ES_tradnl"/>
        </w:rPr>
        <w:t>p</w:t>
      </w:r>
      <w:r w:rsidRPr="003575E6">
        <w:rPr>
          <w:lang w:val="es-ES_tradnl"/>
        </w:rPr>
        <w:t>arte I del documento TGP/8, y</w:t>
      </w:r>
    </w:p>
    <w:p w:rsidR="000F2D0A" w:rsidRPr="003575E6" w:rsidRDefault="000F2D0A" w:rsidP="005C5BCA">
      <w:pPr>
        <w:pStyle w:val="DecisionParagraphs"/>
        <w:tabs>
          <w:tab w:val="num" w:pos="5387"/>
          <w:tab w:val="left" w:pos="5954"/>
        </w:tabs>
        <w:ind w:firstLine="567"/>
        <w:rPr>
          <w:lang w:val="es-ES_tradnl"/>
        </w:rPr>
      </w:pPr>
    </w:p>
    <w:p w:rsidR="000F2D0A" w:rsidRPr="003575E6" w:rsidRDefault="00051763" w:rsidP="00346428">
      <w:pPr>
        <w:pStyle w:val="DecisionParagraphs"/>
        <w:numPr>
          <w:ilvl w:val="0"/>
          <w:numId w:val="2"/>
        </w:numPr>
        <w:tabs>
          <w:tab w:val="clear" w:pos="5387"/>
          <w:tab w:val="left" w:pos="5954"/>
        </w:tabs>
        <w:ind w:left="4820" w:firstLine="567"/>
        <w:rPr>
          <w:lang w:val="es-ES_tradnl"/>
        </w:rPr>
      </w:pPr>
      <w:r w:rsidRPr="003575E6">
        <w:rPr>
          <w:lang w:val="es-ES_tradnl"/>
        </w:rPr>
        <w:t xml:space="preserve">si procede invitar a los </w:t>
      </w:r>
      <w:r w:rsidRPr="003575E6">
        <w:rPr>
          <w:rFonts w:cs="Arial"/>
          <w:lang w:val="es-ES_tradnl"/>
        </w:rPr>
        <w:t xml:space="preserve">miembros de la Unión a que presenten a los TWP y al TC información sobre los riesgos, los beneficios, la repercusión en el costo y otros aspectos pertinentes a efectos de su elección del método 1 </w:t>
      </w:r>
      <w:r w:rsidR="003533B8" w:rsidRPr="003575E6">
        <w:rPr>
          <w:rFonts w:cs="Arial"/>
          <w:lang w:val="es-ES_tradnl"/>
        </w:rPr>
        <w:t>o</w:t>
      </w:r>
      <w:r w:rsidRPr="003575E6">
        <w:rPr>
          <w:rFonts w:cs="Arial"/>
          <w:lang w:val="es-ES_tradnl"/>
        </w:rPr>
        <w:t xml:space="preserve"> 2 </w:t>
      </w:r>
      <w:r w:rsidR="00346428" w:rsidRPr="003575E6">
        <w:rPr>
          <w:rFonts w:cs="Arial"/>
          <w:lang w:val="es-ES_tradnl"/>
        </w:rPr>
        <w:t>cuando evalúen la homogeneidad de las plantas fuera de tipo mediante la observación de más de una muestra o submuestra</w:t>
      </w:r>
      <w:r w:rsidRPr="003575E6">
        <w:rPr>
          <w:rFonts w:cs="Arial"/>
          <w:lang w:val="es-ES_tradnl"/>
        </w:rPr>
        <w:t xml:space="preserve">, según consta en </w:t>
      </w:r>
      <w:r w:rsidR="00346428" w:rsidRPr="003575E6">
        <w:rPr>
          <w:rFonts w:cs="Arial"/>
          <w:lang w:val="es-ES_tradnl"/>
        </w:rPr>
        <w:t xml:space="preserve">los </w:t>
      </w:r>
      <w:r w:rsidRPr="003575E6">
        <w:rPr>
          <w:rFonts w:cs="Arial"/>
          <w:lang w:val="es-ES_tradnl"/>
        </w:rPr>
        <w:t>Anex</w:t>
      </w:r>
      <w:r w:rsidR="00346428" w:rsidRPr="003575E6">
        <w:rPr>
          <w:rFonts w:cs="Arial"/>
          <w:lang w:val="es-ES_tradnl"/>
        </w:rPr>
        <w:t>o</w:t>
      </w:r>
      <w:r w:rsidRPr="003575E6">
        <w:rPr>
          <w:rFonts w:cs="Arial"/>
          <w:lang w:val="es-ES_tradnl"/>
        </w:rPr>
        <w:t>s</w:t>
      </w:r>
      <w:r w:rsidR="00346428" w:rsidRPr="003575E6">
        <w:rPr>
          <w:rFonts w:cs="Arial"/>
          <w:lang w:val="es-ES_tradnl"/>
        </w:rPr>
        <w:t> </w:t>
      </w:r>
      <w:r w:rsidRPr="003575E6">
        <w:rPr>
          <w:rFonts w:cs="Arial"/>
          <w:lang w:val="es-ES_tradnl"/>
        </w:rPr>
        <w:t xml:space="preserve">I </w:t>
      </w:r>
      <w:r w:rsidR="00346428" w:rsidRPr="003575E6">
        <w:rPr>
          <w:rFonts w:cs="Arial"/>
          <w:lang w:val="es-ES_tradnl"/>
        </w:rPr>
        <w:t>y </w:t>
      </w:r>
      <w:r w:rsidRPr="003575E6">
        <w:rPr>
          <w:rFonts w:cs="Arial"/>
          <w:lang w:val="es-ES_tradnl"/>
        </w:rPr>
        <w:t xml:space="preserve">II </w:t>
      </w:r>
      <w:r w:rsidR="00346428" w:rsidRPr="003575E6">
        <w:rPr>
          <w:rFonts w:cs="Arial"/>
          <w:lang w:val="es-ES_tradnl"/>
        </w:rPr>
        <w:t>d</w:t>
      </w:r>
      <w:r w:rsidRPr="003575E6">
        <w:rPr>
          <w:rFonts w:cs="Arial"/>
          <w:lang w:val="es-ES_tradnl"/>
        </w:rPr>
        <w:t>el presente documento</w:t>
      </w:r>
      <w:r w:rsidRPr="003575E6">
        <w:rPr>
          <w:lang w:val="es-ES_tradnl"/>
        </w:rPr>
        <w:t>.</w:t>
      </w:r>
    </w:p>
    <w:p w:rsidR="000F2D0A" w:rsidRPr="003575E6" w:rsidRDefault="000F2D0A" w:rsidP="005C5BCA">
      <w:pPr>
        <w:rPr>
          <w:lang w:val="es-ES_tradnl"/>
        </w:rPr>
      </w:pPr>
    </w:p>
    <w:p w:rsidR="000F2D0A" w:rsidRPr="003575E6" w:rsidRDefault="000F2D0A" w:rsidP="005C5BCA">
      <w:pPr>
        <w:jc w:val="right"/>
        <w:rPr>
          <w:lang w:val="es-ES_tradnl"/>
        </w:rPr>
      </w:pPr>
    </w:p>
    <w:p w:rsidR="000F2D0A" w:rsidRPr="003575E6" w:rsidRDefault="000F2D0A" w:rsidP="005C5BCA">
      <w:pPr>
        <w:jc w:val="right"/>
        <w:rPr>
          <w:lang w:val="es-ES_tradnl"/>
        </w:rPr>
      </w:pPr>
    </w:p>
    <w:p w:rsidR="000F2D0A" w:rsidRPr="003575E6" w:rsidRDefault="000F2D0A" w:rsidP="000F2D0A">
      <w:pPr>
        <w:jc w:val="right"/>
      </w:pPr>
      <w:r w:rsidRPr="003575E6">
        <w:rPr>
          <w:lang w:val="es-ES_tradnl"/>
        </w:rPr>
        <w:t>[Siguen los Anexos]</w:t>
      </w:r>
    </w:p>
    <w:p w:rsidR="000F2D0A" w:rsidRPr="003575E6" w:rsidRDefault="000F2D0A" w:rsidP="005C5BCA"/>
    <w:p w:rsidR="005C5BCA" w:rsidRPr="003575E6" w:rsidRDefault="005C5BCA" w:rsidP="005C5BCA">
      <w:pPr>
        <w:rPr>
          <w:snapToGrid w:val="0"/>
        </w:rPr>
        <w:sectPr w:rsidR="005C5BCA" w:rsidRPr="003575E6" w:rsidSect="00431767">
          <w:headerReference w:type="default" r:id="rId9"/>
          <w:pgSz w:w="11907" w:h="16840" w:code="9"/>
          <w:pgMar w:top="510" w:right="1134" w:bottom="993" w:left="1134" w:header="510" w:footer="680" w:gutter="0"/>
          <w:cols w:space="720"/>
          <w:titlePg/>
        </w:sectPr>
      </w:pPr>
    </w:p>
    <w:tbl>
      <w:tblPr>
        <w:tblW w:w="10206"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0206"/>
      </w:tblGrid>
      <w:tr w:rsidR="003575E6" w:rsidRPr="007E0D61" w:rsidTr="00A55C19">
        <w:trPr>
          <w:trHeight w:val="350"/>
        </w:trPr>
        <w:tc>
          <w:tcPr>
            <w:tcW w:w="10206" w:type="dxa"/>
          </w:tcPr>
          <w:p w:rsidR="005C5BCA" w:rsidRPr="003575E6" w:rsidRDefault="000F2D0A" w:rsidP="000F2D0A">
            <w:pPr>
              <w:autoSpaceDE w:val="0"/>
              <w:autoSpaceDN w:val="0"/>
              <w:adjustRightInd w:val="0"/>
              <w:spacing w:before="120"/>
              <w:jc w:val="center"/>
              <w:rPr>
                <w:rFonts w:eastAsia="SimSun"/>
                <w:sz w:val="18"/>
                <w:szCs w:val="18"/>
                <w:lang w:val="es-ES" w:eastAsia="zh-CN"/>
              </w:rPr>
            </w:pPr>
            <w:r w:rsidRPr="003575E6">
              <w:rPr>
                <w:rFonts w:eastAsia="SimSun"/>
                <w:sz w:val="18"/>
                <w:szCs w:val="18"/>
                <w:lang w:val="es-ES_tradnl" w:eastAsia="zh-CN"/>
              </w:rPr>
              <w:lastRenderedPageBreak/>
              <w:t>SITUACIÓN A:  DOS CICLOS DE CULTIVO EN UN SOLO LUGAR</w:t>
            </w:r>
          </w:p>
        </w:tc>
      </w:tr>
      <w:tr w:rsidR="003575E6" w:rsidRPr="007E0D61" w:rsidTr="00A55C19">
        <w:trPr>
          <w:trHeight w:val="1211"/>
        </w:trPr>
        <w:tc>
          <w:tcPr>
            <w:tcW w:w="10206" w:type="dxa"/>
          </w:tcPr>
          <w:p w:rsidR="000F2D0A" w:rsidRPr="003575E6" w:rsidRDefault="000F2D0A" w:rsidP="00431767">
            <w:pPr>
              <w:rPr>
                <w:b/>
                <w:sz w:val="18"/>
                <w:szCs w:val="18"/>
                <w:lang w:val="es-ES"/>
              </w:rPr>
            </w:pPr>
          </w:p>
          <w:p w:rsidR="000F2D0A" w:rsidRPr="003575E6" w:rsidRDefault="000F2D0A" w:rsidP="000F2D0A">
            <w:pPr>
              <w:rPr>
                <w:b/>
                <w:sz w:val="18"/>
                <w:szCs w:val="18"/>
                <w:lang w:val="es-ES"/>
              </w:rPr>
            </w:pPr>
            <w:r w:rsidRPr="003575E6">
              <w:rPr>
                <w:b/>
                <w:sz w:val="18"/>
                <w:szCs w:val="18"/>
                <w:lang w:val="es-ES_tradnl"/>
              </w:rPr>
              <w:t>Método 1:  Tercer ciclo de cultivo en el caso de resultados contradictorios</w:t>
            </w:r>
            <w:r w:rsidR="005C5BCA" w:rsidRPr="003575E6">
              <w:rPr>
                <w:b/>
                <w:sz w:val="18"/>
                <w:szCs w:val="18"/>
                <w:lang w:val="es-ES"/>
              </w:rPr>
              <w:t xml:space="preserve"> </w:t>
            </w:r>
          </w:p>
          <w:p w:rsidR="000F2D0A" w:rsidRPr="003575E6" w:rsidRDefault="000F2D0A" w:rsidP="00431767">
            <w:pPr>
              <w:rPr>
                <w:b/>
                <w:sz w:val="18"/>
                <w:szCs w:val="18"/>
                <w:lang w:val="es-ES"/>
              </w:rPr>
            </w:pPr>
          </w:p>
          <w:p w:rsidR="000F2D0A" w:rsidRPr="003575E6" w:rsidRDefault="000F2D0A" w:rsidP="000F2D0A">
            <w:pPr>
              <w:rPr>
                <w:rFonts w:eastAsia="SimSun"/>
                <w:sz w:val="18"/>
                <w:szCs w:val="18"/>
                <w:lang w:val="es-ES" w:eastAsia="zh-CN"/>
              </w:rPr>
            </w:pPr>
            <w:r w:rsidRPr="003575E6">
              <w:rPr>
                <w:rFonts w:eastAsia="SimSun"/>
                <w:sz w:val="18"/>
                <w:szCs w:val="18"/>
                <w:lang w:val="es-ES_tradnl" w:eastAsia="zh-CN"/>
              </w:rPr>
              <w:t>Se considera que una variedad es homogénea si cumple el estándar de homogeneidad en ambos ciclos de cultivo.</w:t>
            </w:r>
          </w:p>
          <w:p w:rsidR="000F2D0A" w:rsidRPr="003575E6" w:rsidRDefault="000F2D0A" w:rsidP="00431767">
            <w:pPr>
              <w:rPr>
                <w:rFonts w:eastAsia="SimSun"/>
                <w:sz w:val="18"/>
                <w:szCs w:val="18"/>
                <w:lang w:val="es-ES" w:eastAsia="zh-CN"/>
              </w:rPr>
            </w:pPr>
          </w:p>
          <w:p w:rsidR="000F2D0A" w:rsidRPr="003575E6" w:rsidRDefault="000F2D0A" w:rsidP="000F2D0A">
            <w:pPr>
              <w:rPr>
                <w:rFonts w:eastAsia="SimSun"/>
                <w:sz w:val="18"/>
                <w:szCs w:val="18"/>
                <w:lang w:val="es-ES" w:eastAsia="zh-CN"/>
              </w:rPr>
            </w:pPr>
            <w:r w:rsidRPr="003575E6">
              <w:rPr>
                <w:rFonts w:eastAsia="SimSun"/>
                <w:sz w:val="18"/>
                <w:szCs w:val="18"/>
                <w:lang w:val="es-ES_tradnl" w:eastAsia="zh-CN"/>
              </w:rPr>
              <w:t>Se considera que una variedad no es homogénea si no cumple el estándar de homogeneidad en ambos ciclos de cultivo.</w:t>
            </w:r>
          </w:p>
          <w:p w:rsidR="000F2D0A" w:rsidRPr="003575E6" w:rsidRDefault="000F2D0A" w:rsidP="00431767">
            <w:pPr>
              <w:rPr>
                <w:rFonts w:eastAsia="SimSun"/>
                <w:sz w:val="18"/>
                <w:szCs w:val="18"/>
                <w:lang w:val="es-ES" w:eastAsia="zh-CN"/>
              </w:rPr>
            </w:pPr>
          </w:p>
          <w:p w:rsidR="000F2D0A" w:rsidRPr="003575E6" w:rsidRDefault="000F2D0A" w:rsidP="000F2D0A">
            <w:pPr>
              <w:keepNext/>
              <w:keepLines/>
              <w:rPr>
                <w:rFonts w:eastAsia="SimSun"/>
                <w:sz w:val="18"/>
                <w:szCs w:val="18"/>
                <w:lang w:val="es-ES" w:eastAsia="zh-CN"/>
              </w:rPr>
            </w:pPr>
            <w:r w:rsidRPr="003575E6">
              <w:rPr>
                <w:rFonts w:eastAsia="SimSun"/>
                <w:sz w:val="18"/>
                <w:szCs w:val="18"/>
                <w:lang w:val="es-ES_tradnl" w:eastAsia="zh-CN"/>
              </w:rPr>
              <w:t xml:space="preserve">Si al término de los dos ciclos de cultivo la variedad cumple el estándar de homogeneidad en un ciclo de cultivo pero no lo cumple en el otro ciclo de cultivo, se evalúa la homogeneidad en un tercer ciclo de cultivo </w:t>
            </w:r>
            <w:r w:rsidRPr="003575E6">
              <w:rPr>
                <w:rFonts w:eastAsia="SimSun"/>
                <w:strike/>
                <w:sz w:val="18"/>
                <w:szCs w:val="18"/>
                <w:highlight w:val="lightGray"/>
                <w:lang w:val="es-ES_tradnl" w:eastAsia="zh-CN"/>
              </w:rPr>
              <w:t>tras consultarlo con el solicitante</w:t>
            </w:r>
            <w:r w:rsidRPr="003575E6">
              <w:rPr>
                <w:rFonts w:eastAsia="SimSun"/>
                <w:sz w:val="18"/>
                <w:szCs w:val="18"/>
                <w:lang w:val="es-ES_tradnl" w:eastAsia="zh-CN"/>
              </w:rPr>
              <w:t>.</w:t>
            </w:r>
            <w:r w:rsidR="005C5BCA" w:rsidRPr="003575E6">
              <w:rPr>
                <w:rFonts w:eastAsia="SimSun"/>
                <w:sz w:val="18"/>
                <w:szCs w:val="18"/>
                <w:lang w:val="es-ES" w:eastAsia="zh-CN"/>
              </w:rPr>
              <w:t xml:space="preserve">  </w:t>
            </w:r>
            <w:r w:rsidRPr="003575E6">
              <w:rPr>
                <w:rFonts w:eastAsia="SimSun"/>
                <w:sz w:val="18"/>
                <w:szCs w:val="18"/>
                <w:lang w:val="es-ES_tradnl" w:eastAsia="zh-CN"/>
              </w:rPr>
              <w:t>Si en el tercer ciclo de cultivo la variedad cumple el estándar de homogeneidad, la variedad se considerará homogénea.</w:t>
            </w:r>
            <w:r w:rsidR="005C5BCA" w:rsidRPr="003575E6">
              <w:rPr>
                <w:rFonts w:eastAsia="SimSun"/>
                <w:sz w:val="18"/>
                <w:szCs w:val="18"/>
                <w:lang w:val="es-ES" w:eastAsia="zh-CN"/>
              </w:rPr>
              <w:t xml:space="preserve">  </w:t>
            </w:r>
            <w:r w:rsidRPr="003575E6">
              <w:rPr>
                <w:rFonts w:eastAsia="SimSun"/>
                <w:sz w:val="18"/>
                <w:szCs w:val="18"/>
                <w:lang w:val="es-ES_tradnl" w:eastAsia="zh-CN"/>
              </w:rPr>
              <w:t>Si al término del tercer ciclo de cultivo la variedad no cumple el estándar de homogeneidad, la variedad se considerará no homogénea.</w:t>
            </w:r>
          </w:p>
          <w:p w:rsidR="000F2D0A" w:rsidRPr="003575E6" w:rsidRDefault="000F2D0A" w:rsidP="00431767">
            <w:pPr>
              <w:keepNext/>
              <w:keepLines/>
              <w:rPr>
                <w:sz w:val="18"/>
                <w:szCs w:val="18"/>
                <w:lang w:val="es-ES"/>
              </w:rPr>
            </w:pPr>
          </w:p>
          <w:p w:rsidR="000F2D0A" w:rsidRPr="003575E6" w:rsidRDefault="000F2D0A" w:rsidP="000F2D0A">
            <w:pPr>
              <w:keepNext/>
              <w:keepLines/>
              <w:rPr>
                <w:rFonts w:eastAsia="SimSun"/>
                <w:sz w:val="18"/>
                <w:szCs w:val="18"/>
                <w:lang w:val="es-ES" w:eastAsia="zh-CN"/>
              </w:rPr>
            </w:pPr>
            <w:r w:rsidRPr="003575E6">
              <w:rPr>
                <w:rFonts w:eastAsia="SimSun"/>
                <w:sz w:val="18"/>
                <w:szCs w:val="18"/>
                <w:lang w:val="es-ES_tradnl" w:eastAsia="zh-CN"/>
              </w:rPr>
              <w:t>Es preciso poner cuidado al examinar resultados que sean muy diferentes en cada uno de los ciclos de cultivo, por ejemplo cuando se observe una gran abundancia de plantas fuera de tipo en un ciclo de cultivo y su ausencia en otro ciclo.</w:t>
            </w:r>
          </w:p>
          <w:p w:rsidR="000F2D0A" w:rsidRPr="003575E6" w:rsidRDefault="000F2D0A" w:rsidP="00431767">
            <w:pPr>
              <w:keepNext/>
              <w:keepLines/>
              <w:rPr>
                <w:rFonts w:eastAsia="SimSun"/>
                <w:sz w:val="18"/>
                <w:szCs w:val="18"/>
                <w:lang w:val="es-ES" w:eastAsia="zh-CN"/>
              </w:rPr>
            </w:pPr>
          </w:p>
          <w:p w:rsidR="000F2D0A" w:rsidRPr="003575E6" w:rsidRDefault="00A55C19" w:rsidP="00431767">
            <w:pPr>
              <w:keepNext/>
              <w:keepLines/>
              <w:rPr>
                <w:rFonts w:eastAsia="SimSun"/>
                <w:sz w:val="18"/>
                <w:szCs w:val="18"/>
                <w:lang w:val="es-ES_tradnl" w:eastAsia="zh-CN"/>
              </w:rPr>
            </w:pPr>
            <w:r w:rsidRPr="003575E6">
              <w:rPr>
                <w:rFonts w:eastAsia="SimSun"/>
                <w:sz w:val="18"/>
                <w:szCs w:val="18"/>
                <w:lang w:val="es-ES_tradnl" w:eastAsia="zh-CN"/>
              </w:rPr>
              <w:t>En determinadas circunstancias,</w:t>
            </w:r>
            <w:r w:rsidR="00E603D2" w:rsidRPr="003575E6">
              <w:rPr>
                <w:rFonts w:eastAsia="SimSun"/>
                <w:sz w:val="18"/>
                <w:szCs w:val="18"/>
                <w:lang w:val="es-ES_tradnl" w:eastAsia="zh-CN"/>
              </w:rPr>
              <w:t xml:space="preserve"> </w:t>
            </w:r>
            <w:r w:rsidRPr="003575E6">
              <w:rPr>
                <w:rFonts w:eastAsia="SimSun"/>
                <w:sz w:val="18"/>
                <w:szCs w:val="18"/>
                <w:lang w:val="es-ES_tradnl" w:eastAsia="zh-CN"/>
              </w:rPr>
              <w:t xml:space="preserve">podrá rechazarse una </w:t>
            </w:r>
            <w:r w:rsidR="00E603D2" w:rsidRPr="003575E6">
              <w:rPr>
                <w:rFonts w:eastAsia="SimSun"/>
                <w:sz w:val="18"/>
                <w:szCs w:val="18"/>
                <w:lang w:val="es-ES_tradnl" w:eastAsia="zh-CN"/>
              </w:rPr>
              <w:t>varie</w:t>
            </w:r>
            <w:r w:rsidRPr="003575E6">
              <w:rPr>
                <w:rFonts w:eastAsia="SimSun"/>
                <w:sz w:val="18"/>
                <w:szCs w:val="18"/>
                <w:lang w:val="es-ES_tradnl" w:eastAsia="zh-CN"/>
              </w:rPr>
              <w:t xml:space="preserve">dad tras un único </w:t>
            </w:r>
            <w:r w:rsidR="00E603D2" w:rsidRPr="003575E6">
              <w:rPr>
                <w:rFonts w:eastAsia="SimSun"/>
                <w:sz w:val="18"/>
                <w:szCs w:val="18"/>
                <w:lang w:val="es-ES_tradnl" w:eastAsia="zh-CN"/>
              </w:rPr>
              <w:t>ciclo de cultivo.</w:t>
            </w:r>
          </w:p>
          <w:p w:rsidR="000F2D0A" w:rsidRPr="003575E6" w:rsidRDefault="000F2D0A" w:rsidP="00431767">
            <w:pPr>
              <w:keepNext/>
              <w:keepLines/>
              <w:rPr>
                <w:rFonts w:eastAsia="SimSun"/>
                <w:sz w:val="18"/>
                <w:szCs w:val="18"/>
                <w:lang w:val="es-ES_tradnl" w:eastAsia="zh-CN"/>
              </w:rPr>
            </w:pPr>
          </w:p>
          <w:p w:rsidR="000F2D0A" w:rsidRPr="003575E6" w:rsidRDefault="000F2D0A" w:rsidP="000F2D0A">
            <w:pPr>
              <w:rPr>
                <w:b/>
                <w:sz w:val="18"/>
                <w:szCs w:val="18"/>
                <w:lang w:val="es-ES"/>
              </w:rPr>
            </w:pPr>
            <w:r w:rsidRPr="003575E6">
              <w:rPr>
                <w:b/>
                <w:sz w:val="18"/>
                <w:szCs w:val="18"/>
                <w:lang w:val="es-ES_tradnl"/>
              </w:rPr>
              <w:t>Método 2:  Combinar los resultados de dos ciclos de cultivo</w:t>
            </w:r>
          </w:p>
          <w:p w:rsidR="000F2D0A" w:rsidRPr="003575E6" w:rsidRDefault="000F2D0A" w:rsidP="00431767">
            <w:pPr>
              <w:keepNext/>
              <w:keepLines/>
              <w:rPr>
                <w:rFonts w:eastAsia="MS Mincho"/>
                <w:sz w:val="18"/>
                <w:szCs w:val="18"/>
                <w:lang w:val="es-ES" w:eastAsia="ja-JP"/>
              </w:rPr>
            </w:pPr>
          </w:p>
          <w:p w:rsidR="000F2D0A" w:rsidRPr="003575E6" w:rsidRDefault="000F2D0A" w:rsidP="000F2D0A">
            <w:pPr>
              <w:rPr>
                <w:rFonts w:eastAsia="SimSun"/>
                <w:sz w:val="18"/>
                <w:szCs w:val="18"/>
                <w:lang w:val="es-ES" w:eastAsia="zh-CN"/>
              </w:rPr>
            </w:pPr>
            <w:r w:rsidRPr="003575E6">
              <w:rPr>
                <w:rFonts w:eastAsia="SimSun"/>
                <w:sz w:val="18"/>
                <w:szCs w:val="18"/>
                <w:lang w:val="es-ES_tradnl" w:eastAsia="zh-CN"/>
              </w:rPr>
              <w:t>Se considera que una variedad es homogénea si cumple el estándar de homogeneidad en ambos ciclos de cultivo.</w:t>
            </w:r>
          </w:p>
          <w:p w:rsidR="000F2D0A" w:rsidRPr="003575E6" w:rsidRDefault="000F2D0A" w:rsidP="00431767">
            <w:pPr>
              <w:rPr>
                <w:rFonts w:eastAsia="SimSun"/>
                <w:sz w:val="18"/>
                <w:szCs w:val="18"/>
                <w:lang w:val="es-ES" w:eastAsia="zh-CN"/>
              </w:rPr>
            </w:pPr>
          </w:p>
          <w:p w:rsidR="000F2D0A" w:rsidRPr="003575E6" w:rsidRDefault="000F2D0A" w:rsidP="000F2D0A">
            <w:pPr>
              <w:rPr>
                <w:rFonts w:eastAsia="SimSun"/>
                <w:sz w:val="18"/>
                <w:szCs w:val="18"/>
                <w:lang w:val="es-ES" w:eastAsia="zh-CN"/>
              </w:rPr>
            </w:pPr>
            <w:r w:rsidRPr="003575E6">
              <w:rPr>
                <w:rFonts w:eastAsia="SimSun"/>
                <w:sz w:val="18"/>
                <w:szCs w:val="18"/>
                <w:lang w:val="es-ES_tradnl" w:eastAsia="zh-CN"/>
              </w:rPr>
              <w:t>Se considera que una variedad no es homogénea si no cumple el estándar de homogeneidad en ambos ciclos de cultivo.</w:t>
            </w:r>
          </w:p>
          <w:p w:rsidR="000F2D0A" w:rsidRPr="003575E6" w:rsidRDefault="000F2D0A" w:rsidP="00431767">
            <w:pPr>
              <w:rPr>
                <w:rFonts w:eastAsia="SimSun"/>
                <w:sz w:val="18"/>
                <w:szCs w:val="18"/>
                <w:lang w:val="es-ES" w:eastAsia="zh-CN"/>
              </w:rPr>
            </w:pPr>
          </w:p>
          <w:p w:rsidR="000F2D0A" w:rsidRPr="003575E6" w:rsidRDefault="000F2D0A" w:rsidP="000F2D0A">
            <w:pPr>
              <w:keepNext/>
              <w:keepLines/>
              <w:rPr>
                <w:rFonts w:eastAsia="SimSun"/>
                <w:sz w:val="18"/>
                <w:szCs w:val="18"/>
                <w:lang w:val="es-ES" w:eastAsia="zh-CN"/>
              </w:rPr>
            </w:pPr>
            <w:r w:rsidRPr="003575E6">
              <w:rPr>
                <w:rFonts w:eastAsia="SimSun"/>
                <w:sz w:val="18"/>
                <w:szCs w:val="18"/>
                <w:lang w:val="es-ES_tradnl" w:eastAsia="zh-CN"/>
              </w:rPr>
              <w:t>Si al término de los dos ciclos de cultivo la variedad cumple el estándar de homogeneidad en un ciclo de cultivo pero no cumple el estándar de homogeneidad en el otro ciclo de cultivo, se considera que la variedad es homogénea si el número total de plantas fuera de tipo al término de los dos ciclos de cultivo no supera el número permitido de plantas fuera de tipo en una muestra combinada.</w:t>
            </w:r>
          </w:p>
          <w:p w:rsidR="000F2D0A" w:rsidRPr="003575E6" w:rsidRDefault="000F2D0A" w:rsidP="00431767">
            <w:pPr>
              <w:keepNext/>
              <w:keepLines/>
              <w:ind w:right="459"/>
              <w:rPr>
                <w:rFonts w:eastAsia="SimSun"/>
                <w:sz w:val="18"/>
                <w:szCs w:val="18"/>
                <w:lang w:val="es-ES" w:eastAsia="zh-CN"/>
              </w:rPr>
            </w:pPr>
          </w:p>
          <w:p w:rsidR="000F2D0A" w:rsidRPr="003575E6" w:rsidRDefault="000F2D0A" w:rsidP="000F2D0A">
            <w:pPr>
              <w:keepNext/>
              <w:keepLines/>
              <w:rPr>
                <w:rFonts w:eastAsia="SimSun"/>
                <w:sz w:val="18"/>
                <w:szCs w:val="18"/>
                <w:lang w:val="es-ES" w:eastAsia="zh-CN"/>
              </w:rPr>
            </w:pPr>
            <w:r w:rsidRPr="003575E6">
              <w:rPr>
                <w:rFonts w:eastAsia="SimSun"/>
                <w:sz w:val="18"/>
                <w:szCs w:val="18"/>
                <w:lang w:val="es-ES_tradnl" w:eastAsia="zh-CN"/>
              </w:rPr>
              <w:t>Es preciso poner cuidado al examinar resultados que sean muy diferentes en cada uno de los ciclos de cultivo, por ejemplo cuando se observe una gran abundancia de plantas fuera de tipo en un ciclo de cultivo y su ausencia en otro ciclo.</w:t>
            </w:r>
          </w:p>
          <w:p w:rsidR="000F2D0A" w:rsidRPr="003575E6" w:rsidRDefault="000F2D0A" w:rsidP="00431767">
            <w:pPr>
              <w:keepNext/>
              <w:keepLines/>
              <w:rPr>
                <w:rFonts w:eastAsia="SimSun"/>
                <w:sz w:val="18"/>
                <w:szCs w:val="18"/>
                <w:lang w:val="es-ES" w:eastAsia="zh-CN"/>
              </w:rPr>
            </w:pPr>
          </w:p>
          <w:p w:rsidR="000F2D0A" w:rsidRPr="003575E6" w:rsidRDefault="00A55C19" w:rsidP="00431767">
            <w:pPr>
              <w:keepNext/>
              <w:keepLines/>
              <w:rPr>
                <w:rFonts w:eastAsia="SimSun"/>
                <w:sz w:val="18"/>
                <w:szCs w:val="18"/>
                <w:lang w:val="es-ES_tradnl" w:eastAsia="zh-CN"/>
              </w:rPr>
            </w:pPr>
            <w:r w:rsidRPr="003575E6">
              <w:rPr>
                <w:rFonts w:eastAsia="SimSun"/>
                <w:sz w:val="18"/>
                <w:szCs w:val="18"/>
                <w:lang w:val="es-ES_tradnl" w:eastAsia="zh-CN"/>
              </w:rPr>
              <w:t>En determinadas circunstancias, podrá rechazarse una variedad tras un único ciclo de cultivo.</w:t>
            </w:r>
          </w:p>
          <w:p w:rsidR="000F2D0A" w:rsidRPr="003575E6" w:rsidRDefault="000F2D0A" w:rsidP="00431767">
            <w:pPr>
              <w:keepNext/>
              <w:keepLines/>
              <w:rPr>
                <w:rFonts w:eastAsia="SimSun"/>
                <w:sz w:val="18"/>
                <w:szCs w:val="18"/>
                <w:lang w:val="es-ES_tradnl" w:eastAsia="zh-CN"/>
              </w:rPr>
            </w:pPr>
          </w:p>
          <w:p w:rsidR="000F2D0A" w:rsidRPr="003575E6" w:rsidRDefault="002D7493" w:rsidP="00431767">
            <w:pPr>
              <w:keepNext/>
              <w:keepLines/>
              <w:jc w:val="left"/>
              <w:rPr>
                <w:sz w:val="18"/>
                <w:szCs w:val="18"/>
                <w:lang w:val="es-ES"/>
              </w:rPr>
            </w:pPr>
            <w:r>
              <w:rPr>
                <w:rFonts w:eastAsia="SimSun"/>
                <w:sz w:val="18"/>
                <w:szCs w:val="18"/>
                <w:lang w:eastAsia="zh-CN"/>
              </w:rPr>
              <w:pict>
                <v:rect id="_x0000_i1025" style="width:0;height:1.5pt" o:hralign="center" o:hrstd="t" o:hr="t" fillcolor="#a0a0a0" stroked="f"/>
              </w:pict>
            </w:r>
            <w:r w:rsidR="005C5BCA" w:rsidRPr="003575E6">
              <w:rPr>
                <w:sz w:val="18"/>
                <w:szCs w:val="18"/>
                <w:lang w:val="es-ES"/>
              </w:rPr>
              <w:t>E</w:t>
            </w:r>
            <w:r w:rsidR="005B711C" w:rsidRPr="003575E6">
              <w:rPr>
                <w:sz w:val="18"/>
                <w:szCs w:val="18"/>
                <w:lang w:val="es-ES"/>
              </w:rPr>
              <w:t>jemplo</w:t>
            </w:r>
            <w:r w:rsidR="005C5BCA" w:rsidRPr="003575E6">
              <w:rPr>
                <w:sz w:val="18"/>
                <w:szCs w:val="18"/>
                <w:lang w:val="es-ES"/>
              </w:rPr>
              <w:t>:</w:t>
            </w:r>
          </w:p>
          <w:tbl>
            <w:tblPr>
              <w:tblW w:w="7797" w:type="dxa"/>
              <w:tblInd w:w="600" w:type="dxa"/>
              <w:tblLook w:val="04A0" w:firstRow="1" w:lastRow="0" w:firstColumn="1" w:lastColumn="0" w:noHBand="0" w:noVBand="1"/>
            </w:tblPr>
            <w:tblGrid>
              <w:gridCol w:w="426"/>
              <w:gridCol w:w="694"/>
              <w:gridCol w:w="1134"/>
              <w:gridCol w:w="180"/>
              <w:gridCol w:w="954"/>
              <w:gridCol w:w="1807"/>
              <w:gridCol w:w="618"/>
              <w:gridCol w:w="1984"/>
            </w:tblGrid>
            <w:tr w:rsidR="003575E6" w:rsidRPr="003575E6" w:rsidTr="00A55C19">
              <w:trPr>
                <w:trHeight w:val="255"/>
              </w:trPr>
              <w:tc>
                <w:tcPr>
                  <w:tcW w:w="1120" w:type="dxa"/>
                  <w:gridSpan w:val="2"/>
                  <w:tcBorders>
                    <w:top w:val="nil"/>
                    <w:left w:val="nil"/>
                    <w:bottom w:val="nil"/>
                  </w:tcBorders>
                  <w:shd w:val="clear" w:color="auto" w:fill="auto"/>
                  <w:noWrap/>
                  <w:vAlign w:val="bottom"/>
                </w:tcPr>
                <w:p w:rsidR="005C5BCA" w:rsidRPr="003575E6" w:rsidRDefault="005C5BCA" w:rsidP="00431767">
                  <w:pPr>
                    <w:jc w:val="left"/>
                    <w:rPr>
                      <w:rFonts w:cs="Arial"/>
                      <w:sz w:val="18"/>
                      <w:szCs w:val="18"/>
                    </w:rPr>
                  </w:pPr>
                </w:p>
              </w:tc>
              <w:tc>
                <w:tcPr>
                  <w:tcW w:w="6677" w:type="dxa"/>
                  <w:gridSpan w:val="6"/>
                  <w:tcBorders>
                    <w:top w:val="nil"/>
                    <w:right w:val="nil"/>
                  </w:tcBorders>
                  <w:shd w:val="clear" w:color="auto" w:fill="auto"/>
                  <w:vAlign w:val="bottom"/>
                </w:tcPr>
                <w:p w:rsidR="005C5BCA" w:rsidRPr="003575E6" w:rsidRDefault="00E86C96" w:rsidP="00E86C96">
                  <w:pPr>
                    <w:jc w:val="left"/>
                    <w:rPr>
                      <w:rFonts w:cs="Arial"/>
                      <w:sz w:val="18"/>
                      <w:szCs w:val="18"/>
                    </w:rPr>
                  </w:pPr>
                  <w:r w:rsidRPr="003575E6">
                    <w:rPr>
                      <w:rFonts w:cs="Arial"/>
                      <w:sz w:val="18"/>
                      <w:szCs w:val="18"/>
                      <w:lang w:val="es-ES_tradnl"/>
                    </w:rPr>
                    <w:t>Población estándar =</w:t>
                  </w:r>
                  <w:r w:rsidR="000F2D0A" w:rsidRPr="003575E6">
                    <w:rPr>
                      <w:rFonts w:cs="Arial"/>
                      <w:sz w:val="18"/>
                      <w:szCs w:val="18"/>
                      <w:lang w:val="es-ES_tradnl"/>
                    </w:rPr>
                    <w:t xml:space="preserve"> 1%</w:t>
                  </w:r>
                  <w:r w:rsidR="005C5BCA" w:rsidRPr="003575E6">
                    <w:rPr>
                      <w:rFonts w:cs="Arial"/>
                      <w:sz w:val="18"/>
                      <w:szCs w:val="18"/>
                    </w:rPr>
                    <w:t xml:space="preserve">  </w:t>
                  </w:r>
                </w:p>
              </w:tc>
            </w:tr>
            <w:tr w:rsidR="003575E6" w:rsidRPr="003575E6" w:rsidTr="00A55C19">
              <w:trPr>
                <w:trHeight w:val="270"/>
              </w:trPr>
              <w:tc>
                <w:tcPr>
                  <w:tcW w:w="1120" w:type="dxa"/>
                  <w:gridSpan w:val="2"/>
                  <w:tcBorders>
                    <w:top w:val="nil"/>
                    <w:left w:val="nil"/>
                    <w:bottom w:val="nil"/>
                  </w:tcBorders>
                  <w:shd w:val="clear" w:color="auto" w:fill="auto"/>
                  <w:noWrap/>
                  <w:vAlign w:val="bottom"/>
                  <w:hideMark/>
                </w:tcPr>
                <w:p w:rsidR="005C5BCA" w:rsidRPr="003575E6" w:rsidRDefault="005C5BCA" w:rsidP="00431767">
                  <w:pPr>
                    <w:jc w:val="left"/>
                    <w:rPr>
                      <w:rFonts w:cs="Arial"/>
                      <w:sz w:val="18"/>
                      <w:szCs w:val="18"/>
                    </w:rPr>
                  </w:pPr>
                </w:p>
              </w:tc>
              <w:tc>
                <w:tcPr>
                  <w:tcW w:w="6677" w:type="dxa"/>
                  <w:gridSpan w:val="6"/>
                  <w:tcBorders>
                    <w:top w:val="nil"/>
                    <w:bottom w:val="single" w:sz="4" w:space="0" w:color="auto"/>
                    <w:right w:val="nil"/>
                  </w:tcBorders>
                  <w:shd w:val="clear" w:color="auto" w:fill="auto"/>
                  <w:vAlign w:val="bottom"/>
                </w:tcPr>
                <w:p w:rsidR="005C5BCA" w:rsidRPr="003575E6" w:rsidRDefault="000F2D0A" w:rsidP="00E86C96">
                  <w:pPr>
                    <w:jc w:val="left"/>
                    <w:rPr>
                      <w:rFonts w:cs="Arial"/>
                      <w:sz w:val="18"/>
                      <w:szCs w:val="18"/>
                    </w:rPr>
                  </w:pPr>
                  <w:r w:rsidRPr="003575E6">
                    <w:rPr>
                      <w:rFonts w:cs="Arial"/>
                      <w:sz w:val="18"/>
                      <w:szCs w:val="18"/>
                      <w:lang w:val="es-ES_tradnl"/>
                    </w:rPr>
                    <w:t>Probabilidad de aceptación  ≥ 95%</w:t>
                  </w:r>
                </w:p>
              </w:tc>
            </w:tr>
            <w:tr w:rsidR="003575E6" w:rsidRPr="007E0D61" w:rsidTr="00A55C19">
              <w:trPr>
                <w:gridBefore w:val="2"/>
                <w:wBefore w:w="1120" w:type="dxa"/>
                <w:trHeight w:val="255"/>
              </w:trPr>
              <w:tc>
                <w:tcPr>
                  <w:tcW w:w="6677" w:type="dxa"/>
                  <w:gridSpan w:val="6"/>
                  <w:tcBorders>
                    <w:top w:val="single" w:sz="4" w:space="0" w:color="auto"/>
                    <w:left w:val="single" w:sz="4" w:space="0" w:color="auto"/>
                    <w:bottom w:val="nil"/>
                    <w:right w:val="single" w:sz="8" w:space="0" w:color="000000"/>
                  </w:tcBorders>
                  <w:shd w:val="clear" w:color="auto" w:fill="auto"/>
                  <w:vAlign w:val="bottom"/>
                </w:tcPr>
                <w:p w:rsidR="005C5BCA" w:rsidRPr="003575E6" w:rsidRDefault="000F2D0A" w:rsidP="000F2D0A">
                  <w:pPr>
                    <w:jc w:val="left"/>
                    <w:rPr>
                      <w:rFonts w:cs="Arial"/>
                      <w:sz w:val="18"/>
                      <w:szCs w:val="18"/>
                      <w:lang w:val="es-ES"/>
                    </w:rPr>
                  </w:pPr>
                  <w:r w:rsidRPr="003575E6">
                    <w:rPr>
                      <w:rFonts w:cs="Arial"/>
                      <w:sz w:val="18"/>
                      <w:szCs w:val="18"/>
                      <w:lang w:val="es-ES_tradnl"/>
                    </w:rPr>
                    <w:t>Tamaño de la muestra en cada uno de los ciclos de cultivo 1 y 2 </w:t>
                  </w:r>
                  <w:r w:rsidR="005B711C" w:rsidRPr="003575E6">
                    <w:rPr>
                      <w:rFonts w:cs="Arial"/>
                      <w:sz w:val="18"/>
                      <w:szCs w:val="18"/>
                      <w:lang w:val="es-ES_tradnl"/>
                    </w:rPr>
                    <w:t>= 50</w:t>
                  </w:r>
                </w:p>
              </w:tc>
            </w:tr>
            <w:tr w:rsidR="003575E6" w:rsidRPr="007E0D61" w:rsidTr="00A55C19">
              <w:trPr>
                <w:gridBefore w:val="2"/>
                <w:wBefore w:w="1120" w:type="dxa"/>
                <w:trHeight w:val="270"/>
              </w:trPr>
              <w:tc>
                <w:tcPr>
                  <w:tcW w:w="6677" w:type="dxa"/>
                  <w:gridSpan w:val="6"/>
                  <w:tcBorders>
                    <w:top w:val="nil"/>
                    <w:left w:val="single" w:sz="4" w:space="0" w:color="auto"/>
                    <w:bottom w:val="single" w:sz="8" w:space="0" w:color="auto"/>
                    <w:right w:val="single" w:sz="8" w:space="0" w:color="000000"/>
                  </w:tcBorders>
                  <w:shd w:val="clear" w:color="auto" w:fill="auto"/>
                  <w:vAlign w:val="bottom"/>
                </w:tcPr>
                <w:p w:rsidR="005C5BCA" w:rsidRPr="003575E6" w:rsidRDefault="000F2D0A" w:rsidP="000F2D0A">
                  <w:pPr>
                    <w:jc w:val="left"/>
                    <w:rPr>
                      <w:rFonts w:cs="Arial"/>
                      <w:sz w:val="18"/>
                      <w:szCs w:val="18"/>
                      <w:lang w:val="es-ES"/>
                    </w:rPr>
                  </w:pPr>
                  <w:r w:rsidRPr="003575E6">
                    <w:rPr>
                      <w:rFonts w:cs="Arial"/>
                      <w:sz w:val="18"/>
                      <w:szCs w:val="18"/>
                      <w:lang w:val="es-ES_tradnl"/>
                    </w:rPr>
                    <w:t>Número máximo de plantas fuera de tipo </w:t>
                  </w:r>
                  <w:r w:rsidR="005B711C" w:rsidRPr="003575E6">
                    <w:rPr>
                      <w:rFonts w:cs="Arial"/>
                      <w:sz w:val="18"/>
                      <w:szCs w:val="18"/>
                      <w:lang w:val="es-ES_tradnl"/>
                    </w:rPr>
                    <w:t>= 2</w:t>
                  </w:r>
                </w:p>
              </w:tc>
            </w:tr>
            <w:tr w:rsidR="003575E6" w:rsidRPr="007E0D61" w:rsidTr="00A55C19">
              <w:trPr>
                <w:gridBefore w:val="2"/>
                <w:wBefore w:w="1120" w:type="dxa"/>
                <w:trHeight w:val="270"/>
              </w:trPr>
              <w:tc>
                <w:tcPr>
                  <w:tcW w:w="6677" w:type="dxa"/>
                  <w:gridSpan w:val="6"/>
                  <w:tcBorders>
                    <w:top w:val="nil"/>
                    <w:left w:val="single" w:sz="4" w:space="0" w:color="auto"/>
                    <w:bottom w:val="nil"/>
                    <w:right w:val="single" w:sz="4" w:space="0" w:color="auto"/>
                  </w:tcBorders>
                  <w:shd w:val="clear" w:color="auto" w:fill="auto"/>
                  <w:vAlign w:val="bottom"/>
                </w:tcPr>
                <w:p w:rsidR="005C5BCA" w:rsidRPr="003575E6" w:rsidRDefault="000F2D0A" w:rsidP="000F2D0A">
                  <w:pPr>
                    <w:jc w:val="left"/>
                    <w:rPr>
                      <w:rFonts w:cs="Arial"/>
                      <w:sz w:val="18"/>
                      <w:szCs w:val="18"/>
                      <w:lang w:val="es-ES"/>
                    </w:rPr>
                  </w:pPr>
                  <w:r w:rsidRPr="003575E6">
                    <w:rPr>
                      <w:rFonts w:cs="Arial"/>
                      <w:sz w:val="18"/>
                      <w:szCs w:val="18"/>
                      <w:lang w:val="es-ES_tradnl"/>
                    </w:rPr>
                    <w:t>Tamaño de la muestra en los ciclos de cultivo 1 y 2 combinados </w:t>
                  </w:r>
                  <w:r w:rsidR="005B711C" w:rsidRPr="003575E6">
                    <w:rPr>
                      <w:rFonts w:cs="Arial"/>
                      <w:sz w:val="18"/>
                      <w:szCs w:val="18"/>
                      <w:lang w:val="es-ES_tradnl"/>
                    </w:rPr>
                    <w:t>= 100</w:t>
                  </w:r>
                </w:p>
              </w:tc>
            </w:tr>
            <w:tr w:rsidR="003575E6" w:rsidRPr="007E0D61" w:rsidTr="00A55C19">
              <w:trPr>
                <w:gridBefore w:val="2"/>
                <w:wBefore w:w="1120" w:type="dxa"/>
                <w:trHeight w:val="270"/>
              </w:trPr>
              <w:tc>
                <w:tcPr>
                  <w:tcW w:w="6677" w:type="dxa"/>
                  <w:gridSpan w:val="6"/>
                  <w:tcBorders>
                    <w:top w:val="nil"/>
                    <w:left w:val="single" w:sz="4" w:space="0" w:color="auto"/>
                    <w:bottom w:val="single" w:sz="4" w:space="0" w:color="auto"/>
                    <w:right w:val="single" w:sz="4" w:space="0" w:color="auto"/>
                  </w:tcBorders>
                  <w:shd w:val="clear" w:color="auto" w:fill="auto"/>
                  <w:vAlign w:val="bottom"/>
                </w:tcPr>
                <w:p w:rsidR="005C5BCA" w:rsidRPr="003575E6" w:rsidRDefault="000F2D0A" w:rsidP="000F2D0A">
                  <w:pPr>
                    <w:jc w:val="left"/>
                    <w:rPr>
                      <w:rFonts w:cs="Arial"/>
                      <w:sz w:val="18"/>
                      <w:szCs w:val="18"/>
                      <w:lang w:val="es-ES"/>
                    </w:rPr>
                  </w:pPr>
                  <w:r w:rsidRPr="003575E6">
                    <w:rPr>
                      <w:rFonts w:cs="Arial"/>
                      <w:sz w:val="18"/>
                      <w:szCs w:val="18"/>
                      <w:lang w:val="es-ES_tradnl"/>
                    </w:rPr>
                    <w:t>Número máximo de plantas fuera de tipo </w:t>
                  </w:r>
                  <w:r w:rsidR="005B711C" w:rsidRPr="003575E6">
                    <w:rPr>
                      <w:rFonts w:cs="Arial"/>
                      <w:sz w:val="18"/>
                      <w:szCs w:val="18"/>
                      <w:lang w:val="es-ES_tradnl"/>
                    </w:rPr>
                    <w:t>= 3</w:t>
                  </w:r>
                </w:p>
              </w:tc>
            </w:tr>
            <w:tr w:rsidR="003575E6" w:rsidRPr="007E0D61" w:rsidTr="00A55C19">
              <w:trPr>
                <w:gridBefore w:val="2"/>
                <w:wBefore w:w="1120" w:type="dxa"/>
                <w:trHeight w:val="239"/>
              </w:trPr>
              <w:tc>
                <w:tcPr>
                  <w:tcW w:w="1314" w:type="dxa"/>
                  <w:gridSpan w:val="2"/>
                  <w:tcBorders>
                    <w:top w:val="nil"/>
                    <w:left w:val="nil"/>
                    <w:bottom w:val="single" w:sz="4" w:space="0" w:color="auto"/>
                    <w:right w:val="nil"/>
                  </w:tcBorders>
                  <w:shd w:val="clear" w:color="auto" w:fill="auto"/>
                  <w:noWrap/>
                  <w:vAlign w:val="bottom"/>
                  <w:hideMark/>
                </w:tcPr>
                <w:p w:rsidR="005C5BCA" w:rsidRPr="003575E6" w:rsidRDefault="005C5BCA" w:rsidP="00431767">
                  <w:pPr>
                    <w:jc w:val="left"/>
                    <w:rPr>
                      <w:rFonts w:cs="Arial"/>
                      <w:sz w:val="18"/>
                      <w:szCs w:val="18"/>
                      <w:lang w:val="es-ES"/>
                    </w:rPr>
                  </w:pPr>
                  <w:r w:rsidRPr="003575E6">
                    <w:rPr>
                      <w:rFonts w:cs="Arial"/>
                      <w:sz w:val="18"/>
                      <w:szCs w:val="18"/>
                      <w:lang w:val="es-ES"/>
                    </w:rPr>
                    <w:t> </w:t>
                  </w:r>
                </w:p>
              </w:tc>
              <w:tc>
                <w:tcPr>
                  <w:tcW w:w="954" w:type="dxa"/>
                  <w:tcBorders>
                    <w:top w:val="nil"/>
                    <w:left w:val="nil"/>
                    <w:bottom w:val="single" w:sz="4" w:space="0" w:color="auto"/>
                    <w:right w:val="nil"/>
                  </w:tcBorders>
                  <w:shd w:val="clear" w:color="auto" w:fill="auto"/>
                  <w:noWrap/>
                  <w:vAlign w:val="bottom"/>
                  <w:hideMark/>
                </w:tcPr>
                <w:p w:rsidR="005C5BCA" w:rsidRPr="003575E6" w:rsidRDefault="005C5BCA" w:rsidP="00431767">
                  <w:pPr>
                    <w:jc w:val="left"/>
                    <w:rPr>
                      <w:rFonts w:cs="Arial"/>
                      <w:sz w:val="18"/>
                      <w:szCs w:val="18"/>
                      <w:lang w:val="es-ES"/>
                    </w:rPr>
                  </w:pPr>
                  <w:r w:rsidRPr="003575E6">
                    <w:rPr>
                      <w:rFonts w:cs="Arial"/>
                      <w:sz w:val="18"/>
                      <w:szCs w:val="18"/>
                      <w:lang w:val="es-ES"/>
                    </w:rPr>
                    <w:t> </w:t>
                  </w:r>
                </w:p>
              </w:tc>
              <w:tc>
                <w:tcPr>
                  <w:tcW w:w="1807" w:type="dxa"/>
                  <w:tcBorders>
                    <w:top w:val="nil"/>
                    <w:left w:val="nil"/>
                    <w:bottom w:val="single" w:sz="4" w:space="0" w:color="auto"/>
                    <w:right w:val="nil"/>
                  </w:tcBorders>
                  <w:shd w:val="clear" w:color="auto" w:fill="auto"/>
                  <w:noWrap/>
                  <w:vAlign w:val="bottom"/>
                  <w:hideMark/>
                </w:tcPr>
                <w:p w:rsidR="005C5BCA" w:rsidRPr="003575E6" w:rsidRDefault="005C5BCA" w:rsidP="00431767">
                  <w:pPr>
                    <w:jc w:val="left"/>
                    <w:rPr>
                      <w:rFonts w:cs="Arial"/>
                      <w:sz w:val="18"/>
                      <w:szCs w:val="18"/>
                      <w:lang w:val="es-ES"/>
                    </w:rPr>
                  </w:pPr>
                  <w:r w:rsidRPr="003575E6">
                    <w:rPr>
                      <w:rFonts w:cs="Arial"/>
                      <w:sz w:val="18"/>
                      <w:szCs w:val="18"/>
                      <w:lang w:val="es-ES"/>
                    </w:rPr>
                    <w:t> </w:t>
                  </w:r>
                </w:p>
              </w:tc>
              <w:tc>
                <w:tcPr>
                  <w:tcW w:w="2602" w:type="dxa"/>
                  <w:gridSpan w:val="2"/>
                  <w:tcBorders>
                    <w:top w:val="nil"/>
                    <w:left w:val="nil"/>
                    <w:bottom w:val="single" w:sz="4" w:space="0" w:color="auto"/>
                    <w:right w:val="nil"/>
                  </w:tcBorders>
                  <w:shd w:val="clear" w:color="auto" w:fill="auto"/>
                  <w:noWrap/>
                  <w:vAlign w:val="bottom"/>
                  <w:hideMark/>
                </w:tcPr>
                <w:p w:rsidR="005C5BCA" w:rsidRPr="003575E6" w:rsidRDefault="005C5BCA" w:rsidP="00431767">
                  <w:pPr>
                    <w:jc w:val="left"/>
                    <w:rPr>
                      <w:rFonts w:cs="Arial"/>
                      <w:sz w:val="18"/>
                      <w:szCs w:val="18"/>
                      <w:lang w:val="es-ES"/>
                    </w:rPr>
                  </w:pPr>
                  <w:r w:rsidRPr="003575E6">
                    <w:rPr>
                      <w:rFonts w:cs="Arial"/>
                      <w:sz w:val="18"/>
                      <w:szCs w:val="18"/>
                      <w:lang w:val="es-ES"/>
                    </w:rPr>
                    <w:t> </w:t>
                  </w:r>
                </w:p>
              </w:tc>
            </w:tr>
            <w:tr w:rsidR="003575E6" w:rsidRPr="003575E6" w:rsidTr="00A55C19">
              <w:trPr>
                <w:gridBefore w:val="1"/>
                <w:wBefore w:w="426" w:type="dxa"/>
                <w:trHeight w:val="380"/>
              </w:trPr>
              <w:tc>
                <w:tcPr>
                  <w:tcW w:w="694" w:type="dxa"/>
                  <w:tcBorders>
                    <w:top w:val="nil"/>
                    <w:left w:val="nil"/>
                    <w:bottom w:val="nil"/>
                    <w:right w:val="single" w:sz="4" w:space="0" w:color="auto"/>
                  </w:tcBorders>
                  <w:shd w:val="clear" w:color="auto" w:fill="auto"/>
                  <w:noWrap/>
                  <w:vAlign w:val="bottom"/>
                  <w:hideMark/>
                </w:tcPr>
                <w:p w:rsidR="005C5BCA" w:rsidRPr="003575E6" w:rsidRDefault="005C5BCA" w:rsidP="00431767">
                  <w:pPr>
                    <w:jc w:val="left"/>
                    <w:rPr>
                      <w:rFonts w:cs="Arial"/>
                      <w:sz w:val="18"/>
                      <w:szCs w:val="18"/>
                      <w:lang w:val="es-ES"/>
                    </w:rPr>
                  </w:pPr>
                  <w:r w:rsidRPr="003575E6">
                    <w:rPr>
                      <w:rFonts w:cs="Arial"/>
                      <w:sz w:val="18"/>
                      <w:szCs w:val="18"/>
                      <w:lang w:val="es-ES"/>
                    </w:rPr>
                    <w:t> </w:t>
                  </w:r>
                </w:p>
              </w:tc>
              <w:tc>
                <w:tcPr>
                  <w:tcW w:w="2268" w:type="dxa"/>
                  <w:gridSpan w:val="3"/>
                  <w:tcBorders>
                    <w:top w:val="nil"/>
                    <w:left w:val="nil"/>
                    <w:bottom w:val="single" w:sz="4" w:space="0" w:color="auto"/>
                    <w:right w:val="single" w:sz="4" w:space="0" w:color="000000"/>
                  </w:tcBorders>
                  <w:shd w:val="clear" w:color="auto" w:fill="auto"/>
                  <w:noWrap/>
                  <w:vAlign w:val="center"/>
                  <w:hideMark/>
                </w:tcPr>
                <w:p w:rsidR="005C5BCA" w:rsidRPr="003575E6" w:rsidRDefault="000F2D0A" w:rsidP="000F2D0A">
                  <w:pPr>
                    <w:jc w:val="center"/>
                    <w:rPr>
                      <w:rFonts w:cs="Arial"/>
                      <w:sz w:val="18"/>
                      <w:szCs w:val="18"/>
                    </w:rPr>
                  </w:pPr>
                  <w:r w:rsidRPr="003575E6">
                    <w:rPr>
                      <w:rFonts w:cs="Arial"/>
                      <w:sz w:val="18"/>
                      <w:szCs w:val="18"/>
                      <w:lang w:val="es-ES_tradnl"/>
                    </w:rPr>
                    <w:t>Ciclo de cultivo</w:t>
                  </w:r>
                </w:p>
              </w:tc>
              <w:tc>
                <w:tcPr>
                  <w:tcW w:w="440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C5BCA" w:rsidRPr="003575E6" w:rsidRDefault="000F2D0A" w:rsidP="000F2D0A">
                  <w:pPr>
                    <w:jc w:val="center"/>
                    <w:rPr>
                      <w:rFonts w:cs="Arial"/>
                      <w:sz w:val="18"/>
                      <w:szCs w:val="18"/>
                    </w:rPr>
                  </w:pPr>
                  <w:r w:rsidRPr="003575E6">
                    <w:rPr>
                      <w:rFonts w:cs="Arial"/>
                      <w:sz w:val="18"/>
                      <w:szCs w:val="18"/>
                      <w:lang w:val="es-ES_tradnl"/>
                    </w:rPr>
                    <w:t>Decisión</w:t>
                  </w:r>
                </w:p>
              </w:tc>
            </w:tr>
            <w:tr w:rsidR="003575E6" w:rsidRPr="003575E6" w:rsidTr="00A55C19">
              <w:trPr>
                <w:gridBefore w:val="1"/>
                <w:wBefore w:w="426" w:type="dxa"/>
                <w:trHeight w:val="236"/>
              </w:trPr>
              <w:tc>
                <w:tcPr>
                  <w:tcW w:w="694" w:type="dxa"/>
                  <w:tcBorders>
                    <w:top w:val="nil"/>
                    <w:left w:val="nil"/>
                    <w:bottom w:val="single" w:sz="4" w:space="0" w:color="auto"/>
                    <w:right w:val="single" w:sz="4" w:space="0" w:color="auto"/>
                  </w:tcBorders>
                  <w:shd w:val="clear" w:color="auto" w:fill="auto"/>
                  <w:noWrap/>
                  <w:vAlign w:val="bottom"/>
                  <w:hideMark/>
                </w:tcPr>
                <w:p w:rsidR="005C5BCA" w:rsidRPr="003575E6" w:rsidRDefault="005C5BCA" w:rsidP="00431767">
                  <w:pPr>
                    <w:jc w:val="left"/>
                    <w:rPr>
                      <w:rFonts w:cs="Arial"/>
                      <w:sz w:val="18"/>
                      <w:szCs w:val="18"/>
                    </w:rPr>
                  </w:pPr>
                  <w:r w:rsidRPr="003575E6">
                    <w:rPr>
                      <w:rFonts w:cs="Arial"/>
                      <w:sz w:val="18"/>
                      <w:szCs w:val="18"/>
                    </w:rPr>
                    <w:t> </w:t>
                  </w:r>
                </w:p>
              </w:tc>
              <w:tc>
                <w:tcPr>
                  <w:tcW w:w="1134" w:type="dxa"/>
                  <w:tcBorders>
                    <w:top w:val="nil"/>
                    <w:left w:val="nil"/>
                    <w:bottom w:val="single" w:sz="8" w:space="0" w:color="auto"/>
                    <w:right w:val="single" w:sz="4" w:space="0" w:color="auto"/>
                  </w:tcBorders>
                  <w:shd w:val="clear" w:color="auto" w:fill="auto"/>
                  <w:noWrap/>
                  <w:vAlign w:val="bottom"/>
                  <w:hideMark/>
                </w:tcPr>
                <w:p w:rsidR="005C5BCA" w:rsidRPr="003575E6" w:rsidRDefault="000F2D0A" w:rsidP="000F2D0A">
                  <w:pPr>
                    <w:spacing w:after="100" w:afterAutospacing="1"/>
                    <w:jc w:val="center"/>
                    <w:rPr>
                      <w:rFonts w:cs="Arial"/>
                      <w:sz w:val="18"/>
                      <w:szCs w:val="18"/>
                    </w:rPr>
                  </w:pPr>
                  <w:r w:rsidRPr="003575E6">
                    <w:rPr>
                      <w:rFonts w:cs="Arial"/>
                      <w:sz w:val="18"/>
                      <w:szCs w:val="18"/>
                      <w:lang w:val="es-ES_tradnl"/>
                    </w:rPr>
                    <w:t>Primero</w:t>
                  </w:r>
                </w:p>
              </w:tc>
              <w:tc>
                <w:tcPr>
                  <w:tcW w:w="1134" w:type="dxa"/>
                  <w:gridSpan w:val="2"/>
                  <w:tcBorders>
                    <w:top w:val="nil"/>
                    <w:left w:val="nil"/>
                    <w:bottom w:val="single" w:sz="8" w:space="0" w:color="auto"/>
                    <w:right w:val="single" w:sz="4" w:space="0" w:color="auto"/>
                  </w:tcBorders>
                  <w:shd w:val="clear" w:color="auto" w:fill="auto"/>
                  <w:noWrap/>
                  <w:vAlign w:val="center"/>
                  <w:hideMark/>
                </w:tcPr>
                <w:p w:rsidR="005C5BCA" w:rsidRPr="003575E6" w:rsidRDefault="000F2D0A" w:rsidP="000F2D0A">
                  <w:pPr>
                    <w:jc w:val="center"/>
                    <w:rPr>
                      <w:rFonts w:cs="Arial"/>
                      <w:sz w:val="18"/>
                      <w:szCs w:val="18"/>
                    </w:rPr>
                  </w:pPr>
                  <w:r w:rsidRPr="003575E6">
                    <w:rPr>
                      <w:rFonts w:cs="Arial"/>
                      <w:sz w:val="18"/>
                      <w:szCs w:val="18"/>
                      <w:lang w:val="es-ES_tradnl"/>
                    </w:rPr>
                    <w:t>Segundo</w:t>
                  </w:r>
                </w:p>
              </w:tc>
              <w:tc>
                <w:tcPr>
                  <w:tcW w:w="2425" w:type="dxa"/>
                  <w:gridSpan w:val="2"/>
                  <w:tcBorders>
                    <w:top w:val="nil"/>
                    <w:left w:val="nil"/>
                    <w:bottom w:val="single" w:sz="8" w:space="0" w:color="auto"/>
                    <w:right w:val="single" w:sz="4" w:space="0" w:color="auto"/>
                  </w:tcBorders>
                  <w:shd w:val="clear" w:color="auto" w:fill="auto"/>
                  <w:noWrap/>
                  <w:vAlign w:val="center"/>
                  <w:hideMark/>
                </w:tcPr>
                <w:p w:rsidR="005C5BCA" w:rsidRPr="003575E6" w:rsidRDefault="000F2D0A" w:rsidP="000F2D0A">
                  <w:pPr>
                    <w:jc w:val="center"/>
                    <w:rPr>
                      <w:rFonts w:cs="Arial"/>
                      <w:sz w:val="18"/>
                      <w:szCs w:val="18"/>
                    </w:rPr>
                  </w:pPr>
                  <w:r w:rsidRPr="003575E6">
                    <w:rPr>
                      <w:rFonts w:cs="Arial"/>
                      <w:sz w:val="18"/>
                      <w:szCs w:val="18"/>
                      <w:lang w:val="es-ES_tradnl"/>
                    </w:rPr>
                    <w:t>Método 1</w:t>
                  </w:r>
                </w:p>
              </w:tc>
              <w:tc>
                <w:tcPr>
                  <w:tcW w:w="1984" w:type="dxa"/>
                  <w:tcBorders>
                    <w:top w:val="nil"/>
                    <w:left w:val="nil"/>
                    <w:bottom w:val="single" w:sz="8" w:space="0" w:color="auto"/>
                    <w:right w:val="single" w:sz="4" w:space="0" w:color="auto"/>
                  </w:tcBorders>
                  <w:shd w:val="clear" w:color="auto" w:fill="auto"/>
                  <w:noWrap/>
                  <w:vAlign w:val="center"/>
                  <w:hideMark/>
                </w:tcPr>
                <w:p w:rsidR="005C5BCA" w:rsidRPr="003575E6" w:rsidRDefault="000F2D0A" w:rsidP="000F2D0A">
                  <w:pPr>
                    <w:jc w:val="center"/>
                    <w:rPr>
                      <w:rFonts w:cs="Arial"/>
                      <w:sz w:val="18"/>
                      <w:szCs w:val="18"/>
                    </w:rPr>
                  </w:pPr>
                  <w:r w:rsidRPr="003575E6">
                    <w:rPr>
                      <w:rFonts w:cs="Arial"/>
                      <w:sz w:val="18"/>
                      <w:szCs w:val="18"/>
                      <w:lang w:val="es-ES_tradnl"/>
                    </w:rPr>
                    <w:t>Método 2</w:t>
                  </w:r>
                </w:p>
              </w:tc>
            </w:tr>
            <w:tr w:rsidR="003575E6" w:rsidRPr="007E0D61" w:rsidTr="00A55C19">
              <w:trPr>
                <w:gridBefore w:val="1"/>
                <w:wBefore w:w="426" w:type="dxa"/>
                <w:trHeight w:val="240"/>
              </w:trPr>
              <w:tc>
                <w:tcPr>
                  <w:tcW w:w="694" w:type="dxa"/>
                  <w:vMerge w:val="restart"/>
                  <w:tcBorders>
                    <w:top w:val="single" w:sz="4" w:space="0" w:color="auto"/>
                    <w:left w:val="single" w:sz="4" w:space="0" w:color="auto"/>
                    <w:bottom w:val="single" w:sz="4" w:space="0" w:color="auto"/>
                    <w:right w:val="single" w:sz="4" w:space="0" w:color="000000"/>
                  </w:tcBorders>
                  <w:shd w:val="clear" w:color="auto" w:fill="auto"/>
                  <w:textDirection w:val="btLr"/>
                  <w:vAlign w:val="center"/>
                  <w:hideMark/>
                </w:tcPr>
                <w:p w:rsidR="005C5BCA" w:rsidRPr="003575E6" w:rsidRDefault="000F2D0A" w:rsidP="000F2D0A">
                  <w:pPr>
                    <w:jc w:val="center"/>
                    <w:rPr>
                      <w:rFonts w:cs="Arial"/>
                      <w:sz w:val="18"/>
                      <w:szCs w:val="18"/>
                      <w:lang w:val="es-ES"/>
                    </w:rPr>
                  </w:pPr>
                  <w:r w:rsidRPr="003575E6">
                    <w:rPr>
                      <w:rFonts w:cs="Arial"/>
                      <w:sz w:val="18"/>
                      <w:szCs w:val="18"/>
                      <w:lang w:val="es-ES_tradnl"/>
                    </w:rPr>
                    <w:t>Número de plantas fuera de tipo</w:t>
                  </w:r>
                </w:p>
              </w:tc>
              <w:tc>
                <w:tcPr>
                  <w:tcW w:w="1134" w:type="dxa"/>
                  <w:tcBorders>
                    <w:top w:val="nil"/>
                    <w:left w:val="single" w:sz="8" w:space="0" w:color="auto"/>
                    <w:bottom w:val="single" w:sz="8" w:space="0" w:color="auto"/>
                    <w:right w:val="single" w:sz="4" w:space="0" w:color="auto"/>
                  </w:tcBorders>
                  <w:shd w:val="clear" w:color="auto" w:fill="auto"/>
                  <w:noWrap/>
                  <w:vAlign w:val="center"/>
                  <w:hideMark/>
                </w:tcPr>
                <w:p w:rsidR="005C5BCA" w:rsidRPr="003575E6" w:rsidRDefault="005C5BCA" w:rsidP="00431767">
                  <w:pPr>
                    <w:jc w:val="center"/>
                    <w:rPr>
                      <w:rFonts w:cs="Arial"/>
                      <w:sz w:val="18"/>
                      <w:szCs w:val="18"/>
                      <w:lang w:val="es-ES"/>
                    </w:rPr>
                  </w:pPr>
                  <w:r w:rsidRPr="003575E6">
                    <w:rPr>
                      <w:rFonts w:cs="Arial"/>
                      <w:sz w:val="18"/>
                      <w:szCs w:val="18"/>
                      <w:lang w:val="es-ES"/>
                    </w:rPr>
                    <w:t>2</w:t>
                  </w:r>
                </w:p>
              </w:tc>
              <w:tc>
                <w:tcPr>
                  <w:tcW w:w="1134" w:type="dxa"/>
                  <w:gridSpan w:val="2"/>
                  <w:tcBorders>
                    <w:top w:val="nil"/>
                    <w:left w:val="nil"/>
                    <w:bottom w:val="single" w:sz="8" w:space="0" w:color="auto"/>
                    <w:right w:val="single" w:sz="4" w:space="0" w:color="auto"/>
                  </w:tcBorders>
                  <w:shd w:val="clear" w:color="auto" w:fill="auto"/>
                  <w:noWrap/>
                  <w:vAlign w:val="center"/>
                  <w:hideMark/>
                </w:tcPr>
                <w:p w:rsidR="005C5BCA" w:rsidRPr="003575E6" w:rsidRDefault="005C5BCA" w:rsidP="00431767">
                  <w:pPr>
                    <w:jc w:val="center"/>
                    <w:rPr>
                      <w:rFonts w:cs="Arial"/>
                      <w:sz w:val="18"/>
                      <w:szCs w:val="18"/>
                      <w:lang w:val="es-ES"/>
                    </w:rPr>
                  </w:pPr>
                  <w:r w:rsidRPr="003575E6">
                    <w:rPr>
                      <w:rFonts w:cs="Arial"/>
                      <w:sz w:val="18"/>
                      <w:szCs w:val="18"/>
                      <w:lang w:val="es-ES"/>
                    </w:rPr>
                    <w:t>2</w:t>
                  </w:r>
                </w:p>
              </w:tc>
              <w:tc>
                <w:tcPr>
                  <w:tcW w:w="2425" w:type="dxa"/>
                  <w:gridSpan w:val="2"/>
                  <w:tcBorders>
                    <w:top w:val="nil"/>
                    <w:left w:val="nil"/>
                    <w:bottom w:val="single" w:sz="8" w:space="0" w:color="auto"/>
                    <w:right w:val="single" w:sz="4" w:space="0" w:color="auto"/>
                  </w:tcBorders>
                  <w:shd w:val="clear" w:color="auto" w:fill="auto"/>
                  <w:noWrap/>
                  <w:vAlign w:val="center"/>
                  <w:hideMark/>
                </w:tcPr>
                <w:p w:rsidR="005C5BCA" w:rsidRPr="003575E6" w:rsidRDefault="000F2D0A" w:rsidP="000F2D0A">
                  <w:pPr>
                    <w:jc w:val="center"/>
                    <w:rPr>
                      <w:rFonts w:cs="Arial"/>
                      <w:sz w:val="18"/>
                      <w:szCs w:val="18"/>
                      <w:lang w:val="es-ES"/>
                    </w:rPr>
                  </w:pPr>
                  <w:r w:rsidRPr="003575E6">
                    <w:rPr>
                      <w:rFonts w:cs="Arial"/>
                      <w:sz w:val="18"/>
                      <w:szCs w:val="18"/>
                      <w:lang w:val="es-ES_tradnl"/>
                    </w:rPr>
                    <w:t>homogénea</w:t>
                  </w:r>
                </w:p>
              </w:tc>
              <w:tc>
                <w:tcPr>
                  <w:tcW w:w="1984" w:type="dxa"/>
                  <w:tcBorders>
                    <w:top w:val="nil"/>
                    <w:left w:val="nil"/>
                    <w:bottom w:val="single" w:sz="8" w:space="0" w:color="auto"/>
                    <w:right w:val="single" w:sz="8" w:space="0" w:color="auto"/>
                  </w:tcBorders>
                  <w:shd w:val="clear" w:color="auto" w:fill="auto"/>
                  <w:vAlign w:val="center"/>
                  <w:hideMark/>
                </w:tcPr>
                <w:p w:rsidR="005C5BCA" w:rsidRPr="003575E6" w:rsidRDefault="000F2D0A" w:rsidP="000F2D0A">
                  <w:pPr>
                    <w:jc w:val="center"/>
                    <w:rPr>
                      <w:rFonts w:cs="Arial"/>
                      <w:sz w:val="18"/>
                      <w:szCs w:val="18"/>
                      <w:lang w:val="es-ES"/>
                    </w:rPr>
                  </w:pPr>
                  <w:r w:rsidRPr="003575E6">
                    <w:rPr>
                      <w:rFonts w:cs="Arial"/>
                      <w:sz w:val="18"/>
                      <w:szCs w:val="18"/>
                      <w:lang w:val="es-ES_tradnl"/>
                    </w:rPr>
                    <w:t>homogénea</w:t>
                  </w:r>
                </w:p>
              </w:tc>
            </w:tr>
            <w:tr w:rsidR="003575E6" w:rsidRPr="007E0D61" w:rsidTr="00A55C19">
              <w:trPr>
                <w:gridBefore w:val="1"/>
                <w:wBefore w:w="426" w:type="dxa"/>
                <w:trHeight w:val="273"/>
              </w:trPr>
              <w:tc>
                <w:tcPr>
                  <w:tcW w:w="694" w:type="dxa"/>
                  <w:vMerge/>
                  <w:tcBorders>
                    <w:top w:val="single" w:sz="4" w:space="0" w:color="auto"/>
                    <w:left w:val="single" w:sz="4" w:space="0" w:color="auto"/>
                    <w:bottom w:val="single" w:sz="4" w:space="0" w:color="auto"/>
                    <w:right w:val="single" w:sz="4" w:space="0" w:color="000000"/>
                  </w:tcBorders>
                  <w:vAlign w:val="center"/>
                  <w:hideMark/>
                </w:tcPr>
                <w:p w:rsidR="005C5BCA" w:rsidRPr="003575E6" w:rsidRDefault="005C5BCA" w:rsidP="00431767">
                  <w:pPr>
                    <w:jc w:val="left"/>
                    <w:rPr>
                      <w:rFonts w:cs="Arial"/>
                      <w:sz w:val="18"/>
                      <w:szCs w:val="18"/>
                      <w:lang w:val="es-ES"/>
                    </w:rPr>
                  </w:pPr>
                </w:p>
              </w:tc>
              <w:tc>
                <w:tcPr>
                  <w:tcW w:w="1134" w:type="dxa"/>
                  <w:tcBorders>
                    <w:top w:val="nil"/>
                    <w:left w:val="nil"/>
                    <w:bottom w:val="single" w:sz="8" w:space="0" w:color="auto"/>
                    <w:right w:val="single" w:sz="4" w:space="0" w:color="auto"/>
                  </w:tcBorders>
                  <w:shd w:val="clear" w:color="auto" w:fill="auto"/>
                  <w:vAlign w:val="center"/>
                  <w:hideMark/>
                </w:tcPr>
                <w:p w:rsidR="005C5BCA" w:rsidRPr="003575E6" w:rsidRDefault="005C5BCA" w:rsidP="00431767">
                  <w:pPr>
                    <w:jc w:val="center"/>
                    <w:rPr>
                      <w:rFonts w:cs="Arial"/>
                      <w:sz w:val="18"/>
                      <w:szCs w:val="18"/>
                      <w:lang w:val="es-ES"/>
                    </w:rPr>
                  </w:pPr>
                  <w:r w:rsidRPr="003575E6">
                    <w:rPr>
                      <w:rFonts w:cs="Arial"/>
                      <w:sz w:val="18"/>
                      <w:szCs w:val="18"/>
                      <w:lang w:val="es-ES"/>
                    </w:rPr>
                    <w:t>0</w:t>
                  </w:r>
                </w:p>
              </w:tc>
              <w:tc>
                <w:tcPr>
                  <w:tcW w:w="1134" w:type="dxa"/>
                  <w:gridSpan w:val="2"/>
                  <w:tcBorders>
                    <w:top w:val="nil"/>
                    <w:left w:val="nil"/>
                    <w:bottom w:val="single" w:sz="8" w:space="0" w:color="auto"/>
                    <w:right w:val="single" w:sz="4" w:space="0" w:color="auto"/>
                  </w:tcBorders>
                  <w:shd w:val="clear" w:color="auto" w:fill="auto"/>
                  <w:vAlign w:val="center"/>
                  <w:hideMark/>
                </w:tcPr>
                <w:p w:rsidR="005C5BCA" w:rsidRPr="003575E6" w:rsidRDefault="005C5BCA" w:rsidP="00431767">
                  <w:pPr>
                    <w:jc w:val="center"/>
                    <w:rPr>
                      <w:rFonts w:cs="Arial"/>
                      <w:sz w:val="18"/>
                      <w:szCs w:val="18"/>
                      <w:lang w:val="es-ES"/>
                    </w:rPr>
                  </w:pPr>
                  <w:r w:rsidRPr="003575E6">
                    <w:rPr>
                      <w:rFonts w:cs="Arial"/>
                      <w:sz w:val="18"/>
                      <w:szCs w:val="18"/>
                      <w:lang w:val="es-ES"/>
                    </w:rPr>
                    <w:t>3</w:t>
                  </w:r>
                </w:p>
              </w:tc>
              <w:tc>
                <w:tcPr>
                  <w:tcW w:w="2425" w:type="dxa"/>
                  <w:gridSpan w:val="2"/>
                  <w:tcBorders>
                    <w:top w:val="nil"/>
                    <w:left w:val="nil"/>
                    <w:bottom w:val="single" w:sz="8" w:space="0" w:color="auto"/>
                    <w:right w:val="single" w:sz="4" w:space="0" w:color="auto"/>
                  </w:tcBorders>
                  <w:shd w:val="clear" w:color="auto" w:fill="auto"/>
                  <w:vAlign w:val="center"/>
                  <w:hideMark/>
                </w:tcPr>
                <w:p w:rsidR="005C5BCA" w:rsidRPr="003575E6" w:rsidRDefault="000F2D0A" w:rsidP="000F2D0A">
                  <w:pPr>
                    <w:jc w:val="center"/>
                    <w:rPr>
                      <w:rFonts w:cs="Arial"/>
                      <w:sz w:val="18"/>
                      <w:szCs w:val="18"/>
                      <w:lang w:val="es-ES"/>
                    </w:rPr>
                  </w:pPr>
                  <w:r w:rsidRPr="003575E6">
                    <w:rPr>
                      <w:rFonts w:cs="Arial"/>
                      <w:sz w:val="18"/>
                      <w:szCs w:val="18"/>
                      <w:lang w:val="es-ES_tradnl"/>
                    </w:rPr>
                    <w:t>tercer ciclo de cultivo</w:t>
                  </w:r>
                </w:p>
              </w:tc>
              <w:tc>
                <w:tcPr>
                  <w:tcW w:w="1984" w:type="dxa"/>
                  <w:tcBorders>
                    <w:top w:val="nil"/>
                    <w:left w:val="nil"/>
                    <w:bottom w:val="single" w:sz="8" w:space="0" w:color="auto"/>
                    <w:right w:val="single" w:sz="4" w:space="0" w:color="auto"/>
                  </w:tcBorders>
                  <w:shd w:val="clear" w:color="auto" w:fill="auto"/>
                  <w:vAlign w:val="center"/>
                  <w:hideMark/>
                </w:tcPr>
                <w:p w:rsidR="005C5BCA" w:rsidRPr="003575E6" w:rsidRDefault="000F2D0A" w:rsidP="000F2D0A">
                  <w:pPr>
                    <w:jc w:val="center"/>
                    <w:rPr>
                      <w:rFonts w:cs="Arial"/>
                      <w:sz w:val="18"/>
                      <w:szCs w:val="18"/>
                      <w:lang w:val="es-ES"/>
                    </w:rPr>
                  </w:pPr>
                  <w:r w:rsidRPr="003575E6">
                    <w:rPr>
                      <w:rFonts w:cs="Arial"/>
                      <w:sz w:val="18"/>
                      <w:szCs w:val="18"/>
                      <w:lang w:val="es-ES_tradnl"/>
                    </w:rPr>
                    <w:t>homogénea</w:t>
                  </w:r>
                </w:p>
              </w:tc>
            </w:tr>
            <w:tr w:rsidR="003575E6" w:rsidRPr="007E0D61" w:rsidTr="00A55C19">
              <w:trPr>
                <w:gridBefore w:val="1"/>
                <w:wBefore w:w="426" w:type="dxa"/>
                <w:trHeight w:val="248"/>
              </w:trPr>
              <w:tc>
                <w:tcPr>
                  <w:tcW w:w="694" w:type="dxa"/>
                  <w:vMerge/>
                  <w:tcBorders>
                    <w:top w:val="single" w:sz="4" w:space="0" w:color="auto"/>
                    <w:left w:val="single" w:sz="4" w:space="0" w:color="auto"/>
                    <w:bottom w:val="single" w:sz="4" w:space="0" w:color="auto"/>
                    <w:right w:val="single" w:sz="4" w:space="0" w:color="000000"/>
                  </w:tcBorders>
                  <w:vAlign w:val="center"/>
                  <w:hideMark/>
                </w:tcPr>
                <w:p w:rsidR="005C5BCA" w:rsidRPr="003575E6" w:rsidRDefault="005C5BCA" w:rsidP="00431767">
                  <w:pPr>
                    <w:jc w:val="left"/>
                    <w:rPr>
                      <w:rFonts w:cs="Arial"/>
                      <w:sz w:val="18"/>
                      <w:szCs w:val="18"/>
                      <w:lang w:val="es-ES"/>
                    </w:rPr>
                  </w:pPr>
                </w:p>
              </w:tc>
              <w:tc>
                <w:tcPr>
                  <w:tcW w:w="1134" w:type="dxa"/>
                  <w:tcBorders>
                    <w:top w:val="nil"/>
                    <w:left w:val="single" w:sz="8" w:space="0" w:color="auto"/>
                    <w:bottom w:val="single" w:sz="8" w:space="0" w:color="auto"/>
                    <w:right w:val="single" w:sz="4" w:space="0" w:color="auto"/>
                  </w:tcBorders>
                  <w:shd w:val="clear" w:color="auto" w:fill="auto"/>
                  <w:vAlign w:val="center"/>
                  <w:hideMark/>
                </w:tcPr>
                <w:p w:rsidR="005C5BCA" w:rsidRPr="003575E6" w:rsidRDefault="005C5BCA" w:rsidP="00431767">
                  <w:pPr>
                    <w:jc w:val="center"/>
                    <w:rPr>
                      <w:rFonts w:cs="Arial"/>
                      <w:sz w:val="18"/>
                      <w:szCs w:val="18"/>
                      <w:lang w:val="es-ES"/>
                    </w:rPr>
                  </w:pPr>
                  <w:r w:rsidRPr="003575E6">
                    <w:rPr>
                      <w:rFonts w:cs="Arial"/>
                      <w:sz w:val="18"/>
                      <w:szCs w:val="18"/>
                      <w:lang w:val="es-ES"/>
                    </w:rPr>
                    <w:t>1</w:t>
                  </w:r>
                </w:p>
              </w:tc>
              <w:tc>
                <w:tcPr>
                  <w:tcW w:w="1134" w:type="dxa"/>
                  <w:gridSpan w:val="2"/>
                  <w:tcBorders>
                    <w:top w:val="nil"/>
                    <w:left w:val="nil"/>
                    <w:bottom w:val="single" w:sz="8" w:space="0" w:color="auto"/>
                    <w:right w:val="single" w:sz="4" w:space="0" w:color="auto"/>
                  </w:tcBorders>
                  <w:shd w:val="clear" w:color="auto" w:fill="auto"/>
                  <w:vAlign w:val="center"/>
                  <w:hideMark/>
                </w:tcPr>
                <w:p w:rsidR="005C5BCA" w:rsidRPr="003575E6" w:rsidRDefault="005C5BCA" w:rsidP="00431767">
                  <w:pPr>
                    <w:jc w:val="center"/>
                    <w:rPr>
                      <w:rFonts w:cs="Arial"/>
                      <w:sz w:val="18"/>
                      <w:szCs w:val="18"/>
                      <w:lang w:val="es-ES"/>
                    </w:rPr>
                  </w:pPr>
                  <w:r w:rsidRPr="003575E6">
                    <w:rPr>
                      <w:rFonts w:cs="Arial"/>
                      <w:sz w:val="18"/>
                      <w:szCs w:val="18"/>
                      <w:lang w:val="es-ES"/>
                    </w:rPr>
                    <w:t>3</w:t>
                  </w:r>
                </w:p>
              </w:tc>
              <w:tc>
                <w:tcPr>
                  <w:tcW w:w="2425" w:type="dxa"/>
                  <w:gridSpan w:val="2"/>
                  <w:tcBorders>
                    <w:top w:val="nil"/>
                    <w:left w:val="nil"/>
                    <w:bottom w:val="single" w:sz="8" w:space="0" w:color="auto"/>
                    <w:right w:val="single" w:sz="4" w:space="0" w:color="auto"/>
                  </w:tcBorders>
                  <w:shd w:val="clear" w:color="auto" w:fill="auto"/>
                  <w:vAlign w:val="center"/>
                  <w:hideMark/>
                </w:tcPr>
                <w:p w:rsidR="005C5BCA" w:rsidRPr="003575E6" w:rsidRDefault="000F2D0A" w:rsidP="000F2D0A">
                  <w:pPr>
                    <w:jc w:val="center"/>
                    <w:rPr>
                      <w:rFonts w:cs="Arial"/>
                      <w:sz w:val="18"/>
                      <w:szCs w:val="18"/>
                      <w:lang w:val="es-ES"/>
                    </w:rPr>
                  </w:pPr>
                  <w:r w:rsidRPr="003575E6">
                    <w:rPr>
                      <w:rFonts w:cs="Arial"/>
                      <w:sz w:val="18"/>
                      <w:szCs w:val="18"/>
                      <w:lang w:val="es-ES_tradnl"/>
                    </w:rPr>
                    <w:t>tercer ciclo de cultivo</w:t>
                  </w:r>
                </w:p>
              </w:tc>
              <w:tc>
                <w:tcPr>
                  <w:tcW w:w="1984" w:type="dxa"/>
                  <w:tcBorders>
                    <w:top w:val="nil"/>
                    <w:left w:val="nil"/>
                    <w:bottom w:val="single" w:sz="8" w:space="0" w:color="auto"/>
                    <w:right w:val="single" w:sz="8" w:space="0" w:color="auto"/>
                  </w:tcBorders>
                  <w:shd w:val="clear" w:color="auto" w:fill="auto"/>
                  <w:vAlign w:val="center"/>
                  <w:hideMark/>
                </w:tcPr>
                <w:p w:rsidR="005C5BCA" w:rsidRPr="003575E6" w:rsidRDefault="000F2D0A" w:rsidP="000F2D0A">
                  <w:pPr>
                    <w:jc w:val="center"/>
                    <w:rPr>
                      <w:rFonts w:cs="Arial"/>
                      <w:sz w:val="18"/>
                      <w:szCs w:val="18"/>
                      <w:lang w:val="es-ES"/>
                    </w:rPr>
                  </w:pPr>
                  <w:r w:rsidRPr="003575E6">
                    <w:rPr>
                      <w:rFonts w:cs="Arial"/>
                      <w:sz w:val="18"/>
                      <w:szCs w:val="18"/>
                      <w:lang w:val="es-ES_tradnl"/>
                    </w:rPr>
                    <w:t>no homogénea</w:t>
                  </w:r>
                </w:p>
              </w:tc>
            </w:tr>
            <w:tr w:rsidR="003575E6" w:rsidRPr="007E0D61" w:rsidTr="00A55C19">
              <w:trPr>
                <w:gridBefore w:val="1"/>
                <w:wBefore w:w="426" w:type="dxa"/>
                <w:trHeight w:val="267"/>
              </w:trPr>
              <w:tc>
                <w:tcPr>
                  <w:tcW w:w="694" w:type="dxa"/>
                  <w:vMerge/>
                  <w:tcBorders>
                    <w:top w:val="single" w:sz="4" w:space="0" w:color="auto"/>
                    <w:left w:val="single" w:sz="4" w:space="0" w:color="auto"/>
                    <w:bottom w:val="single" w:sz="4" w:space="0" w:color="auto"/>
                    <w:right w:val="single" w:sz="4" w:space="0" w:color="000000"/>
                  </w:tcBorders>
                  <w:vAlign w:val="center"/>
                  <w:hideMark/>
                </w:tcPr>
                <w:p w:rsidR="005C5BCA" w:rsidRPr="003575E6" w:rsidRDefault="005C5BCA" w:rsidP="00431767">
                  <w:pPr>
                    <w:jc w:val="left"/>
                    <w:rPr>
                      <w:rFonts w:cs="Arial"/>
                      <w:sz w:val="18"/>
                      <w:szCs w:val="18"/>
                      <w:lang w:val="es-ES"/>
                    </w:rPr>
                  </w:pPr>
                </w:p>
              </w:tc>
              <w:tc>
                <w:tcPr>
                  <w:tcW w:w="1134" w:type="dxa"/>
                  <w:tcBorders>
                    <w:top w:val="nil"/>
                    <w:left w:val="nil"/>
                    <w:bottom w:val="single" w:sz="4" w:space="0" w:color="auto"/>
                    <w:right w:val="single" w:sz="4" w:space="0" w:color="auto"/>
                  </w:tcBorders>
                  <w:shd w:val="clear" w:color="auto" w:fill="auto"/>
                  <w:noWrap/>
                  <w:vAlign w:val="center"/>
                  <w:hideMark/>
                </w:tcPr>
                <w:p w:rsidR="005C5BCA" w:rsidRPr="003575E6" w:rsidRDefault="005C5BCA" w:rsidP="00431767">
                  <w:pPr>
                    <w:jc w:val="center"/>
                    <w:rPr>
                      <w:rFonts w:cs="Arial"/>
                      <w:sz w:val="18"/>
                      <w:szCs w:val="18"/>
                      <w:lang w:val="es-ES"/>
                    </w:rPr>
                  </w:pPr>
                  <w:r w:rsidRPr="003575E6">
                    <w:rPr>
                      <w:rFonts w:cs="Arial"/>
                      <w:sz w:val="18"/>
                      <w:szCs w:val="18"/>
                      <w:lang w:val="es-ES"/>
                    </w:rPr>
                    <w:t>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C5BCA" w:rsidRPr="003575E6" w:rsidRDefault="005C5BCA" w:rsidP="00431767">
                  <w:pPr>
                    <w:jc w:val="center"/>
                    <w:rPr>
                      <w:rFonts w:cs="Arial"/>
                      <w:sz w:val="18"/>
                      <w:szCs w:val="18"/>
                      <w:lang w:val="es-ES"/>
                    </w:rPr>
                  </w:pPr>
                  <w:r w:rsidRPr="003575E6">
                    <w:rPr>
                      <w:rFonts w:cs="Arial"/>
                      <w:sz w:val="18"/>
                      <w:szCs w:val="18"/>
                      <w:lang w:val="es-ES"/>
                    </w:rPr>
                    <w:t>10*</w:t>
                  </w:r>
                </w:p>
              </w:tc>
              <w:tc>
                <w:tcPr>
                  <w:tcW w:w="2425" w:type="dxa"/>
                  <w:gridSpan w:val="2"/>
                  <w:tcBorders>
                    <w:top w:val="nil"/>
                    <w:left w:val="nil"/>
                    <w:bottom w:val="single" w:sz="4" w:space="0" w:color="auto"/>
                    <w:right w:val="single" w:sz="4" w:space="0" w:color="auto"/>
                  </w:tcBorders>
                  <w:shd w:val="clear" w:color="auto" w:fill="auto"/>
                  <w:vAlign w:val="center"/>
                  <w:hideMark/>
                </w:tcPr>
                <w:p w:rsidR="005C5BCA" w:rsidRPr="003575E6" w:rsidRDefault="000F2D0A" w:rsidP="000F2D0A">
                  <w:pPr>
                    <w:jc w:val="center"/>
                    <w:rPr>
                      <w:rFonts w:cs="Arial"/>
                      <w:sz w:val="18"/>
                      <w:szCs w:val="18"/>
                      <w:lang w:val="es-ES"/>
                    </w:rPr>
                  </w:pPr>
                  <w:r w:rsidRPr="003575E6">
                    <w:rPr>
                      <w:rFonts w:cs="Arial"/>
                      <w:sz w:val="18"/>
                      <w:szCs w:val="18"/>
                      <w:lang w:val="es-ES_tradnl"/>
                    </w:rPr>
                    <w:t>tercer ciclo de cultivo</w:t>
                  </w:r>
                  <w:r w:rsidR="005B711C" w:rsidRPr="003575E6">
                    <w:rPr>
                      <w:rFonts w:cs="Arial"/>
                      <w:sz w:val="18"/>
                      <w:szCs w:val="18"/>
                      <w:lang w:val="es-ES_tradnl"/>
                    </w:rPr>
                    <w:t>*</w:t>
                  </w:r>
                </w:p>
              </w:tc>
              <w:tc>
                <w:tcPr>
                  <w:tcW w:w="1984" w:type="dxa"/>
                  <w:tcBorders>
                    <w:top w:val="nil"/>
                    <w:left w:val="nil"/>
                    <w:bottom w:val="single" w:sz="4" w:space="0" w:color="auto"/>
                    <w:right w:val="single" w:sz="4" w:space="0" w:color="auto"/>
                  </w:tcBorders>
                  <w:shd w:val="clear" w:color="auto" w:fill="auto"/>
                  <w:vAlign w:val="center"/>
                  <w:hideMark/>
                </w:tcPr>
                <w:p w:rsidR="005C5BCA" w:rsidRPr="003575E6" w:rsidRDefault="000F2D0A" w:rsidP="000F2D0A">
                  <w:pPr>
                    <w:jc w:val="center"/>
                    <w:rPr>
                      <w:rFonts w:cs="Arial"/>
                      <w:sz w:val="18"/>
                      <w:szCs w:val="18"/>
                      <w:lang w:val="es-ES"/>
                    </w:rPr>
                  </w:pPr>
                  <w:r w:rsidRPr="003575E6">
                    <w:rPr>
                      <w:rFonts w:cs="Arial"/>
                      <w:sz w:val="18"/>
                      <w:szCs w:val="18"/>
                      <w:lang w:val="es-ES_tradnl"/>
                    </w:rPr>
                    <w:t>no homogénea</w:t>
                  </w:r>
                  <w:r w:rsidR="005B711C" w:rsidRPr="003575E6">
                    <w:rPr>
                      <w:rFonts w:cs="Arial"/>
                      <w:sz w:val="18"/>
                      <w:szCs w:val="18"/>
                      <w:lang w:val="es-ES_tradnl"/>
                    </w:rPr>
                    <w:t>*</w:t>
                  </w:r>
                </w:p>
              </w:tc>
            </w:tr>
            <w:tr w:rsidR="003575E6" w:rsidRPr="007E0D61" w:rsidTr="00A55C19">
              <w:trPr>
                <w:gridBefore w:val="1"/>
                <w:wBefore w:w="426" w:type="dxa"/>
                <w:trHeight w:val="266"/>
              </w:trPr>
              <w:tc>
                <w:tcPr>
                  <w:tcW w:w="694" w:type="dxa"/>
                  <w:vMerge/>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C5BCA" w:rsidRPr="003575E6" w:rsidRDefault="005C5BCA" w:rsidP="00431767">
                  <w:pPr>
                    <w:jc w:val="left"/>
                    <w:rPr>
                      <w:rFonts w:cs="Arial"/>
                      <w:sz w:val="18"/>
                      <w:szCs w:val="18"/>
                      <w:lang w:val="es-ES"/>
                    </w:rPr>
                  </w:pPr>
                </w:p>
              </w:tc>
              <w:tc>
                <w:tcPr>
                  <w:tcW w:w="1134" w:type="dxa"/>
                  <w:tcBorders>
                    <w:top w:val="nil"/>
                    <w:left w:val="single" w:sz="4" w:space="0" w:color="000000"/>
                    <w:bottom w:val="single" w:sz="4" w:space="0" w:color="auto"/>
                    <w:right w:val="single" w:sz="4" w:space="0" w:color="auto"/>
                  </w:tcBorders>
                  <w:shd w:val="clear" w:color="auto" w:fill="auto"/>
                  <w:noWrap/>
                  <w:vAlign w:val="center"/>
                  <w:hideMark/>
                </w:tcPr>
                <w:p w:rsidR="005C5BCA" w:rsidRPr="003575E6" w:rsidRDefault="005C5BCA" w:rsidP="00431767">
                  <w:pPr>
                    <w:jc w:val="center"/>
                    <w:rPr>
                      <w:rFonts w:cs="Arial"/>
                      <w:sz w:val="18"/>
                      <w:szCs w:val="18"/>
                      <w:lang w:val="es-ES"/>
                    </w:rPr>
                  </w:pPr>
                  <w:r w:rsidRPr="003575E6">
                    <w:rPr>
                      <w:rFonts w:cs="Arial"/>
                      <w:sz w:val="18"/>
                      <w:szCs w:val="18"/>
                      <w:lang w:val="es-ES"/>
                    </w:rPr>
                    <w:t>10**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C5BCA" w:rsidRPr="003575E6" w:rsidRDefault="005C5BCA" w:rsidP="00431767">
                  <w:pPr>
                    <w:jc w:val="center"/>
                    <w:rPr>
                      <w:rFonts w:cs="Arial"/>
                      <w:sz w:val="18"/>
                      <w:szCs w:val="18"/>
                      <w:lang w:val="es-ES"/>
                    </w:rPr>
                  </w:pPr>
                  <w:r w:rsidRPr="003575E6">
                    <w:rPr>
                      <w:rFonts w:cs="Arial"/>
                      <w:sz w:val="18"/>
                      <w:szCs w:val="18"/>
                      <w:lang w:val="es-ES"/>
                    </w:rPr>
                    <w:t>0</w:t>
                  </w:r>
                </w:p>
              </w:tc>
              <w:tc>
                <w:tcPr>
                  <w:tcW w:w="2425" w:type="dxa"/>
                  <w:gridSpan w:val="2"/>
                  <w:tcBorders>
                    <w:top w:val="nil"/>
                    <w:left w:val="single" w:sz="4" w:space="0" w:color="auto"/>
                    <w:bottom w:val="single" w:sz="4" w:space="0" w:color="auto"/>
                    <w:right w:val="single" w:sz="4" w:space="0" w:color="auto"/>
                  </w:tcBorders>
                  <w:shd w:val="clear" w:color="auto" w:fill="auto"/>
                  <w:noWrap/>
                  <w:vAlign w:val="center"/>
                  <w:hideMark/>
                </w:tcPr>
                <w:p w:rsidR="005C5BCA" w:rsidRPr="003575E6" w:rsidRDefault="000F2D0A" w:rsidP="000F2D0A">
                  <w:pPr>
                    <w:jc w:val="center"/>
                    <w:rPr>
                      <w:rFonts w:cs="Arial"/>
                      <w:sz w:val="18"/>
                      <w:szCs w:val="18"/>
                      <w:lang w:val="es-ES"/>
                    </w:rPr>
                  </w:pPr>
                  <w:r w:rsidRPr="003575E6">
                    <w:rPr>
                      <w:rFonts w:cs="Arial"/>
                      <w:sz w:val="18"/>
                      <w:szCs w:val="18"/>
                      <w:lang w:val="es-ES_tradnl"/>
                    </w:rPr>
                    <w:t>tercer ciclo de cultivo</w:t>
                  </w:r>
                  <w:r w:rsidR="005B711C" w:rsidRPr="003575E6">
                    <w:rPr>
                      <w:rFonts w:cs="Arial"/>
                      <w:sz w:val="18"/>
                      <w:szCs w:val="18"/>
                      <w:lang w:val="es-ES_tradnl"/>
                    </w:rPr>
                    <w:t>**</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5C5BCA" w:rsidRPr="003575E6" w:rsidRDefault="000F2D0A" w:rsidP="000F2D0A">
                  <w:pPr>
                    <w:jc w:val="center"/>
                    <w:rPr>
                      <w:rFonts w:cs="Arial"/>
                      <w:sz w:val="18"/>
                      <w:szCs w:val="18"/>
                      <w:lang w:val="es-ES"/>
                    </w:rPr>
                  </w:pPr>
                  <w:r w:rsidRPr="003575E6">
                    <w:rPr>
                      <w:rFonts w:cs="Arial"/>
                      <w:sz w:val="18"/>
                      <w:szCs w:val="18"/>
                      <w:lang w:val="es-ES_tradnl"/>
                    </w:rPr>
                    <w:t>no homogénea</w:t>
                  </w:r>
                  <w:r w:rsidR="005B711C" w:rsidRPr="003575E6">
                    <w:rPr>
                      <w:rFonts w:cs="Arial"/>
                      <w:sz w:val="18"/>
                      <w:szCs w:val="18"/>
                      <w:lang w:val="es-ES_tradnl"/>
                    </w:rPr>
                    <w:t>**</w:t>
                  </w:r>
                </w:p>
              </w:tc>
            </w:tr>
          </w:tbl>
          <w:p w:rsidR="000F2D0A" w:rsidRPr="003575E6" w:rsidRDefault="000F2D0A" w:rsidP="00431767">
            <w:pPr>
              <w:pStyle w:val="Titleofdoc0"/>
              <w:spacing w:before="0"/>
              <w:jc w:val="both"/>
              <w:rPr>
                <w:sz w:val="18"/>
                <w:szCs w:val="18"/>
                <w:lang w:val="es-ES"/>
              </w:rPr>
            </w:pPr>
          </w:p>
          <w:p w:rsidR="000F2D0A" w:rsidRPr="003575E6" w:rsidRDefault="005B711C" w:rsidP="000F2D0A">
            <w:pPr>
              <w:keepNext/>
              <w:keepLines/>
              <w:ind w:left="1026"/>
              <w:rPr>
                <w:rFonts w:eastAsia="SimSun"/>
                <w:sz w:val="18"/>
                <w:szCs w:val="18"/>
                <w:lang w:val="es-ES" w:eastAsia="zh-CN"/>
              </w:rPr>
            </w:pPr>
            <w:r w:rsidRPr="003575E6">
              <w:rPr>
                <w:rFonts w:eastAsia="SimSun"/>
                <w:sz w:val="18"/>
                <w:szCs w:val="18"/>
                <w:lang w:val="es-ES_tradnl" w:eastAsia="zh-CN"/>
              </w:rPr>
              <w:t xml:space="preserve">*  </w:t>
            </w:r>
            <w:r w:rsidR="000F2D0A" w:rsidRPr="003575E6">
              <w:rPr>
                <w:rFonts w:eastAsia="SimSun"/>
                <w:sz w:val="18"/>
                <w:szCs w:val="18"/>
                <w:lang w:val="es-ES_tradnl" w:eastAsia="zh-CN"/>
              </w:rPr>
              <w:t>Es preciso poner cuidado al examinar resultados que sean muy diferentes en cada uno de los ciclos de cultivo, por ejemplo cuando se observe una gran abundancia de plantas fuera de tipo en un ciclo de cultivo y su ausencia en otro ciclo.</w:t>
            </w:r>
          </w:p>
          <w:p w:rsidR="000F2D0A" w:rsidRPr="003575E6" w:rsidRDefault="000F2D0A" w:rsidP="00431767">
            <w:pPr>
              <w:keepNext/>
              <w:keepLines/>
              <w:ind w:left="1026"/>
              <w:rPr>
                <w:rFonts w:eastAsia="SimSun"/>
                <w:sz w:val="18"/>
                <w:szCs w:val="18"/>
                <w:lang w:val="es-ES" w:eastAsia="zh-CN"/>
              </w:rPr>
            </w:pPr>
          </w:p>
          <w:p w:rsidR="005C5BCA" w:rsidRPr="003575E6" w:rsidRDefault="005C5BCA" w:rsidP="009273A4">
            <w:pPr>
              <w:keepNext/>
              <w:keepLines/>
              <w:ind w:left="1026"/>
              <w:rPr>
                <w:b/>
                <w:sz w:val="18"/>
                <w:szCs w:val="18"/>
                <w:lang w:val="es-ES_tradnl"/>
              </w:rPr>
            </w:pPr>
            <w:r w:rsidRPr="003575E6">
              <w:rPr>
                <w:rFonts w:eastAsia="SimSun"/>
                <w:sz w:val="18"/>
                <w:szCs w:val="18"/>
                <w:lang w:val="es-ES_tradnl" w:eastAsia="zh-CN"/>
              </w:rPr>
              <w:t xml:space="preserve">**  </w:t>
            </w:r>
            <w:r w:rsidR="00A55C19" w:rsidRPr="003575E6">
              <w:rPr>
                <w:rFonts w:eastAsia="SimSun"/>
                <w:sz w:val="18"/>
                <w:szCs w:val="18"/>
                <w:lang w:val="es-ES_tradnl" w:eastAsia="zh-CN"/>
              </w:rPr>
              <w:t xml:space="preserve">En determinadas circunstancias, podrá rechazarse una variedad tras un único </w:t>
            </w:r>
            <w:r w:rsidR="00A55C19" w:rsidRPr="003575E6">
              <w:rPr>
                <w:rFonts w:eastAsia="SimSun"/>
                <w:sz w:val="18"/>
                <w:szCs w:val="18"/>
                <w:u w:val="single"/>
                <w:lang w:val="es-ES_tradnl" w:eastAsia="zh-CN"/>
              </w:rPr>
              <w:t>ciclo</w:t>
            </w:r>
            <w:r w:rsidR="00A55C19" w:rsidRPr="003575E6">
              <w:rPr>
                <w:rFonts w:eastAsia="SimSun"/>
                <w:sz w:val="18"/>
                <w:szCs w:val="18"/>
                <w:lang w:val="es-ES_tradnl" w:eastAsia="zh-CN"/>
              </w:rPr>
              <w:t xml:space="preserve"> de cultivo.</w:t>
            </w:r>
          </w:p>
        </w:tc>
      </w:tr>
    </w:tbl>
    <w:p w:rsidR="000F2D0A" w:rsidRPr="003575E6" w:rsidRDefault="000F2D0A" w:rsidP="005C5BCA">
      <w:pPr>
        <w:rPr>
          <w:rFonts w:eastAsia="MS Mincho"/>
          <w:lang w:val="es-ES_tradnl" w:eastAsia="ja-JP"/>
        </w:rPr>
      </w:pPr>
    </w:p>
    <w:p w:rsidR="000F2D0A" w:rsidRPr="003575E6" w:rsidRDefault="00F6316F" w:rsidP="000F2D0A">
      <w:pPr>
        <w:jc w:val="right"/>
        <w:rPr>
          <w:rFonts w:eastAsia="MS Mincho"/>
          <w:lang w:val="es-ES" w:eastAsia="ja-JP"/>
        </w:rPr>
      </w:pPr>
      <w:r w:rsidRPr="003575E6">
        <w:rPr>
          <w:rFonts w:eastAsia="MS Mincho"/>
          <w:lang w:val="es-ES_tradnl" w:eastAsia="ja-JP"/>
        </w:rPr>
        <w:t>[</w:t>
      </w:r>
      <w:r w:rsidR="000F2D0A" w:rsidRPr="003575E6">
        <w:rPr>
          <w:rFonts w:eastAsia="MS Mincho"/>
          <w:lang w:val="es-ES_tradnl" w:eastAsia="ja-JP"/>
        </w:rPr>
        <w:t>Sigue el Anexo II]</w:t>
      </w:r>
    </w:p>
    <w:p w:rsidR="000F2D0A" w:rsidRPr="003575E6" w:rsidRDefault="000F2D0A" w:rsidP="005C5BCA">
      <w:pPr>
        <w:rPr>
          <w:rFonts w:eastAsia="MS Mincho"/>
          <w:lang w:val="es-ES" w:eastAsia="ja-JP"/>
        </w:rPr>
      </w:pPr>
    </w:p>
    <w:p w:rsidR="005C5BCA" w:rsidRPr="003575E6" w:rsidRDefault="005C5BCA" w:rsidP="005C5BCA">
      <w:pPr>
        <w:rPr>
          <w:lang w:val="es-ES"/>
        </w:rPr>
        <w:sectPr w:rsidR="005C5BCA" w:rsidRPr="003575E6" w:rsidSect="00431767">
          <w:headerReference w:type="default" r:id="rId10"/>
          <w:headerReference w:type="first" r:id="rId11"/>
          <w:pgSz w:w="11907" w:h="16840" w:code="9"/>
          <w:pgMar w:top="510" w:right="1134" w:bottom="709" w:left="1134" w:header="510" w:footer="680" w:gutter="0"/>
          <w:cols w:space="720"/>
          <w:titlePg/>
        </w:sect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3575E6" w:rsidRPr="007E0D61" w:rsidTr="00FB02B5">
        <w:trPr>
          <w:trHeight w:val="291"/>
        </w:trPr>
        <w:tc>
          <w:tcPr>
            <w:tcW w:w="10206" w:type="dxa"/>
          </w:tcPr>
          <w:p w:rsidR="005C5BCA" w:rsidRPr="003575E6" w:rsidRDefault="000F2D0A" w:rsidP="000F2D0A">
            <w:pPr>
              <w:autoSpaceDE w:val="0"/>
              <w:autoSpaceDN w:val="0"/>
              <w:adjustRightInd w:val="0"/>
              <w:spacing w:before="120"/>
              <w:jc w:val="center"/>
              <w:rPr>
                <w:rFonts w:eastAsia="SimSun" w:cs="Arial"/>
                <w:sz w:val="18"/>
                <w:szCs w:val="18"/>
                <w:lang w:val="es-ES" w:eastAsia="zh-CN"/>
              </w:rPr>
            </w:pPr>
            <w:r w:rsidRPr="003575E6">
              <w:rPr>
                <w:rFonts w:eastAsia="SimSun" w:cs="Arial"/>
                <w:sz w:val="18"/>
                <w:szCs w:val="18"/>
                <w:lang w:val="es-ES_tradnl" w:eastAsia="zh-CN"/>
              </w:rPr>
              <w:lastRenderedPageBreak/>
              <w:t>SITUACIÓN B:  DOS LUGARES DE CULTIVO EN EL MISMO AÑO</w:t>
            </w:r>
          </w:p>
        </w:tc>
      </w:tr>
      <w:tr w:rsidR="003575E6" w:rsidRPr="007E0D61" w:rsidTr="00FB02B5">
        <w:trPr>
          <w:trHeight w:val="13109"/>
        </w:trPr>
        <w:tc>
          <w:tcPr>
            <w:tcW w:w="10206" w:type="dxa"/>
          </w:tcPr>
          <w:p w:rsidR="000F2D0A" w:rsidRPr="003575E6" w:rsidRDefault="000F2D0A" w:rsidP="00431767">
            <w:pPr>
              <w:rPr>
                <w:rFonts w:cs="Arial"/>
                <w:b/>
                <w:sz w:val="18"/>
                <w:szCs w:val="18"/>
                <w:u w:val="single"/>
                <w:lang w:val="es-ES"/>
              </w:rPr>
            </w:pPr>
          </w:p>
          <w:p w:rsidR="000F2D0A" w:rsidRPr="003575E6" w:rsidRDefault="000F2D0A" w:rsidP="000F2D0A">
            <w:pPr>
              <w:rPr>
                <w:rFonts w:cs="Arial"/>
                <w:b/>
                <w:sz w:val="18"/>
                <w:szCs w:val="18"/>
                <w:lang w:val="es-ES"/>
              </w:rPr>
            </w:pPr>
            <w:r w:rsidRPr="003575E6">
              <w:rPr>
                <w:rFonts w:cs="Arial"/>
                <w:b/>
                <w:sz w:val="18"/>
                <w:szCs w:val="18"/>
                <w:lang w:val="es-ES_tradnl"/>
              </w:rPr>
              <w:t xml:space="preserve">Método 1:  Tercer ciclo de cultivo </w:t>
            </w:r>
            <w:r w:rsidR="00E86C96" w:rsidRPr="003575E6">
              <w:rPr>
                <w:rFonts w:cs="Arial"/>
                <w:b/>
                <w:sz w:val="18"/>
                <w:szCs w:val="18"/>
                <w:lang w:val="es-ES_tradnl"/>
              </w:rPr>
              <w:t>en el caso de</w:t>
            </w:r>
            <w:r w:rsidRPr="003575E6">
              <w:rPr>
                <w:rFonts w:cs="Arial"/>
                <w:b/>
                <w:sz w:val="18"/>
                <w:szCs w:val="18"/>
                <w:lang w:val="es-ES_tradnl"/>
              </w:rPr>
              <w:t xml:space="preserve"> resultados contradictorios</w:t>
            </w:r>
            <w:r w:rsidR="005C5BCA" w:rsidRPr="003575E6">
              <w:rPr>
                <w:rFonts w:cs="Arial"/>
                <w:b/>
                <w:sz w:val="18"/>
                <w:szCs w:val="18"/>
                <w:lang w:val="es-ES"/>
              </w:rPr>
              <w:t xml:space="preserve"> </w:t>
            </w:r>
          </w:p>
          <w:p w:rsidR="000F2D0A" w:rsidRPr="003575E6" w:rsidRDefault="000F2D0A" w:rsidP="00431767">
            <w:pPr>
              <w:rPr>
                <w:rFonts w:eastAsia="SimSun" w:cs="Arial"/>
                <w:sz w:val="18"/>
                <w:szCs w:val="18"/>
                <w:lang w:val="es-ES" w:eastAsia="zh-CN"/>
              </w:rPr>
            </w:pPr>
          </w:p>
          <w:p w:rsidR="000F2D0A" w:rsidRPr="003575E6" w:rsidRDefault="000F2D0A" w:rsidP="000F2D0A">
            <w:pPr>
              <w:rPr>
                <w:rFonts w:eastAsia="SimSun" w:cs="Arial"/>
                <w:sz w:val="18"/>
                <w:szCs w:val="18"/>
                <w:lang w:val="es-ES" w:eastAsia="zh-CN"/>
              </w:rPr>
            </w:pPr>
            <w:r w:rsidRPr="003575E6">
              <w:rPr>
                <w:rFonts w:eastAsia="SimSun" w:cs="Arial"/>
                <w:sz w:val="18"/>
                <w:szCs w:val="18"/>
                <w:lang w:val="es-ES_tradnl" w:eastAsia="zh-CN"/>
              </w:rPr>
              <w:t>Se considera que una variedad es homogénea si cumple el estándar de homogeneidad en ambos lugares de cultivo.</w:t>
            </w:r>
          </w:p>
          <w:p w:rsidR="000F2D0A" w:rsidRPr="003575E6" w:rsidRDefault="000F2D0A" w:rsidP="00431767">
            <w:pPr>
              <w:rPr>
                <w:rFonts w:eastAsia="SimSun" w:cs="Arial"/>
                <w:sz w:val="18"/>
                <w:szCs w:val="18"/>
                <w:lang w:val="es-ES" w:eastAsia="zh-CN"/>
              </w:rPr>
            </w:pPr>
          </w:p>
          <w:p w:rsidR="000F2D0A" w:rsidRPr="003575E6" w:rsidRDefault="000F2D0A" w:rsidP="000F2D0A">
            <w:pPr>
              <w:rPr>
                <w:rFonts w:eastAsia="SimSun" w:cs="Arial"/>
                <w:sz w:val="18"/>
                <w:szCs w:val="18"/>
                <w:lang w:val="es-ES" w:eastAsia="zh-CN"/>
              </w:rPr>
            </w:pPr>
            <w:r w:rsidRPr="003575E6">
              <w:rPr>
                <w:rFonts w:eastAsia="SimSun" w:cs="Arial"/>
                <w:sz w:val="18"/>
                <w:szCs w:val="18"/>
                <w:lang w:val="es-ES_tradnl" w:eastAsia="zh-CN"/>
              </w:rPr>
              <w:t>Se considera que una variedad no es homogénea si no cumple el estándar de homogeneidad en ambos lugares de cultivo.</w:t>
            </w:r>
          </w:p>
          <w:p w:rsidR="000F2D0A" w:rsidRPr="003575E6" w:rsidRDefault="000F2D0A" w:rsidP="00431767">
            <w:pPr>
              <w:rPr>
                <w:rFonts w:eastAsia="SimSun" w:cs="Arial"/>
                <w:sz w:val="18"/>
                <w:szCs w:val="18"/>
                <w:lang w:val="es-ES" w:eastAsia="zh-CN"/>
              </w:rPr>
            </w:pPr>
          </w:p>
          <w:p w:rsidR="000F2D0A" w:rsidRPr="003575E6" w:rsidRDefault="00A55C19" w:rsidP="00431767">
            <w:pPr>
              <w:keepNext/>
              <w:keepLines/>
              <w:rPr>
                <w:rFonts w:eastAsia="SimSun" w:cs="Arial"/>
                <w:sz w:val="18"/>
                <w:szCs w:val="18"/>
                <w:lang w:val="es-ES_tradnl" w:eastAsia="zh-CN"/>
              </w:rPr>
            </w:pPr>
            <w:r w:rsidRPr="003575E6">
              <w:rPr>
                <w:rFonts w:eastAsia="SimSun" w:cs="Arial"/>
                <w:sz w:val="18"/>
                <w:szCs w:val="18"/>
                <w:lang w:val="es-ES_tradnl" w:eastAsia="zh-CN"/>
              </w:rPr>
              <w:t xml:space="preserve">Si la variedad cumple el estándar de homogeneidad en un lugar de cultivo pero no lo cumple en el otro lugar de cultivo, </w:t>
            </w:r>
            <w:r w:rsidRPr="003575E6">
              <w:rPr>
                <w:rFonts w:eastAsia="SimSun" w:cs="Arial"/>
                <w:sz w:val="18"/>
                <w:szCs w:val="18"/>
                <w:highlight w:val="lightGray"/>
                <w:u w:val="single"/>
                <w:lang w:val="es-ES_tradnl" w:eastAsia="zh-CN"/>
              </w:rPr>
              <w:t>el ensayo se repite en uno de los lugares</w:t>
            </w:r>
            <w:r w:rsidRPr="003575E6">
              <w:rPr>
                <w:rFonts w:eastAsia="SimSun" w:cs="Arial"/>
                <w:sz w:val="18"/>
                <w:szCs w:val="18"/>
                <w:u w:val="single"/>
                <w:lang w:val="es-ES_tradnl" w:eastAsia="zh-CN"/>
              </w:rPr>
              <w:t>.</w:t>
            </w:r>
          </w:p>
          <w:p w:rsidR="000F2D0A" w:rsidRPr="003575E6" w:rsidRDefault="000F2D0A" w:rsidP="00431767">
            <w:pPr>
              <w:keepNext/>
              <w:keepLines/>
              <w:rPr>
                <w:rFonts w:eastAsia="SimSun" w:cs="Arial"/>
                <w:sz w:val="18"/>
                <w:szCs w:val="18"/>
                <w:lang w:val="es-ES_tradnl" w:eastAsia="zh-CN"/>
              </w:rPr>
            </w:pPr>
          </w:p>
          <w:p w:rsidR="000F2D0A" w:rsidRPr="003575E6" w:rsidRDefault="00295E03" w:rsidP="000F2D0A">
            <w:pPr>
              <w:keepNext/>
              <w:keepLines/>
              <w:ind w:left="561" w:right="709"/>
              <w:rPr>
                <w:rFonts w:eastAsia="SimSun" w:cs="Arial"/>
                <w:strike/>
                <w:sz w:val="18"/>
                <w:szCs w:val="18"/>
                <w:highlight w:val="lightGray"/>
                <w:lang w:val="es-ES" w:eastAsia="zh-CN"/>
              </w:rPr>
            </w:pPr>
            <w:r w:rsidRPr="003575E6">
              <w:rPr>
                <w:rFonts w:eastAsia="SimSun" w:cs="Arial"/>
                <w:strike/>
                <w:sz w:val="18"/>
                <w:szCs w:val="18"/>
                <w:highlight w:val="lightGray"/>
                <w:lang w:val="es-ES_tradnl" w:eastAsia="zh-CN"/>
              </w:rPr>
              <w:t>Alternativa a)</w:t>
            </w:r>
            <w:r w:rsidRPr="003575E6">
              <w:rPr>
                <w:rFonts w:eastAsia="SimSun" w:cs="Arial"/>
                <w:strike/>
                <w:sz w:val="18"/>
                <w:szCs w:val="18"/>
                <w:highlight w:val="lightGray"/>
                <w:lang w:val="es-ES_tradnl" w:eastAsia="zh-CN"/>
              </w:rPr>
              <w:tab/>
            </w:r>
            <w:r w:rsidR="000F2D0A" w:rsidRPr="003575E6">
              <w:rPr>
                <w:rFonts w:eastAsia="SimSun" w:cs="Arial"/>
                <w:strike/>
                <w:sz w:val="18"/>
                <w:szCs w:val="18"/>
                <w:highlight w:val="lightGray"/>
                <w:lang w:val="es-ES_tradnl" w:eastAsia="zh-CN"/>
              </w:rPr>
              <w:t>el ensayo se repite en ambos lugares por un segundo año;</w:t>
            </w:r>
          </w:p>
          <w:p w:rsidR="000F2D0A" w:rsidRPr="003575E6" w:rsidRDefault="000F2D0A" w:rsidP="00431767">
            <w:pPr>
              <w:keepNext/>
              <w:keepLines/>
              <w:ind w:left="561" w:right="709"/>
              <w:rPr>
                <w:rFonts w:eastAsia="SimSun" w:cs="Arial"/>
                <w:strike/>
                <w:sz w:val="18"/>
                <w:szCs w:val="18"/>
                <w:highlight w:val="lightGray"/>
                <w:lang w:val="es-ES" w:eastAsia="zh-CN"/>
              </w:rPr>
            </w:pPr>
          </w:p>
          <w:p w:rsidR="000F2D0A" w:rsidRPr="003575E6" w:rsidRDefault="00295E03" w:rsidP="000F2D0A">
            <w:pPr>
              <w:keepNext/>
              <w:keepLines/>
              <w:ind w:left="561" w:right="709"/>
              <w:rPr>
                <w:rFonts w:eastAsia="SimSun" w:cs="Arial"/>
                <w:strike/>
                <w:sz w:val="18"/>
                <w:szCs w:val="18"/>
                <w:lang w:val="es-ES" w:eastAsia="zh-CN"/>
              </w:rPr>
            </w:pPr>
            <w:r w:rsidRPr="003575E6">
              <w:rPr>
                <w:rFonts w:eastAsia="SimSun" w:cs="Arial"/>
                <w:strike/>
                <w:sz w:val="18"/>
                <w:szCs w:val="18"/>
                <w:highlight w:val="lightGray"/>
                <w:lang w:val="es-ES_tradnl" w:eastAsia="zh-CN"/>
              </w:rPr>
              <w:t>Alternativa b)</w:t>
            </w:r>
            <w:r w:rsidRPr="003575E6">
              <w:rPr>
                <w:rFonts w:eastAsia="SimSun" w:cs="Arial"/>
                <w:strike/>
                <w:sz w:val="18"/>
                <w:szCs w:val="18"/>
                <w:highlight w:val="lightGray"/>
                <w:lang w:val="es-ES_tradnl" w:eastAsia="zh-CN"/>
              </w:rPr>
              <w:tab/>
            </w:r>
            <w:r w:rsidR="000F2D0A" w:rsidRPr="003575E6">
              <w:rPr>
                <w:rFonts w:eastAsia="SimSun" w:cs="Arial"/>
                <w:strike/>
                <w:sz w:val="18"/>
                <w:szCs w:val="18"/>
                <w:highlight w:val="lightGray"/>
                <w:lang w:val="es-ES_tradnl" w:eastAsia="zh-CN"/>
              </w:rPr>
              <w:t>el ensayo se repite en la estación principal (lugar)</w:t>
            </w:r>
          </w:p>
          <w:p w:rsidR="000F2D0A" w:rsidRPr="003575E6" w:rsidRDefault="000F2D0A" w:rsidP="00431767">
            <w:pPr>
              <w:keepNext/>
              <w:keepLines/>
              <w:ind w:left="561" w:right="709"/>
              <w:rPr>
                <w:rFonts w:cs="Arial"/>
                <w:sz w:val="18"/>
                <w:szCs w:val="18"/>
                <w:lang w:val="es-ES"/>
              </w:rPr>
            </w:pPr>
          </w:p>
          <w:p w:rsidR="000F2D0A" w:rsidRPr="003575E6" w:rsidRDefault="000F2D0A" w:rsidP="000F2D0A">
            <w:pPr>
              <w:keepNext/>
              <w:keepLines/>
              <w:rPr>
                <w:rFonts w:eastAsia="SimSun" w:cs="Arial"/>
                <w:sz w:val="18"/>
                <w:szCs w:val="18"/>
                <w:lang w:val="es-ES" w:eastAsia="zh-CN"/>
              </w:rPr>
            </w:pPr>
            <w:r w:rsidRPr="003575E6">
              <w:rPr>
                <w:rFonts w:eastAsia="SimSun" w:cs="Arial"/>
                <w:sz w:val="18"/>
                <w:szCs w:val="18"/>
                <w:lang w:val="es-ES_tradnl" w:eastAsia="zh-CN"/>
              </w:rPr>
              <w:t>Es preciso poner cuidado al examinar resultados que sean muy diferentes en cada uno de los ciclos de cultivo, por ejemplo cuando se observe una gran abundancia de plantas fuera de tipo en un ciclo de cultivo y su ausencia en otro ciclo.</w:t>
            </w:r>
          </w:p>
          <w:p w:rsidR="000F2D0A" w:rsidRPr="003575E6" w:rsidRDefault="000F2D0A" w:rsidP="00431767">
            <w:pPr>
              <w:keepNext/>
              <w:keepLines/>
              <w:rPr>
                <w:rFonts w:eastAsia="SimSun" w:cs="Arial"/>
                <w:sz w:val="18"/>
                <w:szCs w:val="18"/>
                <w:lang w:val="es-ES" w:eastAsia="zh-CN"/>
              </w:rPr>
            </w:pPr>
          </w:p>
          <w:p w:rsidR="000F2D0A" w:rsidRPr="003575E6" w:rsidRDefault="00A55C19" w:rsidP="00431767">
            <w:pPr>
              <w:keepNext/>
              <w:keepLines/>
              <w:rPr>
                <w:rFonts w:eastAsia="SimSun" w:cs="Arial"/>
                <w:sz w:val="18"/>
                <w:szCs w:val="18"/>
                <w:lang w:val="es-ES_tradnl" w:eastAsia="zh-CN"/>
              </w:rPr>
            </w:pPr>
            <w:r w:rsidRPr="003575E6">
              <w:rPr>
                <w:rFonts w:eastAsia="SimSun" w:cs="Arial"/>
                <w:sz w:val="18"/>
                <w:szCs w:val="18"/>
                <w:lang w:val="es-ES_tradnl" w:eastAsia="zh-CN"/>
              </w:rPr>
              <w:t>En determinadas circunstancias, podrá rechazarse una variedad tras un único ensayo en un lugar de cultivo.</w:t>
            </w:r>
          </w:p>
          <w:p w:rsidR="000F2D0A" w:rsidRPr="003575E6" w:rsidRDefault="000F2D0A" w:rsidP="00431767">
            <w:pPr>
              <w:rPr>
                <w:rFonts w:cs="Arial"/>
                <w:sz w:val="18"/>
                <w:szCs w:val="18"/>
                <w:lang w:val="es-ES_tradnl"/>
              </w:rPr>
            </w:pPr>
          </w:p>
          <w:p w:rsidR="000F2D0A" w:rsidRPr="003575E6" w:rsidRDefault="000F2D0A" w:rsidP="000F2D0A">
            <w:pPr>
              <w:rPr>
                <w:rFonts w:eastAsia="SimSun" w:cs="Arial"/>
                <w:b/>
                <w:sz w:val="18"/>
                <w:szCs w:val="18"/>
                <w:lang w:val="es-ES" w:eastAsia="zh-CN"/>
              </w:rPr>
            </w:pPr>
            <w:r w:rsidRPr="003575E6">
              <w:rPr>
                <w:rFonts w:eastAsia="SimSun" w:cs="Arial"/>
                <w:b/>
                <w:sz w:val="18"/>
                <w:szCs w:val="18"/>
                <w:lang w:val="es-ES_tradnl" w:eastAsia="zh-CN"/>
              </w:rPr>
              <w:t>Método 2:  Combinar los resultados de dos lugares</w:t>
            </w:r>
            <w:r w:rsidR="005C5BCA" w:rsidRPr="003575E6">
              <w:rPr>
                <w:rFonts w:eastAsia="SimSun" w:cs="Arial"/>
                <w:b/>
                <w:sz w:val="18"/>
                <w:szCs w:val="18"/>
                <w:lang w:val="es-ES" w:eastAsia="zh-CN"/>
              </w:rPr>
              <w:t xml:space="preserve"> </w:t>
            </w:r>
          </w:p>
          <w:p w:rsidR="000F2D0A" w:rsidRPr="003575E6" w:rsidRDefault="000F2D0A" w:rsidP="00431767">
            <w:pPr>
              <w:rPr>
                <w:rFonts w:eastAsia="SimSun" w:cs="Arial"/>
                <w:b/>
                <w:sz w:val="18"/>
                <w:szCs w:val="18"/>
                <w:lang w:val="es-ES" w:eastAsia="zh-CN"/>
              </w:rPr>
            </w:pPr>
          </w:p>
          <w:p w:rsidR="000F2D0A" w:rsidRPr="003575E6" w:rsidRDefault="000F2D0A" w:rsidP="000F2D0A">
            <w:pPr>
              <w:rPr>
                <w:rFonts w:eastAsia="SimSun" w:cs="Arial"/>
                <w:sz w:val="18"/>
                <w:szCs w:val="18"/>
                <w:lang w:val="es-ES" w:eastAsia="zh-CN"/>
              </w:rPr>
            </w:pPr>
            <w:r w:rsidRPr="003575E6">
              <w:rPr>
                <w:rFonts w:eastAsia="SimSun" w:cs="Arial"/>
                <w:sz w:val="18"/>
                <w:szCs w:val="18"/>
                <w:lang w:val="es-ES_tradnl" w:eastAsia="zh-CN"/>
              </w:rPr>
              <w:t>Se considera que una variedad es homogénea si cumple el estándar de homogeneidad en ambos lugares.</w:t>
            </w:r>
          </w:p>
          <w:p w:rsidR="000F2D0A" w:rsidRPr="003575E6" w:rsidRDefault="000F2D0A" w:rsidP="00431767">
            <w:pPr>
              <w:rPr>
                <w:rFonts w:eastAsia="SimSun" w:cs="Arial"/>
                <w:sz w:val="18"/>
                <w:szCs w:val="18"/>
                <w:lang w:val="es-ES" w:eastAsia="zh-CN"/>
              </w:rPr>
            </w:pPr>
          </w:p>
          <w:p w:rsidR="000F2D0A" w:rsidRPr="003575E6" w:rsidRDefault="000F2D0A" w:rsidP="000F2D0A">
            <w:pPr>
              <w:keepNext/>
              <w:keepLines/>
              <w:tabs>
                <w:tab w:val="left" w:pos="1985"/>
              </w:tabs>
              <w:rPr>
                <w:rFonts w:eastAsia="SimSun" w:cs="Arial"/>
                <w:sz w:val="18"/>
                <w:szCs w:val="18"/>
                <w:lang w:val="es-ES" w:eastAsia="zh-CN"/>
              </w:rPr>
            </w:pPr>
            <w:r w:rsidRPr="003575E6">
              <w:rPr>
                <w:rFonts w:eastAsia="SimSun" w:cs="Arial"/>
                <w:sz w:val="18"/>
                <w:szCs w:val="18"/>
                <w:lang w:val="es-ES_tradnl" w:eastAsia="zh-CN"/>
              </w:rPr>
              <w:t>Se considera que una variedad no es homogénea si no cumple el estándar de homogeneidad en ambos lugares.</w:t>
            </w:r>
          </w:p>
          <w:p w:rsidR="000F2D0A" w:rsidRPr="003575E6" w:rsidRDefault="000F2D0A" w:rsidP="00431767">
            <w:pPr>
              <w:keepNext/>
              <w:keepLines/>
              <w:tabs>
                <w:tab w:val="left" w:pos="1985"/>
              </w:tabs>
              <w:rPr>
                <w:rFonts w:eastAsia="SimSun" w:cs="Arial"/>
                <w:sz w:val="18"/>
                <w:szCs w:val="18"/>
                <w:lang w:val="es-ES" w:eastAsia="zh-CN"/>
              </w:rPr>
            </w:pPr>
          </w:p>
          <w:p w:rsidR="000F2D0A" w:rsidRPr="003575E6" w:rsidRDefault="000F2D0A" w:rsidP="000F2D0A">
            <w:pPr>
              <w:rPr>
                <w:rFonts w:eastAsia="SimSun" w:cs="Arial"/>
                <w:sz w:val="18"/>
                <w:szCs w:val="18"/>
                <w:lang w:val="es-ES" w:eastAsia="zh-CN"/>
              </w:rPr>
            </w:pPr>
            <w:r w:rsidRPr="003575E6">
              <w:rPr>
                <w:rFonts w:eastAsia="SimSun" w:cs="Arial"/>
                <w:sz w:val="18"/>
                <w:szCs w:val="18"/>
                <w:lang w:val="es-ES_tradnl" w:eastAsia="zh-CN"/>
              </w:rPr>
              <w:t>Si la variedad cumple el estándar de homogeneidad en un lugar de cultivo pero no cumple el estándar de homogeneidad en el otro lugar de cultivo, se considera que la variedad es homogénea si el número total de plantas o partes de plantas fuera de tipo no supera el número permitido de plantas fuera de tipo en una muestra combinada (dos lugares).</w:t>
            </w:r>
          </w:p>
          <w:p w:rsidR="000F2D0A" w:rsidRPr="003575E6" w:rsidRDefault="000F2D0A" w:rsidP="00431767">
            <w:pPr>
              <w:keepNext/>
              <w:keepLines/>
              <w:rPr>
                <w:rFonts w:eastAsia="SimSun" w:cs="Arial"/>
                <w:sz w:val="18"/>
                <w:szCs w:val="18"/>
                <w:lang w:val="es-ES" w:eastAsia="zh-CN"/>
              </w:rPr>
            </w:pPr>
          </w:p>
          <w:p w:rsidR="000F2D0A" w:rsidRPr="003575E6" w:rsidRDefault="000F2D0A" w:rsidP="000F2D0A">
            <w:pPr>
              <w:keepNext/>
              <w:keepLines/>
              <w:rPr>
                <w:rFonts w:cs="Arial"/>
                <w:sz w:val="18"/>
                <w:szCs w:val="18"/>
                <w:lang w:val="es-ES"/>
              </w:rPr>
            </w:pPr>
            <w:r w:rsidRPr="003575E6">
              <w:rPr>
                <w:rFonts w:cs="Arial"/>
                <w:sz w:val="18"/>
                <w:szCs w:val="18"/>
                <w:lang w:val="es-ES_tradnl"/>
              </w:rPr>
              <w:t>Es preciso poner cuidado al examinar resultados que sean muy diferentes en cada uno de los ciclos de cultivo, por ejemplo cuando se observe una gran abundancia de plantas fuera de tipo en un ciclo de cultivo y su ausencia en otro ciclo.</w:t>
            </w:r>
          </w:p>
          <w:p w:rsidR="000F2D0A" w:rsidRPr="003575E6" w:rsidRDefault="000F2D0A" w:rsidP="00431767">
            <w:pPr>
              <w:keepNext/>
              <w:keepLines/>
              <w:rPr>
                <w:rFonts w:eastAsia="SimSun" w:cs="Arial"/>
                <w:sz w:val="18"/>
                <w:szCs w:val="18"/>
                <w:lang w:val="es-ES" w:eastAsia="zh-CN"/>
              </w:rPr>
            </w:pPr>
          </w:p>
          <w:p w:rsidR="000F2D0A" w:rsidRPr="003575E6" w:rsidRDefault="00A55C19" w:rsidP="00431767">
            <w:pPr>
              <w:keepNext/>
              <w:keepLines/>
              <w:rPr>
                <w:rFonts w:eastAsia="SimSun" w:cs="Arial"/>
                <w:sz w:val="18"/>
                <w:szCs w:val="18"/>
                <w:lang w:val="es-ES_tradnl" w:eastAsia="zh-CN"/>
              </w:rPr>
            </w:pPr>
            <w:r w:rsidRPr="003575E6">
              <w:rPr>
                <w:rFonts w:eastAsia="SimSun" w:cs="Arial"/>
                <w:sz w:val="18"/>
                <w:szCs w:val="18"/>
                <w:lang w:val="es-ES_tradnl" w:eastAsia="zh-CN"/>
              </w:rPr>
              <w:t>En determinadas circunstancias, podrá rechazarse una variedad tras un único ensayo en un lugar de cultivo.</w:t>
            </w:r>
          </w:p>
          <w:p w:rsidR="000F2D0A" w:rsidRPr="003575E6" w:rsidRDefault="000F2D0A" w:rsidP="00431767">
            <w:pPr>
              <w:rPr>
                <w:rFonts w:cs="Arial"/>
                <w:sz w:val="18"/>
                <w:szCs w:val="18"/>
                <w:lang w:val="es-ES_tradnl"/>
              </w:rPr>
            </w:pPr>
          </w:p>
          <w:p w:rsidR="005C5BCA" w:rsidRPr="003575E6" w:rsidRDefault="002D7493" w:rsidP="00431767">
            <w:pPr>
              <w:rPr>
                <w:rFonts w:cs="Arial"/>
                <w:sz w:val="18"/>
                <w:szCs w:val="18"/>
              </w:rPr>
            </w:pPr>
            <w:r>
              <w:rPr>
                <w:rFonts w:eastAsia="SimSun" w:cs="Arial"/>
                <w:sz w:val="18"/>
                <w:szCs w:val="18"/>
                <w:lang w:eastAsia="zh-CN"/>
              </w:rPr>
              <w:pict>
                <v:rect id="_x0000_i1026" style="width:0;height:1.5pt" o:hralign="center" o:hrstd="t" o:hr="t" fillcolor="#a0a0a0" stroked="f"/>
              </w:pict>
            </w:r>
            <w:r w:rsidR="005C5BCA" w:rsidRPr="003575E6">
              <w:rPr>
                <w:rFonts w:cs="Arial"/>
                <w:sz w:val="18"/>
                <w:szCs w:val="18"/>
                <w:lang w:val="es-ES"/>
              </w:rPr>
              <w:t>E</w:t>
            </w:r>
            <w:r w:rsidR="00E86C96" w:rsidRPr="003575E6">
              <w:rPr>
                <w:rFonts w:cs="Arial"/>
                <w:sz w:val="18"/>
                <w:szCs w:val="18"/>
                <w:lang w:val="es-ES"/>
              </w:rPr>
              <w:t>jemplo</w:t>
            </w:r>
            <w:r w:rsidR="005C5BCA" w:rsidRPr="003575E6">
              <w:rPr>
                <w:rFonts w:cs="Arial"/>
                <w:sz w:val="18"/>
                <w:szCs w:val="18"/>
              </w:rPr>
              <w:t>:</w:t>
            </w:r>
          </w:p>
          <w:tbl>
            <w:tblPr>
              <w:tblW w:w="6614" w:type="dxa"/>
              <w:tblInd w:w="1593" w:type="dxa"/>
              <w:tblLook w:val="04A0" w:firstRow="1" w:lastRow="0" w:firstColumn="1" w:lastColumn="0" w:noHBand="0" w:noVBand="1"/>
            </w:tblPr>
            <w:tblGrid>
              <w:gridCol w:w="6614"/>
            </w:tblGrid>
            <w:tr w:rsidR="003575E6" w:rsidRPr="003575E6" w:rsidTr="00FB02B5">
              <w:trPr>
                <w:trHeight w:val="255"/>
              </w:trPr>
              <w:tc>
                <w:tcPr>
                  <w:tcW w:w="6614" w:type="dxa"/>
                  <w:tcBorders>
                    <w:top w:val="nil"/>
                    <w:left w:val="nil"/>
                    <w:bottom w:val="nil"/>
                    <w:right w:val="nil"/>
                  </w:tcBorders>
                  <w:shd w:val="clear" w:color="auto" w:fill="auto"/>
                  <w:noWrap/>
                  <w:vAlign w:val="bottom"/>
                  <w:hideMark/>
                </w:tcPr>
                <w:p w:rsidR="005C5BCA" w:rsidRPr="003575E6" w:rsidRDefault="000F2D0A" w:rsidP="00E86C96">
                  <w:pPr>
                    <w:jc w:val="left"/>
                    <w:rPr>
                      <w:rFonts w:cs="Arial"/>
                      <w:sz w:val="18"/>
                      <w:szCs w:val="18"/>
                    </w:rPr>
                  </w:pPr>
                  <w:r w:rsidRPr="003575E6">
                    <w:rPr>
                      <w:rFonts w:cs="Arial"/>
                      <w:sz w:val="18"/>
                      <w:szCs w:val="18"/>
                      <w:lang w:val="es-ES_tradnl"/>
                    </w:rPr>
                    <w:t>Población estándar</w:t>
                  </w:r>
                  <w:r w:rsidR="00E86C96" w:rsidRPr="003575E6">
                    <w:rPr>
                      <w:rFonts w:cs="Arial"/>
                      <w:sz w:val="18"/>
                      <w:szCs w:val="18"/>
                      <w:lang w:val="es-ES_tradnl"/>
                    </w:rPr>
                    <w:t xml:space="preserve"> =</w:t>
                  </w:r>
                  <w:r w:rsidRPr="003575E6">
                    <w:rPr>
                      <w:rFonts w:cs="Arial"/>
                      <w:sz w:val="18"/>
                      <w:szCs w:val="18"/>
                      <w:lang w:val="es-ES_tradnl"/>
                    </w:rPr>
                    <w:t xml:space="preserve">  1%</w:t>
                  </w:r>
                  <w:r w:rsidR="005C5BCA" w:rsidRPr="003575E6">
                    <w:rPr>
                      <w:rFonts w:cs="Arial"/>
                      <w:sz w:val="18"/>
                      <w:szCs w:val="18"/>
                    </w:rPr>
                    <w:t xml:space="preserve">  </w:t>
                  </w:r>
                </w:p>
              </w:tc>
            </w:tr>
            <w:tr w:rsidR="003575E6" w:rsidRPr="003575E6" w:rsidTr="00FB02B5">
              <w:trPr>
                <w:trHeight w:val="270"/>
              </w:trPr>
              <w:tc>
                <w:tcPr>
                  <w:tcW w:w="6614" w:type="dxa"/>
                  <w:tcBorders>
                    <w:top w:val="nil"/>
                    <w:left w:val="nil"/>
                    <w:bottom w:val="nil"/>
                    <w:right w:val="nil"/>
                  </w:tcBorders>
                  <w:shd w:val="clear" w:color="auto" w:fill="auto"/>
                  <w:noWrap/>
                  <w:vAlign w:val="bottom"/>
                  <w:hideMark/>
                </w:tcPr>
                <w:p w:rsidR="005C5BCA" w:rsidRPr="003575E6" w:rsidRDefault="000F2D0A" w:rsidP="00E86C96">
                  <w:pPr>
                    <w:jc w:val="left"/>
                    <w:rPr>
                      <w:rFonts w:cs="Arial"/>
                      <w:sz w:val="18"/>
                      <w:szCs w:val="18"/>
                    </w:rPr>
                  </w:pPr>
                  <w:r w:rsidRPr="003575E6">
                    <w:rPr>
                      <w:rFonts w:cs="Arial"/>
                      <w:sz w:val="18"/>
                      <w:szCs w:val="18"/>
                      <w:lang w:val="es-ES_tradnl"/>
                    </w:rPr>
                    <w:t>Probabilidad de aceptación  ≥ 95%</w:t>
                  </w:r>
                </w:p>
              </w:tc>
            </w:tr>
            <w:tr w:rsidR="003575E6" w:rsidRPr="007E0D61" w:rsidTr="00FB02B5">
              <w:trPr>
                <w:trHeight w:val="255"/>
              </w:trPr>
              <w:tc>
                <w:tcPr>
                  <w:tcW w:w="6614" w:type="dxa"/>
                  <w:tcBorders>
                    <w:top w:val="single" w:sz="8" w:space="0" w:color="auto"/>
                    <w:left w:val="single" w:sz="8" w:space="0" w:color="auto"/>
                    <w:bottom w:val="nil"/>
                    <w:right w:val="single" w:sz="8" w:space="0" w:color="000000"/>
                  </w:tcBorders>
                  <w:shd w:val="clear" w:color="auto" w:fill="auto"/>
                  <w:noWrap/>
                  <w:vAlign w:val="bottom"/>
                  <w:hideMark/>
                </w:tcPr>
                <w:p w:rsidR="005C5BCA" w:rsidRPr="003575E6" w:rsidRDefault="00E86C96" w:rsidP="00E86C96">
                  <w:pPr>
                    <w:jc w:val="left"/>
                    <w:rPr>
                      <w:rFonts w:cs="Arial"/>
                      <w:sz w:val="18"/>
                      <w:szCs w:val="18"/>
                      <w:lang w:val="es-ES_tradnl"/>
                    </w:rPr>
                  </w:pPr>
                  <w:r w:rsidRPr="003575E6">
                    <w:rPr>
                      <w:rFonts w:cs="Arial"/>
                      <w:sz w:val="18"/>
                      <w:szCs w:val="18"/>
                      <w:lang w:val="es-ES_tradnl"/>
                    </w:rPr>
                    <w:t>Tamaño de la muestra en cada uno de los lugares de cultivo 1 y 2 </w:t>
                  </w:r>
                  <w:r w:rsidR="005C5BCA" w:rsidRPr="003575E6">
                    <w:rPr>
                      <w:rFonts w:cs="Arial"/>
                      <w:sz w:val="18"/>
                      <w:szCs w:val="18"/>
                      <w:lang w:val="es-ES_tradnl"/>
                    </w:rPr>
                    <w:t xml:space="preserve"> = 50</w:t>
                  </w:r>
                </w:p>
              </w:tc>
            </w:tr>
            <w:tr w:rsidR="003575E6" w:rsidRPr="007E0D61" w:rsidTr="00FB02B5">
              <w:trPr>
                <w:trHeight w:val="270"/>
              </w:trPr>
              <w:tc>
                <w:tcPr>
                  <w:tcW w:w="6614" w:type="dxa"/>
                  <w:tcBorders>
                    <w:top w:val="nil"/>
                    <w:left w:val="single" w:sz="4" w:space="0" w:color="auto"/>
                    <w:bottom w:val="single" w:sz="8" w:space="0" w:color="auto"/>
                    <w:right w:val="single" w:sz="8" w:space="0" w:color="000000"/>
                  </w:tcBorders>
                  <w:shd w:val="clear" w:color="auto" w:fill="auto"/>
                  <w:noWrap/>
                  <w:vAlign w:val="bottom"/>
                  <w:hideMark/>
                </w:tcPr>
                <w:p w:rsidR="005C5BCA" w:rsidRPr="003575E6" w:rsidRDefault="000F2D0A" w:rsidP="000F2D0A">
                  <w:pPr>
                    <w:jc w:val="left"/>
                    <w:rPr>
                      <w:rFonts w:cs="Arial"/>
                      <w:sz w:val="18"/>
                      <w:szCs w:val="18"/>
                      <w:lang w:val="es-ES"/>
                    </w:rPr>
                  </w:pPr>
                  <w:r w:rsidRPr="003575E6">
                    <w:rPr>
                      <w:rFonts w:cs="Arial"/>
                      <w:sz w:val="18"/>
                      <w:szCs w:val="18"/>
                      <w:lang w:val="es-ES_tradnl"/>
                    </w:rPr>
                    <w:t>Número máximo de plantas fuera de tipo </w:t>
                  </w:r>
                  <w:r w:rsidR="00E86C96" w:rsidRPr="003575E6">
                    <w:rPr>
                      <w:rFonts w:cs="Arial"/>
                      <w:sz w:val="18"/>
                      <w:szCs w:val="18"/>
                      <w:lang w:val="es-ES_tradnl"/>
                    </w:rPr>
                    <w:t>= 2</w:t>
                  </w:r>
                </w:p>
              </w:tc>
            </w:tr>
            <w:tr w:rsidR="003575E6" w:rsidRPr="007E0D61" w:rsidTr="00FB02B5">
              <w:trPr>
                <w:trHeight w:val="270"/>
              </w:trPr>
              <w:tc>
                <w:tcPr>
                  <w:tcW w:w="6614" w:type="dxa"/>
                  <w:tcBorders>
                    <w:top w:val="nil"/>
                    <w:left w:val="single" w:sz="4" w:space="0" w:color="auto"/>
                    <w:bottom w:val="nil"/>
                    <w:right w:val="single" w:sz="4" w:space="0" w:color="auto"/>
                  </w:tcBorders>
                  <w:shd w:val="clear" w:color="auto" w:fill="auto"/>
                  <w:noWrap/>
                  <w:vAlign w:val="bottom"/>
                  <w:hideMark/>
                </w:tcPr>
                <w:p w:rsidR="005C5BCA" w:rsidRPr="003575E6" w:rsidRDefault="00E86C96" w:rsidP="00E86C96">
                  <w:pPr>
                    <w:jc w:val="left"/>
                    <w:rPr>
                      <w:rFonts w:cs="Arial"/>
                      <w:sz w:val="18"/>
                      <w:szCs w:val="18"/>
                      <w:lang w:val="es-ES_tradnl"/>
                    </w:rPr>
                  </w:pPr>
                  <w:r w:rsidRPr="003575E6">
                    <w:rPr>
                      <w:rFonts w:cs="Arial"/>
                      <w:sz w:val="18"/>
                      <w:szCs w:val="18"/>
                      <w:lang w:val="es-ES_tradnl"/>
                    </w:rPr>
                    <w:t>Tamaño de la muestra en cada uno de los lugares de cultivo 1 y 2 combinados </w:t>
                  </w:r>
                  <w:r w:rsidR="005C5BCA" w:rsidRPr="003575E6">
                    <w:rPr>
                      <w:rFonts w:cs="Arial"/>
                      <w:sz w:val="18"/>
                      <w:szCs w:val="18"/>
                      <w:lang w:val="es-ES_tradnl"/>
                    </w:rPr>
                    <w:t>= 100</w:t>
                  </w:r>
                </w:p>
              </w:tc>
            </w:tr>
            <w:tr w:rsidR="003575E6" w:rsidRPr="007E0D61" w:rsidTr="00FB02B5">
              <w:trPr>
                <w:trHeight w:val="270"/>
              </w:trPr>
              <w:tc>
                <w:tcPr>
                  <w:tcW w:w="6614" w:type="dxa"/>
                  <w:tcBorders>
                    <w:top w:val="nil"/>
                    <w:left w:val="single" w:sz="4" w:space="0" w:color="auto"/>
                    <w:bottom w:val="single" w:sz="4" w:space="0" w:color="auto"/>
                    <w:right w:val="single" w:sz="4" w:space="0" w:color="auto"/>
                  </w:tcBorders>
                  <w:shd w:val="clear" w:color="auto" w:fill="auto"/>
                  <w:noWrap/>
                  <w:vAlign w:val="bottom"/>
                  <w:hideMark/>
                </w:tcPr>
                <w:p w:rsidR="005C5BCA" w:rsidRPr="003575E6" w:rsidRDefault="000F2D0A" w:rsidP="000F2D0A">
                  <w:pPr>
                    <w:jc w:val="left"/>
                    <w:rPr>
                      <w:rFonts w:cs="Arial"/>
                      <w:sz w:val="18"/>
                      <w:szCs w:val="18"/>
                      <w:lang w:val="es-ES"/>
                    </w:rPr>
                  </w:pPr>
                  <w:r w:rsidRPr="003575E6">
                    <w:rPr>
                      <w:rFonts w:cs="Arial"/>
                      <w:sz w:val="18"/>
                      <w:szCs w:val="18"/>
                      <w:lang w:val="es-ES_tradnl"/>
                    </w:rPr>
                    <w:t>Número máximo de plantas fuera de tipo </w:t>
                  </w:r>
                  <w:r w:rsidR="00E86C96" w:rsidRPr="003575E6">
                    <w:rPr>
                      <w:rFonts w:cs="Arial"/>
                      <w:sz w:val="18"/>
                      <w:szCs w:val="18"/>
                      <w:lang w:val="es-ES_tradnl"/>
                    </w:rPr>
                    <w:t>= 3</w:t>
                  </w:r>
                </w:p>
              </w:tc>
            </w:tr>
          </w:tbl>
          <w:p w:rsidR="005C5BCA" w:rsidRPr="003575E6" w:rsidRDefault="005C5BCA" w:rsidP="00431767">
            <w:pPr>
              <w:pStyle w:val="Titleofdoc0"/>
              <w:spacing w:before="0"/>
              <w:jc w:val="both"/>
              <w:rPr>
                <w:rFonts w:cs="Arial"/>
                <w:sz w:val="18"/>
                <w:szCs w:val="18"/>
                <w:lang w:val="es-ES"/>
              </w:rPr>
            </w:pPr>
          </w:p>
          <w:tbl>
            <w:tblPr>
              <w:tblW w:w="7229" w:type="dxa"/>
              <w:tblInd w:w="884" w:type="dxa"/>
              <w:tblLook w:val="04A0" w:firstRow="1" w:lastRow="0" w:firstColumn="1" w:lastColumn="0" w:noHBand="0" w:noVBand="1"/>
            </w:tblPr>
            <w:tblGrid>
              <w:gridCol w:w="709"/>
              <w:gridCol w:w="1417"/>
              <w:gridCol w:w="1443"/>
              <w:gridCol w:w="1817"/>
              <w:gridCol w:w="1843"/>
            </w:tblGrid>
            <w:tr w:rsidR="003575E6" w:rsidRPr="003575E6" w:rsidTr="00FB02B5">
              <w:trPr>
                <w:trHeight w:val="366"/>
              </w:trPr>
              <w:tc>
                <w:tcPr>
                  <w:tcW w:w="709" w:type="dxa"/>
                  <w:tcBorders>
                    <w:top w:val="nil"/>
                    <w:left w:val="nil"/>
                    <w:bottom w:val="nil"/>
                    <w:right w:val="single" w:sz="4" w:space="0" w:color="auto"/>
                  </w:tcBorders>
                  <w:shd w:val="clear" w:color="auto" w:fill="auto"/>
                  <w:noWrap/>
                  <w:vAlign w:val="bottom"/>
                  <w:hideMark/>
                </w:tcPr>
                <w:p w:rsidR="005C5BCA" w:rsidRPr="003575E6" w:rsidRDefault="005C5BCA" w:rsidP="00431767">
                  <w:pPr>
                    <w:jc w:val="left"/>
                    <w:rPr>
                      <w:rFonts w:cs="Arial"/>
                      <w:sz w:val="18"/>
                      <w:szCs w:val="18"/>
                      <w:lang w:val="es-ES"/>
                    </w:rPr>
                  </w:pPr>
                  <w:r w:rsidRPr="003575E6">
                    <w:rPr>
                      <w:rFonts w:cs="Arial"/>
                      <w:sz w:val="18"/>
                      <w:szCs w:val="18"/>
                      <w:lang w:val="es-ES"/>
                    </w:rPr>
                    <w:t> </w:t>
                  </w:r>
                </w:p>
              </w:tc>
              <w:tc>
                <w:tcPr>
                  <w:tcW w:w="28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C5BCA" w:rsidRPr="003575E6" w:rsidRDefault="00E86C96" w:rsidP="00431767">
                  <w:pPr>
                    <w:jc w:val="center"/>
                    <w:rPr>
                      <w:rFonts w:cs="Arial"/>
                      <w:sz w:val="18"/>
                      <w:szCs w:val="18"/>
                      <w:lang w:val="es-ES"/>
                    </w:rPr>
                  </w:pPr>
                  <w:r w:rsidRPr="003575E6">
                    <w:rPr>
                      <w:rFonts w:cs="Arial"/>
                      <w:sz w:val="18"/>
                      <w:szCs w:val="18"/>
                      <w:lang w:val="es-ES"/>
                    </w:rPr>
                    <w:t>Lugar de cultivo</w:t>
                  </w:r>
                </w:p>
              </w:tc>
              <w:tc>
                <w:tcPr>
                  <w:tcW w:w="36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C5BCA" w:rsidRPr="003575E6" w:rsidRDefault="000F2D0A" w:rsidP="000F2D0A">
                  <w:pPr>
                    <w:jc w:val="center"/>
                    <w:rPr>
                      <w:rFonts w:cs="Arial"/>
                      <w:sz w:val="18"/>
                      <w:szCs w:val="18"/>
                    </w:rPr>
                  </w:pPr>
                  <w:r w:rsidRPr="003575E6">
                    <w:rPr>
                      <w:rFonts w:cs="Arial"/>
                      <w:sz w:val="18"/>
                      <w:szCs w:val="18"/>
                      <w:lang w:val="es-ES_tradnl"/>
                    </w:rPr>
                    <w:t>Decisión</w:t>
                  </w:r>
                </w:p>
              </w:tc>
            </w:tr>
            <w:tr w:rsidR="003575E6" w:rsidRPr="003575E6" w:rsidTr="00FB02B5">
              <w:trPr>
                <w:trHeight w:val="273"/>
              </w:trPr>
              <w:tc>
                <w:tcPr>
                  <w:tcW w:w="709" w:type="dxa"/>
                  <w:tcBorders>
                    <w:top w:val="nil"/>
                    <w:left w:val="nil"/>
                    <w:bottom w:val="single" w:sz="4" w:space="0" w:color="auto"/>
                    <w:right w:val="single" w:sz="4" w:space="0" w:color="auto"/>
                  </w:tcBorders>
                  <w:shd w:val="clear" w:color="auto" w:fill="auto"/>
                  <w:noWrap/>
                  <w:vAlign w:val="bottom"/>
                  <w:hideMark/>
                </w:tcPr>
                <w:p w:rsidR="005C5BCA" w:rsidRPr="003575E6" w:rsidRDefault="005C5BCA" w:rsidP="00431767">
                  <w:pPr>
                    <w:jc w:val="left"/>
                    <w:rPr>
                      <w:rFonts w:cs="Arial"/>
                      <w:sz w:val="18"/>
                      <w:szCs w:val="18"/>
                    </w:rPr>
                  </w:pPr>
                  <w:r w:rsidRPr="003575E6">
                    <w:rPr>
                      <w:rFonts w:cs="Arial"/>
                      <w:sz w:val="18"/>
                      <w:szCs w:val="18"/>
                    </w:rPr>
                    <w:t> </w:t>
                  </w:r>
                </w:p>
              </w:tc>
              <w:tc>
                <w:tcPr>
                  <w:tcW w:w="1417" w:type="dxa"/>
                  <w:tcBorders>
                    <w:top w:val="nil"/>
                    <w:left w:val="nil"/>
                    <w:bottom w:val="single" w:sz="8" w:space="0" w:color="auto"/>
                    <w:right w:val="single" w:sz="4" w:space="0" w:color="auto"/>
                  </w:tcBorders>
                  <w:shd w:val="clear" w:color="auto" w:fill="auto"/>
                  <w:noWrap/>
                  <w:vAlign w:val="center"/>
                  <w:hideMark/>
                </w:tcPr>
                <w:p w:rsidR="005C5BCA" w:rsidRPr="003575E6" w:rsidRDefault="000F2D0A" w:rsidP="000F2D0A">
                  <w:pPr>
                    <w:jc w:val="center"/>
                    <w:rPr>
                      <w:rFonts w:cs="Arial"/>
                      <w:sz w:val="18"/>
                      <w:szCs w:val="18"/>
                    </w:rPr>
                  </w:pPr>
                  <w:r w:rsidRPr="003575E6">
                    <w:rPr>
                      <w:rFonts w:cs="Arial"/>
                      <w:sz w:val="18"/>
                      <w:szCs w:val="18"/>
                      <w:lang w:val="es-ES_tradnl"/>
                    </w:rPr>
                    <w:t>Primero</w:t>
                  </w:r>
                </w:p>
              </w:tc>
              <w:tc>
                <w:tcPr>
                  <w:tcW w:w="1443" w:type="dxa"/>
                  <w:tcBorders>
                    <w:top w:val="nil"/>
                    <w:left w:val="nil"/>
                    <w:bottom w:val="single" w:sz="8" w:space="0" w:color="auto"/>
                    <w:right w:val="single" w:sz="4" w:space="0" w:color="auto"/>
                  </w:tcBorders>
                  <w:shd w:val="clear" w:color="auto" w:fill="auto"/>
                  <w:noWrap/>
                  <w:vAlign w:val="center"/>
                  <w:hideMark/>
                </w:tcPr>
                <w:p w:rsidR="005C5BCA" w:rsidRPr="003575E6" w:rsidRDefault="000F2D0A" w:rsidP="000F2D0A">
                  <w:pPr>
                    <w:jc w:val="center"/>
                    <w:rPr>
                      <w:rFonts w:cs="Arial"/>
                      <w:sz w:val="18"/>
                      <w:szCs w:val="18"/>
                    </w:rPr>
                  </w:pPr>
                  <w:r w:rsidRPr="003575E6">
                    <w:rPr>
                      <w:rFonts w:cs="Arial"/>
                      <w:sz w:val="18"/>
                      <w:szCs w:val="18"/>
                      <w:lang w:val="es-ES_tradnl"/>
                    </w:rPr>
                    <w:t>Segundo</w:t>
                  </w:r>
                </w:p>
              </w:tc>
              <w:tc>
                <w:tcPr>
                  <w:tcW w:w="1817" w:type="dxa"/>
                  <w:tcBorders>
                    <w:top w:val="nil"/>
                    <w:left w:val="nil"/>
                    <w:bottom w:val="single" w:sz="8" w:space="0" w:color="auto"/>
                    <w:right w:val="single" w:sz="4" w:space="0" w:color="auto"/>
                  </w:tcBorders>
                  <w:shd w:val="clear" w:color="auto" w:fill="auto"/>
                  <w:noWrap/>
                  <w:vAlign w:val="center"/>
                  <w:hideMark/>
                </w:tcPr>
                <w:p w:rsidR="005C5BCA" w:rsidRPr="003575E6" w:rsidRDefault="000F2D0A" w:rsidP="000F2D0A">
                  <w:pPr>
                    <w:jc w:val="center"/>
                    <w:rPr>
                      <w:rFonts w:cs="Arial"/>
                      <w:sz w:val="18"/>
                      <w:szCs w:val="18"/>
                    </w:rPr>
                  </w:pPr>
                  <w:r w:rsidRPr="003575E6">
                    <w:rPr>
                      <w:rFonts w:cs="Arial"/>
                      <w:sz w:val="18"/>
                      <w:szCs w:val="18"/>
                      <w:lang w:val="es-ES_tradnl"/>
                    </w:rPr>
                    <w:t>Método 1</w:t>
                  </w:r>
                </w:p>
              </w:tc>
              <w:tc>
                <w:tcPr>
                  <w:tcW w:w="1843" w:type="dxa"/>
                  <w:tcBorders>
                    <w:top w:val="nil"/>
                    <w:left w:val="nil"/>
                    <w:bottom w:val="single" w:sz="8" w:space="0" w:color="auto"/>
                    <w:right w:val="single" w:sz="4" w:space="0" w:color="auto"/>
                  </w:tcBorders>
                  <w:shd w:val="clear" w:color="auto" w:fill="auto"/>
                  <w:noWrap/>
                  <w:vAlign w:val="center"/>
                  <w:hideMark/>
                </w:tcPr>
                <w:p w:rsidR="005C5BCA" w:rsidRPr="003575E6" w:rsidRDefault="000F2D0A" w:rsidP="000F2D0A">
                  <w:pPr>
                    <w:jc w:val="center"/>
                    <w:rPr>
                      <w:rFonts w:cs="Arial"/>
                      <w:sz w:val="18"/>
                      <w:szCs w:val="18"/>
                    </w:rPr>
                  </w:pPr>
                  <w:r w:rsidRPr="003575E6">
                    <w:rPr>
                      <w:rFonts w:cs="Arial"/>
                      <w:sz w:val="18"/>
                      <w:szCs w:val="18"/>
                      <w:lang w:val="es-ES_tradnl"/>
                    </w:rPr>
                    <w:t>Método 2</w:t>
                  </w:r>
                </w:p>
              </w:tc>
            </w:tr>
            <w:tr w:rsidR="003575E6" w:rsidRPr="007E0D61" w:rsidTr="00FB02B5">
              <w:trPr>
                <w:trHeight w:val="266"/>
              </w:trPr>
              <w:tc>
                <w:tcPr>
                  <w:tcW w:w="709" w:type="dxa"/>
                  <w:vMerge w:val="restart"/>
                  <w:tcBorders>
                    <w:top w:val="nil"/>
                    <w:left w:val="single" w:sz="4" w:space="0" w:color="auto"/>
                    <w:right w:val="single" w:sz="4" w:space="0" w:color="auto"/>
                  </w:tcBorders>
                  <w:shd w:val="clear" w:color="auto" w:fill="auto"/>
                  <w:textDirection w:val="btLr"/>
                  <w:vAlign w:val="center"/>
                  <w:hideMark/>
                </w:tcPr>
                <w:p w:rsidR="005C5BCA" w:rsidRPr="003575E6" w:rsidRDefault="000F2D0A" w:rsidP="000F2D0A">
                  <w:pPr>
                    <w:jc w:val="center"/>
                    <w:rPr>
                      <w:rFonts w:cs="Arial"/>
                      <w:sz w:val="18"/>
                      <w:szCs w:val="18"/>
                      <w:lang w:val="es-ES"/>
                    </w:rPr>
                  </w:pPr>
                  <w:r w:rsidRPr="003575E6">
                    <w:rPr>
                      <w:rFonts w:cs="Arial"/>
                      <w:sz w:val="18"/>
                      <w:szCs w:val="18"/>
                      <w:lang w:val="es-ES_tradnl"/>
                    </w:rPr>
                    <w:t>Número de plantas fuera de tipo</w:t>
                  </w:r>
                </w:p>
              </w:tc>
              <w:tc>
                <w:tcPr>
                  <w:tcW w:w="1417" w:type="dxa"/>
                  <w:tcBorders>
                    <w:top w:val="nil"/>
                    <w:left w:val="single" w:sz="4" w:space="0" w:color="auto"/>
                    <w:bottom w:val="single" w:sz="8" w:space="0" w:color="auto"/>
                    <w:right w:val="single" w:sz="4" w:space="0" w:color="auto"/>
                  </w:tcBorders>
                  <w:shd w:val="clear" w:color="auto" w:fill="auto"/>
                  <w:noWrap/>
                  <w:vAlign w:val="center"/>
                  <w:hideMark/>
                </w:tcPr>
                <w:p w:rsidR="005C5BCA" w:rsidRPr="003575E6" w:rsidRDefault="005C5BCA" w:rsidP="00431767">
                  <w:pPr>
                    <w:jc w:val="center"/>
                    <w:rPr>
                      <w:rFonts w:cs="Arial"/>
                      <w:sz w:val="18"/>
                      <w:szCs w:val="18"/>
                      <w:lang w:val="es-ES"/>
                    </w:rPr>
                  </w:pPr>
                  <w:r w:rsidRPr="003575E6">
                    <w:rPr>
                      <w:rFonts w:cs="Arial"/>
                      <w:sz w:val="18"/>
                      <w:szCs w:val="18"/>
                      <w:lang w:val="es-ES"/>
                    </w:rPr>
                    <w:t>2</w:t>
                  </w:r>
                </w:p>
              </w:tc>
              <w:tc>
                <w:tcPr>
                  <w:tcW w:w="1443" w:type="dxa"/>
                  <w:tcBorders>
                    <w:top w:val="nil"/>
                    <w:left w:val="nil"/>
                    <w:bottom w:val="single" w:sz="8" w:space="0" w:color="auto"/>
                    <w:right w:val="single" w:sz="4" w:space="0" w:color="auto"/>
                  </w:tcBorders>
                  <w:shd w:val="clear" w:color="auto" w:fill="auto"/>
                  <w:noWrap/>
                  <w:vAlign w:val="center"/>
                  <w:hideMark/>
                </w:tcPr>
                <w:p w:rsidR="005C5BCA" w:rsidRPr="003575E6" w:rsidRDefault="005C5BCA" w:rsidP="00431767">
                  <w:pPr>
                    <w:jc w:val="center"/>
                    <w:rPr>
                      <w:rFonts w:cs="Arial"/>
                      <w:sz w:val="18"/>
                      <w:szCs w:val="18"/>
                      <w:lang w:val="es-ES"/>
                    </w:rPr>
                  </w:pPr>
                  <w:r w:rsidRPr="003575E6">
                    <w:rPr>
                      <w:rFonts w:cs="Arial"/>
                      <w:sz w:val="18"/>
                      <w:szCs w:val="18"/>
                      <w:lang w:val="es-ES"/>
                    </w:rPr>
                    <w:t>2</w:t>
                  </w:r>
                </w:p>
              </w:tc>
              <w:tc>
                <w:tcPr>
                  <w:tcW w:w="1817" w:type="dxa"/>
                  <w:tcBorders>
                    <w:top w:val="nil"/>
                    <w:left w:val="nil"/>
                    <w:bottom w:val="single" w:sz="8" w:space="0" w:color="auto"/>
                    <w:right w:val="single" w:sz="4" w:space="0" w:color="auto"/>
                  </w:tcBorders>
                  <w:shd w:val="clear" w:color="auto" w:fill="auto"/>
                  <w:noWrap/>
                  <w:vAlign w:val="center"/>
                  <w:hideMark/>
                </w:tcPr>
                <w:p w:rsidR="005C5BCA" w:rsidRPr="003575E6" w:rsidRDefault="000F2D0A" w:rsidP="000F2D0A">
                  <w:pPr>
                    <w:jc w:val="center"/>
                    <w:rPr>
                      <w:rFonts w:cs="Arial"/>
                      <w:sz w:val="18"/>
                      <w:szCs w:val="18"/>
                      <w:lang w:val="es-ES"/>
                    </w:rPr>
                  </w:pPr>
                  <w:r w:rsidRPr="003575E6">
                    <w:rPr>
                      <w:rFonts w:cs="Arial"/>
                      <w:sz w:val="18"/>
                      <w:szCs w:val="18"/>
                      <w:lang w:val="es-ES_tradnl"/>
                    </w:rPr>
                    <w:t>homogénea</w:t>
                  </w:r>
                </w:p>
              </w:tc>
              <w:tc>
                <w:tcPr>
                  <w:tcW w:w="1843" w:type="dxa"/>
                  <w:tcBorders>
                    <w:top w:val="nil"/>
                    <w:left w:val="nil"/>
                    <w:bottom w:val="single" w:sz="8" w:space="0" w:color="auto"/>
                    <w:right w:val="single" w:sz="8" w:space="0" w:color="auto"/>
                  </w:tcBorders>
                  <w:shd w:val="clear" w:color="auto" w:fill="auto"/>
                  <w:vAlign w:val="center"/>
                  <w:hideMark/>
                </w:tcPr>
                <w:p w:rsidR="005C5BCA" w:rsidRPr="003575E6" w:rsidRDefault="000F2D0A" w:rsidP="000F2D0A">
                  <w:pPr>
                    <w:jc w:val="center"/>
                    <w:rPr>
                      <w:rFonts w:cs="Arial"/>
                      <w:sz w:val="18"/>
                      <w:szCs w:val="18"/>
                      <w:lang w:val="es-ES"/>
                    </w:rPr>
                  </w:pPr>
                  <w:r w:rsidRPr="003575E6">
                    <w:rPr>
                      <w:rFonts w:cs="Arial"/>
                      <w:sz w:val="18"/>
                      <w:szCs w:val="18"/>
                      <w:lang w:val="es-ES_tradnl"/>
                    </w:rPr>
                    <w:t>homogénea</w:t>
                  </w:r>
                </w:p>
              </w:tc>
            </w:tr>
            <w:tr w:rsidR="003575E6" w:rsidRPr="007E0D61" w:rsidTr="00FB02B5">
              <w:trPr>
                <w:trHeight w:val="257"/>
              </w:trPr>
              <w:tc>
                <w:tcPr>
                  <w:tcW w:w="709" w:type="dxa"/>
                  <w:vMerge/>
                  <w:tcBorders>
                    <w:left w:val="single" w:sz="4" w:space="0" w:color="auto"/>
                    <w:right w:val="single" w:sz="4" w:space="0" w:color="auto"/>
                  </w:tcBorders>
                  <w:vAlign w:val="center"/>
                  <w:hideMark/>
                </w:tcPr>
                <w:p w:rsidR="005C5BCA" w:rsidRPr="003575E6" w:rsidRDefault="005C5BCA" w:rsidP="00431767">
                  <w:pPr>
                    <w:jc w:val="left"/>
                    <w:rPr>
                      <w:rFonts w:cs="Arial"/>
                      <w:sz w:val="18"/>
                      <w:szCs w:val="18"/>
                      <w:lang w:val="es-ES"/>
                    </w:rPr>
                  </w:pPr>
                </w:p>
              </w:tc>
              <w:tc>
                <w:tcPr>
                  <w:tcW w:w="1417" w:type="dxa"/>
                  <w:tcBorders>
                    <w:top w:val="nil"/>
                    <w:left w:val="single" w:sz="4" w:space="0" w:color="auto"/>
                    <w:bottom w:val="single" w:sz="8" w:space="0" w:color="auto"/>
                    <w:right w:val="single" w:sz="4" w:space="0" w:color="auto"/>
                  </w:tcBorders>
                  <w:shd w:val="clear" w:color="auto" w:fill="auto"/>
                  <w:vAlign w:val="center"/>
                  <w:hideMark/>
                </w:tcPr>
                <w:p w:rsidR="005C5BCA" w:rsidRPr="003575E6" w:rsidRDefault="005C5BCA" w:rsidP="00431767">
                  <w:pPr>
                    <w:jc w:val="center"/>
                    <w:rPr>
                      <w:rFonts w:cs="Arial"/>
                      <w:sz w:val="18"/>
                      <w:szCs w:val="18"/>
                      <w:lang w:val="es-ES"/>
                    </w:rPr>
                  </w:pPr>
                  <w:r w:rsidRPr="003575E6">
                    <w:rPr>
                      <w:rFonts w:cs="Arial"/>
                      <w:sz w:val="18"/>
                      <w:szCs w:val="18"/>
                      <w:lang w:val="es-ES"/>
                    </w:rPr>
                    <w:t>0</w:t>
                  </w:r>
                </w:p>
              </w:tc>
              <w:tc>
                <w:tcPr>
                  <w:tcW w:w="1443" w:type="dxa"/>
                  <w:tcBorders>
                    <w:top w:val="nil"/>
                    <w:left w:val="nil"/>
                    <w:bottom w:val="single" w:sz="8" w:space="0" w:color="auto"/>
                    <w:right w:val="single" w:sz="4" w:space="0" w:color="auto"/>
                  </w:tcBorders>
                  <w:shd w:val="clear" w:color="auto" w:fill="auto"/>
                  <w:vAlign w:val="center"/>
                  <w:hideMark/>
                </w:tcPr>
                <w:p w:rsidR="005C5BCA" w:rsidRPr="003575E6" w:rsidRDefault="005C5BCA" w:rsidP="00431767">
                  <w:pPr>
                    <w:jc w:val="center"/>
                    <w:rPr>
                      <w:rFonts w:cs="Arial"/>
                      <w:sz w:val="18"/>
                      <w:szCs w:val="18"/>
                      <w:lang w:val="es-ES"/>
                    </w:rPr>
                  </w:pPr>
                  <w:r w:rsidRPr="003575E6">
                    <w:rPr>
                      <w:rFonts w:cs="Arial"/>
                      <w:sz w:val="18"/>
                      <w:szCs w:val="18"/>
                      <w:lang w:val="es-ES"/>
                    </w:rPr>
                    <w:t>3</w:t>
                  </w:r>
                </w:p>
              </w:tc>
              <w:tc>
                <w:tcPr>
                  <w:tcW w:w="1817" w:type="dxa"/>
                  <w:tcBorders>
                    <w:top w:val="nil"/>
                    <w:left w:val="nil"/>
                    <w:bottom w:val="single" w:sz="8" w:space="0" w:color="auto"/>
                    <w:right w:val="single" w:sz="4" w:space="0" w:color="auto"/>
                  </w:tcBorders>
                  <w:shd w:val="clear" w:color="auto" w:fill="auto"/>
                  <w:vAlign w:val="center"/>
                  <w:hideMark/>
                </w:tcPr>
                <w:p w:rsidR="005C5BCA" w:rsidRPr="003575E6" w:rsidRDefault="00A55C19" w:rsidP="009273A4">
                  <w:pPr>
                    <w:jc w:val="center"/>
                    <w:rPr>
                      <w:rFonts w:cs="Arial"/>
                      <w:sz w:val="18"/>
                      <w:szCs w:val="18"/>
                      <w:lang w:val="es-ES"/>
                    </w:rPr>
                  </w:pPr>
                  <w:r w:rsidRPr="003575E6">
                    <w:rPr>
                      <w:rFonts w:cs="Arial"/>
                      <w:sz w:val="18"/>
                      <w:szCs w:val="18"/>
                      <w:lang w:val="es-ES_tradnl"/>
                    </w:rPr>
                    <w:t>repetición del ensayo</w:t>
                  </w:r>
                </w:p>
              </w:tc>
              <w:tc>
                <w:tcPr>
                  <w:tcW w:w="1843" w:type="dxa"/>
                  <w:tcBorders>
                    <w:top w:val="nil"/>
                    <w:left w:val="nil"/>
                    <w:bottom w:val="single" w:sz="8" w:space="0" w:color="auto"/>
                    <w:right w:val="single" w:sz="4" w:space="0" w:color="auto"/>
                  </w:tcBorders>
                  <w:shd w:val="clear" w:color="auto" w:fill="auto"/>
                  <w:vAlign w:val="center"/>
                  <w:hideMark/>
                </w:tcPr>
                <w:p w:rsidR="005C5BCA" w:rsidRPr="003575E6" w:rsidRDefault="000F2D0A" w:rsidP="000F2D0A">
                  <w:pPr>
                    <w:jc w:val="center"/>
                    <w:rPr>
                      <w:rFonts w:cs="Arial"/>
                      <w:sz w:val="18"/>
                      <w:szCs w:val="18"/>
                      <w:lang w:val="es-ES"/>
                    </w:rPr>
                  </w:pPr>
                  <w:r w:rsidRPr="003575E6">
                    <w:rPr>
                      <w:rFonts w:cs="Arial"/>
                      <w:sz w:val="18"/>
                      <w:szCs w:val="18"/>
                      <w:lang w:val="es-ES_tradnl"/>
                    </w:rPr>
                    <w:t>homogénea</w:t>
                  </w:r>
                </w:p>
              </w:tc>
            </w:tr>
            <w:tr w:rsidR="003575E6" w:rsidRPr="007E0D61" w:rsidTr="00FB02B5">
              <w:trPr>
                <w:trHeight w:val="260"/>
              </w:trPr>
              <w:tc>
                <w:tcPr>
                  <w:tcW w:w="709" w:type="dxa"/>
                  <w:vMerge/>
                  <w:tcBorders>
                    <w:left w:val="single" w:sz="4" w:space="0" w:color="auto"/>
                    <w:right w:val="single" w:sz="4" w:space="0" w:color="auto"/>
                  </w:tcBorders>
                  <w:vAlign w:val="center"/>
                  <w:hideMark/>
                </w:tcPr>
                <w:p w:rsidR="005C5BCA" w:rsidRPr="003575E6" w:rsidRDefault="005C5BCA" w:rsidP="00431767">
                  <w:pPr>
                    <w:jc w:val="left"/>
                    <w:rPr>
                      <w:rFonts w:cs="Arial"/>
                      <w:sz w:val="18"/>
                      <w:szCs w:val="18"/>
                      <w:lang w:val="es-ES"/>
                    </w:rPr>
                  </w:pPr>
                </w:p>
              </w:tc>
              <w:tc>
                <w:tcPr>
                  <w:tcW w:w="1417" w:type="dxa"/>
                  <w:tcBorders>
                    <w:top w:val="nil"/>
                    <w:left w:val="single" w:sz="4" w:space="0" w:color="auto"/>
                    <w:bottom w:val="single" w:sz="8" w:space="0" w:color="auto"/>
                    <w:right w:val="single" w:sz="4" w:space="0" w:color="auto"/>
                  </w:tcBorders>
                  <w:shd w:val="clear" w:color="auto" w:fill="auto"/>
                  <w:vAlign w:val="center"/>
                  <w:hideMark/>
                </w:tcPr>
                <w:p w:rsidR="005C5BCA" w:rsidRPr="003575E6" w:rsidRDefault="005C5BCA" w:rsidP="00431767">
                  <w:pPr>
                    <w:jc w:val="center"/>
                    <w:rPr>
                      <w:rFonts w:cs="Arial"/>
                      <w:sz w:val="18"/>
                      <w:szCs w:val="18"/>
                      <w:lang w:val="es-ES"/>
                    </w:rPr>
                  </w:pPr>
                  <w:r w:rsidRPr="003575E6">
                    <w:rPr>
                      <w:rFonts w:cs="Arial"/>
                      <w:sz w:val="18"/>
                      <w:szCs w:val="18"/>
                      <w:lang w:val="es-ES"/>
                    </w:rPr>
                    <w:t>1</w:t>
                  </w:r>
                </w:p>
              </w:tc>
              <w:tc>
                <w:tcPr>
                  <w:tcW w:w="1443" w:type="dxa"/>
                  <w:tcBorders>
                    <w:top w:val="nil"/>
                    <w:left w:val="nil"/>
                    <w:bottom w:val="single" w:sz="8" w:space="0" w:color="auto"/>
                    <w:right w:val="single" w:sz="4" w:space="0" w:color="auto"/>
                  </w:tcBorders>
                  <w:shd w:val="clear" w:color="auto" w:fill="auto"/>
                  <w:vAlign w:val="center"/>
                  <w:hideMark/>
                </w:tcPr>
                <w:p w:rsidR="005C5BCA" w:rsidRPr="003575E6" w:rsidRDefault="005C5BCA" w:rsidP="00431767">
                  <w:pPr>
                    <w:jc w:val="center"/>
                    <w:rPr>
                      <w:rFonts w:cs="Arial"/>
                      <w:sz w:val="18"/>
                      <w:szCs w:val="18"/>
                      <w:lang w:val="es-ES"/>
                    </w:rPr>
                  </w:pPr>
                  <w:r w:rsidRPr="003575E6">
                    <w:rPr>
                      <w:rFonts w:cs="Arial"/>
                      <w:sz w:val="18"/>
                      <w:szCs w:val="18"/>
                      <w:lang w:val="es-ES"/>
                    </w:rPr>
                    <w:t>3</w:t>
                  </w:r>
                </w:p>
              </w:tc>
              <w:tc>
                <w:tcPr>
                  <w:tcW w:w="1817" w:type="dxa"/>
                  <w:tcBorders>
                    <w:top w:val="nil"/>
                    <w:left w:val="nil"/>
                    <w:bottom w:val="single" w:sz="8" w:space="0" w:color="auto"/>
                    <w:right w:val="single" w:sz="4" w:space="0" w:color="auto"/>
                  </w:tcBorders>
                  <w:shd w:val="clear" w:color="auto" w:fill="auto"/>
                  <w:vAlign w:val="center"/>
                  <w:hideMark/>
                </w:tcPr>
                <w:p w:rsidR="005C5BCA" w:rsidRPr="003575E6" w:rsidRDefault="00FB02B5" w:rsidP="009273A4">
                  <w:pPr>
                    <w:jc w:val="center"/>
                    <w:rPr>
                      <w:rFonts w:cs="Arial"/>
                      <w:sz w:val="18"/>
                      <w:szCs w:val="18"/>
                      <w:lang w:val="es-ES"/>
                    </w:rPr>
                  </w:pPr>
                  <w:r w:rsidRPr="003575E6">
                    <w:rPr>
                      <w:rFonts w:cs="Arial"/>
                      <w:sz w:val="18"/>
                      <w:szCs w:val="18"/>
                      <w:lang w:val="es-ES_tradnl"/>
                    </w:rPr>
                    <w:t>repetición del ensayo</w:t>
                  </w:r>
                </w:p>
              </w:tc>
              <w:tc>
                <w:tcPr>
                  <w:tcW w:w="1843" w:type="dxa"/>
                  <w:tcBorders>
                    <w:top w:val="nil"/>
                    <w:left w:val="nil"/>
                    <w:bottom w:val="single" w:sz="8" w:space="0" w:color="auto"/>
                    <w:right w:val="single" w:sz="8" w:space="0" w:color="auto"/>
                  </w:tcBorders>
                  <w:shd w:val="clear" w:color="auto" w:fill="auto"/>
                  <w:vAlign w:val="center"/>
                  <w:hideMark/>
                </w:tcPr>
                <w:p w:rsidR="005C5BCA" w:rsidRPr="003575E6" w:rsidRDefault="000F2D0A" w:rsidP="000F2D0A">
                  <w:pPr>
                    <w:jc w:val="center"/>
                    <w:rPr>
                      <w:rFonts w:cs="Arial"/>
                      <w:sz w:val="18"/>
                      <w:szCs w:val="18"/>
                      <w:lang w:val="es-ES"/>
                    </w:rPr>
                  </w:pPr>
                  <w:r w:rsidRPr="003575E6">
                    <w:rPr>
                      <w:rFonts w:cs="Arial"/>
                      <w:sz w:val="18"/>
                      <w:szCs w:val="18"/>
                      <w:lang w:val="es-ES_tradnl"/>
                    </w:rPr>
                    <w:t>no homogénea</w:t>
                  </w:r>
                </w:p>
              </w:tc>
            </w:tr>
            <w:tr w:rsidR="003575E6" w:rsidRPr="007E0D61" w:rsidTr="00FB02B5">
              <w:trPr>
                <w:trHeight w:val="279"/>
              </w:trPr>
              <w:tc>
                <w:tcPr>
                  <w:tcW w:w="709" w:type="dxa"/>
                  <w:vMerge/>
                  <w:tcBorders>
                    <w:left w:val="single" w:sz="4" w:space="0" w:color="auto"/>
                    <w:right w:val="single" w:sz="4" w:space="0" w:color="auto"/>
                  </w:tcBorders>
                  <w:vAlign w:val="center"/>
                  <w:hideMark/>
                </w:tcPr>
                <w:p w:rsidR="005C5BCA" w:rsidRPr="003575E6" w:rsidRDefault="005C5BCA" w:rsidP="00431767">
                  <w:pPr>
                    <w:jc w:val="left"/>
                    <w:rPr>
                      <w:rFonts w:cs="Arial"/>
                      <w:sz w:val="18"/>
                      <w:szCs w:val="18"/>
                      <w:lang w:val="es-ES"/>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5BCA" w:rsidRPr="003575E6" w:rsidRDefault="005C5BCA" w:rsidP="00431767">
                  <w:pPr>
                    <w:jc w:val="center"/>
                    <w:rPr>
                      <w:rFonts w:cs="Arial"/>
                      <w:sz w:val="18"/>
                      <w:szCs w:val="18"/>
                      <w:lang w:val="es-ES"/>
                    </w:rPr>
                  </w:pPr>
                  <w:r w:rsidRPr="003575E6">
                    <w:rPr>
                      <w:rFonts w:cs="Arial"/>
                      <w:sz w:val="18"/>
                      <w:szCs w:val="18"/>
                      <w:lang w:val="es-ES"/>
                    </w:rPr>
                    <w:t>0</w:t>
                  </w:r>
                </w:p>
              </w:tc>
              <w:tc>
                <w:tcPr>
                  <w:tcW w:w="1443" w:type="dxa"/>
                  <w:tcBorders>
                    <w:top w:val="nil"/>
                    <w:left w:val="nil"/>
                    <w:bottom w:val="single" w:sz="4" w:space="0" w:color="auto"/>
                    <w:right w:val="single" w:sz="4" w:space="0" w:color="auto"/>
                  </w:tcBorders>
                  <w:shd w:val="clear" w:color="auto" w:fill="auto"/>
                  <w:noWrap/>
                  <w:vAlign w:val="center"/>
                  <w:hideMark/>
                </w:tcPr>
                <w:p w:rsidR="005C5BCA" w:rsidRPr="003575E6" w:rsidRDefault="005C5BCA" w:rsidP="00431767">
                  <w:pPr>
                    <w:jc w:val="center"/>
                    <w:rPr>
                      <w:rFonts w:cs="Arial"/>
                      <w:sz w:val="18"/>
                      <w:szCs w:val="18"/>
                      <w:lang w:val="es-ES"/>
                    </w:rPr>
                  </w:pPr>
                  <w:r w:rsidRPr="003575E6">
                    <w:rPr>
                      <w:rFonts w:cs="Arial"/>
                      <w:sz w:val="18"/>
                      <w:szCs w:val="18"/>
                      <w:lang w:val="es-ES"/>
                    </w:rPr>
                    <w:t>10*</w:t>
                  </w:r>
                </w:p>
              </w:tc>
              <w:tc>
                <w:tcPr>
                  <w:tcW w:w="1817" w:type="dxa"/>
                  <w:tcBorders>
                    <w:top w:val="nil"/>
                    <w:left w:val="nil"/>
                    <w:bottom w:val="single" w:sz="4" w:space="0" w:color="auto"/>
                    <w:right w:val="single" w:sz="4" w:space="0" w:color="auto"/>
                  </w:tcBorders>
                  <w:shd w:val="clear" w:color="auto" w:fill="auto"/>
                  <w:vAlign w:val="center"/>
                  <w:hideMark/>
                </w:tcPr>
                <w:p w:rsidR="005C5BCA" w:rsidRPr="003575E6" w:rsidRDefault="00FB02B5" w:rsidP="009273A4">
                  <w:pPr>
                    <w:jc w:val="center"/>
                    <w:rPr>
                      <w:rFonts w:cs="Arial"/>
                      <w:sz w:val="18"/>
                      <w:szCs w:val="18"/>
                      <w:lang w:val="es-ES"/>
                    </w:rPr>
                  </w:pPr>
                  <w:r w:rsidRPr="003575E6">
                    <w:rPr>
                      <w:rFonts w:cs="Arial"/>
                      <w:sz w:val="18"/>
                      <w:szCs w:val="18"/>
                      <w:lang w:val="es-ES_tradnl"/>
                    </w:rPr>
                    <w:t>repetición del ensayo</w:t>
                  </w:r>
                  <w:r w:rsidR="005C5BCA" w:rsidRPr="003575E6">
                    <w:rPr>
                      <w:rFonts w:cs="Arial"/>
                      <w:sz w:val="18"/>
                      <w:szCs w:val="18"/>
                      <w:lang w:val="es-ES"/>
                    </w:rPr>
                    <w:t>*</w:t>
                  </w:r>
                </w:p>
              </w:tc>
              <w:tc>
                <w:tcPr>
                  <w:tcW w:w="1843" w:type="dxa"/>
                  <w:tcBorders>
                    <w:top w:val="nil"/>
                    <w:left w:val="nil"/>
                    <w:bottom w:val="single" w:sz="4" w:space="0" w:color="auto"/>
                    <w:right w:val="single" w:sz="4" w:space="0" w:color="auto"/>
                  </w:tcBorders>
                  <w:shd w:val="clear" w:color="auto" w:fill="auto"/>
                  <w:vAlign w:val="center"/>
                  <w:hideMark/>
                </w:tcPr>
                <w:p w:rsidR="005C5BCA" w:rsidRPr="003575E6" w:rsidRDefault="000F2D0A" w:rsidP="000F2D0A">
                  <w:pPr>
                    <w:jc w:val="center"/>
                    <w:rPr>
                      <w:rFonts w:cs="Arial"/>
                      <w:sz w:val="18"/>
                      <w:szCs w:val="18"/>
                      <w:lang w:val="es-ES"/>
                    </w:rPr>
                  </w:pPr>
                  <w:r w:rsidRPr="003575E6">
                    <w:rPr>
                      <w:rFonts w:cs="Arial"/>
                      <w:sz w:val="18"/>
                      <w:szCs w:val="18"/>
                      <w:lang w:val="es-ES_tradnl"/>
                    </w:rPr>
                    <w:t>no homogénea</w:t>
                  </w:r>
                  <w:r w:rsidR="00E86C96" w:rsidRPr="003575E6">
                    <w:rPr>
                      <w:rFonts w:cs="Arial"/>
                      <w:sz w:val="18"/>
                      <w:szCs w:val="18"/>
                      <w:lang w:val="es-ES_tradnl"/>
                    </w:rPr>
                    <w:t>*</w:t>
                  </w:r>
                </w:p>
              </w:tc>
            </w:tr>
            <w:tr w:rsidR="003575E6" w:rsidRPr="007E0D61" w:rsidTr="00FB02B5">
              <w:trPr>
                <w:trHeight w:val="265"/>
              </w:trPr>
              <w:tc>
                <w:tcPr>
                  <w:tcW w:w="709" w:type="dxa"/>
                  <w:vMerge/>
                  <w:tcBorders>
                    <w:left w:val="single" w:sz="4" w:space="0" w:color="auto"/>
                    <w:bottom w:val="single" w:sz="4" w:space="0" w:color="auto"/>
                    <w:right w:val="single" w:sz="4" w:space="0" w:color="auto"/>
                  </w:tcBorders>
                  <w:shd w:val="clear" w:color="auto" w:fill="auto"/>
                  <w:noWrap/>
                  <w:vAlign w:val="bottom"/>
                  <w:hideMark/>
                </w:tcPr>
                <w:p w:rsidR="005C5BCA" w:rsidRPr="003575E6" w:rsidRDefault="005C5BCA" w:rsidP="00431767">
                  <w:pPr>
                    <w:jc w:val="left"/>
                    <w:rPr>
                      <w:rFonts w:cs="Arial"/>
                      <w:sz w:val="18"/>
                      <w:szCs w:val="18"/>
                      <w:lang w:val="es-ES"/>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C5BCA" w:rsidRPr="003575E6" w:rsidRDefault="005C5BCA" w:rsidP="00431767">
                  <w:pPr>
                    <w:jc w:val="center"/>
                    <w:rPr>
                      <w:rFonts w:cs="Arial"/>
                      <w:sz w:val="18"/>
                      <w:szCs w:val="18"/>
                      <w:lang w:val="es-ES"/>
                    </w:rPr>
                  </w:pPr>
                  <w:r w:rsidRPr="003575E6">
                    <w:rPr>
                      <w:rFonts w:cs="Arial"/>
                      <w:sz w:val="18"/>
                      <w:szCs w:val="18"/>
                      <w:lang w:val="es-ES"/>
                    </w:rPr>
                    <w:t>10**</w:t>
                  </w:r>
                </w:p>
              </w:tc>
              <w:tc>
                <w:tcPr>
                  <w:tcW w:w="1443" w:type="dxa"/>
                  <w:tcBorders>
                    <w:top w:val="nil"/>
                    <w:left w:val="single" w:sz="4" w:space="0" w:color="auto"/>
                    <w:bottom w:val="single" w:sz="4" w:space="0" w:color="auto"/>
                    <w:right w:val="single" w:sz="4" w:space="0" w:color="auto"/>
                  </w:tcBorders>
                  <w:shd w:val="clear" w:color="auto" w:fill="auto"/>
                  <w:noWrap/>
                  <w:vAlign w:val="center"/>
                  <w:hideMark/>
                </w:tcPr>
                <w:p w:rsidR="005C5BCA" w:rsidRPr="003575E6" w:rsidRDefault="005C5BCA" w:rsidP="00431767">
                  <w:pPr>
                    <w:jc w:val="center"/>
                    <w:rPr>
                      <w:rFonts w:cs="Arial"/>
                      <w:sz w:val="18"/>
                      <w:szCs w:val="18"/>
                      <w:lang w:val="es-ES"/>
                    </w:rPr>
                  </w:pPr>
                  <w:r w:rsidRPr="003575E6">
                    <w:rPr>
                      <w:rFonts w:cs="Arial"/>
                      <w:sz w:val="18"/>
                      <w:szCs w:val="18"/>
                      <w:lang w:val="es-ES"/>
                    </w:rPr>
                    <w:t>0</w:t>
                  </w:r>
                </w:p>
              </w:tc>
              <w:tc>
                <w:tcPr>
                  <w:tcW w:w="1817" w:type="dxa"/>
                  <w:tcBorders>
                    <w:top w:val="nil"/>
                    <w:left w:val="single" w:sz="4" w:space="0" w:color="auto"/>
                    <w:bottom w:val="single" w:sz="4" w:space="0" w:color="auto"/>
                    <w:right w:val="single" w:sz="4" w:space="0" w:color="auto"/>
                  </w:tcBorders>
                  <w:shd w:val="clear" w:color="auto" w:fill="auto"/>
                  <w:noWrap/>
                  <w:vAlign w:val="center"/>
                  <w:hideMark/>
                </w:tcPr>
                <w:p w:rsidR="005C5BCA" w:rsidRPr="003575E6" w:rsidRDefault="00FB02B5" w:rsidP="009273A4">
                  <w:pPr>
                    <w:jc w:val="center"/>
                    <w:rPr>
                      <w:rFonts w:cs="Arial"/>
                      <w:sz w:val="18"/>
                      <w:szCs w:val="18"/>
                      <w:lang w:val="es-ES"/>
                    </w:rPr>
                  </w:pPr>
                  <w:r w:rsidRPr="003575E6">
                    <w:rPr>
                      <w:rFonts w:cs="Arial"/>
                      <w:sz w:val="18"/>
                      <w:szCs w:val="18"/>
                      <w:lang w:val="es-ES_tradnl"/>
                    </w:rPr>
                    <w:t>repetición del ensayo</w:t>
                  </w:r>
                  <w:r w:rsidR="005C5BCA" w:rsidRPr="003575E6">
                    <w:rPr>
                      <w:rFonts w:cs="Arial"/>
                      <w:sz w:val="18"/>
                      <w:szCs w:val="18"/>
                      <w:lang w:val="es-ES"/>
                    </w:rPr>
                    <w:t>**</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5C5BCA" w:rsidRPr="003575E6" w:rsidRDefault="000F2D0A" w:rsidP="000F2D0A">
                  <w:pPr>
                    <w:jc w:val="center"/>
                    <w:rPr>
                      <w:rFonts w:cs="Arial"/>
                      <w:sz w:val="18"/>
                      <w:szCs w:val="18"/>
                      <w:lang w:val="es-ES"/>
                    </w:rPr>
                  </w:pPr>
                  <w:r w:rsidRPr="003575E6">
                    <w:rPr>
                      <w:rFonts w:cs="Arial"/>
                      <w:sz w:val="18"/>
                      <w:szCs w:val="18"/>
                      <w:lang w:val="es-ES_tradnl"/>
                    </w:rPr>
                    <w:t>no homogénea</w:t>
                  </w:r>
                  <w:r w:rsidR="00E86C96" w:rsidRPr="003575E6">
                    <w:rPr>
                      <w:rFonts w:cs="Arial"/>
                      <w:sz w:val="18"/>
                      <w:szCs w:val="18"/>
                      <w:lang w:val="es-ES_tradnl"/>
                    </w:rPr>
                    <w:t>**</w:t>
                  </w:r>
                </w:p>
              </w:tc>
            </w:tr>
          </w:tbl>
          <w:p w:rsidR="000F2D0A" w:rsidRPr="003575E6" w:rsidRDefault="000F2D0A" w:rsidP="00431767">
            <w:pPr>
              <w:pStyle w:val="Titleofdoc0"/>
              <w:spacing w:before="0"/>
              <w:jc w:val="both"/>
              <w:rPr>
                <w:rFonts w:cs="Arial"/>
                <w:sz w:val="18"/>
                <w:szCs w:val="18"/>
                <w:lang w:val="es-ES"/>
              </w:rPr>
            </w:pPr>
          </w:p>
          <w:p w:rsidR="000F2D0A" w:rsidRPr="003575E6" w:rsidRDefault="00E86C96" w:rsidP="000F2D0A">
            <w:pPr>
              <w:keepNext/>
              <w:keepLines/>
              <w:ind w:left="884"/>
              <w:rPr>
                <w:rFonts w:eastAsia="SimSun" w:cs="Arial"/>
                <w:sz w:val="18"/>
                <w:szCs w:val="18"/>
                <w:lang w:val="es-ES" w:eastAsia="zh-CN"/>
              </w:rPr>
            </w:pPr>
            <w:r w:rsidRPr="003575E6">
              <w:rPr>
                <w:rFonts w:eastAsia="SimSun" w:cs="Arial"/>
                <w:sz w:val="18"/>
                <w:szCs w:val="18"/>
                <w:lang w:val="es-ES_tradnl" w:eastAsia="zh-CN"/>
              </w:rPr>
              <w:t xml:space="preserve">* </w:t>
            </w:r>
            <w:r w:rsidR="000F2D0A" w:rsidRPr="003575E6">
              <w:rPr>
                <w:rFonts w:eastAsia="SimSun" w:cs="Arial"/>
                <w:sz w:val="18"/>
                <w:szCs w:val="18"/>
                <w:lang w:val="es-ES_tradnl" w:eastAsia="zh-CN"/>
              </w:rPr>
              <w:t>Es preciso poner cuidado al examinar resultados que sean muy diferentes en cada uno de los ciclos de cultivo, por ejemplo cuando se observe una gran abundancia de plantas fuera de tipo en un ciclo de cultivo y su ausencia en otro ciclo.</w:t>
            </w:r>
          </w:p>
          <w:p w:rsidR="000F2D0A" w:rsidRPr="003575E6" w:rsidRDefault="000F2D0A" w:rsidP="00431767">
            <w:pPr>
              <w:keepNext/>
              <w:keepLines/>
              <w:ind w:left="884"/>
              <w:rPr>
                <w:rFonts w:eastAsia="SimSun" w:cs="Arial"/>
                <w:sz w:val="18"/>
                <w:szCs w:val="18"/>
                <w:lang w:val="es-ES" w:eastAsia="zh-CN"/>
              </w:rPr>
            </w:pPr>
          </w:p>
          <w:p w:rsidR="005C5BCA" w:rsidRPr="003575E6" w:rsidRDefault="005C5BCA" w:rsidP="009273A4">
            <w:pPr>
              <w:keepNext/>
              <w:keepLines/>
              <w:ind w:left="885"/>
              <w:rPr>
                <w:rFonts w:eastAsia="SimSun" w:cs="Arial"/>
                <w:sz w:val="18"/>
                <w:szCs w:val="18"/>
                <w:lang w:val="es-ES_tradnl" w:eastAsia="zh-CN"/>
              </w:rPr>
            </w:pPr>
            <w:r w:rsidRPr="003575E6">
              <w:rPr>
                <w:rFonts w:eastAsia="SimSun" w:cs="Arial"/>
                <w:sz w:val="18"/>
                <w:szCs w:val="18"/>
                <w:lang w:val="es-ES_tradnl" w:eastAsia="zh-CN"/>
              </w:rPr>
              <w:t xml:space="preserve">**  </w:t>
            </w:r>
            <w:r w:rsidR="00FB02B5" w:rsidRPr="003575E6">
              <w:rPr>
                <w:rFonts w:eastAsia="SimSun" w:cs="Arial"/>
                <w:sz w:val="18"/>
                <w:szCs w:val="18"/>
                <w:lang w:val="es-ES_tradnl" w:eastAsia="zh-CN"/>
              </w:rPr>
              <w:t>En determinadas circunstancias, podrá rechazarse una variedad tras un único ciclo de cultivo.</w:t>
            </w:r>
          </w:p>
        </w:tc>
      </w:tr>
    </w:tbl>
    <w:p w:rsidR="000F2D0A" w:rsidRPr="003575E6" w:rsidRDefault="000F2D0A" w:rsidP="005C5BCA">
      <w:pPr>
        <w:rPr>
          <w:lang w:val="es-ES_tradnl"/>
        </w:rPr>
      </w:pPr>
    </w:p>
    <w:p w:rsidR="000F2D0A" w:rsidRPr="003575E6" w:rsidRDefault="00F6316F" w:rsidP="000F2D0A">
      <w:pPr>
        <w:jc w:val="right"/>
        <w:rPr>
          <w:rFonts w:eastAsia="MS Mincho"/>
          <w:lang w:val="es-ES" w:eastAsia="ja-JP"/>
        </w:rPr>
      </w:pPr>
      <w:r w:rsidRPr="003575E6">
        <w:rPr>
          <w:rFonts w:eastAsia="MS Mincho"/>
          <w:lang w:val="es-ES_tradnl" w:eastAsia="ja-JP"/>
        </w:rPr>
        <w:t>[</w:t>
      </w:r>
      <w:r w:rsidR="000F2D0A" w:rsidRPr="003575E6">
        <w:rPr>
          <w:rFonts w:eastAsia="MS Mincho"/>
          <w:lang w:val="es-ES_tradnl" w:eastAsia="ja-JP"/>
        </w:rPr>
        <w:t>Sigue el Anexo III]</w:t>
      </w:r>
    </w:p>
    <w:p w:rsidR="000F2D0A" w:rsidRPr="003575E6" w:rsidRDefault="000F2D0A" w:rsidP="005C5BCA">
      <w:pPr>
        <w:rPr>
          <w:rFonts w:eastAsia="MS Mincho"/>
          <w:lang w:val="es-ES" w:eastAsia="ja-JP"/>
        </w:rPr>
      </w:pPr>
    </w:p>
    <w:p w:rsidR="005C5BCA" w:rsidRPr="003575E6" w:rsidRDefault="005C5BCA" w:rsidP="005C5BCA">
      <w:pPr>
        <w:jc w:val="right"/>
        <w:rPr>
          <w:rFonts w:eastAsia="MS Mincho"/>
          <w:lang w:val="es-ES" w:eastAsia="ja-JP"/>
        </w:rPr>
        <w:sectPr w:rsidR="005C5BCA" w:rsidRPr="003575E6" w:rsidSect="00440EC9">
          <w:headerReference w:type="first" r:id="rId12"/>
          <w:pgSz w:w="11907" w:h="16840" w:code="9"/>
          <w:pgMar w:top="510" w:right="1134" w:bottom="851" w:left="1134" w:header="510" w:footer="680" w:gutter="0"/>
          <w:pgNumType w:start="1"/>
          <w:cols w:space="720"/>
          <w:titlePg/>
        </w:sect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3575E6" w:rsidRPr="007E0D61" w:rsidTr="00FB02B5">
        <w:trPr>
          <w:trHeight w:val="632"/>
        </w:trPr>
        <w:tc>
          <w:tcPr>
            <w:tcW w:w="9355" w:type="dxa"/>
          </w:tcPr>
          <w:p w:rsidR="005C5BCA" w:rsidRPr="003575E6" w:rsidRDefault="000F2D0A" w:rsidP="000F2D0A">
            <w:pPr>
              <w:autoSpaceDE w:val="0"/>
              <w:autoSpaceDN w:val="0"/>
              <w:adjustRightInd w:val="0"/>
              <w:spacing w:before="120" w:after="120"/>
              <w:jc w:val="center"/>
              <w:rPr>
                <w:rFonts w:eastAsia="SimSun"/>
                <w:strike/>
                <w:szCs w:val="24"/>
                <w:highlight w:val="lightGray"/>
                <w:lang w:val="es-ES" w:eastAsia="zh-CN"/>
              </w:rPr>
            </w:pPr>
            <w:r w:rsidRPr="003575E6">
              <w:rPr>
                <w:rFonts w:eastAsia="SimSun"/>
                <w:strike/>
                <w:szCs w:val="24"/>
                <w:highlight w:val="lightGray"/>
                <w:lang w:val="es-ES_tradnl" w:eastAsia="zh-CN"/>
              </w:rPr>
              <w:lastRenderedPageBreak/>
              <w:t>SITUACIÓN C:  MÁS DE UNA MUESTRA O SUBMUESTRA PARA LA OBSERVACIÓN DE UN CARÁCTER EN EL MISMO CICLO DE CULTIVO</w:t>
            </w:r>
          </w:p>
        </w:tc>
      </w:tr>
      <w:tr w:rsidR="003575E6" w:rsidRPr="007E0D61" w:rsidTr="00FB02B5">
        <w:trPr>
          <w:trHeight w:val="2880"/>
        </w:trPr>
        <w:tc>
          <w:tcPr>
            <w:tcW w:w="9355" w:type="dxa"/>
            <w:tcBorders>
              <w:bottom w:val="single" w:sz="4" w:space="0" w:color="auto"/>
            </w:tcBorders>
          </w:tcPr>
          <w:p w:rsidR="000F2D0A" w:rsidRPr="003575E6" w:rsidRDefault="000F2D0A" w:rsidP="00431767">
            <w:pPr>
              <w:rPr>
                <w:b/>
                <w:strike/>
                <w:szCs w:val="24"/>
                <w:highlight w:val="lightGray"/>
                <w:lang w:val="es-ES"/>
              </w:rPr>
            </w:pPr>
          </w:p>
          <w:p w:rsidR="000F2D0A" w:rsidRPr="003575E6" w:rsidRDefault="000F2D0A" w:rsidP="000F2D0A">
            <w:pPr>
              <w:rPr>
                <w:strike/>
                <w:highlight w:val="lightGray"/>
                <w:lang w:val="es-ES"/>
              </w:rPr>
            </w:pPr>
            <w:r w:rsidRPr="003575E6">
              <w:rPr>
                <w:b/>
                <w:strike/>
                <w:highlight w:val="lightGray"/>
                <w:lang w:val="es-ES_tradnl"/>
              </w:rPr>
              <w:t>Método:  Ciclo de cultivo adicional en el caso de resultados contradictorios</w:t>
            </w:r>
          </w:p>
          <w:p w:rsidR="000F2D0A" w:rsidRPr="003575E6" w:rsidRDefault="000F2D0A" w:rsidP="00431767">
            <w:pPr>
              <w:jc w:val="left"/>
              <w:rPr>
                <w:rFonts w:eastAsia="MS Mincho"/>
                <w:strike/>
                <w:highlight w:val="lightGray"/>
                <w:lang w:val="es-ES" w:eastAsia="ja-JP"/>
              </w:rPr>
            </w:pPr>
          </w:p>
          <w:p w:rsidR="000F2D0A" w:rsidRPr="003575E6" w:rsidRDefault="000F2D0A" w:rsidP="000F2D0A">
            <w:pPr>
              <w:rPr>
                <w:strike/>
                <w:szCs w:val="24"/>
                <w:highlight w:val="lightGray"/>
                <w:u w:val="single"/>
                <w:lang w:val="es-ES"/>
              </w:rPr>
            </w:pPr>
            <w:r w:rsidRPr="003575E6">
              <w:rPr>
                <w:strike/>
                <w:szCs w:val="24"/>
                <w:highlight w:val="lightGray"/>
                <w:u w:val="single"/>
                <w:lang w:val="es-ES_tradnl"/>
              </w:rPr>
              <w:t>Se considera que una variedad es homogénea con respecto a un carácter si cumple el estándar de homogeneidad con respecto al carácter en todas las muestras o submuestras.</w:t>
            </w:r>
          </w:p>
          <w:p w:rsidR="000F2D0A" w:rsidRPr="003575E6" w:rsidRDefault="000F2D0A" w:rsidP="00431767">
            <w:pPr>
              <w:rPr>
                <w:rFonts w:eastAsia="SimSun"/>
                <w:strike/>
                <w:szCs w:val="24"/>
                <w:highlight w:val="lightGray"/>
                <w:lang w:val="es-ES" w:eastAsia="zh-CN"/>
              </w:rPr>
            </w:pPr>
          </w:p>
          <w:p w:rsidR="000F2D0A" w:rsidRPr="003575E6" w:rsidRDefault="000F2D0A" w:rsidP="000F2D0A">
            <w:pPr>
              <w:rPr>
                <w:rFonts w:eastAsia="SimSun"/>
                <w:strike/>
                <w:szCs w:val="24"/>
                <w:highlight w:val="lightGray"/>
                <w:lang w:val="es-ES" w:eastAsia="zh-CN"/>
              </w:rPr>
            </w:pPr>
            <w:r w:rsidRPr="003575E6">
              <w:rPr>
                <w:rFonts w:eastAsia="SimSun"/>
                <w:strike/>
                <w:szCs w:val="24"/>
                <w:highlight w:val="lightGray"/>
                <w:lang w:val="es-ES_tradnl" w:eastAsia="zh-CN"/>
              </w:rPr>
              <w:t>Se considera que una variedad no es homogénea si no cumple el estándar de homogeneidad en todas las muestras o submuestras.</w:t>
            </w:r>
          </w:p>
          <w:p w:rsidR="000F2D0A" w:rsidRPr="003575E6" w:rsidRDefault="000F2D0A" w:rsidP="00431767">
            <w:pPr>
              <w:rPr>
                <w:strike/>
                <w:szCs w:val="24"/>
                <w:highlight w:val="lightGray"/>
                <w:lang w:val="es-ES"/>
              </w:rPr>
            </w:pPr>
          </w:p>
          <w:p w:rsidR="000F2D0A" w:rsidRPr="003575E6" w:rsidRDefault="000F2D0A" w:rsidP="000F2D0A">
            <w:pPr>
              <w:rPr>
                <w:strike/>
                <w:szCs w:val="24"/>
                <w:highlight w:val="lightGray"/>
                <w:lang w:val="es-ES"/>
              </w:rPr>
            </w:pPr>
            <w:r w:rsidRPr="003575E6">
              <w:rPr>
                <w:strike/>
                <w:szCs w:val="24"/>
                <w:highlight w:val="lightGray"/>
                <w:lang w:val="es-ES_tradnl"/>
              </w:rPr>
              <w:t>En los casos en que una variedad cumple el estándar de homogeneidad con respecto a un carácter en una muestra o submuestra (por ejemplo, en el ensayo principal) y no en otra muestra o submuestra (por ejemplo, en parcelas de hileras de espigas), ambas muestras o submuestras se examinan en un nuevo ciclo de cultivo.</w:t>
            </w:r>
          </w:p>
          <w:p w:rsidR="000F2D0A" w:rsidRPr="003575E6" w:rsidRDefault="002D7493" w:rsidP="00431767">
            <w:pPr>
              <w:rPr>
                <w:strike/>
                <w:szCs w:val="24"/>
                <w:highlight w:val="lightGray"/>
              </w:rPr>
            </w:pPr>
            <w:r>
              <w:rPr>
                <w:rFonts w:eastAsia="SimSun"/>
                <w:strike/>
                <w:szCs w:val="24"/>
                <w:highlight w:val="lightGray"/>
                <w:lang w:eastAsia="zh-CN"/>
              </w:rPr>
              <w:pict>
                <v:rect id="_x0000_i1027" style="width:0;height:1.5pt" o:hralign="center" o:hrstd="t" o:hr="t" fillcolor="#a0a0a0" stroked="f"/>
              </w:pict>
            </w:r>
          </w:p>
          <w:p w:rsidR="000F2D0A" w:rsidRPr="003575E6" w:rsidRDefault="000F2D0A" w:rsidP="00431767">
            <w:pPr>
              <w:rPr>
                <w:strike/>
                <w:szCs w:val="24"/>
                <w:highlight w:val="lightGray"/>
              </w:rPr>
            </w:pPr>
          </w:p>
          <w:p w:rsidR="000F2D0A" w:rsidRPr="003575E6" w:rsidRDefault="00FB02B5" w:rsidP="00431767">
            <w:pPr>
              <w:rPr>
                <w:strike/>
                <w:szCs w:val="24"/>
                <w:highlight w:val="lightGray"/>
                <w:lang w:val="es-ES_tradnl"/>
              </w:rPr>
            </w:pPr>
            <w:r w:rsidRPr="003575E6">
              <w:rPr>
                <w:strike/>
                <w:szCs w:val="24"/>
                <w:highlight w:val="lightGray"/>
                <w:u w:val="single"/>
                <w:lang w:val="es-ES_tradnl"/>
              </w:rPr>
              <w:t>Nota:</w:t>
            </w:r>
            <w:r w:rsidR="005C5BCA" w:rsidRPr="003575E6">
              <w:rPr>
                <w:strike/>
                <w:szCs w:val="24"/>
                <w:highlight w:val="lightGray"/>
                <w:u w:val="single"/>
                <w:lang w:val="es-ES_tradnl"/>
              </w:rPr>
              <w:t xml:space="preserve"> </w:t>
            </w:r>
            <w:r w:rsidRPr="003575E6">
              <w:rPr>
                <w:strike/>
                <w:szCs w:val="24"/>
                <w:highlight w:val="lightGray"/>
                <w:lang w:val="es-ES_tradnl"/>
              </w:rPr>
              <w:t>considérese si la situación C ya se aborda en la Sección 6 “Combinando todas las observaciones en una misma variedad” del documento TGP/10 “Examen de la homogeneidad”.</w:t>
            </w:r>
          </w:p>
          <w:p w:rsidR="000F2D0A" w:rsidRPr="003575E6" w:rsidRDefault="000F2D0A" w:rsidP="00431767">
            <w:pPr>
              <w:rPr>
                <w:strike/>
                <w:szCs w:val="24"/>
                <w:highlight w:val="lightGray"/>
                <w:lang w:val="es-ES_tradnl"/>
              </w:rPr>
            </w:pPr>
          </w:p>
          <w:p w:rsidR="000F2D0A" w:rsidRPr="003575E6" w:rsidRDefault="00FB02B5" w:rsidP="00431767">
            <w:pPr>
              <w:ind w:left="33"/>
              <w:rPr>
                <w:strike/>
                <w:snapToGrid w:val="0"/>
                <w:highlight w:val="lightGray"/>
                <w:lang w:val="es-ES_tradnl"/>
              </w:rPr>
            </w:pPr>
            <w:r w:rsidRPr="003575E6">
              <w:rPr>
                <w:strike/>
                <w:snapToGrid w:val="0"/>
                <w:highlight w:val="lightGray"/>
                <w:lang w:val="es-ES_tradnl"/>
              </w:rPr>
              <w:t>Extracto del documento TGP/10 “Examen de la homogeneidad”</w:t>
            </w:r>
          </w:p>
          <w:p w:rsidR="000F2D0A" w:rsidRPr="003575E6" w:rsidRDefault="000F2D0A" w:rsidP="00431767">
            <w:pPr>
              <w:ind w:left="426"/>
              <w:rPr>
                <w:strike/>
                <w:snapToGrid w:val="0"/>
                <w:highlight w:val="lightGray"/>
                <w:lang w:val="es-ES_tradnl"/>
              </w:rPr>
            </w:pPr>
          </w:p>
          <w:p w:rsidR="000F2D0A" w:rsidRPr="003575E6" w:rsidRDefault="00FB02B5" w:rsidP="00FB02B5">
            <w:pPr>
              <w:spacing w:line="280" w:lineRule="auto"/>
              <w:ind w:left="742" w:right="601"/>
              <w:rPr>
                <w:bCs/>
                <w:strike/>
                <w:snapToGrid w:val="0"/>
                <w:sz w:val="18"/>
                <w:highlight w:val="lightGray"/>
                <w:lang w:val="es-ES"/>
              </w:rPr>
            </w:pPr>
            <w:r w:rsidRPr="003575E6">
              <w:rPr>
                <w:bCs/>
                <w:strike/>
                <w:snapToGrid w:val="0"/>
                <w:sz w:val="18"/>
                <w:highlight w:val="lightGray"/>
                <w:lang w:val="es-ES_tradnl"/>
              </w:rPr>
              <w:t>“</w:t>
            </w:r>
            <w:r w:rsidRPr="003575E6">
              <w:rPr>
                <w:strike/>
                <w:snapToGrid w:val="0"/>
                <w:sz w:val="18"/>
                <w:highlight w:val="lightGray"/>
                <w:lang w:val="es-ES_tradnl"/>
              </w:rPr>
              <w:t>SECCIÓN 6:</w:t>
            </w:r>
            <w:r w:rsidR="00DD4E0F" w:rsidRPr="003575E6">
              <w:rPr>
                <w:strike/>
                <w:snapToGrid w:val="0"/>
                <w:sz w:val="18"/>
                <w:highlight w:val="lightGray"/>
                <w:lang w:val="es-ES_tradnl"/>
              </w:rPr>
              <w:tab/>
            </w:r>
            <w:r w:rsidRPr="003575E6">
              <w:rPr>
                <w:strike/>
                <w:snapToGrid w:val="0"/>
                <w:sz w:val="18"/>
                <w:highlight w:val="lightGray"/>
                <w:lang w:val="es-ES_tradnl"/>
              </w:rPr>
              <w:t>Combinando todas las observaciones en una misma variedad</w:t>
            </w:r>
          </w:p>
          <w:p w:rsidR="000F2D0A" w:rsidRPr="003575E6" w:rsidRDefault="000F2D0A" w:rsidP="00431767">
            <w:pPr>
              <w:spacing w:line="276" w:lineRule="auto"/>
              <w:ind w:left="742" w:right="601"/>
              <w:rPr>
                <w:strike/>
                <w:snapToGrid w:val="0"/>
                <w:sz w:val="18"/>
                <w:highlight w:val="lightGray"/>
                <w:lang w:val="es-ES"/>
              </w:rPr>
            </w:pPr>
          </w:p>
          <w:p w:rsidR="000F2D0A" w:rsidRPr="003575E6" w:rsidRDefault="005C5BCA" w:rsidP="00431767">
            <w:pPr>
              <w:spacing w:line="276" w:lineRule="auto"/>
              <w:ind w:left="742" w:right="601"/>
              <w:rPr>
                <w:strike/>
                <w:snapToGrid w:val="0"/>
                <w:sz w:val="18"/>
                <w:highlight w:val="lightGray"/>
                <w:lang w:val="es-ES"/>
              </w:rPr>
            </w:pPr>
            <w:r w:rsidRPr="003575E6">
              <w:rPr>
                <w:strike/>
                <w:snapToGrid w:val="0"/>
                <w:sz w:val="18"/>
                <w:highlight w:val="lightGray"/>
                <w:lang w:val="es-ES"/>
              </w:rPr>
              <w:t>[…]</w:t>
            </w:r>
          </w:p>
          <w:p w:rsidR="000F2D0A" w:rsidRPr="003575E6" w:rsidRDefault="000F2D0A" w:rsidP="00431767">
            <w:pPr>
              <w:spacing w:line="276" w:lineRule="auto"/>
              <w:ind w:left="742" w:right="601"/>
              <w:rPr>
                <w:strike/>
                <w:snapToGrid w:val="0"/>
                <w:sz w:val="18"/>
                <w:highlight w:val="lightGray"/>
                <w:lang w:val="es-ES"/>
              </w:rPr>
            </w:pPr>
          </w:p>
          <w:p w:rsidR="000F2D0A" w:rsidRPr="003575E6" w:rsidRDefault="000F2D0A" w:rsidP="000F2D0A">
            <w:pPr>
              <w:spacing w:line="276" w:lineRule="auto"/>
              <w:ind w:left="742" w:right="601"/>
              <w:rPr>
                <w:strike/>
                <w:snapToGrid w:val="0"/>
                <w:sz w:val="18"/>
                <w:highlight w:val="lightGray"/>
                <w:lang w:val="es-ES"/>
              </w:rPr>
            </w:pPr>
            <w:r w:rsidRPr="003575E6">
              <w:rPr>
                <w:strike/>
                <w:snapToGrid w:val="0"/>
                <w:sz w:val="18"/>
                <w:highlight w:val="lightGray"/>
                <w:lang w:val="es-ES_tradnl"/>
              </w:rPr>
              <w:t xml:space="preserve">6.3 </w:t>
            </w:r>
            <w:r w:rsidR="00DD4E0F" w:rsidRPr="003575E6">
              <w:rPr>
                <w:strike/>
                <w:snapToGrid w:val="0"/>
                <w:sz w:val="18"/>
                <w:highlight w:val="lightGray"/>
                <w:lang w:val="es-ES_tradnl"/>
              </w:rPr>
              <w:t xml:space="preserve"> </w:t>
            </w:r>
            <w:r w:rsidRPr="003575E6">
              <w:rPr>
                <w:strike/>
                <w:snapToGrid w:val="0"/>
                <w:sz w:val="18"/>
                <w:highlight w:val="lightGray"/>
                <w:lang w:val="es-ES_tradnl"/>
              </w:rPr>
              <w:t>Solo plantas fuera de tipo:  caracteres observados en muestras diferentes</w:t>
            </w:r>
            <w:r w:rsidR="005C5BCA" w:rsidRPr="003575E6">
              <w:rPr>
                <w:strike/>
                <w:snapToGrid w:val="0"/>
                <w:sz w:val="18"/>
                <w:highlight w:val="lightGray"/>
                <w:lang w:val="es-ES"/>
              </w:rPr>
              <w:t xml:space="preserve"> </w:t>
            </w:r>
          </w:p>
          <w:p w:rsidR="000F2D0A" w:rsidRPr="003575E6" w:rsidRDefault="000F2D0A" w:rsidP="00431767">
            <w:pPr>
              <w:spacing w:line="276" w:lineRule="auto"/>
              <w:ind w:left="742" w:right="601"/>
              <w:rPr>
                <w:strike/>
                <w:snapToGrid w:val="0"/>
                <w:sz w:val="18"/>
                <w:highlight w:val="lightGray"/>
                <w:lang w:val="es-ES"/>
              </w:rPr>
            </w:pPr>
          </w:p>
          <w:p w:rsidR="000F2D0A" w:rsidRPr="003575E6" w:rsidRDefault="000F2D0A" w:rsidP="000F2D0A">
            <w:pPr>
              <w:spacing w:line="276" w:lineRule="auto"/>
              <w:ind w:left="742" w:right="601"/>
              <w:rPr>
                <w:strike/>
                <w:snapToGrid w:val="0"/>
                <w:sz w:val="18"/>
                <w:highlight w:val="lightGray"/>
                <w:lang w:val="es-ES"/>
              </w:rPr>
            </w:pPr>
            <w:r w:rsidRPr="003575E6">
              <w:rPr>
                <w:strike/>
                <w:snapToGrid w:val="0"/>
                <w:sz w:val="18"/>
                <w:highlight w:val="lightGray"/>
                <w:lang w:val="es-ES_tradnl"/>
              </w:rPr>
              <w:t>En muchos casos, la homogeneidad se evalúa mediante observaciones efectuadas en muestras distintas de plantas o partes de plantas.</w:t>
            </w:r>
            <w:r w:rsidR="005C5BCA" w:rsidRPr="003575E6">
              <w:rPr>
                <w:strike/>
                <w:snapToGrid w:val="0"/>
                <w:sz w:val="18"/>
                <w:highlight w:val="lightGray"/>
                <w:lang w:val="es-ES_tradnl"/>
              </w:rPr>
              <w:t xml:space="preserve">  </w:t>
            </w:r>
            <w:r w:rsidRPr="003575E6">
              <w:rPr>
                <w:strike/>
                <w:snapToGrid w:val="0"/>
                <w:sz w:val="18"/>
                <w:highlight w:val="lightGray"/>
                <w:lang w:val="es-ES_tradnl"/>
              </w:rPr>
              <w:t>Por ejemplo, para determinar la homogeneidad del trigo (véanse las directrices de examen de la UPOV para el trigo: TG/3), algunos caracteres se observan en una muestra de 2.000 plantas, mientras que otros se observan en una muestra de 100 partes de plantas tomadas de 100 plantas.</w:t>
            </w:r>
            <w:r w:rsidR="005C5BCA" w:rsidRPr="003575E6">
              <w:rPr>
                <w:strike/>
                <w:snapToGrid w:val="0"/>
                <w:sz w:val="18"/>
                <w:highlight w:val="lightGray"/>
                <w:lang w:val="es-ES_tradnl"/>
              </w:rPr>
              <w:t xml:space="preserve">  </w:t>
            </w:r>
            <w:r w:rsidRPr="003575E6">
              <w:rPr>
                <w:strike/>
                <w:snapToGrid w:val="0"/>
                <w:sz w:val="18"/>
                <w:highlight w:val="lightGray"/>
                <w:lang w:val="es-ES_tradnl"/>
              </w:rPr>
              <w:t>Las plantas fuera de tipo observadas en una parcela de 2.000 plantas pueden ser excluidas en posteriores observaciones.</w:t>
            </w:r>
            <w:r w:rsidR="005C5BCA" w:rsidRPr="003575E6">
              <w:rPr>
                <w:strike/>
                <w:snapToGrid w:val="0"/>
                <w:sz w:val="18"/>
                <w:highlight w:val="lightGray"/>
                <w:lang w:val="es-ES_tradnl"/>
              </w:rPr>
              <w:t xml:space="preserve">  </w:t>
            </w:r>
            <w:r w:rsidRPr="003575E6">
              <w:rPr>
                <w:strike/>
                <w:snapToGrid w:val="0"/>
                <w:sz w:val="18"/>
                <w:highlight w:val="lightGray"/>
                <w:lang w:val="es-ES_tradnl"/>
              </w:rPr>
              <w:t>En el caso de las partes de plantas tomadas de 100 plantas, normalmente no es posible determinar el origen de la parte de la planta en la planta de la parcela.</w:t>
            </w:r>
            <w:r w:rsidR="005C5BCA" w:rsidRPr="003575E6">
              <w:rPr>
                <w:strike/>
                <w:snapToGrid w:val="0"/>
                <w:sz w:val="18"/>
                <w:highlight w:val="lightGray"/>
                <w:lang w:val="es-ES_tradnl"/>
              </w:rPr>
              <w:t xml:space="preserve">  </w:t>
            </w:r>
            <w:r w:rsidRPr="003575E6">
              <w:rPr>
                <w:strike/>
                <w:snapToGrid w:val="0"/>
                <w:sz w:val="18"/>
                <w:highlight w:val="lightGray"/>
                <w:lang w:val="es-ES_tradnl"/>
              </w:rPr>
              <w:t>Por lo tanto, debe considerarse que la muestra de 100 partes de plantas es independiente de las 2.000 plantas.</w:t>
            </w:r>
            <w:r w:rsidR="005C5BCA" w:rsidRPr="003575E6">
              <w:rPr>
                <w:strike/>
                <w:snapToGrid w:val="0"/>
                <w:sz w:val="18"/>
                <w:highlight w:val="lightGray"/>
                <w:lang w:val="es-ES_tradnl"/>
              </w:rPr>
              <w:t xml:space="preserve">  </w:t>
            </w:r>
            <w:r w:rsidRPr="003575E6">
              <w:rPr>
                <w:strike/>
                <w:snapToGrid w:val="0"/>
                <w:sz w:val="18"/>
                <w:highlight w:val="lightGray"/>
                <w:lang w:val="es-ES_tradnl"/>
              </w:rPr>
              <w:t>En los caracteres de semillas, la observación se efectúa a partir de otra muestra independiente de la variedad.</w:t>
            </w:r>
            <w:r w:rsidR="005C5BCA" w:rsidRPr="003575E6">
              <w:rPr>
                <w:strike/>
                <w:snapToGrid w:val="0"/>
                <w:sz w:val="18"/>
                <w:highlight w:val="lightGray"/>
                <w:lang w:val="es-ES_tradnl"/>
              </w:rPr>
              <w:t xml:space="preserve">  </w:t>
            </w:r>
            <w:r w:rsidRPr="003575E6">
              <w:rPr>
                <w:strike/>
                <w:snapToGrid w:val="0"/>
                <w:sz w:val="18"/>
                <w:highlight w:val="lightGray"/>
                <w:lang w:val="es-ES_tradnl"/>
              </w:rPr>
              <w:t>En tales casos, deberá llevarse a cabo una evaluación de la homogeneidad en todas las muestras independientes utilizando la población estándar adecuada.</w:t>
            </w:r>
            <w:r w:rsidR="005C5BCA" w:rsidRPr="003575E6">
              <w:rPr>
                <w:strike/>
                <w:snapToGrid w:val="0"/>
                <w:sz w:val="18"/>
                <w:highlight w:val="lightGray"/>
                <w:lang w:val="es-ES_tradnl"/>
              </w:rPr>
              <w:t xml:space="preserve"> </w:t>
            </w:r>
            <w:r w:rsidR="00B35A2C" w:rsidRPr="003575E6">
              <w:rPr>
                <w:strike/>
                <w:snapToGrid w:val="0"/>
                <w:sz w:val="18"/>
                <w:highlight w:val="lightGray"/>
                <w:lang w:val="es-ES_tradnl"/>
              </w:rPr>
              <w:t xml:space="preserve"> </w:t>
            </w:r>
            <w:r w:rsidRPr="003575E6">
              <w:rPr>
                <w:strike/>
                <w:snapToGrid w:val="0"/>
                <w:sz w:val="18"/>
                <w:highlight w:val="lightGray"/>
                <w:lang w:val="es-ES_tradnl"/>
              </w:rPr>
              <w:t>Una variedad deberá considerarse homogénea si se cumplen los requisitos de homogeneidad en todas las muestras.</w:t>
            </w:r>
          </w:p>
          <w:p w:rsidR="000F2D0A" w:rsidRPr="003575E6" w:rsidRDefault="000F2D0A" w:rsidP="00431767">
            <w:pPr>
              <w:rPr>
                <w:strike/>
                <w:szCs w:val="24"/>
                <w:highlight w:val="lightGray"/>
                <w:lang w:val="es-ES"/>
              </w:rPr>
            </w:pPr>
          </w:p>
          <w:p w:rsidR="005C5BCA" w:rsidRPr="003575E6" w:rsidRDefault="005C5BCA" w:rsidP="00431767">
            <w:pPr>
              <w:rPr>
                <w:strike/>
                <w:szCs w:val="24"/>
                <w:highlight w:val="lightGray"/>
                <w:lang w:val="es-ES"/>
              </w:rPr>
            </w:pPr>
          </w:p>
        </w:tc>
      </w:tr>
    </w:tbl>
    <w:p w:rsidR="000F2D0A" w:rsidRPr="003575E6" w:rsidRDefault="000F2D0A" w:rsidP="005C5BCA">
      <w:pPr>
        <w:rPr>
          <w:snapToGrid w:val="0"/>
          <w:lang w:val="es-ES"/>
        </w:rPr>
      </w:pPr>
    </w:p>
    <w:p w:rsidR="000F2D0A" w:rsidRPr="003575E6" w:rsidRDefault="000F2D0A" w:rsidP="005C5BCA">
      <w:pPr>
        <w:rPr>
          <w:snapToGrid w:val="0"/>
          <w:lang w:val="es-ES"/>
        </w:rPr>
      </w:pPr>
    </w:p>
    <w:p w:rsidR="000F2D0A" w:rsidRPr="003575E6" w:rsidRDefault="000F2D0A" w:rsidP="005C5BCA">
      <w:pPr>
        <w:rPr>
          <w:snapToGrid w:val="0"/>
          <w:lang w:val="es-ES"/>
        </w:rPr>
      </w:pPr>
    </w:p>
    <w:p w:rsidR="000F2D0A" w:rsidRPr="003575E6" w:rsidRDefault="00F6316F" w:rsidP="000F2D0A">
      <w:pPr>
        <w:jc w:val="right"/>
        <w:rPr>
          <w:lang w:val="es-ES"/>
        </w:rPr>
      </w:pPr>
      <w:r w:rsidRPr="003575E6">
        <w:rPr>
          <w:lang w:val="es-ES_tradnl"/>
        </w:rPr>
        <w:t>[</w:t>
      </w:r>
      <w:r w:rsidR="000F2D0A" w:rsidRPr="003575E6">
        <w:rPr>
          <w:lang w:val="es-ES_tradnl"/>
        </w:rPr>
        <w:t>Sigue el Anexo IV]</w:t>
      </w:r>
    </w:p>
    <w:p w:rsidR="000F2D0A" w:rsidRPr="003575E6" w:rsidRDefault="000F2D0A" w:rsidP="005C5BCA">
      <w:pPr>
        <w:rPr>
          <w:snapToGrid w:val="0"/>
          <w:lang w:val="es-ES"/>
        </w:rPr>
      </w:pPr>
    </w:p>
    <w:p w:rsidR="005C5BCA" w:rsidRPr="003575E6" w:rsidRDefault="005C5BCA" w:rsidP="005C5BCA">
      <w:pPr>
        <w:rPr>
          <w:snapToGrid w:val="0"/>
          <w:lang w:val="es-ES"/>
        </w:rPr>
        <w:sectPr w:rsidR="005C5BCA" w:rsidRPr="003575E6" w:rsidSect="00906DDC">
          <w:headerReference w:type="first" r:id="rId13"/>
          <w:pgSz w:w="11907" w:h="16840" w:code="9"/>
          <w:pgMar w:top="510" w:right="1134" w:bottom="1134" w:left="1134" w:header="510" w:footer="680" w:gutter="0"/>
          <w:cols w:space="720"/>
          <w:titlePg/>
        </w:sect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3575E6" w:rsidRPr="007E0D61" w:rsidTr="0010566F">
        <w:trPr>
          <w:trHeight w:val="350"/>
        </w:trPr>
        <w:tc>
          <w:tcPr>
            <w:tcW w:w="10206" w:type="dxa"/>
          </w:tcPr>
          <w:p w:rsidR="005C5BCA" w:rsidRPr="003575E6" w:rsidRDefault="000F2D0A" w:rsidP="000F2D0A">
            <w:pPr>
              <w:autoSpaceDE w:val="0"/>
              <w:autoSpaceDN w:val="0"/>
              <w:adjustRightInd w:val="0"/>
              <w:spacing w:before="120" w:after="120"/>
              <w:jc w:val="center"/>
              <w:rPr>
                <w:rFonts w:eastAsia="SimSun"/>
                <w:szCs w:val="24"/>
                <w:lang w:val="es-ES" w:eastAsia="zh-CN"/>
              </w:rPr>
            </w:pPr>
            <w:r w:rsidRPr="003575E6">
              <w:rPr>
                <w:rFonts w:eastAsia="SimSun"/>
                <w:szCs w:val="24"/>
                <w:lang w:val="es-ES_tradnl" w:eastAsia="zh-CN"/>
              </w:rPr>
              <w:lastRenderedPageBreak/>
              <w:t>SITUACIÓN D:  EVALUACIÓN DE SUBMUESTRAS EN UN ÚNICO EXAMEN O ENSAYO</w:t>
            </w:r>
          </w:p>
        </w:tc>
      </w:tr>
      <w:tr w:rsidR="003575E6" w:rsidRPr="007E0D61" w:rsidTr="0010566F">
        <w:trPr>
          <w:trHeight w:val="6949"/>
        </w:trPr>
        <w:tc>
          <w:tcPr>
            <w:tcW w:w="10206" w:type="dxa"/>
          </w:tcPr>
          <w:p w:rsidR="000F2D0A" w:rsidRPr="003575E6" w:rsidRDefault="000F2D0A" w:rsidP="00431767">
            <w:pPr>
              <w:rPr>
                <w:lang w:val="es-ES"/>
              </w:rPr>
            </w:pPr>
          </w:p>
          <w:p w:rsidR="000F2D0A" w:rsidRPr="003575E6" w:rsidRDefault="000F2D0A" w:rsidP="000F2D0A">
            <w:pPr>
              <w:rPr>
                <w:b/>
                <w:lang w:val="es-ES"/>
              </w:rPr>
            </w:pPr>
            <w:r w:rsidRPr="003575E6">
              <w:rPr>
                <w:b/>
                <w:lang w:val="es-ES_tradnl"/>
              </w:rPr>
              <w:t>Método:  Utilización de una submuestra como primera etapa de la evaluación</w:t>
            </w:r>
          </w:p>
          <w:p w:rsidR="000F2D0A" w:rsidRPr="003575E6" w:rsidRDefault="000F2D0A" w:rsidP="00431767">
            <w:pPr>
              <w:rPr>
                <w:b/>
                <w:lang w:val="es-ES"/>
              </w:rPr>
            </w:pPr>
          </w:p>
          <w:p w:rsidR="000F2D0A" w:rsidRPr="003575E6" w:rsidRDefault="0080331A" w:rsidP="00431767">
            <w:pPr>
              <w:rPr>
                <w:lang w:val="es-ES_tradnl"/>
              </w:rPr>
            </w:pPr>
            <w:r w:rsidRPr="003575E6">
              <w:rPr>
                <w:lang w:val="es-ES_tradnl"/>
              </w:rPr>
              <w:t xml:space="preserve">Una variedad se considera homogénea si </w:t>
            </w:r>
            <w:r w:rsidRPr="003575E6">
              <w:rPr>
                <w:strike/>
                <w:highlight w:val="lightGray"/>
                <w:lang w:val="es-ES_tradnl"/>
              </w:rPr>
              <w:t xml:space="preserve">no se observan </w:t>
            </w:r>
            <w:r w:rsidRPr="003575E6">
              <w:rPr>
                <w:highlight w:val="lightGray"/>
                <w:u w:val="single"/>
                <w:lang w:val="es-ES_tradnl"/>
              </w:rPr>
              <w:t>el número de</w:t>
            </w:r>
            <w:r w:rsidRPr="003575E6">
              <w:rPr>
                <w:lang w:val="es-ES_tradnl"/>
              </w:rPr>
              <w:t xml:space="preserve"> plantas fuera de tipo </w:t>
            </w:r>
            <w:r w:rsidR="00422FD5" w:rsidRPr="003575E6">
              <w:rPr>
                <w:strike/>
                <w:highlight w:val="lightGray"/>
                <w:lang w:val="es-ES_tradnl"/>
              </w:rPr>
              <w:t>en una</w:t>
            </w:r>
            <w:r w:rsidR="00422FD5" w:rsidRPr="003575E6">
              <w:rPr>
                <w:highlight w:val="lightGray"/>
                <w:lang w:val="es-ES_tradnl"/>
              </w:rPr>
              <w:t xml:space="preserve"> </w:t>
            </w:r>
            <w:r w:rsidR="00422FD5" w:rsidRPr="003575E6">
              <w:rPr>
                <w:highlight w:val="lightGray"/>
                <w:u w:val="single"/>
                <w:lang w:val="es-ES_tradnl"/>
              </w:rPr>
              <w:t>en la</w:t>
            </w:r>
            <w:r w:rsidR="00422FD5" w:rsidRPr="003575E6">
              <w:rPr>
                <w:lang w:val="es-ES_tradnl"/>
              </w:rPr>
              <w:t xml:space="preserve"> submuestra </w:t>
            </w:r>
            <w:r w:rsidRPr="003575E6">
              <w:rPr>
                <w:highlight w:val="lightGray"/>
                <w:u w:val="single"/>
                <w:lang w:val="es-ES_tradnl"/>
              </w:rPr>
              <w:t>no supera un límite inferior predefinido</w:t>
            </w:r>
            <w:r w:rsidRPr="003575E6">
              <w:rPr>
                <w:lang w:val="es-ES_tradnl"/>
              </w:rPr>
              <w:t>.</w:t>
            </w:r>
          </w:p>
          <w:p w:rsidR="000F2D0A" w:rsidRPr="003575E6" w:rsidRDefault="000F2D0A" w:rsidP="00431767">
            <w:pPr>
              <w:rPr>
                <w:lang w:val="es-ES_tradnl"/>
              </w:rPr>
            </w:pPr>
          </w:p>
          <w:p w:rsidR="000F2D0A" w:rsidRPr="003575E6" w:rsidRDefault="00ED5ADB" w:rsidP="00431767">
            <w:pPr>
              <w:rPr>
                <w:lang w:val="es-ES_tradnl"/>
              </w:rPr>
            </w:pPr>
            <w:r w:rsidRPr="003575E6">
              <w:rPr>
                <w:lang w:val="es-ES_tradnl"/>
              </w:rPr>
              <w:t xml:space="preserve">Una variedad se considera </w:t>
            </w:r>
            <w:r w:rsidR="004F6340" w:rsidRPr="003575E6">
              <w:rPr>
                <w:lang w:val="es-ES_tradnl"/>
              </w:rPr>
              <w:t>no homog</w:t>
            </w:r>
            <w:r w:rsidRPr="003575E6">
              <w:rPr>
                <w:lang w:val="es-ES_tradnl"/>
              </w:rPr>
              <w:t>énea si el número de plantas fuera de tipo</w:t>
            </w:r>
            <w:r w:rsidR="00422FD5" w:rsidRPr="003575E6">
              <w:rPr>
                <w:lang w:val="es-ES_tradnl"/>
              </w:rPr>
              <w:t xml:space="preserve"> en la submuestra </w:t>
            </w:r>
            <w:r w:rsidRPr="003575E6">
              <w:rPr>
                <w:highlight w:val="lightGray"/>
                <w:u w:val="single"/>
                <w:lang w:val="es-ES_tradnl"/>
              </w:rPr>
              <w:t>supera un límite superior predefinido</w:t>
            </w:r>
            <w:r w:rsidRPr="003575E6">
              <w:rPr>
                <w:strike/>
                <w:highlight w:val="lightGray"/>
                <w:lang w:val="es-ES_tradnl"/>
              </w:rPr>
              <w:t xml:space="preserve"> supera el número permitido de plantas fuera de tipo para toda la muestra</w:t>
            </w:r>
            <w:r w:rsidRPr="003575E6">
              <w:rPr>
                <w:lang w:val="es-ES_tradnl"/>
              </w:rPr>
              <w:t>.</w:t>
            </w:r>
          </w:p>
          <w:p w:rsidR="000F2D0A" w:rsidRPr="003575E6" w:rsidRDefault="000F2D0A" w:rsidP="00431767">
            <w:pPr>
              <w:rPr>
                <w:lang w:val="es-ES_tradnl"/>
              </w:rPr>
            </w:pPr>
          </w:p>
          <w:p w:rsidR="000F2D0A" w:rsidRPr="003575E6" w:rsidRDefault="00ED5ADB" w:rsidP="00431767">
            <w:pPr>
              <w:rPr>
                <w:lang w:val="es-ES_tradnl"/>
              </w:rPr>
            </w:pPr>
            <w:r w:rsidRPr="003575E6">
              <w:rPr>
                <w:lang w:val="es-ES_tradnl"/>
              </w:rPr>
              <w:t xml:space="preserve">Si el número de plantas fuera de tipo </w:t>
            </w:r>
            <w:r w:rsidR="0010566F" w:rsidRPr="003575E6">
              <w:rPr>
                <w:strike/>
                <w:highlight w:val="lightGray"/>
                <w:lang w:val="es-ES_tradnl"/>
              </w:rPr>
              <w:t xml:space="preserve">es 1 o más, pero inferior al número de plantas fuera de tipo aceptable para toda la muestra </w:t>
            </w:r>
            <w:r w:rsidRPr="003575E6">
              <w:rPr>
                <w:highlight w:val="lightGray"/>
                <w:u w:val="single"/>
                <w:lang w:val="es-ES_tradnl"/>
              </w:rPr>
              <w:t>está entre el límite inferior y el límite superior predefinidos</w:t>
            </w:r>
            <w:r w:rsidRPr="003575E6">
              <w:rPr>
                <w:lang w:val="es-ES_tradnl"/>
              </w:rPr>
              <w:t xml:space="preserve">, se evalúa </w:t>
            </w:r>
            <w:r w:rsidR="0010566F" w:rsidRPr="003575E6">
              <w:rPr>
                <w:lang w:val="es-ES_tradnl"/>
              </w:rPr>
              <w:t>toda la muestra</w:t>
            </w:r>
            <w:r w:rsidRPr="003575E6">
              <w:rPr>
                <w:lang w:val="es-ES_tradnl"/>
              </w:rPr>
              <w:t>.</w:t>
            </w:r>
            <w:r w:rsidR="005C5BCA" w:rsidRPr="003575E6">
              <w:rPr>
                <w:lang w:val="es-ES_tradnl"/>
              </w:rPr>
              <w:t xml:space="preserve"> </w:t>
            </w:r>
            <w:r w:rsidR="0010566F" w:rsidRPr="003575E6">
              <w:rPr>
                <w:highlight w:val="lightGray"/>
                <w:u w:val="single"/>
                <w:lang w:val="es-ES_tradnl"/>
              </w:rPr>
              <w:t>Los límites inferior y superior deben fijarse teniendo en cuenta errores de tipo I y de tipo II similares en la submuestra y en toda la muestra.</w:t>
            </w:r>
          </w:p>
          <w:p w:rsidR="000F2D0A" w:rsidRPr="003575E6" w:rsidRDefault="002D7493" w:rsidP="00431767">
            <w:r>
              <w:rPr>
                <w:rFonts w:eastAsia="SimSun"/>
                <w:szCs w:val="24"/>
                <w:lang w:eastAsia="zh-CN"/>
              </w:rPr>
              <w:pict>
                <v:rect id="_x0000_i1028" style="width:0;height:1.5pt" o:hralign="center" o:hrstd="t" o:hr="t" fillcolor="#a0a0a0" stroked="f"/>
              </w:pict>
            </w:r>
          </w:p>
          <w:p w:rsidR="000F2D0A" w:rsidRPr="003575E6" w:rsidRDefault="000F2D0A" w:rsidP="00431767">
            <w:pPr>
              <w:rPr>
                <w:szCs w:val="24"/>
              </w:rPr>
            </w:pPr>
          </w:p>
          <w:p w:rsidR="000F2D0A" w:rsidRPr="003575E6" w:rsidRDefault="000F2D0A" w:rsidP="000F2D0A">
            <w:pPr>
              <w:rPr>
                <w:szCs w:val="24"/>
                <w:lang w:val="es-ES"/>
              </w:rPr>
            </w:pPr>
            <w:r w:rsidRPr="003575E6">
              <w:rPr>
                <w:szCs w:val="24"/>
                <w:lang w:val="es-ES_tradnl"/>
              </w:rPr>
              <w:t>Ejemplo:</w:t>
            </w:r>
          </w:p>
          <w:p w:rsidR="000F2D0A" w:rsidRPr="003575E6" w:rsidRDefault="000F2D0A" w:rsidP="00431767">
            <w:pPr>
              <w:rPr>
                <w:szCs w:val="24"/>
                <w:lang w:val="es-ES"/>
              </w:rPr>
            </w:pPr>
          </w:p>
          <w:p w:rsidR="000F2D0A" w:rsidRPr="003575E6" w:rsidRDefault="000F2D0A" w:rsidP="000F2D0A">
            <w:pPr>
              <w:autoSpaceDE w:val="0"/>
              <w:autoSpaceDN w:val="0"/>
              <w:adjustRightInd w:val="0"/>
              <w:rPr>
                <w:szCs w:val="24"/>
                <w:lang w:val="es-ES"/>
              </w:rPr>
            </w:pPr>
            <w:r w:rsidRPr="003575E6">
              <w:rPr>
                <w:szCs w:val="24"/>
                <w:lang w:val="es-ES_tradnl"/>
              </w:rPr>
              <w:t>En el caso de una muestra de 100 plantas, el número aceptable de plantas fuera de tipo es 3 (aplicando una población estándar del 1% y una probabilidad de aceptación del 95% como mínimo).</w:t>
            </w:r>
          </w:p>
          <w:p w:rsidR="000F2D0A" w:rsidRPr="003575E6" w:rsidRDefault="000F2D0A" w:rsidP="00431767">
            <w:pPr>
              <w:autoSpaceDE w:val="0"/>
              <w:autoSpaceDN w:val="0"/>
              <w:adjustRightInd w:val="0"/>
              <w:rPr>
                <w:szCs w:val="24"/>
                <w:lang w:val="es-ES"/>
              </w:rPr>
            </w:pPr>
          </w:p>
          <w:p w:rsidR="000F2D0A" w:rsidRPr="003575E6" w:rsidRDefault="000F2D0A" w:rsidP="000F2D0A">
            <w:pPr>
              <w:autoSpaceDE w:val="0"/>
              <w:autoSpaceDN w:val="0"/>
              <w:adjustRightInd w:val="0"/>
              <w:rPr>
                <w:szCs w:val="24"/>
                <w:lang w:val="es-ES"/>
              </w:rPr>
            </w:pPr>
            <w:r w:rsidRPr="003575E6">
              <w:rPr>
                <w:szCs w:val="24"/>
                <w:lang w:val="es-ES_tradnl"/>
              </w:rPr>
              <w:t>En una submuestra de 20 plantas utilizada en el contexto de la antedicha muestra de 100 plantas:</w:t>
            </w:r>
          </w:p>
          <w:p w:rsidR="000F2D0A" w:rsidRPr="003575E6" w:rsidRDefault="000F2D0A" w:rsidP="00431767">
            <w:pPr>
              <w:autoSpaceDE w:val="0"/>
              <w:autoSpaceDN w:val="0"/>
              <w:adjustRightInd w:val="0"/>
              <w:rPr>
                <w:szCs w:val="24"/>
                <w:lang w:val="es-ES"/>
              </w:rPr>
            </w:pPr>
          </w:p>
          <w:p w:rsidR="000F2D0A" w:rsidRPr="003575E6" w:rsidRDefault="000F2D0A" w:rsidP="000F2D0A">
            <w:pPr>
              <w:ind w:left="567"/>
              <w:rPr>
                <w:lang w:val="es-ES"/>
              </w:rPr>
            </w:pPr>
            <w:r w:rsidRPr="003575E6">
              <w:rPr>
                <w:lang w:val="es-ES_tradnl"/>
              </w:rPr>
              <w:t>Se considera que una variedad es homogénea si no se observan plantas fuera de tipo en la submuestra.</w:t>
            </w:r>
          </w:p>
          <w:p w:rsidR="000F2D0A" w:rsidRPr="003575E6" w:rsidRDefault="000F2D0A" w:rsidP="00431767">
            <w:pPr>
              <w:rPr>
                <w:lang w:val="es-ES"/>
              </w:rPr>
            </w:pPr>
          </w:p>
          <w:p w:rsidR="000F2D0A" w:rsidRPr="003575E6" w:rsidRDefault="000F2D0A" w:rsidP="000F2D0A">
            <w:pPr>
              <w:ind w:left="567"/>
              <w:rPr>
                <w:lang w:val="es-ES"/>
              </w:rPr>
            </w:pPr>
            <w:r w:rsidRPr="003575E6">
              <w:rPr>
                <w:lang w:val="es-ES_tradnl"/>
              </w:rPr>
              <w:t>Se considera que una variedad no es homogénea si el número de plantas fuera de tipo en la submuestra es mayor de 3.</w:t>
            </w:r>
          </w:p>
          <w:p w:rsidR="000F2D0A" w:rsidRPr="003575E6" w:rsidRDefault="000F2D0A" w:rsidP="00431767">
            <w:pPr>
              <w:rPr>
                <w:lang w:val="es-ES"/>
              </w:rPr>
            </w:pPr>
          </w:p>
          <w:p w:rsidR="000F2D0A" w:rsidRPr="003575E6" w:rsidRDefault="000F2D0A" w:rsidP="000F2D0A">
            <w:pPr>
              <w:ind w:left="567"/>
              <w:rPr>
                <w:lang w:val="es-ES"/>
              </w:rPr>
            </w:pPr>
            <w:r w:rsidRPr="003575E6">
              <w:rPr>
                <w:lang w:val="es-ES_tradnl"/>
              </w:rPr>
              <w:t>Si el número de plantas fuera de tipo está entre 1 y 3, se evalúa toda la muestra de 100 plantas.</w:t>
            </w:r>
          </w:p>
          <w:p w:rsidR="000F2D0A" w:rsidRPr="003575E6" w:rsidRDefault="000F2D0A" w:rsidP="00431767">
            <w:pPr>
              <w:ind w:left="567"/>
              <w:rPr>
                <w:lang w:val="es-ES"/>
              </w:rPr>
            </w:pPr>
          </w:p>
          <w:p w:rsidR="000F2D0A" w:rsidRPr="003575E6" w:rsidRDefault="0010566F" w:rsidP="00431767">
            <w:pPr>
              <w:ind w:left="567"/>
              <w:rPr>
                <w:highlight w:val="lightGray"/>
                <w:u w:val="single"/>
                <w:lang w:val="es-ES_tradnl"/>
              </w:rPr>
            </w:pPr>
            <w:r w:rsidRPr="003575E6">
              <w:rPr>
                <w:rFonts w:cs="Arial"/>
                <w:highlight w:val="lightGray"/>
                <w:u w:val="single"/>
                <w:lang w:val="es-ES_tradnl"/>
              </w:rPr>
              <w:t>Si el número de plantas fuera de tipo de la muestra de 100</w:t>
            </w:r>
            <w:r w:rsidR="003533B8" w:rsidRPr="003575E6">
              <w:rPr>
                <w:rFonts w:cs="Arial"/>
                <w:highlight w:val="lightGray"/>
                <w:u w:val="single"/>
                <w:lang w:val="es-ES_tradnl"/>
              </w:rPr>
              <w:t> </w:t>
            </w:r>
            <w:r w:rsidRPr="003575E6">
              <w:rPr>
                <w:rFonts w:cs="Arial"/>
                <w:highlight w:val="lightGray"/>
                <w:u w:val="single"/>
                <w:lang w:val="es-ES_tradnl"/>
              </w:rPr>
              <w:t>plantas es mayor que 3, se considera que la variedad no es homogénea.</w:t>
            </w:r>
          </w:p>
          <w:p w:rsidR="000F2D0A" w:rsidRPr="003575E6" w:rsidRDefault="000F2D0A" w:rsidP="00431767">
            <w:pPr>
              <w:ind w:left="34" w:right="600"/>
              <w:rPr>
                <w:highlight w:val="lightGray"/>
                <w:u w:val="single"/>
                <w:lang w:val="es-ES_tradnl"/>
              </w:rPr>
            </w:pPr>
          </w:p>
          <w:p w:rsidR="000F2D0A" w:rsidRPr="003575E6" w:rsidRDefault="0010566F" w:rsidP="00431767">
            <w:pPr>
              <w:ind w:left="34" w:right="600"/>
              <w:rPr>
                <w:strike/>
                <w:szCs w:val="24"/>
                <w:highlight w:val="lightGray"/>
                <w:lang w:val="es-ES_tradnl"/>
              </w:rPr>
            </w:pPr>
            <w:r w:rsidRPr="003575E6">
              <w:rPr>
                <w:strike/>
                <w:szCs w:val="24"/>
                <w:highlight w:val="lightGray"/>
                <w:lang w:val="es-ES_tradnl"/>
              </w:rPr>
              <w:t>(Los antecedentes correspondientes a este ejemplo figuran en el Anexo V del presente documento)</w:t>
            </w:r>
            <w:r w:rsidR="005C5BCA" w:rsidRPr="003575E6">
              <w:rPr>
                <w:strike/>
                <w:szCs w:val="24"/>
                <w:highlight w:val="lightGray"/>
                <w:lang w:val="es-ES_tradnl"/>
              </w:rPr>
              <w:t xml:space="preserve"> </w:t>
            </w:r>
          </w:p>
          <w:p w:rsidR="000F2D0A" w:rsidRPr="003575E6" w:rsidRDefault="00E634EA" w:rsidP="00431767">
            <w:pPr>
              <w:ind w:left="34" w:right="600"/>
              <w:rPr>
                <w:szCs w:val="24"/>
                <w:u w:val="single"/>
                <w:lang w:val="es-ES_tradnl"/>
              </w:rPr>
            </w:pPr>
            <w:r w:rsidRPr="003575E6">
              <w:rPr>
                <w:szCs w:val="24"/>
                <w:highlight w:val="lightGray"/>
                <w:u w:val="single"/>
                <w:lang w:val="es-ES_tradnl"/>
              </w:rPr>
              <w:t>Las bases estadísticas de este método se describen</w:t>
            </w:r>
            <w:r w:rsidR="0010566F" w:rsidRPr="003575E6">
              <w:rPr>
                <w:szCs w:val="24"/>
                <w:highlight w:val="lightGray"/>
                <w:u w:val="single"/>
                <w:lang w:val="es-ES_tradnl"/>
              </w:rPr>
              <w:t xml:space="preserve"> exhaustivamente en el Anexo V del documento TWC/32/9.</w:t>
            </w:r>
          </w:p>
          <w:p w:rsidR="005C5BCA" w:rsidRPr="003575E6" w:rsidRDefault="005C5BCA" w:rsidP="00431767">
            <w:pPr>
              <w:ind w:left="34" w:right="600"/>
              <w:rPr>
                <w:szCs w:val="24"/>
                <w:lang w:val="es-ES_tradnl"/>
              </w:rPr>
            </w:pPr>
          </w:p>
        </w:tc>
      </w:tr>
    </w:tbl>
    <w:p w:rsidR="000F2D0A" w:rsidRPr="003575E6" w:rsidRDefault="00F6316F" w:rsidP="00DD4E0F">
      <w:pPr>
        <w:pStyle w:val="endofdoc"/>
        <w:rPr>
          <w:color w:val="auto"/>
          <w:lang w:val="es-ES"/>
        </w:rPr>
      </w:pPr>
      <w:r w:rsidRPr="003575E6">
        <w:rPr>
          <w:color w:val="auto"/>
          <w:lang w:val="es-ES"/>
        </w:rPr>
        <w:t>[</w:t>
      </w:r>
      <w:r w:rsidR="000F2D0A" w:rsidRPr="003575E6">
        <w:rPr>
          <w:color w:val="auto"/>
          <w:lang w:val="es-ES"/>
        </w:rPr>
        <w:t>Sigue el Anexo V]</w:t>
      </w:r>
    </w:p>
    <w:p w:rsidR="000F2D0A" w:rsidRPr="003575E6" w:rsidRDefault="000F2D0A" w:rsidP="00DD4E0F">
      <w:pPr>
        <w:pStyle w:val="endofdoc"/>
        <w:rPr>
          <w:color w:val="auto"/>
          <w:lang w:val="es-ES_tradnl"/>
        </w:rPr>
      </w:pPr>
    </w:p>
    <w:p w:rsidR="005C5BCA" w:rsidRPr="003575E6" w:rsidRDefault="005C5BCA" w:rsidP="00440EC9">
      <w:pPr>
        <w:jc w:val="left"/>
        <w:rPr>
          <w:lang w:val="es-ES_tradnl"/>
        </w:rPr>
        <w:sectPr w:rsidR="005C5BCA" w:rsidRPr="003575E6" w:rsidSect="00906DDC">
          <w:headerReference w:type="default" r:id="rId14"/>
          <w:headerReference w:type="first" r:id="rId15"/>
          <w:footerReference w:type="first" r:id="rId16"/>
          <w:pgSz w:w="11907" w:h="16840" w:code="9"/>
          <w:pgMar w:top="510" w:right="1134" w:bottom="1134" w:left="1134" w:header="510" w:footer="680" w:gutter="0"/>
          <w:cols w:space="720"/>
          <w:titlePg/>
        </w:sectPr>
      </w:pPr>
    </w:p>
    <w:p w:rsidR="000F2D0A" w:rsidRPr="003575E6" w:rsidRDefault="00E31CDF" w:rsidP="005C5BCA">
      <w:pPr>
        <w:jc w:val="center"/>
        <w:rPr>
          <w:lang w:val="es-ES_tradnl"/>
        </w:rPr>
      </w:pPr>
      <w:r w:rsidRPr="003575E6">
        <w:rPr>
          <w:lang w:val="es-ES_tradnl"/>
        </w:rPr>
        <w:lastRenderedPageBreak/>
        <w:t>MEMORANDO DEL EXPERTO DE ALEMANIA</w:t>
      </w:r>
    </w:p>
    <w:p w:rsidR="000F2D0A" w:rsidRPr="003575E6" w:rsidRDefault="000F2D0A" w:rsidP="005C5BCA">
      <w:pPr>
        <w:rPr>
          <w:rFonts w:cs="Arial"/>
          <w:caps/>
          <w:sz w:val="22"/>
          <w:szCs w:val="22"/>
          <w:lang w:val="es-ES_tradnl"/>
        </w:rPr>
      </w:pPr>
    </w:p>
    <w:p w:rsidR="000F2D0A" w:rsidRPr="003575E6" w:rsidRDefault="00E31CDF" w:rsidP="005C5BCA">
      <w:pPr>
        <w:rPr>
          <w:u w:val="single"/>
          <w:lang w:val="es-ES_tradnl"/>
        </w:rPr>
      </w:pPr>
      <w:r w:rsidRPr="003575E6">
        <w:rPr>
          <w:u w:val="single"/>
          <w:lang w:val="es-ES_tradnl"/>
        </w:rPr>
        <w:t xml:space="preserve">Aplicación de un método </w:t>
      </w:r>
      <w:r w:rsidR="00673736" w:rsidRPr="003575E6">
        <w:rPr>
          <w:u w:val="single"/>
          <w:lang w:val="es-ES_tradnl"/>
        </w:rPr>
        <w:t>por etapas</w:t>
      </w:r>
      <w:r w:rsidRPr="003575E6">
        <w:rPr>
          <w:u w:val="single"/>
          <w:lang w:val="es-ES_tradnl"/>
        </w:rPr>
        <w:t xml:space="preserve"> en el </w:t>
      </w:r>
      <w:r w:rsidR="00417CE3" w:rsidRPr="003575E6">
        <w:rPr>
          <w:u w:val="single"/>
          <w:lang w:val="es-ES_tradnl"/>
        </w:rPr>
        <w:t>procedimiento basado en las plantas fuera de tipo</w:t>
      </w:r>
      <w:r w:rsidRPr="003575E6">
        <w:rPr>
          <w:u w:val="single"/>
          <w:lang w:val="es-ES_tradnl"/>
        </w:rPr>
        <w:t xml:space="preserve"> dentro del mismo ciclo de cultivo</w:t>
      </w:r>
    </w:p>
    <w:p w:rsidR="000F2D0A" w:rsidRPr="003575E6" w:rsidRDefault="000F2D0A" w:rsidP="005C5BCA">
      <w:pPr>
        <w:rPr>
          <w:rFonts w:cs="Arial"/>
          <w:caps/>
          <w:lang w:val="es-ES_tradnl"/>
        </w:rPr>
      </w:pPr>
    </w:p>
    <w:p w:rsidR="000F2D0A" w:rsidRPr="003575E6" w:rsidRDefault="000F2D0A" w:rsidP="000F2D0A">
      <w:pPr>
        <w:rPr>
          <w:i/>
          <w:lang w:val="es-ES"/>
        </w:rPr>
      </w:pPr>
      <w:r w:rsidRPr="003575E6">
        <w:rPr>
          <w:i/>
          <w:lang w:val="es-ES_tradnl"/>
        </w:rPr>
        <w:t>Antecedentes</w:t>
      </w:r>
    </w:p>
    <w:p w:rsidR="000F2D0A" w:rsidRPr="003575E6" w:rsidRDefault="000F2D0A" w:rsidP="005C5BCA">
      <w:pPr>
        <w:rPr>
          <w:rFonts w:cs="Arial"/>
          <w:lang w:val="es-ES"/>
        </w:rPr>
      </w:pPr>
    </w:p>
    <w:p w:rsidR="000F2D0A" w:rsidRPr="003575E6" w:rsidRDefault="000F2D0A" w:rsidP="000F2D0A">
      <w:pPr>
        <w:rPr>
          <w:rFonts w:cs="Arial"/>
          <w:lang w:val="es-ES"/>
        </w:rPr>
      </w:pPr>
      <w:r w:rsidRPr="003575E6">
        <w:rPr>
          <w:rFonts w:cs="Arial"/>
          <w:lang w:val="es-ES_tradnl"/>
        </w:rPr>
        <w:t>El TC tomó nota de que el TWC había propuesto que en su sesión de 2014 se siga reflexionando sobre la base estadística del número aceptable de plantas fuera de tipo en la situación D, tal como se expone en los párrafos 34 y 35 del documento TC/50/12.</w:t>
      </w:r>
    </w:p>
    <w:p w:rsidR="000F2D0A" w:rsidRPr="003575E6" w:rsidRDefault="000F2D0A" w:rsidP="005C5BCA">
      <w:pPr>
        <w:rPr>
          <w:rFonts w:cs="Arial"/>
          <w:lang w:val="es-ES"/>
        </w:rPr>
      </w:pPr>
    </w:p>
    <w:p w:rsidR="000F2D0A" w:rsidRPr="003575E6" w:rsidRDefault="00590637" w:rsidP="005C5BCA">
      <w:pPr>
        <w:rPr>
          <w:rFonts w:cs="Arial"/>
          <w:lang w:val="es-ES_tradnl"/>
        </w:rPr>
      </w:pPr>
      <w:r w:rsidRPr="003575E6">
        <w:rPr>
          <w:rFonts w:cs="Arial"/>
          <w:lang w:val="es-ES_tradnl"/>
        </w:rPr>
        <w:t>El texto siguiente se basa en el Anexo V del documento TWC/31/22.</w:t>
      </w:r>
    </w:p>
    <w:p w:rsidR="000F2D0A" w:rsidRPr="003575E6" w:rsidRDefault="000F2D0A" w:rsidP="005C5BCA">
      <w:pPr>
        <w:rPr>
          <w:rFonts w:cs="Arial"/>
          <w:lang w:val="es-ES_tradnl"/>
        </w:rPr>
      </w:pPr>
    </w:p>
    <w:p w:rsidR="000F2D0A" w:rsidRPr="003575E6" w:rsidRDefault="00590637" w:rsidP="005C5BCA">
      <w:pPr>
        <w:rPr>
          <w:rFonts w:cs="Arial"/>
          <w:lang w:val="es-ES_tradnl"/>
        </w:rPr>
      </w:pPr>
      <w:r w:rsidRPr="003575E6">
        <w:rPr>
          <w:rFonts w:cs="Arial"/>
          <w:lang w:val="es-ES_tradnl"/>
        </w:rPr>
        <w:t xml:space="preserve">El método de evaluación de la homogeneidad mediante plantas fuera de tipo (procedimiento </w:t>
      </w:r>
      <w:r w:rsidR="00324963" w:rsidRPr="003575E6">
        <w:rPr>
          <w:rFonts w:cs="Arial"/>
          <w:lang w:val="es-ES_tradnl"/>
        </w:rPr>
        <w:t xml:space="preserve">basado en las </w:t>
      </w:r>
      <w:r w:rsidRPr="003575E6">
        <w:rPr>
          <w:rFonts w:cs="Arial"/>
          <w:lang w:val="es-ES_tradnl"/>
        </w:rPr>
        <w:t>plantas fuera de tipo) se describe en el documento TGP/8.</w:t>
      </w:r>
      <w:r w:rsidR="005C5BCA" w:rsidRPr="003575E6">
        <w:rPr>
          <w:rFonts w:cs="Arial"/>
          <w:lang w:val="es-ES_tradnl"/>
        </w:rPr>
        <w:t xml:space="preserve"> </w:t>
      </w:r>
      <w:r w:rsidRPr="003575E6">
        <w:rPr>
          <w:rFonts w:cs="Arial"/>
          <w:lang w:val="es-ES_tradnl"/>
        </w:rPr>
        <w:t xml:space="preserve">En la sección 8.1.7 se proporciona orientación sobre la aplicación del </w:t>
      </w:r>
      <w:r w:rsidR="00C8310F" w:rsidRPr="003575E6">
        <w:rPr>
          <w:rFonts w:cs="Arial"/>
          <w:lang w:val="es-ES_tradnl"/>
        </w:rPr>
        <w:t xml:space="preserve">procedimiento </w:t>
      </w:r>
      <w:r w:rsidR="00324963" w:rsidRPr="003575E6">
        <w:rPr>
          <w:rFonts w:cs="Arial"/>
          <w:lang w:val="es-ES_tradnl"/>
        </w:rPr>
        <w:t>basado en las</w:t>
      </w:r>
      <w:r w:rsidR="00C8310F" w:rsidRPr="003575E6">
        <w:rPr>
          <w:rFonts w:cs="Arial"/>
          <w:lang w:val="es-ES_tradnl"/>
        </w:rPr>
        <w:t xml:space="preserve"> plantas fuera de tipo</w:t>
      </w:r>
      <w:r w:rsidRPr="003575E6">
        <w:rPr>
          <w:rFonts w:cs="Arial"/>
          <w:lang w:val="es-ES_tradnl"/>
        </w:rPr>
        <w:t xml:space="preserve"> </w:t>
      </w:r>
      <w:r w:rsidR="00C8310F" w:rsidRPr="003575E6">
        <w:rPr>
          <w:rFonts w:cs="Arial"/>
          <w:lang w:val="es-ES_tradnl"/>
        </w:rPr>
        <w:t>a más de un examen único</w:t>
      </w:r>
      <w:r w:rsidRPr="003575E6">
        <w:rPr>
          <w:rFonts w:cs="Arial"/>
          <w:lang w:val="es-ES_tradnl"/>
        </w:rPr>
        <w:t xml:space="preserve">, </w:t>
      </w:r>
      <w:r w:rsidR="00C8310F" w:rsidRPr="003575E6">
        <w:rPr>
          <w:rFonts w:cs="Arial"/>
          <w:lang w:val="es-ES_tradnl"/>
        </w:rPr>
        <w:t>e</w:t>
      </w:r>
      <w:r w:rsidRPr="003575E6">
        <w:rPr>
          <w:rFonts w:cs="Arial"/>
          <w:lang w:val="es-ES_tradnl"/>
        </w:rPr>
        <w:t>n</w:t>
      </w:r>
      <w:r w:rsidR="00C8310F" w:rsidRPr="003575E6">
        <w:rPr>
          <w:rFonts w:cs="Arial"/>
          <w:lang w:val="es-ES_tradnl"/>
        </w:rPr>
        <w:t xml:space="preserve"> particular un</w:t>
      </w:r>
      <w:r w:rsidRPr="003575E6">
        <w:rPr>
          <w:rFonts w:cs="Arial"/>
          <w:lang w:val="es-ES_tradnl"/>
        </w:rPr>
        <w:t xml:space="preserve">a </w:t>
      </w:r>
      <w:r w:rsidR="00C8310F" w:rsidRPr="003575E6">
        <w:rPr>
          <w:rFonts w:cs="Arial"/>
          <w:lang w:val="es-ES_tradnl"/>
        </w:rPr>
        <w:t xml:space="preserve">prueba </w:t>
      </w:r>
      <w:r w:rsidRPr="003575E6">
        <w:rPr>
          <w:rFonts w:cs="Arial"/>
          <w:lang w:val="es-ES_tradnl"/>
        </w:rPr>
        <w:t>combin</w:t>
      </w:r>
      <w:r w:rsidR="00C8310F" w:rsidRPr="003575E6">
        <w:rPr>
          <w:rFonts w:cs="Arial"/>
          <w:lang w:val="es-ES_tradnl"/>
        </w:rPr>
        <w:t>a</w:t>
      </w:r>
      <w:r w:rsidRPr="003575E6">
        <w:rPr>
          <w:rFonts w:cs="Arial"/>
          <w:lang w:val="es-ES_tradnl"/>
        </w:rPr>
        <w:t>d</w:t>
      </w:r>
      <w:r w:rsidR="00C8310F" w:rsidRPr="003575E6">
        <w:rPr>
          <w:rFonts w:cs="Arial"/>
          <w:lang w:val="es-ES_tradnl"/>
        </w:rPr>
        <w:t>a</w:t>
      </w:r>
      <w:r w:rsidRPr="003575E6">
        <w:rPr>
          <w:rFonts w:cs="Arial"/>
          <w:lang w:val="es-ES_tradnl"/>
        </w:rPr>
        <w:t xml:space="preserve">, </w:t>
      </w:r>
      <w:r w:rsidR="00C8310F" w:rsidRPr="003575E6">
        <w:rPr>
          <w:rFonts w:cs="Arial"/>
          <w:lang w:val="es-ES_tradnl"/>
        </w:rPr>
        <w:t>un examen en dos etapas</w:t>
      </w:r>
      <w:r w:rsidRPr="003575E6">
        <w:rPr>
          <w:rFonts w:cs="Arial"/>
          <w:lang w:val="es-ES_tradnl"/>
        </w:rPr>
        <w:t xml:space="preserve"> </w:t>
      </w:r>
      <w:r w:rsidR="00C8310F" w:rsidRPr="003575E6">
        <w:rPr>
          <w:rFonts w:cs="Arial"/>
          <w:lang w:val="es-ES_tradnl"/>
        </w:rPr>
        <w:t>y ensayos secuenciales</w:t>
      </w:r>
      <w:r w:rsidRPr="003575E6">
        <w:rPr>
          <w:rFonts w:cs="Arial"/>
          <w:lang w:val="es-ES_tradnl"/>
        </w:rPr>
        <w:t>.</w:t>
      </w:r>
      <w:r w:rsidR="005C5BCA" w:rsidRPr="003575E6">
        <w:rPr>
          <w:rFonts w:cs="Arial"/>
          <w:lang w:val="es-ES_tradnl"/>
        </w:rPr>
        <w:t xml:space="preserve">  </w:t>
      </w:r>
    </w:p>
    <w:p w:rsidR="000F2D0A" w:rsidRPr="003575E6" w:rsidRDefault="000F2D0A" w:rsidP="005C5BCA">
      <w:pPr>
        <w:rPr>
          <w:rFonts w:cs="Arial"/>
          <w:lang w:val="es-ES_tradnl"/>
        </w:rPr>
      </w:pPr>
    </w:p>
    <w:p w:rsidR="000F2D0A" w:rsidRPr="003575E6" w:rsidRDefault="00C8310F" w:rsidP="005C5BCA">
      <w:pPr>
        <w:rPr>
          <w:rFonts w:cs="Arial"/>
          <w:lang w:val="es-ES_tradnl"/>
        </w:rPr>
      </w:pPr>
      <w:r w:rsidRPr="003575E6">
        <w:rPr>
          <w:rFonts w:cs="Arial"/>
          <w:lang w:val="es-ES_tradnl"/>
        </w:rPr>
        <w:t>Se ofrece la siguiente descripción de prueba combinada:</w:t>
      </w:r>
    </w:p>
    <w:p w:rsidR="000F2D0A" w:rsidRPr="003575E6" w:rsidRDefault="000F2D0A" w:rsidP="000F2D0A">
      <w:pPr>
        <w:rPr>
          <w:rFonts w:cs="Arial"/>
          <w:lang w:val="es-ES"/>
        </w:rPr>
      </w:pPr>
      <w:r w:rsidRPr="003575E6">
        <w:rPr>
          <w:rFonts w:cs="Arial"/>
          <w:lang w:val="es-ES"/>
        </w:rPr>
        <w:t>Adoptar la decisión después de dos (o tres) años sobre la base del número total de plantas examinadas y del número total de plantas fuera de tipo registradas.</w:t>
      </w:r>
    </w:p>
    <w:p w:rsidR="000F2D0A" w:rsidRPr="003575E6" w:rsidRDefault="000F2D0A" w:rsidP="005C5BCA">
      <w:pPr>
        <w:rPr>
          <w:rFonts w:cs="Arial"/>
          <w:lang w:val="es-ES"/>
        </w:rPr>
      </w:pPr>
    </w:p>
    <w:p w:rsidR="000F2D0A" w:rsidRPr="003575E6" w:rsidRDefault="00C8310F" w:rsidP="005C5BCA">
      <w:pPr>
        <w:rPr>
          <w:rFonts w:cs="Arial"/>
          <w:lang w:val="es-ES_tradnl"/>
        </w:rPr>
      </w:pPr>
      <w:r w:rsidRPr="003575E6">
        <w:rPr>
          <w:rFonts w:cs="Arial"/>
          <w:lang w:val="es-ES_tradnl"/>
        </w:rPr>
        <w:t>Se ofrece la siguiente descripción de examen en dos etapas:</w:t>
      </w:r>
    </w:p>
    <w:p w:rsidR="00586C92" w:rsidRPr="003575E6" w:rsidRDefault="00C8310F" w:rsidP="00586C92">
      <w:pPr>
        <w:rPr>
          <w:rFonts w:cs="Arial"/>
          <w:lang w:val="es-ES_tradnl"/>
        </w:rPr>
      </w:pPr>
      <w:r w:rsidRPr="003575E6">
        <w:rPr>
          <w:rFonts w:cs="Arial"/>
          <w:lang w:val="es-ES_tradnl"/>
        </w:rPr>
        <w:t>Examinar el resultado del primer año para comprobar si los datos sustentan una decisión clara (rechazo o aceptación).</w:t>
      </w:r>
      <w:r w:rsidR="00586C92" w:rsidRPr="003575E6">
        <w:rPr>
          <w:rFonts w:cs="Arial"/>
          <w:lang w:val="es-ES_tradnl"/>
        </w:rPr>
        <w:t xml:space="preserve"> </w:t>
      </w:r>
      <w:r w:rsidRPr="003575E6">
        <w:rPr>
          <w:rFonts w:cs="Arial"/>
          <w:lang w:val="es-ES_tradnl"/>
        </w:rPr>
        <w:t>Si la decisión no es clara, se procederá a realizar el segundo año del examen y se decidirá tras el segundo año.</w:t>
      </w:r>
    </w:p>
    <w:p w:rsidR="000F2D0A" w:rsidRPr="003575E6" w:rsidRDefault="000F2D0A" w:rsidP="005C5BCA">
      <w:pPr>
        <w:rPr>
          <w:rFonts w:cs="Arial"/>
          <w:lang w:val="es-ES"/>
        </w:rPr>
      </w:pPr>
    </w:p>
    <w:p w:rsidR="000F2D0A" w:rsidRPr="003575E6" w:rsidRDefault="00C8310F" w:rsidP="005C5BCA">
      <w:pPr>
        <w:rPr>
          <w:rFonts w:cs="Arial"/>
          <w:lang w:val="es-ES_tradnl"/>
        </w:rPr>
      </w:pPr>
      <w:r w:rsidRPr="003575E6">
        <w:rPr>
          <w:rFonts w:cs="Arial"/>
          <w:lang w:val="es-ES_tradnl"/>
        </w:rPr>
        <w:t>Un ensayo secuencial es un ensayo con múltiples etapas en el que pueden definirse reglas de decisi</w:t>
      </w:r>
      <w:r w:rsidR="00B82F01" w:rsidRPr="003575E6">
        <w:rPr>
          <w:rFonts w:cs="Arial"/>
          <w:lang w:val="es-ES_tradnl"/>
        </w:rPr>
        <w:t>ó</w:t>
      </w:r>
      <w:r w:rsidRPr="003575E6">
        <w:rPr>
          <w:rFonts w:cs="Arial"/>
          <w:lang w:val="es-ES_tradnl"/>
        </w:rPr>
        <w:t>n de forma dependiente o independiente de los resultados del ensayo.</w:t>
      </w:r>
      <w:r w:rsidR="005C5BCA" w:rsidRPr="003575E6">
        <w:rPr>
          <w:rFonts w:cs="Arial"/>
          <w:lang w:val="es-ES_tradnl"/>
        </w:rPr>
        <w:t xml:space="preserve"> </w:t>
      </w:r>
    </w:p>
    <w:p w:rsidR="000F2D0A" w:rsidRPr="003575E6" w:rsidRDefault="000F2D0A" w:rsidP="005C5BCA">
      <w:pPr>
        <w:rPr>
          <w:rFonts w:cs="Arial"/>
          <w:lang w:val="es-ES_tradnl"/>
        </w:rPr>
      </w:pPr>
    </w:p>
    <w:p w:rsidR="000F2D0A" w:rsidRPr="003575E6" w:rsidRDefault="006D1EF5" w:rsidP="005C5BCA">
      <w:pPr>
        <w:rPr>
          <w:rFonts w:cs="Arial"/>
          <w:lang w:val="es-ES_tradnl"/>
        </w:rPr>
      </w:pPr>
      <w:r w:rsidRPr="003575E6">
        <w:rPr>
          <w:rFonts w:cs="Arial"/>
          <w:lang w:val="es-ES_tradnl"/>
        </w:rPr>
        <w:t>En el Anexo I</w:t>
      </w:r>
      <w:r w:rsidR="00C8310F" w:rsidRPr="003575E6">
        <w:rPr>
          <w:rFonts w:cs="Arial"/>
          <w:lang w:val="es-ES_tradnl"/>
        </w:rPr>
        <w:t xml:space="preserve"> </w:t>
      </w:r>
      <w:r w:rsidRPr="003575E6">
        <w:rPr>
          <w:rFonts w:cs="Arial"/>
          <w:lang w:val="es-ES_tradnl"/>
        </w:rPr>
        <w:t xml:space="preserve">(página 13) del </w:t>
      </w:r>
      <w:r w:rsidR="00C8310F" w:rsidRPr="003575E6">
        <w:rPr>
          <w:rFonts w:cs="Arial"/>
          <w:lang w:val="es-ES_tradnl"/>
        </w:rPr>
        <w:t>document</w:t>
      </w:r>
      <w:r w:rsidRPr="003575E6">
        <w:rPr>
          <w:rFonts w:cs="Arial"/>
          <w:lang w:val="es-ES_tradnl"/>
        </w:rPr>
        <w:t>o </w:t>
      </w:r>
      <w:r w:rsidR="00C8310F" w:rsidRPr="003575E6">
        <w:rPr>
          <w:rFonts w:cs="Arial"/>
          <w:lang w:val="es-ES_tradnl"/>
        </w:rPr>
        <w:t>TWC/29/09</w:t>
      </w:r>
      <w:r w:rsidRPr="003575E6">
        <w:rPr>
          <w:rFonts w:cs="Arial"/>
          <w:lang w:val="es-ES_tradnl"/>
        </w:rPr>
        <w:t> </w:t>
      </w:r>
      <w:r w:rsidR="00C8310F" w:rsidRPr="003575E6">
        <w:rPr>
          <w:rFonts w:cs="Arial"/>
          <w:lang w:val="es-ES_tradnl"/>
        </w:rPr>
        <w:t>“</w:t>
      </w:r>
      <w:r w:rsidRPr="003575E6">
        <w:rPr>
          <w:rFonts w:cs="Arial"/>
          <w:i/>
          <w:lang w:val="es-ES_tradnl"/>
        </w:rPr>
        <w:t>Assessing uniformity by off-types on the basis of more than one sample or sub-sample</w:t>
      </w:r>
      <w:r w:rsidR="00C8310F" w:rsidRPr="003575E6">
        <w:rPr>
          <w:rFonts w:cs="Arial"/>
          <w:lang w:val="es-ES_tradnl"/>
        </w:rPr>
        <w:t>”</w:t>
      </w:r>
      <w:r w:rsidRPr="003575E6">
        <w:rPr>
          <w:rFonts w:cs="Arial"/>
          <w:lang w:val="es-ES_tradnl"/>
        </w:rPr>
        <w:t xml:space="preserve"> (</w:t>
      </w:r>
      <w:r w:rsidRPr="003575E6">
        <w:rPr>
          <w:lang w:val="es-ES_tradnl"/>
        </w:rPr>
        <w:t>Evaluación de la homogeneidad de las plantas fuera de tipo mediante la observación de más de una muestra o submuestra</w:t>
      </w:r>
      <w:r w:rsidRPr="003575E6">
        <w:rPr>
          <w:rFonts w:cs="Arial"/>
          <w:lang w:val="es-ES_tradnl"/>
        </w:rPr>
        <w:t>)</w:t>
      </w:r>
      <w:r w:rsidR="00C8310F" w:rsidRPr="003575E6">
        <w:rPr>
          <w:rFonts w:cs="Arial"/>
          <w:lang w:val="es-ES_tradnl"/>
        </w:rPr>
        <w:t xml:space="preserve"> </w:t>
      </w:r>
      <w:r w:rsidRPr="003575E6">
        <w:rPr>
          <w:rFonts w:cs="Arial"/>
          <w:lang w:val="es-ES_tradnl"/>
        </w:rPr>
        <w:t>se ofrece un ejemplo específico de la aplicación de un examen en dos etapas</w:t>
      </w:r>
      <w:r w:rsidR="00C8310F" w:rsidRPr="003575E6">
        <w:rPr>
          <w:rFonts w:cs="Arial"/>
          <w:lang w:val="es-ES_tradnl"/>
        </w:rPr>
        <w:t>.</w:t>
      </w:r>
      <w:r w:rsidR="005C5BCA" w:rsidRPr="003575E6">
        <w:rPr>
          <w:rFonts w:cs="Arial"/>
          <w:lang w:val="es-ES_tradnl"/>
        </w:rPr>
        <w:t xml:space="preserve"> </w:t>
      </w:r>
      <w:r w:rsidRPr="003575E6">
        <w:rPr>
          <w:rFonts w:cs="Arial"/>
          <w:lang w:val="es-ES_tradnl"/>
        </w:rPr>
        <w:t xml:space="preserve">Varias oficinas de examen europeas aplican </w:t>
      </w:r>
      <w:r w:rsidR="00DE3276" w:rsidRPr="003575E6">
        <w:rPr>
          <w:rFonts w:cs="Arial"/>
          <w:lang w:val="es-ES_tradnl"/>
        </w:rPr>
        <w:t xml:space="preserve">en trigo y cebada </w:t>
      </w:r>
      <w:r w:rsidRPr="003575E6">
        <w:rPr>
          <w:rFonts w:cs="Arial"/>
          <w:lang w:val="es-ES_tradnl"/>
        </w:rPr>
        <w:t>el método específico siguiente para la evaluación de la homogeneidad en el caso de caracteres observados en un</w:t>
      </w:r>
      <w:r w:rsidR="00DE3276" w:rsidRPr="003575E6">
        <w:rPr>
          <w:rFonts w:cs="Arial"/>
          <w:lang w:val="es-ES_tradnl"/>
        </w:rPr>
        <w:t>a</w:t>
      </w:r>
      <w:r w:rsidRPr="003575E6">
        <w:rPr>
          <w:rFonts w:cs="Arial"/>
          <w:lang w:val="es-ES_tradnl"/>
        </w:rPr>
        <w:t xml:space="preserve"> muestra de 100 plantas o partes de plantas.</w:t>
      </w:r>
      <w:r w:rsidR="005C5BCA" w:rsidRPr="003575E6">
        <w:rPr>
          <w:rFonts w:cs="Arial"/>
          <w:lang w:val="es-ES_tradnl"/>
        </w:rPr>
        <w:t xml:space="preserve"> </w:t>
      </w:r>
      <w:r w:rsidRPr="003575E6">
        <w:rPr>
          <w:rFonts w:cs="Arial"/>
          <w:lang w:val="es-ES_tradnl"/>
        </w:rPr>
        <w:t xml:space="preserve">La población estándar se fija en el 1%, con una probabilidad de aceptación del 95% </w:t>
      </w:r>
      <w:r w:rsidR="00B82F01" w:rsidRPr="003575E6">
        <w:rPr>
          <w:rFonts w:cs="Arial"/>
          <w:lang w:val="es-ES_tradnl"/>
        </w:rPr>
        <w:t>para cada decisión</w:t>
      </w:r>
      <w:r w:rsidRPr="003575E6">
        <w:rPr>
          <w:rFonts w:cs="Arial"/>
          <w:lang w:val="es-ES_tradnl"/>
        </w:rPr>
        <w:t>.</w:t>
      </w:r>
    </w:p>
    <w:p w:rsidR="000F2D0A" w:rsidRPr="003575E6" w:rsidRDefault="000F2D0A" w:rsidP="005C5BCA">
      <w:pPr>
        <w:rPr>
          <w:rFonts w:cs="Arial"/>
          <w:lang w:val="es-ES_tradnl"/>
        </w:rPr>
      </w:pPr>
    </w:p>
    <w:p w:rsidR="000F2D0A" w:rsidRPr="003575E6" w:rsidRDefault="000F2D0A" w:rsidP="000F2D0A">
      <w:pPr>
        <w:rPr>
          <w:rFonts w:cs="Arial"/>
          <w:lang w:val="es-ES"/>
        </w:rPr>
      </w:pPr>
      <w:r w:rsidRPr="003575E6">
        <w:rPr>
          <w:rFonts w:cs="Arial"/>
          <w:lang w:val="es-ES_tradnl"/>
        </w:rPr>
        <w:t>En la primera etapa se observan 20 plantas o partes de plantas.</w:t>
      </w:r>
      <w:r w:rsidR="005C5BCA" w:rsidRPr="003575E6">
        <w:rPr>
          <w:rFonts w:cs="Arial"/>
          <w:lang w:val="es-ES"/>
        </w:rPr>
        <w:t xml:space="preserve"> </w:t>
      </w:r>
    </w:p>
    <w:p w:rsidR="000F2D0A" w:rsidRPr="003575E6" w:rsidRDefault="000F2D0A" w:rsidP="005C5BCA">
      <w:pPr>
        <w:rPr>
          <w:rFonts w:cs="Arial"/>
          <w:lang w:val="es-ES"/>
        </w:rPr>
      </w:pPr>
    </w:p>
    <w:p w:rsidR="000F2D0A" w:rsidRPr="003575E6" w:rsidRDefault="000F2D0A" w:rsidP="000F2D0A">
      <w:pPr>
        <w:pStyle w:val="ListParagraph"/>
        <w:numPr>
          <w:ilvl w:val="0"/>
          <w:numId w:val="1"/>
        </w:numPr>
        <w:rPr>
          <w:rFonts w:cs="Arial"/>
          <w:lang w:val="es-ES"/>
        </w:rPr>
      </w:pPr>
      <w:r w:rsidRPr="003575E6">
        <w:rPr>
          <w:rFonts w:cs="Arial"/>
          <w:lang w:val="es-ES_tradnl"/>
        </w:rPr>
        <w:t>Si no hay plantas fuera de tipo entre las 20 plantas, la variedad no supera el número permitido de plantas fuera de tipo para este carácter en este ciclo de cultivo.</w:t>
      </w:r>
    </w:p>
    <w:p w:rsidR="000F2D0A" w:rsidRPr="003575E6" w:rsidRDefault="000F2D0A" w:rsidP="000F2D0A">
      <w:pPr>
        <w:pStyle w:val="ListParagraph"/>
        <w:numPr>
          <w:ilvl w:val="0"/>
          <w:numId w:val="1"/>
        </w:numPr>
        <w:rPr>
          <w:rFonts w:cs="Arial"/>
          <w:lang w:val="es-ES"/>
        </w:rPr>
      </w:pPr>
      <w:r w:rsidRPr="003575E6">
        <w:rPr>
          <w:rFonts w:cs="Arial"/>
          <w:lang w:val="es-ES_tradnl"/>
        </w:rPr>
        <w:t xml:space="preserve">Si hay más de </w:t>
      </w:r>
      <w:r w:rsidR="00586C92" w:rsidRPr="003575E6">
        <w:rPr>
          <w:rFonts w:cs="Arial"/>
          <w:lang w:val="es-ES_tradnl"/>
        </w:rPr>
        <w:t>3</w:t>
      </w:r>
      <w:r w:rsidRPr="003575E6">
        <w:rPr>
          <w:rFonts w:cs="Arial"/>
          <w:lang w:val="es-ES_tradnl"/>
        </w:rPr>
        <w:t xml:space="preserve"> plantas fuera de tipo, la variedad supera el número permitido de plantas fuera de tipo para este carácter en este ciclo de cultivo.</w:t>
      </w:r>
    </w:p>
    <w:p w:rsidR="000F2D0A" w:rsidRPr="003575E6" w:rsidRDefault="00B82F01" w:rsidP="00B82F01">
      <w:pPr>
        <w:pStyle w:val="ListParagraph"/>
        <w:numPr>
          <w:ilvl w:val="0"/>
          <w:numId w:val="1"/>
        </w:numPr>
        <w:rPr>
          <w:rFonts w:cs="Arial"/>
          <w:lang w:val="es-ES_tradnl"/>
        </w:rPr>
      </w:pPr>
      <w:r w:rsidRPr="003575E6">
        <w:rPr>
          <w:rFonts w:cs="Arial"/>
          <w:lang w:val="es-ES_tradnl"/>
        </w:rPr>
        <w:t>Si hay 1, 2 o 3 plantas fuera de tipo, se continúa con la segunda etapa.</w:t>
      </w:r>
    </w:p>
    <w:p w:rsidR="000F2D0A" w:rsidRPr="003575E6" w:rsidRDefault="000F2D0A" w:rsidP="005C5BCA">
      <w:pPr>
        <w:rPr>
          <w:rFonts w:cs="Arial"/>
          <w:lang w:val="es-ES_tradnl"/>
        </w:rPr>
      </w:pPr>
    </w:p>
    <w:p w:rsidR="000F2D0A" w:rsidRPr="003575E6" w:rsidRDefault="00B82F01" w:rsidP="005C5BCA">
      <w:pPr>
        <w:rPr>
          <w:rFonts w:cs="Arial"/>
          <w:lang w:val="es-ES_tradnl"/>
        </w:rPr>
      </w:pPr>
      <w:r w:rsidRPr="003575E6">
        <w:rPr>
          <w:rFonts w:cs="Arial"/>
          <w:lang w:val="es-ES_tradnl"/>
        </w:rPr>
        <w:t>En la segunda etapa se observan otras 80</w:t>
      </w:r>
      <w:r w:rsidR="00DE3276" w:rsidRPr="003575E6">
        <w:rPr>
          <w:rFonts w:cs="Arial"/>
          <w:lang w:val="es-ES_tradnl"/>
        </w:rPr>
        <w:t> </w:t>
      </w:r>
      <w:r w:rsidRPr="003575E6">
        <w:rPr>
          <w:rFonts w:cs="Arial"/>
          <w:lang w:val="es-ES_tradnl"/>
        </w:rPr>
        <w:t>plantas o partes de plantas.</w:t>
      </w:r>
    </w:p>
    <w:p w:rsidR="000F2D0A" w:rsidRPr="003575E6" w:rsidRDefault="000F2D0A" w:rsidP="005C5BCA">
      <w:pPr>
        <w:rPr>
          <w:rFonts w:cs="Arial"/>
          <w:lang w:val="es-ES_tradnl"/>
        </w:rPr>
      </w:pPr>
    </w:p>
    <w:p w:rsidR="000F2D0A" w:rsidRPr="003575E6" w:rsidRDefault="000F2D0A" w:rsidP="000F2D0A">
      <w:pPr>
        <w:pStyle w:val="ListParagraph"/>
        <w:numPr>
          <w:ilvl w:val="0"/>
          <w:numId w:val="1"/>
        </w:numPr>
        <w:rPr>
          <w:rFonts w:cs="Arial"/>
          <w:lang w:val="es-ES"/>
        </w:rPr>
      </w:pPr>
      <w:r w:rsidRPr="003575E6">
        <w:rPr>
          <w:rFonts w:cs="Arial"/>
          <w:lang w:val="es-ES_tradnl"/>
        </w:rPr>
        <w:t xml:space="preserve">Si hay </w:t>
      </w:r>
      <w:r w:rsidR="00586C92" w:rsidRPr="003575E6">
        <w:rPr>
          <w:rFonts w:cs="Arial"/>
          <w:lang w:val="es-ES_tradnl"/>
        </w:rPr>
        <w:t>3</w:t>
      </w:r>
      <w:r w:rsidRPr="003575E6">
        <w:rPr>
          <w:rFonts w:cs="Arial"/>
          <w:lang w:val="es-ES_tradnl"/>
        </w:rPr>
        <w:t xml:space="preserve"> plantas fuera de tipo o menos entre 100 plantas (20 de la etapa 1 + 80 de la etapa 2), la variedad no supera el número permitido de plantas fuera de tipo para este carácter en este ciclo de cultivo.</w:t>
      </w:r>
    </w:p>
    <w:p w:rsidR="000F2D0A" w:rsidRPr="003575E6" w:rsidRDefault="000F2D0A" w:rsidP="000F2D0A">
      <w:pPr>
        <w:pStyle w:val="ListParagraph"/>
        <w:numPr>
          <w:ilvl w:val="0"/>
          <w:numId w:val="1"/>
        </w:numPr>
        <w:rPr>
          <w:rFonts w:cs="Arial"/>
          <w:lang w:val="es-ES"/>
        </w:rPr>
      </w:pPr>
      <w:r w:rsidRPr="003575E6">
        <w:rPr>
          <w:rFonts w:cs="Arial"/>
          <w:lang w:val="es-ES_tradnl"/>
        </w:rPr>
        <w:t xml:space="preserve">Si hay más de </w:t>
      </w:r>
      <w:r w:rsidR="00586C92" w:rsidRPr="003575E6">
        <w:rPr>
          <w:rFonts w:cs="Arial"/>
          <w:lang w:val="es-ES_tradnl"/>
        </w:rPr>
        <w:t>3</w:t>
      </w:r>
      <w:r w:rsidRPr="003575E6">
        <w:rPr>
          <w:rFonts w:cs="Arial"/>
          <w:lang w:val="es-ES_tradnl"/>
        </w:rPr>
        <w:t xml:space="preserve"> plantas fuera de tipo entre 100 plantas (20 de la etapa 1 + 80 de la etapa 2), la variedad supera el número permitido de plantas fuera de tipo para este carácter en este ciclo de cultivo.</w:t>
      </w:r>
    </w:p>
    <w:p w:rsidR="000F2D0A" w:rsidRPr="003575E6" w:rsidRDefault="000F2D0A" w:rsidP="005C5BCA">
      <w:pPr>
        <w:rPr>
          <w:rFonts w:cs="Arial"/>
          <w:lang w:val="es-ES"/>
        </w:rPr>
      </w:pPr>
    </w:p>
    <w:p w:rsidR="000F2D0A" w:rsidRPr="003575E6" w:rsidRDefault="00B82F01" w:rsidP="005C5BCA">
      <w:pPr>
        <w:rPr>
          <w:rFonts w:cs="Arial"/>
          <w:lang w:val="es-ES_tradnl"/>
        </w:rPr>
      </w:pPr>
      <w:r w:rsidRPr="003575E6">
        <w:rPr>
          <w:rFonts w:cs="Arial"/>
          <w:lang w:val="es-ES_tradnl"/>
        </w:rPr>
        <w:t>Se define la siguiente regla de decisión:</w:t>
      </w:r>
    </w:p>
    <w:p w:rsidR="000F2D0A" w:rsidRPr="003575E6" w:rsidRDefault="000F2D0A" w:rsidP="005C5BCA">
      <w:pPr>
        <w:rPr>
          <w:rFonts w:cs="Arial"/>
          <w:lang w:val="es-ES_tradnl"/>
        </w:rPr>
      </w:pPr>
    </w:p>
    <w:p w:rsidR="000F2D0A" w:rsidRPr="003575E6" w:rsidRDefault="00586C92" w:rsidP="000F2D0A">
      <w:pPr>
        <w:ind w:left="709" w:right="567"/>
        <w:rPr>
          <w:rFonts w:cs="Arial"/>
          <w:lang w:val="es-ES"/>
        </w:rPr>
      </w:pPr>
      <w:r w:rsidRPr="003575E6">
        <w:rPr>
          <w:rFonts w:cs="Arial"/>
          <w:lang w:val="es-ES_tradnl"/>
        </w:rPr>
        <w:t>S</w:t>
      </w:r>
      <w:r w:rsidR="000F2D0A" w:rsidRPr="003575E6">
        <w:rPr>
          <w:rFonts w:cs="Arial"/>
          <w:lang w:val="es-ES_tradnl"/>
        </w:rPr>
        <w:t>e considera que una variedad cumple el estándar de homogeneidad en un ciclo de cultivo dado si el número de plantas fuera de tipo en todas las muestras no supera el número permitido de plantas fuera de tipo en cualquiera de las muestras.</w:t>
      </w:r>
    </w:p>
    <w:p w:rsidR="000F2D0A" w:rsidRPr="003575E6" w:rsidRDefault="000F2D0A" w:rsidP="005C5BCA">
      <w:pPr>
        <w:ind w:left="709" w:right="567"/>
        <w:rPr>
          <w:rFonts w:cs="Arial"/>
          <w:lang w:val="es-ES"/>
        </w:rPr>
      </w:pPr>
    </w:p>
    <w:p w:rsidR="000F2D0A" w:rsidRPr="003575E6" w:rsidRDefault="000F2D0A" w:rsidP="000F2D0A">
      <w:pPr>
        <w:ind w:left="709" w:right="567"/>
        <w:rPr>
          <w:rFonts w:cs="Arial"/>
          <w:lang w:val="es-ES"/>
        </w:rPr>
      </w:pPr>
      <w:r w:rsidRPr="003575E6">
        <w:rPr>
          <w:rFonts w:cs="Arial"/>
          <w:lang w:val="es-ES_tradnl"/>
        </w:rPr>
        <w:lastRenderedPageBreak/>
        <w:t>Se considera que una variedad es homogénea si cumple el estándar de homogeneidad en ambos ciclos de cultivo.</w:t>
      </w:r>
    </w:p>
    <w:p w:rsidR="000F2D0A" w:rsidRPr="003575E6" w:rsidRDefault="000F2D0A" w:rsidP="005C5BCA">
      <w:pPr>
        <w:ind w:left="709" w:right="567"/>
        <w:jc w:val="left"/>
        <w:rPr>
          <w:rFonts w:cs="Arial"/>
          <w:lang w:val="es-ES"/>
        </w:rPr>
      </w:pPr>
    </w:p>
    <w:p w:rsidR="000F2D0A" w:rsidRPr="003575E6" w:rsidRDefault="00B82F01" w:rsidP="000F2D0A">
      <w:pPr>
        <w:ind w:left="709" w:right="567"/>
        <w:rPr>
          <w:rFonts w:cs="Arial"/>
          <w:lang w:val="es-ES"/>
        </w:rPr>
      </w:pPr>
      <w:r w:rsidRPr="003575E6">
        <w:rPr>
          <w:rFonts w:cs="Arial"/>
          <w:lang w:val="es-ES_tradnl"/>
        </w:rPr>
        <w:t xml:space="preserve">Si al término de los dos ciclos de cultivo la variedad cumple el estándar de homogeneidad en un ciclo de cultivo pero no lo cumple en el otro ciclo de cultivo, el </w:t>
      </w:r>
      <w:r w:rsidR="00422FD5" w:rsidRPr="003575E6">
        <w:rPr>
          <w:rFonts w:cs="Arial"/>
          <w:lang w:val="es-ES_tradnl"/>
        </w:rPr>
        <w:t xml:space="preserve">examen </w:t>
      </w:r>
      <w:r w:rsidRPr="003575E6">
        <w:rPr>
          <w:rFonts w:cs="Arial"/>
          <w:lang w:val="es-ES_tradnl"/>
        </w:rPr>
        <w:t>se continúa con un tercer ciclo de cultivo.</w:t>
      </w:r>
      <w:r w:rsidR="005C5BCA" w:rsidRPr="003575E6">
        <w:rPr>
          <w:rFonts w:cs="Arial"/>
          <w:lang w:val="es-ES_tradnl"/>
        </w:rPr>
        <w:t xml:space="preserve"> </w:t>
      </w:r>
      <w:r w:rsidR="002D6C99" w:rsidRPr="003575E6">
        <w:rPr>
          <w:rFonts w:cs="Arial"/>
          <w:lang w:val="es-ES_tradnl"/>
        </w:rPr>
        <w:t>Si al término del tercer ciclo de cultivo la variedad cumple el estándar de homogeneidad, se considera que la variedad es homogénea.</w:t>
      </w:r>
      <w:r w:rsidR="005C5BCA" w:rsidRPr="003575E6">
        <w:rPr>
          <w:rFonts w:cs="Arial"/>
          <w:lang w:val="es-ES_tradnl"/>
        </w:rPr>
        <w:t xml:space="preserve"> </w:t>
      </w:r>
      <w:r w:rsidR="002D6C99" w:rsidRPr="003575E6">
        <w:rPr>
          <w:rFonts w:cs="Arial"/>
          <w:lang w:val="es-ES_tradnl"/>
        </w:rPr>
        <w:t>Si al término del tercer ciclo de cultivo la variedad no cumple el estándar de homogeneidad, se considera que la variedad no es homogénea.</w:t>
      </w:r>
    </w:p>
    <w:p w:rsidR="000F2D0A" w:rsidRPr="003575E6" w:rsidRDefault="000F2D0A" w:rsidP="005C5BCA">
      <w:pPr>
        <w:rPr>
          <w:rFonts w:cs="Arial"/>
          <w:lang w:val="es-ES"/>
        </w:rPr>
      </w:pPr>
    </w:p>
    <w:p w:rsidR="000F2D0A" w:rsidRPr="003575E6" w:rsidRDefault="000F2D0A" w:rsidP="005C5BCA">
      <w:pPr>
        <w:rPr>
          <w:rFonts w:cs="Arial"/>
          <w:lang w:val="es-ES"/>
        </w:rPr>
      </w:pPr>
    </w:p>
    <w:p w:rsidR="000F2D0A" w:rsidRPr="003575E6" w:rsidRDefault="00673736" w:rsidP="005C5BCA">
      <w:pPr>
        <w:rPr>
          <w:rFonts w:cs="Arial"/>
          <w:lang w:val="es-ES_tradnl"/>
        </w:rPr>
      </w:pPr>
      <w:r w:rsidRPr="003575E6">
        <w:rPr>
          <w:rFonts w:cs="Arial"/>
          <w:lang w:val="es-ES_tradnl"/>
        </w:rPr>
        <w:t>E</w:t>
      </w:r>
      <w:r w:rsidR="00D34371" w:rsidRPr="003575E6">
        <w:rPr>
          <w:rFonts w:cs="Arial"/>
          <w:lang w:val="es-ES_tradnl"/>
        </w:rPr>
        <w:t>n e</w:t>
      </w:r>
      <w:r w:rsidRPr="003575E6">
        <w:rPr>
          <w:rFonts w:cs="Arial"/>
          <w:lang w:val="es-ES_tradnl"/>
        </w:rPr>
        <w:t xml:space="preserve">ste </w:t>
      </w:r>
      <w:r w:rsidR="00D34371" w:rsidRPr="003575E6">
        <w:rPr>
          <w:rFonts w:cs="Arial"/>
          <w:lang w:val="es-ES_tradnl"/>
        </w:rPr>
        <w:t>método, denominado “método por etapas”,</w:t>
      </w:r>
      <w:r w:rsidRPr="003575E6">
        <w:rPr>
          <w:rFonts w:cs="Arial"/>
          <w:lang w:val="es-ES_tradnl"/>
        </w:rPr>
        <w:t xml:space="preserve"> </w:t>
      </w:r>
      <w:r w:rsidR="00D34371" w:rsidRPr="003575E6">
        <w:rPr>
          <w:rFonts w:cs="Arial"/>
          <w:lang w:val="es-ES_tradnl"/>
        </w:rPr>
        <w:t xml:space="preserve">que </w:t>
      </w:r>
      <w:r w:rsidR="001547AF" w:rsidRPr="003575E6">
        <w:rPr>
          <w:rFonts w:cs="Arial"/>
          <w:lang w:val="es-ES_tradnl"/>
        </w:rPr>
        <w:t xml:space="preserve">puede aplicarse a </w:t>
      </w:r>
      <w:r w:rsidRPr="003575E6">
        <w:rPr>
          <w:rFonts w:cs="Arial"/>
          <w:lang w:val="es-ES_tradnl"/>
        </w:rPr>
        <w:t>algunos</w:t>
      </w:r>
      <w:r w:rsidR="001547AF" w:rsidRPr="003575E6">
        <w:rPr>
          <w:rFonts w:cs="Arial"/>
          <w:lang w:val="es-ES_tradnl"/>
        </w:rPr>
        <w:t xml:space="preserve"> </w:t>
      </w:r>
      <w:r w:rsidRPr="003575E6">
        <w:rPr>
          <w:rFonts w:cs="Arial"/>
          <w:lang w:val="es-ES_tradnl"/>
        </w:rPr>
        <w:t xml:space="preserve">caracteres </w:t>
      </w:r>
      <w:r w:rsidR="001547AF" w:rsidRPr="003575E6">
        <w:rPr>
          <w:rFonts w:cs="Arial"/>
          <w:lang w:val="es-ES_tradnl"/>
        </w:rPr>
        <w:t xml:space="preserve">en cada </w:t>
      </w:r>
      <w:r w:rsidRPr="003575E6">
        <w:rPr>
          <w:rFonts w:cs="Arial"/>
          <w:lang w:val="es-ES_tradnl"/>
        </w:rPr>
        <w:t>ciclo de cultivo</w:t>
      </w:r>
      <w:r w:rsidR="00D34371" w:rsidRPr="003575E6">
        <w:rPr>
          <w:rFonts w:cs="Arial"/>
          <w:lang w:val="es-ES_tradnl"/>
        </w:rPr>
        <w:t>,</w:t>
      </w:r>
      <w:r w:rsidRPr="003575E6">
        <w:rPr>
          <w:rFonts w:cs="Arial"/>
          <w:lang w:val="es-ES_tradnl"/>
        </w:rPr>
        <w:t xml:space="preserve"> </w:t>
      </w:r>
      <w:r w:rsidR="001547AF" w:rsidRPr="003575E6">
        <w:rPr>
          <w:rFonts w:cs="Arial"/>
          <w:lang w:val="es-ES_tradnl"/>
        </w:rPr>
        <w:t>las etapas s</w:t>
      </w:r>
      <w:r w:rsidRPr="003575E6">
        <w:rPr>
          <w:rFonts w:cs="Arial"/>
          <w:lang w:val="es-ES_tradnl"/>
        </w:rPr>
        <w:t xml:space="preserve">e </w:t>
      </w:r>
      <w:r w:rsidR="00D34371" w:rsidRPr="003575E6">
        <w:rPr>
          <w:rFonts w:cs="Arial"/>
          <w:lang w:val="es-ES_tradnl"/>
        </w:rPr>
        <w:t xml:space="preserve">diferencian por el número de </w:t>
      </w:r>
      <w:r w:rsidR="001547AF" w:rsidRPr="003575E6">
        <w:rPr>
          <w:rFonts w:cs="Arial"/>
          <w:lang w:val="es-ES_tradnl"/>
        </w:rPr>
        <w:t xml:space="preserve">muestras </w:t>
      </w:r>
      <w:r w:rsidR="00D34371" w:rsidRPr="003575E6">
        <w:rPr>
          <w:rFonts w:cs="Arial"/>
          <w:lang w:val="es-ES_tradnl"/>
        </w:rPr>
        <w:t xml:space="preserve">examinadas </w:t>
      </w:r>
      <w:r w:rsidRPr="003575E6">
        <w:rPr>
          <w:rFonts w:cs="Arial"/>
          <w:lang w:val="es-ES_tradnl"/>
        </w:rPr>
        <w:t>(20</w:t>
      </w:r>
      <w:r w:rsidR="001547AF" w:rsidRPr="003575E6">
        <w:rPr>
          <w:rFonts w:cs="Arial"/>
          <w:lang w:val="es-ES_tradnl"/>
        </w:rPr>
        <w:t> </w:t>
      </w:r>
      <w:r w:rsidRPr="003575E6">
        <w:rPr>
          <w:rFonts w:cs="Arial"/>
          <w:lang w:val="es-ES_tradnl"/>
        </w:rPr>
        <w:t>plant</w:t>
      </w:r>
      <w:r w:rsidR="001547AF" w:rsidRPr="003575E6">
        <w:rPr>
          <w:rFonts w:cs="Arial"/>
          <w:lang w:val="es-ES_tradnl"/>
        </w:rPr>
        <w:t>as o</w:t>
      </w:r>
      <w:r w:rsidRPr="003575E6">
        <w:rPr>
          <w:rFonts w:cs="Arial"/>
          <w:lang w:val="es-ES_tradnl"/>
        </w:rPr>
        <w:t xml:space="preserve"> 20 + 80</w:t>
      </w:r>
      <w:r w:rsidR="001547AF" w:rsidRPr="003575E6">
        <w:rPr>
          <w:rFonts w:cs="Arial"/>
          <w:lang w:val="es-ES_tradnl"/>
        </w:rPr>
        <w:t> </w:t>
      </w:r>
      <w:r w:rsidRPr="003575E6">
        <w:rPr>
          <w:rFonts w:cs="Arial"/>
          <w:lang w:val="es-ES_tradnl"/>
        </w:rPr>
        <w:t>plant</w:t>
      </w:r>
      <w:r w:rsidR="001547AF" w:rsidRPr="003575E6">
        <w:rPr>
          <w:rFonts w:cs="Arial"/>
          <w:lang w:val="es-ES_tradnl"/>
        </w:rPr>
        <w:t>a</w:t>
      </w:r>
      <w:r w:rsidRPr="003575E6">
        <w:rPr>
          <w:rFonts w:cs="Arial"/>
          <w:lang w:val="es-ES_tradnl"/>
        </w:rPr>
        <w:t>s).</w:t>
      </w:r>
      <w:r w:rsidR="005C5BCA" w:rsidRPr="003575E6">
        <w:rPr>
          <w:rFonts w:cs="Arial"/>
          <w:lang w:val="es-ES_tradnl"/>
        </w:rPr>
        <w:t xml:space="preserve">  </w:t>
      </w:r>
    </w:p>
    <w:p w:rsidR="000F2D0A" w:rsidRPr="003575E6" w:rsidRDefault="000F2D0A" w:rsidP="005C5BCA">
      <w:pPr>
        <w:rPr>
          <w:rFonts w:cs="Arial"/>
          <w:lang w:val="es-ES_tradnl"/>
        </w:rPr>
      </w:pPr>
    </w:p>
    <w:p w:rsidR="000F2D0A" w:rsidRPr="003575E6" w:rsidRDefault="001547AF" w:rsidP="005C5BCA">
      <w:pPr>
        <w:rPr>
          <w:rFonts w:cs="Arial"/>
          <w:lang w:val="es-ES_tradnl"/>
        </w:rPr>
      </w:pPr>
      <w:r w:rsidRPr="003575E6">
        <w:rPr>
          <w:rFonts w:cs="Arial"/>
          <w:lang w:val="es-ES_tradnl"/>
        </w:rPr>
        <w:t>Para comparar diferentes e</w:t>
      </w:r>
      <w:r w:rsidR="00324963" w:rsidRPr="003575E6">
        <w:rPr>
          <w:rFonts w:cs="Arial"/>
          <w:lang w:val="es-ES_tradnl"/>
        </w:rPr>
        <w:t>xámene</w:t>
      </w:r>
      <w:r w:rsidRPr="003575E6">
        <w:rPr>
          <w:rFonts w:cs="Arial"/>
          <w:lang w:val="es-ES_tradnl"/>
        </w:rPr>
        <w:t>s y reglas de decisión, resulta útil comparar los errores de tipo I y de tipo II pertinentes.</w:t>
      </w:r>
      <w:r w:rsidR="005C5BCA" w:rsidRPr="003575E6">
        <w:rPr>
          <w:rFonts w:cs="Arial"/>
          <w:lang w:val="es-ES_tradnl"/>
        </w:rPr>
        <w:t xml:space="preserve"> </w:t>
      </w:r>
      <w:r w:rsidRPr="003575E6">
        <w:rPr>
          <w:rFonts w:cs="Arial"/>
          <w:lang w:val="es-ES_tradnl"/>
        </w:rPr>
        <w:t>Las ideas básicas fueron descritas por expertos de Francia en el documento TWC/13/17 “</w:t>
      </w:r>
      <w:r w:rsidRPr="003575E6">
        <w:rPr>
          <w:rFonts w:cs="Arial"/>
          <w:i/>
          <w:lang w:val="es-ES_tradnl"/>
        </w:rPr>
        <w:t>Sequential analysis</w:t>
      </w:r>
      <w:r w:rsidRPr="003575E6">
        <w:rPr>
          <w:rFonts w:cs="Arial"/>
          <w:lang w:val="es-ES_tradnl"/>
        </w:rPr>
        <w:t>” (Análisis secuencial).</w:t>
      </w:r>
    </w:p>
    <w:p w:rsidR="000F2D0A" w:rsidRPr="003575E6" w:rsidRDefault="000F2D0A" w:rsidP="005C5BCA">
      <w:pPr>
        <w:rPr>
          <w:rFonts w:cs="Arial"/>
          <w:lang w:val="es-ES_tradnl"/>
        </w:rPr>
      </w:pPr>
    </w:p>
    <w:p w:rsidR="000F2D0A" w:rsidRPr="003575E6" w:rsidRDefault="001547AF" w:rsidP="005C5BCA">
      <w:pPr>
        <w:rPr>
          <w:rFonts w:cs="Arial"/>
          <w:lang w:val="es-ES_tradnl"/>
        </w:rPr>
      </w:pPr>
      <w:r w:rsidRPr="003575E6">
        <w:rPr>
          <w:rFonts w:cs="Arial"/>
          <w:lang w:val="es-ES_tradnl"/>
        </w:rPr>
        <w:t xml:space="preserve">Es preciso recordar que una decisión de </w:t>
      </w:r>
      <w:r w:rsidR="00B12AC1" w:rsidRPr="003575E6">
        <w:rPr>
          <w:rFonts w:cs="Arial"/>
          <w:lang w:val="es-ES_tradnl"/>
        </w:rPr>
        <w:t xml:space="preserve">considerar a </w:t>
      </w:r>
      <w:r w:rsidRPr="003575E6">
        <w:rPr>
          <w:rFonts w:cs="Arial"/>
          <w:lang w:val="es-ES_tradnl"/>
        </w:rPr>
        <w:t xml:space="preserve">una variedad </w:t>
      </w:r>
      <w:r w:rsidR="00B12AC1" w:rsidRPr="003575E6">
        <w:rPr>
          <w:rFonts w:cs="Arial"/>
          <w:lang w:val="es-ES_tradnl"/>
        </w:rPr>
        <w:t xml:space="preserve">como homogénea </w:t>
      </w:r>
      <w:r w:rsidRPr="003575E6">
        <w:rPr>
          <w:rFonts w:cs="Arial"/>
          <w:lang w:val="es-ES_tradnl"/>
        </w:rPr>
        <w:t xml:space="preserve">siempre lleva asociado un error </w:t>
      </w:r>
      <w:r w:rsidR="00D34371" w:rsidRPr="003575E6">
        <w:rPr>
          <w:rFonts w:cs="Arial"/>
          <w:lang w:val="es-ES_tradnl"/>
        </w:rPr>
        <w:t>denomin</w:t>
      </w:r>
      <w:r w:rsidRPr="003575E6">
        <w:rPr>
          <w:rFonts w:cs="Arial"/>
          <w:lang w:val="es-ES_tradnl"/>
        </w:rPr>
        <w:t xml:space="preserve">ado de tipo II (aceptación de la hipótesis nula) mientras que una </w:t>
      </w:r>
      <w:r w:rsidR="00B12AC1" w:rsidRPr="003575E6">
        <w:rPr>
          <w:rFonts w:cs="Arial"/>
          <w:lang w:val="es-ES_tradnl"/>
        </w:rPr>
        <w:t>decisión de considerar a una variedad como no homogénea</w:t>
      </w:r>
      <w:r w:rsidRPr="003575E6">
        <w:rPr>
          <w:rFonts w:cs="Arial"/>
          <w:lang w:val="es-ES_tradnl"/>
        </w:rPr>
        <w:t xml:space="preserve"> </w:t>
      </w:r>
      <w:r w:rsidR="00B12AC1" w:rsidRPr="003575E6">
        <w:rPr>
          <w:rFonts w:cs="Arial"/>
          <w:lang w:val="es-ES_tradnl"/>
        </w:rPr>
        <w:t xml:space="preserve">lleva asociado un error </w:t>
      </w:r>
      <w:r w:rsidR="00D34371" w:rsidRPr="003575E6">
        <w:rPr>
          <w:rFonts w:cs="Arial"/>
          <w:lang w:val="es-ES_tradnl"/>
        </w:rPr>
        <w:t>denomin</w:t>
      </w:r>
      <w:r w:rsidR="00B12AC1" w:rsidRPr="003575E6">
        <w:rPr>
          <w:rFonts w:cs="Arial"/>
          <w:lang w:val="es-ES_tradnl"/>
        </w:rPr>
        <w:t>ado de tipo </w:t>
      </w:r>
      <w:r w:rsidRPr="003575E6">
        <w:rPr>
          <w:rFonts w:cs="Arial"/>
          <w:lang w:val="es-ES_tradnl"/>
        </w:rPr>
        <w:t>I (re</w:t>
      </w:r>
      <w:r w:rsidR="00B12AC1" w:rsidRPr="003575E6">
        <w:rPr>
          <w:rFonts w:cs="Arial"/>
          <w:lang w:val="es-ES_tradnl"/>
        </w:rPr>
        <w:t xml:space="preserve">chazo de la </w:t>
      </w:r>
      <w:r w:rsidRPr="003575E6">
        <w:rPr>
          <w:rFonts w:cs="Arial"/>
          <w:lang w:val="es-ES_tradnl"/>
        </w:rPr>
        <w:t>hipótesis nula).</w:t>
      </w:r>
      <w:r w:rsidR="005C5BCA" w:rsidRPr="003575E6" w:rsidDel="002E0C26">
        <w:rPr>
          <w:rFonts w:cs="Arial"/>
          <w:lang w:val="es-ES_tradnl"/>
        </w:rPr>
        <w:t xml:space="preserve"> </w:t>
      </w:r>
      <w:r w:rsidR="00B12AC1" w:rsidRPr="003575E6">
        <w:rPr>
          <w:rFonts w:cs="Arial"/>
          <w:lang w:val="es-ES_tradnl"/>
        </w:rPr>
        <w:t>En el ejemplo de los cereales descrito, los datos son los siguientes:</w:t>
      </w:r>
    </w:p>
    <w:p w:rsidR="000F2D0A" w:rsidRPr="003575E6" w:rsidRDefault="000F2D0A" w:rsidP="005C5BCA">
      <w:pPr>
        <w:rPr>
          <w:rFonts w:cs="Arial"/>
          <w:lang w:val="es-ES_tradnl"/>
        </w:rPr>
      </w:pPr>
    </w:p>
    <w:p w:rsidR="000F2D0A" w:rsidRPr="003575E6" w:rsidRDefault="00B12AC1" w:rsidP="005C5BCA">
      <w:pPr>
        <w:rPr>
          <w:rFonts w:cs="Arial"/>
          <w:lang w:val="es-ES_tradnl"/>
        </w:rPr>
      </w:pPr>
      <w:r w:rsidRPr="003575E6">
        <w:rPr>
          <w:rFonts w:cs="Arial"/>
          <w:lang w:val="es-ES_tradnl"/>
        </w:rPr>
        <w:t>Se supone una población estándar del 1% y una probabilidad de aceptación del 95%.</w:t>
      </w:r>
      <w:r w:rsidR="005C5BCA" w:rsidRPr="003575E6">
        <w:rPr>
          <w:rFonts w:cs="Arial"/>
          <w:lang w:val="es-ES_tradnl"/>
        </w:rPr>
        <w:t xml:space="preserve"> </w:t>
      </w:r>
      <w:r w:rsidRPr="003575E6">
        <w:rPr>
          <w:rFonts w:cs="Arial"/>
          <w:lang w:val="es-ES_tradnl"/>
        </w:rPr>
        <w:t>El número permitido de plantas fuera de tipo es 3</w:t>
      </w:r>
      <w:r w:rsidR="0071606C" w:rsidRPr="003575E6">
        <w:rPr>
          <w:rFonts w:cs="Arial"/>
          <w:lang w:val="es-ES_tradnl"/>
        </w:rPr>
        <w:t>, en una</w:t>
      </w:r>
      <w:r w:rsidRPr="003575E6">
        <w:rPr>
          <w:rFonts w:cs="Arial"/>
          <w:lang w:val="es-ES_tradnl"/>
        </w:rPr>
        <w:t xml:space="preserve"> </w:t>
      </w:r>
      <w:r w:rsidR="0071606C" w:rsidRPr="003575E6">
        <w:rPr>
          <w:rFonts w:cs="Arial"/>
          <w:lang w:val="es-ES_tradnl"/>
        </w:rPr>
        <w:t xml:space="preserve">muestra </w:t>
      </w:r>
      <w:r w:rsidRPr="003575E6">
        <w:rPr>
          <w:rFonts w:cs="Arial"/>
          <w:lang w:val="es-ES_tradnl"/>
        </w:rPr>
        <w:t>de 100</w:t>
      </w:r>
      <w:r w:rsidR="0071606C" w:rsidRPr="003575E6">
        <w:rPr>
          <w:rFonts w:cs="Arial"/>
          <w:lang w:val="es-ES_tradnl"/>
        </w:rPr>
        <w:t> </w:t>
      </w:r>
      <w:r w:rsidRPr="003575E6">
        <w:rPr>
          <w:rFonts w:cs="Arial"/>
          <w:lang w:val="es-ES_tradnl"/>
        </w:rPr>
        <w:t>plantas.</w:t>
      </w:r>
      <w:r w:rsidR="005C5BCA" w:rsidRPr="003575E6">
        <w:rPr>
          <w:rFonts w:cs="Arial"/>
          <w:lang w:val="es-ES_tradnl"/>
        </w:rPr>
        <w:t xml:space="preserve"> </w:t>
      </w:r>
      <w:r w:rsidR="0071606C" w:rsidRPr="003575E6">
        <w:rPr>
          <w:rFonts w:cs="Arial"/>
          <w:lang w:val="es-ES_tradnl"/>
        </w:rPr>
        <w:t>Las evaluaciones de todos los riesgos s</w:t>
      </w:r>
      <w:r w:rsidRPr="003575E6">
        <w:rPr>
          <w:rFonts w:cs="Arial"/>
          <w:lang w:val="es-ES_tradnl"/>
        </w:rPr>
        <w:t xml:space="preserve">e </w:t>
      </w:r>
      <w:r w:rsidR="0071606C" w:rsidRPr="003575E6">
        <w:rPr>
          <w:rFonts w:cs="Arial"/>
          <w:lang w:val="es-ES_tradnl"/>
        </w:rPr>
        <w:t>basan en la distribución binomial</w:t>
      </w:r>
      <w:r w:rsidRPr="003575E6">
        <w:rPr>
          <w:rFonts w:cs="Arial"/>
          <w:lang w:val="es-ES_tradnl"/>
        </w:rPr>
        <w:t>.</w:t>
      </w:r>
      <w:r w:rsidR="005C5BCA" w:rsidRPr="003575E6">
        <w:rPr>
          <w:rFonts w:cs="Arial"/>
          <w:lang w:val="es-ES_tradnl"/>
        </w:rPr>
        <w:t xml:space="preserve"> </w:t>
      </w:r>
      <w:r w:rsidRPr="003575E6">
        <w:rPr>
          <w:rFonts w:cs="Arial"/>
          <w:lang w:val="es-ES_tradnl"/>
        </w:rPr>
        <w:t>Para calcular el error de tipo II se supone una población estándar de las variedades no homogéneas del 2% (el doble del 1%).</w:t>
      </w:r>
    </w:p>
    <w:p w:rsidR="000F2D0A" w:rsidRPr="003575E6" w:rsidRDefault="000F2D0A" w:rsidP="005C5BCA">
      <w:pPr>
        <w:rPr>
          <w:rFonts w:cs="Arial"/>
          <w:lang w:val="es-ES_tradnl"/>
        </w:rPr>
      </w:pPr>
    </w:p>
    <w:p w:rsidR="000F2D0A" w:rsidRPr="003575E6" w:rsidRDefault="00B12AC1" w:rsidP="005C5BCA">
      <w:pPr>
        <w:rPr>
          <w:rFonts w:cs="Arial"/>
          <w:lang w:val="es-ES_tradnl"/>
        </w:rPr>
      </w:pPr>
      <w:r w:rsidRPr="003575E6">
        <w:rPr>
          <w:rFonts w:cs="Arial"/>
          <w:lang w:val="es-ES_tradnl"/>
        </w:rPr>
        <w:t>Para 20 plantas, el número permitido de plantas fuera de tipo normalmente es 1.</w:t>
      </w:r>
      <w:r w:rsidR="005C5BCA" w:rsidRPr="003575E6">
        <w:rPr>
          <w:rFonts w:cs="Arial"/>
          <w:lang w:val="es-ES_tradnl"/>
        </w:rPr>
        <w:t xml:space="preserve"> </w:t>
      </w:r>
      <w:r w:rsidRPr="003575E6">
        <w:rPr>
          <w:rFonts w:cs="Arial"/>
          <w:lang w:val="es-ES_tradnl"/>
        </w:rPr>
        <w:t xml:space="preserve">Ahora bien, para 20 plantas, en </w:t>
      </w:r>
      <w:r w:rsidR="0037736F" w:rsidRPr="003575E6">
        <w:rPr>
          <w:rFonts w:cs="Arial"/>
          <w:lang w:val="es-ES_tradnl"/>
        </w:rPr>
        <w:t xml:space="preserve">la </w:t>
      </w:r>
      <w:r w:rsidRPr="003575E6">
        <w:rPr>
          <w:rFonts w:cs="Arial"/>
          <w:lang w:val="es-ES_tradnl"/>
        </w:rPr>
        <w:t>primer</w:t>
      </w:r>
      <w:r w:rsidR="0037736F" w:rsidRPr="003575E6">
        <w:rPr>
          <w:rFonts w:cs="Arial"/>
          <w:lang w:val="es-ES_tradnl"/>
        </w:rPr>
        <w:t>a</w:t>
      </w:r>
      <w:r w:rsidRPr="003575E6">
        <w:rPr>
          <w:rFonts w:cs="Arial"/>
          <w:lang w:val="es-ES_tradnl"/>
        </w:rPr>
        <w:t xml:space="preserve"> </w:t>
      </w:r>
      <w:r w:rsidR="0037736F" w:rsidRPr="003575E6">
        <w:rPr>
          <w:rFonts w:cs="Arial"/>
          <w:lang w:val="es-ES_tradnl"/>
        </w:rPr>
        <w:t>e</w:t>
      </w:r>
      <w:r w:rsidRPr="003575E6">
        <w:rPr>
          <w:rFonts w:cs="Arial"/>
          <w:lang w:val="es-ES_tradnl"/>
        </w:rPr>
        <w:t>t</w:t>
      </w:r>
      <w:r w:rsidR="0037736F" w:rsidRPr="003575E6">
        <w:rPr>
          <w:rFonts w:cs="Arial"/>
          <w:lang w:val="es-ES_tradnl"/>
        </w:rPr>
        <w:t>a</w:t>
      </w:r>
      <w:r w:rsidRPr="003575E6">
        <w:rPr>
          <w:rFonts w:cs="Arial"/>
          <w:lang w:val="es-ES_tradnl"/>
        </w:rPr>
        <w:t>p</w:t>
      </w:r>
      <w:r w:rsidR="0037736F" w:rsidRPr="003575E6">
        <w:rPr>
          <w:rFonts w:cs="Arial"/>
          <w:lang w:val="es-ES_tradnl"/>
        </w:rPr>
        <w:t>a</w:t>
      </w:r>
      <w:r w:rsidRPr="003575E6">
        <w:rPr>
          <w:rFonts w:cs="Arial"/>
          <w:lang w:val="es-ES_tradnl"/>
        </w:rPr>
        <w:t xml:space="preserve"> </w:t>
      </w:r>
      <w:r w:rsidR="0037736F" w:rsidRPr="003575E6">
        <w:rPr>
          <w:rFonts w:cs="Arial"/>
          <w:lang w:val="es-ES_tradnl"/>
        </w:rPr>
        <w:t>del procedimiento de dos etapas (descrito supra)</w:t>
      </w:r>
      <w:r w:rsidR="0071606C" w:rsidRPr="003575E6">
        <w:rPr>
          <w:rFonts w:cs="Arial"/>
          <w:lang w:val="es-ES_tradnl"/>
        </w:rPr>
        <w:t>,</w:t>
      </w:r>
      <w:r w:rsidR="0037736F" w:rsidRPr="003575E6">
        <w:rPr>
          <w:rFonts w:cs="Arial"/>
          <w:lang w:val="es-ES_tradnl"/>
        </w:rPr>
        <w:t xml:space="preserve"> no se permite ninguna planta fuera de tipo</w:t>
      </w:r>
      <w:r w:rsidRPr="003575E6">
        <w:rPr>
          <w:rFonts w:cs="Arial"/>
          <w:lang w:val="es-ES_tradnl"/>
        </w:rPr>
        <w:t>.</w:t>
      </w:r>
      <w:r w:rsidR="005C5BCA" w:rsidRPr="003575E6">
        <w:rPr>
          <w:rFonts w:cs="Arial"/>
          <w:lang w:val="es-ES_tradnl"/>
        </w:rPr>
        <w:t xml:space="preserve"> </w:t>
      </w:r>
      <w:r w:rsidR="0037736F" w:rsidRPr="003575E6">
        <w:rPr>
          <w:rFonts w:cs="Arial"/>
          <w:lang w:val="es-ES_tradnl"/>
        </w:rPr>
        <w:t xml:space="preserve">Con 20 plantas en la primera etapa, si no hay plantas fuera de tipo, el error de tipo II (riesgo beta) es </w:t>
      </w:r>
      <w:r w:rsidR="0071606C" w:rsidRPr="003575E6">
        <w:rPr>
          <w:rFonts w:cs="Arial"/>
          <w:lang w:val="es-ES_tradnl"/>
        </w:rPr>
        <w:t xml:space="preserve">del </w:t>
      </w:r>
      <w:r w:rsidR="0037736F" w:rsidRPr="003575E6">
        <w:rPr>
          <w:rFonts w:cs="Arial"/>
          <w:lang w:val="es-ES_tradnl"/>
        </w:rPr>
        <w:t>66,8%</w:t>
      </w:r>
      <w:r w:rsidR="0071606C" w:rsidRPr="003575E6">
        <w:rPr>
          <w:rFonts w:cs="Arial"/>
          <w:lang w:val="es-ES_tradnl"/>
        </w:rPr>
        <w:t>,</w:t>
      </w:r>
      <w:r w:rsidR="005C5BCA" w:rsidRPr="003575E6">
        <w:rPr>
          <w:rFonts w:cs="Arial"/>
          <w:lang w:val="es-ES_tradnl"/>
        </w:rPr>
        <w:t xml:space="preserve"> </w:t>
      </w:r>
      <w:r w:rsidR="0037736F" w:rsidRPr="003575E6">
        <w:rPr>
          <w:rFonts w:cs="Arial"/>
          <w:lang w:val="es-ES_tradnl"/>
        </w:rPr>
        <w:t>un riesgo alto pero comparable al correspondiente a 2 plantas fuera de tipo en una muestra de 100 plantas,</w:t>
      </w:r>
      <w:r w:rsidR="005C5BCA" w:rsidRPr="003575E6">
        <w:rPr>
          <w:rFonts w:cs="Arial"/>
          <w:lang w:val="es-ES_tradnl"/>
        </w:rPr>
        <w:t xml:space="preserve"> </w:t>
      </w:r>
      <w:r w:rsidR="0037736F" w:rsidRPr="003575E6">
        <w:rPr>
          <w:rFonts w:cs="Arial"/>
          <w:lang w:val="es-ES_tradnl"/>
        </w:rPr>
        <w:t>cuyo error de tipo II es del 67,7%.</w:t>
      </w:r>
    </w:p>
    <w:p w:rsidR="000F2D0A" w:rsidRPr="003575E6" w:rsidRDefault="000F2D0A" w:rsidP="005C5BCA">
      <w:pPr>
        <w:rPr>
          <w:rFonts w:cs="Arial"/>
          <w:lang w:val="es-ES_tradnl"/>
        </w:rPr>
      </w:pPr>
    </w:p>
    <w:p w:rsidR="000F2D0A" w:rsidRPr="003575E6" w:rsidRDefault="009D58C9" w:rsidP="005C5BCA">
      <w:pPr>
        <w:rPr>
          <w:rFonts w:cs="Arial"/>
          <w:lang w:val="es-ES_tradnl"/>
        </w:rPr>
      </w:pPr>
      <w:r w:rsidRPr="003575E6">
        <w:rPr>
          <w:rFonts w:cs="Arial"/>
          <w:lang w:val="es-ES_tradnl"/>
        </w:rPr>
        <w:t xml:space="preserve">En cuanto al </w:t>
      </w:r>
      <w:r w:rsidR="0037736F" w:rsidRPr="003575E6">
        <w:rPr>
          <w:rFonts w:cs="Arial"/>
          <w:lang w:val="es-ES_tradnl"/>
        </w:rPr>
        <w:t>error</w:t>
      </w:r>
      <w:r w:rsidRPr="003575E6">
        <w:rPr>
          <w:rFonts w:cs="Arial"/>
          <w:lang w:val="es-ES_tradnl"/>
        </w:rPr>
        <w:t xml:space="preserve"> de tipo I</w:t>
      </w:r>
      <w:r w:rsidR="0037736F" w:rsidRPr="003575E6">
        <w:rPr>
          <w:rFonts w:cs="Arial"/>
          <w:lang w:val="es-ES_tradnl"/>
        </w:rPr>
        <w:t xml:space="preserve">, </w:t>
      </w:r>
      <w:r w:rsidRPr="003575E6">
        <w:rPr>
          <w:rFonts w:cs="Arial"/>
          <w:lang w:val="es-ES_tradnl"/>
        </w:rPr>
        <w:t>e</w:t>
      </w:r>
      <w:r w:rsidR="0037736F" w:rsidRPr="003575E6">
        <w:rPr>
          <w:rFonts w:cs="Arial"/>
          <w:lang w:val="es-ES_tradnl"/>
        </w:rPr>
        <w:t xml:space="preserve">s </w:t>
      </w:r>
      <w:r w:rsidRPr="003575E6">
        <w:rPr>
          <w:rFonts w:cs="Arial"/>
          <w:lang w:val="es-ES_tradnl"/>
        </w:rPr>
        <w:t xml:space="preserve">del </w:t>
      </w:r>
      <w:r w:rsidR="0037736F" w:rsidRPr="003575E6">
        <w:rPr>
          <w:rFonts w:cs="Arial"/>
          <w:lang w:val="es-ES_tradnl"/>
        </w:rPr>
        <w:t>1</w:t>
      </w:r>
      <w:r w:rsidRPr="003575E6">
        <w:rPr>
          <w:rFonts w:cs="Arial"/>
          <w:lang w:val="es-ES_tradnl"/>
        </w:rPr>
        <w:t>,</w:t>
      </w:r>
      <w:r w:rsidR="0037736F" w:rsidRPr="003575E6">
        <w:rPr>
          <w:rFonts w:cs="Arial"/>
          <w:lang w:val="es-ES_tradnl"/>
        </w:rPr>
        <w:t xml:space="preserve">7% </w:t>
      </w:r>
      <w:r w:rsidRPr="003575E6">
        <w:rPr>
          <w:rFonts w:cs="Arial"/>
          <w:lang w:val="es-ES_tradnl"/>
        </w:rPr>
        <w:t>e</w:t>
      </w:r>
      <w:r w:rsidR="0037736F" w:rsidRPr="003575E6">
        <w:rPr>
          <w:rFonts w:cs="Arial"/>
          <w:lang w:val="es-ES_tradnl"/>
        </w:rPr>
        <w:t xml:space="preserve">n </w:t>
      </w:r>
      <w:r w:rsidRPr="003575E6">
        <w:rPr>
          <w:rFonts w:cs="Arial"/>
          <w:lang w:val="es-ES_tradnl"/>
        </w:rPr>
        <w:t xml:space="preserve">el </w:t>
      </w:r>
      <w:r w:rsidR="0037736F" w:rsidRPr="003575E6">
        <w:rPr>
          <w:rFonts w:cs="Arial"/>
          <w:lang w:val="es-ES_tradnl"/>
        </w:rPr>
        <w:t>cas</w:t>
      </w:r>
      <w:r w:rsidRPr="003575E6">
        <w:rPr>
          <w:rFonts w:cs="Arial"/>
          <w:lang w:val="es-ES_tradnl"/>
        </w:rPr>
        <w:t>o d</w:t>
      </w:r>
      <w:r w:rsidR="0037736F" w:rsidRPr="003575E6">
        <w:rPr>
          <w:rFonts w:cs="Arial"/>
          <w:lang w:val="es-ES_tradnl"/>
        </w:rPr>
        <w:t>e 20</w:t>
      </w:r>
      <w:r w:rsidRPr="003575E6">
        <w:rPr>
          <w:rFonts w:cs="Arial"/>
          <w:lang w:val="es-ES_tradnl"/>
        </w:rPr>
        <w:t> </w:t>
      </w:r>
      <w:r w:rsidR="0037736F" w:rsidRPr="003575E6">
        <w:rPr>
          <w:rFonts w:cs="Arial"/>
          <w:lang w:val="es-ES_tradnl"/>
        </w:rPr>
        <w:t>plant</w:t>
      </w:r>
      <w:r w:rsidRPr="003575E6">
        <w:rPr>
          <w:rFonts w:cs="Arial"/>
          <w:lang w:val="es-ES_tradnl"/>
        </w:rPr>
        <w:t>a</w:t>
      </w:r>
      <w:r w:rsidR="0037736F" w:rsidRPr="003575E6">
        <w:rPr>
          <w:rFonts w:cs="Arial"/>
          <w:lang w:val="es-ES_tradnl"/>
        </w:rPr>
        <w:t xml:space="preserve">s </w:t>
      </w:r>
      <w:r w:rsidRPr="003575E6">
        <w:rPr>
          <w:rFonts w:cs="Arial"/>
          <w:lang w:val="es-ES_tradnl"/>
        </w:rPr>
        <w:t xml:space="preserve">y </w:t>
      </w:r>
      <w:r w:rsidR="0037736F" w:rsidRPr="003575E6">
        <w:rPr>
          <w:rFonts w:cs="Arial"/>
          <w:lang w:val="es-ES_tradnl"/>
        </w:rPr>
        <w:t xml:space="preserve">1 </w:t>
      </w:r>
      <w:r w:rsidRPr="003575E6">
        <w:rPr>
          <w:rFonts w:cs="Arial"/>
          <w:lang w:val="es-ES_tradnl"/>
        </w:rPr>
        <w:t xml:space="preserve">planta fuera de tipo y del </w:t>
      </w:r>
      <w:r w:rsidR="0037736F" w:rsidRPr="003575E6">
        <w:rPr>
          <w:rFonts w:cs="Arial"/>
          <w:lang w:val="es-ES_tradnl"/>
        </w:rPr>
        <w:t>1</w:t>
      </w:r>
      <w:r w:rsidRPr="003575E6">
        <w:rPr>
          <w:rFonts w:cs="Arial"/>
          <w:lang w:val="es-ES_tradnl"/>
        </w:rPr>
        <w:t>,</w:t>
      </w:r>
      <w:r w:rsidR="0037736F" w:rsidRPr="003575E6">
        <w:rPr>
          <w:rFonts w:cs="Arial"/>
          <w:lang w:val="es-ES_tradnl"/>
        </w:rPr>
        <w:t xml:space="preserve">8% </w:t>
      </w:r>
      <w:r w:rsidRPr="003575E6">
        <w:rPr>
          <w:rFonts w:cs="Arial"/>
          <w:lang w:val="es-ES_tradnl"/>
        </w:rPr>
        <w:t xml:space="preserve">en el caso de </w:t>
      </w:r>
      <w:r w:rsidR="0037736F" w:rsidRPr="003575E6">
        <w:rPr>
          <w:rFonts w:cs="Arial"/>
          <w:lang w:val="es-ES_tradnl"/>
        </w:rPr>
        <w:t xml:space="preserve">3 </w:t>
      </w:r>
      <w:r w:rsidR="00B1551A" w:rsidRPr="003575E6">
        <w:rPr>
          <w:rFonts w:cs="Arial"/>
          <w:lang w:val="es-ES_tradnl"/>
        </w:rPr>
        <w:t>planta</w:t>
      </w:r>
      <w:r w:rsidR="0013332B" w:rsidRPr="003575E6">
        <w:rPr>
          <w:rFonts w:cs="Arial"/>
          <w:lang w:val="es-ES_tradnl"/>
        </w:rPr>
        <w:t>s</w:t>
      </w:r>
      <w:r w:rsidR="00B1551A" w:rsidRPr="003575E6">
        <w:rPr>
          <w:rFonts w:cs="Arial"/>
          <w:lang w:val="es-ES_tradnl"/>
        </w:rPr>
        <w:t xml:space="preserve"> fuera de tipo e</w:t>
      </w:r>
      <w:r w:rsidR="0037736F" w:rsidRPr="003575E6">
        <w:rPr>
          <w:rFonts w:cs="Arial"/>
          <w:lang w:val="es-ES_tradnl"/>
        </w:rPr>
        <w:t>n 100</w:t>
      </w:r>
      <w:r w:rsidR="00B1551A" w:rsidRPr="003575E6">
        <w:rPr>
          <w:rFonts w:cs="Arial"/>
          <w:lang w:val="es-ES_tradnl"/>
        </w:rPr>
        <w:t> </w:t>
      </w:r>
      <w:r w:rsidR="0037736F" w:rsidRPr="003575E6">
        <w:rPr>
          <w:rFonts w:cs="Arial"/>
          <w:lang w:val="es-ES_tradnl"/>
        </w:rPr>
        <w:t>plant</w:t>
      </w:r>
      <w:r w:rsidR="00B1551A" w:rsidRPr="003575E6">
        <w:rPr>
          <w:rFonts w:cs="Arial"/>
          <w:lang w:val="es-ES_tradnl"/>
        </w:rPr>
        <w:t>a</w:t>
      </w:r>
      <w:r w:rsidR="0037736F" w:rsidRPr="003575E6">
        <w:rPr>
          <w:rFonts w:cs="Arial"/>
          <w:lang w:val="es-ES_tradnl"/>
        </w:rPr>
        <w:t>s.</w:t>
      </w:r>
      <w:r w:rsidR="005C5BCA" w:rsidRPr="003575E6">
        <w:rPr>
          <w:rFonts w:cs="Arial"/>
          <w:lang w:val="es-ES_tradnl"/>
        </w:rPr>
        <w:t xml:space="preserve"> </w:t>
      </w:r>
      <w:r w:rsidR="00B1551A" w:rsidRPr="003575E6">
        <w:rPr>
          <w:rFonts w:cs="Arial"/>
          <w:lang w:val="es-ES_tradnl"/>
        </w:rPr>
        <w:t xml:space="preserve">Únicamente se toma una decisión basada en una muestra de 20 plantas si no hay plantas fuera de tipo, </w:t>
      </w:r>
      <w:r w:rsidR="0013332B" w:rsidRPr="003575E6">
        <w:rPr>
          <w:rFonts w:cs="Arial"/>
          <w:lang w:val="es-ES_tradnl"/>
        </w:rPr>
        <w:t xml:space="preserve">siendo el </w:t>
      </w:r>
      <w:r w:rsidR="00B1551A" w:rsidRPr="003575E6">
        <w:rPr>
          <w:rFonts w:cs="Arial"/>
          <w:lang w:val="es-ES_tradnl"/>
        </w:rPr>
        <w:t xml:space="preserve">error </w:t>
      </w:r>
      <w:r w:rsidR="0013332B" w:rsidRPr="003575E6">
        <w:rPr>
          <w:rFonts w:cs="Arial"/>
          <w:lang w:val="es-ES_tradnl"/>
        </w:rPr>
        <w:t xml:space="preserve">correspondiente </w:t>
      </w:r>
      <w:r w:rsidR="00B1551A" w:rsidRPr="003575E6">
        <w:rPr>
          <w:rFonts w:cs="Arial"/>
          <w:lang w:val="es-ES_tradnl"/>
        </w:rPr>
        <w:t xml:space="preserve">menor que </w:t>
      </w:r>
      <w:r w:rsidR="0013332B" w:rsidRPr="003575E6">
        <w:rPr>
          <w:rFonts w:cs="Arial"/>
          <w:lang w:val="es-ES_tradnl"/>
        </w:rPr>
        <w:t>el asociado a un</w:t>
      </w:r>
      <w:r w:rsidR="00B1551A" w:rsidRPr="003575E6">
        <w:rPr>
          <w:rFonts w:cs="Arial"/>
          <w:lang w:val="es-ES_tradnl"/>
        </w:rPr>
        <w:t xml:space="preserve">a decisión </w:t>
      </w:r>
      <w:r w:rsidR="0013332B" w:rsidRPr="003575E6">
        <w:rPr>
          <w:rFonts w:cs="Arial"/>
          <w:lang w:val="es-ES_tradnl"/>
        </w:rPr>
        <w:t xml:space="preserve">basada en </w:t>
      </w:r>
      <w:r w:rsidR="00B1551A" w:rsidRPr="003575E6">
        <w:rPr>
          <w:rFonts w:cs="Arial"/>
          <w:lang w:val="es-ES_tradnl"/>
        </w:rPr>
        <w:t>100 plantas.</w:t>
      </w:r>
    </w:p>
    <w:p w:rsidR="000F2D0A" w:rsidRPr="003575E6" w:rsidRDefault="000F2D0A" w:rsidP="005C5BCA">
      <w:pPr>
        <w:rPr>
          <w:rFonts w:cs="Arial"/>
          <w:lang w:val="es-ES_tradnl"/>
        </w:rPr>
      </w:pPr>
    </w:p>
    <w:p w:rsidR="000F2D0A" w:rsidRPr="003575E6" w:rsidRDefault="00B1551A" w:rsidP="005C5BCA">
      <w:pPr>
        <w:rPr>
          <w:rFonts w:cs="Arial"/>
          <w:lang w:val="es-ES_tradnl"/>
        </w:rPr>
      </w:pPr>
      <w:r w:rsidRPr="003575E6">
        <w:rPr>
          <w:rFonts w:cs="Arial"/>
          <w:lang w:val="es-ES_tradnl"/>
        </w:rPr>
        <w:t xml:space="preserve">En el caso </w:t>
      </w:r>
      <w:r w:rsidR="0013332B" w:rsidRPr="003575E6">
        <w:rPr>
          <w:rFonts w:cs="Arial"/>
          <w:lang w:val="es-ES_tradnl"/>
        </w:rPr>
        <w:t>d</w:t>
      </w:r>
      <w:r w:rsidRPr="003575E6">
        <w:rPr>
          <w:rFonts w:cs="Arial"/>
          <w:lang w:val="es-ES_tradnl"/>
        </w:rPr>
        <w:t xml:space="preserve">e 20 plantas en la primera etapa y más de 3 plantas fuera de tipo, el error de tipo I (riesgo alfa) es </w:t>
      </w:r>
      <w:r w:rsidR="0013332B" w:rsidRPr="003575E6">
        <w:rPr>
          <w:rFonts w:cs="Arial"/>
          <w:lang w:val="es-ES_tradnl"/>
        </w:rPr>
        <w:t xml:space="preserve">muy pequeño, </w:t>
      </w:r>
      <w:r w:rsidRPr="003575E6">
        <w:rPr>
          <w:rFonts w:cs="Arial"/>
          <w:lang w:val="es-ES_tradnl"/>
        </w:rPr>
        <w:t>casi nulo</w:t>
      </w:r>
      <w:r w:rsidR="0013332B" w:rsidRPr="003575E6">
        <w:rPr>
          <w:rFonts w:cs="Arial"/>
          <w:lang w:val="es-ES_tradnl"/>
        </w:rPr>
        <w:t>,</w:t>
      </w:r>
      <w:r w:rsidRPr="003575E6">
        <w:rPr>
          <w:rFonts w:cs="Arial"/>
          <w:lang w:val="es-ES_tradnl"/>
        </w:rPr>
        <w:t xml:space="preserve"> y menor que en el caso de más de 3 plantas fuera de tipo en una muestra de 100 plantas,</w:t>
      </w:r>
      <w:r w:rsidR="005C5BCA" w:rsidRPr="003575E6">
        <w:rPr>
          <w:rFonts w:cs="Arial"/>
          <w:lang w:val="es-ES_tradnl"/>
        </w:rPr>
        <w:t xml:space="preserve"> </w:t>
      </w:r>
      <w:r w:rsidRPr="003575E6">
        <w:rPr>
          <w:rFonts w:cs="Arial"/>
          <w:lang w:val="es-ES_tradnl"/>
        </w:rPr>
        <w:t>cuyo error de tipo I (riesgo alfa) es del 0,3%.</w:t>
      </w:r>
      <w:r w:rsidR="005C5BCA" w:rsidRPr="003575E6">
        <w:rPr>
          <w:rFonts w:cs="Arial"/>
          <w:lang w:val="es-ES_tradnl"/>
        </w:rPr>
        <w:t xml:space="preserve"> </w:t>
      </w:r>
    </w:p>
    <w:p w:rsidR="000F2D0A" w:rsidRPr="003575E6" w:rsidRDefault="000F2D0A" w:rsidP="005C5BCA">
      <w:pPr>
        <w:rPr>
          <w:rFonts w:cs="Arial"/>
          <w:lang w:val="es-ES_tradnl"/>
        </w:rPr>
      </w:pPr>
    </w:p>
    <w:p w:rsidR="000F2D0A" w:rsidRPr="003575E6" w:rsidRDefault="00B1551A" w:rsidP="005C5BCA">
      <w:pPr>
        <w:rPr>
          <w:rFonts w:cs="Arial"/>
          <w:lang w:val="es-ES_tradnl"/>
        </w:rPr>
      </w:pPr>
      <w:r w:rsidRPr="003575E6">
        <w:rPr>
          <w:rFonts w:cs="Arial"/>
          <w:lang w:val="es-ES_tradnl"/>
        </w:rPr>
        <w:t>Si en la primera etapa</w:t>
      </w:r>
      <w:r w:rsidR="0013332B" w:rsidRPr="003575E6">
        <w:rPr>
          <w:rFonts w:cs="Arial"/>
          <w:lang w:val="es-ES_tradnl"/>
        </w:rPr>
        <w:t>,</w:t>
      </w:r>
      <w:r w:rsidRPr="003575E6">
        <w:rPr>
          <w:rFonts w:cs="Arial"/>
          <w:lang w:val="es-ES_tradnl"/>
        </w:rPr>
        <w:t xml:space="preserve"> </w:t>
      </w:r>
      <w:r w:rsidR="0013332B" w:rsidRPr="003575E6">
        <w:rPr>
          <w:rFonts w:cs="Arial"/>
          <w:lang w:val="es-ES_tradnl"/>
        </w:rPr>
        <w:t>co</w:t>
      </w:r>
      <w:r w:rsidRPr="003575E6">
        <w:rPr>
          <w:rFonts w:cs="Arial"/>
          <w:lang w:val="es-ES_tradnl"/>
        </w:rPr>
        <w:t xml:space="preserve">n una muestra de 20 plantas, </w:t>
      </w:r>
      <w:r w:rsidR="0013332B" w:rsidRPr="003575E6">
        <w:rPr>
          <w:rFonts w:cs="Arial"/>
          <w:lang w:val="es-ES_tradnl"/>
        </w:rPr>
        <w:t xml:space="preserve">hay 1, 2 o 3 plantas fuera de tipo, </w:t>
      </w:r>
      <w:r w:rsidRPr="003575E6">
        <w:rPr>
          <w:rFonts w:cs="Arial"/>
          <w:lang w:val="es-ES_tradnl"/>
        </w:rPr>
        <w:t xml:space="preserve">se </w:t>
      </w:r>
      <w:r w:rsidR="0013332B" w:rsidRPr="003575E6">
        <w:rPr>
          <w:rFonts w:cs="Arial"/>
          <w:lang w:val="es-ES_tradnl"/>
        </w:rPr>
        <w:t>examin</w:t>
      </w:r>
      <w:r w:rsidRPr="003575E6">
        <w:rPr>
          <w:rFonts w:cs="Arial"/>
          <w:lang w:val="es-ES_tradnl"/>
        </w:rPr>
        <w:t>an las siguientes 80 plantas y la decisión se basa en una muestra de 100 plantas.</w:t>
      </w:r>
      <w:r w:rsidR="005C5BCA" w:rsidRPr="003575E6">
        <w:rPr>
          <w:rFonts w:cs="Arial"/>
          <w:lang w:val="es-ES_tradnl"/>
        </w:rPr>
        <w:t xml:space="preserve"> </w:t>
      </w:r>
      <w:r w:rsidR="00FD3B28" w:rsidRPr="003575E6">
        <w:rPr>
          <w:rFonts w:cs="Arial"/>
          <w:lang w:val="es-ES_tradnl"/>
        </w:rPr>
        <w:t xml:space="preserve">En ese caso, </w:t>
      </w:r>
      <w:r w:rsidR="00F204F5" w:rsidRPr="003575E6">
        <w:rPr>
          <w:rFonts w:cs="Arial"/>
          <w:lang w:val="es-ES_tradnl"/>
        </w:rPr>
        <w:t>el cálculo de los errores de tipo </w:t>
      </w:r>
      <w:r w:rsidR="00FD3B28" w:rsidRPr="003575E6">
        <w:rPr>
          <w:rFonts w:cs="Arial"/>
          <w:lang w:val="es-ES_tradnl"/>
        </w:rPr>
        <w:t xml:space="preserve">I </w:t>
      </w:r>
      <w:r w:rsidR="00F204F5" w:rsidRPr="003575E6">
        <w:rPr>
          <w:rFonts w:cs="Arial"/>
          <w:lang w:val="es-ES_tradnl"/>
        </w:rPr>
        <w:t>y de tipo </w:t>
      </w:r>
      <w:r w:rsidR="00FD3B28" w:rsidRPr="003575E6">
        <w:rPr>
          <w:rFonts w:cs="Arial"/>
          <w:lang w:val="es-ES_tradnl"/>
        </w:rPr>
        <w:t xml:space="preserve">II </w:t>
      </w:r>
      <w:r w:rsidR="00F204F5" w:rsidRPr="003575E6">
        <w:rPr>
          <w:rFonts w:cs="Arial"/>
          <w:lang w:val="es-ES_tradnl"/>
        </w:rPr>
        <w:t>se de</w:t>
      </w:r>
      <w:r w:rsidR="00FD3B28" w:rsidRPr="003575E6">
        <w:rPr>
          <w:rFonts w:cs="Arial"/>
          <w:lang w:val="es-ES_tradnl"/>
        </w:rPr>
        <w:t xml:space="preserve">be </w:t>
      </w:r>
      <w:r w:rsidR="00F204F5" w:rsidRPr="003575E6">
        <w:rPr>
          <w:rFonts w:cs="Arial"/>
          <w:lang w:val="es-ES_tradnl"/>
        </w:rPr>
        <w:t xml:space="preserve">realizar con </w:t>
      </w:r>
      <w:r w:rsidR="00FD3B28" w:rsidRPr="003575E6">
        <w:rPr>
          <w:rFonts w:cs="Arial"/>
          <w:lang w:val="es-ES_tradnl"/>
        </w:rPr>
        <w:t>f</w:t>
      </w:r>
      <w:r w:rsidR="00F204F5" w:rsidRPr="003575E6">
        <w:rPr>
          <w:rFonts w:cs="Arial"/>
          <w:lang w:val="es-ES_tradnl"/>
        </w:rPr>
        <w:t>ó</w:t>
      </w:r>
      <w:r w:rsidR="00FD3B28" w:rsidRPr="003575E6">
        <w:rPr>
          <w:rFonts w:cs="Arial"/>
          <w:lang w:val="es-ES_tradnl"/>
        </w:rPr>
        <w:t xml:space="preserve">rmulas </w:t>
      </w:r>
      <w:r w:rsidR="00F204F5" w:rsidRPr="003575E6">
        <w:rPr>
          <w:rFonts w:cs="Arial"/>
          <w:lang w:val="es-ES_tradnl"/>
        </w:rPr>
        <w:t xml:space="preserve">especiales </w:t>
      </w:r>
      <w:r w:rsidR="00FD3B28" w:rsidRPr="003575E6">
        <w:rPr>
          <w:rFonts w:cs="Arial"/>
          <w:lang w:val="es-ES_tradnl"/>
        </w:rPr>
        <w:t>o us</w:t>
      </w:r>
      <w:r w:rsidR="00F204F5" w:rsidRPr="003575E6">
        <w:rPr>
          <w:rFonts w:cs="Arial"/>
          <w:lang w:val="es-ES_tradnl"/>
        </w:rPr>
        <w:t>ando el programa informático de Francia</w:t>
      </w:r>
      <w:r w:rsidR="005C5BCA" w:rsidRPr="003575E6">
        <w:rPr>
          <w:rFonts w:cs="Arial"/>
          <w:lang w:val="es-ES_tradnl"/>
        </w:rPr>
        <w:t xml:space="preserve"> (</w:t>
      </w:r>
      <w:hyperlink r:id="rId17" w:history="1">
        <w:r w:rsidR="00C25A43" w:rsidRPr="00ED11DB">
          <w:rPr>
            <w:rStyle w:val="Hyperlink"/>
            <w:rFonts w:cs="Arial"/>
            <w:lang w:val="es-ES_tradnl"/>
          </w:rPr>
          <w:t>http://www.seedtest.org/en/stats_tool_box_content---1--1143.html</w:t>
        </w:r>
      </w:hyperlink>
      <w:r w:rsidR="005C5BCA" w:rsidRPr="003575E6">
        <w:rPr>
          <w:rFonts w:cs="Arial"/>
          <w:lang w:val="es-ES_tradnl"/>
        </w:rPr>
        <w:t xml:space="preserve">). </w:t>
      </w:r>
    </w:p>
    <w:p w:rsidR="000F2D0A" w:rsidRPr="003575E6" w:rsidRDefault="000F2D0A" w:rsidP="005C5BCA">
      <w:pPr>
        <w:rPr>
          <w:rFonts w:cs="Arial"/>
          <w:lang w:val="es-ES_tradnl"/>
        </w:rPr>
      </w:pPr>
    </w:p>
    <w:p w:rsidR="000F2D0A" w:rsidRPr="003575E6" w:rsidRDefault="00F204F5" w:rsidP="005C5BCA">
      <w:pPr>
        <w:rPr>
          <w:rFonts w:cs="Arial"/>
          <w:lang w:val="es-ES_tradnl"/>
        </w:rPr>
      </w:pPr>
      <w:r w:rsidRPr="003575E6">
        <w:rPr>
          <w:rFonts w:cs="Arial"/>
          <w:lang w:val="es-ES_tradnl"/>
        </w:rPr>
        <w:t>De modo que es posible comparar todas las demás situaciones.</w:t>
      </w:r>
    </w:p>
    <w:p w:rsidR="000F2D0A" w:rsidRPr="003575E6" w:rsidRDefault="000F2D0A" w:rsidP="005C5BCA">
      <w:pPr>
        <w:rPr>
          <w:rFonts w:cs="Arial"/>
          <w:lang w:val="es-ES_tradnl"/>
        </w:rPr>
      </w:pPr>
    </w:p>
    <w:p w:rsidR="000F2D0A" w:rsidRPr="003575E6" w:rsidRDefault="00F204F5" w:rsidP="005C5BCA">
      <w:pPr>
        <w:rPr>
          <w:rFonts w:cs="Arial"/>
          <w:lang w:val="es-ES_tradnl"/>
        </w:rPr>
      </w:pPr>
      <w:r w:rsidRPr="003575E6">
        <w:rPr>
          <w:rFonts w:cs="Arial"/>
          <w:lang w:val="es-ES_tradnl"/>
        </w:rPr>
        <w:t>Queda pendiente de respuesta la pregunta siguiente:</w:t>
      </w:r>
      <w:r w:rsidR="005C5BCA" w:rsidRPr="003575E6">
        <w:rPr>
          <w:rFonts w:cs="Arial"/>
          <w:lang w:val="es-ES_tradnl"/>
        </w:rPr>
        <w:t xml:space="preserve"> </w:t>
      </w:r>
      <w:r w:rsidRPr="003575E6">
        <w:rPr>
          <w:rFonts w:cs="Arial"/>
          <w:lang w:val="es-ES_tradnl"/>
        </w:rPr>
        <w:t>¿Necesitamos una declaración relativa a los diferentes tipos de errores correspondientes a cada decisión o una declaración que abarque todas las decisiones?</w:t>
      </w:r>
      <w:r w:rsidR="005C5BCA" w:rsidRPr="003575E6">
        <w:rPr>
          <w:rFonts w:cs="Arial"/>
          <w:lang w:val="es-ES_tradnl"/>
        </w:rPr>
        <w:t xml:space="preserve"> </w:t>
      </w:r>
      <w:r w:rsidRPr="003575E6">
        <w:rPr>
          <w:rFonts w:cs="Arial"/>
          <w:lang w:val="es-ES_tradnl"/>
        </w:rPr>
        <w:t>E</w:t>
      </w:r>
      <w:r w:rsidR="0013332B" w:rsidRPr="003575E6">
        <w:rPr>
          <w:rFonts w:cs="Arial"/>
          <w:lang w:val="es-ES_tradnl"/>
        </w:rPr>
        <w:t>s</w:t>
      </w:r>
      <w:r w:rsidRPr="003575E6">
        <w:rPr>
          <w:rFonts w:cs="Arial"/>
          <w:lang w:val="es-ES_tradnl"/>
        </w:rPr>
        <w:t xml:space="preserve">to </w:t>
      </w:r>
      <w:r w:rsidR="0013332B" w:rsidRPr="003575E6">
        <w:rPr>
          <w:rFonts w:cs="Arial"/>
          <w:lang w:val="es-ES_tradnl"/>
        </w:rPr>
        <w:t xml:space="preserve">deberá </w:t>
      </w:r>
      <w:r w:rsidRPr="003575E6">
        <w:rPr>
          <w:rFonts w:cs="Arial"/>
          <w:lang w:val="es-ES_tradnl"/>
        </w:rPr>
        <w:t>debatir</w:t>
      </w:r>
      <w:r w:rsidR="0013332B" w:rsidRPr="003575E6">
        <w:rPr>
          <w:rFonts w:cs="Arial"/>
          <w:lang w:val="es-ES_tradnl"/>
        </w:rPr>
        <w:t xml:space="preserve">se </w:t>
      </w:r>
      <w:r w:rsidRPr="003575E6">
        <w:rPr>
          <w:rFonts w:cs="Arial"/>
          <w:lang w:val="es-ES_tradnl"/>
        </w:rPr>
        <w:t>con los expertos en estadística.</w:t>
      </w:r>
    </w:p>
    <w:p w:rsidR="000F2D0A" w:rsidRPr="003575E6" w:rsidRDefault="0013332B" w:rsidP="005C5BCA">
      <w:pPr>
        <w:rPr>
          <w:rFonts w:cs="Arial"/>
          <w:lang w:val="es-ES_tradnl"/>
        </w:rPr>
      </w:pPr>
      <w:r w:rsidRPr="003575E6">
        <w:rPr>
          <w:rFonts w:cs="Arial"/>
          <w:lang w:val="es-ES_tradnl"/>
        </w:rPr>
        <w:t xml:space="preserve">Como </w:t>
      </w:r>
      <w:r w:rsidR="00785A79" w:rsidRPr="003575E6">
        <w:rPr>
          <w:rFonts w:cs="Arial"/>
          <w:lang w:val="es-ES_tradnl"/>
        </w:rPr>
        <w:t xml:space="preserve">las </w:t>
      </w:r>
      <w:r w:rsidR="00F204F5" w:rsidRPr="003575E6">
        <w:rPr>
          <w:rFonts w:cs="Arial"/>
          <w:lang w:val="es-ES_tradnl"/>
        </w:rPr>
        <w:t>f</w:t>
      </w:r>
      <w:r w:rsidR="00785A79" w:rsidRPr="003575E6">
        <w:rPr>
          <w:rFonts w:cs="Arial"/>
          <w:lang w:val="es-ES_tradnl"/>
        </w:rPr>
        <w:t>ó</w:t>
      </w:r>
      <w:r w:rsidR="00F204F5" w:rsidRPr="003575E6">
        <w:rPr>
          <w:rFonts w:cs="Arial"/>
          <w:lang w:val="es-ES_tradnl"/>
        </w:rPr>
        <w:t xml:space="preserve">rmulas </w:t>
      </w:r>
      <w:r w:rsidR="00785A79" w:rsidRPr="003575E6">
        <w:rPr>
          <w:rFonts w:cs="Arial"/>
          <w:lang w:val="es-ES_tradnl"/>
        </w:rPr>
        <w:t xml:space="preserve">básicas son no lineales, </w:t>
      </w:r>
      <w:r w:rsidR="00F204F5" w:rsidRPr="003575E6">
        <w:rPr>
          <w:rFonts w:cs="Arial"/>
          <w:lang w:val="es-ES_tradnl"/>
        </w:rPr>
        <w:t xml:space="preserve">no </w:t>
      </w:r>
      <w:r w:rsidR="00785A79" w:rsidRPr="003575E6">
        <w:rPr>
          <w:rFonts w:cs="Arial"/>
          <w:lang w:val="es-ES_tradnl"/>
        </w:rPr>
        <w:t xml:space="preserve">hay reglas </w:t>
      </w:r>
      <w:r w:rsidR="00F204F5" w:rsidRPr="003575E6">
        <w:rPr>
          <w:rFonts w:cs="Arial"/>
          <w:lang w:val="es-ES_tradnl"/>
        </w:rPr>
        <w:t>general</w:t>
      </w:r>
      <w:r w:rsidR="00785A79" w:rsidRPr="003575E6">
        <w:rPr>
          <w:rFonts w:cs="Arial"/>
          <w:lang w:val="es-ES_tradnl"/>
        </w:rPr>
        <w:t xml:space="preserve">es en todos los casos </w:t>
      </w:r>
      <w:r w:rsidR="00F204F5" w:rsidRPr="003575E6">
        <w:rPr>
          <w:rFonts w:cs="Arial"/>
          <w:lang w:val="es-ES_tradnl"/>
        </w:rPr>
        <w:t>pr</w:t>
      </w:r>
      <w:r w:rsidR="00785A79" w:rsidRPr="003575E6">
        <w:rPr>
          <w:rFonts w:cs="Arial"/>
          <w:lang w:val="es-ES_tradnl"/>
        </w:rPr>
        <w:t>á</w:t>
      </w:r>
      <w:r w:rsidR="00F204F5" w:rsidRPr="003575E6">
        <w:rPr>
          <w:rFonts w:cs="Arial"/>
          <w:lang w:val="es-ES_tradnl"/>
        </w:rPr>
        <w:t>ctic</w:t>
      </w:r>
      <w:r w:rsidR="00785A79" w:rsidRPr="003575E6">
        <w:rPr>
          <w:rFonts w:cs="Arial"/>
          <w:lang w:val="es-ES_tradnl"/>
        </w:rPr>
        <w:t>os</w:t>
      </w:r>
      <w:r w:rsidRPr="003575E6">
        <w:rPr>
          <w:rFonts w:cs="Arial"/>
          <w:lang w:val="es-ES_tradnl"/>
        </w:rPr>
        <w:t xml:space="preserve"> aplicables a los exámenes DHE</w:t>
      </w:r>
      <w:r w:rsidR="00F204F5" w:rsidRPr="003575E6">
        <w:rPr>
          <w:rFonts w:cs="Arial"/>
          <w:lang w:val="es-ES_tradnl"/>
        </w:rPr>
        <w:t>.</w:t>
      </w:r>
    </w:p>
    <w:p w:rsidR="000F2D0A" w:rsidRPr="003575E6" w:rsidRDefault="000F2D0A" w:rsidP="005C5BCA">
      <w:pPr>
        <w:rPr>
          <w:rFonts w:cs="Arial"/>
          <w:sz w:val="22"/>
          <w:szCs w:val="22"/>
          <w:lang w:val="es-ES_tradnl"/>
        </w:rPr>
      </w:pPr>
    </w:p>
    <w:p w:rsidR="000F2D0A" w:rsidRPr="003575E6" w:rsidRDefault="000F2D0A" w:rsidP="005C5BCA">
      <w:pPr>
        <w:rPr>
          <w:lang w:val="es-ES_tradnl"/>
        </w:rPr>
      </w:pPr>
    </w:p>
    <w:p w:rsidR="007F4BB2" w:rsidRPr="003575E6" w:rsidRDefault="00F6316F" w:rsidP="00DD4E0F">
      <w:pPr>
        <w:pStyle w:val="endofdoc"/>
        <w:rPr>
          <w:color w:val="auto"/>
          <w:lang w:val="es-ES_tradnl"/>
        </w:rPr>
      </w:pPr>
      <w:r w:rsidRPr="003575E6">
        <w:rPr>
          <w:color w:val="auto"/>
          <w:lang w:val="es-ES_tradnl"/>
        </w:rPr>
        <w:t>[</w:t>
      </w:r>
      <w:r w:rsidR="000F2D0A" w:rsidRPr="003575E6">
        <w:rPr>
          <w:color w:val="auto"/>
          <w:lang w:val="es-ES_tradnl"/>
        </w:rPr>
        <w:t>Fin del Anexo V y del documento]</w:t>
      </w:r>
    </w:p>
    <w:sectPr w:rsidR="007F4BB2" w:rsidRPr="003575E6" w:rsidSect="006102BB">
      <w:headerReference w:type="default" r:id="rId18"/>
      <w:headerReference w:type="first" r:id="rId19"/>
      <w:footerReference w:type="first" r:id="rId2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5A3" w:rsidRDefault="000745A3" w:rsidP="00F45372">
      <w:r>
        <w:separator/>
      </w:r>
    </w:p>
    <w:p w:rsidR="000745A3" w:rsidRDefault="000745A3" w:rsidP="00F45372"/>
    <w:p w:rsidR="000745A3" w:rsidRDefault="000745A3" w:rsidP="00F45372"/>
  </w:endnote>
  <w:endnote w:type="continuationSeparator" w:id="0">
    <w:p w:rsidR="000745A3" w:rsidRDefault="000745A3" w:rsidP="00F45372">
      <w:r>
        <w:separator/>
      </w:r>
    </w:p>
    <w:p w:rsidR="000745A3" w:rsidRPr="00970020" w:rsidRDefault="000745A3">
      <w:pPr>
        <w:pStyle w:val="Footer"/>
        <w:spacing w:after="60"/>
        <w:rPr>
          <w:sz w:val="18"/>
          <w:lang w:val="fr-CH"/>
        </w:rPr>
      </w:pPr>
      <w:r w:rsidRPr="00970020">
        <w:rPr>
          <w:sz w:val="18"/>
          <w:lang w:val="fr-CH"/>
        </w:rPr>
        <w:t>[Suite de la note de la page précédente]</w:t>
      </w:r>
    </w:p>
    <w:p w:rsidR="000745A3" w:rsidRPr="00970020" w:rsidRDefault="000745A3" w:rsidP="00F45372">
      <w:pPr>
        <w:rPr>
          <w:lang w:val="fr-CH"/>
        </w:rPr>
      </w:pPr>
    </w:p>
    <w:p w:rsidR="000745A3" w:rsidRPr="00970020" w:rsidRDefault="000745A3" w:rsidP="00F45372">
      <w:pPr>
        <w:rPr>
          <w:lang w:val="fr-CH"/>
        </w:rPr>
      </w:pPr>
    </w:p>
  </w:endnote>
  <w:endnote w:type="continuationNotice" w:id="1">
    <w:p w:rsidR="000745A3" w:rsidRPr="00970020" w:rsidRDefault="000745A3" w:rsidP="00F45372">
      <w:pPr>
        <w:rPr>
          <w:lang w:val="fr-CH"/>
        </w:rPr>
      </w:pPr>
      <w:r w:rsidRPr="00970020">
        <w:rPr>
          <w:lang w:val="fr-CH"/>
        </w:rPr>
        <w:t>[Suite de la note page suivante]</w:t>
      </w:r>
    </w:p>
    <w:p w:rsidR="000745A3" w:rsidRPr="00970020" w:rsidRDefault="000745A3" w:rsidP="00F45372">
      <w:pPr>
        <w:rPr>
          <w:lang w:val="fr-CH"/>
        </w:rPr>
      </w:pPr>
    </w:p>
    <w:p w:rsidR="000745A3" w:rsidRPr="00970020" w:rsidRDefault="000745A3" w:rsidP="00F4537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DokChampa">
    <w:panose1 w:val="020B0604020202020204"/>
    <w:charset w:val="00"/>
    <w:family w:val="swiss"/>
    <w:pitch w:val="variable"/>
    <w:sig w:usb0="03000003" w:usb1="00000000" w:usb2="00000000" w:usb3="00000000" w:csb0="0001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5A3" w:rsidRPr="00AE0EF1" w:rsidRDefault="000745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5A3" w:rsidRPr="00AE0EF1" w:rsidRDefault="000745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5A3" w:rsidRDefault="000745A3" w:rsidP="00F45372">
      <w:r>
        <w:separator/>
      </w:r>
    </w:p>
  </w:footnote>
  <w:footnote w:type="continuationSeparator" w:id="0">
    <w:p w:rsidR="000745A3" w:rsidRDefault="000745A3" w:rsidP="00F45372">
      <w:r>
        <w:separator/>
      </w:r>
    </w:p>
  </w:footnote>
  <w:footnote w:type="continuationNotice" w:id="1">
    <w:p w:rsidR="000745A3" w:rsidRPr="00905020" w:rsidRDefault="000745A3" w:rsidP="00905020">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5A3" w:rsidRPr="003575E6" w:rsidRDefault="000745A3" w:rsidP="003575E6">
    <w:pPr>
      <w:pStyle w:val="Header"/>
      <w:rPr>
        <w:color w:val="auto"/>
      </w:rPr>
    </w:pPr>
    <w:r w:rsidRPr="003575E6">
      <w:rPr>
        <w:color w:val="auto"/>
      </w:rPr>
      <w:t>TC/51/24</w:t>
    </w:r>
  </w:p>
  <w:p w:rsidR="000745A3" w:rsidRPr="003575E6" w:rsidRDefault="000745A3" w:rsidP="003575E6">
    <w:pPr>
      <w:pStyle w:val="Header"/>
      <w:rPr>
        <w:color w:val="auto"/>
      </w:rPr>
    </w:pPr>
    <w:r w:rsidRPr="003575E6">
      <w:rPr>
        <w:color w:val="auto"/>
      </w:rPr>
      <w:t xml:space="preserve">página </w:t>
    </w:r>
    <w:r w:rsidRPr="003575E6">
      <w:rPr>
        <w:rStyle w:val="PageNumber"/>
        <w:color w:val="auto"/>
      </w:rPr>
      <w:fldChar w:fldCharType="begin"/>
    </w:r>
    <w:r w:rsidRPr="003575E6">
      <w:rPr>
        <w:rStyle w:val="PageNumber"/>
        <w:color w:val="auto"/>
      </w:rPr>
      <w:instrText xml:space="preserve"> PAGE </w:instrText>
    </w:r>
    <w:r w:rsidRPr="003575E6">
      <w:rPr>
        <w:rStyle w:val="PageNumber"/>
        <w:color w:val="auto"/>
      </w:rPr>
      <w:fldChar w:fldCharType="separate"/>
    </w:r>
    <w:r w:rsidR="002D7493">
      <w:rPr>
        <w:rStyle w:val="PageNumber"/>
        <w:noProof/>
        <w:color w:val="auto"/>
      </w:rPr>
      <w:t>6</w:t>
    </w:r>
    <w:r w:rsidRPr="003575E6">
      <w:rPr>
        <w:rStyle w:val="PageNumber"/>
        <w:color w:val="auto"/>
      </w:rPr>
      <w:fldChar w:fldCharType="end"/>
    </w:r>
  </w:p>
  <w:p w:rsidR="000745A3" w:rsidRPr="003575E6" w:rsidRDefault="000745A3" w:rsidP="003575E6">
    <w:pPr>
      <w:tabs>
        <w:tab w:val="left" w:pos="5556"/>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4646494"/>
      <w:docPartObj>
        <w:docPartGallery w:val="Page Numbers (Top of Page)"/>
        <w:docPartUnique/>
      </w:docPartObj>
    </w:sdtPr>
    <w:sdtEndPr/>
    <w:sdtContent>
      <w:p w:rsidR="000745A3" w:rsidRPr="0059001A" w:rsidRDefault="000745A3" w:rsidP="00295E03">
        <w:pPr>
          <w:pStyle w:val="Header"/>
        </w:pPr>
        <w:r w:rsidRPr="0059001A">
          <w:t>TC/51/24</w:t>
        </w:r>
      </w:p>
      <w:p w:rsidR="000745A3" w:rsidRPr="0059001A" w:rsidRDefault="000745A3" w:rsidP="00295E03">
        <w:pPr>
          <w:pStyle w:val="Header"/>
        </w:pPr>
      </w:p>
      <w:p w:rsidR="000745A3" w:rsidRPr="0059001A" w:rsidRDefault="000745A3" w:rsidP="00295E03">
        <w:pPr>
          <w:pStyle w:val="Header"/>
        </w:pPr>
        <w:r w:rsidRPr="0059001A">
          <w:t xml:space="preserve">Anexo II, página </w:t>
        </w:r>
        <w:r>
          <w:fldChar w:fldCharType="begin"/>
        </w:r>
        <w:r>
          <w:instrText>PAGE   \* MERGEFORMAT</w:instrText>
        </w:r>
        <w:r>
          <w:fldChar w:fldCharType="separate"/>
        </w:r>
        <w:r>
          <w:rPr>
            <w:noProof/>
          </w:rPr>
          <w:t>2</w:t>
        </w:r>
        <w:r>
          <w:rPr>
            <w:noProof/>
          </w:rPr>
          <w:fldChar w:fldCharType="end"/>
        </w:r>
      </w:p>
    </w:sdtContent>
  </w:sdt>
  <w:p w:rsidR="000745A3" w:rsidRPr="0059001A" w:rsidRDefault="000745A3" w:rsidP="00431767">
    <w:pPr>
      <w:tabs>
        <w:tab w:val="left" w:pos="5556"/>
      </w:tabs>
      <w:rPr>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5A3" w:rsidRPr="003575E6" w:rsidRDefault="000745A3" w:rsidP="00295E03">
    <w:pPr>
      <w:pStyle w:val="Header"/>
      <w:rPr>
        <w:color w:val="auto"/>
      </w:rPr>
    </w:pPr>
    <w:r w:rsidRPr="003575E6">
      <w:rPr>
        <w:color w:val="auto"/>
      </w:rPr>
      <w:t>TC/51/24</w:t>
    </w:r>
  </w:p>
  <w:p w:rsidR="000745A3" w:rsidRPr="003575E6" w:rsidRDefault="000745A3" w:rsidP="00295E03">
    <w:pPr>
      <w:pStyle w:val="Header"/>
      <w:rPr>
        <w:rStyle w:val="PageNumber"/>
        <w:color w:val="auto"/>
      </w:rPr>
    </w:pPr>
  </w:p>
  <w:p w:rsidR="000745A3" w:rsidRPr="003575E6" w:rsidRDefault="000745A3" w:rsidP="00295E03">
    <w:pPr>
      <w:pStyle w:val="Header"/>
      <w:rPr>
        <w:color w:val="auto"/>
      </w:rPr>
    </w:pPr>
    <w:r w:rsidRPr="003575E6">
      <w:rPr>
        <w:color w:val="auto"/>
      </w:rPr>
      <w:t>ANEXO I</w:t>
    </w:r>
  </w:p>
  <w:p w:rsidR="000745A3" w:rsidRPr="003575E6" w:rsidRDefault="000745A3" w:rsidP="00295E03">
    <w:pPr>
      <w:pStyle w:val="Header"/>
      <w:rPr>
        <w:rFonts w:eastAsia="MS Mincho"/>
        <w:color w:val="auto"/>
        <w:lang w:eastAsia="ja-JP"/>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5A3" w:rsidRPr="003575E6" w:rsidRDefault="000745A3" w:rsidP="00295E03">
    <w:pPr>
      <w:pStyle w:val="Header"/>
      <w:rPr>
        <w:color w:val="auto"/>
      </w:rPr>
    </w:pPr>
    <w:r w:rsidRPr="003575E6">
      <w:rPr>
        <w:color w:val="auto"/>
      </w:rPr>
      <w:t>TC/51/24</w:t>
    </w:r>
  </w:p>
  <w:p w:rsidR="000745A3" w:rsidRPr="003575E6" w:rsidRDefault="000745A3" w:rsidP="00295E03">
    <w:pPr>
      <w:pStyle w:val="Header"/>
      <w:rPr>
        <w:color w:val="auto"/>
      </w:rPr>
    </w:pPr>
  </w:p>
  <w:p w:rsidR="000745A3" w:rsidRPr="003575E6" w:rsidRDefault="000745A3" w:rsidP="00295E03">
    <w:pPr>
      <w:pStyle w:val="Header"/>
      <w:rPr>
        <w:color w:val="auto"/>
      </w:rPr>
    </w:pPr>
    <w:r w:rsidRPr="003575E6">
      <w:rPr>
        <w:color w:val="auto"/>
      </w:rPr>
      <w:t>ANEXO II</w:t>
    </w:r>
  </w:p>
  <w:p w:rsidR="000745A3" w:rsidRPr="003575E6" w:rsidRDefault="000745A3" w:rsidP="00295E03">
    <w:pPr>
      <w:pStyle w:val="Header"/>
      <w:rPr>
        <w:rFonts w:eastAsia="MS Mincho"/>
        <w:color w:val="auto"/>
        <w:lang w:eastAsia="ja-JP"/>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5A3" w:rsidRPr="003575E6" w:rsidRDefault="000745A3" w:rsidP="00295E03">
    <w:pPr>
      <w:pStyle w:val="Header"/>
      <w:rPr>
        <w:color w:val="auto"/>
      </w:rPr>
    </w:pPr>
    <w:r w:rsidRPr="003575E6">
      <w:rPr>
        <w:color w:val="auto"/>
      </w:rPr>
      <w:t>TC/51/24</w:t>
    </w:r>
  </w:p>
  <w:p w:rsidR="000745A3" w:rsidRPr="003575E6" w:rsidRDefault="000745A3" w:rsidP="00295E03">
    <w:pPr>
      <w:pStyle w:val="Header"/>
      <w:rPr>
        <w:rStyle w:val="PageNumber"/>
        <w:color w:val="auto"/>
      </w:rPr>
    </w:pPr>
  </w:p>
  <w:p w:rsidR="000745A3" w:rsidRPr="003575E6" w:rsidRDefault="000745A3" w:rsidP="00295E03">
    <w:pPr>
      <w:pStyle w:val="Header"/>
      <w:rPr>
        <w:color w:val="auto"/>
      </w:rPr>
    </w:pPr>
    <w:r w:rsidRPr="003575E6">
      <w:rPr>
        <w:color w:val="auto"/>
      </w:rPr>
      <w:t>ANEXO III</w:t>
    </w:r>
  </w:p>
  <w:p w:rsidR="000745A3" w:rsidRPr="003575E6" w:rsidRDefault="000745A3" w:rsidP="00295E03">
    <w:pPr>
      <w:pStyle w:val="Header"/>
      <w:rPr>
        <w:rFonts w:eastAsia="MS Mincho"/>
        <w:color w:val="auto"/>
        <w:lang w:eastAsia="ja-JP"/>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5A3" w:rsidRPr="00832298" w:rsidRDefault="000745A3" w:rsidP="00295E03">
    <w:pPr>
      <w:pStyle w:val="Header"/>
    </w:pPr>
    <w:r w:rsidRPr="000F2D0A">
      <w:rPr>
        <w:highlight w:val="cyan"/>
      </w:rPr>
      <w:t>TWO/47</w:t>
    </w:r>
    <w:r w:rsidRPr="00832298">
      <w:t>/</w:t>
    </w:r>
    <w:r>
      <w:t>9</w:t>
    </w:r>
  </w:p>
  <w:p w:rsidR="000745A3" w:rsidRPr="00C5280D" w:rsidRDefault="000745A3" w:rsidP="00295E03">
    <w:pPr>
      <w:pStyle w:val="Header"/>
    </w:pPr>
    <w:r w:rsidRPr="000F2D0A">
      <w:rPr>
        <w:lang w:val="es-ES_tradnl"/>
      </w:rPr>
      <w:t>página</w:t>
    </w:r>
    <w:r w:rsidRPr="00C5280D">
      <w:t xml:space="preserve"> </w:t>
    </w:r>
    <w:r>
      <w:fldChar w:fldCharType="begin"/>
    </w:r>
    <w:r>
      <w:instrText xml:space="preserve"> PAGE </w:instrText>
    </w:r>
    <w:r>
      <w:fldChar w:fldCharType="separate"/>
    </w:r>
    <w:r>
      <w:rPr>
        <w:noProof/>
      </w:rPr>
      <w:t>6</w:t>
    </w:r>
    <w:r>
      <w:rPr>
        <w:noProof/>
      </w:rPr>
      <w:fldChar w:fldCharType="end"/>
    </w:r>
  </w:p>
  <w:p w:rsidR="000745A3" w:rsidRPr="00C5280D" w:rsidRDefault="000745A3" w:rsidP="00295E0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5A3" w:rsidRPr="003575E6" w:rsidRDefault="000745A3" w:rsidP="00295E03">
    <w:pPr>
      <w:pStyle w:val="Header"/>
      <w:rPr>
        <w:color w:val="auto"/>
      </w:rPr>
    </w:pPr>
    <w:r w:rsidRPr="003575E6">
      <w:rPr>
        <w:color w:val="auto"/>
      </w:rPr>
      <w:t>TC/51/24</w:t>
    </w:r>
  </w:p>
  <w:p w:rsidR="000745A3" w:rsidRPr="003575E6" w:rsidRDefault="000745A3" w:rsidP="00295E03">
    <w:pPr>
      <w:pStyle w:val="Header"/>
      <w:rPr>
        <w:color w:val="auto"/>
      </w:rPr>
    </w:pPr>
  </w:p>
  <w:p w:rsidR="000745A3" w:rsidRPr="003575E6" w:rsidRDefault="000745A3" w:rsidP="00295E03">
    <w:pPr>
      <w:pStyle w:val="Header"/>
      <w:rPr>
        <w:color w:val="auto"/>
      </w:rPr>
    </w:pPr>
    <w:r w:rsidRPr="003575E6">
      <w:rPr>
        <w:color w:val="auto"/>
      </w:rPr>
      <w:t>ANEXO IV</w:t>
    </w:r>
  </w:p>
  <w:p w:rsidR="000745A3" w:rsidRPr="003575E6" w:rsidRDefault="000745A3" w:rsidP="00295E03">
    <w:pPr>
      <w:pStyle w:val="Header"/>
      <w:rPr>
        <w:color w:val="auto"/>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5A3" w:rsidRPr="003575E6" w:rsidRDefault="000745A3" w:rsidP="003575E6">
    <w:pPr>
      <w:pStyle w:val="Header"/>
      <w:rPr>
        <w:rStyle w:val="PageNumber"/>
        <w:color w:val="auto"/>
        <w:lang w:val="es-ES_tradnl"/>
      </w:rPr>
    </w:pPr>
    <w:r w:rsidRPr="003575E6">
      <w:rPr>
        <w:rStyle w:val="PageNumber"/>
        <w:color w:val="auto"/>
        <w:lang w:val="es-ES_tradnl"/>
      </w:rPr>
      <w:t>TC/51/35</w:t>
    </w:r>
  </w:p>
  <w:p w:rsidR="000745A3" w:rsidRPr="003575E6" w:rsidRDefault="000745A3" w:rsidP="003575E6">
    <w:pPr>
      <w:pStyle w:val="Header"/>
      <w:rPr>
        <w:color w:val="auto"/>
      </w:rPr>
    </w:pPr>
    <w:r w:rsidRPr="003575E6">
      <w:rPr>
        <w:color w:val="auto"/>
      </w:rPr>
      <w:t xml:space="preserve">Anexo V, página </w:t>
    </w:r>
    <w:r w:rsidRPr="003575E6">
      <w:rPr>
        <w:rStyle w:val="PageNumber"/>
        <w:color w:val="auto"/>
        <w:lang w:val="es-ES_tradnl"/>
      </w:rPr>
      <w:fldChar w:fldCharType="begin"/>
    </w:r>
    <w:r w:rsidRPr="003575E6">
      <w:rPr>
        <w:rStyle w:val="PageNumber"/>
        <w:color w:val="auto"/>
        <w:lang w:val="es-ES_tradnl"/>
      </w:rPr>
      <w:instrText xml:space="preserve"> PAGE </w:instrText>
    </w:r>
    <w:r w:rsidRPr="003575E6">
      <w:rPr>
        <w:rStyle w:val="PageNumber"/>
        <w:color w:val="auto"/>
        <w:lang w:val="es-ES_tradnl"/>
      </w:rPr>
      <w:fldChar w:fldCharType="separate"/>
    </w:r>
    <w:r w:rsidR="002D7493">
      <w:rPr>
        <w:rStyle w:val="PageNumber"/>
        <w:noProof/>
        <w:color w:val="auto"/>
        <w:lang w:val="es-ES_tradnl"/>
      </w:rPr>
      <w:t>2</w:t>
    </w:r>
    <w:r w:rsidRPr="003575E6">
      <w:rPr>
        <w:rStyle w:val="PageNumber"/>
        <w:color w:val="auto"/>
        <w:lang w:val="es-ES_tradnl"/>
      </w:rPr>
      <w:fldChar w:fldCharType="end"/>
    </w:r>
  </w:p>
  <w:p w:rsidR="000745A3" w:rsidRPr="003575E6" w:rsidRDefault="000745A3" w:rsidP="003575E6">
    <w:pPr>
      <w:jc w:val="cen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5A3" w:rsidRPr="003575E6" w:rsidRDefault="000745A3" w:rsidP="00295E03">
    <w:pPr>
      <w:pStyle w:val="Header"/>
      <w:rPr>
        <w:color w:val="auto"/>
      </w:rPr>
    </w:pPr>
    <w:r w:rsidRPr="003575E6">
      <w:rPr>
        <w:color w:val="auto"/>
      </w:rPr>
      <w:t>TC/51/24</w:t>
    </w:r>
  </w:p>
  <w:p w:rsidR="000745A3" w:rsidRPr="003575E6" w:rsidRDefault="000745A3" w:rsidP="00295E03">
    <w:pPr>
      <w:pStyle w:val="Header"/>
      <w:rPr>
        <w:color w:val="auto"/>
      </w:rPr>
    </w:pPr>
  </w:p>
  <w:p w:rsidR="000745A3" w:rsidRPr="003575E6" w:rsidRDefault="000745A3" w:rsidP="00295E03">
    <w:pPr>
      <w:pStyle w:val="Header"/>
      <w:rPr>
        <w:color w:val="auto"/>
      </w:rPr>
    </w:pPr>
    <w:r w:rsidRPr="003575E6">
      <w:rPr>
        <w:color w:val="auto"/>
      </w:rPr>
      <w:t>ANEXO V</w:t>
    </w:r>
  </w:p>
  <w:p w:rsidR="000745A3" w:rsidRPr="003575E6" w:rsidRDefault="000745A3" w:rsidP="00295E03">
    <w:pPr>
      <w:pStyle w:val="Header"/>
      <w:rPr>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D3E39"/>
    <w:multiLevelType w:val="hybridMultilevel"/>
    <w:tmpl w:val="054A45CC"/>
    <w:lvl w:ilvl="0" w:tplc="7A4AF7F4">
      <w:start w:val="1"/>
      <w:numFmt w:val="lowerLetter"/>
      <w:lvlText w:val="%1)"/>
      <w:lvlJc w:val="left"/>
      <w:pPr>
        <w:ind w:left="5747" w:hanging="360"/>
      </w:pPr>
      <w:rPr>
        <w:rFonts w:hint="default"/>
      </w:rPr>
    </w:lvl>
    <w:lvl w:ilvl="1" w:tplc="04090019" w:tentative="1">
      <w:start w:val="1"/>
      <w:numFmt w:val="lowerLetter"/>
      <w:lvlText w:val="%2."/>
      <w:lvlJc w:val="left"/>
      <w:pPr>
        <w:ind w:left="6313" w:hanging="360"/>
      </w:pPr>
    </w:lvl>
    <w:lvl w:ilvl="2" w:tplc="0409001B" w:tentative="1">
      <w:start w:val="1"/>
      <w:numFmt w:val="lowerRoman"/>
      <w:lvlText w:val="%3."/>
      <w:lvlJc w:val="right"/>
      <w:pPr>
        <w:ind w:left="7033" w:hanging="180"/>
      </w:pPr>
    </w:lvl>
    <w:lvl w:ilvl="3" w:tplc="0409000F" w:tentative="1">
      <w:start w:val="1"/>
      <w:numFmt w:val="decimal"/>
      <w:lvlText w:val="%4."/>
      <w:lvlJc w:val="left"/>
      <w:pPr>
        <w:ind w:left="7753" w:hanging="360"/>
      </w:pPr>
    </w:lvl>
    <w:lvl w:ilvl="4" w:tplc="04090019" w:tentative="1">
      <w:start w:val="1"/>
      <w:numFmt w:val="lowerLetter"/>
      <w:lvlText w:val="%5."/>
      <w:lvlJc w:val="left"/>
      <w:pPr>
        <w:ind w:left="8473" w:hanging="360"/>
      </w:pPr>
    </w:lvl>
    <w:lvl w:ilvl="5" w:tplc="0409001B" w:tentative="1">
      <w:start w:val="1"/>
      <w:numFmt w:val="lowerRoman"/>
      <w:lvlText w:val="%6."/>
      <w:lvlJc w:val="right"/>
      <w:pPr>
        <w:ind w:left="9193" w:hanging="180"/>
      </w:pPr>
    </w:lvl>
    <w:lvl w:ilvl="6" w:tplc="0409000F" w:tentative="1">
      <w:start w:val="1"/>
      <w:numFmt w:val="decimal"/>
      <w:lvlText w:val="%7."/>
      <w:lvlJc w:val="left"/>
      <w:pPr>
        <w:ind w:left="9913" w:hanging="360"/>
      </w:pPr>
    </w:lvl>
    <w:lvl w:ilvl="7" w:tplc="04090019" w:tentative="1">
      <w:start w:val="1"/>
      <w:numFmt w:val="lowerLetter"/>
      <w:lvlText w:val="%8."/>
      <w:lvlJc w:val="left"/>
      <w:pPr>
        <w:ind w:left="10633" w:hanging="360"/>
      </w:pPr>
    </w:lvl>
    <w:lvl w:ilvl="8" w:tplc="0409001B" w:tentative="1">
      <w:start w:val="1"/>
      <w:numFmt w:val="lowerRoman"/>
      <w:lvlText w:val="%9."/>
      <w:lvlJc w:val="right"/>
      <w:pPr>
        <w:ind w:left="11353" w:hanging="180"/>
      </w:pPr>
    </w:lvl>
  </w:abstractNum>
  <w:abstractNum w:abstractNumId="1">
    <w:nsid w:val="757E2D8C"/>
    <w:multiLevelType w:val="hybridMultilevel"/>
    <w:tmpl w:val="D5CA2D2E"/>
    <w:lvl w:ilvl="0" w:tplc="D40C6B1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UPOV\Meetings|UPOV\Other|UPOV\Publications|UPOV\Technical Guidelines|WorkspaceSTS\EN-ES\UPOV\Meetings|WorkspaceSTS\EN-ES\UPOV\Other|WorkspaceSTS\EN-ES\UPOV\Publications|WorkspaceSTS\EN-ES\UPOV\Technical Guidelines|WorkspaceSTS\EN-ES\UPOV\TGP_7"/>
    <w:docVar w:name="TextBaseURL" w:val="empty"/>
    <w:docVar w:name="UILng" w:val="en"/>
    <w:docVar w:name="WfColors" w:val="1"/>
  </w:docVars>
  <w:rsids>
    <w:rsidRoot w:val="00B0287C"/>
    <w:rsid w:val="00010CF3"/>
    <w:rsid w:val="00011E27"/>
    <w:rsid w:val="000148BC"/>
    <w:rsid w:val="00024AB8"/>
    <w:rsid w:val="00030854"/>
    <w:rsid w:val="00036028"/>
    <w:rsid w:val="00044642"/>
    <w:rsid w:val="000446B9"/>
    <w:rsid w:val="00047E21"/>
    <w:rsid w:val="00051763"/>
    <w:rsid w:val="000745A3"/>
    <w:rsid w:val="00085505"/>
    <w:rsid w:val="00094B8A"/>
    <w:rsid w:val="000C7021"/>
    <w:rsid w:val="000D6BBC"/>
    <w:rsid w:val="000D7780"/>
    <w:rsid w:val="000F137E"/>
    <w:rsid w:val="000F2D0A"/>
    <w:rsid w:val="000F7304"/>
    <w:rsid w:val="0010566F"/>
    <w:rsid w:val="00105929"/>
    <w:rsid w:val="00107C94"/>
    <w:rsid w:val="001131D5"/>
    <w:rsid w:val="00121CBC"/>
    <w:rsid w:val="0013332B"/>
    <w:rsid w:val="00141DB8"/>
    <w:rsid w:val="00147811"/>
    <w:rsid w:val="001479AA"/>
    <w:rsid w:val="001547AF"/>
    <w:rsid w:val="0017474A"/>
    <w:rsid w:val="001758C6"/>
    <w:rsid w:val="00184D5D"/>
    <w:rsid w:val="001872EA"/>
    <w:rsid w:val="001A77EE"/>
    <w:rsid w:val="001C1042"/>
    <w:rsid w:val="001C6237"/>
    <w:rsid w:val="00201893"/>
    <w:rsid w:val="0021332C"/>
    <w:rsid w:val="00213982"/>
    <w:rsid w:val="00235267"/>
    <w:rsid w:val="0024416D"/>
    <w:rsid w:val="002446CE"/>
    <w:rsid w:val="00266E18"/>
    <w:rsid w:val="002800A0"/>
    <w:rsid w:val="002801B3"/>
    <w:rsid w:val="00281060"/>
    <w:rsid w:val="00282600"/>
    <w:rsid w:val="002940E8"/>
    <w:rsid w:val="00295E03"/>
    <w:rsid w:val="002A60D1"/>
    <w:rsid w:val="002A6E50"/>
    <w:rsid w:val="002C0419"/>
    <w:rsid w:val="002C256A"/>
    <w:rsid w:val="002D6C99"/>
    <w:rsid w:val="002D7493"/>
    <w:rsid w:val="002E4F18"/>
    <w:rsid w:val="00305A7F"/>
    <w:rsid w:val="003152FE"/>
    <w:rsid w:val="00320AE8"/>
    <w:rsid w:val="00324963"/>
    <w:rsid w:val="00327436"/>
    <w:rsid w:val="00330F65"/>
    <w:rsid w:val="00344BD6"/>
    <w:rsid w:val="00346428"/>
    <w:rsid w:val="003533B8"/>
    <w:rsid w:val="0035528D"/>
    <w:rsid w:val="003575E6"/>
    <w:rsid w:val="00361821"/>
    <w:rsid w:val="00366D8A"/>
    <w:rsid w:val="00370631"/>
    <w:rsid w:val="0037736F"/>
    <w:rsid w:val="00390B78"/>
    <w:rsid w:val="003C5DEB"/>
    <w:rsid w:val="003D227C"/>
    <w:rsid w:val="003D2B4D"/>
    <w:rsid w:val="003D7E71"/>
    <w:rsid w:val="003E5EA6"/>
    <w:rsid w:val="00417CE3"/>
    <w:rsid w:val="00422FD5"/>
    <w:rsid w:val="00424E4B"/>
    <w:rsid w:val="00431767"/>
    <w:rsid w:val="00440EC9"/>
    <w:rsid w:val="00444A88"/>
    <w:rsid w:val="00464BAB"/>
    <w:rsid w:val="00473645"/>
    <w:rsid w:val="00474DA4"/>
    <w:rsid w:val="004D047D"/>
    <w:rsid w:val="004F1D89"/>
    <w:rsid w:val="004F305A"/>
    <w:rsid w:val="004F6340"/>
    <w:rsid w:val="00512164"/>
    <w:rsid w:val="00520297"/>
    <w:rsid w:val="005338F9"/>
    <w:rsid w:val="0054281C"/>
    <w:rsid w:val="0055268D"/>
    <w:rsid w:val="00564867"/>
    <w:rsid w:val="005753EF"/>
    <w:rsid w:val="00576BE4"/>
    <w:rsid w:val="00576BF0"/>
    <w:rsid w:val="00586C92"/>
    <w:rsid w:val="0059001A"/>
    <w:rsid w:val="00590637"/>
    <w:rsid w:val="005A400A"/>
    <w:rsid w:val="005B711C"/>
    <w:rsid w:val="005C5BCA"/>
    <w:rsid w:val="006102BB"/>
    <w:rsid w:val="00612379"/>
    <w:rsid w:val="0061555F"/>
    <w:rsid w:val="00625523"/>
    <w:rsid w:val="00641200"/>
    <w:rsid w:val="0064663E"/>
    <w:rsid w:val="00663160"/>
    <w:rsid w:val="00673736"/>
    <w:rsid w:val="00687EB4"/>
    <w:rsid w:val="006A13B5"/>
    <w:rsid w:val="006A1ECF"/>
    <w:rsid w:val="006B17D2"/>
    <w:rsid w:val="006C224E"/>
    <w:rsid w:val="006D1EF5"/>
    <w:rsid w:val="006D780A"/>
    <w:rsid w:val="0071606C"/>
    <w:rsid w:val="00732DEC"/>
    <w:rsid w:val="00735BD5"/>
    <w:rsid w:val="00741AF4"/>
    <w:rsid w:val="00753A37"/>
    <w:rsid w:val="007556F6"/>
    <w:rsid w:val="00760EEF"/>
    <w:rsid w:val="0076277A"/>
    <w:rsid w:val="00777EE5"/>
    <w:rsid w:val="00784836"/>
    <w:rsid w:val="00785A79"/>
    <w:rsid w:val="0079023E"/>
    <w:rsid w:val="007A2854"/>
    <w:rsid w:val="007A7DAF"/>
    <w:rsid w:val="007D0B9D"/>
    <w:rsid w:val="007D19B0"/>
    <w:rsid w:val="007E0D61"/>
    <w:rsid w:val="007F498F"/>
    <w:rsid w:val="007F4BB2"/>
    <w:rsid w:val="0080331A"/>
    <w:rsid w:val="00806518"/>
    <w:rsid w:val="0080679D"/>
    <w:rsid w:val="008108B0"/>
    <w:rsid w:val="00811725"/>
    <w:rsid w:val="00811B20"/>
    <w:rsid w:val="0082296E"/>
    <w:rsid w:val="00824099"/>
    <w:rsid w:val="00845E0F"/>
    <w:rsid w:val="008638B2"/>
    <w:rsid w:val="00867AC1"/>
    <w:rsid w:val="00881EC8"/>
    <w:rsid w:val="008A1693"/>
    <w:rsid w:val="008A743F"/>
    <w:rsid w:val="008C0970"/>
    <w:rsid w:val="008D2CF7"/>
    <w:rsid w:val="008D3729"/>
    <w:rsid w:val="008E60B9"/>
    <w:rsid w:val="00900C26"/>
    <w:rsid w:val="0090197F"/>
    <w:rsid w:val="00905020"/>
    <w:rsid w:val="00906DDC"/>
    <w:rsid w:val="009273A4"/>
    <w:rsid w:val="00934E09"/>
    <w:rsid w:val="00936253"/>
    <w:rsid w:val="00950C3C"/>
    <w:rsid w:val="00952DD4"/>
    <w:rsid w:val="00970020"/>
    <w:rsid w:val="00970FED"/>
    <w:rsid w:val="00997029"/>
    <w:rsid w:val="009A32AD"/>
    <w:rsid w:val="009B08AD"/>
    <w:rsid w:val="009C1D94"/>
    <w:rsid w:val="009D58C9"/>
    <w:rsid w:val="009D690D"/>
    <w:rsid w:val="009E3412"/>
    <w:rsid w:val="009E65B6"/>
    <w:rsid w:val="009F5648"/>
    <w:rsid w:val="00A13C6F"/>
    <w:rsid w:val="00A230A3"/>
    <w:rsid w:val="00A37B04"/>
    <w:rsid w:val="00A42AC3"/>
    <w:rsid w:val="00A430CF"/>
    <w:rsid w:val="00A47CDB"/>
    <w:rsid w:val="00A54309"/>
    <w:rsid w:val="00A55C19"/>
    <w:rsid w:val="00A63276"/>
    <w:rsid w:val="00A66858"/>
    <w:rsid w:val="00A80212"/>
    <w:rsid w:val="00A80554"/>
    <w:rsid w:val="00A81C00"/>
    <w:rsid w:val="00AA65E7"/>
    <w:rsid w:val="00AB2B93"/>
    <w:rsid w:val="00AB7E5B"/>
    <w:rsid w:val="00AC43C6"/>
    <w:rsid w:val="00AC6182"/>
    <w:rsid w:val="00AE0EF1"/>
    <w:rsid w:val="00AF2CF0"/>
    <w:rsid w:val="00B0287C"/>
    <w:rsid w:val="00B07301"/>
    <w:rsid w:val="00B12AC1"/>
    <w:rsid w:val="00B1551A"/>
    <w:rsid w:val="00B204AE"/>
    <w:rsid w:val="00B224DE"/>
    <w:rsid w:val="00B309E6"/>
    <w:rsid w:val="00B35A2C"/>
    <w:rsid w:val="00B546A9"/>
    <w:rsid w:val="00B70F0E"/>
    <w:rsid w:val="00B82F01"/>
    <w:rsid w:val="00B84BBD"/>
    <w:rsid w:val="00B91710"/>
    <w:rsid w:val="00BA43FB"/>
    <w:rsid w:val="00BC127D"/>
    <w:rsid w:val="00BC1FE6"/>
    <w:rsid w:val="00C061B6"/>
    <w:rsid w:val="00C13808"/>
    <w:rsid w:val="00C22C85"/>
    <w:rsid w:val="00C2446C"/>
    <w:rsid w:val="00C25A43"/>
    <w:rsid w:val="00C326BF"/>
    <w:rsid w:val="00C36AE5"/>
    <w:rsid w:val="00C417F4"/>
    <w:rsid w:val="00C41F17"/>
    <w:rsid w:val="00C5791C"/>
    <w:rsid w:val="00C66290"/>
    <w:rsid w:val="00C72B7A"/>
    <w:rsid w:val="00C8310F"/>
    <w:rsid w:val="00C846CF"/>
    <w:rsid w:val="00C970A7"/>
    <w:rsid w:val="00C973F2"/>
    <w:rsid w:val="00CA774A"/>
    <w:rsid w:val="00CB4552"/>
    <w:rsid w:val="00CC11B0"/>
    <w:rsid w:val="00CD24EF"/>
    <w:rsid w:val="00CF7E36"/>
    <w:rsid w:val="00D0156C"/>
    <w:rsid w:val="00D261C5"/>
    <w:rsid w:val="00D34371"/>
    <w:rsid w:val="00D3708D"/>
    <w:rsid w:val="00D40426"/>
    <w:rsid w:val="00D57C96"/>
    <w:rsid w:val="00D91203"/>
    <w:rsid w:val="00D95174"/>
    <w:rsid w:val="00DA4685"/>
    <w:rsid w:val="00DA6F36"/>
    <w:rsid w:val="00DB596E"/>
    <w:rsid w:val="00DC00EA"/>
    <w:rsid w:val="00DD4E0F"/>
    <w:rsid w:val="00DD7084"/>
    <w:rsid w:val="00DE3276"/>
    <w:rsid w:val="00E1241D"/>
    <w:rsid w:val="00E24977"/>
    <w:rsid w:val="00E31CDF"/>
    <w:rsid w:val="00E50918"/>
    <w:rsid w:val="00E603D2"/>
    <w:rsid w:val="00E634EA"/>
    <w:rsid w:val="00E72D49"/>
    <w:rsid w:val="00E7593C"/>
    <w:rsid w:val="00E7678A"/>
    <w:rsid w:val="00E81772"/>
    <w:rsid w:val="00E86C96"/>
    <w:rsid w:val="00E935F1"/>
    <w:rsid w:val="00E94A81"/>
    <w:rsid w:val="00EA1FFB"/>
    <w:rsid w:val="00EA5245"/>
    <w:rsid w:val="00EB048E"/>
    <w:rsid w:val="00EC2109"/>
    <w:rsid w:val="00EC5E77"/>
    <w:rsid w:val="00ED5ADB"/>
    <w:rsid w:val="00EE34DF"/>
    <w:rsid w:val="00EF2F89"/>
    <w:rsid w:val="00F03C1E"/>
    <w:rsid w:val="00F1237A"/>
    <w:rsid w:val="00F204F5"/>
    <w:rsid w:val="00F22CBD"/>
    <w:rsid w:val="00F45372"/>
    <w:rsid w:val="00F45F96"/>
    <w:rsid w:val="00F560F7"/>
    <w:rsid w:val="00F6316F"/>
    <w:rsid w:val="00F6334D"/>
    <w:rsid w:val="00F72BB3"/>
    <w:rsid w:val="00F76F2C"/>
    <w:rsid w:val="00F77B84"/>
    <w:rsid w:val="00FA49AB"/>
    <w:rsid w:val="00FB02B5"/>
    <w:rsid w:val="00FD3B28"/>
    <w:rsid w:val="00FE39C7"/>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rPr>
  </w:style>
  <w:style w:type="paragraph" w:styleId="Heading1">
    <w:name w:val="heading 1"/>
    <w:next w:val="Normal"/>
    <w:link w:val="Heading1Char"/>
    <w:autoRedefine/>
    <w:qFormat/>
    <w:rsid w:val="00370631"/>
    <w:pPr>
      <w:keepNext/>
      <w:jc w:val="both"/>
      <w:outlineLvl w:val="0"/>
    </w:pPr>
    <w:rPr>
      <w:rFonts w:ascii="Arial" w:hAnsi="Arial"/>
      <w:caps/>
    </w:rPr>
  </w:style>
  <w:style w:type="paragraph" w:styleId="Heading2">
    <w:name w:val="heading 2"/>
    <w:next w:val="Normal"/>
    <w:autoRedefine/>
    <w:qFormat/>
    <w:rsid w:val="00D0156C"/>
    <w:pPr>
      <w:keepNext/>
      <w:jc w:val="both"/>
      <w:outlineLvl w:val="1"/>
    </w:pPr>
    <w:rPr>
      <w:rFonts w:ascii="Arial" w:hAnsi="Arial"/>
      <w:color w:val="808080"/>
      <w:u w:val="single"/>
      <w:lang w:val="es-ES_tradnl"/>
    </w:rPr>
  </w:style>
  <w:style w:type="paragraph" w:styleId="Heading3">
    <w:name w:val="heading 3"/>
    <w:next w:val="Normal"/>
    <w:autoRedefine/>
    <w:qFormat/>
    <w:rsid w:val="001C6237"/>
    <w:pPr>
      <w:keepNext/>
      <w:jc w:val="both"/>
      <w:outlineLvl w:val="2"/>
    </w:pPr>
    <w:rPr>
      <w:rFonts w:ascii="Arial" w:hAnsi="Arial"/>
      <w:i/>
      <w:color w:val="808080"/>
      <w:lang w:val="es-ES_tradnl" w:eastAsia="de-DE" w:bidi="de-DE"/>
    </w:rPr>
  </w:style>
  <w:style w:type="paragraph" w:styleId="Heading4">
    <w:name w:val="heading 4"/>
    <w:next w:val="Normal"/>
    <w:autoRedefine/>
    <w:qFormat/>
    <w:rsid w:val="00370631"/>
    <w:pPr>
      <w:keepNext/>
      <w:ind w:left="567"/>
      <w:jc w:val="both"/>
      <w:outlineLvl w:val="3"/>
    </w:pPr>
    <w:rPr>
      <w:rFonts w:ascii="Arial" w:hAnsi="Arial"/>
      <w:u w:val="single"/>
      <w:lang w:val="fr-FR"/>
    </w:rPr>
  </w:style>
  <w:style w:type="paragraph" w:styleId="Heading5">
    <w:name w:val="heading 5"/>
    <w:next w:val="Normal"/>
    <w:autoRedefine/>
    <w:qFormat/>
    <w:rsid w:val="00370631"/>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295E03"/>
    <w:pPr>
      <w:tabs>
        <w:tab w:val="center" w:pos="4536"/>
        <w:tab w:val="right" w:pos="9072"/>
      </w:tabs>
      <w:jc w:val="center"/>
    </w:pPr>
    <w:rPr>
      <w:rFonts w:ascii="Arial" w:hAnsi="Arial"/>
      <w:color w:val="808080"/>
      <w:lang w:val="es-ES"/>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905020"/>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266E18"/>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905020"/>
    <w:pPr>
      <w:keepNext/>
      <w:keepLines/>
      <w:spacing w:before="180" w:after="120"/>
      <w:jc w:val="left"/>
    </w:pPr>
    <w:rPr>
      <w:caps/>
      <w:noProof/>
      <w:snapToGrid w:val="0"/>
      <w:u w:val="single"/>
    </w:rPr>
  </w:style>
  <w:style w:type="paragraph" w:customStyle="1" w:styleId="pldetails">
    <w:name w:val="pldetails"/>
    <w:basedOn w:val="Normal"/>
    <w:rsid w:val="00905020"/>
    <w:pPr>
      <w:keepLines/>
      <w:spacing w:before="60" w:after="60"/>
      <w:jc w:val="left"/>
    </w:pPr>
    <w:rPr>
      <w:noProof/>
      <w:snapToGrid w:val="0"/>
    </w:rPr>
  </w:style>
  <w:style w:type="paragraph" w:customStyle="1" w:styleId="plheading">
    <w:name w:val="plheading"/>
    <w:basedOn w:val="Normal"/>
    <w:rsid w:val="00905020"/>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DD4E0F"/>
    <w:pPr>
      <w:spacing w:before="480"/>
      <w:ind w:left="567" w:hanging="567"/>
      <w:jc w:val="right"/>
    </w:pPr>
    <w:rPr>
      <w:rFonts w:ascii="Arial" w:hAnsi="Arial"/>
      <w:snapToGrid w:val="0"/>
      <w:color w:val="808080"/>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370631"/>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370631"/>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905020"/>
    <w:rPr>
      <w:rFonts w:ascii="Arial" w:hAnsi="Arial"/>
      <w:color w:val="0000FF"/>
      <w:u w:val="single"/>
    </w:rPr>
  </w:style>
  <w:style w:type="paragraph" w:styleId="TOC4">
    <w:name w:val="toc 4"/>
    <w:next w:val="Normal"/>
    <w:autoRedefine/>
    <w:semiHidden/>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F6316F"/>
    <w:pPr>
      <w:tabs>
        <w:tab w:val="right" w:leader="dot" w:pos="9639"/>
      </w:tabs>
      <w:contextualSpacing/>
    </w:pPr>
    <w:rPr>
      <w:rFonts w:ascii="Arial" w:hAnsi="Arial"/>
      <w:caps/>
    </w:rPr>
  </w:style>
  <w:style w:type="paragraph" w:styleId="TOC5">
    <w:name w:val="toc 5"/>
    <w:next w:val="Normal"/>
    <w:autoRedefine/>
    <w:semiHidden/>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1479AA"/>
    <w:rPr>
      <w:rFonts w:ascii="Tahoma" w:hAnsi="Tahoma" w:cs="Tahoma"/>
      <w:sz w:val="16"/>
      <w:szCs w:val="16"/>
    </w:rPr>
  </w:style>
  <w:style w:type="character" w:customStyle="1" w:styleId="BalloonTextChar">
    <w:name w:val="Balloon Text Char"/>
    <w:basedOn w:val="DefaultParagraphFont"/>
    <w:link w:val="BalloonText"/>
    <w:rsid w:val="001479AA"/>
    <w:rPr>
      <w:rFonts w:ascii="Tahoma" w:hAnsi="Tahoma" w:cs="Tahoma"/>
      <w:sz w:val="16"/>
      <w:szCs w:val="16"/>
    </w:rPr>
  </w:style>
  <w:style w:type="paragraph" w:styleId="ListParagraph">
    <w:name w:val="List Paragraph"/>
    <w:basedOn w:val="Normal"/>
    <w:uiPriority w:val="34"/>
    <w:qFormat/>
    <w:rsid w:val="005C5BCA"/>
    <w:pPr>
      <w:ind w:left="720"/>
      <w:contextualSpacing/>
    </w:pPr>
  </w:style>
  <w:style w:type="table" w:styleId="TableGrid">
    <w:name w:val="Table Grid"/>
    <w:basedOn w:val="TableNormal"/>
    <w:rsid w:val="005C5BCA"/>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C5BCA"/>
    <w:rPr>
      <w:rFonts w:ascii="Arial" w:hAnsi="Arial"/>
      <w:caps/>
    </w:rPr>
  </w:style>
  <w:style w:type="character" w:customStyle="1" w:styleId="FooterChar">
    <w:name w:val="Footer Char"/>
    <w:aliases w:val="doc_path_name Char"/>
    <w:basedOn w:val="DefaultParagraphFont"/>
    <w:link w:val="Footer"/>
    <w:uiPriority w:val="99"/>
    <w:rsid w:val="00440EC9"/>
    <w:rPr>
      <w:rFonts w:ascii="Arial" w:hAnsi="Arial"/>
      <w:sz w:val="14"/>
    </w:rPr>
  </w:style>
  <w:style w:type="character" w:customStyle="1" w:styleId="HeaderChar">
    <w:name w:val="Header Char"/>
    <w:basedOn w:val="DefaultParagraphFont"/>
    <w:link w:val="Header"/>
    <w:uiPriority w:val="99"/>
    <w:rsid w:val="00295E03"/>
    <w:rPr>
      <w:rFonts w:ascii="Arial" w:hAnsi="Arial"/>
      <w:color w:val="808080"/>
      <w:lang w:val="es-ES"/>
    </w:rPr>
  </w:style>
  <w:style w:type="character" w:styleId="CommentReference">
    <w:name w:val="annotation reference"/>
    <w:basedOn w:val="DefaultParagraphFont"/>
    <w:rsid w:val="0064663E"/>
    <w:rPr>
      <w:sz w:val="16"/>
      <w:szCs w:val="16"/>
    </w:rPr>
  </w:style>
  <w:style w:type="paragraph" w:styleId="CommentText">
    <w:name w:val="annotation text"/>
    <w:basedOn w:val="Normal"/>
    <w:link w:val="CommentTextChar"/>
    <w:rsid w:val="0064663E"/>
  </w:style>
  <w:style w:type="character" w:customStyle="1" w:styleId="CommentTextChar">
    <w:name w:val="Comment Text Char"/>
    <w:basedOn w:val="DefaultParagraphFont"/>
    <w:link w:val="CommentText"/>
    <w:rsid w:val="0064663E"/>
    <w:rPr>
      <w:rFonts w:ascii="Arial" w:hAnsi="Arial"/>
    </w:rPr>
  </w:style>
  <w:style w:type="paragraph" w:styleId="CommentSubject">
    <w:name w:val="annotation subject"/>
    <w:basedOn w:val="CommentText"/>
    <w:next w:val="CommentText"/>
    <w:link w:val="CommentSubjectChar"/>
    <w:rsid w:val="0064663E"/>
    <w:rPr>
      <w:b/>
      <w:bCs/>
    </w:rPr>
  </w:style>
  <w:style w:type="character" w:customStyle="1" w:styleId="CommentSubjectChar">
    <w:name w:val="Comment Subject Char"/>
    <w:basedOn w:val="CommentTextChar"/>
    <w:link w:val="CommentSubject"/>
    <w:rsid w:val="0064663E"/>
    <w:rPr>
      <w:rFonts w:ascii="Arial" w:hAnsi="Arial"/>
      <w:b/>
      <w:bCs/>
    </w:rPr>
  </w:style>
  <w:style w:type="paragraph" w:styleId="Revision">
    <w:name w:val="Revision"/>
    <w:hidden/>
    <w:uiPriority w:val="99"/>
    <w:semiHidden/>
    <w:rsid w:val="0064663E"/>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rPr>
  </w:style>
  <w:style w:type="paragraph" w:styleId="Heading1">
    <w:name w:val="heading 1"/>
    <w:next w:val="Normal"/>
    <w:link w:val="Heading1Char"/>
    <w:autoRedefine/>
    <w:qFormat/>
    <w:rsid w:val="00370631"/>
    <w:pPr>
      <w:keepNext/>
      <w:jc w:val="both"/>
      <w:outlineLvl w:val="0"/>
    </w:pPr>
    <w:rPr>
      <w:rFonts w:ascii="Arial" w:hAnsi="Arial"/>
      <w:caps/>
    </w:rPr>
  </w:style>
  <w:style w:type="paragraph" w:styleId="Heading2">
    <w:name w:val="heading 2"/>
    <w:next w:val="Normal"/>
    <w:autoRedefine/>
    <w:qFormat/>
    <w:rsid w:val="00D0156C"/>
    <w:pPr>
      <w:keepNext/>
      <w:jc w:val="both"/>
      <w:outlineLvl w:val="1"/>
    </w:pPr>
    <w:rPr>
      <w:rFonts w:ascii="Arial" w:hAnsi="Arial"/>
      <w:color w:val="808080"/>
      <w:u w:val="single"/>
      <w:lang w:val="es-ES_tradnl"/>
    </w:rPr>
  </w:style>
  <w:style w:type="paragraph" w:styleId="Heading3">
    <w:name w:val="heading 3"/>
    <w:next w:val="Normal"/>
    <w:autoRedefine/>
    <w:qFormat/>
    <w:rsid w:val="001C6237"/>
    <w:pPr>
      <w:keepNext/>
      <w:jc w:val="both"/>
      <w:outlineLvl w:val="2"/>
    </w:pPr>
    <w:rPr>
      <w:rFonts w:ascii="Arial" w:hAnsi="Arial"/>
      <w:i/>
      <w:color w:val="808080"/>
      <w:lang w:val="es-ES_tradnl" w:eastAsia="de-DE" w:bidi="de-DE"/>
    </w:rPr>
  </w:style>
  <w:style w:type="paragraph" w:styleId="Heading4">
    <w:name w:val="heading 4"/>
    <w:next w:val="Normal"/>
    <w:autoRedefine/>
    <w:qFormat/>
    <w:rsid w:val="00370631"/>
    <w:pPr>
      <w:keepNext/>
      <w:ind w:left="567"/>
      <w:jc w:val="both"/>
      <w:outlineLvl w:val="3"/>
    </w:pPr>
    <w:rPr>
      <w:rFonts w:ascii="Arial" w:hAnsi="Arial"/>
      <w:u w:val="single"/>
      <w:lang w:val="fr-FR"/>
    </w:rPr>
  </w:style>
  <w:style w:type="paragraph" w:styleId="Heading5">
    <w:name w:val="heading 5"/>
    <w:next w:val="Normal"/>
    <w:autoRedefine/>
    <w:qFormat/>
    <w:rsid w:val="00370631"/>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295E03"/>
    <w:pPr>
      <w:tabs>
        <w:tab w:val="center" w:pos="4536"/>
        <w:tab w:val="right" w:pos="9072"/>
      </w:tabs>
      <w:jc w:val="center"/>
    </w:pPr>
    <w:rPr>
      <w:rFonts w:ascii="Arial" w:hAnsi="Arial"/>
      <w:color w:val="808080"/>
      <w:lang w:val="es-ES"/>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905020"/>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266E18"/>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905020"/>
    <w:pPr>
      <w:keepNext/>
      <w:keepLines/>
      <w:spacing w:before="180" w:after="120"/>
      <w:jc w:val="left"/>
    </w:pPr>
    <w:rPr>
      <w:caps/>
      <w:noProof/>
      <w:snapToGrid w:val="0"/>
      <w:u w:val="single"/>
    </w:rPr>
  </w:style>
  <w:style w:type="paragraph" w:customStyle="1" w:styleId="pldetails">
    <w:name w:val="pldetails"/>
    <w:basedOn w:val="Normal"/>
    <w:rsid w:val="00905020"/>
    <w:pPr>
      <w:keepLines/>
      <w:spacing w:before="60" w:after="60"/>
      <w:jc w:val="left"/>
    </w:pPr>
    <w:rPr>
      <w:noProof/>
      <w:snapToGrid w:val="0"/>
    </w:rPr>
  </w:style>
  <w:style w:type="paragraph" w:customStyle="1" w:styleId="plheading">
    <w:name w:val="plheading"/>
    <w:basedOn w:val="Normal"/>
    <w:rsid w:val="00905020"/>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DD4E0F"/>
    <w:pPr>
      <w:spacing w:before="480"/>
      <w:ind w:left="567" w:hanging="567"/>
      <w:jc w:val="right"/>
    </w:pPr>
    <w:rPr>
      <w:rFonts w:ascii="Arial" w:hAnsi="Arial"/>
      <w:snapToGrid w:val="0"/>
      <w:color w:val="808080"/>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370631"/>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370631"/>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905020"/>
    <w:rPr>
      <w:rFonts w:ascii="Arial" w:hAnsi="Arial"/>
      <w:color w:val="0000FF"/>
      <w:u w:val="single"/>
    </w:rPr>
  </w:style>
  <w:style w:type="paragraph" w:styleId="TOC4">
    <w:name w:val="toc 4"/>
    <w:next w:val="Normal"/>
    <w:autoRedefine/>
    <w:semiHidden/>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F6316F"/>
    <w:pPr>
      <w:tabs>
        <w:tab w:val="right" w:leader="dot" w:pos="9639"/>
      </w:tabs>
      <w:contextualSpacing/>
    </w:pPr>
    <w:rPr>
      <w:rFonts w:ascii="Arial" w:hAnsi="Arial"/>
      <w:caps/>
    </w:rPr>
  </w:style>
  <w:style w:type="paragraph" w:styleId="TOC5">
    <w:name w:val="toc 5"/>
    <w:next w:val="Normal"/>
    <w:autoRedefine/>
    <w:semiHidden/>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1479AA"/>
    <w:rPr>
      <w:rFonts w:ascii="Tahoma" w:hAnsi="Tahoma" w:cs="Tahoma"/>
      <w:sz w:val="16"/>
      <w:szCs w:val="16"/>
    </w:rPr>
  </w:style>
  <w:style w:type="character" w:customStyle="1" w:styleId="BalloonTextChar">
    <w:name w:val="Balloon Text Char"/>
    <w:basedOn w:val="DefaultParagraphFont"/>
    <w:link w:val="BalloonText"/>
    <w:rsid w:val="001479AA"/>
    <w:rPr>
      <w:rFonts w:ascii="Tahoma" w:hAnsi="Tahoma" w:cs="Tahoma"/>
      <w:sz w:val="16"/>
      <w:szCs w:val="16"/>
    </w:rPr>
  </w:style>
  <w:style w:type="paragraph" w:styleId="ListParagraph">
    <w:name w:val="List Paragraph"/>
    <w:basedOn w:val="Normal"/>
    <w:uiPriority w:val="34"/>
    <w:qFormat/>
    <w:rsid w:val="005C5BCA"/>
    <w:pPr>
      <w:ind w:left="720"/>
      <w:contextualSpacing/>
    </w:pPr>
  </w:style>
  <w:style w:type="table" w:styleId="TableGrid">
    <w:name w:val="Table Grid"/>
    <w:basedOn w:val="TableNormal"/>
    <w:rsid w:val="005C5BCA"/>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C5BCA"/>
    <w:rPr>
      <w:rFonts w:ascii="Arial" w:hAnsi="Arial"/>
      <w:caps/>
    </w:rPr>
  </w:style>
  <w:style w:type="character" w:customStyle="1" w:styleId="FooterChar">
    <w:name w:val="Footer Char"/>
    <w:aliases w:val="doc_path_name Char"/>
    <w:basedOn w:val="DefaultParagraphFont"/>
    <w:link w:val="Footer"/>
    <w:uiPriority w:val="99"/>
    <w:rsid w:val="00440EC9"/>
    <w:rPr>
      <w:rFonts w:ascii="Arial" w:hAnsi="Arial"/>
      <w:sz w:val="14"/>
    </w:rPr>
  </w:style>
  <w:style w:type="character" w:customStyle="1" w:styleId="HeaderChar">
    <w:name w:val="Header Char"/>
    <w:basedOn w:val="DefaultParagraphFont"/>
    <w:link w:val="Header"/>
    <w:uiPriority w:val="99"/>
    <w:rsid w:val="00295E03"/>
    <w:rPr>
      <w:rFonts w:ascii="Arial" w:hAnsi="Arial"/>
      <w:color w:val="808080"/>
      <w:lang w:val="es-ES"/>
    </w:rPr>
  </w:style>
  <w:style w:type="character" w:styleId="CommentReference">
    <w:name w:val="annotation reference"/>
    <w:basedOn w:val="DefaultParagraphFont"/>
    <w:rsid w:val="0064663E"/>
    <w:rPr>
      <w:sz w:val="16"/>
      <w:szCs w:val="16"/>
    </w:rPr>
  </w:style>
  <w:style w:type="paragraph" w:styleId="CommentText">
    <w:name w:val="annotation text"/>
    <w:basedOn w:val="Normal"/>
    <w:link w:val="CommentTextChar"/>
    <w:rsid w:val="0064663E"/>
  </w:style>
  <w:style w:type="character" w:customStyle="1" w:styleId="CommentTextChar">
    <w:name w:val="Comment Text Char"/>
    <w:basedOn w:val="DefaultParagraphFont"/>
    <w:link w:val="CommentText"/>
    <w:rsid w:val="0064663E"/>
    <w:rPr>
      <w:rFonts w:ascii="Arial" w:hAnsi="Arial"/>
    </w:rPr>
  </w:style>
  <w:style w:type="paragraph" w:styleId="CommentSubject">
    <w:name w:val="annotation subject"/>
    <w:basedOn w:val="CommentText"/>
    <w:next w:val="CommentText"/>
    <w:link w:val="CommentSubjectChar"/>
    <w:rsid w:val="0064663E"/>
    <w:rPr>
      <w:b/>
      <w:bCs/>
    </w:rPr>
  </w:style>
  <w:style w:type="character" w:customStyle="1" w:styleId="CommentSubjectChar">
    <w:name w:val="Comment Subject Char"/>
    <w:basedOn w:val="CommentTextChar"/>
    <w:link w:val="CommentSubject"/>
    <w:rsid w:val="0064663E"/>
    <w:rPr>
      <w:rFonts w:ascii="Arial" w:hAnsi="Arial"/>
      <w:b/>
      <w:bCs/>
    </w:rPr>
  </w:style>
  <w:style w:type="paragraph" w:styleId="Revision">
    <w:name w:val="Revision"/>
    <w:hidden/>
    <w:uiPriority w:val="99"/>
    <w:semiHidden/>
    <w:rsid w:val="0064663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eader" Target="header8.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www.seedtest.org/en/stats_tool_box_content---1--1143.html"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12</Pages>
  <Words>5989</Words>
  <Characters>30003</Characters>
  <Application>Microsoft Office Word</Application>
  <DocSecurity>0</DocSecurity>
  <Lines>250</Lines>
  <Paragraphs>71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TC/50</vt:lpstr>
      <vt:lpstr>TC/50</vt:lpstr>
    </vt:vector>
  </TitlesOfParts>
  <Company>UPOV</Company>
  <LinksUpToDate>false</LinksUpToDate>
  <CharactersWithSpaces>35921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LOPEZ OLIVARES Dolores</dc:creator>
  <cp:lastModifiedBy>LONG Victoria</cp:lastModifiedBy>
  <cp:revision>6</cp:revision>
  <cp:lastPrinted>2015-02-26T16:15:00Z</cp:lastPrinted>
  <dcterms:created xsi:type="dcterms:W3CDTF">2015-02-17T08:24:00Z</dcterms:created>
  <dcterms:modified xsi:type="dcterms:W3CDTF">2015-02-26T16:15:00Z</dcterms:modified>
</cp:coreProperties>
</file>