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D6D04" w:rsidRPr="00CB0983" w:rsidTr="00C13808">
        <w:trPr>
          <w:trHeight w:val="1760"/>
        </w:trPr>
        <w:tc>
          <w:tcPr>
            <w:tcW w:w="4243" w:type="dxa"/>
          </w:tcPr>
          <w:p w:rsidR="000D7780" w:rsidRPr="00BD6D04" w:rsidRDefault="000D7780" w:rsidP="00F45372">
            <w:pPr>
              <w:rPr>
                <w:lang w:val="es-ES_tradnl"/>
              </w:rPr>
            </w:pPr>
          </w:p>
        </w:tc>
        <w:tc>
          <w:tcPr>
            <w:tcW w:w="1646" w:type="dxa"/>
            <w:vAlign w:val="center"/>
          </w:tcPr>
          <w:p w:rsidR="004F1D89" w:rsidRPr="00BD6D04" w:rsidRDefault="004F1D89" w:rsidP="00F45372">
            <w:pPr>
              <w:pStyle w:val="LogoUPOV"/>
              <w:rPr>
                <w:lang w:val="es-ES_tradnl"/>
              </w:rPr>
            </w:pPr>
            <w:r w:rsidRPr="00BD6D04">
              <w:rPr>
                <w:noProof/>
              </w:rPr>
              <w:drawing>
                <wp:inline distT="0" distB="0" distL="0" distR="0" wp14:anchorId="6FE25582" wp14:editId="58F7553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81A7E" w:rsidRPr="00BD6D04" w:rsidRDefault="00281A7E" w:rsidP="00281A7E">
            <w:pPr>
              <w:pStyle w:val="Lettrine"/>
              <w:rPr>
                <w:lang w:val="es-ES_tradnl"/>
              </w:rPr>
            </w:pPr>
            <w:r w:rsidRPr="00BD6D04">
              <w:rPr>
                <w:lang w:val="es-ES_tradnl"/>
              </w:rPr>
              <w:t>S</w:t>
            </w:r>
          </w:p>
          <w:p w:rsidR="00281A7E" w:rsidRPr="00BD6D04" w:rsidRDefault="00281A7E" w:rsidP="00281A7E">
            <w:pPr>
              <w:pStyle w:val="Docoriginal"/>
              <w:rPr>
                <w:lang w:val="es-ES_tradnl"/>
              </w:rPr>
            </w:pPr>
            <w:bookmarkStart w:id="0" w:name="Code"/>
            <w:bookmarkEnd w:id="0"/>
            <w:r w:rsidRPr="00BD6D04">
              <w:rPr>
                <w:lang w:val="es-ES_tradnl"/>
              </w:rPr>
              <w:t>TC/51/22</w:t>
            </w:r>
          </w:p>
          <w:p w:rsidR="00281A7E" w:rsidRPr="00BD6D04" w:rsidRDefault="0061555F" w:rsidP="00F45372">
            <w:pPr>
              <w:pStyle w:val="Docoriginal"/>
              <w:rPr>
                <w:b w:val="0"/>
                <w:spacing w:val="0"/>
                <w:lang w:val="es-ES_tradnl"/>
              </w:rPr>
            </w:pPr>
            <w:r w:rsidRPr="00BD6D04">
              <w:rPr>
                <w:rStyle w:val="StyleDoclangBold"/>
                <w:b/>
                <w:bCs/>
                <w:spacing w:val="0"/>
                <w:lang w:val="es-ES_tradnl"/>
              </w:rPr>
              <w:t>ORIGINAL</w:t>
            </w:r>
            <w:r w:rsidR="000D7780" w:rsidRPr="00BD6D04">
              <w:rPr>
                <w:rStyle w:val="StyleDoclangBold"/>
                <w:b/>
                <w:bCs/>
                <w:spacing w:val="0"/>
                <w:lang w:val="es-ES_tradnl"/>
              </w:rPr>
              <w:t>:</w:t>
            </w:r>
            <w:r w:rsidRPr="00BD6D04">
              <w:rPr>
                <w:rStyle w:val="StyleDocoriginalNotBold1"/>
                <w:spacing w:val="0"/>
                <w:lang w:val="es-ES_tradnl"/>
              </w:rPr>
              <w:t xml:space="preserve"> </w:t>
            </w:r>
            <w:r w:rsidR="000D7780" w:rsidRPr="00BD6D04">
              <w:rPr>
                <w:rStyle w:val="StyleDocoriginalNotBold1"/>
                <w:spacing w:val="0"/>
                <w:lang w:val="es-ES_tradnl"/>
              </w:rPr>
              <w:t xml:space="preserve"> </w:t>
            </w:r>
            <w:bookmarkStart w:id="1" w:name="Original"/>
            <w:bookmarkEnd w:id="1"/>
            <w:r w:rsidR="00A47CDB" w:rsidRPr="00BD6D04">
              <w:rPr>
                <w:b w:val="0"/>
                <w:spacing w:val="0"/>
                <w:lang w:val="es-ES_tradnl"/>
              </w:rPr>
              <w:t>Inglés</w:t>
            </w:r>
          </w:p>
          <w:p w:rsidR="000D7780" w:rsidRPr="00BD6D04" w:rsidRDefault="00A47CDB" w:rsidP="001D3AA0">
            <w:pPr>
              <w:pStyle w:val="Docoriginal"/>
              <w:rPr>
                <w:lang w:val="es-ES_tradnl"/>
              </w:rPr>
            </w:pPr>
            <w:r w:rsidRPr="00BD6D04">
              <w:rPr>
                <w:spacing w:val="0"/>
                <w:lang w:val="es-ES_tradnl"/>
              </w:rPr>
              <w:t>FECHA</w:t>
            </w:r>
            <w:r w:rsidR="000D7780" w:rsidRPr="00BD6D04">
              <w:rPr>
                <w:spacing w:val="0"/>
                <w:lang w:val="es-ES_tradnl"/>
              </w:rPr>
              <w:t>:</w:t>
            </w:r>
            <w:r w:rsidR="0061555F" w:rsidRPr="00BD6D04">
              <w:rPr>
                <w:b w:val="0"/>
                <w:spacing w:val="0"/>
                <w:lang w:val="es-ES_tradnl"/>
              </w:rPr>
              <w:t xml:space="preserve"> </w:t>
            </w:r>
            <w:bookmarkStart w:id="2" w:name="Date"/>
            <w:bookmarkStart w:id="3" w:name="_GoBack"/>
            <w:bookmarkEnd w:id="2"/>
            <w:bookmarkEnd w:id="3"/>
            <w:r w:rsidR="001D3AA0">
              <w:rPr>
                <w:rStyle w:val="StyleDocoriginalNotBold1"/>
                <w:spacing w:val="0"/>
                <w:lang w:val="es-ES_tradnl"/>
              </w:rPr>
              <w:t>5</w:t>
            </w:r>
            <w:r w:rsidR="00281A7E" w:rsidRPr="00BD6D04">
              <w:rPr>
                <w:rStyle w:val="StyleDocoriginalNotBold1"/>
                <w:spacing w:val="0"/>
                <w:lang w:val="es-ES_tradnl"/>
              </w:rPr>
              <w:t xml:space="preserve"> de febrero de 2015</w:t>
            </w:r>
          </w:p>
        </w:tc>
      </w:tr>
      <w:tr w:rsidR="00BD6D04" w:rsidRPr="001D3AA0" w:rsidTr="00C13808">
        <w:tc>
          <w:tcPr>
            <w:tcW w:w="10131" w:type="dxa"/>
            <w:gridSpan w:val="3"/>
          </w:tcPr>
          <w:p w:rsidR="000D7780" w:rsidRPr="00BD6D04" w:rsidRDefault="00281A7E" w:rsidP="00281A7E">
            <w:pPr>
              <w:pStyle w:val="upove"/>
              <w:rPr>
                <w:sz w:val="28"/>
                <w:lang w:val="es-ES_tradnl"/>
              </w:rPr>
            </w:pPr>
            <w:r w:rsidRPr="00BD6D04">
              <w:rPr>
                <w:sz w:val="28"/>
                <w:lang w:val="es-ES_tradnl"/>
              </w:rPr>
              <w:t>UNIÓN INTERNACIONAL PARA LA PROTECCIÓN DE LAS OBTENCIONES VEGETALES</w:t>
            </w:r>
          </w:p>
        </w:tc>
      </w:tr>
      <w:tr w:rsidR="00BD6D04" w:rsidRPr="00BD6D04" w:rsidTr="00C13808">
        <w:tc>
          <w:tcPr>
            <w:tcW w:w="10131" w:type="dxa"/>
            <w:gridSpan w:val="3"/>
          </w:tcPr>
          <w:p w:rsidR="000D7780" w:rsidRPr="00BD6D04" w:rsidRDefault="00281A7E" w:rsidP="00281A7E">
            <w:pPr>
              <w:pStyle w:val="Country"/>
              <w:rPr>
                <w:lang w:val="es-ES_tradnl"/>
              </w:rPr>
            </w:pPr>
            <w:r w:rsidRPr="00BD6D04">
              <w:rPr>
                <w:lang w:val="es-ES_tradnl"/>
              </w:rPr>
              <w:t>Ginebra</w:t>
            </w:r>
          </w:p>
        </w:tc>
      </w:tr>
    </w:tbl>
    <w:p w:rsidR="00281A7E" w:rsidRPr="00BD6D04" w:rsidRDefault="00281A7E" w:rsidP="00281A7E">
      <w:pPr>
        <w:pStyle w:val="Sessiontc"/>
        <w:rPr>
          <w:lang w:val="es-ES_tradnl"/>
        </w:rPr>
      </w:pPr>
      <w:r w:rsidRPr="00BD6D04">
        <w:rPr>
          <w:lang w:val="es-ES_tradnl"/>
        </w:rPr>
        <w:t>COMITÉ TÉCNICO</w:t>
      </w:r>
    </w:p>
    <w:p w:rsidR="00281A7E" w:rsidRPr="00BD6D04" w:rsidRDefault="007F4BB2" w:rsidP="00F45372">
      <w:pPr>
        <w:pStyle w:val="Sessiontcplacedate"/>
        <w:rPr>
          <w:lang w:val="es-ES_tradnl"/>
        </w:rPr>
      </w:pPr>
      <w:r w:rsidRPr="00BD6D04">
        <w:rPr>
          <w:lang w:val="es-ES_tradnl"/>
        </w:rPr>
        <w:t>Quincua</w:t>
      </w:r>
      <w:r w:rsidR="00A47CDB" w:rsidRPr="00BD6D04">
        <w:rPr>
          <w:lang w:val="es-ES_tradnl"/>
        </w:rPr>
        <w:t xml:space="preserve">gésima </w:t>
      </w:r>
      <w:r w:rsidR="00AA65E7" w:rsidRPr="00BD6D04">
        <w:rPr>
          <w:lang w:val="es-ES_tradnl"/>
        </w:rPr>
        <w:t xml:space="preserve">primera </w:t>
      </w:r>
      <w:r w:rsidR="00A47CDB" w:rsidRPr="00BD6D04">
        <w:rPr>
          <w:lang w:val="es-ES_tradnl"/>
        </w:rPr>
        <w:t>sesión</w:t>
      </w:r>
      <w:r w:rsidR="00A47CDB" w:rsidRPr="00BD6D04">
        <w:rPr>
          <w:lang w:val="es-ES_tradnl"/>
        </w:rPr>
        <w:br/>
        <w:t xml:space="preserve">Ginebra, </w:t>
      </w:r>
      <w:r w:rsidR="00AA65E7" w:rsidRPr="00BD6D04">
        <w:rPr>
          <w:lang w:val="es-ES_tradnl"/>
        </w:rPr>
        <w:t>23</w:t>
      </w:r>
      <w:r w:rsidR="008A1693" w:rsidRPr="00BD6D04">
        <w:rPr>
          <w:lang w:val="es-ES_tradnl"/>
        </w:rPr>
        <w:t xml:space="preserve"> a </w:t>
      </w:r>
      <w:r w:rsidR="00AA65E7" w:rsidRPr="00BD6D04">
        <w:rPr>
          <w:lang w:val="es-ES_tradnl"/>
        </w:rPr>
        <w:t>25</w:t>
      </w:r>
      <w:r w:rsidR="008A1693" w:rsidRPr="00BD6D04">
        <w:rPr>
          <w:lang w:val="es-ES_tradnl"/>
        </w:rPr>
        <w:t xml:space="preserve"> </w:t>
      </w:r>
      <w:r w:rsidR="00F77B84" w:rsidRPr="00BD6D04">
        <w:rPr>
          <w:lang w:val="es-ES_tradnl"/>
        </w:rPr>
        <w:t>de</w:t>
      </w:r>
      <w:r w:rsidR="008A1693" w:rsidRPr="00BD6D04">
        <w:rPr>
          <w:lang w:val="es-ES_tradnl"/>
        </w:rPr>
        <w:t xml:space="preserve"> </w:t>
      </w:r>
      <w:r w:rsidR="00AA65E7" w:rsidRPr="00BD6D04">
        <w:rPr>
          <w:lang w:val="es-ES_tradnl"/>
        </w:rPr>
        <w:t xml:space="preserve">marzo </w:t>
      </w:r>
      <w:r w:rsidR="008A1693" w:rsidRPr="00BD6D04">
        <w:rPr>
          <w:lang w:val="es-ES_tradnl"/>
        </w:rPr>
        <w:t>de 201</w:t>
      </w:r>
      <w:r w:rsidR="00AA65E7" w:rsidRPr="00BD6D04">
        <w:rPr>
          <w:lang w:val="es-ES_tradnl"/>
        </w:rPr>
        <w:t>5</w:t>
      </w:r>
    </w:p>
    <w:p w:rsidR="00281A7E" w:rsidRPr="00BD6D04" w:rsidRDefault="00CB0983" w:rsidP="00281A7E">
      <w:pPr>
        <w:pStyle w:val="preparedby1"/>
        <w:spacing w:before="600" w:after="0"/>
        <w:rPr>
          <w:rFonts w:cs="Arial"/>
          <w:i w:val="0"/>
          <w:iCs w:val="0"/>
          <w:caps/>
          <w:lang w:val="es-ES" w:eastAsia="ja-JP"/>
        </w:rPr>
      </w:pPr>
      <w:bookmarkStart w:id="4" w:name="TitleOfDoc"/>
      <w:bookmarkEnd w:id="4"/>
      <w:r>
        <w:rPr>
          <w:rFonts w:cs="Arial"/>
          <w:i w:val="0"/>
          <w:iCs w:val="0"/>
          <w:caps/>
          <w:lang w:val="es-ES_tradnl"/>
        </w:rPr>
        <w:t xml:space="preserve">REVISIÓN DEL DOCUMENTO TGP/8: PARTE II: </w:t>
      </w:r>
      <w:r w:rsidR="00281A7E" w:rsidRPr="00BD6D04">
        <w:rPr>
          <w:rFonts w:cs="Arial"/>
          <w:i w:val="0"/>
          <w:iCs w:val="0"/>
          <w:caps/>
          <w:lang w:val="es-ES_tradnl"/>
        </w:rPr>
        <w:t>TÉCNICAS UTILIZADAS E</w:t>
      </w:r>
      <w:r>
        <w:rPr>
          <w:rFonts w:cs="Arial"/>
          <w:i w:val="0"/>
          <w:iCs w:val="0"/>
          <w:caps/>
          <w:lang w:val="es-ES_tradnl"/>
        </w:rPr>
        <w:t>N EL EXAMEN DHE, NUEVA SECCIÓN:</w:t>
      </w:r>
      <w:r w:rsidR="00281A7E" w:rsidRPr="00BD6D04">
        <w:rPr>
          <w:rFonts w:cs="Arial"/>
          <w:i w:val="0"/>
          <w:iCs w:val="0"/>
          <w:caps/>
          <w:lang w:val="es-ES_tradnl"/>
        </w:rPr>
        <w:t xml:space="preserve"> MÉTODOS ESTADÍSTICOS APLICADOS A CARACTERES OBSERVADOS VISUALMENTE</w:t>
      </w:r>
      <w:r w:rsidR="00D83A6F" w:rsidRPr="00BD6D04">
        <w:rPr>
          <w:rFonts w:cs="Arial"/>
          <w:i w:val="0"/>
          <w:iCs w:val="0"/>
          <w:caps/>
          <w:lang w:val="es-ES"/>
        </w:rPr>
        <w:t xml:space="preserve"> </w:t>
      </w:r>
    </w:p>
    <w:p w:rsidR="00281A7E" w:rsidRPr="001B2E7A" w:rsidRDefault="00281A7E" w:rsidP="00281A7E">
      <w:pPr>
        <w:pStyle w:val="preparedby1"/>
        <w:rPr>
          <w:color w:val="A6A6A6" w:themeColor="background1" w:themeShade="A6"/>
          <w:lang w:val="es-ES"/>
        </w:rPr>
      </w:pPr>
      <w:r w:rsidRPr="00BD6D04">
        <w:rPr>
          <w:lang w:val="es-ES_tradnl"/>
        </w:rPr>
        <w:t xml:space="preserve">Documento preparado por la Oficina de la Unión  </w:t>
      </w:r>
      <w:r w:rsidR="001B2E7A" w:rsidRPr="001B2E7A">
        <w:rPr>
          <w:color w:val="808080"/>
          <w:lang w:val="es-ES_tradnl"/>
        </w:rPr>
        <w:br/>
      </w:r>
      <w:r w:rsidR="001B2E7A">
        <w:rPr>
          <w:color w:val="000000"/>
          <w:lang w:val="es-ES_tradnl"/>
        </w:rPr>
        <w:br/>
      </w:r>
      <w:r w:rsidRPr="001B2E7A">
        <w:rPr>
          <w:color w:val="A6A6A6" w:themeColor="background1" w:themeShade="A6"/>
          <w:lang w:val="es-ES_tradnl"/>
        </w:rPr>
        <w:t>Descargo</w:t>
      </w:r>
      <w:r w:rsidR="00CB0983">
        <w:rPr>
          <w:color w:val="A6A6A6" w:themeColor="background1" w:themeShade="A6"/>
          <w:lang w:val="es-ES_tradnl"/>
        </w:rPr>
        <w:t xml:space="preserve"> de responsabilidad: </w:t>
      </w:r>
      <w:r w:rsidRPr="001B2E7A">
        <w:rPr>
          <w:color w:val="A6A6A6" w:themeColor="background1" w:themeShade="A6"/>
          <w:lang w:val="es-ES_tradnl"/>
        </w:rPr>
        <w:t xml:space="preserve">el presente documento </w:t>
      </w:r>
      <w:r w:rsidR="00BD6D04">
        <w:rPr>
          <w:color w:val="A6A6A6" w:themeColor="background1" w:themeShade="A6"/>
          <w:lang w:val="es-ES_tradnl"/>
        </w:rPr>
        <w:br/>
      </w:r>
      <w:r w:rsidRPr="001B2E7A">
        <w:rPr>
          <w:color w:val="A6A6A6" w:themeColor="background1" w:themeShade="A6"/>
          <w:lang w:val="es-ES_tradnl"/>
        </w:rPr>
        <w:t>no constituye un documento de política u orientación de la UPOV</w:t>
      </w:r>
    </w:p>
    <w:p w:rsidR="00281A7E" w:rsidRPr="00BD6D04" w:rsidRDefault="007A1EBC" w:rsidP="00D83A6F">
      <w:pPr>
        <w:rPr>
          <w:rFonts w:cs="Arial"/>
          <w:lang w:val="es-ES" w:eastAsia="ja-JP"/>
        </w:rPr>
      </w:pPr>
      <w:r w:rsidRPr="00BD6D04">
        <w:fldChar w:fldCharType="begin"/>
      </w:r>
      <w:r w:rsidR="00D83A6F" w:rsidRPr="00BD6D04">
        <w:rPr>
          <w:lang w:val="es-ES"/>
        </w:rPr>
        <w:instrText xml:space="preserve"> AUTONUM  </w:instrText>
      </w:r>
      <w:r w:rsidRPr="00BD6D04">
        <w:fldChar w:fldCharType="end"/>
      </w:r>
      <w:r w:rsidR="00D83A6F" w:rsidRPr="00BD6D04">
        <w:rPr>
          <w:lang w:val="es-ES"/>
        </w:rPr>
        <w:tab/>
      </w:r>
      <w:r w:rsidR="001B2E7A" w:rsidRPr="00BD6D04">
        <w:rPr>
          <w:rFonts w:cs="Arial"/>
          <w:lang w:val="es-ES" w:eastAsia="ja-JP"/>
        </w:rPr>
        <w:t xml:space="preserve">En el presente documento se exponen las novedades relativas a los </w:t>
      </w:r>
      <w:r w:rsidR="00D83A6F" w:rsidRPr="00BD6D04">
        <w:rPr>
          <w:lang w:val="es-ES"/>
        </w:rPr>
        <w:t>“</w:t>
      </w:r>
      <w:r w:rsidR="001B2E7A" w:rsidRPr="00BD6D04">
        <w:rPr>
          <w:lang w:val="es-ES"/>
        </w:rPr>
        <w:t>Métodos estadísticos aplicados a caracteres observados visualmente</w:t>
      </w:r>
      <w:r w:rsidR="00D83A6F" w:rsidRPr="00BD6D04">
        <w:rPr>
          <w:lang w:val="es-ES"/>
        </w:rPr>
        <w:t>”</w:t>
      </w:r>
      <w:r w:rsidR="00D83A6F" w:rsidRPr="00BD6D04">
        <w:rPr>
          <w:rFonts w:cs="Arial"/>
          <w:lang w:val="es-ES" w:eastAsia="ja-JP"/>
        </w:rPr>
        <w:t>.</w:t>
      </w:r>
    </w:p>
    <w:p w:rsidR="00281A7E" w:rsidRPr="00BD6D04" w:rsidRDefault="00281A7E" w:rsidP="00D83A6F">
      <w:pPr>
        <w:rPr>
          <w:lang w:val="es-ES"/>
        </w:rPr>
      </w:pPr>
    </w:p>
    <w:p w:rsidR="00281A7E" w:rsidRPr="00BD6D04" w:rsidRDefault="007A1EBC" w:rsidP="00281A7E">
      <w:pPr>
        <w:rPr>
          <w:rFonts w:cs="Arial"/>
          <w:lang w:val="es-ES"/>
        </w:rPr>
      </w:pPr>
      <w:r w:rsidRPr="00BD6D04">
        <w:fldChar w:fldCharType="begin"/>
      </w:r>
      <w:r w:rsidR="00D83A6F" w:rsidRPr="00BD6D04">
        <w:rPr>
          <w:lang w:val="es-ES"/>
        </w:rPr>
        <w:instrText xml:space="preserve"> AUTONUM  </w:instrText>
      </w:r>
      <w:r w:rsidRPr="00BD6D04">
        <w:fldChar w:fldCharType="end"/>
      </w:r>
      <w:r w:rsidR="00D83A6F" w:rsidRPr="00BD6D04">
        <w:rPr>
          <w:lang w:val="es-ES"/>
        </w:rPr>
        <w:tab/>
      </w:r>
      <w:r w:rsidR="00281A7E" w:rsidRPr="00BD6D04">
        <w:rPr>
          <w:lang w:val="es-ES_tradnl"/>
        </w:rPr>
        <w:t>En el presente documento se utilizan las abreviaturas siguientes:</w:t>
      </w:r>
    </w:p>
    <w:p w:rsidR="00281A7E" w:rsidRPr="00BD6D04" w:rsidRDefault="00281A7E" w:rsidP="00D83A6F">
      <w:pPr>
        <w:rPr>
          <w:rFonts w:cs="Arial"/>
          <w:lang w:val="es-ES"/>
        </w:rPr>
      </w:pPr>
    </w:p>
    <w:p w:rsidR="00281A7E" w:rsidRPr="00BD6D04" w:rsidRDefault="00D83A6F" w:rsidP="00BD6D04">
      <w:pPr>
        <w:tabs>
          <w:tab w:val="left" w:pos="567"/>
          <w:tab w:val="left" w:pos="1701"/>
        </w:tabs>
        <w:rPr>
          <w:rFonts w:cs="Arial"/>
          <w:lang w:val="es-ES"/>
        </w:rPr>
      </w:pPr>
      <w:r w:rsidRPr="00BD6D04">
        <w:rPr>
          <w:rFonts w:cs="Arial"/>
          <w:lang w:val="es-ES"/>
        </w:rPr>
        <w:tab/>
      </w:r>
      <w:r w:rsidR="00281A7E" w:rsidRPr="00BD6D04">
        <w:rPr>
          <w:rFonts w:cs="Arial"/>
          <w:lang w:val="es-ES_tradnl"/>
        </w:rPr>
        <w:t>TC:</w:t>
      </w:r>
      <w:r w:rsidR="001B2E7A" w:rsidRPr="00BD6D04">
        <w:rPr>
          <w:rFonts w:cs="Arial"/>
          <w:lang w:val="es-ES_tradnl"/>
        </w:rPr>
        <w:tab/>
      </w:r>
      <w:r w:rsidR="00281A7E" w:rsidRPr="00BD6D04">
        <w:rPr>
          <w:rFonts w:cs="Arial"/>
          <w:lang w:val="es-ES_tradnl"/>
        </w:rPr>
        <w:t>Comité Técnico</w:t>
      </w:r>
    </w:p>
    <w:p w:rsidR="00281A7E" w:rsidRPr="00BD6D04" w:rsidRDefault="00D83A6F" w:rsidP="00BD6D04">
      <w:pPr>
        <w:tabs>
          <w:tab w:val="left" w:pos="567"/>
          <w:tab w:val="left" w:pos="1701"/>
        </w:tabs>
        <w:rPr>
          <w:rFonts w:eastAsia="PMingLiU" w:cs="Arial"/>
          <w:szCs w:val="24"/>
          <w:lang w:val="es-ES"/>
        </w:rPr>
      </w:pPr>
      <w:r w:rsidRPr="00BD6D04">
        <w:rPr>
          <w:rFonts w:eastAsia="PMingLiU" w:cs="Arial"/>
          <w:szCs w:val="24"/>
          <w:lang w:val="es-ES"/>
        </w:rPr>
        <w:tab/>
      </w:r>
      <w:r w:rsidR="00BD6D04">
        <w:rPr>
          <w:rFonts w:eastAsia="PMingLiU" w:cs="Arial"/>
          <w:szCs w:val="24"/>
          <w:lang w:val="es-ES_tradnl"/>
        </w:rPr>
        <w:t>TC-EDC:</w:t>
      </w:r>
      <w:r w:rsidR="001B2E7A" w:rsidRPr="00BD6D04">
        <w:rPr>
          <w:rFonts w:eastAsia="PMingLiU" w:cs="Arial"/>
          <w:szCs w:val="24"/>
          <w:lang w:val="es-ES_tradnl"/>
        </w:rPr>
        <w:tab/>
      </w:r>
      <w:r w:rsidR="00281A7E" w:rsidRPr="00BD6D04">
        <w:rPr>
          <w:rFonts w:eastAsia="PMingLiU" w:cs="Arial"/>
          <w:szCs w:val="24"/>
          <w:lang w:val="es-ES_tradnl"/>
        </w:rPr>
        <w:t>Comité de Redacción Ampliado</w:t>
      </w:r>
    </w:p>
    <w:p w:rsidR="00281A7E" w:rsidRPr="00BD6D04" w:rsidRDefault="00D83A6F" w:rsidP="00BD6D04">
      <w:pPr>
        <w:tabs>
          <w:tab w:val="left" w:pos="567"/>
          <w:tab w:val="left" w:pos="1701"/>
        </w:tabs>
        <w:rPr>
          <w:rFonts w:eastAsia="PMingLiU" w:cs="Arial"/>
          <w:szCs w:val="24"/>
          <w:lang w:val="es-ES"/>
        </w:rPr>
      </w:pPr>
      <w:r w:rsidRPr="00BD6D04">
        <w:rPr>
          <w:rFonts w:eastAsia="PMingLiU" w:cs="Arial"/>
          <w:szCs w:val="24"/>
          <w:lang w:val="es-ES"/>
        </w:rPr>
        <w:tab/>
      </w:r>
      <w:r w:rsidR="00281A7E" w:rsidRPr="00BD6D04">
        <w:rPr>
          <w:rFonts w:eastAsia="PMingLiU" w:cs="Arial"/>
          <w:szCs w:val="24"/>
          <w:lang w:val="es-ES_tradnl"/>
        </w:rPr>
        <w:t xml:space="preserve">TWA: </w:t>
      </w:r>
      <w:r w:rsidR="001B2E7A" w:rsidRPr="00BD6D04">
        <w:rPr>
          <w:rFonts w:eastAsia="PMingLiU" w:cs="Arial"/>
          <w:szCs w:val="24"/>
          <w:lang w:val="es-ES_tradnl"/>
        </w:rPr>
        <w:tab/>
      </w:r>
      <w:r w:rsidR="00281A7E" w:rsidRPr="00BD6D04">
        <w:rPr>
          <w:rFonts w:eastAsia="PMingLiU" w:cs="Arial"/>
          <w:szCs w:val="24"/>
          <w:lang w:val="es-ES_tradnl"/>
        </w:rPr>
        <w:t>Grupo de Trabajo Técnico sobre Plantas Agrícolas</w:t>
      </w:r>
    </w:p>
    <w:p w:rsidR="00281A7E" w:rsidRPr="00BD6D04" w:rsidRDefault="00D83A6F" w:rsidP="00BD6D04">
      <w:pPr>
        <w:tabs>
          <w:tab w:val="left" w:pos="567"/>
          <w:tab w:val="left" w:pos="1701"/>
        </w:tabs>
        <w:rPr>
          <w:rFonts w:eastAsia="PMingLiU" w:cs="Arial"/>
          <w:szCs w:val="24"/>
          <w:lang w:val="es-ES"/>
        </w:rPr>
      </w:pPr>
      <w:r w:rsidRPr="00BD6D04">
        <w:rPr>
          <w:rFonts w:eastAsia="PMingLiU" w:cs="Arial"/>
          <w:szCs w:val="24"/>
          <w:lang w:val="es-ES"/>
        </w:rPr>
        <w:tab/>
      </w:r>
      <w:r w:rsidR="00BD6D04">
        <w:rPr>
          <w:rFonts w:eastAsia="PMingLiU" w:cs="Arial"/>
          <w:szCs w:val="24"/>
          <w:lang w:val="es-ES_tradnl"/>
        </w:rPr>
        <w:t>TWC:</w:t>
      </w:r>
      <w:r w:rsidR="00BD6D04">
        <w:rPr>
          <w:rFonts w:eastAsia="PMingLiU" w:cs="Arial"/>
          <w:szCs w:val="24"/>
          <w:lang w:val="es-ES_tradnl"/>
        </w:rPr>
        <w:tab/>
      </w:r>
      <w:r w:rsidR="00281A7E" w:rsidRPr="00BD6D04">
        <w:rPr>
          <w:rFonts w:eastAsia="PMingLiU" w:cs="Arial"/>
          <w:szCs w:val="24"/>
          <w:lang w:val="es-ES_tradnl"/>
        </w:rPr>
        <w:t>Grupo de Trabajo Técnico sobre Automatización y Programas Informáticos</w:t>
      </w:r>
    </w:p>
    <w:p w:rsidR="00281A7E" w:rsidRPr="00BD6D04" w:rsidRDefault="00D83A6F" w:rsidP="00BD6D04">
      <w:pPr>
        <w:tabs>
          <w:tab w:val="left" w:pos="567"/>
          <w:tab w:val="left" w:pos="1701"/>
        </w:tabs>
        <w:rPr>
          <w:rFonts w:eastAsia="PMingLiU" w:cs="Arial"/>
          <w:szCs w:val="24"/>
          <w:lang w:val="es-ES"/>
        </w:rPr>
      </w:pPr>
      <w:r w:rsidRPr="00BD6D04">
        <w:rPr>
          <w:rFonts w:eastAsia="PMingLiU" w:cs="Arial"/>
          <w:szCs w:val="24"/>
          <w:lang w:val="es-ES"/>
        </w:rPr>
        <w:tab/>
      </w:r>
      <w:r w:rsidR="00BD6D04">
        <w:rPr>
          <w:rFonts w:eastAsia="PMingLiU" w:cs="Arial"/>
          <w:szCs w:val="24"/>
          <w:lang w:val="es-ES_tradnl"/>
        </w:rPr>
        <w:t>TWF:</w:t>
      </w:r>
      <w:r w:rsidR="001B2E7A" w:rsidRPr="00BD6D04">
        <w:rPr>
          <w:rFonts w:eastAsia="PMingLiU" w:cs="Arial"/>
          <w:szCs w:val="24"/>
          <w:lang w:val="es-ES_tradnl"/>
        </w:rPr>
        <w:tab/>
      </w:r>
      <w:r w:rsidR="00281A7E" w:rsidRPr="00BD6D04">
        <w:rPr>
          <w:rFonts w:eastAsia="PMingLiU" w:cs="Arial"/>
          <w:szCs w:val="24"/>
          <w:lang w:val="es-ES_tradnl"/>
        </w:rPr>
        <w:t>Grupo de Trabajo Técnico sobre Plantas Frutales</w:t>
      </w:r>
    </w:p>
    <w:p w:rsidR="00281A7E" w:rsidRPr="00BD6D04" w:rsidRDefault="00D83A6F" w:rsidP="00BD6D04">
      <w:pPr>
        <w:tabs>
          <w:tab w:val="left" w:pos="567"/>
          <w:tab w:val="left" w:pos="1701"/>
        </w:tabs>
        <w:rPr>
          <w:rFonts w:eastAsia="PMingLiU" w:cs="Arial"/>
          <w:szCs w:val="24"/>
          <w:lang w:val="es-ES"/>
        </w:rPr>
      </w:pPr>
      <w:r w:rsidRPr="00BD6D04">
        <w:rPr>
          <w:rFonts w:eastAsia="PMingLiU" w:cs="Arial"/>
          <w:szCs w:val="24"/>
          <w:lang w:val="es-ES"/>
        </w:rPr>
        <w:tab/>
      </w:r>
      <w:r w:rsidR="00BD6D04">
        <w:rPr>
          <w:rFonts w:eastAsia="PMingLiU" w:cs="Arial"/>
          <w:szCs w:val="24"/>
          <w:lang w:val="es-ES_tradnl"/>
        </w:rPr>
        <w:t>TWO:</w:t>
      </w:r>
      <w:r w:rsidR="001B2E7A" w:rsidRPr="00BD6D04">
        <w:rPr>
          <w:rFonts w:eastAsia="PMingLiU" w:cs="Arial"/>
          <w:szCs w:val="24"/>
          <w:lang w:val="es-ES_tradnl"/>
        </w:rPr>
        <w:tab/>
      </w:r>
      <w:r w:rsidR="00281A7E" w:rsidRPr="00BD6D04">
        <w:rPr>
          <w:rFonts w:eastAsia="PMingLiU" w:cs="Arial"/>
          <w:szCs w:val="24"/>
          <w:lang w:val="es-ES_tradnl"/>
        </w:rPr>
        <w:t>Grupo de Trabajo Técnico sobre Plantas Ornamentales y Árboles Forestales</w:t>
      </w:r>
    </w:p>
    <w:p w:rsidR="00281A7E" w:rsidRPr="00BD6D04" w:rsidRDefault="00D83A6F" w:rsidP="00BD6D04">
      <w:pPr>
        <w:tabs>
          <w:tab w:val="left" w:pos="567"/>
          <w:tab w:val="left" w:pos="1701"/>
        </w:tabs>
        <w:rPr>
          <w:rFonts w:eastAsia="PMingLiU" w:cs="Arial"/>
          <w:szCs w:val="24"/>
          <w:lang w:val="es-ES"/>
        </w:rPr>
      </w:pPr>
      <w:r w:rsidRPr="00BD6D04">
        <w:rPr>
          <w:rFonts w:eastAsia="PMingLiU" w:cs="Arial"/>
          <w:szCs w:val="24"/>
          <w:lang w:val="es-ES"/>
        </w:rPr>
        <w:tab/>
      </w:r>
      <w:r w:rsidR="00BD6D04">
        <w:rPr>
          <w:rFonts w:eastAsia="PMingLiU" w:cs="Arial"/>
          <w:szCs w:val="24"/>
          <w:lang w:val="es-ES_tradnl"/>
        </w:rPr>
        <w:t>TWP:</w:t>
      </w:r>
      <w:r w:rsidR="001B2E7A" w:rsidRPr="00BD6D04">
        <w:rPr>
          <w:rFonts w:eastAsia="PMingLiU" w:cs="Arial"/>
          <w:szCs w:val="24"/>
          <w:lang w:val="es-ES_tradnl"/>
        </w:rPr>
        <w:tab/>
      </w:r>
      <w:r w:rsidR="00281A7E" w:rsidRPr="00BD6D04">
        <w:rPr>
          <w:rFonts w:eastAsia="PMingLiU" w:cs="Arial"/>
          <w:szCs w:val="24"/>
          <w:lang w:val="es-ES_tradnl"/>
        </w:rPr>
        <w:t>Grupos de Trabajo Técnico</w:t>
      </w:r>
    </w:p>
    <w:p w:rsidR="00281A7E" w:rsidRPr="00BD6D04" w:rsidRDefault="00D83A6F" w:rsidP="00BD6D04">
      <w:pPr>
        <w:tabs>
          <w:tab w:val="left" w:pos="567"/>
          <w:tab w:val="left" w:pos="1701"/>
        </w:tabs>
        <w:rPr>
          <w:rFonts w:eastAsia="PMingLiU" w:cs="Arial"/>
          <w:szCs w:val="24"/>
          <w:lang w:val="es-ES"/>
        </w:rPr>
      </w:pPr>
      <w:r w:rsidRPr="00BD6D04">
        <w:rPr>
          <w:rFonts w:eastAsia="PMingLiU" w:cs="Arial"/>
          <w:szCs w:val="24"/>
          <w:lang w:val="es-ES"/>
        </w:rPr>
        <w:tab/>
      </w:r>
      <w:r w:rsidR="00BD6D04">
        <w:rPr>
          <w:rFonts w:eastAsia="PMingLiU" w:cs="Arial"/>
          <w:szCs w:val="24"/>
          <w:lang w:val="es-ES_tradnl"/>
        </w:rPr>
        <w:t>TWV:</w:t>
      </w:r>
      <w:r w:rsidR="001B2E7A" w:rsidRPr="00BD6D04">
        <w:rPr>
          <w:rFonts w:eastAsia="PMingLiU" w:cs="Arial"/>
          <w:szCs w:val="24"/>
          <w:lang w:val="es-ES_tradnl"/>
        </w:rPr>
        <w:tab/>
      </w:r>
      <w:r w:rsidR="00281A7E" w:rsidRPr="00BD6D04">
        <w:rPr>
          <w:rFonts w:eastAsia="PMingLiU" w:cs="Arial"/>
          <w:szCs w:val="24"/>
          <w:lang w:val="es-ES_tradnl"/>
        </w:rPr>
        <w:t>Grupo de Trabajo Técnico sobre Hortalizas</w:t>
      </w:r>
    </w:p>
    <w:p w:rsidR="00281A7E" w:rsidRPr="00BD6D04" w:rsidRDefault="00281A7E" w:rsidP="00D83A6F">
      <w:pPr>
        <w:rPr>
          <w:caps/>
          <w:lang w:val="es-ES"/>
        </w:rPr>
      </w:pPr>
    </w:p>
    <w:p w:rsidR="00281A7E" w:rsidRPr="00BD6D04" w:rsidRDefault="00281A7E" w:rsidP="00D83A6F">
      <w:pPr>
        <w:rPr>
          <w:caps/>
          <w:lang w:val="es-ES"/>
        </w:rPr>
      </w:pPr>
    </w:p>
    <w:p w:rsidR="00281A7E" w:rsidRPr="00BD6D04" w:rsidRDefault="00281A7E" w:rsidP="00BD6D04">
      <w:pPr>
        <w:pStyle w:val="Heading1"/>
        <w:keepNext w:val="0"/>
        <w:rPr>
          <w:color w:val="auto"/>
        </w:rPr>
      </w:pPr>
      <w:r w:rsidRPr="00BD6D04">
        <w:rPr>
          <w:color w:val="auto"/>
        </w:rPr>
        <w:t>ANTECEDENTES</w:t>
      </w:r>
    </w:p>
    <w:p w:rsidR="00281A7E" w:rsidRPr="00BD6D04" w:rsidRDefault="00281A7E" w:rsidP="00BD6D04">
      <w:pPr>
        <w:rPr>
          <w:caps/>
          <w:lang w:val="es-ES" w:eastAsia="ja-JP"/>
        </w:rPr>
      </w:pPr>
    </w:p>
    <w:p w:rsidR="00281A7E" w:rsidRPr="00BD6D04" w:rsidRDefault="007A1EBC" w:rsidP="00BD6D04">
      <w:pPr>
        <w:rPr>
          <w:szCs w:val="24"/>
          <w:lang w:val="es-ES" w:eastAsia="ja-JP"/>
        </w:rPr>
      </w:pPr>
      <w:r w:rsidRPr="00BD6D04">
        <w:fldChar w:fldCharType="begin"/>
      </w:r>
      <w:r w:rsidR="00D83A6F" w:rsidRPr="00BD6D04">
        <w:rPr>
          <w:lang w:val="es-ES"/>
        </w:rPr>
        <w:instrText xml:space="preserve"> AUTONUM  </w:instrText>
      </w:r>
      <w:r w:rsidRPr="00BD6D04">
        <w:fldChar w:fldCharType="end"/>
      </w:r>
      <w:r w:rsidR="00D83A6F" w:rsidRPr="00BD6D04">
        <w:rPr>
          <w:lang w:val="es-ES"/>
        </w:rPr>
        <w:tab/>
      </w:r>
      <w:r w:rsidR="00617F9E" w:rsidRPr="00BD6D04">
        <w:rPr>
          <w:lang w:val="es-ES" w:eastAsia="es-ES"/>
        </w:rPr>
        <w:t xml:space="preserve">Los antecedentes de esta cuestión figuran en </w:t>
      </w:r>
      <w:r w:rsidR="000A3EDF" w:rsidRPr="00BD6D04">
        <w:rPr>
          <w:lang w:val="es-ES" w:eastAsia="es-ES"/>
        </w:rPr>
        <w:t>el documento</w:t>
      </w:r>
      <w:r w:rsidR="00617F9E" w:rsidRPr="00BD6D04">
        <w:rPr>
          <w:lang w:val="es-ES" w:eastAsia="es-ES"/>
        </w:rPr>
        <w:t> TC/50/28</w:t>
      </w:r>
      <w:r w:rsidR="00617F9E" w:rsidRPr="00BD6D04">
        <w:rPr>
          <w:rFonts w:cs="Arial"/>
          <w:cs/>
          <w:lang w:val="es-ES" w:eastAsia="es-ES"/>
        </w:rPr>
        <w:t xml:space="preserve"> “</w:t>
      </w:r>
      <w:r w:rsidR="00617F9E" w:rsidRPr="00BD6D04">
        <w:rPr>
          <w:lang w:val="es-ES" w:eastAsia="es-ES"/>
        </w:rPr>
        <w:t>Revisión d</w:t>
      </w:r>
      <w:r w:rsidR="00CC1338">
        <w:rPr>
          <w:lang w:val="es-ES" w:eastAsia="es-ES"/>
        </w:rPr>
        <w:t xml:space="preserve">el documento TGP/8: Parte II: </w:t>
      </w:r>
      <w:r w:rsidR="00617F9E" w:rsidRPr="00BD6D04">
        <w:rPr>
          <w:lang w:val="es-ES" w:eastAsia="es-ES"/>
        </w:rPr>
        <w:t>Técnicas utilizadas en</w:t>
      </w:r>
      <w:r w:rsidR="00CC1338">
        <w:rPr>
          <w:lang w:val="es-ES" w:eastAsia="es-ES"/>
        </w:rPr>
        <w:t xml:space="preserve"> el examen DHE, nueva sección: </w:t>
      </w:r>
      <w:r w:rsidR="00617F9E" w:rsidRPr="00BD6D04">
        <w:rPr>
          <w:lang w:val="es-ES" w:eastAsia="es-ES"/>
        </w:rPr>
        <w:t>Métodos estadísticos aplicados a caracteres observados visualmente</w:t>
      </w:r>
      <w:r w:rsidR="00617F9E" w:rsidRPr="00BD6D04">
        <w:rPr>
          <w:rFonts w:cs="Arial"/>
          <w:cs/>
          <w:lang w:val="es-ES" w:eastAsia="es-ES"/>
        </w:rPr>
        <w:t>”</w:t>
      </w:r>
      <w:r w:rsidR="00D83A6F" w:rsidRPr="00BD6D04">
        <w:rPr>
          <w:rFonts w:hint="eastAsia"/>
          <w:szCs w:val="24"/>
          <w:lang w:val="es-ES" w:eastAsia="ja-JP"/>
        </w:rPr>
        <w:t>.</w:t>
      </w:r>
    </w:p>
    <w:p w:rsidR="00281A7E" w:rsidRPr="00BD6D04" w:rsidRDefault="00281A7E" w:rsidP="00BD6D04">
      <w:pPr>
        <w:rPr>
          <w:snapToGrid w:val="0"/>
          <w:lang w:val="es-ES" w:eastAsia="ja-JP"/>
        </w:rPr>
      </w:pPr>
    </w:p>
    <w:p w:rsidR="00281A7E" w:rsidRPr="00BD6D04" w:rsidRDefault="00281A7E" w:rsidP="00BD6D04">
      <w:pPr>
        <w:rPr>
          <w:snapToGrid w:val="0"/>
          <w:lang w:val="es-ES" w:eastAsia="ja-JP"/>
        </w:rPr>
      </w:pPr>
    </w:p>
    <w:p w:rsidR="00281A7E" w:rsidRPr="00BD6D04" w:rsidRDefault="00281A7E" w:rsidP="00BD6D04">
      <w:pPr>
        <w:pStyle w:val="Heading1"/>
        <w:keepNext w:val="0"/>
        <w:rPr>
          <w:snapToGrid w:val="0"/>
          <w:color w:val="auto"/>
          <w:lang w:val="es-ES"/>
        </w:rPr>
      </w:pPr>
      <w:r w:rsidRPr="00BD6D04">
        <w:rPr>
          <w:snapToGrid w:val="0"/>
          <w:color w:val="auto"/>
          <w:lang w:val="es-ES"/>
        </w:rPr>
        <w:t>NOVEDADES ACAECIDAS EN 2014</w:t>
      </w:r>
    </w:p>
    <w:p w:rsidR="00281A7E" w:rsidRPr="00BD6D04" w:rsidRDefault="00281A7E" w:rsidP="00BD6D04">
      <w:pPr>
        <w:rPr>
          <w:snapToGrid w:val="0"/>
          <w:lang w:val="es-ES" w:eastAsia="ja-JP"/>
        </w:rPr>
      </w:pPr>
    </w:p>
    <w:p w:rsidR="00281A7E" w:rsidRPr="00BD6D04" w:rsidRDefault="00281A7E" w:rsidP="00BD6D04">
      <w:pPr>
        <w:pStyle w:val="Heading2"/>
        <w:keepNext w:val="0"/>
        <w:rPr>
          <w:color w:val="auto"/>
          <w:lang w:val="es-ES"/>
        </w:rPr>
      </w:pPr>
      <w:r w:rsidRPr="00BD6D04">
        <w:rPr>
          <w:color w:val="auto"/>
          <w:lang w:val="es-ES"/>
        </w:rPr>
        <w:t>Comité Técnico</w:t>
      </w:r>
    </w:p>
    <w:p w:rsidR="00281A7E" w:rsidRPr="00BD6D04" w:rsidRDefault="00281A7E" w:rsidP="00BD6D04">
      <w:pPr>
        <w:rPr>
          <w:snapToGrid w:val="0"/>
          <w:lang w:val="es-ES" w:eastAsia="ja-JP"/>
        </w:rPr>
      </w:pPr>
    </w:p>
    <w:p w:rsidR="00281A7E" w:rsidRPr="00BD6D04" w:rsidRDefault="007A1EBC" w:rsidP="00D83A6F">
      <w:pPr>
        <w:rPr>
          <w:rFonts w:cs="Arial"/>
          <w:lang w:val="es-ES"/>
        </w:rPr>
      </w:pPr>
      <w:r w:rsidRPr="00BD6D04">
        <w:rPr>
          <w:rFonts w:cs="Arial"/>
        </w:rPr>
        <w:fldChar w:fldCharType="begin"/>
      </w:r>
      <w:r w:rsidR="00D83A6F" w:rsidRPr="00BD6D04">
        <w:rPr>
          <w:rFonts w:cs="Arial"/>
          <w:lang w:val="es-ES"/>
        </w:rPr>
        <w:instrText xml:space="preserve"> AUTONUM  </w:instrText>
      </w:r>
      <w:r w:rsidRPr="00BD6D04">
        <w:rPr>
          <w:rFonts w:cs="Arial"/>
        </w:rPr>
        <w:fldChar w:fldCharType="end"/>
      </w:r>
      <w:r w:rsidR="00D83A6F" w:rsidRPr="00BD6D04">
        <w:rPr>
          <w:rFonts w:cs="Arial"/>
          <w:lang w:val="es-ES"/>
        </w:rPr>
        <w:tab/>
      </w:r>
      <w:r w:rsidR="00617F9E" w:rsidRPr="00BD6D04">
        <w:rPr>
          <w:lang w:val="es-ES" w:eastAsia="es-ES"/>
        </w:rPr>
        <w:t>En su quincuagésima sesión, celebrada en Ginebra del 7 al 9 de abril de 2014, el TC examinó el documento TC/50/28</w:t>
      </w:r>
      <w:r w:rsidR="00617F9E" w:rsidRPr="00BD6D04">
        <w:rPr>
          <w:rFonts w:cs="Arial"/>
          <w:cs/>
          <w:lang w:val="es-ES" w:eastAsia="es-ES"/>
        </w:rPr>
        <w:t xml:space="preserve"> “</w:t>
      </w:r>
      <w:r w:rsidR="00CC1338">
        <w:rPr>
          <w:lang w:val="es-ES" w:eastAsia="es-ES"/>
        </w:rPr>
        <w:t>Revisión del documento TGP/8:</w:t>
      </w:r>
      <w:r w:rsidR="00617F9E" w:rsidRPr="00BD6D04">
        <w:rPr>
          <w:lang w:val="es-ES" w:eastAsia="es-ES"/>
        </w:rPr>
        <w:t> Parte II</w:t>
      </w:r>
      <w:proofErr w:type="gramStart"/>
      <w:r w:rsidR="00617F9E" w:rsidRPr="00BD6D04">
        <w:rPr>
          <w:lang w:val="es-ES" w:eastAsia="es-ES"/>
        </w:rPr>
        <w:t>:  Técnicas</w:t>
      </w:r>
      <w:proofErr w:type="gramEnd"/>
      <w:r w:rsidR="00617F9E" w:rsidRPr="00BD6D04">
        <w:rPr>
          <w:lang w:val="es-ES" w:eastAsia="es-ES"/>
        </w:rPr>
        <w:t xml:space="preserve"> utilizadas en el examen DHE, nueva sección:  Métodos estadísticos aplicados a caracteres observados visualmente</w:t>
      </w:r>
      <w:r w:rsidR="00D83A6F" w:rsidRPr="00BD6D04">
        <w:rPr>
          <w:rFonts w:cs="Arial"/>
          <w:lang w:val="es-ES" w:eastAsia="ja-JP"/>
        </w:rPr>
        <w:t>”</w:t>
      </w:r>
      <w:r w:rsidR="00D83A6F" w:rsidRPr="00BD6D04">
        <w:rPr>
          <w:rFonts w:cs="Arial"/>
          <w:lang w:val="es-ES"/>
        </w:rPr>
        <w:t>.</w:t>
      </w:r>
    </w:p>
    <w:p w:rsidR="00281A7E" w:rsidRPr="00BD6D04" w:rsidRDefault="00281A7E" w:rsidP="00D83A6F">
      <w:pPr>
        <w:rPr>
          <w:rFonts w:cs="Arial"/>
          <w:lang w:val="es-ES"/>
        </w:rPr>
      </w:pPr>
    </w:p>
    <w:p w:rsidR="00281A7E" w:rsidRPr="00BD6D04" w:rsidRDefault="007A1EBC" w:rsidP="00D83A6F">
      <w:pPr>
        <w:rPr>
          <w:lang w:val="es-ES"/>
        </w:rPr>
      </w:pPr>
      <w:r w:rsidRPr="00BD6D04">
        <w:fldChar w:fldCharType="begin"/>
      </w:r>
      <w:r w:rsidR="00D83A6F" w:rsidRPr="00BD6D04">
        <w:rPr>
          <w:lang w:val="es-ES"/>
        </w:rPr>
        <w:instrText xml:space="preserve"> AUTONUM  </w:instrText>
      </w:r>
      <w:r w:rsidRPr="00BD6D04">
        <w:fldChar w:fldCharType="end"/>
      </w:r>
      <w:r w:rsidR="00D83A6F" w:rsidRPr="00BD6D04">
        <w:rPr>
          <w:lang w:val="es-ES"/>
        </w:rPr>
        <w:tab/>
      </w:r>
      <w:r w:rsidR="001B2E7A" w:rsidRPr="00BD6D04">
        <w:rPr>
          <w:lang w:val="es-ES"/>
        </w:rPr>
        <w:t xml:space="preserve">El TC convino en elaborar un nuevo método para datos de distribución multinomial </w:t>
      </w:r>
      <w:r w:rsidR="001B2E7A" w:rsidRPr="00BD6D04">
        <w:rPr>
          <w:lang w:val="es-ES" w:eastAsia="ja-JP"/>
        </w:rPr>
        <w:t>(véase el</w:t>
      </w:r>
      <w:r w:rsidR="00CC1338">
        <w:rPr>
          <w:lang w:val="es-ES" w:eastAsia="ja-JP"/>
        </w:rPr>
        <w:t> </w:t>
      </w:r>
      <w:r w:rsidR="00D83A6F" w:rsidRPr="00BD6D04">
        <w:rPr>
          <w:lang w:val="es-ES" w:eastAsia="ja-JP"/>
        </w:rPr>
        <w:t>document</w:t>
      </w:r>
      <w:r w:rsidR="001B2E7A" w:rsidRPr="00BD6D04">
        <w:rPr>
          <w:lang w:val="es-ES" w:eastAsia="ja-JP"/>
        </w:rPr>
        <w:t>o</w:t>
      </w:r>
      <w:r w:rsidR="00D83A6F" w:rsidRPr="00BD6D04">
        <w:rPr>
          <w:lang w:val="es-ES" w:eastAsia="ja-JP"/>
        </w:rPr>
        <w:t> TC/50/36 “</w:t>
      </w:r>
      <w:r w:rsidR="001B2E7A" w:rsidRPr="00BD6D04">
        <w:rPr>
          <w:lang w:val="es-ES" w:eastAsia="ja-JP"/>
        </w:rPr>
        <w:t>Informe sobre las conclusiones</w:t>
      </w:r>
      <w:r w:rsidR="00D83A6F" w:rsidRPr="00BD6D04">
        <w:rPr>
          <w:lang w:val="es-ES" w:eastAsia="ja-JP"/>
        </w:rPr>
        <w:t>”</w:t>
      </w:r>
      <w:r w:rsidR="001B2E7A" w:rsidRPr="00BD6D04">
        <w:rPr>
          <w:lang w:val="es-ES" w:eastAsia="ja-JP"/>
        </w:rPr>
        <w:t>, párrafo</w:t>
      </w:r>
      <w:r w:rsidR="00D83A6F" w:rsidRPr="00BD6D04">
        <w:rPr>
          <w:lang w:val="es-ES" w:eastAsia="ja-JP"/>
        </w:rPr>
        <w:t xml:space="preserve"> 65)</w:t>
      </w:r>
      <w:r w:rsidR="00D83A6F" w:rsidRPr="00BD6D04">
        <w:rPr>
          <w:lang w:val="es-ES"/>
        </w:rPr>
        <w:t>.</w:t>
      </w:r>
    </w:p>
    <w:p w:rsidR="00281A7E" w:rsidRPr="00BD6D04" w:rsidRDefault="00281A7E" w:rsidP="00D83A6F">
      <w:pPr>
        <w:rPr>
          <w:lang w:val="es-ES"/>
        </w:rPr>
      </w:pPr>
    </w:p>
    <w:p w:rsidR="00281A7E" w:rsidRPr="00BD6D04" w:rsidRDefault="007A1EBC" w:rsidP="00D83A6F">
      <w:pPr>
        <w:rPr>
          <w:lang w:val="es-ES"/>
        </w:rPr>
      </w:pPr>
      <w:r w:rsidRPr="00BD6D04">
        <w:rPr>
          <w:lang w:val="es-ES"/>
        </w:rPr>
        <w:lastRenderedPageBreak/>
        <w:fldChar w:fldCharType="begin"/>
      </w:r>
      <w:r w:rsidR="00D83A6F" w:rsidRPr="00BD6D04">
        <w:rPr>
          <w:lang w:val="es-ES"/>
        </w:rPr>
        <w:instrText xml:space="preserve"> AUTONUM  </w:instrText>
      </w:r>
      <w:r w:rsidRPr="00BD6D04">
        <w:rPr>
          <w:lang w:val="es-ES"/>
        </w:rPr>
        <w:fldChar w:fldCharType="end"/>
      </w:r>
      <w:r w:rsidR="00D83A6F" w:rsidRPr="00BD6D04">
        <w:rPr>
          <w:lang w:val="es-ES"/>
        </w:rPr>
        <w:tab/>
      </w:r>
      <w:r w:rsidR="001B2E7A" w:rsidRPr="00BD6D04">
        <w:rPr>
          <w:lang w:val="es-ES"/>
        </w:rPr>
        <w:t>El TC convino en invitar al TWC a comparar el nuevo método para datos de distribución multinomial con la prueba ji cuadrado, tal como se expone en el párrafo 10 del documento TC/50/28</w:t>
      </w:r>
      <w:r w:rsidR="00D83A6F" w:rsidRPr="00BD6D04">
        <w:rPr>
          <w:rFonts w:hint="eastAsia"/>
          <w:lang w:val="es-ES" w:eastAsia="ja-JP"/>
        </w:rPr>
        <w:t xml:space="preserve"> </w:t>
      </w:r>
      <w:r w:rsidR="001B2E7A" w:rsidRPr="00BD6D04">
        <w:rPr>
          <w:lang w:val="es-ES" w:eastAsia="ja-JP"/>
        </w:rPr>
        <w:t>(véase el</w:t>
      </w:r>
      <w:r w:rsidR="00CC1338">
        <w:rPr>
          <w:lang w:val="es-ES" w:eastAsia="ja-JP"/>
        </w:rPr>
        <w:t> </w:t>
      </w:r>
      <w:r w:rsidR="001B2E7A" w:rsidRPr="00BD6D04">
        <w:rPr>
          <w:lang w:val="es-ES" w:eastAsia="ja-JP"/>
        </w:rPr>
        <w:t>documento TC/50/36 “Informe sobre las conclusiones”, párrafo 66)</w:t>
      </w:r>
      <w:r w:rsidR="001B2E7A" w:rsidRPr="00BD6D04">
        <w:rPr>
          <w:lang w:val="es-ES"/>
        </w:rPr>
        <w:t>.</w:t>
      </w:r>
    </w:p>
    <w:p w:rsidR="00281A7E" w:rsidRPr="00BD6D04" w:rsidRDefault="00281A7E" w:rsidP="00D83A6F">
      <w:pPr>
        <w:rPr>
          <w:lang w:val="es-ES" w:eastAsia="ja-JP"/>
        </w:rPr>
      </w:pPr>
    </w:p>
    <w:p w:rsidR="001B2E7A" w:rsidRPr="00BD6D04" w:rsidRDefault="007A1EBC" w:rsidP="001B2E7A">
      <w:pPr>
        <w:rPr>
          <w:lang w:val="es-ES"/>
        </w:rPr>
      </w:pPr>
      <w:r w:rsidRPr="00BD6D04">
        <w:fldChar w:fldCharType="begin"/>
      </w:r>
      <w:r w:rsidR="00D83A6F" w:rsidRPr="00BD6D04">
        <w:rPr>
          <w:lang w:val="es-ES"/>
        </w:rPr>
        <w:instrText xml:space="preserve"> AUTONUM  </w:instrText>
      </w:r>
      <w:r w:rsidRPr="00BD6D04">
        <w:fldChar w:fldCharType="end"/>
      </w:r>
      <w:r w:rsidR="00D83A6F" w:rsidRPr="00BD6D04">
        <w:rPr>
          <w:lang w:val="es-ES"/>
        </w:rPr>
        <w:tab/>
      </w:r>
      <w:r w:rsidR="001B2E7A" w:rsidRPr="00BD6D04">
        <w:rPr>
          <w:lang w:val="es-ES"/>
        </w:rPr>
        <w:t xml:space="preserve">El TC solicitó al TWC que designe a un experto adecuado para que redacte el documento </w:t>
      </w:r>
      <w:r w:rsidR="001B2E7A" w:rsidRPr="00BD6D04">
        <w:rPr>
          <w:lang w:val="es-ES" w:eastAsia="ja-JP"/>
        </w:rPr>
        <w:t>(véase el</w:t>
      </w:r>
      <w:r w:rsidR="00CC1338">
        <w:rPr>
          <w:lang w:val="es-ES" w:eastAsia="ja-JP"/>
        </w:rPr>
        <w:t> </w:t>
      </w:r>
      <w:r w:rsidR="001B2E7A" w:rsidRPr="00BD6D04">
        <w:rPr>
          <w:lang w:val="es-ES" w:eastAsia="ja-JP"/>
        </w:rPr>
        <w:t>documento TC/50/36 “Informe sobre las conclusiones”, párrafo 67)</w:t>
      </w:r>
      <w:r w:rsidR="001B2E7A" w:rsidRPr="00BD6D04">
        <w:rPr>
          <w:lang w:val="es-ES"/>
        </w:rPr>
        <w:t>.</w:t>
      </w:r>
    </w:p>
    <w:p w:rsidR="00281A7E" w:rsidRPr="00BD6D04" w:rsidRDefault="00281A7E" w:rsidP="00D83A6F">
      <w:pPr>
        <w:rPr>
          <w:snapToGrid w:val="0"/>
          <w:lang w:val="es-ES" w:eastAsia="ja-JP"/>
        </w:rPr>
      </w:pPr>
    </w:p>
    <w:p w:rsidR="00281A7E" w:rsidRPr="00BD6D04" w:rsidRDefault="00281A7E" w:rsidP="00BD6D04">
      <w:pPr>
        <w:pStyle w:val="Heading2"/>
        <w:keepNext w:val="0"/>
        <w:rPr>
          <w:color w:val="auto"/>
          <w:lang w:val="es-ES"/>
        </w:rPr>
      </w:pPr>
      <w:r w:rsidRPr="00BD6D04">
        <w:rPr>
          <w:color w:val="auto"/>
          <w:lang w:val="es-ES"/>
        </w:rPr>
        <w:t>TWP</w:t>
      </w:r>
    </w:p>
    <w:p w:rsidR="00281A7E" w:rsidRPr="00BD6D04" w:rsidRDefault="00281A7E" w:rsidP="00D83A6F">
      <w:pPr>
        <w:rPr>
          <w:snapToGrid w:val="0"/>
          <w:lang w:val="es-ES" w:eastAsia="ja-JP"/>
        </w:rPr>
      </w:pPr>
    </w:p>
    <w:p w:rsidR="00C51E25" w:rsidRPr="00BD6D04" w:rsidRDefault="007A1EBC" w:rsidP="00C51E25">
      <w:pPr>
        <w:rPr>
          <w:snapToGrid w:val="0"/>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En sus sesiones de 2014, el TWO, el TWF, el TWV, el TWC y el TWA examinaron</w:t>
      </w:r>
      <w:r w:rsidR="000F7BBD" w:rsidRPr="00BD6D04">
        <w:rPr>
          <w:lang w:val="es-ES" w:eastAsia="es-ES"/>
        </w:rPr>
        <w:t>,</w:t>
      </w:r>
      <w:r w:rsidR="00C51E25" w:rsidRPr="00BD6D04">
        <w:rPr>
          <w:lang w:val="es-ES" w:eastAsia="es-ES"/>
        </w:rPr>
        <w:t xml:space="preserve"> respectivamente</w:t>
      </w:r>
      <w:r w:rsidR="000F7BBD" w:rsidRPr="00BD6D04">
        <w:rPr>
          <w:lang w:val="es-ES" w:eastAsia="es-ES"/>
        </w:rPr>
        <w:t>,</w:t>
      </w:r>
      <w:r w:rsidR="00C51E25" w:rsidRPr="00BD6D04">
        <w:rPr>
          <w:lang w:val="es-ES" w:eastAsia="es-ES"/>
        </w:rPr>
        <w:t xml:space="preserve"> los documentos TWO/47/21, TWF/45/21, TWV/48/21, TWC/32/21, TWC/32/21 Add. </w:t>
      </w:r>
      <w:proofErr w:type="gramStart"/>
      <w:r w:rsidR="00C51E25" w:rsidRPr="00BD6D04">
        <w:rPr>
          <w:lang w:val="es-ES" w:eastAsia="es-ES"/>
        </w:rPr>
        <w:t>y</w:t>
      </w:r>
      <w:proofErr w:type="gramEnd"/>
      <w:r w:rsidR="00C51E25" w:rsidRPr="00BD6D04">
        <w:rPr>
          <w:lang w:val="es-ES" w:eastAsia="es-ES"/>
        </w:rPr>
        <w:t> TWA/43/21</w:t>
      </w:r>
      <w:r w:rsidR="00C51E25" w:rsidRPr="00BD6D04">
        <w:rPr>
          <w:rFonts w:cs="Arial"/>
          <w:cs/>
          <w:lang w:val="es-ES" w:eastAsia="es-ES"/>
        </w:rPr>
        <w:t xml:space="preserve"> “</w:t>
      </w:r>
      <w:r w:rsidR="00C51E25" w:rsidRPr="00BD6D04">
        <w:rPr>
          <w:i/>
          <w:lang w:val="es-ES" w:eastAsia="es-ES"/>
        </w:rPr>
        <w:t>Revision of Document TGP/8: Part II: Selected Techniques Used in DUS Examination, New Section: Statistical Methods for Visually Observed Characteristics</w:t>
      </w:r>
      <w:r w:rsidR="00C51E25" w:rsidRPr="00BD6D04">
        <w:rPr>
          <w:rFonts w:cs="Arial"/>
          <w:cs/>
          <w:lang w:val="es-ES" w:eastAsia="es-ES"/>
        </w:rPr>
        <w:t xml:space="preserve">” </w:t>
      </w:r>
      <w:r w:rsidR="00C51E25" w:rsidRPr="00BD6D04">
        <w:rPr>
          <w:lang w:val="es-ES" w:eastAsia="es-ES"/>
        </w:rPr>
        <w:t>(Revisión d</w:t>
      </w:r>
      <w:r w:rsidR="00CC1338">
        <w:rPr>
          <w:lang w:val="es-ES" w:eastAsia="es-ES"/>
        </w:rPr>
        <w:t xml:space="preserve">el documento TGP/8: Parte II: </w:t>
      </w:r>
      <w:r w:rsidR="00C51E25" w:rsidRPr="00BD6D04">
        <w:rPr>
          <w:lang w:val="es-ES" w:eastAsia="es-ES"/>
        </w:rPr>
        <w:t>Técnicas utilizadas en el examen DHE, nueva sección:  Métodos estadísticos aplicados a caracteres observados visualmente).</w:t>
      </w:r>
    </w:p>
    <w:p w:rsidR="00C51E25" w:rsidRPr="00BD6D04" w:rsidRDefault="00C51E25" w:rsidP="00C51E25">
      <w:pPr>
        <w:rPr>
          <w:snapToGrid w:val="0"/>
          <w:lang w:val="es-ES"/>
        </w:rPr>
      </w:pPr>
    </w:p>
    <w:p w:rsidR="00C51E25" w:rsidRPr="00BD6D04" w:rsidRDefault="007A1EBC" w:rsidP="00C51E25">
      <w:pPr>
        <w:rPr>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 xml:space="preserve">El Anexo del documento TWC/32/21 Add. </w:t>
      </w:r>
      <w:r w:rsidR="00C51E25" w:rsidRPr="00BD6D04">
        <w:rPr>
          <w:rFonts w:cs="Arial"/>
          <w:cs/>
          <w:lang w:val="es-ES" w:eastAsia="es-ES"/>
        </w:rPr>
        <w:t>“</w:t>
      </w:r>
      <w:r w:rsidR="00C51E25" w:rsidRPr="00BD6D04">
        <w:rPr>
          <w:i/>
          <w:lang w:val="en-GB" w:eastAsia="es-ES"/>
        </w:rPr>
        <w:t>Addendum Revision of Document TGP/8: Part II: Selected Techniques Used in DUS Examination, New Section: Statistical Methods for Visually Observed Characteristics</w:t>
      </w:r>
      <w:r w:rsidR="00C51E25" w:rsidRPr="00BD6D04">
        <w:rPr>
          <w:rFonts w:cs="Arial"/>
          <w:cs/>
          <w:lang w:val="es-ES" w:eastAsia="es-ES"/>
        </w:rPr>
        <w:t xml:space="preserve">” </w:t>
      </w:r>
      <w:r w:rsidR="00C51E25" w:rsidRPr="00BD6D04">
        <w:rPr>
          <w:lang w:val="en-GB" w:eastAsia="es-ES"/>
        </w:rPr>
        <w:t>(Adenda</w:t>
      </w:r>
      <w:r w:rsidR="008F2BAC" w:rsidRPr="00BD6D04">
        <w:rPr>
          <w:lang w:val="en-GB"/>
        </w:rPr>
        <w:t xml:space="preserve">.  </w:t>
      </w:r>
      <w:r w:rsidR="00CC1338">
        <w:rPr>
          <w:lang w:val="es-ES" w:eastAsia="es-ES"/>
        </w:rPr>
        <w:t>Revisión del documento TGP/8:</w:t>
      </w:r>
      <w:r w:rsidR="00C51E25" w:rsidRPr="00BD6D04">
        <w:rPr>
          <w:lang w:val="es-ES" w:eastAsia="es-ES"/>
        </w:rPr>
        <w:t> Parte II</w:t>
      </w:r>
      <w:proofErr w:type="gramStart"/>
      <w:r w:rsidR="00C51E25" w:rsidRPr="00BD6D04">
        <w:rPr>
          <w:lang w:val="es-ES" w:eastAsia="es-ES"/>
        </w:rPr>
        <w:t>:  Técnicas</w:t>
      </w:r>
      <w:proofErr w:type="gramEnd"/>
      <w:r w:rsidR="00C51E25" w:rsidRPr="00BD6D04">
        <w:rPr>
          <w:lang w:val="es-ES" w:eastAsia="es-ES"/>
        </w:rPr>
        <w:t xml:space="preserve"> utilizadas en el examen DHE, nueva sección:  Métodos estadísticos aplicados a caracteres observados visualmente)</w:t>
      </w:r>
      <w:r w:rsidR="00C51E25" w:rsidRPr="00BD6D04">
        <w:rPr>
          <w:lang w:val="es-ES"/>
        </w:rPr>
        <w:t xml:space="preserve"> </w:t>
      </w:r>
      <w:r w:rsidR="00C51E25" w:rsidRPr="00BD6D04">
        <w:rPr>
          <w:lang w:val="es-ES" w:eastAsia="es-ES"/>
        </w:rPr>
        <w:t>se reproduce en el Anexo del presente documento.</w:t>
      </w:r>
    </w:p>
    <w:p w:rsidR="00C51E25" w:rsidRPr="00BD6D04" w:rsidRDefault="00C51E25" w:rsidP="00C51E25">
      <w:pPr>
        <w:rPr>
          <w:snapToGrid w:val="0"/>
          <w:lang w:val="es-ES"/>
        </w:rPr>
      </w:pPr>
      <w:r w:rsidRPr="00BD6D04">
        <w:rPr>
          <w:lang w:val="es-ES" w:eastAsia="es-ES"/>
        </w:rPr>
        <w:t xml:space="preserve"> </w:t>
      </w:r>
    </w:p>
    <w:p w:rsidR="00C51E25" w:rsidRPr="00BD6D04" w:rsidRDefault="007A1EBC" w:rsidP="00C51E25">
      <w:pPr>
        <w:rPr>
          <w:iCs/>
          <w:spacing w:val="-4"/>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 xml:space="preserve">El TWO, el TWF, el TWC, el TWV y el TWA </w:t>
      </w:r>
      <w:r w:rsidR="00C51E25" w:rsidRPr="00BD6D04">
        <w:rPr>
          <w:spacing w:val="-4"/>
          <w:lang w:val="es-ES" w:eastAsia="es-ES"/>
        </w:rPr>
        <w:t xml:space="preserve">tomaron nota de las novedades relativas </w:t>
      </w:r>
      <w:r w:rsidR="00C51E25" w:rsidRPr="00BD6D04">
        <w:rPr>
          <w:lang w:val="es-ES" w:eastAsia="es-ES"/>
        </w:rPr>
        <w:t xml:space="preserve">a la posibilidad de incluir una nueva sección </w:t>
      </w:r>
      <w:r w:rsidR="00C51E25" w:rsidRPr="00BD6D04">
        <w:rPr>
          <w:rFonts w:cs="Arial"/>
          <w:cs/>
          <w:lang w:val="es-ES" w:eastAsia="es-ES"/>
        </w:rPr>
        <w:t>“</w:t>
      </w:r>
      <w:r w:rsidR="00C51E25" w:rsidRPr="00BD6D04">
        <w:rPr>
          <w:lang w:val="es-ES" w:eastAsia="es-ES"/>
        </w:rPr>
        <w:t>Métodos estadísticos aplicados a caracteres observados visualmente</w:t>
      </w:r>
      <w:r w:rsidR="00C51E25" w:rsidRPr="00BD6D04">
        <w:rPr>
          <w:rFonts w:cs="Arial"/>
          <w:cs/>
          <w:lang w:val="es-ES" w:eastAsia="es-ES"/>
        </w:rPr>
        <w:t xml:space="preserve">” </w:t>
      </w:r>
      <w:r w:rsidR="00C51E25" w:rsidRPr="00BD6D04">
        <w:rPr>
          <w:lang w:val="es-ES" w:eastAsia="es-ES"/>
        </w:rPr>
        <w:t>en el documento TGP/8:  Parte II:  Técnicas utilizadas en el examen DHE</w:t>
      </w:r>
      <w:r w:rsidR="00C51E25" w:rsidRPr="00BD6D04">
        <w:rPr>
          <w:lang w:val="es-ES"/>
        </w:rPr>
        <w:t>,</w:t>
      </w:r>
      <w:r w:rsidR="00C51E25" w:rsidRPr="00BD6D04">
        <w:rPr>
          <w:lang w:val="es-ES" w:eastAsia="es-ES"/>
        </w:rPr>
        <w:t xml:space="preserve"> en una futura revisión del documento TGP/8 (véanse los documentos TWO/47/28 </w:t>
      </w:r>
      <w:r w:rsidR="00C51E25" w:rsidRPr="00BD6D04">
        <w:rPr>
          <w:rFonts w:cs="Arial"/>
          <w:cs/>
          <w:lang w:val="es-ES" w:eastAsia="es-ES"/>
        </w:rPr>
        <w:t>“</w:t>
      </w:r>
      <w:r w:rsidR="00C51E25" w:rsidRPr="00BD6D04">
        <w:rPr>
          <w:i/>
          <w:lang w:val="es-ES" w:eastAsia="es-ES"/>
        </w:rPr>
        <w:t>Report</w:t>
      </w:r>
      <w:r w:rsidR="00C51E25" w:rsidRPr="00BD6D04">
        <w:rPr>
          <w:rFonts w:cs="Arial"/>
          <w:cs/>
          <w:lang w:val="es-ES" w:eastAsia="es-ES"/>
        </w:rPr>
        <w:t>”</w:t>
      </w:r>
      <w:r w:rsidR="00C51E25" w:rsidRPr="00BD6D04">
        <w:rPr>
          <w:lang w:val="es-ES" w:eastAsia="es-ES"/>
        </w:rPr>
        <w:t>, párrafo 47</w:t>
      </w:r>
      <w:r w:rsidR="00CC1338">
        <w:rPr>
          <w:lang w:val="es-ES" w:eastAsia="es-ES"/>
        </w:rPr>
        <w:t>;</w:t>
      </w:r>
      <w:r w:rsidR="008F2BAC" w:rsidRPr="00BD6D04">
        <w:rPr>
          <w:lang w:val="es-ES" w:eastAsia="es-ES"/>
        </w:rPr>
        <w:t xml:space="preserve"> </w:t>
      </w:r>
      <w:r w:rsidR="00C51E25" w:rsidRPr="00BD6D04">
        <w:rPr>
          <w:lang w:val="es-ES" w:eastAsia="es-ES"/>
        </w:rPr>
        <w:t>TWF/45/32</w:t>
      </w:r>
      <w:r w:rsidR="00C51E25" w:rsidRPr="00BD6D04">
        <w:rPr>
          <w:rFonts w:cs="Arial"/>
          <w:cs/>
          <w:lang w:val="es-ES" w:eastAsia="es-ES"/>
        </w:rPr>
        <w:t xml:space="preserve"> “</w:t>
      </w:r>
      <w:r w:rsidR="00C51E25" w:rsidRPr="00BD6D04">
        <w:rPr>
          <w:i/>
          <w:lang w:val="es-ES" w:eastAsia="es-ES"/>
        </w:rPr>
        <w:t>Report</w:t>
      </w:r>
      <w:r w:rsidR="00C51E25" w:rsidRPr="00BD6D04">
        <w:rPr>
          <w:rFonts w:cs="Arial"/>
          <w:cs/>
          <w:lang w:val="es-ES" w:eastAsia="es-ES"/>
        </w:rPr>
        <w:t>”</w:t>
      </w:r>
      <w:r w:rsidR="00C51E25" w:rsidRPr="00BD6D04">
        <w:rPr>
          <w:lang w:val="es-ES" w:eastAsia="es-ES"/>
        </w:rPr>
        <w:t>, párrafo 48</w:t>
      </w:r>
      <w:r w:rsidR="00CC1338">
        <w:rPr>
          <w:lang w:val="es-ES" w:eastAsia="es-ES"/>
        </w:rPr>
        <w:t xml:space="preserve">; </w:t>
      </w:r>
      <w:r w:rsidR="00C51E25" w:rsidRPr="00BD6D04">
        <w:rPr>
          <w:lang w:val="es-ES" w:eastAsia="es-ES"/>
        </w:rPr>
        <w:t>TWC/32/28</w:t>
      </w:r>
      <w:r w:rsidR="00C51E25" w:rsidRPr="00BD6D04">
        <w:rPr>
          <w:rFonts w:cs="Arial"/>
          <w:cs/>
          <w:lang w:val="es-ES" w:eastAsia="es-ES"/>
        </w:rPr>
        <w:t xml:space="preserve"> “</w:t>
      </w:r>
      <w:r w:rsidR="00C51E25" w:rsidRPr="00BD6D04">
        <w:rPr>
          <w:i/>
          <w:lang w:val="es-ES" w:eastAsia="es-ES"/>
        </w:rPr>
        <w:t>Report</w:t>
      </w:r>
      <w:r w:rsidR="00C51E25" w:rsidRPr="00BD6D04">
        <w:rPr>
          <w:rFonts w:cs="Arial"/>
          <w:cs/>
          <w:lang w:val="es-ES" w:eastAsia="es-ES"/>
        </w:rPr>
        <w:t>”</w:t>
      </w:r>
      <w:r w:rsidR="00C51E25" w:rsidRPr="00BD6D04">
        <w:rPr>
          <w:lang w:val="es-ES" w:eastAsia="es-ES"/>
        </w:rPr>
        <w:t>, párrafo 45</w:t>
      </w:r>
      <w:r w:rsidR="00CC1338">
        <w:rPr>
          <w:lang w:val="es-ES" w:eastAsia="es-ES"/>
        </w:rPr>
        <w:t xml:space="preserve">; </w:t>
      </w:r>
      <w:r w:rsidR="00C51E25" w:rsidRPr="00BD6D04">
        <w:rPr>
          <w:lang w:val="es-ES" w:eastAsia="es-ES"/>
        </w:rPr>
        <w:t>TWV/48/43</w:t>
      </w:r>
      <w:r w:rsidR="00C51E25" w:rsidRPr="00BD6D04">
        <w:rPr>
          <w:rFonts w:cs="Arial"/>
          <w:cs/>
          <w:lang w:val="es-ES" w:eastAsia="es-ES"/>
        </w:rPr>
        <w:t xml:space="preserve"> “</w:t>
      </w:r>
      <w:r w:rsidR="00C51E25" w:rsidRPr="00BD6D04">
        <w:rPr>
          <w:i/>
          <w:lang w:val="es-ES" w:eastAsia="es-ES"/>
        </w:rPr>
        <w:t>Report</w:t>
      </w:r>
      <w:r w:rsidR="00C51E25" w:rsidRPr="00BD6D04">
        <w:rPr>
          <w:rFonts w:cs="Arial"/>
          <w:cs/>
          <w:lang w:val="es-ES" w:eastAsia="es-ES"/>
        </w:rPr>
        <w:t>”</w:t>
      </w:r>
      <w:r w:rsidR="00C51E25" w:rsidRPr="00BD6D04">
        <w:rPr>
          <w:lang w:val="es-ES" w:eastAsia="es-ES"/>
        </w:rPr>
        <w:t>, párrafo 61</w:t>
      </w:r>
      <w:r w:rsidR="00CC1338">
        <w:rPr>
          <w:lang w:val="es-ES" w:eastAsia="es-ES"/>
        </w:rPr>
        <w:t>;</w:t>
      </w:r>
      <w:r w:rsidR="008F2BAC" w:rsidRPr="00BD6D04">
        <w:rPr>
          <w:lang w:val="es-ES" w:eastAsia="es-ES"/>
        </w:rPr>
        <w:t xml:space="preserve"> </w:t>
      </w:r>
      <w:r w:rsidR="00C51E25" w:rsidRPr="00BD6D04">
        <w:rPr>
          <w:lang w:val="es-ES" w:eastAsia="es-ES"/>
        </w:rPr>
        <w:t>y TWA/43/27</w:t>
      </w:r>
      <w:r w:rsidR="00C51E25" w:rsidRPr="00BD6D04">
        <w:rPr>
          <w:rFonts w:cs="Arial"/>
          <w:cs/>
          <w:lang w:val="es-ES" w:eastAsia="es-ES"/>
        </w:rPr>
        <w:t xml:space="preserve"> “</w:t>
      </w:r>
      <w:r w:rsidR="00C51E25" w:rsidRPr="00BD6D04">
        <w:rPr>
          <w:i/>
          <w:lang w:val="es-ES" w:eastAsia="es-ES"/>
        </w:rPr>
        <w:t>Report</w:t>
      </w:r>
      <w:r w:rsidR="00C51E25" w:rsidRPr="00BD6D04">
        <w:rPr>
          <w:rFonts w:cs="Arial"/>
          <w:cs/>
          <w:lang w:val="es-ES" w:eastAsia="es-ES"/>
        </w:rPr>
        <w:t>”</w:t>
      </w:r>
      <w:r w:rsidR="00C51E25" w:rsidRPr="00BD6D04">
        <w:rPr>
          <w:lang w:val="es-ES" w:eastAsia="es-ES"/>
        </w:rPr>
        <w:t>, párrafo 53, respectivamente)</w:t>
      </w:r>
      <w:r w:rsidR="00C51E25" w:rsidRPr="00BD6D04">
        <w:rPr>
          <w:spacing w:val="-4"/>
          <w:lang w:val="es-ES" w:eastAsia="es-ES"/>
        </w:rPr>
        <w:t>.</w:t>
      </w:r>
    </w:p>
    <w:p w:rsidR="00C51E25" w:rsidRPr="00BD6D04" w:rsidRDefault="00C51E25" w:rsidP="00C51E25">
      <w:pPr>
        <w:rPr>
          <w:iCs/>
          <w:spacing w:val="-4"/>
          <w:lang w:val="es-ES"/>
        </w:rPr>
      </w:pPr>
    </w:p>
    <w:p w:rsidR="00C51E25" w:rsidRPr="00BD6D04" w:rsidRDefault="007A1EBC" w:rsidP="00C51E25">
      <w:pPr>
        <w:rPr>
          <w:iCs/>
          <w:spacing w:val="-4"/>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El TWO, el TWF y el TWV convinieron en que se debía aclarar que el nuevo método propuesto se utilizaba para la observación de plantas o partes de plantas individuales (VS) (véanse los documentos TWO/47/28, párrafo 48</w:t>
      </w:r>
      <w:r w:rsidR="008F2BAC" w:rsidRPr="00BD6D04">
        <w:rPr>
          <w:lang w:val="es-ES" w:eastAsia="es-ES"/>
        </w:rPr>
        <w:t xml:space="preserve">;  </w:t>
      </w:r>
      <w:r w:rsidR="00C51E25" w:rsidRPr="00BD6D04">
        <w:rPr>
          <w:lang w:val="es-ES" w:eastAsia="es-ES"/>
        </w:rPr>
        <w:t>TWF/45/32, párrafo 49</w:t>
      </w:r>
      <w:r w:rsidR="00CC1338">
        <w:rPr>
          <w:lang w:val="es-ES" w:eastAsia="es-ES"/>
        </w:rPr>
        <w:t xml:space="preserve">; </w:t>
      </w:r>
      <w:r w:rsidR="00C51E25" w:rsidRPr="00BD6D04">
        <w:rPr>
          <w:lang w:val="es-ES" w:eastAsia="es-ES"/>
        </w:rPr>
        <w:t>y TWV/48/43, párrafo 62, respectivamente)</w:t>
      </w:r>
      <w:r w:rsidR="00C51E25" w:rsidRPr="00BD6D04">
        <w:rPr>
          <w:spacing w:val="-4"/>
          <w:lang w:val="es-ES" w:eastAsia="es-ES"/>
        </w:rPr>
        <w:t>.</w:t>
      </w:r>
    </w:p>
    <w:p w:rsidR="00C51E25" w:rsidRPr="00BD6D04" w:rsidRDefault="00C51E25" w:rsidP="00C51E25">
      <w:pPr>
        <w:rPr>
          <w:lang w:val="es-ES"/>
        </w:rPr>
      </w:pPr>
    </w:p>
    <w:p w:rsidR="00C51E25" w:rsidRPr="00BD6D04" w:rsidRDefault="007A1EBC" w:rsidP="00C51E25">
      <w:pPr>
        <w:rPr>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 xml:space="preserve">El TWC examinó una comparación </w:t>
      </w:r>
      <w:r w:rsidR="000A3EDF" w:rsidRPr="00BD6D04">
        <w:rPr>
          <w:lang w:val="es-ES" w:eastAsia="es-ES"/>
        </w:rPr>
        <w:t>entre</w:t>
      </w:r>
      <w:r w:rsidR="00C51E25" w:rsidRPr="00BD6D04">
        <w:rPr>
          <w:lang w:val="es-ES" w:eastAsia="es-ES"/>
        </w:rPr>
        <w:t xml:space="preserve"> los resultados de las decisiones en materia de distinción obtenidos con el </w:t>
      </w:r>
      <w:r w:rsidR="00C51E25" w:rsidRPr="00BD6D04">
        <w:rPr>
          <w:lang w:val="es-ES"/>
        </w:rPr>
        <w:t xml:space="preserve">nuevo </w:t>
      </w:r>
      <w:r w:rsidR="00C51E25" w:rsidRPr="00BD6D04">
        <w:rPr>
          <w:lang w:val="es-ES" w:eastAsia="es-ES"/>
        </w:rPr>
        <w:t>método COYD aplicado a caracteres observa</w:t>
      </w:r>
      <w:r w:rsidR="00BD6D04">
        <w:rPr>
          <w:lang w:val="es-ES" w:eastAsia="es-ES"/>
        </w:rPr>
        <w:t>dos visualmente y con la prueba </w:t>
      </w:r>
      <w:r w:rsidR="00C51E25" w:rsidRPr="00BD6D04">
        <w:rPr>
          <w:lang w:val="es-ES" w:eastAsia="es-ES"/>
        </w:rPr>
        <w:t>ji cuadrado, presentad</w:t>
      </w:r>
      <w:r w:rsidR="000A3EDF" w:rsidRPr="00BD6D04">
        <w:rPr>
          <w:lang w:val="es-ES" w:eastAsia="es-ES"/>
        </w:rPr>
        <w:t>o</w:t>
      </w:r>
      <w:r w:rsidR="00C51E25" w:rsidRPr="00BD6D04">
        <w:rPr>
          <w:lang w:val="es-ES" w:eastAsia="es-ES"/>
        </w:rPr>
        <w:t xml:space="preserve"> por un experto de Finlandia, que se expone en el Anexo del documento TWC/32/21 Add. (véase el documento TWC/32/28, párrafo 46). </w:t>
      </w:r>
    </w:p>
    <w:p w:rsidR="00C51E25" w:rsidRPr="00BD6D04" w:rsidRDefault="00C51E25" w:rsidP="00C51E25">
      <w:pPr>
        <w:rPr>
          <w:lang w:val="es-ES"/>
        </w:rPr>
      </w:pPr>
    </w:p>
    <w:p w:rsidR="00C51E25" w:rsidRPr="00BD6D04" w:rsidRDefault="007A1EBC" w:rsidP="00C51E25">
      <w:pPr>
        <w:rPr>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 xml:space="preserve">El TWC convino en que el nuevo método estaba adaptado al análisis de los caracteres observados visualmente y mejor fundamentado que la prueba ji cuadrado. </w:t>
      </w:r>
      <w:r w:rsidR="00C51E25" w:rsidRPr="00BD6D04">
        <w:rPr>
          <w:lang w:val="es-ES"/>
        </w:rPr>
        <w:t xml:space="preserve"> </w:t>
      </w:r>
      <w:r w:rsidR="00C51E25" w:rsidRPr="00BD6D04">
        <w:rPr>
          <w:lang w:val="es-ES" w:eastAsia="es-ES"/>
        </w:rPr>
        <w:t xml:space="preserve">El TWC tomó nota de que el nuevo método permitía establecer la distinción entre más pares de variedades que la prueba ji cuadrado en el ejemplo </w:t>
      </w:r>
      <w:r w:rsidR="00C51E25" w:rsidRPr="00BD6D04">
        <w:rPr>
          <w:lang w:val="es-ES"/>
        </w:rPr>
        <w:t xml:space="preserve">examinado </w:t>
      </w:r>
      <w:r w:rsidR="00C51E25" w:rsidRPr="00BD6D04">
        <w:rPr>
          <w:lang w:val="es-ES" w:eastAsia="es-ES"/>
        </w:rPr>
        <w:t xml:space="preserve">del </w:t>
      </w:r>
      <w:r w:rsidR="00C51E25" w:rsidRPr="00BD6D04">
        <w:rPr>
          <w:rFonts w:cs="Arial"/>
          <w:cs/>
          <w:lang w:val="es-ES" w:eastAsia="es-ES"/>
        </w:rPr>
        <w:t>“</w:t>
      </w:r>
      <w:r w:rsidR="00C51E25" w:rsidRPr="00BD6D04">
        <w:rPr>
          <w:lang w:val="es-ES" w:eastAsia="es-ES"/>
        </w:rPr>
        <w:t>porte</w:t>
      </w:r>
      <w:r w:rsidR="00C51E25" w:rsidRPr="00BD6D04">
        <w:rPr>
          <w:rFonts w:cs="Arial"/>
          <w:cs/>
          <w:lang w:val="es-ES" w:eastAsia="es-ES"/>
        </w:rPr>
        <w:t xml:space="preserve">” </w:t>
      </w:r>
      <w:r w:rsidR="00C51E25" w:rsidRPr="00BD6D04">
        <w:rPr>
          <w:lang w:val="es-ES" w:eastAsia="es-ES"/>
        </w:rPr>
        <w:t xml:space="preserve">de la festuca pratense (véase el párrafo 47 del documento TWC/32/28). </w:t>
      </w:r>
    </w:p>
    <w:p w:rsidR="00C51E25" w:rsidRPr="00BD6D04" w:rsidRDefault="00C51E25" w:rsidP="00C51E25">
      <w:pPr>
        <w:rPr>
          <w:lang w:val="es-ES"/>
        </w:rPr>
      </w:pPr>
    </w:p>
    <w:p w:rsidR="00C51E25" w:rsidRPr="00BD6D04" w:rsidRDefault="007A1EBC" w:rsidP="00C51E25">
      <w:pPr>
        <w:rPr>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r>
      <w:r w:rsidR="00C51E25" w:rsidRPr="00BD6D04">
        <w:rPr>
          <w:lang w:val="es-ES"/>
        </w:rPr>
        <w:t>El TWC convino en que debía</w:t>
      </w:r>
      <w:r w:rsidR="00C51E25" w:rsidRPr="00BD6D04">
        <w:rPr>
          <w:lang w:val="es-ES" w:eastAsia="es-ES"/>
        </w:rPr>
        <w:t xml:space="preserve"> crearse un programa informático </w:t>
      </w:r>
      <w:r w:rsidR="0038052E" w:rsidRPr="00BD6D04">
        <w:rPr>
          <w:lang w:val="es-ES" w:eastAsia="es-ES"/>
        </w:rPr>
        <w:t>que permita incorporar</w:t>
      </w:r>
      <w:r w:rsidR="005D3965" w:rsidRPr="00BD6D04">
        <w:rPr>
          <w:lang w:val="es-ES" w:eastAsia="es-ES"/>
        </w:rPr>
        <w:t xml:space="preserve"> e</w:t>
      </w:r>
      <w:r w:rsidR="00C51E25" w:rsidRPr="00BD6D04">
        <w:rPr>
          <w:lang w:val="es-ES" w:eastAsia="es-ES"/>
        </w:rPr>
        <w:t xml:space="preserve">l nuevo método </w:t>
      </w:r>
      <w:r w:rsidR="006D2147" w:rsidRPr="00BD6D04">
        <w:rPr>
          <w:lang w:val="es-ES" w:eastAsia="es-ES"/>
        </w:rPr>
        <w:t>en</w:t>
      </w:r>
      <w:r w:rsidR="00C51E25" w:rsidRPr="00BD6D04">
        <w:rPr>
          <w:lang w:val="es-ES" w:eastAsia="es-ES"/>
        </w:rPr>
        <w:t xml:space="preserve"> los conjuntos de programas informáticos disponibles y </w:t>
      </w:r>
      <w:r w:rsidR="0038052E" w:rsidRPr="00BD6D04">
        <w:rPr>
          <w:lang w:val="es-ES" w:eastAsia="es-ES"/>
        </w:rPr>
        <w:t>observó</w:t>
      </w:r>
      <w:r w:rsidR="00C51E25" w:rsidRPr="00BD6D04">
        <w:rPr>
          <w:lang w:val="es-ES" w:eastAsia="es-ES"/>
        </w:rPr>
        <w:t xml:space="preserve"> que actualmente se disponía del código para el SAS. </w:t>
      </w:r>
      <w:r w:rsidR="00C51E25" w:rsidRPr="00BD6D04">
        <w:rPr>
          <w:lang w:val="es-ES"/>
        </w:rPr>
        <w:t xml:space="preserve"> </w:t>
      </w:r>
      <w:r w:rsidR="00C51E25" w:rsidRPr="00BD6D04">
        <w:rPr>
          <w:lang w:val="es-ES" w:eastAsia="es-ES"/>
        </w:rPr>
        <w:t>El TWC tomó nota de que el Reino Unido se encontraba actualmente evaluando la manera de utilizar GenStat para este método (véase el párrafo 48</w:t>
      </w:r>
      <w:r w:rsidR="00C51E25" w:rsidRPr="00BD6D04">
        <w:rPr>
          <w:lang w:val="es-ES"/>
        </w:rPr>
        <w:t xml:space="preserve"> del documento </w:t>
      </w:r>
      <w:r w:rsidR="00C51E25" w:rsidRPr="00BD6D04">
        <w:rPr>
          <w:lang w:val="es-ES" w:eastAsia="es-ES"/>
        </w:rPr>
        <w:t>TWC/32/28).</w:t>
      </w:r>
    </w:p>
    <w:p w:rsidR="00C51E25" w:rsidRPr="00BD6D04" w:rsidRDefault="00C51E25" w:rsidP="00C51E25">
      <w:pPr>
        <w:rPr>
          <w:lang w:val="es-ES"/>
        </w:rPr>
      </w:pPr>
    </w:p>
    <w:p w:rsidR="00C51E25" w:rsidRPr="00BD6D04" w:rsidRDefault="007A1EBC" w:rsidP="00C51E25">
      <w:pPr>
        <w:rPr>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El TWC convino en invitar a un experto de China a presentar una ponencia, en la próxima sesión del TWC, sobre el análisis de los caracteres observados visualmente con el conjunto de programas informáticos DUST China (DUSTC), empleando el mismo conjunto de datos de festuca pratense facilitado por Finlandia (véase el párrafo 49 del documento TWC/32/28).</w:t>
      </w:r>
    </w:p>
    <w:p w:rsidR="00C51E25" w:rsidRPr="00BD6D04" w:rsidRDefault="00C51E25" w:rsidP="00C51E25">
      <w:pPr>
        <w:rPr>
          <w:lang w:val="es-ES"/>
        </w:rPr>
      </w:pPr>
    </w:p>
    <w:p w:rsidR="00281A7E" w:rsidRPr="00BD6D04" w:rsidRDefault="007A1EBC" w:rsidP="00D83A6F">
      <w:pPr>
        <w:rPr>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 xml:space="preserve">El TWA tomó nota de la comparación de los resultados </w:t>
      </w:r>
      <w:r w:rsidR="0038052E" w:rsidRPr="00BD6D04">
        <w:rPr>
          <w:lang w:val="es-ES" w:eastAsia="es-ES"/>
        </w:rPr>
        <w:t xml:space="preserve">obtenidos con </w:t>
      </w:r>
      <w:r w:rsidR="00C51E25" w:rsidRPr="00BD6D04">
        <w:rPr>
          <w:lang w:val="es-ES" w:eastAsia="es-ES"/>
        </w:rPr>
        <w:t>el método COYD para caracteres ordinales y</w:t>
      </w:r>
      <w:r w:rsidR="0038052E" w:rsidRPr="00BD6D04">
        <w:rPr>
          <w:lang w:val="es-ES" w:eastAsia="es-ES"/>
        </w:rPr>
        <w:t xml:space="preserve"> con</w:t>
      </w:r>
      <w:r w:rsidR="00C51E25" w:rsidRPr="00BD6D04">
        <w:rPr>
          <w:lang w:val="es-ES" w:eastAsia="es-ES"/>
        </w:rPr>
        <w:t xml:space="preserve"> la prueba ji cuadrado sobre las decisiones en materia de distinción efectuadas con los datos de porte de </w:t>
      </w:r>
      <w:r w:rsidR="00C51E25" w:rsidRPr="00BD6D04">
        <w:rPr>
          <w:lang w:val="es-ES"/>
        </w:rPr>
        <w:t xml:space="preserve">la </w:t>
      </w:r>
      <w:r w:rsidR="00C51E25" w:rsidRPr="00BD6D04">
        <w:rPr>
          <w:lang w:val="es-ES" w:eastAsia="es-ES"/>
        </w:rPr>
        <w:t xml:space="preserve">festuca pratense </w:t>
      </w:r>
      <w:r w:rsidR="00C51E25" w:rsidRPr="00BD6D04">
        <w:rPr>
          <w:lang w:val="es-ES"/>
        </w:rPr>
        <w:t>procedentes de</w:t>
      </w:r>
      <w:r w:rsidR="00C51E25" w:rsidRPr="00BD6D04">
        <w:rPr>
          <w:lang w:val="es-ES" w:eastAsia="es-ES"/>
        </w:rPr>
        <w:t xml:space="preserve"> Finlandia. </w:t>
      </w:r>
      <w:r w:rsidR="00C51E25" w:rsidRPr="00BD6D04">
        <w:rPr>
          <w:lang w:val="es-ES"/>
        </w:rPr>
        <w:t xml:space="preserve"> </w:t>
      </w:r>
      <w:r w:rsidR="00C51E25" w:rsidRPr="00BD6D04">
        <w:rPr>
          <w:lang w:val="es-ES" w:eastAsia="es-ES"/>
        </w:rPr>
        <w:t>El TWA convino en solicitar al TWC que aclarara si el método COYD para caracteres ordinales era recomendable para cualquier dato ordinal o si debían contemplarse otras condiciones al elegir el método de análisis adecuado (véase el párrafo 54 del documento TWA/43/27).</w:t>
      </w:r>
      <w:r w:rsidR="00D83A6F" w:rsidRPr="00BD6D04">
        <w:rPr>
          <w:lang w:val="es-ES"/>
        </w:rPr>
        <w:t xml:space="preserve"> </w:t>
      </w:r>
    </w:p>
    <w:p w:rsidR="00281A7E" w:rsidRPr="00BD6D04" w:rsidRDefault="00281A7E" w:rsidP="001B2E7A">
      <w:pPr>
        <w:pStyle w:val="Heading2"/>
        <w:rPr>
          <w:color w:val="auto"/>
          <w:lang w:val="es-ES"/>
        </w:rPr>
      </w:pPr>
    </w:p>
    <w:p w:rsidR="00281A7E" w:rsidRPr="00BD6D04" w:rsidRDefault="00281A7E" w:rsidP="001B2E7A">
      <w:pPr>
        <w:pStyle w:val="Heading2"/>
        <w:rPr>
          <w:color w:val="auto"/>
          <w:lang w:val="es-ES"/>
        </w:rPr>
      </w:pPr>
      <w:r w:rsidRPr="00BD6D04">
        <w:rPr>
          <w:color w:val="auto"/>
          <w:lang w:val="es-ES"/>
        </w:rPr>
        <w:t>Comité de Redacción Ampliado</w:t>
      </w:r>
    </w:p>
    <w:p w:rsidR="00281A7E" w:rsidRPr="00BD6D04" w:rsidRDefault="00281A7E" w:rsidP="001B2E7A">
      <w:pPr>
        <w:pStyle w:val="Heading2"/>
        <w:rPr>
          <w:color w:val="auto"/>
          <w:lang w:val="es-ES"/>
        </w:rPr>
      </w:pPr>
    </w:p>
    <w:p w:rsidR="00C51E25" w:rsidRPr="00BD6D04" w:rsidRDefault="007A1EBC" w:rsidP="00C51E25">
      <w:pPr>
        <w:rPr>
          <w:lang w:val="es-ES"/>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El TC-EDC, en su sesión celebrada en Ginebra el 7 y el 8 de enero de 2015, examinó el documento TC</w:t>
      </w:r>
      <w:r w:rsidR="00C51E25" w:rsidRPr="00BD6D04">
        <w:rPr>
          <w:lang w:val="es-ES" w:eastAsia="es-ES"/>
        </w:rPr>
        <w:noBreakHyphen/>
        <w:t>EDC/Jan 15/12</w:t>
      </w:r>
      <w:r w:rsidR="00C51E25" w:rsidRPr="00BD6D04">
        <w:rPr>
          <w:rFonts w:cs="Arial"/>
          <w:cs/>
          <w:lang w:val="es-ES" w:eastAsia="es-ES"/>
        </w:rPr>
        <w:t xml:space="preserve"> “</w:t>
      </w:r>
      <w:r w:rsidR="00C51E25" w:rsidRPr="00BD6D04">
        <w:rPr>
          <w:i/>
          <w:lang w:val="es-ES" w:eastAsia="es-ES"/>
        </w:rPr>
        <w:t xml:space="preserve">Revision of document TGP/8: Part II: Selected Techniques Used in DUS </w:t>
      </w:r>
      <w:r w:rsidR="00C51E25" w:rsidRPr="00BD6D04">
        <w:rPr>
          <w:i/>
          <w:lang w:val="es-ES" w:eastAsia="es-ES"/>
        </w:rPr>
        <w:lastRenderedPageBreak/>
        <w:t>Examination, New Section: Statistical Methods for Visually Observed Characteristics</w:t>
      </w:r>
      <w:r w:rsidR="00C51E25" w:rsidRPr="00BD6D04">
        <w:rPr>
          <w:rFonts w:cs="Arial"/>
          <w:cs/>
          <w:lang w:val="es-ES" w:eastAsia="es-ES"/>
        </w:rPr>
        <w:t xml:space="preserve">” </w:t>
      </w:r>
      <w:r w:rsidR="00CC1338">
        <w:rPr>
          <w:lang w:val="es-ES" w:eastAsia="es-ES"/>
        </w:rPr>
        <w:t xml:space="preserve">(Revisión del documento TGP/8: Parte II: </w:t>
      </w:r>
      <w:r w:rsidR="00C51E25" w:rsidRPr="00BD6D04">
        <w:rPr>
          <w:lang w:val="es-ES" w:eastAsia="es-ES"/>
        </w:rPr>
        <w:t>Técnicas utilizadas en</w:t>
      </w:r>
      <w:r w:rsidR="00CC1338">
        <w:rPr>
          <w:lang w:val="es-ES" w:eastAsia="es-ES"/>
        </w:rPr>
        <w:t xml:space="preserve"> el examen DHE, nueva sección: </w:t>
      </w:r>
      <w:r w:rsidR="00C51E25" w:rsidRPr="00BD6D04">
        <w:rPr>
          <w:lang w:val="es-ES" w:eastAsia="es-ES"/>
        </w:rPr>
        <w:t>Métodos estadísticos aplicados a caracteres observados visualmente).</w:t>
      </w:r>
    </w:p>
    <w:p w:rsidR="00C51E25" w:rsidRPr="00BD6D04" w:rsidRDefault="00C51E25" w:rsidP="00C51E25">
      <w:pPr>
        <w:jc w:val="left"/>
        <w:rPr>
          <w:lang w:val="es-ES"/>
        </w:rPr>
      </w:pPr>
    </w:p>
    <w:p w:rsidR="00281A7E" w:rsidRPr="00BD6D04" w:rsidRDefault="007A1EBC" w:rsidP="00C51E25">
      <w:pPr>
        <w:rPr>
          <w:rFonts w:cs="Arial"/>
          <w:lang w:val="es-ES" w:eastAsia="ja-JP"/>
        </w:rPr>
      </w:pPr>
      <w:r w:rsidRPr="00BD6D04">
        <w:fldChar w:fldCharType="begin"/>
      </w:r>
      <w:r w:rsidR="00C51E25" w:rsidRPr="00BD6D04">
        <w:rPr>
          <w:lang w:val="es-ES"/>
        </w:rPr>
        <w:instrText xml:space="preserve"> AUTONUM  </w:instrText>
      </w:r>
      <w:r w:rsidRPr="00BD6D04">
        <w:fldChar w:fldCharType="end"/>
      </w:r>
      <w:r w:rsidR="00C51E25" w:rsidRPr="00BD6D04">
        <w:rPr>
          <w:lang w:val="es-ES" w:eastAsia="es-ES"/>
        </w:rPr>
        <w:tab/>
        <w:t>Para comprender mejor el nuevo método propuesto, el TC</w:t>
      </w:r>
      <w:r w:rsidR="00C51E25" w:rsidRPr="00BD6D04">
        <w:rPr>
          <w:lang w:val="es-ES" w:eastAsia="es-ES"/>
        </w:rPr>
        <w:noBreakHyphen/>
        <w:t>EDC recomendó que se invitara a los miembros de la Unión a presentar a</w:t>
      </w:r>
      <w:r w:rsidR="000461A3" w:rsidRPr="00BD6D04">
        <w:rPr>
          <w:lang w:val="es-ES" w:eastAsia="es-ES"/>
        </w:rPr>
        <w:t xml:space="preserve"> los</w:t>
      </w:r>
      <w:r w:rsidR="00C51E25" w:rsidRPr="00BD6D04">
        <w:rPr>
          <w:lang w:val="es-ES" w:eastAsia="es-ES"/>
        </w:rPr>
        <w:t xml:space="preserve"> TWP la manera en que tenían previ</w:t>
      </w:r>
      <w:r w:rsidR="00CC1338">
        <w:rPr>
          <w:lang w:val="es-ES" w:eastAsia="es-ES"/>
        </w:rPr>
        <w:t>sto emplearlo en el examen DHE.</w:t>
      </w:r>
      <w:r w:rsidR="00C51E25" w:rsidRPr="00BD6D04">
        <w:rPr>
          <w:lang w:val="es-ES" w:eastAsia="es-ES"/>
        </w:rPr>
        <w:t xml:space="preserve"> Además, el TC</w:t>
      </w:r>
      <w:r w:rsidR="00C51E25" w:rsidRPr="00BD6D04">
        <w:rPr>
          <w:lang w:val="es-ES" w:eastAsia="es-ES"/>
        </w:rPr>
        <w:noBreakHyphen/>
        <w:t xml:space="preserve">EDC propuso que se eliminara el documento </w:t>
      </w:r>
      <w:r w:rsidR="00C51E25" w:rsidRPr="00BD6D04">
        <w:rPr>
          <w:rFonts w:cs="Arial"/>
          <w:cs/>
          <w:lang w:val="es-ES" w:eastAsia="es-ES"/>
        </w:rPr>
        <w:t>“</w:t>
      </w:r>
      <w:r w:rsidR="00C51E25" w:rsidRPr="00BD6D04">
        <w:rPr>
          <w:lang w:val="es-ES" w:eastAsia="es-ES"/>
        </w:rPr>
        <w:t>Métodos estadísticos aplicados a caracteres observados visualmente</w:t>
      </w:r>
      <w:r w:rsidR="00C51E25" w:rsidRPr="00BD6D04">
        <w:rPr>
          <w:rFonts w:cs="Arial"/>
          <w:cs/>
          <w:lang w:val="es-ES" w:eastAsia="es-ES"/>
        </w:rPr>
        <w:t xml:space="preserve">” </w:t>
      </w:r>
      <w:r w:rsidR="00C51E25" w:rsidRPr="00BD6D04">
        <w:rPr>
          <w:lang w:val="es-ES" w:eastAsia="es-ES"/>
        </w:rPr>
        <w:t>del programa de revisión del documento TGP/8 y que se lo presentara en un punto diferente del orden del día, dado que aún no está clara la posibilidad de utilizar el método</w:t>
      </w:r>
      <w:r w:rsidR="00D83A6F" w:rsidRPr="00BD6D04">
        <w:rPr>
          <w:rFonts w:cs="Arial"/>
          <w:lang w:val="es-ES"/>
        </w:rPr>
        <w:t>.</w:t>
      </w:r>
    </w:p>
    <w:p w:rsidR="00281A7E" w:rsidRPr="00BD6D04" w:rsidRDefault="00281A7E" w:rsidP="00D83A6F">
      <w:pPr>
        <w:rPr>
          <w:lang w:val="es-ES" w:eastAsia="ja-JP"/>
        </w:rPr>
      </w:pPr>
    </w:p>
    <w:p w:rsidR="00281A7E" w:rsidRPr="00BD6D04" w:rsidRDefault="007A1EBC" w:rsidP="00281A7E">
      <w:pPr>
        <w:pStyle w:val="DecisionParagraphs"/>
        <w:rPr>
          <w:lang w:val="es-ES"/>
        </w:rPr>
      </w:pPr>
      <w:r w:rsidRPr="00BD6D04">
        <w:fldChar w:fldCharType="begin"/>
      </w:r>
      <w:r w:rsidR="00D83A6F" w:rsidRPr="00BD6D04">
        <w:rPr>
          <w:lang w:val="es-ES"/>
        </w:rPr>
        <w:instrText xml:space="preserve"> AUTONUM  </w:instrText>
      </w:r>
      <w:r w:rsidRPr="00BD6D04">
        <w:fldChar w:fldCharType="end"/>
      </w:r>
      <w:r w:rsidR="00D83A6F" w:rsidRPr="00BD6D04">
        <w:rPr>
          <w:lang w:val="es-ES"/>
        </w:rPr>
        <w:tab/>
      </w:r>
      <w:r w:rsidR="00281A7E" w:rsidRPr="00BD6D04">
        <w:rPr>
          <w:lang w:val="es-ES_tradnl"/>
        </w:rPr>
        <w:t>Se invita al TC a:</w:t>
      </w:r>
    </w:p>
    <w:p w:rsidR="00281A7E" w:rsidRPr="00BD6D04" w:rsidRDefault="00281A7E" w:rsidP="00D83A6F">
      <w:pPr>
        <w:pStyle w:val="DecisionParagraphs"/>
        <w:rPr>
          <w:lang w:val="es-ES" w:eastAsia="ja-JP"/>
        </w:rPr>
      </w:pPr>
    </w:p>
    <w:p w:rsidR="00C51E25" w:rsidRPr="00BD6D04" w:rsidRDefault="00D83A6F" w:rsidP="00C51E25">
      <w:pPr>
        <w:pStyle w:val="DecisionParagraphs"/>
        <w:tabs>
          <w:tab w:val="left" w:pos="5850"/>
        </w:tabs>
        <w:rPr>
          <w:rFonts w:cs="Arial"/>
          <w:lang w:val="es-ES"/>
        </w:rPr>
      </w:pPr>
      <w:r w:rsidRPr="00BD6D04">
        <w:rPr>
          <w:rFonts w:hint="eastAsia"/>
          <w:lang w:val="es-ES" w:eastAsia="ja-JP"/>
        </w:rPr>
        <w:tab/>
      </w:r>
      <w:r w:rsidR="00C51E25" w:rsidRPr="00BD6D04">
        <w:rPr>
          <w:lang w:val="es-ES" w:eastAsia="es-ES"/>
        </w:rPr>
        <w:t>a)</w:t>
      </w:r>
      <w:r w:rsidR="00C51E25" w:rsidRPr="00BD6D04">
        <w:rPr>
          <w:lang w:val="es-ES" w:eastAsia="es-ES"/>
        </w:rPr>
        <w:tab/>
        <w:t>insta</w:t>
      </w:r>
      <w:r w:rsidR="00C51E25" w:rsidRPr="00BD6D04">
        <w:rPr>
          <w:lang w:val="es-ES"/>
        </w:rPr>
        <w:t>r</w:t>
      </w:r>
      <w:r w:rsidR="00C51E25" w:rsidRPr="00BD6D04">
        <w:rPr>
          <w:lang w:val="es-ES" w:eastAsia="es-ES"/>
        </w:rPr>
        <w:t xml:space="preserve"> a los miembros de la Unión a presentar a los TWP la manera en que tienen previsto emplear el nuevo método estadístico para los caracteres observados visualmente en el examen DHE;</w:t>
      </w:r>
    </w:p>
    <w:p w:rsidR="00C51E25" w:rsidRPr="00BD6D04" w:rsidRDefault="00C51E25" w:rsidP="00C51E25">
      <w:pPr>
        <w:pStyle w:val="DecisionParagraphs"/>
        <w:rPr>
          <w:lang w:val="es-ES"/>
        </w:rPr>
      </w:pPr>
    </w:p>
    <w:p w:rsidR="00C51E25" w:rsidRPr="00BD6D04" w:rsidRDefault="00C51E25" w:rsidP="00C51E25">
      <w:pPr>
        <w:pStyle w:val="DecisionParagraphs"/>
        <w:tabs>
          <w:tab w:val="left" w:pos="5850"/>
        </w:tabs>
        <w:rPr>
          <w:lang w:val="es-ES"/>
        </w:rPr>
      </w:pPr>
      <w:r w:rsidRPr="00BD6D04">
        <w:rPr>
          <w:lang w:val="es-ES" w:eastAsia="es-ES"/>
        </w:rPr>
        <w:tab/>
        <w:t>b)</w:t>
      </w:r>
      <w:r w:rsidRPr="00BD6D04">
        <w:rPr>
          <w:lang w:val="es-ES" w:eastAsia="es-ES"/>
        </w:rPr>
        <w:tab/>
        <w:t xml:space="preserve">convenir en eliminar el documento </w:t>
      </w:r>
      <w:r w:rsidRPr="00BD6D04">
        <w:rPr>
          <w:rFonts w:cs="Arial"/>
          <w:cs/>
          <w:lang w:val="es-ES" w:eastAsia="es-ES"/>
        </w:rPr>
        <w:t>“</w:t>
      </w:r>
      <w:r w:rsidRPr="00BD6D04">
        <w:rPr>
          <w:lang w:val="es-ES" w:eastAsia="es-ES"/>
        </w:rPr>
        <w:t>Métodos estadísticos aplicados a caracteres observados visualmente</w:t>
      </w:r>
      <w:r w:rsidRPr="00BD6D04">
        <w:rPr>
          <w:rFonts w:cs="Arial"/>
          <w:cs/>
          <w:lang w:val="es-ES" w:eastAsia="es-ES"/>
        </w:rPr>
        <w:t xml:space="preserve">” </w:t>
      </w:r>
      <w:r w:rsidRPr="00BD6D04">
        <w:rPr>
          <w:lang w:val="es-ES" w:eastAsia="es-ES"/>
        </w:rPr>
        <w:t xml:space="preserve">del programa de revisión del documento TGP/8 y examinar la cuestión en </w:t>
      </w:r>
      <w:r w:rsidRPr="00BD6D04">
        <w:rPr>
          <w:lang w:val="es-ES"/>
        </w:rPr>
        <w:t xml:space="preserve">un </w:t>
      </w:r>
      <w:r w:rsidRPr="00BD6D04">
        <w:rPr>
          <w:lang w:val="es-ES" w:eastAsia="es-ES"/>
        </w:rPr>
        <w:t>punt</w:t>
      </w:r>
      <w:r w:rsidR="00CC1338">
        <w:rPr>
          <w:lang w:val="es-ES" w:eastAsia="es-ES"/>
        </w:rPr>
        <w:t xml:space="preserve">o diferente del orden del día; </w:t>
      </w:r>
      <w:r w:rsidRPr="00BD6D04">
        <w:rPr>
          <w:lang w:val="es-ES" w:eastAsia="es-ES"/>
        </w:rPr>
        <w:t>y</w:t>
      </w:r>
    </w:p>
    <w:p w:rsidR="00C51E25" w:rsidRPr="00BD6D04" w:rsidRDefault="00C51E25" w:rsidP="00C51E25">
      <w:pPr>
        <w:pStyle w:val="DecisionParagraphs"/>
        <w:rPr>
          <w:lang w:val="es-ES"/>
        </w:rPr>
      </w:pPr>
    </w:p>
    <w:p w:rsidR="00281A7E" w:rsidRPr="00BD6D04" w:rsidRDefault="00C51E25" w:rsidP="00C51E25">
      <w:pPr>
        <w:pStyle w:val="DecisionParagraphs"/>
        <w:tabs>
          <w:tab w:val="left" w:pos="5850"/>
        </w:tabs>
        <w:rPr>
          <w:lang w:val="es-ES"/>
        </w:rPr>
      </w:pPr>
      <w:r w:rsidRPr="00BD6D04">
        <w:rPr>
          <w:lang w:val="es-ES" w:eastAsia="es-ES"/>
        </w:rPr>
        <w:tab/>
        <w:t>c)</w:t>
      </w:r>
      <w:r w:rsidRPr="00BD6D04">
        <w:rPr>
          <w:lang w:val="es-ES" w:eastAsia="es-ES"/>
        </w:rPr>
        <w:tab/>
        <w:t>tomar nota de que se ha invitado a un experto de China a presentar una ponencia, en la próxima sesión del TWC, sobre el análisis de los caracteres observados visualmente con el conjunto de programas informáticos DUST China (DUSTC), empleando el conjunto de datos de</w:t>
      </w:r>
      <w:r w:rsidRPr="00BD6D04">
        <w:rPr>
          <w:lang w:val="es-ES"/>
        </w:rPr>
        <w:t xml:space="preserve"> </w:t>
      </w:r>
      <w:r w:rsidRPr="00BD6D04">
        <w:rPr>
          <w:lang w:val="es-ES" w:eastAsia="es-ES"/>
        </w:rPr>
        <w:t>festuca pratense facilitado por Finlandia</w:t>
      </w:r>
      <w:r w:rsidR="00D83A6F" w:rsidRPr="00BD6D04">
        <w:rPr>
          <w:rFonts w:hint="eastAsia"/>
          <w:lang w:val="es-ES" w:eastAsia="ja-JP"/>
        </w:rPr>
        <w:t>.</w:t>
      </w:r>
    </w:p>
    <w:p w:rsidR="00281A7E" w:rsidRPr="00BD6D04" w:rsidRDefault="00281A7E" w:rsidP="00D83A6F">
      <w:pPr>
        <w:pStyle w:val="DecisionParagraphs"/>
        <w:rPr>
          <w:lang w:val="es-ES"/>
        </w:rPr>
      </w:pPr>
    </w:p>
    <w:p w:rsidR="00281A7E" w:rsidRPr="00BD6D04" w:rsidRDefault="00281A7E" w:rsidP="00281A7E">
      <w:pPr>
        <w:spacing w:before="480"/>
        <w:ind w:left="567" w:hanging="567"/>
        <w:jc w:val="right"/>
        <w:rPr>
          <w:lang w:val="es-ES" w:eastAsia="ja-JP"/>
        </w:rPr>
      </w:pPr>
      <w:r w:rsidRPr="00BD6D04">
        <w:rPr>
          <w:lang w:val="es-ES_tradnl" w:eastAsia="ja-JP"/>
        </w:rPr>
        <w:t>[Sigue el Anexo]</w:t>
      </w:r>
    </w:p>
    <w:p w:rsidR="00281A7E" w:rsidRPr="00BD6D04" w:rsidRDefault="00281A7E" w:rsidP="00D83A6F">
      <w:pPr>
        <w:spacing w:before="480"/>
        <w:ind w:left="567" w:hanging="567"/>
        <w:jc w:val="left"/>
        <w:rPr>
          <w:lang w:val="es-ES" w:eastAsia="ja-JP"/>
        </w:rPr>
      </w:pPr>
    </w:p>
    <w:p w:rsidR="00D83A6F" w:rsidRPr="00BD6D04" w:rsidRDefault="00D83A6F" w:rsidP="00D83A6F">
      <w:pPr>
        <w:spacing w:before="480"/>
        <w:ind w:left="567" w:hanging="567"/>
        <w:jc w:val="left"/>
        <w:rPr>
          <w:lang w:val="es-ES" w:eastAsia="ja-JP"/>
        </w:rPr>
        <w:sectPr w:rsidR="00D83A6F" w:rsidRPr="00BD6D04" w:rsidSect="00281A7E">
          <w:headerReference w:type="default" r:id="rId10"/>
          <w:pgSz w:w="11907" w:h="16840" w:code="9"/>
          <w:pgMar w:top="510" w:right="1134" w:bottom="1134" w:left="1134" w:header="510" w:footer="680" w:gutter="0"/>
          <w:cols w:space="720"/>
          <w:titlePg/>
        </w:sectPr>
      </w:pPr>
    </w:p>
    <w:p w:rsidR="00281A7E" w:rsidRPr="00BD6D04" w:rsidRDefault="00281A7E" w:rsidP="00D83A6F">
      <w:pPr>
        <w:autoSpaceDE w:val="0"/>
        <w:autoSpaceDN w:val="0"/>
        <w:adjustRightInd w:val="0"/>
        <w:rPr>
          <w:rFonts w:cs="Arial"/>
          <w:b/>
          <w:lang w:val="es-ES"/>
        </w:rPr>
      </w:pPr>
    </w:p>
    <w:p w:rsidR="00281A7E" w:rsidRPr="00BD6D04" w:rsidRDefault="00CC1338" w:rsidP="00281A7E">
      <w:pPr>
        <w:jc w:val="center"/>
        <w:rPr>
          <w:rFonts w:cs="Arial"/>
          <w:b/>
          <w:lang w:val="es-ES"/>
        </w:rPr>
      </w:pPr>
      <w:r>
        <w:rPr>
          <w:rFonts w:cs="Arial"/>
          <w:b/>
          <w:iCs/>
          <w:lang w:val="es-ES_tradnl"/>
        </w:rPr>
        <w:t xml:space="preserve">REVISIÓN DEL DOCUMENTO TGP/8: </w:t>
      </w:r>
      <w:r w:rsidR="001730FD" w:rsidRPr="00BD6D04">
        <w:rPr>
          <w:rFonts w:cs="Arial"/>
          <w:b/>
          <w:iCs/>
          <w:lang w:val="es-ES_tradnl"/>
        </w:rPr>
        <w:t>PARTE II</w:t>
      </w:r>
      <w:proofErr w:type="gramStart"/>
      <w:r w:rsidR="001730FD" w:rsidRPr="00BD6D04">
        <w:rPr>
          <w:rFonts w:cs="Arial"/>
          <w:b/>
          <w:iCs/>
          <w:lang w:val="es-ES_tradnl"/>
        </w:rPr>
        <w:t>:  TÉCNICAS</w:t>
      </w:r>
      <w:proofErr w:type="gramEnd"/>
      <w:r w:rsidR="001730FD" w:rsidRPr="00BD6D04">
        <w:rPr>
          <w:rFonts w:cs="Arial"/>
          <w:b/>
          <w:iCs/>
          <w:lang w:val="es-ES_tradnl"/>
        </w:rPr>
        <w:t xml:space="preserve"> UTILIZADAS EN EL EXAMEN DHE, NUEVA SECCIÓN:  MÉTODOS ESTADÍSTICOS APLICADOS A CARACTERES OBSERVADOS VISUALMENTE</w:t>
      </w:r>
    </w:p>
    <w:p w:rsidR="00281A7E" w:rsidRPr="00BD6D04" w:rsidRDefault="00281A7E" w:rsidP="00D83A6F">
      <w:pPr>
        <w:autoSpaceDE w:val="0"/>
        <w:autoSpaceDN w:val="0"/>
        <w:adjustRightInd w:val="0"/>
        <w:ind w:left="360"/>
        <w:rPr>
          <w:rFonts w:cs="Arial"/>
          <w:lang w:val="es-ES"/>
        </w:rPr>
      </w:pPr>
    </w:p>
    <w:p w:rsidR="00711B0E" w:rsidRPr="00BD6D04" w:rsidRDefault="00711B0E" w:rsidP="00711B0E">
      <w:pPr>
        <w:autoSpaceDE w:val="0"/>
        <w:autoSpaceDN w:val="0"/>
        <w:adjustRightInd w:val="0"/>
        <w:rPr>
          <w:rFonts w:cs="Arial"/>
          <w:b/>
          <w:iCs/>
          <w:lang w:val="es-ES"/>
        </w:rPr>
      </w:pPr>
      <w:r w:rsidRPr="00BD6D04">
        <w:rPr>
          <w:b/>
          <w:lang w:val="es-ES" w:eastAsia="es-ES"/>
        </w:rPr>
        <w:t>COMPARACIÓN DE LOS RESULTADOS DE DECISIONES EN MATERIA DE DISTINCIÓN OBTENIDOS CON EL MÉTODO COYD PARA CARACTERES ORDINALES Y CON LA PRUEBA JI CUADRADO</w:t>
      </w:r>
    </w:p>
    <w:p w:rsidR="00281A7E" w:rsidRPr="00BD6D04" w:rsidRDefault="00281A7E" w:rsidP="00D83A6F">
      <w:pPr>
        <w:rPr>
          <w:rFonts w:asciiTheme="minorHAnsi" w:hAnsiTheme="minorHAnsi" w:cstheme="minorBidi"/>
          <w:b/>
          <w:sz w:val="22"/>
          <w:szCs w:val="22"/>
          <w:lang w:val="es-ES"/>
        </w:rPr>
      </w:pPr>
    </w:p>
    <w:p w:rsidR="00281A7E" w:rsidRPr="00BD6D04" w:rsidRDefault="00281A7E" w:rsidP="00281A7E">
      <w:pPr>
        <w:rPr>
          <w:b/>
          <w:lang w:val="fi-FI"/>
        </w:rPr>
      </w:pPr>
      <w:r w:rsidRPr="00BD6D04">
        <w:rPr>
          <w:b/>
          <w:lang w:val="es-ES_tradnl"/>
        </w:rPr>
        <w:t>Introducción</w:t>
      </w:r>
    </w:p>
    <w:p w:rsidR="00281A7E" w:rsidRPr="00BD6D04" w:rsidRDefault="00281A7E" w:rsidP="00D83A6F">
      <w:pPr>
        <w:autoSpaceDE w:val="0"/>
        <w:autoSpaceDN w:val="0"/>
        <w:adjustRightInd w:val="0"/>
        <w:ind w:left="360"/>
        <w:rPr>
          <w:rFonts w:cs="Arial"/>
        </w:rPr>
      </w:pPr>
    </w:p>
    <w:p w:rsidR="00281A7E" w:rsidRPr="00BD6D04" w:rsidRDefault="00711B0E" w:rsidP="00D83A6F">
      <w:pPr>
        <w:pStyle w:val="ListParagraph"/>
        <w:numPr>
          <w:ilvl w:val="0"/>
          <w:numId w:val="1"/>
        </w:numPr>
        <w:autoSpaceDE w:val="0"/>
        <w:autoSpaceDN w:val="0"/>
        <w:adjustRightInd w:val="0"/>
        <w:rPr>
          <w:rFonts w:cs="Arial"/>
          <w:lang w:val="es-ES"/>
        </w:rPr>
      </w:pPr>
      <w:r w:rsidRPr="00BD6D04">
        <w:rPr>
          <w:rFonts w:eastAsia="Times New Roman"/>
          <w:lang w:val="es-ES" w:eastAsia="es-ES"/>
        </w:rPr>
        <w:t>Durante su trigésima primera reunión de 2013, el TWC convino en que sería conveniente que se sig</w:t>
      </w:r>
      <w:r w:rsidRPr="00BD6D04">
        <w:rPr>
          <w:lang w:val="es-ES"/>
        </w:rPr>
        <w:t>uiera</w:t>
      </w:r>
      <w:r w:rsidRPr="00BD6D04">
        <w:rPr>
          <w:rFonts w:eastAsia="Times New Roman"/>
          <w:lang w:val="es-ES" w:eastAsia="es-ES"/>
        </w:rPr>
        <w:t xml:space="preserve"> elaborando el método para datos multinomiales y comparar las decisiones que se adoptan con cada uno de los dos métodos </w:t>
      </w:r>
      <w:r w:rsidRPr="00BD6D04">
        <w:rPr>
          <w:rFonts w:eastAsia="Times New Roman" w:cs="Arial"/>
          <w:cs/>
          <w:lang w:val="es-ES" w:eastAsia="es-ES"/>
        </w:rPr>
        <w:t>—</w:t>
      </w:r>
      <w:r w:rsidRPr="00BD6D04">
        <w:rPr>
          <w:rFonts w:eastAsia="Times New Roman"/>
          <w:lang w:val="es-ES" w:eastAsia="es-ES"/>
        </w:rPr>
        <w:t>la prueba ji cuadrado y el método COYD para caracteres multinomiales</w:t>
      </w:r>
      <w:r w:rsidRPr="00BD6D04">
        <w:rPr>
          <w:rFonts w:eastAsia="Times New Roman" w:cs="Arial"/>
          <w:cs/>
          <w:lang w:val="es-ES" w:eastAsia="es-ES"/>
        </w:rPr>
        <w:t xml:space="preserve">— </w:t>
      </w:r>
      <w:r w:rsidRPr="00BD6D04">
        <w:rPr>
          <w:rFonts w:eastAsia="Times New Roman"/>
          <w:lang w:val="es-ES" w:eastAsia="es-ES"/>
        </w:rPr>
        <w:t>a partir de datos reales procedentes de Finlandia y el Reino Unido (fleo, t</w:t>
      </w:r>
      <w:r w:rsidR="00CC1338">
        <w:rPr>
          <w:rFonts w:eastAsia="Times New Roman"/>
          <w:lang w:val="es-ES" w:eastAsia="es-ES"/>
        </w:rPr>
        <w:t xml:space="preserve">rébol rojo y festuca pratense: </w:t>
      </w:r>
      <w:r w:rsidRPr="00BD6D04">
        <w:rPr>
          <w:rFonts w:eastAsia="Times New Roman"/>
          <w:lang w:val="es-ES" w:eastAsia="es-ES"/>
        </w:rPr>
        <w:t>porte) (véase el informe en la página 7 del documento TWC/31/32)</w:t>
      </w:r>
      <w:r w:rsidRPr="00BD6D04">
        <w:rPr>
          <w:rFonts w:cs="Arial"/>
          <w:lang w:val="es-ES"/>
        </w:rPr>
        <w:t>.</w:t>
      </w:r>
    </w:p>
    <w:p w:rsidR="00281A7E" w:rsidRPr="00BD6D04" w:rsidRDefault="00281A7E" w:rsidP="00281A7E">
      <w:pPr>
        <w:pStyle w:val="ListParagraph"/>
        <w:autoSpaceDE w:val="0"/>
        <w:autoSpaceDN w:val="0"/>
        <w:adjustRightInd w:val="0"/>
        <w:rPr>
          <w:rFonts w:cs="Arial"/>
          <w:lang w:val="es-ES"/>
        </w:rPr>
      </w:pPr>
    </w:p>
    <w:p w:rsidR="00281A7E" w:rsidRPr="00BD6D04" w:rsidRDefault="00FA5DF9" w:rsidP="00281A7E">
      <w:pPr>
        <w:pStyle w:val="ListParagraph"/>
        <w:numPr>
          <w:ilvl w:val="0"/>
          <w:numId w:val="1"/>
        </w:numPr>
        <w:autoSpaceDE w:val="0"/>
        <w:autoSpaceDN w:val="0"/>
        <w:adjustRightInd w:val="0"/>
        <w:rPr>
          <w:rFonts w:cs="Arial"/>
          <w:lang w:val="es-ES"/>
        </w:rPr>
      </w:pPr>
      <w:r w:rsidRPr="00BD6D04">
        <w:rPr>
          <w:rFonts w:eastAsia="Times New Roman"/>
          <w:lang w:val="es-ES" w:eastAsia="es-ES"/>
        </w:rPr>
        <w:t xml:space="preserve">Se efectuó una comparación de los resultados </w:t>
      </w:r>
      <w:r w:rsidRPr="00BD6D04">
        <w:rPr>
          <w:lang w:val="es-ES"/>
        </w:rPr>
        <w:t xml:space="preserve">de las </w:t>
      </w:r>
      <w:r w:rsidRPr="00BD6D04">
        <w:rPr>
          <w:rFonts w:eastAsia="Times New Roman"/>
          <w:lang w:val="es-ES" w:eastAsia="es-ES"/>
        </w:rPr>
        <w:t xml:space="preserve">decisiones </w:t>
      </w:r>
      <w:r w:rsidRPr="00BD6D04">
        <w:rPr>
          <w:lang w:val="es-ES"/>
        </w:rPr>
        <w:t>en materia de</w:t>
      </w:r>
      <w:r w:rsidRPr="00BD6D04">
        <w:rPr>
          <w:rFonts w:eastAsia="Times New Roman"/>
          <w:lang w:val="es-ES" w:eastAsia="es-ES"/>
        </w:rPr>
        <w:t xml:space="preserve"> distinción </w:t>
      </w:r>
      <w:r w:rsidRPr="00BD6D04">
        <w:rPr>
          <w:lang w:val="es-ES"/>
        </w:rPr>
        <w:t xml:space="preserve">obtenidos con </w:t>
      </w:r>
      <w:r w:rsidRPr="00BD6D04">
        <w:rPr>
          <w:rFonts w:eastAsia="Times New Roman"/>
          <w:lang w:val="es-ES" w:eastAsia="es-ES"/>
        </w:rPr>
        <w:t>el método COYD para caracteres ordinales y la prueba ji </w:t>
      </w:r>
      <w:r w:rsidRPr="00BD6D04">
        <w:rPr>
          <w:lang w:val="es-ES"/>
        </w:rPr>
        <w:t xml:space="preserve">cuadrado, </w:t>
      </w:r>
      <w:r w:rsidRPr="00BD6D04">
        <w:rPr>
          <w:rFonts w:eastAsia="Times New Roman"/>
          <w:lang w:val="es-ES" w:eastAsia="es-ES"/>
        </w:rPr>
        <w:t xml:space="preserve">con los mismos datos de porte de festuca pratense procedentes de Finlandia. </w:t>
      </w:r>
      <w:r w:rsidRPr="00BD6D04">
        <w:rPr>
          <w:lang w:val="es-ES"/>
        </w:rPr>
        <w:t xml:space="preserve"> </w:t>
      </w:r>
      <w:r w:rsidRPr="00BD6D04">
        <w:rPr>
          <w:rFonts w:eastAsia="Times New Roman"/>
          <w:lang w:val="es-ES" w:eastAsia="es-ES"/>
        </w:rPr>
        <w:t xml:space="preserve">La finalidad de la comparación es estudiar si el COYD para caracteres ordinales </w:t>
      </w:r>
      <w:r w:rsidR="00EA4900" w:rsidRPr="00BD6D04">
        <w:rPr>
          <w:rFonts w:eastAsia="Times New Roman"/>
          <w:lang w:val="es-ES" w:eastAsia="es-ES"/>
        </w:rPr>
        <w:t>permite distinguir</w:t>
      </w:r>
      <w:r w:rsidRPr="00BD6D04">
        <w:rPr>
          <w:rFonts w:eastAsia="Times New Roman"/>
          <w:lang w:val="es-ES" w:eastAsia="es-ES"/>
        </w:rPr>
        <w:t xml:space="preserve"> más pares de variedades que la prueba ji cuadrado</w:t>
      </w:r>
      <w:r w:rsidR="008F2BAC" w:rsidRPr="00BD6D04">
        <w:rPr>
          <w:rFonts w:eastAsia="Times New Roman"/>
          <w:lang w:val="es-ES" w:eastAsia="es-ES"/>
        </w:rPr>
        <w:t xml:space="preserve">.  </w:t>
      </w:r>
      <w:r w:rsidRPr="00BD6D04">
        <w:rPr>
          <w:rFonts w:eastAsia="Times New Roman"/>
          <w:lang w:val="es-ES" w:eastAsia="es-ES"/>
        </w:rPr>
        <w:t>Como afirmó un experto de Dinamarca en el Memorándum (página 2 del Anexo del documento TC/50/28):</w:t>
      </w:r>
      <w:r w:rsidR="00971E4E" w:rsidRPr="00BD6D04">
        <w:rPr>
          <w:rFonts w:eastAsia="Times New Roman"/>
          <w:lang w:val="es-ES" w:eastAsia="es-ES"/>
        </w:rPr>
        <w:t xml:space="preserve"> </w:t>
      </w:r>
      <w:r w:rsidR="001730FD" w:rsidRPr="00BD6D04">
        <w:rPr>
          <w:rFonts w:cs="Arial"/>
          <w:lang w:val="es-ES"/>
        </w:rPr>
        <w:t>‘</w:t>
      </w:r>
      <w:r w:rsidR="001730FD" w:rsidRPr="00BD6D04">
        <w:rPr>
          <w:rFonts w:cs="Arial"/>
          <w:lang w:val="es-ES_tradnl"/>
        </w:rPr>
        <w:t>La prueba </w:t>
      </w:r>
      <w:r w:rsidR="001730FD" w:rsidRPr="00BD6D04">
        <w:rPr>
          <w:rFonts w:eastAsia="MS Mincho" w:cs="Arial"/>
          <w:lang w:val="es-ES_tradnl"/>
        </w:rPr>
        <w:sym w:font="Symbol" w:char="F063"/>
      </w:r>
      <w:r w:rsidR="001730FD" w:rsidRPr="00BD6D04">
        <w:rPr>
          <w:rFonts w:cs="Arial"/>
          <w:vertAlign w:val="superscript"/>
          <w:lang w:val="es-ES_tradnl"/>
        </w:rPr>
        <w:t>2</w:t>
      </w:r>
      <w:r w:rsidR="001730FD" w:rsidRPr="00BD6D04">
        <w:rPr>
          <w:rFonts w:cs="Arial"/>
          <w:lang w:val="es-ES_tradnl"/>
        </w:rPr>
        <w:t xml:space="preserve"> no depende de la escala de las mediciones;  en dicha prueba, los datos registrados en una escala nominal reciben el mismo tratamiento que los registrados en una escala ordinal, pues no se tiene en cuenta el orden de las notas en la escala ordinal.  En el nuevo método propuesto para caracteres registrados en una escala ordinal sí se tiene en cuenta el orden.  Por lo tanto, es previsible que el método propuesto sea más eficaz cuando los datos se hayan registrado en una escala ordinal que cuando se hayan registrado en una escala nominal</w:t>
      </w:r>
      <w:r w:rsidR="00281A7E" w:rsidRPr="00BD6D04">
        <w:rPr>
          <w:rFonts w:cs="Arial"/>
          <w:lang w:val="es-ES_tradnl"/>
        </w:rPr>
        <w:t>.</w:t>
      </w:r>
      <w:r w:rsidR="001730FD" w:rsidRPr="00BD6D04">
        <w:rPr>
          <w:rFonts w:cs="Arial"/>
          <w:lang w:val="es-ES_tradnl"/>
        </w:rPr>
        <w:t>’</w:t>
      </w:r>
    </w:p>
    <w:p w:rsidR="00281A7E" w:rsidRPr="00BD6D04" w:rsidRDefault="00281A7E" w:rsidP="00281A7E">
      <w:pPr>
        <w:autoSpaceDE w:val="0"/>
        <w:autoSpaceDN w:val="0"/>
        <w:adjustRightInd w:val="0"/>
        <w:rPr>
          <w:rFonts w:cs="Arial"/>
          <w:lang w:val="es-ES"/>
        </w:rPr>
      </w:pPr>
    </w:p>
    <w:p w:rsidR="00281A7E" w:rsidRPr="00BD6D04" w:rsidRDefault="00971E4E" w:rsidP="00D83A6F">
      <w:pPr>
        <w:pStyle w:val="ListParagraph"/>
        <w:numPr>
          <w:ilvl w:val="0"/>
          <w:numId w:val="1"/>
        </w:numPr>
        <w:autoSpaceDE w:val="0"/>
        <w:autoSpaceDN w:val="0"/>
        <w:adjustRightInd w:val="0"/>
        <w:rPr>
          <w:rFonts w:cs="Arial"/>
          <w:lang w:val="es-ES"/>
        </w:rPr>
      </w:pPr>
      <w:r w:rsidRPr="00BD6D04">
        <w:rPr>
          <w:rFonts w:eastAsia="Times New Roman"/>
          <w:lang w:val="es-ES" w:eastAsia="es-ES"/>
        </w:rPr>
        <w:t xml:space="preserve">Se encontrará una introducción a los diferentes tipos de datos y niveles de escala, entre ellos los datos cuantitativos de escala ordinal, en la sección </w:t>
      </w:r>
      <w:r w:rsidRPr="00BD6D04">
        <w:rPr>
          <w:rFonts w:eastAsia="Times New Roman" w:cs="Arial"/>
          <w:cs/>
          <w:lang w:val="es-ES" w:eastAsia="es-ES"/>
        </w:rPr>
        <w:t>‘</w:t>
      </w:r>
      <w:r w:rsidRPr="00BD6D04">
        <w:rPr>
          <w:rFonts w:eastAsia="Times New Roman"/>
          <w:lang w:val="es-ES" w:eastAsia="es-ES"/>
        </w:rPr>
        <w:t>Datos que han de registrarse</w:t>
      </w:r>
      <w:r w:rsidRPr="00BD6D04">
        <w:rPr>
          <w:rFonts w:eastAsia="Times New Roman" w:cs="Arial"/>
          <w:cs/>
          <w:lang w:val="es-ES" w:eastAsia="es-ES"/>
        </w:rPr>
        <w:t xml:space="preserve">’ </w:t>
      </w:r>
      <w:r w:rsidRPr="00BD6D04">
        <w:rPr>
          <w:lang w:val="es-ES"/>
        </w:rPr>
        <w:t>en el documento de revisión del documento</w:t>
      </w:r>
      <w:r w:rsidRPr="00BD6D04">
        <w:rPr>
          <w:rFonts w:eastAsia="Times New Roman"/>
          <w:lang w:val="es-ES" w:eastAsia="es-ES"/>
        </w:rPr>
        <w:t xml:space="preserve"> TGP/8 (última versión del documento TC/50/5, Anexo II). En las páginas 4 a 10 del Anexo II del documento TC/49/32, se expone un análisis pormenorizado del método COYD para caracteres ordinales efectuado por el experto de Dinamarca.</w:t>
      </w:r>
      <w:r w:rsidRPr="00BD6D04">
        <w:rPr>
          <w:lang w:val="es-ES"/>
        </w:rPr>
        <w:t xml:space="preserve"> </w:t>
      </w:r>
      <w:r w:rsidRPr="00BD6D04">
        <w:rPr>
          <w:rFonts w:eastAsia="Times New Roman"/>
          <w:lang w:val="es-ES" w:eastAsia="es-ES"/>
        </w:rPr>
        <w:t xml:space="preserve">La </w:t>
      </w:r>
      <w:r w:rsidR="00CD787D" w:rsidRPr="00BD6D04">
        <w:rPr>
          <w:rFonts w:eastAsia="Times New Roman"/>
          <w:lang w:val="es-ES" w:eastAsia="es-ES"/>
        </w:rPr>
        <w:t>prueba</w:t>
      </w:r>
      <w:r w:rsidRPr="00BD6D04">
        <w:rPr>
          <w:rFonts w:eastAsia="Times New Roman"/>
          <w:lang w:val="es-ES" w:eastAsia="es-ES"/>
        </w:rPr>
        <w:t xml:space="preserve"> ji cuadrado de Pearson se explica en la página 78, del documento TGP/8/1, Parte II</w:t>
      </w:r>
      <w:r w:rsidR="00D83A6F" w:rsidRPr="00BD6D04">
        <w:rPr>
          <w:rFonts w:cs="Arial"/>
          <w:iCs/>
          <w:lang w:val="es-ES"/>
        </w:rPr>
        <w:t>.</w:t>
      </w:r>
    </w:p>
    <w:p w:rsidR="00281A7E" w:rsidRPr="00BD6D04" w:rsidRDefault="00281A7E" w:rsidP="00281A7E">
      <w:pPr>
        <w:autoSpaceDE w:val="0"/>
        <w:autoSpaceDN w:val="0"/>
        <w:adjustRightInd w:val="0"/>
        <w:rPr>
          <w:rFonts w:cs="Arial"/>
          <w:lang w:val="es-ES"/>
        </w:rPr>
      </w:pPr>
    </w:p>
    <w:p w:rsidR="00281A7E" w:rsidRPr="00BD6D04" w:rsidRDefault="00971E4E" w:rsidP="00CE64D1">
      <w:pPr>
        <w:pStyle w:val="ListParagraph"/>
        <w:numPr>
          <w:ilvl w:val="0"/>
          <w:numId w:val="1"/>
        </w:numPr>
        <w:autoSpaceDE w:val="0"/>
        <w:autoSpaceDN w:val="0"/>
        <w:adjustRightInd w:val="0"/>
        <w:rPr>
          <w:rFonts w:cs="Arial"/>
          <w:b/>
          <w:iCs/>
          <w:lang w:val="es-ES"/>
        </w:rPr>
      </w:pPr>
      <w:r w:rsidRPr="00BD6D04">
        <w:rPr>
          <w:rFonts w:eastAsia="Times New Roman"/>
          <w:lang w:val="es-ES" w:eastAsia="es-ES"/>
        </w:rPr>
        <w:t xml:space="preserve">El carácter </w:t>
      </w:r>
      <w:r w:rsidRPr="00BD6D04">
        <w:rPr>
          <w:rFonts w:eastAsia="Times New Roman" w:cs="Arial"/>
          <w:cs/>
          <w:lang w:val="es-ES" w:eastAsia="es-ES"/>
        </w:rPr>
        <w:t>‘</w:t>
      </w:r>
      <w:r w:rsidR="00CC1338">
        <w:rPr>
          <w:rFonts w:eastAsia="Times New Roman"/>
          <w:lang w:val="es-ES" w:eastAsia="es-ES"/>
        </w:rPr>
        <w:t xml:space="preserve">Planta: </w:t>
      </w:r>
      <w:r w:rsidRPr="00BD6D04">
        <w:rPr>
          <w:rFonts w:eastAsia="Times New Roman"/>
          <w:lang w:val="es-ES" w:eastAsia="es-ES"/>
        </w:rPr>
        <w:t>porte a la emergencia de la inflorescencia</w:t>
      </w:r>
      <w:r w:rsidRPr="00BD6D04">
        <w:rPr>
          <w:rFonts w:eastAsia="Times New Roman" w:cs="Arial"/>
          <w:cs/>
          <w:lang w:val="es-ES" w:eastAsia="es-ES"/>
        </w:rPr>
        <w:t xml:space="preserve">’ </w:t>
      </w:r>
      <w:r w:rsidRPr="00BD6D04">
        <w:rPr>
          <w:rFonts w:eastAsia="Times New Roman"/>
          <w:lang w:val="es-ES" w:eastAsia="es-ES"/>
        </w:rPr>
        <w:t>(TG/39/8 Festuca pratense (</w:t>
      </w:r>
      <w:r w:rsidRPr="00BD6D04">
        <w:rPr>
          <w:rFonts w:eastAsia="Times New Roman"/>
          <w:i/>
          <w:lang w:val="es-ES" w:eastAsia="es-ES"/>
        </w:rPr>
        <w:t>Festuca pratensis</w:t>
      </w:r>
      <w:r w:rsidRPr="00BD6D04">
        <w:rPr>
          <w:rFonts w:eastAsia="Times New Roman"/>
          <w:lang w:val="es-ES" w:eastAsia="es-ES"/>
        </w:rPr>
        <w:t xml:space="preserve"> Huds) y festuca alta (</w:t>
      </w:r>
      <w:r w:rsidRPr="00BD6D04">
        <w:rPr>
          <w:rFonts w:eastAsia="Times New Roman"/>
          <w:i/>
          <w:lang w:val="es-ES" w:eastAsia="es-ES"/>
        </w:rPr>
        <w:t>F. arundinacea</w:t>
      </w:r>
      <w:r w:rsidRPr="00BD6D04">
        <w:rPr>
          <w:rFonts w:eastAsia="Times New Roman"/>
          <w:lang w:val="es-ES" w:eastAsia="es-ES"/>
        </w:rPr>
        <w:t xml:space="preserve"> Schreb.) es un carácter observado visualmente, que se explica en el documento TG/39/8</w:t>
      </w:r>
      <w:proofErr w:type="gramStart"/>
      <w:r w:rsidRPr="00BD6D04">
        <w:rPr>
          <w:rFonts w:eastAsia="Times New Roman"/>
          <w:lang w:val="es-ES" w:eastAsia="es-ES"/>
        </w:rPr>
        <w:t xml:space="preserve">: </w:t>
      </w:r>
      <w:r w:rsidR="00D83A6F" w:rsidRPr="00BD6D04">
        <w:rPr>
          <w:rFonts w:cs="Arial"/>
          <w:iCs/>
          <w:lang w:val="es-ES"/>
        </w:rPr>
        <w:t xml:space="preserve"> ‘</w:t>
      </w:r>
      <w:r w:rsidR="00FF347D" w:rsidRPr="00BD6D04">
        <w:rPr>
          <w:rFonts w:cs="Arial"/>
          <w:iCs/>
          <w:lang w:val="es-ES"/>
        </w:rPr>
        <w:t>El</w:t>
      </w:r>
      <w:proofErr w:type="gramEnd"/>
      <w:r w:rsidR="00FF347D" w:rsidRPr="00BD6D04">
        <w:rPr>
          <w:rFonts w:cs="Arial"/>
          <w:iCs/>
          <w:lang w:val="es-ES"/>
        </w:rPr>
        <w:t xml:space="preserve"> porte se evaluará visualmente a partir del porte del conjunto de las hojas de la planta.  Se utilizará para ello el ángulo formado por una línea imaginaria trazada en la región de mayor densidad foliar y la línea vertical</w:t>
      </w:r>
      <w:r w:rsidR="00281A7E" w:rsidRPr="00BD6D04">
        <w:rPr>
          <w:rFonts w:cs="Arial"/>
          <w:iCs/>
          <w:lang w:val="es-ES_tradnl"/>
        </w:rPr>
        <w:t>.</w:t>
      </w:r>
      <w:r w:rsidR="00FF347D" w:rsidRPr="00BD6D04">
        <w:rPr>
          <w:rFonts w:cs="Arial"/>
          <w:iCs/>
          <w:lang w:val="es-ES_tradnl"/>
        </w:rPr>
        <w:t>’</w:t>
      </w:r>
      <w:r w:rsidR="00D83A6F" w:rsidRPr="00BD6D04">
        <w:rPr>
          <w:rFonts w:cs="Arial"/>
          <w:iCs/>
          <w:lang w:val="es-ES"/>
        </w:rPr>
        <w:t xml:space="preserve"> </w:t>
      </w:r>
      <w:r w:rsidR="00FF347D" w:rsidRPr="00BD6D04">
        <w:rPr>
          <w:rFonts w:cs="Arial"/>
          <w:iCs/>
          <w:lang w:val="es-ES"/>
        </w:rPr>
        <w:t xml:space="preserve"> </w:t>
      </w:r>
      <w:r w:rsidRPr="00BD6D04">
        <w:rPr>
          <w:rFonts w:eastAsia="Times New Roman"/>
          <w:lang w:val="es-ES" w:eastAsia="es-ES"/>
        </w:rPr>
        <w:t>Las observaciones para obtener estos datos se efectuaron en plantas individuales y el observador ha incluido una nota para cada una</w:t>
      </w:r>
      <w:r w:rsidR="00D83A6F" w:rsidRPr="00BD6D04">
        <w:rPr>
          <w:rFonts w:cs="Arial"/>
          <w:iCs/>
          <w:lang w:val="es-ES"/>
        </w:rPr>
        <w:t>.</w:t>
      </w:r>
    </w:p>
    <w:p w:rsidR="00281A7E" w:rsidRPr="00BD6D04" w:rsidRDefault="00281A7E" w:rsidP="00D83A6F">
      <w:pPr>
        <w:pStyle w:val="ListParagraph"/>
        <w:autoSpaceDE w:val="0"/>
        <w:autoSpaceDN w:val="0"/>
        <w:adjustRightInd w:val="0"/>
        <w:rPr>
          <w:rFonts w:cs="Arial"/>
          <w:b/>
          <w:iCs/>
          <w:lang w:val="es-ES"/>
        </w:rPr>
      </w:pPr>
    </w:p>
    <w:p w:rsidR="00917B6A" w:rsidRPr="00BD6D04" w:rsidRDefault="00917B6A" w:rsidP="00917B6A">
      <w:pPr>
        <w:autoSpaceDE w:val="0"/>
        <w:autoSpaceDN w:val="0"/>
        <w:adjustRightInd w:val="0"/>
        <w:rPr>
          <w:rFonts w:cs="Arial"/>
          <w:b/>
          <w:iCs/>
          <w:lang w:val="es-ES"/>
        </w:rPr>
      </w:pPr>
      <w:r w:rsidRPr="00BD6D04">
        <w:rPr>
          <w:b/>
          <w:lang w:val="es-ES" w:eastAsia="es-ES"/>
        </w:rPr>
        <w:t xml:space="preserve">Criterios de distinción en la </w:t>
      </w:r>
      <w:r w:rsidR="00CD787D" w:rsidRPr="00BD6D04">
        <w:rPr>
          <w:b/>
          <w:lang w:val="es-ES" w:eastAsia="es-ES"/>
        </w:rPr>
        <w:t>prueba</w:t>
      </w:r>
      <w:r w:rsidRPr="00BD6D04">
        <w:rPr>
          <w:b/>
          <w:lang w:val="es-ES" w:eastAsia="es-ES"/>
        </w:rPr>
        <w:t xml:space="preserve"> ji cuadrado</w:t>
      </w:r>
    </w:p>
    <w:p w:rsidR="00281A7E" w:rsidRPr="00BD6D04" w:rsidRDefault="00281A7E" w:rsidP="00D83A6F">
      <w:pPr>
        <w:autoSpaceDE w:val="0"/>
        <w:autoSpaceDN w:val="0"/>
        <w:adjustRightInd w:val="0"/>
        <w:rPr>
          <w:rFonts w:cs="Arial"/>
          <w:b/>
          <w:iCs/>
          <w:lang w:val="es-ES"/>
        </w:rPr>
      </w:pPr>
    </w:p>
    <w:p w:rsidR="00281A7E" w:rsidRPr="00BD6D04" w:rsidRDefault="00917B6A" w:rsidP="00CE64D1">
      <w:pPr>
        <w:pStyle w:val="ListParagraph"/>
        <w:numPr>
          <w:ilvl w:val="0"/>
          <w:numId w:val="1"/>
        </w:numPr>
        <w:autoSpaceDE w:val="0"/>
        <w:autoSpaceDN w:val="0"/>
        <w:adjustRightInd w:val="0"/>
        <w:rPr>
          <w:rFonts w:cs="Arial"/>
          <w:iCs/>
          <w:lang w:val="es-ES"/>
        </w:rPr>
      </w:pPr>
      <w:r w:rsidRPr="00BD6D04">
        <w:rPr>
          <w:rFonts w:eastAsia="Times New Roman"/>
          <w:lang w:val="es-ES" w:eastAsia="es-ES"/>
        </w:rPr>
        <w:t xml:space="preserve">El valor de </w:t>
      </w:r>
      <w:r w:rsidRPr="00BD6D04">
        <w:rPr>
          <w:rFonts w:eastAsia="Times New Roman"/>
          <w:i/>
          <w:lang w:val="es-ES" w:eastAsia="es-ES"/>
        </w:rPr>
        <w:t>p</w:t>
      </w:r>
      <w:r w:rsidRPr="00BD6D04">
        <w:rPr>
          <w:rFonts w:eastAsia="Times New Roman"/>
          <w:lang w:val="es-ES" w:eastAsia="es-ES"/>
        </w:rPr>
        <w:t xml:space="preserve"> utilizado en la prueba ji cuadrado fue de 0,05. </w:t>
      </w:r>
      <w:r w:rsidRPr="00BD6D04">
        <w:rPr>
          <w:lang w:val="es-ES"/>
        </w:rPr>
        <w:t xml:space="preserve"> </w:t>
      </w:r>
      <w:r w:rsidRPr="00BD6D04">
        <w:rPr>
          <w:rFonts w:eastAsia="Times New Roman"/>
          <w:lang w:val="es-ES" w:eastAsia="es-ES"/>
        </w:rPr>
        <w:t>No se usó la corrección de Yates, porque la cantidad de clases de la comparación fue siempre superior a dos</w:t>
      </w:r>
      <w:r w:rsidR="00D83A6F" w:rsidRPr="00BD6D04">
        <w:rPr>
          <w:rFonts w:cs="Arial"/>
          <w:iCs/>
          <w:lang w:val="es-ES"/>
        </w:rPr>
        <w:t>.</w:t>
      </w:r>
    </w:p>
    <w:p w:rsidR="00281A7E" w:rsidRPr="00BD6D04" w:rsidRDefault="00281A7E" w:rsidP="00D83A6F">
      <w:pPr>
        <w:autoSpaceDE w:val="0"/>
        <w:autoSpaceDN w:val="0"/>
        <w:adjustRightInd w:val="0"/>
        <w:rPr>
          <w:rFonts w:cs="Arial"/>
          <w:iCs/>
          <w:lang w:val="es-ES"/>
        </w:rPr>
      </w:pPr>
    </w:p>
    <w:p w:rsidR="00281A7E" w:rsidRPr="00BD6D04" w:rsidRDefault="00917B6A" w:rsidP="00CE64D1">
      <w:pPr>
        <w:pStyle w:val="ListParagraph"/>
        <w:numPr>
          <w:ilvl w:val="0"/>
          <w:numId w:val="1"/>
        </w:numPr>
        <w:autoSpaceDE w:val="0"/>
        <w:autoSpaceDN w:val="0"/>
        <w:adjustRightInd w:val="0"/>
        <w:rPr>
          <w:rFonts w:cs="Arial"/>
          <w:iCs/>
          <w:lang w:val="es-ES"/>
        </w:rPr>
      </w:pPr>
      <w:r w:rsidRPr="00BD6D04">
        <w:rPr>
          <w:rFonts w:eastAsia="Times New Roman"/>
          <w:lang w:val="es-ES" w:eastAsia="es-ES"/>
        </w:rPr>
        <w:t xml:space="preserve">Antes de tomar </w:t>
      </w:r>
      <w:r w:rsidRPr="00BD6D04">
        <w:rPr>
          <w:lang w:val="es-ES"/>
        </w:rPr>
        <w:t>una</w:t>
      </w:r>
      <w:r w:rsidRPr="00BD6D04">
        <w:rPr>
          <w:rFonts w:eastAsia="Times New Roman"/>
          <w:lang w:val="es-ES" w:eastAsia="es-ES"/>
        </w:rPr>
        <w:t xml:space="preserve"> decisión respecto de la distinción, se comprobó la secuencia de la dirección de los datos;</w:t>
      </w:r>
      <w:r w:rsidRPr="00BD6D04">
        <w:rPr>
          <w:lang w:val="es-ES"/>
        </w:rPr>
        <w:t xml:space="preserve"> </w:t>
      </w:r>
      <w:r w:rsidRPr="00BD6D04">
        <w:rPr>
          <w:rFonts w:eastAsia="Times New Roman"/>
          <w:lang w:val="es-ES" w:eastAsia="es-ES"/>
        </w:rPr>
        <w:t xml:space="preserve"> es decir, el </w:t>
      </w:r>
      <w:r w:rsidRPr="00BD6D04">
        <w:rPr>
          <w:lang w:val="es-ES"/>
        </w:rPr>
        <w:t xml:space="preserve">porte </w:t>
      </w:r>
      <w:r w:rsidRPr="00BD6D04">
        <w:rPr>
          <w:rFonts w:eastAsia="Times New Roman"/>
          <w:lang w:val="es-ES" w:eastAsia="es-ES"/>
        </w:rPr>
        <w:t xml:space="preserve">de la variedad candidata debía ser constantemente más erecto o más postrado que el de la variedad de referencia en al menos dos de los tres años empleados en el análisis. </w:t>
      </w:r>
      <w:r w:rsidRPr="00BD6D04">
        <w:rPr>
          <w:lang w:val="es-ES"/>
        </w:rPr>
        <w:t xml:space="preserve"> </w:t>
      </w:r>
      <w:r w:rsidRPr="00BD6D04">
        <w:rPr>
          <w:rFonts w:eastAsia="Times New Roman"/>
          <w:lang w:val="es-ES" w:eastAsia="es-ES"/>
        </w:rPr>
        <w:t xml:space="preserve">Si los datos comparados de un par de variedades tenían diferentes direcciones en los diferentes años, el resultado era </w:t>
      </w:r>
      <w:r w:rsidR="00CE64D1" w:rsidRPr="00BD6D04">
        <w:rPr>
          <w:rFonts w:eastAsia="Times New Roman"/>
          <w:lang w:val="es-ES" w:eastAsia="es-ES"/>
        </w:rPr>
        <w:t xml:space="preserve">la </w:t>
      </w:r>
      <w:r w:rsidRPr="00BD6D04">
        <w:rPr>
          <w:lang w:val="es-ES"/>
        </w:rPr>
        <w:t>ausencia de distinción</w:t>
      </w:r>
      <w:r w:rsidRPr="00BD6D04">
        <w:rPr>
          <w:rFonts w:eastAsia="Times New Roman"/>
          <w:lang w:val="es-ES" w:eastAsia="es-ES"/>
        </w:rPr>
        <w:t xml:space="preserve">, aun cuando los valores de </w:t>
      </w:r>
      <w:r w:rsidRPr="00BD6D04">
        <w:rPr>
          <w:rFonts w:eastAsia="Times New Roman"/>
          <w:i/>
          <w:lang w:val="es-ES" w:eastAsia="es-ES"/>
        </w:rPr>
        <w:t>p</w:t>
      </w:r>
      <w:r w:rsidRPr="00BD6D04">
        <w:rPr>
          <w:rFonts w:eastAsia="Times New Roman"/>
          <w:lang w:val="es-ES" w:eastAsia="es-ES"/>
        </w:rPr>
        <w:t xml:space="preserve"> calculados fuesen inferiores a 0,05 en ambos años</w:t>
      </w:r>
      <w:r w:rsidR="00D83A6F" w:rsidRPr="00BD6D04">
        <w:rPr>
          <w:rFonts w:cs="Arial"/>
          <w:iCs/>
          <w:lang w:val="es-ES"/>
        </w:rPr>
        <w:t>.</w:t>
      </w:r>
    </w:p>
    <w:p w:rsidR="00281A7E" w:rsidRPr="00BD6D04" w:rsidRDefault="00281A7E" w:rsidP="00D83A6F">
      <w:pPr>
        <w:autoSpaceDE w:val="0"/>
        <w:autoSpaceDN w:val="0"/>
        <w:adjustRightInd w:val="0"/>
        <w:rPr>
          <w:rFonts w:cs="Arial"/>
          <w:iCs/>
          <w:lang w:val="es-ES"/>
        </w:rPr>
      </w:pPr>
    </w:p>
    <w:p w:rsidR="00281A7E" w:rsidRPr="00BD6D04" w:rsidRDefault="00917B6A" w:rsidP="00CE64D1">
      <w:pPr>
        <w:pStyle w:val="ListParagraph"/>
        <w:numPr>
          <w:ilvl w:val="0"/>
          <w:numId w:val="1"/>
        </w:numPr>
        <w:autoSpaceDE w:val="0"/>
        <w:autoSpaceDN w:val="0"/>
        <w:adjustRightInd w:val="0"/>
        <w:rPr>
          <w:rFonts w:cs="Arial"/>
          <w:iCs/>
          <w:lang w:val="es-ES"/>
        </w:rPr>
      </w:pPr>
      <w:r w:rsidRPr="00BD6D04">
        <w:rPr>
          <w:rFonts w:eastAsia="Times New Roman"/>
          <w:lang w:val="es-ES" w:eastAsia="es-ES"/>
        </w:rPr>
        <w:t xml:space="preserve">Se utilizaron los criterios recomendados para la prueba ji cuadrado (Ranta et al. 1994). </w:t>
      </w:r>
      <w:r w:rsidRPr="00BD6D04">
        <w:rPr>
          <w:lang w:val="es-ES"/>
        </w:rPr>
        <w:t xml:space="preserve"> </w:t>
      </w:r>
      <w:r w:rsidRPr="00BD6D04">
        <w:rPr>
          <w:rFonts w:eastAsia="Times New Roman"/>
          <w:lang w:val="es-ES" w:eastAsia="es-ES"/>
        </w:rPr>
        <w:t xml:space="preserve">Por lo tanto, el 20% de las frecuencias teóricas calculadas no debían ser inferiores a 5 y </w:t>
      </w:r>
      <w:r w:rsidR="00CD787D" w:rsidRPr="00BD6D04">
        <w:rPr>
          <w:rFonts w:eastAsia="Times New Roman"/>
          <w:lang w:val="es-ES" w:eastAsia="es-ES"/>
        </w:rPr>
        <w:t>todas</w:t>
      </w:r>
      <w:r w:rsidRPr="00BD6D04">
        <w:rPr>
          <w:rFonts w:eastAsia="Times New Roman"/>
          <w:lang w:val="es-ES" w:eastAsia="es-ES"/>
        </w:rPr>
        <w:t xml:space="preserve"> debían ser superiores a 1.</w:t>
      </w:r>
      <w:r w:rsidR="00CE64D1" w:rsidRPr="00BD6D04">
        <w:rPr>
          <w:rFonts w:eastAsia="Times New Roman"/>
          <w:lang w:val="es-ES" w:eastAsia="es-ES"/>
        </w:rPr>
        <w:t xml:space="preserve"> </w:t>
      </w:r>
      <w:r w:rsidRPr="00BD6D04">
        <w:rPr>
          <w:rFonts w:eastAsia="Times New Roman"/>
          <w:lang w:val="es-ES" w:eastAsia="es-ES"/>
        </w:rPr>
        <w:t xml:space="preserve"> Por ese motivo, algunas de las clases tuvieron que agruparse. </w:t>
      </w:r>
      <w:r w:rsidRPr="00BD6D04">
        <w:rPr>
          <w:lang w:val="es-ES"/>
        </w:rPr>
        <w:t xml:space="preserve"> </w:t>
      </w:r>
      <w:r w:rsidRPr="00BD6D04">
        <w:rPr>
          <w:rFonts w:eastAsia="Times New Roman"/>
          <w:lang w:val="es-ES" w:eastAsia="es-ES"/>
        </w:rPr>
        <w:t>Lo habitual era que hubiese tres a cuatro clases en el análisis, porque de lo contrario estos criterios no se cumpl</w:t>
      </w:r>
      <w:r w:rsidR="00CD787D" w:rsidRPr="00BD6D04">
        <w:rPr>
          <w:rFonts w:eastAsia="Times New Roman"/>
          <w:lang w:val="es-ES" w:eastAsia="es-ES"/>
        </w:rPr>
        <w:t>ían</w:t>
      </w:r>
      <w:r w:rsidRPr="00BD6D04">
        <w:rPr>
          <w:rFonts w:eastAsia="Times New Roman"/>
          <w:lang w:val="es-ES" w:eastAsia="es-ES"/>
        </w:rPr>
        <w:t xml:space="preserve">. </w:t>
      </w:r>
      <w:r w:rsidRPr="00BD6D04">
        <w:rPr>
          <w:lang w:val="es-ES"/>
        </w:rPr>
        <w:t xml:space="preserve"> </w:t>
      </w:r>
      <w:r w:rsidRPr="00BD6D04">
        <w:rPr>
          <w:rFonts w:eastAsia="Times New Roman"/>
          <w:lang w:val="es-ES" w:eastAsia="es-ES"/>
        </w:rPr>
        <w:t>En especial, las clases más extremas</w:t>
      </w:r>
      <w:r w:rsidRPr="00BD6D04">
        <w:rPr>
          <w:lang w:val="es-ES"/>
        </w:rPr>
        <w:t>, es decir</w:t>
      </w:r>
      <w:r w:rsidRPr="00BD6D04">
        <w:rPr>
          <w:rFonts w:eastAsia="Times New Roman"/>
          <w:lang w:val="es-ES" w:eastAsia="es-ES"/>
        </w:rPr>
        <w:t xml:space="preserve"> </w:t>
      </w:r>
      <w:r w:rsidRPr="00BD6D04">
        <w:rPr>
          <w:lang w:val="es-ES"/>
        </w:rPr>
        <w:t>1 a 3 y 6 a 9, solo tenían unas pocas observaciones (véase la página 8 del Anexo II del documento TC/49/32</w:t>
      </w:r>
      <w:r w:rsidR="00D83A6F" w:rsidRPr="00BD6D04">
        <w:rPr>
          <w:lang w:val="es-ES"/>
        </w:rPr>
        <w:t>).</w:t>
      </w:r>
      <w:r w:rsidR="00D83A6F" w:rsidRPr="00BD6D04">
        <w:rPr>
          <w:rFonts w:cs="Arial"/>
          <w:iCs/>
          <w:lang w:val="es-ES"/>
        </w:rPr>
        <w:t xml:space="preserve">  </w:t>
      </w:r>
    </w:p>
    <w:p w:rsidR="00281A7E" w:rsidRPr="00BD6D04" w:rsidRDefault="00281A7E" w:rsidP="00D83A6F">
      <w:pPr>
        <w:autoSpaceDE w:val="0"/>
        <w:autoSpaceDN w:val="0"/>
        <w:adjustRightInd w:val="0"/>
        <w:rPr>
          <w:rFonts w:cs="Arial"/>
          <w:iCs/>
          <w:lang w:val="es-ES"/>
        </w:rPr>
      </w:pPr>
    </w:p>
    <w:p w:rsidR="00281A7E" w:rsidRPr="00BD6D04" w:rsidRDefault="008F4159" w:rsidP="00CE64D1">
      <w:pPr>
        <w:pStyle w:val="ListParagraph"/>
        <w:numPr>
          <w:ilvl w:val="0"/>
          <w:numId w:val="1"/>
        </w:numPr>
        <w:autoSpaceDE w:val="0"/>
        <w:autoSpaceDN w:val="0"/>
        <w:adjustRightInd w:val="0"/>
        <w:rPr>
          <w:rFonts w:cs="Arial"/>
          <w:iCs/>
          <w:lang w:val="es-ES"/>
        </w:rPr>
      </w:pPr>
      <w:r w:rsidRPr="00BD6D04">
        <w:rPr>
          <w:rFonts w:eastAsia="Times New Roman"/>
          <w:lang w:val="es-ES" w:eastAsia="es-ES"/>
        </w:rPr>
        <w:t xml:space="preserve">Los análisis de la </w:t>
      </w:r>
      <w:r w:rsidR="00CD787D" w:rsidRPr="00BD6D04">
        <w:rPr>
          <w:rFonts w:eastAsia="Times New Roman"/>
          <w:lang w:val="es-ES" w:eastAsia="es-ES"/>
        </w:rPr>
        <w:t>prueba</w:t>
      </w:r>
      <w:r w:rsidRPr="00BD6D04">
        <w:rPr>
          <w:rFonts w:eastAsia="Times New Roman"/>
          <w:lang w:val="es-ES" w:eastAsia="es-ES"/>
        </w:rPr>
        <w:t xml:space="preserve"> ji cuadrado se efectuaron con el programa informático Excel para Windows</w:t>
      </w:r>
      <w:r w:rsidR="00D83A6F" w:rsidRPr="00BD6D04">
        <w:rPr>
          <w:rFonts w:cs="Arial"/>
          <w:iCs/>
          <w:lang w:val="es-ES"/>
        </w:rPr>
        <w:t>.</w:t>
      </w:r>
    </w:p>
    <w:p w:rsidR="00281A7E" w:rsidRPr="00BD6D04" w:rsidRDefault="00281A7E" w:rsidP="00D83A6F">
      <w:pPr>
        <w:autoSpaceDE w:val="0"/>
        <w:autoSpaceDN w:val="0"/>
        <w:adjustRightInd w:val="0"/>
        <w:rPr>
          <w:rFonts w:cs="Arial"/>
          <w:iCs/>
          <w:lang w:val="es-ES"/>
        </w:rPr>
      </w:pPr>
    </w:p>
    <w:p w:rsidR="008F4159" w:rsidRPr="00BD6D04" w:rsidRDefault="008F4159" w:rsidP="00BD6D04">
      <w:pPr>
        <w:autoSpaceDE w:val="0"/>
        <w:autoSpaceDN w:val="0"/>
        <w:adjustRightInd w:val="0"/>
        <w:rPr>
          <w:rFonts w:cs="Arial"/>
          <w:b/>
          <w:iCs/>
        </w:rPr>
      </w:pPr>
      <w:r w:rsidRPr="00BD6D04">
        <w:rPr>
          <w:b/>
          <w:lang w:val="es-ES" w:eastAsia="es-ES"/>
        </w:rPr>
        <w:t>Resultados y conclusiones</w:t>
      </w:r>
    </w:p>
    <w:p w:rsidR="00281A7E" w:rsidRPr="00BD6D04" w:rsidRDefault="00281A7E" w:rsidP="00BD6D04">
      <w:pPr>
        <w:autoSpaceDE w:val="0"/>
        <w:autoSpaceDN w:val="0"/>
        <w:adjustRightInd w:val="0"/>
        <w:rPr>
          <w:rFonts w:cs="Arial"/>
          <w:b/>
          <w:iCs/>
        </w:rPr>
      </w:pPr>
    </w:p>
    <w:p w:rsidR="00281A7E" w:rsidRPr="00BD6D04" w:rsidRDefault="0060172C" w:rsidP="00BD6D04">
      <w:pPr>
        <w:pStyle w:val="ListParagraph"/>
        <w:numPr>
          <w:ilvl w:val="0"/>
          <w:numId w:val="1"/>
        </w:numPr>
        <w:autoSpaceDE w:val="0"/>
        <w:autoSpaceDN w:val="0"/>
        <w:adjustRightInd w:val="0"/>
        <w:rPr>
          <w:rFonts w:cs="Arial"/>
          <w:iCs/>
          <w:lang w:val="es-ES"/>
        </w:rPr>
      </w:pPr>
      <w:r w:rsidRPr="00BD6D04">
        <w:rPr>
          <w:lang w:val="es-ES"/>
        </w:rPr>
        <w:t>C</w:t>
      </w:r>
      <w:r w:rsidRPr="00BD6D04">
        <w:rPr>
          <w:rFonts w:eastAsia="Times New Roman"/>
          <w:lang w:val="es-ES" w:eastAsia="es-ES"/>
        </w:rPr>
        <w:t>on la prueba ji </w:t>
      </w:r>
      <w:r w:rsidRPr="00BD6D04">
        <w:rPr>
          <w:lang w:val="es-ES"/>
        </w:rPr>
        <w:t>cuadrado, l</w:t>
      </w:r>
      <w:r w:rsidRPr="00BD6D04">
        <w:rPr>
          <w:rFonts w:eastAsia="Times New Roman"/>
          <w:lang w:val="es-ES" w:eastAsia="es-ES"/>
        </w:rPr>
        <w:t>a variedad candidata A se distinguió de 6 variedades de referencia (las variedades F, H, K, P, W y 1</w:t>
      </w:r>
      <w:r w:rsidRPr="00BD6D04">
        <w:rPr>
          <w:lang w:val="es-ES"/>
        </w:rPr>
        <w:t>) y l</w:t>
      </w:r>
      <w:r w:rsidRPr="00BD6D04">
        <w:rPr>
          <w:rFonts w:eastAsia="Times New Roman"/>
          <w:lang w:val="es-ES" w:eastAsia="es-ES"/>
        </w:rPr>
        <w:t>a variedad candidata B se distinguió de 3 variedades de referencia (F, P y 1).</w:t>
      </w:r>
      <w:r w:rsidR="00CD787D" w:rsidRPr="00BD6D04">
        <w:rPr>
          <w:rFonts w:eastAsia="Times New Roman"/>
          <w:lang w:val="es-ES" w:eastAsia="es-ES"/>
        </w:rPr>
        <w:t xml:space="preserve"> </w:t>
      </w:r>
      <w:r w:rsidRPr="00BD6D04">
        <w:rPr>
          <w:lang w:val="es-ES"/>
        </w:rPr>
        <w:t>Con e</w:t>
      </w:r>
      <w:r w:rsidRPr="00BD6D04">
        <w:rPr>
          <w:rFonts w:eastAsia="Times New Roman"/>
          <w:lang w:val="es-ES" w:eastAsia="es-ES"/>
        </w:rPr>
        <w:t xml:space="preserve">l método COYD para caracteres ordinales </w:t>
      </w:r>
      <w:r w:rsidRPr="00BD6D04">
        <w:rPr>
          <w:lang w:val="es-ES"/>
        </w:rPr>
        <w:t>se distinguieron</w:t>
      </w:r>
      <w:r w:rsidRPr="00BD6D04">
        <w:rPr>
          <w:rFonts w:eastAsia="Times New Roman"/>
          <w:lang w:val="es-ES" w:eastAsia="es-ES"/>
        </w:rPr>
        <w:t xml:space="preserve">, respectivamente, 11 variedades de referencia (las variedades E, F, H, K, N, P, U, V, Z, 1 y 3) de la variedad candidata A  y 10 variedades de referencia (las variedades E, F, H, K, N, P, U, V, Z y 3) de la variedad candidata B. </w:t>
      </w:r>
      <w:r w:rsidRPr="00BD6D04">
        <w:rPr>
          <w:lang w:val="es-ES"/>
        </w:rPr>
        <w:t xml:space="preserve"> </w:t>
      </w:r>
      <w:r w:rsidRPr="00BD6D04">
        <w:rPr>
          <w:rFonts w:eastAsia="Times New Roman"/>
          <w:lang w:val="es-ES" w:eastAsia="es-ES"/>
        </w:rPr>
        <w:t xml:space="preserve">En promedio, </w:t>
      </w:r>
      <w:r w:rsidRPr="00BD6D04">
        <w:rPr>
          <w:lang w:val="es-ES"/>
        </w:rPr>
        <w:t xml:space="preserve">con </w:t>
      </w:r>
      <w:r w:rsidRPr="00BD6D04">
        <w:rPr>
          <w:rFonts w:eastAsia="Times New Roman"/>
          <w:lang w:val="es-ES" w:eastAsia="es-ES"/>
        </w:rPr>
        <w:t xml:space="preserve">el método COYD </w:t>
      </w:r>
      <w:r w:rsidRPr="00BD6D04">
        <w:rPr>
          <w:lang w:val="es-ES"/>
        </w:rPr>
        <w:t xml:space="preserve">se </w:t>
      </w:r>
      <w:r w:rsidRPr="00BD6D04">
        <w:rPr>
          <w:rFonts w:eastAsia="Times New Roman"/>
          <w:lang w:val="es-ES" w:eastAsia="es-ES"/>
        </w:rPr>
        <w:t>distingui</w:t>
      </w:r>
      <w:r w:rsidRPr="00BD6D04">
        <w:rPr>
          <w:lang w:val="es-ES"/>
        </w:rPr>
        <w:t>eron</w:t>
      </w:r>
      <w:r w:rsidRPr="00BD6D04">
        <w:rPr>
          <w:rFonts w:eastAsia="Times New Roman"/>
          <w:lang w:val="es-ES" w:eastAsia="es-ES"/>
        </w:rPr>
        <w:t xml:space="preserve"> un 20% más de variedades de</w:t>
      </w:r>
      <w:r w:rsidR="00CD787D" w:rsidRPr="00BD6D04">
        <w:rPr>
          <w:rFonts w:eastAsia="Times New Roman"/>
          <w:lang w:val="es-ES" w:eastAsia="es-ES"/>
        </w:rPr>
        <w:t xml:space="preserve"> las de</w:t>
      </w:r>
      <w:r w:rsidRPr="00BD6D04">
        <w:rPr>
          <w:rFonts w:eastAsia="Times New Roman"/>
          <w:lang w:val="es-ES" w:eastAsia="es-ES"/>
        </w:rPr>
        <w:t xml:space="preserve"> referencia que </w:t>
      </w:r>
      <w:r w:rsidRPr="00BD6D04">
        <w:rPr>
          <w:lang w:val="es-ES"/>
        </w:rPr>
        <w:t xml:space="preserve">con </w:t>
      </w:r>
      <w:r w:rsidRPr="00BD6D04">
        <w:rPr>
          <w:rFonts w:eastAsia="Times New Roman"/>
          <w:lang w:val="es-ES" w:eastAsia="es-ES"/>
        </w:rPr>
        <w:t xml:space="preserve">la prueba ji cuadrado. </w:t>
      </w:r>
      <w:r w:rsidRPr="00BD6D04">
        <w:rPr>
          <w:lang w:val="es-ES"/>
        </w:rPr>
        <w:t xml:space="preserve"> </w:t>
      </w:r>
      <w:r w:rsidRPr="00BD6D04">
        <w:rPr>
          <w:rFonts w:eastAsia="Times New Roman"/>
          <w:lang w:val="es-ES" w:eastAsia="es-ES"/>
        </w:rPr>
        <w:t xml:space="preserve">Para la variedad candidata A, todas las variedades de referencia distinguidas mediante la prueba ji cuadrado excepto una (la variedad candidata W) se distinguieron también </w:t>
      </w:r>
      <w:r w:rsidRPr="00BD6D04">
        <w:rPr>
          <w:lang w:val="es-ES"/>
        </w:rPr>
        <w:t xml:space="preserve">con </w:t>
      </w:r>
      <w:r w:rsidRPr="00BD6D04">
        <w:rPr>
          <w:rFonts w:eastAsia="Times New Roman"/>
          <w:lang w:val="es-ES" w:eastAsia="es-ES"/>
        </w:rPr>
        <w:t xml:space="preserve">el método COYD. </w:t>
      </w:r>
      <w:r w:rsidRPr="00BD6D04">
        <w:rPr>
          <w:lang w:val="es-ES"/>
        </w:rPr>
        <w:t xml:space="preserve"> </w:t>
      </w:r>
      <w:r w:rsidRPr="00BD6D04">
        <w:rPr>
          <w:rFonts w:eastAsia="Times New Roman"/>
          <w:lang w:val="es-ES" w:eastAsia="es-ES"/>
        </w:rPr>
        <w:t xml:space="preserve">Para la variedad candidata B también hubo una variedad de referencia (la variedad </w:t>
      </w:r>
      <w:r w:rsidR="00CB0983">
        <w:rPr>
          <w:lang w:val="es-ES"/>
        </w:rPr>
        <w:t>candidat</w:t>
      </w:r>
      <w:r w:rsidR="00CD787D" w:rsidRPr="00BD6D04">
        <w:rPr>
          <w:lang w:val="es-ES"/>
        </w:rPr>
        <w:t>a </w:t>
      </w:r>
      <w:r w:rsidRPr="00BD6D04">
        <w:rPr>
          <w:rFonts w:eastAsia="Times New Roman"/>
          <w:lang w:val="es-ES" w:eastAsia="es-ES"/>
        </w:rPr>
        <w:t xml:space="preserve">1) que </w:t>
      </w:r>
      <w:r w:rsidR="00CD787D" w:rsidRPr="00BD6D04">
        <w:rPr>
          <w:rFonts w:eastAsia="Times New Roman"/>
          <w:lang w:val="es-ES" w:eastAsia="es-ES"/>
        </w:rPr>
        <w:t xml:space="preserve">solo </w:t>
      </w:r>
      <w:r w:rsidRPr="00BD6D04">
        <w:rPr>
          <w:rFonts w:eastAsia="Times New Roman"/>
          <w:lang w:val="es-ES" w:eastAsia="es-ES"/>
        </w:rPr>
        <w:t>se distinguió mediante la prueba ji cuadrado</w:t>
      </w:r>
      <w:r w:rsidR="00D83A6F" w:rsidRPr="00BD6D04">
        <w:rPr>
          <w:rFonts w:cs="Arial"/>
          <w:iCs/>
          <w:lang w:val="es-ES"/>
        </w:rPr>
        <w:t>.</w:t>
      </w:r>
    </w:p>
    <w:p w:rsidR="00281A7E" w:rsidRPr="00BD6D04" w:rsidRDefault="00281A7E" w:rsidP="00D83A6F">
      <w:pPr>
        <w:autoSpaceDE w:val="0"/>
        <w:autoSpaceDN w:val="0"/>
        <w:adjustRightInd w:val="0"/>
        <w:ind w:left="360"/>
        <w:rPr>
          <w:rFonts w:cs="Arial"/>
          <w:iCs/>
          <w:lang w:val="es-ES"/>
        </w:rPr>
      </w:pPr>
    </w:p>
    <w:p w:rsidR="00281A7E" w:rsidRPr="00BD6D04" w:rsidRDefault="0060172C" w:rsidP="00CE64D1">
      <w:pPr>
        <w:pStyle w:val="ListParagraph"/>
        <w:numPr>
          <w:ilvl w:val="0"/>
          <w:numId w:val="1"/>
        </w:numPr>
        <w:autoSpaceDE w:val="0"/>
        <w:autoSpaceDN w:val="0"/>
        <w:adjustRightInd w:val="0"/>
        <w:rPr>
          <w:rFonts w:cs="Arial"/>
          <w:iCs/>
          <w:lang w:val="es-ES"/>
        </w:rPr>
      </w:pPr>
      <w:r w:rsidRPr="00BD6D04">
        <w:rPr>
          <w:rFonts w:eastAsia="Times New Roman"/>
          <w:lang w:val="es-ES" w:eastAsia="es-ES"/>
        </w:rPr>
        <w:t xml:space="preserve">El problema del análisis de los datos de porte con la prueba ji cuadrado es el </w:t>
      </w:r>
      <w:r w:rsidR="00CD787D" w:rsidRPr="00BD6D04">
        <w:rPr>
          <w:rFonts w:eastAsia="Times New Roman"/>
          <w:lang w:val="es-ES" w:eastAsia="es-ES"/>
        </w:rPr>
        <w:t xml:space="preserve">bajo </w:t>
      </w:r>
      <w:r w:rsidRPr="00BD6D04">
        <w:rPr>
          <w:rFonts w:eastAsia="Times New Roman"/>
          <w:lang w:val="es-ES" w:eastAsia="es-ES"/>
        </w:rPr>
        <w:t xml:space="preserve">número de individuos en algunas de las clases. </w:t>
      </w:r>
      <w:r w:rsidRPr="00BD6D04">
        <w:rPr>
          <w:lang w:val="es-ES"/>
        </w:rPr>
        <w:t xml:space="preserve"> </w:t>
      </w:r>
      <w:r w:rsidRPr="00BD6D04">
        <w:rPr>
          <w:rFonts w:eastAsia="Times New Roman"/>
          <w:lang w:val="es-ES" w:eastAsia="es-ES"/>
        </w:rPr>
        <w:t>En 14 clases, los valores de </w:t>
      </w:r>
      <w:r w:rsidRPr="00BD6D04">
        <w:rPr>
          <w:rFonts w:eastAsia="Times New Roman"/>
          <w:i/>
          <w:lang w:val="es-ES" w:eastAsia="es-ES"/>
        </w:rPr>
        <w:t>p</w:t>
      </w:r>
      <w:r w:rsidRPr="00BD6D04">
        <w:rPr>
          <w:rFonts w:eastAsia="Times New Roman"/>
          <w:lang w:val="es-ES" w:eastAsia="es-ES"/>
        </w:rPr>
        <w:t xml:space="preserve"> de las comparaciones con la variedad candidata A fueron inferiores a 0,05</w:t>
      </w:r>
      <w:r w:rsidR="00CC1338">
        <w:rPr>
          <w:rFonts w:eastAsia="Times New Roman"/>
          <w:lang w:val="es-ES" w:eastAsia="es-ES"/>
        </w:rPr>
        <w:t xml:space="preserve">; </w:t>
      </w:r>
      <w:r w:rsidRPr="00BD6D04">
        <w:rPr>
          <w:rFonts w:eastAsia="Times New Roman"/>
          <w:lang w:val="es-ES" w:eastAsia="es-ES"/>
        </w:rPr>
        <w:t xml:space="preserve">pero las frecuencias teóricas no cumplían los requisitos (más del 20% de las frecuencias teóricas eran inferiores a 5 o algunos valores eran inferiores a 1). </w:t>
      </w:r>
      <w:r w:rsidRPr="00BD6D04">
        <w:rPr>
          <w:lang w:val="es-ES"/>
        </w:rPr>
        <w:t xml:space="preserve"> </w:t>
      </w:r>
      <w:r w:rsidRPr="00BD6D04">
        <w:rPr>
          <w:rFonts w:eastAsia="Times New Roman"/>
          <w:lang w:val="es-ES" w:eastAsia="es-ES"/>
        </w:rPr>
        <w:t xml:space="preserve">En las comparaciones con la variedad candidata B </w:t>
      </w:r>
      <w:r w:rsidRPr="00BD6D04">
        <w:rPr>
          <w:lang w:val="es-ES"/>
        </w:rPr>
        <w:t>se produjo una</w:t>
      </w:r>
      <w:r w:rsidRPr="00BD6D04">
        <w:rPr>
          <w:rFonts w:eastAsia="Times New Roman"/>
          <w:lang w:val="es-ES" w:eastAsia="es-ES"/>
        </w:rPr>
        <w:t xml:space="preserve"> situación similar en 5 ocasiones [marcadas como (* en el Cuadro 1 del Anexo]. </w:t>
      </w:r>
      <w:r w:rsidRPr="00BD6D04">
        <w:rPr>
          <w:lang w:val="es-ES"/>
        </w:rPr>
        <w:t xml:space="preserve"> </w:t>
      </w:r>
      <w:r w:rsidRPr="00BD6D04">
        <w:rPr>
          <w:rFonts w:eastAsia="Times New Roman"/>
          <w:lang w:val="es-ES" w:eastAsia="es-ES"/>
        </w:rPr>
        <w:t>Este bajo número de observaciones en algunas de las clases puede dar lugar a una situación en la que la variedad candidata no se pueda declarar distinta, porque no se cumplen los requisitos del análisis estadístico, aun cuando las variedades comparadas puedan ser distintas</w:t>
      </w:r>
      <w:r w:rsidR="00D83A6F" w:rsidRPr="00BD6D04">
        <w:rPr>
          <w:rFonts w:cs="Arial"/>
          <w:iCs/>
          <w:lang w:val="es-ES"/>
        </w:rPr>
        <w:t>.</w:t>
      </w:r>
    </w:p>
    <w:p w:rsidR="00281A7E" w:rsidRPr="00BD6D04" w:rsidRDefault="00281A7E" w:rsidP="00D83A6F">
      <w:pPr>
        <w:pStyle w:val="ListParagraph"/>
        <w:rPr>
          <w:rFonts w:cs="Arial"/>
          <w:iCs/>
          <w:lang w:val="es-ES"/>
        </w:rPr>
      </w:pPr>
    </w:p>
    <w:p w:rsidR="00281A7E" w:rsidRPr="00BD6D04" w:rsidRDefault="0060172C" w:rsidP="00CE64D1">
      <w:pPr>
        <w:pStyle w:val="ListParagraph"/>
        <w:numPr>
          <w:ilvl w:val="0"/>
          <w:numId w:val="1"/>
        </w:numPr>
        <w:autoSpaceDE w:val="0"/>
        <w:autoSpaceDN w:val="0"/>
        <w:adjustRightInd w:val="0"/>
        <w:rPr>
          <w:rFonts w:cs="Arial"/>
          <w:iCs/>
          <w:lang w:val="es-ES"/>
        </w:rPr>
      </w:pPr>
      <w:r w:rsidRPr="00BD6D04">
        <w:rPr>
          <w:rFonts w:eastAsia="Times New Roman"/>
          <w:lang w:val="es-ES" w:eastAsia="es-ES"/>
        </w:rPr>
        <w:t xml:space="preserve">La comparación de los resultados </w:t>
      </w:r>
      <w:r w:rsidR="0009306A" w:rsidRPr="00BD6D04">
        <w:rPr>
          <w:rFonts w:eastAsia="Times New Roman"/>
          <w:lang w:val="es-ES" w:eastAsia="es-ES"/>
        </w:rPr>
        <w:t xml:space="preserve">obtenidos con </w:t>
      </w:r>
      <w:r w:rsidRPr="00BD6D04">
        <w:rPr>
          <w:rFonts w:eastAsia="Times New Roman"/>
          <w:lang w:val="es-ES" w:eastAsia="es-ES"/>
        </w:rPr>
        <w:t xml:space="preserve">el método COYD para caracteres ordinales y </w:t>
      </w:r>
      <w:r w:rsidR="0009306A" w:rsidRPr="00BD6D04">
        <w:rPr>
          <w:lang w:val="es-ES"/>
        </w:rPr>
        <w:t>con</w:t>
      </w:r>
      <w:r w:rsidRPr="00BD6D04">
        <w:rPr>
          <w:lang w:val="es-ES"/>
        </w:rPr>
        <w:t xml:space="preserve"> </w:t>
      </w:r>
      <w:r w:rsidRPr="00BD6D04">
        <w:rPr>
          <w:rFonts w:eastAsia="Times New Roman"/>
          <w:lang w:val="es-ES" w:eastAsia="es-ES"/>
        </w:rPr>
        <w:t>la prueba ji cuadrado para los datos de porte de</w:t>
      </w:r>
      <w:r w:rsidRPr="00BD6D04">
        <w:rPr>
          <w:lang w:val="es-ES"/>
        </w:rPr>
        <w:t xml:space="preserve"> la</w:t>
      </w:r>
      <w:r w:rsidRPr="00BD6D04">
        <w:rPr>
          <w:rFonts w:eastAsia="Times New Roman"/>
          <w:lang w:val="es-ES" w:eastAsia="es-ES"/>
        </w:rPr>
        <w:t xml:space="preserve"> festuca pratense demostró que el método COYD para caracteres ordinales puede distinguir más variedades y, por lo tanto, el empleo del método COYD con caracteres ordinales haría que las decisiones en materia de distinción fueran más adecuadas</w:t>
      </w:r>
      <w:r w:rsidR="00D83A6F" w:rsidRPr="00BD6D04">
        <w:rPr>
          <w:rFonts w:cs="Arial"/>
          <w:iCs/>
          <w:lang w:val="es-ES"/>
        </w:rPr>
        <w:t>.</w:t>
      </w:r>
    </w:p>
    <w:p w:rsidR="00281A7E" w:rsidRPr="00BD6D04" w:rsidRDefault="00281A7E" w:rsidP="00D83A6F">
      <w:pPr>
        <w:pStyle w:val="ListParagraph"/>
        <w:rPr>
          <w:rFonts w:cs="Arial"/>
          <w:iCs/>
          <w:lang w:val="es-ES"/>
        </w:rPr>
      </w:pPr>
    </w:p>
    <w:p w:rsidR="00281A7E" w:rsidRPr="00BD6D04" w:rsidRDefault="0060172C" w:rsidP="00CE64D1">
      <w:pPr>
        <w:pStyle w:val="ListParagraph"/>
        <w:numPr>
          <w:ilvl w:val="0"/>
          <w:numId w:val="1"/>
        </w:numPr>
        <w:autoSpaceDE w:val="0"/>
        <w:autoSpaceDN w:val="0"/>
        <w:adjustRightInd w:val="0"/>
        <w:rPr>
          <w:rFonts w:cs="Arial"/>
          <w:iCs/>
          <w:lang w:val="es-ES"/>
        </w:rPr>
      </w:pPr>
      <w:r w:rsidRPr="00BD6D04">
        <w:rPr>
          <w:rFonts w:eastAsia="Times New Roman"/>
          <w:lang w:val="es-ES" w:eastAsia="es-ES"/>
        </w:rPr>
        <w:t>Sería útil poder contar con el mismo tipo de comparación entre el método COYD para caracteres multinomiales y la prueba ji cuadrado con otras especies y caracteres</w:t>
      </w:r>
      <w:r w:rsidR="00D83A6F" w:rsidRPr="00BD6D04">
        <w:rPr>
          <w:rFonts w:cs="Arial"/>
          <w:iCs/>
          <w:lang w:val="es-ES"/>
        </w:rPr>
        <w:t>.</w:t>
      </w:r>
    </w:p>
    <w:p w:rsidR="00281A7E" w:rsidRPr="00BD6D04" w:rsidRDefault="00281A7E" w:rsidP="00D83A6F">
      <w:pPr>
        <w:rPr>
          <w:rFonts w:cs="Arial"/>
          <w:iCs/>
          <w:lang w:val="es-ES"/>
        </w:rPr>
      </w:pPr>
    </w:p>
    <w:p w:rsidR="00281A7E" w:rsidRPr="00BD6D04" w:rsidRDefault="00281A7E" w:rsidP="00281A7E">
      <w:pPr>
        <w:rPr>
          <w:rFonts w:cs="Arial"/>
          <w:b/>
          <w:iCs/>
          <w:lang w:val="es-ES"/>
        </w:rPr>
      </w:pPr>
      <w:r w:rsidRPr="00BD6D04">
        <w:rPr>
          <w:rFonts w:cs="Arial"/>
          <w:b/>
          <w:iCs/>
          <w:lang w:val="es-ES_tradnl"/>
        </w:rPr>
        <w:t>Referencias</w:t>
      </w:r>
    </w:p>
    <w:p w:rsidR="00281A7E" w:rsidRPr="00BD6D04" w:rsidRDefault="00D83A6F" w:rsidP="00D83A6F">
      <w:pPr>
        <w:ind w:left="567"/>
        <w:rPr>
          <w:rFonts w:cs="Arial"/>
          <w:iCs/>
          <w:lang w:val="fi-FI"/>
        </w:rPr>
      </w:pPr>
      <w:r w:rsidRPr="00BD6D04">
        <w:rPr>
          <w:rFonts w:cs="Arial"/>
          <w:iCs/>
          <w:lang w:val="es-ES"/>
        </w:rPr>
        <w:t>Ranta, E., Rita, H. &amp; Kouki J. 1994. Biometria. Tilastotiedettä ekologeille. Yliopistopaino, Helsinki.</w:t>
      </w:r>
    </w:p>
    <w:p w:rsidR="00281A7E" w:rsidRPr="00BD6D04" w:rsidRDefault="00FF347D" w:rsidP="00281A7E">
      <w:pPr>
        <w:ind w:left="567"/>
        <w:rPr>
          <w:rFonts w:cs="Arial"/>
          <w:iCs/>
          <w:sz w:val="19"/>
          <w:szCs w:val="19"/>
          <w:lang w:val="es-ES"/>
        </w:rPr>
      </w:pPr>
      <w:r w:rsidRPr="00BD6D04">
        <w:rPr>
          <w:rFonts w:cs="Arial"/>
          <w:iCs/>
          <w:sz w:val="19"/>
          <w:szCs w:val="19"/>
          <w:lang w:val="es-ES_tradnl"/>
        </w:rPr>
        <w:t xml:space="preserve">UPOV, </w:t>
      </w:r>
      <w:r w:rsidR="00281A7E" w:rsidRPr="00BD6D04">
        <w:rPr>
          <w:rFonts w:cs="Arial"/>
          <w:iCs/>
          <w:sz w:val="19"/>
          <w:szCs w:val="19"/>
          <w:lang w:val="es-ES_tradnl"/>
        </w:rPr>
        <w:t>TGP/8/1 “Diseño de ensayos y técnicas utilizados en el examen de la distinción, la homogenei</w:t>
      </w:r>
      <w:r w:rsidRPr="00BD6D04">
        <w:rPr>
          <w:rFonts w:cs="Arial"/>
          <w:iCs/>
          <w:sz w:val="19"/>
          <w:szCs w:val="19"/>
          <w:lang w:val="es-ES_tradnl"/>
        </w:rPr>
        <w:t>dad y la estabilidad” 2010</w:t>
      </w:r>
    </w:p>
    <w:p w:rsidR="00281A7E" w:rsidRPr="00BD6D04" w:rsidRDefault="00D83A6F" w:rsidP="00281A7E">
      <w:pPr>
        <w:ind w:left="567"/>
        <w:rPr>
          <w:rFonts w:cs="Arial"/>
          <w:iCs/>
          <w:sz w:val="19"/>
          <w:szCs w:val="19"/>
          <w:lang w:val="es-ES"/>
        </w:rPr>
      </w:pPr>
      <w:r w:rsidRPr="00BD6D04">
        <w:rPr>
          <w:rFonts w:cs="Arial"/>
          <w:iCs/>
          <w:sz w:val="19"/>
          <w:szCs w:val="19"/>
          <w:lang w:val="es-ES"/>
        </w:rPr>
        <w:t>UPOV</w:t>
      </w:r>
      <w:r w:rsidR="00FF347D" w:rsidRPr="00BD6D04">
        <w:rPr>
          <w:rFonts w:cs="Arial"/>
          <w:iCs/>
          <w:sz w:val="19"/>
          <w:szCs w:val="19"/>
          <w:lang w:val="es-ES"/>
        </w:rPr>
        <w:t>,</w:t>
      </w:r>
      <w:r w:rsidRPr="00BD6D04">
        <w:rPr>
          <w:rFonts w:cs="Arial"/>
          <w:iCs/>
          <w:sz w:val="19"/>
          <w:szCs w:val="19"/>
          <w:lang w:val="es-ES"/>
        </w:rPr>
        <w:t xml:space="preserve"> TG/39/8 </w:t>
      </w:r>
      <w:r w:rsidR="00FF347D" w:rsidRPr="00BD6D04">
        <w:rPr>
          <w:bCs/>
          <w:sz w:val="19"/>
          <w:szCs w:val="19"/>
          <w:lang w:val="es-ES"/>
        </w:rPr>
        <w:t xml:space="preserve">Directrices para la ejecución del examen de la distinción, la homogeneidad y la estabilidad. Festuca pratense </w:t>
      </w:r>
      <w:r w:rsidR="00FF347D" w:rsidRPr="00BD6D04">
        <w:rPr>
          <w:rFonts w:cs="Arial"/>
          <w:iCs/>
          <w:sz w:val="19"/>
          <w:szCs w:val="19"/>
          <w:lang w:val="es-ES"/>
        </w:rPr>
        <w:t>(</w:t>
      </w:r>
      <w:r w:rsidR="00FF347D" w:rsidRPr="00BD6D04">
        <w:rPr>
          <w:rFonts w:cs="Arial"/>
          <w:i/>
          <w:iCs/>
          <w:sz w:val="19"/>
          <w:szCs w:val="19"/>
          <w:lang w:val="es-ES"/>
        </w:rPr>
        <w:t>Festuca pratensis</w:t>
      </w:r>
      <w:r w:rsidR="00FF347D" w:rsidRPr="00BD6D04">
        <w:rPr>
          <w:rFonts w:cs="Arial"/>
          <w:iCs/>
          <w:sz w:val="19"/>
          <w:szCs w:val="19"/>
          <w:lang w:val="es-ES"/>
        </w:rPr>
        <w:t xml:space="preserve"> Huds.), </w:t>
      </w:r>
      <w:r w:rsidR="00FF347D" w:rsidRPr="00BD6D04">
        <w:rPr>
          <w:iCs/>
          <w:sz w:val="19"/>
          <w:szCs w:val="19"/>
          <w:lang w:val="es-ES"/>
        </w:rPr>
        <w:t>festuca alta</w:t>
      </w:r>
      <w:r w:rsidR="00FF347D" w:rsidRPr="00BD6D04">
        <w:rPr>
          <w:rFonts w:cs="Arial"/>
          <w:iCs/>
          <w:sz w:val="19"/>
          <w:szCs w:val="19"/>
          <w:lang w:val="es-ES"/>
        </w:rPr>
        <w:t xml:space="preserve"> (</w:t>
      </w:r>
      <w:r w:rsidR="00FF347D" w:rsidRPr="00BD6D04">
        <w:rPr>
          <w:rFonts w:cs="Arial"/>
          <w:i/>
          <w:iCs/>
          <w:sz w:val="19"/>
          <w:szCs w:val="19"/>
          <w:lang w:val="es-ES"/>
        </w:rPr>
        <w:t>Festuca arundinacea</w:t>
      </w:r>
      <w:r w:rsidR="00FF347D" w:rsidRPr="00BD6D04">
        <w:rPr>
          <w:rFonts w:cs="Arial"/>
          <w:iCs/>
          <w:sz w:val="19"/>
          <w:szCs w:val="19"/>
          <w:lang w:val="es-ES"/>
        </w:rPr>
        <w:t xml:space="preserve"> Schreb.). G</w:t>
      </w:r>
      <w:r w:rsidR="00FF347D" w:rsidRPr="00BD6D04">
        <w:rPr>
          <w:iCs/>
          <w:sz w:val="19"/>
          <w:szCs w:val="19"/>
          <w:lang w:val="es-ES"/>
        </w:rPr>
        <w:t>i</w:t>
      </w:r>
      <w:r w:rsidR="00FF347D" w:rsidRPr="00BD6D04">
        <w:rPr>
          <w:rFonts w:cs="Arial"/>
          <w:iCs/>
          <w:sz w:val="19"/>
          <w:szCs w:val="19"/>
          <w:lang w:val="es-ES"/>
        </w:rPr>
        <w:t>ne</w:t>
      </w:r>
      <w:r w:rsidR="00FF347D" w:rsidRPr="00BD6D04">
        <w:rPr>
          <w:iCs/>
          <w:sz w:val="19"/>
          <w:szCs w:val="19"/>
          <w:lang w:val="es-ES"/>
        </w:rPr>
        <w:t>br</w:t>
      </w:r>
      <w:r w:rsidR="00FF347D" w:rsidRPr="00BD6D04">
        <w:rPr>
          <w:rFonts w:cs="Arial"/>
          <w:iCs/>
          <w:sz w:val="19"/>
          <w:szCs w:val="19"/>
          <w:lang w:val="es-ES"/>
        </w:rPr>
        <w:t>a 2002</w:t>
      </w:r>
      <w:r w:rsidR="00281A7E" w:rsidRPr="00BD6D04">
        <w:rPr>
          <w:rFonts w:cs="Arial"/>
          <w:iCs/>
          <w:sz w:val="19"/>
          <w:szCs w:val="19"/>
          <w:lang w:val="es-ES"/>
        </w:rPr>
        <w:t>.</w:t>
      </w:r>
    </w:p>
    <w:p w:rsidR="00281A7E" w:rsidRPr="00BD6D04" w:rsidRDefault="00FF347D" w:rsidP="00D83A6F">
      <w:pPr>
        <w:autoSpaceDE w:val="0"/>
        <w:autoSpaceDN w:val="0"/>
        <w:adjustRightInd w:val="0"/>
        <w:ind w:left="567"/>
        <w:rPr>
          <w:rFonts w:cs="Arial"/>
          <w:sz w:val="19"/>
          <w:szCs w:val="19"/>
          <w:lang w:val="es-ES"/>
        </w:rPr>
      </w:pPr>
      <w:r w:rsidRPr="00BD6D04">
        <w:rPr>
          <w:rFonts w:ascii="Arial,Bold" w:hAnsi="Arial,Bold" w:cs="Arial,Bold"/>
          <w:bCs/>
          <w:sz w:val="19"/>
          <w:szCs w:val="19"/>
          <w:lang w:val="es-ES"/>
        </w:rPr>
        <w:t xml:space="preserve">UPOV, </w:t>
      </w:r>
      <w:r w:rsidR="00D83A6F" w:rsidRPr="00BD6D04">
        <w:rPr>
          <w:rFonts w:ascii="Arial,Bold" w:hAnsi="Arial,Bold" w:cs="Arial,Bold"/>
          <w:bCs/>
          <w:sz w:val="19"/>
          <w:szCs w:val="19"/>
          <w:lang w:val="es-ES"/>
        </w:rPr>
        <w:t xml:space="preserve">TC/50/28 </w:t>
      </w:r>
      <w:r w:rsidR="00CC1338">
        <w:rPr>
          <w:sz w:val="19"/>
          <w:szCs w:val="19"/>
          <w:lang w:val="es-ES_tradnl"/>
        </w:rPr>
        <w:t xml:space="preserve">REVISIÓN DEL DOCUMENTO TGP/8: PARTE II: </w:t>
      </w:r>
      <w:r w:rsidRPr="00BD6D04">
        <w:rPr>
          <w:sz w:val="19"/>
          <w:szCs w:val="19"/>
          <w:lang w:val="es-ES_tradnl"/>
        </w:rPr>
        <w:t>TÉCNICAS UTILIZADAS E</w:t>
      </w:r>
      <w:r w:rsidR="00CC1338">
        <w:rPr>
          <w:sz w:val="19"/>
          <w:szCs w:val="19"/>
          <w:lang w:val="es-ES_tradnl"/>
        </w:rPr>
        <w:t>N EL EXAMEN DHE, NUEVA SECCIÓN:</w:t>
      </w:r>
      <w:r w:rsidRPr="00BD6D04">
        <w:rPr>
          <w:sz w:val="19"/>
          <w:szCs w:val="19"/>
          <w:lang w:val="es-ES_tradnl"/>
        </w:rPr>
        <w:t xml:space="preserve"> MÉTODOS ESTADÍSTICOS APLICADOS A CARACTERES OBSERVADOS VISUALMENTE</w:t>
      </w:r>
      <w:r w:rsidR="00D83A6F" w:rsidRPr="00BD6D04">
        <w:rPr>
          <w:rFonts w:cs="Arial"/>
          <w:sz w:val="19"/>
          <w:szCs w:val="19"/>
          <w:lang w:val="es-ES"/>
        </w:rPr>
        <w:t xml:space="preserve">, </w:t>
      </w:r>
      <w:r w:rsidRPr="00BD6D04">
        <w:rPr>
          <w:rFonts w:cs="Arial"/>
          <w:sz w:val="19"/>
          <w:szCs w:val="19"/>
          <w:lang w:val="es-ES"/>
        </w:rPr>
        <w:t xml:space="preserve">30 de enero de </w:t>
      </w:r>
      <w:r w:rsidR="00D83A6F" w:rsidRPr="00BD6D04">
        <w:rPr>
          <w:rFonts w:cs="Arial"/>
          <w:sz w:val="19"/>
          <w:szCs w:val="19"/>
          <w:lang w:val="es-ES"/>
        </w:rPr>
        <w:t>2014.</w:t>
      </w:r>
    </w:p>
    <w:p w:rsidR="00281A7E" w:rsidRPr="00BD6D04" w:rsidRDefault="00FF347D" w:rsidP="00D83A6F">
      <w:pPr>
        <w:autoSpaceDE w:val="0"/>
        <w:autoSpaceDN w:val="0"/>
        <w:adjustRightInd w:val="0"/>
        <w:ind w:left="567"/>
        <w:rPr>
          <w:rFonts w:cs="Arial"/>
          <w:sz w:val="19"/>
          <w:szCs w:val="19"/>
          <w:lang w:val="es-ES" w:eastAsia="ja-JP"/>
        </w:rPr>
      </w:pPr>
      <w:r w:rsidRPr="00BD6D04">
        <w:rPr>
          <w:rFonts w:ascii="Arial,Bold" w:hAnsi="Arial,Bold" w:cs="Arial,Bold"/>
          <w:bCs/>
          <w:sz w:val="19"/>
          <w:szCs w:val="19"/>
          <w:lang w:val="es-ES"/>
        </w:rPr>
        <w:t xml:space="preserve">UPOV, </w:t>
      </w:r>
      <w:r w:rsidR="00D83A6F" w:rsidRPr="00BD6D04">
        <w:rPr>
          <w:rFonts w:ascii="Arial,Bold" w:hAnsi="Arial,Bold" w:cs="Arial,Bold"/>
          <w:bCs/>
          <w:sz w:val="19"/>
          <w:szCs w:val="19"/>
          <w:lang w:val="es-ES"/>
        </w:rPr>
        <w:t xml:space="preserve">TC/49/32 </w:t>
      </w:r>
      <w:r w:rsidR="00CC1338">
        <w:rPr>
          <w:sz w:val="19"/>
          <w:szCs w:val="19"/>
          <w:lang w:val="es-ES_tradnl"/>
        </w:rPr>
        <w:t xml:space="preserve">REVISIÓN DEL DOCUMENTO TGP/8: PARTE II: </w:t>
      </w:r>
      <w:r w:rsidRPr="00BD6D04">
        <w:rPr>
          <w:sz w:val="19"/>
          <w:szCs w:val="19"/>
          <w:lang w:val="es-ES_tradnl"/>
        </w:rPr>
        <w:t>TÉCNICAS UTILIZADAS EN</w:t>
      </w:r>
      <w:r w:rsidR="00CC1338">
        <w:rPr>
          <w:sz w:val="19"/>
          <w:szCs w:val="19"/>
          <w:lang w:val="es-ES_tradnl"/>
        </w:rPr>
        <w:t xml:space="preserve"> EL EXAMEN DHE, NUEVA SECCIÓN: </w:t>
      </w:r>
      <w:r w:rsidRPr="00BD6D04">
        <w:rPr>
          <w:sz w:val="19"/>
          <w:szCs w:val="19"/>
          <w:lang w:val="es-ES_tradnl"/>
        </w:rPr>
        <w:t>MÉTODOS ESTADÍSTICOS APLICADOS A CARACTERES OBSERVADOS VISUALMENTE</w:t>
      </w:r>
      <w:r w:rsidR="00D83A6F" w:rsidRPr="00BD6D04">
        <w:rPr>
          <w:rFonts w:cs="Arial"/>
          <w:sz w:val="19"/>
          <w:szCs w:val="19"/>
          <w:lang w:val="es-ES"/>
        </w:rPr>
        <w:t xml:space="preserve">, </w:t>
      </w:r>
      <w:r w:rsidRPr="00BD6D04">
        <w:rPr>
          <w:rFonts w:cs="Arial"/>
          <w:sz w:val="19"/>
          <w:szCs w:val="19"/>
          <w:lang w:val="es-ES"/>
        </w:rPr>
        <w:t>4 de febrero de</w:t>
      </w:r>
      <w:r w:rsidR="00D83A6F" w:rsidRPr="00BD6D04">
        <w:rPr>
          <w:rFonts w:cs="Arial"/>
          <w:sz w:val="19"/>
          <w:szCs w:val="19"/>
          <w:lang w:val="es-ES"/>
        </w:rPr>
        <w:t xml:space="preserve"> 2013.</w:t>
      </w:r>
    </w:p>
    <w:p w:rsidR="00281A7E" w:rsidRPr="00BD6D04" w:rsidRDefault="00281A7E" w:rsidP="00D83A6F">
      <w:pPr>
        <w:autoSpaceDE w:val="0"/>
        <w:autoSpaceDN w:val="0"/>
        <w:adjustRightInd w:val="0"/>
        <w:ind w:left="567"/>
        <w:rPr>
          <w:rFonts w:cs="Arial"/>
          <w:b/>
          <w:iCs/>
          <w:lang w:val="es-ES" w:eastAsia="ja-JP"/>
        </w:rPr>
      </w:pPr>
    </w:p>
    <w:p w:rsidR="00281A7E" w:rsidRPr="00BD6D04" w:rsidRDefault="00D83A6F" w:rsidP="00D83A6F">
      <w:pPr>
        <w:jc w:val="left"/>
        <w:rPr>
          <w:rFonts w:cs="Arial"/>
          <w:b/>
          <w:iCs/>
          <w:lang w:val="es-ES" w:eastAsia="ja-JP"/>
        </w:rPr>
      </w:pPr>
      <w:r w:rsidRPr="00BD6D04">
        <w:rPr>
          <w:rFonts w:cs="Arial"/>
          <w:b/>
          <w:iCs/>
          <w:lang w:val="es-ES" w:eastAsia="ja-JP"/>
        </w:rPr>
        <w:br w:type="page"/>
      </w:r>
    </w:p>
    <w:p w:rsidR="00281A7E" w:rsidRPr="00BD6D04" w:rsidRDefault="00AB1E77" w:rsidP="00281A7E">
      <w:pPr>
        <w:autoSpaceDE w:val="0"/>
        <w:autoSpaceDN w:val="0"/>
        <w:adjustRightInd w:val="0"/>
        <w:ind w:left="567"/>
        <w:rPr>
          <w:rFonts w:cs="Arial"/>
          <w:iCs/>
          <w:lang w:val="es-ES"/>
        </w:rPr>
      </w:pPr>
      <w:r w:rsidRPr="00BD6D04">
        <w:rPr>
          <w:b/>
          <w:lang w:val="es-ES" w:eastAsia="es-ES"/>
        </w:rPr>
        <w:lastRenderedPageBreak/>
        <w:t xml:space="preserve">Anexo. </w:t>
      </w:r>
      <w:r w:rsidR="008F2BAC" w:rsidRPr="00BD6D04">
        <w:rPr>
          <w:b/>
          <w:lang w:val="es-ES" w:eastAsia="es-ES"/>
        </w:rPr>
        <w:t xml:space="preserve"> </w:t>
      </w:r>
      <w:r w:rsidRPr="00BD6D04">
        <w:rPr>
          <w:b/>
          <w:lang w:val="es-ES" w:eastAsia="es-ES"/>
        </w:rPr>
        <w:t xml:space="preserve">Cuadro 1. </w:t>
      </w:r>
      <w:r w:rsidR="008F2BAC" w:rsidRPr="00BD6D04">
        <w:rPr>
          <w:b/>
          <w:lang w:val="es-ES" w:eastAsia="es-ES"/>
        </w:rPr>
        <w:t xml:space="preserve"> </w:t>
      </w:r>
      <w:r w:rsidRPr="00BD6D04">
        <w:rPr>
          <w:lang w:val="es-ES" w:eastAsia="es-ES"/>
        </w:rPr>
        <w:t xml:space="preserve">Valores de </w:t>
      </w:r>
      <w:r w:rsidRPr="00BD6D04">
        <w:rPr>
          <w:i/>
          <w:lang w:val="es-ES" w:eastAsia="es-ES"/>
        </w:rPr>
        <w:t>p</w:t>
      </w:r>
      <w:r w:rsidRPr="00BD6D04">
        <w:rPr>
          <w:lang w:val="es-ES" w:eastAsia="es-ES"/>
        </w:rPr>
        <w:t xml:space="preserve"> de las comparaciones entre pares de variedades e información sobre la distinción mediante la prueba ji cuadrado y el método COYD para caracteres ordinales</w:t>
      </w:r>
      <w:r w:rsidR="00D83A6F" w:rsidRPr="00BD6D04">
        <w:rPr>
          <w:rFonts w:ascii="Calibri" w:hAnsi="Calibri" w:cs="Calibri"/>
          <w:bCs/>
          <w:lang w:val="es-ES" w:eastAsia="fi-FI"/>
        </w:rPr>
        <w:t>.</w:t>
      </w:r>
    </w:p>
    <w:p w:rsidR="00D83A6F" w:rsidRPr="00BD6D04" w:rsidRDefault="00D83A6F" w:rsidP="00D83A6F">
      <w:pPr>
        <w:autoSpaceDE w:val="0"/>
        <w:autoSpaceDN w:val="0"/>
        <w:adjustRightInd w:val="0"/>
        <w:rPr>
          <w:rFonts w:cs="Arial"/>
          <w:lang w:val="es-ES"/>
        </w:rPr>
      </w:pPr>
    </w:p>
    <w:tbl>
      <w:tblPr>
        <w:tblW w:w="10078" w:type="dxa"/>
        <w:tblInd w:w="55" w:type="dxa"/>
        <w:tblCellMar>
          <w:left w:w="70" w:type="dxa"/>
          <w:right w:w="70" w:type="dxa"/>
        </w:tblCellMar>
        <w:tblLook w:val="04A0" w:firstRow="1" w:lastRow="0" w:firstColumn="1" w:lastColumn="0" w:noHBand="0" w:noVBand="1"/>
      </w:tblPr>
      <w:tblGrid>
        <w:gridCol w:w="871"/>
        <w:gridCol w:w="830"/>
        <w:gridCol w:w="857"/>
        <w:gridCol w:w="820"/>
        <w:gridCol w:w="1000"/>
        <w:gridCol w:w="1020"/>
        <w:gridCol w:w="1055"/>
        <w:gridCol w:w="785"/>
        <w:gridCol w:w="920"/>
        <w:gridCol w:w="960"/>
        <w:gridCol w:w="960"/>
      </w:tblGrid>
      <w:tr w:rsidR="00BD6D04" w:rsidRPr="001D3AA0" w:rsidTr="00AB1E77">
        <w:trPr>
          <w:trHeight w:val="300"/>
        </w:trPr>
        <w:tc>
          <w:tcPr>
            <w:tcW w:w="871" w:type="dxa"/>
            <w:vMerge w:val="restart"/>
            <w:tcBorders>
              <w:top w:val="single" w:sz="8" w:space="0" w:color="auto"/>
              <w:left w:val="single" w:sz="8" w:space="0" w:color="auto"/>
              <w:bottom w:val="single" w:sz="8" w:space="0" w:color="000000"/>
              <w:right w:val="single" w:sz="8" w:space="0" w:color="auto"/>
            </w:tcBorders>
            <w:vAlign w:val="bottom"/>
            <w:hideMark/>
          </w:tcPr>
          <w:p w:rsidR="00AB1E77" w:rsidRPr="00BD6D04" w:rsidRDefault="00AB1E77" w:rsidP="000A3EDF">
            <w:pPr>
              <w:rPr>
                <w:rFonts w:ascii="Calibri" w:hAnsi="Calibri" w:cs="Calibri"/>
                <w:sz w:val="22"/>
                <w:szCs w:val="22"/>
                <w:lang w:val="es-ES_tradnl"/>
              </w:rPr>
            </w:pPr>
            <w:r w:rsidRPr="00BD6D04">
              <w:rPr>
                <w:rFonts w:ascii="Calibri" w:hAnsi="Calibri"/>
                <w:lang w:val="es-ES_tradnl"/>
              </w:rPr>
              <w:t>Variedad de ref.</w:t>
            </w:r>
          </w:p>
        </w:tc>
        <w:tc>
          <w:tcPr>
            <w:tcW w:w="1687" w:type="dxa"/>
            <w:gridSpan w:val="2"/>
            <w:tcBorders>
              <w:top w:val="single" w:sz="8" w:space="0" w:color="auto"/>
              <w:left w:val="nil"/>
              <w:bottom w:val="nil"/>
              <w:right w:val="nil"/>
            </w:tcBorders>
            <w:noWrap/>
            <w:vAlign w:val="bottom"/>
            <w:hideMark/>
          </w:tcPr>
          <w:p w:rsidR="00AB1E77" w:rsidRPr="00BD6D04" w:rsidRDefault="00AB1E77" w:rsidP="000A3EDF">
            <w:pPr>
              <w:rPr>
                <w:rFonts w:cs="Arial"/>
                <w:b/>
                <w:bCs/>
                <w:lang w:val="es-ES_tradnl"/>
              </w:rPr>
            </w:pPr>
            <w:r w:rsidRPr="00BD6D04">
              <w:rPr>
                <w:b/>
                <w:lang w:val="es-ES_tradnl"/>
              </w:rPr>
              <w:t>VAR. CANDIDATA A</w:t>
            </w:r>
          </w:p>
        </w:tc>
        <w:tc>
          <w:tcPr>
            <w:tcW w:w="820" w:type="dxa"/>
            <w:tcBorders>
              <w:top w:val="single" w:sz="8" w:space="0" w:color="auto"/>
              <w:left w:val="nil"/>
              <w:bottom w:val="nil"/>
              <w:right w:val="nil"/>
            </w:tcBorders>
            <w:noWrap/>
            <w:vAlign w:val="bottom"/>
            <w:hideMark/>
          </w:tcPr>
          <w:p w:rsidR="00AB1E77" w:rsidRPr="00BD6D04" w:rsidRDefault="00AB1E77" w:rsidP="000A3EDF">
            <w:pPr>
              <w:rPr>
                <w:rFonts w:ascii="Calibri" w:hAnsi="Calibri" w:cs="Calibri"/>
                <w:sz w:val="22"/>
                <w:szCs w:val="22"/>
                <w:lang w:val="es-ES_tradnl"/>
              </w:rPr>
            </w:pPr>
            <w:r w:rsidRPr="00BD6D04">
              <w:rPr>
                <w:rFonts w:ascii="Calibri" w:hAnsi="Calibri"/>
                <w:lang w:val="es-ES_tradnl"/>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AB1E77" w:rsidRPr="00BD6D04" w:rsidRDefault="00AB1E77" w:rsidP="000A3EDF">
            <w:pPr>
              <w:rPr>
                <w:rFonts w:ascii="Calibri" w:hAnsi="Calibri" w:cs="Calibri"/>
                <w:b/>
                <w:bCs/>
                <w:sz w:val="22"/>
                <w:szCs w:val="22"/>
                <w:lang w:val="es-ES_tradnl"/>
              </w:rPr>
            </w:pPr>
            <w:r w:rsidRPr="00BD6D04">
              <w:rPr>
                <w:rFonts w:ascii="Calibri" w:hAnsi="Calibri"/>
                <w:b/>
                <w:lang w:val="es-ES_tradnl"/>
              </w:rPr>
              <w:t>Distinta por la prueba ji cuadrado</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AB1E77" w:rsidRPr="00BD6D04" w:rsidRDefault="00AB1E77" w:rsidP="000A3EDF">
            <w:pPr>
              <w:rPr>
                <w:rFonts w:ascii="Calibri" w:hAnsi="Calibri" w:cs="Calibri"/>
                <w:b/>
                <w:bCs/>
                <w:sz w:val="22"/>
                <w:szCs w:val="22"/>
                <w:lang w:val="es-ES_tradnl"/>
              </w:rPr>
            </w:pPr>
            <w:r w:rsidRPr="00BD6D04">
              <w:rPr>
                <w:rFonts w:ascii="Calibri" w:hAnsi="Calibri"/>
                <w:b/>
                <w:lang w:val="es-ES_tradnl"/>
              </w:rPr>
              <w:t>Distinta por el método COYD</w:t>
            </w:r>
          </w:p>
        </w:tc>
        <w:tc>
          <w:tcPr>
            <w:tcW w:w="1840" w:type="dxa"/>
            <w:gridSpan w:val="2"/>
            <w:tcBorders>
              <w:top w:val="single" w:sz="8" w:space="0" w:color="auto"/>
              <w:left w:val="single" w:sz="8" w:space="0" w:color="auto"/>
              <w:bottom w:val="nil"/>
              <w:right w:val="nil"/>
            </w:tcBorders>
            <w:noWrap/>
            <w:vAlign w:val="bottom"/>
            <w:hideMark/>
          </w:tcPr>
          <w:p w:rsidR="00AB1E77" w:rsidRPr="00BD6D04" w:rsidRDefault="00AB1E77" w:rsidP="000A3EDF">
            <w:pPr>
              <w:rPr>
                <w:rFonts w:cs="Arial"/>
                <w:b/>
                <w:bCs/>
                <w:lang w:val="es-ES_tradnl"/>
              </w:rPr>
            </w:pPr>
            <w:r w:rsidRPr="00BD6D04">
              <w:rPr>
                <w:b/>
                <w:lang w:val="es-ES_tradnl"/>
              </w:rPr>
              <w:t>VAR. CANDIDATA B</w:t>
            </w:r>
          </w:p>
        </w:tc>
        <w:tc>
          <w:tcPr>
            <w:tcW w:w="920" w:type="dxa"/>
            <w:tcBorders>
              <w:top w:val="single" w:sz="8" w:space="0" w:color="auto"/>
              <w:left w:val="nil"/>
              <w:bottom w:val="nil"/>
              <w:right w:val="single" w:sz="8" w:space="0" w:color="auto"/>
            </w:tcBorders>
            <w:noWrap/>
            <w:vAlign w:val="bottom"/>
            <w:hideMark/>
          </w:tcPr>
          <w:p w:rsidR="00AB1E77" w:rsidRPr="00BD6D04" w:rsidRDefault="00AB1E77" w:rsidP="000A3EDF">
            <w:pPr>
              <w:rPr>
                <w:rFonts w:ascii="Calibri" w:hAnsi="Calibri" w:cs="Calibri"/>
                <w:sz w:val="22"/>
                <w:szCs w:val="22"/>
                <w:lang w:val="es-ES_tradnl"/>
              </w:rPr>
            </w:pPr>
            <w:r w:rsidRPr="00BD6D04">
              <w:rPr>
                <w:rFonts w:ascii="Calibri" w:hAnsi="Calibri"/>
                <w:lang w:val="es-ES_tradnl"/>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AB1E77" w:rsidRPr="00BD6D04" w:rsidRDefault="00AB1E77" w:rsidP="000A3EDF">
            <w:pPr>
              <w:rPr>
                <w:rFonts w:ascii="Calibri" w:hAnsi="Calibri" w:cs="Calibri"/>
                <w:b/>
                <w:bCs/>
                <w:sz w:val="22"/>
                <w:szCs w:val="22"/>
                <w:lang w:val="es-ES_tradnl"/>
              </w:rPr>
            </w:pPr>
            <w:r w:rsidRPr="00BD6D04">
              <w:rPr>
                <w:rFonts w:ascii="Calibri" w:hAnsi="Calibri"/>
                <w:b/>
                <w:lang w:val="es-ES_tradnl"/>
              </w:rPr>
              <w:t>Distinta por la prueba ji cuadrado</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AB1E77" w:rsidRPr="00BD6D04" w:rsidRDefault="00AB1E77" w:rsidP="000A3EDF">
            <w:pPr>
              <w:rPr>
                <w:rFonts w:ascii="Calibri" w:hAnsi="Calibri" w:cs="Calibri"/>
                <w:b/>
                <w:bCs/>
                <w:sz w:val="22"/>
                <w:szCs w:val="22"/>
                <w:lang w:val="es-ES_tradnl"/>
              </w:rPr>
            </w:pPr>
            <w:r w:rsidRPr="00BD6D04">
              <w:rPr>
                <w:rFonts w:ascii="Calibri" w:hAnsi="Calibri"/>
                <w:b/>
                <w:lang w:val="es-ES_tradnl"/>
              </w:rPr>
              <w:t>Distinta por el método COYD</w:t>
            </w:r>
          </w:p>
        </w:tc>
      </w:tr>
      <w:tr w:rsidR="00BD6D04" w:rsidRPr="00BD6D04" w:rsidTr="00AB1E77">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83A6F" w:rsidRPr="00BD6D04" w:rsidRDefault="00D83A6F" w:rsidP="00281A7E">
            <w:pPr>
              <w:rPr>
                <w:rFonts w:ascii="Calibri" w:hAnsi="Calibri" w:cs="Calibri"/>
                <w:sz w:val="22"/>
                <w:szCs w:val="22"/>
                <w:lang w:val="fi-FI" w:eastAsia="fi-FI"/>
              </w:rPr>
            </w:pPr>
          </w:p>
        </w:tc>
        <w:tc>
          <w:tcPr>
            <w:tcW w:w="830" w:type="dxa"/>
            <w:tcBorders>
              <w:top w:val="single" w:sz="4" w:space="0" w:color="auto"/>
              <w:left w:val="nil"/>
              <w:bottom w:val="single" w:sz="8" w:space="0" w:color="auto"/>
              <w:right w:val="single" w:sz="4" w:space="0" w:color="auto"/>
            </w:tcBorders>
            <w:noWrap/>
            <w:vAlign w:val="bottom"/>
            <w:hideMark/>
          </w:tcPr>
          <w:p w:rsidR="00D83A6F" w:rsidRPr="00BD6D04" w:rsidRDefault="00D83A6F" w:rsidP="00281A7E">
            <w:pPr>
              <w:jc w:val="center"/>
              <w:rPr>
                <w:rFonts w:ascii="Calibri" w:hAnsi="Calibri" w:cs="Calibri"/>
                <w:b/>
                <w:bCs/>
                <w:sz w:val="22"/>
                <w:szCs w:val="22"/>
                <w:lang w:val="fi-FI" w:eastAsia="fi-FI"/>
              </w:rPr>
            </w:pPr>
            <w:r w:rsidRPr="00BD6D04">
              <w:rPr>
                <w:rFonts w:ascii="Calibri" w:hAnsi="Calibri" w:cs="Calibri"/>
                <w:b/>
                <w:bCs/>
                <w:lang w:eastAsia="fi-FI"/>
              </w:rPr>
              <w:t>2010</w:t>
            </w:r>
          </w:p>
        </w:tc>
        <w:tc>
          <w:tcPr>
            <w:tcW w:w="857" w:type="dxa"/>
            <w:tcBorders>
              <w:top w:val="single" w:sz="4" w:space="0" w:color="auto"/>
              <w:left w:val="nil"/>
              <w:bottom w:val="single" w:sz="8" w:space="0" w:color="auto"/>
              <w:right w:val="single" w:sz="4" w:space="0" w:color="auto"/>
            </w:tcBorders>
            <w:noWrap/>
            <w:vAlign w:val="bottom"/>
            <w:hideMark/>
          </w:tcPr>
          <w:p w:rsidR="00D83A6F" w:rsidRPr="00BD6D04" w:rsidRDefault="00D83A6F" w:rsidP="00281A7E">
            <w:pPr>
              <w:jc w:val="center"/>
              <w:rPr>
                <w:rFonts w:ascii="Calibri" w:hAnsi="Calibri" w:cs="Calibri"/>
                <w:b/>
                <w:bCs/>
                <w:sz w:val="22"/>
                <w:szCs w:val="22"/>
                <w:lang w:val="fi-FI" w:eastAsia="fi-FI"/>
              </w:rPr>
            </w:pPr>
            <w:r w:rsidRPr="00BD6D04">
              <w:rPr>
                <w:rFonts w:ascii="Calibri" w:hAnsi="Calibri" w:cs="Calibri"/>
                <w:b/>
                <w:bCs/>
                <w:lang w:eastAsia="fi-FI"/>
              </w:rPr>
              <w:t>2011</w:t>
            </w:r>
          </w:p>
        </w:tc>
        <w:tc>
          <w:tcPr>
            <w:tcW w:w="820" w:type="dxa"/>
            <w:tcBorders>
              <w:top w:val="single" w:sz="4" w:space="0" w:color="auto"/>
              <w:left w:val="nil"/>
              <w:bottom w:val="single" w:sz="8" w:space="0" w:color="auto"/>
              <w:right w:val="nil"/>
            </w:tcBorders>
            <w:noWrap/>
            <w:vAlign w:val="bottom"/>
            <w:hideMark/>
          </w:tcPr>
          <w:p w:rsidR="00D83A6F" w:rsidRPr="00BD6D04" w:rsidRDefault="00D83A6F" w:rsidP="00281A7E">
            <w:pPr>
              <w:jc w:val="center"/>
              <w:rPr>
                <w:rFonts w:ascii="Calibri" w:hAnsi="Calibri" w:cs="Calibri"/>
                <w:b/>
                <w:bCs/>
                <w:sz w:val="22"/>
                <w:szCs w:val="22"/>
                <w:lang w:val="fi-FI" w:eastAsia="fi-FI"/>
              </w:rPr>
            </w:pPr>
            <w:r w:rsidRPr="00BD6D04">
              <w:rPr>
                <w:rFonts w:ascii="Calibri" w:hAnsi="Calibri" w:cs="Calibri"/>
                <w:b/>
                <w:bCs/>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83A6F" w:rsidRPr="00BD6D04" w:rsidRDefault="00D83A6F" w:rsidP="00281A7E">
            <w:pPr>
              <w:rPr>
                <w:rFonts w:ascii="Calibri" w:hAnsi="Calibri" w:cs="Calibri"/>
                <w:b/>
                <w:bCs/>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83A6F" w:rsidRPr="00BD6D04" w:rsidRDefault="00D83A6F" w:rsidP="00281A7E">
            <w:pPr>
              <w:rPr>
                <w:rFonts w:ascii="Calibri" w:hAnsi="Calibri" w:cs="Calibri"/>
                <w:b/>
                <w:bCs/>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D83A6F" w:rsidRPr="00BD6D04" w:rsidRDefault="00D83A6F" w:rsidP="00281A7E">
            <w:pPr>
              <w:jc w:val="center"/>
              <w:rPr>
                <w:rFonts w:ascii="Calibri" w:hAnsi="Calibri" w:cs="Calibri"/>
                <w:b/>
                <w:bCs/>
                <w:sz w:val="22"/>
                <w:szCs w:val="22"/>
                <w:lang w:val="fi-FI" w:eastAsia="fi-FI"/>
              </w:rPr>
            </w:pPr>
            <w:r w:rsidRPr="00BD6D04">
              <w:rPr>
                <w:rFonts w:ascii="Calibri" w:hAnsi="Calibri" w:cs="Calibri"/>
                <w:b/>
                <w:bCs/>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D83A6F" w:rsidRPr="00BD6D04" w:rsidRDefault="00D83A6F" w:rsidP="00281A7E">
            <w:pPr>
              <w:jc w:val="center"/>
              <w:rPr>
                <w:rFonts w:ascii="Calibri" w:hAnsi="Calibri" w:cs="Calibri"/>
                <w:b/>
                <w:bCs/>
                <w:sz w:val="22"/>
                <w:szCs w:val="22"/>
                <w:lang w:val="fi-FI" w:eastAsia="fi-FI"/>
              </w:rPr>
            </w:pPr>
            <w:r w:rsidRPr="00BD6D04">
              <w:rPr>
                <w:rFonts w:ascii="Calibri" w:hAnsi="Calibri" w:cs="Calibri"/>
                <w:b/>
                <w:bCs/>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D83A6F" w:rsidRPr="00BD6D04" w:rsidRDefault="00D83A6F" w:rsidP="00281A7E">
            <w:pPr>
              <w:jc w:val="center"/>
              <w:rPr>
                <w:rFonts w:ascii="Calibri" w:hAnsi="Calibri" w:cs="Calibri"/>
                <w:b/>
                <w:bCs/>
                <w:sz w:val="22"/>
                <w:szCs w:val="22"/>
                <w:lang w:val="fi-FI" w:eastAsia="fi-FI"/>
              </w:rPr>
            </w:pPr>
            <w:r w:rsidRPr="00BD6D04">
              <w:rPr>
                <w:rFonts w:ascii="Calibri" w:hAnsi="Calibri" w:cs="Calibri"/>
                <w:b/>
                <w:bCs/>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83A6F" w:rsidRPr="00BD6D04" w:rsidRDefault="00D83A6F" w:rsidP="00281A7E">
            <w:pPr>
              <w:rPr>
                <w:rFonts w:ascii="Calibri" w:hAnsi="Calibri" w:cs="Calibri"/>
                <w:b/>
                <w:bCs/>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83A6F" w:rsidRPr="00BD6D04" w:rsidRDefault="00D83A6F" w:rsidP="00281A7E">
            <w:pPr>
              <w:rPr>
                <w:rFonts w:ascii="Calibri" w:hAnsi="Calibri" w:cs="Calibri"/>
                <w:b/>
                <w:bCs/>
                <w:sz w:val="22"/>
                <w:szCs w:val="22"/>
                <w:lang w:val="fi-FI" w:eastAsia="fi-FI"/>
              </w:rPr>
            </w:pPr>
          </w:p>
        </w:tc>
      </w:tr>
      <w:tr w:rsidR="00BD6D04" w:rsidRPr="00BD6D04" w:rsidTr="00AB1E77">
        <w:trPr>
          <w:trHeight w:val="300"/>
        </w:trPr>
        <w:tc>
          <w:tcPr>
            <w:tcW w:w="871" w:type="dxa"/>
            <w:tcBorders>
              <w:top w:val="nil"/>
              <w:left w:val="single" w:sz="8" w:space="0" w:color="auto"/>
              <w:bottom w:val="nil"/>
              <w:right w:val="single" w:sz="8" w:space="0" w:color="auto"/>
            </w:tcBorders>
            <w:noWrap/>
            <w:vAlign w:val="bottom"/>
            <w:hideMark/>
          </w:tcPr>
          <w:p w:rsidR="00D83A6F" w:rsidRPr="00BD6D04" w:rsidRDefault="008F2BAC" w:rsidP="00281A7E">
            <w:pPr>
              <w:jc w:val="center"/>
              <w:rPr>
                <w:rFonts w:ascii="Calibri" w:hAnsi="Calibri" w:cs="Calibri"/>
                <w:sz w:val="22"/>
                <w:szCs w:val="22"/>
                <w:lang w:val="fi-FI" w:eastAsia="fi-FI"/>
              </w:rPr>
            </w:pPr>
            <w:proofErr w:type="spellStart"/>
            <w:r w:rsidRPr="00BD6D04">
              <w:rPr>
                <w:rFonts w:ascii="Calibri" w:hAnsi="Calibri" w:cs="Calibri"/>
                <w:lang w:eastAsia="fi-FI"/>
              </w:rPr>
              <w:t>C</w:t>
            </w:r>
            <w:r w:rsidR="00D83A6F" w:rsidRPr="00BD6D04">
              <w:rPr>
                <w:rFonts w:ascii="Calibri" w:hAnsi="Calibri" w:cs="Calibri"/>
                <w:lang w:eastAsia="fi-FI"/>
              </w:rPr>
              <w:t>and</w:t>
            </w:r>
            <w:proofErr w:type="spellEnd"/>
            <w:r w:rsidR="00806E72" w:rsidRPr="00BD6D04">
              <w:rPr>
                <w:rFonts w:ascii="Calibri" w:hAnsi="Calibri" w:cs="Calibri"/>
                <w:lang w:eastAsia="fi-FI"/>
              </w:rPr>
              <w:t>.</w:t>
            </w:r>
            <w:r w:rsidR="00D83A6F" w:rsidRPr="00BD6D04">
              <w:rPr>
                <w:rFonts w:ascii="Calibri" w:hAnsi="Calibri" w:cs="Calibri"/>
                <w:lang w:eastAsia="fi-FI"/>
              </w:rPr>
              <w:t xml:space="preserve"> A</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 xml:space="preserve"> - </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 xml:space="preserve"> - </w:t>
            </w:r>
          </w:p>
        </w:tc>
        <w:tc>
          <w:tcPr>
            <w:tcW w:w="820" w:type="dxa"/>
            <w:tcBorders>
              <w:top w:val="nil"/>
              <w:left w:val="nil"/>
              <w:bottom w:val="single" w:sz="4" w:space="0" w:color="auto"/>
              <w:right w:val="nil"/>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 xml:space="preserve"> - </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0,02(*</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0,38</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0,31</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00"/>
        </w:trPr>
        <w:tc>
          <w:tcPr>
            <w:tcW w:w="871" w:type="dxa"/>
            <w:tcBorders>
              <w:top w:val="nil"/>
              <w:left w:val="single" w:sz="8" w:space="0" w:color="auto"/>
              <w:bottom w:val="nil"/>
              <w:right w:val="single" w:sz="8" w:space="0" w:color="auto"/>
            </w:tcBorders>
            <w:noWrap/>
            <w:vAlign w:val="bottom"/>
            <w:hideMark/>
          </w:tcPr>
          <w:p w:rsidR="00D83A6F" w:rsidRPr="00BD6D04" w:rsidRDefault="008F2BAC" w:rsidP="00281A7E">
            <w:pPr>
              <w:jc w:val="center"/>
              <w:rPr>
                <w:rFonts w:ascii="Calibri" w:hAnsi="Calibri" w:cs="Calibri"/>
                <w:sz w:val="22"/>
                <w:szCs w:val="22"/>
                <w:lang w:val="fi-FI" w:eastAsia="fi-FI"/>
              </w:rPr>
            </w:pPr>
            <w:proofErr w:type="spellStart"/>
            <w:r w:rsidRPr="00BD6D04">
              <w:rPr>
                <w:rFonts w:ascii="Calibri" w:hAnsi="Calibri" w:cs="Calibri"/>
                <w:lang w:eastAsia="fi-FI"/>
              </w:rPr>
              <w:t>C</w:t>
            </w:r>
            <w:r w:rsidR="00D83A6F" w:rsidRPr="00BD6D04">
              <w:rPr>
                <w:rFonts w:ascii="Calibri" w:hAnsi="Calibri" w:cs="Calibri"/>
                <w:lang w:eastAsia="fi-FI"/>
              </w:rPr>
              <w:t>and</w:t>
            </w:r>
            <w:proofErr w:type="spellEnd"/>
            <w:r w:rsidR="00806E72" w:rsidRPr="00BD6D04">
              <w:rPr>
                <w:rFonts w:ascii="Calibri" w:hAnsi="Calibri" w:cs="Calibri"/>
                <w:lang w:eastAsia="fi-FI"/>
              </w:rPr>
              <w:t>.</w:t>
            </w:r>
            <w:r w:rsidR="00D83A6F" w:rsidRPr="00BD6D04">
              <w:rPr>
                <w:rFonts w:ascii="Calibri" w:hAnsi="Calibri" w:cs="Calibri"/>
                <w:lang w:eastAsia="fi-FI"/>
              </w:rPr>
              <w:t xml:space="preserve"> B</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0,02(*</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0,53</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0,31</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 xml:space="preserve"> - </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 xml:space="preserve"> - </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 xml:space="preserve"> - </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0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C</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0,68</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0,16</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0,86</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0,31</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0,12</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0,67</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281A7E" w:rsidP="00806E72">
            <w:pPr>
              <w:jc w:val="center"/>
              <w:rPr>
                <w:rFonts w:ascii="Calibri" w:hAnsi="Calibri" w:cs="Calibri"/>
                <w:sz w:val="22"/>
                <w:szCs w:val="22"/>
                <w:lang w:val="fi-FI" w:eastAsia="fi-FI"/>
              </w:rPr>
            </w:pPr>
            <w:r w:rsidRPr="00BD6D04">
              <w:rPr>
                <w:rFonts w:ascii="Calibri" w:hAnsi="Calibri" w:cs="Calibri"/>
                <w:sz w:val="22"/>
                <w:szCs w:val="22"/>
                <w:lang w:val="es-ES_tradnl" w:eastAsia="fi-FI"/>
              </w:rPr>
              <w:t>D</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0,24</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0,04(*</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0,06</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0,25</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0,74</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0,88</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E</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0,003</w:t>
            </w:r>
          </w:p>
        </w:tc>
        <w:tc>
          <w:tcPr>
            <w:tcW w:w="857"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0,07</w:t>
            </w:r>
          </w:p>
        </w:tc>
        <w:tc>
          <w:tcPr>
            <w:tcW w:w="820" w:type="dxa"/>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0,07</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0,0003</w:t>
            </w:r>
          </w:p>
        </w:tc>
        <w:tc>
          <w:tcPr>
            <w:tcW w:w="785" w:type="dxa"/>
            <w:tcBorders>
              <w:top w:val="nil"/>
              <w:left w:val="single" w:sz="4" w:space="0" w:color="auto"/>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0,46</w:t>
            </w:r>
          </w:p>
        </w:tc>
        <w:tc>
          <w:tcPr>
            <w:tcW w:w="920" w:type="dxa"/>
            <w:tcBorders>
              <w:top w:val="nil"/>
              <w:left w:val="nil"/>
              <w:bottom w:val="nil"/>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0,09</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F</w:t>
            </w:r>
          </w:p>
        </w:tc>
        <w:tc>
          <w:tcPr>
            <w:tcW w:w="83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0,04(*</w:t>
            </w:r>
          </w:p>
        </w:tc>
        <w:tc>
          <w:tcPr>
            <w:tcW w:w="857"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20" w:type="dxa"/>
            <w:tcBorders>
              <w:top w:val="nil"/>
              <w:left w:val="nil"/>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960" w:type="dxa"/>
            <w:tcBorders>
              <w:top w:val="nil"/>
              <w:left w:val="nil"/>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281A7E" w:rsidP="00806E72">
            <w:pPr>
              <w:jc w:val="center"/>
              <w:rPr>
                <w:rFonts w:ascii="Calibri" w:hAnsi="Calibri" w:cs="Calibri"/>
                <w:sz w:val="22"/>
                <w:szCs w:val="22"/>
                <w:lang w:val="fi-FI" w:eastAsia="fi-FI"/>
              </w:rPr>
            </w:pPr>
            <w:r w:rsidRPr="00BD6D04">
              <w:rPr>
                <w:rFonts w:ascii="Calibri" w:hAnsi="Calibri" w:cs="Calibri"/>
                <w:sz w:val="22"/>
                <w:szCs w:val="22"/>
                <w:lang w:val="es-ES_tradnl" w:eastAsia="fi-FI"/>
              </w:rPr>
              <w:t>G</w:t>
            </w:r>
          </w:p>
        </w:tc>
        <w:tc>
          <w:tcPr>
            <w:tcW w:w="830"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0,01</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0,64</w:t>
            </w:r>
          </w:p>
        </w:tc>
        <w:tc>
          <w:tcPr>
            <w:tcW w:w="820" w:type="dxa"/>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0,06</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0,14</w:t>
            </w:r>
          </w:p>
        </w:tc>
        <w:tc>
          <w:tcPr>
            <w:tcW w:w="785"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0,02</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H</w:t>
            </w:r>
          </w:p>
        </w:tc>
        <w:tc>
          <w:tcPr>
            <w:tcW w:w="830" w:type="dxa"/>
            <w:tcBorders>
              <w:top w:val="single" w:sz="8" w:space="0" w:color="auto"/>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0,00002</w:t>
            </w:r>
          </w:p>
        </w:tc>
        <w:tc>
          <w:tcPr>
            <w:tcW w:w="857"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20" w:type="dxa"/>
            <w:tcBorders>
              <w:top w:val="nil"/>
              <w:left w:val="nil"/>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0,0006(*</w:t>
            </w:r>
          </w:p>
        </w:tc>
        <w:tc>
          <w:tcPr>
            <w:tcW w:w="785"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0,01</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I</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0,40</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0,77</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0,85</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0,33</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0,66</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J</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0,34</w:t>
            </w:r>
          </w:p>
        </w:tc>
        <w:tc>
          <w:tcPr>
            <w:tcW w:w="857"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0,21</w:t>
            </w:r>
          </w:p>
        </w:tc>
        <w:tc>
          <w:tcPr>
            <w:tcW w:w="820" w:type="dxa"/>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0,16</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0,17</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0,68</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806E72">
            <w:pPr>
              <w:jc w:val="center"/>
              <w:rPr>
                <w:rFonts w:ascii="Calibri" w:hAnsi="Calibri" w:cs="Calibri"/>
                <w:sz w:val="22"/>
                <w:szCs w:val="22"/>
                <w:lang w:val="fi-FI" w:eastAsia="fi-FI"/>
              </w:rPr>
            </w:pPr>
            <w:r w:rsidRPr="00BD6D04">
              <w:rPr>
                <w:rFonts w:ascii="Calibri" w:hAnsi="Calibri" w:cs="Calibri"/>
                <w:sz w:val="22"/>
                <w:szCs w:val="22"/>
                <w:lang w:val="es-ES_tradnl" w:eastAsia="fi-FI"/>
              </w:rPr>
              <w:t>K</w:t>
            </w:r>
          </w:p>
        </w:tc>
        <w:tc>
          <w:tcPr>
            <w:tcW w:w="83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0,13</w:t>
            </w:r>
          </w:p>
        </w:tc>
        <w:tc>
          <w:tcPr>
            <w:tcW w:w="857"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20" w:type="dxa"/>
            <w:tcBorders>
              <w:top w:val="nil"/>
              <w:left w:val="nil"/>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0,43</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0,09</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0,07</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0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L</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0,14</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0,40</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0,27</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0,15</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0,76</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0,65</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281A7E" w:rsidP="00806E72">
            <w:pPr>
              <w:jc w:val="center"/>
              <w:rPr>
                <w:rFonts w:ascii="Calibri" w:hAnsi="Calibri" w:cs="Calibri"/>
                <w:sz w:val="22"/>
                <w:szCs w:val="22"/>
                <w:lang w:val="fi-FI" w:eastAsia="fi-FI"/>
              </w:rPr>
            </w:pPr>
            <w:r w:rsidRPr="00BD6D04">
              <w:rPr>
                <w:rFonts w:ascii="Calibri" w:hAnsi="Calibri" w:cs="Calibri"/>
                <w:sz w:val="22"/>
                <w:szCs w:val="22"/>
                <w:lang w:val="es-ES_tradnl" w:eastAsia="fi-FI"/>
              </w:rPr>
              <w:t>M</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0,18</w:t>
            </w:r>
          </w:p>
        </w:tc>
        <w:tc>
          <w:tcPr>
            <w:tcW w:w="857"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0,33</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0,21</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0,39</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0,07</w:t>
            </w:r>
          </w:p>
        </w:tc>
        <w:tc>
          <w:tcPr>
            <w:tcW w:w="920" w:type="dxa"/>
            <w:tcBorders>
              <w:top w:val="nil"/>
              <w:left w:val="nil"/>
              <w:bottom w:val="nil"/>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0,95</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N</w:t>
            </w:r>
          </w:p>
        </w:tc>
        <w:tc>
          <w:tcPr>
            <w:tcW w:w="83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0,09</w:t>
            </w:r>
          </w:p>
        </w:tc>
        <w:tc>
          <w:tcPr>
            <w:tcW w:w="857" w:type="dxa"/>
            <w:tcBorders>
              <w:top w:val="single" w:sz="8" w:space="0" w:color="auto"/>
              <w:left w:val="single" w:sz="8" w:space="0" w:color="auto"/>
              <w:bottom w:val="single" w:sz="8"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0,0005</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0,07</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0,28</w:t>
            </w:r>
          </w:p>
        </w:tc>
        <w:tc>
          <w:tcPr>
            <w:tcW w:w="785"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0,03</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O</w:t>
            </w:r>
          </w:p>
        </w:tc>
        <w:tc>
          <w:tcPr>
            <w:tcW w:w="830" w:type="dxa"/>
            <w:tcBorders>
              <w:top w:val="nil"/>
              <w:left w:val="nil"/>
              <w:bottom w:val="single" w:sz="4" w:space="0" w:color="auto"/>
              <w:right w:val="single" w:sz="4" w:space="0" w:color="auto"/>
            </w:tcBorders>
            <w:noWrap/>
            <w:vAlign w:val="bottom"/>
            <w:hideMark/>
          </w:tcPr>
          <w:p w:rsidR="00D83A6F" w:rsidRPr="00BD6D04" w:rsidRDefault="00281A7E" w:rsidP="00281A7E">
            <w:pPr>
              <w:rPr>
                <w:rFonts w:ascii="Calibri" w:hAnsi="Calibri" w:cs="Calibri"/>
                <w:lang w:eastAsia="fi-FI"/>
              </w:rPr>
            </w:pPr>
            <w:r w:rsidRPr="00BD6D04">
              <w:rPr>
                <w:rFonts w:ascii="Calibri" w:hAnsi="Calibri" w:cs="Calibri"/>
                <w:lang w:eastAsia="fi-FI"/>
              </w:rPr>
              <w:t>0,007.D)</w:t>
            </w:r>
          </w:p>
        </w:tc>
        <w:tc>
          <w:tcPr>
            <w:tcW w:w="857"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lang w:eastAsia="fi-FI"/>
              </w:rPr>
            </w:pPr>
            <w:r w:rsidRPr="00BD6D04">
              <w:rPr>
                <w:rFonts w:ascii="Calibri" w:hAnsi="Calibri" w:cs="Calibri"/>
                <w:lang w:eastAsia="fi-FI"/>
              </w:rPr>
              <w:t>0,005(*</w:t>
            </w:r>
          </w:p>
        </w:tc>
        <w:tc>
          <w:tcPr>
            <w:tcW w:w="820" w:type="dxa"/>
            <w:noWrap/>
            <w:vAlign w:val="bottom"/>
            <w:hideMark/>
          </w:tcPr>
          <w:p w:rsidR="00D83A6F" w:rsidRPr="00BD6D04" w:rsidRDefault="00281A7E" w:rsidP="00281A7E">
            <w:pPr>
              <w:rPr>
                <w:rFonts w:ascii="Calibri" w:hAnsi="Calibri" w:cs="Calibri"/>
                <w:lang w:eastAsia="fi-FI"/>
              </w:rPr>
            </w:pPr>
            <w:r w:rsidRPr="00BD6D04">
              <w:rPr>
                <w:rFonts w:ascii="Calibri" w:hAnsi="Calibri" w:cs="Calibri"/>
                <w:lang w:eastAsia="fi-FI"/>
              </w:rPr>
              <w:t>0,02.D)</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0,65</w:t>
            </w:r>
          </w:p>
        </w:tc>
        <w:tc>
          <w:tcPr>
            <w:tcW w:w="920" w:type="dxa"/>
            <w:tcBorders>
              <w:top w:val="nil"/>
              <w:left w:val="nil"/>
              <w:bottom w:val="nil"/>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0,26</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P</w:t>
            </w:r>
          </w:p>
        </w:tc>
        <w:tc>
          <w:tcPr>
            <w:tcW w:w="83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0,001(*</w:t>
            </w:r>
          </w:p>
        </w:tc>
        <w:tc>
          <w:tcPr>
            <w:tcW w:w="857"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20" w:type="dxa"/>
            <w:tcBorders>
              <w:top w:val="nil"/>
              <w:left w:val="nil"/>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0,001</w:t>
            </w:r>
          </w:p>
        </w:tc>
        <w:tc>
          <w:tcPr>
            <w:tcW w:w="785" w:type="dxa"/>
            <w:tcBorders>
              <w:top w:val="nil"/>
              <w:left w:val="single" w:sz="4" w:space="0" w:color="auto"/>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960" w:type="dxa"/>
            <w:tcBorders>
              <w:top w:val="nil"/>
              <w:left w:val="nil"/>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Q</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0,01</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0,51</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0,15</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0,42</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0,48</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R</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0,26</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0,54</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0,08</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0,53</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0,42</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0,17</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S</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0,007(*</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0,15</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0,16</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0,24</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0,78</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806E72" w:rsidP="00281A7E">
            <w:pPr>
              <w:jc w:val="center"/>
              <w:rPr>
                <w:rFonts w:ascii="Calibri" w:hAnsi="Calibri" w:cs="Calibri"/>
                <w:sz w:val="22"/>
                <w:szCs w:val="22"/>
                <w:lang w:val="fi-FI" w:eastAsia="fi-FI"/>
              </w:rPr>
            </w:pPr>
            <w:r w:rsidRPr="00BD6D04">
              <w:rPr>
                <w:rFonts w:ascii="Calibri" w:hAnsi="Calibri" w:cs="Calibri"/>
                <w:lang w:val="es-ES_tradnl" w:eastAsia="fi-FI"/>
              </w:rPr>
              <w:t>T</w:t>
            </w:r>
            <w:r w:rsidR="00D83A6F" w:rsidRPr="00BD6D04">
              <w:rPr>
                <w:rFonts w:ascii="Calibri" w:hAnsi="Calibri" w:cs="Calibri"/>
                <w:lang w:eastAsia="fi-FI"/>
              </w:rPr>
              <w:t xml:space="preserve"> </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0,22</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0,001</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0,85</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0,46</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0,46</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0,69</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806E72">
            <w:pPr>
              <w:jc w:val="center"/>
              <w:rPr>
                <w:rFonts w:ascii="Calibri" w:hAnsi="Calibri" w:cs="Calibri"/>
                <w:sz w:val="22"/>
                <w:szCs w:val="22"/>
                <w:lang w:val="fi-FI" w:eastAsia="fi-FI"/>
              </w:rPr>
            </w:pPr>
            <w:r w:rsidRPr="00BD6D04">
              <w:rPr>
                <w:rFonts w:ascii="Calibri" w:hAnsi="Calibri" w:cs="Calibri"/>
                <w:sz w:val="22"/>
                <w:szCs w:val="22"/>
                <w:lang w:val="es-ES_tradnl" w:eastAsia="fi-FI"/>
              </w:rPr>
              <w:t>U</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0,0008</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0,01(*</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0,08</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0,58</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0,18</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V</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0,30</w:t>
            </w:r>
          </w:p>
        </w:tc>
        <w:tc>
          <w:tcPr>
            <w:tcW w:w="857"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0,004(*</w:t>
            </w:r>
          </w:p>
        </w:tc>
        <w:tc>
          <w:tcPr>
            <w:tcW w:w="820" w:type="dxa"/>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0,40</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0,66</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0,39</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0,06</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W</w:t>
            </w:r>
          </w:p>
        </w:tc>
        <w:tc>
          <w:tcPr>
            <w:tcW w:w="83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0,15</w:t>
            </w:r>
          </w:p>
        </w:tc>
        <w:tc>
          <w:tcPr>
            <w:tcW w:w="857"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20" w:type="dxa"/>
            <w:tcBorders>
              <w:top w:val="nil"/>
              <w:left w:val="nil"/>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0,24</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0,22</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0,13</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00"/>
        </w:trPr>
        <w:tc>
          <w:tcPr>
            <w:tcW w:w="871" w:type="dxa"/>
            <w:tcBorders>
              <w:top w:val="nil"/>
              <w:left w:val="single" w:sz="8" w:space="0" w:color="auto"/>
              <w:bottom w:val="nil"/>
              <w:right w:val="single" w:sz="8"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X</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0,02(*</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0,009 (*</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0,13</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0,01(*</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0,67</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0,45</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Y</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0,47</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0,35</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0,14</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0,20</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0,63</w:t>
            </w:r>
          </w:p>
        </w:tc>
        <w:tc>
          <w:tcPr>
            <w:tcW w:w="920" w:type="dxa"/>
            <w:tcBorders>
              <w:top w:val="nil"/>
              <w:left w:val="nil"/>
              <w:bottom w:val="nil"/>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0,82</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281A7E" w:rsidP="00281A7E">
            <w:pPr>
              <w:jc w:val="center"/>
              <w:rPr>
                <w:rFonts w:ascii="Calibri" w:hAnsi="Calibri" w:cs="Calibri"/>
                <w:sz w:val="22"/>
                <w:szCs w:val="22"/>
                <w:lang w:val="fi-FI" w:eastAsia="fi-FI"/>
              </w:rPr>
            </w:pPr>
            <w:r w:rsidRPr="00BD6D04">
              <w:rPr>
                <w:rFonts w:ascii="Calibri" w:hAnsi="Calibri" w:cs="Calibri"/>
                <w:sz w:val="22"/>
                <w:szCs w:val="22"/>
                <w:lang w:val="es-ES_tradnl" w:eastAsia="fi-FI"/>
              </w:rPr>
              <w:t>Z</w:t>
            </w:r>
          </w:p>
        </w:tc>
        <w:tc>
          <w:tcPr>
            <w:tcW w:w="830"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0,04(*</w:t>
            </w:r>
          </w:p>
        </w:tc>
        <w:tc>
          <w:tcPr>
            <w:tcW w:w="857"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0,02(*</w:t>
            </w:r>
          </w:p>
        </w:tc>
        <w:tc>
          <w:tcPr>
            <w:tcW w:w="820" w:type="dxa"/>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0,04</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0,01(*</w:t>
            </w:r>
          </w:p>
        </w:tc>
        <w:tc>
          <w:tcPr>
            <w:tcW w:w="785"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0,01</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1</w:t>
            </w:r>
          </w:p>
        </w:tc>
        <w:tc>
          <w:tcPr>
            <w:tcW w:w="830" w:type="dxa"/>
            <w:tcBorders>
              <w:top w:val="single" w:sz="8" w:space="0" w:color="auto"/>
              <w:left w:val="nil"/>
              <w:bottom w:val="single" w:sz="8" w:space="0" w:color="auto"/>
              <w:right w:val="single" w:sz="4" w:space="0" w:color="auto"/>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0,004</w:t>
            </w:r>
          </w:p>
        </w:tc>
        <w:tc>
          <w:tcPr>
            <w:tcW w:w="857" w:type="dxa"/>
            <w:tcBorders>
              <w:top w:val="single" w:sz="8" w:space="0" w:color="auto"/>
              <w:left w:val="nil"/>
              <w:bottom w:val="single" w:sz="8" w:space="0" w:color="auto"/>
              <w:right w:val="single" w:sz="4" w:space="0" w:color="auto"/>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83A6F" w:rsidRPr="00BD6D04" w:rsidRDefault="00D83A6F" w:rsidP="00281A7E">
            <w:pPr>
              <w:rPr>
                <w:rFonts w:ascii="Calibri" w:hAnsi="Calibri" w:cs="Calibri"/>
                <w:b/>
                <w:bCs/>
                <w:sz w:val="22"/>
                <w:szCs w:val="22"/>
                <w:lang w:val="fi-FI" w:eastAsia="fi-FI"/>
              </w:rPr>
            </w:pPr>
            <w:r w:rsidRPr="00BD6D04">
              <w:rPr>
                <w:rFonts w:ascii="Calibri" w:hAnsi="Calibri" w:cs="Calibri"/>
                <w:b/>
                <w:bCs/>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20" w:type="dxa"/>
            <w:tcBorders>
              <w:top w:val="nil"/>
              <w:left w:val="nil"/>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0,02</w:t>
            </w:r>
          </w:p>
        </w:tc>
        <w:tc>
          <w:tcPr>
            <w:tcW w:w="785" w:type="dxa"/>
            <w:tcBorders>
              <w:top w:val="nil"/>
              <w:left w:val="single" w:sz="4" w:space="0" w:color="auto"/>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15"/>
        </w:trPr>
        <w:tc>
          <w:tcPr>
            <w:tcW w:w="871" w:type="dxa"/>
            <w:tcBorders>
              <w:top w:val="nil"/>
              <w:left w:val="single" w:sz="8" w:space="0" w:color="auto"/>
              <w:bottom w:val="nil"/>
              <w:right w:val="single" w:sz="8"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2</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0,39</w:t>
            </w:r>
          </w:p>
        </w:tc>
        <w:tc>
          <w:tcPr>
            <w:tcW w:w="857"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0,15</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0,14</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0,39</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0,43</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0,22</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30"/>
        </w:trPr>
        <w:tc>
          <w:tcPr>
            <w:tcW w:w="871" w:type="dxa"/>
            <w:tcBorders>
              <w:top w:val="nil"/>
              <w:left w:val="single" w:sz="8" w:space="0" w:color="auto"/>
              <w:bottom w:val="nil"/>
              <w:right w:val="single" w:sz="8"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3</w:t>
            </w:r>
          </w:p>
        </w:tc>
        <w:tc>
          <w:tcPr>
            <w:tcW w:w="830"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0,32</w:t>
            </w:r>
          </w:p>
        </w:tc>
        <w:tc>
          <w:tcPr>
            <w:tcW w:w="857" w:type="dxa"/>
            <w:tcBorders>
              <w:top w:val="nil"/>
              <w:left w:val="nil"/>
              <w:bottom w:val="nil"/>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0,22</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0,10</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0,32</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0,72</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281A7E" w:rsidP="00281A7E">
            <w:pPr>
              <w:jc w:val="center"/>
              <w:rPr>
                <w:rFonts w:ascii="Calibri" w:hAnsi="Calibri" w:cs="Calibri"/>
                <w:b/>
                <w:bCs/>
                <w:sz w:val="24"/>
                <w:szCs w:val="24"/>
                <w:lang w:val="fi-FI" w:eastAsia="fi-FI"/>
              </w:rPr>
            </w:pPr>
            <w:r w:rsidRPr="00BD6D04">
              <w:rPr>
                <w:rFonts w:ascii="Calibri" w:hAnsi="Calibri" w:cs="Calibri"/>
                <w:b/>
                <w:bCs/>
                <w:sz w:val="24"/>
                <w:szCs w:val="24"/>
                <w:lang w:val="es-ES_tradnl" w:eastAsia="fi-FI"/>
              </w:rPr>
              <w:t>(D)</w:t>
            </w:r>
          </w:p>
        </w:tc>
      </w:tr>
      <w:tr w:rsidR="00BD6D04" w:rsidRPr="00BD6D04" w:rsidTr="00AB1E77">
        <w:trPr>
          <w:trHeight w:val="300"/>
        </w:trPr>
        <w:tc>
          <w:tcPr>
            <w:tcW w:w="871" w:type="dxa"/>
            <w:tcBorders>
              <w:top w:val="nil"/>
              <w:left w:val="single" w:sz="8" w:space="0" w:color="auto"/>
              <w:bottom w:val="nil"/>
              <w:right w:val="single" w:sz="8"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4</w:t>
            </w:r>
          </w:p>
        </w:tc>
        <w:tc>
          <w:tcPr>
            <w:tcW w:w="83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0,17</w:t>
            </w:r>
          </w:p>
        </w:tc>
        <w:tc>
          <w:tcPr>
            <w:tcW w:w="857" w:type="dxa"/>
            <w:tcBorders>
              <w:top w:val="single" w:sz="4" w:space="0" w:color="auto"/>
              <w:left w:val="single" w:sz="4" w:space="0" w:color="auto"/>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0,01</w:t>
            </w:r>
          </w:p>
        </w:tc>
        <w:tc>
          <w:tcPr>
            <w:tcW w:w="820" w:type="dxa"/>
            <w:tcBorders>
              <w:top w:val="nil"/>
              <w:left w:val="nil"/>
              <w:bottom w:val="single" w:sz="4"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0,09</w:t>
            </w:r>
          </w:p>
        </w:tc>
        <w:tc>
          <w:tcPr>
            <w:tcW w:w="100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0,13</w:t>
            </w:r>
          </w:p>
        </w:tc>
        <w:tc>
          <w:tcPr>
            <w:tcW w:w="785" w:type="dxa"/>
            <w:tcBorders>
              <w:top w:val="nil"/>
              <w:left w:val="nil"/>
              <w:bottom w:val="single" w:sz="4"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0,47</w:t>
            </w:r>
          </w:p>
        </w:tc>
        <w:tc>
          <w:tcPr>
            <w:tcW w:w="920" w:type="dxa"/>
            <w:tcBorders>
              <w:top w:val="nil"/>
              <w:left w:val="nil"/>
              <w:bottom w:val="single" w:sz="4"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0,46</w:t>
            </w:r>
          </w:p>
        </w:tc>
        <w:tc>
          <w:tcPr>
            <w:tcW w:w="960" w:type="dxa"/>
            <w:tcBorders>
              <w:top w:val="nil"/>
              <w:left w:val="single" w:sz="4" w:space="0" w:color="auto"/>
              <w:bottom w:val="single" w:sz="4"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15"/>
        </w:trPr>
        <w:tc>
          <w:tcPr>
            <w:tcW w:w="871" w:type="dxa"/>
            <w:tcBorders>
              <w:top w:val="nil"/>
              <w:left w:val="single" w:sz="8" w:space="0" w:color="auto"/>
              <w:bottom w:val="single" w:sz="8" w:space="0" w:color="auto"/>
              <w:right w:val="single" w:sz="8" w:space="0" w:color="auto"/>
            </w:tcBorders>
            <w:noWrap/>
            <w:vAlign w:val="bottom"/>
            <w:hideMark/>
          </w:tcPr>
          <w:p w:rsidR="00D83A6F" w:rsidRPr="00BD6D04" w:rsidRDefault="00D83A6F" w:rsidP="00281A7E">
            <w:pPr>
              <w:jc w:val="center"/>
              <w:rPr>
                <w:rFonts w:ascii="Calibri" w:hAnsi="Calibri" w:cs="Calibri"/>
                <w:sz w:val="22"/>
                <w:szCs w:val="22"/>
                <w:lang w:val="fi-FI" w:eastAsia="fi-FI"/>
              </w:rPr>
            </w:pPr>
            <w:r w:rsidRPr="00BD6D04">
              <w:rPr>
                <w:rFonts w:ascii="Calibri" w:hAnsi="Calibri" w:cs="Calibri"/>
                <w:lang w:eastAsia="fi-FI"/>
              </w:rPr>
              <w:t>5</w:t>
            </w:r>
          </w:p>
        </w:tc>
        <w:tc>
          <w:tcPr>
            <w:tcW w:w="830" w:type="dxa"/>
            <w:tcBorders>
              <w:top w:val="nil"/>
              <w:left w:val="nil"/>
              <w:bottom w:val="single" w:sz="8" w:space="0" w:color="auto"/>
              <w:right w:val="single" w:sz="4" w:space="0" w:color="auto"/>
            </w:tcBorders>
            <w:noWrap/>
            <w:vAlign w:val="bottom"/>
            <w:hideMark/>
          </w:tcPr>
          <w:p w:rsidR="00D83A6F" w:rsidRPr="00BD6D04" w:rsidRDefault="00D83A6F" w:rsidP="00281A7E">
            <w:pPr>
              <w:rPr>
                <w:rFonts w:ascii="Calibri" w:hAnsi="Calibri" w:cs="Calibri"/>
                <w:iCs/>
                <w:sz w:val="22"/>
                <w:szCs w:val="22"/>
                <w:lang w:val="fi-FI" w:eastAsia="fi-FI"/>
              </w:rPr>
            </w:pPr>
            <w:r w:rsidRPr="00BD6D04">
              <w:rPr>
                <w:rFonts w:ascii="Calibri" w:hAnsi="Calibri" w:cs="Calibri"/>
                <w:iCs/>
                <w:lang w:eastAsia="fi-FI"/>
              </w:rPr>
              <w:t>0,05(*</w:t>
            </w:r>
          </w:p>
        </w:tc>
        <w:tc>
          <w:tcPr>
            <w:tcW w:w="857" w:type="dxa"/>
            <w:tcBorders>
              <w:top w:val="nil"/>
              <w:left w:val="nil"/>
              <w:bottom w:val="single" w:sz="8"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0,27</w:t>
            </w:r>
          </w:p>
        </w:tc>
        <w:tc>
          <w:tcPr>
            <w:tcW w:w="820" w:type="dxa"/>
            <w:tcBorders>
              <w:top w:val="nil"/>
              <w:left w:val="nil"/>
              <w:bottom w:val="single" w:sz="8" w:space="0" w:color="auto"/>
              <w:right w:val="nil"/>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0,02</w:t>
            </w:r>
          </w:p>
        </w:tc>
        <w:tc>
          <w:tcPr>
            <w:tcW w:w="1000" w:type="dxa"/>
            <w:tcBorders>
              <w:top w:val="nil"/>
              <w:left w:val="single" w:sz="4" w:space="0" w:color="auto"/>
              <w:bottom w:val="single" w:sz="8"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1055" w:type="dxa"/>
            <w:tcBorders>
              <w:top w:val="nil"/>
              <w:left w:val="nil"/>
              <w:bottom w:val="single" w:sz="8"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0,73</w:t>
            </w:r>
          </w:p>
        </w:tc>
        <w:tc>
          <w:tcPr>
            <w:tcW w:w="785" w:type="dxa"/>
            <w:tcBorders>
              <w:top w:val="nil"/>
              <w:left w:val="nil"/>
              <w:bottom w:val="single" w:sz="8" w:space="0" w:color="auto"/>
              <w:right w:val="single" w:sz="4"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0,17</w:t>
            </w:r>
          </w:p>
        </w:tc>
        <w:tc>
          <w:tcPr>
            <w:tcW w:w="920" w:type="dxa"/>
            <w:tcBorders>
              <w:top w:val="nil"/>
              <w:left w:val="nil"/>
              <w:bottom w:val="single" w:sz="8" w:space="0" w:color="auto"/>
              <w:right w:val="single" w:sz="8" w:space="0" w:color="auto"/>
            </w:tcBorders>
            <w:noWrap/>
            <w:vAlign w:val="bottom"/>
            <w:hideMark/>
          </w:tcPr>
          <w:p w:rsidR="00D83A6F" w:rsidRPr="00BD6D04" w:rsidRDefault="00D83A6F" w:rsidP="00281A7E">
            <w:pPr>
              <w:rPr>
                <w:rFonts w:ascii="Calibri" w:hAnsi="Calibri" w:cs="Calibri"/>
                <w:sz w:val="22"/>
                <w:szCs w:val="22"/>
                <w:lang w:val="fi-FI" w:eastAsia="fi-FI"/>
              </w:rPr>
            </w:pPr>
            <w:r w:rsidRPr="00BD6D04">
              <w:rPr>
                <w:rFonts w:ascii="Calibri" w:hAnsi="Calibri" w:cs="Calibri"/>
                <w:lang w:eastAsia="fi-FI"/>
              </w:rPr>
              <w:t>0,47</w:t>
            </w:r>
          </w:p>
        </w:tc>
        <w:tc>
          <w:tcPr>
            <w:tcW w:w="960" w:type="dxa"/>
            <w:tcBorders>
              <w:top w:val="nil"/>
              <w:left w:val="single" w:sz="4" w:space="0" w:color="auto"/>
              <w:bottom w:val="single" w:sz="8" w:space="0" w:color="auto"/>
              <w:right w:val="nil"/>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D83A6F" w:rsidRPr="00BD6D04" w:rsidRDefault="00D83A6F" w:rsidP="00281A7E">
            <w:pPr>
              <w:jc w:val="center"/>
              <w:rPr>
                <w:rFonts w:ascii="Calibri" w:hAnsi="Calibri" w:cs="Calibri"/>
                <w:i/>
                <w:iCs/>
                <w:lang w:val="fi-FI" w:eastAsia="fi-FI"/>
              </w:rPr>
            </w:pPr>
            <w:r w:rsidRPr="00BD6D04">
              <w:rPr>
                <w:rFonts w:ascii="Calibri" w:hAnsi="Calibri" w:cs="Calibri"/>
                <w:i/>
                <w:iCs/>
                <w:lang w:eastAsia="fi-FI"/>
              </w:rPr>
              <w:t>no</w:t>
            </w:r>
          </w:p>
        </w:tc>
      </w:tr>
      <w:tr w:rsidR="00BD6D04" w:rsidRPr="00BD6D04" w:rsidTr="00AB1E77">
        <w:trPr>
          <w:trHeight w:val="300"/>
        </w:trPr>
        <w:tc>
          <w:tcPr>
            <w:tcW w:w="871" w:type="dxa"/>
            <w:noWrap/>
            <w:vAlign w:val="bottom"/>
            <w:hideMark/>
          </w:tcPr>
          <w:p w:rsidR="00AB1E77" w:rsidRPr="00BD6D04" w:rsidRDefault="00AB1E77" w:rsidP="00281A7E">
            <w:pPr>
              <w:spacing w:line="276" w:lineRule="auto"/>
              <w:rPr>
                <w:sz w:val="22"/>
                <w:szCs w:val="22"/>
                <w:lang w:val="fi-FI"/>
              </w:rPr>
            </w:pPr>
          </w:p>
        </w:tc>
        <w:tc>
          <w:tcPr>
            <w:tcW w:w="3507" w:type="dxa"/>
            <w:gridSpan w:val="4"/>
            <w:noWrap/>
            <w:vAlign w:val="bottom"/>
            <w:hideMark/>
          </w:tcPr>
          <w:p w:rsidR="00AB1E77" w:rsidRPr="00BD6D04" w:rsidRDefault="00AB1E77" w:rsidP="000A3EDF">
            <w:pPr>
              <w:rPr>
                <w:rFonts w:ascii="Calibri" w:hAnsi="Calibri" w:cs="Calibri"/>
                <w:b/>
                <w:bCs/>
                <w:sz w:val="22"/>
                <w:szCs w:val="22"/>
                <w:lang w:val="es-ES_tradnl"/>
              </w:rPr>
            </w:pPr>
            <w:r w:rsidRPr="00BD6D04">
              <w:rPr>
                <w:rFonts w:ascii="Calibri" w:hAnsi="Calibri"/>
                <w:b/>
                <w:lang w:val="es-ES_tradnl"/>
              </w:rPr>
              <w:t>Explicaciones del cuadro</w:t>
            </w:r>
          </w:p>
        </w:tc>
        <w:tc>
          <w:tcPr>
            <w:tcW w:w="1020" w:type="dxa"/>
            <w:noWrap/>
            <w:vAlign w:val="bottom"/>
            <w:hideMark/>
          </w:tcPr>
          <w:p w:rsidR="00AB1E77" w:rsidRPr="00BD6D04" w:rsidRDefault="00AB1E77" w:rsidP="000A3EDF">
            <w:pPr>
              <w:spacing w:line="276" w:lineRule="auto"/>
              <w:rPr>
                <w:sz w:val="22"/>
                <w:szCs w:val="22"/>
              </w:rPr>
            </w:pPr>
          </w:p>
        </w:tc>
        <w:tc>
          <w:tcPr>
            <w:tcW w:w="1055" w:type="dxa"/>
            <w:noWrap/>
            <w:vAlign w:val="bottom"/>
            <w:hideMark/>
          </w:tcPr>
          <w:p w:rsidR="00AB1E77" w:rsidRPr="00BD6D04" w:rsidRDefault="00AB1E77" w:rsidP="000A3EDF">
            <w:pPr>
              <w:spacing w:line="276" w:lineRule="auto"/>
              <w:rPr>
                <w:sz w:val="22"/>
                <w:szCs w:val="22"/>
              </w:rPr>
            </w:pPr>
          </w:p>
        </w:tc>
        <w:tc>
          <w:tcPr>
            <w:tcW w:w="785" w:type="dxa"/>
            <w:noWrap/>
            <w:vAlign w:val="bottom"/>
            <w:hideMark/>
          </w:tcPr>
          <w:p w:rsidR="00AB1E77" w:rsidRPr="00BD6D04" w:rsidRDefault="00AB1E77" w:rsidP="000A3EDF">
            <w:pPr>
              <w:spacing w:line="276" w:lineRule="auto"/>
              <w:rPr>
                <w:sz w:val="22"/>
                <w:szCs w:val="22"/>
              </w:rPr>
            </w:pPr>
          </w:p>
        </w:tc>
        <w:tc>
          <w:tcPr>
            <w:tcW w:w="920" w:type="dxa"/>
            <w:noWrap/>
            <w:vAlign w:val="bottom"/>
            <w:hideMark/>
          </w:tcPr>
          <w:p w:rsidR="00AB1E77" w:rsidRPr="00BD6D04" w:rsidRDefault="00AB1E77" w:rsidP="00281A7E">
            <w:pPr>
              <w:spacing w:line="276" w:lineRule="auto"/>
              <w:rPr>
                <w:sz w:val="22"/>
                <w:szCs w:val="22"/>
                <w:lang w:val="fi-FI"/>
              </w:rPr>
            </w:pPr>
          </w:p>
        </w:tc>
        <w:tc>
          <w:tcPr>
            <w:tcW w:w="960" w:type="dxa"/>
            <w:noWrap/>
            <w:vAlign w:val="bottom"/>
            <w:hideMark/>
          </w:tcPr>
          <w:p w:rsidR="00AB1E77" w:rsidRPr="00BD6D04" w:rsidRDefault="00AB1E77" w:rsidP="00281A7E">
            <w:pPr>
              <w:spacing w:line="276" w:lineRule="auto"/>
              <w:rPr>
                <w:sz w:val="22"/>
                <w:szCs w:val="22"/>
                <w:lang w:val="fi-FI"/>
              </w:rPr>
            </w:pPr>
          </w:p>
        </w:tc>
        <w:tc>
          <w:tcPr>
            <w:tcW w:w="960" w:type="dxa"/>
            <w:noWrap/>
            <w:vAlign w:val="bottom"/>
            <w:hideMark/>
          </w:tcPr>
          <w:p w:rsidR="00AB1E77" w:rsidRPr="00BD6D04" w:rsidRDefault="00AB1E77" w:rsidP="00281A7E">
            <w:pPr>
              <w:spacing w:line="276" w:lineRule="auto"/>
              <w:rPr>
                <w:sz w:val="22"/>
                <w:szCs w:val="22"/>
                <w:lang w:val="fi-FI"/>
              </w:rPr>
            </w:pPr>
          </w:p>
        </w:tc>
      </w:tr>
      <w:tr w:rsidR="00BD6D04" w:rsidRPr="001D3AA0" w:rsidTr="00AB1E77">
        <w:trPr>
          <w:trHeight w:val="300"/>
        </w:trPr>
        <w:tc>
          <w:tcPr>
            <w:tcW w:w="871" w:type="dxa"/>
            <w:noWrap/>
            <w:vAlign w:val="bottom"/>
            <w:hideMark/>
          </w:tcPr>
          <w:p w:rsidR="00AB1E77" w:rsidRPr="00BD6D04" w:rsidRDefault="00AB1E77" w:rsidP="00281A7E">
            <w:pPr>
              <w:spacing w:line="276" w:lineRule="auto"/>
              <w:rPr>
                <w:sz w:val="22"/>
                <w:szCs w:val="22"/>
                <w:lang w:val="fi-FI"/>
              </w:rPr>
            </w:pPr>
          </w:p>
        </w:tc>
        <w:tc>
          <w:tcPr>
            <w:tcW w:w="8247" w:type="dxa"/>
            <w:gridSpan w:val="9"/>
            <w:noWrap/>
            <w:vAlign w:val="bottom"/>
            <w:hideMark/>
          </w:tcPr>
          <w:p w:rsidR="00AB1E77" w:rsidRPr="00BD6D04" w:rsidRDefault="00AB1E77" w:rsidP="000A3EDF">
            <w:pPr>
              <w:rPr>
                <w:rFonts w:ascii="Calibri" w:hAnsi="Calibri" w:cs="Calibri"/>
                <w:sz w:val="22"/>
                <w:szCs w:val="22"/>
                <w:lang w:val="es-ES"/>
              </w:rPr>
            </w:pPr>
            <w:r w:rsidRPr="00BD6D04">
              <w:rPr>
                <w:rFonts w:ascii="Calibri" w:hAnsi="Calibri"/>
                <w:b/>
                <w:lang w:val="es-ES"/>
              </w:rPr>
              <w:t>(*</w:t>
            </w:r>
            <w:r w:rsidRPr="00BD6D04">
              <w:rPr>
                <w:rFonts w:ascii="Calibri" w:hAnsi="Calibri"/>
                <w:lang w:val="es-ES"/>
              </w:rPr>
              <w:t xml:space="preserve">  valores de </w:t>
            </w:r>
            <w:r w:rsidRPr="00BD6D04">
              <w:rPr>
                <w:rFonts w:ascii="Calibri" w:hAnsi="Calibri"/>
                <w:i/>
                <w:lang w:val="es-ES"/>
              </w:rPr>
              <w:t>p</w:t>
            </w:r>
            <w:r w:rsidRPr="00BD6D04">
              <w:rPr>
                <w:rFonts w:ascii="Calibri" w:hAnsi="Calibri"/>
                <w:lang w:val="es-ES"/>
              </w:rPr>
              <w:t xml:space="preserve"> que fueron inferiores a 0,05, pero más del 20% de las frecuencias teóricas </w:t>
            </w:r>
          </w:p>
        </w:tc>
        <w:tc>
          <w:tcPr>
            <w:tcW w:w="960" w:type="dxa"/>
            <w:noWrap/>
            <w:hideMark/>
          </w:tcPr>
          <w:p w:rsidR="00AB1E77" w:rsidRPr="00BD6D04" w:rsidRDefault="00AB1E77" w:rsidP="00281A7E">
            <w:pPr>
              <w:spacing w:line="276" w:lineRule="auto"/>
              <w:rPr>
                <w:sz w:val="22"/>
                <w:szCs w:val="22"/>
                <w:lang w:val="fi-FI"/>
              </w:rPr>
            </w:pPr>
          </w:p>
        </w:tc>
      </w:tr>
      <w:tr w:rsidR="00BD6D04" w:rsidRPr="001D3AA0" w:rsidTr="00AB1E77">
        <w:trPr>
          <w:trHeight w:val="300"/>
        </w:trPr>
        <w:tc>
          <w:tcPr>
            <w:tcW w:w="871" w:type="dxa"/>
            <w:noWrap/>
            <w:vAlign w:val="bottom"/>
            <w:hideMark/>
          </w:tcPr>
          <w:p w:rsidR="00AB1E77" w:rsidRPr="00BD6D04" w:rsidRDefault="00AB1E77" w:rsidP="00281A7E">
            <w:pPr>
              <w:spacing w:line="276" w:lineRule="auto"/>
              <w:rPr>
                <w:sz w:val="22"/>
                <w:szCs w:val="22"/>
                <w:lang w:val="fi-FI"/>
              </w:rPr>
            </w:pPr>
          </w:p>
        </w:tc>
        <w:tc>
          <w:tcPr>
            <w:tcW w:w="7287" w:type="dxa"/>
            <w:gridSpan w:val="8"/>
            <w:noWrap/>
            <w:vAlign w:val="bottom"/>
            <w:hideMark/>
          </w:tcPr>
          <w:p w:rsidR="00AB1E77" w:rsidRPr="00BD6D04" w:rsidRDefault="00AB1E77" w:rsidP="000A3EDF">
            <w:pPr>
              <w:rPr>
                <w:rFonts w:ascii="Calibri" w:hAnsi="Calibri" w:cs="Calibri"/>
                <w:sz w:val="22"/>
                <w:szCs w:val="22"/>
                <w:lang w:val="es-ES"/>
              </w:rPr>
            </w:pPr>
            <w:r w:rsidRPr="00BD6D04">
              <w:rPr>
                <w:rFonts w:ascii="Calibri" w:hAnsi="Calibri"/>
                <w:lang w:val="es-ES"/>
              </w:rPr>
              <w:t>fueron inferiores a 5 o una o más de las frecuencias teóricas fueron inferiores a 1</w:t>
            </w:r>
          </w:p>
        </w:tc>
        <w:tc>
          <w:tcPr>
            <w:tcW w:w="960" w:type="dxa"/>
            <w:noWrap/>
            <w:hideMark/>
          </w:tcPr>
          <w:p w:rsidR="00AB1E77" w:rsidRPr="00BD6D04" w:rsidRDefault="00AB1E77" w:rsidP="00281A7E">
            <w:pPr>
              <w:spacing w:line="276" w:lineRule="auto"/>
              <w:rPr>
                <w:sz w:val="22"/>
                <w:szCs w:val="22"/>
                <w:lang w:val="fi-FI"/>
              </w:rPr>
            </w:pPr>
          </w:p>
        </w:tc>
        <w:tc>
          <w:tcPr>
            <w:tcW w:w="960" w:type="dxa"/>
            <w:noWrap/>
            <w:vAlign w:val="bottom"/>
            <w:hideMark/>
          </w:tcPr>
          <w:p w:rsidR="00AB1E77" w:rsidRPr="00BD6D04" w:rsidRDefault="00AB1E77" w:rsidP="00281A7E">
            <w:pPr>
              <w:spacing w:line="276" w:lineRule="auto"/>
              <w:rPr>
                <w:sz w:val="22"/>
                <w:szCs w:val="22"/>
                <w:lang w:val="fi-FI"/>
              </w:rPr>
            </w:pPr>
          </w:p>
        </w:tc>
      </w:tr>
      <w:tr w:rsidR="00BD6D04" w:rsidRPr="001D3AA0" w:rsidTr="00AB1E77">
        <w:trPr>
          <w:trHeight w:val="300"/>
        </w:trPr>
        <w:tc>
          <w:tcPr>
            <w:tcW w:w="871" w:type="dxa"/>
            <w:noWrap/>
            <w:vAlign w:val="bottom"/>
            <w:hideMark/>
          </w:tcPr>
          <w:p w:rsidR="00AB1E77" w:rsidRPr="00BD6D04" w:rsidRDefault="00AB1E77" w:rsidP="00281A7E">
            <w:pPr>
              <w:spacing w:line="276" w:lineRule="auto"/>
              <w:rPr>
                <w:sz w:val="22"/>
                <w:szCs w:val="22"/>
                <w:lang w:val="fi-FI"/>
              </w:rPr>
            </w:pPr>
          </w:p>
        </w:tc>
        <w:tc>
          <w:tcPr>
            <w:tcW w:w="8247" w:type="dxa"/>
            <w:gridSpan w:val="9"/>
            <w:noWrap/>
            <w:vAlign w:val="bottom"/>
            <w:hideMark/>
          </w:tcPr>
          <w:p w:rsidR="00AB1E77" w:rsidRPr="00BD6D04" w:rsidRDefault="00AB1E77" w:rsidP="000A3EDF">
            <w:pPr>
              <w:rPr>
                <w:rFonts w:ascii="Calibri" w:hAnsi="Calibri" w:cs="Calibri"/>
                <w:sz w:val="22"/>
                <w:szCs w:val="22"/>
                <w:lang w:val="es-ES"/>
              </w:rPr>
            </w:pPr>
            <w:r w:rsidRPr="00BD6D04">
              <w:rPr>
                <w:rFonts w:ascii="Calibri" w:hAnsi="Calibri"/>
                <w:b/>
                <w:lang w:val="es-ES"/>
              </w:rPr>
              <w:t xml:space="preserve">d </w:t>
            </w:r>
            <w:r w:rsidRPr="00BD6D04">
              <w:rPr>
                <w:rFonts w:ascii="Calibri" w:hAnsi="Calibri"/>
                <w:lang w:val="es-ES"/>
              </w:rPr>
              <w:t xml:space="preserve"> la dirección de la diferencia entre variedades no fue constante entre años</w:t>
            </w:r>
          </w:p>
        </w:tc>
        <w:tc>
          <w:tcPr>
            <w:tcW w:w="960" w:type="dxa"/>
            <w:noWrap/>
            <w:hideMark/>
          </w:tcPr>
          <w:p w:rsidR="00AB1E77" w:rsidRPr="00BD6D04" w:rsidRDefault="00AB1E77" w:rsidP="00281A7E">
            <w:pPr>
              <w:spacing w:line="276" w:lineRule="auto"/>
              <w:rPr>
                <w:sz w:val="22"/>
                <w:szCs w:val="22"/>
                <w:lang w:val="fi-FI"/>
              </w:rPr>
            </w:pPr>
          </w:p>
        </w:tc>
      </w:tr>
      <w:tr w:rsidR="00BD6D04" w:rsidRPr="001D3AA0" w:rsidTr="00AB1E77">
        <w:trPr>
          <w:trHeight w:val="300"/>
        </w:trPr>
        <w:tc>
          <w:tcPr>
            <w:tcW w:w="871" w:type="dxa"/>
            <w:noWrap/>
            <w:vAlign w:val="bottom"/>
            <w:hideMark/>
          </w:tcPr>
          <w:p w:rsidR="00AB1E77" w:rsidRPr="00BD6D04" w:rsidRDefault="00AB1E77" w:rsidP="00281A7E">
            <w:pPr>
              <w:spacing w:line="276" w:lineRule="auto"/>
              <w:rPr>
                <w:sz w:val="22"/>
                <w:szCs w:val="22"/>
                <w:lang w:val="fi-FI"/>
              </w:rPr>
            </w:pPr>
          </w:p>
        </w:tc>
        <w:tc>
          <w:tcPr>
            <w:tcW w:w="6367" w:type="dxa"/>
            <w:gridSpan w:val="7"/>
            <w:noWrap/>
            <w:vAlign w:val="bottom"/>
            <w:hideMark/>
          </w:tcPr>
          <w:p w:rsidR="00AB1E77" w:rsidRPr="00BD6D04" w:rsidRDefault="00AB1E77" w:rsidP="0009306A">
            <w:pPr>
              <w:rPr>
                <w:rFonts w:ascii="Calibri" w:hAnsi="Calibri" w:cs="Calibri"/>
                <w:sz w:val="22"/>
                <w:szCs w:val="22"/>
                <w:lang w:val="es-ES"/>
              </w:rPr>
            </w:pPr>
            <w:r w:rsidRPr="00BD6D04">
              <w:rPr>
                <w:rFonts w:ascii="Calibri" w:hAnsi="Calibri"/>
                <w:b/>
                <w:lang w:val="es-ES"/>
              </w:rPr>
              <w:t>sombreado</w:t>
            </w:r>
            <w:r w:rsidRPr="00BD6D04">
              <w:rPr>
                <w:rFonts w:ascii="Calibri" w:hAnsi="Calibri"/>
                <w:lang w:val="es-ES"/>
              </w:rPr>
              <w:t xml:space="preserve"> los valores de </w:t>
            </w:r>
            <w:r w:rsidRPr="00BD6D04">
              <w:rPr>
                <w:rFonts w:ascii="Calibri" w:hAnsi="Calibri"/>
                <w:i/>
                <w:lang w:val="es-ES"/>
              </w:rPr>
              <w:t>p</w:t>
            </w:r>
            <w:r w:rsidRPr="00BD6D04">
              <w:rPr>
                <w:rFonts w:ascii="Calibri" w:hAnsi="Calibri"/>
                <w:lang w:val="es-ES"/>
              </w:rPr>
              <w:t xml:space="preserve"> </w:t>
            </w:r>
            <w:r w:rsidR="0009306A" w:rsidRPr="00BD6D04">
              <w:rPr>
                <w:rFonts w:ascii="Calibri" w:hAnsi="Calibri"/>
                <w:lang w:val="es-ES"/>
              </w:rPr>
              <w:t>de</w:t>
            </w:r>
            <w:r w:rsidRPr="00BD6D04">
              <w:rPr>
                <w:rFonts w:ascii="Calibri" w:hAnsi="Calibri"/>
                <w:lang w:val="es-ES"/>
              </w:rPr>
              <w:t xml:space="preserve"> las celdas sombreadas son los valores de </w:t>
            </w:r>
            <w:r w:rsidRPr="00BD6D04">
              <w:rPr>
                <w:rFonts w:ascii="Calibri" w:hAnsi="Calibri"/>
                <w:i/>
                <w:lang w:val="es-ES"/>
              </w:rPr>
              <w:t>p</w:t>
            </w:r>
            <w:r w:rsidRPr="00BD6D04">
              <w:rPr>
                <w:rFonts w:ascii="Calibri" w:hAnsi="Calibri"/>
                <w:lang w:val="es-ES"/>
              </w:rPr>
              <w:t xml:space="preserve"> que distinguieron variedades, </w:t>
            </w:r>
            <w:r w:rsidRPr="00BD6D04">
              <w:rPr>
                <w:rFonts w:ascii="Calibri" w:hAnsi="Calibri"/>
                <w:b/>
                <w:lang w:val="es-ES"/>
              </w:rPr>
              <w:t xml:space="preserve">D </w:t>
            </w:r>
            <w:r w:rsidRPr="00BD6D04">
              <w:rPr>
                <w:rFonts w:ascii="Calibri" w:hAnsi="Calibri"/>
                <w:lang w:val="es-ES"/>
              </w:rPr>
              <w:t>significa distinta</w:t>
            </w:r>
          </w:p>
        </w:tc>
        <w:tc>
          <w:tcPr>
            <w:tcW w:w="920" w:type="dxa"/>
            <w:noWrap/>
            <w:hideMark/>
          </w:tcPr>
          <w:p w:rsidR="00AB1E77" w:rsidRPr="00BD6D04" w:rsidRDefault="00AB1E77" w:rsidP="00281A7E">
            <w:pPr>
              <w:spacing w:line="276" w:lineRule="auto"/>
              <w:rPr>
                <w:sz w:val="22"/>
                <w:szCs w:val="22"/>
                <w:lang w:val="fi-FI"/>
              </w:rPr>
            </w:pPr>
          </w:p>
        </w:tc>
        <w:tc>
          <w:tcPr>
            <w:tcW w:w="960" w:type="dxa"/>
            <w:noWrap/>
            <w:vAlign w:val="bottom"/>
            <w:hideMark/>
          </w:tcPr>
          <w:p w:rsidR="00AB1E77" w:rsidRPr="00BD6D04" w:rsidRDefault="00AB1E77" w:rsidP="00281A7E">
            <w:pPr>
              <w:spacing w:line="276" w:lineRule="auto"/>
              <w:rPr>
                <w:sz w:val="22"/>
                <w:szCs w:val="22"/>
                <w:lang w:val="fi-FI"/>
              </w:rPr>
            </w:pPr>
          </w:p>
        </w:tc>
        <w:tc>
          <w:tcPr>
            <w:tcW w:w="960" w:type="dxa"/>
            <w:noWrap/>
            <w:vAlign w:val="bottom"/>
            <w:hideMark/>
          </w:tcPr>
          <w:p w:rsidR="00AB1E77" w:rsidRPr="00BD6D04" w:rsidRDefault="00AB1E77" w:rsidP="00281A7E">
            <w:pPr>
              <w:spacing w:line="276" w:lineRule="auto"/>
              <w:rPr>
                <w:sz w:val="22"/>
                <w:szCs w:val="22"/>
                <w:lang w:val="fi-FI"/>
              </w:rPr>
            </w:pPr>
          </w:p>
        </w:tc>
      </w:tr>
    </w:tbl>
    <w:p w:rsidR="00BD6D04" w:rsidRDefault="00BD6D04" w:rsidP="00281A7E">
      <w:pPr>
        <w:tabs>
          <w:tab w:val="left" w:pos="4820"/>
          <w:tab w:val="left" w:pos="5400"/>
          <w:tab w:val="left" w:pos="5954"/>
        </w:tabs>
        <w:ind w:left="4820"/>
        <w:jc w:val="right"/>
        <w:rPr>
          <w:snapToGrid w:val="0"/>
          <w:lang w:val="es-ES_tradnl"/>
        </w:rPr>
      </w:pPr>
    </w:p>
    <w:p w:rsidR="007F4BB2" w:rsidRPr="00BD6D04" w:rsidRDefault="00281A7E" w:rsidP="00281A7E">
      <w:pPr>
        <w:tabs>
          <w:tab w:val="left" w:pos="4820"/>
          <w:tab w:val="left" w:pos="5400"/>
          <w:tab w:val="left" w:pos="5954"/>
        </w:tabs>
        <w:ind w:left="4820"/>
        <w:jc w:val="right"/>
        <w:rPr>
          <w:snapToGrid w:val="0"/>
          <w:lang w:val="es-ES"/>
        </w:rPr>
      </w:pPr>
      <w:r w:rsidRPr="00BD6D04">
        <w:rPr>
          <w:snapToGrid w:val="0"/>
          <w:lang w:val="es-ES_tradnl"/>
        </w:rPr>
        <w:t>[Fin del Anexo y del documento]</w:t>
      </w:r>
    </w:p>
    <w:sectPr w:rsidR="007F4BB2" w:rsidRPr="00BD6D04" w:rsidSect="00281A7E">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F0" w:rsidRDefault="001273F0" w:rsidP="00F45372">
      <w:r>
        <w:separator/>
      </w:r>
    </w:p>
    <w:p w:rsidR="001273F0" w:rsidRDefault="001273F0" w:rsidP="00F45372"/>
    <w:p w:rsidR="001273F0" w:rsidRDefault="001273F0" w:rsidP="00F45372"/>
  </w:endnote>
  <w:endnote w:type="continuationSeparator" w:id="0">
    <w:p w:rsidR="001273F0" w:rsidRDefault="001273F0" w:rsidP="00F45372">
      <w:r>
        <w:separator/>
      </w:r>
    </w:p>
    <w:p w:rsidR="001273F0" w:rsidRPr="00970020" w:rsidRDefault="001273F0">
      <w:pPr>
        <w:pStyle w:val="Footer"/>
        <w:spacing w:after="60"/>
        <w:rPr>
          <w:sz w:val="18"/>
          <w:lang w:val="fr-CH"/>
        </w:rPr>
      </w:pPr>
      <w:r w:rsidRPr="00970020">
        <w:rPr>
          <w:sz w:val="18"/>
          <w:lang w:val="fr-CH"/>
        </w:rPr>
        <w:t>[Suite de la note de la page précédente]</w:t>
      </w:r>
    </w:p>
    <w:p w:rsidR="001273F0" w:rsidRPr="00970020" w:rsidRDefault="001273F0" w:rsidP="00F45372">
      <w:pPr>
        <w:rPr>
          <w:lang w:val="fr-CH"/>
        </w:rPr>
      </w:pPr>
    </w:p>
    <w:p w:rsidR="001273F0" w:rsidRPr="00970020" w:rsidRDefault="001273F0" w:rsidP="00F45372">
      <w:pPr>
        <w:rPr>
          <w:lang w:val="fr-CH"/>
        </w:rPr>
      </w:pPr>
    </w:p>
  </w:endnote>
  <w:endnote w:type="continuationNotice" w:id="1">
    <w:p w:rsidR="001273F0" w:rsidRPr="00970020" w:rsidRDefault="001273F0" w:rsidP="00F45372">
      <w:pPr>
        <w:rPr>
          <w:lang w:val="fr-CH"/>
        </w:rPr>
      </w:pPr>
      <w:r w:rsidRPr="00970020">
        <w:rPr>
          <w:lang w:val="fr-CH"/>
        </w:rPr>
        <w:t>[Suite de la note page suivante]</w:t>
      </w:r>
    </w:p>
    <w:p w:rsidR="001273F0" w:rsidRPr="00970020" w:rsidRDefault="001273F0" w:rsidP="00F45372">
      <w:pPr>
        <w:rPr>
          <w:lang w:val="fr-CH"/>
        </w:rPr>
      </w:pPr>
    </w:p>
    <w:p w:rsidR="001273F0" w:rsidRPr="00970020" w:rsidRDefault="001273F0"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DF" w:rsidRPr="00281A7E" w:rsidRDefault="000A3EDF" w:rsidP="00281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F0" w:rsidRDefault="001273F0" w:rsidP="00F45372">
      <w:r>
        <w:separator/>
      </w:r>
    </w:p>
  </w:footnote>
  <w:footnote w:type="continuationSeparator" w:id="0">
    <w:p w:rsidR="001273F0" w:rsidRDefault="001273F0" w:rsidP="00F45372">
      <w:r>
        <w:separator/>
      </w:r>
    </w:p>
  </w:footnote>
  <w:footnote w:type="continuationNotice" w:id="1">
    <w:p w:rsidR="001273F0" w:rsidRPr="00905020" w:rsidRDefault="001273F0"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DF" w:rsidRPr="00281A7E" w:rsidRDefault="000A3EDF" w:rsidP="00281A7E">
    <w:pPr>
      <w:pStyle w:val="Header"/>
      <w:rPr>
        <w:lang w:eastAsia="ja-JP"/>
      </w:rPr>
    </w:pPr>
    <w:r w:rsidRPr="00281A7E">
      <w:rPr>
        <w:lang w:val="es-ES_tradnl" w:eastAsia="ja-JP"/>
      </w:rPr>
      <w:t>TC/51/22</w:t>
    </w:r>
  </w:p>
  <w:p w:rsidR="000A3EDF" w:rsidRPr="00281A7E" w:rsidRDefault="000A3EDF" w:rsidP="00281A7E">
    <w:pPr>
      <w:pStyle w:val="Header"/>
    </w:pPr>
    <w:r w:rsidRPr="00281A7E">
      <w:rPr>
        <w:lang w:val="es-ES_tradnl"/>
      </w:rPr>
      <w:t>página</w:t>
    </w:r>
    <w:sdt>
      <w:sdtPr>
        <w:id w:val="1786073305"/>
        <w:docPartObj>
          <w:docPartGallery w:val="Page Numbers (Top of Page)"/>
          <w:docPartUnique/>
        </w:docPartObj>
      </w:sdtPr>
      <w:sdtEndPr>
        <w:rPr>
          <w:noProof/>
        </w:rPr>
      </w:sdtEndPr>
      <w:sdtContent>
        <w:r w:rsidR="00BD6D04">
          <w:fldChar w:fldCharType="begin"/>
        </w:r>
        <w:r w:rsidR="00BD6D04">
          <w:instrText xml:space="preserve"> PAGE   \* MERGEFORMAT </w:instrText>
        </w:r>
        <w:r w:rsidR="00BD6D04">
          <w:fldChar w:fldCharType="separate"/>
        </w:r>
        <w:r w:rsidR="001D3AA0">
          <w:rPr>
            <w:noProof/>
          </w:rPr>
          <w:t>2</w:t>
        </w:r>
        <w:r w:rsidR="00BD6D04">
          <w:rPr>
            <w:noProof/>
          </w:rPr>
          <w:fldChar w:fldCharType="end"/>
        </w:r>
      </w:sdtContent>
    </w:sdt>
  </w:p>
  <w:p w:rsidR="000A3EDF" w:rsidRDefault="000A3E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47849926"/>
      <w:docPartObj>
        <w:docPartGallery w:val="Page Numbers (Top of Page)"/>
        <w:docPartUnique/>
      </w:docPartObj>
    </w:sdtPr>
    <w:sdtEndPr/>
    <w:sdtContent>
      <w:p w:rsidR="000A3EDF" w:rsidRPr="00281A7E" w:rsidRDefault="000A3EDF" w:rsidP="00281A7E">
        <w:pPr>
          <w:pStyle w:val="Header"/>
          <w:rPr>
            <w:lang w:val="es-ES"/>
          </w:rPr>
        </w:pPr>
        <w:r w:rsidRPr="00281A7E">
          <w:rPr>
            <w:lang w:val="es-ES"/>
          </w:rPr>
          <w:t>TC/51/22</w:t>
        </w:r>
      </w:p>
      <w:p w:rsidR="000A3EDF" w:rsidRPr="00281A7E" w:rsidRDefault="000A3EDF">
        <w:pPr>
          <w:pStyle w:val="Header"/>
          <w:rPr>
            <w:lang w:val="es-ES"/>
          </w:rPr>
        </w:pPr>
        <w:r w:rsidRPr="00281A7E">
          <w:rPr>
            <w:lang w:val="es-ES"/>
          </w:rPr>
          <w:t xml:space="preserve">Anexo, página </w:t>
        </w:r>
        <w:r w:rsidRPr="00281A7E">
          <w:rPr>
            <w:lang w:val="es-ES"/>
          </w:rPr>
          <w:fldChar w:fldCharType="begin"/>
        </w:r>
        <w:r w:rsidRPr="00281A7E">
          <w:rPr>
            <w:lang w:val="es-ES"/>
          </w:rPr>
          <w:instrText>PAGE   \* MERGEFORMAT</w:instrText>
        </w:r>
        <w:r w:rsidRPr="00281A7E">
          <w:rPr>
            <w:lang w:val="es-ES"/>
          </w:rPr>
          <w:fldChar w:fldCharType="separate"/>
        </w:r>
        <w:r w:rsidR="001D3AA0">
          <w:rPr>
            <w:noProof/>
            <w:lang w:val="es-ES"/>
          </w:rPr>
          <w:t>3</w:t>
        </w:r>
        <w:r w:rsidRPr="00281A7E">
          <w:rPr>
            <w:lang w:val="es-ES"/>
          </w:rPr>
          <w:fldChar w:fldCharType="end"/>
        </w:r>
      </w:p>
    </w:sdtContent>
  </w:sdt>
  <w:p w:rsidR="000A3EDF" w:rsidRPr="00281A7E" w:rsidRDefault="000A3EDF" w:rsidP="00BD6D04">
    <w:pPr>
      <w:jc w:val="cent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EDF" w:rsidRPr="00281A7E" w:rsidRDefault="000A3EDF" w:rsidP="00281A7E">
    <w:pPr>
      <w:jc w:val="center"/>
      <w:rPr>
        <w:rFonts w:eastAsia="MS Mincho"/>
        <w:lang w:val="es-ES_tradnl" w:eastAsia="ja-JP"/>
      </w:rPr>
    </w:pPr>
    <w:r w:rsidRPr="00281A7E">
      <w:rPr>
        <w:rFonts w:eastAsia="MS Mincho"/>
        <w:lang w:val="es-ES_tradnl" w:eastAsia="ja-JP"/>
      </w:rPr>
      <w:t>TC/51/22</w:t>
    </w:r>
  </w:p>
  <w:p w:rsidR="000A3EDF" w:rsidRPr="00281A7E" w:rsidRDefault="000A3EDF" w:rsidP="00281A7E">
    <w:pPr>
      <w:jc w:val="center"/>
      <w:rPr>
        <w:rFonts w:eastAsia="MS Mincho"/>
        <w:lang w:val="es-ES_tradnl" w:eastAsia="ja-JP"/>
      </w:rPr>
    </w:pPr>
  </w:p>
  <w:p w:rsidR="000A3EDF" w:rsidRPr="00281A7E" w:rsidRDefault="000A3EDF" w:rsidP="00281A7E">
    <w:pPr>
      <w:jc w:val="center"/>
      <w:rPr>
        <w:rFonts w:eastAsia="MS Mincho"/>
        <w:lang w:val="es-ES_tradnl" w:eastAsia="ja-JP"/>
      </w:rPr>
    </w:pPr>
    <w:r w:rsidRPr="00281A7E">
      <w:rPr>
        <w:rFonts w:eastAsia="MS Mincho"/>
        <w:lang w:val="es-ES_tradnl" w:eastAsia="ja-JP"/>
      </w:rPr>
      <w:t>ANEXO</w:t>
    </w:r>
  </w:p>
  <w:p w:rsidR="000A3EDF" w:rsidRPr="00281A7E" w:rsidRDefault="000A3EDF">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F4413"/>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nsid w:val="66A33A09"/>
    <w:multiLevelType w:val="hybridMultilevel"/>
    <w:tmpl w:val="24E6EEE2"/>
    <w:lvl w:ilvl="0" w:tplc="F7F879AE">
      <w:start w:val="1"/>
      <w:numFmt w:val="decimal"/>
      <w:lvlText w:val="%1."/>
      <w:lvlJc w:val="left"/>
      <w:pPr>
        <w:ind w:left="720" w:hanging="360"/>
      </w:pPr>
      <w:rPr>
        <w:b w:val="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WorkspaceSTS\EN-ES\UPOV\Meetings|WorkspaceSTS\EN-ES\UPOV\Other|WorkspaceSTS\EN-ES\UPOV\Publications|WorkspaceSTS\EN-ES\UPOV\Technical Guidelines|WorkspaceSTS\EN-ES\UPOV\TGP_7"/>
    <w:docVar w:name="TextBaseURL" w:val="empty"/>
    <w:docVar w:name="UILng" w:val="en"/>
  </w:docVars>
  <w:rsids>
    <w:rsidRoot w:val="00661D79"/>
    <w:rsid w:val="00010CF3"/>
    <w:rsid w:val="00011E27"/>
    <w:rsid w:val="000148BC"/>
    <w:rsid w:val="00024AB8"/>
    <w:rsid w:val="00030854"/>
    <w:rsid w:val="00036028"/>
    <w:rsid w:val="00044642"/>
    <w:rsid w:val="000446B9"/>
    <w:rsid w:val="000461A3"/>
    <w:rsid w:val="00047E21"/>
    <w:rsid w:val="00066375"/>
    <w:rsid w:val="00085505"/>
    <w:rsid w:val="0009306A"/>
    <w:rsid w:val="000A3EDF"/>
    <w:rsid w:val="000C7021"/>
    <w:rsid w:val="000D6BBC"/>
    <w:rsid w:val="000D7780"/>
    <w:rsid w:val="000F7BBD"/>
    <w:rsid w:val="00105929"/>
    <w:rsid w:val="001131D5"/>
    <w:rsid w:val="001273F0"/>
    <w:rsid w:val="00141DB8"/>
    <w:rsid w:val="001479AA"/>
    <w:rsid w:val="00171B52"/>
    <w:rsid w:val="001730FD"/>
    <w:rsid w:val="0017474A"/>
    <w:rsid w:val="00174AC5"/>
    <w:rsid w:val="001758C6"/>
    <w:rsid w:val="00184D5D"/>
    <w:rsid w:val="001B2E7A"/>
    <w:rsid w:val="001D3AA0"/>
    <w:rsid w:val="0021332C"/>
    <w:rsid w:val="00213982"/>
    <w:rsid w:val="00235267"/>
    <w:rsid w:val="0024416D"/>
    <w:rsid w:val="00266E18"/>
    <w:rsid w:val="002800A0"/>
    <w:rsid w:val="002801B3"/>
    <w:rsid w:val="00281060"/>
    <w:rsid w:val="00281A7E"/>
    <w:rsid w:val="002940E8"/>
    <w:rsid w:val="002A6E50"/>
    <w:rsid w:val="002C256A"/>
    <w:rsid w:val="00305A7F"/>
    <w:rsid w:val="003152FE"/>
    <w:rsid w:val="00320AE8"/>
    <w:rsid w:val="00327436"/>
    <w:rsid w:val="00344BD6"/>
    <w:rsid w:val="0035528D"/>
    <w:rsid w:val="00361821"/>
    <w:rsid w:val="00366D8A"/>
    <w:rsid w:val="00370631"/>
    <w:rsid w:val="0038052E"/>
    <w:rsid w:val="003D227C"/>
    <w:rsid w:val="003D2B4D"/>
    <w:rsid w:val="003D7E71"/>
    <w:rsid w:val="00422D90"/>
    <w:rsid w:val="00444A88"/>
    <w:rsid w:val="00463421"/>
    <w:rsid w:val="00474DA4"/>
    <w:rsid w:val="004D047D"/>
    <w:rsid w:val="004F1D89"/>
    <w:rsid w:val="004F305A"/>
    <w:rsid w:val="00507A3C"/>
    <w:rsid w:val="00512164"/>
    <w:rsid w:val="00520297"/>
    <w:rsid w:val="005338F9"/>
    <w:rsid w:val="0054281C"/>
    <w:rsid w:val="00550EC2"/>
    <w:rsid w:val="0055268D"/>
    <w:rsid w:val="00576BE4"/>
    <w:rsid w:val="00576BF0"/>
    <w:rsid w:val="00591FE8"/>
    <w:rsid w:val="005A400A"/>
    <w:rsid w:val="005C6ECB"/>
    <w:rsid w:val="005D3965"/>
    <w:rsid w:val="0060172C"/>
    <w:rsid w:val="00612379"/>
    <w:rsid w:val="0061555F"/>
    <w:rsid w:val="00617F9E"/>
    <w:rsid w:val="00625523"/>
    <w:rsid w:val="00641200"/>
    <w:rsid w:val="00661D79"/>
    <w:rsid w:val="00687EB4"/>
    <w:rsid w:val="006A1ECF"/>
    <w:rsid w:val="006A631A"/>
    <w:rsid w:val="006B17D2"/>
    <w:rsid w:val="006C224E"/>
    <w:rsid w:val="006D2147"/>
    <w:rsid w:val="006D780A"/>
    <w:rsid w:val="0070757C"/>
    <w:rsid w:val="00711B0E"/>
    <w:rsid w:val="00732DEC"/>
    <w:rsid w:val="00735BD5"/>
    <w:rsid w:val="00744B85"/>
    <w:rsid w:val="00753A37"/>
    <w:rsid w:val="007556F6"/>
    <w:rsid w:val="00760EEF"/>
    <w:rsid w:val="00777EE5"/>
    <w:rsid w:val="00784836"/>
    <w:rsid w:val="0079023E"/>
    <w:rsid w:val="007A1EBC"/>
    <w:rsid w:val="007A2854"/>
    <w:rsid w:val="007D0B9D"/>
    <w:rsid w:val="007D19B0"/>
    <w:rsid w:val="007F498F"/>
    <w:rsid w:val="007F4BB2"/>
    <w:rsid w:val="0080679D"/>
    <w:rsid w:val="00806E72"/>
    <w:rsid w:val="008108B0"/>
    <w:rsid w:val="00811B20"/>
    <w:rsid w:val="0082296E"/>
    <w:rsid w:val="00824099"/>
    <w:rsid w:val="00867AC1"/>
    <w:rsid w:val="008A1693"/>
    <w:rsid w:val="008A743F"/>
    <w:rsid w:val="008C0970"/>
    <w:rsid w:val="008D2CF7"/>
    <w:rsid w:val="008D3729"/>
    <w:rsid w:val="008F2BAC"/>
    <w:rsid w:val="008F373F"/>
    <w:rsid w:val="008F4159"/>
    <w:rsid w:val="00900C26"/>
    <w:rsid w:val="0090197F"/>
    <w:rsid w:val="00905020"/>
    <w:rsid w:val="00906DDC"/>
    <w:rsid w:val="00917B6A"/>
    <w:rsid w:val="00934E09"/>
    <w:rsid w:val="00936253"/>
    <w:rsid w:val="009474F8"/>
    <w:rsid w:val="00952DD4"/>
    <w:rsid w:val="00970020"/>
    <w:rsid w:val="00970FED"/>
    <w:rsid w:val="00971E4E"/>
    <w:rsid w:val="00997029"/>
    <w:rsid w:val="009D690D"/>
    <w:rsid w:val="009E65B6"/>
    <w:rsid w:val="00A13C6F"/>
    <w:rsid w:val="00A37B04"/>
    <w:rsid w:val="00A42AC3"/>
    <w:rsid w:val="00A430CF"/>
    <w:rsid w:val="00A47CDB"/>
    <w:rsid w:val="00A54309"/>
    <w:rsid w:val="00A9783D"/>
    <w:rsid w:val="00AA65E7"/>
    <w:rsid w:val="00AB1E77"/>
    <w:rsid w:val="00AB2B93"/>
    <w:rsid w:val="00AB7E5B"/>
    <w:rsid w:val="00AE0EF1"/>
    <w:rsid w:val="00B07301"/>
    <w:rsid w:val="00B224DE"/>
    <w:rsid w:val="00B84BBD"/>
    <w:rsid w:val="00BA43FB"/>
    <w:rsid w:val="00BC127D"/>
    <w:rsid w:val="00BC1FE6"/>
    <w:rsid w:val="00BD6D04"/>
    <w:rsid w:val="00C00A43"/>
    <w:rsid w:val="00C061B6"/>
    <w:rsid w:val="00C13808"/>
    <w:rsid w:val="00C2446C"/>
    <w:rsid w:val="00C36AE5"/>
    <w:rsid w:val="00C41F17"/>
    <w:rsid w:val="00C51E25"/>
    <w:rsid w:val="00C5791C"/>
    <w:rsid w:val="00C66290"/>
    <w:rsid w:val="00C72B7A"/>
    <w:rsid w:val="00C973F2"/>
    <w:rsid w:val="00CA774A"/>
    <w:rsid w:val="00CB0983"/>
    <w:rsid w:val="00CC11B0"/>
    <w:rsid w:val="00CC1338"/>
    <w:rsid w:val="00CD787D"/>
    <w:rsid w:val="00CE64D1"/>
    <w:rsid w:val="00CF7E36"/>
    <w:rsid w:val="00D261C5"/>
    <w:rsid w:val="00D3708D"/>
    <w:rsid w:val="00D40426"/>
    <w:rsid w:val="00D57C96"/>
    <w:rsid w:val="00D73473"/>
    <w:rsid w:val="00D83A6F"/>
    <w:rsid w:val="00D91203"/>
    <w:rsid w:val="00D95174"/>
    <w:rsid w:val="00DA4685"/>
    <w:rsid w:val="00DA6F36"/>
    <w:rsid w:val="00DB596E"/>
    <w:rsid w:val="00DC00EA"/>
    <w:rsid w:val="00E50918"/>
    <w:rsid w:val="00E72D49"/>
    <w:rsid w:val="00E7593C"/>
    <w:rsid w:val="00E7678A"/>
    <w:rsid w:val="00E935F1"/>
    <w:rsid w:val="00E94A81"/>
    <w:rsid w:val="00EA1FFB"/>
    <w:rsid w:val="00EA255C"/>
    <w:rsid w:val="00EA4900"/>
    <w:rsid w:val="00EA5245"/>
    <w:rsid w:val="00EB048E"/>
    <w:rsid w:val="00EE34DF"/>
    <w:rsid w:val="00EF2F89"/>
    <w:rsid w:val="00F1237A"/>
    <w:rsid w:val="00F22CBD"/>
    <w:rsid w:val="00F35A5C"/>
    <w:rsid w:val="00F45372"/>
    <w:rsid w:val="00F560F7"/>
    <w:rsid w:val="00F6334D"/>
    <w:rsid w:val="00F77B84"/>
    <w:rsid w:val="00FA49AB"/>
    <w:rsid w:val="00FA5DF9"/>
    <w:rsid w:val="00FE39C7"/>
    <w:rsid w:val="00FF34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1B2E7A"/>
    <w:pPr>
      <w:keepNext/>
      <w:jc w:val="both"/>
      <w:outlineLvl w:val="0"/>
    </w:pPr>
    <w:rPr>
      <w:rFonts w:ascii="Arial" w:hAnsi="Arial"/>
      <w:caps/>
      <w:color w:val="808080"/>
      <w:lang w:val="es-ES_tradnl" w:eastAsia="ja-JP"/>
    </w:rPr>
  </w:style>
  <w:style w:type="paragraph" w:styleId="Heading2">
    <w:name w:val="heading 2"/>
    <w:next w:val="Normal"/>
    <w:autoRedefine/>
    <w:qFormat/>
    <w:rsid w:val="001B2E7A"/>
    <w:pPr>
      <w:keepNext/>
      <w:jc w:val="both"/>
      <w:outlineLvl w:val="1"/>
    </w:pPr>
    <w:rPr>
      <w:rFonts w:ascii="Arial" w:hAnsi="Arial"/>
      <w:snapToGrid w:val="0"/>
      <w:color w:val="808080"/>
      <w:u w:val="single"/>
      <w:lang w:val="es-ES_tradnl" w:eastAsia="ja-JP"/>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uiPriority w:val="99"/>
    <w:rsid w:val="00D83A6F"/>
    <w:rPr>
      <w:rFonts w:ascii="Arial" w:hAnsi="Arial"/>
      <w:lang w:val="fr-FR"/>
    </w:rPr>
  </w:style>
  <w:style w:type="paragraph" w:styleId="ListParagraph">
    <w:name w:val="List Paragraph"/>
    <w:basedOn w:val="Normal"/>
    <w:uiPriority w:val="34"/>
    <w:qFormat/>
    <w:rsid w:val="00D83A6F"/>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1B2E7A"/>
    <w:pPr>
      <w:keepNext/>
      <w:jc w:val="both"/>
      <w:outlineLvl w:val="0"/>
    </w:pPr>
    <w:rPr>
      <w:rFonts w:ascii="Arial" w:hAnsi="Arial"/>
      <w:caps/>
      <w:color w:val="808080"/>
      <w:lang w:val="es-ES_tradnl" w:eastAsia="ja-JP"/>
    </w:rPr>
  </w:style>
  <w:style w:type="paragraph" w:styleId="Heading2">
    <w:name w:val="heading 2"/>
    <w:next w:val="Normal"/>
    <w:autoRedefine/>
    <w:qFormat/>
    <w:rsid w:val="001B2E7A"/>
    <w:pPr>
      <w:keepNext/>
      <w:jc w:val="both"/>
      <w:outlineLvl w:val="1"/>
    </w:pPr>
    <w:rPr>
      <w:rFonts w:ascii="Arial" w:hAnsi="Arial"/>
      <w:snapToGrid w:val="0"/>
      <w:color w:val="808080"/>
      <w:u w:val="single"/>
      <w:lang w:val="es-ES_tradnl" w:eastAsia="ja-JP"/>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erChar">
    <w:name w:val="Header Char"/>
    <w:basedOn w:val="DefaultParagraphFont"/>
    <w:link w:val="Header"/>
    <w:uiPriority w:val="99"/>
    <w:rsid w:val="00D83A6F"/>
    <w:rPr>
      <w:rFonts w:ascii="Arial" w:hAnsi="Arial"/>
      <w:lang w:val="fr-FR"/>
    </w:rPr>
  </w:style>
  <w:style w:type="paragraph" w:styleId="ListParagraph">
    <w:name w:val="List Paragraph"/>
    <w:basedOn w:val="Normal"/>
    <w:uiPriority w:val="34"/>
    <w:qFormat/>
    <w:rsid w:val="00D83A6F"/>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68AFE-2712-472C-BC4E-1BA21ED8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2691</Words>
  <Characters>15340</Characters>
  <Application>Microsoft Office Word</Application>
  <DocSecurity>0</DocSecurity>
  <Lines>127</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TC/51/22 - Revisión del documento TGP/8:  Parte II:  Técnicas utilizadas en el examen DHE, nueva sección:  Métodos estadísticos aplicados a caracteres observados visualmente</vt:lpstr>
      <vt:lpstr>TC/50</vt:lpstr>
    </vt:vector>
  </TitlesOfParts>
  <Company>UPOV</Company>
  <LinksUpToDate>false</LinksUpToDate>
  <CharactersWithSpaces>17996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TC/51/22 - Revisión del documento TGP/8:  Parte II:  Técnicas utilizadas en el examen DHE, nueva sección:  Métodos estadísticos aplicados a caracteres observados visualmente</dc:title>
  <dc:creator>BOU LLORET Amparo</dc:creator>
  <dc:description>DG (trad. ext.) - 10/2/2015</dc:description>
  <cp:lastModifiedBy>LONG Victoria</cp:lastModifiedBy>
  <cp:revision>6</cp:revision>
  <cp:lastPrinted>2015-02-27T09:58:00Z</cp:lastPrinted>
  <dcterms:created xsi:type="dcterms:W3CDTF">2015-02-11T09:39:00Z</dcterms:created>
  <dcterms:modified xsi:type="dcterms:W3CDTF">2015-02-27T09:59:00Z</dcterms:modified>
</cp:coreProperties>
</file>