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44DDA" w:rsidRPr="0069462C" w:rsidTr="00C13808">
        <w:trPr>
          <w:trHeight w:val="1760"/>
        </w:trPr>
        <w:tc>
          <w:tcPr>
            <w:tcW w:w="4243" w:type="dxa"/>
          </w:tcPr>
          <w:p w:rsidR="000D7780" w:rsidRPr="00BE2214" w:rsidRDefault="000D7780" w:rsidP="00BE2214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744DDA" w:rsidRDefault="004F1D89" w:rsidP="00F45372">
            <w:pPr>
              <w:pStyle w:val="LogoUPOV"/>
              <w:rPr>
                <w:dstrike/>
                <w:lang w:val="es-ES_tradnl"/>
              </w:rPr>
            </w:pPr>
            <w:r w:rsidRPr="00744DDA">
              <w:rPr>
                <w:noProof/>
              </w:rPr>
              <w:drawing>
                <wp:inline distT="0" distB="0" distL="0" distR="0" wp14:anchorId="53251A0D" wp14:editId="5165488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744DDA" w:rsidRDefault="00A47CDB" w:rsidP="00F45372">
            <w:pPr>
              <w:pStyle w:val="Lettrine"/>
              <w:rPr>
                <w:lang w:val="es-ES_tradnl"/>
              </w:rPr>
            </w:pPr>
            <w:r w:rsidRPr="00744DDA">
              <w:rPr>
                <w:lang w:val="es-ES_tradnl"/>
              </w:rPr>
              <w:t>S</w:t>
            </w:r>
          </w:p>
          <w:p w:rsidR="000D7780" w:rsidRPr="00744DDA" w:rsidRDefault="008A1693" w:rsidP="00F45372">
            <w:pPr>
              <w:pStyle w:val="Docoriginal"/>
              <w:rPr>
                <w:lang w:val="es-ES_tradnl"/>
              </w:rPr>
            </w:pPr>
            <w:r w:rsidRPr="00744DDA">
              <w:rPr>
                <w:lang w:val="es-ES_tradnl"/>
              </w:rPr>
              <w:t>TC/</w:t>
            </w:r>
            <w:r w:rsidR="007F4BB2" w:rsidRPr="00744DDA">
              <w:rPr>
                <w:lang w:val="es-ES_tradnl"/>
              </w:rPr>
              <w:t>5</w:t>
            </w:r>
            <w:r w:rsidR="00625523" w:rsidRPr="00744DDA">
              <w:rPr>
                <w:lang w:val="es-ES_tradnl"/>
              </w:rPr>
              <w:t>1</w:t>
            </w:r>
            <w:r w:rsidRPr="00744DDA">
              <w:rPr>
                <w:lang w:val="es-ES_tradnl"/>
              </w:rPr>
              <w:t>/</w:t>
            </w:r>
            <w:bookmarkStart w:id="0" w:name="Code"/>
            <w:bookmarkEnd w:id="0"/>
            <w:r w:rsidR="00B25FF7" w:rsidRPr="00744DDA">
              <w:rPr>
                <w:lang w:val="es-ES_tradnl"/>
              </w:rPr>
              <w:t>18</w:t>
            </w:r>
          </w:p>
          <w:p w:rsidR="000D7780" w:rsidRPr="00744DDA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744DDA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744DDA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744DDA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744DDA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744DDA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744DDA" w:rsidRDefault="00A47CDB" w:rsidP="00B25FF7">
            <w:pPr>
              <w:pStyle w:val="Docoriginal"/>
              <w:rPr>
                <w:lang w:val="es-ES_tradnl"/>
              </w:rPr>
            </w:pPr>
            <w:r w:rsidRPr="00744DDA">
              <w:rPr>
                <w:spacing w:val="0"/>
                <w:lang w:val="es-ES_tradnl"/>
              </w:rPr>
              <w:t>FECHA</w:t>
            </w:r>
            <w:r w:rsidR="000D7780" w:rsidRPr="00744DDA">
              <w:rPr>
                <w:spacing w:val="0"/>
                <w:lang w:val="es-ES_tradnl"/>
              </w:rPr>
              <w:t>:</w:t>
            </w:r>
            <w:r w:rsidR="0061555F" w:rsidRPr="00744DDA">
              <w:rPr>
                <w:b w:val="0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69462C">
              <w:rPr>
                <w:rStyle w:val="StyleDocoriginalNotBold1"/>
                <w:spacing w:val="0"/>
                <w:lang w:val="es-ES_tradnl"/>
              </w:rPr>
              <w:t>6</w:t>
            </w:r>
            <w:r w:rsidR="00B25FF7" w:rsidRPr="00744DDA">
              <w:rPr>
                <w:rStyle w:val="StyleDocoriginalNotBold1"/>
                <w:spacing w:val="0"/>
                <w:lang w:val="es-ES_tradnl"/>
              </w:rPr>
              <w:t xml:space="preserve"> de febrero</w:t>
            </w:r>
            <w:r w:rsidRPr="00744DDA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744DDA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744DDA">
              <w:rPr>
                <w:b w:val="0"/>
                <w:spacing w:val="0"/>
                <w:lang w:val="es-ES_tradnl"/>
              </w:rPr>
              <w:t>201</w:t>
            </w:r>
            <w:r w:rsidR="00625523" w:rsidRPr="00744DDA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744DDA" w:rsidRPr="0069462C" w:rsidTr="00C13808">
        <w:tc>
          <w:tcPr>
            <w:tcW w:w="10131" w:type="dxa"/>
            <w:gridSpan w:val="3"/>
          </w:tcPr>
          <w:p w:rsidR="000D7780" w:rsidRPr="00744DDA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744DDA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744DDA" w:rsidRPr="00744DDA" w:rsidTr="00C13808">
        <w:tc>
          <w:tcPr>
            <w:tcW w:w="10131" w:type="dxa"/>
            <w:gridSpan w:val="3"/>
          </w:tcPr>
          <w:p w:rsidR="000D7780" w:rsidRPr="00744DDA" w:rsidRDefault="00A47CDB" w:rsidP="00F45372">
            <w:pPr>
              <w:pStyle w:val="Country"/>
              <w:rPr>
                <w:lang w:val="es-ES_tradnl"/>
              </w:rPr>
            </w:pPr>
            <w:r w:rsidRPr="00744DDA">
              <w:rPr>
                <w:lang w:val="es-ES_tradnl"/>
              </w:rPr>
              <w:t>Ginebra</w:t>
            </w:r>
          </w:p>
        </w:tc>
      </w:tr>
    </w:tbl>
    <w:p w:rsidR="000D7780" w:rsidRPr="00744DDA" w:rsidRDefault="00A47CDB" w:rsidP="00F45372">
      <w:pPr>
        <w:pStyle w:val="Sessiontc"/>
        <w:rPr>
          <w:lang w:val="es-ES_tradnl"/>
        </w:rPr>
      </w:pPr>
      <w:bookmarkStart w:id="3" w:name="_GoBack"/>
      <w:bookmarkEnd w:id="3"/>
      <w:r w:rsidRPr="00744DDA">
        <w:rPr>
          <w:lang w:val="es-ES_tradnl"/>
        </w:rPr>
        <w:t>Comité TÉCNICO</w:t>
      </w:r>
    </w:p>
    <w:p w:rsidR="00361821" w:rsidRPr="00744DDA" w:rsidRDefault="007F4BB2" w:rsidP="00F45372">
      <w:pPr>
        <w:pStyle w:val="Sessiontcplacedate"/>
        <w:rPr>
          <w:lang w:val="es-ES_tradnl"/>
        </w:rPr>
      </w:pPr>
      <w:r w:rsidRPr="00744DDA">
        <w:rPr>
          <w:lang w:val="es-ES_tradnl"/>
        </w:rPr>
        <w:t>Quincua</w:t>
      </w:r>
      <w:r w:rsidR="00A47CDB" w:rsidRPr="00744DDA">
        <w:rPr>
          <w:lang w:val="es-ES_tradnl"/>
        </w:rPr>
        <w:t xml:space="preserve">gésima </w:t>
      </w:r>
      <w:r w:rsidR="00AA65E7" w:rsidRPr="00744DDA">
        <w:rPr>
          <w:lang w:val="es-ES_tradnl"/>
        </w:rPr>
        <w:t xml:space="preserve">primera </w:t>
      </w:r>
      <w:r w:rsidR="00A47CDB" w:rsidRPr="00744DDA">
        <w:rPr>
          <w:lang w:val="es-ES_tradnl"/>
        </w:rPr>
        <w:t>sesión</w:t>
      </w:r>
      <w:r w:rsidR="00A47CDB" w:rsidRPr="00744DDA">
        <w:rPr>
          <w:lang w:val="es-ES_tradnl"/>
        </w:rPr>
        <w:br/>
        <w:t xml:space="preserve">Ginebra, </w:t>
      </w:r>
      <w:r w:rsidR="00AA65E7" w:rsidRPr="00744DDA">
        <w:rPr>
          <w:lang w:val="es-ES_tradnl"/>
        </w:rPr>
        <w:t>23</w:t>
      </w:r>
      <w:r w:rsidR="008A1693" w:rsidRPr="00744DDA">
        <w:rPr>
          <w:lang w:val="es-ES_tradnl"/>
        </w:rPr>
        <w:t xml:space="preserve"> a </w:t>
      </w:r>
      <w:r w:rsidR="00AA65E7" w:rsidRPr="00744DDA">
        <w:rPr>
          <w:lang w:val="es-ES_tradnl"/>
        </w:rPr>
        <w:t>25</w:t>
      </w:r>
      <w:r w:rsidR="008A1693" w:rsidRPr="00744DDA">
        <w:rPr>
          <w:lang w:val="es-ES_tradnl"/>
        </w:rPr>
        <w:t xml:space="preserve"> </w:t>
      </w:r>
      <w:r w:rsidR="00F77B84" w:rsidRPr="00744DDA">
        <w:rPr>
          <w:lang w:val="es-ES_tradnl"/>
        </w:rPr>
        <w:t>de</w:t>
      </w:r>
      <w:r w:rsidR="008A1693" w:rsidRPr="00744DDA">
        <w:rPr>
          <w:lang w:val="es-ES_tradnl"/>
        </w:rPr>
        <w:t xml:space="preserve"> </w:t>
      </w:r>
      <w:r w:rsidR="00AA65E7" w:rsidRPr="00744DDA">
        <w:rPr>
          <w:lang w:val="es-ES_tradnl"/>
        </w:rPr>
        <w:t xml:space="preserve">marzo </w:t>
      </w:r>
      <w:r w:rsidR="008A1693" w:rsidRPr="00744DDA">
        <w:rPr>
          <w:lang w:val="es-ES_tradnl"/>
        </w:rPr>
        <w:t>de 201</w:t>
      </w:r>
      <w:r w:rsidR="00AA65E7" w:rsidRPr="00744DDA">
        <w:rPr>
          <w:lang w:val="es-ES_tradnl"/>
        </w:rPr>
        <w:t>5</w:t>
      </w:r>
    </w:p>
    <w:p w:rsidR="000D7780" w:rsidRPr="00744DDA" w:rsidRDefault="0018223C" w:rsidP="00B70988">
      <w:pPr>
        <w:pStyle w:val="Titleofdoc0"/>
        <w:rPr>
          <w:lang w:val="es-ES_tradnl"/>
        </w:rPr>
      </w:pPr>
      <w:bookmarkStart w:id="4" w:name="TitleOfDoc"/>
      <w:bookmarkEnd w:id="4"/>
      <w:r>
        <w:rPr>
          <w:lang w:val="es-ES_tradnl"/>
        </w:rPr>
        <w:t xml:space="preserve">Revisión del documento TGP/8: Parte II: </w:t>
      </w:r>
      <w:r w:rsidR="00220182" w:rsidRPr="00744DDA">
        <w:rPr>
          <w:lang w:val="es-ES_tradnl"/>
        </w:rPr>
        <w:t>Técnicas utilizadas en el examen DHE</w:t>
      </w:r>
      <w:r w:rsidR="00B25FF7" w:rsidRPr="00744DDA">
        <w:rPr>
          <w:lang w:val="es-ES_tradnl"/>
        </w:rPr>
        <w:t xml:space="preserve">, </w:t>
      </w:r>
      <w:r w:rsidR="00220182" w:rsidRPr="00744DDA">
        <w:rPr>
          <w:lang w:val="es-ES_tradnl"/>
        </w:rPr>
        <w:br/>
      </w:r>
      <w:r w:rsidR="00B25FF7" w:rsidRPr="00744DDA">
        <w:rPr>
          <w:lang w:val="es-ES_tradnl"/>
        </w:rPr>
        <w:t>N</w:t>
      </w:r>
      <w:r w:rsidR="00220182" w:rsidRPr="00744DDA">
        <w:rPr>
          <w:lang w:val="es-ES_tradnl"/>
        </w:rPr>
        <w:t>UEVA SECCIÓN</w:t>
      </w:r>
      <w:r w:rsidR="00B25FF7" w:rsidRPr="00744DDA">
        <w:rPr>
          <w:lang w:val="es-ES_tradnl"/>
        </w:rPr>
        <w:t>:</w:t>
      </w:r>
      <w:r>
        <w:rPr>
          <w:rFonts w:cs="Arial"/>
          <w:lang w:val="es-ES_tradnl"/>
        </w:rPr>
        <w:t xml:space="preserve"> </w:t>
      </w:r>
      <w:r w:rsidR="00B70988" w:rsidRPr="00744DDA">
        <w:rPr>
          <w:rFonts w:cs="Arial"/>
          <w:lang w:val="es-ES_tradnl"/>
        </w:rPr>
        <w:t>EXAMEN DHE DE MUESTRAS EN BLOQUE</w:t>
      </w:r>
    </w:p>
    <w:p w:rsidR="00184D5D" w:rsidRPr="00744DDA" w:rsidRDefault="00184D5D" w:rsidP="00184D5D">
      <w:pPr>
        <w:pStyle w:val="preparedby1"/>
        <w:rPr>
          <w:color w:val="BFBFBF" w:themeColor="background1" w:themeShade="BF"/>
          <w:lang w:val="es-ES_tradnl"/>
        </w:rPr>
      </w:pPr>
      <w:bookmarkStart w:id="5" w:name="Prepared"/>
      <w:bookmarkEnd w:id="5"/>
      <w:r w:rsidRPr="00744DDA">
        <w:rPr>
          <w:lang w:val="es-ES_tradnl"/>
        </w:rPr>
        <w:t>Documento preparado por la Oficina de la Unión</w:t>
      </w:r>
      <w:r w:rsidRPr="00744DDA">
        <w:rPr>
          <w:lang w:val="es-ES_tradnl"/>
        </w:rPr>
        <w:br/>
      </w:r>
      <w:r w:rsidRPr="00744DDA">
        <w:rPr>
          <w:lang w:val="es-ES_tradnl"/>
        </w:rPr>
        <w:br/>
      </w:r>
      <w:r w:rsidR="0018223C">
        <w:rPr>
          <w:color w:val="BFBFBF" w:themeColor="background1" w:themeShade="BF"/>
          <w:lang w:val="es-ES_tradnl"/>
        </w:rPr>
        <w:t xml:space="preserve">Descargo de responsabilidad: </w:t>
      </w:r>
      <w:r w:rsidRPr="00744DDA">
        <w:rPr>
          <w:color w:val="BFBFBF" w:themeColor="background1" w:themeShade="BF"/>
          <w:lang w:val="es-ES_tradnl"/>
        </w:rPr>
        <w:t>el presente documento no constituye</w:t>
      </w:r>
      <w:r w:rsidRPr="00744DDA">
        <w:rPr>
          <w:color w:val="BFBFBF" w:themeColor="background1" w:themeShade="BF"/>
          <w:lang w:val="es-ES_tradnl"/>
        </w:rPr>
        <w:br/>
        <w:t>un documento de política u orientación de la UPOV</w:t>
      </w:r>
    </w:p>
    <w:p w:rsidR="00B25FF7" w:rsidRPr="00744DDA" w:rsidRDefault="00E51541" w:rsidP="00B25FF7">
      <w:pPr>
        <w:rPr>
          <w:rFonts w:cs="Arial"/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2972B8" w:rsidRPr="00744DDA">
        <w:rPr>
          <w:rFonts w:cs="Arial"/>
          <w:lang w:val="es-ES_tradnl" w:eastAsia="ja-JP"/>
        </w:rPr>
        <w:t>En el presente documento se informa acerca de las novedades relativas a las orientaciones sobre el examen DHE de muestras en bloque para su inclusión en una futura revisión del documento TGP/8</w:t>
      </w:r>
    </w:p>
    <w:p w:rsidR="00B25FF7" w:rsidRPr="00744DDA" w:rsidRDefault="00B25FF7" w:rsidP="00B25FF7">
      <w:pPr>
        <w:rPr>
          <w:rFonts w:cs="Arial"/>
          <w:lang w:val="es-ES_tradnl" w:eastAsia="ja-JP"/>
        </w:rPr>
      </w:pPr>
    </w:p>
    <w:p w:rsidR="00B25FF7" w:rsidRPr="00744DDA" w:rsidRDefault="00E51541" w:rsidP="00B25FF7">
      <w:pPr>
        <w:rPr>
          <w:rFonts w:cs="Arial"/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2972B8" w:rsidRPr="00744DDA">
        <w:rPr>
          <w:rFonts w:cs="Arial"/>
          <w:lang w:val="es-ES_tradnl"/>
        </w:rPr>
        <w:t>En el presente documento se utilizan las abreviaturas siguientes:</w:t>
      </w:r>
    </w:p>
    <w:p w:rsidR="00B25FF7" w:rsidRPr="00744DDA" w:rsidRDefault="00B25FF7" w:rsidP="002972B8">
      <w:pPr>
        <w:rPr>
          <w:rFonts w:cs="Arial"/>
          <w:lang w:val="es-ES_tradnl"/>
        </w:rPr>
      </w:pPr>
    </w:p>
    <w:p w:rsidR="00B25FF7" w:rsidRPr="00744DDA" w:rsidRDefault="00B25FF7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</w:r>
      <w:r w:rsidR="002972B8" w:rsidRPr="00744DDA">
        <w:rPr>
          <w:rFonts w:cs="Arial"/>
          <w:lang w:val="es-ES_tradnl"/>
        </w:rPr>
        <w:t>TC:</w:t>
      </w:r>
      <w:r w:rsidR="002972B8"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Comité Técnico</w:t>
      </w:r>
    </w:p>
    <w:p w:rsidR="00B25FF7" w:rsidRPr="00744DDA" w:rsidRDefault="00B25FF7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  <w:t>TC-EDC:</w:t>
      </w:r>
      <w:r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Comité de Redacción Ampliado</w:t>
      </w:r>
    </w:p>
    <w:p w:rsidR="00B25FF7" w:rsidRPr="00744DDA" w:rsidRDefault="00B25FF7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  <w:t>TWA:</w:t>
      </w:r>
      <w:r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Grupo de Trabajo Técnico sobre Plantas Agrícolas</w:t>
      </w:r>
    </w:p>
    <w:p w:rsidR="00B25FF7" w:rsidRPr="00744DDA" w:rsidRDefault="00B25FF7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  <w:t>TWC:</w:t>
      </w:r>
      <w:r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Grupo de Trabajo Técnico sobre Automatización y Programas Informáticos</w:t>
      </w:r>
    </w:p>
    <w:p w:rsidR="00B25FF7" w:rsidRPr="00744DDA" w:rsidRDefault="00B25FF7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  <w:t xml:space="preserve">TWF: </w:t>
      </w:r>
      <w:r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Grupo de Trabajo Técnico sobre Plantas Frutales</w:t>
      </w:r>
    </w:p>
    <w:p w:rsidR="00B25FF7" w:rsidRPr="00744DDA" w:rsidRDefault="00B25FF7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  <w:t>TWO:</w:t>
      </w:r>
      <w:r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Grupo de Trabajo Técnico sobre Plantas Ornamentales y Árboles Forestales</w:t>
      </w:r>
    </w:p>
    <w:p w:rsidR="00B25FF7" w:rsidRPr="00744DDA" w:rsidRDefault="00F70F4F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  <w:t>TWP</w:t>
      </w:r>
      <w:r w:rsidR="00B25FF7" w:rsidRPr="00744DDA">
        <w:rPr>
          <w:rFonts w:cs="Arial"/>
          <w:lang w:val="es-ES_tradnl"/>
        </w:rPr>
        <w:t>:</w:t>
      </w:r>
      <w:r w:rsidR="00B25FF7"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Grupos de Trabajo Técnico</w:t>
      </w:r>
    </w:p>
    <w:p w:rsidR="00B25FF7" w:rsidRPr="00744DDA" w:rsidRDefault="00B25FF7" w:rsidP="002972B8">
      <w:pPr>
        <w:tabs>
          <w:tab w:val="left" w:pos="567"/>
          <w:tab w:val="left" w:pos="1701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ab/>
        <w:t>TWV:</w:t>
      </w:r>
      <w:r w:rsidRPr="00744DDA">
        <w:rPr>
          <w:rFonts w:cs="Arial"/>
          <w:lang w:val="es-ES_tradnl"/>
        </w:rPr>
        <w:tab/>
      </w:r>
      <w:r w:rsidR="002972B8" w:rsidRPr="00744DDA">
        <w:rPr>
          <w:lang w:val="es-ES_tradnl"/>
        </w:rPr>
        <w:t>Grupo de Trabajo Técnico sobre Hortalizas</w:t>
      </w:r>
    </w:p>
    <w:p w:rsidR="00B25FF7" w:rsidRPr="00744DDA" w:rsidRDefault="00B25FF7" w:rsidP="00B25FF7">
      <w:pPr>
        <w:rPr>
          <w:lang w:val="es-ES_tradnl" w:eastAsia="ja-JP"/>
        </w:rPr>
      </w:pPr>
    </w:p>
    <w:p w:rsidR="00B25FF7" w:rsidRPr="00744DDA" w:rsidRDefault="00B25FF7" w:rsidP="00B25FF7">
      <w:pPr>
        <w:rPr>
          <w:lang w:val="es-ES_tradnl" w:eastAsia="ja-JP"/>
        </w:rPr>
      </w:pPr>
    </w:p>
    <w:p w:rsidR="00B25FF7" w:rsidRPr="00744DDA" w:rsidRDefault="002972B8" w:rsidP="005D0A52">
      <w:pPr>
        <w:pStyle w:val="Heading1"/>
        <w:rPr>
          <w:color w:val="auto"/>
        </w:rPr>
      </w:pPr>
      <w:r w:rsidRPr="00744DDA">
        <w:rPr>
          <w:color w:val="auto"/>
        </w:rPr>
        <w:t>ANTECEDENTES</w:t>
      </w:r>
    </w:p>
    <w:p w:rsidR="00B25FF7" w:rsidRPr="00744DDA" w:rsidRDefault="00B25FF7" w:rsidP="00B25FF7">
      <w:pPr>
        <w:rPr>
          <w:lang w:val="es-ES_tradnl" w:eastAsia="ja-JP"/>
        </w:rPr>
      </w:pPr>
    </w:p>
    <w:p w:rsidR="00B25FF7" w:rsidRPr="00744DDA" w:rsidRDefault="00E51541" w:rsidP="00B25FF7">
      <w:pPr>
        <w:rPr>
          <w:szCs w:val="24"/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B70988" w:rsidRPr="00744DDA">
        <w:rPr>
          <w:szCs w:val="24"/>
          <w:lang w:val="es-ES_tradnl"/>
        </w:rPr>
        <w:t>Los antecedentes de esta cuestión figuran en el documento TC/50/2</w:t>
      </w:r>
      <w:r w:rsidR="00B70988" w:rsidRPr="00744DDA">
        <w:rPr>
          <w:rFonts w:hint="eastAsia"/>
          <w:szCs w:val="24"/>
          <w:lang w:val="es-ES_tradnl" w:eastAsia="ja-JP"/>
        </w:rPr>
        <w:t xml:space="preserve">4 </w:t>
      </w:r>
      <w:r w:rsidR="00B70988" w:rsidRPr="00744DDA">
        <w:rPr>
          <w:szCs w:val="24"/>
          <w:lang w:val="es-ES_tradnl" w:eastAsia="ja-JP"/>
        </w:rPr>
        <w:t>“Revisión del documento TGP/8:</w:t>
      </w:r>
      <w:r w:rsidR="00B25FF7" w:rsidRPr="00744DDA">
        <w:rPr>
          <w:szCs w:val="24"/>
          <w:lang w:val="es-ES_tradnl" w:eastAsia="ja-JP"/>
        </w:rPr>
        <w:t xml:space="preserve"> </w:t>
      </w:r>
      <w:r w:rsidR="00B70988" w:rsidRPr="00744DDA">
        <w:rPr>
          <w:szCs w:val="24"/>
          <w:lang w:val="es-ES_tradnl" w:eastAsia="ja-JP"/>
        </w:rPr>
        <w:t>Parte II:</w:t>
      </w:r>
      <w:r w:rsidR="00B25FF7" w:rsidRPr="00744DDA">
        <w:rPr>
          <w:szCs w:val="24"/>
          <w:lang w:val="es-ES_tradnl" w:eastAsia="ja-JP"/>
        </w:rPr>
        <w:t xml:space="preserve"> </w:t>
      </w:r>
      <w:r w:rsidR="00B70988" w:rsidRPr="00744DDA">
        <w:rPr>
          <w:szCs w:val="24"/>
          <w:lang w:val="es-ES_tradnl" w:eastAsia="ja-JP"/>
        </w:rPr>
        <w:t>Técnicas utilizadas en el examen DHE, nueva sección:</w:t>
      </w:r>
      <w:r w:rsidR="00B25FF7" w:rsidRPr="00744DDA">
        <w:rPr>
          <w:rFonts w:hint="eastAsia"/>
          <w:lang w:val="es-ES_tradnl" w:eastAsia="ja-JP"/>
        </w:rPr>
        <w:t xml:space="preserve"> </w:t>
      </w:r>
      <w:r w:rsidR="00B70988" w:rsidRPr="00744DDA">
        <w:rPr>
          <w:lang w:val="es-ES_tradnl" w:eastAsia="ja-JP"/>
        </w:rPr>
        <w:t>Examen DHE de muestras en bloque</w:t>
      </w:r>
      <w:r w:rsidR="00B70988" w:rsidRPr="00744DDA">
        <w:rPr>
          <w:szCs w:val="24"/>
          <w:lang w:val="es-ES_tradnl" w:eastAsia="ja-JP"/>
        </w:rPr>
        <w:t>”</w:t>
      </w:r>
      <w:r w:rsidR="00B70988" w:rsidRPr="00744DDA">
        <w:rPr>
          <w:rFonts w:hint="eastAsia"/>
          <w:szCs w:val="24"/>
          <w:lang w:val="es-ES_tradnl" w:eastAsia="ja-JP"/>
        </w:rPr>
        <w:t>.</w:t>
      </w:r>
    </w:p>
    <w:p w:rsidR="00B25FF7" w:rsidRPr="00744DDA" w:rsidRDefault="00B25FF7" w:rsidP="00B25FF7">
      <w:pPr>
        <w:rPr>
          <w:u w:val="single"/>
          <w:lang w:val="es-ES_tradnl" w:eastAsia="ja-JP"/>
        </w:rPr>
      </w:pPr>
    </w:p>
    <w:p w:rsidR="00B25FF7" w:rsidRPr="00744DDA" w:rsidRDefault="00B25FF7" w:rsidP="00B25FF7">
      <w:pPr>
        <w:rPr>
          <w:snapToGrid w:val="0"/>
          <w:lang w:val="es-ES_tradnl" w:eastAsia="ja-JP"/>
        </w:rPr>
      </w:pPr>
    </w:p>
    <w:p w:rsidR="00B25FF7" w:rsidRPr="00744DDA" w:rsidRDefault="002972B8" w:rsidP="005D0A52">
      <w:pPr>
        <w:pStyle w:val="Heading1"/>
        <w:rPr>
          <w:color w:val="auto"/>
        </w:rPr>
      </w:pPr>
      <w:r w:rsidRPr="00744DDA">
        <w:rPr>
          <w:color w:val="auto"/>
        </w:rPr>
        <w:t xml:space="preserve">NOVEDADES ACAECIDAS EN </w:t>
      </w:r>
      <w:r w:rsidR="00B25FF7" w:rsidRPr="00744DDA">
        <w:rPr>
          <w:rFonts w:hint="eastAsia"/>
          <w:color w:val="auto"/>
        </w:rPr>
        <w:t>2014</w:t>
      </w:r>
    </w:p>
    <w:p w:rsidR="00B25FF7" w:rsidRPr="00744DDA" w:rsidRDefault="00B25FF7" w:rsidP="00B25FF7">
      <w:pPr>
        <w:rPr>
          <w:snapToGrid w:val="0"/>
          <w:lang w:val="es-ES_tradnl" w:eastAsia="ja-JP"/>
        </w:rPr>
      </w:pPr>
    </w:p>
    <w:p w:rsidR="00B25FF7" w:rsidRPr="00B06942" w:rsidRDefault="0099525D" w:rsidP="00142A73">
      <w:pPr>
        <w:pStyle w:val="Heading2"/>
        <w:rPr>
          <w:color w:val="auto"/>
          <w:lang w:val="es-ES"/>
          <w:rPrChange w:id="6" w:author="REZENDE TAVEIRA Leontino" w:date="2015-02-19T14:40:00Z">
            <w:rPr>
              <w:color w:val="auto"/>
            </w:rPr>
          </w:rPrChange>
        </w:rPr>
      </w:pPr>
      <w:r w:rsidRPr="0018223C">
        <w:rPr>
          <w:color w:val="auto"/>
          <w:lang w:val="es-ES"/>
        </w:rPr>
        <w:t>Comité</w:t>
      </w:r>
      <w:r w:rsidRPr="00B06942">
        <w:rPr>
          <w:color w:val="auto"/>
          <w:lang w:val="es-ES"/>
          <w:rPrChange w:id="7" w:author="REZENDE TAVEIRA Leontino" w:date="2015-02-19T14:40:00Z">
            <w:rPr>
              <w:color w:val="auto"/>
            </w:rPr>
          </w:rPrChange>
        </w:rPr>
        <w:t xml:space="preserve"> </w:t>
      </w:r>
      <w:r w:rsidRPr="0018223C">
        <w:rPr>
          <w:color w:val="auto"/>
          <w:lang w:val="es-ES"/>
        </w:rPr>
        <w:t>Técnico</w:t>
      </w:r>
    </w:p>
    <w:p w:rsidR="00B25FF7" w:rsidRPr="00744DDA" w:rsidRDefault="00B25FF7" w:rsidP="00B25FF7">
      <w:pPr>
        <w:rPr>
          <w:rFonts w:cs="Arial"/>
          <w:lang w:val="es-ES_tradnl"/>
        </w:rPr>
      </w:pPr>
    </w:p>
    <w:p w:rsidR="00B25FF7" w:rsidRPr="00744DDA" w:rsidRDefault="00E51541" w:rsidP="00B25FF7">
      <w:pPr>
        <w:rPr>
          <w:spacing w:val="-4"/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C76012" w:rsidRPr="00744DDA">
        <w:rPr>
          <w:spacing w:val="-4"/>
          <w:lang w:val="es-ES_tradnl"/>
        </w:rPr>
        <w:t xml:space="preserve">En su </w:t>
      </w:r>
      <w:r w:rsidR="00C76012" w:rsidRPr="00744DDA">
        <w:rPr>
          <w:spacing w:val="-4"/>
          <w:lang w:val="es-ES_tradnl" w:eastAsia="ja-JP"/>
        </w:rPr>
        <w:t>quincuagésima</w:t>
      </w:r>
      <w:r w:rsidR="00C76012" w:rsidRPr="00744DDA">
        <w:rPr>
          <w:rFonts w:hint="eastAsia"/>
          <w:spacing w:val="-4"/>
          <w:lang w:val="es-ES_tradnl" w:eastAsia="ja-JP"/>
        </w:rPr>
        <w:t xml:space="preserve"> </w:t>
      </w:r>
      <w:r w:rsidR="00C76012" w:rsidRPr="00744DDA">
        <w:rPr>
          <w:spacing w:val="-4"/>
          <w:lang w:val="es-ES_tradnl" w:eastAsia="ja-JP"/>
        </w:rPr>
        <w:t>sesión</w:t>
      </w:r>
      <w:r w:rsidR="00C76012" w:rsidRPr="00744DDA">
        <w:rPr>
          <w:rFonts w:hint="eastAsia"/>
          <w:spacing w:val="-4"/>
          <w:lang w:val="es-ES_tradnl" w:eastAsia="ja-JP"/>
        </w:rPr>
        <w:t xml:space="preserve">, </w:t>
      </w:r>
      <w:r w:rsidR="00C76012" w:rsidRPr="00744DDA">
        <w:rPr>
          <w:spacing w:val="-4"/>
          <w:lang w:val="es-ES_tradnl" w:eastAsia="ja-JP"/>
        </w:rPr>
        <w:t>celebrada en</w:t>
      </w:r>
      <w:r w:rsidR="00C76012" w:rsidRPr="00744DDA">
        <w:rPr>
          <w:rFonts w:hint="eastAsia"/>
          <w:spacing w:val="-4"/>
          <w:lang w:val="es-ES_tradnl" w:eastAsia="ja-JP"/>
        </w:rPr>
        <w:t xml:space="preserve"> </w:t>
      </w:r>
      <w:r w:rsidR="00C76012" w:rsidRPr="00744DDA">
        <w:rPr>
          <w:spacing w:val="-4"/>
          <w:lang w:val="es-ES_tradnl" w:eastAsia="ja-JP"/>
        </w:rPr>
        <w:t>Ginebra</w:t>
      </w:r>
      <w:r w:rsidR="00C76012" w:rsidRPr="00744DDA">
        <w:rPr>
          <w:rFonts w:hint="eastAsia"/>
          <w:spacing w:val="-4"/>
          <w:lang w:val="es-ES_tradnl" w:eastAsia="ja-JP"/>
        </w:rPr>
        <w:t xml:space="preserve"> </w:t>
      </w:r>
      <w:r w:rsidR="00C76012" w:rsidRPr="00744DDA">
        <w:rPr>
          <w:spacing w:val="-4"/>
          <w:lang w:val="es-ES_tradnl" w:eastAsia="ja-JP"/>
        </w:rPr>
        <w:t xml:space="preserve">del </w:t>
      </w:r>
      <w:r w:rsidR="00C76012" w:rsidRPr="00744DDA">
        <w:rPr>
          <w:rFonts w:hint="eastAsia"/>
          <w:spacing w:val="-4"/>
          <w:lang w:val="es-ES_tradnl" w:eastAsia="ja-JP"/>
        </w:rPr>
        <w:t xml:space="preserve">7 </w:t>
      </w:r>
      <w:r w:rsidR="00C76012" w:rsidRPr="00744DDA">
        <w:rPr>
          <w:spacing w:val="-4"/>
          <w:lang w:val="es-ES_tradnl" w:eastAsia="ja-JP"/>
        </w:rPr>
        <w:t xml:space="preserve">al </w:t>
      </w:r>
      <w:r w:rsidR="00C76012" w:rsidRPr="00744DDA">
        <w:rPr>
          <w:rFonts w:hint="eastAsia"/>
          <w:spacing w:val="-4"/>
          <w:lang w:val="es-ES_tradnl" w:eastAsia="ja-JP"/>
        </w:rPr>
        <w:t>9</w:t>
      </w:r>
      <w:r w:rsidR="00C76012" w:rsidRPr="00744DDA">
        <w:rPr>
          <w:spacing w:val="-4"/>
          <w:lang w:val="es-ES_tradnl" w:eastAsia="ja-JP"/>
        </w:rPr>
        <w:t xml:space="preserve"> de</w:t>
      </w:r>
      <w:r w:rsidR="00C76012" w:rsidRPr="00744DDA">
        <w:rPr>
          <w:rFonts w:hint="eastAsia"/>
          <w:spacing w:val="-4"/>
          <w:lang w:val="es-ES_tradnl" w:eastAsia="ja-JP"/>
        </w:rPr>
        <w:t xml:space="preserve"> </w:t>
      </w:r>
      <w:r w:rsidR="00C76012" w:rsidRPr="00744DDA">
        <w:rPr>
          <w:spacing w:val="-4"/>
          <w:lang w:val="es-ES_tradnl" w:eastAsia="ja-JP"/>
        </w:rPr>
        <w:t>abril</w:t>
      </w:r>
      <w:r w:rsidR="00C76012" w:rsidRPr="00744DDA">
        <w:rPr>
          <w:rFonts w:hint="eastAsia"/>
          <w:spacing w:val="-4"/>
          <w:lang w:val="es-ES_tradnl" w:eastAsia="ja-JP"/>
        </w:rPr>
        <w:t xml:space="preserve">, </w:t>
      </w:r>
      <w:r w:rsidR="00C76012" w:rsidRPr="00744DDA">
        <w:rPr>
          <w:spacing w:val="-4"/>
          <w:lang w:val="es-ES_tradnl"/>
        </w:rPr>
        <w:t xml:space="preserve">el TC </w:t>
      </w:r>
      <w:r w:rsidR="00C76012" w:rsidRPr="00744DDA">
        <w:rPr>
          <w:spacing w:val="-4"/>
          <w:lang w:val="es-ES_tradnl" w:eastAsia="ja-JP"/>
        </w:rPr>
        <w:t>examinó el documento </w:t>
      </w:r>
      <w:r w:rsidR="00C76012" w:rsidRPr="00744DDA">
        <w:rPr>
          <w:rFonts w:hint="eastAsia"/>
          <w:spacing w:val="-4"/>
          <w:lang w:val="es-ES_tradnl" w:eastAsia="ja-JP"/>
        </w:rPr>
        <w:t xml:space="preserve">TC/50/24 </w:t>
      </w:r>
      <w:r w:rsidR="00C76012" w:rsidRPr="00744DDA">
        <w:rPr>
          <w:spacing w:val="-4"/>
          <w:lang w:val="es-ES_tradnl" w:eastAsia="ja-JP"/>
        </w:rPr>
        <w:t>“Revisión del documento TGP/8: Parte II:</w:t>
      </w:r>
      <w:r w:rsidR="004F2C8D" w:rsidRPr="00744DDA">
        <w:rPr>
          <w:spacing w:val="-4"/>
          <w:lang w:val="es-ES_tradnl" w:eastAsia="ja-JP"/>
        </w:rPr>
        <w:t xml:space="preserve">  </w:t>
      </w:r>
      <w:r w:rsidR="00A5128F" w:rsidRPr="00744DDA">
        <w:rPr>
          <w:szCs w:val="24"/>
          <w:lang w:val="es-ES_tradnl" w:eastAsia="ja-JP"/>
        </w:rPr>
        <w:t>Técnicas utilizadas en el examen DHE, nueva sección</w:t>
      </w:r>
      <w:r w:rsidR="00C76012" w:rsidRPr="00744DDA">
        <w:rPr>
          <w:spacing w:val="-4"/>
          <w:lang w:val="es-ES_tradnl" w:eastAsia="ja-JP"/>
        </w:rPr>
        <w:t xml:space="preserve">: </w:t>
      </w:r>
      <w:r w:rsidR="00A5128F" w:rsidRPr="00744DDA">
        <w:rPr>
          <w:lang w:val="es-ES_tradnl" w:eastAsia="ja-JP"/>
        </w:rPr>
        <w:t>Examen DHE de muestras en bloque</w:t>
      </w:r>
      <w:r w:rsidR="00C76012" w:rsidRPr="00744DDA">
        <w:rPr>
          <w:spacing w:val="-4"/>
          <w:lang w:val="es-ES_tradnl" w:eastAsia="ja-JP"/>
        </w:rPr>
        <w:t xml:space="preserve">” </w:t>
      </w:r>
      <w:r w:rsidR="00A5128F" w:rsidRPr="00744DDA">
        <w:rPr>
          <w:spacing w:val="-4"/>
          <w:lang w:val="es-ES_tradnl" w:eastAsia="ja-JP"/>
        </w:rPr>
        <w:t>y cursó una invitación a expertos de Francia y los Países Bajos para que faciliten ejemplos de su experiencia en el establecimiento de caracteres a partir de muestras en bloque en variedades de multiplicación vegetativa y por semillas en los que basar las orientaciones sobre el establecimiento de caracteres examinados a partir de muestras en bloque</w:t>
      </w:r>
      <w:r w:rsidR="00C76012" w:rsidRPr="00744DDA">
        <w:rPr>
          <w:rFonts w:hint="eastAsia"/>
          <w:spacing w:val="-4"/>
          <w:lang w:val="es-ES_tradnl" w:eastAsia="ja-JP"/>
        </w:rPr>
        <w:t xml:space="preserve"> (</w:t>
      </w:r>
      <w:r w:rsidR="00C76012" w:rsidRPr="00744DDA">
        <w:rPr>
          <w:spacing w:val="-4"/>
          <w:lang w:val="es-ES_tradnl" w:eastAsia="ja-JP"/>
        </w:rPr>
        <w:t xml:space="preserve">véase el </w:t>
      </w:r>
      <w:r w:rsidR="00A5128F" w:rsidRPr="00744DDA">
        <w:rPr>
          <w:spacing w:val="-4"/>
          <w:lang w:val="es-ES_tradnl" w:eastAsia="ja-JP"/>
        </w:rPr>
        <w:t>párrafo </w:t>
      </w:r>
      <w:r w:rsidR="00A5128F" w:rsidRPr="00744DDA">
        <w:rPr>
          <w:rFonts w:hint="eastAsia"/>
          <w:spacing w:val="-4"/>
          <w:lang w:val="es-ES_tradnl" w:eastAsia="ja-JP"/>
        </w:rPr>
        <w:t>53</w:t>
      </w:r>
      <w:r w:rsidR="00A5128F" w:rsidRPr="00744DDA">
        <w:rPr>
          <w:spacing w:val="-4"/>
          <w:lang w:val="es-ES_tradnl" w:eastAsia="ja-JP"/>
        </w:rPr>
        <w:t xml:space="preserve"> del </w:t>
      </w:r>
      <w:r w:rsidR="00C76012" w:rsidRPr="00744DDA">
        <w:rPr>
          <w:spacing w:val="-4"/>
          <w:lang w:val="es-ES_tradnl" w:eastAsia="ja-JP"/>
        </w:rPr>
        <w:t>documento</w:t>
      </w:r>
      <w:r w:rsidR="00A5128F" w:rsidRPr="00744DDA">
        <w:rPr>
          <w:spacing w:val="-4"/>
          <w:lang w:val="es-ES_tradnl" w:eastAsia="ja-JP"/>
        </w:rPr>
        <w:t> </w:t>
      </w:r>
      <w:r w:rsidR="00C76012" w:rsidRPr="00744DDA">
        <w:rPr>
          <w:rFonts w:hint="eastAsia"/>
          <w:spacing w:val="-4"/>
          <w:lang w:val="es-ES_tradnl" w:eastAsia="ja-JP"/>
        </w:rPr>
        <w:t xml:space="preserve">TC/50/36 </w:t>
      </w:r>
      <w:r w:rsidR="00C76012" w:rsidRPr="00744DDA">
        <w:rPr>
          <w:spacing w:val="-4"/>
          <w:lang w:val="es-ES_tradnl" w:eastAsia="ja-JP"/>
        </w:rPr>
        <w:t>“Informe sobre las conclusiones</w:t>
      </w:r>
      <w:r w:rsidR="00A5128F" w:rsidRPr="00744DDA">
        <w:rPr>
          <w:spacing w:val="-4"/>
          <w:lang w:val="es-ES_tradnl" w:eastAsia="ja-JP"/>
        </w:rPr>
        <w:t>”</w:t>
      </w:r>
      <w:r w:rsidR="00C76012" w:rsidRPr="00744DDA">
        <w:rPr>
          <w:rFonts w:hint="eastAsia"/>
          <w:spacing w:val="-4"/>
          <w:lang w:val="es-ES_tradnl" w:eastAsia="ja-JP"/>
        </w:rPr>
        <w:t>)</w:t>
      </w:r>
      <w:r w:rsidR="00C76012" w:rsidRPr="00744DDA">
        <w:rPr>
          <w:spacing w:val="-4"/>
          <w:lang w:val="es-ES_tradnl"/>
        </w:rPr>
        <w:t>.</w:t>
      </w:r>
      <w:r w:rsidR="00B25FF7" w:rsidRPr="00744DDA">
        <w:rPr>
          <w:spacing w:val="-4"/>
          <w:lang w:val="es-ES_tradnl"/>
        </w:rPr>
        <w:t xml:space="preserve"> </w:t>
      </w:r>
    </w:p>
    <w:p w:rsidR="00B25FF7" w:rsidRPr="00744DDA" w:rsidRDefault="00B25FF7" w:rsidP="00B25FF7">
      <w:pPr>
        <w:jc w:val="left"/>
        <w:rPr>
          <w:snapToGrid w:val="0"/>
          <w:lang w:val="es-ES_tradnl" w:eastAsia="ja-JP"/>
        </w:rPr>
      </w:pPr>
      <w:r w:rsidRPr="00744DDA">
        <w:rPr>
          <w:snapToGrid w:val="0"/>
          <w:lang w:val="es-ES_tradnl" w:eastAsia="ja-JP"/>
        </w:rPr>
        <w:br w:type="page"/>
      </w:r>
    </w:p>
    <w:p w:rsidR="00B25FF7" w:rsidRPr="0018223C" w:rsidRDefault="007D1A2E" w:rsidP="00142A73">
      <w:pPr>
        <w:pStyle w:val="Heading2"/>
        <w:rPr>
          <w:color w:val="auto"/>
          <w:lang w:val="es-ES"/>
        </w:rPr>
      </w:pPr>
      <w:r w:rsidRPr="0018223C">
        <w:rPr>
          <w:color w:val="auto"/>
          <w:lang w:val="es-ES"/>
        </w:rPr>
        <w:lastRenderedPageBreak/>
        <w:t>Grupos de Trabajo Técnico</w:t>
      </w:r>
    </w:p>
    <w:p w:rsidR="00B25FF7" w:rsidRPr="00744DDA" w:rsidRDefault="00B25FF7" w:rsidP="00B25FF7">
      <w:pPr>
        <w:rPr>
          <w:lang w:val="es-ES_tradnl" w:eastAsia="ja-JP"/>
        </w:rPr>
      </w:pPr>
    </w:p>
    <w:p w:rsidR="00B25FF7" w:rsidRPr="00744DDA" w:rsidRDefault="00E51541" w:rsidP="00B25FF7">
      <w:pPr>
        <w:rPr>
          <w:snapToGrid w:val="0"/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snapToGrid w:val="0"/>
          <w:lang w:val="es-ES_tradnl"/>
        </w:rPr>
        <w:tab/>
      </w:r>
      <w:r w:rsidR="00A5128F" w:rsidRPr="00744DDA">
        <w:rPr>
          <w:snapToGrid w:val="0"/>
          <w:lang w:val="es-ES_tradnl"/>
        </w:rPr>
        <w:t>En sus sesiones de 201</w:t>
      </w:r>
      <w:r w:rsidR="00A5128F" w:rsidRPr="00744DDA">
        <w:rPr>
          <w:rFonts w:hint="eastAsia"/>
          <w:snapToGrid w:val="0"/>
          <w:lang w:val="es-ES_tradnl" w:eastAsia="ja-JP"/>
        </w:rPr>
        <w:t>4</w:t>
      </w:r>
      <w:r w:rsidR="00A5128F" w:rsidRPr="00744DDA">
        <w:rPr>
          <w:snapToGrid w:val="0"/>
          <w:lang w:val="es-ES_tradnl"/>
        </w:rPr>
        <w:t>, el TWO, el TWF, el TW</w:t>
      </w:r>
      <w:r w:rsidR="00A5128F" w:rsidRPr="00744DDA">
        <w:rPr>
          <w:rFonts w:hint="eastAsia"/>
          <w:snapToGrid w:val="0"/>
          <w:lang w:val="es-ES_tradnl" w:eastAsia="ja-JP"/>
        </w:rPr>
        <w:t>C</w:t>
      </w:r>
      <w:r w:rsidR="00A5128F" w:rsidRPr="00744DDA">
        <w:rPr>
          <w:snapToGrid w:val="0"/>
          <w:lang w:val="es-ES_tradnl"/>
        </w:rPr>
        <w:t>, el TW</w:t>
      </w:r>
      <w:r w:rsidR="00A5128F" w:rsidRPr="00744DDA">
        <w:rPr>
          <w:rFonts w:hint="eastAsia"/>
          <w:snapToGrid w:val="0"/>
          <w:lang w:val="es-ES_tradnl" w:eastAsia="ja-JP"/>
        </w:rPr>
        <w:t>V</w:t>
      </w:r>
      <w:r w:rsidR="00A5128F" w:rsidRPr="00744DDA">
        <w:rPr>
          <w:snapToGrid w:val="0"/>
          <w:lang w:val="es-ES_tradnl"/>
        </w:rPr>
        <w:t xml:space="preserve"> y el TWA examinaron</w:t>
      </w:r>
      <w:r w:rsidR="004F2C8D" w:rsidRPr="00744DDA">
        <w:rPr>
          <w:snapToGrid w:val="0"/>
          <w:lang w:val="es-ES_tradnl"/>
        </w:rPr>
        <w:t>, respectivamente</w:t>
      </w:r>
      <w:r w:rsidR="009B55D2" w:rsidRPr="00744DDA">
        <w:rPr>
          <w:snapToGrid w:val="0"/>
          <w:lang w:val="es-ES_tradnl"/>
        </w:rPr>
        <w:t>,</w:t>
      </w:r>
      <w:r w:rsidR="00A5128F" w:rsidRPr="00744DDA">
        <w:rPr>
          <w:snapToGrid w:val="0"/>
          <w:lang w:val="es-ES_tradnl"/>
        </w:rPr>
        <w:t xml:space="preserve"> los documentos TWO/4</w:t>
      </w:r>
      <w:r w:rsidR="00A5128F" w:rsidRPr="00744DDA">
        <w:rPr>
          <w:rFonts w:hint="eastAsia"/>
          <w:snapToGrid w:val="0"/>
          <w:lang w:val="es-ES_tradnl" w:eastAsia="ja-JP"/>
        </w:rPr>
        <w:t>7</w:t>
      </w:r>
      <w:r w:rsidR="00A5128F" w:rsidRPr="00744DDA">
        <w:rPr>
          <w:snapToGrid w:val="0"/>
          <w:lang w:val="es-ES_tradnl"/>
        </w:rPr>
        <w:t>/17, TWF/4</w:t>
      </w:r>
      <w:r w:rsidR="00A5128F" w:rsidRPr="00744DDA">
        <w:rPr>
          <w:rFonts w:hint="eastAsia"/>
          <w:snapToGrid w:val="0"/>
          <w:lang w:val="es-ES_tradnl" w:eastAsia="ja-JP"/>
        </w:rPr>
        <w:t>5</w:t>
      </w:r>
      <w:r w:rsidR="00A5128F" w:rsidRPr="00744DDA">
        <w:rPr>
          <w:snapToGrid w:val="0"/>
          <w:lang w:val="es-ES_tradnl"/>
        </w:rPr>
        <w:t>/17, TWC/3</w:t>
      </w:r>
      <w:r w:rsidR="00A5128F" w:rsidRPr="00744DDA">
        <w:rPr>
          <w:rFonts w:hint="eastAsia"/>
          <w:snapToGrid w:val="0"/>
          <w:lang w:val="es-ES_tradnl" w:eastAsia="ja-JP"/>
        </w:rPr>
        <w:t>2</w:t>
      </w:r>
      <w:r w:rsidR="00A5128F" w:rsidRPr="00744DDA">
        <w:rPr>
          <w:snapToGrid w:val="0"/>
          <w:lang w:val="es-ES_tradnl"/>
        </w:rPr>
        <w:t>/17</w:t>
      </w:r>
      <w:r w:rsidR="00A5128F" w:rsidRPr="00744DDA">
        <w:rPr>
          <w:rFonts w:hint="eastAsia"/>
          <w:snapToGrid w:val="0"/>
          <w:lang w:val="es-ES_tradnl" w:eastAsia="ja-JP"/>
        </w:rPr>
        <w:t>,</w:t>
      </w:r>
      <w:r w:rsidR="00A5128F" w:rsidRPr="00744DDA">
        <w:rPr>
          <w:snapToGrid w:val="0"/>
          <w:lang w:val="es-ES_tradnl"/>
        </w:rPr>
        <w:t xml:space="preserve"> TWV/4</w:t>
      </w:r>
      <w:r w:rsidR="00A5128F" w:rsidRPr="00744DDA">
        <w:rPr>
          <w:rFonts w:hint="eastAsia"/>
          <w:snapToGrid w:val="0"/>
          <w:lang w:val="es-ES_tradnl" w:eastAsia="ja-JP"/>
        </w:rPr>
        <w:t>8</w:t>
      </w:r>
      <w:r w:rsidR="00A5128F" w:rsidRPr="00744DDA">
        <w:rPr>
          <w:snapToGrid w:val="0"/>
          <w:lang w:val="es-ES_tradnl"/>
        </w:rPr>
        <w:t>/17 y TWA/4</w:t>
      </w:r>
      <w:r w:rsidR="00A5128F" w:rsidRPr="00744DDA">
        <w:rPr>
          <w:rFonts w:hint="eastAsia"/>
          <w:snapToGrid w:val="0"/>
          <w:lang w:val="es-ES_tradnl" w:eastAsia="ja-JP"/>
        </w:rPr>
        <w:t>3</w:t>
      </w:r>
      <w:r w:rsidR="00A5128F" w:rsidRPr="00744DDA">
        <w:rPr>
          <w:snapToGrid w:val="0"/>
          <w:lang w:val="es-ES_tradnl"/>
        </w:rPr>
        <w:t>/17</w:t>
      </w:r>
      <w:r w:rsidR="00A5128F" w:rsidRPr="00744DDA">
        <w:rPr>
          <w:rFonts w:hint="eastAsia"/>
          <w:snapToGrid w:val="0"/>
          <w:lang w:val="es-ES_tradnl" w:eastAsia="ja-JP"/>
        </w:rPr>
        <w:t xml:space="preserve"> </w:t>
      </w:r>
      <w:r w:rsidR="00A5128F" w:rsidRPr="00744DDA">
        <w:rPr>
          <w:snapToGrid w:val="0"/>
          <w:lang w:val="es-ES_tradnl" w:eastAsia="ja-JP"/>
        </w:rPr>
        <w:t>“</w:t>
      </w:r>
      <w:r w:rsidR="00A5128F" w:rsidRPr="00744DDA">
        <w:rPr>
          <w:szCs w:val="24"/>
          <w:lang w:val="es-ES_tradnl" w:eastAsia="ja-JP"/>
        </w:rPr>
        <w:t>Revisión del documento TGP/8:</w:t>
      </w:r>
      <w:r w:rsidR="0018223C">
        <w:rPr>
          <w:spacing w:val="-4"/>
          <w:lang w:val="es-ES_tradnl" w:eastAsia="ja-JP"/>
        </w:rPr>
        <w:t xml:space="preserve"> Parte II: </w:t>
      </w:r>
      <w:r w:rsidR="00A5128F" w:rsidRPr="00744DDA">
        <w:rPr>
          <w:spacing w:val="-4"/>
          <w:lang w:val="es-ES_tradnl" w:eastAsia="ja-JP"/>
        </w:rPr>
        <w:t>Técnicas utilizadas en el examen DHE, nueva sección </w:t>
      </w:r>
      <w:r w:rsidR="00A5128F" w:rsidRPr="00744DDA">
        <w:rPr>
          <w:rFonts w:hint="eastAsia"/>
          <w:spacing w:val="-4"/>
          <w:lang w:val="es-ES_tradnl" w:eastAsia="ja-JP"/>
        </w:rPr>
        <w:t>11</w:t>
      </w:r>
      <w:r w:rsidR="00A5128F" w:rsidRPr="00744DDA">
        <w:rPr>
          <w:spacing w:val="-4"/>
          <w:lang w:val="es-ES_tradnl" w:eastAsia="ja-JP"/>
        </w:rPr>
        <w:t>: Examen DHE de muestras en bloque”</w:t>
      </w:r>
      <w:r w:rsidR="00A5128F" w:rsidRPr="00744DDA">
        <w:rPr>
          <w:snapToGrid w:val="0"/>
          <w:lang w:val="es-ES_tradnl"/>
        </w:rPr>
        <w:t>.</w:t>
      </w:r>
    </w:p>
    <w:p w:rsidR="00B25FF7" w:rsidRPr="00744DDA" w:rsidRDefault="00B25FF7" w:rsidP="00B25FF7">
      <w:pPr>
        <w:rPr>
          <w:snapToGrid w:val="0"/>
          <w:lang w:val="es-ES_tradnl" w:eastAsia="ja-JP"/>
        </w:rPr>
      </w:pPr>
    </w:p>
    <w:p w:rsidR="00B25FF7" w:rsidRPr="00744DDA" w:rsidRDefault="00E51541" w:rsidP="00B25FF7">
      <w:pPr>
        <w:rPr>
          <w:rFonts w:cs="Arial"/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C06C9E" w:rsidRPr="00744DDA">
        <w:rPr>
          <w:lang w:val="es-ES_tradnl"/>
        </w:rPr>
        <w:t>El TWO</w:t>
      </w:r>
      <w:r w:rsidR="00C06C9E" w:rsidRPr="00744DDA">
        <w:rPr>
          <w:rFonts w:hint="eastAsia"/>
          <w:lang w:val="es-ES_tradnl" w:eastAsia="ja-JP"/>
        </w:rPr>
        <w:t xml:space="preserve">, </w:t>
      </w:r>
      <w:r w:rsidR="00C06C9E" w:rsidRPr="00744DDA">
        <w:rPr>
          <w:lang w:val="es-ES_tradnl" w:eastAsia="ja-JP"/>
        </w:rPr>
        <w:t>el TWF</w:t>
      </w:r>
      <w:r w:rsidR="00C06C9E" w:rsidRPr="00744DDA">
        <w:rPr>
          <w:rFonts w:hint="eastAsia"/>
          <w:lang w:val="es-ES_tradnl" w:eastAsia="ja-JP"/>
        </w:rPr>
        <w:t xml:space="preserve"> </w:t>
      </w:r>
      <w:r w:rsidR="00C06C9E" w:rsidRPr="00744DDA">
        <w:rPr>
          <w:lang w:val="es-ES_tradnl" w:eastAsia="ja-JP"/>
        </w:rPr>
        <w:t>y el TWV</w:t>
      </w:r>
      <w:r w:rsidR="00C06C9E" w:rsidRPr="00744DDA">
        <w:rPr>
          <w:rFonts w:hint="eastAsia"/>
          <w:lang w:val="es-ES_tradnl" w:eastAsia="ja-JP"/>
        </w:rPr>
        <w:t xml:space="preserve"> </w:t>
      </w:r>
      <w:r w:rsidR="00C06C9E" w:rsidRPr="00744DDA">
        <w:rPr>
          <w:lang w:val="es-ES_tradnl"/>
        </w:rPr>
        <w:t xml:space="preserve">examinaron el ejemplo </w:t>
      </w:r>
      <w:r w:rsidR="00C06C9E" w:rsidRPr="00744DDA">
        <w:rPr>
          <w:rFonts w:cs="Arial"/>
          <w:lang w:val="es-ES_tradnl"/>
        </w:rPr>
        <w:t>de un carácter en bloque de los Países Bajos y convin</w:t>
      </w:r>
      <w:r w:rsidR="00D13AC3" w:rsidRPr="00744DDA">
        <w:rPr>
          <w:rFonts w:cs="Arial"/>
          <w:lang w:val="es-ES_tradnl"/>
        </w:rPr>
        <w:t>ieron</w:t>
      </w:r>
      <w:r w:rsidR="00C06C9E" w:rsidRPr="00744DDA">
        <w:rPr>
          <w:rFonts w:cs="Arial"/>
          <w:lang w:val="es-ES_tradnl"/>
        </w:rPr>
        <w:t xml:space="preserve"> en que en la escala utilizada las notas no deberían solaparse (0-5; </w:t>
      </w:r>
      <w:r w:rsidR="00C06C9E" w:rsidRPr="00744DDA">
        <w:rPr>
          <w:rFonts w:cs="Arial"/>
          <w:strike/>
          <w:highlight w:val="lightGray"/>
          <w:lang w:val="es-ES_tradnl"/>
        </w:rPr>
        <w:t>5</w:t>
      </w:r>
      <w:r w:rsidR="00C06C9E" w:rsidRPr="00744DDA">
        <w:rPr>
          <w:rFonts w:cs="Arial"/>
          <w:highlight w:val="lightGray"/>
          <w:u w:val="single"/>
          <w:lang w:val="es-ES_tradnl"/>
        </w:rPr>
        <w:t>6</w:t>
      </w:r>
      <w:r w:rsidR="00C06C9E" w:rsidRPr="00744DDA">
        <w:rPr>
          <w:rFonts w:cs="Arial"/>
          <w:lang w:val="es-ES_tradnl"/>
        </w:rPr>
        <w:t xml:space="preserve">-10; </w:t>
      </w:r>
      <w:r w:rsidR="00C06C9E" w:rsidRPr="00744DDA">
        <w:rPr>
          <w:rFonts w:cs="Arial"/>
          <w:strike/>
          <w:highlight w:val="lightGray"/>
          <w:lang w:val="es-ES_tradnl"/>
        </w:rPr>
        <w:t>10</w:t>
      </w:r>
      <w:r w:rsidR="00C06C9E" w:rsidRPr="00744DDA">
        <w:rPr>
          <w:rFonts w:cs="Arial"/>
          <w:highlight w:val="lightGray"/>
          <w:u w:val="single"/>
          <w:lang w:val="es-ES_tradnl"/>
        </w:rPr>
        <w:t>11</w:t>
      </w:r>
      <w:r w:rsidR="00C06C9E" w:rsidRPr="00744DDA">
        <w:rPr>
          <w:rFonts w:cs="Arial"/>
          <w:lang w:val="es-ES_tradnl"/>
        </w:rPr>
        <w:t>-15; …)</w:t>
      </w:r>
      <w:r w:rsidR="00C06C9E" w:rsidRPr="00744DDA">
        <w:rPr>
          <w:rFonts w:cs="Arial" w:hint="eastAsia"/>
          <w:lang w:val="es-ES_tradnl" w:eastAsia="ja-JP"/>
        </w:rPr>
        <w:t xml:space="preserve"> (</w:t>
      </w:r>
      <w:r w:rsidR="00C06C9E" w:rsidRPr="00744DDA">
        <w:rPr>
          <w:rFonts w:cs="Arial"/>
          <w:lang w:val="es-ES_tradnl" w:eastAsia="ja-JP"/>
        </w:rPr>
        <w:t>véanse el párrafo </w:t>
      </w:r>
      <w:r w:rsidR="00C06C9E" w:rsidRPr="00744DDA">
        <w:rPr>
          <w:rFonts w:cs="Arial" w:hint="eastAsia"/>
          <w:lang w:val="es-ES_tradnl" w:eastAsia="ja-JP"/>
        </w:rPr>
        <w:t>44</w:t>
      </w:r>
      <w:r w:rsidR="00C06C9E" w:rsidRPr="00744DDA">
        <w:rPr>
          <w:rFonts w:cs="Arial"/>
          <w:lang w:val="es-ES_tradnl" w:eastAsia="ja-JP"/>
        </w:rPr>
        <w:t xml:space="preserve"> del </w:t>
      </w:r>
      <w:r w:rsidR="00C06C9E" w:rsidRPr="00744DDA">
        <w:rPr>
          <w:rFonts w:cs="Arial" w:hint="eastAsia"/>
          <w:lang w:val="es-ES_tradnl" w:eastAsia="ja-JP"/>
        </w:rPr>
        <w:t>document</w:t>
      </w:r>
      <w:r w:rsidR="00C06C9E" w:rsidRPr="00744DDA">
        <w:rPr>
          <w:rFonts w:cs="Arial"/>
          <w:lang w:val="es-ES_tradnl" w:eastAsia="ja-JP"/>
        </w:rPr>
        <w:t>o </w:t>
      </w:r>
      <w:r w:rsidR="00C06C9E" w:rsidRPr="00744DDA">
        <w:rPr>
          <w:rFonts w:cs="Arial" w:hint="eastAsia"/>
          <w:lang w:val="es-ES_tradnl" w:eastAsia="ja-JP"/>
        </w:rPr>
        <w:t xml:space="preserve">TWO/47/28 </w:t>
      </w:r>
      <w:r w:rsidR="00C06C9E" w:rsidRPr="00744DDA">
        <w:rPr>
          <w:rFonts w:cs="Arial"/>
          <w:lang w:val="es-ES_tradnl" w:eastAsia="ja-JP"/>
        </w:rPr>
        <w:t>“</w:t>
      </w:r>
      <w:r w:rsidR="00C06C9E" w:rsidRPr="00744DDA">
        <w:rPr>
          <w:rFonts w:cs="Arial" w:hint="eastAsia"/>
          <w:i/>
          <w:lang w:val="es-ES_tradnl" w:eastAsia="ja-JP"/>
        </w:rPr>
        <w:t>Report</w:t>
      </w:r>
      <w:r w:rsidR="00C06C9E" w:rsidRPr="00744DDA">
        <w:rPr>
          <w:rFonts w:cs="Arial"/>
          <w:lang w:val="es-ES_tradnl" w:eastAsia="ja-JP"/>
        </w:rPr>
        <w:t>”,</w:t>
      </w:r>
      <w:r w:rsidR="00C06C9E" w:rsidRPr="00744DDA">
        <w:rPr>
          <w:rFonts w:cs="Arial" w:hint="eastAsia"/>
          <w:lang w:val="es-ES_tradnl" w:eastAsia="ja-JP"/>
        </w:rPr>
        <w:t xml:space="preserve"> </w:t>
      </w:r>
      <w:r w:rsidR="00C06C9E" w:rsidRPr="00744DDA">
        <w:rPr>
          <w:rFonts w:cs="Arial"/>
          <w:lang w:val="es-ES_tradnl" w:eastAsia="ja-JP"/>
        </w:rPr>
        <w:t>el párrafo </w:t>
      </w:r>
      <w:r w:rsidR="00C06C9E" w:rsidRPr="00744DDA">
        <w:rPr>
          <w:rFonts w:cs="Arial" w:hint="eastAsia"/>
          <w:lang w:val="es-ES_tradnl" w:eastAsia="ja-JP"/>
        </w:rPr>
        <w:t xml:space="preserve">35 </w:t>
      </w:r>
      <w:r w:rsidR="00C06C9E" w:rsidRPr="00744DDA">
        <w:rPr>
          <w:rFonts w:cs="Arial"/>
          <w:lang w:val="es-ES_tradnl" w:eastAsia="ja-JP"/>
        </w:rPr>
        <w:t xml:space="preserve">del </w:t>
      </w:r>
      <w:r w:rsidR="00C06C9E" w:rsidRPr="00744DDA">
        <w:rPr>
          <w:rFonts w:cs="Arial" w:hint="eastAsia"/>
          <w:lang w:val="es-ES_tradnl" w:eastAsia="ja-JP"/>
        </w:rPr>
        <w:t>document</w:t>
      </w:r>
      <w:r w:rsidR="00C06C9E" w:rsidRPr="00744DDA">
        <w:rPr>
          <w:rFonts w:cs="Arial"/>
          <w:lang w:val="es-ES_tradnl" w:eastAsia="ja-JP"/>
        </w:rPr>
        <w:t>o </w:t>
      </w:r>
      <w:r w:rsidR="00C06C9E" w:rsidRPr="00744DDA">
        <w:rPr>
          <w:rFonts w:cs="Arial" w:hint="eastAsia"/>
          <w:lang w:val="es-ES_tradnl" w:eastAsia="ja-JP"/>
        </w:rPr>
        <w:t xml:space="preserve">TWF/45/32 </w:t>
      </w:r>
      <w:r w:rsidR="00C06C9E" w:rsidRPr="00744DDA">
        <w:rPr>
          <w:rFonts w:cs="Arial"/>
          <w:lang w:val="es-ES_tradnl" w:eastAsia="ja-JP"/>
        </w:rPr>
        <w:t>“</w:t>
      </w:r>
      <w:r w:rsidR="00C06C9E" w:rsidRPr="00744DDA">
        <w:rPr>
          <w:rFonts w:cs="Arial" w:hint="eastAsia"/>
          <w:i/>
          <w:lang w:val="es-ES_tradnl" w:eastAsia="ja-JP"/>
        </w:rPr>
        <w:t>Report</w:t>
      </w:r>
      <w:r w:rsidR="00C06C9E" w:rsidRPr="00744DDA">
        <w:rPr>
          <w:rFonts w:cs="Arial"/>
          <w:lang w:val="es-ES_tradnl" w:eastAsia="ja-JP"/>
        </w:rPr>
        <w:t>”</w:t>
      </w:r>
      <w:r w:rsidR="00C06C9E" w:rsidRPr="00744DDA">
        <w:rPr>
          <w:rFonts w:cs="Arial" w:hint="eastAsia"/>
          <w:lang w:val="es-ES_tradnl" w:eastAsia="ja-JP"/>
        </w:rPr>
        <w:t xml:space="preserve"> </w:t>
      </w:r>
      <w:r w:rsidR="00C06C9E" w:rsidRPr="00744DDA">
        <w:rPr>
          <w:rFonts w:cs="Arial"/>
          <w:lang w:val="es-ES_tradnl" w:eastAsia="ja-JP"/>
        </w:rPr>
        <w:t>y el párrafo </w:t>
      </w:r>
      <w:r w:rsidR="00C06C9E" w:rsidRPr="00744DDA">
        <w:rPr>
          <w:rFonts w:cs="Arial" w:hint="eastAsia"/>
          <w:lang w:val="es-ES_tradnl" w:eastAsia="ja-JP"/>
        </w:rPr>
        <w:t>40</w:t>
      </w:r>
      <w:r w:rsidR="00C06C9E" w:rsidRPr="00744DDA">
        <w:rPr>
          <w:rFonts w:cs="Arial"/>
          <w:lang w:val="es-ES_tradnl" w:eastAsia="ja-JP"/>
        </w:rPr>
        <w:t xml:space="preserve"> del </w:t>
      </w:r>
      <w:r w:rsidR="00C06C9E" w:rsidRPr="00744DDA">
        <w:rPr>
          <w:rFonts w:cs="Arial" w:hint="eastAsia"/>
          <w:lang w:val="es-ES_tradnl" w:eastAsia="ja-JP"/>
        </w:rPr>
        <w:t>document</w:t>
      </w:r>
      <w:r w:rsidR="00C06C9E" w:rsidRPr="00744DDA">
        <w:rPr>
          <w:rFonts w:cs="Arial"/>
          <w:lang w:val="es-ES_tradnl" w:eastAsia="ja-JP"/>
        </w:rPr>
        <w:t>o </w:t>
      </w:r>
      <w:r w:rsidR="00C06C9E" w:rsidRPr="00744DDA">
        <w:rPr>
          <w:rFonts w:cs="Arial" w:hint="eastAsia"/>
          <w:lang w:val="es-ES_tradnl" w:eastAsia="ja-JP"/>
        </w:rPr>
        <w:t xml:space="preserve">TWV/48/43 </w:t>
      </w:r>
      <w:r w:rsidR="00C06C9E" w:rsidRPr="00744DDA">
        <w:rPr>
          <w:rFonts w:cs="Arial"/>
          <w:lang w:val="es-ES_tradnl" w:eastAsia="ja-JP"/>
        </w:rPr>
        <w:t>“</w:t>
      </w:r>
      <w:r w:rsidR="00C06C9E" w:rsidRPr="00744DDA">
        <w:rPr>
          <w:rFonts w:cs="Arial" w:hint="eastAsia"/>
          <w:i/>
          <w:lang w:val="es-ES_tradnl" w:eastAsia="ja-JP"/>
        </w:rPr>
        <w:t>Report</w:t>
      </w:r>
      <w:r w:rsidR="00C06C9E" w:rsidRPr="00744DDA">
        <w:rPr>
          <w:rFonts w:cs="Arial"/>
          <w:lang w:val="es-ES_tradnl" w:eastAsia="ja-JP"/>
        </w:rPr>
        <w:t>”</w:t>
      </w:r>
      <w:r w:rsidR="00C06C9E" w:rsidRPr="00744DDA">
        <w:rPr>
          <w:rFonts w:cs="Arial" w:hint="eastAsia"/>
          <w:lang w:val="es-ES_tradnl" w:eastAsia="ja-JP"/>
        </w:rPr>
        <w:t xml:space="preserve">, </w:t>
      </w:r>
      <w:r w:rsidR="00C06C9E" w:rsidRPr="00744DDA">
        <w:rPr>
          <w:rFonts w:cs="Arial"/>
          <w:lang w:val="es-ES_tradnl" w:eastAsia="ja-JP"/>
        </w:rPr>
        <w:t>respectivamente</w:t>
      </w:r>
      <w:r w:rsidR="00C06C9E" w:rsidRPr="00744DDA">
        <w:rPr>
          <w:rFonts w:cs="Arial" w:hint="eastAsia"/>
          <w:lang w:val="es-ES_tradnl" w:eastAsia="ja-JP"/>
        </w:rPr>
        <w:t>)</w:t>
      </w:r>
      <w:r w:rsidR="00C06C9E" w:rsidRPr="00744DDA">
        <w:rPr>
          <w:rFonts w:cs="Arial"/>
          <w:lang w:val="es-ES_tradnl" w:eastAsia="ja-JP"/>
        </w:rPr>
        <w:t>.</w:t>
      </w:r>
    </w:p>
    <w:p w:rsidR="00B25FF7" w:rsidRPr="00744DDA" w:rsidRDefault="00B25FF7" w:rsidP="00B25FF7">
      <w:pPr>
        <w:rPr>
          <w:rFonts w:cs="Arial"/>
          <w:lang w:val="es-ES_tradnl"/>
        </w:rPr>
      </w:pPr>
    </w:p>
    <w:p w:rsidR="00B25FF7" w:rsidRPr="00744DDA" w:rsidRDefault="00E51541" w:rsidP="00B25FF7">
      <w:pPr>
        <w:rPr>
          <w:rFonts w:cs="Arial"/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C06C9E" w:rsidRPr="00744DDA">
        <w:rPr>
          <w:lang w:val="es-ES_tradnl"/>
        </w:rPr>
        <w:t>El TWO tom</w:t>
      </w:r>
      <w:r w:rsidR="00D13AC3" w:rsidRPr="00744DDA">
        <w:rPr>
          <w:lang w:val="es-ES_tradnl"/>
        </w:rPr>
        <w:t>ó</w:t>
      </w:r>
      <w:r w:rsidR="00C06C9E" w:rsidRPr="00744DDA">
        <w:rPr>
          <w:lang w:val="es-ES_tradnl"/>
        </w:rPr>
        <w:t xml:space="preserve"> nota de la información según la cual “[…] </w:t>
      </w:r>
      <w:r w:rsidR="00C06C9E" w:rsidRPr="00744DDA">
        <w:rPr>
          <w:i/>
          <w:lang w:val="es-ES_tradnl"/>
        </w:rPr>
        <w:t xml:space="preserve">los resultados </w:t>
      </w:r>
      <w:r w:rsidR="00D13AC3" w:rsidRPr="00744DDA">
        <w:rPr>
          <w:i/>
          <w:lang w:val="es-ES_tradnl"/>
        </w:rPr>
        <w:t>desglosados por variedades</w:t>
      </w:r>
      <w:r w:rsidR="00C06C9E" w:rsidRPr="00744DDA">
        <w:rPr>
          <w:i/>
          <w:lang w:val="es-ES_tradnl"/>
        </w:rPr>
        <w:t xml:space="preserve"> </w:t>
      </w:r>
      <w:r w:rsidR="00307773" w:rsidRPr="00744DDA">
        <w:rPr>
          <w:i/>
          <w:lang w:val="es-ES_tradnl"/>
        </w:rPr>
        <w:t>se mantienen e</w:t>
      </w:r>
      <w:r w:rsidR="00C06C9E" w:rsidRPr="00744DDA">
        <w:rPr>
          <w:i/>
          <w:lang w:val="es-ES_tradnl"/>
        </w:rPr>
        <w:t>stable</w:t>
      </w:r>
      <w:r w:rsidR="00307773" w:rsidRPr="00744DDA">
        <w:rPr>
          <w:i/>
          <w:lang w:val="es-ES_tradnl"/>
        </w:rPr>
        <w:t>s</w:t>
      </w:r>
      <w:r w:rsidR="00C06C9E" w:rsidRPr="00744DDA">
        <w:rPr>
          <w:i/>
          <w:lang w:val="es-ES_tradnl"/>
        </w:rPr>
        <w:t xml:space="preserve"> </w:t>
      </w:r>
      <w:r w:rsidR="00307773" w:rsidRPr="00744DDA">
        <w:rPr>
          <w:i/>
          <w:lang w:val="es-ES_tradnl"/>
        </w:rPr>
        <w:t xml:space="preserve">a lo largo de los años con solo </w:t>
      </w:r>
      <w:r w:rsidR="00C06C9E" w:rsidRPr="00744DDA">
        <w:rPr>
          <w:i/>
          <w:lang w:val="es-ES_tradnl"/>
        </w:rPr>
        <w:t>3 plant</w:t>
      </w:r>
      <w:r w:rsidR="00307773" w:rsidRPr="00744DDA">
        <w:rPr>
          <w:i/>
          <w:lang w:val="es-ES_tradnl"/>
        </w:rPr>
        <w:t>a</w:t>
      </w:r>
      <w:r w:rsidR="00C06C9E" w:rsidRPr="00744DDA">
        <w:rPr>
          <w:i/>
          <w:lang w:val="es-ES_tradnl"/>
        </w:rPr>
        <w:t>s p</w:t>
      </w:r>
      <w:r w:rsidR="00307773" w:rsidRPr="00744DDA">
        <w:rPr>
          <w:i/>
          <w:lang w:val="es-ES_tradnl"/>
        </w:rPr>
        <w:t>o</w:t>
      </w:r>
      <w:r w:rsidR="00C06C9E" w:rsidRPr="00744DDA">
        <w:rPr>
          <w:i/>
          <w:lang w:val="es-ES_tradnl"/>
        </w:rPr>
        <w:t>r varie</w:t>
      </w:r>
      <w:r w:rsidR="00307773" w:rsidRPr="00744DDA">
        <w:rPr>
          <w:i/>
          <w:lang w:val="es-ES_tradnl"/>
        </w:rPr>
        <w:t>dad</w:t>
      </w:r>
      <w:r w:rsidR="00C06C9E" w:rsidRPr="00744DDA">
        <w:rPr>
          <w:i/>
          <w:lang w:val="es-ES_tradnl"/>
        </w:rPr>
        <w:t>.</w:t>
      </w:r>
      <w:r w:rsidR="00B25FF7" w:rsidRPr="00744DDA">
        <w:rPr>
          <w:i/>
          <w:lang w:val="es-ES_tradnl"/>
        </w:rPr>
        <w:t xml:space="preserve"> </w:t>
      </w:r>
      <w:r w:rsidR="00307773" w:rsidRPr="00744DDA">
        <w:rPr>
          <w:i/>
          <w:lang w:val="es-ES_tradnl"/>
        </w:rPr>
        <w:t>Esto indica que el carácter es homogéneo entre plantas dentro de la variedad </w:t>
      </w:r>
      <w:r w:rsidR="00307773" w:rsidRPr="00744DDA">
        <w:rPr>
          <w:lang w:val="es-ES_tradnl"/>
        </w:rPr>
        <w:t>[…]”.</w:t>
      </w:r>
      <w:r w:rsidR="00B25FF7" w:rsidRPr="00744DDA">
        <w:rPr>
          <w:lang w:val="es-ES_tradnl"/>
        </w:rPr>
        <w:t xml:space="preserve"> </w:t>
      </w:r>
      <w:r w:rsidR="00307773" w:rsidRPr="00744DDA">
        <w:rPr>
          <w:lang w:val="es-ES_tradnl"/>
        </w:rPr>
        <w:t xml:space="preserve">El TWO </w:t>
      </w:r>
      <w:r w:rsidR="00307773" w:rsidRPr="00744DDA">
        <w:rPr>
          <w:lang w:val="es-ES_tradnl" w:eastAsia="ja-JP"/>
        </w:rPr>
        <w:t>y el TWA</w:t>
      </w:r>
      <w:r w:rsidR="00307773" w:rsidRPr="00744DDA">
        <w:rPr>
          <w:rFonts w:hint="eastAsia"/>
          <w:lang w:val="es-ES_tradnl" w:eastAsia="ja-JP"/>
        </w:rPr>
        <w:t xml:space="preserve"> </w:t>
      </w:r>
      <w:r w:rsidR="00307773" w:rsidRPr="00744DDA">
        <w:rPr>
          <w:lang w:val="es-ES_tradnl" w:eastAsia="ja-JP"/>
        </w:rPr>
        <w:t xml:space="preserve">convinieron en que </w:t>
      </w:r>
      <w:r w:rsidR="00307773" w:rsidRPr="00744DDA">
        <w:rPr>
          <w:lang w:val="es-ES_tradnl"/>
        </w:rPr>
        <w:t xml:space="preserve">lo habitual era confirmar la homogeneidad antes de determinar la estabilidad y en que se debería </w:t>
      </w:r>
      <w:r w:rsidR="008D0BED" w:rsidRPr="00744DDA">
        <w:rPr>
          <w:lang w:val="es-ES_tradnl"/>
        </w:rPr>
        <w:t xml:space="preserve">poner cuidado en el examen de la estabilidad y permitir </w:t>
      </w:r>
      <w:r w:rsidR="00307773" w:rsidRPr="00744DDA">
        <w:rPr>
          <w:lang w:val="es-ES_tradnl"/>
        </w:rPr>
        <w:t>determinar la homogeneidad de una variedad con respecto a un carácter</w:t>
      </w:r>
      <w:r w:rsidR="00307773" w:rsidRPr="00744DDA">
        <w:rPr>
          <w:rFonts w:hint="eastAsia"/>
          <w:lang w:val="es-ES_tradnl" w:eastAsia="ja-JP"/>
        </w:rPr>
        <w:t xml:space="preserve"> </w:t>
      </w:r>
      <w:r w:rsidR="00307773" w:rsidRPr="00744DDA">
        <w:rPr>
          <w:lang w:val="es-ES_tradnl" w:eastAsia="ja-JP"/>
        </w:rPr>
        <w:t xml:space="preserve">dado </w:t>
      </w:r>
      <w:r w:rsidR="00307773" w:rsidRPr="00744DDA">
        <w:rPr>
          <w:rFonts w:cs="Arial" w:hint="eastAsia"/>
          <w:lang w:val="es-ES_tradnl" w:eastAsia="ja-JP"/>
        </w:rPr>
        <w:t>(</w:t>
      </w:r>
      <w:r w:rsidR="00307773" w:rsidRPr="00744DDA">
        <w:rPr>
          <w:rFonts w:cs="Arial"/>
          <w:lang w:val="es-ES_tradnl" w:eastAsia="ja-JP"/>
        </w:rPr>
        <w:t>véanse el párrafo </w:t>
      </w:r>
      <w:r w:rsidR="00307773" w:rsidRPr="00744DDA">
        <w:rPr>
          <w:rFonts w:cs="Arial" w:hint="eastAsia"/>
          <w:lang w:val="es-ES_tradnl" w:eastAsia="ja-JP"/>
        </w:rPr>
        <w:t xml:space="preserve">45 </w:t>
      </w:r>
      <w:r w:rsidR="00307773" w:rsidRPr="00744DDA">
        <w:rPr>
          <w:rFonts w:cs="Arial"/>
          <w:lang w:val="es-ES_tradnl" w:eastAsia="ja-JP"/>
        </w:rPr>
        <w:t xml:space="preserve">del </w:t>
      </w:r>
      <w:r w:rsidR="00307773" w:rsidRPr="00744DDA">
        <w:rPr>
          <w:rFonts w:cs="Arial" w:hint="eastAsia"/>
          <w:lang w:val="es-ES_tradnl" w:eastAsia="ja-JP"/>
        </w:rPr>
        <w:t>document</w:t>
      </w:r>
      <w:r w:rsidR="00307773" w:rsidRPr="00744DDA">
        <w:rPr>
          <w:rFonts w:cs="Arial"/>
          <w:lang w:val="es-ES_tradnl" w:eastAsia="ja-JP"/>
        </w:rPr>
        <w:t>o </w:t>
      </w:r>
      <w:r w:rsidR="00307773" w:rsidRPr="00744DDA">
        <w:rPr>
          <w:rFonts w:cs="Arial" w:hint="eastAsia"/>
          <w:lang w:val="es-ES_tradnl" w:eastAsia="ja-JP"/>
        </w:rPr>
        <w:t xml:space="preserve">TWO/47/28 </w:t>
      </w:r>
      <w:r w:rsidR="00307773" w:rsidRPr="00744DDA">
        <w:rPr>
          <w:rFonts w:cs="Arial"/>
          <w:lang w:val="es-ES_tradnl" w:eastAsia="ja-JP"/>
        </w:rPr>
        <w:t>y el párrafo </w:t>
      </w:r>
      <w:r w:rsidR="00307773" w:rsidRPr="00744DDA">
        <w:rPr>
          <w:rFonts w:cs="Arial" w:hint="eastAsia"/>
          <w:lang w:val="es-ES_tradnl" w:eastAsia="ja-JP"/>
        </w:rPr>
        <w:t>37</w:t>
      </w:r>
      <w:r w:rsidR="00307773" w:rsidRPr="00744DDA">
        <w:rPr>
          <w:rFonts w:cs="Arial"/>
          <w:lang w:val="es-ES_tradnl" w:eastAsia="ja-JP"/>
        </w:rPr>
        <w:t xml:space="preserve"> del </w:t>
      </w:r>
      <w:r w:rsidR="00307773" w:rsidRPr="00744DDA">
        <w:rPr>
          <w:rFonts w:cs="Arial" w:hint="eastAsia"/>
          <w:lang w:val="es-ES_tradnl" w:eastAsia="ja-JP"/>
        </w:rPr>
        <w:t>document</w:t>
      </w:r>
      <w:r w:rsidR="00307773" w:rsidRPr="00744DDA">
        <w:rPr>
          <w:rFonts w:cs="Arial"/>
          <w:lang w:val="es-ES_tradnl" w:eastAsia="ja-JP"/>
        </w:rPr>
        <w:t>o </w:t>
      </w:r>
      <w:r w:rsidR="00307773" w:rsidRPr="00744DDA">
        <w:rPr>
          <w:rFonts w:cs="Arial" w:hint="eastAsia"/>
          <w:lang w:val="es-ES_tradnl" w:eastAsia="ja-JP"/>
        </w:rPr>
        <w:t xml:space="preserve">TWA/43/27 </w:t>
      </w:r>
      <w:r w:rsidR="00307773" w:rsidRPr="00744DDA">
        <w:rPr>
          <w:rFonts w:cs="Arial"/>
          <w:lang w:val="es-ES_tradnl" w:eastAsia="ja-JP"/>
        </w:rPr>
        <w:t>“</w:t>
      </w:r>
      <w:r w:rsidR="00307773" w:rsidRPr="00744DDA">
        <w:rPr>
          <w:rFonts w:cs="Arial" w:hint="eastAsia"/>
          <w:i/>
          <w:lang w:val="es-ES_tradnl" w:eastAsia="ja-JP"/>
        </w:rPr>
        <w:t>Report</w:t>
      </w:r>
      <w:r w:rsidR="00307773" w:rsidRPr="00744DDA">
        <w:rPr>
          <w:rFonts w:cs="Arial"/>
          <w:lang w:val="es-ES_tradnl" w:eastAsia="ja-JP"/>
        </w:rPr>
        <w:t>”</w:t>
      </w:r>
      <w:r w:rsidR="00307773" w:rsidRPr="00744DDA">
        <w:rPr>
          <w:rFonts w:cs="Arial" w:hint="eastAsia"/>
          <w:lang w:val="es-ES_tradnl" w:eastAsia="ja-JP"/>
        </w:rPr>
        <w:t>)</w:t>
      </w:r>
      <w:r w:rsidR="00307773" w:rsidRPr="00744DDA">
        <w:rPr>
          <w:lang w:val="es-ES_tradnl"/>
        </w:rPr>
        <w:t>.</w:t>
      </w:r>
    </w:p>
    <w:p w:rsidR="00B25FF7" w:rsidRPr="00744DDA" w:rsidRDefault="00B25FF7" w:rsidP="00B25FF7">
      <w:pPr>
        <w:rPr>
          <w:lang w:val="es-ES_tradnl"/>
        </w:rPr>
      </w:pPr>
    </w:p>
    <w:p w:rsidR="00B25FF7" w:rsidRPr="00744DDA" w:rsidRDefault="00E51541" w:rsidP="00B25FF7">
      <w:pPr>
        <w:rPr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307773" w:rsidRPr="00744DDA">
        <w:rPr>
          <w:rFonts w:cs="Arial"/>
          <w:lang w:val="es-ES_tradnl"/>
        </w:rPr>
        <w:t xml:space="preserve">El TWO convino en que, para la elaboración de orientaciones podrían </w:t>
      </w:r>
      <w:r w:rsidR="002377F3" w:rsidRPr="00744DDA">
        <w:rPr>
          <w:rFonts w:cs="Arial"/>
          <w:lang w:val="es-ES_tradnl"/>
        </w:rPr>
        <w:t>consider</w:t>
      </w:r>
      <w:r w:rsidR="00307773" w:rsidRPr="00744DDA">
        <w:rPr>
          <w:rFonts w:cs="Arial"/>
          <w:lang w:val="es-ES_tradnl"/>
        </w:rPr>
        <w:t xml:space="preserve">arse ejemplos de otros caracteres examinados a partir de muestras en bloque </w:t>
      </w:r>
      <w:r w:rsidR="00307773" w:rsidRPr="00744DDA">
        <w:rPr>
          <w:rFonts w:cs="Arial" w:hint="eastAsia"/>
          <w:lang w:val="es-ES_tradnl" w:eastAsia="ja-JP"/>
        </w:rPr>
        <w:t>(</w:t>
      </w:r>
      <w:r w:rsidR="00307773" w:rsidRPr="00744DDA">
        <w:rPr>
          <w:rFonts w:cs="Arial"/>
          <w:lang w:val="es-ES_tradnl" w:eastAsia="ja-JP"/>
        </w:rPr>
        <w:t xml:space="preserve">véase el </w:t>
      </w:r>
      <w:r w:rsidR="00EC38CA" w:rsidRPr="00744DDA">
        <w:rPr>
          <w:rFonts w:cs="Arial"/>
          <w:lang w:val="es-ES_tradnl" w:eastAsia="ja-JP"/>
        </w:rPr>
        <w:t>párrafo </w:t>
      </w:r>
      <w:r w:rsidR="00EC38CA" w:rsidRPr="00744DDA">
        <w:rPr>
          <w:rFonts w:cs="Arial" w:hint="eastAsia"/>
          <w:lang w:val="es-ES_tradnl" w:eastAsia="ja-JP"/>
        </w:rPr>
        <w:t>46</w:t>
      </w:r>
      <w:r w:rsidR="00EC38CA" w:rsidRPr="00744DDA">
        <w:rPr>
          <w:rFonts w:cs="Arial"/>
          <w:lang w:val="es-ES_tradnl" w:eastAsia="ja-JP"/>
        </w:rPr>
        <w:t xml:space="preserve"> del </w:t>
      </w:r>
      <w:r w:rsidR="00307773" w:rsidRPr="00744DDA">
        <w:rPr>
          <w:rFonts w:cs="Arial" w:hint="eastAsia"/>
          <w:lang w:val="es-ES_tradnl" w:eastAsia="ja-JP"/>
        </w:rPr>
        <w:t>document</w:t>
      </w:r>
      <w:r w:rsidR="00EC38CA" w:rsidRPr="00744DDA">
        <w:rPr>
          <w:rFonts w:cs="Arial"/>
          <w:lang w:val="es-ES_tradnl" w:eastAsia="ja-JP"/>
        </w:rPr>
        <w:t>o </w:t>
      </w:r>
      <w:r w:rsidR="00307773" w:rsidRPr="00744DDA">
        <w:rPr>
          <w:rFonts w:cs="Arial" w:hint="eastAsia"/>
          <w:lang w:val="es-ES_tradnl" w:eastAsia="ja-JP"/>
        </w:rPr>
        <w:t>TWO/47/28</w:t>
      </w:r>
      <w:r w:rsidR="00EC38CA" w:rsidRPr="00744DDA">
        <w:rPr>
          <w:rFonts w:cs="Arial"/>
          <w:lang w:val="es-ES_tradnl" w:eastAsia="ja-JP"/>
        </w:rPr>
        <w:t xml:space="preserve"> “</w:t>
      </w:r>
      <w:r w:rsidR="00EC38CA" w:rsidRPr="00744DDA">
        <w:rPr>
          <w:rFonts w:cs="Arial" w:hint="eastAsia"/>
          <w:i/>
          <w:lang w:val="es-ES_tradnl" w:eastAsia="ja-JP"/>
        </w:rPr>
        <w:t>Report</w:t>
      </w:r>
      <w:r w:rsidR="00EC38CA" w:rsidRPr="00744DDA">
        <w:rPr>
          <w:rFonts w:cs="Arial"/>
          <w:lang w:val="es-ES_tradnl" w:eastAsia="ja-JP"/>
        </w:rPr>
        <w:t>”</w:t>
      </w:r>
      <w:r w:rsidR="00307773" w:rsidRPr="00744DDA">
        <w:rPr>
          <w:rFonts w:cs="Arial" w:hint="eastAsia"/>
          <w:lang w:val="es-ES_tradnl" w:eastAsia="ja-JP"/>
        </w:rPr>
        <w:t>)</w:t>
      </w:r>
      <w:r w:rsidR="00307773" w:rsidRPr="00744DDA">
        <w:rPr>
          <w:lang w:val="es-ES_tradnl"/>
        </w:rPr>
        <w:t>.</w:t>
      </w:r>
    </w:p>
    <w:p w:rsidR="00B25FF7" w:rsidRPr="00744DDA" w:rsidRDefault="00B25FF7" w:rsidP="00B25FF7">
      <w:pPr>
        <w:ind w:right="-425"/>
        <w:rPr>
          <w:lang w:val="es-ES_tradnl" w:eastAsia="ja-JP"/>
        </w:rPr>
      </w:pPr>
    </w:p>
    <w:p w:rsidR="00B25FF7" w:rsidRPr="00744DDA" w:rsidRDefault="00E51541" w:rsidP="00B25FF7">
      <w:pPr>
        <w:rPr>
          <w:rFonts w:cs="Arial"/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BD4E93" w:rsidRPr="00744DDA">
        <w:rPr>
          <w:lang w:val="es-ES_tradnl"/>
        </w:rPr>
        <w:t xml:space="preserve">El </w:t>
      </w:r>
      <w:r w:rsidR="00EC38CA" w:rsidRPr="00744DDA">
        <w:rPr>
          <w:lang w:val="es-ES_tradnl"/>
        </w:rPr>
        <w:t>TWF</w:t>
      </w:r>
      <w:r w:rsidR="00EC38CA" w:rsidRPr="00744DDA">
        <w:rPr>
          <w:rFonts w:hint="eastAsia"/>
          <w:lang w:val="es-ES_tradnl" w:eastAsia="ja-JP"/>
        </w:rPr>
        <w:t xml:space="preserve"> </w:t>
      </w:r>
      <w:r w:rsidR="00BD4E93" w:rsidRPr="00744DDA">
        <w:rPr>
          <w:lang w:val="es-ES_tradnl" w:eastAsia="ja-JP"/>
        </w:rPr>
        <w:t xml:space="preserve">y el </w:t>
      </w:r>
      <w:r w:rsidR="00EC38CA" w:rsidRPr="00744DDA">
        <w:rPr>
          <w:lang w:val="es-ES_tradnl" w:eastAsia="ja-JP"/>
        </w:rPr>
        <w:t>TWV</w:t>
      </w:r>
      <w:r w:rsidR="00EC38CA" w:rsidRPr="00744DDA">
        <w:rPr>
          <w:rFonts w:hint="eastAsia"/>
          <w:lang w:val="es-ES_tradnl" w:eastAsia="ja-JP"/>
        </w:rPr>
        <w:t xml:space="preserve"> </w:t>
      </w:r>
      <w:r w:rsidR="002377F3" w:rsidRPr="00744DDA">
        <w:rPr>
          <w:lang w:val="es-ES_tradnl"/>
        </w:rPr>
        <w:t xml:space="preserve">convinieron en </w:t>
      </w:r>
      <w:r w:rsidR="00BD4E93" w:rsidRPr="00744DDA">
        <w:rPr>
          <w:lang w:val="es-ES_tradnl"/>
        </w:rPr>
        <w:t>l</w:t>
      </w:r>
      <w:r w:rsidR="002377F3" w:rsidRPr="00744DDA">
        <w:rPr>
          <w:lang w:val="es-ES_tradnl"/>
        </w:rPr>
        <w:t>o que respecta a l</w:t>
      </w:r>
      <w:r w:rsidR="00BD4E93" w:rsidRPr="00744DDA">
        <w:rPr>
          <w:lang w:val="es-ES_tradnl"/>
        </w:rPr>
        <w:t>a</w:t>
      </w:r>
      <w:r w:rsidR="002377F3" w:rsidRPr="00744DDA">
        <w:rPr>
          <w:lang w:val="es-ES_tradnl"/>
        </w:rPr>
        <w:t xml:space="preserve"> </w:t>
      </w:r>
      <w:r w:rsidR="00BD4E93" w:rsidRPr="00744DDA">
        <w:rPr>
          <w:lang w:val="es-ES_tradnl"/>
        </w:rPr>
        <w:t>elabora</w:t>
      </w:r>
      <w:r w:rsidR="002377F3" w:rsidRPr="00744DDA">
        <w:rPr>
          <w:lang w:val="es-ES_tradnl"/>
        </w:rPr>
        <w:t xml:space="preserve">ción de </w:t>
      </w:r>
      <w:r w:rsidR="00BD4E93" w:rsidRPr="00744DDA">
        <w:rPr>
          <w:lang w:val="es-ES_tradnl"/>
        </w:rPr>
        <w:t>orientaciones</w:t>
      </w:r>
      <w:r w:rsidR="00EC38CA" w:rsidRPr="00744DDA">
        <w:rPr>
          <w:lang w:val="es-ES_tradnl"/>
        </w:rPr>
        <w:t xml:space="preserve"> </w:t>
      </w:r>
      <w:r w:rsidR="002377F3" w:rsidRPr="00744DDA">
        <w:rPr>
          <w:lang w:val="es-ES_tradnl"/>
        </w:rPr>
        <w:t xml:space="preserve">sobre </w:t>
      </w:r>
      <w:r w:rsidR="00BD4E93" w:rsidRPr="00744DDA">
        <w:rPr>
          <w:lang w:val="es-ES_tradnl"/>
        </w:rPr>
        <w:t>e</w:t>
      </w:r>
      <w:r w:rsidR="004F2C8D" w:rsidRPr="00744DDA">
        <w:rPr>
          <w:lang w:val="es-ES_tradnl"/>
        </w:rPr>
        <w:t>l</w:t>
      </w:r>
      <w:r w:rsidR="00BD4E93" w:rsidRPr="00744DDA">
        <w:rPr>
          <w:lang w:val="es-ES_tradnl"/>
        </w:rPr>
        <w:t xml:space="preserve"> </w:t>
      </w:r>
      <w:r w:rsidR="004F2C8D" w:rsidRPr="00744DDA">
        <w:rPr>
          <w:lang w:val="es-ES_tradnl"/>
        </w:rPr>
        <w:t xml:space="preserve">establecimiento </w:t>
      </w:r>
      <w:r w:rsidR="00BD4E93" w:rsidRPr="00744DDA">
        <w:rPr>
          <w:lang w:val="es-ES_tradnl"/>
        </w:rPr>
        <w:t xml:space="preserve">de </w:t>
      </w:r>
      <w:r w:rsidR="00BD4E93" w:rsidRPr="00744DDA">
        <w:rPr>
          <w:rFonts w:cs="Arial"/>
          <w:lang w:val="es-ES_tradnl"/>
        </w:rPr>
        <w:t>caracteres examinados a partir de muestras en bloque</w:t>
      </w:r>
      <w:r w:rsidR="00EC38CA" w:rsidRPr="00744DDA">
        <w:rPr>
          <w:rFonts w:hint="eastAsia"/>
          <w:lang w:val="es-ES_tradnl" w:eastAsia="ja-JP"/>
        </w:rPr>
        <w:t xml:space="preserve"> (</w:t>
      </w:r>
      <w:r w:rsidR="00BD4E93" w:rsidRPr="00744DDA">
        <w:rPr>
          <w:rFonts w:cs="Arial"/>
          <w:lang w:val="es-ES_tradnl" w:eastAsia="ja-JP"/>
        </w:rPr>
        <w:t>véanse el párrafo </w:t>
      </w:r>
      <w:r w:rsidR="00BD4E93" w:rsidRPr="00744DDA">
        <w:rPr>
          <w:rFonts w:cs="Arial" w:hint="eastAsia"/>
          <w:lang w:val="es-ES_tradnl" w:eastAsia="ja-JP"/>
        </w:rPr>
        <w:t xml:space="preserve">36 </w:t>
      </w:r>
      <w:r w:rsidR="00BD4E93" w:rsidRPr="00744DDA">
        <w:rPr>
          <w:rFonts w:cs="Arial"/>
          <w:lang w:val="es-ES_tradnl" w:eastAsia="ja-JP"/>
        </w:rPr>
        <w:t xml:space="preserve">del </w:t>
      </w:r>
      <w:r w:rsidR="00EC38CA" w:rsidRPr="00744DDA">
        <w:rPr>
          <w:rFonts w:cs="Arial" w:hint="eastAsia"/>
          <w:lang w:val="es-ES_tradnl" w:eastAsia="ja-JP"/>
        </w:rPr>
        <w:t>document</w:t>
      </w:r>
      <w:r w:rsidR="00BD4E93" w:rsidRPr="00744DDA">
        <w:rPr>
          <w:rFonts w:cs="Arial"/>
          <w:lang w:val="es-ES_tradnl" w:eastAsia="ja-JP"/>
        </w:rPr>
        <w:t>o </w:t>
      </w:r>
      <w:r w:rsidR="00EC38CA" w:rsidRPr="00744DDA">
        <w:rPr>
          <w:rFonts w:cs="Arial" w:hint="eastAsia"/>
          <w:lang w:val="es-ES_tradnl" w:eastAsia="ja-JP"/>
        </w:rPr>
        <w:t xml:space="preserve">TWF/45/32 </w:t>
      </w:r>
      <w:r w:rsidR="00BD4E93" w:rsidRPr="00744DDA">
        <w:rPr>
          <w:rFonts w:cs="Arial"/>
          <w:lang w:val="es-ES_tradnl" w:eastAsia="ja-JP"/>
        </w:rPr>
        <w:t>y el</w:t>
      </w:r>
      <w:r w:rsidR="00EC38CA" w:rsidRPr="00744DDA">
        <w:rPr>
          <w:rFonts w:cs="Arial" w:hint="eastAsia"/>
          <w:lang w:val="es-ES_tradnl" w:eastAsia="ja-JP"/>
        </w:rPr>
        <w:t xml:space="preserve"> </w:t>
      </w:r>
      <w:r w:rsidR="00EC38CA" w:rsidRPr="00744DDA">
        <w:rPr>
          <w:rFonts w:cs="Arial"/>
          <w:lang w:val="es-ES_tradnl" w:eastAsia="ja-JP"/>
        </w:rPr>
        <w:t>párrafo</w:t>
      </w:r>
      <w:r w:rsidR="00BD4E93" w:rsidRPr="00744DDA">
        <w:rPr>
          <w:rFonts w:cs="Arial"/>
          <w:lang w:val="es-ES_tradnl" w:eastAsia="ja-JP"/>
        </w:rPr>
        <w:t> </w:t>
      </w:r>
      <w:r w:rsidR="00EC38CA" w:rsidRPr="00744DDA">
        <w:rPr>
          <w:rFonts w:cs="Arial" w:hint="eastAsia"/>
          <w:lang w:val="es-ES_tradnl" w:eastAsia="ja-JP"/>
        </w:rPr>
        <w:t>42</w:t>
      </w:r>
      <w:r w:rsidR="00BD4E93" w:rsidRPr="00744DDA">
        <w:rPr>
          <w:rFonts w:cs="Arial"/>
          <w:lang w:val="es-ES_tradnl" w:eastAsia="ja-JP"/>
        </w:rPr>
        <w:t xml:space="preserve"> del </w:t>
      </w:r>
      <w:r w:rsidR="00BD4E93" w:rsidRPr="00744DDA">
        <w:rPr>
          <w:rFonts w:cs="Arial" w:hint="eastAsia"/>
          <w:lang w:val="es-ES_tradnl" w:eastAsia="ja-JP"/>
        </w:rPr>
        <w:t>document</w:t>
      </w:r>
      <w:r w:rsidR="00BD4E93" w:rsidRPr="00744DDA">
        <w:rPr>
          <w:rFonts w:cs="Arial"/>
          <w:lang w:val="es-ES_tradnl" w:eastAsia="ja-JP"/>
        </w:rPr>
        <w:t>o </w:t>
      </w:r>
      <w:r w:rsidR="00BD4E93" w:rsidRPr="00744DDA">
        <w:rPr>
          <w:rFonts w:cs="Arial" w:hint="eastAsia"/>
          <w:lang w:val="es-ES_tradnl" w:eastAsia="ja-JP"/>
        </w:rPr>
        <w:t>TWV/48/43</w:t>
      </w:r>
      <w:r w:rsidR="00EC38CA" w:rsidRPr="00744DDA">
        <w:rPr>
          <w:rFonts w:cs="Arial" w:hint="eastAsia"/>
          <w:lang w:val="es-ES_tradnl" w:eastAsia="ja-JP"/>
        </w:rPr>
        <w:t xml:space="preserve">, </w:t>
      </w:r>
      <w:r w:rsidR="00EC38CA" w:rsidRPr="00744DDA">
        <w:rPr>
          <w:rFonts w:cs="Arial"/>
          <w:lang w:val="es-ES_tradnl" w:eastAsia="ja-JP"/>
        </w:rPr>
        <w:t>respectivamente</w:t>
      </w:r>
      <w:r w:rsidR="00EC38CA" w:rsidRPr="00744DDA">
        <w:rPr>
          <w:rFonts w:cs="Arial" w:hint="eastAsia"/>
          <w:lang w:val="es-ES_tradnl" w:eastAsia="ja-JP"/>
        </w:rPr>
        <w:t>)</w:t>
      </w:r>
    </w:p>
    <w:p w:rsidR="00B25FF7" w:rsidRPr="00744DDA" w:rsidRDefault="00B25FF7" w:rsidP="00B25FF7">
      <w:pPr>
        <w:ind w:right="-425"/>
        <w:rPr>
          <w:lang w:val="es-ES_tradnl" w:eastAsia="ja-JP"/>
        </w:rPr>
      </w:pPr>
    </w:p>
    <w:p w:rsidR="00B25FF7" w:rsidRPr="00744DDA" w:rsidRDefault="00E51541" w:rsidP="00B25FF7">
      <w:pPr>
        <w:rPr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BC7B10" w:rsidRPr="00744DDA">
        <w:rPr>
          <w:lang w:val="es-ES_tradnl"/>
        </w:rPr>
        <w:t xml:space="preserve">El </w:t>
      </w:r>
      <w:r w:rsidR="00BD4E93" w:rsidRPr="00744DDA">
        <w:rPr>
          <w:lang w:val="es-ES_tradnl"/>
        </w:rPr>
        <w:t xml:space="preserve">TWC </w:t>
      </w:r>
      <w:r w:rsidR="00BC7B10" w:rsidRPr="00744DDA">
        <w:rPr>
          <w:lang w:val="es-ES_tradnl"/>
        </w:rPr>
        <w:t>asistió a una ponencia</w:t>
      </w:r>
      <w:r w:rsidR="00BD4E93" w:rsidRPr="00744DDA">
        <w:rPr>
          <w:lang w:val="es-ES_tradnl"/>
        </w:rPr>
        <w:t xml:space="preserve"> </w:t>
      </w:r>
      <w:r w:rsidR="00BC7B10" w:rsidRPr="00744DDA">
        <w:rPr>
          <w:lang w:val="es-ES_tradnl"/>
        </w:rPr>
        <w:t>de u</w:t>
      </w:r>
      <w:r w:rsidR="00BD4E93" w:rsidRPr="00744DDA">
        <w:rPr>
          <w:lang w:val="es-ES_tradnl"/>
        </w:rPr>
        <w:t>n expert</w:t>
      </w:r>
      <w:r w:rsidR="00BC7B10" w:rsidRPr="00744DDA">
        <w:rPr>
          <w:lang w:val="es-ES_tradnl"/>
        </w:rPr>
        <w:t>o</w:t>
      </w:r>
      <w:r w:rsidR="00BD4E93" w:rsidRPr="00744DDA">
        <w:rPr>
          <w:lang w:val="es-ES_tradnl"/>
        </w:rPr>
        <w:t xml:space="preserve"> </w:t>
      </w:r>
      <w:r w:rsidR="00BC7B10" w:rsidRPr="00744DDA">
        <w:rPr>
          <w:lang w:val="es-ES_tradnl"/>
        </w:rPr>
        <w:t>de l</w:t>
      </w:r>
      <w:r w:rsidR="00BD4E93" w:rsidRPr="00744DDA">
        <w:rPr>
          <w:lang w:val="es-ES_tradnl"/>
        </w:rPr>
        <w:t xml:space="preserve">os Países Bajos </w:t>
      </w:r>
      <w:r w:rsidR="00BC7B10" w:rsidRPr="00744DDA">
        <w:rPr>
          <w:lang w:val="es-ES_tradnl"/>
        </w:rPr>
        <w:t xml:space="preserve">sobre el </w:t>
      </w:r>
      <w:r w:rsidR="00BD4E93" w:rsidRPr="00744DDA">
        <w:rPr>
          <w:lang w:val="es-ES_tradnl"/>
        </w:rPr>
        <w:t>us</w:t>
      </w:r>
      <w:r w:rsidR="00BC7B10" w:rsidRPr="00744DDA">
        <w:rPr>
          <w:lang w:val="es-ES_tradnl"/>
        </w:rPr>
        <w:t>o d</w:t>
      </w:r>
      <w:r w:rsidR="00BD4E93" w:rsidRPr="00744DDA">
        <w:rPr>
          <w:lang w:val="es-ES_tradnl"/>
        </w:rPr>
        <w:t>e</w:t>
      </w:r>
      <w:r w:rsidR="00BC7B10" w:rsidRPr="00744DDA">
        <w:rPr>
          <w:lang w:val="es-ES_tradnl"/>
        </w:rPr>
        <w:t>l</w:t>
      </w:r>
      <w:r w:rsidR="00BD4E93" w:rsidRPr="00744DDA">
        <w:rPr>
          <w:lang w:val="es-ES_tradnl"/>
        </w:rPr>
        <w:t xml:space="preserve"> conten</w:t>
      </w:r>
      <w:r w:rsidR="000C3BC3" w:rsidRPr="00744DDA">
        <w:rPr>
          <w:lang w:val="es-ES_tradnl"/>
        </w:rPr>
        <w:t>ido de glucorrafanina</w:t>
      </w:r>
      <w:r w:rsidR="00BD4E93" w:rsidRPr="00744DDA">
        <w:rPr>
          <w:lang w:val="es-ES_tradnl"/>
        </w:rPr>
        <w:t xml:space="preserve"> </w:t>
      </w:r>
      <w:r w:rsidR="000C3BC3" w:rsidRPr="00744DDA">
        <w:rPr>
          <w:lang w:val="es-ES_tradnl"/>
        </w:rPr>
        <w:t>e</w:t>
      </w:r>
      <w:r w:rsidR="00BD4E93" w:rsidRPr="00744DDA">
        <w:rPr>
          <w:lang w:val="es-ES_tradnl"/>
        </w:rPr>
        <w:t>n br</w:t>
      </w:r>
      <w:r w:rsidR="000C3BC3" w:rsidRPr="00744DDA">
        <w:rPr>
          <w:lang w:val="es-ES_tradnl"/>
        </w:rPr>
        <w:t xml:space="preserve">écol </w:t>
      </w:r>
      <w:r w:rsidR="000C3BC3" w:rsidRPr="00744DDA">
        <w:rPr>
          <w:rFonts w:cs="Arial"/>
          <w:lang w:val="es-ES_tradnl"/>
        </w:rPr>
        <w:t>a partir de muestras en bloque</w:t>
      </w:r>
      <w:r w:rsidR="00BD4E93" w:rsidRPr="00744DDA">
        <w:rPr>
          <w:lang w:val="es-ES_tradnl"/>
        </w:rPr>
        <w:t xml:space="preserve">, según consta en </w:t>
      </w:r>
      <w:r w:rsidR="000C3BC3" w:rsidRPr="00744DDA">
        <w:rPr>
          <w:lang w:val="es-ES_tradnl"/>
        </w:rPr>
        <w:t xml:space="preserve">el </w:t>
      </w:r>
      <w:r w:rsidR="00BD4E93" w:rsidRPr="00744DDA">
        <w:rPr>
          <w:lang w:val="es-ES_tradnl"/>
        </w:rPr>
        <w:t>Anex</w:t>
      </w:r>
      <w:r w:rsidR="000C3BC3" w:rsidRPr="00744DDA">
        <w:rPr>
          <w:lang w:val="es-ES_tradnl"/>
        </w:rPr>
        <w:t xml:space="preserve">o del </w:t>
      </w:r>
      <w:r w:rsidR="00BD4E93" w:rsidRPr="00744DDA">
        <w:rPr>
          <w:lang w:val="es-ES_tradnl"/>
        </w:rPr>
        <w:t>document</w:t>
      </w:r>
      <w:r w:rsidR="000C3BC3" w:rsidRPr="00744DDA">
        <w:rPr>
          <w:lang w:val="es-ES_tradnl"/>
        </w:rPr>
        <w:t>o </w:t>
      </w:r>
      <w:r w:rsidR="00BD4E93" w:rsidRPr="00744DDA">
        <w:rPr>
          <w:lang w:val="es-ES_tradnl"/>
        </w:rPr>
        <w:t>TWC/32/17</w:t>
      </w:r>
      <w:r w:rsidR="00BD4E93" w:rsidRPr="00744DDA">
        <w:rPr>
          <w:rFonts w:hint="eastAsia"/>
          <w:lang w:val="es-ES_tradnl" w:eastAsia="ja-JP"/>
        </w:rPr>
        <w:t xml:space="preserve"> (</w:t>
      </w:r>
      <w:r w:rsidR="00BD4E93" w:rsidRPr="00744DDA">
        <w:rPr>
          <w:lang w:val="es-ES_tradnl" w:eastAsia="ja-JP"/>
        </w:rPr>
        <w:t xml:space="preserve">véase el </w:t>
      </w:r>
      <w:r w:rsidR="000C3BC3" w:rsidRPr="00744DDA">
        <w:rPr>
          <w:lang w:val="es-ES_tradnl" w:eastAsia="ja-JP"/>
        </w:rPr>
        <w:t>párrafo </w:t>
      </w:r>
      <w:r w:rsidR="000C3BC3" w:rsidRPr="00744DDA">
        <w:rPr>
          <w:rFonts w:hint="eastAsia"/>
          <w:lang w:val="es-ES_tradnl" w:eastAsia="ja-JP"/>
        </w:rPr>
        <w:t>34</w:t>
      </w:r>
      <w:r w:rsidR="000C3BC3" w:rsidRPr="00744DDA">
        <w:rPr>
          <w:lang w:val="es-ES_tradnl" w:eastAsia="ja-JP"/>
        </w:rPr>
        <w:t xml:space="preserve"> del </w:t>
      </w:r>
      <w:r w:rsidR="00BD4E93" w:rsidRPr="00744DDA">
        <w:rPr>
          <w:lang w:val="es-ES_tradnl" w:eastAsia="ja-JP"/>
        </w:rPr>
        <w:t>documento</w:t>
      </w:r>
      <w:r w:rsidR="000C3BC3" w:rsidRPr="00744DDA">
        <w:rPr>
          <w:lang w:val="es-ES_tradnl" w:eastAsia="ja-JP"/>
        </w:rPr>
        <w:t> </w:t>
      </w:r>
      <w:r w:rsidR="00BD4E93" w:rsidRPr="00744DDA">
        <w:rPr>
          <w:rFonts w:hint="eastAsia"/>
          <w:lang w:val="es-ES_tradnl" w:eastAsia="ja-JP"/>
        </w:rPr>
        <w:t xml:space="preserve">TWC/32/28 </w:t>
      </w:r>
      <w:r w:rsidR="00BD4E93" w:rsidRPr="00744DDA">
        <w:rPr>
          <w:lang w:val="es-ES_tradnl" w:eastAsia="ja-JP"/>
        </w:rPr>
        <w:t>“</w:t>
      </w:r>
      <w:r w:rsidR="00BD4E93" w:rsidRPr="00744DDA">
        <w:rPr>
          <w:rFonts w:hint="eastAsia"/>
          <w:i/>
          <w:lang w:val="es-ES_tradnl" w:eastAsia="ja-JP"/>
        </w:rPr>
        <w:t>Report</w:t>
      </w:r>
      <w:r w:rsidR="00BD4E93" w:rsidRPr="00744DDA">
        <w:rPr>
          <w:lang w:val="es-ES_tradnl" w:eastAsia="ja-JP"/>
        </w:rPr>
        <w:t>”</w:t>
      </w:r>
      <w:r w:rsidR="00BD4E93" w:rsidRPr="00744DDA">
        <w:rPr>
          <w:rFonts w:hint="eastAsia"/>
          <w:lang w:val="es-ES_tradnl" w:eastAsia="ja-JP"/>
        </w:rPr>
        <w:t>)</w:t>
      </w:r>
      <w:r w:rsidR="00BD4E93" w:rsidRPr="00744DDA">
        <w:rPr>
          <w:lang w:val="es-ES_tradnl"/>
        </w:rPr>
        <w:t>.</w:t>
      </w:r>
    </w:p>
    <w:p w:rsidR="00B25FF7" w:rsidRPr="00744DDA" w:rsidRDefault="00B25FF7" w:rsidP="00B25FF7">
      <w:pPr>
        <w:rPr>
          <w:lang w:val="es-ES_tradnl"/>
        </w:rPr>
      </w:pPr>
    </w:p>
    <w:p w:rsidR="00B25FF7" w:rsidRPr="00744DDA" w:rsidRDefault="00E51541" w:rsidP="00B25FF7">
      <w:pPr>
        <w:rPr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0C3BC3" w:rsidRPr="00744DDA">
        <w:rPr>
          <w:lang w:val="es-ES_tradnl"/>
        </w:rPr>
        <w:t xml:space="preserve">El TWC convino en que para evaluar la homogeneidad en </w:t>
      </w:r>
      <w:r w:rsidR="000C3BC3" w:rsidRPr="00744DDA">
        <w:rPr>
          <w:rFonts w:cs="Arial"/>
          <w:lang w:val="es-ES_tradnl"/>
        </w:rPr>
        <w:t>muestras en bloque</w:t>
      </w:r>
      <w:r w:rsidR="000C3BC3" w:rsidRPr="00744DDA">
        <w:rPr>
          <w:lang w:val="es-ES_tradnl"/>
        </w:rPr>
        <w:t xml:space="preserve"> </w:t>
      </w:r>
      <w:r w:rsidR="00375772" w:rsidRPr="00744DDA">
        <w:rPr>
          <w:lang w:val="es-ES_tradnl"/>
        </w:rPr>
        <w:t xml:space="preserve">se debe utilizar un número suficiente de plantas </w:t>
      </w:r>
      <w:r w:rsidR="000C3BC3" w:rsidRPr="00744DDA">
        <w:rPr>
          <w:lang w:val="es-ES_tradnl"/>
        </w:rPr>
        <w:t xml:space="preserve">y el </w:t>
      </w:r>
      <w:r w:rsidR="000C3BC3" w:rsidRPr="00744DDA">
        <w:rPr>
          <w:rFonts w:hint="eastAsia"/>
          <w:lang w:val="es-ES_tradnl" w:eastAsia="ja-JP"/>
        </w:rPr>
        <w:t xml:space="preserve">TWC </w:t>
      </w:r>
      <w:r w:rsidR="000C3BC3" w:rsidRPr="00744DDA">
        <w:rPr>
          <w:lang w:val="es-ES_tradnl"/>
        </w:rPr>
        <w:t xml:space="preserve">señaló que la </w:t>
      </w:r>
      <w:r w:rsidR="00375772" w:rsidRPr="00744DDA">
        <w:rPr>
          <w:lang w:val="es-ES_tradnl"/>
        </w:rPr>
        <w:t>evalu</w:t>
      </w:r>
      <w:r w:rsidR="000C3BC3" w:rsidRPr="00744DDA">
        <w:rPr>
          <w:lang w:val="es-ES_tradnl"/>
        </w:rPr>
        <w:t>ación de la estabilidad debe</w:t>
      </w:r>
      <w:r w:rsidR="00375772" w:rsidRPr="00744DDA">
        <w:rPr>
          <w:lang w:val="es-ES_tradnl"/>
        </w:rPr>
        <w:t xml:space="preserve">rá </w:t>
      </w:r>
      <w:r w:rsidR="000C3BC3" w:rsidRPr="00744DDA">
        <w:rPr>
          <w:lang w:val="es-ES_tradnl"/>
        </w:rPr>
        <w:t xml:space="preserve">realizarse con precaución </w:t>
      </w:r>
      <w:r w:rsidR="00375772" w:rsidRPr="00744DDA">
        <w:rPr>
          <w:lang w:val="es-ES_tradnl"/>
        </w:rPr>
        <w:t>en</w:t>
      </w:r>
      <w:r w:rsidR="000C3BC3" w:rsidRPr="00744DDA">
        <w:rPr>
          <w:lang w:val="es-ES_tradnl"/>
        </w:rPr>
        <w:t xml:space="preserve"> otros cultivos</w:t>
      </w:r>
      <w:r w:rsidR="00375772" w:rsidRPr="00744DDA">
        <w:rPr>
          <w:lang w:val="es-ES_tradnl"/>
        </w:rPr>
        <w:t>,</w:t>
      </w:r>
      <w:r w:rsidR="000C3BC3" w:rsidRPr="00744DDA">
        <w:rPr>
          <w:lang w:val="es-ES_tradnl"/>
        </w:rPr>
        <w:t xml:space="preserve"> como </w:t>
      </w:r>
      <w:r w:rsidR="00375772" w:rsidRPr="00744DDA">
        <w:rPr>
          <w:lang w:val="es-ES_tradnl"/>
        </w:rPr>
        <w:t xml:space="preserve">en </w:t>
      </w:r>
      <w:r w:rsidR="000C3BC3" w:rsidRPr="00744DDA">
        <w:rPr>
          <w:lang w:val="es-ES_tradnl"/>
        </w:rPr>
        <w:t>la colza</w:t>
      </w:r>
      <w:r w:rsidR="00375772" w:rsidRPr="00744DDA">
        <w:rPr>
          <w:lang w:val="es-ES_tradnl"/>
        </w:rPr>
        <w:t>,</w:t>
      </w:r>
      <w:r w:rsidR="000C3BC3" w:rsidRPr="00744DDA">
        <w:rPr>
          <w:rFonts w:hint="eastAsia"/>
          <w:lang w:val="es-ES_tradnl" w:eastAsia="ja-JP"/>
        </w:rPr>
        <w:t xml:space="preserve"> </w:t>
      </w:r>
      <w:r w:rsidR="00375772" w:rsidRPr="00744DDA">
        <w:rPr>
          <w:lang w:val="es-ES_tradnl"/>
        </w:rPr>
        <w:t xml:space="preserve">debido a la conocida </w:t>
      </w:r>
      <w:r w:rsidR="00326491" w:rsidRPr="00744DDA">
        <w:rPr>
          <w:lang w:val="es-ES_tradnl"/>
        </w:rPr>
        <w:t xml:space="preserve">variación </w:t>
      </w:r>
      <w:r w:rsidR="00375772" w:rsidRPr="00744DDA">
        <w:rPr>
          <w:lang w:val="es-ES_tradnl"/>
        </w:rPr>
        <w:t xml:space="preserve">de </w:t>
      </w:r>
      <w:r w:rsidR="00326491" w:rsidRPr="00744DDA">
        <w:rPr>
          <w:lang w:val="es-ES_tradnl"/>
        </w:rPr>
        <w:t xml:space="preserve">la </w:t>
      </w:r>
      <w:r w:rsidR="00375772" w:rsidRPr="00744DDA">
        <w:rPr>
          <w:lang w:val="es-ES_tradnl"/>
        </w:rPr>
        <w:t xml:space="preserve">composición química </w:t>
      </w:r>
      <w:r w:rsidR="000C3BC3" w:rsidRPr="00744DDA">
        <w:rPr>
          <w:rFonts w:hint="eastAsia"/>
          <w:lang w:val="es-ES_tradnl" w:eastAsia="ja-JP"/>
        </w:rPr>
        <w:t>(</w:t>
      </w:r>
      <w:r w:rsidR="000C3BC3" w:rsidRPr="00744DDA">
        <w:rPr>
          <w:lang w:val="es-ES_tradnl" w:eastAsia="ja-JP"/>
        </w:rPr>
        <w:t>véase el párrafo </w:t>
      </w:r>
      <w:r w:rsidR="000C3BC3" w:rsidRPr="00744DDA">
        <w:rPr>
          <w:rFonts w:hint="eastAsia"/>
          <w:lang w:val="es-ES_tradnl" w:eastAsia="ja-JP"/>
        </w:rPr>
        <w:t>35</w:t>
      </w:r>
      <w:r w:rsidR="000C3BC3" w:rsidRPr="00744DDA">
        <w:rPr>
          <w:lang w:val="es-ES_tradnl" w:eastAsia="ja-JP"/>
        </w:rPr>
        <w:t xml:space="preserve"> del documento </w:t>
      </w:r>
      <w:r w:rsidR="000C3BC3" w:rsidRPr="00744DDA">
        <w:rPr>
          <w:rFonts w:hint="eastAsia"/>
          <w:lang w:val="es-ES_tradnl" w:eastAsia="ja-JP"/>
        </w:rPr>
        <w:t>TWC/32/28)</w:t>
      </w:r>
      <w:r w:rsidR="000C3BC3" w:rsidRPr="00744DDA">
        <w:rPr>
          <w:lang w:val="es-ES_tradnl"/>
        </w:rPr>
        <w:t>.</w:t>
      </w:r>
    </w:p>
    <w:p w:rsidR="00B25FF7" w:rsidRPr="00744DDA" w:rsidRDefault="00B25FF7" w:rsidP="00B25FF7">
      <w:pPr>
        <w:rPr>
          <w:lang w:val="es-ES_tradnl" w:eastAsia="ja-JP"/>
        </w:rPr>
      </w:pPr>
    </w:p>
    <w:p w:rsidR="00B25FF7" w:rsidRPr="00744DDA" w:rsidRDefault="00E51541" w:rsidP="00B25FF7">
      <w:pPr>
        <w:rPr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36010D" w:rsidRPr="00744DDA">
        <w:rPr>
          <w:lang w:val="es-ES_tradnl"/>
        </w:rPr>
        <w:t xml:space="preserve">El TWA convino en que </w:t>
      </w:r>
      <w:r w:rsidR="00326491" w:rsidRPr="00744DDA">
        <w:rPr>
          <w:lang w:val="es-ES_tradnl"/>
        </w:rPr>
        <w:t xml:space="preserve">el ejemplo </w:t>
      </w:r>
      <w:r w:rsidR="0036010D" w:rsidRPr="00744DDA">
        <w:rPr>
          <w:lang w:val="es-ES_tradnl"/>
        </w:rPr>
        <w:t xml:space="preserve">no </w:t>
      </w:r>
      <w:r w:rsidR="00326491" w:rsidRPr="00744DDA">
        <w:rPr>
          <w:lang w:val="es-ES_tradnl"/>
        </w:rPr>
        <w:t>estab</w:t>
      </w:r>
      <w:r w:rsidR="0036010D" w:rsidRPr="00744DDA">
        <w:rPr>
          <w:lang w:val="es-ES_tradnl"/>
        </w:rPr>
        <w:t>a respalda</w:t>
      </w:r>
      <w:r w:rsidR="00326491" w:rsidRPr="00744DDA">
        <w:rPr>
          <w:lang w:val="es-ES_tradnl"/>
        </w:rPr>
        <w:t xml:space="preserve">do por datos suficientes </w:t>
      </w:r>
      <w:r w:rsidR="0036010D" w:rsidRPr="00744DDA">
        <w:rPr>
          <w:lang w:val="es-ES_tradnl"/>
        </w:rPr>
        <w:t xml:space="preserve">y convino con el TWC en que la medición sistemática de este carácter en los Países Bajos permitiría generar datos suficientes para un examen </w:t>
      </w:r>
      <w:r w:rsidR="00326491" w:rsidRPr="00744DDA">
        <w:rPr>
          <w:lang w:val="es-ES_tradnl"/>
        </w:rPr>
        <w:t xml:space="preserve">ulterior </w:t>
      </w:r>
      <w:r w:rsidR="0036010D" w:rsidRPr="00744DDA">
        <w:rPr>
          <w:lang w:val="es-ES_tradnl"/>
        </w:rPr>
        <w:t xml:space="preserve">y convino en </w:t>
      </w:r>
      <w:r w:rsidR="004F2C8D" w:rsidRPr="00744DDA">
        <w:rPr>
          <w:lang w:val="es-ES_tradnl"/>
        </w:rPr>
        <w:t xml:space="preserve">cursar una </w:t>
      </w:r>
      <w:r w:rsidR="0036010D" w:rsidRPr="00744DDA">
        <w:rPr>
          <w:lang w:val="es-ES_tradnl"/>
        </w:rPr>
        <w:t>invita</w:t>
      </w:r>
      <w:r w:rsidR="004F2C8D" w:rsidRPr="00744DDA">
        <w:rPr>
          <w:lang w:val="es-ES_tradnl"/>
        </w:rPr>
        <w:t>ción</w:t>
      </w:r>
      <w:r w:rsidR="0036010D" w:rsidRPr="00744DDA">
        <w:rPr>
          <w:lang w:val="es-ES_tradnl"/>
        </w:rPr>
        <w:t xml:space="preserve"> a los Países Bajos </w:t>
      </w:r>
      <w:r w:rsidR="004F2C8D" w:rsidRPr="00744DDA">
        <w:rPr>
          <w:lang w:val="es-ES_tradnl"/>
        </w:rPr>
        <w:t>par</w:t>
      </w:r>
      <w:r w:rsidR="0036010D" w:rsidRPr="00744DDA">
        <w:rPr>
          <w:lang w:val="es-ES_tradnl"/>
        </w:rPr>
        <w:t>a que proporcione información adicional</w:t>
      </w:r>
      <w:r w:rsidR="0036010D" w:rsidRPr="00744DDA">
        <w:rPr>
          <w:rFonts w:hint="eastAsia"/>
          <w:lang w:val="es-ES_tradnl" w:eastAsia="ja-JP"/>
        </w:rPr>
        <w:t xml:space="preserve"> (</w:t>
      </w:r>
      <w:r w:rsidR="0036010D" w:rsidRPr="00744DDA">
        <w:rPr>
          <w:lang w:val="es-ES_tradnl" w:eastAsia="ja-JP"/>
        </w:rPr>
        <w:t>véanse el párrafo </w:t>
      </w:r>
      <w:r w:rsidR="0036010D" w:rsidRPr="00744DDA">
        <w:rPr>
          <w:rFonts w:hint="eastAsia"/>
          <w:lang w:val="es-ES_tradnl" w:eastAsia="ja-JP"/>
        </w:rPr>
        <w:t xml:space="preserve">38 </w:t>
      </w:r>
      <w:r w:rsidR="0036010D" w:rsidRPr="00744DDA">
        <w:rPr>
          <w:lang w:val="es-ES_tradnl" w:eastAsia="ja-JP"/>
        </w:rPr>
        <w:t>del documento </w:t>
      </w:r>
      <w:r w:rsidR="0036010D" w:rsidRPr="00744DDA">
        <w:rPr>
          <w:rFonts w:hint="eastAsia"/>
          <w:lang w:val="es-ES_tradnl" w:eastAsia="ja-JP"/>
        </w:rPr>
        <w:t>TWA/43/27</w:t>
      </w:r>
      <w:r w:rsidR="0036010D" w:rsidRPr="00744DDA">
        <w:rPr>
          <w:lang w:val="es-ES_tradnl" w:eastAsia="ja-JP"/>
        </w:rPr>
        <w:t xml:space="preserve"> y el párrafo </w:t>
      </w:r>
      <w:r w:rsidR="0036010D" w:rsidRPr="00744DDA">
        <w:rPr>
          <w:rFonts w:hint="eastAsia"/>
          <w:lang w:val="es-ES_tradnl" w:eastAsia="ja-JP"/>
        </w:rPr>
        <w:t>36</w:t>
      </w:r>
      <w:r w:rsidR="0036010D" w:rsidRPr="00744DDA">
        <w:rPr>
          <w:lang w:val="es-ES_tradnl" w:eastAsia="ja-JP"/>
        </w:rPr>
        <w:t xml:space="preserve"> del documento </w:t>
      </w:r>
      <w:r w:rsidR="0036010D" w:rsidRPr="00744DDA">
        <w:rPr>
          <w:rFonts w:hint="eastAsia"/>
          <w:lang w:val="es-ES_tradnl" w:eastAsia="ja-JP"/>
        </w:rPr>
        <w:t>TWC/32/28)</w:t>
      </w:r>
      <w:r w:rsidR="0036010D" w:rsidRPr="00744DDA">
        <w:rPr>
          <w:lang w:val="es-ES_tradnl"/>
        </w:rPr>
        <w:t>.</w:t>
      </w:r>
    </w:p>
    <w:p w:rsidR="00B25FF7" w:rsidRPr="00744DDA" w:rsidRDefault="00B25FF7" w:rsidP="00B25FF7">
      <w:pPr>
        <w:rPr>
          <w:lang w:val="es-ES_tradnl"/>
        </w:rPr>
      </w:pPr>
    </w:p>
    <w:p w:rsidR="00B25FF7" w:rsidRPr="00744DDA" w:rsidRDefault="00E51541" w:rsidP="00B25FF7">
      <w:pPr>
        <w:rPr>
          <w:lang w:val="es-ES_tradnl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36010D" w:rsidRPr="00744DDA">
        <w:rPr>
          <w:lang w:val="es-ES_tradnl"/>
        </w:rPr>
        <w:t xml:space="preserve">El TWC convino en que en la evaluación de la homogeneidad de caracteres </w:t>
      </w:r>
      <w:r w:rsidR="0036010D" w:rsidRPr="00744DDA">
        <w:rPr>
          <w:rFonts w:cs="Arial"/>
          <w:lang w:val="es-ES_tradnl"/>
        </w:rPr>
        <w:t>a partir de muestras en bloque</w:t>
      </w:r>
      <w:r w:rsidR="0036010D" w:rsidRPr="00744DDA">
        <w:rPr>
          <w:lang w:val="es-ES_tradnl"/>
        </w:rPr>
        <w:t xml:space="preserve"> debería considerarse el análisis de plantas individuales para validar los caracteres y señaló la posible repercusión de este método en el costo </w:t>
      </w:r>
      <w:r w:rsidR="0036010D" w:rsidRPr="00744DDA">
        <w:rPr>
          <w:rFonts w:hint="eastAsia"/>
          <w:lang w:val="es-ES_tradnl" w:eastAsia="ja-JP"/>
        </w:rPr>
        <w:t>(</w:t>
      </w:r>
      <w:r w:rsidR="0036010D" w:rsidRPr="00744DDA">
        <w:rPr>
          <w:lang w:val="es-ES_tradnl" w:eastAsia="ja-JP"/>
        </w:rPr>
        <w:t>véase el párrafo </w:t>
      </w:r>
      <w:r w:rsidR="0036010D" w:rsidRPr="00744DDA">
        <w:rPr>
          <w:rFonts w:hint="eastAsia"/>
          <w:lang w:val="es-ES_tradnl" w:eastAsia="ja-JP"/>
        </w:rPr>
        <w:t>37</w:t>
      </w:r>
      <w:r w:rsidR="0036010D" w:rsidRPr="00744DDA">
        <w:rPr>
          <w:lang w:val="es-ES_tradnl" w:eastAsia="ja-JP"/>
        </w:rPr>
        <w:t xml:space="preserve"> del documento </w:t>
      </w:r>
      <w:r w:rsidR="0036010D" w:rsidRPr="00744DDA">
        <w:rPr>
          <w:rFonts w:hint="eastAsia"/>
          <w:lang w:val="es-ES_tradnl" w:eastAsia="ja-JP"/>
        </w:rPr>
        <w:t>TWC/32/28)</w:t>
      </w:r>
      <w:r w:rsidR="0036010D" w:rsidRPr="00744DDA">
        <w:rPr>
          <w:lang w:val="es-ES_tradnl"/>
        </w:rPr>
        <w:t>.</w:t>
      </w:r>
      <w:r w:rsidR="00B25FF7" w:rsidRPr="00744DDA">
        <w:rPr>
          <w:lang w:val="es-ES_tradnl"/>
        </w:rPr>
        <w:t xml:space="preserve">  </w:t>
      </w:r>
    </w:p>
    <w:p w:rsidR="00B25FF7" w:rsidRPr="00744DDA" w:rsidRDefault="00B25FF7" w:rsidP="00B25FF7">
      <w:pPr>
        <w:rPr>
          <w:snapToGrid w:val="0"/>
          <w:highlight w:val="cyan"/>
          <w:lang w:val="es-ES_tradnl" w:eastAsia="ja-JP"/>
        </w:rPr>
      </w:pPr>
    </w:p>
    <w:p w:rsidR="00B25FF7" w:rsidRPr="00744DDA" w:rsidRDefault="00E51541" w:rsidP="00B25FF7">
      <w:pPr>
        <w:ind w:right="9"/>
        <w:rPr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33788B" w:rsidRPr="00744DDA">
        <w:rPr>
          <w:lang w:val="es-ES_tradnl"/>
        </w:rPr>
        <w:t>El</w:t>
      </w:r>
      <w:r w:rsidR="0036010D" w:rsidRPr="00744DDA">
        <w:rPr>
          <w:lang w:val="es-ES_tradnl"/>
        </w:rPr>
        <w:t xml:space="preserve"> TWV </w:t>
      </w:r>
      <w:r w:rsidR="0033788B" w:rsidRPr="00744DDA">
        <w:rPr>
          <w:lang w:val="es-ES_tradnl"/>
        </w:rPr>
        <w:t>convino en que la evaluación de los</w:t>
      </w:r>
      <w:r w:rsidR="0036010D" w:rsidRPr="00744DDA">
        <w:rPr>
          <w:lang w:val="es-ES_tradnl"/>
        </w:rPr>
        <w:t xml:space="preserve"> </w:t>
      </w:r>
      <w:r w:rsidR="0033788B" w:rsidRPr="00744DDA">
        <w:rPr>
          <w:rFonts w:cs="Arial"/>
          <w:lang w:val="es-ES_tradnl"/>
        </w:rPr>
        <w:t>caracteres examinados a partir de muestras en bloque</w:t>
      </w:r>
      <w:r w:rsidR="0036010D" w:rsidRPr="00744DDA">
        <w:rPr>
          <w:lang w:val="es-ES_tradnl"/>
        </w:rPr>
        <w:t xml:space="preserve"> </w:t>
      </w:r>
      <w:r w:rsidR="0033788B" w:rsidRPr="00744DDA">
        <w:rPr>
          <w:lang w:val="es-ES_tradnl"/>
        </w:rPr>
        <w:t>de</w:t>
      </w:r>
      <w:r w:rsidR="0036010D" w:rsidRPr="00744DDA">
        <w:rPr>
          <w:lang w:val="es-ES_tradnl"/>
        </w:rPr>
        <w:t>b</w:t>
      </w:r>
      <w:r w:rsidR="0033788B" w:rsidRPr="00744DDA">
        <w:rPr>
          <w:lang w:val="es-ES_tradnl"/>
        </w:rPr>
        <w:t>ía realizars</w:t>
      </w:r>
      <w:r w:rsidR="0036010D" w:rsidRPr="00744DDA">
        <w:rPr>
          <w:lang w:val="es-ES_tradnl"/>
        </w:rPr>
        <w:t xml:space="preserve">e </w:t>
      </w:r>
      <w:r w:rsidR="0033788B" w:rsidRPr="00744DDA">
        <w:rPr>
          <w:lang w:val="es-ES_tradnl"/>
        </w:rPr>
        <w:t xml:space="preserve">basándose en el </w:t>
      </w:r>
      <w:r w:rsidR="0036010D" w:rsidRPr="00744DDA">
        <w:rPr>
          <w:lang w:val="es-ES_tradnl"/>
        </w:rPr>
        <w:t>número de plantas</w:t>
      </w:r>
      <w:r w:rsidR="0033788B" w:rsidRPr="00744DDA">
        <w:rPr>
          <w:lang w:val="es-ES_tradnl"/>
        </w:rPr>
        <w:t xml:space="preserve"> recom</w:t>
      </w:r>
      <w:r w:rsidR="0036010D" w:rsidRPr="00744DDA">
        <w:rPr>
          <w:lang w:val="es-ES_tradnl"/>
        </w:rPr>
        <w:t>end</w:t>
      </w:r>
      <w:r w:rsidR="0033788B" w:rsidRPr="00744DDA">
        <w:rPr>
          <w:lang w:val="es-ES_tradnl"/>
        </w:rPr>
        <w:t>a</w:t>
      </w:r>
      <w:r w:rsidR="0036010D" w:rsidRPr="00744DDA">
        <w:rPr>
          <w:lang w:val="es-ES_tradnl"/>
        </w:rPr>
        <w:t>d</w:t>
      </w:r>
      <w:r w:rsidR="0033788B" w:rsidRPr="00744DDA">
        <w:rPr>
          <w:lang w:val="es-ES_tradnl"/>
        </w:rPr>
        <w:t xml:space="preserve">o en </w:t>
      </w:r>
      <w:r w:rsidR="00326491" w:rsidRPr="00744DDA">
        <w:rPr>
          <w:lang w:val="es-ES_tradnl"/>
        </w:rPr>
        <w:t>la sección</w:t>
      </w:r>
      <w:r w:rsidR="0033788B" w:rsidRPr="00744DDA">
        <w:rPr>
          <w:lang w:val="es-ES_tradnl"/>
        </w:rPr>
        <w:t xml:space="preserve"> 4.1.4 de las </w:t>
      </w:r>
      <w:r w:rsidR="0036010D" w:rsidRPr="00744DDA">
        <w:rPr>
          <w:lang w:val="es-ES_tradnl"/>
        </w:rPr>
        <w:t>directrices de examen</w:t>
      </w:r>
      <w:r w:rsidR="0036010D" w:rsidRPr="00744DDA">
        <w:rPr>
          <w:rFonts w:hint="eastAsia"/>
          <w:lang w:val="es-ES_tradnl" w:eastAsia="ja-JP"/>
        </w:rPr>
        <w:t xml:space="preserve"> </w:t>
      </w:r>
      <w:r w:rsidR="0036010D" w:rsidRPr="00744DDA">
        <w:rPr>
          <w:rFonts w:cs="Arial" w:hint="eastAsia"/>
          <w:lang w:val="es-ES_tradnl" w:eastAsia="ja-JP"/>
        </w:rPr>
        <w:t>(</w:t>
      </w:r>
      <w:r w:rsidR="0036010D" w:rsidRPr="00744DDA">
        <w:rPr>
          <w:rFonts w:cs="Arial"/>
          <w:lang w:val="es-ES_tradnl" w:eastAsia="ja-JP"/>
        </w:rPr>
        <w:t xml:space="preserve">véase el </w:t>
      </w:r>
      <w:r w:rsidR="0033788B" w:rsidRPr="00744DDA">
        <w:rPr>
          <w:rFonts w:cs="Arial"/>
          <w:lang w:val="es-ES_tradnl" w:eastAsia="ja-JP"/>
        </w:rPr>
        <w:t>párrafo </w:t>
      </w:r>
      <w:r w:rsidR="0033788B" w:rsidRPr="00744DDA">
        <w:rPr>
          <w:rFonts w:cs="Arial" w:hint="eastAsia"/>
          <w:lang w:val="es-ES_tradnl" w:eastAsia="ja-JP"/>
        </w:rPr>
        <w:t>41</w:t>
      </w:r>
      <w:r w:rsidR="0033788B" w:rsidRPr="00744DDA">
        <w:rPr>
          <w:rFonts w:cs="Arial"/>
          <w:lang w:val="es-ES_tradnl" w:eastAsia="ja-JP"/>
        </w:rPr>
        <w:t xml:space="preserve"> del </w:t>
      </w:r>
      <w:r w:rsidR="0036010D" w:rsidRPr="00744DDA">
        <w:rPr>
          <w:rFonts w:cs="Arial"/>
          <w:lang w:val="es-ES_tradnl" w:eastAsia="ja-JP"/>
        </w:rPr>
        <w:t>documento </w:t>
      </w:r>
      <w:r w:rsidR="0036010D" w:rsidRPr="00744DDA">
        <w:rPr>
          <w:rFonts w:cs="Arial" w:hint="eastAsia"/>
          <w:lang w:val="es-ES_tradnl" w:eastAsia="ja-JP"/>
        </w:rPr>
        <w:t>TWV/48/43).</w:t>
      </w:r>
    </w:p>
    <w:p w:rsidR="00B25FF7" w:rsidRPr="00744DDA" w:rsidRDefault="00B25FF7" w:rsidP="00B25FF7">
      <w:pPr>
        <w:rPr>
          <w:lang w:val="es-ES_tradnl" w:eastAsia="ja-JP"/>
        </w:rPr>
      </w:pPr>
    </w:p>
    <w:p w:rsidR="00B25FF7" w:rsidRPr="00744DDA" w:rsidRDefault="00E51541" w:rsidP="00B25FF7">
      <w:pPr>
        <w:rPr>
          <w:snapToGrid w:val="0"/>
          <w:highlight w:val="cyan"/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33788B" w:rsidRPr="00744DDA">
        <w:rPr>
          <w:lang w:val="es-ES_tradnl"/>
        </w:rPr>
        <w:t xml:space="preserve">El TWA señaló que la escala de valores de los niveles de expresión era fija y </w:t>
      </w:r>
      <w:r w:rsidR="00B06942">
        <w:rPr>
          <w:lang w:val="es-ES_tradnl"/>
        </w:rPr>
        <w:t xml:space="preserve">de </w:t>
      </w:r>
      <w:r w:rsidR="0033788B" w:rsidRPr="00744DDA">
        <w:rPr>
          <w:lang w:val="es-ES_tradnl"/>
        </w:rPr>
        <w:t>una observación acerca de la variación por influencia del medio ambiente.</w:t>
      </w:r>
      <w:r w:rsidR="00B25FF7" w:rsidRPr="00744DDA">
        <w:rPr>
          <w:lang w:val="es-ES_tradnl"/>
        </w:rPr>
        <w:t xml:space="preserve"> </w:t>
      </w:r>
      <w:r w:rsidR="0033788B" w:rsidRPr="00744DDA">
        <w:rPr>
          <w:lang w:val="es-ES_tradnl"/>
        </w:rPr>
        <w:t xml:space="preserve">El TWA convino en que la determinación de los niveles de expresión debía basarse en la variación existente entre variedades y </w:t>
      </w:r>
      <w:r w:rsidR="001955B3" w:rsidRPr="00744DDA">
        <w:rPr>
          <w:lang w:val="es-ES_tradnl"/>
        </w:rPr>
        <w:t>ten</w:t>
      </w:r>
      <w:r w:rsidR="005A1BCA" w:rsidRPr="00744DDA">
        <w:rPr>
          <w:lang w:val="es-ES_tradnl"/>
        </w:rPr>
        <w:t>iendo</w:t>
      </w:r>
      <w:r w:rsidR="00F2433A" w:rsidRPr="00744DDA">
        <w:rPr>
          <w:lang w:val="es-ES_tradnl"/>
        </w:rPr>
        <w:t xml:space="preserve"> </w:t>
      </w:r>
      <w:r w:rsidR="001955B3" w:rsidRPr="00744DDA">
        <w:rPr>
          <w:lang w:val="es-ES_tradnl"/>
        </w:rPr>
        <w:t>en cuenta</w:t>
      </w:r>
      <w:r w:rsidR="0033788B" w:rsidRPr="00744DDA">
        <w:rPr>
          <w:lang w:val="es-ES_tradnl"/>
        </w:rPr>
        <w:t xml:space="preserve"> la influencia del medio ambiente</w:t>
      </w:r>
      <w:r w:rsidR="0033788B" w:rsidRPr="00744DDA">
        <w:rPr>
          <w:rFonts w:hint="eastAsia"/>
          <w:lang w:val="es-ES_tradnl" w:eastAsia="ja-JP"/>
        </w:rPr>
        <w:t xml:space="preserve"> (</w:t>
      </w:r>
      <w:r w:rsidR="0033788B" w:rsidRPr="00744DDA">
        <w:rPr>
          <w:lang w:val="es-ES_tradnl" w:eastAsia="ja-JP"/>
        </w:rPr>
        <w:t>véase el párrafo </w:t>
      </w:r>
      <w:r w:rsidR="0033788B" w:rsidRPr="00744DDA">
        <w:rPr>
          <w:rFonts w:hint="eastAsia"/>
          <w:lang w:val="es-ES_tradnl" w:eastAsia="ja-JP"/>
        </w:rPr>
        <w:t>39</w:t>
      </w:r>
      <w:r w:rsidR="0033788B" w:rsidRPr="00744DDA">
        <w:rPr>
          <w:lang w:val="es-ES_tradnl" w:eastAsia="ja-JP"/>
        </w:rPr>
        <w:t xml:space="preserve"> del documento </w:t>
      </w:r>
      <w:r w:rsidR="0033788B" w:rsidRPr="00744DDA">
        <w:rPr>
          <w:rFonts w:hint="eastAsia"/>
          <w:lang w:val="es-ES_tradnl" w:eastAsia="ja-JP"/>
        </w:rPr>
        <w:t>TWA/43/27)</w:t>
      </w:r>
      <w:r w:rsidR="0033788B" w:rsidRPr="00744DDA">
        <w:rPr>
          <w:lang w:val="es-ES_tradnl"/>
        </w:rPr>
        <w:t>.</w:t>
      </w:r>
    </w:p>
    <w:p w:rsidR="00B25FF7" w:rsidRPr="00744DDA" w:rsidRDefault="00B25FF7" w:rsidP="00B25FF7">
      <w:pPr>
        <w:rPr>
          <w:snapToGrid w:val="0"/>
          <w:highlight w:val="cyan"/>
          <w:lang w:val="es-ES_tradnl" w:eastAsia="ja-JP"/>
        </w:rPr>
      </w:pPr>
    </w:p>
    <w:p w:rsidR="00B25FF7" w:rsidRPr="0018223C" w:rsidRDefault="002972B8" w:rsidP="00142A73">
      <w:pPr>
        <w:pStyle w:val="Heading2"/>
        <w:rPr>
          <w:color w:val="auto"/>
          <w:lang w:val="es-ES"/>
        </w:rPr>
      </w:pPr>
      <w:r w:rsidRPr="0018223C">
        <w:rPr>
          <w:color w:val="auto"/>
          <w:lang w:val="es-ES"/>
        </w:rPr>
        <w:t>Comité de Redacción Ampliado</w:t>
      </w:r>
    </w:p>
    <w:p w:rsidR="00B25FF7" w:rsidRPr="0018223C" w:rsidRDefault="00B25FF7" w:rsidP="00142A73">
      <w:pPr>
        <w:pStyle w:val="Heading2"/>
        <w:rPr>
          <w:color w:val="auto"/>
          <w:lang w:val="es-ES"/>
        </w:rPr>
      </w:pPr>
    </w:p>
    <w:p w:rsidR="00B25FF7" w:rsidRPr="00744DDA" w:rsidRDefault="00E51541" w:rsidP="00B25FF7">
      <w:pPr>
        <w:rPr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33788B" w:rsidRPr="00744DDA">
        <w:rPr>
          <w:lang w:val="es-ES_tradnl" w:eastAsia="ja-JP"/>
        </w:rPr>
        <w:t>En su reunión</w:t>
      </w:r>
      <w:r w:rsidR="0033788B" w:rsidRPr="00744DDA">
        <w:rPr>
          <w:rFonts w:hint="eastAsia"/>
          <w:lang w:val="es-ES_tradnl" w:eastAsia="ja-JP"/>
        </w:rPr>
        <w:t xml:space="preserve"> </w:t>
      </w:r>
      <w:r w:rsidR="0033788B" w:rsidRPr="00744DDA">
        <w:rPr>
          <w:lang w:val="es-ES_tradnl" w:eastAsia="ja-JP"/>
        </w:rPr>
        <w:t>celebrada en</w:t>
      </w:r>
      <w:r w:rsidR="0033788B" w:rsidRPr="00744DDA">
        <w:rPr>
          <w:rFonts w:hint="eastAsia"/>
          <w:lang w:val="es-ES_tradnl" w:eastAsia="ja-JP"/>
        </w:rPr>
        <w:t xml:space="preserve"> </w:t>
      </w:r>
      <w:r w:rsidR="0033788B" w:rsidRPr="00744DDA">
        <w:rPr>
          <w:lang w:val="es-ES_tradnl" w:eastAsia="ja-JP"/>
        </w:rPr>
        <w:t xml:space="preserve">Ginebra los días </w:t>
      </w:r>
      <w:r w:rsidR="0033788B" w:rsidRPr="00744DDA">
        <w:rPr>
          <w:rFonts w:hint="eastAsia"/>
          <w:lang w:val="es-ES_tradnl" w:eastAsia="ja-JP"/>
        </w:rPr>
        <w:t xml:space="preserve">7 </w:t>
      </w:r>
      <w:r w:rsidR="0033788B" w:rsidRPr="00744DDA">
        <w:rPr>
          <w:lang w:val="es-ES_tradnl" w:eastAsia="ja-JP"/>
        </w:rPr>
        <w:t xml:space="preserve">y </w:t>
      </w:r>
      <w:r w:rsidR="0033788B" w:rsidRPr="00744DDA">
        <w:rPr>
          <w:rFonts w:hint="eastAsia"/>
          <w:lang w:val="es-ES_tradnl" w:eastAsia="ja-JP"/>
        </w:rPr>
        <w:t>8</w:t>
      </w:r>
      <w:r w:rsidR="0033788B" w:rsidRPr="00744DDA">
        <w:rPr>
          <w:lang w:val="es-ES_tradnl" w:eastAsia="ja-JP"/>
        </w:rPr>
        <w:t xml:space="preserve"> de enero de</w:t>
      </w:r>
      <w:r w:rsidR="0033788B" w:rsidRPr="00744DDA">
        <w:rPr>
          <w:rFonts w:hint="eastAsia"/>
          <w:lang w:val="es-ES_tradnl" w:eastAsia="ja-JP"/>
        </w:rPr>
        <w:t xml:space="preserve"> 2015, </w:t>
      </w:r>
      <w:r w:rsidR="0033788B" w:rsidRPr="00744DDA">
        <w:rPr>
          <w:lang w:val="es-ES_tradnl" w:eastAsia="ja-JP"/>
        </w:rPr>
        <w:t>el TC-EDC examinó el documento </w:t>
      </w:r>
      <w:r w:rsidR="0033788B" w:rsidRPr="00744DDA">
        <w:rPr>
          <w:rFonts w:hint="eastAsia"/>
          <w:lang w:val="es-ES_tradnl" w:eastAsia="ja-JP"/>
        </w:rPr>
        <w:t>TC</w:t>
      </w:r>
      <w:r w:rsidR="0033788B" w:rsidRPr="00744DDA">
        <w:rPr>
          <w:lang w:val="es-ES_tradnl" w:eastAsia="ja-JP"/>
        </w:rPr>
        <w:noBreakHyphen/>
      </w:r>
      <w:r w:rsidR="0033788B" w:rsidRPr="00744DDA">
        <w:rPr>
          <w:rFonts w:hint="eastAsia"/>
          <w:lang w:val="es-ES_tradnl" w:eastAsia="ja-JP"/>
        </w:rPr>
        <w:t xml:space="preserve">EDC/Jan-15/8 </w:t>
      </w:r>
      <w:r w:rsidR="0033788B" w:rsidRPr="00744DDA">
        <w:rPr>
          <w:lang w:val="es-ES_tradnl" w:eastAsia="ja-JP"/>
        </w:rPr>
        <w:t>“</w:t>
      </w:r>
      <w:r w:rsidR="00F12D99">
        <w:rPr>
          <w:szCs w:val="24"/>
          <w:lang w:val="es-ES_tradnl" w:eastAsia="ja-JP"/>
        </w:rPr>
        <w:t xml:space="preserve">Revisión del documento TGP/8: </w:t>
      </w:r>
      <w:r w:rsidR="0041585F" w:rsidRPr="00744DDA">
        <w:rPr>
          <w:szCs w:val="24"/>
          <w:lang w:val="es-ES_tradnl" w:eastAsia="ja-JP"/>
        </w:rPr>
        <w:t>Parte</w:t>
      </w:r>
      <w:r w:rsidR="00AC3751">
        <w:rPr>
          <w:szCs w:val="24"/>
          <w:lang w:val="es-ES_tradnl" w:eastAsia="ja-JP"/>
        </w:rPr>
        <w:t xml:space="preserve"> II: </w:t>
      </w:r>
      <w:r w:rsidR="0041585F" w:rsidRPr="00744DDA">
        <w:rPr>
          <w:szCs w:val="24"/>
          <w:lang w:val="es-ES_tradnl" w:eastAsia="ja-JP"/>
        </w:rPr>
        <w:t>Técnicas utilizadas en el examen DHE, nueva sección</w:t>
      </w:r>
      <w:proofErr w:type="gramStart"/>
      <w:r w:rsidR="0041585F" w:rsidRPr="00744DDA">
        <w:rPr>
          <w:szCs w:val="24"/>
          <w:lang w:val="es-ES_tradnl" w:eastAsia="ja-JP"/>
        </w:rPr>
        <w:t>:  Examen</w:t>
      </w:r>
      <w:proofErr w:type="gramEnd"/>
      <w:r w:rsidR="0041585F" w:rsidRPr="00744DDA">
        <w:rPr>
          <w:szCs w:val="24"/>
          <w:lang w:val="es-ES_tradnl" w:eastAsia="ja-JP"/>
        </w:rPr>
        <w:t xml:space="preserve"> DHE de muestras en bloque</w:t>
      </w:r>
      <w:r w:rsidR="0033788B" w:rsidRPr="00744DDA">
        <w:rPr>
          <w:szCs w:val="24"/>
          <w:lang w:val="es-ES_tradnl" w:eastAsia="ja-JP"/>
        </w:rPr>
        <w:t>”</w:t>
      </w:r>
      <w:r w:rsidR="0033788B" w:rsidRPr="00744DDA">
        <w:rPr>
          <w:rFonts w:hint="eastAsia"/>
          <w:lang w:val="es-ES_tradnl" w:eastAsia="ja-JP"/>
        </w:rPr>
        <w:t>.</w:t>
      </w:r>
    </w:p>
    <w:p w:rsidR="00B25FF7" w:rsidRPr="00744DDA" w:rsidRDefault="00B25FF7" w:rsidP="00B25FF7">
      <w:pPr>
        <w:jc w:val="left"/>
        <w:rPr>
          <w:lang w:val="es-ES_tradnl" w:eastAsia="ja-JP"/>
        </w:rPr>
      </w:pPr>
    </w:p>
    <w:p w:rsidR="00B25FF7" w:rsidRPr="00744DDA" w:rsidRDefault="00E51541" w:rsidP="00B25FF7">
      <w:pPr>
        <w:rPr>
          <w:rFonts w:cs="Arial"/>
          <w:lang w:val="es-ES_tradnl"/>
        </w:rPr>
      </w:pPr>
      <w:r w:rsidRPr="00744DDA">
        <w:lastRenderedPageBreak/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F34CC6" w:rsidRPr="00744DDA">
        <w:rPr>
          <w:lang w:val="es-ES_tradnl" w:eastAsia="ja-JP"/>
        </w:rPr>
        <w:t>El TC-EDC</w:t>
      </w:r>
      <w:r w:rsidR="00F34CC6" w:rsidRPr="00744DDA">
        <w:rPr>
          <w:rFonts w:hint="eastAsia"/>
          <w:lang w:val="es-ES_tradnl" w:eastAsia="ja-JP"/>
        </w:rPr>
        <w:t xml:space="preserve"> </w:t>
      </w:r>
      <w:r w:rsidR="00F34CC6" w:rsidRPr="00744DDA">
        <w:rPr>
          <w:lang w:val="es-ES_tradnl" w:eastAsia="ja-JP"/>
        </w:rPr>
        <w:t>propuso que</w:t>
      </w:r>
      <w:r w:rsidR="00F2433A" w:rsidRPr="00744DDA">
        <w:rPr>
          <w:lang w:val="es-ES_tradnl" w:eastAsia="ja-JP"/>
        </w:rPr>
        <w:t xml:space="preserve"> </w:t>
      </w:r>
      <w:r w:rsidR="00F2433A" w:rsidRPr="00744DDA">
        <w:rPr>
          <w:rFonts w:cs="Arial"/>
          <w:lang w:val="es-ES_tradnl"/>
        </w:rPr>
        <w:t>en el ejemplo de un carácter examinado a partir de muestras en bloque, según figura en el Anexo del presente documento,</w:t>
      </w:r>
      <w:r w:rsidR="00F34CC6" w:rsidRPr="00744DDA">
        <w:rPr>
          <w:lang w:val="es-ES_tradnl" w:eastAsia="ja-JP"/>
        </w:rPr>
        <w:t xml:space="preserve"> se ofre</w:t>
      </w:r>
      <w:r w:rsidR="00F2433A" w:rsidRPr="00744DDA">
        <w:rPr>
          <w:lang w:val="es-ES_tradnl" w:eastAsia="ja-JP"/>
        </w:rPr>
        <w:t xml:space="preserve">zca </w:t>
      </w:r>
      <w:r w:rsidR="00F34CC6" w:rsidRPr="00744DDA">
        <w:rPr>
          <w:rFonts w:cs="Arial"/>
          <w:lang w:val="es-ES_tradnl"/>
        </w:rPr>
        <w:t>información adicional relativa al cumplimiento de los requisitos de un carácter</w:t>
      </w:r>
      <w:r w:rsidR="00F2433A" w:rsidRPr="00744DDA">
        <w:rPr>
          <w:rFonts w:cs="Arial"/>
          <w:lang w:val="es-ES_tradnl"/>
        </w:rPr>
        <w:t xml:space="preserve"> para el examen </w:t>
      </w:r>
      <w:r w:rsidR="00F34CC6" w:rsidRPr="00744DDA">
        <w:rPr>
          <w:rFonts w:cs="Arial"/>
          <w:lang w:val="es-ES_tradnl"/>
        </w:rPr>
        <w:t>DHE.</w:t>
      </w:r>
      <w:r w:rsidR="00B25FF7" w:rsidRPr="00744DDA">
        <w:rPr>
          <w:rFonts w:cs="Arial"/>
          <w:lang w:val="es-ES_tradnl"/>
        </w:rPr>
        <w:t xml:space="preserve"> </w:t>
      </w:r>
    </w:p>
    <w:p w:rsidR="00B25FF7" w:rsidRPr="00744DDA" w:rsidRDefault="00B25FF7" w:rsidP="00B25FF7">
      <w:pPr>
        <w:jc w:val="left"/>
        <w:rPr>
          <w:lang w:val="es-ES_tradnl" w:eastAsia="ja-JP"/>
        </w:rPr>
      </w:pPr>
    </w:p>
    <w:p w:rsidR="00B25FF7" w:rsidRPr="00744DDA" w:rsidRDefault="00E51541" w:rsidP="00B25FF7">
      <w:pPr>
        <w:pStyle w:val="DecisionParagraphs"/>
        <w:rPr>
          <w:lang w:val="es-ES_tradnl" w:eastAsia="ja-JP"/>
        </w:rPr>
      </w:pPr>
      <w:r w:rsidRPr="00744DDA">
        <w:fldChar w:fldCharType="begin"/>
      </w:r>
      <w:r w:rsidR="00B25FF7" w:rsidRPr="00744DDA">
        <w:rPr>
          <w:lang w:val="es-ES_tradnl"/>
        </w:rPr>
        <w:instrText xml:space="preserve"> AUTONUM  </w:instrText>
      </w:r>
      <w:r w:rsidRPr="00744DDA">
        <w:fldChar w:fldCharType="end"/>
      </w:r>
      <w:r w:rsidR="00B25FF7" w:rsidRPr="00744DDA">
        <w:rPr>
          <w:lang w:val="es-ES_tradnl"/>
        </w:rPr>
        <w:tab/>
      </w:r>
      <w:r w:rsidR="0099525D" w:rsidRPr="00744DDA">
        <w:rPr>
          <w:lang w:val="es-ES_tradnl"/>
        </w:rPr>
        <w:t>Se invita al TC a</w:t>
      </w:r>
      <w:r w:rsidR="0099525D" w:rsidRPr="00744DDA">
        <w:rPr>
          <w:lang w:val="es-ES_tradnl" w:eastAsia="ja-JP"/>
        </w:rPr>
        <w:t>:</w:t>
      </w:r>
    </w:p>
    <w:p w:rsidR="00B25FF7" w:rsidRPr="00744DDA" w:rsidRDefault="00B25FF7" w:rsidP="00B25FF7">
      <w:pPr>
        <w:pStyle w:val="DecisionParagraphs"/>
        <w:rPr>
          <w:lang w:val="es-ES_tradnl" w:eastAsia="ja-JP"/>
        </w:rPr>
      </w:pPr>
    </w:p>
    <w:p w:rsidR="00B25FF7" w:rsidRPr="00744DDA" w:rsidRDefault="00B25FF7" w:rsidP="00B25FF7">
      <w:pPr>
        <w:pStyle w:val="DecisionParagraphs"/>
        <w:tabs>
          <w:tab w:val="clear" w:pos="5387"/>
          <w:tab w:val="left" w:pos="5220"/>
          <w:tab w:val="left" w:pos="5850"/>
        </w:tabs>
        <w:rPr>
          <w:lang w:val="es-ES_tradnl" w:eastAsia="ja-JP"/>
        </w:rPr>
      </w:pPr>
      <w:r w:rsidRPr="00744DDA">
        <w:rPr>
          <w:rFonts w:hint="eastAsia"/>
          <w:lang w:val="es-ES_tradnl" w:eastAsia="ja-JP"/>
        </w:rPr>
        <w:tab/>
        <w:t>a)</w:t>
      </w:r>
      <w:r w:rsidRPr="00744DDA">
        <w:rPr>
          <w:rFonts w:hint="eastAsia"/>
          <w:lang w:val="es-ES_tradnl" w:eastAsia="ja-JP"/>
        </w:rPr>
        <w:tab/>
      </w:r>
      <w:r w:rsidR="004E4C3C" w:rsidRPr="00744DDA">
        <w:rPr>
          <w:lang w:val="es-ES_tradnl" w:eastAsia="ja-JP"/>
        </w:rPr>
        <w:t xml:space="preserve">solicitar a los expertos de los Países Bajos que proporcionen información adicional acerca de </w:t>
      </w:r>
      <w:r w:rsidR="004E4C3C" w:rsidRPr="00744DDA">
        <w:rPr>
          <w:lang w:val="es-ES_tradnl"/>
        </w:rPr>
        <w:t xml:space="preserve">la medición sistemática </w:t>
      </w:r>
      <w:r w:rsidR="004E4C3C" w:rsidRPr="00744DDA">
        <w:rPr>
          <w:rFonts w:cs="Arial"/>
          <w:lang w:val="es-ES_tradnl"/>
        </w:rPr>
        <w:t>del contenido de glucorrafanina</w:t>
      </w:r>
      <w:r w:rsidR="004E4C3C" w:rsidRPr="00744DDA">
        <w:rPr>
          <w:rFonts w:cs="Arial" w:hint="eastAsia"/>
          <w:lang w:val="es-ES_tradnl" w:eastAsia="ja-JP"/>
        </w:rPr>
        <w:t xml:space="preserve">, </w:t>
      </w:r>
      <w:r w:rsidR="004E4C3C" w:rsidRPr="00744DDA">
        <w:rPr>
          <w:rFonts w:cs="Arial"/>
          <w:lang w:val="es-ES_tradnl" w:eastAsia="ja-JP"/>
        </w:rPr>
        <w:t xml:space="preserve">según </w:t>
      </w:r>
      <w:r w:rsidR="00F2433A" w:rsidRPr="00744DDA">
        <w:rPr>
          <w:rFonts w:cs="Arial"/>
          <w:lang w:val="es-ES_tradnl" w:eastAsia="ja-JP"/>
        </w:rPr>
        <w:t xml:space="preserve">figura </w:t>
      </w:r>
      <w:r w:rsidR="004E4C3C" w:rsidRPr="00744DDA">
        <w:rPr>
          <w:rFonts w:cs="Arial"/>
          <w:lang w:val="es-ES_tradnl" w:eastAsia="ja-JP"/>
        </w:rPr>
        <w:t>en el Anexo del presente documento</w:t>
      </w:r>
      <w:r w:rsidR="004E4C3C" w:rsidRPr="00744DDA">
        <w:rPr>
          <w:rFonts w:hint="eastAsia"/>
          <w:lang w:val="es-ES_tradnl" w:eastAsia="ja-JP"/>
        </w:rPr>
        <w:t>;</w:t>
      </w:r>
      <w:r w:rsidRPr="00744DDA">
        <w:rPr>
          <w:rFonts w:hint="eastAsia"/>
          <w:lang w:val="es-ES_tradnl" w:eastAsia="ja-JP"/>
        </w:rPr>
        <w:t xml:space="preserve"> </w:t>
      </w:r>
    </w:p>
    <w:p w:rsidR="00B25FF7" w:rsidRPr="00744DDA" w:rsidRDefault="00B25FF7" w:rsidP="00B25FF7">
      <w:pPr>
        <w:pStyle w:val="DecisionParagraphs"/>
        <w:rPr>
          <w:lang w:val="es-ES_tradnl" w:eastAsia="ja-JP"/>
        </w:rPr>
      </w:pPr>
    </w:p>
    <w:p w:rsidR="00B25FF7" w:rsidRPr="00744DDA" w:rsidRDefault="00B25FF7" w:rsidP="00B25FF7">
      <w:pPr>
        <w:pStyle w:val="DecisionParagraphs"/>
        <w:tabs>
          <w:tab w:val="clear" w:pos="5387"/>
          <w:tab w:val="left" w:pos="5220"/>
          <w:tab w:val="left" w:pos="5850"/>
        </w:tabs>
        <w:rPr>
          <w:lang w:val="es-ES_tradnl" w:eastAsia="ja-JP"/>
        </w:rPr>
      </w:pPr>
      <w:r w:rsidRPr="00744DDA">
        <w:rPr>
          <w:rFonts w:hint="eastAsia"/>
          <w:lang w:val="es-ES_tradnl" w:eastAsia="ja-JP"/>
        </w:rPr>
        <w:tab/>
        <w:t>b)</w:t>
      </w:r>
      <w:r w:rsidRPr="00744DDA">
        <w:rPr>
          <w:rFonts w:hint="eastAsia"/>
          <w:lang w:val="es-ES_tradnl" w:eastAsia="ja-JP"/>
        </w:rPr>
        <w:tab/>
      </w:r>
      <w:r w:rsidR="004E4C3C" w:rsidRPr="00744DDA">
        <w:rPr>
          <w:lang w:val="es-ES_tradnl" w:eastAsia="ja-JP"/>
        </w:rPr>
        <w:t xml:space="preserve">considerar si procede ofrecer información adicional relativa al cumplimiento de los requisitos de un carácter DHE </w:t>
      </w:r>
      <w:r w:rsidR="00F2433A" w:rsidRPr="00744DDA">
        <w:rPr>
          <w:lang w:val="es-ES_tradnl" w:eastAsia="ja-JP"/>
        </w:rPr>
        <w:t>en el ejemplo de un carácter examinado a partir de muestras en bloque, según figura en el Anexo del presente documento</w:t>
      </w:r>
      <w:r w:rsidR="004E4C3C" w:rsidRPr="00744DDA">
        <w:rPr>
          <w:lang w:val="es-ES_tradnl" w:eastAsia="ja-JP"/>
        </w:rPr>
        <w:t>.</w:t>
      </w:r>
      <w:r w:rsidRPr="00744DDA">
        <w:rPr>
          <w:rFonts w:hint="eastAsia"/>
          <w:lang w:val="es-ES_tradnl" w:eastAsia="ja-JP"/>
        </w:rPr>
        <w:tab/>
      </w:r>
    </w:p>
    <w:p w:rsidR="00B25FF7" w:rsidRPr="00744DDA" w:rsidRDefault="00B25FF7" w:rsidP="00B25FF7">
      <w:pPr>
        <w:pStyle w:val="DecisionParagraphs"/>
        <w:tabs>
          <w:tab w:val="clear" w:pos="5387"/>
          <w:tab w:val="left" w:pos="5220"/>
          <w:tab w:val="left" w:pos="5310"/>
          <w:tab w:val="left" w:pos="5850"/>
        </w:tabs>
        <w:rPr>
          <w:lang w:val="es-ES_tradnl" w:eastAsia="ja-JP"/>
        </w:rPr>
      </w:pPr>
    </w:p>
    <w:p w:rsidR="00B25FF7" w:rsidRPr="00744DDA" w:rsidRDefault="00B25FF7" w:rsidP="00B25FF7">
      <w:pPr>
        <w:pStyle w:val="DecisionParagraphs"/>
        <w:tabs>
          <w:tab w:val="clear" w:pos="5387"/>
          <w:tab w:val="left" w:pos="5220"/>
          <w:tab w:val="left" w:pos="5310"/>
          <w:tab w:val="left" w:pos="5850"/>
        </w:tabs>
        <w:rPr>
          <w:lang w:val="es-ES_tradnl" w:eastAsia="ja-JP"/>
        </w:rPr>
      </w:pPr>
      <w:r w:rsidRPr="00744DDA">
        <w:rPr>
          <w:rFonts w:hint="eastAsia"/>
          <w:lang w:val="es-ES_tradnl" w:eastAsia="ja-JP"/>
        </w:rPr>
        <w:tab/>
        <w:t>c)</w:t>
      </w:r>
      <w:r w:rsidRPr="00744DDA">
        <w:rPr>
          <w:lang w:val="es-ES_tradnl" w:eastAsia="ja-JP"/>
        </w:rPr>
        <w:tab/>
      </w:r>
      <w:r w:rsidR="004E4C3C" w:rsidRPr="00744DDA">
        <w:rPr>
          <w:lang w:val="es-ES_tradnl" w:eastAsia="ja-JP"/>
        </w:rPr>
        <w:t xml:space="preserve">considerar si </w:t>
      </w:r>
      <w:r w:rsidR="005A1BCA" w:rsidRPr="00744DDA">
        <w:rPr>
          <w:lang w:val="es-ES_tradnl" w:eastAsia="ja-JP"/>
        </w:rPr>
        <w:t xml:space="preserve">es necesario analizar </w:t>
      </w:r>
      <w:r w:rsidR="004E4C3C" w:rsidRPr="00744DDA">
        <w:rPr>
          <w:lang w:val="es-ES_tradnl" w:eastAsia="ja-JP"/>
        </w:rPr>
        <w:t>plantas individuales para validar</w:t>
      </w:r>
      <w:r w:rsidR="00F2433A" w:rsidRPr="00744DDA">
        <w:rPr>
          <w:lang w:val="es-ES_tradnl" w:eastAsia="ja-JP"/>
        </w:rPr>
        <w:t xml:space="preserve"> los</w:t>
      </w:r>
      <w:r w:rsidR="004E4C3C" w:rsidRPr="00744DDA">
        <w:rPr>
          <w:lang w:val="es-ES_tradnl" w:eastAsia="ja-JP"/>
        </w:rPr>
        <w:t xml:space="preserve"> caracteres examinados a partir de muestras en bloque, y la </w:t>
      </w:r>
      <w:r w:rsidR="004E4C3C" w:rsidRPr="00744DDA">
        <w:rPr>
          <w:lang w:val="es-ES_tradnl"/>
        </w:rPr>
        <w:t>posible repercusión en el costo</w:t>
      </w:r>
      <w:r w:rsidR="004E4C3C" w:rsidRPr="00744DDA">
        <w:rPr>
          <w:lang w:val="es-ES_tradnl" w:eastAsia="ja-JP"/>
        </w:rPr>
        <w:t>;</w:t>
      </w:r>
    </w:p>
    <w:p w:rsidR="00B25FF7" w:rsidRPr="00744DDA" w:rsidRDefault="00B25FF7" w:rsidP="00B25FF7">
      <w:pPr>
        <w:pStyle w:val="DecisionParagraphs"/>
        <w:tabs>
          <w:tab w:val="clear" w:pos="5387"/>
          <w:tab w:val="left" w:pos="5220"/>
          <w:tab w:val="left" w:pos="5310"/>
          <w:tab w:val="left" w:pos="5850"/>
        </w:tabs>
        <w:rPr>
          <w:lang w:val="es-ES_tradnl" w:eastAsia="ja-JP"/>
        </w:rPr>
      </w:pPr>
    </w:p>
    <w:p w:rsidR="00B25FF7" w:rsidRPr="00744DDA" w:rsidRDefault="0099525D" w:rsidP="00B25FF7">
      <w:pPr>
        <w:pStyle w:val="DecisionParagraphs"/>
        <w:tabs>
          <w:tab w:val="clear" w:pos="5387"/>
          <w:tab w:val="left" w:pos="5220"/>
          <w:tab w:val="left" w:pos="5310"/>
          <w:tab w:val="left" w:pos="5850"/>
        </w:tabs>
        <w:rPr>
          <w:lang w:val="es-ES_tradnl" w:eastAsia="ja-JP"/>
        </w:rPr>
      </w:pPr>
      <w:r w:rsidRPr="00744DDA">
        <w:rPr>
          <w:lang w:val="es-ES_tradnl" w:eastAsia="ja-JP"/>
        </w:rPr>
        <w:tab/>
      </w:r>
      <w:r w:rsidR="00B25FF7" w:rsidRPr="00744DDA">
        <w:rPr>
          <w:rFonts w:hint="eastAsia"/>
          <w:lang w:val="es-ES_tradnl" w:eastAsia="ja-JP"/>
        </w:rPr>
        <w:t>d</w:t>
      </w:r>
      <w:r w:rsidR="00B25FF7" w:rsidRPr="00744DDA">
        <w:rPr>
          <w:lang w:val="es-ES_tradnl" w:eastAsia="ja-JP"/>
        </w:rPr>
        <w:t>)</w:t>
      </w:r>
      <w:r w:rsidR="00B25FF7" w:rsidRPr="00744DDA">
        <w:rPr>
          <w:lang w:val="es-ES_tradnl" w:eastAsia="ja-JP"/>
        </w:rPr>
        <w:tab/>
      </w:r>
      <w:r w:rsidR="004E4C3C" w:rsidRPr="00744DDA">
        <w:rPr>
          <w:lang w:val="es-ES_tradnl" w:eastAsia="ja-JP"/>
        </w:rPr>
        <w:t>considerar si los caracteres examinados a partir de muestras en bloque deben analizarse basándose en el número de plantas recomendado en el capítulo 4.1.4 de las directrices de examen, y</w:t>
      </w:r>
    </w:p>
    <w:p w:rsidR="00B25FF7" w:rsidRPr="00744DDA" w:rsidRDefault="00B25FF7" w:rsidP="00B25FF7">
      <w:pPr>
        <w:pStyle w:val="DecisionParagraphs"/>
        <w:tabs>
          <w:tab w:val="clear" w:pos="5387"/>
          <w:tab w:val="left" w:pos="5220"/>
          <w:tab w:val="left" w:pos="5310"/>
          <w:tab w:val="left" w:pos="5850"/>
        </w:tabs>
        <w:rPr>
          <w:lang w:val="es-ES_tradnl" w:eastAsia="ja-JP"/>
        </w:rPr>
      </w:pPr>
    </w:p>
    <w:p w:rsidR="00B25FF7" w:rsidRPr="00744DDA" w:rsidRDefault="0099525D" w:rsidP="00B25FF7">
      <w:pPr>
        <w:pStyle w:val="DecisionParagraphs"/>
        <w:tabs>
          <w:tab w:val="clear" w:pos="5387"/>
          <w:tab w:val="left" w:pos="5220"/>
          <w:tab w:val="left" w:pos="5310"/>
          <w:tab w:val="left" w:pos="5850"/>
        </w:tabs>
        <w:rPr>
          <w:lang w:val="es-ES_tradnl" w:eastAsia="ja-JP"/>
        </w:rPr>
      </w:pPr>
      <w:r w:rsidRPr="00744DDA">
        <w:rPr>
          <w:lang w:val="es-ES_tradnl" w:eastAsia="ja-JP"/>
        </w:rPr>
        <w:tab/>
      </w:r>
      <w:r w:rsidR="00B25FF7" w:rsidRPr="00744DDA">
        <w:rPr>
          <w:rFonts w:hint="eastAsia"/>
          <w:lang w:val="es-ES_tradnl" w:eastAsia="ja-JP"/>
        </w:rPr>
        <w:t>e</w:t>
      </w:r>
      <w:r w:rsidR="00B25FF7" w:rsidRPr="00744DDA">
        <w:rPr>
          <w:lang w:val="es-ES_tradnl" w:eastAsia="ja-JP"/>
        </w:rPr>
        <w:t>)</w:t>
      </w:r>
      <w:r w:rsidR="00B25FF7" w:rsidRPr="00744DDA">
        <w:rPr>
          <w:lang w:val="es-ES_tradnl" w:eastAsia="ja-JP"/>
        </w:rPr>
        <w:tab/>
      </w:r>
      <w:r w:rsidR="004E4C3C" w:rsidRPr="00744DDA">
        <w:rPr>
          <w:lang w:val="es-ES_tradnl" w:eastAsia="ja-JP"/>
        </w:rPr>
        <w:t xml:space="preserve">considerar si la determinación de los niveles de expresión debe basarse en la variación existente entre variedades y </w:t>
      </w:r>
      <w:r w:rsidR="001955B3" w:rsidRPr="00744DDA">
        <w:rPr>
          <w:lang w:val="es-ES_tradnl"/>
        </w:rPr>
        <w:t>teniendo en cuenta la influencia del medio ambiente</w:t>
      </w:r>
      <w:r w:rsidR="004E4C3C" w:rsidRPr="00744DDA">
        <w:rPr>
          <w:lang w:val="es-ES_tradnl" w:eastAsia="ja-JP"/>
        </w:rPr>
        <w:t>.</w:t>
      </w:r>
    </w:p>
    <w:p w:rsidR="00B25FF7" w:rsidRPr="00744DDA" w:rsidRDefault="00B25FF7" w:rsidP="0099525D">
      <w:pPr>
        <w:pStyle w:val="DecisionParagraphs"/>
        <w:ind w:left="0"/>
        <w:rPr>
          <w:lang w:val="es-ES_tradnl" w:eastAsia="ja-JP"/>
        </w:rPr>
      </w:pPr>
    </w:p>
    <w:p w:rsidR="00B25FF7" w:rsidRPr="00744DDA" w:rsidRDefault="00B25FF7" w:rsidP="00B25FF7">
      <w:pPr>
        <w:jc w:val="left"/>
        <w:rPr>
          <w:rFonts w:cs="Arial"/>
          <w:bCs/>
          <w:lang w:val="es-ES_tradnl" w:eastAsia="ja-JP"/>
        </w:rPr>
      </w:pPr>
    </w:p>
    <w:p w:rsidR="00B25FF7" w:rsidRPr="00744DDA" w:rsidRDefault="00B25FF7" w:rsidP="00B25FF7">
      <w:pPr>
        <w:jc w:val="left"/>
        <w:rPr>
          <w:rFonts w:cs="Arial"/>
          <w:bCs/>
          <w:lang w:val="es-ES_tradnl" w:eastAsia="ja-JP"/>
        </w:rPr>
      </w:pPr>
    </w:p>
    <w:p w:rsidR="00B25FF7" w:rsidRPr="00744DDA" w:rsidRDefault="00B25FF7" w:rsidP="00B25FF7">
      <w:pPr>
        <w:jc w:val="right"/>
        <w:rPr>
          <w:rFonts w:cs="Arial"/>
          <w:bCs/>
          <w:lang w:val="es-ES" w:eastAsia="ja-JP"/>
        </w:rPr>
      </w:pPr>
      <w:r w:rsidRPr="00744DDA">
        <w:rPr>
          <w:rFonts w:cs="Arial"/>
          <w:bCs/>
          <w:lang w:val="es-ES" w:eastAsia="ja-JP"/>
        </w:rPr>
        <w:t>[Sigue el Anexo]</w:t>
      </w:r>
    </w:p>
    <w:p w:rsidR="00B25FF7" w:rsidRPr="00744DDA" w:rsidRDefault="00B25FF7" w:rsidP="00B25FF7">
      <w:pPr>
        <w:jc w:val="left"/>
        <w:rPr>
          <w:rFonts w:cs="Arial"/>
          <w:bCs/>
          <w:lang w:val="es-ES_tradnl" w:eastAsia="ja-JP"/>
        </w:rPr>
      </w:pPr>
    </w:p>
    <w:p w:rsidR="00B25FF7" w:rsidRPr="00744DDA" w:rsidRDefault="00B25FF7" w:rsidP="00B25FF7">
      <w:pPr>
        <w:jc w:val="left"/>
        <w:rPr>
          <w:rFonts w:cs="Arial"/>
          <w:bCs/>
          <w:lang w:val="es-ES_tradnl" w:eastAsia="ja-JP"/>
        </w:rPr>
        <w:sectPr w:rsidR="00B25FF7" w:rsidRPr="00744DDA" w:rsidSect="00BC7B10">
          <w:headerReference w:type="default" r:id="rId10"/>
          <w:footnotePr>
            <w:numFmt w:val="chicago"/>
          </w:footnotePr>
          <w:endnotePr>
            <w:numFmt w:val="chicago"/>
          </w:end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25FF7" w:rsidRPr="00744DDA" w:rsidRDefault="001955B3" w:rsidP="00B25FF7">
      <w:pPr>
        <w:spacing w:line="200" w:lineRule="exact"/>
        <w:jc w:val="center"/>
        <w:rPr>
          <w:rFonts w:cs="Arial"/>
          <w:lang w:val="es-ES_tradnl"/>
        </w:rPr>
      </w:pPr>
      <w:r w:rsidRPr="00744DDA">
        <w:rPr>
          <w:rFonts w:cs="Arial"/>
          <w:lang w:val="es-ES_tradnl"/>
        </w:rPr>
        <w:lastRenderedPageBreak/>
        <w:t>EJEMPLO DE UN CARÁCTER EN BLOQUE EN LOS PAÍSES BAJOS:</w:t>
      </w:r>
      <w:r w:rsidR="00B25FF7" w:rsidRPr="00744DDA">
        <w:rPr>
          <w:rFonts w:cs="Arial"/>
          <w:lang w:val="es-ES_tradnl"/>
        </w:rPr>
        <w:t xml:space="preserve"> </w:t>
      </w:r>
      <w:r w:rsidRPr="00744DDA">
        <w:rPr>
          <w:rFonts w:cs="Arial"/>
          <w:lang w:val="es-ES_tradnl"/>
        </w:rPr>
        <w:t>CONTENIDO DE GLUCORRAFANINA</w:t>
      </w:r>
    </w:p>
    <w:p w:rsidR="00B25FF7" w:rsidRPr="00744DDA" w:rsidRDefault="00B25FF7" w:rsidP="00B25FF7">
      <w:pPr>
        <w:spacing w:line="200" w:lineRule="exact"/>
        <w:rPr>
          <w:rFonts w:cs="Arial"/>
          <w:lang w:val="es-ES_tradnl"/>
        </w:rPr>
      </w:pPr>
    </w:p>
    <w:p w:rsidR="00B25FF7" w:rsidRPr="00744DDA" w:rsidRDefault="00B25FF7" w:rsidP="00B25FF7">
      <w:pPr>
        <w:spacing w:line="200" w:lineRule="exact"/>
        <w:rPr>
          <w:rFonts w:cs="Arial"/>
          <w:lang w:val="es-ES_tradnl"/>
        </w:rPr>
      </w:pPr>
    </w:p>
    <w:p w:rsidR="00B25FF7" w:rsidRPr="00744DDA" w:rsidRDefault="00536000" w:rsidP="00536000">
      <w:pPr>
        <w:pStyle w:val="ListParagraph"/>
        <w:widowControl w:val="0"/>
        <w:numPr>
          <w:ilvl w:val="0"/>
          <w:numId w:val="1"/>
        </w:numPr>
        <w:spacing w:line="200" w:lineRule="exact"/>
        <w:jc w:val="left"/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Consideración acerca de la idoneidad del carácter para el examen DHE</w:t>
      </w:r>
    </w:p>
    <w:p w:rsidR="00B25FF7" w:rsidRPr="00744DDA" w:rsidRDefault="00536000" w:rsidP="00536000">
      <w:pPr>
        <w:pStyle w:val="ListParagraph"/>
        <w:widowControl w:val="0"/>
        <w:numPr>
          <w:ilvl w:val="0"/>
          <w:numId w:val="1"/>
        </w:numPr>
        <w:spacing w:line="200" w:lineRule="exact"/>
        <w:jc w:val="left"/>
        <w:rPr>
          <w:rFonts w:cs="Arial"/>
        </w:rPr>
      </w:pPr>
      <w:r w:rsidRPr="00744DDA">
        <w:rPr>
          <w:rFonts w:cs="Arial"/>
          <w:lang w:val="es-ES_tradnl"/>
        </w:rPr>
        <w:t>Descripción del carácter</w:t>
      </w:r>
    </w:p>
    <w:p w:rsidR="00B25FF7" w:rsidRPr="00744DDA" w:rsidRDefault="00536000" w:rsidP="00536000">
      <w:pPr>
        <w:pStyle w:val="ListParagraph"/>
        <w:widowControl w:val="0"/>
        <w:numPr>
          <w:ilvl w:val="0"/>
          <w:numId w:val="1"/>
        </w:numPr>
        <w:spacing w:line="200" w:lineRule="exact"/>
        <w:jc w:val="left"/>
        <w:rPr>
          <w:rFonts w:cs="Arial"/>
        </w:rPr>
      </w:pPr>
      <w:r w:rsidRPr="00744DDA">
        <w:rPr>
          <w:rFonts w:cs="Arial"/>
          <w:lang w:val="es-ES_tradnl"/>
        </w:rPr>
        <w:t>Método de detección</w:t>
      </w:r>
    </w:p>
    <w:p w:rsidR="00B25FF7" w:rsidRPr="00744DDA" w:rsidRDefault="00B25FF7" w:rsidP="00B25FF7">
      <w:pPr>
        <w:spacing w:line="200" w:lineRule="exact"/>
        <w:rPr>
          <w:rFonts w:cs="Arial"/>
        </w:rPr>
      </w:pPr>
    </w:p>
    <w:p w:rsidR="00B25FF7" w:rsidRPr="00744DDA" w:rsidRDefault="00B25FF7" w:rsidP="00B25FF7">
      <w:pPr>
        <w:spacing w:line="200" w:lineRule="exact"/>
        <w:rPr>
          <w:rFonts w:cs="Arial"/>
        </w:rPr>
      </w:pPr>
    </w:p>
    <w:p w:rsidR="00B25FF7" w:rsidRPr="00744DDA" w:rsidRDefault="00536000" w:rsidP="00536000">
      <w:pPr>
        <w:pStyle w:val="ListParagraph"/>
        <w:widowControl w:val="0"/>
        <w:numPr>
          <w:ilvl w:val="0"/>
          <w:numId w:val="2"/>
        </w:numPr>
        <w:spacing w:line="200" w:lineRule="exact"/>
        <w:jc w:val="left"/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Consideración acerca de la idoneidad del carácter para el examen DHE</w:t>
      </w:r>
    </w:p>
    <w:p w:rsidR="00B25FF7" w:rsidRPr="00744DDA" w:rsidRDefault="00B25FF7" w:rsidP="00B25FF7">
      <w:pPr>
        <w:spacing w:line="200" w:lineRule="exact"/>
        <w:rPr>
          <w:rFonts w:cs="Arial"/>
          <w:b/>
          <w:bCs/>
          <w:lang w:val="es-ES_tradnl"/>
        </w:rPr>
      </w:pPr>
    </w:p>
    <w:p w:rsidR="00B25FF7" w:rsidRPr="00744DDA" w:rsidRDefault="00B25FF7" w:rsidP="00B25FF7">
      <w:pPr>
        <w:spacing w:line="200" w:lineRule="exact"/>
        <w:rPr>
          <w:rFonts w:cs="Arial"/>
          <w:b/>
          <w:bCs/>
          <w:lang w:val="es-ES_tradnl"/>
        </w:rPr>
      </w:pPr>
    </w:p>
    <w:p w:rsidR="00B25FF7" w:rsidRPr="00744DDA" w:rsidRDefault="00536000" w:rsidP="00B25FF7">
      <w:pPr>
        <w:spacing w:line="200" w:lineRule="exact"/>
        <w:rPr>
          <w:rFonts w:cs="Arial"/>
          <w:lang w:val="es-ES_tradnl"/>
        </w:rPr>
      </w:pPr>
      <w:r w:rsidRPr="00744DDA">
        <w:rPr>
          <w:rFonts w:cs="Arial"/>
          <w:bCs/>
          <w:lang w:val="es-ES_tradnl"/>
        </w:rPr>
        <w:t>La selección de los caracteres</w:t>
      </w:r>
      <w:r w:rsidRPr="00744DDA">
        <w:rPr>
          <w:rFonts w:cs="Arial"/>
          <w:bCs/>
          <w:w w:val="103"/>
          <w:lang w:val="es-ES_tradnl"/>
        </w:rPr>
        <w:t xml:space="preserve"> se menciona en la orientación técnica de la UPOV:</w:t>
      </w:r>
      <w:r w:rsidR="00B25FF7" w:rsidRPr="00744DDA">
        <w:rPr>
          <w:rFonts w:cs="Arial"/>
          <w:lang w:val="es-ES_tradnl"/>
        </w:rPr>
        <w:t xml:space="preserve"> </w:t>
      </w:r>
      <w:r w:rsidR="000E471E" w:rsidRPr="00744DDA">
        <w:rPr>
          <w:rFonts w:cs="Arial"/>
          <w:lang w:val="es-ES_tradnl"/>
        </w:rPr>
        <w:t>TG/1/3, página 9.</w:t>
      </w:r>
      <w:r w:rsidR="00B25FF7" w:rsidRPr="00744DDA">
        <w:rPr>
          <w:rFonts w:cs="Arial"/>
          <w:lang w:val="es-ES_tradnl"/>
        </w:rPr>
        <w:t xml:space="preserve"> </w:t>
      </w:r>
    </w:p>
    <w:p w:rsidR="00B25FF7" w:rsidRPr="00744DDA" w:rsidRDefault="000E471E" w:rsidP="00B25FF7">
      <w:pPr>
        <w:spacing w:line="200" w:lineRule="exact"/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En est</w:t>
      </w:r>
      <w:r w:rsidR="005A1BCA" w:rsidRPr="00744DDA">
        <w:rPr>
          <w:rFonts w:cs="Arial"/>
          <w:lang w:val="es-ES_tradnl"/>
        </w:rPr>
        <w:t>a</w:t>
      </w:r>
      <w:r w:rsidRPr="00744DDA">
        <w:rPr>
          <w:rFonts w:cs="Arial"/>
          <w:lang w:val="es-ES_tradnl"/>
        </w:rPr>
        <w:t xml:space="preserve"> </w:t>
      </w:r>
      <w:r w:rsidR="005A1BCA" w:rsidRPr="00744DDA">
        <w:rPr>
          <w:rFonts w:cs="Arial"/>
          <w:lang w:val="es-ES_tradnl"/>
        </w:rPr>
        <w:t xml:space="preserve">sección </w:t>
      </w:r>
      <w:r w:rsidRPr="00744DDA">
        <w:rPr>
          <w:rFonts w:cs="Arial"/>
          <w:lang w:val="es-ES_tradnl"/>
        </w:rPr>
        <w:t>analizamos si el carácter "contenido de glucorrafanina" en el brécol satisface los requisitos de carácter en el sentido de la UPOV.</w:t>
      </w:r>
    </w:p>
    <w:p w:rsidR="00B25FF7" w:rsidRPr="00744DDA" w:rsidRDefault="00B25FF7" w:rsidP="00B25FF7">
      <w:pPr>
        <w:spacing w:line="200" w:lineRule="exact"/>
        <w:rPr>
          <w:rFonts w:cs="Arial"/>
          <w:lang w:val="es-ES_tradnl"/>
        </w:rPr>
      </w:pPr>
    </w:p>
    <w:p w:rsidR="00B25FF7" w:rsidRPr="00744DDA" w:rsidRDefault="00B25FF7" w:rsidP="005D0A52">
      <w:pPr>
        <w:tabs>
          <w:tab w:val="left" w:pos="1134"/>
        </w:tabs>
        <w:ind w:left="119" w:right="5233"/>
        <w:rPr>
          <w:rFonts w:cs="Arial"/>
          <w:i/>
          <w:lang w:val="es-ES"/>
        </w:rPr>
      </w:pPr>
      <w:r w:rsidRPr="00744DDA">
        <w:rPr>
          <w:rFonts w:cs="Arial"/>
          <w:i/>
          <w:lang w:val="es-ES"/>
        </w:rPr>
        <w:t>4.2</w:t>
      </w:r>
      <w:r w:rsidRPr="00744DDA">
        <w:rPr>
          <w:rFonts w:cs="Arial"/>
          <w:i/>
          <w:lang w:val="es-ES"/>
        </w:rPr>
        <w:tab/>
      </w:r>
      <w:r w:rsidR="005D0A52" w:rsidRPr="00744DDA">
        <w:rPr>
          <w:rFonts w:cs="Arial"/>
          <w:bCs/>
          <w:i/>
          <w:lang w:val="es-ES"/>
        </w:rPr>
        <w:t>Selección de los caracteres</w:t>
      </w:r>
    </w:p>
    <w:p w:rsidR="00B25FF7" w:rsidRPr="00744DDA" w:rsidRDefault="00B25FF7" w:rsidP="00B25FF7">
      <w:pPr>
        <w:spacing w:before="7" w:line="220" w:lineRule="exact"/>
        <w:rPr>
          <w:rFonts w:cs="Arial"/>
          <w:i/>
          <w:lang w:val="es-ES_tradnl"/>
        </w:rPr>
      </w:pPr>
    </w:p>
    <w:p w:rsidR="00B25FF7" w:rsidRPr="00744DDA" w:rsidRDefault="005D0A52" w:rsidP="005D0A52">
      <w:pPr>
        <w:tabs>
          <w:tab w:val="left" w:pos="1134"/>
        </w:tabs>
        <w:spacing w:line="238" w:lineRule="exact"/>
        <w:ind w:left="119" w:right="60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>4.2.1</w:t>
      </w:r>
      <w:r w:rsidR="00B25FF7" w:rsidRPr="00744DDA">
        <w:rPr>
          <w:rFonts w:cs="Arial"/>
          <w:i/>
          <w:lang w:val="es-ES_tradnl"/>
        </w:rPr>
        <w:tab/>
      </w:r>
      <w:r w:rsidRPr="00744DDA">
        <w:rPr>
          <w:rFonts w:cs="Arial"/>
          <w:i/>
          <w:lang w:val="es-ES_tradnl"/>
        </w:rPr>
        <w:t>Los requisitos básicos que un carácter debería satisfacer antes de su utilización para el examen DHE o para elaborar la descripción de la variedad consisten en que su expresión:</w:t>
      </w:r>
    </w:p>
    <w:p w:rsidR="00B25FF7" w:rsidRPr="00744DDA" w:rsidRDefault="00B25FF7" w:rsidP="00B25FF7">
      <w:pPr>
        <w:spacing w:before="19" w:line="220" w:lineRule="exact"/>
        <w:rPr>
          <w:rFonts w:cs="Arial"/>
          <w:i/>
          <w:lang w:val="es-ES_tradnl"/>
        </w:rPr>
      </w:pPr>
    </w:p>
    <w:p w:rsidR="00B25FF7" w:rsidRPr="00744DDA" w:rsidRDefault="00B25FF7" w:rsidP="00B25FF7">
      <w:pPr>
        <w:tabs>
          <w:tab w:val="left" w:pos="1040"/>
        </w:tabs>
        <w:ind w:left="522" w:right="-20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>a)</w:t>
      </w:r>
      <w:r w:rsidRPr="00744DDA">
        <w:rPr>
          <w:rFonts w:cs="Arial"/>
          <w:i/>
          <w:lang w:val="es-ES_tradnl"/>
        </w:rPr>
        <w:tab/>
      </w:r>
      <w:r w:rsidR="005D0A52" w:rsidRPr="00744DDA">
        <w:rPr>
          <w:rFonts w:cs="Arial"/>
          <w:i/>
          <w:lang w:val="es-ES_tradnl"/>
        </w:rPr>
        <w:t>resulte de un cierto genotipo o combinación de genotipos</w:t>
      </w:r>
    </w:p>
    <w:p w:rsidR="00B25FF7" w:rsidRPr="00744DDA" w:rsidRDefault="000E471E" w:rsidP="00B25FF7">
      <w:pPr>
        <w:spacing w:before="8" w:line="230" w:lineRule="exact"/>
        <w:ind w:left="119" w:right="70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>(</w:t>
      </w:r>
      <w:proofErr w:type="gramStart"/>
      <w:r w:rsidRPr="00744DDA">
        <w:rPr>
          <w:rFonts w:cs="Arial"/>
          <w:i/>
          <w:lang w:val="es-ES_tradnl"/>
        </w:rPr>
        <w:t>este</w:t>
      </w:r>
      <w:proofErr w:type="gramEnd"/>
      <w:r w:rsidRPr="00744DDA">
        <w:rPr>
          <w:rFonts w:cs="Arial"/>
          <w:i/>
          <w:lang w:val="es-ES_tradnl"/>
        </w:rPr>
        <w:t xml:space="preserve"> requisito se especifica en el Artículo I.vi) del Acta de 1991 del Convenio de la UPOV, pero constituye un requisito básico en todos los casos);</w:t>
      </w:r>
    </w:p>
    <w:p w:rsidR="00B25FF7" w:rsidRPr="00744DDA" w:rsidRDefault="00B25FF7" w:rsidP="00B25FF7">
      <w:pPr>
        <w:spacing w:before="8" w:line="230" w:lineRule="exact"/>
        <w:ind w:left="119" w:right="70"/>
        <w:rPr>
          <w:rFonts w:cs="Arial"/>
          <w:lang w:val="es-ES_tradnl"/>
        </w:rPr>
      </w:pPr>
    </w:p>
    <w:p w:rsidR="00B25FF7" w:rsidRPr="00744DDA" w:rsidRDefault="000E471E" w:rsidP="00B25FF7">
      <w:pPr>
        <w:spacing w:before="8" w:line="230" w:lineRule="exact"/>
        <w:ind w:left="119" w:right="70"/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 xml:space="preserve">El contenido de glucorrafanina </w:t>
      </w:r>
      <w:r w:rsidR="008C4476" w:rsidRPr="00744DDA">
        <w:rPr>
          <w:rFonts w:cs="Arial"/>
          <w:b/>
          <w:lang w:val="es-ES_tradnl"/>
        </w:rPr>
        <w:t xml:space="preserve">se mantiene </w:t>
      </w:r>
      <w:r w:rsidRPr="00744DDA">
        <w:rPr>
          <w:rFonts w:cs="Arial"/>
          <w:b/>
          <w:lang w:val="es-ES_tradnl"/>
        </w:rPr>
        <w:t xml:space="preserve">estable </w:t>
      </w:r>
      <w:r w:rsidR="008C4476" w:rsidRPr="00744DDA">
        <w:rPr>
          <w:rFonts w:cs="Arial"/>
          <w:b/>
          <w:lang w:val="es-ES_tradnl"/>
        </w:rPr>
        <w:t xml:space="preserve">en cada </w:t>
      </w:r>
      <w:r w:rsidRPr="00744DDA">
        <w:rPr>
          <w:rFonts w:cs="Arial"/>
          <w:b/>
          <w:lang w:val="es-ES_tradnl"/>
        </w:rPr>
        <w:t>varie</w:t>
      </w:r>
      <w:r w:rsidR="008C4476" w:rsidRPr="00744DDA">
        <w:rPr>
          <w:rFonts w:cs="Arial"/>
          <w:b/>
          <w:lang w:val="es-ES_tradnl"/>
        </w:rPr>
        <w:t>dad</w:t>
      </w:r>
      <w:r w:rsidRPr="00744DDA">
        <w:rPr>
          <w:rFonts w:cs="Arial"/>
          <w:b/>
          <w:lang w:val="es-ES_tradnl"/>
        </w:rPr>
        <w:t xml:space="preserve"> </w:t>
      </w:r>
      <w:r w:rsidR="008C4476" w:rsidRPr="00744DDA">
        <w:rPr>
          <w:rFonts w:cs="Arial"/>
          <w:b/>
          <w:lang w:val="es-ES_tradnl"/>
        </w:rPr>
        <w:t>a lo largo de los años</w:t>
      </w:r>
      <w:r w:rsidRPr="00744DDA">
        <w:rPr>
          <w:rFonts w:cs="Arial"/>
          <w:b/>
          <w:lang w:val="es-ES_tradnl"/>
        </w:rPr>
        <w:t xml:space="preserve">, </w:t>
      </w:r>
      <w:r w:rsidR="008C4476" w:rsidRPr="00744DDA">
        <w:rPr>
          <w:rFonts w:cs="Arial"/>
          <w:b/>
          <w:lang w:val="es-ES_tradnl"/>
        </w:rPr>
        <w:t xml:space="preserve">pero </w:t>
      </w:r>
      <w:r w:rsidRPr="00744DDA">
        <w:rPr>
          <w:rFonts w:cs="Arial"/>
          <w:b/>
          <w:lang w:val="es-ES_tradnl"/>
        </w:rPr>
        <w:t>dif</w:t>
      </w:r>
      <w:r w:rsidR="008C4476" w:rsidRPr="00744DDA">
        <w:rPr>
          <w:rFonts w:cs="Arial"/>
          <w:b/>
          <w:lang w:val="es-ES_tradnl"/>
        </w:rPr>
        <w:t xml:space="preserve">iere de unas </w:t>
      </w:r>
      <w:r w:rsidRPr="00744DDA">
        <w:rPr>
          <w:rFonts w:cs="Arial"/>
          <w:b/>
          <w:lang w:val="es-ES_tradnl"/>
        </w:rPr>
        <w:t>varie</w:t>
      </w:r>
      <w:r w:rsidR="008C4476" w:rsidRPr="00744DDA">
        <w:rPr>
          <w:rFonts w:cs="Arial"/>
          <w:b/>
          <w:lang w:val="es-ES_tradnl"/>
        </w:rPr>
        <w:t>dad</w:t>
      </w:r>
      <w:r w:rsidRPr="00744DDA">
        <w:rPr>
          <w:rFonts w:cs="Arial"/>
          <w:b/>
          <w:lang w:val="es-ES_tradnl"/>
        </w:rPr>
        <w:t>es</w:t>
      </w:r>
      <w:r w:rsidR="008C4476" w:rsidRPr="00744DDA">
        <w:rPr>
          <w:rFonts w:cs="Arial"/>
          <w:b/>
          <w:lang w:val="es-ES_tradnl"/>
        </w:rPr>
        <w:t xml:space="preserve"> a otras</w:t>
      </w:r>
      <w:r w:rsidRPr="00744DDA">
        <w:rPr>
          <w:rFonts w:cs="Arial"/>
          <w:b/>
          <w:lang w:val="es-ES_tradnl"/>
        </w:rPr>
        <w:t>.</w:t>
      </w:r>
    </w:p>
    <w:p w:rsidR="00B25FF7" w:rsidRPr="00744DDA" w:rsidRDefault="00B25FF7" w:rsidP="00B25FF7">
      <w:pPr>
        <w:spacing w:line="240" w:lineRule="exact"/>
        <w:rPr>
          <w:rFonts w:cs="Arial"/>
          <w:lang w:val="es-ES_tradnl"/>
        </w:rPr>
      </w:pPr>
    </w:p>
    <w:p w:rsidR="00B25FF7" w:rsidRPr="00744DDA" w:rsidRDefault="00B25FF7" w:rsidP="00B25FF7">
      <w:pPr>
        <w:tabs>
          <w:tab w:val="left" w:pos="1040"/>
        </w:tabs>
        <w:ind w:left="515" w:right="-20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>b)</w:t>
      </w:r>
      <w:r w:rsidRPr="00744DDA">
        <w:rPr>
          <w:rFonts w:cs="Arial"/>
          <w:i/>
          <w:lang w:val="es-ES_tradnl"/>
        </w:rPr>
        <w:tab/>
      </w:r>
      <w:r w:rsidR="005D0A52" w:rsidRPr="00744DDA">
        <w:rPr>
          <w:rFonts w:cs="Arial"/>
          <w:i/>
          <w:lang w:val="es-ES_tradnl"/>
        </w:rPr>
        <w:t>que sea lo suficientemente consistente y repetible en un medio particular</w:t>
      </w:r>
      <w:r w:rsidRPr="00744DDA">
        <w:rPr>
          <w:rFonts w:cs="Arial"/>
          <w:i/>
          <w:lang w:val="es-ES_tradnl"/>
        </w:rPr>
        <w:t>;</w:t>
      </w:r>
    </w:p>
    <w:p w:rsidR="00B25FF7" w:rsidRPr="00744DDA" w:rsidRDefault="00B25FF7" w:rsidP="00B25FF7">
      <w:pPr>
        <w:tabs>
          <w:tab w:val="left" w:pos="1040"/>
        </w:tabs>
        <w:ind w:left="515" w:right="-20"/>
        <w:rPr>
          <w:rFonts w:cs="Arial"/>
          <w:lang w:val="es-ES_tradnl"/>
        </w:rPr>
      </w:pPr>
    </w:p>
    <w:p w:rsidR="00B25FF7" w:rsidRPr="00744DDA" w:rsidRDefault="008C4476" w:rsidP="00B25FF7">
      <w:pPr>
        <w:tabs>
          <w:tab w:val="left" w:pos="1040"/>
        </w:tabs>
        <w:ind w:right="-20"/>
        <w:rPr>
          <w:rFonts w:cs="Arial"/>
          <w:lang w:val="es-ES_tradnl"/>
        </w:rPr>
      </w:pPr>
      <w:r w:rsidRPr="00744DDA">
        <w:rPr>
          <w:rFonts w:cs="Arial"/>
          <w:b/>
          <w:lang w:val="es-ES_tradnl"/>
        </w:rPr>
        <w:t>El contenido de glucorrafanina se mantiene estable en cada variedad a lo largo de los tres años de ensayos.</w:t>
      </w:r>
      <w:r w:rsidR="00B25FF7" w:rsidRPr="00744DDA">
        <w:rPr>
          <w:rFonts w:cs="Arial"/>
          <w:b/>
          <w:lang w:val="es-ES_tradnl"/>
        </w:rPr>
        <w:t xml:space="preserve"> </w:t>
      </w:r>
      <w:r w:rsidRPr="00744DDA">
        <w:rPr>
          <w:rFonts w:cs="Arial"/>
          <w:b/>
          <w:lang w:val="es-ES_tradnl"/>
        </w:rPr>
        <w:t xml:space="preserve">Los resultados </w:t>
      </w:r>
      <w:r w:rsidR="00A314E2" w:rsidRPr="00744DDA">
        <w:rPr>
          <w:rFonts w:cs="Arial"/>
          <w:b/>
          <w:lang w:val="es-ES_tradnl"/>
        </w:rPr>
        <w:t xml:space="preserve">relativos a </w:t>
      </w:r>
      <w:r w:rsidRPr="00744DDA">
        <w:rPr>
          <w:rFonts w:cs="Arial"/>
          <w:b/>
          <w:lang w:val="es-ES_tradnl"/>
        </w:rPr>
        <w:t>contenidos indicados en el Cuestionario Técnico son coherentes con los datos registrados en un ensayo en Naktuinbouw.</w:t>
      </w:r>
    </w:p>
    <w:p w:rsidR="00B25FF7" w:rsidRPr="00744DDA" w:rsidRDefault="00B25FF7" w:rsidP="00B25FF7">
      <w:pPr>
        <w:tabs>
          <w:tab w:val="left" w:pos="1040"/>
        </w:tabs>
        <w:spacing w:before="5" w:line="470" w:lineRule="atLeast"/>
        <w:ind w:left="515" w:right="984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>c)</w:t>
      </w:r>
      <w:r w:rsidRPr="00744DDA">
        <w:rPr>
          <w:rFonts w:cs="Arial"/>
          <w:i/>
          <w:lang w:val="es-ES_tradnl"/>
        </w:rPr>
        <w:tab/>
      </w:r>
      <w:r w:rsidR="005D0A52" w:rsidRPr="00744DDA">
        <w:rPr>
          <w:lang w:val="es-ES_tradnl"/>
        </w:rPr>
        <w:t>muestre una variación suficiente entre variedades para poder establecer la distinción</w:t>
      </w:r>
      <w:r w:rsidRPr="00744DDA">
        <w:rPr>
          <w:rFonts w:cs="Arial"/>
          <w:i/>
          <w:lang w:val="es-ES_tradnl"/>
        </w:rPr>
        <w:t>;</w:t>
      </w:r>
    </w:p>
    <w:p w:rsidR="00B25FF7" w:rsidRPr="00744DDA" w:rsidRDefault="008C4476" w:rsidP="008C4476">
      <w:pPr>
        <w:tabs>
          <w:tab w:val="left" w:pos="1040"/>
        </w:tabs>
        <w:spacing w:line="480" w:lineRule="atLeast"/>
        <w:ind w:right="984"/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Muy clara.</w:t>
      </w:r>
    </w:p>
    <w:p w:rsidR="00B25FF7" w:rsidRPr="00744DDA" w:rsidRDefault="00B25FF7" w:rsidP="00B25FF7">
      <w:pPr>
        <w:tabs>
          <w:tab w:val="left" w:pos="1040"/>
        </w:tabs>
        <w:spacing w:before="5" w:line="470" w:lineRule="atLeast"/>
        <w:ind w:left="515" w:right="984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>d)</w:t>
      </w:r>
      <w:r w:rsidRPr="00744DDA">
        <w:rPr>
          <w:rFonts w:cs="Arial"/>
          <w:i/>
          <w:lang w:val="es-ES_tradnl"/>
        </w:rPr>
        <w:tab/>
      </w:r>
      <w:r w:rsidR="005D0A52" w:rsidRPr="00744DDA">
        <w:rPr>
          <w:rFonts w:cs="Arial"/>
          <w:i/>
          <w:lang w:val="es-ES_tradnl"/>
        </w:rPr>
        <w:t>puede definirse y reconocerse con precisión</w:t>
      </w:r>
    </w:p>
    <w:p w:rsidR="00B25FF7" w:rsidRPr="00744DDA" w:rsidRDefault="008C4476" w:rsidP="00B25FF7">
      <w:pPr>
        <w:spacing w:before="1" w:line="238" w:lineRule="exact"/>
        <w:ind w:left="112" w:right="77" w:firstLine="7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 xml:space="preserve">(este requisito se especifica en el Artículo 6 de las Actas de </w:t>
      </w:r>
      <w:r w:rsidRPr="00744DDA">
        <w:rPr>
          <w:rFonts w:cs="Arial"/>
          <w:i/>
          <w:w w:val="96"/>
          <w:lang w:val="es-ES_tradnl"/>
        </w:rPr>
        <w:t xml:space="preserve">1961/1972 y </w:t>
      </w:r>
      <w:r w:rsidRPr="00744DDA">
        <w:rPr>
          <w:rFonts w:cs="Arial"/>
          <w:i/>
          <w:lang w:val="es-ES_tradnl"/>
        </w:rPr>
        <w:t>1978 del Convenio de la UPOV, pero constituye un requisito básico en todos los casos);</w:t>
      </w:r>
    </w:p>
    <w:p w:rsidR="00B25FF7" w:rsidRPr="00744DDA" w:rsidRDefault="00B25FF7" w:rsidP="00B25FF7">
      <w:pPr>
        <w:spacing w:before="19" w:line="220" w:lineRule="exact"/>
        <w:rPr>
          <w:rFonts w:cs="Arial"/>
          <w:lang w:val="es-ES_tradnl"/>
        </w:rPr>
      </w:pPr>
    </w:p>
    <w:p w:rsidR="00B25FF7" w:rsidRPr="00744DDA" w:rsidRDefault="00251AB6" w:rsidP="00B25FF7">
      <w:pPr>
        <w:spacing w:before="19" w:line="220" w:lineRule="exact"/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Sí: véase el método.</w:t>
      </w:r>
    </w:p>
    <w:p w:rsidR="00B25FF7" w:rsidRPr="00744DDA" w:rsidRDefault="00B25FF7" w:rsidP="00B25FF7">
      <w:pPr>
        <w:spacing w:before="19" w:line="220" w:lineRule="exact"/>
        <w:rPr>
          <w:rFonts w:cs="Arial"/>
          <w:i/>
          <w:lang w:val="es-ES_tradnl"/>
        </w:rPr>
      </w:pPr>
    </w:p>
    <w:p w:rsidR="00B25FF7" w:rsidRPr="00744DDA" w:rsidRDefault="00B25FF7" w:rsidP="00B25FF7">
      <w:pPr>
        <w:tabs>
          <w:tab w:val="left" w:pos="1040"/>
        </w:tabs>
        <w:ind w:left="515" w:right="-20"/>
        <w:rPr>
          <w:rFonts w:cs="Arial"/>
          <w:i/>
          <w:lang w:val="es-ES_tradnl"/>
        </w:rPr>
      </w:pPr>
      <w:r w:rsidRPr="00744DDA">
        <w:rPr>
          <w:rFonts w:cs="Arial"/>
          <w:i/>
          <w:lang w:val="es-ES_tradnl"/>
        </w:rPr>
        <w:t>e)</w:t>
      </w:r>
      <w:r w:rsidRPr="00744DDA">
        <w:rPr>
          <w:rFonts w:cs="Arial"/>
          <w:i/>
          <w:lang w:val="es-ES_tradnl"/>
        </w:rPr>
        <w:tab/>
      </w:r>
      <w:r w:rsidR="005D0A52" w:rsidRPr="00744DDA">
        <w:rPr>
          <w:rFonts w:cs="Arial"/>
          <w:i/>
          <w:lang w:val="es-ES_tradnl"/>
        </w:rPr>
        <w:t>permita que se cumplan los requisitos de homogeneidad</w:t>
      </w:r>
      <w:r w:rsidRPr="00744DDA">
        <w:rPr>
          <w:rFonts w:cs="Arial"/>
          <w:i/>
          <w:lang w:val="es-ES_tradnl"/>
        </w:rPr>
        <w:t>;</w:t>
      </w:r>
    </w:p>
    <w:p w:rsidR="00B25FF7" w:rsidRPr="00744DDA" w:rsidRDefault="00B25FF7" w:rsidP="00B25FF7">
      <w:pPr>
        <w:tabs>
          <w:tab w:val="left" w:pos="1040"/>
        </w:tabs>
        <w:ind w:right="-20"/>
        <w:rPr>
          <w:rFonts w:cs="Arial"/>
          <w:lang w:val="es-ES_tradnl"/>
        </w:rPr>
      </w:pPr>
    </w:p>
    <w:p w:rsidR="00B25FF7" w:rsidRPr="00744DDA" w:rsidRDefault="00251AB6" w:rsidP="00B25FF7">
      <w:pPr>
        <w:spacing w:before="19" w:line="220" w:lineRule="exact"/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No tenemos actualmente motivos para dudar de la homogeneidad respecto de este carácter.</w:t>
      </w:r>
      <w:r w:rsidR="00B25FF7" w:rsidRPr="00744DDA">
        <w:rPr>
          <w:rFonts w:cs="Arial"/>
          <w:b/>
          <w:lang w:val="es-ES_tradnl"/>
        </w:rPr>
        <w:t xml:space="preserve"> </w:t>
      </w:r>
      <w:r w:rsidRPr="00744DDA">
        <w:rPr>
          <w:rFonts w:cs="Arial"/>
          <w:b/>
          <w:lang w:val="es-ES_tradnl"/>
        </w:rPr>
        <w:t xml:space="preserve">Como se ha mencionado </w:t>
      </w:r>
      <w:r w:rsidR="00A314E2" w:rsidRPr="00744DDA">
        <w:rPr>
          <w:rFonts w:cs="Arial"/>
          <w:b/>
          <w:lang w:val="es-ES_tradnl"/>
        </w:rPr>
        <w:t>supra</w:t>
      </w:r>
      <w:r w:rsidRPr="00744DDA">
        <w:rPr>
          <w:rFonts w:cs="Arial"/>
          <w:b/>
          <w:lang w:val="es-ES_tradnl"/>
        </w:rPr>
        <w:t xml:space="preserve">, los resultados </w:t>
      </w:r>
      <w:r w:rsidR="00D13AC3" w:rsidRPr="00744DDA">
        <w:rPr>
          <w:rFonts w:cs="Arial"/>
          <w:b/>
          <w:lang w:val="es-ES_tradnl"/>
        </w:rPr>
        <w:t>desglosados por</w:t>
      </w:r>
      <w:r w:rsidRPr="00744DDA">
        <w:rPr>
          <w:rFonts w:cs="Arial"/>
          <w:b/>
          <w:lang w:val="es-ES_tradnl"/>
        </w:rPr>
        <w:t xml:space="preserve"> variedad</w:t>
      </w:r>
      <w:r w:rsidR="00D13AC3" w:rsidRPr="00744DDA">
        <w:rPr>
          <w:rFonts w:cs="Arial"/>
          <w:b/>
          <w:lang w:val="es-ES_tradnl"/>
        </w:rPr>
        <w:t>es</w:t>
      </w:r>
      <w:r w:rsidRPr="00744DDA">
        <w:rPr>
          <w:rFonts w:cs="Arial"/>
          <w:b/>
          <w:lang w:val="es-ES_tradnl"/>
        </w:rPr>
        <w:t xml:space="preserve"> se mantienen estables a lo largo de los años con solo 3 plantas por variedad.</w:t>
      </w:r>
      <w:r w:rsidR="00B25FF7" w:rsidRPr="00744DDA">
        <w:rPr>
          <w:rFonts w:cs="Arial"/>
          <w:b/>
          <w:lang w:val="es-ES_tradnl"/>
        </w:rPr>
        <w:t xml:space="preserve"> </w:t>
      </w:r>
      <w:r w:rsidRPr="00744DDA">
        <w:rPr>
          <w:rFonts w:cs="Arial"/>
          <w:b/>
          <w:lang w:val="es-ES_tradnl"/>
        </w:rPr>
        <w:t>Esto indica que el carácter es homogéneo entre plantas dentro de la variedad.</w:t>
      </w:r>
      <w:r w:rsidR="00B25FF7" w:rsidRPr="00744DDA">
        <w:rPr>
          <w:rFonts w:cs="Arial"/>
          <w:b/>
          <w:lang w:val="es-ES_tradnl"/>
        </w:rPr>
        <w:t xml:space="preserve"> </w:t>
      </w:r>
      <w:r w:rsidRPr="00744DDA">
        <w:rPr>
          <w:rFonts w:cs="Arial"/>
          <w:b/>
          <w:lang w:val="es-ES_tradnl"/>
        </w:rPr>
        <w:t>Debido al costo, no hemos ensayado aún la homogeneidad de 20</w:t>
      </w:r>
      <w:r w:rsidR="00A314E2" w:rsidRPr="00744DDA">
        <w:rPr>
          <w:rFonts w:cs="Arial"/>
          <w:b/>
          <w:lang w:val="es-ES_tradnl"/>
        </w:rPr>
        <w:t> </w:t>
      </w:r>
      <w:r w:rsidRPr="00744DDA">
        <w:rPr>
          <w:rFonts w:cs="Arial"/>
          <w:b/>
          <w:lang w:val="es-ES_tradnl"/>
        </w:rPr>
        <w:t>plantas en varias variedades.</w:t>
      </w:r>
      <w:r w:rsidR="00B25FF7" w:rsidRPr="00744DDA">
        <w:rPr>
          <w:rFonts w:cs="Arial"/>
          <w:b/>
          <w:lang w:val="es-ES_tradnl"/>
        </w:rPr>
        <w:t xml:space="preserve"> </w:t>
      </w:r>
      <w:r w:rsidRPr="00744DDA">
        <w:rPr>
          <w:rFonts w:cs="Arial"/>
          <w:b/>
          <w:lang w:val="es-ES_tradnl"/>
        </w:rPr>
        <w:t xml:space="preserve">Ahora bien, desde el punto de vista técnico </w:t>
      </w:r>
      <w:r w:rsidR="00A314E2" w:rsidRPr="00744DDA">
        <w:rPr>
          <w:rFonts w:cs="Arial"/>
          <w:b/>
          <w:lang w:val="es-ES_tradnl"/>
        </w:rPr>
        <w:t xml:space="preserve">es </w:t>
      </w:r>
      <w:r w:rsidRPr="00744DDA">
        <w:rPr>
          <w:rFonts w:cs="Arial"/>
          <w:b/>
          <w:lang w:val="es-ES_tradnl"/>
        </w:rPr>
        <w:t xml:space="preserve">muy </w:t>
      </w:r>
      <w:r w:rsidR="00A314E2" w:rsidRPr="00744DDA">
        <w:rPr>
          <w:rFonts w:cs="Arial"/>
          <w:b/>
          <w:lang w:val="es-ES_tradnl"/>
        </w:rPr>
        <w:t>posible hacerlo</w:t>
      </w:r>
      <w:r w:rsidRPr="00744DDA">
        <w:rPr>
          <w:rFonts w:cs="Arial"/>
          <w:b/>
          <w:lang w:val="es-ES_tradnl"/>
        </w:rPr>
        <w:t>.</w:t>
      </w:r>
    </w:p>
    <w:p w:rsidR="00B25FF7" w:rsidRPr="00744DDA" w:rsidRDefault="00B25FF7" w:rsidP="00B25FF7">
      <w:pPr>
        <w:spacing w:before="19" w:line="220" w:lineRule="exact"/>
        <w:rPr>
          <w:rFonts w:cs="Arial"/>
          <w:i/>
          <w:lang w:val="es-ES_tradnl"/>
        </w:rPr>
      </w:pPr>
    </w:p>
    <w:p w:rsidR="00B25FF7" w:rsidRPr="00744DDA" w:rsidRDefault="00B25FF7" w:rsidP="00B25FF7">
      <w:pPr>
        <w:spacing w:line="238" w:lineRule="exact"/>
        <w:ind w:left="112" w:right="85" w:firstLine="403"/>
        <w:rPr>
          <w:rFonts w:cs="Arial"/>
          <w:i/>
          <w:lang w:val="es-ES_tradnl"/>
        </w:rPr>
      </w:pPr>
      <w:r w:rsidRPr="00744DDA">
        <w:rPr>
          <w:rFonts w:cs="Arial"/>
          <w:i/>
          <w:spacing w:val="2"/>
          <w:lang w:val="es-ES_tradnl"/>
        </w:rPr>
        <w:t>f)</w:t>
      </w:r>
      <w:r w:rsidR="005D0A52" w:rsidRPr="00744DDA">
        <w:rPr>
          <w:rFonts w:cs="Arial"/>
          <w:i/>
          <w:spacing w:val="2"/>
          <w:lang w:val="es-ES_tradnl"/>
        </w:rPr>
        <w:tab/>
      </w:r>
      <w:r w:rsidR="005D0A52" w:rsidRPr="00744DDA">
        <w:rPr>
          <w:rFonts w:cs="Arial"/>
          <w:i/>
          <w:lang w:val="es-ES_tradnl"/>
        </w:rPr>
        <w:t>permita que se cumplan los requisitos de estabilidad, es decir, que se obtengan resultados coherentes y repetibles después de cada reproducción o multiplicación o, cuando proceda, al final de cada ciclo de reproducción o multiplicación</w:t>
      </w:r>
      <w:r w:rsidRPr="00744DDA">
        <w:rPr>
          <w:rFonts w:cs="Arial"/>
          <w:i/>
          <w:lang w:val="es-ES_tradnl"/>
        </w:rPr>
        <w:t>.</w:t>
      </w:r>
    </w:p>
    <w:p w:rsidR="00B25FF7" w:rsidRPr="00744DDA" w:rsidRDefault="00B25FF7" w:rsidP="00B25FF7">
      <w:pPr>
        <w:spacing w:line="238" w:lineRule="exact"/>
        <w:ind w:right="85"/>
        <w:rPr>
          <w:rFonts w:cs="Arial"/>
          <w:lang w:val="es-ES_tradnl"/>
        </w:rPr>
      </w:pPr>
    </w:p>
    <w:p w:rsidR="00B25FF7" w:rsidRPr="00744DDA" w:rsidRDefault="00251AB6" w:rsidP="00B25FF7">
      <w:pPr>
        <w:spacing w:line="238" w:lineRule="exact"/>
        <w:ind w:right="85"/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Sí.</w:t>
      </w:r>
      <w:r w:rsidR="00B25FF7" w:rsidRPr="00744DDA">
        <w:rPr>
          <w:rFonts w:cs="Arial"/>
          <w:b/>
          <w:lang w:val="es-ES_tradnl"/>
        </w:rPr>
        <w:t xml:space="preserve"> </w:t>
      </w:r>
      <w:r w:rsidR="005D0A52" w:rsidRPr="00744DDA">
        <w:rPr>
          <w:rFonts w:cs="Arial"/>
          <w:b/>
          <w:lang w:val="es-ES_tradnl"/>
        </w:rPr>
        <w:t xml:space="preserve"> </w:t>
      </w:r>
      <w:r w:rsidRPr="00744DDA">
        <w:rPr>
          <w:rFonts w:cs="Arial"/>
          <w:b/>
          <w:lang w:val="es-ES_tradnl"/>
        </w:rPr>
        <w:t>El contenido de glucorrafanina se analizó a lo largo de varios años.</w:t>
      </w:r>
      <w:r w:rsidR="00B25FF7" w:rsidRPr="00744DDA">
        <w:rPr>
          <w:rFonts w:cs="Arial"/>
          <w:b/>
          <w:lang w:val="es-ES_tradnl"/>
        </w:rPr>
        <w:t xml:space="preserve"> </w:t>
      </w:r>
    </w:p>
    <w:p w:rsidR="00B25FF7" w:rsidRPr="00744DDA" w:rsidRDefault="00B25FF7" w:rsidP="00B25FF7">
      <w:pPr>
        <w:spacing w:before="17" w:line="220" w:lineRule="exact"/>
        <w:rPr>
          <w:rFonts w:cs="Arial"/>
          <w:lang w:val="es-ES_tradnl"/>
        </w:rPr>
      </w:pPr>
    </w:p>
    <w:p w:rsidR="00B25FF7" w:rsidRPr="00744DDA" w:rsidRDefault="00251AB6" w:rsidP="00B25FF7">
      <w:pPr>
        <w:spacing w:before="17" w:line="220" w:lineRule="exact"/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Conclusión:</w:t>
      </w:r>
    </w:p>
    <w:p w:rsidR="00B25FF7" w:rsidRPr="00744DDA" w:rsidRDefault="00251AB6" w:rsidP="00B25FF7">
      <w:pPr>
        <w:spacing w:before="17" w:line="220" w:lineRule="exact"/>
        <w:rPr>
          <w:rFonts w:cs="Arial"/>
        </w:rPr>
      </w:pPr>
      <w:r w:rsidRPr="00744DDA">
        <w:rPr>
          <w:rFonts w:cs="Arial"/>
          <w:lang w:val="es-ES_tradnl"/>
        </w:rPr>
        <w:t>En principio, se satisfacen todos los requisitos mencionados por la UPOV.</w:t>
      </w:r>
      <w:r w:rsidR="00B25FF7" w:rsidRPr="00744DDA">
        <w:rPr>
          <w:rFonts w:cs="Arial"/>
          <w:lang w:val="es-ES_tradnl"/>
        </w:rPr>
        <w:t xml:space="preserve"> </w:t>
      </w:r>
      <w:r w:rsidRPr="00744DDA">
        <w:rPr>
          <w:rFonts w:cs="Arial"/>
          <w:lang w:val="es-ES_tradnl"/>
        </w:rPr>
        <w:t>El requisito de homogeneidad no se ha demostrado plenamente.</w:t>
      </w:r>
    </w:p>
    <w:p w:rsidR="00B25FF7" w:rsidRPr="00744DDA" w:rsidRDefault="00B25FF7" w:rsidP="00B25FF7">
      <w:pPr>
        <w:jc w:val="left"/>
        <w:rPr>
          <w:rFonts w:cs="Arial"/>
        </w:rPr>
      </w:pPr>
      <w:r w:rsidRPr="00744DDA">
        <w:rPr>
          <w:rFonts w:cs="Arial"/>
        </w:rPr>
        <w:br w:type="page"/>
      </w:r>
    </w:p>
    <w:p w:rsidR="00B25FF7" w:rsidRPr="00744DDA" w:rsidRDefault="00251AB6" w:rsidP="00251AB6">
      <w:pPr>
        <w:pStyle w:val="ListParagraph"/>
        <w:widowControl w:val="0"/>
        <w:numPr>
          <w:ilvl w:val="0"/>
          <w:numId w:val="3"/>
        </w:numPr>
        <w:spacing w:line="200" w:lineRule="exact"/>
        <w:jc w:val="left"/>
        <w:rPr>
          <w:rFonts w:cs="Arial"/>
        </w:rPr>
      </w:pPr>
      <w:r w:rsidRPr="00744DDA">
        <w:rPr>
          <w:rFonts w:cs="Arial"/>
          <w:lang w:val="es-ES_tradnl"/>
        </w:rPr>
        <w:lastRenderedPageBreak/>
        <w:t>Descripción del carácter</w:t>
      </w:r>
    </w:p>
    <w:p w:rsidR="00B25FF7" w:rsidRPr="00744DDA" w:rsidRDefault="00B25FF7" w:rsidP="00B25FF7">
      <w:pPr>
        <w:spacing w:before="1" w:line="280" w:lineRule="exact"/>
        <w:rPr>
          <w:rFonts w:cs="Arial"/>
        </w:rPr>
      </w:pPr>
    </w:p>
    <w:p w:rsidR="00B25FF7" w:rsidRPr="00744DDA" w:rsidRDefault="005D0A52" w:rsidP="00B25FF7">
      <w:pPr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Tipo de carácter</w:t>
      </w:r>
    </w:p>
    <w:p w:rsidR="00B25FF7" w:rsidRPr="00744DDA" w:rsidRDefault="00251AB6" w:rsidP="00B25FF7">
      <w:pPr>
        <w:rPr>
          <w:rFonts w:cs="Arial"/>
          <w:lang w:val="en-GB"/>
        </w:rPr>
      </w:pPr>
      <w:r w:rsidRPr="00744DDA">
        <w:rPr>
          <w:rFonts w:cs="Arial"/>
          <w:lang w:val="es-ES_tradnl"/>
        </w:rPr>
        <w:t>Carácter cuantitativo</w:t>
      </w:r>
      <w:r w:rsidR="00B25FF7" w:rsidRPr="00744DDA">
        <w:rPr>
          <w:rFonts w:cs="Arial"/>
          <w:lang w:val="en-GB"/>
        </w:rPr>
        <w:t xml:space="preserve"> </w:t>
      </w:r>
    </w:p>
    <w:p w:rsidR="00B25FF7" w:rsidRPr="00744DDA" w:rsidRDefault="005D0A52" w:rsidP="00B25FF7">
      <w:pPr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Carácter</w:t>
      </w:r>
      <w:r w:rsidR="00B25FF7" w:rsidRPr="00744DDA">
        <w:rPr>
          <w:rFonts w:cs="Arial"/>
          <w:b/>
          <w:lang w:val="es-ES_tradnl"/>
        </w:rPr>
        <w:t>:</w:t>
      </w:r>
    </w:p>
    <w:p w:rsidR="00B25FF7" w:rsidRPr="00744DDA" w:rsidRDefault="00251AB6" w:rsidP="00B25FF7">
      <w:pPr>
        <w:rPr>
          <w:rFonts w:cs="Arial"/>
          <w:lang w:val="en-GB"/>
        </w:rPr>
      </w:pPr>
      <w:r w:rsidRPr="00744DDA">
        <w:rPr>
          <w:rFonts w:cs="Arial"/>
          <w:lang w:val="es-ES_tradnl"/>
        </w:rPr>
        <w:t>Contenido de glucorrafanina</w:t>
      </w:r>
    </w:p>
    <w:p w:rsidR="00B25FF7" w:rsidRPr="00744DDA" w:rsidRDefault="00B25FF7" w:rsidP="00B25FF7">
      <w:pPr>
        <w:rPr>
          <w:rFonts w:cs="Arial"/>
          <w:lang w:val="en-GB"/>
        </w:rPr>
      </w:pPr>
    </w:p>
    <w:p w:rsidR="00B25FF7" w:rsidRPr="00744DDA" w:rsidRDefault="00B25FF7" w:rsidP="00B25FF7">
      <w:pPr>
        <w:rPr>
          <w:rFonts w:cs="Arial"/>
          <w:lang w:val="es-ES"/>
        </w:rPr>
      </w:pPr>
      <w:r w:rsidRPr="00744DDA">
        <w:rPr>
          <w:rFonts w:cs="Arial"/>
          <w:lang w:val="es-ES"/>
        </w:rPr>
        <w:t xml:space="preserve"> 3. </w:t>
      </w:r>
      <w:r w:rsidR="00F70F4F" w:rsidRPr="00744DDA">
        <w:rPr>
          <w:rFonts w:cs="Arial"/>
          <w:lang w:val="es-ES"/>
        </w:rPr>
        <w:t>Bajo</w:t>
      </w:r>
    </w:p>
    <w:p w:rsidR="00B25FF7" w:rsidRPr="00744DDA" w:rsidRDefault="00B25FF7" w:rsidP="00B25FF7">
      <w:pPr>
        <w:rPr>
          <w:rFonts w:cs="Arial"/>
          <w:lang w:val="es-ES"/>
        </w:rPr>
      </w:pPr>
      <w:r w:rsidRPr="00744DDA">
        <w:rPr>
          <w:rFonts w:cs="Arial"/>
          <w:lang w:val="es-ES"/>
        </w:rPr>
        <w:t xml:space="preserve"> 5. Medi</w:t>
      </w:r>
      <w:r w:rsidR="00F70F4F" w:rsidRPr="00744DDA">
        <w:rPr>
          <w:rFonts w:cs="Arial"/>
          <w:lang w:val="es-ES"/>
        </w:rPr>
        <w:t>o</w:t>
      </w:r>
    </w:p>
    <w:p w:rsidR="00B25FF7" w:rsidRPr="00744DDA" w:rsidRDefault="005D0A52" w:rsidP="00B25FF7">
      <w:pPr>
        <w:rPr>
          <w:rFonts w:cs="Arial"/>
          <w:lang w:val="es-ES"/>
        </w:rPr>
      </w:pPr>
      <w:r w:rsidRPr="00744DDA">
        <w:rPr>
          <w:rFonts w:cs="Arial"/>
          <w:lang w:val="es-ES"/>
        </w:rPr>
        <w:t xml:space="preserve"> 7. Alt</w:t>
      </w:r>
      <w:r w:rsidR="00F70F4F" w:rsidRPr="00744DDA">
        <w:rPr>
          <w:rFonts w:cs="Arial"/>
          <w:lang w:val="es-ES"/>
        </w:rPr>
        <w:t>o</w:t>
      </w:r>
    </w:p>
    <w:p w:rsidR="00B25FF7" w:rsidRPr="00744DDA" w:rsidRDefault="00B25FF7" w:rsidP="00B25FF7">
      <w:pPr>
        <w:rPr>
          <w:rFonts w:cs="Arial"/>
          <w:lang w:val="es-ES_tradnl"/>
        </w:rPr>
      </w:pPr>
    </w:p>
    <w:p w:rsidR="00B25FF7" w:rsidRPr="00744DDA" w:rsidRDefault="005D0A52" w:rsidP="00B25FF7">
      <w:pPr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Estado de desarrollo</w:t>
      </w:r>
    </w:p>
    <w:p w:rsidR="00B25FF7" w:rsidRPr="00744DDA" w:rsidRDefault="005D0A52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Madurez para la cosecha</w:t>
      </w:r>
    </w:p>
    <w:p w:rsidR="00B25FF7" w:rsidRPr="00744DDA" w:rsidRDefault="00B25FF7" w:rsidP="00B25FF7">
      <w:pPr>
        <w:rPr>
          <w:rFonts w:cs="Arial"/>
          <w:lang w:val="es-ES_tradnl"/>
        </w:rPr>
      </w:pPr>
    </w:p>
    <w:p w:rsidR="00B25FF7" w:rsidRPr="00744DDA" w:rsidRDefault="00251AB6" w:rsidP="00B25FF7">
      <w:pPr>
        <w:rPr>
          <w:rFonts w:cs="Arial"/>
          <w:b/>
        </w:rPr>
      </w:pPr>
      <w:r w:rsidRPr="00744DDA">
        <w:rPr>
          <w:rFonts w:cs="Arial"/>
          <w:b/>
          <w:lang w:val="es-ES_tradnl"/>
        </w:rPr>
        <w:t>Tipo de observación del carácter</w:t>
      </w:r>
    </w:p>
    <w:p w:rsidR="00B25FF7" w:rsidRPr="00744DDA" w:rsidRDefault="00251AB6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MG: medición única de un grupo de plantas</w:t>
      </w:r>
    </w:p>
    <w:p w:rsidR="00B25FF7" w:rsidRPr="00744DDA" w:rsidRDefault="00251AB6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(especificación en el protocolo: véase el método)</w:t>
      </w:r>
    </w:p>
    <w:p w:rsidR="00B25FF7" w:rsidRPr="00744DDA" w:rsidRDefault="00B25FF7" w:rsidP="00B25FF7">
      <w:pPr>
        <w:rPr>
          <w:rFonts w:cs="Arial"/>
          <w:lang w:val="es-ES_tradnl"/>
        </w:rPr>
      </w:pPr>
    </w:p>
    <w:p w:rsidR="00B25FF7" w:rsidRPr="00744DDA" w:rsidRDefault="00B90052" w:rsidP="00B25FF7">
      <w:pPr>
        <w:rPr>
          <w:rFonts w:cs="Arial"/>
          <w:lang w:val="es-ES_tradnl"/>
        </w:rPr>
      </w:pPr>
      <w:r w:rsidRPr="00744DDA">
        <w:rPr>
          <w:rFonts w:cs="Arial"/>
          <w:b/>
          <w:lang w:val="es-ES_tradnl"/>
        </w:rPr>
        <w:t>Niveles de expresión (</w:t>
      </w:r>
      <w:r w:rsidRPr="00744DDA">
        <w:rPr>
          <w:rFonts w:cs="Arial"/>
          <w:lang w:val="es-ES_tradnl"/>
        </w:rPr>
        <w:t xml:space="preserve">µmol/g </w:t>
      </w:r>
      <w:r w:rsidR="00516F1F" w:rsidRPr="00744DDA">
        <w:rPr>
          <w:rFonts w:cs="Arial"/>
          <w:lang w:val="es-ES_tradnl"/>
        </w:rPr>
        <w:t xml:space="preserve">de </w:t>
      </w:r>
      <w:r w:rsidRPr="00744DDA">
        <w:rPr>
          <w:rFonts w:cs="Arial"/>
          <w:lang w:val="es-ES_tradnl"/>
        </w:rPr>
        <w:t>PS)</w:t>
      </w:r>
      <w:r w:rsidR="00F12D99">
        <w:rPr>
          <w:rFonts w:cs="Arial"/>
          <w:lang w:val="es-ES_tradnl"/>
        </w:rPr>
        <w:t xml:space="preserve"> [Peso Seco]</w:t>
      </w:r>
      <w:r w:rsidR="00B25FF7" w:rsidRPr="00744DDA">
        <w:rPr>
          <w:rFonts w:cs="Arial"/>
          <w:lang w:val="es-ES_tradnl"/>
        </w:rPr>
        <w:t xml:space="preserve"> 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1. 0-5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2. 5-10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3. 10-15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4. 15-20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5. 20-25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6. 25-30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7. 30-35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8. 35-40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 xml:space="preserve">9 &gt; 40 </w:t>
      </w:r>
    </w:p>
    <w:p w:rsidR="00B25FF7" w:rsidRPr="00744DDA" w:rsidRDefault="00B25FF7" w:rsidP="00B25FF7">
      <w:pPr>
        <w:rPr>
          <w:rFonts w:cs="Arial"/>
          <w:lang w:val="es-ES_tradnl"/>
        </w:rPr>
      </w:pPr>
    </w:p>
    <w:p w:rsidR="00B25FF7" w:rsidRPr="00744DDA" w:rsidRDefault="00B90052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Observación</w:t>
      </w:r>
    </w:p>
    <w:p w:rsidR="00B25FF7" w:rsidRPr="00744DDA" w:rsidRDefault="00B90052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Aunque la genética influye de manera fundamental en el contenido de gluco</w:t>
      </w:r>
      <w:r w:rsidR="00516F1F" w:rsidRPr="00744DDA">
        <w:rPr>
          <w:rFonts w:cs="Arial"/>
          <w:lang w:val="es-ES_tradnl"/>
        </w:rPr>
        <w:t>r</w:t>
      </w:r>
      <w:r w:rsidRPr="00744DDA">
        <w:rPr>
          <w:rFonts w:cs="Arial"/>
          <w:lang w:val="es-ES_tradnl"/>
        </w:rPr>
        <w:t>rafanina de una variedad, los valores pueden variar por efecto de las condiciones de cultivo y de las ubicaciones geográficas, de modo que los resultados de las mediciones deben relacionarse con</w:t>
      </w:r>
      <w:r w:rsidR="00516F1F" w:rsidRPr="00744DDA">
        <w:rPr>
          <w:rFonts w:cs="Arial"/>
          <w:lang w:val="es-ES_tradnl"/>
        </w:rPr>
        <w:t xml:space="preserve"> las</w:t>
      </w:r>
      <w:r w:rsidRPr="00744DDA">
        <w:rPr>
          <w:rFonts w:cs="Arial"/>
          <w:lang w:val="es-ES_tradnl"/>
        </w:rPr>
        <w:t xml:space="preserve"> variedades ejemplo.</w:t>
      </w:r>
      <w:r w:rsidR="00B25FF7" w:rsidRPr="00744DDA">
        <w:rPr>
          <w:rFonts w:cs="Arial"/>
          <w:lang w:val="es-ES_tradnl"/>
        </w:rPr>
        <w:t xml:space="preserve"> </w:t>
      </w:r>
      <w:r w:rsidRPr="00744DDA">
        <w:rPr>
          <w:rFonts w:cs="Arial"/>
          <w:lang w:val="es-ES_tradnl"/>
        </w:rPr>
        <w:t>Los valores indicados en el presente ejemplo se obtuvieron en ensayos repetidos realizados en Naktuinbouw, en los Países Bajos.</w:t>
      </w:r>
    </w:p>
    <w:p w:rsidR="00B25FF7" w:rsidRPr="00744DDA" w:rsidRDefault="00B25FF7" w:rsidP="00B25FF7">
      <w:pPr>
        <w:rPr>
          <w:rFonts w:cs="Arial"/>
          <w:lang w:val="es-ES_tradnl"/>
        </w:rPr>
      </w:pPr>
    </w:p>
    <w:p w:rsidR="00B25FF7" w:rsidRPr="00744DDA" w:rsidRDefault="005D0A52" w:rsidP="00B25FF7">
      <w:pPr>
        <w:rPr>
          <w:rFonts w:cs="Arial"/>
          <w:b/>
          <w:lang w:val="es-ES_tradnl"/>
        </w:rPr>
      </w:pPr>
      <w:r w:rsidRPr="00744DDA">
        <w:rPr>
          <w:rFonts w:cs="Arial"/>
          <w:b/>
          <w:lang w:val="es-ES_tradnl"/>
        </w:rPr>
        <w:t>Variedades ejemplo</w:t>
      </w:r>
    </w:p>
    <w:p w:rsidR="00B25FF7" w:rsidRPr="00744DDA" w:rsidRDefault="00B25FF7" w:rsidP="00B25FF7">
      <w:pPr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Not</w:t>
      </w:r>
      <w:r w:rsidR="005D0A52" w:rsidRPr="00744DDA">
        <w:rPr>
          <w:rFonts w:cs="Arial"/>
          <w:lang w:val="es-ES_tradnl"/>
        </w:rPr>
        <w:t>a</w:t>
      </w:r>
      <w:r w:rsidRPr="00744DDA">
        <w:rPr>
          <w:rFonts w:cs="Arial"/>
          <w:lang w:val="es-ES_tradnl"/>
        </w:rPr>
        <w:t xml:space="preserve"> </w:t>
      </w:r>
    </w:p>
    <w:p w:rsidR="00B25FF7" w:rsidRPr="00744DDA" w:rsidRDefault="005D0A52" w:rsidP="005D0A52">
      <w:pPr>
        <w:tabs>
          <w:tab w:val="left" w:pos="1134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Baj</w:t>
      </w:r>
      <w:r w:rsidR="00F70F4F" w:rsidRPr="00744DDA">
        <w:rPr>
          <w:rFonts w:cs="Arial"/>
          <w:lang w:val="es-ES_tradnl"/>
        </w:rPr>
        <w:t>o</w:t>
      </w:r>
      <w:r w:rsidR="00B25FF7" w:rsidRPr="00744DDA">
        <w:rPr>
          <w:rFonts w:cs="Arial"/>
          <w:lang w:val="es-ES_tradnl"/>
        </w:rPr>
        <w:t>:</w:t>
      </w:r>
      <w:r w:rsidRPr="00744DDA">
        <w:rPr>
          <w:rFonts w:cs="Arial"/>
          <w:lang w:val="es-ES_tradnl"/>
        </w:rPr>
        <w:tab/>
      </w:r>
      <w:r w:rsidR="00B25FF7" w:rsidRPr="00744DDA">
        <w:rPr>
          <w:rFonts w:cs="Arial"/>
          <w:lang w:val="es-ES_tradnl"/>
        </w:rPr>
        <w:t>Ironman</w:t>
      </w:r>
    </w:p>
    <w:p w:rsidR="00B25FF7" w:rsidRPr="00744DDA" w:rsidRDefault="00B25FF7" w:rsidP="005D0A52">
      <w:pPr>
        <w:tabs>
          <w:tab w:val="left" w:pos="1134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Medi</w:t>
      </w:r>
      <w:r w:rsidR="00F70F4F" w:rsidRPr="00744DDA">
        <w:rPr>
          <w:rFonts w:cs="Arial"/>
          <w:lang w:val="es-ES_tradnl"/>
        </w:rPr>
        <w:t>o</w:t>
      </w:r>
      <w:r w:rsidRPr="00744DDA">
        <w:rPr>
          <w:rFonts w:cs="Arial"/>
          <w:lang w:val="es-ES_tradnl"/>
        </w:rPr>
        <w:t>:</w:t>
      </w:r>
      <w:r w:rsidRPr="00744DDA">
        <w:rPr>
          <w:rFonts w:cs="Arial"/>
          <w:lang w:val="es-ES_tradnl"/>
        </w:rPr>
        <w:tab/>
        <w:t xml:space="preserve">Steel </w:t>
      </w:r>
    </w:p>
    <w:p w:rsidR="00B25FF7" w:rsidRPr="00744DDA" w:rsidRDefault="00F70F4F" w:rsidP="005D0A52">
      <w:pPr>
        <w:tabs>
          <w:tab w:val="left" w:pos="1134"/>
        </w:tabs>
        <w:rPr>
          <w:rFonts w:cs="Arial"/>
          <w:lang w:val="es-ES_tradnl"/>
        </w:rPr>
      </w:pPr>
      <w:r w:rsidRPr="00744DDA">
        <w:rPr>
          <w:rFonts w:cs="Arial"/>
          <w:lang w:val="es-ES_tradnl"/>
        </w:rPr>
        <w:t>Alto</w:t>
      </w:r>
      <w:r w:rsidR="005D0A52" w:rsidRPr="00744DDA">
        <w:rPr>
          <w:rFonts w:cs="Arial"/>
          <w:lang w:val="es-ES_tradnl"/>
        </w:rPr>
        <w:t>:</w:t>
      </w:r>
      <w:r w:rsidR="00B25FF7" w:rsidRPr="00744DDA">
        <w:rPr>
          <w:rFonts w:cs="Arial"/>
          <w:lang w:val="es-ES_tradnl"/>
        </w:rPr>
        <w:tab/>
        <w:t xml:space="preserve">BRM533934   </w:t>
      </w: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rPr>
          <w:rFonts w:cs="Arial"/>
        </w:rPr>
      </w:pPr>
    </w:p>
    <w:p w:rsidR="00B25FF7" w:rsidRPr="00744DDA" w:rsidRDefault="00B25FF7" w:rsidP="00B25FF7">
      <w:pPr>
        <w:jc w:val="left"/>
        <w:rPr>
          <w:rFonts w:cs="Arial"/>
        </w:rPr>
      </w:pPr>
      <w:r w:rsidRPr="00744DDA">
        <w:rPr>
          <w:rFonts w:cs="Arial"/>
        </w:rPr>
        <w:br w:type="page"/>
      </w:r>
    </w:p>
    <w:p w:rsidR="00B25FF7" w:rsidRPr="004C1583" w:rsidRDefault="00B90052" w:rsidP="00B90052">
      <w:pPr>
        <w:pStyle w:val="ListParagraph"/>
        <w:widowControl w:val="0"/>
        <w:numPr>
          <w:ilvl w:val="0"/>
          <w:numId w:val="3"/>
        </w:numPr>
        <w:spacing w:line="200" w:lineRule="exact"/>
        <w:jc w:val="left"/>
        <w:rPr>
          <w:rFonts w:cs="Arial"/>
          <w:b/>
          <w:lang w:val="es-ES"/>
        </w:rPr>
      </w:pPr>
      <w:r w:rsidRPr="00744DDA">
        <w:rPr>
          <w:lang w:val="es-ES_tradnl"/>
        </w:rPr>
        <w:lastRenderedPageBreak/>
        <w:t>Método de detección</w:t>
      </w:r>
      <w:r w:rsidR="00F12D99">
        <w:rPr>
          <w:lang w:val="es-ES_tradnl"/>
        </w:rPr>
        <w:t xml:space="preserve"> </w:t>
      </w:r>
      <w:r w:rsidR="004C1583">
        <w:rPr>
          <w:lang w:val="es-ES_tradnl"/>
        </w:rPr>
        <w:t xml:space="preserve">[solamente en inglés] </w:t>
      </w:r>
    </w:p>
    <w:p w:rsidR="00B25FF7" w:rsidRPr="004C1583" w:rsidRDefault="00B25FF7" w:rsidP="00B25FF7">
      <w:pPr>
        <w:spacing w:line="200" w:lineRule="exact"/>
        <w:rPr>
          <w:rFonts w:cs="Arial"/>
          <w:b/>
          <w:lang w:val="es-ES"/>
        </w:rPr>
      </w:pPr>
    </w:p>
    <w:p w:rsidR="00B25FF7" w:rsidRPr="004C1583" w:rsidRDefault="00B25FF7" w:rsidP="00B25FF7">
      <w:pPr>
        <w:spacing w:line="200" w:lineRule="exact"/>
        <w:rPr>
          <w:rFonts w:cs="Arial"/>
          <w:b/>
          <w:lang w:val="es-ES"/>
        </w:rPr>
      </w:pPr>
    </w:p>
    <w:p w:rsidR="00B25FF7" w:rsidRPr="00744DDA" w:rsidRDefault="00B25FF7" w:rsidP="00B25FF7">
      <w:pPr>
        <w:jc w:val="left"/>
      </w:pPr>
      <w:r w:rsidRPr="00744DDA">
        <w:rPr>
          <w:noProof/>
        </w:rPr>
        <w:drawing>
          <wp:inline distT="0" distB="0" distL="0" distR="0" wp14:anchorId="63A0E3D7" wp14:editId="2E518F51">
            <wp:extent cx="6371539" cy="66716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593" cy="667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BB2" w:rsidRPr="00744DDA" w:rsidRDefault="00B25FF7" w:rsidP="00B25FF7">
      <w:pPr>
        <w:spacing w:before="480"/>
        <w:ind w:left="567" w:hanging="567"/>
        <w:jc w:val="right"/>
        <w:rPr>
          <w:lang w:val="es-ES_tradnl"/>
        </w:rPr>
      </w:pPr>
      <w:r w:rsidRPr="00744DDA">
        <w:rPr>
          <w:lang w:val="es-ES_tradnl"/>
        </w:rPr>
        <w:t>[Fin del Anexo y del documento]</w:t>
      </w:r>
    </w:p>
    <w:sectPr w:rsidR="007F4BB2" w:rsidRPr="00744DDA" w:rsidSect="00B25FF7">
      <w:head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10" w:rsidRDefault="00BC7B10" w:rsidP="00F45372">
      <w:r>
        <w:separator/>
      </w:r>
    </w:p>
    <w:p w:rsidR="00BC7B10" w:rsidRDefault="00BC7B10" w:rsidP="00F45372"/>
    <w:p w:rsidR="00BC7B10" w:rsidRDefault="00BC7B10" w:rsidP="00F45372"/>
  </w:endnote>
  <w:endnote w:type="continuationSeparator" w:id="0">
    <w:p w:rsidR="00BC7B10" w:rsidRDefault="00BC7B10" w:rsidP="00F45372">
      <w:r>
        <w:separator/>
      </w:r>
    </w:p>
    <w:p w:rsidR="00BC7B10" w:rsidRPr="00970020" w:rsidRDefault="00BC7B10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BC7B10" w:rsidRPr="00970020" w:rsidRDefault="00BC7B10" w:rsidP="00F45372">
      <w:pPr>
        <w:rPr>
          <w:lang w:val="fr-CH"/>
        </w:rPr>
      </w:pPr>
    </w:p>
    <w:p w:rsidR="00BC7B10" w:rsidRPr="00970020" w:rsidRDefault="00BC7B10" w:rsidP="00F45372">
      <w:pPr>
        <w:rPr>
          <w:lang w:val="fr-CH"/>
        </w:rPr>
      </w:pPr>
    </w:p>
  </w:endnote>
  <w:endnote w:type="continuationNotice" w:id="1">
    <w:p w:rsidR="00BC7B10" w:rsidRPr="00970020" w:rsidRDefault="00BC7B10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BC7B10" w:rsidRPr="00970020" w:rsidRDefault="00BC7B10" w:rsidP="00F45372">
      <w:pPr>
        <w:rPr>
          <w:lang w:val="fr-CH"/>
        </w:rPr>
      </w:pPr>
    </w:p>
    <w:p w:rsidR="00BC7B10" w:rsidRPr="00970020" w:rsidRDefault="00BC7B10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10" w:rsidRPr="005D0A52" w:rsidRDefault="00BC7B10" w:rsidP="005D0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10" w:rsidRDefault="00BC7B10" w:rsidP="00F45372">
      <w:r>
        <w:separator/>
      </w:r>
    </w:p>
  </w:footnote>
  <w:footnote w:type="continuationSeparator" w:id="0">
    <w:p w:rsidR="00BC7B10" w:rsidRDefault="00BC7B10" w:rsidP="00F45372">
      <w:r>
        <w:separator/>
      </w:r>
    </w:p>
  </w:footnote>
  <w:footnote w:type="continuationNotice" w:id="1">
    <w:p w:rsidR="00BC7B10" w:rsidRPr="00905020" w:rsidRDefault="00BC7B10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10" w:rsidRPr="00E52D8B" w:rsidRDefault="00BC7B10" w:rsidP="00744DDA">
    <w:pPr>
      <w:pStyle w:val="Header"/>
      <w:rPr>
        <w:rStyle w:val="PageNumber"/>
        <w:lang w:val="es-ES_tradnl" w:eastAsia="ja-JP"/>
      </w:rPr>
    </w:pPr>
    <w:r w:rsidRPr="00E52D8B">
      <w:rPr>
        <w:rStyle w:val="PageNumber"/>
        <w:lang w:val="es-ES_tradnl"/>
      </w:rPr>
      <w:t>TC</w:t>
    </w:r>
    <w:r w:rsidRPr="00E52D8B">
      <w:rPr>
        <w:rStyle w:val="PageNumber"/>
        <w:rFonts w:hint="eastAsia"/>
        <w:lang w:val="es-ES_tradnl" w:eastAsia="ja-JP"/>
      </w:rPr>
      <w:t>/51/18</w:t>
    </w:r>
  </w:p>
  <w:p w:rsidR="00BC7B10" w:rsidRPr="00E52D8B" w:rsidRDefault="00BC7B10" w:rsidP="00744DDA">
    <w:pPr>
      <w:pStyle w:val="Header"/>
      <w:rPr>
        <w:lang w:val="es-ES_tradnl"/>
      </w:rPr>
    </w:pPr>
    <w:proofErr w:type="gramStart"/>
    <w:r w:rsidRPr="00E52D8B">
      <w:rPr>
        <w:lang w:val="es-ES_tradnl"/>
      </w:rPr>
      <w:t>página</w:t>
    </w:r>
    <w:proofErr w:type="gramEnd"/>
    <w:r w:rsidRPr="00E52D8B">
      <w:rPr>
        <w:lang w:val="es-ES_tradnl"/>
      </w:rPr>
      <w:t xml:space="preserve"> </w:t>
    </w:r>
    <w:r w:rsidR="00E51541" w:rsidRPr="00E52D8B">
      <w:rPr>
        <w:lang w:val="es-ES_tradnl"/>
      </w:rPr>
      <w:fldChar w:fldCharType="begin"/>
    </w:r>
    <w:r w:rsidRPr="00E52D8B">
      <w:rPr>
        <w:lang w:val="es-ES_tradnl"/>
      </w:rPr>
      <w:instrText xml:space="preserve"> PAGE  \* Arabic  \* MERGEFORMAT </w:instrText>
    </w:r>
    <w:r w:rsidR="00E51541" w:rsidRPr="00E52D8B">
      <w:rPr>
        <w:lang w:val="es-ES_tradnl"/>
      </w:rPr>
      <w:fldChar w:fldCharType="separate"/>
    </w:r>
    <w:r w:rsidR="00BE2214">
      <w:rPr>
        <w:noProof/>
        <w:lang w:val="es-ES_tradnl"/>
      </w:rPr>
      <w:t>3</w:t>
    </w:r>
    <w:r w:rsidR="00E51541" w:rsidRPr="00E52D8B">
      <w:rPr>
        <w:lang w:val="es-ES_tradnl"/>
      </w:rPr>
      <w:fldChar w:fldCharType="end"/>
    </w:r>
  </w:p>
  <w:p w:rsidR="00BC7B10" w:rsidRPr="00E52D8B" w:rsidRDefault="00BC7B10" w:rsidP="00744DDA">
    <w:pPr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10" w:rsidRPr="008D3729" w:rsidRDefault="00BC7B10" w:rsidP="00744DDA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TC/51/18</w:t>
    </w:r>
  </w:p>
  <w:p w:rsidR="00BC7B10" w:rsidRPr="008D3729" w:rsidRDefault="00BC7B10" w:rsidP="00744DDA">
    <w:pPr>
      <w:pStyle w:val="Header"/>
      <w:rPr>
        <w:lang w:val="es-ES_tradnl"/>
      </w:rPr>
    </w:pPr>
    <w:r>
      <w:rPr>
        <w:lang w:val="es-ES_tradnl"/>
      </w:rPr>
      <w:t xml:space="preserve">Anexo, </w:t>
    </w:r>
    <w:r w:rsidRPr="008D3729">
      <w:rPr>
        <w:lang w:val="es-ES_tradnl"/>
      </w:rPr>
      <w:t xml:space="preserve">página </w:t>
    </w:r>
    <w:r w:rsidR="00E51541"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="00E51541" w:rsidRPr="008D3729">
      <w:rPr>
        <w:rStyle w:val="PageNumber"/>
        <w:lang w:val="es-ES_tradnl"/>
      </w:rPr>
      <w:fldChar w:fldCharType="separate"/>
    </w:r>
    <w:r w:rsidR="00BE2214">
      <w:rPr>
        <w:rStyle w:val="PageNumber"/>
        <w:noProof/>
        <w:lang w:val="es-ES_tradnl"/>
      </w:rPr>
      <w:t>3</w:t>
    </w:r>
    <w:r w:rsidR="00E51541" w:rsidRPr="008D3729">
      <w:rPr>
        <w:rStyle w:val="PageNumber"/>
        <w:lang w:val="es-ES_tradnl"/>
      </w:rPr>
      <w:fldChar w:fldCharType="end"/>
    </w:r>
  </w:p>
  <w:p w:rsidR="00BC7B10" w:rsidRPr="008D3729" w:rsidRDefault="00BC7B10" w:rsidP="00744DDA">
    <w:pPr>
      <w:jc w:val="cent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B10" w:rsidRDefault="00BC7B10" w:rsidP="00B25FF7">
    <w:pPr>
      <w:pStyle w:val="Header"/>
      <w:rPr>
        <w:rStyle w:val="PageNumber"/>
        <w:lang w:val="en-US" w:eastAsia="ja-JP"/>
      </w:rPr>
    </w:pPr>
    <w:r w:rsidRPr="00C5280D">
      <w:rPr>
        <w:rStyle w:val="PageNumber"/>
        <w:lang w:val="en-US"/>
      </w:rPr>
      <w:t>TC</w:t>
    </w:r>
    <w:r>
      <w:rPr>
        <w:rStyle w:val="PageNumber"/>
        <w:rFonts w:hint="eastAsia"/>
        <w:lang w:val="en-US" w:eastAsia="ja-JP"/>
      </w:rPr>
      <w:t>/51/18</w:t>
    </w:r>
  </w:p>
  <w:p w:rsidR="00BC7B10" w:rsidRDefault="00BC7B10" w:rsidP="00B25FF7">
    <w:pPr>
      <w:pStyle w:val="Header"/>
    </w:pPr>
  </w:p>
  <w:p w:rsidR="00BC7B10" w:rsidRDefault="00BC7B10" w:rsidP="00B25FF7">
    <w:pPr>
      <w:pStyle w:val="Header"/>
    </w:pPr>
    <w:r>
      <w:t>ANEXO</w:t>
    </w:r>
  </w:p>
  <w:p w:rsidR="00BC7B10" w:rsidRPr="00B25FF7" w:rsidRDefault="00BC7B10" w:rsidP="00B2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7128"/>
    <w:multiLevelType w:val="hybridMultilevel"/>
    <w:tmpl w:val="4A5C1B9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3143"/>
    <w:multiLevelType w:val="hybridMultilevel"/>
    <w:tmpl w:val="70A030A8"/>
    <w:lvl w:ilvl="0" w:tplc="E89C35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87A10"/>
    <w:multiLevelType w:val="hybridMultilevel"/>
    <w:tmpl w:val="E51E3F7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99702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3BC3"/>
    <w:rsid w:val="000C3FEC"/>
    <w:rsid w:val="000C7021"/>
    <w:rsid w:val="000D6BBC"/>
    <w:rsid w:val="000D7780"/>
    <w:rsid w:val="000E471E"/>
    <w:rsid w:val="00105929"/>
    <w:rsid w:val="001131D5"/>
    <w:rsid w:val="00141DB8"/>
    <w:rsid w:val="00142A73"/>
    <w:rsid w:val="001479AA"/>
    <w:rsid w:val="0017474A"/>
    <w:rsid w:val="001758C6"/>
    <w:rsid w:val="0018223C"/>
    <w:rsid w:val="00184D5D"/>
    <w:rsid w:val="001955B3"/>
    <w:rsid w:val="0021332C"/>
    <w:rsid w:val="00213982"/>
    <w:rsid w:val="00220182"/>
    <w:rsid w:val="00235267"/>
    <w:rsid w:val="002377F3"/>
    <w:rsid w:val="0024416D"/>
    <w:rsid w:val="00251AB6"/>
    <w:rsid w:val="00266E18"/>
    <w:rsid w:val="002800A0"/>
    <w:rsid w:val="002801B3"/>
    <w:rsid w:val="00281060"/>
    <w:rsid w:val="002940E8"/>
    <w:rsid w:val="002972B8"/>
    <w:rsid w:val="002A6E50"/>
    <w:rsid w:val="002C256A"/>
    <w:rsid w:val="002D6D2A"/>
    <w:rsid w:val="00305A7F"/>
    <w:rsid w:val="00307773"/>
    <w:rsid w:val="003152FE"/>
    <w:rsid w:val="00320AE8"/>
    <w:rsid w:val="00326491"/>
    <w:rsid w:val="00327436"/>
    <w:rsid w:val="0033788B"/>
    <w:rsid w:val="00344BD6"/>
    <w:rsid w:val="0035528D"/>
    <w:rsid w:val="0036010D"/>
    <w:rsid w:val="00361821"/>
    <w:rsid w:val="00366D8A"/>
    <w:rsid w:val="00370631"/>
    <w:rsid w:val="00375772"/>
    <w:rsid w:val="003D227C"/>
    <w:rsid w:val="003D2B4D"/>
    <w:rsid w:val="003D7E71"/>
    <w:rsid w:val="0041585F"/>
    <w:rsid w:val="00444A88"/>
    <w:rsid w:val="00474DA4"/>
    <w:rsid w:val="004B61D5"/>
    <w:rsid w:val="004C1583"/>
    <w:rsid w:val="004D047D"/>
    <w:rsid w:val="004E4C3C"/>
    <w:rsid w:val="004F1D89"/>
    <w:rsid w:val="004F2C8D"/>
    <w:rsid w:val="004F305A"/>
    <w:rsid w:val="00512164"/>
    <w:rsid w:val="005141BA"/>
    <w:rsid w:val="00516F1F"/>
    <w:rsid w:val="00520297"/>
    <w:rsid w:val="005338F9"/>
    <w:rsid w:val="00536000"/>
    <w:rsid w:val="0054281C"/>
    <w:rsid w:val="0055268D"/>
    <w:rsid w:val="00576BE4"/>
    <w:rsid w:val="00576BF0"/>
    <w:rsid w:val="005A1BCA"/>
    <w:rsid w:val="005A400A"/>
    <w:rsid w:val="005D0A52"/>
    <w:rsid w:val="00612379"/>
    <w:rsid w:val="0061555F"/>
    <w:rsid w:val="00625523"/>
    <w:rsid w:val="00641200"/>
    <w:rsid w:val="0064217C"/>
    <w:rsid w:val="00687EB4"/>
    <w:rsid w:val="0069462C"/>
    <w:rsid w:val="006A1ECF"/>
    <w:rsid w:val="006B17D2"/>
    <w:rsid w:val="006C224E"/>
    <w:rsid w:val="006D780A"/>
    <w:rsid w:val="00732DEC"/>
    <w:rsid w:val="00735BD5"/>
    <w:rsid w:val="00744DDA"/>
    <w:rsid w:val="00753A37"/>
    <w:rsid w:val="007556F6"/>
    <w:rsid w:val="00760EEF"/>
    <w:rsid w:val="00777EE5"/>
    <w:rsid w:val="00784836"/>
    <w:rsid w:val="0079023E"/>
    <w:rsid w:val="007A2854"/>
    <w:rsid w:val="007D0B9D"/>
    <w:rsid w:val="007D19B0"/>
    <w:rsid w:val="007D1A2E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325A"/>
    <w:rsid w:val="008A743F"/>
    <w:rsid w:val="008C0970"/>
    <w:rsid w:val="008C4476"/>
    <w:rsid w:val="008D0BED"/>
    <w:rsid w:val="008D2CF7"/>
    <w:rsid w:val="008D3729"/>
    <w:rsid w:val="008F0EFD"/>
    <w:rsid w:val="00900C26"/>
    <w:rsid w:val="0090197F"/>
    <w:rsid w:val="00905020"/>
    <w:rsid w:val="00906DDC"/>
    <w:rsid w:val="00911DCC"/>
    <w:rsid w:val="00934E09"/>
    <w:rsid w:val="00936253"/>
    <w:rsid w:val="00952DD4"/>
    <w:rsid w:val="00970020"/>
    <w:rsid w:val="00970FED"/>
    <w:rsid w:val="0099525D"/>
    <w:rsid w:val="00997029"/>
    <w:rsid w:val="009B55D2"/>
    <w:rsid w:val="009D690D"/>
    <w:rsid w:val="009E1F07"/>
    <w:rsid w:val="009E65B6"/>
    <w:rsid w:val="00A13C6F"/>
    <w:rsid w:val="00A20E52"/>
    <w:rsid w:val="00A314E2"/>
    <w:rsid w:val="00A37B04"/>
    <w:rsid w:val="00A42AC3"/>
    <w:rsid w:val="00A430CF"/>
    <w:rsid w:val="00A47CDB"/>
    <w:rsid w:val="00A5128F"/>
    <w:rsid w:val="00A54309"/>
    <w:rsid w:val="00AA65E7"/>
    <w:rsid w:val="00AB2B93"/>
    <w:rsid w:val="00AB7E5B"/>
    <w:rsid w:val="00AC3751"/>
    <w:rsid w:val="00AD0C31"/>
    <w:rsid w:val="00AE0EF1"/>
    <w:rsid w:val="00B06942"/>
    <w:rsid w:val="00B07301"/>
    <w:rsid w:val="00B224DE"/>
    <w:rsid w:val="00B25FF7"/>
    <w:rsid w:val="00B70988"/>
    <w:rsid w:val="00B77DA3"/>
    <w:rsid w:val="00B81EE1"/>
    <w:rsid w:val="00B84BBD"/>
    <w:rsid w:val="00B90052"/>
    <w:rsid w:val="00BA43FB"/>
    <w:rsid w:val="00BC127D"/>
    <w:rsid w:val="00BC1FE6"/>
    <w:rsid w:val="00BC62A4"/>
    <w:rsid w:val="00BC7B10"/>
    <w:rsid w:val="00BD4E93"/>
    <w:rsid w:val="00BE2214"/>
    <w:rsid w:val="00C061B6"/>
    <w:rsid w:val="00C06C9E"/>
    <w:rsid w:val="00C13808"/>
    <w:rsid w:val="00C2446C"/>
    <w:rsid w:val="00C36AE5"/>
    <w:rsid w:val="00C41F17"/>
    <w:rsid w:val="00C5791C"/>
    <w:rsid w:val="00C66290"/>
    <w:rsid w:val="00C72B7A"/>
    <w:rsid w:val="00C76012"/>
    <w:rsid w:val="00C973F2"/>
    <w:rsid w:val="00CA774A"/>
    <w:rsid w:val="00CC11B0"/>
    <w:rsid w:val="00CF7E36"/>
    <w:rsid w:val="00D13AC3"/>
    <w:rsid w:val="00D261C5"/>
    <w:rsid w:val="00D3708D"/>
    <w:rsid w:val="00D40426"/>
    <w:rsid w:val="00D41CF4"/>
    <w:rsid w:val="00D57C96"/>
    <w:rsid w:val="00D91203"/>
    <w:rsid w:val="00D95174"/>
    <w:rsid w:val="00DA4685"/>
    <w:rsid w:val="00DA6F36"/>
    <w:rsid w:val="00DB596E"/>
    <w:rsid w:val="00DC00EA"/>
    <w:rsid w:val="00DE5F88"/>
    <w:rsid w:val="00E50918"/>
    <w:rsid w:val="00E51541"/>
    <w:rsid w:val="00E52D8B"/>
    <w:rsid w:val="00E72D49"/>
    <w:rsid w:val="00E7593C"/>
    <w:rsid w:val="00E7678A"/>
    <w:rsid w:val="00E935F1"/>
    <w:rsid w:val="00E94A81"/>
    <w:rsid w:val="00EA1FFB"/>
    <w:rsid w:val="00EA5245"/>
    <w:rsid w:val="00EB048E"/>
    <w:rsid w:val="00EC38CA"/>
    <w:rsid w:val="00EE34DF"/>
    <w:rsid w:val="00EF2F89"/>
    <w:rsid w:val="00F1237A"/>
    <w:rsid w:val="00F12D99"/>
    <w:rsid w:val="00F22CBD"/>
    <w:rsid w:val="00F2433A"/>
    <w:rsid w:val="00F34CC6"/>
    <w:rsid w:val="00F45372"/>
    <w:rsid w:val="00F560F7"/>
    <w:rsid w:val="00F6334D"/>
    <w:rsid w:val="00F70F4F"/>
    <w:rsid w:val="00F77B84"/>
    <w:rsid w:val="00F85940"/>
    <w:rsid w:val="00F85FD1"/>
    <w:rsid w:val="00F95E58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D0A52"/>
    <w:pPr>
      <w:keepNext/>
      <w:jc w:val="both"/>
      <w:outlineLvl w:val="0"/>
    </w:pPr>
    <w:rPr>
      <w:rFonts w:ascii="Arial" w:hAnsi="Arial"/>
      <w:caps/>
      <w:color w:val="808080"/>
      <w:lang w:val="es-ES_tradnl" w:eastAsia="ja-JP"/>
    </w:rPr>
  </w:style>
  <w:style w:type="paragraph" w:styleId="Heading2">
    <w:name w:val="heading 2"/>
    <w:next w:val="Normal"/>
    <w:autoRedefine/>
    <w:qFormat/>
    <w:rsid w:val="005D0A52"/>
    <w:pPr>
      <w:keepNext/>
      <w:jc w:val="both"/>
      <w:outlineLvl w:val="1"/>
    </w:pPr>
    <w:rPr>
      <w:rFonts w:ascii="Arial" w:eastAsia="PMingLiU" w:hAnsi="Arial" w:cs="Arial"/>
      <w:color w:val="808080"/>
      <w:szCs w:val="24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25FF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B25FF7"/>
    <w:pPr>
      <w:ind w:left="720"/>
      <w:contextualSpacing/>
    </w:pPr>
  </w:style>
  <w:style w:type="character" w:styleId="CommentReference">
    <w:name w:val="annotation reference"/>
    <w:basedOn w:val="DefaultParagraphFont"/>
    <w:rsid w:val="00A512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28F"/>
  </w:style>
  <w:style w:type="character" w:customStyle="1" w:styleId="CommentTextChar">
    <w:name w:val="Comment Text Char"/>
    <w:basedOn w:val="DefaultParagraphFont"/>
    <w:link w:val="CommentText"/>
    <w:rsid w:val="00A5128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51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28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5128F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D13AC3"/>
    <w:rPr>
      <w:i/>
      <w:iCs/>
    </w:rPr>
  </w:style>
  <w:style w:type="character" w:customStyle="1" w:styleId="apple-converted-space">
    <w:name w:val="apple-converted-space"/>
    <w:basedOn w:val="DefaultParagraphFont"/>
    <w:rsid w:val="00D13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D0A52"/>
    <w:pPr>
      <w:keepNext/>
      <w:jc w:val="both"/>
      <w:outlineLvl w:val="0"/>
    </w:pPr>
    <w:rPr>
      <w:rFonts w:ascii="Arial" w:hAnsi="Arial"/>
      <w:caps/>
      <w:color w:val="808080"/>
      <w:lang w:val="es-ES_tradnl" w:eastAsia="ja-JP"/>
    </w:rPr>
  </w:style>
  <w:style w:type="paragraph" w:styleId="Heading2">
    <w:name w:val="heading 2"/>
    <w:next w:val="Normal"/>
    <w:autoRedefine/>
    <w:qFormat/>
    <w:rsid w:val="005D0A52"/>
    <w:pPr>
      <w:keepNext/>
      <w:jc w:val="both"/>
      <w:outlineLvl w:val="1"/>
    </w:pPr>
    <w:rPr>
      <w:rFonts w:ascii="Arial" w:eastAsia="PMingLiU" w:hAnsi="Arial" w:cs="Arial"/>
      <w:color w:val="808080"/>
      <w:szCs w:val="24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25FF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B25FF7"/>
    <w:pPr>
      <w:ind w:left="720"/>
      <w:contextualSpacing/>
    </w:pPr>
  </w:style>
  <w:style w:type="character" w:styleId="CommentReference">
    <w:name w:val="annotation reference"/>
    <w:basedOn w:val="DefaultParagraphFont"/>
    <w:rsid w:val="00A512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28F"/>
  </w:style>
  <w:style w:type="character" w:customStyle="1" w:styleId="CommentTextChar">
    <w:name w:val="Comment Text Char"/>
    <w:basedOn w:val="DefaultParagraphFont"/>
    <w:link w:val="CommentText"/>
    <w:rsid w:val="00A5128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51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128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5128F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D13AC3"/>
    <w:rPr>
      <w:i/>
      <w:iCs/>
    </w:rPr>
  </w:style>
  <w:style w:type="character" w:customStyle="1" w:styleId="apple-converted-space">
    <w:name w:val="apple-converted-space"/>
    <w:basedOn w:val="DefaultParagraphFont"/>
    <w:rsid w:val="00D1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7526-87EE-493D-92EF-ABA12C25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1800</Words>
  <Characters>9601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TC/50</vt:lpstr>
      <vt:lpstr>TC/50</vt:lpstr>
    </vt:vector>
  </TitlesOfParts>
  <Company>UPOV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BOU LLORET Amparo</dc:creator>
  <cp:lastModifiedBy>LONG Victoria</cp:lastModifiedBy>
  <cp:revision>11</cp:revision>
  <cp:lastPrinted>2011-12-19T06:47:00Z</cp:lastPrinted>
  <dcterms:created xsi:type="dcterms:W3CDTF">2015-02-16T12:28:00Z</dcterms:created>
  <dcterms:modified xsi:type="dcterms:W3CDTF">2015-02-19T13:56:00Z</dcterms:modified>
</cp:coreProperties>
</file>