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99714B" w:rsidRPr="008C485D" w:rsidTr="00C13808">
        <w:trPr>
          <w:trHeight w:val="1760"/>
        </w:trPr>
        <w:tc>
          <w:tcPr>
            <w:tcW w:w="4243" w:type="dxa"/>
          </w:tcPr>
          <w:p w:rsidR="000D7780" w:rsidRPr="009946E5" w:rsidRDefault="000D7780" w:rsidP="00F45372">
            <w:pPr>
              <w:rPr>
                <w:lang w:val="es-ES_tradnl"/>
              </w:rPr>
            </w:pPr>
          </w:p>
        </w:tc>
        <w:tc>
          <w:tcPr>
            <w:tcW w:w="1646" w:type="dxa"/>
            <w:vAlign w:val="center"/>
          </w:tcPr>
          <w:p w:rsidR="004F1D89" w:rsidRPr="009946E5" w:rsidRDefault="004F1D89" w:rsidP="00F45372">
            <w:pPr>
              <w:pStyle w:val="LogoUPOV"/>
              <w:rPr>
                <w:lang w:val="es-ES_tradnl"/>
              </w:rPr>
            </w:pPr>
            <w:r w:rsidRPr="009946E5">
              <w:rPr>
                <w:noProof/>
              </w:rPr>
              <w:drawing>
                <wp:inline distT="0" distB="0" distL="0" distR="0" wp14:anchorId="7076C37F" wp14:editId="1736C591">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9946E5" w:rsidRDefault="00A47CDB" w:rsidP="00F45372">
            <w:pPr>
              <w:pStyle w:val="Lettrine"/>
              <w:rPr>
                <w:lang w:val="es-ES_tradnl"/>
              </w:rPr>
            </w:pPr>
            <w:r w:rsidRPr="009946E5">
              <w:rPr>
                <w:lang w:val="es-ES_tradnl"/>
              </w:rPr>
              <w:t>S</w:t>
            </w:r>
          </w:p>
          <w:p w:rsidR="000D7780" w:rsidRPr="009946E5" w:rsidRDefault="008A1693" w:rsidP="00F45372">
            <w:pPr>
              <w:pStyle w:val="Docoriginal"/>
              <w:rPr>
                <w:lang w:val="es-ES_tradnl"/>
              </w:rPr>
            </w:pPr>
            <w:r w:rsidRPr="009946E5">
              <w:rPr>
                <w:lang w:val="es-ES_tradnl"/>
              </w:rPr>
              <w:t>TC/51/</w:t>
            </w:r>
            <w:bookmarkStart w:id="0" w:name="Code"/>
            <w:bookmarkEnd w:id="0"/>
            <w:r w:rsidRPr="009946E5">
              <w:rPr>
                <w:lang w:val="es-ES_tradnl"/>
              </w:rPr>
              <w:t>17</w:t>
            </w:r>
          </w:p>
          <w:p w:rsidR="000D7780" w:rsidRPr="009946E5" w:rsidRDefault="0061555F" w:rsidP="00F45372">
            <w:pPr>
              <w:pStyle w:val="Docoriginal"/>
              <w:rPr>
                <w:b w:val="0"/>
                <w:spacing w:val="0"/>
                <w:lang w:val="es-ES_tradnl"/>
              </w:rPr>
            </w:pPr>
            <w:r w:rsidRPr="009946E5">
              <w:rPr>
                <w:rStyle w:val="StyleDoclangBold"/>
                <w:b/>
                <w:spacing w:val="0"/>
                <w:lang w:val="es-ES_tradnl"/>
              </w:rPr>
              <w:t>ORIGINAL:</w:t>
            </w:r>
            <w:r w:rsidRPr="009946E5">
              <w:rPr>
                <w:rStyle w:val="StyleDocoriginalNotBold1"/>
                <w:spacing w:val="0"/>
                <w:lang w:val="es-ES_tradnl"/>
              </w:rPr>
              <w:t xml:space="preserve">  </w:t>
            </w:r>
            <w:bookmarkStart w:id="1" w:name="Original"/>
            <w:bookmarkEnd w:id="1"/>
            <w:r w:rsidRPr="009946E5">
              <w:rPr>
                <w:b w:val="0"/>
                <w:spacing w:val="0"/>
                <w:lang w:val="es-ES_tradnl"/>
              </w:rPr>
              <w:t>Inglés</w:t>
            </w:r>
          </w:p>
          <w:p w:rsidR="000D7780" w:rsidRPr="009946E5" w:rsidRDefault="00A47CDB" w:rsidP="008C485D">
            <w:pPr>
              <w:pStyle w:val="Docoriginal"/>
              <w:rPr>
                <w:lang w:val="es-ES_tradnl"/>
              </w:rPr>
            </w:pPr>
            <w:r w:rsidRPr="009946E5">
              <w:rPr>
                <w:spacing w:val="0"/>
                <w:lang w:val="es-ES_tradnl"/>
              </w:rPr>
              <w:t>FECHA:</w:t>
            </w:r>
            <w:r w:rsidRPr="009946E5">
              <w:rPr>
                <w:b w:val="0"/>
                <w:spacing w:val="0"/>
                <w:lang w:val="es-ES_tradnl"/>
              </w:rPr>
              <w:t xml:space="preserve"> </w:t>
            </w:r>
            <w:bookmarkStart w:id="2" w:name="Date"/>
            <w:bookmarkEnd w:id="2"/>
            <w:r w:rsidR="008C485D">
              <w:rPr>
                <w:b w:val="0"/>
                <w:spacing w:val="0"/>
                <w:lang w:val="es-ES_tradnl"/>
              </w:rPr>
              <w:t>3</w:t>
            </w:r>
            <w:r w:rsidRPr="009946E5">
              <w:rPr>
                <w:rStyle w:val="StyleDocoriginalNotBold1"/>
                <w:spacing w:val="0"/>
                <w:lang w:val="es-ES_tradnl"/>
              </w:rPr>
              <w:t xml:space="preserve"> de </w:t>
            </w:r>
            <w:r w:rsidR="008C485D">
              <w:rPr>
                <w:rStyle w:val="StyleDocoriginalNotBold1"/>
                <w:spacing w:val="0"/>
                <w:lang w:val="es-ES_tradnl"/>
              </w:rPr>
              <w:t>marzo</w:t>
            </w:r>
            <w:r w:rsidRPr="009946E5">
              <w:rPr>
                <w:rStyle w:val="StyleDocoriginalNotBold1"/>
                <w:spacing w:val="0"/>
                <w:lang w:val="es-ES_tradnl"/>
              </w:rPr>
              <w:t xml:space="preserve"> d</w:t>
            </w:r>
            <w:r w:rsidRPr="009946E5">
              <w:rPr>
                <w:b w:val="0"/>
                <w:spacing w:val="0"/>
                <w:lang w:val="es-ES_tradnl"/>
              </w:rPr>
              <w:t>e 2015</w:t>
            </w:r>
          </w:p>
        </w:tc>
      </w:tr>
      <w:tr w:rsidR="0099714B" w:rsidRPr="008C485D" w:rsidTr="00C13808">
        <w:tc>
          <w:tcPr>
            <w:tcW w:w="10131" w:type="dxa"/>
            <w:gridSpan w:val="3"/>
          </w:tcPr>
          <w:p w:rsidR="000D7780" w:rsidRPr="009946E5" w:rsidRDefault="00A47CDB" w:rsidP="00F45372">
            <w:pPr>
              <w:pStyle w:val="upove"/>
              <w:rPr>
                <w:sz w:val="28"/>
                <w:lang w:val="es-ES_tradnl"/>
              </w:rPr>
            </w:pPr>
            <w:r w:rsidRPr="009946E5">
              <w:rPr>
                <w:spacing w:val="2"/>
                <w:lang w:val="es-ES_tradnl"/>
              </w:rPr>
              <w:t>UNIÓN INTERNACIONAL PARA LA PROTECCIÓN DE LAS OBTENCIONES VEGETALES</w:t>
            </w:r>
          </w:p>
        </w:tc>
      </w:tr>
      <w:tr w:rsidR="0099714B" w:rsidRPr="009946E5" w:rsidTr="00C13808">
        <w:tc>
          <w:tcPr>
            <w:tcW w:w="10131" w:type="dxa"/>
            <w:gridSpan w:val="3"/>
          </w:tcPr>
          <w:p w:rsidR="000D7780" w:rsidRPr="009946E5" w:rsidRDefault="00A47CDB" w:rsidP="00F45372">
            <w:pPr>
              <w:pStyle w:val="Country"/>
              <w:rPr>
                <w:lang w:val="es-ES_tradnl"/>
              </w:rPr>
            </w:pPr>
            <w:r w:rsidRPr="009946E5">
              <w:rPr>
                <w:lang w:val="es-ES_tradnl"/>
              </w:rPr>
              <w:t>Ginebra</w:t>
            </w:r>
          </w:p>
        </w:tc>
      </w:tr>
    </w:tbl>
    <w:p w:rsidR="000D7780" w:rsidRPr="009946E5" w:rsidRDefault="00A47CDB" w:rsidP="00F45372">
      <w:pPr>
        <w:pStyle w:val="Sessiontc"/>
        <w:rPr>
          <w:lang w:val="es-ES_tradnl"/>
        </w:rPr>
      </w:pPr>
      <w:r w:rsidRPr="009946E5">
        <w:rPr>
          <w:lang w:val="es-ES_tradnl"/>
        </w:rPr>
        <w:t>Comité TÉCNICO</w:t>
      </w:r>
    </w:p>
    <w:p w:rsidR="00361821" w:rsidRPr="009946E5" w:rsidRDefault="007F4BB2" w:rsidP="00F45372">
      <w:pPr>
        <w:pStyle w:val="Sessiontcplacedate"/>
        <w:rPr>
          <w:lang w:val="es-ES_tradnl"/>
        </w:rPr>
      </w:pPr>
      <w:r w:rsidRPr="009946E5">
        <w:rPr>
          <w:lang w:val="es-ES_tradnl"/>
        </w:rPr>
        <w:t>Quincuagésima primera sesión</w:t>
      </w:r>
      <w:r w:rsidRPr="009946E5">
        <w:rPr>
          <w:lang w:val="es-ES_tradnl"/>
        </w:rPr>
        <w:br/>
        <w:t>Ginebra, 23 a 25 de marzo de 2015</w:t>
      </w:r>
    </w:p>
    <w:p w:rsidR="000D7780" w:rsidRPr="009946E5" w:rsidRDefault="008C485D" w:rsidP="00F45372">
      <w:pPr>
        <w:pStyle w:val="Titleofdoc0"/>
        <w:rPr>
          <w:lang w:val="es-ES_tradnl"/>
        </w:rPr>
      </w:pPr>
      <w:bookmarkStart w:id="3" w:name="TitleOfDoc"/>
      <w:bookmarkEnd w:id="3"/>
      <w:r>
        <w:rPr>
          <w:lang w:val="es-ES_tradnl"/>
        </w:rPr>
        <w:t xml:space="preserve">Revisión del documento TGP/8: </w:t>
      </w:r>
      <w:r w:rsidR="0036199D" w:rsidRPr="009946E5">
        <w:rPr>
          <w:lang w:val="es-ES_tradnl"/>
        </w:rPr>
        <w:t>Parte II: Técnicas utilizadas en el examen DHE, Sección 9:</w:t>
      </w:r>
      <w:r w:rsidR="00C82A8B" w:rsidRPr="009946E5">
        <w:rPr>
          <w:lang w:val="es-ES_tradnl"/>
        </w:rPr>
        <w:t xml:space="preserve"> </w:t>
      </w:r>
      <w:r w:rsidR="0036199D" w:rsidRPr="009946E5">
        <w:rPr>
          <w:lang w:val="es-ES_tradnl"/>
        </w:rPr>
        <w:t xml:space="preserve">CRITERIO COMBINADO INTERANUAL DE </w:t>
      </w:r>
      <w:r w:rsidR="0099714B" w:rsidRPr="009946E5">
        <w:rPr>
          <w:lang w:val="es-ES_tradnl"/>
        </w:rPr>
        <w:t>HOMOGENEIDAD</w:t>
      </w:r>
      <w:r w:rsidR="0036199D" w:rsidRPr="009946E5">
        <w:rPr>
          <w:lang w:val="es-ES_tradnl"/>
        </w:rPr>
        <w:t xml:space="preserve"> (COYU)</w:t>
      </w:r>
    </w:p>
    <w:p w:rsidR="00184D5D" w:rsidRPr="009946E5" w:rsidRDefault="00184D5D" w:rsidP="00184D5D">
      <w:pPr>
        <w:pStyle w:val="preparedby1"/>
        <w:rPr>
          <w:rFonts w:eastAsiaTheme="minorEastAsia"/>
          <w:color w:val="A6A6A6" w:themeColor="background1" w:themeShade="A6"/>
          <w:lang w:val="es-ES_tradnl"/>
        </w:rPr>
      </w:pPr>
      <w:bookmarkStart w:id="4" w:name="Prepared"/>
      <w:bookmarkEnd w:id="4"/>
      <w:r w:rsidRPr="009946E5">
        <w:rPr>
          <w:lang w:val="es-ES_tradnl"/>
        </w:rPr>
        <w:t>Documento preparado por la Oficina de la Unión</w:t>
      </w:r>
      <w:r w:rsidRPr="009946E5">
        <w:rPr>
          <w:lang w:val="es-ES_tradnl"/>
        </w:rPr>
        <w:br/>
      </w:r>
      <w:r w:rsidRPr="009946E5">
        <w:rPr>
          <w:lang w:val="es-ES_tradnl"/>
        </w:rPr>
        <w:br/>
      </w:r>
      <w:r w:rsidRPr="009946E5">
        <w:rPr>
          <w:rFonts w:eastAsiaTheme="minorEastAsia"/>
          <w:color w:val="A6A6A6" w:themeColor="background1" w:themeShade="A6"/>
          <w:lang w:val="es-ES_tradnl"/>
        </w:rPr>
        <w:t>Descargo de responsabilidad:  el presente documento no constituye</w:t>
      </w:r>
      <w:r w:rsidRPr="009946E5">
        <w:rPr>
          <w:rFonts w:eastAsiaTheme="minorEastAsia"/>
          <w:color w:val="A6A6A6" w:themeColor="background1" w:themeShade="A6"/>
          <w:lang w:val="es-ES_tradnl"/>
        </w:rPr>
        <w:br/>
        <w:t>un documento de política u orientación de la UPOV</w:t>
      </w:r>
    </w:p>
    <w:p w:rsidR="00546E5E" w:rsidRPr="009946E5" w:rsidRDefault="00C66911" w:rsidP="00546E5E">
      <w:pPr>
        <w:rPr>
          <w:lang w:val="es-ES_tradnl"/>
        </w:rPr>
      </w:pPr>
      <w:r w:rsidRPr="009946E5">
        <w:rPr>
          <w:lang w:val="es-ES_tradnl"/>
        </w:rPr>
        <w:fldChar w:fldCharType="begin"/>
      </w:r>
      <w:r w:rsidR="00546E5E" w:rsidRPr="009946E5">
        <w:rPr>
          <w:lang w:val="es-ES_tradnl"/>
        </w:rPr>
        <w:instrText xml:space="preserve"> AUTONUM  </w:instrText>
      </w:r>
      <w:r w:rsidRPr="009946E5">
        <w:rPr>
          <w:lang w:val="es-ES_tradnl"/>
        </w:rPr>
        <w:fldChar w:fldCharType="end"/>
      </w:r>
      <w:r w:rsidR="00546E5E" w:rsidRPr="009946E5">
        <w:rPr>
          <w:lang w:val="es-ES_tradnl"/>
        </w:rPr>
        <w:tab/>
        <w:t xml:space="preserve">El propósito del presente documento es informar acerca de las novedades </w:t>
      </w:r>
      <w:r w:rsidR="00624D60" w:rsidRPr="009946E5">
        <w:rPr>
          <w:lang w:val="es-ES_tradnl"/>
        </w:rPr>
        <w:t xml:space="preserve">que se han producido en el ámbito del </w:t>
      </w:r>
      <w:r w:rsidR="00546E5E" w:rsidRPr="009946E5">
        <w:rPr>
          <w:lang w:val="es-ES_tradnl"/>
        </w:rPr>
        <w:t>método de cálculo del COYU.</w:t>
      </w:r>
    </w:p>
    <w:p w:rsidR="00546E5E" w:rsidRPr="009946E5" w:rsidRDefault="00546E5E" w:rsidP="00546E5E">
      <w:pPr>
        <w:rPr>
          <w:lang w:val="es-ES_tradnl"/>
        </w:rPr>
      </w:pPr>
    </w:p>
    <w:p w:rsidR="00546E5E" w:rsidRPr="009946E5" w:rsidRDefault="00C66911" w:rsidP="00546E5E">
      <w:pPr>
        <w:rPr>
          <w:rFonts w:cs="Arial"/>
          <w:lang w:val="es-ES_tradnl"/>
        </w:rPr>
      </w:pPr>
      <w:r w:rsidRPr="009946E5">
        <w:rPr>
          <w:lang w:val="es-ES_tradnl"/>
        </w:rPr>
        <w:fldChar w:fldCharType="begin"/>
      </w:r>
      <w:r w:rsidR="00546E5E" w:rsidRPr="009946E5">
        <w:rPr>
          <w:lang w:val="es-ES_tradnl"/>
        </w:rPr>
        <w:instrText xml:space="preserve"> AUTONUM  </w:instrText>
      </w:r>
      <w:r w:rsidRPr="009946E5">
        <w:rPr>
          <w:lang w:val="es-ES_tradnl"/>
        </w:rPr>
        <w:fldChar w:fldCharType="end"/>
      </w:r>
      <w:r w:rsidR="00546E5E" w:rsidRPr="009946E5">
        <w:rPr>
          <w:lang w:val="es-ES_tradnl"/>
        </w:rPr>
        <w:tab/>
        <w:t>En el presente documento se utilizan las siguientes abreviaturas:</w:t>
      </w:r>
    </w:p>
    <w:p w:rsidR="00546E5E" w:rsidRPr="009946E5" w:rsidRDefault="00546E5E" w:rsidP="00546E5E">
      <w:pPr>
        <w:rPr>
          <w:rFonts w:cs="Arial"/>
          <w:lang w:val="es-ES_tradnl"/>
        </w:rPr>
      </w:pPr>
    </w:p>
    <w:p w:rsidR="00546E5E" w:rsidRPr="009946E5" w:rsidRDefault="00546E5E" w:rsidP="00546E5E">
      <w:pPr>
        <w:rPr>
          <w:rFonts w:cs="Arial"/>
          <w:lang w:val="es-ES_tradnl"/>
        </w:rPr>
      </w:pPr>
      <w:r w:rsidRPr="009946E5">
        <w:rPr>
          <w:lang w:val="es-ES_tradnl"/>
        </w:rPr>
        <w:tab/>
        <w:t>TC:</w:t>
      </w:r>
      <w:r w:rsidRPr="009946E5">
        <w:rPr>
          <w:lang w:val="es-ES_tradnl"/>
        </w:rPr>
        <w:tab/>
      </w:r>
      <w:r w:rsidRPr="009946E5">
        <w:rPr>
          <w:lang w:val="es-ES_tradnl"/>
        </w:rPr>
        <w:tab/>
        <w:t>Comité Técnico</w:t>
      </w:r>
    </w:p>
    <w:p w:rsidR="00546E5E" w:rsidRPr="009946E5" w:rsidRDefault="00546E5E" w:rsidP="00546E5E">
      <w:pPr>
        <w:rPr>
          <w:rFonts w:eastAsia="PMingLiU" w:cs="Arial"/>
          <w:szCs w:val="24"/>
          <w:lang w:val="es-ES_tradnl"/>
        </w:rPr>
      </w:pPr>
      <w:r w:rsidRPr="009946E5">
        <w:rPr>
          <w:lang w:val="es-ES_tradnl"/>
        </w:rPr>
        <w:tab/>
        <w:t>TC-EDC:</w:t>
      </w:r>
      <w:r w:rsidRPr="009946E5">
        <w:rPr>
          <w:lang w:val="es-ES_tradnl"/>
        </w:rPr>
        <w:tab/>
        <w:t>Comité de Redacción Ampliado</w:t>
      </w:r>
    </w:p>
    <w:p w:rsidR="00546E5E" w:rsidRPr="009946E5" w:rsidRDefault="00546E5E" w:rsidP="00546E5E">
      <w:pPr>
        <w:rPr>
          <w:rFonts w:eastAsia="PMingLiU" w:cs="Arial"/>
          <w:szCs w:val="24"/>
          <w:lang w:val="es-ES_tradnl"/>
        </w:rPr>
      </w:pPr>
      <w:r w:rsidRPr="009946E5">
        <w:rPr>
          <w:lang w:val="es-ES_tradnl"/>
        </w:rPr>
        <w:tab/>
        <w:t>TWA:</w:t>
      </w:r>
      <w:r w:rsidRPr="009946E5">
        <w:rPr>
          <w:lang w:val="es-ES_tradnl"/>
        </w:rPr>
        <w:tab/>
      </w:r>
      <w:r w:rsidRPr="009946E5">
        <w:rPr>
          <w:lang w:val="es-ES_tradnl"/>
        </w:rPr>
        <w:tab/>
        <w:t>Grupo de Trabajo Técnico sobre Plantas Agrícolas</w:t>
      </w:r>
    </w:p>
    <w:p w:rsidR="00546E5E" w:rsidRPr="009946E5" w:rsidRDefault="00546E5E" w:rsidP="00546E5E">
      <w:pPr>
        <w:rPr>
          <w:rFonts w:eastAsia="PMingLiU" w:cs="Arial"/>
          <w:szCs w:val="24"/>
          <w:lang w:val="es-ES_tradnl"/>
        </w:rPr>
      </w:pPr>
      <w:r w:rsidRPr="009946E5">
        <w:rPr>
          <w:lang w:val="es-ES_tradnl"/>
        </w:rPr>
        <w:tab/>
        <w:t>TWC:</w:t>
      </w:r>
      <w:r w:rsidRPr="009946E5">
        <w:rPr>
          <w:lang w:val="es-ES_tradnl"/>
        </w:rPr>
        <w:tab/>
      </w:r>
      <w:r w:rsidRPr="009946E5">
        <w:rPr>
          <w:lang w:val="es-ES_tradnl"/>
        </w:rPr>
        <w:tab/>
        <w:t>Grupo de Trabajo Técnico sobre Automatización y Programas Informáticos</w:t>
      </w:r>
    </w:p>
    <w:p w:rsidR="00546E5E" w:rsidRPr="009946E5" w:rsidRDefault="00546E5E" w:rsidP="00546E5E">
      <w:pPr>
        <w:rPr>
          <w:rFonts w:eastAsia="PMingLiU" w:cs="Arial"/>
          <w:szCs w:val="24"/>
          <w:lang w:val="es-ES_tradnl"/>
        </w:rPr>
      </w:pPr>
      <w:r w:rsidRPr="009946E5">
        <w:rPr>
          <w:lang w:val="es-ES_tradnl"/>
        </w:rPr>
        <w:tab/>
        <w:t xml:space="preserve">TWF: </w:t>
      </w:r>
      <w:r w:rsidRPr="009946E5">
        <w:rPr>
          <w:lang w:val="es-ES_tradnl"/>
        </w:rPr>
        <w:tab/>
      </w:r>
      <w:r w:rsidRPr="009946E5">
        <w:rPr>
          <w:lang w:val="es-ES_tradnl"/>
        </w:rPr>
        <w:tab/>
        <w:t>Grupo de Trabajo Técnico sobre Plantas Frutales</w:t>
      </w:r>
    </w:p>
    <w:p w:rsidR="00546E5E" w:rsidRPr="009946E5" w:rsidRDefault="00546E5E" w:rsidP="00546E5E">
      <w:pPr>
        <w:rPr>
          <w:rFonts w:eastAsia="PMingLiU" w:cs="Arial"/>
          <w:szCs w:val="24"/>
          <w:lang w:val="es-ES_tradnl"/>
        </w:rPr>
      </w:pPr>
      <w:r w:rsidRPr="009946E5">
        <w:rPr>
          <w:lang w:val="es-ES_tradnl"/>
        </w:rPr>
        <w:tab/>
        <w:t>TWO:</w:t>
      </w:r>
      <w:r w:rsidRPr="009946E5">
        <w:rPr>
          <w:lang w:val="es-ES_tradnl"/>
        </w:rPr>
        <w:tab/>
      </w:r>
      <w:r w:rsidRPr="009946E5">
        <w:rPr>
          <w:lang w:val="es-ES_tradnl"/>
        </w:rPr>
        <w:tab/>
        <w:t>Grupo de Trabajo Técnico sobre Plantas Ornamentales y Árboles Forestales</w:t>
      </w:r>
    </w:p>
    <w:p w:rsidR="00546E5E" w:rsidRPr="009946E5" w:rsidRDefault="00546E5E" w:rsidP="00546E5E">
      <w:pPr>
        <w:rPr>
          <w:rFonts w:eastAsia="PMingLiU" w:cs="Arial"/>
          <w:szCs w:val="24"/>
          <w:lang w:val="es-ES_tradnl"/>
        </w:rPr>
      </w:pPr>
      <w:r w:rsidRPr="009946E5">
        <w:rPr>
          <w:lang w:val="es-ES_tradnl"/>
        </w:rPr>
        <w:tab/>
        <w:t>TWP:</w:t>
      </w:r>
      <w:r w:rsidRPr="009946E5">
        <w:rPr>
          <w:lang w:val="es-ES_tradnl"/>
        </w:rPr>
        <w:tab/>
      </w:r>
      <w:r w:rsidR="00BA13AF" w:rsidRPr="009946E5">
        <w:rPr>
          <w:lang w:val="es-ES_tradnl"/>
        </w:rPr>
        <w:tab/>
      </w:r>
      <w:r w:rsidRPr="009946E5">
        <w:rPr>
          <w:lang w:val="es-ES_tradnl"/>
        </w:rPr>
        <w:t>Grupos de Trabajo Técnico</w:t>
      </w:r>
    </w:p>
    <w:p w:rsidR="00546E5E" w:rsidRPr="009946E5" w:rsidRDefault="00546E5E" w:rsidP="00546E5E">
      <w:pPr>
        <w:rPr>
          <w:rFonts w:eastAsia="PMingLiU" w:cs="Arial"/>
          <w:szCs w:val="24"/>
          <w:lang w:val="es-ES_tradnl"/>
        </w:rPr>
      </w:pPr>
      <w:r w:rsidRPr="009946E5">
        <w:rPr>
          <w:lang w:val="es-ES_tradnl"/>
        </w:rPr>
        <w:tab/>
        <w:t>TWV:</w:t>
      </w:r>
      <w:r w:rsidRPr="009946E5">
        <w:rPr>
          <w:lang w:val="es-ES_tradnl"/>
        </w:rPr>
        <w:tab/>
      </w:r>
      <w:r w:rsidRPr="009946E5">
        <w:rPr>
          <w:lang w:val="es-ES_tradnl"/>
        </w:rPr>
        <w:tab/>
        <w:t>Grupo de Trabajo Técnico sobre Hortalizas</w:t>
      </w:r>
    </w:p>
    <w:p w:rsidR="00546E5E" w:rsidRPr="009946E5" w:rsidRDefault="00546E5E" w:rsidP="00546E5E">
      <w:pPr>
        <w:rPr>
          <w:lang w:val="es-ES_tradnl"/>
        </w:rPr>
      </w:pPr>
    </w:p>
    <w:p w:rsidR="00546E5E" w:rsidRPr="009946E5" w:rsidRDefault="00546E5E" w:rsidP="00546E5E">
      <w:pPr>
        <w:rPr>
          <w:lang w:val="es-ES_tradnl"/>
        </w:rPr>
      </w:pPr>
    </w:p>
    <w:p w:rsidR="00546E5E" w:rsidRPr="009946E5" w:rsidRDefault="00546E5E" w:rsidP="00546E5E">
      <w:pPr>
        <w:pStyle w:val="Heading1"/>
        <w:rPr>
          <w:lang w:val="es-ES_tradnl"/>
        </w:rPr>
      </w:pPr>
      <w:r w:rsidRPr="009946E5">
        <w:rPr>
          <w:lang w:val="es-ES_tradnl"/>
        </w:rPr>
        <w:t>ANTECEDENTES</w:t>
      </w:r>
    </w:p>
    <w:p w:rsidR="00546E5E" w:rsidRPr="009946E5" w:rsidRDefault="00546E5E" w:rsidP="00546E5E">
      <w:pPr>
        <w:rPr>
          <w:u w:val="single"/>
          <w:lang w:val="es-ES_tradnl"/>
        </w:rPr>
      </w:pPr>
    </w:p>
    <w:p w:rsidR="00546E5E" w:rsidRPr="009946E5" w:rsidRDefault="00C66911" w:rsidP="00546E5E">
      <w:pPr>
        <w:rPr>
          <w:szCs w:val="24"/>
          <w:lang w:val="es-ES_tradnl"/>
        </w:rPr>
      </w:pPr>
      <w:r w:rsidRPr="009946E5">
        <w:rPr>
          <w:lang w:val="es-ES_tradnl"/>
        </w:rPr>
        <w:fldChar w:fldCharType="begin"/>
      </w:r>
      <w:r w:rsidR="00546E5E" w:rsidRPr="009946E5">
        <w:rPr>
          <w:lang w:val="es-ES_tradnl"/>
        </w:rPr>
        <w:instrText xml:space="preserve"> AUTONUM  </w:instrText>
      </w:r>
      <w:r w:rsidRPr="009946E5">
        <w:rPr>
          <w:lang w:val="es-ES_tradnl"/>
        </w:rPr>
        <w:fldChar w:fldCharType="end"/>
      </w:r>
      <w:r w:rsidR="00546E5E" w:rsidRPr="009946E5">
        <w:rPr>
          <w:lang w:val="es-ES_tradnl"/>
        </w:rPr>
        <w:tab/>
        <w:t>Los antecedentes de esta cuestión se exponen en el documento CAJ/50/22 “Revisión del documento TGP/8: Parte II: Técnicas utilizadas en el examen DHE, Sección 9: Criterio combinado interanual de homogeneidad (COYU)”.</w:t>
      </w:r>
    </w:p>
    <w:p w:rsidR="00546E5E" w:rsidRPr="009946E5" w:rsidRDefault="00546E5E" w:rsidP="00546E5E">
      <w:pPr>
        <w:rPr>
          <w:u w:val="single"/>
          <w:lang w:val="es-ES_tradnl"/>
        </w:rPr>
      </w:pPr>
    </w:p>
    <w:p w:rsidR="00546E5E" w:rsidRPr="009946E5" w:rsidRDefault="00546E5E" w:rsidP="00546E5E">
      <w:pPr>
        <w:keepNext/>
        <w:keepLines/>
        <w:rPr>
          <w:lang w:val="es-ES_tradnl"/>
        </w:rPr>
      </w:pPr>
    </w:p>
    <w:p w:rsidR="00546E5E" w:rsidRPr="009946E5" w:rsidRDefault="00546E5E" w:rsidP="00546E5E">
      <w:pPr>
        <w:pStyle w:val="Heading1"/>
        <w:rPr>
          <w:lang w:val="es-ES_tradnl"/>
        </w:rPr>
      </w:pPr>
      <w:r w:rsidRPr="009946E5">
        <w:rPr>
          <w:lang w:val="es-ES_tradnl"/>
        </w:rPr>
        <w:t>NOVEDADES ACAECIDAS EN 2014</w:t>
      </w:r>
    </w:p>
    <w:p w:rsidR="00546E5E" w:rsidRPr="009946E5" w:rsidRDefault="00546E5E" w:rsidP="00546E5E">
      <w:pPr>
        <w:keepNext/>
        <w:keepLines/>
        <w:rPr>
          <w:lang w:val="es-ES_tradnl"/>
        </w:rPr>
      </w:pPr>
    </w:p>
    <w:p w:rsidR="00546E5E" w:rsidRPr="009946E5" w:rsidRDefault="00546E5E" w:rsidP="00546E5E">
      <w:pPr>
        <w:pStyle w:val="Heading2"/>
        <w:rPr>
          <w:snapToGrid w:val="0"/>
          <w:lang w:val="es-ES_tradnl"/>
        </w:rPr>
      </w:pPr>
      <w:r w:rsidRPr="009946E5">
        <w:rPr>
          <w:snapToGrid w:val="0"/>
          <w:lang w:val="es-ES_tradnl"/>
        </w:rPr>
        <w:t>Comité Técnico</w:t>
      </w:r>
    </w:p>
    <w:p w:rsidR="00546E5E" w:rsidRPr="009946E5" w:rsidRDefault="00546E5E" w:rsidP="00546E5E">
      <w:pPr>
        <w:keepNext/>
        <w:keepLines/>
        <w:rPr>
          <w:lang w:val="es-ES_tradnl"/>
        </w:rPr>
      </w:pPr>
    </w:p>
    <w:p w:rsidR="00546E5E" w:rsidRPr="009946E5" w:rsidRDefault="00C66911" w:rsidP="00546E5E">
      <w:pPr>
        <w:rPr>
          <w:lang w:val="es-ES_tradnl"/>
        </w:rPr>
      </w:pPr>
      <w:r w:rsidRPr="009946E5">
        <w:rPr>
          <w:rFonts w:cs="Arial"/>
          <w:lang w:val="es-ES_tradnl"/>
        </w:rPr>
        <w:fldChar w:fldCharType="begin"/>
      </w:r>
      <w:r w:rsidR="00546E5E" w:rsidRPr="009946E5">
        <w:rPr>
          <w:rFonts w:cs="Arial"/>
          <w:lang w:val="es-ES_tradnl"/>
        </w:rPr>
        <w:instrText xml:space="preserve"> AUTONUM  </w:instrText>
      </w:r>
      <w:r w:rsidRPr="009946E5">
        <w:rPr>
          <w:rFonts w:cs="Arial"/>
          <w:lang w:val="es-ES_tradnl"/>
        </w:rPr>
        <w:fldChar w:fldCharType="end"/>
      </w:r>
      <w:r w:rsidR="00546E5E" w:rsidRPr="009946E5">
        <w:rPr>
          <w:lang w:val="es-ES_tradnl"/>
        </w:rPr>
        <w:tab/>
        <w:t xml:space="preserve">En su quincuagésima </w:t>
      </w:r>
      <w:r w:rsidR="00BA13AF" w:rsidRPr="009946E5">
        <w:rPr>
          <w:lang w:val="es-ES_tradnl"/>
        </w:rPr>
        <w:t>sesión celebrada en Ginebra del 7 al 9 de abril de </w:t>
      </w:r>
      <w:r w:rsidR="00546E5E" w:rsidRPr="009946E5">
        <w:rPr>
          <w:lang w:val="es-ES_tradnl"/>
        </w:rPr>
        <w:t xml:space="preserve">2014, el TC examinó el documento TC/50/22 y asistió a una ponencia del Sr. Adrian Roberts (Reino Unido) sobre las “Propuestas de mejora del método de cálculo del COYU”.  Tomó nota de que se adjuntó una copia de dicha ponencia como adición al documento TC/50/22 (véase el párrafo 48 del documento TC/50/36 “Informe sobre las conclusiones”). </w:t>
      </w:r>
    </w:p>
    <w:p w:rsidR="00546E5E" w:rsidRPr="009946E5" w:rsidRDefault="00546E5E" w:rsidP="00546E5E">
      <w:pPr>
        <w:rPr>
          <w:rFonts w:cs="Arial"/>
          <w:lang w:val="es-ES_tradnl"/>
        </w:rPr>
      </w:pPr>
    </w:p>
    <w:p w:rsidR="00546E5E" w:rsidRPr="009946E5" w:rsidRDefault="00C66911" w:rsidP="00546E5E">
      <w:pPr>
        <w:rPr>
          <w:lang w:val="es-ES_tradnl"/>
        </w:rPr>
      </w:pPr>
      <w:r w:rsidRPr="009946E5">
        <w:rPr>
          <w:lang w:val="es-ES_tradnl"/>
        </w:rPr>
        <w:fldChar w:fldCharType="begin"/>
      </w:r>
      <w:r w:rsidR="00546E5E" w:rsidRPr="009946E5">
        <w:rPr>
          <w:lang w:val="es-ES_tradnl"/>
        </w:rPr>
        <w:instrText xml:space="preserve"> AUTONUM  </w:instrText>
      </w:r>
      <w:r w:rsidRPr="009946E5">
        <w:rPr>
          <w:lang w:val="es-ES_tradnl"/>
        </w:rPr>
        <w:fldChar w:fldCharType="end"/>
      </w:r>
      <w:r w:rsidR="00546E5E" w:rsidRPr="009946E5">
        <w:rPr>
          <w:lang w:val="es-ES_tradnl"/>
        </w:rPr>
        <w:tab/>
        <w:t>El TC tomó nota de las novedades en la labor relativa a las propuestas para corregir el sesgo del actual método de cálculo del COYU, según se expone en los párrafos 8 a 21 del documento TC/50/22 (véase el párrafo 49 del documento TC/50/36).</w:t>
      </w:r>
    </w:p>
    <w:p w:rsidR="00546E5E" w:rsidRPr="009946E5" w:rsidRDefault="00C66911" w:rsidP="00546E5E">
      <w:pPr>
        <w:rPr>
          <w:lang w:val="es-ES_tradnl"/>
        </w:rPr>
      </w:pPr>
      <w:r w:rsidRPr="009946E5">
        <w:rPr>
          <w:lang w:val="es-ES_tradnl"/>
        </w:rPr>
        <w:lastRenderedPageBreak/>
        <w:fldChar w:fldCharType="begin"/>
      </w:r>
      <w:r w:rsidR="00546E5E" w:rsidRPr="009946E5">
        <w:rPr>
          <w:lang w:val="es-ES_tradnl"/>
        </w:rPr>
        <w:instrText xml:space="preserve"> AUTONUM  </w:instrText>
      </w:r>
      <w:r w:rsidRPr="009946E5">
        <w:rPr>
          <w:lang w:val="es-ES_tradnl"/>
        </w:rPr>
        <w:fldChar w:fldCharType="end"/>
      </w:r>
      <w:r w:rsidR="00546E5E" w:rsidRPr="009946E5">
        <w:rPr>
          <w:lang w:val="es-ES_tradnl"/>
        </w:rPr>
        <w:tab/>
        <w:t>El TC convino en que debe proseguir la labor de elaboración de un módulo de demostración del DUST y hacerse una demostración al TWC en su sesión de 2014.  El TC convino en que debe realizarse un ejercicio práctico con datos reales para comparar las decisiones tomadas con el método actual y con el método mejorado propuesto (véase el párrafo 50 del documento TC/50/36).</w:t>
      </w:r>
    </w:p>
    <w:p w:rsidR="00546E5E" w:rsidRPr="009946E5" w:rsidRDefault="00546E5E" w:rsidP="00546E5E">
      <w:pPr>
        <w:rPr>
          <w:lang w:val="es-ES_tradnl"/>
        </w:rPr>
      </w:pPr>
    </w:p>
    <w:p w:rsidR="00546E5E" w:rsidRPr="009946E5" w:rsidRDefault="00C66911" w:rsidP="00546E5E">
      <w:pPr>
        <w:rPr>
          <w:rFonts w:cs="Arial"/>
          <w:lang w:val="es-ES_tradnl"/>
        </w:rPr>
      </w:pPr>
      <w:r w:rsidRPr="009946E5">
        <w:rPr>
          <w:rFonts w:cs="Arial"/>
          <w:lang w:val="es-ES_tradnl"/>
        </w:rPr>
        <w:fldChar w:fldCharType="begin"/>
      </w:r>
      <w:r w:rsidR="00546E5E" w:rsidRPr="009946E5">
        <w:rPr>
          <w:rFonts w:cs="Arial"/>
          <w:lang w:val="es-ES_tradnl"/>
        </w:rPr>
        <w:instrText xml:space="preserve"> AUTONUM  </w:instrText>
      </w:r>
      <w:r w:rsidRPr="009946E5">
        <w:rPr>
          <w:rFonts w:cs="Arial"/>
          <w:lang w:val="es-ES_tradnl"/>
        </w:rPr>
        <w:fldChar w:fldCharType="end"/>
      </w:r>
      <w:r w:rsidR="00546E5E" w:rsidRPr="009946E5">
        <w:rPr>
          <w:lang w:val="es-ES_tradnl"/>
        </w:rPr>
        <w:tab/>
        <w:t>El TC solicitó a la Oficina de la Unión que envíe una nueva circular en la que se invite a informar sobre el alcance y la modalidad de la utilización del actual método de cálculo del COYU, antes de la trigésima segunda sesión del TWC (véase el párrafo 51 del documento TC/50/36).</w:t>
      </w:r>
    </w:p>
    <w:p w:rsidR="00546E5E" w:rsidRPr="009946E5" w:rsidRDefault="00546E5E" w:rsidP="00546E5E">
      <w:pPr>
        <w:keepNext/>
        <w:keepLines/>
        <w:rPr>
          <w:lang w:val="es-ES_tradnl"/>
        </w:rPr>
      </w:pPr>
    </w:p>
    <w:p w:rsidR="00546E5E" w:rsidRPr="009946E5" w:rsidRDefault="00546E5E" w:rsidP="00546E5E">
      <w:pPr>
        <w:pStyle w:val="Heading2"/>
        <w:rPr>
          <w:snapToGrid w:val="0"/>
          <w:lang w:val="es-ES_tradnl"/>
        </w:rPr>
      </w:pPr>
      <w:r w:rsidRPr="009946E5">
        <w:rPr>
          <w:lang w:val="es-ES_tradnl"/>
        </w:rPr>
        <w:t>Grupos de Trabajo Técnico</w:t>
      </w:r>
    </w:p>
    <w:p w:rsidR="00546E5E" w:rsidRPr="009946E5" w:rsidRDefault="00546E5E" w:rsidP="00546E5E">
      <w:pPr>
        <w:keepNext/>
        <w:keepLines/>
        <w:rPr>
          <w:lang w:val="es-ES_tradnl"/>
        </w:rPr>
      </w:pPr>
    </w:p>
    <w:p w:rsidR="00546E5E" w:rsidRPr="009946E5" w:rsidRDefault="00C66911" w:rsidP="00546E5E">
      <w:pPr>
        <w:rPr>
          <w:szCs w:val="24"/>
          <w:lang w:val="es-ES_tradnl"/>
        </w:rPr>
      </w:pPr>
      <w:r w:rsidRPr="009946E5">
        <w:rPr>
          <w:rFonts w:cs="Arial"/>
          <w:lang w:val="es-ES_tradnl"/>
        </w:rPr>
        <w:fldChar w:fldCharType="begin"/>
      </w:r>
      <w:r w:rsidR="00546E5E" w:rsidRPr="009946E5">
        <w:rPr>
          <w:rFonts w:cs="Arial"/>
          <w:lang w:val="es-ES_tradnl"/>
        </w:rPr>
        <w:instrText xml:space="preserve"> AUTONUM  </w:instrText>
      </w:r>
      <w:r w:rsidRPr="009946E5">
        <w:rPr>
          <w:rFonts w:cs="Arial"/>
          <w:lang w:val="es-ES_tradnl"/>
        </w:rPr>
        <w:fldChar w:fldCharType="end"/>
      </w:r>
      <w:r w:rsidR="00546E5E" w:rsidRPr="009946E5">
        <w:rPr>
          <w:lang w:val="es-ES_tradnl"/>
        </w:rPr>
        <w:tab/>
        <w:t xml:space="preserve">En sus sesiones de 2014, el TWO, el TWF, el TWC, el TWV y el TWA </w:t>
      </w:r>
      <w:r w:rsidR="00546E5E" w:rsidRPr="009946E5">
        <w:rPr>
          <w:snapToGrid w:val="0"/>
          <w:lang w:val="es-ES_tradnl"/>
        </w:rPr>
        <w:t>examinaron los documentos TWO/47/16, TWF/45/16, TWC/32/16, TWC/32/16 Add., TWV/48/16 y TWA/43/16 “</w:t>
      </w:r>
      <w:r w:rsidR="00546E5E" w:rsidRPr="009946E5">
        <w:rPr>
          <w:i/>
          <w:lang w:val="es-ES_tradnl"/>
        </w:rPr>
        <w:t>Revision of document TGP/8: Part II: Selected Techniques Used in DUS Examination, Section 9: The Combined-Over-Years Uniformity Criterion (COYU)</w:t>
      </w:r>
      <w:r w:rsidR="00546E5E" w:rsidRPr="009946E5">
        <w:rPr>
          <w:lang w:val="es-ES_tradnl"/>
        </w:rPr>
        <w:t xml:space="preserve">” </w:t>
      </w:r>
      <w:r w:rsidR="004972EA">
        <w:rPr>
          <w:lang w:val="es-ES_tradnl"/>
        </w:rPr>
        <w:t xml:space="preserve">[Revisión del documento TGP/8: Parte II: </w:t>
      </w:r>
      <w:r w:rsidR="00546E5E" w:rsidRPr="009946E5">
        <w:rPr>
          <w:lang w:val="es-ES_tradnl"/>
        </w:rPr>
        <w:t>Técnicas utilizadas en el examen DHE, Sección 9:  Criterio combinado interanual de homogeneidad (COYU)]</w:t>
      </w:r>
      <w:r w:rsidR="00546E5E" w:rsidRPr="009946E5">
        <w:rPr>
          <w:snapToGrid w:val="0"/>
          <w:lang w:val="es-ES_tradnl"/>
        </w:rPr>
        <w:t>, respectivamente.</w:t>
      </w:r>
    </w:p>
    <w:p w:rsidR="00546E5E" w:rsidRPr="009946E5" w:rsidRDefault="00546E5E" w:rsidP="00546E5E">
      <w:pPr>
        <w:keepNext/>
        <w:keepLines/>
        <w:rPr>
          <w:lang w:val="es-ES_tradnl"/>
        </w:rPr>
      </w:pPr>
    </w:p>
    <w:p w:rsidR="00546E5E" w:rsidRPr="009946E5" w:rsidRDefault="00C66911" w:rsidP="00546E5E">
      <w:pPr>
        <w:rPr>
          <w:lang w:val="es-ES_tradnl"/>
        </w:rPr>
      </w:pPr>
      <w:r w:rsidRPr="009946E5">
        <w:rPr>
          <w:snapToGrid w:val="0"/>
          <w:lang w:val="es-ES_tradnl"/>
        </w:rPr>
        <w:fldChar w:fldCharType="begin"/>
      </w:r>
      <w:r w:rsidR="00546E5E" w:rsidRPr="009946E5">
        <w:rPr>
          <w:snapToGrid w:val="0"/>
          <w:lang w:val="es-ES_tradnl"/>
        </w:rPr>
        <w:instrText xml:space="preserve"> AUTONUM  </w:instrText>
      </w:r>
      <w:r w:rsidRPr="009946E5">
        <w:rPr>
          <w:snapToGrid w:val="0"/>
          <w:lang w:val="es-ES_tradnl"/>
        </w:rPr>
        <w:fldChar w:fldCharType="end"/>
      </w:r>
      <w:r w:rsidR="00546E5E" w:rsidRPr="009946E5">
        <w:rPr>
          <w:lang w:val="es-ES_tradnl"/>
        </w:rPr>
        <w:tab/>
      </w:r>
      <w:r w:rsidR="00546E5E" w:rsidRPr="009946E5">
        <w:rPr>
          <w:snapToGrid w:val="0"/>
          <w:lang w:val="es-ES_tradnl"/>
        </w:rPr>
        <w:t>El TWO, el TWF, el TWV y el TWA tomaron nota</w:t>
      </w:r>
      <w:r w:rsidR="00546E5E" w:rsidRPr="009946E5">
        <w:rPr>
          <w:lang w:val="es-ES_tradnl"/>
        </w:rPr>
        <w:t xml:space="preserve"> de las novedades </w:t>
      </w:r>
      <w:r w:rsidR="00BA13AF" w:rsidRPr="009946E5">
        <w:rPr>
          <w:lang w:val="es-ES_tradnl"/>
        </w:rPr>
        <w:t>que se han producido en el ámbito d</w:t>
      </w:r>
      <w:r w:rsidR="00546E5E" w:rsidRPr="009946E5">
        <w:rPr>
          <w:lang w:val="es-ES_tradnl"/>
        </w:rPr>
        <w:t xml:space="preserve">el método de cálculo del COYU, incluida la labor de elaboración de </w:t>
      </w:r>
      <w:r w:rsidR="00530000" w:rsidRPr="009946E5">
        <w:rPr>
          <w:lang w:val="es-ES_tradnl"/>
        </w:rPr>
        <w:t xml:space="preserve">un módulo de demostración </w:t>
      </w:r>
      <w:r w:rsidR="0008567C" w:rsidRPr="009946E5">
        <w:rPr>
          <w:lang w:val="es-ES_tradnl"/>
        </w:rPr>
        <w:t xml:space="preserve">que se ejecuta </w:t>
      </w:r>
      <w:r w:rsidR="00530000" w:rsidRPr="009946E5">
        <w:rPr>
          <w:lang w:val="es-ES_tradnl"/>
        </w:rPr>
        <w:t xml:space="preserve">en </w:t>
      </w:r>
      <w:r w:rsidR="00546E5E" w:rsidRPr="009946E5">
        <w:rPr>
          <w:lang w:val="es-ES_tradnl"/>
        </w:rPr>
        <w:t xml:space="preserve">el </w:t>
      </w:r>
      <w:r w:rsidR="00530000" w:rsidRPr="009946E5">
        <w:rPr>
          <w:lang w:val="es-ES_tradnl"/>
        </w:rPr>
        <w:t xml:space="preserve">programa informático </w:t>
      </w:r>
      <w:r w:rsidR="00546E5E" w:rsidRPr="009946E5">
        <w:rPr>
          <w:lang w:val="es-ES_tradnl"/>
        </w:rPr>
        <w:t>DUST y el ejercicio práctico con datos reales para comparar las decisiones tomadas con el método actual y con el método mejorado propuesto (véanse los documentos TWO/47/28 “</w:t>
      </w:r>
      <w:r w:rsidR="00546E5E" w:rsidRPr="009946E5">
        <w:rPr>
          <w:i/>
          <w:lang w:val="es-ES_tradnl"/>
        </w:rPr>
        <w:t>Report</w:t>
      </w:r>
      <w:r w:rsidR="00546E5E" w:rsidRPr="009946E5">
        <w:rPr>
          <w:lang w:val="es-ES_tradnl"/>
        </w:rPr>
        <w:t>”, párrafo 42, TWF/45/32 “</w:t>
      </w:r>
      <w:r w:rsidR="00546E5E" w:rsidRPr="009946E5">
        <w:rPr>
          <w:i/>
          <w:lang w:val="es-ES_tradnl"/>
        </w:rPr>
        <w:t>Report</w:t>
      </w:r>
      <w:r w:rsidR="00546E5E" w:rsidRPr="009946E5">
        <w:rPr>
          <w:lang w:val="es-ES_tradnl"/>
        </w:rPr>
        <w:t>”, párrafo 33, TWV/48/43 “</w:t>
      </w:r>
      <w:r w:rsidR="00546E5E" w:rsidRPr="009946E5">
        <w:rPr>
          <w:i/>
          <w:lang w:val="es-ES_tradnl"/>
        </w:rPr>
        <w:t>Report</w:t>
      </w:r>
      <w:r w:rsidR="00546E5E" w:rsidRPr="009946E5">
        <w:rPr>
          <w:lang w:val="es-ES_tradnl"/>
        </w:rPr>
        <w:t>”, párrafo 38, y TWA/43/27 “</w:t>
      </w:r>
      <w:r w:rsidR="00546E5E" w:rsidRPr="009946E5">
        <w:rPr>
          <w:i/>
          <w:lang w:val="es-ES_tradnl"/>
        </w:rPr>
        <w:t>Report</w:t>
      </w:r>
      <w:r w:rsidR="00546E5E" w:rsidRPr="009946E5">
        <w:rPr>
          <w:lang w:val="es-ES_tradnl"/>
        </w:rPr>
        <w:t>”, párrafo 35).</w:t>
      </w:r>
    </w:p>
    <w:p w:rsidR="00546E5E" w:rsidRPr="009946E5" w:rsidRDefault="00546E5E" w:rsidP="00546E5E">
      <w:pPr>
        <w:rPr>
          <w:lang w:val="es-ES_tradnl"/>
        </w:rPr>
      </w:pPr>
    </w:p>
    <w:p w:rsidR="00546E5E" w:rsidRPr="009946E5" w:rsidRDefault="00C66911" w:rsidP="00546E5E">
      <w:pPr>
        <w:rPr>
          <w:lang w:val="es-ES_tradnl"/>
        </w:rPr>
      </w:pPr>
      <w:r w:rsidRPr="009946E5">
        <w:rPr>
          <w:lang w:val="es-ES_tradnl"/>
        </w:rPr>
        <w:fldChar w:fldCharType="begin"/>
      </w:r>
      <w:r w:rsidR="00546E5E" w:rsidRPr="009946E5">
        <w:rPr>
          <w:lang w:val="es-ES_tradnl"/>
        </w:rPr>
        <w:instrText xml:space="preserve"> AUTONUM  </w:instrText>
      </w:r>
      <w:r w:rsidRPr="009946E5">
        <w:rPr>
          <w:lang w:val="es-ES_tradnl"/>
        </w:rPr>
        <w:fldChar w:fldCharType="end"/>
      </w:r>
      <w:r w:rsidR="00546E5E" w:rsidRPr="009946E5">
        <w:rPr>
          <w:lang w:val="es-ES_tradnl"/>
        </w:rPr>
        <w:tab/>
        <w:t xml:space="preserve">El TWC asistió a la ponencia de un experto del Reino Unido sobre el método para mejorar el cálculo del COYU, incluida </w:t>
      </w:r>
      <w:r w:rsidR="00530000" w:rsidRPr="009946E5">
        <w:rPr>
          <w:lang w:val="es-ES_tradnl"/>
        </w:rPr>
        <w:t>un</w:t>
      </w:r>
      <w:r w:rsidR="00546E5E" w:rsidRPr="009946E5">
        <w:rPr>
          <w:lang w:val="es-ES_tradnl"/>
        </w:rPr>
        <w:t xml:space="preserve">a versión </w:t>
      </w:r>
      <w:r w:rsidR="00530000" w:rsidRPr="009946E5">
        <w:rPr>
          <w:lang w:val="es-ES_tradnl"/>
        </w:rPr>
        <w:t xml:space="preserve">de un módulo de </w:t>
      </w:r>
      <w:r w:rsidR="00546E5E" w:rsidRPr="009946E5">
        <w:rPr>
          <w:lang w:val="es-ES_tradnl"/>
        </w:rPr>
        <w:t xml:space="preserve">demostración </w:t>
      </w:r>
      <w:r w:rsidR="005369D6" w:rsidRPr="009946E5">
        <w:rPr>
          <w:lang w:val="es-ES_tradnl"/>
        </w:rPr>
        <w:t>para</w:t>
      </w:r>
      <w:r w:rsidR="00530000" w:rsidRPr="009946E5">
        <w:rPr>
          <w:lang w:val="es-ES_tradnl"/>
        </w:rPr>
        <w:t xml:space="preserve"> </w:t>
      </w:r>
      <w:r w:rsidR="00546E5E" w:rsidRPr="009946E5">
        <w:rPr>
          <w:lang w:val="es-ES_tradnl"/>
        </w:rPr>
        <w:t>el programa informático DUST, expuesta en el Anexo del documento TWC/32/16 Add. “</w:t>
      </w:r>
      <w:r w:rsidR="00546E5E" w:rsidRPr="009946E5">
        <w:rPr>
          <w:i/>
          <w:lang w:val="es-ES_tradnl"/>
        </w:rPr>
        <w:t>Addendum to Development of the Combined-Over-Year Uniformity Criterion</w:t>
      </w:r>
      <w:r w:rsidR="00546E5E" w:rsidRPr="009946E5">
        <w:rPr>
          <w:lang w:val="es-ES_tradnl"/>
        </w:rPr>
        <w:t>” (Adición al Criterio combinado interanual de homogeneidad) (véase el documento TWC/32/28 “</w:t>
      </w:r>
      <w:r w:rsidR="00546E5E" w:rsidRPr="009946E5">
        <w:rPr>
          <w:i/>
          <w:lang w:val="es-ES_tradnl"/>
        </w:rPr>
        <w:t>Report</w:t>
      </w:r>
      <w:r w:rsidR="00546E5E" w:rsidRPr="009946E5">
        <w:rPr>
          <w:lang w:val="es-ES_tradnl"/>
        </w:rPr>
        <w:t>”, párrafo 13).  El Anexo del documento TWC/32/16 Add</w:t>
      </w:r>
      <w:r w:rsidR="00530000" w:rsidRPr="009946E5">
        <w:rPr>
          <w:lang w:val="es-ES_tradnl"/>
        </w:rPr>
        <w:t>.</w:t>
      </w:r>
      <w:r w:rsidR="00546E5E" w:rsidRPr="009946E5">
        <w:rPr>
          <w:lang w:val="es-ES_tradnl"/>
        </w:rPr>
        <w:t xml:space="preserve"> se reproduce en el Anexo de este documento. </w:t>
      </w:r>
    </w:p>
    <w:p w:rsidR="00546E5E" w:rsidRPr="009946E5" w:rsidRDefault="00546E5E" w:rsidP="00546E5E">
      <w:pPr>
        <w:rPr>
          <w:lang w:val="es-ES_tradnl"/>
        </w:rPr>
      </w:pPr>
    </w:p>
    <w:p w:rsidR="00546E5E" w:rsidRPr="009946E5" w:rsidRDefault="00C66911" w:rsidP="00546E5E">
      <w:pPr>
        <w:rPr>
          <w:lang w:val="es-ES_tradnl"/>
        </w:rPr>
      </w:pPr>
      <w:r w:rsidRPr="009946E5">
        <w:rPr>
          <w:lang w:val="es-ES_tradnl"/>
        </w:rPr>
        <w:fldChar w:fldCharType="begin"/>
      </w:r>
      <w:r w:rsidR="00546E5E" w:rsidRPr="009946E5">
        <w:rPr>
          <w:lang w:val="es-ES_tradnl"/>
        </w:rPr>
        <w:instrText xml:space="preserve"> AUTONUM  </w:instrText>
      </w:r>
      <w:r w:rsidRPr="009946E5">
        <w:rPr>
          <w:lang w:val="es-ES_tradnl"/>
        </w:rPr>
        <w:fldChar w:fldCharType="end"/>
      </w:r>
      <w:r w:rsidR="00546E5E" w:rsidRPr="009946E5">
        <w:rPr>
          <w:lang w:val="es-ES_tradnl"/>
        </w:rPr>
        <w:tab/>
        <w:t xml:space="preserve">El TWC convino en solicitar a expertos de Alemania, China, Finlandia, Francia, Kenya, los Países Bajos, Polonia y </w:t>
      </w:r>
      <w:r w:rsidR="00166FF5" w:rsidRPr="009946E5">
        <w:rPr>
          <w:lang w:val="es-ES_tradnl"/>
        </w:rPr>
        <w:t xml:space="preserve">la </w:t>
      </w:r>
      <w:r w:rsidR="00546E5E" w:rsidRPr="009946E5">
        <w:rPr>
          <w:lang w:val="es-ES_tradnl"/>
        </w:rPr>
        <w:t>República Checa que prueben el nuevo programa informático para el cálculo del COYU (véase el párrafo 14 del documento TWC/32/28)</w:t>
      </w:r>
      <w:r w:rsidR="00166FF5" w:rsidRPr="009946E5">
        <w:rPr>
          <w:lang w:val="es-ES_tradnl"/>
        </w:rPr>
        <w:t>.</w:t>
      </w:r>
    </w:p>
    <w:p w:rsidR="00546E5E" w:rsidRPr="009946E5" w:rsidRDefault="00546E5E" w:rsidP="00546E5E">
      <w:pPr>
        <w:rPr>
          <w:lang w:val="es-ES_tradnl"/>
        </w:rPr>
      </w:pPr>
    </w:p>
    <w:p w:rsidR="00546E5E" w:rsidRPr="009946E5" w:rsidRDefault="00C66911" w:rsidP="00546E5E">
      <w:pPr>
        <w:rPr>
          <w:lang w:val="es-ES_tradnl"/>
        </w:rPr>
      </w:pPr>
      <w:r w:rsidRPr="009946E5">
        <w:rPr>
          <w:lang w:val="es-ES_tradnl"/>
        </w:rPr>
        <w:fldChar w:fldCharType="begin"/>
      </w:r>
      <w:r w:rsidR="00546E5E" w:rsidRPr="009946E5">
        <w:rPr>
          <w:lang w:val="es-ES_tradnl"/>
        </w:rPr>
        <w:instrText xml:space="preserve"> AUTONUM  </w:instrText>
      </w:r>
      <w:r w:rsidRPr="009946E5">
        <w:rPr>
          <w:lang w:val="es-ES_tradnl"/>
        </w:rPr>
        <w:fldChar w:fldCharType="end"/>
      </w:r>
      <w:r w:rsidR="00546E5E" w:rsidRPr="009946E5">
        <w:rPr>
          <w:lang w:val="es-ES_tradnl"/>
        </w:rPr>
        <w:tab/>
        <w:t>El TWC también convino en invitar a otros usuarios del método COYU a probar el nuevo programa informático y acordó que el experto principal elaborar</w:t>
      </w:r>
      <w:r w:rsidR="00166FF5" w:rsidRPr="009946E5">
        <w:rPr>
          <w:lang w:val="es-ES_tradnl"/>
        </w:rPr>
        <w:t>a</w:t>
      </w:r>
      <w:r w:rsidR="00546E5E" w:rsidRPr="009946E5">
        <w:rPr>
          <w:lang w:val="es-ES_tradnl"/>
        </w:rPr>
        <w:t xml:space="preserve"> la invitación y la Oficina de la Unión </w:t>
      </w:r>
      <w:r w:rsidR="00166FF5" w:rsidRPr="009946E5">
        <w:rPr>
          <w:lang w:val="es-ES_tradnl"/>
        </w:rPr>
        <w:t xml:space="preserve">la </w:t>
      </w:r>
      <w:r w:rsidR="00546E5E" w:rsidRPr="009946E5">
        <w:rPr>
          <w:lang w:val="es-ES_tradnl"/>
        </w:rPr>
        <w:t>enviar</w:t>
      </w:r>
      <w:r w:rsidR="00166FF5" w:rsidRPr="009946E5">
        <w:rPr>
          <w:lang w:val="es-ES_tradnl"/>
        </w:rPr>
        <w:t>a</w:t>
      </w:r>
      <w:r w:rsidR="00546E5E" w:rsidRPr="009946E5">
        <w:rPr>
          <w:lang w:val="es-ES_tradnl"/>
        </w:rPr>
        <w:t xml:space="preserve"> a los usuarios del programa informático DUST (véase el párrafo 15 del documento TWC/32/28). </w:t>
      </w:r>
    </w:p>
    <w:p w:rsidR="00546E5E" w:rsidRPr="009946E5" w:rsidRDefault="00546E5E" w:rsidP="00546E5E">
      <w:pPr>
        <w:rPr>
          <w:lang w:val="es-ES_tradnl"/>
        </w:rPr>
      </w:pPr>
    </w:p>
    <w:p w:rsidR="00546E5E" w:rsidRPr="009946E5" w:rsidRDefault="00C66911" w:rsidP="00546E5E">
      <w:pPr>
        <w:rPr>
          <w:lang w:val="es-ES_tradnl"/>
        </w:rPr>
      </w:pPr>
      <w:r w:rsidRPr="009946E5">
        <w:rPr>
          <w:lang w:val="es-ES_tradnl"/>
        </w:rPr>
        <w:fldChar w:fldCharType="begin"/>
      </w:r>
      <w:r w:rsidR="00546E5E" w:rsidRPr="009946E5">
        <w:rPr>
          <w:lang w:val="es-ES_tradnl"/>
        </w:rPr>
        <w:instrText xml:space="preserve"> AUTONUM  </w:instrText>
      </w:r>
      <w:r w:rsidRPr="009946E5">
        <w:rPr>
          <w:lang w:val="es-ES_tradnl"/>
        </w:rPr>
        <w:fldChar w:fldCharType="end"/>
      </w:r>
      <w:r w:rsidR="00546E5E" w:rsidRPr="009946E5">
        <w:rPr>
          <w:lang w:val="es-ES_tradnl"/>
        </w:rPr>
        <w:tab/>
        <w:t xml:space="preserve">El TWC convino en que </w:t>
      </w:r>
      <w:r w:rsidR="00166FF5" w:rsidRPr="009946E5">
        <w:rPr>
          <w:lang w:val="es-ES_tradnl"/>
        </w:rPr>
        <w:t xml:space="preserve">debía enviarse </w:t>
      </w:r>
      <w:r w:rsidR="00546E5E" w:rsidRPr="009946E5">
        <w:rPr>
          <w:lang w:val="es-ES_tradnl"/>
        </w:rPr>
        <w:t>el módulo del programa informático para el cálculo del COYU elabor</w:t>
      </w:r>
      <w:r w:rsidR="00166FF5" w:rsidRPr="009946E5">
        <w:rPr>
          <w:lang w:val="es-ES_tradnl"/>
        </w:rPr>
        <w:t>ado con el programa informático </w:t>
      </w:r>
      <w:r w:rsidR="00546E5E" w:rsidRPr="009946E5">
        <w:rPr>
          <w:lang w:val="es-ES_tradnl"/>
        </w:rPr>
        <w:t xml:space="preserve">“R” a los expertos interesados que usan sistemas diferentes al DUST (p. ej., el SAS o el GenStat) a fin de </w:t>
      </w:r>
      <w:r w:rsidR="005369D6" w:rsidRPr="009946E5">
        <w:rPr>
          <w:lang w:val="es-ES_tradnl"/>
        </w:rPr>
        <w:t>que prueben</w:t>
      </w:r>
      <w:r w:rsidR="00546E5E" w:rsidRPr="009946E5">
        <w:rPr>
          <w:lang w:val="es-ES_tradnl"/>
        </w:rPr>
        <w:t xml:space="preserve"> el nuevo método (véase el párrafo 16 del documento TWC/32/28). </w:t>
      </w:r>
    </w:p>
    <w:p w:rsidR="00546E5E" w:rsidRPr="009946E5" w:rsidRDefault="00546E5E" w:rsidP="00546E5E">
      <w:pPr>
        <w:rPr>
          <w:lang w:val="es-ES_tradnl"/>
        </w:rPr>
      </w:pPr>
    </w:p>
    <w:p w:rsidR="00546E5E" w:rsidRPr="009946E5" w:rsidRDefault="00C66911" w:rsidP="00546E5E">
      <w:pPr>
        <w:rPr>
          <w:lang w:val="es-ES_tradnl"/>
        </w:rPr>
      </w:pPr>
      <w:r w:rsidRPr="009946E5">
        <w:rPr>
          <w:lang w:val="es-ES_tradnl"/>
        </w:rPr>
        <w:fldChar w:fldCharType="begin"/>
      </w:r>
      <w:r w:rsidR="00546E5E" w:rsidRPr="009946E5">
        <w:rPr>
          <w:lang w:val="es-ES_tradnl"/>
        </w:rPr>
        <w:instrText xml:space="preserve"> AUTONUM  </w:instrText>
      </w:r>
      <w:r w:rsidRPr="009946E5">
        <w:rPr>
          <w:lang w:val="es-ES_tradnl"/>
        </w:rPr>
        <w:fldChar w:fldCharType="end"/>
      </w:r>
      <w:r w:rsidR="00546E5E" w:rsidRPr="009946E5">
        <w:rPr>
          <w:lang w:val="es-ES_tradnl"/>
        </w:rPr>
        <w:tab/>
        <w:t xml:space="preserve">El TWC convino en que los participantes debían </w:t>
      </w:r>
      <w:r w:rsidR="00166FF5" w:rsidRPr="009946E5">
        <w:rPr>
          <w:lang w:val="es-ES_tradnl"/>
        </w:rPr>
        <w:t>procurar</w:t>
      </w:r>
      <w:r w:rsidR="00546E5E" w:rsidRPr="009946E5">
        <w:rPr>
          <w:lang w:val="es-ES_tradnl"/>
        </w:rPr>
        <w:t xml:space="preserve"> definir niveles de probabilidad para que las decisiones sean equiparables a las tomadas con el </w:t>
      </w:r>
      <w:r w:rsidR="002424EB" w:rsidRPr="009946E5">
        <w:rPr>
          <w:lang w:val="es-ES_tradnl"/>
        </w:rPr>
        <w:t xml:space="preserve">anterior </w:t>
      </w:r>
      <w:r w:rsidR="00546E5E" w:rsidRPr="009946E5">
        <w:rPr>
          <w:lang w:val="es-ES_tradnl"/>
        </w:rPr>
        <w:t>método de cálculo del COYU, con la finalidad de que haya una continuidad en las decisiones, y que la prueba se debía ejecutar con niveles de probabilidad de rechazo del 1, 2 y 5%. El TWC convino en que los participantes debían evaluar si los resultados eran coherentes en todos los cultivos (véase el párrafo 17 del documento TWC/32/28).</w:t>
      </w:r>
    </w:p>
    <w:p w:rsidR="00546E5E" w:rsidRPr="009946E5" w:rsidRDefault="00546E5E" w:rsidP="00546E5E">
      <w:pPr>
        <w:rPr>
          <w:lang w:val="es-ES_tradnl"/>
        </w:rPr>
      </w:pPr>
    </w:p>
    <w:p w:rsidR="00546E5E" w:rsidRPr="009946E5" w:rsidRDefault="00C66911" w:rsidP="00546E5E">
      <w:pPr>
        <w:rPr>
          <w:lang w:val="es-ES_tradnl"/>
        </w:rPr>
      </w:pPr>
      <w:r w:rsidRPr="009946E5">
        <w:rPr>
          <w:lang w:val="es-ES_tradnl"/>
        </w:rPr>
        <w:fldChar w:fldCharType="begin"/>
      </w:r>
      <w:r w:rsidR="00546E5E" w:rsidRPr="009946E5">
        <w:rPr>
          <w:lang w:val="es-ES_tradnl"/>
        </w:rPr>
        <w:instrText xml:space="preserve"> AUTONUM  </w:instrText>
      </w:r>
      <w:r w:rsidRPr="009946E5">
        <w:rPr>
          <w:lang w:val="es-ES_tradnl"/>
        </w:rPr>
        <w:fldChar w:fldCharType="end"/>
      </w:r>
      <w:r w:rsidR="00546E5E" w:rsidRPr="009946E5">
        <w:rPr>
          <w:lang w:val="es-ES_tradnl"/>
        </w:rPr>
        <w:tab/>
        <w:t xml:space="preserve">El TWC aprobó el siguiente calendario para la elaboración de los nuevos programas informáticos para el método </w:t>
      </w:r>
      <w:r w:rsidR="002424EB" w:rsidRPr="009946E5">
        <w:rPr>
          <w:lang w:val="es-ES_tradnl"/>
        </w:rPr>
        <w:t xml:space="preserve">de cálculo </w:t>
      </w:r>
      <w:r w:rsidR="00546E5E" w:rsidRPr="009946E5">
        <w:rPr>
          <w:lang w:val="es-ES_tradnl"/>
        </w:rPr>
        <w:t xml:space="preserve">del COYU (véase el párrafo 18 del documento TWC/32/28): </w:t>
      </w:r>
    </w:p>
    <w:p w:rsidR="00546E5E" w:rsidRPr="009946E5" w:rsidRDefault="00546E5E" w:rsidP="00546E5E">
      <w:pPr>
        <w:jc w:val="left"/>
        <w:rPr>
          <w:lang w:val="es-ES_tradnl"/>
        </w:rPr>
      </w:pPr>
    </w:p>
    <w:p w:rsidR="00546E5E" w:rsidRPr="009946E5" w:rsidRDefault="00546E5E" w:rsidP="00546E5E">
      <w:pPr>
        <w:ind w:left="567"/>
        <w:rPr>
          <w:lang w:val="es-ES_tradnl"/>
        </w:rPr>
      </w:pPr>
      <w:r w:rsidRPr="009946E5">
        <w:rPr>
          <w:lang w:val="es-ES_tradnl"/>
        </w:rPr>
        <w:t>•</w:t>
      </w:r>
      <w:r w:rsidRPr="009946E5">
        <w:rPr>
          <w:lang w:val="es-ES_tradnl"/>
        </w:rPr>
        <w:tab/>
        <w:t>Antes de finales de julio de 2014, la Oficina de la UPOV, con la colaboración del experto del Reino Unido, deb</w:t>
      </w:r>
      <w:r w:rsidR="002424EB" w:rsidRPr="009946E5">
        <w:rPr>
          <w:lang w:val="es-ES_tradnl"/>
        </w:rPr>
        <w:t>ía</w:t>
      </w:r>
      <w:r w:rsidRPr="009946E5">
        <w:rPr>
          <w:lang w:val="es-ES_tradnl"/>
        </w:rPr>
        <w:t xml:space="preserve"> enviar una invitación a </w:t>
      </w:r>
      <w:r w:rsidR="002424EB" w:rsidRPr="009946E5">
        <w:rPr>
          <w:lang w:val="es-ES_tradnl"/>
        </w:rPr>
        <w:t xml:space="preserve">los posibles </w:t>
      </w:r>
      <w:r w:rsidRPr="009946E5">
        <w:rPr>
          <w:lang w:val="es-ES_tradnl"/>
        </w:rPr>
        <w:t xml:space="preserve">participantes </w:t>
      </w:r>
      <w:r w:rsidR="002424EB" w:rsidRPr="009946E5">
        <w:rPr>
          <w:lang w:val="es-ES_tradnl"/>
        </w:rPr>
        <w:t>en</w:t>
      </w:r>
      <w:r w:rsidRPr="009946E5">
        <w:rPr>
          <w:lang w:val="es-ES_tradnl"/>
        </w:rPr>
        <w:t xml:space="preserve"> el ejercicio práctico.</w:t>
      </w:r>
    </w:p>
    <w:p w:rsidR="00546E5E" w:rsidRPr="009946E5" w:rsidRDefault="00546E5E" w:rsidP="00546E5E">
      <w:pPr>
        <w:ind w:left="567"/>
        <w:rPr>
          <w:lang w:val="es-ES_tradnl"/>
        </w:rPr>
      </w:pPr>
      <w:r w:rsidRPr="009946E5">
        <w:rPr>
          <w:lang w:val="es-ES_tradnl"/>
        </w:rPr>
        <w:t>•</w:t>
      </w:r>
      <w:r w:rsidRPr="009946E5">
        <w:rPr>
          <w:lang w:val="es-ES_tradnl"/>
        </w:rPr>
        <w:tab/>
        <w:t>Antes de finales de septiembre de 2014, el experto del Reino Unido deb</w:t>
      </w:r>
      <w:r w:rsidR="002424EB" w:rsidRPr="009946E5">
        <w:rPr>
          <w:lang w:val="es-ES_tradnl"/>
        </w:rPr>
        <w:t>ía</w:t>
      </w:r>
      <w:r w:rsidRPr="009946E5">
        <w:rPr>
          <w:lang w:val="es-ES_tradnl"/>
        </w:rPr>
        <w:t xml:space="preserve"> perfeccionar el módulo DUST presentado en la trigésima segunda sesión del TWC, para que los participantes lo eval</w:t>
      </w:r>
      <w:r w:rsidR="002424EB" w:rsidRPr="009946E5">
        <w:rPr>
          <w:lang w:val="es-ES_tradnl"/>
        </w:rPr>
        <w:t>uara</w:t>
      </w:r>
      <w:r w:rsidRPr="009946E5">
        <w:rPr>
          <w:lang w:val="es-ES_tradnl"/>
        </w:rPr>
        <w:t xml:space="preserve">n, y preparar el </w:t>
      </w:r>
      <w:r w:rsidR="00166FF5" w:rsidRPr="009946E5">
        <w:rPr>
          <w:lang w:val="es-ES_tradnl"/>
        </w:rPr>
        <w:t>código del programa informático </w:t>
      </w:r>
      <w:r w:rsidRPr="009946E5">
        <w:rPr>
          <w:lang w:val="es-ES_tradnl"/>
        </w:rPr>
        <w:t>“R” p</w:t>
      </w:r>
      <w:r w:rsidR="002424EB" w:rsidRPr="009946E5">
        <w:rPr>
          <w:lang w:val="es-ES_tradnl"/>
        </w:rPr>
        <w:t>ara los participantes que prefi</w:t>
      </w:r>
      <w:r w:rsidRPr="009946E5">
        <w:rPr>
          <w:lang w:val="es-ES_tradnl"/>
        </w:rPr>
        <w:t>r</w:t>
      </w:r>
      <w:r w:rsidR="002424EB" w:rsidRPr="009946E5">
        <w:rPr>
          <w:lang w:val="es-ES_tradnl"/>
        </w:rPr>
        <w:t>iera</w:t>
      </w:r>
      <w:r w:rsidRPr="009946E5">
        <w:rPr>
          <w:lang w:val="es-ES_tradnl"/>
        </w:rPr>
        <w:t>n esta opción del módulo DUST.</w:t>
      </w:r>
    </w:p>
    <w:p w:rsidR="00546E5E" w:rsidRPr="009946E5" w:rsidRDefault="00546E5E" w:rsidP="00546E5E">
      <w:pPr>
        <w:ind w:left="567"/>
        <w:rPr>
          <w:lang w:val="es-ES_tradnl"/>
        </w:rPr>
      </w:pPr>
      <w:r w:rsidRPr="009946E5">
        <w:rPr>
          <w:lang w:val="es-ES_tradnl"/>
        </w:rPr>
        <w:t>•</w:t>
      </w:r>
      <w:r w:rsidRPr="009946E5">
        <w:rPr>
          <w:lang w:val="es-ES_tradnl"/>
        </w:rPr>
        <w:tab/>
        <w:t>Antes de principios de octubre de 2014,</w:t>
      </w:r>
      <w:r w:rsidR="002424EB" w:rsidRPr="009946E5">
        <w:rPr>
          <w:lang w:val="es-ES_tradnl"/>
        </w:rPr>
        <w:t xml:space="preserve"> el experto del Reino Unido debía</w:t>
      </w:r>
      <w:r w:rsidRPr="009946E5">
        <w:rPr>
          <w:lang w:val="es-ES_tradnl"/>
        </w:rPr>
        <w:t xml:space="preserve"> enviar información relativa al ejercicio práctico a los participantes, incluido el acceso al programa informático.</w:t>
      </w:r>
    </w:p>
    <w:p w:rsidR="00546E5E" w:rsidRPr="009946E5" w:rsidRDefault="00546E5E" w:rsidP="00546E5E">
      <w:pPr>
        <w:ind w:left="567"/>
        <w:rPr>
          <w:lang w:val="es-ES_tradnl"/>
        </w:rPr>
      </w:pPr>
      <w:r w:rsidRPr="009946E5">
        <w:rPr>
          <w:lang w:val="es-ES_tradnl"/>
        </w:rPr>
        <w:t>•</w:t>
      </w:r>
      <w:r w:rsidRPr="009946E5">
        <w:rPr>
          <w:lang w:val="es-ES_tradnl"/>
        </w:rPr>
        <w:tab/>
        <w:t>Antes del 15 de marzo de 2015, los participantes en el ejercicio práctico deb</w:t>
      </w:r>
      <w:r w:rsidR="002424EB" w:rsidRPr="009946E5">
        <w:rPr>
          <w:lang w:val="es-ES_tradnl"/>
        </w:rPr>
        <w:t>ía</w:t>
      </w:r>
      <w:r w:rsidRPr="009946E5">
        <w:rPr>
          <w:lang w:val="es-ES_tradnl"/>
        </w:rPr>
        <w:t>n enviar un informe de su experiencia al experto del Reino Unido.</w:t>
      </w:r>
    </w:p>
    <w:p w:rsidR="00546E5E" w:rsidRPr="009946E5" w:rsidRDefault="00546E5E" w:rsidP="00546E5E">
      <w:pPr>
        <w:ind w:left="567"/>
        <w:rPr>
          <w:lang w:val="es-ES_tradnl"/>
        </w:rPr>
      </w:pPr>
      <w:r w:rsidRPr="009946E5">
        <w:rPr>
          <w:lang w:val="es-ES_tradnl"/>
        </w:rPr>
        <w:lastRenderedPageBreak/>
        <w:t>•</w:t>
      </w:r>
      <w:r w:rsidRPr="009946E5">
        <w:rPr>
          <w:lang w:val="es-ES_tradnl"/>
        </w:rPr>
        <w:tab/>
        <w:t>El experto del Reino Unido elaborará un informe sobre el ejercicio práctico y la elaboración del módulo DUST para la trigésima tercera sesión del TWC.</w:t>
      </w:r>
    </w:p>
    <w:p w:rsidR="00546E5E" w:rsidRPr="009946E5" w:rsidRDefault="00546E5E" w:rsidP="00546E5E">
      <w:pPr>
        <w:ind w:left="567"/>
        <w:rPr>
          <w:lang w:val="es-ES_tradnl"/>
        </w:rPr>
      </w:pPr>
    </w:p>
    <w:p w:rsidR="00546E5E" w:rsidRPr="009946E5" w:rsidRDefault="00C66911" w:rsidP="00546E5E">
      <w:pPr>
        <w:rPr>
          <w:lang w:val="es-ES_tradnl"/>
        </w:rPr>
      </w:pPr>
      <w:r w:rsidRPr="009946E5">
        <w:rPr>
          <w:lang w:val="es-ES_tradnl"/>
        </w:rPr>
        <w:fldChar w:fldCharType="begin"/>
      </w:r>
      <w:r w:rsidR="00546E5E" w:rsidRPr="009946E5">
        <w:rPr>
          <w:lang w:val="es-ES_tradnl"/>
        </w:rPr>
        <w:instrText xml:space="preserve"> AUTONUM  </w:instrText>
      </w:r>
      <w:r w:rsidRPr="009946E5">
        <w:rPr>
          <w:lang w:val="es-ES_tradnl"/>
        </w:rPr>
        <w:fldChar w:fldCharType="end"/>
      </w:r>
      <w:r w:rsidR="00546E5E" w:rsidRPr="009946E5">
        <w:rPr>
          <w:lang w:val="es-ES_tradnl"/>
        </w:rPr>
        <w:tab/>
        <w:t>En julio 21 de 2014, se envió</w:t>
      </w:r>
      <w:r w:rsidR="004972EA">
        <w:rPr>
          <w:lang w:val="es-ES_tradnl"/>
        </w:rPr>
        <w:t xml:space="preserve"> la circular E</w:t>
      </w:r>
      <w:r w:rsidR="004972EA">
        <w:rPr>
          <w:lang w:val="es-ES_tradnl"/>
        </w:rPr>
        <w:noBreakHyphen/>
        <w:t xml:space="preserve">14/193 “TWC/32: </w:t>
      </w:r>
      <w:r w:rsidR="00546E5E" w:rsidRPr="009946E5">
        <w:rPr>
          <w:lang w:val="es-ES_tradnl"/>
        </w:rPr>
        <w:t>Participación en el ejercicio práctico (COYU)” a</w:t>
      </w:r>
      <w:r w:rsidR="008C485D">
        <w:rPr>
          <w:lang w:val="es-ES_tradnl"/>
        </w:rPr>
        <w:t xml:space="preserve"> los miembros del TC y el TWC. </w:t>
      </w:r>
      <w:r w:rsidR="00546E5E" w:rsidRPr="009946E5">
        <w:rPr>
          <w:lang w:val="es-ES_tradnl"/>
        </w:rPr>
        <w:t xml:space="preserve">Alemania, Finlandia, Francia, </w:t>
      </w:r>
      <w:r w:rsidR="004972EA" w:rsidRPr="009946E5">
        <w:rPr>
          <w:lang w:val="es-ES_tradnl"/>
        </w:rPr>
        <w:t>Kenia</w:t>
      </w:r>
      <w:r w:rsidR="00546E5E" w:rsidRPr="009946E5">
        <w:rPr>
          <w:lang w:val="es-ES_tradnl"/>
        </w:rPr>
        <w:t xml:space="preserve">, Polonia, la República Checa y el Reino Unido respondieron que deseaban participar en el ejercicio. </w:t>
      </w:r>
      <w:r w:rsidR="00166FF5" w:rsidRPr="009946E5">
        <w:rPr>
          <w:lang w:val="es-ES_tradnl"/>
        </w:rPr>
        <w:t xml:space="preserve"> </w:t>
      </w:r>
      <w:r w:rsidR="00546E5E" w:rsidRPr="009946E5">
        <w:rPr>
          <w:lang w:val="es-ES_tradnl"/>
        </w:rPr>
        <w:t xml:space="preserve">El experto del Reino Unido elaboró </w:t>
      </w:r>
      <w:r w:rsidR="00ED5E53" w:rsidRPr="009946E5">
        <w:rPr>
          <w:lang w:val="es-ES_tradnl"/>
        </w:rPr>
        <w:t xml:space="preserve">los </w:t>
      </w:r>
      <w:r w:rsidR="00546E5E" w:rsidRPr="009946E5">
        <w:rPr>
          <w:lang w:val="es-ES_tradnl"/>
        </w:rPr>
        <w:t xml:space="preserve">módulos del programa informático para el cálculo del COYU con un documento de orientación para el ejercicio: </w:t>
      </w:r>
      <w:r w:rsidR="0005735D" w:rsidRPr="009946E5">
        <w:rPr>
          <w:lang w:val="es-ES_tradnl"/>
        </w:rPr>
        <w:t xml:space="preserve"> </w:t>
      </w:r>
      <w:r w:rsidR="00546E5E" w:rsidRPr="009946E5">
        <w:rPr>
          <w:lang w:val="es-ES_tradnl"/>
        </w:rPr>
        <w:t>a los participantes que utilizan el programa informático</w:t>
      </w:r>
      <w:r w:rsidR="00166FF5" w:rsidRPr="009946E5">
        <w:rPr>
          <w:lang w:val="es-ES_tradnl"/>
        </w:rPr>
        <w:t> </w:t>
      </w:r>
      <w:r w:rsidR="00546E5E" w:rsidRPr="009946E5">
        <w:rPr>
          <w:lang w:val="es-ES_tradnl"/>
        </w:rPr>
        <w:t>“R”, se facilitaron el módulo para el pro</w:t>
      </w:r>
      <w:r w:rsidR="004250B8" w:rsidRPr="009946E5">
        <w:rPr>
          <w:lang w:val="es-ES_tradnl"/>
        </w:rPr>
        <w:t>grama informático </w:t>
      </w:r>
      <w:r w:rsidR="00546E5E" w:rsidRPr="009946E5">
        <w:rPr>
          <w:lang w:val="es-ES_tradnl"/>
        </w:rPr>
        <w:t>“R” y el documento de orientación el 15 de octubre de 2014 y luego un documento de orientación revisado el 21 de octubre de 2014;  y a los usuarios del programa informático “DUSTNT”, se facilitaron una versión con un módulo para el ejercicio y un documento de orientación el 5 de diciembre.</w:t>
      </w:r>
    </w:p>
    <w:p w:rsidR="00546E5E" w:rsidRPr="009946E5" w:rsidRDefault="00546E5E" w:rsidP="0099714B">
      <w:pPr>
        <w:widowControl w:val="0"/>
        <w:rPr>
          <w:lang w:val="es-ES_tradnl"/>
        </w:rPr>
      </w:pPr>
    </w:p>
    <w:p w:rsidR="00546E5E" w:rsidRPr="009946E5" w:rsidRDefault="00C66911" w:rsidP="00546E5E">
      <w:pPr>
        <w:pStyle w:val="DecisionParagraphs"/>
        <w:tabs>
          <w:tab w:val="clear" w:pos="5387"/>
          <w:tab w:val="left" w:pos="5400"/>
        </w:tabs>
        <w:rPr>
          <w:iCs/>
          <w:spacing w:val="-4"/>
          <w:lang w:val="es-ES_tradnl"/>
        </w:rPr>
      </w:pPr>
      <w:r w:rsidRPr="009946E5">
        <w:rPr>
          <w:lang w:val="es-ES_tradnl"/>
        </w:rPr>
        <w:fldChar w:fldCharType="begin"/>
      </w:r>
      <w:r w:rsidR="00546E5E" w:rsidRPr="009946E5">
        <w:rPr>
          <w:lang w:val="es-ES_tradnl"/>
        </w:rPr>
        <w:instrText xml:space="preserve"> AUTONUM  </w:instrText>
      </w:r>
      <w:r w:rsidRPr="009946E5">
        <w:rPr>
          <w:lang w:val="es-ES_tradnl"/>
        </w:rPr>
        <w:fldChar w:fldCharType="end"/>
      </w:r>
      <w:r w:rsidR="00546E5E" w:rsidRPr="009946E5">
        <w:rPr>
          <w:lang w:val="es-ES_tradnl"/>
        </w:rPr>
        <w:tab/>
        <w:t>Se invita al TC a tomar nota de</w:t>
      </w:r>
      <w:r w:rsidR="002424EB" w:rsidRPr="009946E5">
        <w:rPr>
          <w:lang w:val="es-ES_tradnl"/>
        </w:rPr>
        <w:t xml:space="preserve"> que</w:t>
      </w:r>
      <w:r w:rsidR="00546E5E" w:rsidRPr="009946E5">
        <w:rPr>
          <w:lang w:val="es-ES_tradnl"/>
        </w:rPr>
        <w:t>:</w:t>
      </w:r>
    </w:p>
    <w:p w:rsidR="00546E5E" w:rsidRPr="009946E5" w:rsidRDefault="00546E5E" w:rsidP="00546E5E">
      <w:pPr>
        <w:pStyle w:val="DecisionParagraphs"/>
        <w:tabs>
          <w:tab w:val="clear" w:pos="5387"/>
          <w:tab w:val="left" w:pos="5400"/>
        </w:tabs>
        <w:rPr>
          <w:iCs/>
          <w:spacing w:val="-4"/>
          <w:lang w:val="es-ES_tradnl"/>
        </w:rPr>
      </w:pPr>
    </w:p>
    <w:p w:rsidR="00546E5E" w:rsidRPr="009946E5" w:rsidRDefault="00546E5E" w:rsidP="00546E5E">
      <w:pPr>
        <w:pStyle w:val="DecisionParagraphs"/>
        <w:tabs>
          <w:tab w:val="clear" w:pos="5387"/>
          <w:tab w:val="left" w:pos="5400"/>
          <w:tab w:val="left" w:pos="5954"/>
        </w:tabs>
        <w:ind w:firstLine="567"/>
        <w:rPr>
          <w:iCs/>
          <w:spacing w:val="-4"/>
          <w:lang w:val="es-ES_tradnl"/>
        </w:rPr>
      </w:pPr>
      <w:r w:rsidRPr="009946E5">
        <w:rPr>
          <w:lang w:val="es-ES_tradnl"/>
        </w:rPr>
        <w:t>a)</w:t>
      </w:r>
      <w:r w:rsidRPr="009946E5">
        <w:rPr>
          <w:lang w:val="es-ES_tradnl"/>
        </w:rPr>
        <w:tab/>
        <w:t>los participantes en el ejercicio de prueba del programa informático sobre el nuevo método de cálculo del COYU</w:t>
      </w:r>
      <w:r w:rsidRPr="009946E5">
        <w:rPr>
          <w:spacing w:val="-4"/>
          <w:lang w:val="es-ES_tradnl"/>
        </w:rPr>
        <w:t xml:space="preserve"> deben</w:t>
      </w:r>
      <w:r w:rsidRPr="009946E5">
        <w:rPr>
          <w:lang w:val="es-ES_tradnl"/>
        </w:rPr>
        <w:t>;</w:t>
      </w:r>
    </w:p>
    <w:p w:rsidR="00546E5E" w:rsidRPr="009946E5" w:rsidRDefault="00546E5E" w:rsidP="00546E5E">
      <w:pPr>
        <w:pStyle w:val="DecisionParagraphs"/>
        <w:tabs>
          <w:tab w:val="clear" w:pos="5387"/>
          <w:tab w:val="left" w:pos="5400"/>
          <w:tab w:val="left" w:pos="5954"/>
          <w:tab w:val="left" w:pos="6480"/>
        </w:tabs>
        <w:ind w:firstLine="567"/>
        <w:rPr>
          <w:iCs/>
          <w:spacing w:val="-4"/>
          <w:lang w:val="es-ES_tradnl"/>
        </w:rPr>
      </w:pPr>
      <w:r w:rsidRPr="009946E5">
        <w:rPr>
          <w:lang w:val="es-ES_tradnl"/>
        </w:rPr>
        <w:tab/>
      </w:r>
      <w:r w:rsidRPr="009946E5">
        <w:rPr>
          <w:lang w:val="es-ES_tradnl"/>
        </w:rPr>
        <w:tab/>
        <w:t>i)</w:t>
      </w:r>
      <w:r w:rsidRPr="009946E5">
        <w:rPr>
          <w:lang w:val="es-ES_tradnl"/>
        </w:rPr>
        <w:tab/>
        <w:t xml:space="preserve">procurar definir los niveles de probabilidad para que las decisiones sean equiparables a las tomadas con el </w:t>
      </w:r>
      <w:r w:rsidR="002424EB" w:rsidRPr="009946E5">
        <w:rPr>
          <w:lang w:val="es-ES_tradnl"/>
        </w:rPr>
        <w:t xml:space="preserve">anterior </w:t>
      </w:r>
      <w:r w:rsidRPr="009946E5">
        <w:rPr>
          <w:lang w:val="es-ES_tradnl"/>
        </w:rPr>
        <w:t xml:space="preserve">método de cálculo del COYU; </w:t>
      </w:r>
    </w:p>
    <w:p w:rsidR="00546E5E" w:rsidRPr="009946E5" w:rsidRDefault="00546E5E" w:rsidP="00546E5E">
      <w:pPr>
        <w:pStyle w:val="DecisionParagraphs"/>
        <w:tabs>
          <w:tab w:val="clear" w:pos="5387"/>
          <w:tab w:val="left" w:pos="5400"/>
          <w:tab w:val="left" w:pos="5954"/>
        </w:tabs>
        <w:ind w:firstLine="567"/>
        <w:rPr>
          <w:iCs/>
          <w:spacing w:val="-4"/>
          <w:lang w:val="es-ES_tradnl"/>
        </w:rPr>
      </w:pPr>
    </w:p>
    <w:p w:rsidR="00546E5E" w:rsidRPr="009946E5" w:rsidRDefault="00546E5E" w:rsidP="00546E5E">
      <w:pPr>
        <w:pStyle w:val="DecisionParagraphs"/>
        <w:tabs>
          <w:tab w:val="clear" w:pos="5387"/>
          <w:tab w:val="left" w:pos="5400"/>
          <w:tab w:val="left" w:pos="5954"/>
          <w:tab w:val="left" w:pos="6480"/>
        </w:tabs>
        <w:rPr>
          <w:iCs/>
          <w:spacing w:val="-4"/>
          <w:lang w:val="es-ES_tradnl"/>
        </w:rPr>
      </w:pPr>
      <w:r w:rsidRPr="009946E5">
        <w:rPr>
          <w:lang w:val="es-ES_tradnl"/>
        </w:rPr>
        <w:tab/>
      </w:r>
      <w:r w:rsidRPr="009946E5">
        <w:rPr>
          <w:lang w:val="es-ES_tradnl"/>
        </w:rPr>
        <w:tab/>
        <w:t>ii)</w:t>
      </w:r>
      <w:r w:rsidRPr="009946E5">
        <w:rPr>
          <w:lang w:val="es-ES_tradnl"/>
        </w:rPr>
        <w:tab/>
        <w:t>ejecutar la prueba con probabilidade</w:t>
      </w:r>
      <w:r w:rsidR="008C485D">
        <w:rPr>
          <w:lang w:val="es-ES_tradnl"/>
        </w:rPr>
        <w:t xml:space="preserve">s de rechazo del 1, 2 y el 5%; </w:t>
      </w:r>
      <w:r w:rsidRPr="009946E5">
        <w:rPr>
          <w:lang w:val="es-ES_tradnl"/>
        </w:rPr>
        <w:t>y</w:t>
      </w:r>
    </w:p>
    <w:p w:rsidR="00546E5E" w:rsidRPr="009946E5" w:rsidRDefault="00546E5E" w:rsidP="00546E5E">
      <w:pPr>
        <w:pStyle w:val="DecisionParagraphs"/>
        <w:tabs>
          <w:tab w:val="clear" w:pos="5387"/>
          <w:tab w:val="left" w:pos="5400"/>
          <w:tab w:val="left" w:pos="5954"/>
        </w:tabs>
        <w:rPr>
          <w:iCs/>
          <w:spacing w:val="-4"/>
          <w:lang w:val="es-ES_tradnl"/>
        </w:rPr>
      </w:pPr>
    </w:p>
    <w:p w:rsidR="00546E5E" w:rsidRPr="009946E5" w:rsidRDefault="00546E5E" w:rsidP="00546E5E">
      <w:pPr>
        <w:pStyle w:val="DecisionParagraphs"/>
        <w:tabs>
          <w:tab w:val="clear" w:pos="5387"/>
          <w:tab w:val="left" w:pos="5400"/>
          <w:tab w:val="left" w:pos="5954"/>
          <w:tab w:val="left" w:pos="6480"/>
        </w:tabs>
        <w:rPr>
          <w:iCs/>
          <w:spacing w:val="-4"/>
          <w:lang w:val="es-ES_tradnl"/>
        </w:rPr>
      </w:pPr>
      <w:r w:rsidRPr="009946E5">
        <w:rPr>
          <w:lang w:val="es-ES_tradnl"/>
        </w:rPr>
        <w:tab/>
      </w:r>
      <w:r w:rsidRPr="009946E5">
        <w:rPr>
          <w:lang w:val="es-ES_tradnl"/>
        </w:rPr>
        <w:tab/>
        <w:t>iii)</w:t>
      </w:r>
      <w:r w:rsidRPr="009946E5">
        <w:rPr>
          <w:lang w:val="es-ES_tradnl"/>
        </w:rPr>
        <w:tab/>
        <w:t>evaluar si los resultados son coherentes en todos los cultivos;</w:t>
      </w:r>
    </w:p>
    <w:p w:rsidR="00546E5E" w:rsidRPr="009946E5" w:rsidRDefault="00546E5E" w:rsidP="00546E5E">
      <w:pPr>
        <w:pStyle w:val="DecisionParagraphs"/>
        <w:tabs>
          <w:tab w:val="clear" w:pos="5387"/>
          <w:tab w:val="left" w:pos="5400"/>
          <w:tab w:val="left" w:pos="5954"/>
        </w:tabs>
        <w:ind w:firstLine="567"/>
        <w:rPr>
          <w:iCs/>
          <w:spacing w:val="-4"/>
          <w:lang w:val="es-ES_tradnl"/>
        </w:rPr>
      </w:pPr>
    </w:p>
    <w:p w:rsidR="00546E5E" w:rsidRPr="009946E5" w:rsidRDefault="00546E5E" w:rsidP="00546E5E">
      <w:pPr>
        <w:pStyle w:val="DecisionParagraphs"/>
        <w:tabs>
          <w:tab w:val="clear" w:pos="5387"/>
          <w:tab w:val="left" w:pos="5400"/>
          <w:tab w:val="left" w:pos="5954"/>
        </w:tabs>
        <w:ind w:firstLine="567"/>
        <w:rPr>
          <w:iCs/>
          <w:spacing w:val="-4"/>
          <w:lang w:val="es-ES_tradnl"/>
        </w:rPr>
      </w:pPr>
      <w:r w:rsidRPr="009946E5">
        <w:rPr>
          <w:lang w:val="es-ES_tradnl"/>
        </w:rPr>
        <w:t>b)</w:t>
      </w:r>
      <w:r w:rsidRPr="009946E5">
        <w:rPr>
          <w:lang w:val="es-ES_tradnl"/>
        </w:rPr>
        <w:tab/>
        <w:t>el experto del Reino Unido facilit</w:t>
      </w:r>
      <w:r w:rsidR="004250B8" w:rsidRPr="009946E5">
        <w:rPr>
          <w:lang w:val="es-ES_tradnl"/>
        </w:rPr>
        <w:t>ó</w:t>
      </w:r>
      <w:r w:rsidRPr="009946E5">
        <w:rPr>
          <w:lang w:val="es-ES_tradnl"/>
        </w:rPr>
        <w:t xml:space="preserve"> el módulo del programa informático para el cálculo del COYU y el documento de orientación</w:t>
      </w:r>
      <w:r w:rsidR="004250B8" w:rsidRPr="009946E5">
        <w:rPr>
          <w:lang w:val="es-ES_tradnl"/>
        </w:rPr>
        <w:t xml:space="preserve"> a los participantes en el ejercicio</w:t>
      </w:r>
      <w:r w:rsidRPr="009946E5">
        <w:rPr>
          <w:lang w:val="es-ES_tradnl"/>
        </w:rPr>
        <w:t xml:space="preserve">;  </w:t>
      </w:r>
    </w:p>
    <w:p w:rsidR="00546E5E" w:rsidRPr="009946E5" w:rsidRDefault="00546E5E" w:rsidP="00546E5E">
      <w:pPr>
        <w:pStyle w:val="DecisionParagraphs"/>
        <w:tabs>
          <w:tab w:val="clear" w:pos="5387"/>
          <w:tab w:val="left" w:pos="5400"/>
          <w:tab w:val="left" w:pos="5954"/>
        </w:tabs>
        <w:ind w:firstLine="567"/>
        <w:rPr>
          <w:iCs/>
          <w:spacing w:val="-4"/>
          <w:lang w:val="es-ES_tradnl"/>
        </w:rPr>
      </w:pPr>
    </w:p>
    <w:p w:rsidR="00546E5E" w:rsidRPr="009946E5" w:rsidRDefault="00546E5E" w:rsidP="00546E5E">
      <w:pPr>
        <w:pStyle w:val="DecisionParagraphs"/>
        <w:tabs>
          <w:tab w:val="clear" w:pos="5387"/>
          <w:tab w:val="left" w:pos="5400"/>
          <w:tab w:val="left" w:pos="5954"/>
        </w:tabs>
        <w:ind w:firstLine="567"/>
        <w:rPr>
          <w:iCs/>
          <w:spacing w:val="-4"/>
          <w:lang w:val="es-ES_tradnl"/>
        </w:rPr>
      </w:pPr>
      <w:r w:rsidRPr="009946E5">
        <w:rPr>
          <w:lang w:val="es-ES_tradnl"/>
        </w:rPr>
        <w:t>c)</w:t>
      </w:r>
      <w:r w:rsidRPr="009946E5">
        <w:rPr>
          <w:lang w:val="es-ES_tradnl"/>
        </w:rPr>
        <w:tab/>
        <w:t>los expertos de Alemania, Finlandia, Francia, Kenya, Polonia, la República Checa y el Reino Unido</w:t>
      </w:r>
      <w:r w:rsidRPr="009946E5">
        <w:rPr>
          <w:spacing w:val="-4"/>
          <w:lang w:val="es-ES_tradnl"/>
        </w:rPr>
        <w:t xml:space="preserve"> participarán</w:t>
      </w:r>
      <w:r w:rsidRPr="009946E5">
        <w:rPr>
          <w:lang w:val="es-ES_tradnl"/>
        </w:rPr>
        <w:t xml:space="preserve"> en el ejercicio de prueba del nuevo programa informá</w:t>
      </w:r>
      <w:r w:rsidR="00B81559">
        <w:rPr>
          <w:lang w:val="es-ES_tradnl"/>
        </w:rPr>
        <w:t xml:space="preserve">tico para el cálculo del COYU; </w:t>
      </w:r>
      <w:r w:rsidRPr="009946E5">
        <w:rPr>
          <w:lang w:val="es-ES_tradnl"/>
        </w:rPr>
        <w:t>y</w:t>
      </w:r>
    </w:p>
    <w:p w:rsidR="00546E5E" w:rsidRPr="009946E5" w:rsidRDefault="00546E5E" w:rsidP="00546E5E">
      <w:pPr>
        <w:pStyle w:val="DecisionParagraphs"/>
        <w:tabs>
          <w:tab w:val="clear" w:pos="5387"/>
          <w:tab w:val="left" w:pos="5400"/>
          <w:tab w:val="left" w:pos="5954"/>
        </w:tabs>
        <w:ind w:firstLine="567"/>
        <w:rPr>
          <w:iCs/>
          <w:spacing w:val="-4"/>
          <w:lang w:val="es-ES_tradnl"/>
        </w:rPr>
      </w:pPr>
    </w:p>
    <w:p w:rsidR="00546E5E" w:rsidRPr="009946E5" w:rsidRDefault="00546E5E" w:rsidP="00546E5E">
      <w:pPr>
        <w:pStyle w:val="DecisionParagraphs"/>
        <w:tabs>
          <w:tab w:val="clear" w:pos="5387"/>
          <w:tab w:val="left" w:pos="5400"/>
          <w:tab w:val="left" w:pos="5954"/>
        </w:tabs>
        <w:ind w:firstLine="567"/>
        <w:rPr>
          <w:iCs/>
          <w:spacing w:val="-4"/>
          <w:lang w:val="es-ES_tradnl"/>
        </w:rPr>
      </w:pPr>
      <w:r w:rsidRPr="009946E5">
        <w:rPr>
          <w:lang w:val="es-ES_tradnl"/>
        </w:rPr>
        <w:t>d)</w:t>
      </w:r>
      <w:r w:rsidRPr="009946E5">
        <w:rPr>
          <w:lang w:val="es-ES_tradnl"/>
        </w:rPr>
        <w:tab/>
        <w:t>en la trigésima tercera sesión del TWC se presentará un informe sobre el ejercicio práctico y la elaboración del módulo DUST.</w:t>
      </w:r>
    </w:p>
    <w:p w:rsidR="00546E5E" w:rsidRPr="009946E5" w:rsidRDefault="00546E5E" w:rsidP="00546E5E">
      <w:pPr>
        <w:pStyle w:val="DecisionParagraphs"/>
        <w:tabs>
          <w:tab w:val="left" w:pos="5954"/>
        </w:tabs>
        <w:ind w:firstLine="567"/>
        <w:rPr>
          <w:iCs/>
          <w:spacing w:val="-4"/>
          <w:lang w:val="es-ES_tradnl"/>
        </w:rPr>
      </w:pPr>
    </w:p>
    <w:p w:rsidR="00546E5E" w:rsidRPr="009946E5" w:rsidRDefault="00546E5E" w:rsidP="00546E5E">
      <w:pPr>
        <w:pStyle w:val="DecisionParagraphs"/>
        <w:tabs>
          <w:tab w:val="left" w:pos="5954"/>
        </w:tabs>
        <w:ind w:firstLine="567"/>
        <w:rPr>
          <w:iCs/>
          <w:spacing w:val="-4"/>
          <w:lang w:val="es-ES_tradnl"/>
        </w:rPr>
      </w:pPr>
      <w:bookmarkStart w:id="5" w:name="_GoBack"/>
      <w:bookmarkEnd w:id="5"/>
    </w:p>
    <w:p w:rsidR="00546E5E" w:rsidRPr="009946E5" w:rsidRDefault="00546E5E" w:rsidP="00546E5E">
      <w:pPr>
        <w:pStyle w:val="DecisionParagraphs"/>
        <w:tabs>
          <w:tab w:val="left" w:pos="5954"/>
        </w:tabs>
        <w:ind w:firstLine="567"/>
        <w:rPr>
          <w:iCs/>
          <w:spacing w:val="-4"/>
          <w:lang w:val="es-ES_tradnl"/>
        </w:rPr>
      </w:pPr>
    </w:p>
    <w:p w:rsidR="00546E5E" w:rsidRDefault="00546E5E" w:rsidP="00546E5E">
      <w:pPr>
        <w:pStyle w:val="DecisionParagraphs"/>
        <w:tabs>
          <w:tab w:val="clear" w:pos="5387"/>
          <w:tab w:val="left" w:pos="5400"/>
        </w:tabs>
        <w:jc w:val="right"/>
        <w:rPr>
          <w:i w:val="0"/>
          <w:spacing w:val="-4"/>
          <w:lang w:val="es-ES_tradnl"/>
        </w:rPr>
      </w:pPr>
      <w:r w:rsidRPr="009946E5">
        <w:rPr>
          <w:i w:val="0"/>
          <w:spacing w:val="-4"/>
          <w:lang w:val="es-ES_tradnl"/>
        </w:rPr>
        <w:t>[Sigue el Anexo]</w:t>
      </w:r>
    </w:p>
    <w:p w:rsidR="00115B43" w:rsidRDefault="00115B43" w:rsidP="00546E5E">
      <w:pPr>
        <w:pStyle w:val="DecisionParagraphs"/>
        <w:tabs>
          <w:tab w:val="clear" w:pos="5387"/>
          <w:tab w:val="left" w:pos="5400"/>
        </w:tabs>
        <w:jc w:val="right"/>
        <w:rPr>
          <w:i w:val="0"/>
          <w:spacing w:val="-4"/>
          <w:lang w:val="es-ES_tradnl"/>
        </w:rPr>
      </w:pPr>
    </w:p>
    <w:p w:rsidR="00115B43" w:rsidRDefault="00115B43" w:rsidP="00546E5E">
      <w:pPr>
        <w:pStyle w:val="DecisionParagraphs"/>
        <w:tabs>
          <w:tab w:val="clear" w:pos="5387"/>
          <w:tab w:val="left" w:pos="5400"/>
        </w:tabs>
        <w:jc w:val="right"/>
        <w:rPr>
          <w:i w:val="0"/>
          <w:spacing w:val="-4"/>
          <w:lang w:val="es-ES_tradnl"/>
        </w:rPr>
      </w:pPr>
    </w:p>
    <w:p w:rsidR="00115B43" w:rsidRPr="009946E5" w:rsidRDefault="00115B43" w:rsidP="00546E5E">
      <w:pPr>
        <w:pStyle w:val="DecisionParagraphs"/>
        <w:tabs>
          <w:tab w:val="clear" w:pos="5387"/>
          <w:tab w:val="left" w:pos="5400"/>
        </w:tabs>
        <w:jc w:val="right"/>
        <w:rPr>
          <w:i w:val="0"/>
          <w:iCs/>
          <w:spacing w:val="-4"/>
          <w:lang w:val="es-ES_tradnl"/>
        </w:rPr>
      </w:pPr>
    </w:p>
    <w:p w:rsidR="00546E5E" w:rsidRPr="009946E5" w:rsidRDefault="00546E5E" w:rsidP="00546E5E">
      <w:pPr>
        <w:pStyle w:val="DecisionParagraphs"/>
        <w:tabs>
          <w:tab w:val="clear" w:pos="5387"/>
          <w:tab w:val="left" w:pos="5400"/>
        </w:tabs>
        <w:rPr>
          <w:iCs/>
          <w:spacing w:val="-4"/>
          <w:lang w:val="es-ES_tradnl"/>
        </w:rPr>
        <w:sectPr w:rsidR="00546E5E" w:rsidRPr="009946E5" w:rsidSect="00546E5E">
          <w:headerReference w:type="default" r:id="rId8"/>
          <w:pgSz w:w="11907" w:h="16840" w:code="9"/>
          <w:pgMar w:top="510" w:right="1134" w:bottom="1134" w:left="1134" w:header="510" w:footer="680" w:gutter="0"/>
          <w:pgNumType w:start="1"/>
          <w:cols w:space="720"/>
          <w:titlePg/>
        </w:sectPr>
      </w:pPr>
    </w:p>
    <w:p w:rsidR="00546E5E" w:rsidRPr="009946E5" w:rsidRDefault="00546E5E" w:rsidP="00546E5E">
      <w:pPr>
        <w:pStyle w:val="DecisionParagraphs"/>
        <w:tabs>
          <w:tab w:val="clear" w:pos="5387"/>
          <w:tab w:val="left" w:pos="5400"/>
        </w:tabs>
        <w:ind w:left="0"/>
        <w:jc w:val="center"/>
        <w:rPr>
          <w:i w:val="0"/>
          <w:iCs/>
          <w:spacing w:val="-4"/>
          <w:lang w:val="es-ES_tradnl"/>
        </w:rPr>
      </w:pPr>
    </w:p>
    <w:p w:rsidR="00546E5E" w:rsidRPr="009946E5" w:rsidRDefault="00546E5E" w:rsidP="00546E5E">
      <w:pPr>
        <w:pStyle w:val="DecisionParagraphs"/>
        <w:tabs>
          <w:tab w:val="clear" w:pos="5387"/>
          <w:tab w:val="left" w:pos="5400"/>
        </w:tabs>
        <w:ind w:left="0"/>
        <w:jc w:val="center"/>
        <w:rPr>
          <w:i w:val="0"/>
          <w:iCs/>
          <w:spacing w:val="-4"/>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sectPr w:rsidR="00546E5E" w:rsidRPr="009946E5" w:rsidSect="00BE4B61">
          <w:headerReference w:type="default" r:id="rId9"/>
          <w:headerReference w:type="first" r:id="rId10"/>
          <w:type w:val="continuous"/>
          <w:pgSz w:w="11907" w:h="16840" w:code="9"/>
          <w:pgMar w:top="510" w:right="1134" w:bottom="1134" w:left="1134" w:header="510" w:footer="680" w:gutter="0"/>
          <w:cols w:space="720"/>
          <w:titlePg/>
        </w:sect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r w:rsidRPr="009946E5">
        <w:rPr>
          <w:i w:val="0"/>
          <w:noProof/>
        </w:rPr>
        <w:drawing>
          <wp:inline distT="0" distB="0" distL="0" distR="0" wp14:anchorId="2B460AD8" wp14:editId="391AB8AA">
            <wp:extent cx="4572635" cy="342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546E5E" w:rsidRPr="009946E5" w:rsidRDefault="00546E5E" w:rsidP="00546E5E">
      <w:pPr>
        <w:pStyle w:val="DecisionParagraphs"/>
        <w:tabs>
          <w:tab w:val="clear" w:pos="5387"/>
          <w:tab w:val="left" w:pos="5400"/>
        </w:tabs>
        <w:rPr>
          <w:i w:val="0"/>
          <w:lang w:val="es-ES_tradnl"/>
        </w:rPr>
      </w:pPr>
    </w:p>
    <w:p w:rsidR="00546E5E" w:rsidRPr="009946E5" w:rsidRDefault="00546E5E" w:rsidP="00546E5E">
      <w:pPr>
        <w:pStyle w:val="DecisionParagraphs"/>
        <w:tabs>
          <w:tab w:val="clear" w:pos="5387"/>
          <w:tab w:val="left" w:pos="5400"/>
        </w:tabs>
        <w:rPr>
          <w:i w:val="0"/>
          <w:lang w:val="es-ES_tradnl"/>
        </w:rPr>
      </w:pPr>
    </w:p>
    <w:p w:rsidR="00546E5E" w:rsidRPr="009946E5" w:rsidRDefault="00546E5E" w:rsidP="00546E5E">
      <w:pPr>
        <w:pStyle w:val="DecisionParagraphs"/>
        <w:tabs>
          <w:tab w:val="clear" w:pos="5387"/>
          <w:tab w:val="left" w:pos="5400"/>
        </w:tabs>
        <w:rPr>
          <w:i w:val="0"/>
          <w:lang w:val="es-ES_tradnl"/>
        </w:rPr>
      </w:pPr>
    </w:p>
    <w:p w:rsidR="00546E5E" w:rsidRPr="009946E5" w:rsidRDefault="00546E5E" w:rsidP="00546E5E">
      <w:pPr>
        <w:pStyle w:val="DecisionParagraphs"/>
        <w:tabs>
          <w:tab w:val="clear" w:pos="5387"/>
          <w:tab w:val="left" w:pos="5400"/>
        </w:tabs>
        <w:rPr>
          <w:i w:val="0"/>
          <w:lang w:val="es-ES_tradnl"/>
        </w:rPr>
      </w:pPr>
    </w:p>
    <w:p w:rsidR="00546E5E" w:rsidRPr="009946E5" w:rsidRDefault="00546E5E" w:rsidP="00546E5E">
      <w:pPr>
        <w:pStyle w:val="DecisionParagraphs"/>
        <w:tabs>
          <w:tab w:val="clear" w:pos="5387"/>
          <w:tab w:val="left" w:pos="5400"/>
        </w:tabs>
        <w:rPr>
          <w:i w:val="0"/>
          <w:lang w:val="es-ES_tradnl"/>
        </w:rPr>
      </w:pPr>
    </w:p>
    <w:p w:rsidR="00546E5E" w:rsidRPr="009946E5" w:rsidRDefault="00546E5E" w:rsidP="00546E5E">
      <w:pPr>
        <w:pStyle w:val="DecisionParagraphs"/>
        <w:tabs>
          <w:tab w:val="clear" w:pos="5387"/>
          <w:tab w:val="left" w:pos="5400"/>
        </w:tabs>
        <w:rPr>
          <w:i w:val="0"/>
          <w:lang w:val="es-ES_tradnl"/>
        </w:rPr>
      </w:pPr>
    </w:p>
    <w:p w:rsidR="00546E5E" w:rsidRPr="009946E5" w:rsidRDefault="00546E5E" w:rsidP="00546E5E">
      <w:pPr>
        <w:pStyle w:val="DecisionParagraphs"/>
        <w:tabs>
          <w:tab w:val="clear" w:pos="5387"/>
          <w:tab w:val="left" w:pos="5400"/>
        </w:tabs>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r w:rsidRPr="009946E5">
        <w:rPr>
          <w:i w:val="0"/>
          <w:noProof/>
        </w:rPr>
        <w:drawing>
          <wp:inline distT="0" distB="0" distL="0" distR="0" wp14:anchorId="512B3470" wp14:editId="01878EFF">
            <wp:extent cx="4572638" cy="34294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4572638" cy="3429479"/>
                    </a:xfrm>
                    <a:prstGeom prst="rect">
                      <a:avLst/>
                    </a:prstGeom>
                  </pic:spPr>
                </pic:pic>
              </a:graphicData>
            </a:graphic>
          </wp:inline>
        </w:drawing>
      </w: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r w:rsidRPr="009946E5">
        <w:rPr>
          <w:i w:val="0"/>
          <w:noProof/>
        </w:rPr>
        <w:drawing>
          <wp:inline distT="0" distB="0" distL="0" distR="0" wp14:anchorId="48858C1A" wp14:editId="465C9584">
            <wp:extent cx="4572638" cy="34294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4572638" cy="3429479"/>
                    </a:xfrm>
                    <a:prstGeom prst="rect">
                      <a:avLst/>
                    </a:prstGeom>
                  </pic:spPr>
                </pic:pic>
              </a:graphicData>
            </a:graphic>
          </wp:inline>
        </w:drawing>
      </w: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r w:rsidRPr="009946E5">
        <w:rPr>
          <w:i w:val="0"/>
          <w:noProof/>
        </w:rPr>
        <w:drawing>
          <wp:inline distT="0" distB="0" distL="0" distR="0" wp14:anchorId="68E0C69C" wp14:editId="123050D3">
            <wp:extent cx="4572638" cy="34294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4572638" cy="3429479"/>
                    </a:xfrm>
                    <a:prstGeom prst="rect">
                      <a:avLst/>
                    </a:prstGeom>
                  </pic:spPr>
                </pic:pic>
              </a:graphicData>
            </a:graphic>
          </wp:inline>
        </w:drawing>
      </w: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r w:rsidRPr="009946E5">
        <w:rPr>
          <w:i w:val="0"/>
          <w:noProof/>
        </w:rPr>
        <w:drawing>
          <wp:inline distT="0" distB="0" distL="0" distR="0" wp14:anchorId="629975AF" wp14:editId="34449BE8">
            <wp:extent cx="4572638" cy="34294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4572638" cy="3429479"/>
                    </a:xfrm>
                    <a:prstGeom prst="rect">
                      <a:avLst/>
                    </a:prstGeom>
                  </pic:spPr>
                </pic:pic>
              </a:graphicData>
            </a:graphic>
          </wp:inline>
        </w:drawing>
      </w: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r w:rsidRPr="009946E5">
        <w:rPr>
          <w:i w:val="0"/>
          <w:noProof/>
        </w:rPr>
        <w:drawing>
          <wp:inline distT="0" distB="0" distL="0" distR="0" wp14:anchorId="471DEB3F" wp14:editId="61D6B32A">
            <wp:extent cx="4572638" cy="342947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4572638" cy="3429479"/>
                    </a:xfrm>
                    <a:prstGeom prst="rect">
                      <a:avLst/>
                    </a:prstGeom>
                  </pic:spPr>
                </pic:pic>
              </a:graphicData>
            </a:graphic>
          </wp:inline>
        </w:drawing>
      </w: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r w:rsidRPr="009946E5">
        <w:rPr>
          <w:i w:val="0"/>
          <w:noProof/>
        </w:rPr>
        <w:drawing>
          <wp:inline distT="0" distB="0" distL="0" distR="0" wp14:anchorId="04A445F3" wp14:editId="2D1C4023">
            <wp:extent cx="4572638" cy="342947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4572638" cy="3429479"/>
                    </a:xfrm>
                    <a:prstGeom prst="rect">
                      <a:avLst/>
                    </a:prstGeom>
                  </pic:spPr>
                </pic:pic>
              </a:graphicData>
            </a:graphic>
          </wp:inline>
        </w:drawing>
      </w: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r w:rsidRPr="009946E5">
        <w:rPr>
          <w:i w:val="0"/>
          <w:noProof/>
        </w:rPr>
        <w:drawing>
          <wp:inline distT="0" distB="0" distL="0" distR="0" wp14:anchorId="2FD555C8" wp14:editId="2648B60B">
            <wp:extent cx="4572638" cy="342947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4572638" cy="3429479"/>
                    </a:xfrm>
                    <a:prstGeom prst="rect">
                      <a:avLst/>
                    </a:prstGeom>
                  </pic:spPr>
                </pic:pic>
              </a:graphicData>
            </a:graphic>
          </wp:inline>
        </w:drawing>
      </w: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8C485D" w:rsidP="00546E5E">
      <w:pPr>
        <w:pStyle w:val="DecisionParagraphs"/>
        <w:tabs>
          <w:tab w:val="clear" w:pos="5387"/>
          <w:tab w:val="left" w:pos="5400"/>
        </w:tabs>
        <w:ind w:left="0"/>
        <w:jc w:val="center"/>
        <w:rPr>
          <w:i w:val="0"/>
          <w:lang w:val="es-ES_tradnl"/>
        </w:rPr>
      </w:pPr>
      <w:r>
        <w:rPr>
          <w:i w:val="0"/>
          <w:noProof/>
        </w:rPr>
        <w:drawing>
          <wp:inline distT="0" distB="0" distL="0" distR="0" wp14:anchorId="6840E593">
            <wp:extent cx="4547870" cy="3420110"/>
            <wp:effectExtent l="0" t="0" r="508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47870" cy="3420110"/>
                    </a:xfrm>
                    <a:prstGeom prst="rect">
                      <a:avLst/>
                    </a:prstGeom>
                    <a:noFill/>
                  </pic:spPr>
                </pic:pic>
              </a:graphicData>
            </a:graphic>
          </wp:inline>
        </w:drawing>
      </w: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r w:rsidRPr="009946E5">
        <w:rPr>
          <w:i w:val="0"/>
          <w:noProof/>
        </w:rPr>
        <w:drawing>
          <wp:inline distT="0" distB="0" distL="0" distR="0" wp14:anchorId="37A39BFA" wp14:editId="1AA38CEE">
            <wp:extent cx="4572638" cy="342947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4572638" cy="3429479"/>
                    </a:xfrm>
                    <a:prstGeom prst="rect">
                      <a:avLst/>
                    </a:prstGeom>
                  </pic:spPr>
                </pic:pic>
              </a:graphicData>
            </a:graphic>
          </wp:inline>
        </w:drawing>
      </w: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r w:rsidRPr="009946E5">
        <w:rPr>
          <w:i w:val="0"/>
          <w:noProof/>
        </w:rPr>
        <w:drawing>
          <wp:inline distT="0" distB="0" distL="0" distR="0" wp14:anchorId="0F624867" wp14:editId="488044E6">
            <wp:extent cx="4572638" cy="342947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4572638" cy="3429479"/>
                    </a:xfrm>
                    <a:prstGeom prst="rect">
                      <a:avLst/>
                    </a:prstGeom>
                  </pic:spPr>
                </pic:pic>
              </a:graphicData>
            </a:graphic>
          </wp:inline>
        </w:drawing>
      </w: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r w:rsidRPr="009946E5">
        <w:rPr>
          <w:i w:val="0"/>
          <w:noProof/>
        </w:rPr>
        <w:drawing>
          <wp:inline distT="0" distB="0" distL="0" distR="0" wp14:anchorId="7BE00F35" wp14:editId="5DB4546C">
            <wp:extent cx="4572638" cy="342947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4572638" cy="3429479"/>
                    </a:xfrm>
                    <a:prstGeom prst="rect">
                      <a:avLst/>
                    </a:prstGeom>
                  </pic:spPr>
                </pic:pic>
              </a:graphicData>
            </a:graphic>
          </wp:inline>
        </w:drawing>
      </w: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r w:rsidRPr="009946E5">
        <w:rPr>
          <w:i w:val="0"/>
          <w:noProof/>
        </w:rPr>
        <w:drawing>
          <wp:inline distT="0" distB="0" distL="0" distR="0" wp14:anchorId="6A1789ED" wp14:editId="24132902">
            <wp:extent cx="4572638" cy="342947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4572638" cy="3429479"/>
                    </a:xfrm>
                    <a:prstGeom prst="rect">
                      <a:avLst/>
                    </a:prstGeom>
                  </pic:spPr>
                </pic:pic>
              </a:graphicData>
            </a:graphic>
          </wp:inline>
        </w:drawing>
      </w: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r w:rsidRPr="009946E5">
        <w:rPr>
          <w:i w:val="0"/>
          <w:noProof/>
        </w:rPr>
        <w:drawing>
          <wp:inline distT="0" distB="0" distL="0" distR="0" wp14:anchorId="0E18F863" wp14:editId="6EFDAC74">
            <wp:extent cx="4572638" cy="342947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tretch>
                      <a:fillRect/>
                    </a:stretch>
                  </pic:blipFill>
                  <pic:spPr>
                    <a:xfrm>
                      <a:off x="0" y="0"/>
                      <a:ext cx="4572638" cy="3429479"/>
                    </a:xfrm>
                    <a:prstGeom prst="rect">
                      <a:avLst/>
                    </a:prstGeom>
                  </pic:spPr>
                </pic:pic>
              </a:graphicData>
            </a:graphic>
          </wp:inline>
        </w:drawing>
      </w: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r w:rsidRPr="009946E5">
        <w:rPr>
          <w:i w:val="0"/>
          <w:noProof/>
        </w:rPr>
        <w:drawing>
          <wp:inline distT="0" distB="0" distL="0" distR="0" wp14:anchorId="14CDCAB7" wp14:editId="35E6899A">
            <wp:extent cx="4572638" cy="342947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stretch>
                      <a:fillRect/>
                    </a:stretch>
                  </pic:blipFill>
                  <pic:spPr>
                    <a:xfrm>
                      <a:off x="0" y="0"/>
                      <a:ext cx="4572638" cy="3429479"/>
                    </a:xfrm>
                    <a:prstGeom prst="rect">
                      <a:avLst/>
                    </a:prstGeom>
                  </pic:spPr>
                </pic:pic>
              </a:graphicData>
            </a:graphic>
          </wp:inline>
        </w:drawing>
      </w: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ind w:left="0"/>
        <w:jc w:val="center"/>
        <w:rPr>
          <w:i w:val="0"/>
          <w:lang w:val="es-ES_tradnl"/>
        </w:rPr>
      </w:pPr>
    </w:p>
    <w:p w:rsidR="00546E5E" w:rsidRPr="009946E5" w:rsidRDefault="00546E5E" w:rsidP="00546E5E">
      <w:pPr>
        <w:pStyle w:val="DecisionParagraphs"/>
        <w:tabs>
          <w:tab w:val="clear" w:pos="5387"/>
          <w:tab w:val="left" w:pos="5400"/>
        </w:tabs>
        <w:rPr>
          <w:i w:val="0"/>
          <w:lang w:val="es-ES_tradnl"/>
        </w:rPr>
      </w:pPr>
    </w:p>
    <w:p w:rsidR="00546E5E" w:rsidRPr="009946E5" w:rsidRDefault="00546E5E" w:rsidP="00546E5E">
      <w:pPr>
        <w:pStyle w:val="DecisionParagraphs"/>
        <w:tabs>
          <w:tab w:val="clear" w:pos="5387"/>
          <w:tab w:val="left" w:pos="5400"/>
        </w:tabs>
        <w:rPr>
          <w:i w:val="0"/>
          <w:lang w:val="es-ES_tradnl"/>
        </w:rPr>
      </w:pPr>
    </w:p>
    <w:p w:rsidR="007F4BB2" w:rsidRPr="009946E5" w:rsidRDefault="007F4BB2" w:rsidP="00905020">
      <w:pPr>
        <w:rPr>
          <w:snapToGrid w:val="0"/>
          <w:lang w:val="es-ES_tradnl"/>
        </w:rPr>
      </w:pPr>
    </w:p>
    <w:p w:rsidR="007F4BB2" w:rsidRPr="009946E5" w:rsidRDefault="007F4BB2" w:rsidP="007F4BB2">
      <w:pPr>
        <w:jc w:val="right"/>
        <w:rPr>
          <w:snapToGrid w:val="0"/>
          <w:lang w:val="es-ES_tradnl"/>
        </w:rPr>
      </w:pPr>
    </w:p>
    <w:p w:rsidR="007F4BB2" w:rsidRPr="009946E5" w:rsidRDefault="007F4BB2" w:rsidP="007F4BB2">
      <w:pPr>
        <w:jc w:val="right"/>
        <w:rPr>
          <w:snapToGrid w:val="0"/>
          <w:lang w:val="es-ES_tradnl"/>
        </w:rPr>
      </w:pPr>
      <w:r w:rsidRPr="009946E5">
        <w:rPr>
          <w:snapToGrid w:val="0"/>
          <w:lang w:val="es-ES_tradnl"/>
        </w:rPr>
        <w:t>[Fin del documento]</w:t>
      </w:r>
    </w:p>
    <w:sectPr w:rsidR="007F4BB2" w:rsidRPr="009946E5" w:rsidSect="004E1893">
      <w:headerReference w:type="default" r:id="rId25"/>
      <w:headerReference w:type="first" r:id="rId26"/>
      <w:footerReference w:type="first" r:id="rId2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812" w:rsidRDefault="008E7812" w:rsidP="00F45372">
      <w:r>
        <w:separator/>
      </w:r>
    </w:p>
    <w:p w:rsidR="008E7812" w:rsidRDefault="008E7812" w:rsidP="00F45372"/>
    <w:p w:rsidR="008E7812" w:rsidRDefault="008E7812" w:rsidP="00F45372"/>
  </w:endnote>
  <w:endnote w:type="continuationSeparator" w:id="0">
    <w:p w:rsidR="008E7812" w:rsidRDefault="008E7812" w:rsidP="00F45372">
      <w:r>
        <w:separator/>
      </w:r>
    </w:p>
    <w:p w:rsidR="008E7812" w:rsidRPr="00970020" w:rsidRDefault="008E7812">
      <w:pPr>
        <w:pStyle w:val="Footer"/>
        <w:spacing w:after="60"/>
        <w:rPr>
          <w:sz w:val="18"/>
          <w:lang w:val="fr-CH"/>
        </w:rPr>
      </w:pPr>
      <w:r w:rsidRPr="00970020">
        <w:rPr>
          <w:sz w:val="18"/>
          <w:lang w:val="fr-CH"/>
        </w:rPr>
        <w:t>[Suite de la note de la page précédente]</w:t>
      </w:r>
    </w:p>
    <w:p w:rsidR="008E7812" w:rsidRPr="00970020" w:rsidRDefault="008E7812" w:rsidP="00F45372">
      <w:pPr>
        <w:rPr>
          <w:lang w:val="fr-CH"/>
        </w:rPr>
      </w:pPr>
    </w:p>
    <w:p w:rsidR="008E7812" w:rsidRPr="00970020" w:rsidRDefault="008E7812" w:rsidP="00F45372">
      <w:pPr>
        <w:rPr>
          <w:lang w:val="fr-CH"/>
        </w:rPr>
      </w:pPr>
    </w:p>
  </w:endnote>
  <w:endnote w:type="continuationNotice" w:id="1">
    <w:p w:rsidR="008E7812" w:rsidRPr="00970020" w:rsidRDefault="008E7812" w:rsidP="00F45372">
      <w:pPr>
        <w:rPr>
          <w:lang w:val="fr-CH"/>
        </w:rPr>
      </w:pPr>
      <w:r w:rsidRPr="00970020">
        <w:rPr>
          <w:lang w:val="fr-CH"/>
        </w:rPr>
        <w:t>[Suite de la note page suivante]</w:t>
      </w:r>
    </w:p>
    <w:p w:rsidR="008E7812" w:rsidRPr="00970020" w:rsidRDefault="008E7812" w:rsidP="00F45372">
      <w:pPr>
        <w:rPr>
          <w:lang w:val="fr-CH"/>
        </w:rPr>
      </w:pPr>
    </w:p>
    <w:p w:rsidR="008E7812" w:rsidRPr="00970020" w:rsidRDefault="008E7812"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693" w:rsidRPr="00E069A4" w:rsidRDefault="008A1693" w:rsidP="00E06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812" w:rsidRDefault="008E7812" w:rsidP="00F45372">
      <w:r>
        <w:separator/>
      </w:r>
    </w:p>
  </w:footnote>
  <w:footnote w:type="continuationSeparator" w:id="0">
    <w:p w:rsidR="008E7812" w:rsidRDefault="008E7812" w:rsidP="00F45372">
      <w:r>
        <w:separator/>
      </w:r>
    </w:p>
  </w:footnote>
  <w:footnote w:type="continuationNotice" w:id="1">
    <w:p w:rsidR="008E7812" w:rsidRPr="00905020" w:rsidRDefault="008E7812" w:rsidP="0090502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540676"/>
      <w:docPartObj>
        <w:docPartGallery w:val="Page Numbers (Top of Page)"/>
        <w:docPartUnique/>
      </w:docPartObj>
    </w:sdtPr>
    <w:sdtEndPr>
      <w:rPr>
        <w:noProof/>
      </w:rPr>
    </w:sdtEndPr>
    <w:sdtContent>
      <w:p w:rsidR="00546E5E" w:rsidRPr="009946E5" w:rsidRDefault="00546E5E" w:rsidP="002F2BDB">
        <w:pPr>
          <w:pStyle w:val="Header"/>
          <w:rPr>
            <w:lang w:val="es-ES"/>
          </w:rPr>
        </w:pPr>
        <w:r>
          <w:t>TC</w:t>
        </w:r>
        <w:r>
          <w:rPr>
            <w:rFonts w:hint="eastAsia"/>
          </w:rPr>
          <w:t>/51/17</w:t>
        </w:r>
      </w:p>
      <w:p w:rsidR="00546E5E" w:rsidRPr="00824A90" w:rsidRDefault="003D219B" w:rsidP="002F2BDB">
        <w:pPr>
          <w:pStyle w:val="Header"/>
        </w:pPr>
        <w:r w:rsidRPr="009946E5">
          <w:rPr>
            <w:lang w:val="es-ES"/>
          </w:rPr>
          <w:t>página</w:t>
        </w:r>
        <w:r>
          <w:t xml:space="preserve"> </w:t>
        </w:r>
        <w:r w:rsidR="00C66911">
          <w:fldChar w:fldCharType="begin"/>
        </w:r>
        <w:r w:rsidR="00546E5E" w:rsidRPr="00824A90">
          <w:instrText xml:space="preserve"> PAGE   \* MERGEFORMAT </w:instrText>
        </w:r>
        <w:r w:rsidR="00C66911">
          <w:fldChar w:fldCharType="separate"/>
        </w:r>
        <w:r w:rsidR="00B81559">
          <w:rPr>
            <w:noProof/>
          </w:rPr>
          <w:t>2</w:t>
        </w:r>
        <w:r w:rsidR="00C66911">
          <w:rPr>
            <w:noProof/>
          </w:rPr>
          <w:fldChar w:fldCharType="end"/>
        </w:r>
      </w:p>
    </w:sdtContent>
  </w:sdt>
  <w:p w:rsidR="00546E5E" w:rsidRPr="00E96CD3" w:rsidRDefault="00546E5E"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6968401"/>
      <w:docPartObj>
        <w:docPartGallery w:val="Page Numbers (Top of Page)"/>
        <w:docPartUnique/>
      </w:docPartObj>
    </w:sdtPr>
    <w:sdtEndPr>
      <w:rPr>
        <w:noProof/>
      </w:rPr>
    </w:sdtEndPr>
    <w:sdtContent>
      <w:p w:rsidR="00546E5E" w:rsidRDefault="00546E5E">
        <w:pPr>
          <w:pStyle w:val="Header"/>
        </w:pPr>
        <w:r>
          <w:rPr>
            <w:rFonts w:hint="eastAsia"/>
          </w:rPr>
          <w:t>TC/51/17</w:t>
        </w:r>
      </w:p>
      <w:p w:rsidR="00546E5E" w:rsidRDefault="00546E5E">
        <w:pPr>
          <w:pStyle w:val="Header"/>
        </w:pPr>
        <w:r>
          <w:rPr>
            <w:rFonts w:hint="eastAsia"/>
          </w:rPr>
          <w:t>Anexo, página</w:t>
        </w:r>
        <w:r w:rsidR="009946E5">
          <w:t xml:space="preserve"> </w:t>
        </w:r>
        <w:r w:rsidR="00C66911">
          <w:fldChar w:fldCharType="begin"/>
        </w:r>
        <w:r>
          <w:instrText xml:space="preserve"> PAGE   \* MERGEFORMAT </w:instrText>
        </w:r>
        <w:r w:rsidR="00C66911">
          <w:fldChar w:fldCharType="separate"/>
        </w:r>
        <w:r>
          <w:rPr>
            <w:noProof/>
          </w:rPr>
          <w:t>5</w:t>
        </w:r>
        <w:r w:rsidR="00C66911">
          <w:rPr>
            <w:noProof/>
          </w:rPr>
          <w:fldChar w:fldCharType="end"/>
        </w:r>
      </w:p>
    </w:sdtContent>
  </w:sdt>
  <w:p w:rsidR="00546E5E" w:rsidRPr="00E96CD3" w:rsidRDefault="00546E5E"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E5E" w:rsidRPr="00C616F4" w:rsidRDefault="00546E5E">
    <w:pPr>
      <w:pStyle w:val="Header"/>
    </w:pPr>
    <w:r>
      <w:t>TC/5</w:t>
    </w:r>
    <w:r>
      <w:rPr>
        <w:rFonts w:hint="eastAsia"/>
      </w:rPr>
      <w:t>1</w:t>
    </w:r>
    <w:r>
      <w:t>/</w:t>
    </w:r>
    <w:r>
      <w:rPr>
        <w:rFonts w:hint="eastAsia"/>
      </w:rPr>
      <w:t>19</w:t>
    </w:r>
  </w:p>
  <w:p w:rsidR="00546E5E" w:rsidRDefault="00546E5E">
    <w:pPr>
      <w:pStyle w:val="Header"/>
    </w:pPr>
  </w:p>
  <w:p w:rsidR="00546E5E" w:rsidRPr="00C616F4" w:rsidRDefault="00546E5E">
    <w:pPr>
      <w:pStyle w:val="Header"/>
    </w:pPr>
    <w:r>
      <w:rPr>
        <w:rFonts w:hint="eastAsia"/>
      </w:rPr>
      <w:t>ANEX</w:t>
    </w:r>
    <w:r>
      <w:t>O</w:t>
    </w:r>
  </w:p>
  <w:p w:rsidR="00546E5E" w:rsidRPr="00824A90" w:rsidRDefault="00546E5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693" w:rsidRPr="0099714B" w:rsidRDefault="008A1693" w:rsidP="0099714B">
    <w:pPr>
      <w:pStyle w:val="Header"/>
      <w:rPr>
        <w:rStyle w:val="PageNumber"/>
        <w:lang w:val="es-ES"/>
      </w:rPr>
    </w:pPr>
    <w:r w:rsidRPr="0099714B">
      <w:rPr>
        <w:rStyle w:val="PageNumber"/>
        <w:lang w:val="es-ES"/>
      </w:rPr>
      <w:t>TC/51/17</w:t>
    </w:r>
  </w:p>
  <w:p w:rsidR="008A1693" w:rsidRPr="0099714B" w:rsidRDefault="0099714B" w:rsidP="0099714B">
    <w:pPr>
      <w:pStyle w:val="Header"/>
      <w:rPr>
        <w:lang w:val="es-ES"/>
      </w:rPr>
    </w:pPr>
    <w:r w:rsidRPr="0099714B">
      <w:rPr>
        <w:lang w:val="es-ES"/>
      </w:rPr>
      <w:t xml:space="preserve">Anexo, </w:t>
    </w:r>
    <w:r w:rsidR="008A1693" w:rsidRPr="0099714B">
      <w:rPr>
        <w:lang w:val="es-ES"/>
      </w:rPr>
      <w:t xml:space="preserve">página </w:t>
    </w:r>
    <w:r w:rsidR="00C66911" w:rsidRPr="0099714B">
      <w:rPr>
        <w:rStyle w:val="PageNumber"/>
        <w:lang w:val="es-ES"/>
      </w:rPr>
      <w:fldChar w:fldCharType="begin"/>
    </w:r>
    <w:r w:rsidR="008A1693" w:rsidRPr="0099714B">
      <w:rPr>
        <w:rStyle w:val="PageNumber"/>
        <w:lang w:val="es-ES"/>
      </w:rPr>
      <w:instrText xml:space="preserve"> PAGE </w:instrText>
    </w:r>
    <w:r w:rsidR="00C66911" w:rsidRPr="0099714B">
      <w:rPr>
        <w:rStyle w:val="PageNumber"/>
        <w:lang w:val="es-ES"/>
      </w:rPr>
      <w:fldChar w:fldCharType="separate"/>
    </w:r>
    <w:r w:rsidR="00B81559">
      <w:rPr>
        <w:rStyle w:val="PageNumber"/>
        <w:noProof/>
        <w:lang w:val="es-ES"/>
      </w:rPr>
      <w:t>8</w:t>
    </w:r>
    <w:r w:rsidR="00C66911" w:rsidRPr="0099714B">
      <w:rPr>
        <w:rStyle w:val="PageNumber"/>
        <w:lang w:val="es-ES"/>
      </w:rPr>
      <w:fldChar w:fldCharType="end"/>
    </w:r>
  </w:p>
  <w:p w:rsidR="008A1693" w:rsidRPr="0099714B" w:rsidRDefault="008A1693" w:rsidP="0099714B">
    <w:pPr>
      <w:jc w:val="center"/>
      <w:rPr>
        <w:lang w:val="es-E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893" w:rsidRPr="0099714B" w:rsidRDefault="004E1893">
    <w:pPr>
      <w:pStyle w:val="Header"/>
      <w:rPr>
        <w:lang w:val="es-ES"/>
      </w:rPr>
    </w:pPr>
    <w:r w:rsidRPr="0099714B">
      <w:rPr>
        <w:lang w:val="es-ES"/>
      </w:rPr>
      <w:t>TC/51/</w:t>
    </w:r>
    <w:r w:rsidR="0099714B">
      <w:rPr>
        <w:lang w:val="es-ES"/>
      </w:rPr>
      <w:t>17</w:t>
    </w:r>
  </w:p>
  <w:p w:rsidR="004E1893" w:rsidRPr="0099714B" w:rsidRDefault="004E1893">
    <w:pPr>
      <w:pStyle w:val="Header"/>
      <w:rPr>
        <w:lang w:val="es-ES"/>
      </w:rPr>
    </w:pPr>
  </w:p>
  <w:p w:rsidR="004E1893" w:rsidRPr="0099714B" w:rsidRDefault="004E1893">
    <w:pPr>
      <w:pStyle w:val="Header"/>
      <w:rPr>
        <w:lang w:val="es-ES"/>
      </w:rPr>
    </w:pPr>
    <w:r w:rsidRPr="0099714B">
      <w:rPr>
        <w:lang w:val="es-ES"/>
      </w:rPr>
      <w:t>ANEXO</w:t>
    </w:r>
  </w:p>
  <w:p w:rsidR="004E1893" w:rsidRPr="0099714B" w:rsidRDefault="004E1893">
    <w:pPr>
      <w:pStyle w:val="Header"/>
      <w:rPr>
        <w:lang w:val="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029"/>
    <w:rsid w:val="00010CF3"/>
    <w:rsid w:val="00011E27"/>
    <w:rsid w:val="000148BC"/>
    <w:rsid w:val="00024AB8"/>
    <w:rsid w:val="00030854"/>
    <w:rsid w:val="00036028"/>
    <w:rsid w:val="00044642"/>
    <w:rsid w:val="000446B9"/>
    <w:rsid w:val="00047E21"/>
    <w:rsid w:val="0005735D"/>
    <w:rsid w:val="00085505"/>
    <w:rsid w:val="0008567C"/>
    <w:rsid w:val="000C7021"/>
    <w:rsid w:val="000D6BBC"/>
    <w:rsid w:val="000D7780"/>
    <w:rsid w:val="00105929"/>
    <w:rsid w:val="001131D5"/>
    <w:rsid w:val="00115B43"/>
    <w:rsid w:val="00141DB8"/>
    <w:rsid w:val="001479AA"/>
    <w:rsid w:val="00166FF5"/>
    <w:rsid w:val="0017474A"/>
    <w:rsid w:val="001758C6"/>
    <w:rsid w:val="00184D5D"/>
    <w:rsid w:val="00187269"/>
    <w:rsid w:val="0021332C"/>
    <w:rsid w:val="00213982"/>
    <w:rsid w:val="00235267"/>
    <w:rsid w:val="002424EB"/>
    <w:rsid w:val="0024416D"/>
    <w:rsid w:val="00266E18"/>
    <w:rsid w:val="002800A0"/>
    <w:rsid w:val="002801B3"/>
    <w:rsid w:val="00281060"/>
    <w:rsid w:val="002940E8"/>
    <w:rsid w:val="002A6E50"/>
    <w:rsid w:val="002C256A"/>
    <w:rsid w:val="00305A7F"/>
    <w:rsid w:val="003152FE"/>
    <w:rsid w:val="00320AE8"/>
    <w:rsid w:val="00327436"/>
    <w:rsid w:val="00344BD6"/>
    <w:rsid w:val="0035528D"/>
    <w:rsid w:val="00361821"/>
    <w:rsid w:val="0036199D"/>
    <w:rsid w:val="00366D8A"/>
    <w:rsid w:val="00370631"/>
    <w:rsid w:val="003D219B"/>
    <w:rsid w:val="003D227C"/>
    <w:rsid w:val="003D2B4D"/>
    <w:rsid w:val="003D7E71"/>
    <w:rsid w:val="004155E3"/>
    <w:rsid w:val="004250B8"/>
    <w:rsid w:val="00444A88"/>
    <w:rsid w:val="00474DA4"/>
    <w:rsid w:val="004972EA"/>
    <w:rsid w:val="004B504B"/>
    <w:rsid w:val="004C11F9"/>
    <w:rsid w:val="004D047D"/>
    <w:rsid w:val="004E1893"/>
    <w:rsid w:val="004E5026"/>
    <w:rsid w:val="004F1D89"/>
    <w:rsid w:val="004F305A"/>
    <w:rsid w:val="00512164"/>
    <w:rsid w:val="00520297"/>
    <w:rsid w:val="00530000"/>
    <w:rsid w:val="005338F9"/>
    <w:rsid w:val="005369D6"/>
    <w:rsid w:val="0054281C"/>
    <w:rsid w:val="00546E5E"/>
    <w:rsid w:val="0055268D"/>
    <w:rsid w:val="00576BE4"/>
    <w:rsid w:val="00576BF0"/>
    <w:rsid w:val="005A400A"/>
    <w:rsid w:val="00612379"/>
    <w:rsid w:val="0061555F"/>
    <w:rsid w:val="00624D60"/>
    <w:rsid w:val="00625523"/>
    <w:rsid w:val="00641200"/>
    <w:rsid w:val="00687EB4"/>
    <w:rsid w:val="006A1ECF"/>
    <w:rsid w:val="006B17D2"/>
    <w:rsid w:val="006C224E"/>
    <w:rsid w:val="006D780A"/>
    <w:rsid w:val="00732DEC"/>
    <w:rsid w:val="00735BD5"/>
    <w:rsid w:val="00744B85"/>
    <w:rsid w:val="00746B68"/>
    <w:rsid w:val="00753A37"/>
    <w:rsid w:val="007556F6"/>
    <w:rsid w:val="00760EEF"/>
    <w:rsid w:val="00767650"/>
    <w:rsid w:val="00777EE5"/>
    <w:rsid w:val="00784836"/>
    <w:rsid w:val="0079023E"/>
    <w:rsid w:val="007A2854"/>
    <w:rsid w:val="007B13E4"/>
    <w:rsid w:val="007D0B9D"/>
    <w:rsid w:val="007D19B0"/>
    <w:rsid w:val="007F498F"/>
    <w:rsid w:val="007F4BB2"/>
    <w:rsid w:val="0080679D"/>
    <w:rsid w:val="008108B0"/>
    <w:rsid w:val="00811B20"/>
    <w:rsid w:val="0082296E"/>
    <w:rsid w:val="00824099"/>
    <w:rsid w:val="00867AC1"/>
    <w:rsid w:val="008A1693"/>
    <w:rsid w:val="008A743F"/>
    <w:rsid w:val="008C0970"/>
    <w:rsid w:val="008C485D"/>
    <w:rsid w:val="008D2CF7"/>
    <w:rsid w:val="008D3729"/>
    <w:rsid w:val="008E7812"/>
    <w:rsid w:val="00900C26"/>
    <w:rsid w:val="0090197F"/>
    <w:rsid w:val="00905020"/>
    <w:rsid w:val="00906DDC"/>
    <w:rsid w:val="00934E09"/>
    <w:rsid w:val="00936253"/>
    <w:rsid w:val="00952DD4"/>
    <w:rsid w:val="00970020"/>
    <w:rsid w:val="00970FED"/>
    <w:rsid w:val="009946E5"/>
    <w:rsid w:val="00997029"/>
    <w:rsid w:val="0099714B"/>
    <w:rsid w:val="009D690D"/>
    <w:rsid w:val="009E30A1"/>
    <w:rsid w:val="009E65B6"/>
    <w:rsid w:val="00A13C6F"/>
    <w:rsid w:val="00A34A6A"/>
    <w:rsid w:val="00A37B04"/>
    <w:rsid w:val="00A42AC3"/>
    <w:rsid w:val="00A430CF"/>
    <w:rsid w:val="00A47CDB"/>
    <w:rsid w:val="00A54309"/>
    <w:rsid w:val="00AA65E7"/>
    <w:rsid w:val="00AB2B93"/>
    <w:rsid w:val="00AB7E5B"/>
    <w:rsid w:val="00AD66D0"/>
    <w:rsid w:val="00AE0EF1"/>
    <w:rsid w:val="00B07301"/>
    <w:rsid w:val="00B224DE"/>
    <w:rsid w:val="00B81559"/>
    <w:rsid w:val="00B84BBD"/>
    <w:rsid w:val="00BA13AF"/>
    <w:rsid w:val="00BA43FB"/>
    <w:rsid w:val="00BC127D"/>
    <w:rsid w:val="00BC1FE6"/>
    <w:rsid w:val="00BD2F2F"/>
    <w:rsid w:val="00C061B6"/>
    <w:rsid w:val="00C13808"/>
    <w:rsid w:val="00C2446C"/>
    <w:rsid w:val="00C36AE5"/>
    <w:rsid w:val="00C41F17"/>
    <w:rsid w:val="00C5791C"/>
    <w:rsid w:val="00C66290"/>
    <w:rsid w:val="00C66911"/>
    <w:rsid w:val="00C72B7A"/>
    <w:rsid w:val="00C82A8B"/>
    <w:rsid w:val="00C973F2"/>
    <w:rsid w:val="00CA774A"/>
    <w:rsid w:val="00CC11B0"/>
    <w:rsid w:val="00CF7E36"/>
    <w:rsid w:val="00D261C5"/>
    <w:rsid w:val="00D3708D"/>
    <w:rsid w:val="00D40426"/>
    <w:rsid w:val="00D57C96"/>
    <w:rsid w:val="00D91203"/>
    <w:rsid w:val="00D95174"/>
    <w:rsid w:val="00DA4685"/>
    <w:rsid w:val="00DA6F36"/>
    <w:rsid w:val="00DB596E"/>
    <w:rsid w:val="00DC00EA"/>
    <w:rsid w:val="00E069A4"/>
    <w:rsid w:val="00E50918"/>
    <w:rsid w:val="00E72D49"/>
    <w:rsid w:val="00E7593C"/>
    <w:rsid w:val="00E7678A"/>
    <w:rsid w:val="00E8693A"/>
    <w:rsid w:val="00E935F1"/>
    <w:rsid w:val="00E94A81"/>
    <w:rsid w:val="00EA1FFB"/>
    <w:rsid w:val="00EA5245"/>
    <w:rsid w:val="00EB048E"/>
    <w:rsid w:val="00ED5E53"/>
    <w:rsid w:val="00EE34DF"/>
    <w:rsid w:val="00EF2F89"/>
    <w:rsid w:val="00F1237A"/>
    <w:rsid w:val="00F22CBD"/>
    <w:rsid w:val="00F45372"/>
    <w:rsid w:val="00F560F7"/>
    <w:rsid w:val="00F6334D"/>
    <w:rsid w:val="00F77B84"/>
    <w:rsid w:val="00FA2E67"/>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s-ES" w:bidi="lo-L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autoRedefine/>
    <w:qFormat/>
    <w:rsid w:val="00370631"/>
    <w:pPr>
      <w:keepNext/>
      <w:jc w:val="both"/>
      <w:outlineLvl w:val="0"/>
    </w:pPr>
    <w:rPr>
      <w:rFonts w:ascii="Arial" w:hAnsi="Arial"/>
      <w:caps/>
    </w:rPr>
  </w:style>
  <w:style w:type="paragraph" w:styleId="Heading2">
    <w:name w:val="heading 2"/>
    <w:next w:val="Normal"/>
    <w:autoRedefine/>
    <w:qFormat/>
    <w:rsid w:val="00370631"/>
    <w:pPr>
      <w:keepNext/>
      <w:jc w:val="both"/>
      <w:outlineLvl w:val="1"/>
    </w:pPr>
    <w:rPr>
      <w:rFonts w:ascii="Arial" w:hAnsi="Arial"/>
      <w:u w:val="single"/>
    </w:rPr>
  </w:style>
  <w:style w:type="paragraph" w:styleId="Heading3">
    <w:name w:val="heading 3"/>
    <w:next w:val="Normal"/>
    <w:autoRedefine/>
    <w:qFormat/>
    <w:rsid w:val="00370631"/>
    <w:pPr>
      <w:keepNext/>
      <w:jc w:val="both"/>
      <w:outlineLvl w:val="2"/>
    </w:pPr>
    <w:rPr>
      <w:rFonts w:ascii="Arial" w:hAnsi="Arial"/>
      <w:i/>
    </w:rPr>
  </w:style>
  <w:style w:type="paragraph" w:styleId="Heading4">
    <w:name w:val="heading 4"/>
    <w:next w:val="Normal"/>
    <w:autoRedefine/>
    <w:qFormat/>
    <w:rsid w:val="00370631"/>
    <w:pPr>
      <w:keepNext/>
      <w:ind w:left="567"/>
      <w:jc w:val="both"/>
      <w:outlineLvl w:val="3"/>
    </w:pPr>
    <w:rPr>
      <w:rFonts w:ascii="Arial" w:hAnsi="Arial"/>
      <w:u w:val="single"/>
      <w:lang w:val="fr-FR"/>
    </w:rPr>
  </w:style>
  <w:style w:type="paragraph" w:styleId="Heading5">
    <w:name w:val="heading 5"/>
    <w:next w:val="Normal"/>
    <w:autoRedefine/>
    <w:qFormat/>
    <w:rsid w:val="00370631"/>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905020"/>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266E18"/>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905020"/>
    <w:pPr>
      <w:keepNext/>
      <w:keepLines/>
      <w:spacing w:before="180" w:after="120"/>
      <w:jc w:val="left"/>
    </w:pPr>
    <w:rPr>
      <w:caps/>
      <w:noProof/>
      <w:snapToGrid w:val="0"/>
      <w:u w:val="single"/>
    </w:rPr>
  </w:style>
  <w:style w:type="paragraph" w:customStyle="1" w:styleId="pldetails">
    <w:name w:val="pldetails"/>
    <w:basedOn w:val="Normal"/>
    <w:rsid w:val="00905020"/>
    <w:pPr>
      <w:keepLines/>
      <w:spacing w:before="60" w:after="60"/>
      <w:jc w:val="left"/>
    </w:pPr>
    <w:rPr>
      <w:noProof/>
      <w:snapToGrid w:val="0"/>
    </w:rPr>
  </w:style>
  <w:style w:type="paragraph" w:customStyle="1" w:styleId="plheading">
    <w:name w:val="plheading"/>
    <w:basedOn w:val="Normal"/>
    <w:rsid w:val="00905020"/>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905020"/>
    <w:rPr>
      <w:rFonts w:ascii="Arial" w:hAnsi="Arial"/>
      <w:color w:val="0000FF"/>
      <w:u w:val="single"/>
    </w:rPr>
  </w:style>
  <w:style w:type="paragraph" w:styleId="TOC4">
    <w:name w:val="toc 4"/>
    <w:next w:val="Normal"/>
    <w:autoRedefine/>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370631"/>
    <w:pPr>
      <w:tabs>
        <w:tab w:val="right" w:leader="dot" w:pos="9639"/>
      </w:tabs>
      <w:contextualSpacing/>
      <w:jc w:val="center"/>
    </w:pPr>
    <w:rPr>
      <w:rFonts w:ascii="Arial" w:hAnsi="Arial"/>
      <w:caps/>
    </w:rPr>
  </w:style>
  <w:style w:type="paragraph" w:styleId="TOC5">
    <w:name w:val="toc 5"/>
    <w:next w:val="Normal"/>
    <w:autoRedefine/>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1479AA"/>
    <w:rPr>
      <w:rFonts w:ascii="Tahoma" w:hAnsi="Tahoma" w:cs="Tahoma"/>
      <w:sz w:val="16"/>
      <w:szCs w:val="16"/>
    </w:rPr>
  </w:style>
  <w:style w:type="character" w:customStyle="1" w:styleId="BalloonTextChar">
    <w:name w:val="Balloon Text Char"/>
    <w:basedOn w:val="DefaultParagraphFont"/>
    <w:link w:val="BalloonText"/>
    <w:rsid w:val="001479AA"/>
    <w:rPr>
      <w:rFonts w:ascii="Tahoma" w:hAnsi="Tahoma" w:cs="Tahoma"/>
      <w:sz w:val="16"/>
      <w:szCs w:val="16"/>
    </w:rPr>
  </w:style>
  <w:style w:type="character" w:customStyle="1" w:styleId="HeaderChar">
    <w:name w:val="Header Char"/>
    <w:basedOn w:val="DefaultParagraphFont"/>
    <w:link w:val="Header"/>
    <w:uiPriority w:val="99"/>
    <w:rsid w:val="00546E5E"/>
    <w:rPr>
      <w:rFonts w:ascii="Arial" w:hAnsi="Arial"/>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autoRedefine/>
    <w:qFormat/>
    <w:rsid w:val="00370631"/>
    <w:pPr>
      <w:keepNext/>
      <w:jc w:val="both"/>
      <w:outlineLvl w:val="0"/>
    </w:pPr>
    <w:rPr>
      <w:rFonts w:ascii="Arial" w:hAnsi="Arial"/>
      <w:caps/>
    </w:rPr>
  </w:style>
  <w:style w:type="paragraph" w:styleId="Heading2">
    <w:name w:val="heading 2"/>
    <w:next w:val="Normal"/>
    <w:autoRedefine/>
    <w:qFormat/>
    <w:rsid w:val="00370631"/>
    <w:pPr>
      <w:keepNext/>
      <w:jc w:val="both"/>
      <w:outlineLvl w:val="1"/>
    </w:pPr>
    <w:rPr>
      <w:rFonts w:ascii="Arial" w:hAnsi="Arial"/>
      <w:u w:val="single"/>
    </w:rPr>
  </w:style>
  <w:style w:type="paragraph" w:styleId="Heading3">
    <w:name w:val="heading 3"/>
    <w:next w:val="Normal"/>
    <w:autoRedefine/>
    <w:qFormat/>
    <w:rsid w:val="00370631"/>
    <w:pPr>
      <w:keepNext/>
      <w:jc w:val="both"/>
      <w:outlineLvl w:val="2"/>
    </w:pPr>
    <w:rPr>
      <w:rFonts w:ascii="Arial" w:hAnsi="Arial"/>
      <w:i/>
    </w:rPr>
  </w:style>
  <w:style w:type="paragraph" w:styleId="Heading4">
    <w:name w:val="heading 4"/>
    <w:next w:val="Normal"/>
    <w:autoRedefine/>
    <w:qFormat/>
    <w:rsid w:val="00370631"/>
    <w:pPr>
      <w:keepNext/>
      <w:ind w:left="567"/>
      <w:jc w:val="both"/>
      <w:outlineLvl w:val="3"/>
    </w:pPr>
    <w:rPr>
      <w:rFonts w:ascii="Arial" w:hAnsi="Arial"/>
      <w:u w:val="single"/>
      <w:lang w:val="fr-FR"/>
    </w:rPr>
  </w:style>
  <w:style w:type="paragraph" w:styleId="Heading5">
    <w:name w:val="heading 5"/>
    <w:next w:val="Normal"/>
    <w:autoRedefine/>
    <w:qFormat/>
    <w:rsid w:val="00370631"/>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905020"/>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266E18"/>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905020"/>
    <w:pPr>
      <w:keepNext/>
      <w:keepLines/>
      <w:spacing w:before="180" w:after="120"/>
      <w:jc w:val="left"/>
    </w:pPr>
    <w:rPr>
      <w:caps/>
      <w:noProof/>
      <w:snapToGrid w:val="0"/>
      <w:u w:val="single"/>
    </w:rPr>
  </w:style>
  <w:style w:type="paragraph" w:customStyle="1" w:styleId="pldetails">
    <w:name w:val="pldetails"/>
    <w:basedOn w:val="Normal"/>
    <w:rsid w:val="00905020"/>
    <w:pPr>
      <w:keepLines/>
      <w:spacing w:before="60" w:after="60"/>
      <w:jc w:val="left"/>
    </w:pPr>
    <w:rPr>
      <w:noProof/>
      <w:snapToGrid w:val="0"/>
    </w:rPr>
  </w:style>
  <w:style w:type="paragraph" w:customStyle="1" w:styleId="plheading">
    <w:name w:val="plheading"/>
    <w:basedOn w:val="Normal"/>
    <w:rsid w:val="00905020"/>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905020"/>
    <w:rPr>
      <w:rFonts w:ascii="Arial" w:hAnsi="Arial"/>
      <w:color w:val="0000FF"/>
      <w:u w:val="single"/>
    </w:rPr>
  </w:style>
  <w:style w:type="paragraph" w:styleId="TOC4">
    <w:name w:val="toc 4"/>
    <w:next w:val="Normal"/>
    <w:autoRedefine/>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370631"/>
    <w:pPr>
      <w:tabs>
        <w:tab w:val="right" w:leader="dot" w:pos="9639"/>
      </w:tabs>
      <w:contextualSpacing/>
      <w:jc w:val="center"/>
    </w:pPr>
    <w:rPr>
      <w:rFonts w:ascii="Arial" w:hAnsi="Arial"/>
      <w:caps/>
    </w:rPr>
  </w:style>
  <w:style w:type="paragraph" w:styleId="TOC5">
    <w:name w:val="toc 5"/>
    <w:next w:val="Normal"/>
    <w:autoRedefine/>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1479AA"/>
    <w:rPr>
      <w:rFonts w:ascii="Tahoma" w:hAnsi="Tahoma" w:cs="Tahoma"/>
      <w:sz w:val="16"/>
      <w:szCs w:val="16"/>
    </w:rPr>
  </w:style>
  <w:style w:type="character" w:customStyle="1" w:styleId="BalloonTextChar">
    <w:name w:val="Balloon Text Char"/>
    <w:basedOn w:val="DefaultParagraphFont"/>
    <w:link w:val="BalloonText"/>
    <w:rsid w:val="001479AA"/>
    <w:rPr>
      <w:rFonts w:ascii="Tahoma" w:hAnsi="Tahoma" w:cs="Tahoma"/>
      <w:sz w:val="16"/>
      <w:szCs w:val="16"/>
    </w:rPr>
  </w:style>
  <w:style w:type="character" w:customStyle="1" w:styleId="HeaderChar">
    <w:name w:val="Header Char"/>
    <w:basedOn w:val="DefaultParagraphFont"/>
    <w:link w:val="Header"/>
    <w:uiPriority w:val="99"/>
    <w:rsid w:val="00546E5E"/>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4.xml"/><Relationship Id="rId2" Type="http://schemas.microsoft.com/office/2007/relationships/stylesWithEffects" Target="stylesWithEffect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1344</Words>
  <Characters>7662</Characters>
  <Application>Microsoft Office Word</Application>
  <DocSecurity>0</DocSecurity>
  <Lines>63</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TC/50</vt:lpstr>
      <vt:lpstr>TC/50</vt:lpstr>
    </vt:vector>
  </TitlesOfParts>
  <Company>UPOV</Company>
  <LinksUpToDate>false</LinksUpToDate>
  <CharactersWithSpaces>8989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BOU LLORET Amparo</dc:creator>
  <cp:lastModifiedBy>LONG Victoria</cp:lastModifiedBy>
  <cp:revision>7</cp:revision>
  <cp:lastPrinted>2011-12-19T06:47:00Z</cp:lastPrinted>
  <dcterms:created xsi:type="dcterms:W3CDTF">2015-03-09T08:16:00Z</dcterms:created>
  <dcterms:modified xsi:type="dcterms:W3CDTF">2015-03-11T13:16:00Z</dcterms:modified>
</cp:coreProperties>
</file>