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51BF1" w:rsidRPr="00D6027D" w:rsidTr="00C13808">
        <w:trPr>
          <w:trHeight w:val="1760"/>
        </w:trPr>
        <w:tc>
          <w:tcPr>
            <w:tcW w:w="4243" w:type="dxa"/>
          </w:tcPr>
          <w:p w:rsidR="00451BF1" w:rsidRPr="00D546E8" w:rsidRDefault="00451BF1" w:rsidP="00F45372">
            <w:pPr>
              <w:rPr>
                <w:lang w:val="es-ES_tradnl"/>
              </w:rPr>
            </w:pPr>
            <w:bookmarkStart w:id="0" w:name="_GoBack"/>
            <w:bookmarkEnd w:id="0"/>
          </w:p>
        </w:tc>
        <w:tc>
          <w:tcPr>
            <w:tcW w:w="1646" w:type="dxa"/>
            <w:vAlign w:val="center"/>
          </w:tcPr>
          <w:p w:rsidR="00451BF1" w:rsidRPr="00D546E8" w:rsidRDefault="00F06F90" w:rsidP="00F45372">
            <w:pPr>
              <w:pStyle w:val="LogoUPOV"/>
              <w:rPr>
                <w:dstrike/>
                <w:lang w:val="es-ES_tradnl"/>
              </w:rPr>
            </w:pPr>
            <w:r>
              <w:rPr>
                <w:noProof/>
              </w:rPr>
              <w:drawing>
                <wp:inline distT="0" distB="0" distL="0" distR="0">
                  <wp:extent cx="98107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451BF1" w:rsidRPr="00D6027D" w:rsidRDefault="00451BF1" w:rsidP="00F45372">
            <w:pPr>
              <w:pStyle w:val="Lettrine"/>
              <w:rPr>
                <w:lang w:val="es-ES_tradnl"/>
              </w:rPr>
            </w:pPr>
            <w:r w:rsidRPr="00D6027D">
              <w:rPr>
                <w:lang w:val="es-ES_tradnl"/>
              </w:rPr>
              <w:t>S</w:t>
            </w:r>
          </w:p>
          <w:p w:rsidR="00451BF1" w:rsidRPr="00D6027D" w:rsidRDefault="00451BF1" w:rsidP="00F45372">
            <w:pPr>
              <w:pStyle w:val="Docoriginal"/>
              <w:rPr>
                <w:lang w:val="es-ES_tradnl"/>
              </w:rPr>
            </w:pPr>
            <w:r w:rsidRPr="00D6027D">
              <w:rPr>
                <w:lang w:val="es-ES_tradnl"/>
              </w:rPr>
              <w:t>TC/51/</w:t>
            </w:r>
            <w:bookmarkStart w:id="1" w:name="Code"/>
            <w:bookmarkEnd w:id="1"/>
            <w:r w:rsidRPr="00D6027D">
              <w:rPr>
                <w:lang w:val="es-ES_tradnl"/>
              </w:rPr>
              <w:t>16</w:t>
            </w:r>
          </w:p>
          <w:p w:rsidR="00451BF1" w:rsidRPr="00D6027D" w:rsidRDefault="00451BF1" w:rsidP="00F45372">
            <w:pPr>
              <w:pStyle w:val="Docoriginal"/>
              <w:rPr>
                <w:b w:val="0"/>
                <w:spacing w:val="0"/>
                <w:lang w:val="es-ES_tradnl"/>
              </w:rPr>
            </w:pPr>
            <w:r w:rsidRPr="00D6027D">
              <w:rPr>
                <w:rStyle w:val="StyleDoclangBold"/>
                <w:b/>
                <w:bCs/>
                <w:spacing w:val="0"/>
                <w:lang w:val="es-ES_tradnl"/>
              </w:rPr>
              <w:t>ORIGINAL:</w:t>
            </w:r>
            <w:r w:rsidRPr="00D6027D">
              <w:rPr>
                <w:rStyle w:val="StyleDocoriginalNotBold1"/>
                <w:spacing w:val="0"/>
                <w:lang w:val="es-ES_tradnl"/>
              </w:rPr>
              <w:t xml:space="preserve">  </w:t>
            </w:r>
            <w:bookmarkStart w:id="2" w:name="Original"/>
            <w:bookmarkEnd w:id="2"/>
            <w:r w:rsidRPr="00D6027D">
              <w:rPr>
                <w:b w:val="0"/>
                <w:spacing w:val="0"/>
                <w:lang w:val="es-ES_tradnl"/>
              </w:rPr>
              <w:t>Inglés</w:t>
            </w:r>
          </w:p>
          <w:p w:rsidR="00451BF1" w:rsidRPr="00D6027D" w:rsidRDefault="00451BF1" w:rsidP="00CA7E27">
            <w:pPr>
              <w:pStyle w:val="Docoriginal"/>
              <w:rPr>
                <w:lang w:val="es-ES_tradnl"/>
              </w:rPr>
            </w:pPr>
            <w:r w:rsidRPr="00D6027D">
              <w:rPr>
                <w:spacing w:val="0"/>
                <w:lang w:val="es-ES_tradnl"/>
              </w:rPr>
              <w:t>FECHA:</w:t>
            </w:r>
            <w:r w:rsidRPr="00D6027D">
              <w:rPr>
                <w:b w:val="0"/>
                <w:spacing w:val="0"/>
                <w:lang w:val="es-ES_tradnl"/>
              </w:rPr>
              <w:t xml:space="preserve"> </w:t>
            </w:r>
            <w:r w:rsidRPr="00D6027D">
              <w:rPr>
                <w:rStyle w:val="StyleDocoriginalNotBold1"/>
                <w:spacing w:val="0"/>
                <w:lang w:val="es-ES_tradnl"/>
              </w:rPr>
              <w:t xml:space="preserve"> 11 de febrero </w:t>
            </w:r>
            <w:r w:rsidRPr="00D6027D">
              <w:rPr>
                <w:b w:val="0"/>
                <w:spacing w:val="0"/>
                <w:lang w:val="es-ES_tradnl"/>
              </w:rPr>
              <w:t>de 2015</w:t>
            </w:r>
          </w:p>
        </w:tc>
      </w:tr>
      <w:tr w:rsidR="00451BF1" w:rsidRPr="00D6027D" w:rsidTr="00C13808">
        <w:tc>
          <w:tcPr>
            <w:tcW w:w="10131" w:type="dxa"/>
            <w:gridSpan w:val="3"/>
          </w:tcPr>
          <w:p w:rsidR="00451BF1" w:rsidRPr="00D546E8" w:rsidRDefault="00451BF1" w:rsidP="00F45372">
            <w:pPr>
              <w:pStyle w:val="upove"/>
              <w:rPr>
                <w:sz w:val="28"/>
                <w:lang w:val="es-ES_tradnl"/>
              </w:rPr>
            </w:pPr>
            <w:r w:rsidRPr="00D546E8">
              <w:rPr>
                <w:spacing w:val="2"/>
                <w:lang w:val="es-ES_tradnl"/>
              </w:rPr>
              <w:t>UNIÓN INTERNACIONAL PARA LA PROTECCIÓN DE LAS OBTENCIONES VEGETALES</w:t>
            </w:r>
          </w:p>
        </w:tc>
      </w:tr>
      <w:tr w:rsidR="00451BF1" w:rsidRPr="00D546E8" w:rsidTr="00C13808">
        <w:tc>
          <w:tcPr>
            <w:tcW w:w="10131" w:type="dxa"/>
            <w:gridSpan w:val="3"/>
          </w:tcPr>
          <w:p w:rsidR="00451BF1" w:rsidRPr="00D546E8" w:rsidRDefault="00451BF1" w:rsidP="00F45372">
            <w:pPr>
              <w:pStyle w:val="Country"/>
              <w:rPr>
                <w:lang w:val="es-ES_tradnl"/>
              </w:rPr>
            </w:pPr>
            <w:r w:rsidRPr="00D546E8">
              <w:rPr>
                <w:lang w:val="es-ES_tradnl"/>
              </w:rPr>
              <w:t>Ginebra</w:t>
            </w:r>
          </w:p>
        </w:tc>
      </w:tr>
    </w:tbl>
    <w:p w:rsidR="00451BF1" w:rsidRPr="00D546E8" w:rsidRDefault="00451BF1" w:rsidP="00F45372">
      <w:pPr>
        <w:pStyle w:val="Sessiontc"/>
        <w:rPr>
          <w:lang w:val="es-ES_tradnl"/>
        </w:rPr>
      </w:pPr>
      <w:r w:rsidRPr="00D546E8">
        <w:rPr>
          <w:lang w:val="es-ES_tradnl"/>
        </w:rPr>
        <w:t>Comité TÉCNICO</w:t>
      </w:r>
    </w:p>
    <w:p w:rsidR="00451BF1" w:rsidRPr="00D546E8" w:rsidRDefault="00451BF1" w:rsidP="00F45372">
      <w:pPr>
        <w:pStyle w:val="Sessiontcplacedate"/>
        <w:rPr>
          <w:lang w:val="es-ES_tradnl"/>
        </w:rPr>
      </w:pPr>
      <w:r w:rsidRPr="00D546E8">
        <w:rPr>
          <w:lang w:val="es-ES_tradnl"/>
        </w:rPr>
        <w:t>Quincuagésima primera sesión</w:t>
      </w:r>
      <w:r w:rsidRPr="00D546E8">
        <w:rPr>
          <w:lang w:val="es-ES_tradnl"/>
        </w:rPr>
        <w:br/>
        <w:t>Ginebra, 23 a 25 de marzo de 2015</w:t>
      </w:r>
    </w:p>
    <w:p w:rsidR="00451BF1" w:rsidRPr="00D546E8" w:rsidRDefault="00730EFF" w:rsidP="00F45372">
      <w:pPr>
        <w:pStyle w:val="Titleofdoc0"/>
        <w:rPr>
          <w:lang w:val="es-ES_tradnl"/>
        </w:rPr>
      </w:pPr>
      <w:bookmarkStart w:id="3" w:name="TitleOfDoc"/>
      <w:bookmarkEnd w:id="3"/>
      <w:r>
        <w:rPr>
          <w:lang w:val="es-ES_tradnl"/>
        </w:rPr>
        <w:t xml:space="preserve">Revisión del documento TGP/8: </w:t>
      </w:r>
      <w:r w:rsidR="00451BF1" w:rsidRPr="00D546E8">
        <w:rPr>
          <w:lang w:val="es-ES_tradnl"/>
        </w:rPr>
        <w:t>Parte</w:t>
      </w:r>
      <w:r>
        <w:rPr>
          <w:lang w:val="es-ES_tradnl"/>
        </w:rPr>
        <w:t xml:space="preserve"> I: </w:t>
      </w:r>
      <w:r w:rsidR="00451BF1" w:rsidRPr="00D546E8">
        <w:rPr>
          <w:lang w:val="es-ES_tradnl"/>
        </w:rPr>
        <w:t>Diseño de los ensayos DHE y aná</w:t>
      </w:r>
      <w:r>
        <w:rPr>
          <w:lang w:val="es-ES_tradnl"/>
        </w:rPr>
        <w:t xml:space="preserve">lisis de datos, nueva sección: </w:t>
      </w:r>
      <w:r w:rsidR="00451BF1" w:rsidRPr="00D546E8">
        <w:rPr>
          <w:lang w:val="es-ES_tradnl"/>
        </w:rPr>
        <w:t>minimizar la variación resultante de la ejecución de los ensayos por distintos observadores</w:t>
      </w:r>
    </w:p>
    <w:p w:rsidR="00451BF1" w:rsidRPr="00F00A88" w:rsidRDefault="00451BF1" w:rsidP="00184D5D">
      <w:pPr>
        <w:pStyle w:val="preparedby1"/>
        <w:rPr>
          <w:lang w:val="es-ES_tradnl"/>
        </w:rPr>
      </w:pPr>
      <w:bookmarkStart w:id="4" w:name="Prepared"/>
      <w:bookmarkEnd w:id="4"/>
      <w:r w:rsidRPr="00D546E8">
        <w:rPr>
          <w:lang w:val="es-ES_tradnl"/>
        </w:rPr>
        <w:t>Documento preparado por la Oficina de la Unión</w:t>
      </w:r>
      <w:r w:rsidRPr="00D546E8">
        <w:rPr>
          <w:lang w:val="es-ES_tradnl"/>
        </w:rPr>
        <w:br/>
      </w:r>
      <w:r w:rsidRPr="00F00A88">
        <w:rPr>
          <w:lang w:val="es-ES_tradnl"/>
        </w:rPr>
        <w:br/>
      </w:r>
      <w:r w:rsidRPr="00F00A88">
        <w:rPr>
          <w:color w:val="A6A6A6"/>
          <w:lang w:val="es-ES_tradnl"/>
        </w:rPr>
        <w:t>Descargo de responsabilidad:  el presente documento no constituye</w:t>
      </w:r>
      <w:r w:rsidRPr="00F00A88">
        <w:rPr>
          <w:color w:val="A6A6A6"/>
          <w:lang w:val="es-ES_tradnl"/>
        </w:rPr>
        <w:br/>
        <w:t>un documento de política u orientación de la UPOV</w:t>
      </w:r>
    </w:p>
    <w:p w:rsidR="00451BF1" w:rsidRPr="00D546E8" w:rsidRDefault="00451BF1" w:rsidP="00CA7E27">
      <w:pPr>
        <w:rPr>
          <w:rFonts w:cs="Arial"/>
          <w:lang w:val="es-ES_tradnl"/>
        </w:rPr>
      </w:pPr>
      <w:r w:rsidRPr="00D546E8">
        <w:rPr>
          <w:lang w:val="es-ES_tradnl" w:eastAsia="ja-JP"/>
        </w:rPr>
        <w:fldChar w:fldCharType="begin"/>
      </w:r>
      <w:r w:rsidRPr="00D546E8">
        <w:rPr>
          <w:lang w:val="es-ES_tradnl" w:eastAsia="ja-JP"/>
        </w:rPr>
        <w:instrText xml:space="preserve"> AUTONUM  </w:instrText>
      </w:r>
      <w:r w:rsidRPr="00D546E8">
        <w:rPr>
          <w:lang w:val="es-ES_tradnl" w:eastAsia="ja-JP"/>
        </w:rPr>
        <w:fldChar w:fldCharType="end"/>
      </w:r>
      <w:r w:rsidRPr="00D546E8">
        <w:rPr>
          <w:lang w:val="es-ES_tradnl" w:eastAsia="ja-JP"/>
        </w:rPr>
        <w:tab/>
      </w:r>
      <w:r w:rsidRPr="00D546E8">
        <w:rPr>
          <w:lang w:val="es-ES_tradnl"/>
        </w:rPr>
        <w:t>El presente documento tiene por finalidad presentar un borrador de una nueva sección del documento TGP/8, Parte I:  Diseño de ensayos DHE y análisis de datos sobre “Minimizar la variación resultante de la ejecución de los ensayos por distintos observadores”</w:t>
      </w:r>
      <w:r w:rsidRPr="00D546E8">
        <w:rPr>
          <w:rFonts w:cs="Arial"/>
          <w:lang w:val="es-ES_tradnl"/>
        </w:rPr>
        <w:t>.</w:t>
      </w:r>
    </w:p>
    <w:p w:rsidR="00451BF1" w:rsidRPr="00D546E8" w:rsidRDefault="00451BF1" w:rsidP="00CA7E27">
      <w:pPr>
        <w:rPr>
          <w:snapToGrid w:val="0"/>
          <w:lang w:val="es-ES_tradnl"/>
        </w:rPr>
      </w:pPr>
    </w:p>
    <w:p w:rsidR="00451BF1" w:rsidRPr="00D546E8" w:rsidRDefault="00451BF1" w:rsidP="00CA7E27">
      <w:pPr>
        <w:rPr>
          <w:lang w:val="es-ES_tradnl"/>
        </w:rPr>
      </w:pPr>
      <w:r w:rsidRPr="00D546E8">
        <w:rPr>
          <w:lang w:val="es-ES_tradnl"/>
        </w:rPr>
        <w:fldChar w:fldCharType="begin"/>
      </w:r>
      <w:r w:rsidRPr="00D546E8">
        <w:rPr>
          <w:lang w:val="es-ES_tradnl"/>
        </w:rPr>
        <w:instrText xml:space="preserve"> AUTONUM  </w:instrText>
      </w:r>
      <w:r w:rsidRPr="00D546E8">
        <w:rPr>
          <w:lang w:val="es-ES_tradnl"/>
        </w:rPr>
        <w:fldChar w:fldCharType="end"/>
      </w:r>
      <w:r w:rsidRPr="00D546E8">
        <w:rPr>
          <w:lang w:val="es-ES_tradnl"/>
        </w:rPr>
        <w:tab/>
        <w:t>En el presente documento se utilizan las siguientes abreviaturas:</w:t>
      </w:r>
    </w:p>
    <w:p w:rsidR="00451BF1" w:rsidRPr="00D546E8" w:rsidRDefault="00451BF1" w:rsidP="00CA7E27">
      <w:pPr>
        <w:rPr>
          <w:lang w:val="es-ES_tradnl"/>
        </w:rPr>
      </w:pPr>
    </w:p>
    <w:p w:rsidR="00451BF1" w:rsidRPr="00D546E8" w:rsidRDefault="00451BF1" w:rsidP="00DE106B">
      <w:pPr>
        <w:ind w:left="1985" w:hanging="1418"/>
        <w:rPr>
          <w:lang w:val="es-ES_tradnl"/>
        </w:rPr>
      </w:pPr>
      <w:r w:rsidRPr="00D546E8">
        <w:rPr>
          <w:lang w:val="es-ES_tradnl"/>
        </w:rPr>
        <w:t>CAJ:</w:t>
      </w:r>
      <w:r w:rsidRPr="00D546E8">
        <w:rPr>
          <w:lang w:val="es-ES_tradnl"/>
        </w:rPr>
        <w:tab/>
        <w:t>Comité Administrativo y Jurídico</w:t>
      </w:r>
    </w:p>
    <w:p w:rsidR="00451BF1" w:rsidRPr="00D546E8" w:rsidRDefault="00451BF1" w:rsidP="00DE106B">
      <w:pPr>
        <w:ind w:left="1985" w:hanging="1418"/>
        <w:rPr>
          <w:lang w:val="es-ES_tradnl"/>
        </w:rPr>
      </w:pPr>
      <w:r w:rsidRPr="00D546E8">
        <w:rPr>
          <w:lang w:val="es-ES_tradnl"/>
        </w:rPr>
        <w:t>TC:</w:t>
      </w:r>
      <w:r w:rsidRPr="00D546E8">
        <w:rPr>
          <w:lang w:val="es-ES_tradnl"/>
        </w:rPr>
        <w:tab/>
        <w:t>Comité Técnico</w:t>
      </w:r>
    </w:p>
    <w:p w:rsidR="00451BF1" w:rsidRPr="00D546E8" w:rsidRDefault="00451BF1" w:rsidP="00DE106B">
      <w:pPr>
        <w:ind w:left="1985" w:hanging="1418"/>
        <w:rPr>
          <w:lang w:val="es-ES_tradnl"/>
        </w:rPr>
      </w:pPr>
      <w:r w:rsidRPr="00D546E8">
        <w:rPr>
          <w:lang w:val="es-ES_tradnl"/>
        </w:rPr>
        <w:t>TC-EDC:</w:t>
      </w:r>
      <w:r w:rsidRPr="00D546E8">
        <w:rPr>
          <w:lang w:val="es-ES_tradnl"/>
        </w:rPr>
        <w:tab/>
        <w:t>Comité de Redacción Ampliado</w:t>
      </w:r>
    </w:p>
    <w:p w:rsidR="00451BF1" w:rsidRPr="00D546E8" w:rsidRDefault="00451BF1" w:rsidP="00DE106B">
      <w:pPr>
        <w:ind w:left="1985" w:hanging="1418"/>
        <w:rPr>
          <w:lang w:val="es-ES_tradnl"/>
        </w:rPr>
      </w:pPr>
      <w:r w:rsidRPr="00D546E8">
        <w:rPr>
          <w:lang w:val="es-ES_tradnl"/>
        </w:rPr>
        <w:t xml:space="preserve">TWA:  </w:t>
      </w:r>
      <w:r w:rsidRPr="00D546E8">
        <w:rPr>
          <w:lang w:val="es-ES_tradnl"/>
        </w:rPr>
        <w:tab/>
        <w:t>Grupo de Trabajo Técnico sobre Plantas Agrícolas</w:t>
      </w:r>
    </w:p>
    <w:p w:rsidR="00451BF1" w:rsidRPr="00D546E8" w:rsidRDefault="00451BF1" w:rsidP="00DE106B">
      <w:pPr>
        <w:ind w:left="1985" w:hanging="1418"/>
        <w:rPr>
          <w:lang w:val="es-ES_tradnl"/>
        </w:rPr>
      </w:pPr>
      <w:r w:rsidRPr="00D546E8">
        <w:rPr>
          <w:lang w:val="es-ES_tradnl"/>
        </w:rPr>
        <w:t xml:space="preserve">TWV:  </w:t>
      </w:r>
      <w:r w:rsidRPr="00D546E8">
        <w:rPr>
          <w:lang w:val="es-ES_tradnl"/>
        </w:rPr>
        <w:tab/>
        <w:t>Grupo de Trabajo Técnico sobre Hortalizas</w:t>
      </w:r>
    </w:p>
    <w:p w:rsidR="00451BF1" w:rsidRPr="00D546E8" w:rsidRDefault="00451BF1" w:rsidP="00DE106B">
      <w:pPr>
        <w:ind w:left="1985" w:hanging="1418"/>
        <w:rPr>
          <w:lang w:val="es-ES_tradnl"/>
        </w:rPr>
      </w:pPr>
      <w:r w:rsidRPr="00D546E8">
        <w:rPr>
          <w:lang w:val="es-ES_tradnl"/>
        </w:rPr>
        <w:t xml:space="preserve">TWC:  </w:t>
      </w:r>
      <w:r w:rsidRPr="00D546E8">
        <w:rPr>
          <w:lang w:val="es-ES_tradnl"/>
        </w:rPr>
        <w:tab/>
        <w:t>Grupo de Trabajo Técnico sobre Automatización y Programas Informáticos</w:t>
      </w:r>
    </w:p>
    <w:p w:rsidR="00451BF1" w:rsidRPr="00D546E8" w:rsidRDefault="00451BF1" w:rsidP="00DE106B">
      <w:pPr>
        <w:ind w:left="1985" w:hanging="1418"/>
        <w:rPr>
          <w:lang w:val="es-ES_tradnl"/>
        </w:rPr>
      </w:pPr>
      <w:r w:rsidRPr="00D546E8">
        <w:rPr>
          <w:lang w:val="es-ES_tradnl"/>
        </w:rPr>
        <w:t>TWF:</w:t>
      </w:r>
      <w:r w:rsidRPr="00D546E8">
        <w:rPr>
          <w:lang w:val="es-ES_tradnl"/>
        </w:rPr>
        <w:tab/>
        <w:t>Grupo de Trabajo Técnico sobre Plantas Frutales</w:t>
      </w:r>
    </w:p>
    <w:p w:rsidR="00451BF1" w:rsidRPr="00D546E8" w:rsidRDefault="00451BF1" w:rsidP="00DE106B">
      <w:pPr>
        <w:ind w:left="1985" w:hanging="1418"/>
        <w:rPr>
          <w:lang w:val="es-ES_tradnl"/>
        </w:rPr>
      </w:pPr>
      <w:r w:rsidRPr="00D546E8">
        <w:rPr>
          <w:lang w:val="es-ES_tradnl"/>
        </w:rPr>
        <w:t>TWO:</w:t>
      </w:r>
      <w:r w:rsidRPr="00D546E8">
        <w:rPr>
          <w:lang w:val="es-ES_tradnl"/>
        </w:rPr>
        <w:tab/>
        <w:t xml:space="preserve">Grupo de Trabajo Técnico sobre Plantas Ornamentales y Cultivos Forestales </w:t>
      </w:r>
    </w:p>
    <w:p w:rsidR="00451BF1" w:rsidRPr="00D546E8" w:rsidRDefault="00451BF1" w:rsidP="00DE106B">
      <w:pPr>
        <w:ind w:left="1985" w:hanging="1418"/>
        <w:rPr>
          <w:lang w:val="es-ES_tradnl"/>
        </w:rPr>
      </w:pPr>
      <w:r w:rsidRPr="00D546E8">
        <w:rPr>
          <w:lang w:val="es-ES_tradnl"/>
        </w:rPr>
        <w:t>TWP:</w:t>
      </w:r>
      <w:r w:rsidRPr="00D546E8">
        <w:rPr>
          <w:lang w:val="es-ES_tradnl"/>
        </w:rPr>
        <w:tab/>
        <w:t>Grupos de Trabajo Técnico</w:t>
      </w:r>
    </w:p>
    <w:p w:rsidR="00451BF1" w:rsidRPr="00D546E8" w:rsidRDefault="00451BF1" w:rsidP="00DE106B">
      <w:pPr>
        <w:rPr>
          <w:lang w:val="es-ES_tradnl"/>
        </w:rPr>
      </w:pPr>
    </w:p>
    <w:p w:rsidR="00451BF1" w:rsidRPr="00D546E8" w:rsidRDefault="00451BF1" w:rsidP="00CA7E27">
      <w:pPr>
        <w:rPr>
          <w:snapToGrid w:val="0"/>
          <w:lang w:val="es-ES_tradnl"/>
        </w:rPr>
      </w:pPr>
      <w:r w:rsidRPr="00D546E8">
        <w:rPr>
          <w:lang w:val="es-ES_tradnl"/>
        </w:rPr>
        <w:fldChar w:fldCharType="begin"/>
      </w:r>
      <w:r w:rsidRPr="00D546E8">
        <w:rPr>
          <w:lang w:val="es-ES_tradnl"/>
        </w:rPr>
        <w:instrText xml:space="preserve"> AUTONUM  </w:instrText>
      </w:r>
      <w:r w:rsidRPr="00D546E8">
        <w:rPr>
          <w:lang w:val="es-ES_tradnl"/>
        </w:rPr>
        <w:fldChar w:fldCharType="end"/>
      </w:r>
      <w:r w:rsidRPr="00D546E8">
        <w:rPr>
          <w:lang w:val="es-ES_tradnl"/>
        </w:rPr>
        <w:tab/>
        <w:t>La estructura del presente documento es la siguiente</w:t>
      </w:r>
      <w:r w:rsidRPr="00D546E8">
        <w:rPr>
          <w:snapToGrid w:val="0"/>
          <w:lang w:val="es-ES_tradnl"/>
        </w:rPr>
        <w:t>:</w:t>
      </w:r>
    </w:p>
    <w:p w:rsidR="00451BF1" w:rsidRPr="00D546E8" w:rsidRDefault="00451BF1" w:rsidP="00CA7E27">
      <w:pPr>
        <w:rPr>
          <w:snapToGrid w:val="0"/>
          <w:lang w:val="es-ES_tradnl"/>
        </w:rPr>
      </w:pPr>
    </w:p>
    <w:p w:rsidR="00451BF1" w:rsidRPr="00F2454A" w:rsidRDefault="00451BF1" w:rsidP="00F2454A">
      <w:pPr>
        <w:pStyle w:val="TOC1"/>
        <w:spacing w:before="120" w:after="120"/>
        <w:contextualSpacing w:val="0"/>
        <w:rPr>
          <w:noProof/>
          <w:lang w:val="es-ES_tradnl"/>
        </w:rPr>
      </w:pPr>
      <w:r w:rsidRPr="00F2454A">
        <w:rPr>
          <w:dstrike/>
          <w:lang w:val="es-ES_tradnl"/>
        </w:rPr>
        <w:fldChar w:fldCharType="begin"/>
      </w:r>
      <w:r w:rsidRPr="00F2454A">
        <w:rPr>
          <w:dstrike/>
          <w:lang w:val="es-ES_tradnl"/>
        </w:rPr>
        <w:instrText xml:space="preserve"> TOC \o "1-3" \h \z \u </w:instrText>
      </w:r>
      <w:r w:rsidRPr="00F2454A">
        <w:rPr>
          <w:dstrike/>
          <w:lang w:val="es-ES_tradnl"/>
        </w:rPr>
        <w:fldChar w:fldCharType="separate"/>
      </w:r>
      <w:hyperlink w:anchor="_Toc412453776" w:history="1">
        <w:r w:rsidRPr="00F2454A">
          <w:rPr>
            <w:noProof/>
            <w:lang w:val="es-ES_tradnl"/>
          </w:rPr>
          <w:t>ANTECEDENTES</w:t>
        </w:r>
        <w:r w:rsidRPr="00F2454A">
          <w:rPr>
            <w:noProof/>
            <w:webHidden/>
            <w:lang w:val="es-ES_tradnl"/>
          </w:rPr>
          <w:tab/>
        </w:r>
        <w:r w:rsidRPr="00F2454A">
          <w:rPr>
            <w:noProof/>
            <w:webHidden/>
            <w:lang w:val="es-ES_tradnl"/>
          </w:rPr>
          <w:fldChar w:fldCharType="begin"/>
        </w:r>
        <w:r w:rsidRPr="00F2454A">
          <w:rPr>
            <w:noProof/>
            <w:webHidden/>
            <w:lang w:val="es-ES_tradnl"/>
          </w:rPr>
          <w:instrText xml:space="preserve"> PAGEREF _Toc412453776 \h </w:instrText>
        </w:r>
        <w:r w:rsidRPr="00F2454A">
          <w:rPr>
            <w:noProof/>
            <w:webHidden/>
            <w:lang w:val="es-ES_tradnl"/>
          </w:rPr>
        </w:r>
        <w:r w:rsidRPr="00F2454A">
          <w:rPr>
            <w:noProof/>
            <w:webHidden/>
            <w:lang w:val="es-ES_tradnl"/>
          </w:rPr>
          <w:fldChar w:fldCharType="separate"/>
        </w:r>
        <w:r w:rsidR="008C3920">
          <w:rPr>
            <w:noProof/>
            <w:webHidden/>
            <w:lang w:val="es-ES_tradnl"/>
          </w:rPr>
          <w:t>1</w:t>
        </w:r>
        <w:r w:rsidRPr="00F2454A">
          <w:rPr>
            <w:noProof/>
            <w:webHidden/>
            <w:lang w:val="es-ES_tradnl"/>
          </w:rPr>
          <w:fldChar w:fldCharType="end"/>
        </w:r>
      </w:hyperlink>
    </w:p>
    <w:p w:rsidR="00451BF1" w:rsidRPr="00F2454A" w:rsidRDefault="008C3920" w:rsidP="00F2454A">
      <w:pPr>
        <w:pStyle w:val="TOC1"/>
        <w:spacing w:before="120" w:after="120"/>
        <w:contextualSpacing w:val="0"/>
        <w:rPr>
          <w:noProof/>
          <w:lang w:val="es-ES_tradnl"/>
        </w:rPr>
      </w:pPr>
      <w:hyperlink w:anchor="_Toc412453777" w:history="1">
        <w:r w:rsidR="00451BF1" w:rsidRPr="00F2454A">
          <w:rPr>
            <w:noProof/>
            <w:lang w:val="es-ES_tradnl"/>
          </w:rPr>
          <w:t>Novedades acaecidas en 2014</w:t>
        </w:r>
        <w:r w:rsidR="00451BF1" w:rsidRPr="00F2454A">
          <w:rPr>
            <w:noProof/>
            <w:webHidden/>
            <w:lang w:val="es-ES_tradnl"/>
          </w:rPr>
          <w:tab/>
        </w:r>
        <w:r w:rsidR="00451BF1" w:rsidRPr="00F2454A">
          <w:rPr>
            <w:noProof/>
            <w:webHidden/>
            <w:lang w:val="es-ES_tradnl"/>
          </w:rPr>
          <w:fldChar w:fldCharType="begin"/>
        </w:r>
        <w:r w:rsidR="00451BF1" w:rsidRPr="00F2454A">
          <w:rPr>
            <w:noProof/>
            <w:webHidden/>
            <w:lang w:val="es-ES_tradnl"/>
          </w:rPr>
          <w:instrText xml:space="preserve"> PAGEREF _Toc412453777 \h </w:instrText>
        </w:r>
        <w:r w:rsidR="00451BF1" w:rsidRPr="00F2454A">
          <w:rPr>
            <w:noProof/>
            <w:webHidden/>
            <w:lang w:val="es-ES_tradnl"/>
          </w:rPr>
        </w:r>
        <w:r w:rsidR="00451BF1" w:rsidRPr="00F2454A">
          <w:rPr>
            <w:noProof/>
            <w:webHidden/>
            <w:lang w:val="es-ES_tradnl"/>
          </w:rPr>
          <w:fldChar w:fldCharType="separate"/>
        </w:r>
        <w:r>
          <w:rPr>
            <w:noProof/>
            <w:webHidden/>
            <w:lang w:val="es-ES_tradnl"/>
          </w:rPr>
          <w:t>2</w:t>
        </w:r>
        <w:r w:rsidR="00451BF1" w:rsidRPr="00F2454A">
          <w:rPr>
            <w:noProof/>
            <w:webHidden/>
            <w:lang w:val="es-ES_tradnl"/>
          </w:rPr>
          <w:fldChar w:fldCharType="end"/>
        </w:r>
      </w:hyperlink>
    </w:p>
    <w:p w:rsidR="00451BF1" w:rsidRPr="00F2454A" w:rsidRDefault="008C3920">
      <w:pPr>
        <w:pStyle w:val="TOC2"/>
        <w:rPr>
          <w:rFonts w:ascii="Times New Roman" w:hAnsi="Times New Roman"/>
          <w:smallCaps w:val="0"/>
          <w:noProof/>
          <w:sz w:val="24"/>
          <w:szCs w:val="24"/>
          <w:lang w:val="es-ES_tradnl" w:eastAsia="es-ES_tradnl"/>
        </w:rPr>
      </w:pPr>
      <w:hyperlink w:anchor="_Toc412453778" w:history="1">
        <w:r w:rsidR="00451BF1" w:rsidRPr="00F2454A">
          <w:rPr>
            <w:rStyle w:val="Hyperlink"/>
            <w:noProof/>
            <w:lang w:val="es-ES_tradnl"/>
          </w:rPr>
          <w:t>Comité Técnico</w:t>
        </w:r>
        <w:r w:rsidR="00451BF1" w:rsidRPr="00F2454A">
          <w:rPr>
            <w:noProof/>
            <w:webHidden/>
            <w:lang w:val="es-ES_tradnl"/>
          </w:rPr>
          <w:tab/>
        </w:r>
        <w:r w:rsidR="00451BF1" w:rsidRPr="00F2454A">
          <w:rPr>
            <w:noProof/>
            <w:webHidden/>
            <w:lang w:val="es-ES_tradnl"/>
          </w:rPr>
          <w:fldChar w:fldCharType="begin"/>
        </w:r>
        <w:r w:rsidR="00451BF1" w:rsidRPr="00F2454A">
          <w:rPr>
            <w:noProof/>
            <w:webHidden/>
            <w:lang w:val="es-ES_tradnl"/>
          </w:rPr>
          <w:instrText xml:space="preserve"> PAGEREF _Toc412453778 \h </w:instrText>
        </w:r>
        <w:r w:rsidR="00451BF1" w:rsidRPr="00F2454A">
          <w:rPr>
            <w:noProof/>
            <w:webHidden/>
            <w:lang w:val="es-ES_tradnl"/>
          </w:rPr>
        </w:r>
        <w:r w:rsidR="00451BF1" w:rsidRPr="00F2454A">
          <w:rPr>
            <w:noProof/>
            <w:webHidden/>
            <w:lang w:val="es-ES_tradnl"/>
          </w:rPr>
          <w:fldChar w:fldCharType="separate"/>
        </w:r>
        <w:r>
          <w:rPr>
            <w:noProof/>
            <w:webHidden/>
            <w:lang w:val="es-ES_tradnl"/>
          </w:rPr>
          <w:t>2</w:t>
        </w:r>
        <w:r w:rsidR="00451BF1" w:rsidRPr="00F2454A">
          <w:rPr>
            <w:noProof/>
            <w:webHidden/>
            <w:lang w:val="es-ES_tradnl"/>
          </w:rPr>
          <w:fldChar w:fldCharType="end"/>
        </w:r>
      </w:hyperlink>
    </w:p>
    <w:p w:rsidR="00451BF1" w:rsidRPr="00F2454A" w:rsidRDefault="008C3920">
      <w:pPr>
        <w:pStyle w:val="TOC2"/>
        <w:rPr>
          <w:rFonts w:ascii="Times New Roman" w:hAnsi="Times New Roman"/>
          <w:smallCaps w:val="0"/>
          <w:noProof/>
          <w:sz w:val="24"/>
          <w:szCs w:val="24"/>
          <w:lang w:val="es-ES_tradnl" w:eastAsia="es-ES_tradnl"/>
        </w:rPr>
      </w:pPr>
      <w:hyperlink w:anchor="_Toc412453779" w:history="1">
        <w:r w:rsidR="00451BF1" w:rsidRPr="00F2454A">
          <w:rPr>
            <w:rStyle w:val="Hyperlink"/>
            <w:noProof/>
            <w:lang w:val="es-ES_tradnl"/>
          </w:rPr>
          <w:t>Grupos de Trabajo Técnico</w:t>
        </w:r>
        <w:r w:rsidR="00451BF1" w:rsidRPr="00F2454A">
          <w:rPr>
            <w:noProof/>
            <w:webHidden/>
            <w:lang w:val="es-ES_tradnl"/>
          </w:rPr>
          <w:tab/>
        </w:r>
        <w:r w:rsidR="00451BF1" w:rsidRPr="00F2454A">
          <w:rPr>
            <w:noProof/>
            <w:webHidden/>
            <w:lang w:val="es-ES_tradnl"/>
          </w:rPr>
          <w:fldChar w:fldCharType="begin"/>
        </w:r>
        <w:r w:rsidR="00451BF1" w:rsidRPr="00F2454A">
          <w:rPr>
            <w:noProof/>
            <w:webHidden/>
            <w:lang w:val="es-ES_tradnl"/>
          </w:rPr>
          <w:instrText xml:space="preserve"> PAGEREF _Toc412453779 \h </w:instrText>
        </w:r>
        <w:r w:rsidR="00451BF1" w:rsidRPr="00F2454A">
          <w:rPr>
            <w:noProof/>
            <w:webHidden/>
            <w:lang w:val="es-ES_tradnl"/>
          </w:rPr>
        </w:r>
        <w:r w:rsidR="00451BF1" w:rsidRPr="00F2454A">
          <w:rPr>
            <w:noProof/>
            <w:webHidden/>
            <w:lang w:val="es-ES_tradnl"/>
          </w:rPr>
          <w:fldChar w:fldCharType="separate"/>
        </w:r>
        <w:r>
          <w:rPr>
            <w:noProof/>
            <w:webHidden/>
            <w:lang w:val="es-ES_tradnl"/>
          </w:rPr>
          <w:t>2</w:t>
        </w:r>
        <w:r w:rsidR="00451BF1" w:rsidRPr="00F2454A">
          <w:rPr>
            <w:noProof/>
            <w:webHidden/>
            <w:lang w:val="es-ES_tradnl"/>
          </w:rPr>
          <w:fldChar w:fldCharType="end"/>
        </w:r>
      </w:hyperlink>
    </w:p>
    <w:p w:rsidR="00451BF1" w:rsidRPr="00D546E8" w:rsidRDefault="00451BF1" w:rsidP="00CA7E27">
      <w:pPr>
        <w:ind w:left="1134" w:hanging="1134"/>
        <w:jc w:val="left"/>
        <w:rPr>
          <w:bCs/>
          <w:szCs w:val="24"/>
        </w:rPr>
      </w:pPr>
      <w:r w:rsidRPr="00F2454A">
        <w:rPr>
          <w:dstrike/>
          <w:lang w:val="es-ES_tradnl"/>
        </w:rPr>
        <w:fldChar w:fldCharType="end"/>
      </w:r>
    </w:p>
    <w:p w:rsidR="00451BF1" w:rsidRPr="00F06F90" w:rsidRDefault="00451BF1" w:rsidP="00CA7E27">
      <w:pPr>
        <w:jc w:val="left"/>
        <w:rPr>
          <w:lang w:val="es-ES"/>
        </w:rPr>
      </w:pPr>
      <w:r w:rsidRPr="00D546E8">
        <w:rPr>
          <w:lang w:val="es-ES_tradnl"/>
        </w:rPr>
        <w:t>ANEXO:</w:t>
      </w:r>
      <w:r w:rsidRPr="00F06F90">
        <w:rPr>
          <w:lang w:val="es-ES"/>
        </w:rPr>
        <w:t xml:space="preserve">  </w:t>
      </w:r>
      <w:r w:rsidRPr="00D546E8">
        <w:rPr>
          <w:lang w:val="es-ES_tradnl"/>
        </w:rPr>
        <w:t>PROYECTO DE ORIENTACIÓN PARA UNA FUTURA REVISIÓN DEL DOCUMENTO TGP/8 SOBRE LA MANERA DE MINIMIZAR LA VARIACIÓN RESULTANTE DE LA EJECUCIÓN DE LOS ENSAYOS POR DISTINTOS OBSERVADORES</w:t>
      </w:r>
    </w:p>
    <w:p w:rsidR="00451BF1" w:rsidRPr="00F06F90" w:rsidRDefault="00451BF1" w:rsidP="00CA7E27">
      <w:pPr>
        <w:jc w:val="left"/>
        <w:rPr>
          <w:caps/>
          <w:lang w:val="es-ES"/>
        </w:rPr>
      </w:pPr>
    </w:p>
    <w:p w:rsidR="00451BF1" w:rsidRPr="00F06F90" w:rsidRDefault="00451BF1" w:rsidP="00CA7E27">
      <w:pPr>
        <w:jc w:val="left"/>
        <w:rPr>
          <w:caps/>
          <w:lang w:val="es-ES"/>
        </w:rPr>
      </w:pPr>
    </w:p>
    <w:p w:rsidR="00451BF1" w:rsidRPr="00D546E8" w:rsidRDefault="00451BF1" w:rsidP="00F2454A">
      <w:pPr>
        <w:pStyle w:val="Heading1"/>
        <w:keepNext/>
        <w:rPr>
          <w:color w:val="auto"/>
        </w:rPr>
      </w:pPr>
      <w:bookmarkStart w:id="5" w:name="_Toc349029346"/>
      <w:bookmarkStart w:id="6" w:name="_Toc412453776"/>
      <w:r w:rsidRPr="00D546E8">
        <w:rPr>
          <w:color w:val="auto"/>
        </w:rPr>
        <w:t>ANTECEDENTES</w:t>
      </w:r>
      <w:bookmarkEnd w:id="5"/>
      <w:bookmarkEnd w:id="6"/>
    </w:p>
    <w:p w:rsidR="00451BF1" w:rsidRPr="00D546E8" w:rsidRDefault="00451BF1" w:rsidP="00F2454A">
      <w:pPr>
        <w:keepNext/>
        <w:rPr>
          <w:lang w:val="es-ES_tradnl"/>
        </w:rPr>
      </w:pPr>
    </w:p>
    <w:p w:rsidR="00451BF1" w:rsidRPr="00D546E8" w:rsidRDefault="00451BF1" w:rsidP="00CA7E27">
      <w:pPr>
        <w:pStyle w:val="Header"/>
        <w:tabs>
          <w:tab w:val="left" w:pos="720"/>
        </w:tabs>
        <w:jc w:val="both"/>
        <w:rPr>
          <w:lang w:val="es-ES_tradnl"/>
        </w:rPr>
      </w:pPr>
      <w:r w:rsidRPr="00D546E8">
        <w:rPr>
          <w:lang w:val="es-ES_tradnl"/>
        </w:rPr>
        <w:fldChar w:fldCharType="begin"/>
      </w:r>
      <w:r w:rsidRPr="00D546E8">
        <w:rPr>
          <w:lang w:val="es-ES_tradnl"/>
        </w:rPr>
        <w:instrText xml:space="preserve"> AUTONUM  </w:instrText>
      </w:r>
      <w:r w:rsidRPr="00D546E8">
        <w:rPr>
          <w:lang w:val="es-ES_tradnl"/>
        </w:rPr>
        <w:fldChar w:fldCharType="end"/>
      </w:r>
      <w:r w:rsidRPr="00D546E8">
        <w:rPr>
          <w:lang w:val="es-ES_tradnl"/>
        </w:rPr>
        <w:tab/>
        <w:t>En el documento TGP/8/1 Draft 7 PARTE I, párrafo 2.9.1: “</w:t>
      </w:r>
      <w:r w:rsidRPr="00F06F90">
        <w:rPr>
          <w:i/>
          <w:lang w:val="es-ES"/>
        </w:rPr>
        <w:t>Control of variation due to different observers</w:t>
      </w:r>
      <w:r w:rsidRPr="00D546E8">
        <w:rPr>
          <w:lang w:val="es-ES_tradnl"/>
        </w:rPr>
        <w:t>” (Control de la variación resultante de la ejecución de los ensayos por distintos observadores), sometido al examen de los Grupos de Trabajo Técnico, en sus reuniones de 2007, se dispone:</w:t>
      </w:r>
    </w:p>
    <w:p w:rsidR="00451BF1" w:rsidRPr="00D546E8" w:rsidRDefault="00451BF1" w:rsidP="00CA7E27">
      <w:pPr>
        <w:pStyle w:val="Header"/>
        <w:tabs>
          <w:tab w:val="left" w:pos="720"/>
        </w:tabs>
        <w:jc w:val="both"/>
        <w:rPr>
          <w:lang w:val="es-ES_tradnl"/>
        </w:rPr>
      </w:pPr>
    </w:p>
    <w:p w:rsidR="00451BF1" w:rsidRPr="0044261B" w:rsidRDefault="00451BF1" w:rsidP="00CA7E27">
      <w:pPr>
        <w:ind w:left="720" w:right="998"/>
        <w:rPr>
          <w:iCs/>
          <w:lang w:val="es-ES_tradnl"/>
        </w:rPr>
      </w:pPr>
      <w:r w:rsidRPr="0044261B">
        <w:rPr>
          <w:iCs/>
          <w:lang w:val="es-ES_tradnl"/>
        </w:rPr>
        <w:t>“[Si esta sección fuera necesaria, se invita a los TWP a que contribuyan con orientación sobre el control de la variación resultante de la ejecución de los ensayos por distintos observadores cuando no se utiliza el análisis estadístico para determinar la distinción y a analizarla en relación con el párrafo 2.7.2.9.]”</w:t>
      </w:r>
    </w:p>
    <w:p w:rsidR="00451BF1" w:rsidRPr="00D546E8" w:rsidRDefault="00451BF1" w:rsidP="00CA7E27">
      <w:pPr>
        <w:ind w:left="720" w:right="998"/>
        <w:rPr>
          <w:i/>
          <w:iCs/>
          <w:lang w:val="es-ES_tradnl"/>
        </w:rPr>
      </w:pPr>
    </w:p>
    <w:p w:rsidR="00451BF1" w:rsidRPr="00F06F90" w:rsidRDefault="00451BF1" w:rsidP="00CA7E27">
      <w:pPr>
        <w:rPr>
          <w:rFonts w:cs="Arial"/>
          <w:lang w:val="es-ES"/>
        </w:rPr>
      </w:pPr>
      <w:r w:rsidRPr="00D546E8">
        <w:rPr>
          <w:rFonts w:cs="Arial"/>
        </w:rPr>
        <w:fldChar w:fldCharType="begin"/>
      </w:r>
      <w:r w:rsidRPr="00F06F90">
        <w:rPr>
          <w:rFonts w:cs="Arial"/>
          <w:lang w:val="es-ES"/>
        </w:rPr>
        <w:instrText xml:space="preserve"> AUTONUM  </w:instrText>
      </w:r>
      <w:r w:rsidRPr="00D546E8">
        <w:rPr>
          <w:rFonts w:cs="Arial"/>
        </w:rPr>
        <w:fldChar w:fldCharType="end"/>
      </w:r>
      <w:r w:rsidRPr="00F06F90">
        <w:rPr>
          <w:rFonts w:cs="Arial"/>
          <w:lang w:val="es-ES"/>
        </w:rPr>
        <w:tab/>
      </w:r>
      <w:r w:rsidRPr="00D546E8">
        <w:rPr>
          <w:rFonts w:cs="Arial"/>
          <w:lang w:val="es-ES_tradnl"/>
        </w:rPr>
        <w:t>Las novedades acaecidas antes de 2014 se presentan en el documento TC/50/21 “</w:t>
      </w:r>
      <w:r w:rsidRPr="00D546E8">
        <w:rPr>
          <w:lang w:val="es-ES_tradnl"/>
        </w:rPr>
        <w:t>Revisión del documento TGP/8:  Parte I:</w:t>
      </w:r>
      <w:r w:rsidRPr="00F06F90">
        <w:rPr>
          <w:lang w:val="es-ES"/>
        </w:rPr>
        <w:t xml:space="preserve">  </w:t>
      </w:r>
      <w:r w:rsidRPr="00D546E8">
        <w:rPr>
          <w:lang w:val="es-ES_tradnl"/>
        </w:rPr>
        <w:t>Diseño de los ensayos DHE y análisis de datos, nueva sección:  Minimizar la variación resultante de la ejecución de los ensayos por distintos observadores”.</w:t>
      </w:r>
    </w:p>
    <w:p w:rsidR="00451BF1" w:rsidRPr="00F06F90" w:rsidRDefault="00451BF1" w:rsidP="00872107">
      <w:pPr>
        <w:pStyle w:val="Heading1"/>
        <w:rPr>
          <w:color w:val="auto"/>
          <w:lang w:val="es-ES"/>
        </w:rPr>
      </w:pPr>
    </w:p>
    <w:p w:rsidR="00451BF1" w:rsidRPr="00F06F90" w:rsidRDefault="00451BF1" w:rsidP="00CA7E27">
      <w:pPr>
        <w:rPr>
          <w:lang w:val="es-ES"/>
        </w:rPr>
      </w:pPr>
    </w:p>
    <w:p w:rsidR="00451BF1" w:rsidRPr="00D546E8" w:rsidRDefault="00451BF1" w:rsidP="00872107">
      <w:pPr>
        <w:pStyle w:val="Heading1"/>
        <w:rPr>
          <w:color w:val="auto"/>
        </w:rPr>
      </w:pPr>
      <w:bookmarkStart w:id="7" w:name="_Toc412453777"/>
      <w:r w:rsidRPr="00D546E8">
        <w:rPr>
          <w:color w:val="auto"/>
        </w:rPr>
        <w:t>Novedades acaecidas en 2014</w:t>
      </w:r>
      <w:bookmarkEnd w:id="7"/>
    </w:p>
    <w:p w:rsidR="00451BF1" w:rsidRPr="00F06F90" w:rsidRDefault="00451BF1" w:rsidP="00CA7E27">
      <w:pPr>
        <w:rPr>
          <w:lang w:val="es-ES"/>
        </w:rPr>
      </w:pPr>
    </w:p>
    <w:p w:rsidR="00451BF1" w:rsidRPr="00D546E8" w:rsidRDefault="00451BF1" w:rsidP="00872107">
      <w:pPr>
        <w:pStyle w:val="Heading2"/>
        <w:rPr>
          <w:lang w:val="es-ES_tradnl"/>
        </w:rPr>
      </w:pPr>
      <w:bookmarkStart w:id="8" w:name="_Toc412453778"/>
      <w:r w:rsidRPr="00D546E8">
        <w:rPr>
          <w:lang w:val="es-ES_tradnl"/>
        </w:rPr>
        <w:t>Comité Técnico</w:t>
      </w:r>
      <w:bookmarkEnd w:id="8"/>
    </w:p>
    <w:p w:rsidR="00451BF1" w:rsidRPr="00F06F90" w:rsidRDefault="00451BF1" w:rsidP="00CA7E27">
      <w:pPr>
        <w:rPr>
          <w:lang w:val="es-ES"/>
        </w:rPr>
      </w:pPr>
    </w:p>
    <w:p w:rsidR="00451BF1" w:rsidRPr="00F06F90" w:rsidRDefault="00451BF1" w:rsidP="00CA7E27">
      <w:pPr>
        <w:rPr>
          <w:rFonts w:cs="Arial"/>
          <w:lang w:val="es-ES"/>
        </w:rPr>
      </w:pPr>
      <w:r w:rsidRPr="00D546E8">
        <w:rPr>
          <w:rFonts w:cs="Arial"/>
        </w:rPr>
        <w:fldChar w:fldCharType="begin"/>
      </w:r>
      <w:r w:rsidRPr="00F06F90">
        <w:rPr>
          <w:rFonts w:cs="Arial"/>
          <w:lang w:val="es-ES"/>
        </w:rPr>
        <w:instrText xml:space="preserve"> AUTONUM  </w:instrText>
      </w:r>
      <w:r w:rsidRPr="00D546E8">
        <w:rPr>
          <w:rFonts w:cs="Arial"/>
        </w:rPr>
        <w:fldChar w:fldCharType="end"/>
      </w:r>
      <w:r w:rsidRPr="00F06F90">
        <w:rPr>
          <w:rFonts w:cs="Arial"/>
          <w:lang w:val="es-ES"/>
        </w:rPr>
        <w:tab/>
      </w:r>
      <w:r w:rsidRPr="00D546E8">
        <w:rPr>
          <w:lang w:val="es-ES_tradnl"/>
        </w:rPr>
        <w:t xml:space="preserve">En su quincuagésima sesión, celebrada en Ginebra del 7 al 9 de abril de 2014, </w:t>
      </w:r>
      <w:r w:rsidRPr="00D546E8">
        <w:rPr>
          <w:rFonts w:cs="Arial"/>
          <w:lang w:val="es-ES_tradnl"/>
        </w:rPr>
        <w:t>el TC examinó el documento TC/50/21 “</w:t>
      </w:r>
      <w:r w:rsidRPr="00D546E8">
        <w:rPr>
          <w:lang w:val="es-ES_tradnl"/>
        </w:rPr>
        <w:t>Revisión del documento TGP/8:  Parte I:</w:t>
      </w:r>
      <w:r w:rsidRPr="00F06F90">
        <w:rPr>
          <w:lang w:val="es-ES"/>
        </w:rPr>
        <w:t xml:space="preserve">  </w:t>
      </w:r>
      <w:r w:rsidRPr="00D546E8">
        <w:rPr>
          <w:lang w:val="es-ES_tradnl"/>
        </w:rPr>
        <w:t>Diseño de los ensayos DHE y análisis de datos, nueva sección:  Minimizar la variación resultante de la ejecución de los ensayos por distintos observadores”.</w:t>
      </w:r>
    </w:p>
    <w:p w:rsidR="00451BF1" w:rsidRPr="00F06F90" w:rsidRDefault="00451BF1" w:rsidP="00CA7E27">
      <w:pPr>
        <w:rPr>
          <w:rFonts w:cs="Arial"/>
          <w:lang w:val="es-ES"/>
        </w:rPr>
      </w:pPr>
    </w:p>
    <w:p w:rsidR="00451BF1" w:rsidRPr="00F06F90" w:rsidRDefault="00451BF1" w:rsidP="00CA7E27">
      <w:pPr>
        <w:rPr>
          <w:lang w:val="es-ES"/>
        </w:rPr>
      </w:pPr>
      <w:r w:rsidRPr="00D546E8">
        <w:fldChar w:fldCharType="begin"/>
      </w:r>
      <w:r w:rsidRPr="00F06F90">
        <w:rPr>
          <w:lang w:val="es-ES"/>
        </w:rPr>
        <w:instrText xml:space="preserve"> AUTONUM  </w:instrText>
      </w:r>
      <w:r w:rsidRPr="00D546E8">
        <w:fldChar w:fldCharType="end"/>
      </w:r>
      <w:r w:rsidRPr="00F06F90">
        <w:rPr>
          <w:lang w:val="es-ES"/>
        </w:rPr>
        <w:tab/>
      </w:r>
      <w:r w:rsidRPr="00D546E8">
        <w:rPr>
          <w:lang w:val="es-ES_tradnl"/>
        </w:rPr>
        <w:t>El TC tomó nota de que el TWF había solicitado que un experto de Nueva Zelandia informara, en su sesión de 2014, sobre la labor previa realizada en relación con la descripción armonizada de variedades de manzano para un conjunto de variedades acordado (véase el párrafo 46 del documento TC/50/36 “Informe sobre las conclusiones”).</w:t>
      </w:r>
    </w:p>
    <w:p w:rsidR="00451BF1" w:rsidRPr="00F06F90" w:rsidRDefault="00451BF1" w:rsidP="00CA7E27">
      <w:pPr>
        <w:rPr>
          <w:lang w:val="es-ES"/>
        </w:rPr>
      </w:pPr>
    </w:p>
    <w:p w:rsidR="00451BF1" w:rsidRPr="00F06F90" w:rsidRDefault="00451BF1" w:rsidP="00CA7E27">
      <w:pPr>
        <w:rPr>
          <w:lang w:val="es-ES"/>
        </w:rPr>
      </w:pPr>
      <w:r w:rsidRPr="00D546E8">
        <w:fldChar w:fldCharType="begin"/>
      </w:r>
      <w:r w:rsidRPr="00F06F90">
        <w:rPr>
          <w:lang w:val="es-ES"/>
        </w:rPr>
        <w:instrText xml:space="preserve"> AUTONUM  </w:instrText>
      </w:r>
      <w:r w:rsidRPr="00D546E8">
        <w:fldChar w:fldCharType="end"/>
      </w:r>
      <w:r w:rsidRPr="00F06F90">
        <w:rPr>
          <w:lang w:val="es-ES"/>
        </w:rPr>
        <w:tab/>
      </w:r>
      <w:r w:rsidRPr="00D546E8">
        <w:rPr>
          <w:lang w:val="es-ES_tradnl"/>
        </w:rPr>
        <w:t>El TC invitó al experto de Australia a que, con la ayuda de expertos de Alemania, Francia, los Países Bajos, el Reino Unido y la Unión Europea, elabore orientación adicional, para incluir en una futura revisión del documento TGP/8, sobre la manera de minimizar la variación resultante de la ejecución de los ensayos por distintos observadores, que incluya orientación relativa a los caracteres PQ y QN/MG, para someterla al examen de los TWP en sus sesiones de 2014 (véase el párrafo 47 del documento TC/50/36 “Informe sobre las conclusiones”).</w:t>
      </w:r>
    </w:p>
    <w:p w:rsidR="00451BF1" w:rsidRPr="00F06F90" w:rsidRDefault="00451BF1" w:rsidP="00CA7E27">
      <w:pPr>
        <w:rPr>
          <w:lang w:val="es-ES"/>
        </w:rPr>
      </w:pPr>
    </w:p>
    <w:p w:rsidR="00451BF1" w:rsidRPr="00F06F90" w:rsidRDefault="00451BF1" w:rsidP="00CA7E27">
      <w:pPr>
        <w:rPr>
          <w:lang w:val="es-ES"/>
        </w:rPr>
      </w:pPr>
      <w:r w:rsidRPr="00D546E8">
        <w:fldChar w:fldCharType="begin"/>
      </w:r>
      <w:r w:rsidRPr="00F06F90">
        <w:rPr>
          <w:lang w:val="es-ES"/>
        </w:rPr>
        <w:instrText xml:space="preserve"> AUTONUM  </w:instrText>
      </w:r>
      <w:r w:rsidRPr="00D546E8">
        <w:fldChar w:fldCharType="end"/>
      </w:r>
      <w:r w:rsidRPr="00F06F90">
        <w:rPr>
          <w:lang w:val="es-ES"/>
        </w:rPr>
        <w:tab/>
      </w:r>
      <w:r w:rsidRPr="00D546E8">
        <w:rPr>
          <w:lang w:val="es-ES_tradnl"/>
        </w:rPr>
        <w:t>En respuesta a la solicitud del TC, el redactor de Australia (Sr. Nik Hulse), con la ayuda de expertos de Alemania, Francia, los Países Bajos, el Reino Unido y la Unión Europea, elaboró un proyecto de orientación, para incluir en una futura revisión del documento TGP/8, sobre la manera de minimizar la variación resultante de la ejecución de los ensayos por distintos observadores, que incluye orientación relativa a los caracteres PQ y QN/MG, para someterla al examen de los TWP en sus sesiones de 2014.</w:t>
      </w:r>
    </w:p>
    <w:p w:rsidR="00451BF1" w:rsidRPr="00F06F90" w:rsidRDefault="00451BF1" w:rsidP="00CA7E27">
      <w:pPr>
        <w:rPr>
          <w:lang w:val="es-ES"/>
        </w:rPr>
      </w:pPr>
    </w:p>
    <w:p w:rsidR="00451BF1" w:rsidRPr="00F06F90" w:rsidRDefault="00451BF1" w:rsidP="00CA7E27">
      <w:pPr>
        <w:rPr>
          <w:lang w:val="es-ES"/>
        </w:rPr>
      </w:pPr>
      <w:r w:rsidRPr="00D546E8">
        <w:fldChar w:fldCharType="begin"/>
      </w:r>
      <w:r w:rsidRPr="00F06F90">
        <w:rPr>
          <w:lang w:val="es-ES"/>
        </w:rPr>
        <w:instrText xml:space="preserve"> AUTONUM  </w:instrText>
      </w:r>
      <w:r w:rsidRPr="00D546E8">
        <w:fldChar w:fldCharType="end"/>
      </w:r>
      <w:r w:rsidRPr="00F06F90">
        <w:rPr>
          <w:lang w:val="es-ES"/>
        </w:rPr>
        <w:tab/>
      </w:r>
      <w:r w:rsidRPr="00D546E8">
        <w:rPr>
          <w:lang w:val="es-ES_tradnl"/>
        </w:rPr>
        <w:t>El experto de Australia propuso que los TWP examinen las siguientes cuestiones para su aclaración o futura inclusión en el próximo proyecto de orientación, para una futura revisión del documento TGP/8, sobre la manera de minimizar la variación resultante de la ejecución de los ensayos por distintos observadores:</w:t>
      </w:r>
    </w:p>
    <w:p w:rsidR="00451BF1" w:rsidRPr="00F06F90" w:rsidRDefault="00451BF1" w:rsidP="00CA7E27">
      <w:pPr>
        <w:rPr>
          <w:lang w:val="es-ES"/>
        </w:rPr>
      </w:pPr>
    </w:p>
    <w:p w:rsidR="00451BF1" w:rsidRPr="00F06F90" w:rsidRDefault="00451BF1" w:rsidP="00CA7E27">
      <w:pPr>
        <w:numPr>
          <w:ilvl w:val="0"/>
          <w:numId w:val="5"/>
        </w:numPr>
        <w:rPr>
          <w:lang w:val="es-ES"/>
        </w:rPr>
      </w:pPr>
      <w:r w:rsidRPr="00D546E8">
        <w:rPr>
          <w:lang w:val="es-ES_tradnl"/>
        </w:rPr>
        <w:t>Como ya se indica en el proyecto, los caracteres QN/MG pueden abordarse de modo similar a los QN/MS.</w:t>
      </w:r>
      <w:r w:rsidRPr="00F06F90">
        <w:rPr>
          <w:lang w:val="es-ES"/>
        </w:rPr>
        <w:t xml:space="preserve">  </w:t>
      </w:r>
      <w:r w:rsidRPr="00D546E8">
        <w:rPr>
          <w:lang w:val="es-ES_tradnl"/>
        </w:rPr>
        <w:t>No obstante, conviene señalar que, en el caso de los caracteres QN/MG, también debe tenerse en cuenta el posible efecto de la variación intraparcelaria aleatoria.</w:t>
      </w:r>
      <w:r w:rsidRPr="00F06F90">
        <w:rPr>
          <w:lang w:val="es-ES"/>
        </w:rPr>
        <w:t xml:space="preserve"> </w:t>
      </w:r>
    </w:p>
    <w:p w:rsidR="00451BF1" w:rsidRPr="00F06F90" w:rsidRDefault="00451BF1" w:rsidP="00CA7E27">
      <w:pPr>
        <w:ind w:left="720"/>
        <w:rPr>
          <w:lang w:val="es-ES"/>
        </w:rPr>
      </w:pPr>
    </w:p>
    <w:p w:rsidR="00451BF1" w:rsidRPr="00F06F90" w:rsidRDefault="00451BF1" w:rsidP="00CA7E27">
      <w:pPr>
        <w:numPr>
          <w:ilvl w:val="0"/>
          <w:numId w:val="5"/>
        </w:numPr>
        <w:rPr>
          <w:lang w:val="es-ES"/>
        </w:rPr>
      </w:pPr>
      <w:r w:rsidRPr="00D546E8">
        <w:rPr>
          <w:lang w:val="es-ES_tradnl"/>
        </w:rPr>
        <w:t>Ha de estudiarse con más detenimiento el modo de incorporar la orientación relativa a los caracteres PQ.</w:t>
      </w:r>
      <w:r w:rsidRPr="00F06F90">
        <w:rPr>
          <w:lang w:val="es-ES"/>
        </w:rPr>
        <w:t xml:space="preserve">  </w:t>
      </w:r>
      <w:r w:rsidRPr="00D546E8">
        <w:rPr>
          <w:lang w:val="es-ES_tradnl"/>
        </w:rPr>
        <w:t>Debe explicarse que el documento TGP/14 es otro instrumento útil para aclarar las particularidades de muchos caracteres PQ (por ejemplo, la forma).</w:t>
      </w:r>
      <w:r w:rsidRPr="00F06F90">
        <w:rPr>
          <w:lang w:val="es-ES"/>
        </w:rPr>
        <w:t xml:space="preserve">  </w:t>
      </w:r>
      <w:r w:rsidRPr="00D546E8">
        <w:rPr>
          <w:lang w:val="es-ES_tradnl"/>
        </w:rPr>
        <w:t>Es posible que las diferencias entre los observadores puedan analizarse mediante la frecuencia de las desviaciones.</w:t>
      </w:r>
    </w:p>
    <w:p w:rsidR="00451BF1" w:rsidRPr="00F06F90" w:rsidRDefault="00451BF1" w:rsidP="005D3DD4">
      <w:pPr>
        <w:ind w:left="720"/>
        <w:rPr>
          <w:lang w:val="es-ES"/>
        </w:rPr>
      </w:pPr>
    </w:p>
    <w:p w:rsidR="00451BF1" w:rsidRPr="00F06F90" w:rsidRDefault="00451BF1" w:rsidP="00CA7E27">
      <w:pPr>
        <w:numPr>
          <w:ilvl w:val="0"/>
          <w:numId w:val="5"/>
        </w:numPr>
        <w:rPr>
          <w:lang w:val="es-ES"/>
        </w:rPr>
      </w:pPr>
      <w:r w:rsidRPr="00D546E8">
        <w:rPr>
          <w:lang w:val="es-ES_tradnl"/>
        </w:rPr>
        <w:t>Actualmente, el documento se centra en la variación entre observadores a nivel de la autoridad.</w:t>
      </w:r>
      <w:r w:rsidRPr="00F06F90">
        <w:rPr>
          <w:lang w:val="es-ES"/>
        </w:rPr>
        <w:t xml:space="preserve">  </w:t>
      </w:r>
      <w:r w:rsidRPr="00D546E8">
        <w:rPr>
          <w:lang w:val="es-ES_tradnl"/>
        </w:rPr>
        <w:t>Cabría considerar si la manera de minimizar la variación entre autoridades a nivel de los observadores debería abordarse en este documento o bien en un futuro documento aparte.</w:t>
      </w:r>
      <w:r w:rsidRPr="00F06F90">
        <w:rPr>
          <w:lang w:val="es-ES"/>
        </w:rPr>
        <w:t xml:space="preserve">  </w:t>
      </w:r>
      <w:r w:rsidRPr="00D546E8">
        <w:rPr>
          <w:lang w:val="es-ES_tradnl"/>
        </w:rPr>
        <w:t xml:space="preserve">Ha de tenerse en cuenta que con ello se introducirían más factores, tales como los métodos de muestreo, los </w:t>
      </w:r>
      <w:r w:rsidRPr="00F06F90">
        <w:rPr>
          <w:i/>
          <w:lang w:val="es-ES"/>
        </w:rPr>
        <w:t>ring tests</w:t>
      </w:r>
      <w:r w:rsidRPr="00D546E8">
        <w:rPr>
          <w:lang w:val="es-ES_tradnl"/>
        </w:rPr>
        <w:t xml:space="preserve"> y la variación debida a la interacción entre el genotipo y el entorno.</w:t>
      </w:r>
    </w:p>
    <w:p w:rsidR="00451BF1" w:rsidRPr="00F06F90" w:rsidRDefault="00451BF1" w:rsidP="00CA7E27">
      <w:pPr>
        <w:rPr>
          <w:lang w:val="es-ES"/>
        </w:rPr>
      </w:pPr>
    </w:p>
    <w:p w:rsidR="00451BF1" w:rsidRPr="00F06F90" w:rsidRDefault="00451BF1" w:rsidP="00872107">
      <w:pPr>
        <w:pStyle w:val="Heading2"/>
        <w:rPr>
          <w:lang w:val="es-ES"/>
        </w:rPr>
      </w:pPr>
      <w:bookmarkStart w:id="9" w:name="_Toc412453779"/>
      <w:r w:rsidRPr="00D546E8">
        <w:rPr>
          <w:lang w:val="es-ES_tradnl"/>
        </w:rPr>
        <w:t>Grupos de Trabajo Técnico</w:t>
      </w:r>
      <w:bookmarkEnd w:id="9"/>
    </w:p>
    <w:p w:rsidR="00451BF1" w:rsidRPr="00F06F90" w:rsidRDefault="00451BF1" w:rsidP="00CA7E27">
      <w:pPr>
        <w:rPr>
          <w:lang w:val="es-ES"/>
        </w:rPr>
      </w:pPr>
    </w:p>
    <w:p w:rsidR="00451BF1" w:rsidRPr="00F06F90" w:rsidRDefault="00451BF1" w:rsidP="00CA7E27">
      <w:pPr>
        <w:rPr>
          <w:snapToGrid w:val="0"/>
          <w:lang w:val="es-ES"/>
        </w:rPr>
      </w:pPr>
      <w:r w:rsidRPr="00D546E8">
        <w:rPr>
          <w:snapToGrid w:val="0"/>
        </w:rPr>
        <w:fldChar w:fldCharType="begin"/>
      </w:r>
      <w:r w:rsidRPr="00F06F90">
        <w:rPr>
          <w:snapToGrid w:val="0"/>
          <w:lang w:val="es-ES"/>
        </w:rPr>
        <w:instrText xml:space="preserve"> AUTONUM  </w:instrText>
      </w:r>
      <w:r w:rsidRPr="00D546E8">
        <w:rPr>
          <w:snapToGrid w:val="0"/>
        </w:rPr>
        <w:fldChar w:fldCharType="end"/>
      </w:r>
      <w:r w:rsidRPr="00F06F90">
        <w:rPr>
          <w:snapToGrid w:val="0"/>
          <w:lang w:val="es-ES"/>
        </w:rPr>
        <w:tab/>
      </w:r>
      <w:r w:rsidRPr="00D546E8">
        <w:rPr>
          <w:lang w:val="es-ES_tradnl"/>
        </w:rPr>
        <w:t>El TWO, el TWF, el TWC, el TWV y el TWA examinaron respectivamente los documentos TWO/47/15, TWF/45/15, TWC/32/15, TWV/48/15 y TWA/43/15 “</w:t>
      </w:r>
      <w:r w:rsidRPr="00F06F90">
        <w:rPr>
          <w:i/>
          <w:lang w:val="es-ES"/>
        </w:rPr>
        <w:t>Revision of Document TGP/8: Part I: DUS Trial Design and Data Analysis, New Section: Minimizing the Variation due to Different Observers</w:t>
      </w:r>
      <w:r w:rsidRPr="00D546E8">
        <w:rPr>
          <w:lang w:val="es-ES_tradnl"/>
        </w:rPr>
        <w:t xml:space="preserve">” (“Revisión </w:t>
      </w:r>
      <w:r w:rsidRPr="00D546E8">
        <w:rPr>
          <w:lang w:val="es-ES_tradnl"/>
        </w:rPr>
        <w:lastRenderedPageBreak/>
        <w:t>del documento TGP/8:  Parte I:  Diseño de los ensayos DHE y análisis de datos, nueva sección:  Minimizar la variación resultante de la ejecución de los ensayos por distintos observadores”) (véanse los párrafos 39 a 41 del documento TWO/47/28 “</w:t>
      </w:r>
      <w:r w:rsidRPr="00F06F90">
        <w:rPr>
          <w:i/>
          <w:lang w:val="es-ES"/>
        </w:rPr>
        <w:t>Report</w:t>
      </w:r>
      <w:r w:rsidRPr="00D546E8">
        <w:rPr>
          <w:lang w:val="es-ES_tradnl"/>
        </w:rPr>
        <w:t>”, los párrafos 26 a 32 del documento TWF/45/32 “</w:t>
      </w:r>
      <w:r w:rsidRPr="00F06F90">
        <w:rPr>
          <w:i/>
          <w:lang w:val="es-ES"/>
        </w:rPr>
        <w:t>Report</w:t>
      </w:r>
      <w:r w:rsidRPr="00D546E8">
        <w:rPr>
          <w:lang w:val="es-ES_tradnl"/>
        </w:rPr>
        <w:t>”, los párrafos 50 a 53 del documento TWC/32/28 “</w:t>
      </w:r>
      <w:r w:rsidRPr="00F06F90">
        <w:rPr>
          <w:i/>
          <w:lang w:val="es-ES"/>
        </w:rPr>
        <w:t>Report</w:t>
      </w:r>
      <w:r w:rsidRPr="00D546E8">
        <w:rPr>
          <w:lang w:val="es-ES_tradnl"/>
        </w:rPr>
        <w:t>”, los párrafos 34 a 37 del documento TWV/48/43 “</w:t>
      </w:r>
      <w:r w:rsidRPr="00F06F90">
        <w:rPr>
          <w:i/>
          <w:lang w:val="es-ES"/>
        </w:rPr>
        <w:t>Report</w:t>
      </w:r>
      <w:r w:rsidRPr="00D546E8">
        <w:rPr>
          <w:lang w:val="es-ES_tradnl"/>
        </w:rPr>
        <w:t>” y los párrafos 28 a 33 del documento TWA/43/27 “</w:t>
      </w:r>
      <w:r w:rsidRPr="00F06F90">
        <w:rPr>
          <w:i/>
          <w:lang w:val="es-ES"/>
        </w:rPr>
        <w:t>Report</w:t>
      </w:r>
      <w:r w:rsidRPr="00D546E8">
        <w:rPr>
          <w:lang w:val="es-ES_tradnl"/>
        </w:rPr>
        <w:t>”).</w:t>
      </w:r>
    </w:p>
    <w:p w:rsidR="00451BF1" w:rsidRPr="00F06F90" w:rsidRDefault="00451BF1" w:rsidP="00CA7E27">
      <w:pPr>
        <w:rPr>
          <w:lang w:val="es-ES"/>
        </w:rPr>
      </w:pPr>
    </w:p>
    <w:p w:rsidR="00451BF1" w:rsidRPr="00F06F90" w:rsidRDefault="00451BF1" w:rsidP="00CA7E27">
      <w:pPr>
        <w:rPr>
          <w:lang w:val="es-ES"/>
        </w:rPr>
      </w:pPr>
      <w:r w:rsidRPr="00D546E8">
        <w:fldChar w:fldCharType="begin"/>
      </w:r>
      <w:r w:rsidRPr="00F06F90">
        <w:rPr>
          <w:lang w:val="es-ES"/>
        </w:rPr>
        <w:instrText xml:space="preserve"> AUTONUM  </w:instrText>
      </w:r>
      <w:r w:rsidRPr="00D546E8">
        <w:fldChar w:fldCharType="end"/>
      </w:r>
      <w:r w:rsidRPr="00F06F90">
        <w:rPr>
          <w:lang w:val="es-ES"/>
        </w:rPr>
        <w:tab/>
      </w:r>
      <w:r w:rsidRPr="00D546E8">
        <w:rPr>
          <w:lang w:val="es-ES_tradnl"/>
        </w:rPr>
        <w:t>El TWO tomó nota de que el TWF había solicitado que un experto de Nueva Zelandia informara, en su sesión de 2014, sobre la labor previa realizada en relación con la descripción armonizada de variedades de manzano para un conjunto de variedades acordado, como se expone en el párrafo 18 del documento TWO/47/15 (véase el párrafo 40 del documento TWO/47/28 “</w:t>
      </w:r>
      <w:r w:rsidRPr="00F06F90">
        <w:rPr>
          <w:i/>
          <w:lang w:val="es-ES"/>
        </w:rPr>
        <w:t>Report</w:t>
      </w:r>
      <w:r w:rsidRPr="00D546E8">
        <w:rPr>
          <w:lang w:val="es-ES_tradnl"/>
        </w:rPr>
        <w:t>”).</w:t>
      </w:r>
    </w:p>
    <w:p w:rsidR="00451BF1" w:rsidRPr="00F06F90" w:rsidRDefault="00451BF1" w:rsidP="00CA7E27">
      <w:pPr>
        <w:rPr>
          <w:lang w:val="es-ES"/>
        </w:rPr>
      </w:pPr>
    </w:p>
    <w:p w:rsidR="00451BF1" w:rsidRPr="00F06F90" w:rsidRDefault="00451BF1" w:rsidP="00CA7E27">
      <w:pPr>
        <w:rPr>
          <w:lang w:val="es-ES"/>
        </w:rPr>
      </w:pPr>
      <w:r w:rsidRPr="00D546E8">
        <w:fldChar w:fldCharType="begin"/>
      </w:r>
      <w:r w:rsidRPr="00F06F90">
        <w:rPr>
          <w:lang w:val="es-ES"/>
        </w:rPr>
        <w:instrText xml:space="preserve"> AUTONUM  </w:instrText>
      </w:r>
      <w:r w:rsidRPr="00D546E8">
        <w:fldChar w:fldCharType="end"/>
      </w:r>
      <w:r w:rsidRPr="00F06F90">
        <w:rPr>
          <w:lang w:val="es-ES"/>
        </w:rPr>
        <w:tab/>
      </w:r>
      <w:r w:rsidRPr="00D546E8">
        <w:rPr>
          <w:lang w:val="es-ES_tradnl"/>
        </w:rPr>
        <w:t xml:space="preserve">El TWO, el TWF, el TWC, el TWV y el TWA convinieron en que el proyecto de orientación presentado en sus sesiones como Anexo de los documentos </w:t>
      </w:r>
      <w:r w:rsidRPr="00D546E8">
        <w:rPr>
          <w:snapToGrid w:val="0"/>
          <w:lang w:val="es-ES_tradnl"/>
        </w:rPr>
        <w:t xml:space="preserve">TWO/47/15, </w:t>
      </w:r>
      <w:r w:rsidRPr="00D546E8">
        <w:rPr>
          <w:lang w:val="es-ES_tradnl"/>
        </w:rPr>
        <w:t xml:space="preserve">TWF/45/15, </w:t>
      </w:r>
      <w:r w:rsidRPr="00D546E8">
        <w:rPr>
          <w:snapToGrid w:val="0"/>
          <w:lang w:val="es-ES_tradnl"/>
        </w:rPr>
        <w:t xml:space="preserve">TWC/32/15, </w:t>
      </w:r>
      <w:r w:rsidRPr="00D546E8">
        <w:rPr>
          <w:lang w:val="es-ES_tradnl"/>
        </w:rPr>
        <w:t xml:space="preserve">TWV/48/15 y TWA/43/15, respectivamente, debe seguir elaborándose para su inclusión en una futura revisión del documento TGP/8 sobre la manera de minimizar la variación resultante de la ejecución de los ensayos por distintos observadores, que incluya orientación relativa a los caracteres PQ y QN/MG, junto con las cuestiones planteadas por el experto de Australia en los documentos TWO/47/15, TWF/45/15, </w:t>
      </w:r>
      <w:r w:rsidRPr="00D546E8">
        <w:rPr>
          <w:snapToGrid w:val="0"/>
          <w:lang w:val="es-ES_tradnl"/>
        </w:rPr>
        <w:t xml:space="preserve">TWC/32/15 y </w:t>
      </w:r>
      <w:r w:rsidRPr="00D546E8">
        <w:rPr>
          <w:lang w:val="es-ES_tradnl"/>
        </w:rPr>
        <w:t>TWV/48/15, que se reproducen en el párrafo 10 del presente documento (véase el párrafo 41 del documento TWO/47/28 “</w:t>
      </w:r>
      <w:r w:rsidRPr="00F06F90">
        <w:rPr>
          <w:i/>
          <w:lang w:val="es-ES"/>
        </w:rPr>
        <w:t>Report</w:t>
      </w:r>
      <w:r w:rsidRPr="00D546E8">
        <w:rPr>
          <w:lang w:val="es-ES_tradnl"/>
        </w:rPr>
        <w:t>”, el párrafo 27 del documento TWF/45/32 “</w:t>
      </w:r>
      <w:r w:rsidRPr="00F06F90">
        <w:rPr>
          <w:i/>
          <w:lang w:val="es-ES"/>
        </w:rPr>
        <w:t>Report</w:t>
      </w:r>
      <w:r w:rsidRPr="00D546E8">
        <w:rPr>
          <w:lang w:val="es-ES_tradnl"/>
        </w:rPr>
        <w:t>”, el párrafo 52 del documento TWC/32/28 “</w:t>
      </w:r>
      <w:r w:rsidRPr="00F06F90">
        <w:rPr>
          <w:i/>
          <w:lang w:val="es-ES"/>
        </w:rPr>
        <w:t>Report</w:t>
      </w:r>
      <w:r w:rsidRPr="00D546E8">
        <w:rPr>
          <w:lang w:val="es-ES_tradnl"/>
        </w:rPr>
        <w:t>”, el párrafo 34 del documento TWV/48/43 “</w:t>
      </w:r>
      <w:r w:rsidRPr="00F06F90">
        <w:rPr>
          <w:i/>
          <w:lang w:val="es-ES"/>
        </w:rPr>
        <w:t>Report</w:t>
      </w:r>
      <w:r w:rsidRPr="00D546E8">
        <w:rPr>
          <w:lang w:val="es-ES_tradnl"/>
        </w:rPr>
        <w:t>” y el párrafo 30 del documento TWA/43/27 “</w:t>
      </w:r>
      <w:r w:rsidRPr="00F06F90">
        <w:rPr>
          <w:i/>
          <w:lang w:val="es-ES"/>
        </w:rPr>
        <w:t>Report</w:t>
      </w:r>
      <w:r w:rsidRPr="00D546E8">
        <w:rPr>
          <w:lang w:val="es-ES_tradnl"/>
        </w:rPr>
        <w:t>”).</w:t>
      </w:r>
      <w:r w:rsidRPr="00F06F90">
        <w:rPr>
          <w:lang w:val="es-ES"/>
        </w:rPr>
        <w:t xml:space="preserve">  </w:t>
      </w:r>
    </w:p>
    <w:p w:rsidR="00451BF1" w:rsidRPr="00F06F90" w:rsidRDefault="00451BF1" w:rsidP="00CA7E27">
      <w:pPr>
        <w:rPr>
          <w:lang w:val="es-ES"/>
        </w:rPr>
      </w:pPr>
    </w:p>
    <w:p w:rsidR="00451BF1" w:rsidRPr="00F06F90" w:rsidRDefault="00451BF1" w:rsidP="00CA7E27">
      <w:pPr>
        <w:rPr>
          <w:lang w:val="es-ES"/>
        </w:rPr>
      </w:pPr>
      <w:r w:rsidRPr="00D546E8">
        <w:fldChar w:fldCharType="begin"/>
      </w:r>
      <w:r w:rsidRPr="00F06F90">
        <w:rPr>
          <w:lang w:val="es-ES"/>
        </w:rPr>
        <w:instrText xml:space="preserve"> AUTONUM  </w:instrText>
      </w:r>
      <w:r w:rsidRPr="00D546E8">
        <w:fldChar w:fldCharType="end"/>
      </w:r>
      <w:r w:rsidRPr="00F06F90">
        <w:rPr>
          <w:lang w:val="es-ES"/>
        </w:rPr>
        <w:tab/>
      </w:r>
      <w:r w:rsidRPr="00D546E8">
        <w:rPr>
          <w:lang w:val="es-ES_tradnl"/>
        </w:rPr>
        <w:t>El TWO y el TWA convinieron en que el documento debe centrarse en la variación entre observadores a nivel de la autoridad y no en la manera de minimizar la variación entre autoridades a nivel de los observadores (véase el párrafo 41 del documento TWO/47/28 “</w:t>
      </w:r>
      <w:r w:rsidRPr="00F06F90">
        <w:rPr>
          <w:i/>
          <w:lang w:val="es-ES"/>
        </w:rPr>
        <w:t>Report</w:t>
      </w:r>
      <w:r w:rsidRPr="00D546E8">
        <w:rPr>
          <w:lang w:val="es-ES_tradnl"/>
        </w:rPr>
        <w:t>” y el párrafo 31 del documento TWA/43/27 “</w:t>
      </w:r>
      <w:r w:rsidRPr="00F06F90">
        <w:rPr>
          <w:i/>
          <w:lang w:val="es-ES"/>
        </w:rPr>
        <w:t>Report</w:t>
      </w:r>
      <w:r w:rsidRPr="00D546E8">
        <w:rPr>
          <w:lang w:val="es-ES_tradnl"/>
        </w:rPr>
        <w:t>”).</w:t>
      </w:r>
      <w:r w:rsidRPr="00F06F90">
        <w:rPr>
          <w:lang w:val="es-ES"/>
        </w:rPr>
        <w:t xml:space="preserve"> </w:t>
      </w:r>
    </w:p>
    <w:p w:rsidR="00451BF1" w:rsidRPr="00F06F90" w:rsidRDefault="00451BF1" w:rsidP="00CA7E27">
      <w:pPr>
        <w:rPr>
          <w:lang w:val="es-ES"/>
        </w:rPr>
      </w:pPr>
    </w:p>
    <w:p w:rsidR="00451BF1" w:rsidRPr="00F06F90" w:rsidRDefault="00451BF1" w:rsidP="00CA7E27">
      <w:pPr>
        <w:rPr>
          <w:lang w:val="es-ES"/>
        </w:rPr>
      </w:pPr>
      <w:r w:rsidRPr="00D546E8">
        <w:fldChar w:fldCharType="begin"/>
      </w:r>
      <w:r w:rsidRPr="00F06F90">
        <w:rPr>
          <w:lang w:val="es-ES"/>
        </w:rPr>
        <w:instrText xml:space="preserve"> AUTONUM  </w:instrText>
      </w:r>
      <w:r w:rsidRPr="00D546E8">
        <w:fldChar w:fldCharType="end"/>
      </w:r>
      <w:r w:rsidRPr="00F06F90">
        <w:rPr>
          <w:lang w:val="es-ES"/>
        </w:rPr>
        <w:tab/>
      </w:r>
      <w:r w:rsidRPr="00D546E8">
        <w:rPr>
          <w:lang w:val="es-ES_tradnl"/>
        </w:rPr>
        <w:t>El TWF escuchó una ponencia a cargo de los expertos de Alemania y Nueva Zelandia sobre la labor previa realizada en relación con la descripción armonizada de variedades de manzano para un conjunto de variedades acordado, que se reproduce en el documento TWF/45/28 (véase el párrafo 28 del documento TWF/45/32 “</w:t>
      </w:r>
      <w:r w:rsidRPr="00F06F90">
        <w:rPr>
          <w:i/>
          <w:lang w:val="es-ES"/>
        </w:rPr>
        <w:t>Report</w:t>
      </w:r>
      <w:r w:rsidRPr="00D546E8">
        <w:rPr>
          <w:lang w:val="es-ES_tradnl"/>
        </w:rPr>
        <w:t>”).</w:t>
      </w:r>
    </w:p>
    <w:p w:rsidR="00451BF1" w:rsidRPr="00F06F90" w:rsidRDefault="00451BF1" w:rsidP="00CA7E27">
      <w:pPr>
        <w:rPr>
          <w:lang w:val="es-ES"/>
        </w:rPr>
      </w:pPr>
    </w:p>
    <w:p w:rsidR="00451BF1" w:rsidRPr="00F06F90" w:rsidRDefault="00451BF1" w:rsidP="00CA7E27">
      <w:pPr>
        <w:rPr>
          <w:lang w:val="es-ES"/>
        </w:rPr>
      </w:pPr>
      <w:r w:rsidRPr="00D546E8">
        <w:fldChar w:fldCharType="begin"/>
      </w:r>
      <w:r w:rsidRPr="00F06F90">
        <w:rPr>
          <w:lang w:val="es-ES"/>
        </w:rPr>
        <w:instrText xml:space="preserve"> AUTONUM  </w:instrText>
      </w:r>
      <w:r w:rsidRPr="00D546E8">
        <w:fldChar w:fldCharType="end"/>
      </w:r>
      <w:r w:rsidRPr="00F06F90">
        <w:rPr>
          <w:lang w:val="es-ES"/>
        </w:rPr>
        <w:tab/>
      </w:r>
      <w:r w:rsidRPr="00D546E8">
        <w:rPr>
          <w:lang w:val="es-ES_tradnl"/>
        </w:rPr>
        <w:t>El TWF convino en la importancia de minimizar la variación entre distintos observadores así como entre autoridades, y por ello propuso considerar la posibilidad de emprender un nuevo proyecto sobre la descripción armonizada de variedades para un conjunto de variedades acordado.</w:t>
      </w:r>
      <w:r w:rsidRPr="00F06F90">
        <w:rPr>
          <w:lang w:val="es-ES"/>
        </w:rPr>
        <w:t xml:space="preserve">  </w:t>
      </w:r>
      <w:r w:rsidRPr="00D546E8">
        <w:rPr>
          <w:lang w:val="es-ES_tradnl"/>
        </w:rPr>
        <w:t>El experto de Alemania propuso presentar al TWF, en su cuadragésima sexta sesión, un protocolo para el proyecto que incluya una lista acordada de las variedades que han de examinarse, a fin de analizar si es pertinente seguir desarrollando el estudio (véase el párrafo 30 del documento TWF/45/32 “</w:t>
      </w:r>
      <w:r w:rsidRPr="00F06F90">
        <w:rPr>
          <w:i/>
          <w:lang w:val="es-ES"/>
        </w:rPr>
        <w:t>Report</w:t>
      </w:r>
      <w:r w:rsidRPr="00D546E8">
        <w:rPr>
          <w:lang w:val="es-ES_tradnl"/>
        </w:rPr>
        <w:t>”).</w:t>
      </w:r>
    </w:p>
    <w:p w:rsidR="00451BF1" w:rsidRPr="00F06F90" w:rsidRDefault="00451BF1" w:rsidP="00CA7E27">
      <w:pPr>
        <w:rPr>
          <w:lang w:val="es-ES"/>
        </w:rPr>
      </w:pPr>
    </w:p>
    <w:p w:rsidR="00451BF1" w:rsidRPr="00F06F90" w:rsidRDefault="00451BF1" w:rsidP="00CA7E27">
      <w:pPr>
        <w:rPr>
          <w:lang w:val="es-ES"/>
        </w:rPr>
      </w:pPr>
      <w:r w:rsidRPr="00D546E8">
        <w:fldChar w:fldCharType="begin"/>
      </w:r>
      <w:r w:rsidRPr="00F06F90">
        <w:rPr>
          <w:lang w:val="es-ES"/>
        </w:rPr>
        <w:instrText xml:space="preserve"> AUTONUM  </w:instrText>
      </w:r>
      <w:r w:rsidRPr="00D546E8">
        <w:fldChar w:fldCharType="end"/>
      </w:r>
      <w:r w:rsidRPr="00F06F90">
        <w:rPr>
          <w:lang w:val="es-ES"/>
        </w:rPr>
        <w:tab/>
      </w:r>
      <w:r w:rsidRPr="00D546E8">
        <w:rPr>
          <w:lang w:val="es-ES_tradnl"/>
        </w:rPr>
        <w:t>El TWF y el TWV señalaron la importancia de la calidad de las directrices de examen como orientación clara para los encargados de realizar el examen DHE y como garantía de la consistencia de las observaciones efectuadas por distintos observadores en cada autoridad, así como la importancia de la formación continua de los examinadores (véase el párrafo 31 del documento TWF/45/32 “</w:t>
      </w:r>
      <w:r w:rsidRPr="00F06F90">
        <w:rPr>
          <w:i/>
          <w:lang w:val="es-ES"/>
        </w:rPr>
        <w:t>Report</w:t>
      </w:r>
      <w:r w:rsidRPr="00D546E8">
        <w:rPr>
          <w:lang w:val="es-ES_tradnl"/>
        </w:rPr>
        <w:t>” y el párrafo 35 del documento TWV/48/43 “</w:t>
      </w:r>
      <w:r w:rsidRPr="00F06F90">
        <w:rPr>
          <w:i/>
          <w:lang w:val="es-ES"/>
        </w:rPr>
        <w:t>Report</w:t>
      </w:r>
      <w:r w:rsidRPr="00D546E8">
        <w:rPr>
          <w:lang w:val="es-ES_tradnl"/>
        </w:rPr>
        <w:t>”).</w:t>
      </w:r>
    </w:p>
    <w:p w:rsidR="00451BF1" w:rsidRPr="00F06F90" w:rsidRDefault="00451BF1" w:rsidP="00CA7E27">
      <w:pPr>
        <w:rPr>
          <w:lang w:val="es-ES"/>
        </w:rPr>
      </w:pPr>
    </w:p>
    <w:p w:rsidR="00451BF1" w:rsidRPr="00F06F90" w:rsidRDefault="00451BF1" w:rsidP="00CA7E27">
      <w:pPr>
        <w:rPr>
          <w:lang w:val="es-ES"/>
        </w:rPr>
      </w:pPr>
      <w:r w:rsidRPr="00D546E8">
        <w:fldChar w:fldCharType="begin"/>
      </w:r>
      <w:r w:rsidRPr="00F06F90">
        <w:rPr>
          <w:lang w:val="es-ES"/>
        </w:rPr>
        <w:instrText xml:space="preserve"> AUTONUM  </w:instrText>
      </w:r>
      <w:r w:rsidRPr="00D546E8">
        <w:fldChar w:fldCharType="end"/>
      </w:r>
      <w:r w:rsidRPr="00F06F90">
        <w:rPr>
          <w:lang w:val="es-ES"/>
        </w:rPr>
        <w:tab/>
      </w:r>
      <w:r w:rsidRPr="00D546E8">
        <w:rPr>
          <w:lang w:val="es-ES_tradnl"/>
        </w:rPr>
        <w:t>El TWF invitó al experto de Australia a que, en su cuadragésima sexta sesión, presente información sobre el efecto del lugar, el observador y el año en la conformidad de un carácter para un cultivo determinado (véase el párrafo 32 del documento TWF/45/32 “</w:t>
      </w:r>
      <w:r w:rsidRPr="00F06F90">
        <w:rPr>
          <w:i/>
          <w:lang w:val="es-ES"/>
        </w:rPr>
        <w:t>Report</w:t>
      </w:r>
      <w:r w:rsidRPr="00D546E8">
        <w:rPr>
          <w:lang w:val="es-ES_tradnl"/>
        </w:rPr>
        <w:t>”).</w:t>
      </w:r>
    </w:p>
    <w:p w:rsidR="00451BF1" w:rsidRPr="00F06F90" w:rsidRDefault="00451BF1" w:rsidP="00CA7E27">
      <w:pPr>
        <w:rPr>
          <w:lang w:val="es-ES"/>
        </w:rPr>
      </w:pPr>
    </w:p>
    <w:p w:rsidR="00451BF1" w:rsidRPr="00F06F90" w:rsidRDefault="00451BF1" w:rsidP="00CA7E27">
      <w:pPr>
        <w:rPr>
          <w:lang w:val="es-ES"/>
        </w:rPr>
      </w:pPr>
      <w:r w:rsidRPr="00D546E8">
        <w:fldChar w:fldCharType="begin"/>
      </w:r>
      <w:r w:rsidRPr="00F06F90">
        <w:rPr>
          <w:lang w:val="es-ES"/>
        </w:rPr>
        <w:instrText xml:space="preserve"> AUTONUM  </w:instrText>
      </w:r>
      <w:r w:rsidRPr="00D546E8">
        <w:fldChar w:fldCharType="end"/>
      </w:r>
      <w:r w:rsidRPr="00F06F90">
        <w:rPr>
          <w:lang w:val="es-ES"/>
        </w:rPr>
        <w:tab/>
      </w:r>
      <w:r w:rsidRPr="00D546E8">
        <w:rPr>
          <w:lang w:val="es-ES_tradnl"/>
        </w:rPr>
        <w:t>El TWC tomó nota de que, en la cuadragésima quinta sesión del TWF, el experto de Nueva Zelandia había presentado información sobre la labor previa realizada en relación con la descripción armonizada de variedades de manzano para un conjunto de variedades acordado (véase el párrafo 51 del documento TWC/32/28 “</w:t>
      </w:r>
      <w:r w:rsidRPr="00F06F90">
        <w:rPr>
          <w:i/>
          <w:lang w:val="es-ES"/>
        </w:rPr>
        <w:t>Report</w:t>
      </w:r>
      <w:r w:rsidRPr="00D546E8">
        <w:rPr>
          <w:lang w:val="es-ES_tradnl"/>
        </w:rPr>
        <w:t>”).</w:t>
      </w:r>
    </w:p>
    <w:p w:rsidR="00451BF1" w:rsidRPr="00F06F90" w:rsidRDefault="00451BF1" w:rsidP="00CA7E27">
      <w:pPr>
        <w:rPr>
          <w:lang w:val="es-ES"/>
        </w:rPr>
      </w:pPr>
    </w:p>
    <w:p w:rsidR="00451BF1" w:rsidRPr="00F06F90" w:rsidRDefault="00451BF1" w:rsidP="00B630AE">
      <w:pPr>
        <w:spacing w:before="60" w:after="60"/>
        <w:rPr>
          <w:lang w:val="es-ES"/>
        </w:rPr>
      </w:pPr>
      <w:r w:rsidRPr="00D546E8">
        <w:fldChar w:fldCharType="begin"/>
      </w:r>
      <w:r w:rsidRPr="00F06F90">
        <w:rPr>
          <w:lang w:val="es-ES"/>
        </w:rPr>
        <w:instrText xml:space="preserve"> AUTONUM  </w:instrText>
      </w:r>
      <w:r w:rsidRPr="00D546E8">
        <w:fldChar w:fldCharType="end"/>
      </w:r>
      <w:r w:rsidRPr="00F06F90">
        <w:rPr>
          <w:lang w:val="es-ES"/>
        </w:rPr>
        <w:tab/>
      </w:r>
      <w:r w:rsidRPr="00D546E8">
        <w:rPr>
          <w:lang w:val="es-ES_tradnl"/>
        </w:rPr>
        <w:t>El TWC convino en que el proyecto de orientación debe centrarse inicialmente en la variación entre observadores a nivel de la autoridad y, en una etapa ulterior, abordar la variación entre autoridades (véase el párrafo 53 del documento TWC/32/28 “</w:t>
      </w:r>
      <w:r w:rsidRPr="00F06F90">
        <w:rPr>
          <w:i/>
          <w:lang w:val="es-ES"/>
        </w:rPr>
        <w:t>Report</w:t>
      </w:r>
      <w:r w:rsidRPr="00D546E8">
        <w:rPr>
          <w:lang w:val="es-ES_tradnl"/>
        </w:rPr>
        <w:t>”).</w:t>
      </w:r>
    </w:p>
    <w:p w:rsidR="00451BF1" w:rsidRPr="00F06F90" w:rsidRDefault="00451BF1" w:rsidP="00CA7E27">
      <w:pPr>
        <w:rPr>
          <w:lang w:val="es-ES"/>
        </w:rPr>
      </w:pPr>
    </w:p>
    <w:p w:rsidR="00451BF1" w:rsidRPr="00F06F90" w:rsidRDefault="00451BF1" w:rsidP="00CA7E27">
      <w:pPr>
        <w:rPr>
          <w:lang w:val="es-ES"/>
        </w:rPr>
      </w:pPr>
      <w:r w:rsidRPr="00D546E8">
        <w:fldChar w:fldCharType="begin"/>
      </w:r>
      <w:r w:rsidRPr="00F06F90">
        <w:rPr>
          <w:lang w:val="es-ES"/>
        </w:rPr>
        <w:instrText xml:space="preserve"> AUTONUM  </w:instrText>
      </w:r>
      <w:r w:rsidRPr="00D546E8">
        <w:fldChar w:fldCharType="end"/>
      </w:r>
      <w:r w:rsidRPr="00F06F90">
        <w:rPr>
          <w:lang w:val="es-ES"/>
        </w:rPr>
        <w:tab/>
      </w:r>
      <w:r w:rsidRPr="00D546E8">
        <w:rPr>
          <w:lang w:val="es-ES_tradnl"/>
        </w:rPr>
        <w:t>El TWV propuso incluir, en un ensayo DHE, un ejercicio de formación que sirva de base para intercambiar experiencias prácticas y para potenciar la utilización del TWV con fines de capacitación (véase el párrafo 36 del documento TWV/48/43 “</w:t>
      </w:r>
      <w:r w:rsidRPr="00F06F90">
        <w:rPr>
          <w:i/>
          <w:lang w:val="es-ES"/>
        </w:rPr>
        <w:t>Report</w:t>
      </w:r>
      <w:r w:rsidRPr="00D546E8">
        <w:rPr>
          <w:lang w:val="es-ES_tradnl"/>
        </w:rPr>
        <w:t>”).</w:t>
      </w:r>
    </w:p>
    <w:p w:rsidR="00451BF1" w:rsidRPr="00F06F90" w:rsidRDefault="00451BF1" w:rsidP="00CA7E27">
      <w:pPr>
        <w:rPr>
          <w:lang w:val="es-ES"/>
        </w:rPr>
      </w:pPr>
    </w:p>
    <w:p w:rsidR="00451BF1" w:rsidRPr="00F06F90" w:rsidRDefault="00451BF1" w:rsidP="00CA7E27">
      <w:pPr>
        <w:rPr>
          <w:lang w:val="es-ES"/>
        </w:rPr>
      </w:pPr>
      <w:r w:rsidRPr="00D546E8">
        <w:lastRenderedPageBreak/>
        <w:fldChar w:fldCharType="begin"/>
      </w:r>
      <w:r w:rsidRPr="00F06F90">
        <w:rPr>
          <w:lang w:val="es-ES"/>
        </w:rPr>
        <w:instrText xml:space="preserve"> AUTONUM  </w:instrText>
      </w:r>
      <w:r w:rsidRPr="00D546E8">
        <w:fldChar w:fldCharType="end"/>
      </w:r>
      <w:r w:rsidRPr="00F06F90">
        <w:rPr>
          <w:lang w:val="es-ES"/>
        </w:rPr>
        <w:tab/>
      </w:r>
      <w:r w:rsidRPr="00D546E8">
        <w:rPr>
          <w:lang w:val="es-ES_tradnl"/>
        </w:rPr>
        <w:t>El TWA tomó nota de que, en la cuadragésima quinta sesión del TWF, un experto de Nueva Zelandia había presentado una ponencia sobre la labor previa realizada en relación con la descripción armonizada de variedades de manzano para un conjunto de variedades acordado, que se reproduce en el documento TWF/45/28 “</w:t>
      </w:r>
      <w:r w:rsidRPr="00F06F90">
        <w:rPr>
          <w:i/>
          <w:lang w:val="es-ES"/>
        </w:rPr>
        <w:t>Harmonized example varieties for Apple: historical data and possible new developments</w:t>
      </w:r>
      <w:r w:rsidRPr="00D546E8">
        <w:rPr>
          <w:lang w:val="es-ES_tradnl"/>
        </w:rPr>
        <w:t>” (“Variedades ejemplo armonizadas de la manzana:  datos históricos y posibles novedades”) (véase el párrafo 29 del documento TWA/43/27 “</w:t>
      </w:r>
      <w:r w:rsidRPr="00F06F90">
        <w:rPr>
          <w:i/>
          <w:lang w:val="es-ES"/>
        </w:rPr>
        <w:t>Report</w:t>
      </w:r>
      <w:r w:rsidRPr="00D546E8">
        <w:rPr>
          <w:lang w:val="es-ES_tradnl"/>
        </w:rPr>
        <w:t>”).</w:t>
      </w:r>
    </w:p>
    <w:p w:rsidR="00451BF1" w:rsidRPr="00F06F90" w:rsidRDefault="00451BF1" w:rsidP="00CA7E27">
      <w:pPr>
        <w:rPr>
          <w:lang w:val="es-ES"/>
        </w:rPr>
      </w:pPr>
    </w:p>
    <w:p w:rsidR="00451BF1" w:rsidRPr="00F06F90" w:rsidRDefault="00451BF1" w:rsidP="00CA7E27">
      <w:pPr>
        <w:rPr>
          <w:lang w:val="es-ES"/>
        </w:rPr>
      </w:pPr>
      <w:r w:rsidRPr="00D546E8">
        <w:fldChar w:fldCharType="begin"/>
      </w:r>
      <w:r w:rsidRPr="00F06F90">
        <w:rPr>
          <w:lang w:val="es-ES"/>
        </w:rPr>
        <w:instrText xml:space="preserve"> AUTONUM  </w:instrText>
      </w:r>
      <w:r w:rsidRPr="00D546E8">
        <w:fldChar w:fldCharType="end"/>
      </w:r>
      <w:r w:rsidRPr="00F06F90">
        <w:rPr>
          <w:lang w:val="es-ES"/>
        </w:rPr>
        <w:tab/>
      </w:r>
      <w:r w:rsidRPr="00D546E8">
        <w:rPr>
          <w:lang w:val="es-ES_tradnl"/>
        </w:rPr>
        <w:t>El TWA señaló la importancia de la calidad de las directrices de examen como orientación clara para los encargados de realizar el examen DHE y como garantía de la consistencia de las observaciones, así como la importancia de la formación continua de los examinadores.</w:t>
      </w:r>
      <w:r w:rsidRPr="00F06F90">
        <w:rPr>
          <w:lang w:val="es-ES"/>
        </w:rPr>
        <w:t xml:space="preserve">  </w:t>
      </w:r>
      <w:r w:rsidRPr="00D546E8">
        <w:rPr>
          <w:lang w:val="es-ES_tradnl"/>
        </w:rPr>
        <w:t>El TWA acordó proponer como recomendación general que, si es posible, se asigne un solo observador a cada ensayo para evitar la variación en las observaciones (véase el párrafo 32 del documento TWA/43/27 “</w:t>
      </w:r>
      <w:r w:rsidRPr="00F06F90">
        <w:rPr>
          <w:i/>
          <w:lang w:val="es-ES"/>
        </w:rPr>
        <w:t>Report</w:t>
      </w:r>
      <w:r w:rsidRPr="00D546E8">
        <w:rPr>
          <w:lang w:val="es-ES_tradnl"/>
        </w:rPr>
        <w:t>”).</w:t>
      </w:r>
    </w:p>
    <w:p w:rsidR="00451BF1" w:rsidRPr="00F06F90" w:rsidRDefault="00451BF1" w:rsidP="00CA7E27">
      <w:pPr>
        <w:rPr>
          <w:lang w:val="es-ES"/>
        </w:rPr>
      </w:pPr>
    </w:p>
    <w:p w:rsidR="00451BF1" w:rsidRPr="00F06F90" w:rsidRDefault="00451BF1" w:rsidP="00CA7E27">
      <w:pPr>
        <w:rPr>
          <w:lang w:val="es-ES"/>
        </w:rPr>
      </w:pPr>
      <w:r w:rsidRPr="00D546E8">
        <w:fldChar w:fldCharType="begin"/>
      </w:r>
      <w:r w:rsidRPr="00F06F90">
        <w:rPr>
          <w:lang w:val="es-ES"/>
        </w:rPr>
        <w:instrText xml:space="preserve"> AUTONUM  </w:instrText>
      </w:r>
      <w:r w:rsidRPr="00D546E8">
        <w:fldChar w:fldCharType="end"/>
      </w:r>
      <w:r w:rsidRPr="00F06F90">
        <w:rPr>
          <w:lang w:val="es-ES"/>
        </w:rPr>
        <w:tab/>
      </w:r>
      <w:r w:rsidRPr="00D546E8">
        <w:rPr>
          <w:lang w:val="es-ES_tradnl"/>
        </w:rPr>
        <w:t>El TWA convino en que los caracteres QN/MG pueden abordarse de modo similar a los QN/MS y señaló que también debe tenerse en cuenta el posible efecto de la variación intraparcelaria aleatoria.</w:t>
      </w:r>
      <w:r w:rsidRPr="00F06F90">
        <w:rPr>
          <w:lang w:val="es-ES"/>
        </w:rPr>
        <w:t xml:space="preserve">  </w:t>
      </w:r>
      <w:r w:rsidRPr="00D546E8">
        <w:rPr>
          <w:lang w:val="es-ES_tradnl"/>
        </w:rPr>
        <w:t>Asimismo, convino en que las diferencias entre los observadores respecto de los caracteres PQ podrían analizarse mediante métodos no paramétricos, como la frecuencia de las desviaciones (véase el párrafo 33 del documento TWA/43/27 “</w:t>
      </w:r>
      <w:r w:rsidRPr="00F06F90">
        <w:rPr>
          <w:i/>
          <w:lang w:val="es-ES"/>
        </w:rPr>
        <w:t>Report</w:t>
      </w:r>
      <w:r w:rsidRPr="00D546E8">
        <w:rPr>
          <w:lang w:val="es-ES_tradnl"/>
        </w:rPr>
        <w:t>”).</w:t>
      </w:r>
    </w:p>
    <w:p w:rsidR="00451BF1" w:rsidRPr="00F06F90" w:rsidRDefault="00451BF1" w:rsidP="00CA7E27">
      <w:pPr>
        <w:rPr>
          <w:lang w:val="es-ES"/>
        </w:rPr>
      </w:pPr>
    </w:p>
    <w:p w:rsidR="00451BF1" w:rsidRPr="00F06F90" w:rsidRDefault="00451BF1" w:rsidP="00CA7E27">
      <w:pPr>
        <w:rPr>
          <w:lang w:val="es-ES"/>
        </w:rPr>
      </w:pPr>
      <w:r w:rsidRPr="00D546E8">
        <w:fldChar w:fldCharType="begin"/>
      </w:r>
      <w:r w:rsidRPr="00F06F90">
        <w:rPr>
          <w:lang w:val="es-ES"/>
        </w:rPr>
        <w:instrText xml:space="preserve"> AUTONUM  </w:instrText>
      </w:r>
      <w:r w:rsidRPr="00D546E8">
        <w:fldChar w:fldCharType="end"/>
      </w:r>
      <w:r w:rsidRPr="00F06F90">
        <w:rPr>
          <w:lang w:val="es-ES"/>
        </w:rPr>
        <w:tab/>
      </w:r>
      <w:r w:rsidRPr="00D546E8">
        <w:rPr>
          <w:lang w:val="es-ES_tradnl"/>
        </w:rPr>
        <w:t>En respuesta a las observaciones formuladas por los TWP en sus sesiones de 2014, el Sr. Nik Hulse (Australia) ha elaborado un nuevo proyecto de orientación para su inclusión en el documento TGP/8, Parte I:  Diseño de los ensayos DHE y análisis de datos, nueva sección:  Minimizar la variación resultante de la ejecución de los ensayos por distintos observadores, que se reproduce en el Anexo del presente documento, para que los TWP lo examinen en sus sesiones de 2015.</w:t>
      </w:r>
    </w:p>
    <w:p w:rsidR="00451BF1" w:rsidRPr="00F06F90" w:rsidRDefault="00451BF1" w:rsidP="00CA7E27">
      <w:pPr>
        <w:rPr>
          <w:lang w:val="es-ES"/>
        </w:rPr>
      </w:pPr>
    </w:p>
    <w:p w:rsidR="00451BF1" w:rsidRPr="00F06F90" w:rsidRDefault="00451BF1" w:rsidP="00CA7E27">
      <w:pPr>
        <w:tabs>
          <w:tab w:val="left" w:pos="5529"/>
        </w:tabs>
        <w:ind w:left="4820"/>
        <w:rPr>
          <w:i/>
          <w:lang w:val="es-ES"/>
        </w:rPr>
      </w:pPr>
      <w:r w:rsidRPr="00D546E8">
        <w:rPr>
          <w:i/>
        </w:rPr>
        <w:fldChar w:fldCharType="begin"/>
      </w:r>
      <w:r w:rsidRPr="00F06F90">
        <w:rPr>
          <w:i/>
          <w:lang w:val="es-ES"/>
        </w:rPr>
        <w:instrText xml:space="preserve"> AUTONUM  </w:instrText>
      </w:r>
      <w:r w:rsidRPr="00D546E8">
        <w:rPr>
          <w:i/>
        </w:rPr>
        <w:fldChar w:fldCharType="end"/>
      </w:r>
      <w:r w:rsidRPr="00F06F90">
        <w:rPr>
          <w:i/>
          <w:lang w:val="es-ES"/>
        </w:rPr>
        <w:tab/>
      </w:r>
      <w:r w:rsidRPr="00D546E8">
        <w:rPr>
          <w:i/>
          <w:lang w:val="es-ES_tradnl"/>
        </w:rPr>
        <w:t>Se invita al TC a:</w:t>
      </w:r>
    </w:p>
    <w:p w:rsidR="00451BF1" w:rsidRPr="00F06F90" w:rsidRDefault="00451BF1" w:rsidP="00CA7E27">
      <w:pPr>
        <w:tabs>
          <w:tab w:val="left" w:pos="5529"/>
        </w:tabs>
        <w:ind w:left="4820"/>
        <w:rPr>
          <w:i/>
          <w:lang w:val="es-ES"/>
        </w:rPr>
      </w:pPr>
    </w:p>
    <w:p w:rsidR="00451BF1" w:rsidRPr="00F06F90" w:rsidRDefault="00451BF1" w:rsidP="00CA7E27">
      <w:pPr>
        <w:tabs>
          <w:tab w:val="left" w:pos="5529"/>
        </w:tabs>
        <w:ind w:left="4820"/>
        <w:rPr>
          <w:i/>
          <w:lang w:val="es-ES"/>
        </w:rPr>
      </w:pPr>
      <w:r w:rsidRPr="00F06F90">
        <w:rPr>
          <w:i/>
          <w:lang w:val="es-ES"/>
        </w:rPr>
        <w:tab/>
      </w:r>
      <w:r w:rsidRPr="00D546E8">
        <w:rPr>
          <w:i/>
          <w:lang w:val="es-ES_tradnl"/>
        </w:rPr>
        <w:t>a)</w:t>
      </w:r>
      <w:r w:rsidRPr="00F06F90">
        <w:rPr>
          <w:i/>
          <w:lang w:val="es-ES"/>
        </w:rPr>
        <w:tab/>
      </w:r>
      <w:r w:rsidRPr="00D546E8">
        <w:rPr>
          <w:i/>
          <w:lang w:val="es-ES_tradnl"/>
        </w:rPr>
        <w:t>examinar el proyecto de orientación, para su inclusión en el documento TGP/8, sobre la manera de minimizar la variación resultante de la ejecución de los ensayos por distintos observadores, que se reproduce en el Anexo del presente documento, junto con las observaciones formuladas por los TWP en sus sesiones de 2014;</w:t>
      </w:r>
      <w:r w:rsidR="00730EFF">
        <w:rPr>
          <w:i/>
          <w:lang w:val="es-ES"/>
        </w:rPr>
        <w:t xml:space="preserve"> </w:t>
      </w:r>
      <w:r w:rsidRPr="00D546E8">
        <w:rPr>
          <w:i/>
          <w:lang w:val="es-ES_tradnl"/>
        </w:rPr>
        <w:t>y</w:t>
      </w:r>
    </w:p>
    <w:p w:rsidR="00451BF1" w:rsidRPr="00F06F90" w:rsidRDefault="00451BF1" w:rsidP="00CA7E27">
      <w:pPr>
        <w:tabs>
          <w:tab w:val="left" w:pos="5529"/>
        </w:tabs>
        <w:ind w:left="4820"/>
        <w:rPr>
          <w:i/>
          <w:lang w:val="es-ES"/>
        </w:rPr>
      </w:pPr>
    </w:p>
    <w:p w:rsidR="00451BF1" w:rsidRPr="00F06F90" w:rsidRDefault="00451BF1" w:rsidP="00CA7E27">
      <w:pPr>
        <w:tabs>
          <w:tab w:val="left" w:pos="5529"/>
        </w:tabs>
        <w:ind w:left="4820"/>
        <w:rPr>
          <w:i/>
          <w:lang w:val="es-ES"/>
        </w:rPr>
      </w:pPr>
      <w:r w:rsidRPr="00F06F90">
        <w:rPr>
          <w:i/>
          <w:lang w:val="es-ES"/>
        </w:rPr>
        <w:tab/>
      </w:r>
      <w:r w:rsidRPr="00D546E8">
        <w:rPr>
          <w:i/>
          <w:lang w:val="es-ES_tradnl"/>
        </w:rPr>
        <w:t>b)</w:t>
      </w:r>
      <w:r w:rsidRPr="00F06F90">
        <w:rPr>
          <w:i/>
          <w:lang w:val="es-ES"/>
        </w:rPr>
        <w:tab/>
      </w:r>
      <w:r w:rsidRPr="00D546E8">
        <w:rPr>
          <w:i/>
          <w:lang w:val="es-ES_tradnl"/>
        </w:rPr>
        <w:t xml:space="preserve">solicitar a los </w:t>
      </w:r>
      <w:r w:rsidRPr="00D546E8">
        <w:rPr>
          <w:i/>
          <w:iCs/>
          <w:lang w:val="es-ES_tradnl"/>
        </w:rPr>
        <w:t xml:space="preserve">TWP que, </w:t>
      </w:r>
      <w:r w:rsidRPr="00D546E8">
        <w:rPr>
          <w:i/>
          <w:lang w:val="es-ES_tradnl"/>
        </w:rPr>
        <w:t>en sus sesiones de </w:t>
      </w:r>
      <w:r w:rsidRPr="00D546E8">
        <w:rPr>
          <w:i/>
          <w:iCs/>
          <w:lang w:val="es-ES_tradnl"/>
        </w:rPr>
        <w:t xml:space="preserve">2015, examinen el nuevo proyecto, que incorporará las eventuales modificaciones que acuerde el TC en su </w:t>
      </w:r>
      <w:r w:rsidRPr="00D546E8">
        <w:rPr>
          <w:i/>
          <w:lang w:val="es-ES_tradnl"/>
        </w:rPr>
        <w:t xml:space="preserve">quincuagésima primera </w:t>
      </w:r>
      <w:r w:rsidRPr="00D546E8">
        <w:rPr>
          <w:i/>
          <w:iCs/>
          <w:lang w:val="es-ES_tradnl"/>
        </w:rPr>
        <w:t>sesión</w:t>
      </w:r>
      <w:r w:rsidRPr="00D546E8">
        <w:rPr>
          <w:i/>
          <w:lang w:val="es-ES_tradnl"/>
        </w:rPr>
        <w:t>.</w:t>
      </w:r>
    </w:p>
    <w:p w:rsidR="00451BF1" w:rsidRPr="00F06F90" w:rsidRDefault="00451BF1" w:rsidP="00CA7E27">
      <w:pPr>
        <w:rPr>
          <w:lang w:val="es-ES"/>
        </w:rPr>
      </w:pPr>
    </w:p>
    <w:p w:rsidR="00451BF1" w:rsidRPr="00F06F90" w:rsidRDefault="00451BF1" w:rsidP="00CA7E27">
      <w:pPr>
        <w:rPr>
          <w:lang w:val="es-ES"/>
        </w:rPr>
      </w:pPr>
    </w:p>
    <w:p w:rsidR="00451BF1" w:rsidRPr="00F06F90" w:rsidRDefault="00451BF1" w:rsidP="00CA7E27">
      <w:pPr>
        <w:jc w:val="right"/>
        <w:rPr>
          <w:lang w:val="es-ES"/>
        </w:rPr>
      </w:pPr>
      <w:r w:rsidRPr="00F06F90">
        <w:rPr>
          <w:lang w:val="es-ES"/>
        </w:rPr>
        <w:t>[</w:t>
      </w:r>
      <w:r w:rsidRPr="00D546E8">
        <w:rPr>
          <w:lang w:val="es-ES_tradnl"/>
        </w:rPr>
        <w:t>Sigue</w:t>
      </w:r>
      <w:r w:rsidR="00730EFF">
        <w:rPr>
          <w:lang w:val="es-ES_tradnl"/>
        </w:rPr>
        <w:t xml:space="preserve"> el</w:t>
      </w:r>
      <w:r w:rsidRPr="00D546E8">
        <w:rPr>
          <w:lang w:val="es-ES_tradnl"/>
        </w:rPr>
        <w:t xml:space="preserve"> Anexo</w:t>
      </w:r>
      <w:r w:rsidRPr="00F06F90">
        <w:rPr>
          <w:lang w:val="es-ES"/>
        </w:rPr>
        <w:t>]</w:t>
      </w:r>
    </w:p>
    <w:p w:rsidR="00451BF1" w:rsidRPr="00F06F90" w:rsidRDefault="00451BF1" w:rsidP="00CA7E27">
      <w:pPr>
        <w:jc w:val="right"/>
        <w:rPr>
          <w:lang w:val="es-ES"/>
        </w:rPr>
      </w:pPr>
    </w:p>
    <w:p w:rsidR="00451BF1" w:rsidRPr="00F06F90" w:rsidRDefault="00451BF1" w:rsidP="00872107">
      <w:pPr>
        <w:jc w:val="left"/>
        <w:rPr>
          <w:lang w:val="es-ES"/>
        </w:rPr>
        <w:sectPr w:rsidR="00451BF1" w:rsidRPr="00F06F90" w:rsidSect="00CA7E27">
          <w:headerReference w:type="default" r:id="rId9"/>
          <w:pgSz w:w="11907" w:h="16840" w:code="9"/>
          <w:pgMar w:top="510" w:right="1134" w:bottom="1134" w:left="1134" w:header="510" w:footer="680" w:gutter="0"/>
          <w:pgNumType w:start="1"/>
          <w:cols w:space="720"/>
          <w:titlePg/>
        </w:sectPr>
      </w:pPr>
    </w:p>
    <w:p w:rsidR="00451BF1" w:rsidRPr="00F06F90" w:rsidRDefault="00451BF1" w:rsidP="00CA7E27">
      <w:pPr>
        <w:jc w:val="right"/>
        <w:rPr>
          <w:lang w:val="es-ES"/>
        </w:rPr>
      </w:pPr>
    </w:p>
    <w:p w:rsidR="00451BF1" w:rsidRPr="00F06F90" w:rsidRDefault="00451BF1" w:rsidP="00F2454A">
      <w:pPr>
        <w:tabs>
          <w:tab w:val="right" w:pos="9638"/>
        </w:tabs>
        <w:jc w:val="center"/>
        <w:rPr>
          <w:rFonts w:cs="Arial"/>
          <w:b/>
          <w:bCs/>
          <w:caps/>
          <w:u w:val="single"/>
          <w:lang w:val="es-ES"/>
        </w:rPr>
      </w:pPr>
      <w:r w:rsidRPr="00F06F90">
        <w:rPr>
          <w:lang w:val="es-ES"/>
        </w:rPr>
        <w:t xml:space="preserve">TGP/8/1:  </w:t>
      </w:r>
      <w:r w:rsidRPr="00D546E8">
        <w:rPr>
          <w:lang w:val="es-ES_tradnl"/>
        </w:rPr>
        <w:t>PARTE I:</w:t>
      </w:r>
      <w:r w:rsidRPr="00F06F90">
        <w:rPr>
          <w:lang w:val="es-ES"/>
        </w:rPr>
        <w:t xml:space="preserve">  </w:t>
      </w:r>
      <w:r w:rsidRPr="00D546E8">
        <w:rPr>
          <w:lang w:val="es-ES_tradnl"/>
        </w:rPr>
        <w:t>NUEVA SECCIÓN:</w:t>
      </w:r>
      <w:r w:rsidRPr="00F06F90">
        <w:rPr>
          <w:lang w:val="es-ES"/>
        </w:rPr>
        <w:t xml:space="preserve">  </w:t>
      </w:r>
      <w:r w:rsidRPr="00D546E8">
        <w:rPr>
          <w:lang w:val="es-ES_tradnl"/>
        </w:rPr>
        <w:t xml:space="preserve">MINIMIZAR LA VARIACIÓN RESULTANTE DE LA EJECUCIÓN DE </w:t>
      </w:r>
      <w:r>
        <w:rPr>
          <w:lang w:val="es-ES_tradnl"/>
        </w:rPr>
        <w:t xml:space="preserve">UN </w:t>
      </w:r>
      <w:r w:rsidRPr="00D546E8">
        <w:rPr>
          <w:lang w:val="es-ES_tradnl"/>
        </w:rPr>
        <w:t>ENSAYO POR DISTINTOS OBSERVADORES</w:t>
      </w:r>
    </w:p>
    <w:p w:rsidR="00451BF1" w:rsidRPr="00F06F90" w:rsidRDefault="00451BF1" w:rsidP="00CA7E27">
      <w:pPr>
        <w:jc w:val="center"/>
        <w:rPr>
          <w:rFonts w:cs="Arial"/>
          <w:lang w:val="es-ES"/>
        </w:rPr>
      </w:pPr>
    </w:p>
    <w:p w:rsidR="00451BF1" w:rsidRPr="00F06F90" w:rsidRDefault="00451BF1" w:rsidP="00CA7E27">
      <w:pPr>
        <w:jc w:val="center"/>
        <w:rPr>
          <w:rFonts w:cs="Arial"/>
          <w:lang w:val="es-ES"/>
        </w:rPr>
      </w:pPr>
    </w:p>
    <w:p w:rsidR="00451BF1" w:rsidRPr="00F06F90" w:rsidRDefault="00451BF1" w:rsidP="00CA7E27">
      <w:pPr>
        <w:jc w:val="center"/>
        <w:rPr>
          <w:rFonts w:cs="Arial"/>
          <w:lang w:val="es-ES"/>
        </w:rPr>
      </w:pPr>
    </w:p>
    <w:p w:rsidR="00451BF1" w:rsidRPr="00F06F90" w:rsidRDefault="00451BF1" w:rsidP="00CA7E27">
      <w:pPr>
        <w:rPr>
          <w:rFonts w:cs="Arial"/>
          <w:u w:val="single"/>
          <w:lang w:val="es-ES"/>
        </w:rPr>
      </w:pPr>
      <w:r w:rsidRPr="00F06F90">
        <w:rPr>
          <w:rFonts w:cs="Arial"/>
          <w:u w:val="single"/>
          <w:lang w:val="es-ES"/>
        </w:rPr>
        <w:t xml:space="preserve">1. </w:t>
      </w:r>
      <w:r w:rsidRPr="00D546E8">
        <w:rPr>
          <w:rFonts w:cs="Arial"/>
          <w:u w:val="single"/>
          <w:lang w:val="es-ES_tradnl"/>
        </w:rPr>
        <w:t>Introducción</w:t>
      </w:r>
    </w:p>
    <w:p w:rsidR="00451BF1" w:rsidRPr="00F06F90" w:rsidRDefault="00451BF1" w:rsidP="00CA7E27">
      <w:pPr>
        <w:rPr>
          <w:rFonts w:cs="Arial"/>
          <w:u w:val="single"/>
          <w:lang w:val="es-ES"/>
        </w:rPr>
      </w:pPr>
    </w:p>
    <w:p w:rsidR="00451BF1" w:rsidRPr="00F06F90" w:rsidRDefault="00451BF1" w:rsidP="00CA7E27">
      <w:pPr>
        <w:rPr>
          <w:rFonts w:cs="Arial"/>
          <w:lang w:val="es-ES"/>
        </w:rPr>
      </w:pPr>
      <w:r w:rsidRPr="00D546E8">
        <w:rPr>
          <w:rFonts w:cs="Arial"/>
          <w:lang w:val="es-ES_tradnl"/>
        </w:rPr>
        <w:t>El objeto del presente documento lo constituyen los caracteres QN/MG, QN/MS, QN/VG y QN/VS.</w:t>
      </w:r>
      <w:r w:rsidRPr="00F06F90">
        <w:rPr>
          <w:rFonts w:cs="Arial"/>
          <w:lang w:val="es-ES"/>
        </w:rPr>
        <w:t xml:space="preserve">  </w:t>
      </w:r>
      <w:r w:rsidRPr="00D546E8">
        <w:rPr>
          <w:rFonts w:cs="Arial"/>
          <w:lang w:val="es-ES_tradnl"/>
        </w:rPr>
        <w:t>En él no se abordan de manera explícita caracteres PQ como el color y la forma.</w:t>
      </w:r>
      <w:r w:rsidRPr="00F06F90">
        <w:rPr>
          <w:rFonts w:cs="Arial"/>
          <w:lang w:val="es-ES"/>
        </w:rPr>
        <w:t xml:space="preserve">  </w:t>
      </w:r>
      <w:r w:rsidRPr="00D546E8">
        <w:rPr>
          <w:rFonts w:cs="Arial"/>
          <w:lang w:val="es-ES_tradnl"/>
        </w:rPr>
        <w:t>El método kappa que aquí se describe es, en sí mismo, aplicable en gran medida a estos caracteres;  por ejemplo, el coeficiente estándar kappa está concebido para datos nominales.</w:t>
      </w:r>
      <w:r w:rsidRPr="00F06F90">
        <w:rPr>
          <w:rFonts w:cs="Arial"/>
          <w:lang w:val="es-ES"/>
        </w:rPr>
        <w:t xml:space="preserve">  </w:t>
      </w:r>
      <w:r w:rsidRPr="00D546E8">
        <w:rPr>
          <w:rFonts w:cs="Arial"/>
          <w:lang w:val="es-ES_tradnl"/>
        </w:rPr>
        <w:t>No obstante, hasta donde sabemos, este método no se ha utilizado con caracteres PQ y, además, para la calibración de dichos caracteres puede ser necesaria información adicional.</w:t>
      </w:r>
      <w:r w:rsidRPr="00F06F90">
        <w:rPr>
          <w:rFonts w:cs="Arial"/>
          <w:lang w:val="es-ES"/>
        </w:rPr>
        <w:t xml:space="preserve">  </w:t>
      </w:r>
      <w:r w:rsidRPr="00D546E8">
        <w:rPr>
          <w:rFonts w:cs="Arial"/>
          <w:lang w:val="es-ES_tradnl"/>
        </w:rPr>
        <w:t>A modo de ejemplo, para la calibración del color también ha de tenerse en cuenta la carta de colores RHS, las condiciones de iluminación, etcétera.</w:t>
      </w:r>
      <w:r w:rsidRPr="00F06F90">
        <w:rPr>
          <w:rFonts w:cs="Arial"/>
          <w:lang w:val="es-ES"/>
        </w:rPr>
        <w:t xml:space="preserve">  </w:t>
      </w:r>
      <w:r w:rsidRPr="00D546E8">
        <w:rPr>
          <w:rFonts w:cs="Arial"/>
          <w:lang w:val="es-ES_tradnl"/>
        </w:rPr>
        <w:t>Estos aspectos no se incluyen en el presente documento.</w:t>
      </w:r>
    </w:p>
    <w:p w:rsidR="00451BF1" w:rsidRPr="00F06F90" w:rsidRDefault="00451BF1" w:rsidP="00CC1D7F">
      <w:pPr>
        <w:spacing w:before="120" w:after="120"/>
        <w:rPr>
          <w:rFonts w:cs="Arial"/>
          <w:lang w:val="es-ES"/>
        </w:rPr>
      </w:pPr>
      <w:r w:rsidRPr="00F06F90">
        <w:rPr>
          <w:rFonts w:cs="Arial"/>
          <w:lang w:val="es-ES"/>
        </w:rPr>
        <w:t>1.1</w:t>
      </w:r>
      <w:r w:rsidRPr="00F06F90">
        <w:rPr>
          <w:rFonts w:cs="Arial"/>
          <w:lang w:val="es-ES"/>
        </w:rPr>
        <w:tab/>
      </w:r>
      <w:r w:rsidRPr="00D546E8">
        <w:rPr>
          <w:rFonts w:cs="Arial"/>
          <w:lang w:val="es-ES_tradnl"/>
        </w:rPr>
        <w:t>La variación en las mediciones o las observaciones puede estar causada por distintos factores, como el tipo de cultivo o de carácter, el año, el lugar, el diseño y la gestión de los ensayos, el método y el observador.</w:t>
      </w:r>
      <w:r w:rsidRPr="00F06F90">
        <w:rPr>
          <w:rFonts w:cs="Arial"/>
          <w:lang w:val="es-ES"/>
        </w:rPr>
        <w:t xml:space="preserve">  </w:t>
      </w:r>
      <w:r w:rsidRPr="00D546E8">
        <w:rPr>
          <w:rFonts w:cs="Arial"/>
          <w:lang w:val="es-ES_tradnl"/>
        </w:rPr>
        <w:t>En lo que atañe, en particular, a los caracteres evaluados visualmente (QN/VG o QN/VS), es posible que las diferencias entre los observadores den lugar a una gran variación y una eventual distorsión en las observaciones.</w:t>
      </w:r>
      <w:r w:rsidRPr="00F06F90">
        <w:rPr>
          <w:rFonts w:cs="Arial"/>
          <w:lang w:val="es-ES"/>
        </w:rPr>
        <w:t xml:space="preserve">  </w:t>
      </w:r>
      <w:r w:rsidRPr="00D546E8">
        <w:rPr>
          <w:rFonts w:cs="Arial"/>
          <w:lang w:val="es-ES_tradnl"/>
        </w:rPr>
        <w:t>Es posible que un observador esté menos formado que otro o interprete el carácter de manera distinta.</w:t>
      </w:r>
      <w:r w:rsidRPr="00F06F90">
        <w:rPr>
          <w:rFonts w:cs="Arial"/>
          <w:lang w:val="es-ES"/>
        </w:rPr>
        <w:t xml:space="preserve">  </w:t>
      </w:r>
      <w:r w:rsidRPr="00D546E8">
        <w:rPr>
          <w:rFonts w:cs="Arial"/>
          <w:lang w:val="es-ES_tradnl"/>
        </w:rPr>
        <w:t>Así pues, si el observador A evalúa la variedad 1 y el observador B mide la variedad 2, la diferencia observada podría deberse a las diferencias entre los observadores A y B, en lugar de tratarse de diferencias entre las variedades 1 y 2.</w:t>
      </w:r>
      <w:r w:rsidRPr="00F06F90">
        <w:rPr>
          <w:rFonts w:cs="Arial"/>
          <w:lang w:val="es-ES"/>
        </w:rPr>
        <w:t xml:space="preserve">  </w:t>
      </w:r>
      <w:r w:rsidRPr="00D546E8">
        <w:rPr>
          <w:rFonts w:cs="Arial"/>
          <w:lang w:val="es-ES_tradnl"/>
        </w:rPr>
        <w:t>Claramente, lo que más interesa son las diferencias entre las variedades y no entre los observadores.</w:t>
      </w:r>
      <w:r w:rsidRPr="00F06F90">
        <w:rPr>
          <w:rFonts w:cs="Arial"/>
          <w:lang w:val="es-ES"/>
        </w:rPr>
        <w:t xml:space="preserve">  </w:t>
      </w:r>
      <w:r w:rsidRPr="00D546E8">
        <w:rPr>
          <w:rFonts w:cs="Arial"/>
          <w:lang w:val="es-ES_tradnl"/>
        </w:rPr>
        <w:t>Cabe señalar que si bien la variación causada por distintos observadores no puede eliminarse, sí puede controlarse.</w:t>
      </w:r>
    </w:p>
    <w:p w:rsidR="00451BF1" w:rsidRPr="00F06F90" w:rsidRDefault="00451BF1" w:rsidP="00CC1D7F">
      <w:pPr>
        <w:spacing w:before="120" w:after="120"/>
        <w:rPr>
          <w:rFonts w:cs="Arial"/>
          <w:lang w:val="es-ES"/>
        </w:rPr>
      </w:pPr>
      <w:r w:rsidRPr="00F06F90">
        <w:rPr>
          <w:rFonts w:cs="Arial"/>
          <w:lang w:val="es-ES"/>
        </w:rPr>
        <w:t>1.2</w:t>
      </w:r>
      <w:r w:rsidRPr="00F06F90">
        <w:rPr>
          <w:rFonts w:cs="Arial"/>
          <w:lang w:val="es-ES"/>
        </w:rPr>
        <w:tab/>
      </w:r>
      <w:r w:rsidRPr="00D546E8">
        <w:rPr>
          <w:rFonts w:cs="Arial"/>
          <w:lang w:val="es-ES_tradnl"/>
        </w:rPr>
        <w:t>En la medida de lo posible, se recomienda asignar un solo observador a cada ensayo para minimizar la variación en las observaciones resultante de la ejecución de los ensayos por distintos observadores.</w:t>
      </w:r>
    </w:p>
    <w:p w:rsidR="00451BF1" w:rsidRPr="00F06F90" w:rsidRDefault="00451BF1" w:rsidP="00CA7E27">
      <w:pPr>
        <w:spacing w:before="120" w:after="120"/>
        <w:rPr>
          <w:rFonts w:cs="Arial"/>
          <w:u w:val="single"/>
          <w:lang w:val="es-ES"/>
        </w:rPr>
      </w:pPr>
    </w:p>
    <w:p w:rsidR="00451BF1" w:rsidRPr="00F06F90" w:rsidRDefault="00451BF1" w:rsidP="00CC1D7F">
      <w:pPr>
        <w:spacing w:before="120" w:after="120"/>
        <w:rPr>
          <w:rFonts w:cs="Arial"/>
          <w:u w:val="single"/>
          <w:lang w:val="es-ES"/>
        </w:rPr>
      </w:pPr>
      <w:r w:rsidRPr="00F06F90">
        <w:rPr>
          <w:rFonts w:cs="Arial"/>
          <w:u w:val="single"/>
          <w:lang w:val="es-ES"/>
        </w:rPr>
        <w:t xml:space="preserve">2. </w:t>
      </w:r>
      <w:r w:rsidRPr="00D546E8">
        <w:rPr>
          <w:rFonts w:cs="Arial"/>
          <w:u w:val="single"/>
          <w:lang w:val="es-ES_tradnl"/>
        </w:rPr>
        <w:t>Capacitación e importancia de explicar con claridad los caracteres y el método de observación</w:t>
      </w:r>
    </w:p>
    <w:p w:rsidR="00451BF1" w:rsidRPr="00F06F90" w:rsidRDefault="00451BF1" w:rsidP="00CC1D7F">
      <w:pPr>
        <w:spacing w:before="120" w:after="120"/>
        <w:rPr>
          <w:rFonts w:cs="Arial"/>
          <w:lang w:val="es-ES"/>
        </w:rPr>
      </w:pPr>
      <w:r w:rsidRPr="00F06F90">
        <w:rPr>
          <w:rFonts w:cs="Arial"/>
          <w:lang w:val="es-ES"/>
        </w:rPr>
        <w:t>2.1</w:t>
      </w:r>
      <w:r w:rsidRPr="00F06F90">
        <w:rPr>
          <w:rFonts w:cs="Arial"/>
          <w:lang w:val="es-ES"/>
        </w:rPr>
        <w:tab/>
      </w:r>
      <w:r w:rsidRPr="00D546E8">
        <w:rPr>
          <w:rFonts w:cs="Arial"/>
          <w:lang w:val="es-ES_tradnl"/>
        </w:rPr>
        <w:t>La capacitación de los nuevos observadores es fundamental para la coherencia y la continuidad de las observaciones de variedades vegetales.</w:t>
      </w:r>
      <w:r w:rsidRPr="00F06F90">
        <w:rPr>
          <w:rFonts w:cs="Arial"/>
          <w:lang w:val="es-ES"/>
        </w:rPr>
        <w:t xml:space="preserve">  </w:t>
      </w:r>
      <w:r w:rsidRPr="00D546E8">
        <w:rPr>
          <w:rFonts w:cs="Arial"/>
          <w:lang w:val="es-ES_tradnl"/>
        </w:rPr>
        <w:t>Recursos útiles en este sentido son los manuales de calibración y la supervisión y orientación a cargo de observadores expertos, así como el empleo de variedades ejemplo que ilustren la gama de expresión.</w:t>
      </w:r>
      <w:r w:rsidRPr="00F06F90">
        <w:rPr>
          <w:rFonts w:cs="Arial"/>
          <w:lang w:val="es-ES"/>
        </w:rPr>
        <w:t xml:space="preserve"> </w:t>
      </w:r>
    </w:p>
    <w:p w:rsidR="00451BF1" w:rsidRPr="00F06F90" w:rsidRDefault="00451BF1" w:rsidP="00CC1D7F">
      <w:pPr>
        <w:spacing w:before="120" w:after="120"/>
        <w:rPr>
          <w:rFonts w:cs="Arial"/>
          <w:lang w:val="es-ES"/>
        </w:rPr>
      </w:pPr>
      <w:r w:rsidRPr="00F06F90">
        <w:rPr>
          <w:rFonts w:cs="Arial"/>
          <w:lang w:val="es-ES"/>
        </w:rPr>
        <w:t>2.2</w:t>
      </w:r>
      <w:r w:rsidRPr="00F06F90">
        <w:rPr>
          <w:rFonts w:cs="Arial"/>
          <w:lang w:val="es-ES"/>
        </w:rPr>
        <w:tab/>
      </w:r>
      <w:r w:rsidRPr="00D546E8">
        <w:rPr>
          <w:rFonts w:cs="Arial"/>
          <w:lang w:val="es-ES_tradnl"/>
        </w:rPr>
        <w:t>Con las directrices de examen de la UPOV se procura armonizar el proceso de descripción de las variedades y describir lo más claramente posible los caracteres de un cultivo y los niveles de expresión.</w:t>
      </w:r>
      <w:r w:rsidRPr="00F06F90">
        <w:rPr>
          <w:rFonts w:cs="Arial"/>
          <w:lang w:val="es-ES"/>
        </w:rPr>
        <w:t xml:space="preserve">  </w:t>
      </w:r>
      <w:r w:rsidRPr="00D546E8">
        <w:rPr>
          <w:rFonts w:cs="Arial"/>
          <w:lang w:val="es-ES_tradnl"/>
        </w:rPr>
        <w:t>Se trata del primer paso para controlar la variación y la distorsión.</w:t>
      </w:r>
      <w:r w:rsidRPr="00F06F90">
        <w:rPr>
          <w:rFonts w:cs="Arial"/>
          <w:lang w:val="es-ES"/>
        </w:rPr>
        <w:t xml:space="preserve">  </w:t>
      </w:r>
      <w:r w:rsidRPr="00D546E8">
        <w:rPr>
          <w:rFonts w:cs="Arial"/>
          <w:lang w:val="es-ES_tradnl"/>
        </w:rPr>
        <w:t>Sin embargo, la forma de observar o medir un carácter podrá variar en función del lugar o de la autoridad encargada del examen.</w:t>
      </w:r>
      <w:r w:rsidRPr="00F06F90">
        <w:rPr>
          <w:rFonts w:cs="Arial"/>
          <w:lang w:val="es-ES"/>
        </w:rPr>
        <w:t xml:space="preserve">  </w:t>
      </w:r>
      <w:r w:rsidRPr="00D546E8">
        <w:rPr>
          <w:rFonts w:cs="Arial"/>
          <w:lang w:val="es-ES_tradnl"/>
        </w:rPr>
        <w:t>Los manuales de calibración realizados por las autoridades locales de examen son muy útiles para aplicar las directrices de examen de la UPOV a escala local.</w:t>
      </w:r>
      <w:r w:rsidRPr="00F06F90">
        <w:rPr>
          <w:rFonts w:cs="Arial"/>
          <w:lang w:val="es-ES"/>
        </w:rPr>
        <w:t xml:space="preserve">  </w:t>
      </w:r>
      <w:r w:rsidRPr="00D546E8">
        <w:rPr>
          <w:rFonts w:cs="Arial"/>
          <w:lang w:val="es-ES_tradnl"/>
        </w:rPr>
        <w:t>En caso necesario, esos manuales, específicos para los distintos cultivos, explican los caracteres que hay que observar en mayor detalle y especifican cuándo y cómo deberían ser observados.</w:t>
      </w:r>
      <w:r w:rsidRPr="00F06F90">
        <w:rPr>
          <w:rFonts w:cs="Arial"/>
          <w:lang w:val="es-ES"/>
        </w:rPr>
        <w:t xml:space="preserve">  </w:t>
      </w:r>
      <w:r w:rsidRPr="00D546E8">
        <w:rPr>
          <w:rFonts w:cs="Arial"/>
          <w:lang w:val="es-ES_tradnl"/>
        </w:rPr>
        <w:t>Además, es posible que contengan fotografías y dibujos de cada carácter, a menudo para cada nivel de expresión de un carácter.</w:t>
      </w:r>
      <w:r w:rsidRPr="00F06F90">
        <w:rPr>
          <w:rFonts w:cs="Arial"/>
          <w:lang w:val="es-ES"/>
        </w:rPr>
        <w:t xml:space="preserve"> </w:t>
      </w:r>
    </w:p>
    <w:p w:rsidR="00451BF1" w:rsidRPr="00F06F90" w:rsidRDefault="00451BF1" w:rsidP="00CC1D7F">
      <w:pPr>
        <w:spacing w:before="120" w:after="120"/>
        <w:jc w:val="left"/>
        <w:rPr>
          <w:rFonts w:cs="Arial"/>
          <w:lang w:val="es-ES"/>
        </w:rPr>
      </w:pPr>
      <w:r w:rsidRPr="00F06F90">
        <w:rPr>
          <w:rFonts w:cs="Arial"/>
          <w:lang w:val="es-ES"/>
        </w:rPr>
        <w:t xml:space="preserve">2.4 </w:t>
      </w:r>
      <w:r w:rsidRPr="00D546E8">
        <w:rPr>
          <w:rFonts w:cs="Arial"/>
          <w:lang w:val="es-ES_tradnl"/>
        </w:rPr>
        <w:t>El Glosario de términos utilizados en los documentos de la UPOV (TGP/14/2) constituye una orientación útil para aclarar las particularidades de muchos caracteres, en especial los caracteres PQ.</w:t>
      </w:r>
    </w:p>
    <w:p w:rsidR="00451BF1" w:rsidRPr="00F06F90" w:rsidRDefault="00451BF1" w:rsidP="00CC1D7F">
      <w:pPr>
        <w:spacing w:before="120" w:after="120"/>
        <w:rPr>
          <w:rFonts w:cs="Arial"/>
          <w:lang w:val="es-ES"/>
        </w:rPr>
      </w:pPr>
      <w:r w:rsidRPr="00F06F90">
        <w:rPr>
          <w:rFonts w:cs="Arial"/>
          <w:lang w:val="es-ES"/>
        </w:rPr>
        <w:t>2.3</w:t>
      </w:r>
      <w:r w:rsidRPr="00F06F90">
        <w:rPr>
          <w:rFonts w:cs="Arial"/>
          <w:lang w:val="es-ES"/>
        </w:rPr>
        <w:tab/>
      </w:r>
      <w:r w:rsidRPr="00D546E8">
        <w:rPr>
          <w:rFonts w:cs="Arial"/>
          <w:lang w:val="es-ES_tradnl"/>
        </w:rPr>
        <w:t>Una vez completada la capacitación, es importante velar por que, con cierta frecuencia, el observador se someta a recalibración y reciba formación de actualización.</w:t>
      </w:r>
    </w:p>
    <w:p w:rsidR="00451BF1" w:rsidRPr="00F06F90" w:rsidRDefault="00451BF1" w:rsidP="00CA7E27">
      <w:pPr>
        <w:spacing w:before="120" w:after="120"/>
        <w:rPr>
          <w:rFonts w:cs="Arial"/>
          <w:u w:val="single"/>
          <w:lang w:val="es-ES"/>
        </w:rPr>
      </w:pPr>
    </w:p>
    <w:p w:rsidR="00451BF1" w:rsidRPr="00F06F90" w:rsidRDefault="00451BF1" w:rsidP="00CC1D7F">
      <w:pPr>
        <w:spacing w:before="120" w:after="120"/>
        <w:rPr>
          <w:rFonts w:cs="Arial"/>
          <w:u w:val="single"/>
          <w:lang w:val="es-ES"/>
        </w:rPr>
      </w:pPr>
      <w:r w:rsidRPr="00F06F90">
        <w:rPr>
          <w:rFonts w:cs="Arial"/>
          <w:u w:val="single"/>
          <w:lang w:val="es-ES"/>
        </w:rPr>
        <w:t xml:space="preserve">3. </w:t>
      </w:r>
      <w:r w:rsidRPr="00D546E8">
        <w:rPr>
          <w:rFonts w:cs="Arial"/>
          <w:u w:val="single"/>
          <w:lang w:val="es-ES_tradnl"/>
        </w:rPr>
        <w:t>Prueba de la calibración</w:t>
      </w:r>
    </w:p>
    <w:p w:rsidR="00451BF1" w:rsidRPr="00F06F90" w:rsidRDefault="00451BF1" w:rsidP="00CC1D7F">
      <w:pPr>
        <w:spacing w:before="120" w:after="120"/>
        <w:rPr>
          <w:rFonts w:cs="Arial"/>
          <w:lang w:val="es-ES"/>
        </w:rPr>
      </w:pPr>
      <w:r w:rsidRPr="00F06F90">
        <w:rPr>
          <w:rFonts w:cs="Arial"/>
          <w:lang w:val="es-ES"/>
        </w:rPr>
        <w:t>3.1</w:t>
      </w:r>
      <w:r w:rsidRPr="00F06F90">
        <w:rPr>
          <w:rFonts w:cs="Arial"/>
          <w:lang w:val="es-ES"/>
        </w:rPr>
        <w:tab/>
      </w:r>
      <w:r w:rsidRPr="00D546E8">
        <w:rPr>
          <w:rFonts w:cs="Arial"/>
          <w:lang w:val="es-ES_tradnl"/>
        </w:rPr>
        <w:t xml:space="preserve">El paso siguiente a la capacitación del observador </w:t>
      </w:r>
      <w:r w:rsidRPr="00D546E8">
        <w:rPr>
          <w:lang w:val="es-ES_tradnl"/>
        </w:rPr>
        <w:t xml:space="preserve">podría ser </w:t>
      </w:r>
      <w:r w:rsidRPr="00D546E8">
        <w:rPr>
          <w:rFonts w:cs="Arial"/>
          <w:lang w:val="es-ES_tradnl"/>
        </w:rPr>
        <w:t>probar el desempeño de éste en un experimento de calibración.</w:t>
      </w:r>
      <w:r w:rsidRPr="00F06F90">
        <w:rPr>
          <w:rFonts w:cs="Arial"/>
          <w:lang w:val="es-ES"/>
        </w:rPr>
        <w:t xml:space="preserve">  </w:t>
      </w:r>
      <w:r w:rsidRPr="00D546E8">
        <w:rPr>
          <w:rFonts w:cs="Arial"/>
          <w:lang w:val="es-ES_tradnl"/>
        </w:rPr>
        <w:t xml:space="preserve">Ello </w:t>
      </w:r>
      <w:r w:rsidRPr="00D546E8">
        <w:rPr>
          <w:lang w:val="es-ES_tradnl"/>
        </w:rPr>
        <w:t xml:space="preserve">es útil en particular </w:t>
      </w:r>
      <w:r w:rsidRPr="00D546E8">
        <w:rPr>
          <w:rFonts w:cs="Arial"/>
          <w:lang w:val="es-ES_tradnl"/>
        </w:rPr>
        <w:t>para los observadores inexpertos que tengan que realizar observaciones visuales (caracteres QN/VG y QN/VS).</w:t>
      </w:r>
      <w:r w:rsidRPr="00F06F90">
        <w:rPr>
          <w:rFonts w:cs="Arial"/>
          <w:lang w:val="es-ES"/>
        </w:rPr>
        <w:t xml:space="preserve">  </w:t>
      </w:r>
      <w:r w:rsidRPr="00D546E8">
        <w:rPr>
          <w:rFonts w:cs="Arial"/>
          <w:lang w:val="es-ES_tradnl"/>
        </w:rPr>
        <w:t>Si realizan observaciones visuales, de preferencia, deberían superar un examen de calibración antes de realizar observaciones en el ensayo.</w:t>
      </w:r>
      <w:r w:rsidRPr="00F06F90">
        <w:rPr>
          <w:rFonts w:cs="Arial"/>
          <w:lang w:val="es-ES"/>
        </w:rPr>
        <w:t xml:space="preserve">  </w:t>
      </w:r>
      <w:r w:rsidRPr="00D546E8">
        <w:rPr>
          <w:rFonts w:cs="Arial"/>
          <w:lang w:val="es-ES_tradnl"/>
        </w:rPr>
        <w:t>Sin embargo, también para los observadores expertos es útil ponerse a prueba periódicamente para verificar que aún satisfacen los criterios de calibración.</w:t>
      </w:r>
      <w:r w:rsidRPr="00F06F90">
        <w:rPr>
          <w:rFonts w:cs="Arial"/>
          <w:lang w:val="es-ES"/>
        </w:rPr>
        <w:t xml:space="preserve"> </w:t>
      </w:r>
    </w:p>
    <w:p w:rsidR="00451BF1" w:rsidRPr="00F06F90" w:rsidRDefault="00451BF1" w:rsidP="00CC1D7F">
      <w:pPr>
        <w:spacing w:before="120" w:after="120"/>
        <w:rPr>
          <w:rFonts w:cs="Arial"/>
          <w:lang w:val="es-ES"/>
        </w:rPr>
      </w:pPr>
      <w:r w:rsidRPr="00F06F90">
        <w:rPr>
          <w:rFonts w:cs="Arial"/>
          <w:lang w:val="es-ES"/>
        </w:rPr>
        <w:lastRenderedPageBreak/>
        <w:t>3.2</w:t>
      </w:r>
      <w:r w:rsidRPr="00F06F90">
        <w:rPr>
          <w:rFonts w:cs="Arial"/>
          <w:lang w:val="es-ES"/>
        </w:rPr>
        <w:tab/>
      </w:r>
      <w:r w:rsidRPr="00D546E8">
        <w:rPr>
          <w:rFonts w:cs="Arial"/>
          <w:lang w:val="es-ES_tradnl"/>
        </w:rPr>
        <w:t>Puede prepararse un experimento de calibración que se analizará de maneras distintas;</w:t>
      </w:r>
      <w:r w:rsidRPr="00F06F90">
        <w:rPr>
          <w:rFonts w:cs="Arial"/>
          <w:lang w:val="es-ES"/>
        </w:rPr>
        <w:t xml:space="preserve">  </w:t>
      </w:r>
      <w:r w:rsidRPr="00D546E8">
        <w:rPr>
          <w:rFonts w:cs="Arial"/>
          <w:lang w:val="es-ES_tradnl"/>
        </w:rPr>
        <w:t>por lo general, supone múltiples observadores que miden el mismo material, tras lo cual se evalúan las diferencias entre los observadores.</w:t>
      </w:r>
      <w:r w:rsidRPr="00F06F90">
        <w:rPr>
          <w:rFonts w:cs="Arial"/>
          <w:lang w:val="es-ES"/>
        </w:rPr>
        <w:t xml:space="preserve"> </w:t>
      </w:r>
    </w:p>
    <w:p w:rsidR="00451BF1" w:rsidRPr="00F06F90" w:rsidRDefault="00451BF1" w:rsidP="00CA7E27">
      <w:pPr>
        <w:spacing w:before="120" w:after="120"/>
        <w:rPr>
          <w:rFonts w:cs="Arial"/>
          <w:u w:val="single"/>
          <w:lang w:val="es-ES"/>
        </w:rPr>
      </w:pPr>
    </w:p>
    <w:p w:rsidR="00451BF1" w:rsidRPr="00F06F90" w:rsidRDefault="00451BF1" w:rsidP="00CC1D7F">
      <w:pPr>
        <w:spacing w:before="120" w:after="120"/>
        <w:rPr>
          <w:rFonts w:cs="Arial"/>
          <w:u w:val="single"/>
          <w:lang w:val="es-ES"/>
        </w:rPr>
      </w:pPr>
      <w:r w:rsidRPr="00F06F90">
        <w:rPr>
          <w:rFonts w:cs="Arial"/>
          <w:u w:val="single"/>
          <w:lang w:val="es-ES"/>
        </w:rPr>
        <w:t xml:space="preserve">4. </w:t>
      </w:r>
      <w:r w:rsidRPr="00D546E8">
        <w:rPr>
          <w:rFonts w:cs="Arial"/>
          <w:u w:val="single"/>
          <w:lang w:val="es-ES_tradnl"/>
        </w:rPr>
        <w:t>Prueba de la calibración para los caracteres QN/MG o QN/MS</w:t>
      </w:r>
    </w:p>
    <w:p w:rsidR="00451BF1" w:rsidRPr="00F06F90" w:rsidRDefault="00451BF1" w:rsidP="00CC1D7F">
      <w:pPr>
        <w:spacing w:before="120" w:after="120"/>
        <w:rPr>
          <w:rFonts w:cs="Arial"/>
          <w:lang w:val="es-ES"/>
        </w:rPr>
      </w:pPr>
      <w:r w:rsidRPr="00F06F90">
        <w:rPr>
          <w:rFonts w:cs="Arial"/>
          <w:lang w:val="es-ES"/>
        </w:rPr>
        <w:t>4.1</w:t>
      </w:r>
      <w:r w:rsidRPr="00F06F90">
        <w:rPr>
          <w:rFonts w:cs="Arial"/>
          <w:lang w:val="es-ES"/>
        </w:rPr>
        <w:tab/>
      </w:r>
      <w:r w:rsidRPr="00D546E8">
        <w:rPr>
          <w:rFonts w:cs="Arial"/>
          <w:lang w:val="es-ES_tradnl"/>
        </w:rPr>
        <w:t>Para las observaciones realizadas con instrumentos de medición, como reglas (a menudo, los caracteres QN/MS), la medición suele realizarse en escala de intervalo o de relación.</w:t>
      </w:r>
      <w:r w:rsidRPr="00F06F90">
        <w:rPr>
          <w:rFonts w:cs="Arial"/>
          <w:lang w:val="es-ES"/>
        </w:rPr>
        <w:t xml:space="preserve">  </w:t>
      </w:r>
      <w:r w:rsidRPr="00D546E8">
        <w:rPr>
          <w:rFonts w:cs="Arial"/>
          <w:lang w:val="es-ES_tradnl"/>
        </w:rPr>
        <w:t xml:space="preserve">En este caso, puede aplicarse el enfoque de Bland y Altman (1986), </w:t>
      </w:r>
      <w:r w:rsidRPr="00F06F90">
        <w:rPr>
          <w:rFonts w:cs="Arial"/>
          <w:lang w:val="es-ES"/>
        </w:rPr>
        <w:t xml:space="preserve"> </w:t>
      </w:r>
      <w:r w:rsidRPr="00D546E8">
        <w:rPr>
          <w:rFonts w:cs="Arial"/>
          <w:lang w:val="es-ES_tradnl"/>
        </w:rPr>
        <w:t>que comienza con un diagrama de los resultados tomados por un par de observadores en un diagrama de dispersión, que se compara con la línea de igualdad (en la cual y=x).</w:t>
      </w:r>
      <w:r w:rsidRPr="00F06F90">
        <w:rPr>
          <w:rFonts w:cs="Arial"/>
          <w:lang w:val="es-ES"/>
        </w:rPr>
        <w:t xml:space="preserve">  </w:t>
      </w:r>
      <w:r w:rsidRPr="00D546E8">
        <w:rPr>
          <w:rFonts w:cs="Arial"/>
          <w:lang w:val="es-ES_tradnl"/>
        </w:rPr>
        <w:t>Esto ayuda a evaluar a ojo el grado de concordancia entre mediciones del mismo objeto.</w:t>
      </w:r>
      <w:r w:rsidRPr="00F06F90">
        <w:rPr>
          <w:rFonts w:cs="Arial"/>
          <w:lang w:val="es-ES"/>
        </w:rPr>
        <w:t xml:space="preserve">  </w:t>
      </w:r>
      <w:r w:rsidRPr="00D546E8">
        <w:rPr>
          <w:rFonts w:cs="Arial"/>
          <w:lang w:val="es-ES_tradnl"/>
        </w:rPr>
        <w:t>El paso siguiente es tomar la diferencia por objeto y construir un gráfico en el que el eje “y” represente la diferencia entre los observadores, y el eje “x” o bien el índice del objeto, o bien el valor medio del objeto.</w:t>
      </w:r>
      <w:r w:rsidRPr="00F06F90">
        <w:rPr>
          <w:rFonts w:cs="Arial"/>
          <w:lang w:val="es-ES"/>
        </w:rPr>
        <w:t xml:space="preserve">  </w:t>
      </w:r>
      <w:r w:rsidRPr="00D546E8">
        <w:rPr>
          <w:rFonts w:cs="Arial"/>
          <w:lang w:val="es-ES_tradnl"/>
        </w:rPr>
        <w:t>Si además se dibujan las líneas horizontales y=0, y = media(diferencia) y las dos líneas y = media(diferencia) ± 2 × desviación estándar, puede encontrarse fácilmente, por un lado, la distorsión entre los observadores y, por el otro, cualquier valor atípico.</w:t>
      </w:r>
      <w:r w:rsidRPr="00F06F90">
        <w:rPr>
          <w:rFonts w:cs="Arial"/>
          <w:lang w:val="es-ES"/>
        </w:rPr>
        <w:t xml:space="preserve">  </w:t>
      </w:r>
      <w:r w:rsidRPr="00D546E8">
        <w:rPr>
          <w:rFonts w:cs="Arial"/>
          <w:lang w:val="es-ES_tradnl"/>
        </w:rPr>
        <w:t>Del mismo modo se puede evaluar también la diferencia entre la medición de cada observador y el promedio de las mediciones de todos los observadores.</w:t>
      </w:r>
      <w:r w:rsidRPr="00F06F90">
        <w:rPr>
          <w:rFonts w:cs="Arial"/>
          <w:lang w:val="es-ES"/>
        </w:rPr>
        <w:t xml:space="preserve">  </w:t>
      </w:r>
      <w:r w:rsidRPr="00D546E8">
        <w:rPr>
          <w:rFonts w:cs="Arial"/>
          <w:lang w:val="es-ES_tradnl"/>
        </w:rPr>
        <w:t>Pueden aplicarse métodos de prueba, como la prueba de la t por pares, para comprobar si existe una desviación significativa entre un observador y otro o la media de los demás observadores.</w:t>
      </w:r>
      <w:r w:rsidRPr="00F06F90">
        <w:rPr>
          <w:rFonts w:cs="Arial"/>
          <w:lang w:val="es-ES"/>
        </w:rPr>
        <w:t xml:space="preserve"> </w:t>
      </w:r>
    </w:p>
    <w:p w:rsidR="00451BF1" w:rsidRPr="00F06F90" w:rsidRDefault="00451BF1" w:rsidP="00CC1D7F">
      <w:pPr>
        <w:spacing w:before="120" w:after="120"/>
        <w:rPr>
          <w:rFonts w:cs="Arial"/>
          <w:lang w:val="es-ES"/>
        </w:rPr>
      </w:pPr>
      <w:r w:rsidRPr="00F06F90">
        <w:rPr>
          <w:rFonts w:cs="Arial"/>
          <w:lang w:val="es-ES"/>
        </w:rPr>
        <w:t>4.2</w:t>
      </w:r>
      <w:r w:rsidRPr="00F06F90">
        <w:rPr>
          <w:rFonts w:cs="Arial"/>
          <w:lang w:val="es-ES"/>
        </w:rPr>
        <w:tab/>
      </w:r>
      <w:r w:rsidRPr="00D546E8">
        <w:rPr>
          <w:rFonts w:cs="Arial"/>
          <w:lang w:val="es-ES_tradnl"/>
        </w:rPr>
        <w:t>Si se toman dos mediciones de cada objeto efectuadas por un mismo observador, cabe examinar las diferencias entre ambas.</w:t>
      </w:r>
      <w:r w:rsidRPr="00F06F90">
        <w:rPr>
          <w:rFonts w:cs="Arial"/>
          <w:lang w:val="es-ES"/>
        </w:rPr>
        <w:t xml:space="preserve">  </w:t>
      </w:r>
      <w:r w:rsidRPr="00D546E8">
        <w:rPr>
          <w:rFonts w:cs="Arial"/>
          <w:lang w:val="es-ES_tradnl"/>
        </w:rPr>
        <w:t>Si dichas diferencias son grandes en comparación con las obtenidas por otros observadores, es posible que este observador presente una baja repetibilidad.</w:t>
      </w:r>
      <w:r w:rsidRPr="00F06F90">
        <w:rPr>
          <w:rFonts w:cs="Arial"/>
          <w:lang w:val="es-ES"/>
        </w:rPr>
        <w:t xml:space="preserve">  </w:t>
      </w:r>
      <w:r w:rsidRPr="00D546E8">
        <w:rPr>
          <w:rFonts w:cs="Arial"/>
          <w:lang w:val="es-ES_tradnl"/>
        </w:rPr>
        <w:t>A partir del recuento de los valores atípicos moderados y grandes obtenidos por cada observador (por ejemplo, valores mayores que dos veces y tres veces la desviación típica, respectivamente), puede elaborarse un cuadro que confronte observadores con número de valores atípicos, que puede utilizarse para decidir si un observador satisface los criterios de garantía de calidad.</w:t>
      </w:r>
      <w:r w:rsidRPr="00F06F90">
        <w:rPr>
          <w:rFonts w:cs="Arial"/>
          <w:lang w:val="es-ES"/>
        </w:rPr>
        <w:t xml:space="preserve"> </w:t>
      </w:r>
    </w:p>
    <w:p w:rsidR="00451BF1" w:rsidRPr="00F06F90" w:rsidRDefault="00451BF1" w:rsidP="00CC1D7F">
      <w:pPr>
        <w:spacing w:before="120" w:after="120"/>
        <w:rPr>
          <w:rFonts w:cs="Arial"/>
          <w:lang w:val="es-ES"/>
        </w:rPr>
      </w:pPr>
      <w:r w:rsidRPr="00F06F90">
        <w:rPr>
          <w:rFonts w:cs="Arial"/>
          <w:lang w:val="es-ES"/>
        </w:rPr>
        <w:t>4.3</w:t>
      </w:r>
      <w:r w:rsidRPr="00F06F90">
        <w:rPr>
          <w:rFonts w:cs="Arial"/>
          <w:lang w:val="es-ES"/>
        </w:rPr>
        <w:tab/>
      </w:r>
      <w:r w:rsidRPr="00D546E8">
        <w:rPr>
          <w:rFonts w:cs="Arial"/>
          <w:lang w:val="es-ES_tradnl"/>
        </w:rPr>
        <w:t>Pueden realizarse otros controles de calidad basados en las pruebas de repetibilidad y reproducibilidad para laboratorios que se describen en la norma ISO 5725-2.</w:t>
      </w:r>
      <w:r w:rsidRPr="00F06F90">
        <w:rPr>
          <w:rFonts w:cs="Arial"/>
          <w:lang w:val="es-ES"/>
        </w:rPr>
        <w:t xml:space="preserve">  </w:t>
      </w:r>
      <w:r w:rsidRPr="00D546E8">
        <w:rPr>
          <w:rFonts w:cs="Arial"/>
          <w:lang w:val="es-ES_tradnl"/>
        </w:rPr>
        <w:t>En el sitio web de la ISTA se ofrecen programas informáticos gratuitos que permiten obtener valores y gráficos con arreglo a esta norma ISO.</w:t>
      </w:r>
    </w:p>
    <w:p w:rsidR="00451BF1" w:rsidRPr="00F06F90" w:rsidRDefault="00451BF1" w:rsidP="00CC1D7F">
      <w:pPr>
        <w:spacing w:before="120" w:after="120"/>
        <w:rPr>
          <w:rFonts w:cs="Arial"/>
          <w:lang w:val="es-ES"/>
        </w:rPr>
      </w:pPr>
      <w:r w:rsidRPr="00F06F90">
        <w:rPr>
          <w:rFonts w:cs="Arial"/>
          <w:lang w:val="es-ES"/>
        </w:rPr>
        <w:t>4.4</w:t>
      </w:r>
      <w:r w:rsidRPr="00F06F90">
        <w:rPr>
          <w:rFonts w:cs="Arial"/>
          <w:lang w:val="es-ES"/>
        </w:rPr>
        <w:tab/>
      </w:r>
      <w:r w:rsidRPr="00D546E8">
        <w:rPr>
          <w:rFonts w:cs="Arial"/>
          <w:lang w:val="es-ES_tradnl"/>
        </w:rPr>
        <w:t>En muchos casos de QN/MG o QN/MS, bastará por lo general con instrucciones correctas y claras para que la variación o la distorsión entre los observadores en las mediciones sea a menudo insignificante.</w:t>
      </w:r>
      <w:r w:rsidRPr="00F06F90">
        <w:rPr>
          <w:rFonts w:cs="Arial"/>
          <w:lang w:val="es-ES"/>
        </w:rPr>
        <w:t xml:space="preserve">  </w:t>
      </w:r>
      <w:r w:rsidRPr="00D546E8">
        <w:rPr>
          <w:rFonts w:cs="Arial"/>
          <w:lang w:val="es-ES_tradnl"/>
        </w:rPr>
        <w:t xml:space="preserve">Si hay lugar a duda, un experimento de calibración como el que se describió </w:t>
      </w:r>
      <w:r w:rsidRPr="00D546E8">
        <w:rPr>
          <w:rFonts w:cs="Arial"/>
          <w:i/>
          <w:lang w:val="es-ES_tradnl"/>
        </w:rPr>
        <w:t>supra</w:t>
      </w:r>
      <w:r w:rsidRPr="00D546E8">
        <w:rPr>
          <w:rFonts w:cs="Arial"/>
          <w:lang w:val="es-ES_tradnl"/>
        </w:rPr>
        <w:t xml:space="preserve"> puede ayudar a poner en claro la situación.</w:t>
      </w:r>
      <w:r w:rsidRPr="00F06F90">
        <w:rPr>
          <w:rFonts w:cs="Arial"/>
          <w:lang w:val="es-ES"/>
        </w:rPr>
        <w:t xml:space="preserve"> </w:t>
      </w:r>
    </w:p>
    <w:p w:rsidR="00451BF1" w:rsidRPr="00F06F90" w:rsidRDefault="00451BF1" w:rsidP="00CC1D7F">
      <w:pPr>
        <w:spacing w:before="120" w:after="120"/>
        <w:rPr>
          <w:rFonts w:cs="Arial"/>
          <w:lang w:val="es-ES"/>
        </w:rPr>
      </w:pPr>
      <w:r w:rsidRPr="00F06F90">
        <w:rPr>
          <w:rFonts w:cs="Arial"/>
          <w:lang w:val="es-ES"/>
        </w:rPr>
        <w:t>4.5</w:t>
      </w:r>
      <w:r w:rsidRPr="00F06F90">
        <w:rPr>
          <w:rFonts w:cs="Arial"/>
          <w:lang w:val="es-ES"/>
        </w:rPr>
        <w:tab/>
      </w:r>
      <w:r w:rsidRPr="00D546E8">
        <w:rPr>
          <w:rFonts w:cs="Arial"/>
          <w:lang w:val="es-ES_tradnl"/>
        </w:rPr>
        <w:t>Cuando se observen caracteres QN/MG, se deberá tener en cuenta la posible variación intraparcelaria.</w:t>
      </w:r>
    </w:p>
    <w:p w:rsidR="00451BF1" w:rsidRPr="00F06F90" w:rsidRDefault="00451BF1" w:rsidP="00CA7E27">
      <w:pPr>
        <w:spacing w:before="120" w:after="120"/>
        <w:rPr>
          <w:rFonts w:cs="Arial"/>
          <w:u w:val="single"/>
          <w:lang w:val="es-ES"/>
        </w:rPr>
      </w:pPr>
    </w:p>
    <w:p w:rsidR="00451BF1" w:rsidRPr="00F06F90" w:rsidRDefault="00451BF1" w:rsidP="00CC1D7F">
      <w:pPr>
        <w:spacing w:before="120" w:after="120"/>
        <w:rPr>
          <w:rFonts w:cs="Arial"/>
          <w:lang w:val="es-ES"/>
        </w:rPr>
      </w:pPr>
      <w:r w:rsidRPr="00F06F90">
        <w:rPr>
          <w:rFonts w:cs="Arial"/>
          <w:u w:val="single"/>
          <w:lang w:val="es-ES"/>
        </w:rPr>
        <w:t xml:space="preserve">5. </w:t>
      </w:r>
      <w:r w:rsidRPr="00D546E8">
        <w:rPr>
          <w:rFonts w:cs="Arial"/>
          <w:u w:val="single"/>
          <w:lang w:val="es-ES_tradnl"/>
        </w:rPr>
        <w:t>Prueba de la calibración para los caracteres QN/VS o QN/VG</w:t>
      </w:r>
    </w:p>
    <w:p w:rsidR="00451BF1" w:rsidRPr="00F06F90" w:rsidRDefault="00451BF1" w:rsidP="00CC1D7F">
      <w:pPr>
        <w:spacing w:before="120" w:after="120"/>
        <w:rPr>
          <w:rFonts w:cs="Arial"/>
          <w:lang w:val="es-ES"/>
        </w:rPr>
      </w:pPr>
      <w:r w:rsidRPr="00F06F90">
        <w:rPr>
          <w:rFonts w:cs="Arial"/>
          <w:lang w:val="es-ES"/>
        </w:rPr>
        <w:t>5.1</w:t>
      </w:r>
      <w:r w:rsidRPr="00F06F90">
        <w:rPr>
          <w:rFonts w:cs="Arial"/>
          <w:lang w:val="es-ES"/>
        </w:rPr>
        <w:tab/>
      </w:r>
      <w:r w:rsidRPr="00D546E8">
        <w:rPr>
          <w:rFonts w:cs="Arial"/>
          <w:lang w:val="es-ES_tradnl"/>
        </w:rPr>
        <w:t>Para el análisis de los datos ordinales (caracteres QN/VS o QN/VG), puede resultar muy instructiva la creación de cuadros de contingencia de los distintos resultados obtenidos por cada par de observadores.</w:t>
      </w:r>
      <w:r w:rsidRPr="00F06F90">
        <w:rPr>
          <w:rFonts w:cs="Arial"/>
          <w:lang w:val="es-ES"/>
        </w:rPr>
        <w:t xml:space="preserve">  </w:t>
      </w:r>
      <w:r w:rsidRPr="00D546E8">
        <w:rPr>
          <w:rFonts w:cs="Arial"/>
          <w:lang w:val="es-ES_tradnl"/>
        </w:rPr>
        <w:t>Para comprobar la diferencia estructural (distorsión) entre dos observadores, puede utilizarse la prueba de pares igualados de Wilcoxon (denominada también prueba de Wilcoxon de rangos señalados).</w:t>
      </w:r>
      <w:r w:rsidRPr="00F06F90">
        <w:rPr>
          <w:rFonts w:cs="Arial"/>
          <w:lang w:val="es-ES"/>
        </w:rPr>
        <w:t xml:space="preserve"> </w:t>
      </w:r>
    </w:p>
    <w:p w:rsidR="00451BF1" w:rsidRPr="00F06F90" w:rsidRDefault="00451BF1" w:rsidP="00CC1D7F">
      <w:pPr>
        <w:spacing w:before="120" w:after="120"/>
        <w:rPr>
          <w:rFonts w:cs="Arial"/>
          <w:lang w:val="es-ES"/>
        </w:rPr>
      </w:pPr>
      <w:r w:rsidRPr="00F06F90">
        <w:rPr>
          <w:rFonts w:cs="Arial"/>
          <w:lang w:val="es-ES"/>
        </w:rPr>
        <w:t>5.2</w:t>
      </w:r>
      <w:r w:rsidRPr="00F06F90">
        <w:rPr>
          <w:rFonts w:cs="Arial"/>
          <w:lang w:val="es-ES"/>
        </w:rPr>
        <w:tab/>
      </w:r>
      <w:r w:rsidRPr="00D546E8">
        <w:rPr>
          <w:rFonts w:cs="Arial"/>
          <w:lang w:val="es-ES_tradnl"/>
        </w:rPr>
        <w:t>Para medir el grado de concordancia, suele utilizarse el coeficiente kappa de Cohen (Cohen, 1960),</w:t>
      </w:r>
      <w:r w:rsidRPr="00F06F90">
        <w:rPr>
          <w:rFonts w:cs="Arial"/>
          <w:lang w:val="es-ES"/>
        </w:rPr>
        <w:t xml:space="preserve"> </w:t>
      </w:r>
      <w:r w:rsidRPr="00D546E8">
        <w:rPr>
          <w:rFonts w:cs="Arial"/>
          <w:lang w:val="es-ES_tradnl"/>
        </w:rPr>
        <w:t>destinado a encontrar la concordancia aleatoria:</w:t>
      </w:r>
      <w:r w:rsidRPr="00F06F90">
        <w:rPr>
          <w:rFonts w:cs="Arial"/>
          <w:lang w:val="es-ES"/>
        </w:rPr>
        <w:t xml:space="preserve">  </w:t>
      </w:r>
      <w:r w:rsidRPr="00D546E8">
        <w:rPr>
          <w:rFonts w:cs="Arial"/>
          <w:lang w:val="es-ES_tradnl"/>
        </w:rPr>
        <w:t>κ = P(concordancia) – P(e) / (1-P(e)), siendo P(concordancia) la fracción de objetos que están en la misma clase para ambos observadores (la diagonal principal en el cuadro de contingencia), y P(e) la probabilidad de concordancia aleatoria, teniendo en cuenta los marginales (como en una prueba de ji cuadrado).</w:t>
      </w:r>
      <w:r w:rsidRPr="00F06F90">
        <w:rPr>
          <w:rFonts w:cs="Arial"/>
          <w:lang w:val="es-ES"/>
        </w:rPr>
        <w:t xml:space="preserve">  </w:t>
      </w:r>
      <w:r w:rsidRPr="00D546E8">
        <w:rPr>
          <w:rFonts w:cs="Arial"/>
          <w:lang w:val="es-ES_tradnl"/>
        </w:rPr>
        <w:t>Si existe concordancia perfecta entre los observadores, el valor kappa es κ = 1.</w:t>
      </w:r>
      <w:r w:rsidRPr="00F06F90">
        <w:rPr>
          <w:rFonts w:cs="Arial"/>
          <w:lang w:val="es-ES"/>
        </w:rPr>
        <w:t xml:space="preserve">  </w:t>
      </w:r>
      <w:r w:rsidRPr="00D546E8">
        <w:rPr>
          <w:rFonts w:cs="Arial"/>
          <w:lang w:val="es-ES_tradnl"/>
        </w:rPr>
        <w:t>Si no hay concordancia entre los observadores, aparte de lo previsto debido al azar (P(e)), entonces κ = 0.</w:t>
      </w:r>
    </w:p>
    <w:p w:rsidR="00451BF1" w:rsidRPr="00F06F90" w:rsidRDefault="00451BF1" w:rsidP="00CC1D7F">
      <w:pPr>
        <w:spacing w:before="120" w:after="120"/>
        <w:rPr>
          <w:rFonts w:cs="Arial"/>
          <w:lang w:val="es-ES"/>
        </w:rPr>
      </w:pPr>
      <w:r w:rsidRPr="00F06F90">
        <w:rPr>
          <w:rFonts w:cs="Arial"/>
          <w:lang w:val="es-ES"/>
        </w:rPr>
        <w:t>5.3</w:t>
      </w:r>
      <w:r w:rsidRPr="00F06F90">
        <w:rPr>
          <w:rFonts w:cs="Arial"/>
          <w:lang w:val="es-ES"/>
        </w:rPr>
        <w:tab/>
      </w:r>
      <w:r w:rsidRPr="00D546E8">
        <w:rPr>
          <w:rFonts w:cs="Arial"/>
          <w:lang w:val="es-ES_tradnl"/>
        </w:rPr>
        <w:t>El coeficiente estándar kappa de Cohen toma en consideración únicamente la concordancia perfecta contra la no concordancia.</w:t>
      </w:r>
      <w:r w:rsidRPr="00F06F90">
        <w:rPr>
          <w:rFonts w:cs="Arial"/>
          <w:lang w:val="es-ES"/>
        </w:rPr>
        <w:t xml:space="preserve">  </w:t>
      </w:r>
      <w:r w:rsidRPr="00D546E8">
        <w:rPr>
          <w:rFonts w:cs="Arial"/>
          <w:lang w:val="es-ES_tradnl"/>
        </w:rPr>
        <w:t>Si se desea tener en cuenta el grado de concordancia (por ejemplo, con los caracteres ordinales), puede aplicarse un coeficiente kappa lineal o ponderado cuadrático (Cohen, 1968).</w:t>
      </w:r>
      <w:r w:rsidRPr="00F06F90">
        <w:rPr>
          <w:rFonts w:cs="Arial"/>
          <w:lang w:val="es-ES"/>
        </w:rPr>
        <w:t xml:space="preserve">  </w:t>
      </w:r>
      <w:r w:rsidRPr="00D546E8">
        <w:rPr>
          <w:rFonts w:cs="Arial"/>
          <w:lang w:val="es-ES_tradnl"/>
        </w:rPr>
        <w:t>Si se desea tener una única estadística simultáneamente para todos los observadores, puede calcularse un coeficiente kappa generalizado.</w:t>
      </w:r>
      <w:r w:rsidRPr="00F06F90">
        <w:rPr>
          <w:rFonts w:cs="Arial"/>
          <w:lang w:val="es-ES"/>
        </w:rPr>
        <w:t xml:space="preserve">  </w:t>
      </w:r>
      <w:r w:rsidRPr="00D546E8">
        <w:rPr>
          <w:rFonts w:cs="Arial"/>
          <w:lang w:val="es-ES_tradnl"/>
        </w:rPr>
        <w:t>La mayoría de los programas informáticos de cálculo estadístico, entre otros, SPSS, Genstat y R (el programa Concord), incluye instrumentos para calcular el coeficiente kappa.</w:t>
      </w:r>
    </w:p>
    <w:p w:rsidR="00451BF1" w:rsidRPr="00F06F90" w:rsidRDefault="00451BF1" w:rsidP="00CC1D7F">
      <w:pPr>
        <w:spacing w:before="120" w:after="120"/>
        <w:rPr>
          <w:rFonts w:cs="Arial"/>
          <w:lang w:val="es-ES"/>
        </w:rPr>
      </w:pPr>
      <w:r w:rsidRPr="00F06F90">
        <w:rPr>
          <w:rFonts w:cs="Arial"/>
          <w:lang w:val="es-ES"/>
        </w:rPr>
        <w:t>5.4</w:t>
      </w:r>
      <w:r w:rsidRPr="00F06F90">
        <w:rPr>
          <w:rFonts w:cs="Arial"/>
          <w:lang w:val="es-ES"/>
        </w:rPr>
        <w:tab/>
      </w:r>
      <w:r w:rsidRPr="00D546E8">
        <w:rPr>
          <w:rFonts w:cs="Arial"/>
          <w:lang w:val="es-ES_tradnl"/>
        </w:rPr>
        <w:t>Como se ha observado, un valor κ bajo indica escasa concordancia, y valores cercanos a 1 indican excelente concordancia.</w:t>
      </w:r>
      <w:r w:rsidRPr="00F06F90">
        <w:rPr>
          <w:rFonts w:cs="Arial"/>
          <w:lang w:val="es-ES"/>
        </w:rPr>
        <w:t xml:space="preserve">  </w:t>
      </w:r>
      <w:r w:rsidRPr="00D546E8">
        <w:rPr>
          <w:rFonts w:cs="Arial"/>
          <w:lang w:val="es-ES_tradnl"/>
        </w:rPr>
        <w:t xml:space="preserve">Suele considerarse que los valores entre 0,6 y 0,8 indican una concordancia </w:t>
      </w:r>
      <w:r w:rsidRPr="00D546E8">
        <w:rPr>
          <w:rFonts w:cs="Arial"/>
          <w:lang w:val="es-ES_tradnl"/>
        </w:rPr>
        <w:lastRenderedPageBreak/>
        <w:t>importante y que los valores por encima de 0,8 indican una concordancia prácticamente perfecta.</w:t>
      </w:r>
      <w:r w:rsidRPr="00F06F90">
        <w:rPr>
          <w:rFonts w:cs="Arial"/>
          <w:lang w:val="es-ES"/>
        </w:rPr>
        <w:t xml:space="preserve">  </w:t>
      </w:r>
      <w:r w:rsidRPr="00D546E8">
        <w:rPr>
          <w:rFonts w:cs="Arial"/>
          <w:lang w:val="es-ES_tradnl"/>
        </w:rPr>
        <w:t>De ser necesario, pueden utilizarse valores z para kappa (suponiendo que haya una distribución aproximadamente normal).</w:t>
      </w:r>
      <w:r w:rsidRPr="00F06F90">
        <w:rPr>
          <w:rFonts w:cs="Arial"/>
          <w:lang w:val="es-ES"/>
        </w:rPr>
        <w:t xml:space="preserve">  </w:t>
      </w:r>
      <w:r w:rsidRPr="00D546E8">
        <w:rPr>
          <w:rFonts w:cs="Arial"/>
          <w:lang w:val="es-ES_tradnl"/>
        </w:rPr>
        <w:t>A los expertos en DHE con experiencia cabría aplicarles criterios más estrictos que a los observadores inexpertos.</w:t>
      </w:r>
    </w:p>
    <w:p w:rsidR="00451BF1" w:rsidRPr="00F06F90" w:rsidRDefault="00451BF1" w:rsidP="00CA7E27">
      <w:pPr>
        <w:spacing w:before="120" w:after="120"/>
        <w:rPr>
          <w:rFonts w:cs="Arial"/>
          <w:u w:val="single"/>
          <w:lang w:val="es-ES"/>
        </w:rPr>
      </w:pPr>
    </w:p>
    <w:p w:rsidR="00451BF1" w:rsidRPr="00F06F90" w:rsidRDefault="00451BF1" w:rsidP="00CC1D7F">
      <w:pPr>
        <w:spacing w:before="120" w:after="120"/>
        <w:rPr>
          <w:rFonts w:cs="Arial"/>
          <w:u w:val="single"/>
          <w:lang w:val="es-ES"/>
        </w:rPr>
      </w:pPr>
      <w:r w:rsidRPr="00F06F90">
        <w:rPr>
          <w:rFonts w:cs="Arial"/>
          <w:u w:val="single"/>
          <w:lang w:val="es-ES"/>
        </w:rPr>
        <w:t xml:space="preserve">6. </w:t>
      </w:r>
      <w:r w:rsidRPr="00D546E8">
        <w:rPr>
          <w:rFonts w:cs="Arial"/>
          <w:u w:val="single"/>
          <w:lang w:val="es-ES_tradnl"/>
        </w:rPr>
        <w:t>Diseño de los ensayos</w:t>
      </w:r>
    </w:p>
    <w:p w:rsidR="00451BF1" w:rsidRPr="00F06F90" w:rsidRDefault="00451BF1" w:rsidP="00CC1D7F">
      <w:pPr>
        <w:spacing w:before="120" w:after="120"/>
        <w:rPr>
          <w:rFonts w:cs="Arial"/>
          <w:lang w:val="es-ES"/>
        </w:rPr>
      </w:pPr>
      <w:r w:rsidRPr="00F06F90">
        <w:rPr>
          <w:rFonts w:cs="Arial"/>
          <w:lang w:val="es-ES"/>
        </w:rPr>
        <w:t>6.1</w:t>
      </w:r>
      <w:r w:rsidRPr="00F06F90">
        <w:rPr>
          <w:rFonts w:cs="Arial"/>
          <w:lang w:val="es-ES"/>
        </w:rPr>
        <w:tab/>
      </w:r>
      <w:r w:rsidRPr="00D546E8">
        <w:rPr>
          <w:rFonts w:cs="Arial"/>
          <w:lang w:val="es-ES_tradnl"/>
        </w:rPr>
        <w:t>Si hay varios observadores en un ensayo, lo mejor es que una persona observe una o más repeticiones completas.</w:t>
      </w:r>
      <w:r w:rsidRPr="00F06F90">
        <w:rPr>
          <w:rFonts w:cs="Arial"/>
          <w:lang w:val="es-ES"/>
        </w:rPr>
        <w:t xml:space="preserve">  </w:t>
      </w:r>
      <w:r w:rsidRPr="00D546E8">
        <w:rPr>
          <w:rFonts w:cs="Arial"/>
          <w:lang w:val="es-ES_tradnl"/>
        </w:rPr>
        <w:t>En ese caso, la corrección de los efectos de bloque también tiene en cuenta la distorsión entre los observadores.</w:t>
      </w:r>
      <w:r w:rsidRPr="00F06F90">
        <w:rPr>
          <w:rFonts w:cs="Arial"/>
          <w:lang w:val="es-ES"/>
        </w:rPr>
        <w:t xml:space="preserve">  </w:t>
      </w:r>
      <w:r w:rsidRPr="00D546E8">
        <w:rPr>
          <w:rFonts w:cs="Arial"/>
          <w:lang w:val="es-ES_tradnl"/>
        </w:rPr>
        <w:t>Si es necesario más de un observador por repetición, deberá prestarse particular atención a la calibración y la concordancia.</w:t>
      </w:r>
      <w:r w:rsidRPr="00F06F90">
        <w:rPr>
          <w:rFonts w:cs="Arial"/>
          <w:lang w:val="es-ES"/>
        </w:rPr>
        <w:t xml:space="preserve">  </w:t>
      </w:r>
      <w:r w:rsidRPr="00D546E8">
        <w:rPr>
          <w:rFonts w:cs="Arial"/>
          <w:lang w:val="es-ES_tradnl"/>
        </w:rPr>
        <w:t>En algunos casos, puede ser útil valerse de diseños de bloques incompletos (como los diseños alfa), y puede asignarse un observador a los sub</w:t>
      </w:r>
      <w:r w:rsidRPr="00D546E8">
        <w:rPr>
          <w:rFonts w:cs="Arial"/>
          <w:lang w:val="es-ES_tradnl"/>
        </w:rPr>
        <w:noBreakHyphen/>
        <w:t>bloques.</w:t>
      </w:r>
      <w:r w:rsidRPr="00F06F90">
        <w:rPr>
          <w:rFonts w:cs="Arial"/>
          <w:lang w:val="es-ES"/>
        </w:rPr>
        <w:t xml:space="preserve">  </w:t>
      </w:r>
      <w:r w:rsidRPr="00D546E8">
        <w:rPr>
          <w:rFonts w:cs="Arial"/>
          <w:lang w:val="es-ES_tradnl"/>
        </w:rPr>
        <w:t>De esta forma puede</w:t>
      </w:r>
      <w:r w:rsidRPr="00D546E8">
        <w:rPr>
          <w:rFonts w:cs="Arial"/>
          <w:u w:val="single"/>
          <w:lang w:val="es-ES_tradnl"/>
        </w:rPr>
        <w:t>n</w:t>
      </w:r>
      <w:r w:rsidRPr="00D546E8">
        <w:rPr>
          <w:rFonts w:cs="Arial"/>
          <w:lang w:val="es-ES_tradnl"/>
        </w:rPr>
        <w:t xml:space="preserve"> corregirse </w:t>
      </w:r>
      <w:r w:rsidRPr="00D546E8">
        <w:rPr>
          <w:rFonts w:cs="Arial"/>
          <w:strike/>
          <w:lang w:val="es-ES_tradnl"/>
        </w:rPr>
        <w:t>la</w:t>
      </w:r>
      <w:r w:rsidRPr="00D546E8">
        <w:rPr>
          <w:rFonts w:cs="Arial"/>
          <w:lang w:val="es-ES_tradnl"/>
        </w:rPr>
        <w:t xml:space="preserve"> diferencia</w:t>
      </w:r>
      <w:r w:rsidRPr="00D546E8">
        <w:rPr>
          <w:rFonts w:cs="Arial"/>
          <w:u w:val="single"/>
          <w:lang w:val="es-ES_tradnl"/>
        </w:rPr>
        <w:t>s</w:t>
      </w:r>
      <w:r w:rsidRPr="00D546E8">
        <w:rPr>
          <w:rFonts w:cs="Arial"/>
          <w:lang w:val="es-ES_tradnl"/>
        </w:rPr>
        <w:t xml:space="preserve"> sistemática</w:t>
      </w:r>
      <w:r w:rsidRPr="00D546E8">
        <w:rPr>
          <w:rFonts w:cs="Arial"/>
          <w:u w:val="single"/>
          <w:lang w:val="es-ES_tradnl"/>
        </w:rPr>
        <w:t>s</w:t>
      </w:r>
      <w:r w:rsidRPr="00D546E8">
        <w:rPr>
          <w:rFonts w:cs="Arial"/>
          <w:lang w:val="es-ES_tradnl"/>
        </w:rPr>
        <w:t xml:space="preserve"> entre los observadores.</w:t>
      </w:r>
    </w:p>
    <w:p w:rsidR="00451BF1" w:rsidRPr="00F06F90" w:rsidRDefault="00451BF1" w:rsidP="00CA7E27">
      <w:pPr>
        <w:spacing w:before="120" w:after="120"/>
        <w:rPr>
          <w:rFonts w:cs="Arial"/>
          <w:lang w:val="es-ES"/>
        </w:rPr>
      </w:pPr>
    </w:p>
    <w:p w:rsidR="00451BF1" w:rsidRPr="00F06F90" w:rsidRDefault="00451BF1" w:rsidP="00CA7E27">
      <w:pPr>
        <w:spacing w:before="120" w:after="120"/>
        <w:rPr>
          <w:rFonts w:cs="Arial"/>
          <w:lang w:val="es-ES"/>
        </w:rPr>
      </w:pPr>
    </w:p>
    <w:p w:rsidR="00451BF1" w:rsidRPr="00F06F90" w:rsidRDefault="00451BF1" w:rsidP="00CC1D7F">
      <w:pPr>
        <w:keepNext/>
        <w:keepLines/>
        <w:spacing w:before="120" w:after="120"/>
        <w:rPr>
          <w:rFonts w:cs="Arial"/>
          <w:u w:val="single"/>
          <w:lang w:val="es-ES"/>
        </w:rPr>
      </w:pPr>
      <w:r w:rsidRPr="00F06F90">
        <w:rPr>
          <w:rFonts w:cs="Arial"/>
          <w:u w:val="single"/>
          <w:lang w:val="es-ES"/>
        </w:rPr>
        <w:t xml:space="preserve">7. </w:t>
      </w:r>
      <w:r w:rsidRPr="00D546E8">
        <w:rPr>
          <w:rFonts w:cs="Arial"/>
          <w:u w:val="single"/>
          <w:lang w:val="es-ES_tradnl"/>
        </w:rPr>
        <w:t>Ejemplo del coeficiente kappa de Cohen</w:t>
      </w:r>
    </w:p>
    <w:p w:rsidR="00451BF1" w:rsidRPr="00F06F90" w:rsidRDefault="00451BF1" w:rsidP="00CC1D7F">
      <w:pPr>
        <w:spacing w:before="120" w:after="120"/>
        <w:rPr>
          <w:rFonts w:cs="Arial"/>
          <w:lang w:val="es-ES"/>
        </w:rPr>
      </w:pPr>
      <w:r w:rsidRPr="00F06F90">
        <w:rPr>
          <w:rFonts w:cs="Arial"/>
          <w:lang w:val="es-ES"/>
        </w:rPr>
        <w:t>7.1</w:t>
      </w:r>
      <w:r w:rsidRPr="00F06F90">
        <w:rPr>
          <w:rFonts w:cs="Arial"/>
          <w:lang w:val="es-ES"/>
        </w:rPr>
        <w:tab/>
      </w:r>
      <w:r w:rsidRPr="00D546E8">
        <w:rPr>
          <w:rFonts w:cs="Arial"/>
          <w:lang w:val="es-ES_tradnl"/>
        </w:rPr>
        <w:t>En este ejemplo hay 3 observadores y 30 objetos (parcelas o variedades).</w:t>
      </w:r>
      <w:r w:rsidRPr="00F06F90">
        <w:rPr>
          <w:rFonts w:cs="Arial"/>
          <w:lang w:val="es-ES"/>
        </w:rPr>
        <w:t xml:space="preserve">  </w:t>
      </w:r>
      <w:r w:rsidRPr="00D546E8">
        <w:rPr>
          <w:rFonts w:cs="Arial"/>
          <w:lang w:val="es-ES_tradnl"/>
        </w:rPr>
        <w:t>El carácter ser observa en una escala de 1 a 6.</w:t>
      </w:r>
      <w:r w:rsidRPr="00F06F90">
        <w:rPr>
          <w:rFonts w:cs="Arial"/>
          <w:lang w:val="es-ES"/>
        </w:rPr>
        <w:t xml:space="preserve">  </w:t>
      </w:r>
      <w:r w:rsidRPr="00D546E8">
        <w:rPr>
          <w:rFonts w:cs="Arial"/>
          <w:lang w:val="es-ES_tradnl"/>
        </w:rPr>
        <w:t>Los datos en bruto y sus valores figuran en los cuadros siguientes.</w:t>
      </w:r>
    </w:p>
    <w:p w:rsidR="00451BF1" w:rsidRPr="00F06F90" w:rsidRDefault="00451BF1" w:rsidP="00CA7E27">
      <w:pPr>
        <w:spacing w:before="120" w:after="120"/>
        <w:rPr>
          <w:rFonts w:cs="Arial"/>
          <w:lang w:val="es-ES"/>
        </w:rPr>
      </w:pPr>
    </w:p>
    <w:p w:rsidR="00451BF1" w:rsidRPr="00F06F90" w:rsidRDefault="00451BF1" w:rsidP="00CA7E27">
      <w:pPr>
        <w:spacing w:before="120" w:after="120"/>
        <w:rPr>
          <w:rFonts w:cs="Arial"/>
          <w:lang w:val="es-ES"/>
        </w:rPr>
        <w:sectPr w:rsidR="00451BF1" w:rsidRPr="00F06F90" w:rsidSect="00CA7E27">
          <w:headerReference w:type="default" r:id="rId10"/>
          <w:headerReference w:type="first" r:id="rId11"/>
          <w:pgSz w:w="11907" w:h="16840" w:code="9"/>
          <w:pgMar w:top="510" w:right="1134" w:bottom="1134" w:left="1134" w:header="510" w:footer="680" w:gutter="0"/>
          <w:pgNumType w:start="1"/>
          <w:cols w:space="720"/>
          <w:titlePg/>
        </w:sectPr>
      </w:pPr>
    </w:p>
    <w:tbl>
      <w:tblPr>
        <w:tblW w:w="3840" w:type="dxa"/>
        <w:tblInd w:w="57" w:type="dxa"/>
        <w:tblCellMar>
          <w:left w:w="70" w:type="dxa"/>
          <w:right w:w="70" w:type="dxa"/>
        </w:tblCellMar>
        <w:tblLook w:val="00A0" w:firstRow="1" w:lastRow="0" w:firstColumn="1" w:lastColumn="0" w:noHBand="0" w:noVBand="0"/>
      </w:tblPr>
      <w:tblGrid>
        <w:gridCol w:w="960"/>
        <w:gridCol w:w="1081"/>
        <w:gridCol w:w="1081"/>
        <w:gridCol w:w="1081"/>
      </w:tblGrid>
      <w:tr w:rsidR="00451BF1" w:rsidRPr="00D546E8" w:rsidTr="00CA7E27">
        <w:trPr>
          <w:tblHeader/>
        </w:trPr>
        <w:tc>
          <w:tcPr>
            <w:tcW w:w="960" w:type="dxa"/>
            <w:tcBorders>
              <w:top w:val="single" w:sz="4" w:space="0" w:color="auto"/>
              <w:left w:val="single" w:sz="4" w:space="0" w:color="auto"/>
              <w:bottom w:val="single" w:sz="4" w:space="0" w:color="auto"/>
              <w:right w:val="nil"/>
            </w:tcBorders>
            <w:noWrap/>
            <w:vAlign w:val="bottom"/>
          </w:tcPr>
          <w:p w:rsidR="00451BF1" w:rsidRPr="00D546E8" w:rsidRDefault="00451BF1" w:rsidP="00B56323">
            <w:pPr>
              <w:jc w:val="right"/>
              <w:rPr>
                <w:rFonts w:cs="Arial"/>
                <w:sz w:val="18"/>
                <w:szCs w:val="18"/>
                <w:lang w:val="es-ES_tradnl"/>
              </w:rPr>
            </w:pPr>
            <w:r w:rsidRPr="00D546E8">
              <w:rPr>
                <w:rFonts w:cs="Arial"/>
                <w:sz w:val="18"/>
                <w:szCs w:val="18"/>
                <w:lang w:val="es-ES_tradnl"/>
              </w:rPr>
              <w:lastRenderedPageBreak/>
              <w:t>Variedad</w:t>
            </w:r>
          </w:p>
        </w:tc>
        <w:tc>
          <w:tcPr>
            <w:tcW w:w="960" w:type="dxa"/>
            <w:tcBorders>
              <w:top w:val="single" w:sz="4" w:space="0" w:color="auto"/>
              <w:left w:val="nil"/>
              <w:bottom w:val="single" w:sz="4" w:space="0" w:color="auto"/>
              <w:right w:val="nil"/>
            </w:tcBorders>
            <w:noWrap/>
            <w:vAlign w:val="bottom"/>
          </w:tcPr>
          <w:p w:rsidR="00451BF1" w:rsidRPr="00D546E8" w:rsidRDefault="00451BF1" w:rsidP="00B56323">
            <w:pPr>
              <w:jc w:val="right"/>
              <w:rPr>
                <w:rFonts w:cs="Arial"/>
                <w:sz w:val="18"/>
                <w:szCs w:val="18"/>
                <w:lang w:val="es-ES_tradnl"/>
              </w:rPr>
            </w:pPr>
            <w:r w:rsidRPr="00D546E8">
              <w:rPr>
                <w:rFonts w:cs="Arial"/>
                <w:sz w:val="18"/>
                <w:szCs w:val="18"/>
                <w:lang w:val="es-ES_tradnl"/>
              </w:rPr>
              <w:t>Observador</w:t>
            </w:r>
          </w:p>
          <w:p w:rsidR="00451BF1" w:rsidRPr="00D546E8" w:rsidRDefault="00451BF1" w:rsidP="00B56323">
            <w:pPr>
              <w:jc w:val="right"/>
              <w:rPr>
                <w:rFonts w:cs="Arial"/>
                <w:sz w:val="18"/>
                <w:szCs w:val="18"/>
                <w:lang w:val="es-ES_tradnl"/>
              </w:rPr>
            </w:pPr>
            <w:r w:rsidRPr="00D546E8">
              <w:rPr>
                <w:rFonts w:cs="Arial"/>
                <w:sz w:val="18"/>
                <w:szCs w:val="18"/>
                <w:lang w:val="es-ES_tradnl"/>
              </w:rPr>
              <w:t>1</w:t>
            </w:r>
          </w:p>
        </w:tc>
        <w:tc>
          <w:tcPr>
            <w:tcW w:w="960" w:type="dxa"/>
            <w:tcBorders>
              <w:top w:val="single" w:sz="4" w:space="0" w:color="auto"/>
              <w:left w:val="nil"/>
              <w:bottom w:val="single" w:sz="4" w:space="0" w:color="auto"/>
              <w:right w:val="nil"/>
            </w:tcBorders>
            <w:noWrap/>
            <w:vAlign w:val="bottom"/>
          </w:tcPr>
          <w:p w:rsidR="00451BF1" w:rsidRPr="00D546E8" w:rsidRDefault="00451BF1" w:rsidP="00B56323">
            <w:pPr>
              <w:jc w:val="right"/>
              <w:rPr>
                <w:rFonts w:cs="Arial"/>
                <w:sz w:val="18"/>
                <w:szCs w:val="18"/>
                <w:lang w:val="es-ES_tradnl"/>
              </w:rPr>
            </w:pPr>
            <w:r w:rsidRPr="00D546E8">
              <w:rPr>
                <w:rFonts w:cs="Arial"/>
                <w:sz w:val="18"/>
                <w:szCs w:val="18"/>
                <w:lang w:val="es-ES_tradnl"/>
              </w:rPr>
              <w:t>Observador</w:t>
            </w:r>
          </w:p>
          <w:p w:rsidR="00451BF1" w:rsidRPr="00D546E8" w:rsidRDefault="00451BF1" w:rsidP="00B56323">
            <w:pPr>
              <w:jc w:val="right"/>
              <w:rPr>
                <w:rFonts w:cs="Arial"/>
                <w:sz w:val="18"/>
                <w:szCs w:val="18"/>
                <w:lang w:val="es-ES_tradnl"/>
              </w:rPr>
            </w:pPr>
            <w:r w:rsidRPr="00D546E8">
              <w:rPr>
                <w:rFonts w:cs="Arial"/>
                <w:sz w:val="18"/>
                <w:szCs w:val="18"/>
                <w:lang w:val="es-ES_tradnl"/>
              </w:rPr>
              <w:t>2</w:t>
            </w:r>
          </w:p>
        </w:tc>
        <w:tc>
          <w:tcPr>
            <w:tcW w:w="960" w:type="dxa"/>
            <w:tcBorders>
              <w:top w:val="single" w:sz="4" w:space="0" w:color="auto"/>
              <w:left w:val="nil"/>
              <w:bottom w:val="single" w:sz="4" w:space="0" w:color="auto"/>
              <w:right w:val="single" w:sz="4" w:space="0" w:color="auto"/>
            </w:tcBorders>
            <w:noWrap/>
            <w:vAlign w:val="bottom"/>
          </w:tcPr>
          <w:p w:rsidR="00451BF1" w:rsidRPr="00D546E8" w:rsidRDefault="00451BF1" w:rsidP="00B56323">
            <w:pPr>
              <w:jc w:val="right"/>
              <w:rPr>
                <w:rFonts w:cs="Arial"/>
                <w:sz w:val="18"/>
                <w:szCs w:val="18"/>
                <w:lang w:val="es-ES_tradnl"/>
              </w:rPr>
            </w:pPr>
            <w:r w:rsidRPr="00D546E8">
              <w:rPr>
                <w:rFonts w:cs="Arial"/>
                <w:sz w:val="18"/>
                <w:szCs w:val="18"/>
                <w:lang w:val="es-ES_tradnl"/>
              </w:rPr>
              <w:t>Observador</w:t>
            </w:r>
          </w:p>
          <w:p w:rsidR="00451BF1" w:rsidRPr="00D546E8" w:rsidRDefault="00451BF1" w:rsidP="00B56323">
            <w:pPr>
              <w:jc w:val="right"/>
              <w:rPr>
                <w:rFonts w:cs="Arial"/>
                <w:sz w:val="18"/>
                <w:szCs w:val="18"/>
                <w:lang w:val="es-ES_tradnl"/>
              </w:rPr>
            </w:pPr>
            <w:r w:rsidRPr="00D546E8">
              <w:rPr>
                <w:rFonts w:cs="Arial"/>
                <w:sz w:val="18"/>
                <w:szCs w:val="18"/>
                <w:lang w:val="es-ES_tradnl"/>
              </w:rPr>
              <w:t>3</w:t>
            </w:r>
          </w:p>
        </w:tc>
      </w:tr>
      <w:tr w:rsidR="00451BF1" w:rsidRPr="00D546E8" w:rsidTr="00CA7E27">
        <w:tc>
          <w:tcPr>
            <w:tcW w:w="960" w:type="dxa"/>
            <w:tcBorders>
              <w:top w:val="single" w:sz="4" w:space="0" w:color="auto"/>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V1</w:t>
            </w:r>
          </w:p>
        </w:tc>
        <w:tc>
          <w:tcPr>
            <w:tcW w:w="960" w:type="dxa"/>
            <w:tcBorders>
              <w:top w:val="single" w:sz="4" w:space="0" w:color="auto"/>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960" w:type="dxa"/>
            <w:tcBorders>
              <w:top w:val="single" w:sz="4" w:space="0" w:color="auto"/>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960" w:type="dxa"/>
            <w:tcBorders>
              <w:top w:val="single" w:sz="4" w:space="0" w:color="auto"/>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V2</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V3</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V4</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V5</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V6</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V7</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V8</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V9</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V10</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3</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3</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V11</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3</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3</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V12</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3</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V13</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4</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5</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4</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V14</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V15</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V16</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3</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V17</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5</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4</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5</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V18</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3</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V19</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V20</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V21</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V22</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V23</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6</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3</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6</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V24</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5</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6</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6</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V25</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V26</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6</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6</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6</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V27</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6</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V28</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5</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6</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5</w:t>
            </w:r>
          </w:p>
        </w:tc>
      </w:tr>
      <w:tr w:rsidR="00451BF1" w:rsidRPr="00D546E8" w:rsidTr="00CA7E27">
        <w:tc>
          <w:tcPr>
            <w:tcW w:w="960"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V29</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6</w:t>
            </w:r>
          </w:p>
        </w:tc>
        <w:tc>
          <w:tcPr>
            <w:tcW w:w="96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6</w:t>
            </w:r>
          </w:p>
        </w:tc>
        <w:tc>
          <w:tcPr>
            <w:tcW w:w="960"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5</w:t>
            </w:r>
          </w:p>
        </w:tc>
      </w:tr>
      <w:tr w:rsidR="00451BF1" w:rsidRPr="00D546E8" w:rsidTr="00CA7E27">
        <w:tc>
          <w:tcPr>
            <w:tcW w:w="960" w:type="dxa"/>
            <w:tcBorders>
              <w:top w:val="nil"/>
              <w:left w:val="single" w:sz="4" w:space="0" w:color="auto"/>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V30</w:t>
            </w:r>
          </w:p>
        </w:tc>
        <w:tc>
          <w:tcPr>
            <w:tcW w:w="960" w:type="dxa"/>
            <w:tcBorders>
              <w:top w:val="nil"/>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4</w:t>
            </w:r>
          </w:p>
        </w:tc>
        <w:tc>
          <w:tcPr>
            <w:tcW w:w="960" w:type="dxa"/>
            <w:tcBorders>
              <w:top w:val="nil"/>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4</w:t>
            </w:r>
          </w:p>
        </w:tc>
        <w:tc>
          <w:tcPr>
            <w:tcW w:w="960" w:type="dxa"/>
            <w:tcBorders>
              <w:top w:val="nil"/>
              <w:left w:val="nil"/>
              <w:bottom w:val="single" w:sz="4" w:space="0" w:color="auto"/>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4</w:t>
            </w:r>
          </w:p>
        </w:tc>
      </w:tr>
      <w:tr w:rsidR="00451BF1" w:rsidRPr="00D546E8" w:rsidTr="00CA7E27">
        <w:tc>
          <w:tcPr>
            <w:tcW w:w="960" w:type="dxa"/>
            <w:tcBorders>
              <w:top w:val="nil"/>
              <w:left w:val="single" w:sz="4" w:space="0" w:color="auto"/>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es-ES_tradnl"/>
              </w:rPr>
            </w:pPr>
          </w:p>
        </w:tc>
        <w:tc>
          <w:tcPr>
            <w:tcW w:w="960" w:type="dxa"/>
            <w:tcBorders>
              <w:top w:val="nil"/>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es-ES_tradnl"/>
              </w:rPr>
            </w:pPr>
          </w:p>
        </w:tc>
        <w:tc>
          <w:tcPr>
            <w:tcW w:w="960" w:type="dxa"/>
            <w:tcBorders>
              <w:top w:val="nil"/>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es-ES_tradnl"/>
              </w:rPr>
            </w:pPr>
          </w:p>
        </w:tc>
        <w:tc>
          <w:tcPr>
            <w:tcW w:w="960" w:type="dxa"/>
            <w:tcBorders>
              <w:top w:val="nil"/>
              <w:left w:val="nil"/>
              <w:bottom w:val="single" w:sz="4" w:space="0" w:color="auto"/>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p>
        </w:tc>
      </w:tr>
    </w:tbl>
    <w:p w:rsidR="00451BF1" w:rsidRPr="00D546E8" w:rsidRDefault="00451BF1" w:rsidP="00CA7E27"/>
    <w:p w:rsidR="00451BF1" w:rsidRPr="00D546E8" w:rsidRDefault="00451BF1" w:rsidP="00CA7E27"/>
    <w:p w:rsidR="00451BF1" w:rsidRPr="00D546E8" w:rsidRDefault="00451BF1" w:rsidP="00CA7E27"/>
    <w:p w:rsidR="00451BF1" w:rsidRPr="00D546E8" w:rsidRDefault="00451BF1" w:rsidP="00CA7E27"/>
    <w:p w:rsidR="00451BF1" w:rsidRPr="00D546E8" w:rsidRDefault="00451BF1" w:rsidP="00CA7E27"/>
    <w:p w:rsidR="00451BF1" w:rsidRPr="00D546E8" w:rsidRDefault="00451BF1" w:rsidP="00CA7E27"/>
    <w:p w:rsidR="00451BF1" w:rsidRPr="00D546E8" w:rsidRDefault="00451BF1" w:rsidP="00CA7E27"/>
    <w:p w:rsidR="00451BF1" w:rsidRPr="00D546E8" w:rsidRDefault="00451BF1" w:rsidP="00CA7E27"/>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451BF1" w:rsidRPr="00D546E8" w:rsidTr="00CA7E27">
        <w:trPr>
          <w:tblHeader/>
        </w:trPr>
        <w:tc>
          <w:tcPr>
            <w:tcW w:w="1134" w:type="dxa"/>
            <w:tcBorders>
              <w:top w:val="single" w:sz="4" w:space="0" w:color="auto"/>
              <w:left w:val="single" w:sz="4" w:space="0" w:color="auto"/>
              <w:bottom w:val="single" w:sz="4" w:space="0" w:color="auto"/>
              <w:right w:val="nil"/>
            </w:tcBorders>
            <w:noWrap/>
            <w:vAlign w:val="bottom"/>
          </w:tcPr>
          <w:p w:rsidR="00451BF1" w:rsidRPr="00D546E8" w:rsidRDefault="00451BF1" w:rsidP="00CA7E27">
            <w:pPr>
              <w:rPr>
                <w:rFonts w:ascii="Calibri" w:hAnsi="Calibri" w:cs="Calibri"/>
                <w:sz w:val="18"/>
                <w:szCs w:val="18"/>
                <w:lang w:val="es-ES_tradnl"/>
              </w:rPr>
            </w:pPr>
            <w:r w:rsidRPr="00D546E8">
              <w:rPr>
                <w:rFonts w:cs="Arial"/>
                <w:sz w:val="18"/>
                <w:szCs w:val="18"/>
                <w:lang w:val="es-ES_tradnl"/>
              </w:rPr>
              <w:lastRenderedPageBreak/>
              <w:t>Resultados por variedad</w:t>
            </w:r>
          </w:p>
        </w:tc>
        <w:tc>
          <w:tcPr>
            <w:tcW w:w="567" w:type="dxa"/>
            <w:tcBorders>
              <w:top w:val="single" w:sz="4" w:space="0" w:color="auto"/>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567" w:type="dxa"/>
            <w:tcBorders>
              <w:top w:val="single" w:sz="4" w:space="0" w:color="auto"/>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567" w:type="dxa"/>
            <w:tcBorders>
              <w:top w:val="single" w:sz="4" w:space="0" w:color="auto"/>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3</w:t>
            </w:r>
          </w:p>
        </w:tc>
        <w:tc>
          <w:tcPr>
            <w:tcW w:w="567" w:type="dxa"/>
            <w:tcBorders>
              <w:top w:val="single" w:sz="4" w:space="0" w:color="auto"/>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4</w:t>
            </w:r>
          </w:p>
        </w:tc>
        <w:tc>
          <w:tcPr>
            <w:tcW w:w="567" w:type="dxa"/>
            <w:tcBorders>
              <w:top w:val="single" w:sz="4" w:space="0" w:color="auto"/>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5</w:t>
            </w:r>
          </w:p>
        </w:tc>
        <w:tc>
          <w:tcPr>
            <w:tcW w:w="567" w:type="dxa"/>
            <w:tcBorders>
              <w:top w:val="single" w:sz="4" w:space="0" w:color="auto"/>
              <w:left w:val="nil"/>
              <w:bottom w:val="single" w:sz="4" w:space="0" w:color="auto"/>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6</w:t>
            </w:r>
          </w:p>
        </w:tc>
      </w:tr>
      <w:tr w:rsidR="00451BF1" w:rsidRPr="00D546E8" w:rsidTr="00CA7E27">
        <w:tc>
          <w:tcPr>
            <w:tcW w:w="1134" w:type="dxa"/>
            <w:tcBorders>
              <w:top w:val="single" w:sz="4" w:space="0" w:color="auto"/>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V1</w:t>
            </w:r>
          </w:p>
        </w:tc>
        <w:tc>
          <w:tcPr>
            <w:tcW w:w="567" w:type="dxa"/>
            <w:tcBorders>
              <w:top w:val="single" w:sz="4" w:space="0" w:color="auto"/>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3</w:t>
            </w:r>
          </w:p>
        </w:tc>
        <w:tc>
          <w:tcPr>
            <w:tcW w:w="567" w:type="dxa"/>
            <w:tcBorders>
              <w:top w:val="single" w:sz="4" w:space="0" w:color="auto"/>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single" w:sz="4" w:space="0" w:color="auto"/>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single" w:sz="4" w:space="0" w:color="auto"/>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single" w:sz="4" w:space="0" w:color="auto"/>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single" w:sz="4" w:space="0" w:color="auto"/>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V2</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V3</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3</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V4</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V5</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V6</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V7</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3</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V8</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V9</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V10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V11</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V12</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V13</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V14</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V15</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V16</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V17</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V18</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V19</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3</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V20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3</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V21</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V22</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3</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V23</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V24</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V25</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V26</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3</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V27</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V28</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r>
      <w:tr w:rsidR="00451BF1" w:rsidRPr="00D546E8" w:rsidTr="00CA7E27">
        <w:tc>
          <w:tcPr>
            <w:tcW w:w="1134" w:type="dxa"/>
            <w:tcBorders>
              <w:top w:val="nil"/>
              <w:left w:val="single" w:sz="4" w:space="0" w:color="auto"/>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V29</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1</w:t>
            </w:r>
          </w:p>
        </w:tc>
        <w:tc>
          <w:tcPr>
            <w:tcW w:w="567" w:type="dxa"/>
            <w:tcBorders>
              <w:top w:val="nil"/>
              <w:left w:val="nil"/>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2</w:t>
            </w:r>
          </w:p>
        </w:tc>
      </w:tr>
      <w:tr w:rsidR="00451BF1" w:rsidRPr="00D546E8" w:rsidTr="00CA7E27">
        <w:tc>
          <w:tcPr>
            <w:tcW w:w="1134" w:type="dxa"/>
            <w:tcBorders>
              <w:top w:val="nil"/>
              <w:left w:val="single" w:sz="4" w:space="0" w:color="auto"/>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V30</w:t>
            </w:r>
          </w:p>
        </w:tc>
        <w:tc>
          <w:tcPr>
            <w:tcW w:w="567" w:type="dxa"/>
            <w:tcBorders>
              <w:top w:val="nil"/>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3</w:t>
            </w:r>
          </w:p>
        </w:tc>
        <w:tc>
          <w:tcPr>
            <w:tcW w:w="567" w:type="dxa"/>
            <w:tcBorders>
              <w:top w:val="nil"/>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c>
          <w:tcPr>
            <w:tcW w:w="567" w:type="dxa"/>
            <w:tcBorders>
              <w:top w:val="nil"/>
              <w:left w:val="nil"/>
              <w:bottom w:val="single" w:sz="4" w:space="0" w:color="auto"/>
              <w:right w:val="single" w:sz="4" w:space="0" w:color="auto"/>
            </w:tcBorders>
            <w:noWrap/>
            <w:vAlign w:val="bottom"/>
          </w:tcPr>
          <w:p w:rsidR="00451BF1" w:rsidRPr="00D546E8" w:rsidRDefault="00451BF1" w:rsidP="00CA7E27">
            <w:pPr>
              <w:jc w:val="right"/>
              <w:rPr>
                <w:rFonts w:ascii="Calibri" w:hAnsi="Calibri" w:cs="Calibri"/>
                <w:sz w:val="18"/>
                <w:szCs w:val="18"/>
                <w:lang w:val="es-ES_tradnl"/>
              </w:rPr>
            </w:pPr>
            <w:r w:rsidRPr="00D546E8">
              <w:rPr>
                <w:rFonts w:ascii="Calibri" w:hAnsi="Calibri" w:cs="Calibri"/>
                <w:sz w:val="18"/>
                <w:szCs w:val="18"/>
                <w:lang w:val="es-ES_tradnl"/>
              </w:rPr>
              <w:t>0</w:t>
            </w:r>
          </w:p>
        </w:tc>
      </w:tr>
    </w:tbl>
    <w:p w:rsidR="00451BF1" w:rsidRPr="00D546E8" w:rsidRDefault="00451BF1" w:rsidP="00CA7E27">
      <w:pPr>
        <w:keepNext/>
        <w:spacing w:before="120" w:after="120"/>
        <w:rPr>
          <w:rFonts w:cs="Arial"/>
        </w:rPr>
        <w:sectPr w:rsidR="00451BF1" w:rsidRPr="00D546E8" w:rsidSect="00CA7E27">
          <w:headerReference w:type="default" r:id="rId12"/>
          <w:type w:val="continuous"/>
          <w:pgSz w:w="11907" w:h="16840" w:code="9"/>
          <w:pgMar w:top="510" w:right="1134" w:bottom="1134" w:left="1134" w:header="510" w:footer="680" w:gutter="0"/>
          <w:cols w:num="2" w:space="720"/>
          <w:titlePg/>
        </w:sectPr>
      </w:pPr>
    </w:p>
    <w:p w:rsidR="00451BF1" w:rsidRPr="00F06F90" w:rsidRDefault="00451BF1" w:rsidP="006F2215">
      <w:pPr>
        <w:keepNext/>
        <w:spacing w:before="120" w:after="120"/>
        <w:rPr>
          <w:rFonts w:cs="Arial"/>
          <w:lang w:val="es-ES"/>
        </w:rPr>
      </w:pPr>
      <w:r w:rsidRPr="00D546E8">
        <w:rPr>
          <w:rFonts w:cs="Arial"/>
          <w:lang w:val="es-ES_tradnl"/>
        </w:rPr>
        <w:lastRenderedPageBreak/>
        <w:t>El cuadro de contingencia para los observadores 1 y 2 es: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451BF1" w:rsidRPr="00D546E8" w:rsidTr="00CA7E27">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O1\O2</w:t>
            </w:r>
          </w:p>
        </w:tc>
        <w:tc>
          <w:tcPr>
            <w:tcW w:w="720" w:type="dxa"/>
            <w:tcBorders>
              <w:top w:val="single" w:sz="4" w:space="0" w:color="auto"/>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1</w:t>
            </w:r>
          </w:p>
        </w:tc>
        <w:tc>
          <w:tcPr>
            <w:tcW w:w="700" w:type="dxa"/>
            <w:tcBorders>
              <w:top w:val="single" w:sz="4" w:space="0" w:color="auto"/>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2</w:t>
            </w:r>
          </w:p>
        </w:tc>
        <w:tc>
          <w:tcPr>
            <w:tcW w:w="640" w:type="dxa"/>
            <w:tcBorders>
              <w:top w:val="single" w:sz="4" w:space="0" w:color="auto"/>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3</w:t>
            </w:r>
          </w:p>
        </w:tc>
        <w:tc>
          <w:tcPr>
            <w:tcW w:w="680" w:type="dxa"/>
            <w:tcBorders>
              <w:top w:val="single" w:sz="4" w:space="0" w:color="auto"/>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4</w:t>
            </w:r>
          </w:p>
        </w:tc>
        <w:tc>
          <w:tcPr>
            <w:tcW w:w="680" w:type="dxa"/>
            <w:tcBorders>
              <w:top w:val="single" w:sz="4" w:space="0" w:color="auto"/>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5</w:t>
            </w:r>
          </w:p>
        </w:tc>
        <w:tc>
          <w:tcPr>
            <w:tcW w:w="673" w:type="dxa"/>
            <w:tcBorders>
              <w:top w:val="single" w:sz="4" w:space="0" w:color="auto"/>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6</w:t>
            </w:r>
          </w:p>
        </w:tc>
        <w:tc>
          <w:tcPr>
            <w:tcW w:w="709" w:type="dxa"/>
            <w:tcBorders>
              <w:top w:val="single" w:sz="4" w:space="0" w:color="auto"/>
              <w:left w:val="nil"/>
              <w:bottom w:val="single" w:sz="4" w:space="0" w:color="auto"/>
              <w:right w:val="single" w:sz="4" w:space="0" w:color="auto"/>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Total</w:t>
            </w:r>
          </w:p>
        </w:tc>
      </w:tr>
      <w:tr w:rsidR="00451BF1" w:rsidRPr="00D546E8" w:rsidTr="00CA7E27">
        <w:trPr>
          <w:trHeight w:val="300"/>
        </w:trPr>
        <w:tc>
          <w:tcPr>
            <w:tcW w:w="740" w:type="dxa"/>
            <w:tcBorders>
              <w:top w:val="nil"/>
              <w:left w:val="single" w:sz="4" w:space="0" w:color="auto"/>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1</w:t>
            </w:r>
          </w:p>
        </w:tc>
        <w:tc>
          <w:tcPr>
            <w:tcW w:w="72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3</w:t>
            </w:r>
          </w:p>
        </w:tc>
        <w:tc>
          <w:tcPr>
            <w:tcW w:w="70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64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68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68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673"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709" w:type="dxa"/>
            <w:tcBorders>
              <w:top w:val="nil"/>
              <w:left w:val="single" w:sz="4" w:space="0" w:color="auto"/>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3</w:t>
            </w:r>
          </w:p>
        </w:tc>
      </w:tr>
      <w:tr w:rsidR="00451BF1" w:rsidRPr="00D546E8" w:rsidTr="00CA7E27">
        <w:trPr>
          <w:trHeight w:val="300"/>
        </w:trPr>
        <w:tc>
          <w:tcPr>
            <w:tcW w:w="740" w:type="dxa"/>
            <w:tcBorders>
              <w:top w:val="nil"/>
              <w:left w:val="single" w:sz="4" w:space="0" w:color="auto"/>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2</w:t>
            </w:r>
          </w:p>
        </w:tc>
        <w:tc>
          <w:tcPr>
            <w:tcW w:w="72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10</w:t>
            </w:r>
          </w:p>
        </w:tc>
        <w:tc>
          <w:tcPr>
            <w:tcW w:w="70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5</w:t>
            </w:r>
          </w:p>
        </w:tc>
        <w:tc>
          <w:tcPr>
            <w:tcW w:w="64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68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1</w:t>
            </w:r>
          </w:p>
        </w:tc>
        <w:tc>
          <w:tcPr>
            <w:tcW w:w="68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673"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1</w:t>
            </w:r>
          </w:p>
        </w:tc>
        <w:tc>
          <w:tcPr>
            <w:tcW w:w="709" w:type="dxa"/>
            <w:tcBorders>
              <w:top w:val="nil"/>
              <w:left w:val="single" w:sz="4" w:space="0" w:color="auto"/>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17</w:t>
            </w:r>
          </w:p>
        </w:tc>
      </w:tr>
      <w:tr w:rsidR="00451BF1" w:rsidRPr="00D546E8" w:rsidTr="00CA7E27">
        <w:trPr>
          <w:trHeight w:val="300"/>
        </w:trPr>
        <w:tc>
          <w:tcPr>
            <w:tcW w:w="740" w:type="dxa"/>
            <w:tcBorders>
              <w:top w:val="nil"/>
              <w:left w:val="single" w:sz="4" w:space="0" w:color="auto"/>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3</w:t>
            </w:r>
          </w:p>
        </w:tc>
        <w:tc>
          <w:tcPr>
            <w:tcW w:w="72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2</w:t>
            </w:r>
          </w:p>
        </w:tc>
        <w:tc>
          <w:tcPr>
            <w:tcW w:w="70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1</w:t>
            </w:r>
          </w:p>
        </w:tc>
        <w:tc>
          <w:tcPr>
            <w:tcW w:w="64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68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68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673"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709" w:type="dxa"/>
            <w:tcBorders>
              <w:top w:val="nil"/>
              <w:left w:val="single" w:sz="4" w:space="0" w:color="auto"/>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3</w:t>
            </w:r>
          </w:p>
        </w:tc>
      </w:tr>
      <w:tr w:rsidR="00451BF1" w:rsidRPr="00D546E8" w:rsidTr="00CA7E27">
        <w:trPr>
          <w:trHeight w:val="300"/>
        </w:trPr>
        <w:tc>
          <w:tcPr>
            <w:tcW w:w="740" w:type="dxa"/>
            <w:tcBorders>
              <w:top w:val="nil"/>
              <w:left w:val="single" w:sz="4" w:space="0" w:color="auto"/>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4</w:t>
            </w:r>
          </w:p>
        </w:tc>
        <w:tc>
          <w:tcPr>
            <w:tcW w:w="72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70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64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68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1</w:t>
            </w:r>
          </w:p>
        </w:tc>
        <w:tc>
          <w:tcPr>
            <w:tcW w:w="68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673"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709" w:type="dxa"/>
            <w:tcBorders>
              <w:top w:val="nil"/>
              <w:left w:val="single" w:sz="4" w:space="0" w:color="auto"/>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1</w:t>
            </w:r>
          </w:p>
        </w:tc>
      </w:tr>
      <w:tr w:rsidR="00451BF1" w:rsidRPr="00D546E8" w:rsidTr="00CA7E27">
        <w:trPr>
          <w:trHeight w:val="300"/>
        </w:trPr>
        <w:tc>
          <w:tcPr>
            <w:tcW w:w="740" w:type="dxa"/>
            <w:tcBorders>
              <w:top w:val="nil"/>
              <w:left w:val="single" w:sz="4" w:space="0" w:color="auto"/>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5</w:t>
            </w:r>
          </w:p>
        </w:tc>
        <w:tc>
          <w:tcPr>
            <w:tcW w:w="72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70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64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68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1</w:t>
            </w:r>
          </w:p>
        </w:tc>
        <w:tc>
          <w:tcPr>
            <w:tcW w:w="68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673"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2</w:t>
            </w:r>
          </w:p>
        </w:tc>
        <w:tc>
          <w:tcPr>
            <w:tcW w:w="709" w:type="dxa"/>
            <w:tcBorders>
              <w:top w:val="nil"/>
              <w:left w:val="single" w:sz="4" w:space="0" w:color="auto"/>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3</w:t>
            </w:r>
          </w:p>
        </w:tc>
      </w:tr>
      <w:tr w:rsidR="00451BF1" w:rsidRPr="00D546E8" w:rsidTr="00CA7E27">
        <w:trPr>
          <w:trHeight w:val="300"/>
        </w:trPr>
        <w:tc>
          <w:tcPr>
            <w:tcW w:w="740" w:type="dxa"/>
            <w:tcBorders>
              <w:top w:val="nil"/>
              <w:left w:val="single" w:sz="4" w:space="0" w:color="auto"/>
              <w:bottom w:val="nil"/>
              <w:right w:val="single" w:sz="4" w:space="0" w:color="auto"/>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6</w:t>
            </w:r>
          </w:p>
        </w:tc>
        <w:tc>
          <w:tcPr>
            <w:tcW w:w="72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70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64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1</w:t>
            </w:r>
          </w:p>
        </w:tc>
        <w:tc>
          <w:tcPr>
            <w:tcW w:w="68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680"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673" w:type="dxa"/>
            <w:tcBorders>
              <w:top w:val="nil"/>
              <w:left w:val="nil"/>
              <w:bottom w:val="nil"/>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2</w:t>
            </w:r>
          </w:p>
        </w:tc>
        <w:tc>
          <w:tcPr>
            <w:tcW w:w="709" w:type="dxa"/>
            <w:tcBorders>
              <w:top w:val="nil"/>
              <w:left w:val="single" w:sz="4" w:space="0" w:color="auto"/>
              <w:bottom w:val="single" w:sz="4" w:space="0" w:color="auto"/>
              <w:right w:val="single" w:sz="4" w:space="0" w:color="auto"/>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3</w:t>
            </w:r>
          </w:p>
        </w:tc>
      </w:tr>
      <w:tr w:rsidR="00451BF1" w:rsidRPr="00D546E8" w:rsidTr="00CA7E27">
        <w:trPr>
          <w:trHeight w:val="300"/>
        </w:trPr>
        <w:tc>
          <w:tcPr>
            <w:tcW w:w="740" w:type="dxa"/>
            <w:tcBorders>
              <w:top w:val="nil"/>
              <w:left w:val="single" w:sz="4" w:space="0" w:color="auto"/>
              <w:bottom w:val="single" w:sz="4" w:space="0" w:color="auto"/>
              <w:right w:val="single" w:sz="4" w:space="0" w:color="auto"/>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Total</w:t>
            </w:r>
          </w:p>
        </w:tc>
        <w:tc>
          <w:tcPr>
            <w:tcW w:w="720" w:type="dxa"/>
            <w:tcBorders>
              <w:top w:val="single" w:sz="4" w:space="0" w:color="auto"/>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15</w:t>
            </w:r>
          </w:p>
        </w:tc>
        <w:tc>
          <w:tcPr>
            <w:tcW w:w="700" w:type="dxa"/>
            <w:tcBorders>
              <w:top w:val="single" w:sz="4" w:space="0" w:color="auto"/>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6</w:t>
            </w:r>
          </w:p>
        </w:tc>
        <w:tc>
          <w:tcPr>
            <w:tcW w:w="640" w:type="dxa"/>
            <w:tcBorders>
              <w:top w:val="single" w:sz="4" w:space="0" w:color="auto"/>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1</w:t>
            </w:r>
          </w:p>
        </w:tc>
        <w:tc>
          <w:tcPr>
            <w:tcW w:w="680" w:type="dxa"/>
            <w:tcBorders>
              <w:top w:val="single" w:sz="4" w:space="0" w:color="auto"/>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3</w:t>
            </w:r>
          </w:p>
        </w:tc>
        <w:tc>
          <w:tcPr>
            <w:tcW w:w="680" w:type="dxa"/>
            <w:tcBorders>
              <w:top w:val="single" w:sz="4" w:space="0" w:color="auto"/>
              <w:left w:val="nil"/>
              <w:bottom w:val="single" w:sz="4" w:space="0" w:color="auto"/>
              <w:right w:val="nil"/>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0</w:t>
            </w:r>
          </w:p>
        </w:tc>
        <w:tc>
          <w:tcPr>
            <w:tcW w:w="673" w:type="dxa"/>
            <w:tcBorders>
              <w:top w:val="single" w:sz="4" w:space="0" w:color="auto"/>
              <w:left w:val="nil"/>
              <w:bottom w:val="single" w:sz="4" w:space="0" w:color="auto"/>
              <w:right w:val="single" w:sz="4" w:space="0" w:color="auto"/>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5</w:t>
            </w:r>
          </w:p>
        </w:tc>
        <w:tc>
          <w:tcPr>
            <w:tcW w:w="709" w:type="dxa"/>
            <w:tcBorders>
              <w:top w:val="nil"/>
              <w:left w:val="nil"/>
              <w:bottom w:val="single" w:sz="4" w:space="0" w:color="auto"/>
              <w:right w:val="single" w:sz="4" w:space="0" w:color="auto"/>
            </w:tcBorders>
            <w:noWrap/>
            <w:vAlign w:val="bottom"/>
          </w:tcPr>
          <w:p w:rsidR="00451BF1" w:rsidRPr="00D546E8" w:rsidRDefault="00451BF1" w:rsidP="00CA7E27">
            <w:pPr>
              <w:jc w:val="right"/>
              <w:rPr>
                <w:rFonts w:ascii="Calibri" w:hAnsi="Calibri" w:cs="Calibri"/>
                <w:sz w:val="18"/>
                <w:szCs w:val="18"/>
                <w:lang w:val="nl-NL"/>
              </w:rPr>
            </w:pPr>
            <w:r w:rsidRPr="00D546E8">
              <w:rPr>
                <w:rFonts w:ascii="Calibri" w:hAnsi="Calibri" w:cs="Calibri"/>
                <w:sz w:val="18"/>
                <w:szCs w:val="18"/>
                <w:lang w:val="nl-NL"/>
              </w:rPr>
              <w:t>30</w:t>
            </w:r>
          </w:p>
        </w:tc>
      </w:tr>
    </w:tbl>
    <w:p w:rsidR="00451BF1" w:rsidRPr="00F06F90" w:rsidRDefault="00451BF1" w:rsidP="006F2215">
      <w:pPr>
        <w:spacing w:before="120" w:after="120"/>
        <w:rPr>
          <w:rFonts w:cs="Arial"/>
          <w:lang w:val="es-ES"/>
        </w:rPr>
      </w:pPr>
      <w:r w:rsidRPr="00D546E8">
        <w:rPr>
          <w:rFonts w:cs="Arial"/>
          <w:lang w:val="es-ES_tradnl"/>
        </w:rPr>
        <w:t>El coeficiente kappa entre el observador 1 y el observador 2, κ(O1,O2), se calcula de la manera siguiente:</w:t>
      </w:r>
    </w:p>
    <w:p w:rsidR="00451BF1" w:rsidRPr="00F06F90" w:rsidRDefault="00451BF1" w:rsidP="006F2215">
      <w:pPr>
        <w:numPr>
          <w:ilvl w:val="0"/>
          <w:numId w:val="4"/>
        </w:numPr>
        <w:spacing w:before="120" w:after="120"/>
        <w:contextualSpacing/>
        <w:rPr>
          <w:rFonts w:cs="Arial"/>
          <w:lang w:val="es-ES"/>
        </w:rPr>
      </w:pPr>
      <w:r w:rsidRPr="00D546E8">
        <w:rPr>
          <w:rFonts w:cs="Arial"/>
          <w:lang w:val="es-ES_tradnl"/>
        </w:rPr>
        <w:t>κ(O1,O2) = P(concordancia entre O1 y O2) – P(e) / (1 – P(e)), siendo:</w:t>
      </w:r>
    </w:p>
    <w:p w:rsidR="00451BF1" w:rsidRPr="00D546E8" w:rsidRDefault="00451BF1" w:rsidP="006F2215">
      <w:pPr>
        <w:numPr>
          <w:ilvl w:val="0"/>
          <w:numId w:val="4"/>
        </w:numPr>
        <w:spacing w:before="120" w:after="120"/>
        <w:contextualSpacing/>
        <w:rPr>
          <w:rFonts w:cs="Arial"/>
        </w:rPr>
      </w:pPr>
      <w:r w:rsidRPr="00D546E8">
        <w:rPr>
          <w:rFonts w:cs="Arial"/>
          <w:lang w:val="es-ES_tradnl"/>
        </w:rPr>
        <w:t>P(concordancia) = (3+5+0+1+0+2)/30 = 11/30 ≈ 0,3667 (elementos diagonales)</w:t>
      </w:r>
    </w:p>
    <w:p w:rsidR="00451BF1" w:rsidRPr="00D546E8" w:rsidRDefault="00451BF1" w:rsidP="006F2215">
      <w:pPr>
        <w:numPr>
          <w:ilvl w:val="0"/>
          <w:numId w:val="4"/>
        </w:numPr>
        <w:spacing w:before="120" w:after="120"/>
        <w:contextualSpacing/>
        <w:rPr>
          <w:rFonts w:cs="Arial"/>
          <w:lang w:val="pt-BR"/>
        </w:rPr>
      </w:pPr>
      <w:r w:rsidRPr="00D546E8">
        <w:rPr>
          <w:rFonts w:cs="Arial"/>
          <w:lang w:val="es-ES_tradnl"/>
        </w:rPr>
        <w:t>P(e) = (3/30).(15/30) + (17/30).(6/30) + (3/30).(1/30) + (1/30).(3/30) + (3/30).(0/30) + (3/30).(5/30)</w:t>
      </w:r>
      <w:r>
        <w:rPr>
          <w:rFonts w:cs="Arial"/>
          <w:lang w:val="es-ES_tradnl"/>
        </w:rPr>
        <w:t xml:space="preserve"> </w:t>
      </w:r>
      <w:r w:rsidRPr="00D546E8">
        <w:rPr>
          <w:rFonts w:cs="Arial"/>
          <w:lang w:val="es-ES_tradnl"/>
        </w:rPr>
        <w:t>≈</w:t>
      </w:r>
      <w:r>
        <w:rPr>
          <w:rFonts w:cs="Arial"/>
          <w:lang w:val="es-ES_tradnl"/>
        </w:rPr>
        <w:t xml:space="preserve"> </w:t>
      </w:r>
      <w:r w:rsidRPr="00D546E8">
        <w:rPr>
          <w:rFonts w:cs="Arial"/>
          <w:lang w:val="es-ES_tradnl"/>
        </w:rPr>
        <w:t>0.1867 (márgenes por pares)</w:t>
      </w:r>
    </w:p>
    <w:p w:rsidR="00451BF1" w:rsidRPr="00F06F90" w:rsidRDefault="00451BF1" w:rsidP="006F2215">
      <w:pPr>
        <w:numPr>
          <w:ilvl w:val="0"/>
          <w:numId w:val="4"/>
        </w:numPr>
        <w:spacing w:before="120" w:after="120"/>
        <w:contextualSpacing/>
        <w:rPr>
          <w:rFonts w:cs="Arial"/>
          <w:lang w:val="es-ES"/>
        </w:rPr>
      </w:pPr>
      <w:r w:rsidRPr="00D546E8">
        <w:rPr>
          <w:rFonts w:cs="Arial"/>
          <w:lang w:val="es-ES_tradnl"/>
        </w:rPr>
        <w:t>Es decir que:  κ(O1,O2) ≈ (0.3667-0.1867) / (1-0.1867) ≈ 0,22</w:t>
      </w:r>
    </w:p>
    <w:p w:rsidR="00451BF1" w:rsidRPr="00F06F90" w:rsidRDefault="00451BF1" w:rsidP="006F2215">
      <w:pPr>
        <w:spacing w:before="120" w:after="120"/>
        <w:rPr>
          <w:rFonts w:cs="Arial"/>
          <w:lang w:val="es-ES"/>
        </w:rPr>
      </w:pPr>
      <w:r w:rsidRPr="00D546E8">
        <w:rPr>
          <w:rFonts w:cs="Arial"/>
          <w:lang w:val="es-ES_tradnl"/>
        </w:rPr>
        <w:t>Se trata de un valor bajo, que indica una concordancia muy leve entre esos dos observadores;</w:t>
      </w:r>
      <w:r w:rsidRPr="00F06F90">
        <w:rPr>
          <w:rFonts w:cs="Arial"/>
          <w:lang w:val="es-ES"/>
        </w:rPr>
        <w:t xml:space="preserve">  </w:t>
      </w:r>
      <w:r w:rsidRPr="00D546E8">
        <w:rPr>
          <w:rFonts w:cs="Arial"/>
          <w:lang w:val="es-ES_tradnl"/>
        </w:rPr>
        <w:t>en ese caso la situación sería preocupante y cabría tomar medidas para mejorar la concordancia.</w:t>
      </w:r>
      <w:r w:rsidRPr="00F06F90">
        <w:rPr>
          <w:rFonts w:cs="Arial"/>
          <w:lang w:val="es-ES"/>
        </w:rPr>
        <w:t xml:space="preserve">  </w:t>
      </w:r>
      <w:r w:rsidRPr="00D546E8">
        <w:rPr>
          <w:rFonts w:cs="Arial"/>
          <w:lang w:val="es-ES_tradnl"/>
        </w:rPr>
        <w:t>De manera similar, pueden calcularse los valores para otros pares:</w:t>
      </w:r>
      <w:r w:rsidRPr="00F06F90">
        <w:rPr>
          <w:rFonts w:cs="Arial"/>
          <w:lang w:val="es-ES"/>
        </w:rPr>
        <w:t xml:space="preserve">  </w:t>
      </w:r>
      <w:r w:rsidRPr="00D546E8">
        <w:rPr>
          <w:rFonts w:cs="Arial"/>
          <w:lang w:val="es-ES_tradnl"/>
        </w:rPr>
        <w:t>κ(O1,O3) ≈ 0.72, κ(O2,O3) ≈ 0.22.</w:t>
      </w:r>
      <w:r w:rsidRPr="00F06F90">
        <w:rPr>
          <w:rFonts w:cs="Arial"/>
          <w:lang w:val="es-ES"/>
        </w:rPr>
        <w:t xml:space="preserve">  </w:t>
      </w:r>
      <w:r w:rsidRPr="00D546E8">
        <w:rPr>
          <w:rFonts w:cs="Arial"/>
          <w:lang w:val="es-ES_tradnl"/>
        </w:rPr>
        <w:t>Se constata una buena concordancia entre el observador 1 y el observador 3.</w:t>
      </w:r>
      <w:r w:rsidRPr="00F06F90">
        <w:rPr>
          <w:rFonts w:cs="Arial"/>
          <w:lang w:val="es-ES"/>
        </w:rPr>
        <w:t xml:space="preserve">  </w:t>
      </w:r>
      <w:r w:rsidRPr="00D546E8">
        <w:rPr>
          <w:rFonts w:cs="Arial"/>
          <w:lang w:val="es-ES_tradnl"/>
        </w:rPr>
        <w:t>El observador 2 presenta una clara diferencia respecto del observador 1 y el observador 3 y es preciso investigar los motivos de tal desviación (debe considerarse, por ejemplo, si necesita capacitación adicional).</w:t>
      </w:r>
    </w:p>
    <w:p w:rsidR="00451BF1" w:rsidRPr="00F06F90" w:rsidRDefault="00451BF1" w:rsidP="00CA7E27">
      <w:pPr>
        <w:spacing w:before="120" w:after="120"/>
        <w:rPr>
          <w:rFonts w:cs="Arial"/>
          <w:u w:val="single"/>
          <w:lang w:val="es-ES"/>
        </w:rPr>
      </w:pPr>
    </w:p>
    <w:p w:rsidR="00451BF1" w:rsidRPr="00D546E8" w:rsidRDefault="00451BF1" w:rsidP="00CA7E27">
      <w:pPr>
        <w:spacing w:before="120" w:after="120"/>
        <w:rPr>
          <w:rFonts w:cs="Arial"/>
          <w:u w:val="single"/>
        </w:rPr>
      </w:pPr>
      <w:r w:rsidRPr="00D546E8">
        <w:rPr>
          <w:rFonts w:cs="Arial"/>
          <w:u w:val="single"/>
        </w:rPr>
        <w:t xml:space="preserve">8. </w:t>
      </w:r>
      <w:r w:rsidRPr="00F06F90">
        <w:rPr>
          <w:rFonts w:cs="Arial"/>
          <w:u w:val="single"/>
        </w:rPr>
        <w:t>Referencias</w:t>
      </w:r>
    </w:p>
    <w:p w:rsidR="00451BF1" w:rsidRPr="00D546E8" w:rsidRDefault="00451BF1" w:rsidP="00CA7E27">
      <w:pPr>
        <w:spacing w:before="120" w:after="120"/>
        <w:rPr>
          <w:rFonts w:cs="Arial"/>
          <w:noProof/>
        </w:rPr>
      </w:pPr>
      <w:r w:rsidRPr="00D6027D">
        <w:rPr>
          <w:rFonts w:cs="Arial"/>
          <w:b/>
          <w:bCs/>
          <w:noProof/>
        </w:rPr>
        <w:t>Cohen, J.</w:t>
      </w:r>
      <w:r w:rsidRPr="00D546E8">
        <w:rPr>
          <w:rFonts w:cs="Arial"/>
          <w:bCs/>
          <w:noProof/>
        </w:rPr>
        <w:t xml:space="preserve"> (1960) “</w:t>
      </w:r>
      <w:r w:rsidRPr="00D546E8">
        <w:rPr>
          <w:rFonts w:cs="Arial"/>
          <w:noProof/>
        </w:rPr>
        <w:t xml:space="preserve">A coefficient of agreement for nominal scales”.  </w:t>
      </w:r>
      <w:r w:rsidRPr="00D546E8">
        <w:rPr>
          <w:rFonts w:cs="Arial"/>
          <w:i/>
          <w:iCs/>
          <w:noProof/>
        </w:rPr>
        <w:t>Educational and Psychological Measurement </w:t>
      </w:r>
      <w:r w:rsidRPr="00D546E8">
        <w:rPr>
          <w:rFonts w:cs="Arial"/>
          <w:bCs/>
          <w:noProof/>
        </w:rPr>
        <w:t>20:  </w:t>
      </w:r>
      <w:r w:rsidRPr="00D546E8">
        <w:rPr>
          <w:rFonts w:cs="Arial"/>
          <w:noProof/>
        </w:rPr>
        <w:t>37-46.</w:t>
      </w:r>
    </w:p>
    <w:p w:rsidR="00451BF1" w:rsidRPr="00D546E8" w:rsidRDefault="00451BF1" w:rsidP="00CA7E27">
      <w:pPr>
        <w:spacing w:before="120" w:after="120"/>
        <w:rPr>
          <w:rFonts w:cs="Arial"/>
          <w:noProof/>
        </w:rPr>
      </w:pPr>
      <w:r w:rsidRPr="00D6027D">
        <w:rPr>
          <w:rFonts w:cs="Arial"/>
          <w:b/>
          <w:bCs/>
          <w:noProof/>
        </w:rPr>
        <w:t>Cohen, J.</w:t>
      </w:r>
      <w:r w:rsidRPr="00D546E8">
        <w:rPr>
          <w:rFonts w:cs="Arial"/>
          <w:bCs/>
          <w:noProof/>
        </w:rPr>
        <w:t xml:space="preserve"> (1968) “</w:t>
      </w:r>
      <w:r w:rsidRPr="00D546E8">
        <w:rPr>
          <w:rFonts w:cs="Arial"/>
          <w:noProof/>
        </w:rPr>
        <w:t xml:space="preserve">Weighted kappa:  Nominal scale agreement provision for scaled disagreement or partial credit”.  </w:t>
      </w:r>
      <w:r w:rsidRPr="00D546E8">
        <w:rPr>
          <w:rFonts w:cs="Arial"/>
          <w:i/>
          <w:noProof/>
        </w:rPr>
        <w:t>Psychological Bulletin</w:t>
      </w:r>
      <w:r w:rsidRPr="00D546E8">
        <w:rPr>
          <w:rFonts w:cs="Arial"/>
          <w:noProof/>
        </w:rPr>
        <w:t>, 70(4):  213-220.</w:t>
      </w:r>
    </w:p>
    <w:p w:rsidR="00451BF1" w:rsidRPr="00D546E8" w:rsidRDefault="00451BF1" w:rsidP="00CA7E27">
      <w:pPr>
        <w:spacing w:before="120" w:after="120"/>
        <w:rPr>
          <w:rFonts w:cs="Arial"/>
          <w:noProof/>
        </w:rPr>
      </w:pPr>
      <w:r w:rsidRPr="00D6027D">
        <w:rPr>
          <w:rFonts w:cs="Arial"/>
          <w:b/>
          <w:bCs/>
          <w:noProof/>
        </w:rPr>
        <w:t>Bland, J. M. Altman D. G.</w:t>
      </w:r>
      <w:r w:rsidRPr="00D546E8">
        <w:rPr>
          <w:rFonts w:cs="Arial"/>
          <w:bCs/>
          <w:noProof/>
        </w:rPr>
        <w:t xml:space="preserve"> (1986) “</w:t>
      </w:r>
      <w:r w:rsidRPr="00D546E8">
        <w:rPr>
          <w:rFonts w:cs="Arial"/>
          <w:noProof/>
        </w:rPr>
        <w:t xml:space="preserve">Statistical methods for assessing agreement between two methods of clinical measurement”, </w:t>
      </w:r>
      <w:r w:rsidRPr="00D546E8">
        <w:rPr>
          <w:rFonts w:cs="Arial"/>
          <w:i/>
          <w:iCs/>
          <w:noProof/>
        </w:rPr>
        <w:t>Lancet:</w:t>
      </w:r>
      <w:r w:rsidRPr="00D546E8">
        <w:rPr>
          <w:rFonts w:cs="Arial"/>
          <w:noProof/>
        </w:rPr>
        <w:t xml:space="preserve"> </w:t>
      </w:r>
      <w:r w:rsidRPr="00D546E8">
        <w:rPr>
          <w:rFonts w:cs="Arial"/>
          <w:i/>
          <w:iCs/>
          <w:noProof/>
        </w:rPr>
        <w:t> </w:t>
      </w:r>
      <w:r w:rsidRPr="00D546E8">
        <w:rPr>
          <w:rFonts w:cs="Arial"/>
          <w:noProof/>
        </w:rPr>
        <w:t>307–310.</w:t>
      </w:r>
    </w:p>
    <w:p w:rsidR="00451BF1" w:rsidRPr="00F06F90" w:rsidRDefault="008C3920" w:rsidP="00A4736A">
      <w:pPr>
        <w:spacing w:before="120" w:after="120"/>
        <w:rPr>
          <w:lang w:val="es-ES"/>
        </w:rPr>
      </w:pPr>
      <w:hyperlink r:id="rId13" w:history="1">
        <w:r w:rsidR="00D6027D" w:rsidRPr="000459AC">
          <w:rPr>
            <w:rStyle w:val="Hyperlink"/>
            <w:lang w:val="es-ES"/>
          </w:rPr>
          <w:t>http://www.seedtest.org/en/stats-tool-box-_content---1--1143.html</w:t>
        </w:r>
      </w:hyperlink>
      <w:r w:rsidR="00D6027D" w:rsidRPr="00D6027D">
        <w:rPr>
          <w:lang w:val="es-ES"/>
        </w:rPr>
        <w:t xml:space="preserve"> </w:t>
      </w:r>
      <w:r w:rsidR="00451BF1" w:rsidRPr="00D546E8">
        <w:rPr>
          <w:lang w:val="es-ES_tradnl"/>
        </w:rPr>
        <w:t>(programas informáticos basados en la norma ISO 5725-2)</w:t>
      </w:r>
    </w:p>
    <w:p w:rsidR="00451BF1" w:rsidRPr="00F06F90" w:rsidRDefault="00451BF1" w:rsidP="00CA7E27">
      <w:pPr>
        <w:spacing w:before="120" w:after="120"/>
        <w:rPr>
          <w:lang w:val="es-ES"/>
        </w:rPr>
      </w:pPr>
    </w:p>
    <w:p w:rsidR="00451BF1" w:rsidRPr="00F06F90" w:rsidRDefault="00451BF1" w:rsidP="00CA7E27">
      <w:pPr>
        <w:spacing w:before="120" w:after="120"/>
        <w:rPr>
          <w:lang w:val="es-ES"/>
        </w:rPr>
      </w:pPr>
    </w:p>
    <w:p w:rsidR="00451BF1" w:rsidRPr="00F06F90" w:rsidRDefault="00451BF1" w:rsidP="00905020">
      <w:pPr>
        <w:rPr>
          <w:snapToGrid w:val="0"/>
          <w:lang w:val="es-ES"/>
        </w:rPr>
      </w:pPr>
    </w:p>
    <w:p w:rsidR="00451BF1" w:rsidRPr="00D546E8" w:rsidRDefault="00451BF1" w:rsidP="007F4BB2">
      <w:pPr>
        <w:jc w:val="right"/>
        <w:rPr>
          <w:snapToGrid w:val="0"/>
          <w:lang w:val="es-ES_tradnl"/>
        </w:rPr>
      </w:pPr>
      <w:r w:rsidRPr="00D546E8">
        <w:rPr>
          <w:snapToGrid w:val="0"/>
          <w:lang w:val="es-ES_tradnl"/>
        </w:rPr>
        <w:t>[Fin del anexo y del documento]</w:t>
      </w:r>
    </w:p>
    <w:sectPr w:rsidR="00451BF1" w:rsidRPr="00D546E8" w:rsidSect="00906DDC">
      <w:headerReference w:type="default" r:id="rId14"/>
      <w:headerReference w:type="first" r:id="rId15"/>
      <w:footerReference w:type="first" r:id="rId16"/>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BF1" w:rsidRDefault="00451BF1" w:rsidP="00F45372">
      <w:r>
        <w:separator/>
      </w:r>
    </w:p>
    <w:p w:rsidR="00451BF1" w:rsidRDefault="00451BF1" w:rsidP="00F45372"/>
    <w:p w:rsidR="00451BF1" w:rsidRDefault="00451BF1" w:rsidP="00F45372"/>
  </w:endnote>
  <w:endnote w:type="continuationSeparator" w:id="0">
    <w:p w:rsidR="00451BF1" w:rsidRDefault="00451BF1" w:rsidP="00F45372">
      <w:r>
        <w:separator/>
      </w:r>
    </w:p>
    <w:p w:rsidR="00451BF1" w:rsidRPr="00970020" w:rsidRDefault="00451BF1">
      <w:pPr>
        <w:pStyle w:val="Footer"/>
        <w:spacing w:after="60"/>
        <w:rPr>
          <w:sz w:val="18"/>
          <w:lang w:val="fr-CH"/>
        </w:rPr>
      </w:pPr>
      <w:r w:rsidRPr="00970020">
        <w:rPr>
          <w:sz w:val="18"/>
          <w:lang w:val="fr-CH"/>
        </w:rPr>
        <w:t>[Suite de la note de la page précédente]</w:t>
      </w:r>
    </w:p>
    <w:p w:rsidR="00451BF1" w:rsidRPr="00970020" w:rsidRDefault="00451BF1" w:rsidP="00F45372">
      <w:pPr>
        <w:rPr>
          <w:lang w:val="fr-CH"/>
        </w:rPr>
      </w:pPr>
    </w:p>
    <w:p w:rsidR="00451BF1" w:rsidRPr="00970020" w:rsidRDefault="00451BF1" w:rsidP="00F45372">
      <w:pPr>
        <w:rPr>
          <w:lang w:val="fr-CH"/>
        </w:rPr>
      </w:pPr>
    </w:p>
  </w:endnote>
  <w:endnote w:type="continuationNotice" w:id="1">
    <w:p w:rsidR="00451BF1" w:rsidRPr="00970020" w:rsidRDefault="00451BF1" w:rsidP="00F45372">
      <w:pPr>
        <w:rPr>
          <w:lang w:val="fr-CH"/>
        </w:rPr>
      </w:pPr>
      <w:r w:rsidRPr="00970020">
        <w:rPr>
          <w:lang w:val="fr-CH"/>
        </w:rPr>
        <w:t>[Suite de la note page suivante]</w:t>
      </w:r>
    </w:p>
    <w:p w:rsidR="00451BF1" w:rsidRPr="00970020" w:rsidRDefault="00451BF1" w:rsidP="00F45372">
      <w:pPr>
        <w:rPr>
          <w:lang w:val="fr-CH"/>
        </w:rPr>
      </w:pPr>
    </w:p>
    <w:p w:rsidR="00451BF1" w:rsidRPr="00970020" w:rsidRDefault="00451BF1"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F1" w:rsidRPr="00D31423" w:rsidRDefault="00451BF1" w:rsidP="00D31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BF1" w:rsidRDefault="00451BF1" w:rsidP="00F45372">
      <w:r>
        <w:separator/>
      </w:r>
    </w:p>
  </w:footnote>
  <w:footnote w:type="continuationSeparator" w:id="0">
    <w:p w:rsidR="00451BF1" w:rsidRDefault="00451BF1" w:rsidP="00F45372">
      <w:r>
        <w:separator/>
      </w:r>
    </w:p>
  </w:footnote>
  <w:footnote w:type="continuationNotice" w:id="1">
    <w:p w:rsidR="00451BF1" w:rsidRPr="00905020" w:rsidRDefault="00451BF1"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F1" w:rsidRDefault="00451BF1">
    <w:pPr>
      <w:pStyle w:val="Header"/>
    </w:pPr>
    <w:r>
      <w:t>TC/51/16</w:t>
    </w:r>
  </w:p>
  <w:p w:rsidR="00451BF1" w:rsidRDefault="00451BF1">
    <w:pPr>
      <w:pStyle w:val="Header"/>
    </w:pPr>
    <w:r w:rsidRPr="00E350E5">
      <w:rPr>
        <w:lang w:val="es-ES_tradnl"/>
      </w:rPr>
      <w:t>página</w:t>
    </w:r>
    <w:r>
      <w:t xml:space="preserve"> </w:t>
    </w:r>
    <w:r w:rsidR="00FE352D">
      <w:fldChar w:fldCharType="begin"/>
    </w:r>
    <w:r w:rsidR="00FE352D">
      <w:instrText xml:space="preserve"> PAGE   \* MERGEFORMAT </w:instrText>
    </w:r>
    <w:r w:rsidR="00FE352D">
      <w:fldChar w:fldCharType="separate"/>
    </w:r>
    <w:r w:rsidR="008C3920">
      <w:rPr>
        <w:noProof/>
      </w:rPr>
      <w:t>4</w:t>
    </w:r>
    <w:r w:rsidR="00FE352D">
      <w:rPr>
        <w:noProof/>
      </w:rPr>
      <w:fldChar w:fldCharType="end"/>
    </w:r>
  </w:p>
  <w:p w:rsidR="00451BF1" w:rsidRDefault="00451B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F1" w:rsidRDefault="00451BF1">
    <w:pPr>
      <w:pStyle w:val="Header"/>
    </w:pPr>
    <w:r>
      <w:t>TC/51/16</w:t>
    </w:r>
  </w:p>
  <w:p w:rsidR="00451BF1" w:rsidRDefault="00451BF1">
    <w:pPr>
      <w:pStyle w:val="Header"/>
    </w:pPr>
    <w:r w:rsidRPr="00E350E5">
      <w:rPr>
        <w:lang w:val="es-ES_tradnl"/>
      </w:rPr>
      <w:t>Anexo, página</w:t>
    </w:r>
    <w:r>
      <w:t xml:space="preserve"> </w:t>
    </w:r>
    <w:r w:rsidR="00FE352D">
      <w:fldChar w:fldCharType="begin"/>
    </w:r>
    <w:r w:rsidR="00FE352D">
      <w:instrText xml:space="preserve"> PAGE   \* MERGEFORMAT </w:instrText>
    </w:r>
    <w:r w:rsidR="00FE352D">
      <w:fldChar w:fldCharType="separate"/>
    </w:r>
    <w:r w:rsidR="008C3920">
      <w:rPr>
        <w:noProof/>
      </w:rPr>
      <w:t>3</w:t>
    </w:r>
    <w:r w:rsidR="00FE352D">
      <w:rPr>
        <w:noProof/>
      </w:rPr>
      <w:fldChar w:fldCharType="end"/>
    </w:r>
  </w:p>
  <w:p w:rsidR="00451BF1" w:rsidRPr="00D840A9" w:rsidRDefault="00451BF1" w:rsidP="00CA7E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F1" w:rsidRDefault="00451BF1">
    <w:pPr>
      <w:pStyle w:val="Header"/>
    </w:pPr>
    <w:r>
      <w:t>TC/51/16</w:t>
    </w:r>
  </w:p>
  <w:p w:rsidR="00451BF1" w:rsidRDefault="00451BF1" w:rsidP="00DE106B">
    <w:pPr>
      <w:pStyle w:val="Header"/>
    </w:pPr>
  </w:p>
  <w:p w:rsidR="00451BF1" w:rsidRPr="00E350E5" w:rsidRDefault="00451BF1" w:rsidP="00DE106B">
    <w:pPr>
      <w:pStyle w:val="Header"/>
      <w:rPr>
        <w:lang w:val="es-ES_tradnl"/>
      </w:rPr>
    </w:pPr>
    <w:r w:rsidRPr="00E350E5">
      <w:rPr>
        <w:lang w:val="es-ES_tradnl"/>
      </w:rPr>
      <w:t>ANEXO</w:t>
    </w:r>
  </w:p>
  <w:p w:rsidR="00451BF1" w:rsidRDefault="00451B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F1" w:rsidRPr="005837C7" w:rsidRDefault="00451BF1" w:rsidP="00CA7E2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F1" w:rsidRPr="008D3729" w:rsidRDefault="00451BF1" w:rsidP="00EB048E">
    <w:pPr>
      <w:pStyle w:val="Header"/>
      <w:rPr>
        <w:rStyle w:val="PageNumber"/>
        <w:lang w:val="es-ES_tradnl"/>
      </w:rPr>
    </w:pPr>
    <w:r>
      <w:rPr>
        <w:rStyle w:val="PageNumber"/>
        <w:lang w:val="es-ES_tradnl"/>
      </w:rPr>
      <w:t>TC/51/</w:t>
    </w:r>
  </w:p>
  <w:p w:rsidR="00451BF1" w:rsidRPr="008D3729" w:rsidRDefault="00451BF1" w:rsidP="00EB048E">
    <w:pPr>
      <w:pStyle w:val="Header"/>
      <w:rPr>
        <w:lang w:val="es-ES_tradnl"/>
      </w:rPr>
    </w:pP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Pr>
        <w:rStyle w:val="PageNumber"/>
        <w:noProof/>
        <w:lang w:val="es-ES_tradnl"/>
      </w:rPr>
      <w:t>2</w:t>
    </w:r>
    <w:r w:rsidRPr="008D3729">
      <w:rPr>
        <w:rStyle w:val="PageNumber"/>
        <w:lang w:val="es-ES_tradnl"/>
      </w:rPr>
      <w:fldChar w:fldCharType="end"/>
    </w:r>
  </w:p>
  <w:p w:rsidR="00451BF1" w:rsidRPr="008D3729" w:rsidRDefault="00451BF1" w:rsidP="00F45372">
    <w:pPr>
      <w:rPr>
        <w:lang w:val="es-ES_tradn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F1" w:rsidRDefault="00451BF1">
    <w:pPr>
      <w:pStyle w:val="Header"/>
    </w:pPr>
    <w:r>
      <w:t>TC/51/16</w:t>
    </w:r>
  </w:p>
  <w:p w:rsidR="00451BF1" w:rsidRPr="00E350E5" w:rsidRDefault="00451BF1" w:rsidP="00DE106B">
    <w:pPr>
      <w:pStyle w:val="Header"/>
      <w:rPr>
        <w:lang w:val="es-ES_tradnl"/>
      </w:rPr>
    </w:pPr>
    <w:r w:rsidRPr="00E350E5">
      <w:rPr>
        <w:lang w:val="es-ES_tradnl"/>
      </w:rPr>
      <w:t xml:space="preserve">Anexo, página </w:t>
    </w:r>
    <w:r w:rsidRPr="00E350E5">
      <w:rPr>
        <w:lang w:val="es-ES_tradnl"/>
      </w:rPr>
      <w:fldChar w:fldCharType="begin"/>
    </w:r>
    <w:r w:rsidRPr="00E350E5">
      <w:rPr>
        <w:lang w:val="es-ES_tradnl"/>
      </w:rPr>
      <w:instrText xml:space="preserve"> PAGE   \* MERGEFORMAT </w:instrText>
    </w:r>
    <w:r w:rsidRPr="00E350E5">
      <w:rPr>
        <w:lang w:val="es-ES_tradnl"/>
      </w:rPr>
      <w:fldChar w:fldCharType="separate"/>
    </w:r>
    <w:r w:rsidR="008C3920">
      <w:rPr>
        <w:noProof/>
        <w:lang w:val="es-ES_tradnl"/>
      </w:rPr>
      <w:t>4</w:t>
    </w:r>
    <w:r w:rsidRPr="00E350E5">
      <w:rPr>
        <w:lang w:val="es-ES_tradnl"/>
      </w:rPr>
      <w:fldChar w:fldCharType="end"/>
    </w:r>
  </w:p>
  <w:p w:rsidR="00451BF1" w:rsidRDefault="00451B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A6B10"/>
    <w:multiLevelType w:val="hybridMultilevel"/>
    <w:tmpl w:val="2094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2E72CFC"/>
    <w:multiLevelType w:val="hybridMultilevel"/>
    <w:tmpl w:val="E3EC918C"/>
    <w:lvl w:ilvl="0" w:tplc="6C2C5380">
      <w:start w:val="1"/>
      <w:numFmt w:val="lowerLetter"/>
      <w:lvlText w:val="(%1)"/>
      <w:lvlJc w:val="left"/>
      <w:pPr>
        <w:ind w:left="55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642C4781"/>
    <w:multiLevelType w:val="hybridMultilevel"/>
    <w:tmpl w:val="C748B130"/>
    <w:lvl w:ilvl="0" w:tplc="6C2C538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70110217"/>
    <w:multiLevelType w:val="hybridMultilevel"/>
    <w:tmpl w:val="C2C4937C"/>
    <w:lvl w:ilvl="0" w:tplc="6C2C538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70861FB7"/>
    <w:multiLevelType w:val="hybridMultilevel"/>
    <w:tmpl w:val="E0047C26"/>
    <w:lvl w:ilvl="0" w:tplc="17101ADC">
      <w:start w:val="1"/>
      <w:numFmt w:val="lowerLetter"/>
      <w:lvlText w:val="(%1)"/>
      <w:lvlJc w:val="right"/>
      <w:pPr>
        <w:ind w:left="6173" w:hanging="360"/>
      </w:pPr>
      <w:rPr>
        <w:rFonts w:cs="Times New Roman" w:hint="default"/>
      </w:rPr>
    </w:lvl>
    <w:lvl w:ilvl="1" w:tplc="04090019" w:tentative="1">
      <w:start w:val="1"/>
      <w:numFmt w:val="lowerLetter"/>
      <w:lvlText w:val="%2."/>
      <w:lvlJc w:val="left"/>
      <w:pPr>
        <w:ind w:left="6893" w:hanging="360"/>
      </w:pPr>
      <w:rPr>
        <w:rFonts w:cs="Times New Roman"/>
      </w:rPr>
    </w:lvl>
    <w:lvl w:ilvl="2" w:tplc="0409001B" w:tentative="1">
      <w:start w:val="1"/>
      <w:numFmt w:val="lowerRoman"/>
      <w:lvlText w:val="%3."/>
      <w:lvlJc w:val="right"/>
      <w:pPr>
        <w:ind w:left="7613" w:hanging="180"/>
      </w:pPr>
      <w:rPr>
        <w:rFonts w:cs="Times New Roman"/>
      </w:rPr>
    </w:lvl>
    <w:lvl w:ilvl="3" w:tplc="0409000F" w:tentative="1">
      <w:start w:val="1"/>
      <w:numFmt w:val="decimal"/>
      <w:lvlText w:val="%4."/>
      <w:lvlJc w:val="left"/>
      <w:pPr>
        <w:ind w:left="8333" w:hanging="360"/>
      </w:pPr>
      <w:rPr>
        <w:rFonts w:cs="Times New Roman"/>
      </w:rPr>
    </w:lvl>
    <w:lvl w:ilvl="4" w:tplc="04090019" w:tentative="1">
      <w:start w:val="1"/>
      <w:numFmt w:val="lowerLetter"/>
      <w:lvlText w:val="%5."/>
      <w:lvlJc w:val="left"/>
      <w:pPr>
        <w:ind w:left="9053" w:hanging="360"/>
      </w:pPr>
      <w:rPr>
        <w:rFonts w:cs="Times New Roman"/>
      </w:rPr>
    </w:lvl>
    <w:lvl w:ilvl="5" w:tplc="0409001B" w:tentative="1">
      <w:start w:val="1"/>
      <w:numFmt w:val="lowerRoman"/>
      <w:lvlText w:val="%6."/>
      <w:lvlJc w:val="right"/>
      <w:pPr>
        <w:ind w:left="9773" w:hanging="180"/>
      </w:pPr>
      <w:rPr>
        <w:rFonts w:cs="Times New Roman"/>
      </w:rPr>
    </w:lvl>
    <w:lvl w:ilvl="6" w:tplc="0409000F" w:tentative="1">
      <w:start w:val="1"/>
      <w:numFmt w:val="decimal"/>
      <w:lvlText w:val="%7."/>
      <w:lvlJc w:val="left"/>
      <w:pPr>
        <w:ind w:left="10493" w:hanging="360"/>
      </w:pPr>
      <w:rPr>
        <w:rFonts w:cs="Times New Roman"/>
      </w:rPr>
    </w:lvl>
    <w:lvl w:ilvl="7" w:tplc="04090019" w:tentative="1">
      <w:start w:val="1"/>
      <w:numFmt w:val="lowerLetter"/>
      <w:lvlText w:val="%8."/>
      <w:lvlJc w:val="left"/>
      <w:pPr>
        <w:ind w:left="11213" w:hanging="360"/>
      </w:pPr>
      <w:rPr>
        <w:rFonts w:cs="Times New Roman"/>
      </w:rPr>
    </w:lvl>
    <w:lvl w:ilvl="8" w:tplc="0409001B" w:tentative="1">
      <w:start w:val="1"/>
      <w:numFmt w:val="lowerRoman"/>
      <w:lvlText w:val="%9."/>
      <w:lvlJc w:val="right"/>
      <w:pPr>
        <w:ind w:left="11933" w:hanging="180"/>
      </w:pPr>
      <w:rPr>
        <w:rFonts w:cs="Times New Roman"/>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23"/>
  </w:docVars>
  <w:rsids>
    <w:rsidRoot w:val="00CA7E27"/>
    <w:rsid w:val="00010CF3"/>
    <w:rsid w:val="00011E27"/>
    <w:rsid w:val="000148BC"/>
    <w:rsid w:val="00024AB8"/>
    <w:rsid w:val="00026029"/>
    <w:rsid w:val="00030854"/>
    <w:rsid w:val="00036028"/>
    <w:rsid w:val="00044642"/>
    <w:rsid w:val="000446B9"/>
    <w:rsid w:val="00047E21"/>
    <w:rsid w:val="00065C82"/>
    <w:rsid w:val="00085505"/>
    <w:rsid w:val="000C7021"/>
    <w:rsid w:val="000D276D"/>
    <w:rsid w:val="000D466A"/>
    <w:rsid w:val="000D6BBC"/>
    <w:rsid w:val="000D7780"/>
    <w:rsid w:val="000F51AB"/>
    <w:rsid w:val="00105929"/>
    <w:rsid w:val="001109EA"/>
    <w:rsid w:val="001131D5"/>
    <w:rsid w:val="00141DB8"/>
    <w:rsid w:val="00142558"/>
    <w:rsid w:val="001479AA"/>
    <w:rsid w:val="00154927"/>
    <w:rsid w:val="00164905"/>
    <w:rsid w:val="001742C5"/>
    <w:rsid w:val="0017474A"/>
    <w:rsid w:val="00174DDF"/>
    <w:rsid w:val="001758C6"/>
    <w:rsid w:val="00184D5D"/>
    <w:rsid w:val="0018543E"/>
    <w:rsid w:val="001D06D1"/>
    <w:rsid w:val="001E7876"/>
    <w:rsid w:val="001F5B96"/>
    <w:rsid w:val="00201794"/>
    <w:rsid w:val="0021332C"/>
    <w:rsid w:val="00213963"/>
    <w:rsid w:val="00213982"/>
    <w:rsid w:val="00235267"/>
    <w:rsid w:val="0024416D"/>
    <w:rsid w:val="00255BDE"/>
    <w:rsid w:val="00266E18"/>
    <w:rsid w:val="002800A0"/>
    <w:rsid w:val="002801B3"/>
    <w:rsid w:val="00281060"/>
    <w:rsid w:val="00291E0F"/>
    <w:rsid w:val="002940E8"/>
    <w:rsid w:val="002978C1"/>
    <w:rsid w:val="002A14A2"/>
    <w:rsid w:val="002A2AC1"/>
    <w:rsid w:val="002A6E50"/>
    <w:rsid w:val="002C01C2"/>
    <w:rsid w:val="002C256A"/>
    <w:rsid w:val="003031F9"/>
    <w:rsid w:val="00305A7F"/>
    <w:rsid w:val="003152FE"/>
    <w:rsid w:val="00320AE8"/>
    <w:rsid w:val="00327134"/>
    <w:rsid w:val="00327436"/>
    <w:rsid w:val="00330930"/>
    <w:rsid w:val="00344BD6"/>
    <w:rsid w:val="00344FBD"/>
    <w:rsid w:val="0035528D"/>
    <w:rsid w:val="00361821"/>
    <w:rsid w:val="00366D8A"/>
    <w:rsid w:val="00370631"/>
    <w:rsid w:val="00372C72"/>
    <w:rsid w:val="003A032B"/>
    <w:rsid w:val="003D227C"/>
    <w:rsid w:val="003D2B4D"/>
    <w:rsid w:val="003D7E71"/>
    <w:rsid w:val="004261C5"/>
    <w:rsid w:val="004309CD"/>
    <w:rsid w:val="0044261B"/>
    <w:rsid w:val="00444A88"/>
    <w:rsid w:val="00451BF1"/>
    <w:rsid w:val="004717F7"/>
    <w:rsid w:val="00474DA4"/>
    <w:rsid w:val="0047670D"/>
    <w:rsid w:val="00477625"/>
    <w:rsid w:val="004D047D"/>
    <w:rsid w:val="004F1D89"/>
    <w:rsid w:val="004F305A"/>
    <w:rsid w:val="00512164"/>
    <w:rsid w:val="00520297"/>
    <w:rsid w:val="005338F9"/>
    <w:rsid w:val="0054281C"/>
    <w:rsid w:val="0055268D"/>
    <w:rsid w:val="0055368A"/>
    <w:rsid w:val="00561A1A"/>
    <w:rsid w:val="00576BE4"/>
    <w:rsid w:val="00576BF0"/>
    <w:rsid w:val="005837C7"/>
    <w:rsid w:val="005A400A"/>
    <w:rsid w:val="005C6ED0"/>
    <w:rsid w:val="005D3DD4"/>
    <w:rsid w:val="00612379"/>
    <w:rsid w:val="0061555F"/>
    <w:rsid w:val="00625523"/>
    <w:rsid w:val="00641200"/>
    <w:rsid w:val="00652FD7"/>
    <w:rsid w:val="00653DEB"/>
    <w:rsid w:val="0068420A"/>
    <w:rsid w:val="00684C70"/>
    <w:rsid w:val="00687EB4"/>
    <w:rsid w:val="0069574C"/>
    <w:rsid w:val="00697B84"/>
    <w:rsid w:val="006A1ECF"/>
    <w:rsid w:val="006A68FD"/>
    <w:rsid w:val="006A6DBD"/>
    <w:rsid w:val="006B1799"/>
    <w:rsid w:val="006B17D2"/>
    <w:rsid w:val="006C224E"/>
    <w:rsid w:val="006D5B4D"/>
    <w:rsid w:val="006D780A"/>
    <w:rsid w:val="006F2215"/>
    <w:rsid w:val="00714E7C"/>
    <w:rsid w:val="00727B1C"/>
    <w:rsid w:val="00730EFF"/>
    <w:rsid w:val="00732DEC"/>
    <w:rsid w:val="00735BD5"/>
    <w:rsid w:val="00744B85"/>
    <w:rsid w:val="00753A37"/>
    <w:rsid w:val="007556F6"/>
    <w:rsid w:val="00760EEF"/>
    <w:rsid w:val="00777EE5"/>
    <w:rsid w:val="00783909"/>
    <w:rsid w:val="00784836"/>
    <w:rsid w:val="0079023E"/>
    <w:rsid w:val="00791943"/>
    <w:rsid w:val="00795C72"/>
    <w:rsid w:val="007A2854"/>
    <w:rsid w:val="007D0B9D"/>
    <w:rsid w:val="007D0BAC"/>
    <w:rsid w:val="007D19B0"/>
    <w:rsid w:val="007D1E39"/>
    <w:rsid w:val="007D6252"/>
    <w:rsid w:val="007F498F"/>
    <w:rsid w:val="007F4BB2"/>
    <w:rsid w:val="0080679D"/>
    <w:rsid w:val="008108B0"/>
    <w:rsid w:val="00811B20"/>
    <w:rsid w:val="00820027"/>
    <w:rsid w:val="0082296E"/>
    <w:rsid w:val="00824099"/>
    <w:rsid w:val="00824A91"/>
    <w:rsid w:val="00844CF0"/>
    <w:rsid w:val="00857724"/>
    <w:rsid w:val="00866876"/>
    <w:rsid w:val="00867AC1"/>
    <w:rsid w:val="00872107"/>
    <w:rsid w:val="008A1693"/>
    <w:rsid w:val="008A572D"/>
    <w:rsid w:val="008A743F"/>
    <w:rsid w:val="008B2341"/>
    <w:rsid w:val="008C0970"/>
    <w:rsid w:val="008C3920"/>
    <w:rsid w:val="008D2CF7"/>
    <w:rsid w:val="008D3729"/>
    <w:rsid w:val="008D4F25"/>
    <w:rsid w:val="00900C26"/>
    <w:rsid w:val="0090197F"/>
    <w:rsid w:val="00903BA9"/>
    <w:rsid w:val="00905020"/>
    <w:rsid w:val="00906DDC"/>
    <w:rsid w:val="009148D9"/>
    <w:rsid w:val="009151B4"/>
    <w:rsid w:val="00931F0C"/>
    <w:rsid w:val="00934E09"/>
    <w:rsid w:val="00936253"/>
    <w:rsid w:val="0094475A"/>
    <w:rsid w:val="00952DD4"/>
    <w:rsid w:val="009656B4"/>
    <w:rsid w:val="00970020"/>
    <w:rsid w:val="00970FED"/>
    <w:rsid w:val="009732DD"/>
    <w:rsid w:val="00997029"/>
    <w:rsid w:val="009D690D"/>
    <w:rsid w:val="009E4573"/>
    <w:rsid w:val="009E65B6"/>
    <w:rsid w:val="009F67E0"/>
    <w:rsid w:val="00A13C6F"/>
    <w:rsid w:val="00A260DE"/>
    <w:rsid w:val="00A37B04"/>
    <w:rsid w:val="00A40BEA"/>
    <w:rsid w:val="00A414E5"/>
    <w:rsid w:val="00A42AC3"/>
    <w:rsid w:val="00A430CF"/>
    <w:rsid w:val="00A4736A"/>
    <w:rsid w:val="00A473C6"/>
    <w:rsid w:val="00A47CDB"/>
    <w:rsid w:val="00A54309"/>
    <w:rsid w:val="00A628A7"/>
    <w:rsid w:val="00A92EF4"/>
    <w:rsid w:val="00AA65E7"/>
    <w:rsid w:val="00AB2B93"/>
    <w:rsid w:val="00AB3C91"/>
    <w:rsid w:val="00AB62C5"/>
    <w:rsid w:val="00AB7E5B"/>
    <w:rsid w:val="00AE0EF1"/>
    <w:rsid w:val="00AF2207"/>
    <w:rsid w:val="00B04244"/>
    <w:rsid w:val="00B07301"/>
    <w:rsid w:val="00B12888"/>
    <w:rsid w:val="00B224DE"/>
    <w:rsid w:val="00B469B3"/>
    <w:rsid w:val="00B56323"/>
    <w:rsid w:val="00B630AE"/>
    <w:rsid w:val="00B84BBD"/>
    <w:rsid w:val="00B9060A"/>
    <w:rsid w:val="00B94283"/>
    <w:rsid w:val="00BA43FB"/>
    <w:rsid w:val="00BB715D"/>
    <w:rsid w:val="00BC127D"/>
    <w:rsid w:val="00BC1FE6"/>
    <w:rsid w:val="00BD220C"/>
    <w:rsid w:val="00BD3825"/>
    <w:rsid w:val="00BD5B6E"/>
    <w:rsid w:val="00C061B6"/>
    <w:rsid w:val="00C13808"/>
    <w:rsid w:val="00C2446C"/>
    <w:rsid w:val="00C31243"/>
    <w:rsid w:val="00C31582"/>
    <w:rsid w:val="00C36AE5"/>
    <w:rsid w:val="00C41F17"/>
    <w:rsid w:val="00C467DF"/>
    <w:rsid w:val="00C5791C"/>
    <w:rsid w:val="00C620B7"/>
    <w:rsid w:val="00C66290"/>
    <w:rsid w:val="00C72B7A"/>
    <w:rsid w:val="00C973F2"/>
    <w:rsid w:val="00CA774A"/>
    <w:rsid w:val="00CA7E27"/>
    <w:rsid w:val="00CC11B0"/>
    <w:rsid w:val="00CC1D7F"/>
    <w:rsid w:val="00CD3705"/>
    <w:rsid w:val="00CF7E36"/>
    <w:rsid w:val="00D164B7"/>
    <w:rsid w:val="00D261C5"/>
    <w:rsid w:val="00D31423"/>
    <w:rsid w:val="00D32867"/>
    <w:rsid w:val="00D3708D"/>
    <w:rsid w:val="00D40426"/>
    <w:rsid w:val="00D421A9"/>
    <w:rsid w:val="00D546E8"/>
    <w:rsid w:val="00D57C96"/>
    <w:rsid w:val="00D6027D"/>
    <w:rsid w:val="00D840A9"/>
    <w:rsid w:val="00D91203"/>
    <w:rsid w:val="00D95174"/>
    <w:rsid w:val="00D951B1"/>
    <w:rsid w:val="00DA4685"/>
    <w:rsid w:val="00DA6DF1"/>
    <w:rsid w:val="00DA6F36"/>
    <w:rsid w:val="00DB596E"/>
    <w:rsid w:val="00DC00EA"/>
    <w:rsid w:val="00DE106B"/>
    <w:rsid w:val="00E07049"/>
    <w:rsid w:val="00E350A8"/>
    <w:rsid w:val="00E350E5"/>
    <w:rsid w:val="00E461F1"/>
    <w:rsid w:val="00E50918"/>
    <w:rsid w:val="00E72D49"/>
    <w:rsid w:val="00E7593C"/>
    <w:rsid w:val="00E7678A"/>
    <w:rsid w:val="00E935F1"/>
    <w:rsid w:val="00E94A81"/>
    <w:rsid w:val="00EA1FFB"/>
    <w:rsid w:val="00EA5245"/>
    <w:rsid w:val="00EB048E"/>
    <w:rsid w:val="00EE34DF"/>
    <w:rsid w:val="00EF2F89"/>
    <w:rsid w:val="00F00A88"/>
    <w:rsid w:val="00F00C80"/>
    <w:rsid w:val="00F06F90"/>
    <w:rsid w:val="00F1237A"/>
    <w:rsid w:val="00F15B05"/>
    <w:rsid w:val="00F22CBD"/>
    <w:rsid w:val="00F2454A"/>
    <w:rsid w:val="00F45372"/>
    <w:rsid w:val="00F560F7"/>
    <w:rsid w:val="00F62D9A"/>
    <w:rsid w:val="00F6334D"/>
    <w:rsid w:val="00F77B84"/>
    <w:rsid w:val="00FA49AB"/>
    <w:rsid w:val="00FE352D"/>
    <w:rsid w:val="00FE39C7"/>
    <w:rsid w:val="00FF006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A468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872107"/>
    <w:pPr>
      <w:outlineLvl w:val="0"/>
    </w:pPr>
    <w:rPr>
      <w:caps/>
      <w:color w:val="808080"/>
      <w:lang w:val="es-ES_tradnl"/>
    </w:rPr>
  </w:style>
  <w:style w:type="paragraph" w:styleId="Heading2">
    <w:name w:val="heading 2"/>
    <w:aliases w:val="VARIETY,variety"/>
    <w:basedOn w:val="Normal"/>
    <w:next w:val="Normal"/>
    <w:link w:val="Heading2Char"/>
    <w:autoRedefine/>
    <w:uiPriority w:val="99"/>
    <w:qFormat/>
    <w:rsid w:val="00872107"/>
    <w:pPr>
      <w:keepNext/>
      <w:outlineLvl w:val="1"/>
    </w:pPr>
    <w:rPr>
      <w:u w:val="single"/>
    </w:rPr>
  </w:style>
  <w:style w:type="paragraph" w:styleId="Heading3">
    <w:name w:val="heading 3"/>
    <w:basedOn w:val="Normal"/>
    <w:next w:val="Normal"/>
    <w:link w:val="Heading3Char"/>
    <w:autoRedefine/>
    <w:uiPriority w:val="99"/>
    <w:qFormat/>
    <w:rsid w:val="00370631"/>
    <w:pPr>
      <w:keepNext/>
      <w:outlineLvl w:val="2"/>
    </w:pPr>
    <w:rPr>
      <w:i/>
    </w:rPr>
  </w:style>
  <w:style w:type="paragraph" w:styleId="Heading4">
    <w:name w:val="heading 4"/>
    <w:basedOn w:val="Normal"/>
    <w:next w:val="Normal"/>
    <w:link w:val="Heading4Char"/>
    <w:autoRedefine/>
    <w:uiPriority w:val="99"/>
    <w:qFormat/>
    <w:rsid w:val="00370631"/>
    <w:pPr>
      <w:keepNext/>
      <w:ind w:left="567"/>
      <w:outlineLvl w:val="3"/>
    </w:pPr>
    <w:rPr>
      <w:u w:val="single"/>
      <w:lang w:val="fr-FR"/>
    </w:rPr>
  </w:style>
  <w:style w:type="paragraph" w:styleId="Heading5">
    <w:name w:val="heading 5"/>
    <w:basedOn w:val="Normal"/>
    <w:next w:val="Normal"/>
    <w:link w:val="Heading5Char"/>
    <w:autoRedefine/>
    <w:uiPriority w:val="99"/>
    <w:qFormat/>
    <w:rsid w:val="00370631"/>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0027"/>
    <w:rPr>
      <w:rFonts w:ascii="Cambria" w:hAnsi="Cambria" w:cs="Times New Roman"/>
      <w:b/>
      <w:bCs/>
      <w:kern w:val="32"/>
      <w:sz w:val="32"/>
      <w:szCs w:val="32"/>
      <w:lang w:val="en-US" w:eastAsia="en-US"/>
    </w:rPr>
  </w:style>
  <w:style w:type="character" w:customStyle="1" w:styleId="Heading2Char">
    <w:name w:val="Heading 2 Char"/>
    <w:aliases w:val="VARIETY Char,variety Char"/>
    <w:basedOn w:val="DefaultParagraphFont"/>
    <w:link w:val="Heading2"/>
    <w:uiPriority w:val="99"/>
    <w:semiHidden/>
    <w:locked/>
    <w:rsid w:val="00820027"/>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820027"/>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820027"/>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820027"/>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820027"/>
    <w:rPr>
      <w:rFonts w:ascii="Cambria" w:hAnsi="Cambria" w:cs="Times New Roman"/>
      <w:lang w:val="en-US" w:eastAsia="en-US"/>
    </w:rPr>
  </w:style>
  <w:style w:type="paragraph" w:styleId="Header">
    <w:name w:val="header"/>
    <w:basedOn w:val="Normal"/>
    <w:link w:val="HeaderChar"/>
    <w:autoRedefine/>
    <w:uiPriority w:val="99"/>
    <w:rsid w:val="006D780A"/>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CA7E27"/>
    <w:rPr>
      <w:rFonts w:ascii="Arial" w:hAnsi="Arial" w:cs="Times New Roman"/>
      <w:lang w:val="fr-FR" w:eastAsia="en-US" w:bidi="ar-SA"/>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820027"/>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820027"/>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820027"/>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820027"/>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820027"/>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820027"/>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character" w:customStyle="1" w:styleId="BodyTextChar">
    <w:name w:val="Body Text Char"/>
    <w:basedOn w:val="DefaultParagraphFont"/>
    <w:link w:val="BodyText"/>
    <w:uiPriority w:val="99"/>
    <w:semiHidden/>
    <w:locked/>
    <w:rsid w:val="00820027"/>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820027"/>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820027"/>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u w:val="single"/>
    </w:rPr>
  </w:style>
  <w:style w:type="paragraph" w:customStyle="1" w:styleId="pldetails">
    <w:name w:val="pldetails"/>
    <w:basedOn w:val="Normal"/>
    <w:uiPriority w:val="99"/>
    <w:rsid w:val="00905020"/>
    <w:pPr>
      <w:keepLines/>
      <w:spacing w:before="60" w:after="60"/>
      <w:jc w:val="left"/>
    </w:pPr>
    <w:rPr>
      <w:noProof/>
    </w:rPr>
  </w:style>
  <w:style w:type="paragraph" w:customStyle="1" w:styleId="plheading">
    <w:name w:val="plheading"/>
    <w:basedOn w:val="Normal"/>
    <w:uiPriority w:val="99"/>
    <w:rsid w:val="00905020"/>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rsid w:val="00370631"/>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370631"/>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905020"/>
    <w:rPr>
      <w:rFonts w:ascii="Arial" w:hAnsi="Arial" w:cs="Times New Roman"/>
      <w:color w:val="0000FF"/>
      <w:u w:val="single"/>
    </w:rPr>
  </w:style>
  <w:style w:type="paragraph" w:styleId="TOC4">
    <w:name w:val="toc 4"/>
    <w:basedOn w:val="Normal"/>
    <w:next w:val="Normal"/>
    <w:autoRedefine/>
    <w:uiPriority w:val="99"/>
    <w:semiHidden/>
    <w:rsid w:val="00370631"/>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rsid w:val="00370631"/>
    <w:pPr>
      <w:tabs>
        <w:tab w:val="right" w:leader="dot" w:pos="9639"/>
      </w:tabs>
      <w:contextualSpacing/>
      <w:jc w:val="center"/>
    </w:pPr>
    <w:rPr>
      <w:caps/>
    </w:rPr>
  </w:style>
  <w:style w:type="paragraph" w:styleId="TOC5">
    <w:name w:val="toc 5"/>
    <w:basedOn w:val="Normal"/>
    <w:next w:val="Normal"/>
    <w:autoRedefine/>
    <w:uiPriority w:val="99"/>
    <w:semiHidden/>
    <w:rsid w:val="00370631"/>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locked/>
    <w:rsid w:val="001479AA"/>
    <w:rPr>
      <w:rFonts w:ascii="Tahoma" w:hAnsi="Tahoma" w:cs="Tahoma"/>
      <w:sz w:val="16"/>
      <w:szCs w:val="16"/>
    </w:rPr>
  </w:style>
  <w:style w:type="paragraph" w:styleId="ListParagraph">
    <w:name w:val="List Paragraph"/>
    <w:basedOn w:val="Normal"/>
    <w:uiPriority w:val="99"/>
    <w:qFormat/>
    <w:rsid w:val="00CA7E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A468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872107"/>
    <w:pPr>
      <w:outlineLvl w:val="0"/>
    </w:pPr>
    <w:rPr>
      <w:caps/>
      <w:color w:val="808080"/>
      <w:lang w:val="es-ES_tradnl"/>
    </w:rPr>
  </w:style>
  <w:style w:type="paragraph" w:styleId="Heading2">
    <w:name w:val="heading 2"/>
    <w:aliases w:val="VARIETY,variety"/>
    <w:basedOn w:val="Normal"/>
    <w:next w:val="Normal"/>
    <w:link w:val="Heading2Char"/>
    <w:autoRedefine/>
    <w:uiPriority w:val="99"/>
    <w:qFormat/>
    <w:rsid w:val="00872107"/>
    <w:pPr>
      <w:keepNext/>
      <w:outlineLvl w:val="1"/>
    </w:pPr>
    <w:rPr>
      <w:u w:val="single"/>
    </w:rPr>
  </w:style>
  <w:style w:type="paragraph" w:styleId="Heading3">
    <w:name w:val="heading 3"/>
    <w:basedOn w:val="Normal"/>
    <w:next w:val="Normal"/>
    <w:link w:val="Heading3Char"/>
    <w:autoRedefine/>
    <w:uiPriority w:val="99"/>
    <w:qFormat/>
    <w:rsid w:val="00370631"/>
    <w:pPr>
      <w:keepNext/>
      <w:outlineLvl w:val="2"/>
    </w:pPr>
    <w:rPr>
      <w:i/>
    </w:rPr>
  </w:style>
  <w:style w:type="paragraph" w:styleId="Heading4">
    <w:name w:val="heading 4"/>
    <w:basedOn w:val="Normal"/>
    <w:next w:val="Normal"/>
    <w:link w:val="Heading4Char"/>
    <w:autoRedefine/>
    <w:uiPriority w:val="99"/>
    <w:qFormat/>
    <w:rsid w:val="00370631"/>
    <w:pPr>
      <w:keepNext/>
      <w:ind w:left="567"/>
      <w:outlineLvl w:val="3"/>
    </w:pPr>
    <w:rPr>
      <w:u w:val="single"/>
      <w:lang w:val="fr-FR"/>
    </w:rPr>
  </w:style>
  <w:style w:type="paragraph" w:styleId="Heading5">
    <w:name w:val="heading 5"/>
    <w:basedOn w:val="Normal"/>
    <w:next w:val="Normal"/>
    <w:link w:val="Heading5Char"/>
    <w:autoRedefine/>
    <w:uiPriority w:val="99"/>
    <w:qFormat/>
    <w:rsid w:val="00370631"/>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0027"/>
    <w:rPr>
      <w:rFonts w:ascii="Cambria" w:hAnsi="Cambria" w:cs="Times New Roman"/>
      <w:b/>
      <w:bCs/>
      <w:kern w:val="32"/>
      <w:sz w:val="32"/>
      <w:szCs w:val="32"/>
      <w:lang w:val="en-US" w:eastAsia="en-US"/>
    </w:rPr>
  </w:style>
  <w:style w:type="character" w:customStyle="1" w:styleId="Heading2Char">
    <w:name w:val="Heading 2 Char"/>
    <w:aliases w:val="VARIETY Char,variety Char"/>
    <w:basedOn w:val="DefaultParagraphFont"/>
    <w:link w:val="Heading2"/>
    <w:uiPriority w:val="99"/>
    <w:semiHidden/>
    <w:locked/>
    <w:rsid w:val="00820027"/>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820027"/>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820027"/>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820027"/>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820027"/>
    <w:rPr>
      <w:rFonts w:ascii="Cambria" w:hAnsi="Cambria" w:cs="Times New Roman"/>
      <w:lang w:val="en-US" w:eastAsia="en-US"/>
    </w:rPr>
  </w:style>
  <w:style w:type="paragraph" w:styleId="Header">
    <w:name w:val="header"/>
    <w:basedOn w:val="Normal"/>
    <w:link w:val="HeaderChar"/>
    <w:autoRedefine/>
    <w:uiPriority w:val="99"/>
    <w:rsid w:val="006D780A"/>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CA7E27"/>
    <w:rPr>
      <w:rFonts w:ascii="Arial" w:hAnsi="Arial" w:cs="Times New Roman"/>
      <w:lang w:val="fr-FR" w:eastAsia="en-US" w:bidi="ar-SA"/>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820027"/>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820027"/>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820027"/>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820027"/>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820027"/>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820027"/>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character" w:customStyle="1" w:styleId="BodyTextChar">
    <w:name w:val="Body Text Char"/>
    <w:basedOn w:val="DefaultParagraphFont"/>
    <w:link w:val="BodyText"/>
    <w:uiPriority w:val="99"/>
    <w:semiHidden/>
    <w:locked/>
    <w:rsid w:val="00820027"/>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820027"/>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820027"/>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u w:val="single"/>
    </w:rPr>
  </w:style>
  <w:style w:type="paragraph" w:customStyle="1" w:styleId="pldetails">
    <w:name w:val="pldetails"/>
    <w:basedOn w:val="Normal"/>
    <w:uiPriority w:val="99"/>
    <w:rsid w:val="00905020"/>
    <w:pPr>
      <w:keepLines/>
      <w:spacing w:before="60" w:after="60"/>
      <w:jc w:val="left"/>
    </w:pPr>
    <w:rPr>
      <w:noProof/>
    </w:rPr>
  </w:style>
  <w:style w:type="paragraph" w:customStyle="1" w:styleId="plheading">
    <w:name w:val="plheading"/>
    <w:basedOn w:val="Normal"/>
    <w:uiPriority w:val="99"/>
    <w:rsid w:val="00905020"/>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rsid w:val="00370631"/>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370631"/>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905020"/>
    <w:rPr>
      <w:rFonts w:ascii="Arial" w:hAnsi="Arial" w:cs="Times New Roman"/>
      <w:color w:val="0000FF"/>
      <w:u w:val="single"/>
    </w:rPr>
  </w:style>
  <w:style w:type="paragraph" w:styleId="TOC4">
    <w:name w:val="toc 4"/>
    <w:basedOn w:val="Normal"/>
    <w:next w:val="Normal"/>
    <w:autoRedefine/>
    <w:uiPriority w:val="99"/>
    <w:semiHidden/>
    <w:rsid w:val="00370631"/>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rsid w:val="00370631"/>
    <w:pPr>
      <w:tabs>
        <w:tab w:val="right" w:leader="dot" w:pos="9639"/>
      </w:tabs>
      <w:contextualSpacing/>
      <w:jc w:val="center"/>
    </w:pPr>
    <w:rPr>
      <w:caps/>
    </w:rPr>
  </w:style>
  <w:style w:type="paragraph" w:styleId="TOC5">
    <w:name w:val="toc 5"/>
    <w:basedOn w:val="Normal"/>
    <w:next w:val="Normal"/>
    <w:autoRedefine/>
    <w:uiPriority w:val="99"/>
    <w:semiHidden/>
    <w:rsid w:val="00370631"/>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locked/>
    <w:rsid w:val="001479AA"/>
    <w:rPr>
      <w:rFonts w:ascii="Tahoma" w:hAnsi="Tahoma" w:cs="Tahoma"/>
      <w:sz w:val="16"/>
      <w:szCs w:val="16"/>
    </w:rPr>
  </w:style>
  <w:style w:type="paragraph" w:styleId="ListParagraph">
    <w:name w:val="List Paragraph"/>
    <w:basedOn w:val="Normal"/>
    <w:uiPriority w:val="99"/>
    <w:qFormat/>
    <w:rsid w:val="00CA7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edtest.org/en/stats-tool-box-_content---1--1143.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evallos\AppData\Local\Microsoft\Windows\Temporary%20Internet%20Files\Content.MSO\81D487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81D48751</Template>
  <TotalTime>19</TotalTime>
  <Pages>8</Pages>
  <Words>4399</Words>
  <Characters>22696</Characters>
  <Application>Microsoft Office Word</Application>
  <DocSecurity>0</DocSecurity>
  <Lines>189</Lines>
  <Paragraphs>54</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BOU LLORET Amparo</dc:creator>
  <cp:lastModifiedBy>LONG Victoria</cp:lastModifiedBy>
  <cp:revision>8</cp:revision>
  <cp:lastPrinted>2015-02-27T08:04:00Z</cp:lastPrinted>
  <dcterms:created xsi:type="dcterms:W3CDTF">2015-02-23T10:55:00Z</dcterms:created>
  <dcterms:modified xsi:type="dcterms:W3CDTF">2015-02-27T08:04:00Z</dcterms:modified>
</cp:coreProperties>
</file>