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1648E" w:rsidRPr="00327BFB" w:rsidTr="00C13808">
        <w:trPr>
          <w:trHeight w:val="1760"/>
        </w:trPr>
        <w:tc>
          <w:tcPr>
            <w:tcW w:w="4243" w:type="dxa"/>
          </w:tcPr>
          <w:p w:rsidR="000D7780" w:rsidRPr="00E1648E" w:rsidRDefault="000D7780" w:rsidP="00F4537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4F1D89" w:rsidRPr="00E1648E" w:rsidRDefault="004F1D89" w:rsidP="00F45372">
            <w:pPr>
              <w:pStyle w:val="LogoUPOV"/>
              <w:rPr>
                <w:lang w:val="es-ES_tradnl"/>
              </w:rPr>
            </w:pPr>
            <w:r w:rsidRPr="00E1648E">
              <w:rPr>
                <w:noProof/>
              </w:rPr>
              <w:drawing>
                <wp:inline distT="0" distB="0" distL="0" distR="0" wp14:anchorId="20248C9B" wp14:editId="3532E92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1169B" w:rsidRPr="00E1648E" w:rsidRDefault="00A47CDB" w:rsidP="00F45372">
            <w:pPr>
              <w:pStyle w:val="Lettrine"/>
              <w:rPr>
                <w:lang w:val="es-ES_tradnl"/>
              </w:rPr>
            </w:pPr>
            <w:r w:rsidRPr="00E1648E">
              <w:rPr>
                <w:lang w:val="es-ES_tradnl"/>
              </w:rPr>
              <w:t>S</w:t>
            </w:r>
          </w:p>
          <w:p w:rsidR="00A1169B" w:rsidRPr="00E1648E" w:rsidRDefault="008A1693" w:rsidP="00F45372">
            <w:pPr>
              <w:pStyle w:val="Docoriginal"/>
              <w:rPr>
                <w:lang w:val="es-ES_tradnl"/>
              </w:rPr>
            </w:pPr>
            <w:r w:rsidRPr="00E1648E">
              <w:rPr>
                <w:lang w:val="es-ES_tradnl"/>
              </w:rPr>
              <w:t>TC/</w:t>
            </w:r>
            <w:r w:rsidR="007F4BB2" w:rsidRPr="00E1648E">
              <w:rPr>
                <w:lang w:val="es-ES_tradnl"/>
              </w:rPr>
              <w:t>5</w:t>
            </w:r>
            <w:r w:rsidR="00625523" w:rsidRPr="00E1648E">
              <w:rPr>
                <w:lang w:val="es-ES_tradnl"/>
              </w:rPr>
              <w:t>1</w:t>
            </w:r>
            <w:r w:rsidRPr="00E1648E">
              <w:rPr>
                <w:lang w:val="es-ES_tradnl"/>
              </w:rPr>
              <w:t>/</w:t>
            </w:r>
            <w:bookmarkStart w:id="1" w:name="Code"/>
            <w:bookmarkEnd w:id="1"/>
            <w:r w:rsidR="000703EE" w:rsidRPr="00E1648E">
              <w:rPr>
                <w:lang w:val="es-ES_tradnl"/>
              </w:rPr>
              <w:t>13</w:t>
            </w:r>
          </w:p>
          <w:p w:rsidR="00A1169B" w:rsidRPr="00E1648E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E1648E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E1648E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E1648E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E1648E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Original"/>
            <w:bookmarkEnd w:id="2"/>
            <w:r w:rsidR="00A47CDB" w:rsidRPr="00E1648E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E1648E" w:rsidRDefault="00A47CDB" w:rsidP="000703EE">
            <w:pPr>
              <w:pStyle w:val="Docoriginal"/>
              <w:rPr>
                <w:lang w:val="es-ES_tradnl"/>
              </w:rPr>
            </w:pPr>
            <w:r w:rsidRPr="00E1648E">
              <w:rPr>
                <w:spacing w:val="0"/>
                <w:lang w:val="es-ES_tradnl"/>
              </w:rPr>
              <w:t>FECHA</w:t>
            </w:r>
            <w:r w:rsidR="000D7780" w:rsidRPr="00E1648E">
              <w:rPr>
                <w:spacing w:val="0"/>
                <w:lang w:val="es-ES_tradnl"/>
              </w:rPr>
              <w:t>:</w:t>
            </w:r>
            <w:r w:rsidR="0061555F" w:rsidRPr="00E1648E">
              <w:rPr>
                <w:b w:val="0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F92AEC">
              <w:rPr>
                <w:rStyle w:val="StyleDocoriginalNotBold1"/>
                <w:spacing w:val="0"/>
                <w:lang w:val="es-ES_tradnl"/>
              </w:rPr>
              <w:t>10</w:t>
            </w:r>
            <w:r w:rsidR="000703EE" w:rsidRPr="00E1648E">
              <w:rPr>
                <w:rStyle w:val="StyleDocoriginalNotBold1"/>
                <w:spacing w:val="0"/>
                <w:lang w:val="es-ES_tradnl"/>
              </w:rPr>
              <w:t xml:space="preserve"> de febrero</w:t>
            </w:r>
            <w:r w:rsidRPr="00E1648E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E1648E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E1648E">
              <w:rPr>
                <w:b w:val="0"/>
                <w:spacing w:val="0"/>
                <w:lang w:val="es-ES_tradnl"/>
              </w:rPr>
              <w:t>201</w:t>
            </w:r>
            <w:r w:rsidR="00625523" w:rsidRPr="00E1648E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E1648E" w:rsidRPr="00327BFB" w:rsidTr="00C13808">
        <w:tc>
          <w:tcPr>
            <w:tcW w:w="10131" w:type="dxa"/>
            <w:gridSpan w:val="3"/>
          </w:tcPr>
          <w:p w:rsidR="000D7780" w:rsidRPr="00E1648E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E1648E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E1648E" w:rsidRPr="00E1648E" w:rsidTr="00C13808">
        <w:tc>
          <w:tcPr>
            <w:tcW w:w="10131" w:type="dxa"/>
            <w:gridSpan w:val="3"/>
          </w:tcPr>
          <w:p w:rsidR="000D7780" w:rsidRPr="00E1648E" w:rsidRDefault="00A47CDB" w:rsidP="00F45372">
            <w:pPr>
              <w:pStyle w:val="Country"/>
              <w:rPr>
                <w:lang w:val="es-ES_tradnl"/>
              </w:rPr>
            </w:pPr>
            <w:r w:rsidRPr="00E1648E">
              <w:rPr>
                <w:lang w:val="es-ES_tradnl"/>
              </w:rPr>
              <w:t>Ginebra</w:t>
            </w:r>
          </w:p>
        </w:tc>
      </w:tr>
    </w:tbl>
    <w:p w:rsidR="00A1169B" w:rsidRPr="00E1648E" w:rsidRDefault="00A47CDB" w:rsidP="00F45372">
      <w:pPr>
        <w:pStyle w:val="Sessiontc"/>
        <w:rPr>
          <w:lang w:val="es-ES_tradnl"/>
        </w:rPr>
      </w:pPr>
      <w:r w:rsidRPr="00E1648E">
        <w:rPr>
          <w:lang w:val="es-ES_tradnl"/>
        </w:rPr>
        <w:t>Comité TÉCNICO</w:t>
      </w:r>
    </w:p>
    <w:p w:rsidR="00A1169B" w:rsidRPr="00E1648E" w:rsidRDefault="007F4BB2" w:rsidP="00F45372">
      <w:pPr>
        <w:pStyle w:val="Sessiontcplacedate"/>
        <w:rPr>
          <w:lang w:val="es-ES_tradnl"/>
        </w:rPr>
      </w:pPr>
      <w:r w:rsidRPr="00E1648E">
        <w:rPr>
          <w:lang w:val="es-ES_tradnl"/>
        </w:rPr>
        <w:t>Quincua</w:t>
      </w:r>
      <w:r w:rsidR="00A47CDB" w:rsidRPr="00E1648E">
        <w:rPr>
          <w:lang w:val="es-ES_tradnl"/>
        </w:rPr>
        <w:t xml:space="preserve">gésima </w:t>
      </w:r>
      <w:r w:rsidR="00AA65E7" w:rsidRPr="00E1648E">
        <w:rPr>
          <w:lang w:val="es-ES_tradnl"/>
        </w:rPr>
        <w:t xml:space="preserve">primera </w:t>
      </w:r>
      <w:r w:rsidR="00A47CDB" w:rsidRPr="00E1648E">
        <w:rPr>
          <w:lang w:val="es-ES_tradnl"/>
        </w:rPr>
        <w:t>sesión</w:t>
      </w:r>
      <w:r w:rsidR="00A47CDB" w:rsidRPr="00E1648E">
        <w:rPr>
          <w:lang w:val="es-ES_tradnl"/>
        </w:rPr>
        <w:br/>
        <w:t xml:space="preserve">Ginebra, </w:t>
      </w:r>
      <w:r w:rsidR="00AA65E7" w:rsidRPr="00E1648E">
        <w:rPr>
          <w:lang w:val="es-ES_tradnl"/>
        </w:rPr>
        <w:t>23</w:t>
      </w:r>
      <w:r w:rsidR="008A1693" w:rsidRPr="00E1648E">
        <w:rPr>
          <w:lang w:val="es-ES_tradnl"/>
        </w:rPr>
        <w:t xml:space="preserve"> a </w:t>
      </w:r>
      <w:r w:rsidR="00AA65E7" w:rsidRPr="00E1648E">
        <w:rPr>
          <w:lang w:val="es-ES_tradnl"/>
        </w:rPr>
        <w:t>25</w:t>
      </w:r>
      <w:r w:rsidR="008A1693" w:rsidRPr="00E1648E">
        <w:rPr>
          <w:lang w:val="es-ES_tradnl"/>
        </w:rPr>
        <w:t xml:space="preserve"> </w:t>
      </w:r>
      <w:r w:rsidR="00F77B84" w:rsidRPr="00E1648E">
        <w:rPr>
          <w:lang w:val="es-ES_tradnl"/>
        </w:rPr>
        <w:t>de</w:t>
      </w:r>
      <w:r w:rsidR="008A1693" w:rsidRPr="00E1648E">
        <w:rPr>
          <w:lang w:val="es-ES_tradnl"/>
        </w:rPr>
        <w:t xml:space="preserve"> </w:t>
      </w:r>
      <w:r w:rsidR="00AA65E7" w:rsidRPr="00E1648E">
        <w:rPr>
          <w:lang w:val="es-ES_tradnl"/>
        </w:rPr>
        <w:t xml:space="preserve">marzo </w:t>
      </w:r>
      <w:r w:rsidR="008A1693" w:rsidRPr="00E1648E">
        <w:rPr>
          <w:lang w:val="es-ES_tradnl"/>
        </w:rPr>
        <w:t>de 201</w:t>
      </w:r>
      <w:r w:rsidR="00AA65E7" w:rsidRPr="00E1648E">
        <w:rPr>
          <w:lang w:val="es-ES_tradnl"/>
        </w:rPr>
        <w:t>5</w:t>
      </w:r>
    </w:p>
    <w:p w:rsidR="00A1169B" w:rsidRPr="00E1648E" w:rsidRDefault="00A1169B" w:rsidP="00A1169B">
      <w:pPr>
        <w:pStyle w:val="Titleofdoc0"/>
        <w:rPr>
          <w:lang w:val="es-ES_tradnl"/>
        </w:rPr>
      </w:pPr>
      <w:bookmarkStart w:id="4" w:name="TitleOfDoc"/>
      <w:bookmarkEnd w:id="4"/>
      <w:r w:rsidRPr="00E1648E">
        <w:rPr>
          <w:lang w:val="es-ES_tradnl"/>
        </w:rPr>
        <w:t>talleres preparatorios</w:t>
      </w:r>
    </w:p>
    <w:p w:rsidR="00A1169B" w:rsidRPr="0011508F" w:rsidRDefault="00184D5D" w:rsidP="00184D5D">
      <w:pPr>
        <w:pStyle w:val="preparedby1"/>
        <w:rPr>
          <w:lang w:val="es-ES_tradnl"/>
        </w:rPr>
      </w:pPr>
      <w:bookmarkStart w:id="5" w:name="Prepared"/>
      <w:bookmarkEnd w:id="5"/>
      <w:r w:rsidRPr="00E1648E">
        <w:rPr>
          <w:lang w:val="es-ES_tradnl"/>
        </w:rPr>
        <w:t>Documento preparado por la Oficina de la Unión</w:t>
      </w:r>
      <w:r w:rsidRPr="0011508F">
        <w:rPr>
          <w:color w:val="808080"/>
          <w:lang w:val="es-ES_tradnl"/>
        </w:rPr>
        <w:br/>
      </w:r>
      <w:r w:rsidRPr="0011508F">
        <w:rPr>
          <w:lang w:val="es-ES_tradnl"/>
        </w:rPr>
        <w:br/>
      </w:r>
      <w:r w:rsidR="00327BFB">
        <w:rPr>
          <w:color w:val="A6A6A6"/>
          <w:lang w:val="es-ES_tradnl"/>
        </w:rPr>
        <w:t xml:space="preserve">Descargo de responsabilidad: </w:t>
      </w:r>
      <w:r w:rsidRPr="0011508F">
        <w:rPr>
          <w:color w:val="A6A6A6"/>
          <w:lang w:val="es-ES_tradnl"/>
        </w:rPr>
        <w:t>el presente documento no constituye</w:t>
      </w:r>
      <w:r w:rsidRPr="0011508F">
        <w:rPr>
          <w:color w:val="A6A6A6"/>
          <w:lang w:val="es-ES_tradnl"/>
        </w:rPr>
        <w:br/>
        <w:t>un documento de política u orientación de la UPOV</w:t>
      </w:r>
    </w:p>
    <w:p w:rsidR="00A1169B" w:rsidRPr="00E1648E" w:rsidRDefault="00B6454C" w:rsidP="00A1169B">
      <w:pPr>
        <w:autoSpaceDE w:val="0"/>
        <w:autoSpaceDN w:val="0"/>
        <w:adjustRightInd w:val="0"/>
        <w:rPr>
          <w:rFonts w:cs="Arial"/>
          <w:snapToGrid w:val="0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su trigésima octava sesión, celebrada en Ginebra del 15 al 17 de abril de 2002, y sobre la base del documento TC/38/12, el Comité Técnico (TC) acordó organizar talleres preparatorios antes de cada reunión de los Grupos de Trabajo Técnico a fin de ayudar a varios de los delegados a participar más activamente en las reuniones.</w:t>
      </w:r>
      <w:r w:rsidR="000703EE" w:rsidRPr="00E1648E">
        <w:rPr>
          <w:rFonts w:cs="Arial"/>
          <w:lang w:val="es-ES"/>
        </w:rPr>
        <w:t xml:space="preserve">  </w:t>
      </w:r>
      <w:r w:rsidR="00E01090" w:rsidRPr="00E1648E">
        <w:rPr>
          <w:lang w:val="es-ES"/>
        </w:rPr>
        <w:t xml:space="preserve">En </w:t>
      </w:r>
      <w:r w:rsidR="00E01090" w:rsidRPr="00E1648E">
        <w:rPr>
          <w:snapToGrid w:val="0"/>
          <w:lang w:val="es-ES"/>
        </w:rPr>
        <w:t xml:space="preserve">su quincuagésima sesión, celebrada en Ginebra del 7 al 9 de abril de 2014, el TC </w:t>
      </w:r>
      <w:r w:rsidR="00E01090" w:rsidRPr="00E1648E">
        <w:rPr>
          <w:lang w:val="es-ES"/>
        </w:rPr>
        <w:t>tomó nota del informe sobre los talleres preparatorios celebrados en 2013</w:t>
      </w:r>
      <w:r w:rsidR="00E01090" w:rsidRPr="00E1648E">
        <w:rPr>
          <w:rFonts w:ascii="ArialMT" w:hAnsi="ArialMT"/>
          <w:lang w:val="es-ES"/>
        </w:rPr>
        <w:t>. Aprobó</w:t>
      </w:r>
      <w:r w:rsidR="00E01090" w:rsidRPr="00E1648E">
        <w:rPr>
          <w:snapToGrid w:val="0"/>
          <w:lang w:val="es-ES"/>
        </w:rPr>
        <w:t xml:space="preserve"> </w:t>
      </w:r>
      <w:r w:rsidR="00E01090" w:rsidRPr="00E1648E">
        <w:rPr>
          <w:rFonts w:ascii="ArialMT" w:hAnsi="ArialMT"/>
          <w:lang w:val="es-ES"/>
        </w:rPr>
        <w:t>el programa propuesto de 2014 que se expone en el documento TC/50/11</w:t>
      </w:r>
      <w:r w:rsidR="00E01090" w:rsidRPr="00E1648E">
        <w:rPr>
          <w:snapToGrid w:val="0"/>
          <w:lang w:val="es-ES"/>
        </w:rPr>
        <w:t xml:space="preserve"> (véanse los párrafos 128 a 131 del documento TC/50/36 “Informe sobre las conclusiones”</w:t>
      </w:r>
      <w:r w:rsidR="000703EE" w:rsidRPr="00E1648E">
        <w:rPr>
          <w:rFonts w:cs="Arial"/>
          <w:snapToGrid w:val="0"/>
          <w:lang w:val="es-ES"/>
        </w:rPr>
        <w:t>).</w:t>
      </w:r>
    </w:p>
    <w:p w:rsidR="00A1169B" w:rsidRPr="00E1648E" w:rsidRDefault="00A1169B" w:rsidP="000703EE">
      <w:pPr>
        <w:autoSpaceDE w:val="0"/>
        <w:autoSpaceDN w:val="0"/>
        <w:adjustRightInd w:val="0"/>
        <w:rPr>
          <w:rFonts w:cs="Arial"/>
          <w:lang w:val="es-ES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El presente documento tiene por fin informar sobre los talleres preparatorios organizados en 2014 y presentar propuestas para 2015.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el presente documento se utilizan las abreviaturas siguientes: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A1169B" w:rsidP="00A1169B">
      <w:pPr>
        <w:tabs>
          <w:tab w:val="left" w:pos="567"/>
        </w:tabs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TC</w:t>
      </w:r>
      <w:r w:rsidR="0011508F" w:rsidRPr="00E1648E">
        <w:rPr>
          <w:rFonts w:cs="Arial"/>
          <w:lang w:val="es-ES_tradnl"/>
        </w:rPr>
        <w:t>:</w:t>
      </w:r>
      <w:r w:rsidR="0011508F" w:rsidRPr="00E1648E">
        <w:rPr>
          <w:rFonts w:cs="Arial"/>
          <w:lang w:val="es-ES_tradnl"/>
        </w:rPr>
        <w:tab/>
      </w:r>
      <w:r w:rsidRPr="00E1648E">
        <w:rPr>
          <w:rFonts w:cs="Arial"/>
          <w:lang w:val="es-ES_tradnl"/>
        </w:rPr>
        <w:t>Comité Técnico</w:t>
      </w:r>
    </w:p>
    <w:p w:rsidR="00A1169B" w:rsidRPr="00E1648E" w:rsidRDefault="00A1169B" w:rsidP="00A1169B">
      <w:pPr>
        <w:tabs>
          <w:tab w:val="left" w:pos="567"/>
        </w:tabs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TWA</w:t>
      </w:r>
      <w:r w:rsidR="0011508F" w:rsidRPr="00E1648E">
        <w:rPr>
          <w:rFonts w:cs="Arial"/>
          <w:lang w:val="es-ES_tradnl"/>
        </w:rPr>
        <w:t>:</w:t>
      </w:r>
      <w:r w:rsidR="0011508F" w:rsidRPr="00E1648E">
        <w:rPr>
          <w:rFonts w:cs="Arial"/>
          <w:lang w:val="es-ES_tradnl"/>
        </w:rPr>
        <w:tab/>
      </w:r>
      <w:r w:rsidRPr="00E1648E">
        <w:rPr>
          <w:rFonts w:cs="Arial"/>
          <w:lang w:val="es-ES_tradnl"/>
        </w:rPr>
        <w:t>Grupo de Trabajo Técnico sobre Plantas Agrícolas</w:t>
      </w:r>
    </w:p>
    <w:p w:rsidR="00A1169B" w:rsidRPr="00E1648E" w:rsidRDefault="00A1169B" w:rsidP="00A1169B">
      <w:pPr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TWC</w:t>
      </w:r>
      <w:r w:rsidR="0011508F" w:rsidRPr="00E1648E">
        <w:rPr>
          <w:rFonts w:cs="Arial"/>
          <w:lang w:val="es-ES_tradnl"/>
        </w:rPr>
        <w:t>:</w:t>
      </w:r>
      <w:r w:rsidR="0011508F" w:rsidRPr="00E1648E">
        <w:rPr>
          <w:rFonts w:cs="Arial"/>
          <w:lang w:val="es-ES_tradnl"/>
        </w:rPr>
        <w:tab/>
      </w:r>
      <w:r w:rsidRPr="00E1648E">
        <w:rPr>
          <w:rFonts w:cs="Arial"/>
          <w:lang w:val="es-ES_tradnl"/>
        </w:rPr>
        <w:t>Grupo de Trabajo Técnico sobre Automatización y Programas Informáticos</w:t>
      </w:r>
    </w:p>
    <w:p w:rsidR="00A1169B" w:rsidRPr="00E1648E" w:rsidRDefault="0011508F" w:rsidP="00A1169B">
      <w:pPr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TWF:</w:t>
      </w:r>
      <w:r w:rsidRPr="00E1648E">
        <w:rPr>
          <w:rFonts w:cs="Arial"/>
          <w:lang w:val="es-ES_tradnl"/>
        </w:rPr>
        <w:tab/>
      </w:r>
      <w:r w:rsidR="00A1169B" w:rsidRPr="00E1648E">
        <w:rPr>
          <w:rFonts w:cs="Arial"/>
          <w:lang w:val="es-ES_tradnl"/>
        </w:rPr>
        <w:t>Grupo de Trabajo Técnico sobre Plantas Frutales</w:t>
      </w:r>
    </w:p>
    <w:p w:rsidR="00A1169B" w:rsidRPr="00E1648E" w:rsidRDefault="00A1169B" w:rsidP="00A1169B">
      <w:pPr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TWO</w:t>
      </w:r>
      <w:r w:rsidR="0011508F" w:rsidRPr="00E1648E">
        <w:rPr>
          <w:rFonts w:cs="Arial"/>
          <w:lang w:val="es-ES_tradnl"/>
        </w:rPr>
        <w:t>:</w:t>
      </w:r>
      <w:r w:rsidR="0011508F" w:rsidRPr="00E1648E">
        <w:rPr>
          <w:rFonts w:cs="Arial"/>
          <w:lang w:val="es-ES_tradnl"/>
        </w:rPr>
        <w:tab/>
      </w:r>
      <w:r w:rsidRPr="00E1648E">
        <w:rPr>
          <w:rFonts w:cs="Arial"/>
          <w:lang w:val="es-ES_tradnl"/>
        </w:rPr>
        <w:t>Grupo de Trabajo Técnico sobre Plantas Ornamentales y Árboles Forestales</w:t>
      </w:r>
    </w:p>
    <w:p w:rsidR="00A1169B" w:rsidRPr="00E1648E" w:rsidRDefault="00A1169B" w:rsidP="00A1169B">
      <w:pPr>
        <w:spacing w:after="60"/>
        <w:ind w:left="1418" w:hanging="851"/>
        <w:rPr>
          <w:rFonts w:cs="Arial"/>
          <w:lang w:val="es-ES"/>
        </w:rPr>
      </w:pPr>
      <w:r w:rsidRPr="00E1648E">
        <w:rPr>
          <w:rFonts w:cs="Arial"/>
          <w:lang w:val="es-ES_tradnl"/>
        </w:rPr>
        <w:t>TWV</w:t>
      </w:r>
      <w:r w:rsidR="0011508F" w:rsidRPr="00E1648E">
        <w:rPr>
          <w:rFonts w:cs="Arial"/>
          <w:lang w:val="es-ES_tradnl"/>
        </w:rPr>
        <w:t>:</w:t>
      </w:r>
      <w:r w:rsidR="0011508F" w:rsidRPr="00E1648E">
        <w:rPr>
          <w:rFonts w:cs="Arial"/>
          <w:lang w:val="es-ES_tradnl"/>
        </w:rPr>
        <w:tab/>
      </w:r>
      <w:r w:rsidRPr="00E1648E">
        <w:rPr>
          <w:rFonts w:cs="Arial"/>
          <w:lang w:val="es-ES_tradnl"/>
        </w:rPr>
        <w:t>Grupo de Trabajo Técnico sobre Hortalizas</w:t>
      </w:r>
    </w:p>
    <w:p w:rsidR="00A1169B" w:rsidRPr="00E1648E" w:rsidRDefault="00A1169B" w:rsidP="00A1169B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es-ES"/>
        </w:rPr>
      </w:pPr>
      <w:r w:rsidRPr="00E1648E">
        <w:rPr>
          <w:rFonts w:ascii="Arial" w:hAnsi="Arial" w:cs="Arial"/>
          <w:color w:val="auto"/>
          <w:sz w:val="20"/>
          <w:szCs w:val="20"/>
          <w:lang w:val="es-ES_tradnl"/>
        </w:rPr>
        <w:t>BMT</w:t>
      </w:r>
      <w:r w:rsidR="0011508F" w:rsidRPr="00E1648E">
        <w:rPr>
          <w:rFonts w:ascii="Arial" w:hAnsi="Arial" w:cs="Arial"/>
          <w:color w:val="auto"/>
          <w:sz w:val="20"/>
          <w:szCs w:val="20"/>
          <w:lang w:val="es-ES_tradnl"/>
        </w:rPr>
        <w:t>:</w:t>
      </w:r>
      <w:r w:rsidR="0011508F" w:rsidRPr="00E1648E">
        <w:rPr>
          <w:rFonts w:ascii="Arial" w:hAnsi="Arial" w:cs="Arial"/>
          <w:color w:val="auto"/>
          <w:sz w:val="20"/>
          <w:szCs w:val="20"/>
          <w:lang w:val="es-ES_tradnl"/>
        </w:rPr>
        <w:tab/>
      </w:r>
      <w:r w:rsidRPr="00E1648E">
        <w:rPr>
          <w:rFonts w:ascii="Arial" w:hAnsi="Arial" w:cs="Arial"/>
          <w:color w:val="auto"/>
          <w:sz w:val="20"/>
          <w:szCs w:val="20"/>
          <w:lang w:val="es-ES_tradnl"/>
        </w:rPr>
        <w:t>Grupo de Trabajo sobre Técnicas Bioquímicas y Moleculares, y Perfiles de ADN en particular</w:t>
      </w:r>
    </w:p>
    <w:p w:rsidR="00327BFB" w:rsidRDefault="00A1169B" w:rsidP="00A1169B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es-ES_tradnl"/>
        </w:rPr>
      </w:pPr>
      <w:r w:rsidRPr="00E1648E">
        <w:rPr>
          <w:rFonts w:ascii="Arial" w:hAnsi="Arial" w:cs="Arial"/>
          <w:color w:val="auto"/>
          <w:sz w:val="20"/>
          <w:szCs w:val="20"/>
          <w:lang w:val="es-ES_tradnl"/>
        </w:rPr>
        <w:t>TWP</w:t>
      </w:r>
      <w:r w:rsidR="0011508F" w:rsidRPr="00E1648E">
        <w:rPr>
          <w:rFonts w:ascii="Arial" w:hAnsi="Arial" w:cs="Arial"/>
          <w:color w:val="auto"/>
          <w:sz w:val="20"/>
          <w:szCs w:val="20"/>
          <w:lang w:val="es-ES_tradnl"/>
        </w:rPr>
        <w:t>:</w:t>
      </w:r>
      <w:r w:rsidR="0011508F" w:rsidRPr="00E1648E">
        <w:rPr>
          <w:rFonts w:ascii="Arial" w:hAnsi="Arial" w:cs="Arial"/>
          <w:color w:val="auto"/>
          <w:sz w:val="20"/>
          <w:szCs w:val="20"/>
          <w:lang w:val="es-ES_tradnl"/>
        </w:rPr>
        <w:tab/>
      </w:r>
      <w:r w:rsidRPr="00E1648E">
        <w:rPr>
          <w:rFonts w:ascii="Arial" w:hAnsi="Arial" w:cs="Arial"/>
          <w:color w:val="auto"/>
          <w:sz w:val="20"/>
          <w:szCs w:val="20"/>
          <w:lang w:val="es-ES_tradnl"/>
        </w:rPr>
        <w:t>Grupo de Trabajo Técnico</w:t>
      </w:r>
    </w:p>
    <w:p w:rsidR="00327BFB" w:rsidRDefault="00327BFB">
      <w:pPr>
        <w:jc w:val="left"/>
        <w:rPr>
          <w:rFonts w:cs="Arial"/>
          <w:lang w:val="es-ES_tradnl" w:eastAsia="ja-JP" w:bidi="th-TH"/>
        </w:rPr>
      </w:pPr>
      <w:r>
        <w:rPr>
          <w:rFonts w:cs="Arial"/>
          <w:lang w:val="es-ES_tradnl"/>
        </w:rPr>
        <w:br w:type="page"/>
      </w:r>
    </w:p>
    <w:p w:rsidR="00A1169B" w:rsidRPr="00E1648E" w:rsidRDefault="00A1169B" w:rsidP="00E1648E">
      <w:pPr>
        <w:pStyle w:val="Heading6"/>
        <w:keepLines/>
        <w:rPr>
          <w:rFonts w:ascii="Arial" w:hAnsi="Arial" w:cs="Arial"/>
          <w:i w:val="0"/>
          <w:sz w:val="20"/>
          <w:szCs w:val="20"/>
          <w:u w:val="single"/>
          <w:lang w:val="es-ES"/>
        </w:rPr>
      </w:pPr>
      <w:r w:rsidRPr="00E1648E">
        <w:rPr>
          <w:rFonts w:ascii="Arial" w:hAnsi="Arial" w:cs="Arial"/>
          <w:i w:val="0"/>
          <w:sz w:val="20"/>
          <w:szCs w:val="20"/>
          <w:u w:val="single"/>
          <w:lang w:val="es-ES_tradnl"/>
        </w:rPr>
        <w:lastRenderedPageBreak/>
        <w:t>Informe sobre los talleres preparatorios y actividades afines organizados en 2014</w:t>
      </w:r>
    </w:p>
    <w:p w:rsidR="00A1169B" w:rsidRPr="00E1648E" w:rsidRDefault="00A1169B" w:rsidP="00E1648E">
      <w:pPr>
        <w:keepNext/>
        <w:keepLines/>
        <w:rPr>
          <w:rFonts w:cs="Arial"/>
          <w:i/>
          <w:lang w:val="es-ES"/>
        </w:rPr>
      </w:pPr>
    </w:p>
    <w:p w:rsidR="00A1169B" w:rsidRPr="00E1648E" w:rsidRDefault="00B6454C" w:rsidP="00E1648E">
      <w:pPr>
        <w:keepNext/>
        <w:keepLines/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2014, los talleres preparatorios tuvieron lugar el día anterior al comienzo de la reunión del Grupo de Trabajo Técnico, con una organización similar respecto del TWA, el TWF, el TWO y el TWV, y en ellos se abordaron los siguientes temas:</w:t>
      </w:r>
    </w:p>
    <w:p w:rsidR="00A1169B" w:rsidRPr="00E1648E" w:rsidRDefault="00A1169B" w:rsidP="00E1648E">
      <w:pPr>
        <w:keepNext/>
        <w:keepLines/>
        <w:rPr>
          <w:rFonts w:cs="Arial"/>
          <w:lang w:val="es-ES"/>
        </w:rPr>
      </w:pPr>
    </w:p>
    <w:p w:rsidR="00A1169B" w:rsidRPr="00E1648E" w:rsidRDefault="00A1169B" w:rsidP="00E1648E">
      <w:pPr>
        <w:keepNext/>
        <w:keepLines/>
        <w:numPr>
          <w:ilvl w:val="0"/>
          <w:numId w:val="3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Introducción a la UPOV y función de los Grupos de Trabajo Técnico de la UPOV</w:t>
      </w:r>
    </w:p>
    <w:p w:rsidR="00A1169B" w:rsidRPr="00E1648E" w:rsidRDefault="00A1169B" w:rsidP="00E1648E">
      <w:pPr>
        <w:keepNext/>
        <w:keepLines/>
        <w:numPr>
          <w:ilvl w:val="0"/>
          <w:numId w:val="3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Resumen de la Introducción General (documento TG/1/3 y documentos TGP)</w:t>
      </w:r>
    </w:p>
    <w:p w:rsidR="00A1169B" w:rsidRPr="00E1648E" w:rsidRDefault="00A1169B" w:rsidP="00E1648E">
      <w:pPr>
        <w:keepNext/>
        <w:keepLines/>
        <w:numPr>
          <w:ilvl w:val="0"/>
          <w:numId w:val="5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Caracteres:  base del examen DHE y selección de caracteres</w:t>
      </w:r>
    </w:p>
    <w:p w:rsidR="00A1169B" w:rsidRPr="00E1648E" w:rsidRDefault="00A1169B" w:rsidP="00E1648E">
      <w:pPr>
        <w:keepNext/>
        <w:keepLines/>
        <w:numPr>
          <w:ilvl w:val="0"/>
          <w:numId w:val="3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Orientaciones para la redacción de directrices de examen (documento TGP/7)</w:t>
      </w:r>
      <w:r w:rsidR="000703EE" w:rsidRPr="00E1648E">
        <w:rPr>
          <w:rFonts w:cs="Arial"/>
          <w:i/>
          <w:lang w:val="es-ES"/>
        </w:rPr>
        <w:t xml:space="preserve"> </w:t>
      </w:r>
    </w:p>
    <w:p w:rsidR="00A1169B" w:rsidRPr="00E1648E" w:rsidRDefault="00A1169B" w:rsidP="00E1648E">
      <w:pPr>
        <w:keepNext/>
        <w:keepLines/>
        <w:numPr>
          <w:ilvl w:val="0"/>
          <w:numId w:val="2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Objeto de las directrices de examen, material necesario y método de examen</w:t>
      </w:r>
    </w:p>
    <w:p w:rsidR="00A1169B" w:rsidRPr="00E1648E" w:rsidRDefault="00A1169B" w:rsidP="00A1169B">
      <w:pPr>
        <w:numPr>
          <w:ilvl w:val="0"/>
          <w:numId w:val="2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Método de observación (MS, MG, VS, VG)</w:t>
      </w:r>
    </w:p>
    <w:p w:rsidR="00A1169B" w:rsidRPr="00E1648E" w:rsidRDefault="00A1169B" w:rsidP="00A1169B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Tipos de expresión (QL, QN, PQ), notas y distinción</w:t>
      </w:r>
    </w:p>
    <w:p w:rsidR="00A1169B" w:rsidRPr="00E1648E" w:rsidRDefault="00A1169B" w:rsidP="00A1169B">
      <w:pPr>
        <w:numPr>
          <w:ilvl w:val="0"/>
          <w:numId w:val="2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Caracteres relativos a la forma y el color</w:t>
      </w:r>
    </w:p>
    <w:p w:rsidR="00A1169B" w:rsidRPr="00E1648E" w:rsidRDefault="00A1169B" w:rsidP="00A1169B">
      <w:pPr>
        <w:numPr>
          <w:ilvl w:val="0"/>
          <w:numId w:val="2"/>
        </w:numPr>
        <w:rPr>
          <w:rFonts w:cs="Arial"/>
          <w:i/>
        </w:rPr>
      </w:pPr>
      <w:r w:rsidRPr="00E1648E">
        <w:rPr>
          <w:rFonts w:cs="Arial"/>
          <w:i/>
          <w:lang w:val="es-ES_tradnl"/>
        </w:rPr>
        <w:t>Variedades ejemplo</w:t>
      </w:r>
    </w:p>
    <w:p w:rsidR="00A1169B" w:rsidRPr="00E1648E" w:rsidRDefault="00A1169B" w:rsidP="00A1169B">
      <w:pPr>
        <w:numPr>
          <w:ilvl w:val="0"/>
          <w:numId w:val="2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El proceso de elaboración de directrices de examen de la UPOV, a saber:  plantilla de los documentos TG, texto estándar adicional y notas orientativas</w:t>
      </w:r>
    </w:p>
    <w:p w:rsidR="00A1169B" w:rsidRPr="00E1648E" w:rsidRDefault="00A1169B" w:rsidP="00A1169B">
      <w:pPr>
        <w:numPr>
          <w:ilvl w:val="0"/>
          <w:numId w:val="3"/>
        </w:numPr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Orden del día de la reunión del TWP correspondiente</w:t>
      </w:r>
    </w:p>
    <w:p w:rsidR="00A1169B" w:rsidRPr="00E1648E" w:rsidRDefault="00A1169B" w:rsidP="00A1169B">
      <w:pPr>
        <w:numPr>
          <w:ilvl w:val="0"/>
          <w:numId w:val="3"/>
        </w:numPr>
        <w:rPr>
          <w:rFonts w:cs="Arial"/>
          <w:i/>
        </w:rPr>
      </w:pPr>
      <w:r w:rsidRPr="00E1648E">
        <w:rPr>
          <w:rFonts w:cs="Arial"/>
          <w:i/>
          <w:lang w:val="es-ES_tradnl"/>
        </w:rPr>
        <w:t>Información recibida de los participantes</w:t>
      </w:r>
    </w:p>
    <w:p w:rsidR="00A1169B" w:rsidRPr="00E1648E" w:rsidRDefault="00A1169B" w:rsidP="000703EE">
      <w:pPr>
        <w:rPr>
          <w:rFonts w:cs="Arial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el taller preparatorio correspondiente al TWC se abordaron los siguientes temas: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41444D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1.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Introducción a la UPOV y función de los Grupos de Trabajo Técnico de la UPOV</w:t>
      </w:r>
    </w:p>
    <w:p w:rsidR="00A1169B" w:rsidRPr="00E1648E" w:rsidRDefault="0041444D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2.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Aspectos generales de los ensayos DHE y de las directrices de examen</w:t>
      </w:r>
    </w:p>
    <w:p w:rsidR="00A1169B" w:rsidRPr="00E1648E" w:rsidRDefault="0041444D" w:rsidP="00A1169B">
      <w:pPr>
        <w:ind w:left="1134"/>
        <w:rPr>
          <w:i/>
          <w:lang w:val="es-ES"/>
        </w:rPr>
      </w:pPr>
      <w:r w:rsidRPr="00E1648E">
        <w:rPr>
          <w:i/>
          <w:lang w:val="es-ES_tradnl"/>
        </w:rPr>
        <w:t>a)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Método de observación y tipo de registro (MS, MG, VS, VG)</w:t>
      </w:r>
    </w:p>
    <w:p w:rsidR="00A1169B" w:rsidRPr="00E1648E" w:rsidRDefault="0041444D" w:rsidP="00A1169B">
      <w:pPr>
        <w:ind w:left="1134"/>
        <w:rPr>
          <w:i/>
          <w:lang w:val="es-ES"/>
        </w:rPr>
      </w:pPr>
      <w:r w:rsidRPr="00E1648E">
        <w:rPr>
          <w:i/>
          <w:lang w:val="es-ES_tradnl"/>
        </w:rPr>
        <w:t>b)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Tipos de expresión de los caracteres (QL, PQ y QN) y tipos de escala de los datos</w:t>
      </w:r>
    </w:p>
    <w:p w:rsidR="00A1169B" w:rsidRPr="00E1648E" w:rsidRDefault="00ED7C3B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3.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Métodos utilizados para el análisis de datos DHE y elaboración de descripciones de variedades</w:t>
      </w:r>
    </w:p>
    <w:p w:rsidR="00A1169B" w:rsidRPr="00E1648E" w:rsidRDefault="00ED7C3B" w:rsidP="00A1169B">
      <w:pPr>
        <w:ind w:left="1134"/>
        <w:rPr>
          <w:i/>
          <w:lang w:val="es-ES"/>
        </w:rPr>
      </w:pPr>
      <w:r w:rsidRPr="00E1648E">
        <w:rPr>
          <w:i/>
          <w:lang w:val="es-ES_tradnl"/>
        </w:rPr>
        <w:t>a)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Métodos de gestión utilizados en el examen DHE para la transformación de observaciones y mediciones en notas para la distinción y para las descripciones de variedades</w:t>
      </w:r>
      <w:r w:rsidR="000703EE" w:rsidRPr="00E1648E">
        <w:rPr>
          <w:i/>
          <w:lang w:val="es-ES"/>
        </w:rPr>
        <w:t xml:space="preserve"> </w:t>
      </w:r>
    </w:p>
    <w:p w:rsidR="00A1169B" w:rsidRPr="00E1648E" w:rsidRDefault="00ED7C3B" w:rsidP="00A1169B">
      <w:pPr>
        <w:ind w:left="1134"/>
        <w:rPr>
          <w:i/>
          <w:lang w:val="es-ES"/>
        </w:rPr>
      </w:pPr>
      <w:r w:rsidRPr="00E1648E">
        <w:rPr>
          <w:i/>
          <w:lang w:val="es-ES_tradnl" w:eastAsia="ja-JP" w:bidi="km-KH"/>
        </w:rPr>
        <w:t>b)</w:t>
      </w:r>
      <w:r w:rsidRPr="00E1648E">
        <w:rPr>
          <w:i/>
          <w:lang w:val="es-ES_tradnl" w:eastAsia="ja-JP" w:bidi="km-KH"/>
        </w:rPr>
        <w:tab/>
      </w:r>
      <w:r w:rsidR="00A1169B" w:rsidRPr="00E1648E">
        <w:rPr>
          <w:i/>
          <w:lang w:val="es-ES_tradnl" w:eastAsia="ja-JP" w:bidi="km-KH"/>
        </w:rPr>
        <w:t>Método utilizado para el diseño de ensayos y análisis de datos DHE</w:t>
      </w:r>
      <w:r w:rsidR="000703EE" w:rsidRPr="00E1648E">
        <w:rPr>
          <w:i/>
          <w:lang w:val="es-ES" w:eastAsia="ja-JP" w:bidi="km-KH"/>
        </w:rPr>
        <w:t xml:space="preserve"> </w:t>
      </w:r>
    </w:p>
    <w:p w:rsidR="00A1169B" w:rsidRPr="00E1648E" w:rsidRDefault="000703EE" w:rsidP="000703EE">
      <w:pPr>
        <w:ind w:left="1134" w:hanging="567"/>
        <w:rPr>
          <w:i/>
          <w:lang w:val="es-ES"/>
        </w:rPr>
      </w:pPr>
      <w:r w:rsidRPr="00E1648E">
        <w:rPr>
          <w:i/>
          <w:lang w:val="es-ES"/>
        </w:rPr>
        <w:t>4.</w:t>
      </w:r>
      <w:r w:rsidRPr="00E1648E">
        <w:rPr>
          <w:i/>
          <w:lang w:val="es-ES"/>
        </w:rPr>
        <w:tab/>
      </w:r>
      <w:r w:rsidR="00E01090" w:rsidRPr="00E1648E">
        <w:rPr>
          <w:i/>
          <w:lang w:val="es-ES"/>
        </w:rPr>
        <w:t>Análisis de imágenes</w:t>
      </w:r>
    </w:p>
    <w:p w:rsidR="00A1169B" w:rsidRPr="00E1648E" w:rsidRDefault="00ED7C3B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5.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El sitio web de la UPOV</w:t>
      </w:r>
    </w:p>
    <w:p w:rsidR="00A1169B" w:rsidRPr="00E1648E" w:rsidRDefault="00ED7C3B" w:rsidP="00A1169B">
      <w:pPr>
        <w:ind w:left="1134"/>
        <w:rPr>
          <w:i/>
          <w:lang w:val="es-ES"/>
        </w:rPr>
      </w:pPr>
      <w:r w:rsidRPr="00E1648E">
        <w:rPr>
          <w:i/>
          <w:lang w:val="es-ES_tradnl"/>
        </w:rPr>
        <w:t>a)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Bases de datos (Códigos de la UPOV, GENIE, PLUTO, directrices de examen y UPOV Lex)</w:t>
      </w:r>
    </w:p>
    <w:p w:rsidR="00A1169B" w:rsidRPr="00E1648E" w:rsidRDefault="00ED7C3B" w:rsidP="00A1169B">
      <w:pPr>
        <w:ind w:left="1134"/>
        <w:rPr>
          <w:i/>
          <w:lang w:val="es-ES"/>
        </w:rPr>
      </w:pPr>
      <w:r w:rsidRPr="00E1648E">
        <w:rPr>
          <w:i/>
          <w:lang w:val="es-ES_tradnl"/>
        </w:rPr>
        <w:t>b)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Otros recursos disponibles (publicaciones, miembros, colección de la UPOV, calendario de reuniones)</w:t>
      </w:r>
    </w:p>
    <w:p w:rsidR="00A1169B" w:rsidRPr="00E1648E" w:rsidRDefault="00E30399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6.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Orden del día de la reunión del TWC</w:t>
      </w:r>
    </w:p>
    <w:p w:rsidR="00A1169B" w:rsidRPr="00E1648E" w:rsidRDefault="00E30399" w:rsidP="00A1169B">
      <w:pPr>
        <w:ind w:left="1134" w:hanging="567"/>
        <w:rPr>
          <w:i/>
          <w:lang w:val="es-ES"/>
        </w:rPr>
      </w:pPr>
      <w:r w:rsidRPr="00E1648E">
        <w:rPr>
          <w:i/>
          <w:lang w:val="es-ES_tradnl"/>
        </w:rPr>
        <w:t>7.</w:t>
      </w:r>
      <w:r w:rsidRPr="00E1648E">
        <w:rPr>
          <w:i/>
          <w:lang w:val="es-ES_tradnl"/>
        </w:rPr>
        <w:tab/>
      </w:r>
      <w:r w:rsidR="00A1169B" w:rsidRPr="00E1648E">
        <w:rPr>
          <w:i/>
          <w:lang w:val="es-ES_tradnl"/>
        </w:rPr>
        <w:t>Información recibida de los participantes</w:t>
      </w:r>
    </w:p>
    <w:p w:rsidR="00A1169B" w:rsidRPr="00E1648E" w:rsidRDefault="00A1169B" w:rsidP="000703EE">
      <w:pPr>
        <w:ind w:left="1134" w:hanging="567"/>
        <w:rPr>
          <w:i/>
          <w:lang w:val="es-ES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el taller preparatorio correspondiente al TWC se abordaron los siguientes temas: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Introducción a la UPOV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Resumen acerca de los Grupos de Trabajo Técnico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Orientaciones para el examen DHE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Función de los Grupos de Trabajo Técnico y el BMT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Situación en la UPOV en relación con el posible uso de técnicas moleculares en el examen DHE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El concepto de variedad esencialmente derivada</w:t>
      </w:r>
    </w:p>
    <w:p w:rsidR="00A1169B" w:rsidRPr="00E1648E" w:rsidRDefault="007A4488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La f</w:t>
      </w:r>
      <w:r w:rsidR="00A1169B" w:rsidRPr="00E1648E">
        <w:rPr>
          <w:rFonts w:ascii="Arial" w:hAnsi="Arial" w:cs="Arial"/>
          <w:i/>
          <w:sz w:val="20"/>
          <w:szCs w:val="20"/>
          <w:lang w:val="es-ES_tradnl"/>
        </w:rPr>
        <w:t>unción de la UPOV en la identificación de variedades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El sitio web de la UPOV</w:t>
      </w:r>
    </w:p>
    <w:p w:rsidR="00A1169B" w:rsidRPr="00E1648E" w:rsidRDefault="00A1169B" w:rsidP="00A1169B">
      <w:pPr>
        <w:pStyle w:val="ListParagraph"/>
        <w:numPr>
          <w:ilvl w:val="0"/>
          <w:numId w:val="8"/>
        </w:numPr>
        <w:ind w:left="1134" w:hanging="567"/>
        <w:rPr>
          <w:rFonts w:ascii="Arial" w:hAnsi="Arial" w:cs="Arial"/>
          <w:i/>
          <w:sz w:val="20"/>
          <w:szCs w:val="20"/>
          <w:lang w:val="es-ES"/>
        </w:rPr>
      </w:pPr>
      <w:r w:rsidRPr="00E1648E">
        <w:rPr>
          <w:rFonts w:ascii="Arial" w:hAnsi="Arial" w:cs="Arial"/>
          <w:i/>
          <w:sz w:val="20"/>
          <w:szCs w:val="20"/>
          <w:lang w:val="es-ES_tradnl"/>
        </w:rPr>
        <w:t>Orden del día de la reunión del BMT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Los talleres preparatorios abarcaron media jornada.</w:t>
      </w:r>
      <w:r w:rsidR="000703EE" w:rsidRPr="00E1648E">
        <w:rPr>
          <w:rFonts w:cs="Arial"/>
          <w:lang w:val="es-ES"/>
        </w:rPr>
        <w:t xml:space="preserve">  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B6454C" w:rsidP="00E1648E">
      <w:pPr>
        <w:keepNext/>
        <w:keepLines/>
        <w:rPr>
          <w:rFonts w:cs="Arial"/>
          <w:lang w:val="es-ES"/>
        </w:rPr>
      </w:pPr>
      <w:r w:rsidRPr="00E1648E">
        <w:rPr>
          <w:rFonts w:cs="Arial"/>
        </w:rPr>
        <w:lastRenderedPageBreak/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el cuadro que figura a continuación se resume la participación en los talleres preparatorios celebrados entre 2003 y 2014.  En el número de participantes están incluidos los expertos que presentaron ponencias en los respectivos talleres.</w:t>
      </w:r>
      <w:r w:rsidR="00F92AEC">
        <w:rPr>
          <w:rFonts w:cs="Arial"/>
          <w:lang w:val="es-ES"/>
        </w:rPr>
        <w:t xml:space="preserve"> </w:t>
      </w:r>
    </w:p>
    <w:p w:rsidR="000703EE" w:rsidRPr="00E1648E" w:rsidRDefault="000703EE" w:rsidP="00E1648E">
      <w:pPr>
        <w:keepNext/>
        <w:keepLines/>
        <w:jc w:val="left"/>
        <w:rPr>
          <w:rFonts w:cs="Arial"/>
          <w:lang w:val="es-ES"/>
        </w:rPr>
      </w:pPr>
    </w:p>
    <w:tbl>
      <w:tblPr>
        <w:tblW w:w="992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E1648E" w:rsidRPr="00E1648E" w:rsidTr="002606F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169B" w:rsidRPr="00E1648E" w:rsidRDefault="00A1169B" w:rsidP="00E1648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  <w:p w:rsidR="000703EE" w:rsidRPr="00E1648E" w:rsidRDefault="000703EE" w:rsidP="00E1648E">
            <w:pPr>
              <w:keepNext/>
              <w:keepLines/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7513" w:type="dxa"/>
            <w:gridSpan w:val="12"/>
            <w:tcBorders>
              <w:left w:val="single" w:sz="4" w:space="0" w:color="auto"/>
            </w:tcBorders>
          </w:tcPr>
          <w:p w:rsidR="000703EE" w:rsidRPr="00E1648E" w:rsidRDefault="00470E99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Participació</w:t>
            </w:r>
            <w:r w:rsidR="000703EE" w:rsidRPr="00E1648E">
              <w:rPr>
                <w:rFonts w:cs="Arial"/>
                <w:sz w:val="18"/>
                <w:szCs w:val="18"/>
                <w:u w:val="single"/>
              </w:rPr>
              <w:t>n</w:t>
            </w:r>
          </w:p>
        </w:tc>
      </w:tr>
      <w:tr w:rsidR="00E1648E" w:rsidRPr="00E1648E" w:rsidTr="002606FF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1169B" w:rsidRPr="00E1648E" w:rsidRDefault="00A1169B" w:rsidP="00E1648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  <w:p w:rsidR="000703EE" w:rsidRPr="00E1648E" w:rsidRDefault="000703EE" w:rsidP="00E1648E">
            <w:pPr>
              <w:keepNext/>
              <w:keepLines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626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627" w:type="dxa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E1648E"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</w:tr>
      <w:tr w:rsidR="00E1648E" w:rsidRPr="00E1648E" w:rsidTr="002606FF">
        <w:trPr>
          <w:cantSplit/>
        </w:trPr>
        <w:tc>
          <w:tcPr>
            <w:tcW w:w="2410" w:type="dxa"/>
          </w:tcPr>
          <w:p w:rsidR="00A1169B" w:rsidRPr="00E1648E" w:rsidRDefault="004C6DAD" w:rsidP="00E1648E">
            <w:pPr>
              <w:keepNext/>
              <w:keepLines/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1648E">
              <w:rPr>
                <w:rFonts w:cs="Arial"/>
                <w:i/>
                <w:iCs/>
                <w:sz w:val="18"/>
                <w:szCs w:val="18"/>
                <w:lang w:val="es-ES"/>
              </w:rPr>
              <w:t>Miembros de la Unión</w:t>
            </w:r>
          </w:p>
          <w:p w:rsidR="000703EE" w:rsidRPr="00E1648E" w:rsidRDefault="00E01090" w:rsidP="00E1648E">
            <w:pPr>
              <w:keepNext/>
              <w:keepLines/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1648E">
              <w:rPr>
                <w:sz w:val="18"/>
                <w:lang w:val="es-ES"/>
              </w:rPr>
              <w:t>número de participantes /</w:t>
            </w:r>
            <w:r w:rsidRPr="00E1648E">
              <w:rPr>
                <w:rFonts w:cs="Arial"/>
                <w:sz w:val="18"/>
                <w:szCs w:val="18"/>
                <w:lang w:val="es-ES"/>
              </w:rPr>
              <w:br/>
            </w:r>
            <w:r w:rsidRPr="00E1648E">
              <w:rPr>
                <w:sz w:val="18"/>
                <w:lang w:val="es-ES"/>
              </w:rPr>
              <w:t>(número de miembros de la Unión)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55</w:t>
            </w:r>
            <w:r w:rsidRPr="00E1648E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69</w:t>
            </w:r>
            <w:r w:rsidRPr="00E1648E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 xml:space="preserve">130 </w:t>
            </w:r>
            <w:r w:rsidRPr="00E1648E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136</w:t>
            </w:r>
            <w:r w:rsidRPr="00E1648E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167</w:t>
            </w:r>
            <w:r w:rsidRPr="00E1648E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162</w:t>
            </w:r>
            <w:r w:rsidRPr="00E1648E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95</w:t>
            </w:r>
            <w:r w:rsidRPr="00E1648E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117</w:t>
            </w:r>
            <w:r w:rsidRPr="00E1648E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115</w:t>
            </w:r>
            <w:r w:rsidRPr="00E1648E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114</w:t>
            </w:r>
            <w:r w:rsidRPr="00E1648E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626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627" w:type="dxa"/>
            <w:vAlign w:val="bottom"/>
          </w:tcPr>
          <w:p w:rsidR="000703EE" w:rsidRPr="00E1648E" w:rsidRDefault="000703EE" w:rsidP="00E1648E">
            <w:pPr>
              <w:keepNext/>
              <w:keepLines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132</w:t>
            </w:r>
            <w:r w:rsidRPr="00E1648E">
              <w:rPr>
                <w:rFonts w:cs="Arial"/>
                <w:sz w:val="18"/>
                <w:szCs w:val="18"/>
              </w:rPr>
              <w:br/>
              <w:t>(26)</w:t>
            </w:r>
          </w:p>
        </w:tc>
      </w:tr>
      <w:tr w:rsidR="00E1648E" w:rsidRPr="00E1648E" w:rsidTr="002606FF">
        <w:trPr>
          <w:cantSplit/>
        </w:trPr>
        <w:tc>
          <w:tcPr>
            <w:tcW w:w="2410" w:type="dxa"/>
          </w:tcPr>
          <w:p w:rsidR="00E01090" w:rsidRPr="00E1648E" w:rsidRDefault="00E01090" w:rsidP="00C26A55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1648E">
              <w:rPr>
                <w:i/>
                <w:sz w:val="18"/>
                <w:lang w:val="es-ES"/>
              </w:rPr>
              <w:t>Estados / autoridades observadores</w:t>
            </w:r>
          </w:p>
          <w:p w:rsidR="00E01090" w:rsidRPr="00E1648E" w:rsidRDefault="00E01090" w:rsidP="00C26A55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1648E">
              <w:rPr>
                <w:sz w:val="18"/>
                <w:lang w:val="es-ES"/>
              </w:rPr>
              <w:t xml:space="preserve">número de participantes / </w:t>
            </w:r>
            <w:r w:rsidRPr="00E1648E">
              <w:rPr>
                <w:rFonts w:cs="Arial"/>
                <w:sz w:val="18"/>
                <w:szCs w:val="18"/>
                <w:lang w:val="es-ES"/>
              </w:rPr>
              <w:br/>
            </w:r>
            <w:r w:rsidRPr="00E1648E">
              <w:rPr>
                <w:sz w:val="18"/>
                <w:lang w:val="es-ES"/>
              </w:rPr>
              <w:t>(número de Estados / autoridades)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10</w:t>
            </w:r>
            <w:r w:rsidRPr="00E1648E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2</w:t>
            </w:r>
            <w:r w:rsidRPr="00E1648E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 xml:space="preserve">3 </w:t>
            </w:r>
            <w:r w:rsidRPr="00E1648E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3</w:t>
            </w:r>
            <w:r w:rsidRPr="00E1648E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3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15</w:t>
            </w:r>
            <w:r w:rsidRPr="00E1648E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8</w:t>
            </w:r>
            <w:r w:rsidRPr="00E1648E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12</w:t>
            </w:r>
          </w:p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627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15</w:t>
            </w:r>
            <w:r w:rsidRPr="00E1648E">
              <w:rPr>
                <w:rFonts w:cs="Arial"/>
                <w:sz w:val="18"/>
                <w:szCs w:val="18"/>
              </w:rPr>
              <w:br/>
              <w:t>(5)</w:t>
            </w:r>
          </w:p>
        </w:tc>
      </w:tr>
      <w:tr w:rsidR="00E1648E" w:rsidRPr="00E1648E" w:rsidTr="002606FF">
        <w:trPr>
          <w:cantSplit/>
        </w:trPr>
        <w:tc>
          <w:tcPr>
            <w:tcW w:w="2410" w:type="dxa"/>
          </w:tcPr>
          <w:p w:rsidR="00E01090" w:rsidRPr="00E1648E" w:rsidRDefault="00E01090" w:rsidP="00C26A55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E1648E">
              <w:rPr>
                <w:i/>
                <w:sz w:val="18"/>
                <w:lang w:val="es-ES"/>
              </w:rPr>
              <w:t xml:space="preserve">Organizaciones observadoras </w:t>
            </w:r>
          </w:p>
          <w:p w:rsidR="00E01090" w:rsidRPr="00E1648E" w:rsidRDefault="00E01090" w:rsidP="00C26A55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1648E">
              <w:rPr>
                <w:sz w:val="18"/>
                <w:lang w:val="es-ES"/>
              </w:rPr>
              <w:t xml:space="preserve">número de participantes / </w:t>
            </w:r>
            <w:r w:rsidRPr="00E1648E">
              <w:rPr>
                <w:rFonts w:cs="Arial"/>
                <w:sz w:val="18"/>
                <w:szCs w:val="18"/>
                <w:lang w:val="es-ES"/>
              </w:rPr>
              <w:br/>
            </w:r>
            <w:r w:rsidRPr="00E1648E">
              <w:rPr>
                <w:sz w:val="18"/>
                <w:lang w:val="es-ES"/>
              </w:rPr>
              <w:t>(número de organizaciones)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3</w:t>
            </w:r>
            <w:r w:rsidRPr="00E1648E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2</w:t>
            </w:r>
            <w:r w:rsidRPr="00E1648E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 xml:space="preserve">5 </w:t>
            </w:r>
            <w:r w:rsidRPr="00E1648E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2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4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25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3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10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5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jc w:val="center"/>
              <w:rPr>
                <w:rFonts w:cs="Arial"/>
                <w:sz w:val="18"/>
                <w:szCs w:val="18"/>
              </w:rPr>
            </w:pPr>
            <w:bookmarkStart w:id="6" w:name="OLE_LINK3"/>
            <w:bookmarkStart w:id="7" w:name="OLE_LINK4"/>
            <w:r w:rsidRPr="00E1648E">
              <w:rPr>
                <w:rFonts w:cs="Arial"/>
                <w:sz w:val="18"/>
                <w:szCs w:val="18"/>
              </w:rPr>
              <w:t>2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  <w:bookmarkEnd w:id="6"/>
            <w:bookmarkEnd w:id="7"/>
          </w:p>
        </w:tc>
        <w:tc>
          <w:tcPr>
            <w:tcW w:w="626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4</w:t>
            </w:r>
          </w:p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627" w:type="dxa"/>
            <w:vAlign w:val="bottom"/>
          </w:tcPr>
          <w:p w:rsidR="00E01090" w:rsidRPr="00E1648E" w:rsidRDefault="00E01090" w:rsidP="002606F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E1648E">
              <w:rPr>
                <w:rFonts w:cs="Arial"/>
                <w:sz w:val="18"/>
                <w:szCs w:val="18"/>
              </w:rPr>
              <w:t>2</w:t>
            </w:r>
            <w:r w:rsidRPr="00E1648E">
              <w:rPr>
                <w:rFonts w:cs="Arial"/>
                <w:sz w:val="18"/>
                <w:szCs w:val="18"/>
              </w:rPr>
              <w:br/>
              <w:t>(2)</w:t>
            </w:r>
          </w:p>
        </w:tc>
      </w:tr>
    </w:tbl>
    <w:p w:rsidR="00A1169B" w:rsidRPr="00E1648E" w:rsidRDefault="00A1169B" w:rsidP="000703EE">
      <w:pPr>
        <w:ind w:left="567"/>
        <w:rPr>
          <w:rFonts w:cs="Arial"/>
          <w:sz w:val="16"/>
        </w:rPr>
      </w:pPr>
    </w:p>
    <w:p w:rsidR="00A1169B" w:rsidRPr="00E1648E" w:rsidRDefault="00A1169B" w:rsidP="000703EE">
      <w:pPr>
        <w:ind w:left="567"/>
        <w:rPr>
          <w:rFonts w:cs="Arial"/>
          <w:sz w:val="16"/>
        </w:rPr>
      </w:pPr>
    </w:p>
    <w:p w:rsidR="00A1169B" w:rsidRPr="00E1648E" w:rsidRDefault="00B6454C" w:rsidP="00A1169B">
      <w:pPr>
        <w:keepNext/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En lo que respecta a los talleres preparatorios celebrados en 2014, a continuación figura el número de participantes en cada uno de ellos:</w:t>
      </w:r>
    </w:p>
    <w:p w:rsidR="000703EE" w:rsidRPr="00E1648E" w:rsidRDefault="000703EE" w:rsidP="000703EE">
      <w:pPr>
        <w:keepNext/>
        <w:rPr>
          <w:rFonts w:cs="Arial"/>
          <w:lang w:val="es-E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E1648E" w:rsidRPr="00E1648E" w:rsidTr="002606FF">
        <w:tc>
          <w:tcPr>
            <w:tcW w:w="3686" w:type="dxa"/>
          </w:tcPr>
          <w:p w:rsidR="000703EE" w:rsidRPr="00E1648E" w:rsidRDefault="000703EE" w:rsidP="002606FF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E1648E">
              <w:rPr>
                <w:rFonts w:cs="Arial"/>
              </w:rPr>
              <w:t xml:space="preserve">TWA </w:t>
            </w:r>
            <w:r w:rsidRPr="00E1648E">
              <w:rPr>
                <w:rFonts w:cs="Arial"/>
              </w:rPr>
              <w:tab/>
              <w:t xml:space="preserve">(Argentina): </w:t>
            </w:r>
          </w:p>
        </w:tc>
        <w:tc>
          <w:tcPr>
            <w:tcW w:w="1276" w:type="dxa"/>
          </w:tcPr>
          <w:p w:rsidR="000703EE" w:rsidRPr="00E1648E" w:rsidRDefault="000703EE" w:rsidP="002606FF">
            <w:r w:rsidRPr="00E1648E">
              <w:rPr>
                <w:rFonts w:cs="Arial"/>
                <w:sz w:val="18"/>
                <w:szCs w:val="18"/>
              </w:rPr>
              <w:t>29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0703EE" w:rsidP="002606F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E1648E">
              <w:rPr>
                <w:rFonts w:cs="Arial"/>
              </w:rPr>
              <w:t xml:space="preserve">TWC </w:t>
            </w:r>
            <w:r w:rsidRPr="00E1648E">
              <w:rPr>
                <w:rFonts w:cs="Arial"/>
              </w:rPr>
              <w:tab/>
              <w:t>(</w:t>
            </w:r>
            <w:proofErr w:type="spellStart"/>
            <w:r w:rsidRPr="00E1648E">
              <w:rPr>
                <w:rFonts w:cs="Arial"/>
              </w:rPr>
              <w:t>Finland</w:t>
            </w:r>
            <w:r w:rsidR="001B417B" w:rsidRPr="00E1648E">
              <w:rPr>
                <w:rFonts w:cs="Arial"/>
              </w:rPr>
              <w:t>ia</w:t>
            </w:r>
            <w:proofErr w:type="spellEnd"/>
            <w:r w:rsidRPr="00E1648E">
              <w:rPr>
                <w:rFonts w:cs="Arial"/>
              </w:rPr>
              <w:t xml:space="preserve">): </w:t>
            </w:r>
          </w:p>
        </w:tc>
        <w:tc>
          <w:tcPr>
            <w:tcW w:w="1276" w:type="dxa"/>
          </w:tcPr>
          <w:p w:rsidR="000703EE" w:rsidRPr="00E1648E" w:rsidRDefault="000703EE" w:rsidP="002606FF">
            <w:r w:rsidRPr="00E1648E">
              <w:rPr>
                <w:rFonts w:cs="Arial"/>
                <w:sz w:val="18"/>
                <w:szCs w:val="18"/>
              </w:rPr>
              <w:t>15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0703EE" w:rsidP="001B417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E1648E">
              <w:rPr>
                <w:rFonts w:cs="Arial"/>
              </w:rPr>
              <w:t>TWF</w:t>
            </w:r>
            <w:r w:rsidRPr="00E1648E">
              <w:rPr>
                <w:rFonts w:cs="Arial"/>
              </w:rPr>
              <w:tab/>
              <w:t>(</w:t>
            </w:r>
            <w:proofErr w:type="spellStart"/>
            <w:r w:rsidR="001B417B" w:rsidRPr="00E1648E">
              <w:rPr>
                <w:rFonts w:cs="Arial"/>
              </w:rPr>
              <w:t>Marruecos</w:t>
            </w:r>
            <w:proofErr w:type="spellEnd"/>
            <w:r w:rsidRPr="00E1648E">
              <w:rPr>
                <w:rFonts w:cs="Arial"/>
              </w:rPr>
              <w:t xml:space="preserve">): </w:t>
            </w:r>
          </w:p>
        </w:tc>
        <w:tc>
          <w:tcPr>
            <w:tcW w:w="1276" w:type="dxa"/>
          </w:tcPr>
          <w:p w:rsidR="000703EE" w:rsidRPr="00E1648E" w:rsidRDefault="000703EE" w:rsidP="002606FF">
            <w:r w:rsidRPr="00E1648E">
              <w:rPr>
                <w:rFonts w:cs="Arial"/>
                <w:sz w:val="18"/>
                <w:szCs w:val="18"/>
              </w:rPr>
              <w:t>20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0703EE" w:rsidP="002606F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E1648E">
              <w:rPr>
                <w:rFonts w:cs="Arial"/>
              </w:rPr>
              <w:t>TWO</w:t>
            </w:r>
            <w:r w:rsidRPr="00E1648E">
              <w:rPr>
                <w:rFonts w:cs="Arial"/>
              </w:rPr>
              <w:tab/>
              <w:t xml:space="preserve">(Kenya): </w:t>
            </w:r>
          </w:p>
        </w:tc>
        <w:tc>
          <w:tcPr>
            <w:tcW w:w="1276" w:type="dxa"/>
          </w:tcPr>
          <w:p w:rsidR="000703EE" w:rsidRPr="00E1648E" w:rsidRDefault="000703EE" w:rsidP="002606FF">
            <w:r w:rsidRPr="00E1648E">
              <w:rPr>
                <w:rFonts w:cs="Arial"/>
                <w:sz w:val="18"/>
                <w:szCs w:val="18"/>
              </w:rPr>
              <w:t>44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0703EE" w:rsidP="002606F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E1648E">
              <w:rPr>
                <w:rFonts w:cs="Arial"/>
              </w:rPr>
              <w:t>TWV</w:t>
            </w:r>
            <w:r w:rsidRPr="00E1648E">
              <w:rPr>
                <w:rFonts w:cs="Arial"/>
              </w:rPr>
              <w:tab/>
              <w:t>(</w:t>
            </w:r>
            <w:r w:rsidR="001B417B" w:rsidRPr="00E1648E">
              <w:rPr>
                <w:rFonts w:cs="Arial"/>
              </w:rPr>
              <w:t>Italia</w:t>
            </w:r>
            <w:r w:rsidRPr="00E1648E">
              <w:rPr>
                <w:rFonts w:cs="Arial"/>
              </w:rPr>
              <w:t xml:space="preserve">): </w:t>
            </w:r>
          </w:p>
        </w:tc>
        <w:tc>
          <w:tcPr>
            <w:tcW w:w="1276" w:type="dxa"/>
          </w:tcPr>
          <w:p w:rsidR="000703EE" w:rsidRPr="00E1648E" w:rsidRDefault="000703EE" w:rsidP="002606FF">
            <w:r w:rsidRPr="00E1648E">
              <w:rPr>
                <w:rFonts w:cs="Arial"/>
                <w:sz w:val="18"/>
                <w:szCs w:val="18"/>
              </w:rPr>
              <w:t>16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1B417B" w:rsidP="001B417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E1648E">
              <w:rPr>
                <w:rFonts w:cs="Arial"/>
                <w:lang w:val="es-ES_tradnl"/>
              </w:rPr>
              <w:t>BMT</w:t>
            </w:r>
            <w:r w:rsidRPr="00E1648E">
              <w:rPr>
                <w:rFonts w:cs="Arial"/>
                <w:lang w:val="es-ES_tradnl"/>
              </w:rPr>
              <w:tab/>
              <w:t>(República</w:t>
            </w:r>
            <w:r w:rsidR="00A1169B" w:rsidRPr="00E1648E">
              <w:rPr>
                <w:rFonts w:cs="Arial"/>
                <w:lang w:val="es-ES_tradnl"/>
              </w:rPr>
              <w:t xml:space="preserve"> </w:t>
            </w:r>
            <w:r w:rsidRPr="00E1648E">
              <w:rPr>
                <w:rFonts w:cs="Arial"/>
                <w:lang w:val="es-ES_tradnl"/>
              </w:rPr>
              <w:t>de C</w:t>
            </w:r>
            <w:r w:rsidR="00A1169B" w:rsidRPr="00E1648E">
              <w:rPr>
                <w:rFonts w:cs="Arial"/>
                <w:lang w:val="es-ES_tradnl"/>
              </w:rPr>
              <w:t>orea</w:t>
            </w:r>
            <w:r w:rsidR="004C251C" w:rsidRPr="00E1648E">
              <w:rPr>
                <w:rFonts w:cs="Arial"/>
                <w:lang w:val="es-ES_tradnl"/>
              </w:rPr>
              <w:t>)</w:t>
            </w:r>
          </w:p>
        </w:tc>
        <w:tc>
          <w:tcPr>
            <w:tcW w:w="1276" w:type="dxa"/>
          </w:tcPr>
          <w:p w:rsidR="000703EE" w:rsidRPr="00E1648E" w:rsidRDefault="000703EE" w:rsidP="002606FF">
            <w:pPr>
              <w:rPr>
                <w:lang w:val="es-ES"/>
              </w:rPr>
            </w:pPr>
            <w:r w:rsidRPr="00E1648E">
              <w:rPr>
                <w:rFonts w:cs="Arial"/>
                <w:sz w:val="18"/>
                <w:szCs w:val="18"/>
                <w:lang w:val="es-ES"/>
              </w:rPr>
              <w:t>22</w:t>
            </w:r>
          </w:p>
        </w:tc>
      </w:tr>
      <w:tr w:rsidR="00E1648E" w:rsidRPr="00E1648E" w:rsidTr="002606FF">
        <w:tc>
          <w:tcPr>
            <w:tcW w:w="3686" w:type="dxa"/>
          </w:tcPr>
          <w:p w:rsidR="000703EE" w:rsidRPr="00E1648E" w:rsidRDefault="000703EE" w:rsidP="002606F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es-ES"/>
              </w:rPr>
            </w:pPr>
          </w:p>
        </w:tc>
        <w:tc>
          <w:tcPr>
            <w:tcW w:w="1276" w:type="dxa"/>
          </w:tcPr>
          <w:p w:rsidR="000703EE" w:rsidRPr="00E1648E" w:rsidRDefault="000703EE" w:rsidP="002606FF">
            <w:pPr>
              <w:jc w:val="center"/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A1169B" w:rsidP="00A1169B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es-ES"/>
        </w:rPr>
      </w:pPr>
      <w:r w:rsidRPr="00E1648E">
        <w:rPr>
          <w:rFonts w:ascii="Arial" w:hAnsi="Arial" w:cs="Arial"/>
          <w:i w:val="0"/>
          <w:sz w:val="20"/>
          <w:szCs w:val="20"/>
          <w:u w:val="single"/>
          <w:lang w:val="es-ES_tradnl"/>
        </w:rPr>
        <w:t>Programa de los talleres preparatorios de 2015</w:t>
      </w:r>
    </w:p>
    <w:p w:rsidR="00A1169B" w:rsidRPr="00E1648E" w:rsidRDefault="00A1169B" w:rsidP="000703EE">
      <w:pPr>
        <w:rPr>
          <w:rFonts w:cs="Arial"/>
          <w:i/>
          <w:lang w:val="es-ES"/>
        </w:rPr>
      </w:pPr>
    </w:p>
    <w:p w:rsidR="00A1169B" w:rsidRPr="00E1648E" w:rsidRDefault="00B6454C" w:rsidP="00A1169B">
      <w:pPr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Se propone que en 2015 se organicen talleres preparatorios de medio día de duración conjuntamente con las sesiones del TWA, el TWF, el TWO y el TWV con arreglo al siguiente programa:</w:t>
      </w:r>
    </w:p>
    <w:p w:rsidR="00A1169B" w:rsidRPr="00E1648E" w:rsidRDefault="00A1169B" w:rsidP="000703EE">
      <w:pPr>
        <w:rPr>
          <w:rFonts w:cs="Arial"/>
          <w:lang w:val="es-ES"/>
        </w:rPr>
      </w:pPr>
    </w:p>
    <w:p w:rsidR="00A1169B" w:rsidRPr="00E1648E" w:rsidRDefault="00A1169B" w:rsidP="00A1169B">
      <w:pPr>
        <w:numPr>
          <w:ilvl w:val="0"/>
          <w:numId w:val="6"/>
        </w:numPr>
        <w:spacing w:after="12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Introducción a la UPOV y función de los Grupos de Trabajo Técnico de la UPOV</w:t>
      </w:r>
    </w:p>
    <w:p w:rsidR="00A1169B" w:rsidRPr="00E1648E" w:rsidRDefault="00A1169B" w:rsidP="00A1169B">
      <w:pPr>
        <w:numPr>
          <w:ilvl w:val="0"/>
          <w:numId w:val="6"/>
        </w:numPr>
        <w:spacing w:after="12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Resumen de la Introducción General (documento TG/1/3 y documentos TGP)</w:t>
      </w:r>
    </w:p>
    <w:p w:rsidR="00A1169B" w:rsidRPr="00E1648E" w:rsidRDefault="00A1169B" w:rsidP="00A1169B">
      <w:pPr>
        <w:numPr>
          <w:ilvl w:val="0"/>
          <w:numId w:val="5"/>
        </w:numPr>
        <w:spacing w:after="12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Caracteres:  base del examen DHE y selección de caracteres</w:t>
      </w:r>
    </w:p>
    <w:p w:rsidR="00A1169B" w:rsidRPr="00E1648E" w:rsidRDefault="00A1169B" w:rsidP="00A1169B">
      <w:pPr>
        <w:numPr>
          <w:ilvl w:val="0"/>
          <w:numId w:val="6"/>
        </w:numPr>
        <w:spacing w:after="12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Orientaciones para la redacción de directrices de examen (documento TGP/7)</w:t>
      </w:r>
      <w:r w:rsidR="000703EE" w:rsidRPr="00E1648E">
        <w:rPr>
          <w:rFonts w:cs="Arial"/>
          <w:i/>
          <w:lang w:val="es-ES"/>
        </w:rPr>
        <w:t xml:space="preserve"> </w:t>
      </w:r>
    </w:p>
    <w:p w:rsidR="00A1169B" w:rsidRPr="00E1648E" w:rsidRDefault="00A1169B" w:rsidP="00A1169B">
      <w:pPr>
        <w:numPr>
          <w:ilvl w:val="0"/>
          <w:numId w:val="7"/>
        </w:numPr>
        <w:spacing w:before="60" w:after="6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Objeto de las directrices de examen, material necesario y método de examen</w:t>
      </w:r>
    </w:p>
    <w:p w:rsidR="00A1169B" w:rsidRPr="00E1648E" w:rsidRDefault="00A1169B" w:rsidP="00A1169B">
      <w:pPr>
        <w:numPr>
          <w:ilvl w:val="0"/>
          <w:numId w:val="7"/>
        </w:numPr>
        <w:spacing w:before="60" w:after="6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Método de observación (MS, MG, VS, VG)</w:t>
      </w:r>
    </w:p>
    <w:p w:rsidR="00A1169B" w:rsidRPr="00E1648E" w:rsidRDefault="00A1169B" w:rsidP="00A1169B">
      <w:pPr>
        <w:numPr>
          <w:ilvl w:val="0"/>
          <w:numId w:val="7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Tipos de expresión (QL, QN, PQ), notas y distinción</w:t>
      </w:r>
    </w:p>
    <w:p w:rsidR="00A1169B" w:rsidRPr="00E1648E" w:rsidRDefault="00A1169B" w:rsidP="00A1169B">
      <w:pPr>
        <w:numPr>
          <w:ilvl w:val="0"/>
          <w:numId w:val="7"/>
        </w:numPr>
        <w:spacing w:before="60" w:after="6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Caracteres relativos a la forma y el color</w:t>
      </w:r>
    </w:p>
    <w:p w:rsidR="00A1169B" w:rsidRPr="00E1648E" w:rsidRDefault="00A1169B" w:rsidP="00A1169B">
      <w:pPr>
        <w:numPr>
          <w:ilvl w:val="0"/>
          <w:numId w:val="7"/>
        </w:numPr>
        <w:spacing w:before="60" w:after="60"/>
        <w:rPr>
          <w:rFonts w:cs="Arial"/>
          <w:i/>
        </w:rPr>
      </w:pPr>
      <w:r w:rsidRPr="00E1648E">
        <w:rPr>
          <w:rFonts w:cs="Arial"/>
          <w:i/>
          <w:lang w:val="es-ES_tradnl"/>
        </w:rPr>
        <w:t>Variedades ejemplo</w:t>
      </w:r>
    </w:p>
    <w:p w:rsidR="00A1169B" w:rsidRPr="00E1648E" w:rsidRDefault="00A1169B" w:rsidP="00A1169B">
      <w:pPr>
        <w:numPr>
          <w:ilvl w:val="0"/>
          <w:numId w:val="7"/>
        </w:numPr>
        <w:spacing w:before="60" w:after="6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El proceso de elaboración de directrices de examen de la UPOV, a saber:  plantilla de los documentos TG, texto estándar adicional y notas orientativas</w:t>
      </w:r>
    </w:p>
    <w:p w:rsidR="00A1169B" w:rsidRPr="00E1648E" w:rsidRDefault="00A1169B" w:rsidP="00A1169B">
      <w:pPr>
        <w:numPr>
          <w:ilvl w:val="0"/>
          <w:numId w:val="6"/>
        </w:numPr>
        <w:spacing w:after="120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Orden del día de la reunión del TWP correspondiente</w:t>
      </w:r>
    </w:p>
    <w:p w:rsidR="00A1169B" w:rsidRPr="00E1648E" w:rsidRDefault="00A1169B" w:rsidP="00A1169B">
      <w:pPr>
        <w:numPr>
          <w:ilvl w:val="0"/>
          <w:numId w:val="6"/>
        </w:numPr>
        <w:rPr>
          <w:rFonts w:cs="Arial"/>
          <w:i/>
        </w:rPr>
      </w:pPr>
      <w:r w:rsidRPr="00E1648E">
        <w:rPr>
          <w:rFonts w:cs="Arial"/>
          <w:i/>
          <w:lang w:val="es-ES_tradnl"/>
        </w:rPr>
        <w:t>Información recibida de los participantes</w:t>
      </w:r>
    </w:p>
    <w:p w:rsidR="00A1169B" w:rsidRPr="00E1648E" w:rsidRDefault="00A1169B" w:rsidP="000703EE">
      <w:pPr>
        <w:rPr>
          <w:rFonts w:cs="Arial"/>
        </w:rPr>
      </w:pPr>
    </w:p>
    <w:p w:rsidR="00A1169B" w:rsidRPr="00E1648E" w:rsidRDefault="00B6454C" w:rsidP="00A1169B">
      <w:pPr>
        <w:keepNext/>
        <w:rPr>
          <w:rFonts w:cs="Arial"/>
          <w:lang w:val="es-ES"/>
        </w:rPr>
      </w:pPr>
      <w:r w:rsidRPr="00E1648E">
        <w:rPr>
          <w:rFonts w:cs="Arial"/>
        </w:rPr>
        <w:lastRenderedPageBreak/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Se propone organizar un taller preparatorio de medio día de duración conjuntamente con la sesión de 2015 del TWC, con arreglo al siguiente programa:</w:t>
      </w:r>
    </w:p>
    <w:p w:rsidR="00A1169B" w:rsidRPr="00E1648E" w:rsidRDefault="00A1169B" w:rsidP="000703EE">
      <w:pPr>
        <w:keepNext/>
        <w:rPr>
          <w:rFonts w:cs="Arial"/>
          <w:lang w:val="es-ES"/>
        </w:rPr>
      </w:pPr>
    </w:p>
    <w:p w:rsidR="00A1169B" w:rsidRPr="00E1648E" w:rsidRDefault="00A1169B" w:rsidP="00A1169B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Introducción a la UPOV y función de los Grupos de Trabajo Técnico de la UPOV</w:t>
      </w:r>
    </w:p>
    <w:p w:rsidR="00A1169B" w:rsidRPr="00E1648E" w:rsidRDefault="00A1169B" w:rsidP="00A1169B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Resumen de la Introducción General (documento TG/1/3 y documentos TGP)</w:t>
      </w:r>
    </w:p>
    <w:p w:rsidR="00A1169B" w:rsidRPr="00E1648E" w:rsidRDefault="00A1169B" w:rsidP="00A1169B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Aspectos generales de los ensayos DHE y de las directrices de examen</w:t>
      </w:r>
    </w:p>
    <w:p w:rsidR="00A1169B" w:rsidRPr="00E1648E" w:rsidRDefault="00A1169B" w:rsidP="00A1169B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Método de observación y tipo de registro (MS, MG, VS, VG)</w:t>
      </w:r>
      <w:r w:rsidR="000703EE" w:rsidRPr="00E1648E">
        <w:rPr>
          <w:rFonts w:cs="Arial"/>
          <w:i/>
          <w:lang w:val="es-ES"/>
        </w:rPr>
        <w:t xml:space="preserve"> </w:t>
      </w:r>
    </w:p>
    <w:p w:rsidR="00A1169B" w:rsidRPr="00E1648E" w:rsidRDefault="00A1169B" w:rsidP="00A1169B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Tipos de expresión de los caracteres (QL, PQ y QN) y tipos de escala de los datos</w:t>
      </w:r>
      <w:r w:rsidR="000703EE" w:rsidRPr="00E1648E">
        <w:rPr>
          <w:rFonts w:cs="Arial"/>
          <w:i/>
          <w:lang w:val="es-ES"/>
        </w:rPr>
        <w:t xml:space="preserve"> </w:t>
      </w:r>
    </w:p>
    <w:p w:rsidR="00A1169B" w:rsidRPr="00E1648E" w:rsidRDefault="00A1169B" w:rsidP="00A1169B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</w:rPr>
      </w:pPr>
      <w:r w:rsidRPr="00E1648E">
        <w:rPr>
          <w:rFonts w:cs="Arial"/>
          <w:i/>
          <w:lang w:val="es-ES_tradnl"/>
        </w:rPr>
        <w:t>Análisis de imágenes</w:t>
      </w:r>
    </w:p>
    <w:p w:rsidR="00A1169B" w:rsidRPr="00E1648E" w:rsidRDefault="00C02D92" w:rsidP="00A1169B">
      <w:pPr>
        <w:spacing w:after="120"/>
        <w:ind w:left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5.</w:t>
      </w:r>
      <w:r w:rsidRPr="00E1648E">
        <w:rPr>
          <w:rFonts w:cs="Arial"/>
          <w:i/>
          <w:lang w:val="es-ES_tradnl"/>
        </w:rPr>
        <w:tab/>
      </w:r>
      <w:r w:rsidR="00A1169B" w:rsidRPr="00E1648E">
        <w:rPr>
          <w:rFonts w:cs="Arial"/>
          <w:i/>
          <w:lang w:val="es-ES_tradnl"/>
        </w:rPr>
        <w:t>El sitio web de la UPOV</w:t>
      </w:r>
    </w:p>
    <w:p w:rsidR="00A1169B" w:rsidRPr="00E1648E" w:rsidRDefault="00A1169B" w:rsidP="00A1169B">
      <w:pPr>
        <w:numPr>
          <w:ilvl w:val="2"/>
          <w:numId w:val="6"/>
        </w:numPr>
        <w:spacing w:after="120"/>
        <w:ind w:left="1701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Bases de datos (Códigos de la UPOV, GENIE, PLUTO, directrices de examen y UPOV Lex)</w:t>
      </w:r>
    </w:p>
    <w:p w:rsidR="00A1169B" w:rsidRPr="00E1648E" w:rsidRDefault="00E01090" w:rsidP="000703EE">
      <w:pPr>
        <w:numPr>
          <w:ilvl w:val="2"/>
          <w:numId w:val="6"/>
        </w:numPr>
        <w:spacing w:after="120"/>
        <w:ind w:left="1701" w:hanging="567"/>
        <w:rPr>
          <w:rFonts w:cs="Arial"/>
          <w:i/>
          <w:lang w:val="es-ES_tradnl"/>
        </w:rPr>
      </w:pPr>
      <w:r w:rsidRPr="00E1648E">
        <w:rPr>
          <w:rFonts w:cs="Arial"/>
          <w:i/>
          <w:lang w:val="es-ES_tradnl"/>
        </w:rPr>
        <w:t>Otros recursos</w:t>
      </w:r>
    </w:p>
    <w:p w:rsidR="00A1169B" w:rsidRPr="00E1648E" w:rsidRDefault="00C02D92" w:rsidP="00A1169B">
      <w:pPr>
        <w:spacing w:after="120"/>
        <w:ind w:left="1134" w:hanging="567"/>
        <w:rPr>
          <w:rFonts w:cs="Arial"/>
          <w:i/>
          <w:lang w:val="es-ES"/>
        </w:rPr>
      </w:pPr>
      <w:r w:rsidRPr="00E1648E">
        <w:rPr>
          <w:rFonts w:cs="Arial"/>
          <w:i/>
          <w:lang w:val="es-ES_tradnl"/>
        </w:rPr>
        <w:t>6.</w:t>
      </w:r>
      <w:r w:rsidRPr="00E1648E">
        <w:rPr>
          <w:rFonts w:cs="Arial"/>
          <w:i/>
          <w:lang w:val="es-ES_tradnl"/>
        </w:rPr>
        <w:tab/>
      </w:r>
      <w:r w:rsidR="00A1169B" w:rsidRPr="00E1648E">
        <w:rPr>
          <w:rFonts w:cs="Arial"/>
          <w:i/>
          <w:lang w:val="es-ES_tradnl"/>
        </w:rPr>
        <w:t>Orden del día de la reunión del TWP correspondiente</w:t>
      </w:r>
    </w:p>
    <w:p w:rsidR="00A1169B" w:rsidRPr="00E1648E" w:rsidRDefault="00C02D92" w:rsidP="00A1169B">
      <w:pPr>
        <w:ind w:firstLine="567"/>
        <w:rPr>
          <w:rFonts w:cs="Arial"/>
          <w:i/>
          <w:lang w:val="es-ES_tradnl"/>
        </w:rPr>
      </w:pPr>
      <w:r w:rsidRPr="00E1648E">
        <w:rPr>
          <w:rFonts w:cs="Arial"/>
          <w:i/>
          <w:lang w:val="es-ES_tradnl"/>
        </w:rPr>
        <w:t>7.</w:t>
      </w:r>
      <w:r w:rsidRPr="00E1648E">
        <w:rPr>
          <w:rFonts w:cs="Arial"/>
          <w:i/>
          <w:lang w:val="es-ES_tradnl"/>
        </w:rPr>
        <w:tab/>
      </w:r>
      <w:r w:rsidR="00A1169B" w:rsidRPr="00E1648E">
        <w:rPr>
          <w:rFonts w:cs="Arial"/>
          <w:i/>
          <w:lang w:val="es-ES_tradnl"/>
        </w:rPr>
        <w:t>Información recibida de los participantes</w:t>
      </w:r>
    </w:p>
    <w:p w:rsidR="004118AA" w:rsidRPr="00E1648E" w:rsidRDefault="004118AA" w:rsidP="00A1169B">
      <w:pPr>
        <w:ind w:firstLine="567"/>
        <w:rPr>
          <w:rFonts w:cs="Arial"/>
          <w:i/>
          <w:lang w:val="es-ES"/>
        </w:rPr>
      </w:pPr>
    </w:p>
    <w:p w:rsidR="00A1169B" w:rsidRPr="00E1648E" w:rsidRDefault="00B6454C" w:rsidP="00A1169B">
      <w:pPr>
        <w:pStyle w:val="DecisionParagraphs"/>
        <w:rPr>
          <w:rFonts w:cs="Arial"/>
          <w:lang w:val="es-ES"/>
        </w:rPr>
      </w:pPr>
      <w:r w:rsidRPr="00E1648E">
        <w:rPr>
          <w:rFonts w:cs="Arial"/>
        </w:rPr>
        <w:fldChar w:fldCharType="begin"/>
      </w:r>
      <w:r w:rsidR="000703EE" w:rsidRPr="00E1648E">
        <w:rPr>
          <w:rFonts w:cs="Arial"/>
          <w:lang w:val="es-ES"/>
        </w:rPr>
        <w:instrText xml:space="preserve"> AUTONUM  </w:instrText>
      </w:r>
      <w:r w:rsidRPr="00E1648E">
        <w:rPr>
          <w:rFonts w:cs="Arial"/>
        </w:rPr>
        <w:fldChar w:fldCharType="end"/>
      </w:r>
      <w:r w:rsidR="000703EE" w:rsidRPr="00E1648E">
        <w:rPr>
          <w:rFonts w:cs="Arial"/>
          <w:lang w:val="es-ES"/>
        </w:rPr>
        <w:tab/>
      </w:r>
      <w:r w:rsidR="00A1169B" w:rsidRPr="00E1648E">
        <w:rPr>
          <w:rFonts w:cs="Arial"/>
          <w:lang w:val="es-ES_tradnl"/>
        </w:rPr>
        <w:t>Se invita al TC a:</w:t>
      </w:r>
    </w:p>
    <w:p w:rsidR="00A1169B" w:rsidRPr="00E1648E" w:rsidRDefault="00A1169B" w:rsidP="000703EE">
      <w:pPr>
        <w:pStyle w:val="DecisionParagraphs"/>
        <w:rPr>
          <w:rFonts w:cs="Arial"/>
          <w:lang w:val="es-ES"/>
        </w:rPr>
      </w:pPr>
    </w:p>
    <w:p w:rsidR="00A1169B" w:rsidRPr="00E1648E" w:rsidRDefault="00A1169B" w:rsidP="00A1169B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  <w:lang w:val="es-ES"/>
        </w:rPr>
      </w:pPr>
      <w:r w:rsidRPr="00E1648E">
        <w:rPr>
          <w:rFonts w:cs="Arial"/>
          <w:lang w:val="es-ES_tradnl"/>
        </w:rPr>
        <w:t>tomar nota del informe sobre los talleres preparatorios celebrados en 2014;</w:t>
      </w:r>
    </w:p>
    <w:p w:rsidR="00A1169B" w:rsidRPr="00E1648E" w:rsidRDefault="00A1169B" w:rsidP="000703EE">
      <w:pPr>
        <w:pStyle w:val="DecisionParagraphs"/>
        <w:tabs>
          <w:tab w:val="clear" w:pos="5387"/>
        </w:tabs>
        <w:ind w:left="5529"/>
        <w:rPr>
          <w:rFonts w:cs="Arial"/>
          <w:lang w:val="es-ES"/>
        </w:rPr>
      </w:pPr>
    </w:p>
    <w:p w:rsidR="00A1169B" w:rsidRPr="00E1648E" w:rsidRDefault="00A1169B" w:rsidP="00A1169B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</w:tabs>
        <w:ind w:left="4820" w:firstLine="709"/>
        <w:rPr>
          <w:rFonts w:cs="Arial"/>
          <w:lang w:val="es-ES"/>
        </w:rPr>
      </w:pPr>
      <w:r w:rsidRPr="00E1648E">
        <w:rPr>
          <w:rFonts w:cs="Arial"/>
          <w:lang w:val="es-ES_tradnl"/>
        </w:rPr>
        <w:t>examinar la propuesta de programa de los talleres preparatorios de 2015 que se expone en los párrafos 10 a 11 del presente documento.</w:t>
      </w:r>
    </w:p>
    <w:p w:rsidR="00A1169B" w:rsidRPr="00E1648E" w:rsidRDefault="00A1169B" w:rsidP="00E1648E">
      <w:pPr>
        <w:pStyle w:val="EndOfDoc0"/>
        <w:ind w:left="0"/>
        <w:jc w:val="both"/>
        <w:rPr>
          <w:rFonts w:ascii="Arial" w:hAnsi="Arial" w:cs="Arial"/>
          <w:sz w:val="20"/>
          <w:lang w:val="es-ES"/>
        </w:rPr>
      </w:pPr>
    </w:p>
    <w:p w:rsidR="00A1169B" w:rsidRPr="00E1648E" w:rsidRDefault="00A1169B" w:rsidP="00905020">
      <w:pPr>
        <w:rPr>
          <w:snapToGrid w:val="0"/>
          <w:lang w:val="es-ES"/>
        </w:rPr>
      </w:pPr>
    </w:p>
    <w:p w:rsidR="00A1169B" w:rsidRPr="00E1648E" w:rsidRDefault="00A1169B" w:rsidP="00E1648E">
      <w:pPr>
        <w:rPr>
          <w:snapToGrid w:val="0"/>
          <w:lang w:val="es-ES"/>
        </w:rPr>
      </w:pPr>
    </w:p>
    <w:p w:rsidR="00A1169B" w:rsidRPr="00E1648E" w:rsidRDefault="007F4BB2" w:rsidP="007F4BB2">
      <w:pPr>
        <w:jc w:val="right"/>
        <w:rPr>
          <w:snapToGrid w:val="0"/>
          <w:lang w:val="es-ES_tradnl"/>
        </w:rPr>
      </w:pPr>
      <w:r w:rsidRPr="00E1648E">
        <w:rPr>
          <w:snapToGrid w:val="0"/>
          <w:lang w:val="es-ES_tradnl"/>
        </w:rPr>
        <w:t>[Fin d</w:t>
      </w:r>
      <w:r w:rsidR="00970020" w:rsidRPr="00E1648E">
        <w:rPr>
          <w:snapToGrid w:val="0"/>
          <w:lang w:val="es-ES_tradnl"/>
        </w:rPr>
        <w:t>el</w:t>
      </w:r>
      <w:r w:rsidRPr="00E1648E">
        <w:rPr>
          <w:snapToGrid w:val="0"/>
          <w:lang w:val="es-ES_tradnl"/>
        </w:rPr>
        <w:t xml:space="preserve"> documento]</w:t>
      </w:r>
    </w:p>
    <w:p w:rsidR="007F4BB2" w:rsidRPr="00E1648E" w:rsidRDefault="007F4BB2" w:rsidP="00E1648E">
      <w:pPr>
        <w:rPr>
          <w:snapToGrid w:val="0"/>
          <w:lang w:val="es-ES_tradnl"/>
        </w:rPr>
      </w:pPr>
    </w:p>
    <w:sectPr w:rsidR="007F4BB2" w:rsidRPr="00E1648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3D" w:rsidRDefault="0044653D" w:rsidP="00F45372">
      <w:r>
        <w:separator/>
      </w:r>
    </w:p>
    <w:p w:rsidR="0044653D" w:rsidRDefault="0044653D" w:rsidP="00F45372"/>
    <w:p w:rsidR="0044653D" w:rsidRDefault="0044653D" w:rsidP="00F45372"/>
  </w:endnote>
  <w:endnote w:type="continuationSeparator" w:id="0">
    <w:p w:rsidR="0044653D" w:rsidRDefault="0044653D" w:rsidP="00F45372">
      <w:r>
        <w:separator/>
      </w:r>
    </w:p>
    <w:p w:rsidR="0044653D" w:rsidRPr="00970020" w:rsidRDefault="0044653D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44653D" w:rsidRPr="00970020" w:rsidRDefault="0044653D" w:rsidP="00F45372">
      <w:pPr>
        <w:rPr>
          <w:lang w:val="fr-CH"/>
        </w:rPr>
      </w:pPr>
    </w:p>
    <w:p w:rsidR="0044653D" w:rsidRPr="00970020" w:rsidRDefault="0044653D" w:rsidP="00F45372">
      <w:pPr>
        <w:rPr>
          <w:lang w:val="fr-CH"/>
        </w:rPr>
      </w:pPr>
    </w:p>
  </w:endnote>
  <w:endnote w:type="continuationNotice" w:id="1">
    <w:p w:rsidR="0044653D" w:rsidRPr="00970020" w:rsidRDefault="0044653D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44653D" w:rsidRPr="00970020" w:rsidRDefault="0044653D" w:rsidP="00F45372">
      <w:pPr>
        <w:rPr>
          <w:lang w:val="fr-CH"/>
        </w:rPr>
      </w:pPr>
    </w:p>
    <w:p w:rsidR="0044653D" w:rsidRPr="00970020" w:rsidRDefault="0044653D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3D" w:rsidRDefault="0044653D" w:rsidP="00F45372">
      <w:r>
        <w:separator/>
      </w:r>
    </w:p>
  </w:footnote>
  <w:footnote w:type="continuationSeparator" w:id="0">
    <w:p w:rsidR="0044653D" w:rsidRDefault="0044653D" w:rsidP="00F45372">
      <w:r>
        <w:separator/>
      </w:r>
    </w:p>
  </w:footnote>
  <w:footnote w:type="continuationNotice" w:id="1">
    <w:p w:rsidR="0044653D" w:rsidRPr="00905020" w:rsidRDefault="0044653D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16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3D2BD5">
      <w:rPr>
        <w:rStyle w:val="PageNumber"/>
        <w:lang w:val="es-ES_tradnl"/>
      </w:rPr>
      <w:t>13</w:t>
    </w:r>
  </w:p>
  <w:p w:rsidR="008A1693" w:rsidRPr="008D3729" w:rsidRDefault="008A1693" w:rsidP="00E16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="00B6454C"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="00B6454C" w:rsidRPr="008D3729">
      <w:rPr>
        <w:rStyle w:val="PageNumber"/>
        <w:lang w:val="es-ES_tradnl"/>
      </w:rPr>
      <w:fldChar w:fldCharType="separate"/>
    </w:r>
    <w:r w:rsidR="0038465E">
      <w:rPr>
        <w:rStyle w:val="PageNumber"/>
        <w:noProof/>
        <w:lang w:val="es-ES_tradnl"/>
      </w:rPr>
      <w:t>4</w:t>
    </w:r>
    <w:r w:rsidR="00B6454C" w:rsidRPr="008D3729">
      <w:rPr>
        <w:rStyle w:val="PageNumber"/>
        <w:lang w:val="es-ES_tradnl"/>
      </w:rPr>
      <w:fldChar w:fldCharType="end"/>
    </w:r>
  </w:p>
  <w:p w:rsidR="008A1693" w:rsidRPr="008D3729" w:rsidRDefault="008A1693" w:rsidP="00E1648E">
    <w:pPr>
      <w:jc w:val="cent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41329D1C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382699E0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212C5DC7"/>
    <w:multiLevelType w:val="hybridMultilevel"/>
    <w:tmpl w:val="74B852B6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EB2F5D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B976E75"/>
    <w:multiLevelType w:val="hybridMultilevel"/>
    <w:tmpl w:val="499413F6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70B63C3"/>
    <w:multiLevelType w:val="hybridMultilevel"/>
    <w:tmpl w:val="A294A370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UPOV perso"/>
    <w:docVar w:name="TextBaseURL" w:val="empty"/>
    <w:docVar w:name="UILng" w:val="en"/>
  </w:docVars>
  <w:rsids>
    <w:rsidRoot w:val="00055DDB"/>
    <w:rsid w:val="00010CF3"/>
    <w:rsid w:val="00011E27"/>
    <w:rsid w:val="000148BC"/>
    <w:rsid w:val="00024AB8"/>
    <w:rsid w:val="00030854"/>
    <w:rsid w:val="000358DD"/>
    <w:rsid w:val="00036028"/>
    <w:rsid w:val="00041E10"/>
    <w:rsid w:val="00044642"/>
    <w:rsid w:val="000446B9"/>
    <w:rsid w:val="00047E21"/>
    <w:rsid w:val="00055DA2"/>
    <w:rsid w:val="00055DDB"/>
    <w:rsid w:val="000703EE"/>
    <w:rsid w:val="00085505"/>
    <w:rsid w:val="000C4412"/>
    <w:rsid w:val="000C7021"/>
    <w:rsid w:val="000D6BBC"/>
    <w:rsid w:val="000D7780"/>
    <w:rsid w:val="00105929"/>
    <w:rsid w:val="0011245F"/>
    <w:rsid w:val="001131D5"/>
    <w:rsid w:val="0011508F"/>
    <w:rsid w:val="00141DB8"/>
    <w:rsid w:val="001479AA"/>
    <w:rsid w:val="0017474A"/>
    <w:rsid w:val="001758C6"/>
    <w:rsid w:val="00184D5D"/>
    <w:rsid w:val="001B417B"/>
    <w:rsid w:val="001B79F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B1ABF"/>
    <w:rsid w:val="002C256A"/>
    <w:rsid w:val="002E536B"/>
    <w:rsid w:val="002F2105"/>
    <w:rsid w:val="00305A7F"/>
    <w:rsid w:val="003152FE"/>
    <w:rsid w:val="00320AE8"/>
    <w:rsid w:val="00327436"/>
    <w:rsid w:val="00327BFB"/>
    <w:rsid w:val="00344BD6"/>
    <w:rsid w:val="0035528D"/>
    <w:rsid w:val="00361821"/>
    <w:rsid w:val="00366D8A"/>
    <w:rsid w:val="00370631"/>
    <w:rsid w:val="0037129C"/>
    <w:rsid w:val="0038465E"/>
    <w:rsid w:val="003D227C"/>
    <w:rsid w:val="003D2B4D"/>
    <w:rsid w:val="003D2BD5"/>
    <w:rsid w:val="003D7E71"/>
    <w:rsid w:val="003E0F7B"/>
    <w:rsid w:val="004118AA"/>
    <w:rsid w:val="0041444D"/>
    <w:rsid w:val="00434B4D"/>
    <w:rsid w:val="00444A88"/>
    <w:rsid w:val="0044653D"/>
    <w:rsid w:val="00470E99"/>
    <w:rsid w:val="00474DA4"/>
    <w:rsid w:val="004C251C"/>
    <w:rsid w:val="004C6DAD"/>
    <w:rsid w:val="004D047D"/>
    <w:rsid w:val="004F1D89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5F352F"/>
    <w:rsid w:val="00612379"/>
    <w:rsid w:val="0061555F"/>
    <w:rsid w:val="006236F1"/>
    <w:rsid w:val="00625523"/>
    <w:rsid w:val="00641200"/>
    <w:rsid w:val="006672E7"/>
    <w:rsid w:val="00687EB4"/>
    <w:rsid w:val="0069317D"/>
    <w:rsid w:val="006A1ECF"/>
    <w:rsid w:val="006B17D2"/>
    <w:rsid w:val="006C224E"/>
    <w:rsid w:val="006D780A"/>
    <w:rsid w:val="00732DEC"/>
    <w:rsid w:val="00735BD5"/>
    <w:rsid w:val="00744B85"/>
    <w:rsid w:val="00753A37"/>
    <w:rsid w:val="007556F6"/>
    <w:rsid w:val="00760EEF"/>
    <w:rsid w:val="0076521A"/>
    <w:rsid w:val="00774860"/>
    <w:rsid w:val="00777EE5"/>
    <w:rsid w:val="00784836"/>
    <w:rsid w:val="00787FEC"/>
    <w:rsid w:val="0079023E"/>
    <w:rsid w:val="007A2854"/>
    <w:rsid w:val="007A4488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47B42"/>
    <w:rsid w:val="00867AC1"/>
    <w:rsid w:val="008A1693"/>
    <w:rsid w:val="008A743F"/>
    <w:rsid w:val="008A79D2"/>
    <w:rsid w:val="008C0970"/>
    <w:rsid w:val="008D2CF7"/>
    <w:rsid w:val="008D3729"/>
    <w:rsid w:val="008E3AC6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77FB8"/>
    <w:rsid w:val="00997029"/>
    <w:rsid w:val="009C22BD"/>
    <w:rsid w:val="009C6355"/>
    <w:rsid w:val="009D690D"/>
    <w:rsid w:val="009E2E5F"/>
    <w:rsid w:val="009E65B6"/>
    <w:rsid w:val="00A1169B"/>
    <w:rsid w:val="00A13C6F"/>
    <w:rsid w:val="00A37B04"/>
    <w:rsid w:val="00A42AC3"/>
    <w:rsid w:val="00A430CF"/>
    <w:rsid w:val="00A47CDB"/>
    <w:rsid w:val="00A54309"/>
    <w:rsid w:val="00A65F25"/>
    <w:rsid w:val="00AA65E7"/>
    <w:rsid w:val="00AB2B93"/>
    <w:rsid w:val="00AB7E5B"/>
    <w:rsid w:val="00AC269C"/>
    <w:rsid w:val="00AE0EF1"/>
    <w:rsid w:val="00B07301"/>
    <w:rsid w:val="00B224DE"/>
    <w:rsid w:val="00B6454C"/>
    <w:rsid w:val="00B84BBD"/>
    <w:rsid w:val="00BA43FB"/>
    <w:rsid w:val="00BC127D"/>
    <w:rsid w:val="00BC1FE6"/>
    <w:rsid w:val="00BE76D5"/>
    <w:rsid w:val="00C02D92"/>
    <w:rsid w:val="00C061B6"/>
    <w:rsid w:val="00C13808"/>
    <w:rsid w:val="00C2446C"/>
    <w:rsid w:val="00C36AE5"/>
    <w:rsid w:val="00C41F17"/>
    <w:rsid w:val="00C54586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4276E"/>
    <w:rsid w:val="00D57C96"/>
    <w:rsid w:val="00D647D8"/>
    <w:rsid w:val="00D91203"/>
    <w:rsid w:val="00D95174"/>
    <w:rsid w:val="00DA4685"/>
    <w:rsid w:val="00DA6F36"/>
    <w:rsid w:val="00DB596E"/>
    <w:rsid w:val="00DC00EA"/>
    <w:rsid w:val="00E01090"/>
    <w:rsid w:val="00E11C50"/>
    <w:rsid w:val="00E1648E"/>
    <w:rsid w:val="00E30399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D7C3B"/>
    <w:rsid w:val="00EE34DF"/>
    <w:rsid w:val="00EE47A4"/>
    <w:rsid w:val="00EF2F89"/>
    <w:rsid w:val="00F1237A"/>
    <w:rsid w:val="00F22CBD"/>
    <w:rsid w:val="00F45372"/>
    <w:rsid w:val="00F560F7"/>
    <w:rsid w:val="00F6334D"/>
    <w:rsid w:val="00F77B84"/>
    <w:rsid w:val="00F829C1"/>
    <w:rsid w:val="00F92AEC"/>
    <w:rsid w:val="00FA49AB"/>
    <w:rsid w:val="00FE39C7"/>
    <w:rsid w:val="00FF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0703E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703E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0703E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0703E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703E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0703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3EE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0703E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79A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0703E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0703E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0703E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703E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0703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03EE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ou\AppData\Local\Microsoft\Windows\Temporary%20Internet%20Files\Content.MSO\58CB801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58CB801E</Template>
  <TotalTime>15</TotalTime>
  <Pages>4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TC/51/13</vt:lpstr>
    </vt:vector>
  </TitlesOfParts>
  <Company>UPOV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TC/51/13</dc:title>
  <dc:creator>LONG Victoria</dc:creator>
  <dc:description>DG (trad. ext)  -  16/2/2015</dc:description>
  <cp:lastModifiedBy>LONG Victoria</cp:lastModifiedBy>
  <cp:revision>4</cp:revision>
  <cp:lastPrinted>2015-02-19T09:06:00Z</cp:lastPrinted>
  <dcterms:created xsi:type="dcterms:W3CDTF">2015-02-19T08:25:00Z</dcterms:created>
  <dcterms:modified xsi:type="dcterms:W3CDTF">2015-02-19T09:06:00Z</dcterms:modified>
</cp:coreProperties>
</file>