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33D64" w:rsidRPr="0047370E" w:rsidTr="00C13808">
        <w:trPr>
          <w:trHeight w:val="1760"/>
        </w:trPr>
        <w:tc>
          <w:tcPr>
            <w:tcW w:w="4243" w:type="dxa"/>
          </w:tcPr>
          <w:p w:rsidR="000D7780" w:rsidRPr="00F33D64" w:rsidRDefault="000D7780" w:rsidP="00F45372">
            <w:pPr>
              <w:rPr>
                <w:dstrike/>
                <w:lang w:val="es-ES_tradnl"/>
              </w:rPr>
            </w:pPr>
          </w:p>
        </w:tc>
        <w:tc>
          <w:tcPr>
            <w:tcW w:w="1646" w:type="dxa"/>
            <w:vAlign w:val="center"/>
          </w:tcPr>
          <w:p w:rsidR="004F1D89" w:rsidRPr="005420B5" w:rsidRDefault="004F1D89" w:rsidP="00F45372">
            <w:pPr>
              <w:pStyle w:val="LogoUPOV"/>
              <w:rPr>
                <w:dstrike/>
                <w:lang w:val="es-ES_tradnl"/>
              </w:rPr>
            </w:pPr>
            <w:r w:rsidRPr="005420B5">
              <w:rPr>
                <w:noProof/>
              </w:rPr>
              <w:drawing>
                <wp:inline distT="0" distB="0" distL="0" distR="0" wp14:anchorId="2D5C5291" wp14:editId="49D83F4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502DA" w:rsidRPr="005420B5" w:rsidRDefault="00A47CDB" w:rsidP="00F45372">
            <w:pPr>
              <w:pStyle w:val="Lettrine"/>
              <w:rPr>
                <w:lang w:val="es-ES_tradnl"/>
              </w:rPr>
            </w:pPr>
            <w:r w:rsidRPr="005420B5">
              <w:rPr>
                <w:lang w:val="es-ES_tradnl"/>
              </w:rPr>
              <w:t>S</w:t>
            </w:r>
          </w:p>
          <w:p w:rsidR="003502DA" w:rsidRPr="005420B5" w:rsidRDefault="008A1693" w:rsidP="00F45372">
            <w:pPr>
              <w:pStyle w:val="Docoriginal"/>
              <w:rPr>
                <w:lang w:val="es-ES_tradnl"/>
              </w:rPr>
            </w:pPr>
            <w:r w:rsidRPr="005420B5">
              <w:rPr>
                <w:lang w:val="es-ES_tradnl"/>
              </w:rPr>
              <w:t>TC/</w:t>
            </w:r>
            <w:r w:rsidR="007F4BB2" w:rsidRPr="005420B5">
              <w:rPr>
                <w:lang w:val="es-ES_tradnl"/>
              </w:rPr>
              <w:t>5</w:t>
            </w:r>
            <w:r w:rsidR="00625523" w:rsidRPr="005420B5">
              <w:rPr>
                <w:lang w:val="es-ES_tradnl"/>
              </w:rPr>
              <w:t>1</w:t>
            </w:r>
            <w:r w:rsidRPr="005420B5">
              <w:rPr>
                <w:lang w:val="es-ES_tradnl"/>
              </w:rPr>
              <w:t>/</w:t>
            </w:r>
            <w:bookmarkStart w:id="0" w:name="Code"/>
            <w:bookmarkEnd w:id="0"/>
            <w:r w:rsidR="00AB78ED" w:rsidRPr="005420B5">
              <w:rPr>
                <w:lang w:val="es-ES_tradnl"/>
              </w:rPr>
              <w:t>11</w:t>
            </w:r>
            <w:r w:rsidR="0047370E">
              <w:rPr>
                <w:lang w:val="es-ES_tradnl"/>
              </w:rPr>
              <w:t xml:space="preserve"> Rev. </w:t>
            </w:r>
          </w:p>
          <w:p w:rsidR="003502DA" w:rsidRPr="005420B5" w:rsidRDefault="0061555F" w:rsidP="00F45372">
            <w:pPr>
              <w:pStyle w:val="Docoriginal"/>
              <w:rPr>
                <w:b w:val="0"/>
                <w:spacing w:val="0"/>
                <w:lang w:val="es-ES_tradnl"/>
              </w:rPr>
            </w:pPr>
            <w:r w:rsidRPr="005420B5">
              <w:rPr>
                <w:rStyle w:val="StyleDoclangBold"/>
                <w:b/>
                <w:bCs/>
                <w:spacing w:val="0"/>
                <w:lang w:val="es-ES_tradnl"/>
              </w:rPr>
              <w:t>ORIGINAL</w:t>
            </w:r>
            <w:r w:rsidR="000D7780" w:rsidRPr="005420B5">
              <w:rPr>
                <w:rStyle w:val="StyleDoclangBold"/>
                <w:b/>
                <w:bCs/>
                <w:spacing w:val="0"/>
                <w:lang w:val="es-ES_tradnl"/>
              </w:rPr>
              <w:t>:</w:t>
            </w:r>
            <w:r w:rsidRPr="005420B5">
              <w:rPr>
                <w:rStyle w:val="StyleDocoriginalNotBold1"/>
                <w:spacing w:val="0"/>
                <w:lang w:val="es-ES_tradnl"/>
              </w:rPr>
              <w:t xml:space="preserve"> </w:t>
            </w:r>
            <w:r w:rsidR="000D7780" w:rsidRPr="005420B5">
              <w:rPr>
                <w:rStyle w:val="StyleDocoriginalNotBold1"/>
                <w:spacing w:val="0"/>
                <w:lang w:val="es-ES_tradnl"/>
              </w:rPr>
              <w:t xml:space="preserve"> </w:t>
            </w:r>
            <w:bookmarkStart w:id="1" w:name="Original"/>
            <w:bookmarkEnd w:id="1"/>
            <w:r w:rsidR="00A47CDB" w:rsidRPr="005420B5">
              <w:rPr>
                <w:b w:val="0"/>
                <w:spacing w:val="0"/>
                <w:lang w:val="es-ES_tradnl"/>
              </w:rPr>
              <w:t>Inglés</w:t>
            </w:r>
          </w:p>
          <w:p w:rsidR="000D7780" w:rsidRPr="00F33D64" w:rsidRDefault="00A47CDB" w:rsidP="0047370E">
            <w:pPr>
              <w:pStyle w:val="Docoriginal"/>
              <w:rPr>
                <w:lang w:val="es-ES_tradnl"/>
              </w:rPr>
            </w:pPr>
            <w:r w:rsidRPr="005420B5">
              <w:rPr>
                <w:spacing w:val="0"/>
                <w:lang w:val="es-ES_tradnl"/>
              </w:rPr>
              <w:t>FECHA</w:t>
            </w:r>
            <w:r w:rsidR="000D7780" w:rsidRPr="005420B5">
              <w:rPr>
                <w:spacing w:val="0"/>
                <w:lang w:val="es-ES_tradnl"/>
              </w:rPr>
              <w:t>:</w:t>
            </w:r>
            <w:r w:rsidR="0061555F" w:rsidRPr="005420B5">
              <w:rPr>
                <w:b w:val="0"/>
                <w:spacing w:val="0"/>
                <w:lang w:val="es-ES_tradnl"/>
              </w:rPr>
              <w:t xml:space="preserve"> </w:t>
            </w:r>
            <w:r w:rsidR="000D7780" w:rsidRPr="005420B5">
              <w:rPr>
                <w:rStyle w:val="StyleDocoriginalNotBold1"/>
                <w:spacing w:val="0"/>
                <w:lang w:val="es-ES_tradnl"/>
              </w:rPr>
              <w:t xml:space="preserve"> </w:t>
            </w:r>
            <w:bookmarkStart w:id="2" w:name="Date"/>
            <w:bookmarkEnd w:id="2"/>
            <w:r w:rsidR="0047370E">
              <w:rPr>
                <w:rStyle w:val="StyleDocoriginalNotBold1"/>
                <w:spacing w:val="0"/>
                <w:lang w:val="es-ES_tradnl"/>
              </w:rPr>
              <w:t>25</w:t>
            </w:r>
            <w:r w:rsidR="00AB78ED" w:rsidRPr="005420B5">
              <w:rPr>
                <w:rStyle w:val="StyleDocoriginalNotBold1"/>
                <w:spacing w:val="0"/>
                <w:lang w:val="es-ES_tradnl"/>
              </w:rPr>
              <w:t xml:space="preserve"> de febrero</w:t>
            </w:r>
            <w:r w:rsidRPr="005420B5">
              <w:rPr>
                <w:b w:val="0"/>
                <w:spacing w:val="0"/>
                <w:lang w:val="es-ES_tradnl"/>
              </w:rPr>
              <w:t xml:space="preserve"> </w:t>
            </w:r>
            <w:r w:rsidR="00625523" w:rsidRPr="005420B5">
              <w:rPr>
                <w:b w:val="0"/>
                <w:spacing w:val="0"/>
                <w:lang w:val="es-ES_tradnl"/>
              </w:rPr>
              <w:t xml:space="preserve">de </w:t>
            </w:r>
            <w:r w:rsidR="001131D5" w:rsidRPr="005420B5">
              <w:rPr>
                <w:b w:val="0"/>
                <w:spacing w:val="0"/>
                <w:lang w:val="es-ES_tradnl"/>
              </w:rPr>
              <w:t>201</w:t>
            </w:r>
            <w:r w:rsidR="00625523" w:rsidRPr="005420B5">
              <w:rPr>
                <w:b w:val="0"/>
                <w:spacing w:val="0"/>
                <w:lang w:val="es-ES_tradnl"/>
              </w:rPr>
              <w:t>5</w:t>
            </w:r>
          </w:p>
        </w:tc>
      </w:tr>
      <w:tr w:rsidR="00F33D64" w:rsidRPr="0047370E" w:rsidTr="00C13808">
        <w:tc>
          <w:tcPr>
            <w:tcW w:w="10131" w:type="dxa"/>
            <w:gridSpan w:val="3"/>
          </w:tcPr>
          <w:p w:rsidR="000D7780" w:rsidRPr="00F33D64" w:rsidRDefault="00A47CDB" w:rsidP="00F45372">
            <w:pPr>
              <w:pStyle w:val="upove"/>
              <w:rPr>
                <w:sz w:val="28"/>
                <w:lang w:val="es-ES_tradnl"/>
              </w:rPr>
            </w:pPr>
            <w:r w:rsidRPr="00F33D64">
              <w:rPr>
                <w:spacing w:val="2"/>
                <w:lang w:val="es-ES_tradnl"/>
              </w:rPr>
              <w:t>UNIÓN INTERNACIONAL PARA LA PROTECCIÓN DE LAS OBTENCIONES VEGETALES</w:t>
            </w:r>
          </w:p>
        </w:tc>
      </w:tr>
      <w:tr w:rsidR="00F33D64" w:rsidRPr="00F33D64" w:rsidTr="00C13808">
        <w:tc>
          <w:tcPr>
            <w:tcW w:w="10131" w:type="dxa"/>
            <w:gridSpan w:val="3"/>
          </w:tcPr>
          <w:p w:rsidR="000D7780" w:rsidRPr="00F33D64" w:rsidRDefault="00A47CDB" w:rsidP="00F45372">
            <w:pPr>
              <w:pStyle w:val="Country"/>
              <w:rPr>
                <w:lang w:val="es-ES_tradnl"/>
              </w:rPr>
            </w:pPr>
            <w:r w:rsidRPr="00F33D64">
              <w:rPr>
                <w:lang w:val="es-ES_tradnl"/>
              </w:rPr>
              <w:t>Ginebra</w:t>
            </w:r>
          </w:p>
        </w:tc>
      </w:tr>
    </w:tbl>
    <w:p w:rsidR="003502DA" w:rsidRPr="00F33D64" w:rsidRDefault="00A47CDB" w:rsidP="00F45372">
      <w:pPr>
        <w:pStyle w:val="Sessiontc"/>
        <w:rPr>
          <w:lang w:val="es-ES_tradnl"/>
        </w:rPr>
      </w:pPr>
      <w:r w:rsidRPr="00F33D64">
        <w:rPr>
          <w:lang w:val="es-ES_tradnl"/>
        </w:rPr>
        <w:t>Comité TÉCNICO</w:t>
      </w:r>
    </w:p>
    <w:p w:rsidR="003502DA" w:rsidRPr="00F33D64" w:rsidRDefault="007F4BB2" w:rsidP="00F45372">
      <w:pPr>
        <w:pStyle w:val="Sessiontcplacedate"/>
        <w:rPr>
          <w:lang w:val="es-ES_tradnl"/>
        </w:rPr>
      </w:pPr>
      <w:r w:rsidRPr="00F33D64">
        <w:rPr>
          <w:lang w:val="es-ES_tradnl"/>
        </w:rPr>
        <w:t>Quincua</w:t>
      </w:r>
      <w:r w:rsidR="00A47CDB" w:rsidRPr="00F33D64">
        <w:rPr>
          <w:lang w:val="es-ES_tradnl"/>
        </w:rPr>
        <w:t xml:space="preserve">gésima </w:t>
      </w:r>
      <w:r w:rsidR="00AA65E7" w:rsidRPr="00F33D64">
        <w:rPr>
          <w:lang w:val="es-ES_tradnl"/>
        </w:rPr>
        <w:t xml:space="preserve">primera </w:t>
      </w:r>
      <w:r w:rsidR="00A47CDB" w:rsidRPr="00F33D64">
        <w:rPr>
          <w:lang w:val="es-ES_tradnl"/>
        </w:rPr>
        <w:t>sesión</w:t>
      </w:r>
      <w:r w:rsidR="00A47CDB" w:rsidRPr="00F33D64">
        <w:rPr>
          <w:lang w:val="es-ES_tradnl"/>
        </w:rPr>
        <w:br/>
        <w:t xml:space="preserve">Ginebra, </w:t>
      </w:r>
      <w:r w:rsidR="00AA65E7" w:rsidRPr="00F33D64">
        <w:rPr>
          <w:lang w:val="es-ES_tradnl"/>
        </w:rPr>
        <w:t>23</w:t>
      </w:r>
      <w:r w:rsidR="008A1693" w:rsidRPr="00F33D64">
        <w:rPr>
          <w:lang w:val="es-ES_tradnl"/>
        </w:rPr>
        <w:t xml:space="preserve"> a </w:t>
      </w:r>
      <w:r w:rsidR="00AA65E7" w:rsidRPr="00F33D64">
        <w:rPr>
          <w:lang w:val="es-ES_tradnl"/>
        </w:rPr>
        <w:t>25</w:t>
      </w:r>
      <w:r w:rsidR="008A1693" w:rsidRPr="00F33D64">
        <w:rPr>
          <w:lang w:val="es-ES_tradnl"/>
        </w:rPr>
        <w:t xml:space="preserve"> </w:t>
      </w:r>
      <w:r w:rsidR="00F77B84" w:rsidRPr="00F33D64">
        <w:rPr>
          <w:lang w:val="es-ES_tradnl"/>
        </w:rPr>
        <w:t>de</w:t>
      </w:r>
      <w:r w:rsidR="008A1693" w:rsidRPr="00F33D64">
        <w:rPr>
          <w:lang w:val="es-ES_tradnl"/>
        </w:rPr>
        <w:t xml:space="preserve"> </w:t>
      </w:r>
      <w:r w:rsidR="00AA65E7" w:rsidRPr="00F33D64">
        <w:rPr>
          <w:lang w:val="es-ES_tradnl"/>
        </w:rPr>
        <w:t xml:space="preserve">marzo </w:t>
      </w:r>
      <w:r w:rsidR="008A1693" w:rsidRPr="00F33D64">
        <w:rPr>
          <w:lang w:val="es-ES_tradnl"/>
        </w:rPr>
        <w:t>de 201</w:t>
      </w:r>
      <w:r w:rsidR="00AA65E7" w:rsidRPr="00F33D64">
        <w:rPr>
          <w:lang w:val="es-ES_tradnl"/>
        </w:rPr>
        <w:t>5</w:t>
      </w:r>
    </w:p>
    <w:p w:rsidR="003502DA" w:rsidRPr="00F33D64" w:rsidRDefault="003502DA" w:rsidP="003502DA">
      <w:pPr>
        <w:pStyle w:val="Titleofdoc0"/>
        <w:rPr>
          <w:lang w:val="es-ES_tradnl"/>
        </w:rPr>
      </w:pPr>
      <w:bookmarkStart w:id="3" w:name="TitleOfDoc"/>
      <w:bookmarkEnd w:id="3"/>
      <w:r w:rsidRPr="00F33D64">
        <w:rPr>
          <w:lang w:val="es-ES_tradnl"/>
        </w:rPr>
        <w:t>TÉCNICAS MOLECULARES</w:t>
      </w:r>
    </w:p>
    <w:p w:rsidR="003502DA" w:rsidRPr="00CE023E" w:rsidRDefault="00184D5D" w:rsidP="00184D5D">
      <w:pPr>
        <w:pStyle w:val="preparedby1"/>
        <w:rPr>
          <w:lang w:val="es-ES_tradnl"/>
        </w:rPr>
      </w:pPr>
      <w:bookmarkStart w:id="4" w:name="Prepared"/>
      <w:bookmarkEnd w:id="4"/>
      <w:r w:rsidRPr="00F33D64">
        <w:rPr>
          <w:lang w:val="es-ES_tradnl"/>
        </w:rPr>
        <w:t>Documento preparado por la Oficina de la Unión</w:t>
      </w:r>
      <w:r w:rsidRPr="00963348">
        <w:rPr>
          <w:color w:val="808080"/>
          <w:lang w:val="es-ES_tradnl"/>
        </w:rPr>
        <w:br/>
      </w:r>
      <w:r w:rsidRPr="00963348">
        <w:rPr>
          <w:lang w:val="es-ES_tradnl"/>
        </w:rPr>
        <w:br/>
      </w:r>
      <w:r w:rsidR="0047370E">
        <w:rPr>
          <w:color w:val="A6A6A6"/>
          <w:lang w:val="es-ES_tradnl"/>
        </w:rPr>
        <w:t xml:space="preserve">Descargo de responsabilidad: </w:t>
      </w:r>
      <w:r w:rsidRPr="00963348">
        <w:rPr>
          <w:color w:val="A6A6A6"/>
          <w:lang w:val="es-ES_tradnl"/>
        </w:rPr>
        <w:t>el presente documento no constituye</w:t>
      </w:r>
      <w:r w:rsidRPr="00963348">
        <w:rPr>
          <w:color w:val="A6A6A6"/>
          <w:lang w:val="es-ES_tradnl"/>
        </w:rPr>
        <w:br/>
        <w:t>un documento de política u orientación de la UPOV</w:t>
      </w:r>
    </w:p>
    <w:bookmarkStart w:id="5" w:name="_Toc374716168"/>
    <w:p w:rsidR="003502DA" w:rsidRPr="00F33D64" w:rsidRDefault="00F70222" w:rsidP="00312C2A">
      <w:pPr>
        <w:rPr>
          <w:lang w:val="es-ES" w:eastAsia="ja-JP"/>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DE1547" w:rsidRPr="00F33D64">
        <w:rPr>
          <w:lang w:val="es-ES_tradnl"/>
        </w:rPr>
        <w:t>El propósito del presente documento es informar acerca de las novedades que se han producido en el ámbito de las técnicas moleculares en relación con:</w:t>
      </w:r>
    </w:p>
    <w:p w:rsidR="003502DA" w:rsidRPr="00F33D64" w:rsidRDefault="003502DA" w:rsidP="00312C2A">
      <w:pPr>
        <w:rPr>
          <w:lang w:val="es-ES" w:eastAsia="ja-JP"/>
        </w:rPr>
      </w:pPr>
    </w:p>
    <w:p w:rsidR="003502DA" w:rsidRPr="00F33D64" w:rsidRDefault="00312C2A" w:rsidP="00312C2A">
      <w:pPr>
        <w:ind w:left="1170" w:hanging="603"/>
        <w:rPr>
          <w:lang w:val="es-ES" w:eastAsia="ja-JP"/>
        </w:rPr>
      </w:pPr>
      <w:r w:rsidRPr="00F33D64">
        <w:rPr>
          <w:rFonts w:hint="eastAsia"/>
          <w:lang w:val="es-ES" w:eastAsia="ja-JP"/>
        </w:rPr>
        <w:t>a)</w:t>
      </w:r>
      <w:r w:rsidRPr="00F33D64">
        <w:rPr>
          <w:rFonts w:hint="eastAsia"/>
          <w:lang w:val="es-ES" w:eastAsia="ja-JP"/>
        </w:rPr>
        <w:tab/>
      </w:r>
      <w:r w:rsidR="00DE1547" w:rsidRPr="00F33D64">
        <w:rPr>
          <w:lang w:val="es-ES_tradnl" w:eastAsia="ja-JP"/>
        </w:rPr>
        <w:t>el Comité Técnico</w:t>
      </w:r>
    </w:p>
    <w:p w:rsidR="003502DA" w:rsidRPr="00F33D64" w:rsidRDefault="00CE023E" w:rsidP="003502DA">
      <w:pPr>
        <w:ind w:left="1170" w:hanging="603"/>
        <w:rPr>
          <w:lang w:val="es-ES" w:eastAsia="ja-JP"/>
        </w:rPr>
      </w:pPr>
      <w:r w:rsidRPr="00F33D64">
        <w:rPr>
          <w:lang w:val="es-ES_tradnl" w:eastAsia="ja-JP"/>
        </w:rPr>
        <w:t>b)</w:t>
      </w:r>
      <w:r w:rsidRPr="00F33D64">
        <w:rPr>
          <w:lang w:val="es-ES_tradnl" w:eastAsia="ja-JP"/>
        </w:rPr>
        <w:tab/>
      </w:r>
      <w:r w:rsidR="00DE1547" w:rsidRPr="00F33D64">
        <w:rPr>
          <w:lang w:val="es-ES_tradnl" w:eastAsia="ja-JP"/>
        </w:rPr>
        <w:t xml:space="preserve">los </w:t>
      </w:r>
      <w:r w:rsidR="003502DA" w:rsidRPr="00F33D64">
        <w:rPr>
          <w:lang w:val="es-ES_tradnl" w:eastAsia="ja-JP"/>
        </w:rPr>
        <w:t>Grupos de Trabajo Técnico</w:t>
      </w:r>
    </w:p>
    <w:p w:rsidR="003502DA" w:rsidRPr="00F33D64" w:rsidRDefault="00CE023E" w:rsidP="003502DA">
      <w:pPr>
        <w:ind w:left="1170" w:hanging="603"/>
        <w:rPr>
          <w:lang w:val="es-ES" w:eastAsia="ja-JP"/>
        </w:rPr>
      </w:pPr>
      <w:r w:rsidRPr="00F33D64">
        <w:rPr>
          <w:lang w:val="es-ES_tradnl" w:eastAsia="ja-JP"/>
        </w:rPr>
        <w:t>c)</w:t>
      </w:r>
      <w:r w:rsidRPr="00F33D64">
        <w:rPr>
          <w:lang w:val="es-ES_tradnl" w:eastAsia="ja-JP"/>
        </w:rPr>
        <w:tab/>
      </w:r>
      <w:r w:rsidR="00DE1547" w:rsidRPr="00F33D64">
        <w:rPr>
          <w:lang w:val="es-ES_tradnl" w:eastAsia="ja-JP"/>
        </w:rPr>
        <w:t xml:space="preserve">el </w:t>
      </w:r>
      <w:r w:rsidR="003502DA" w:rsidRPr="00F33D64">
        <w:rPr>
          <w:lang w:val="es-ES_tradnl" w:eastAsia="ja-JP"/>
        </w:rPr>
        <w:t>Grupo de Trabajo sobre Técnicas Bioquímicas y Moleculares, y Perfiles de ADN en particular</w:t>
      </w:r>
    </w:p>
    <w:p w:rsidR="003502DA" w:rsidRPr="00F33D64" w:rsidRDefault="00CE023E" w:rsidP="003502DA">
      <w:pPr>
        <w:ind w:left="1170" w:hanging="603"/>
        <w:rPr>
          <w:lang w:val="es-ES" w:eastAsia="ja-JP"/>
        </w:rPr>
      </w:pPr>
      <w:r w:rsidRPr="00F33D64">
        <w:rPr>
          <w:lang w:val="es-ES_tradnl" w:eastAsia="ja-JP"/>
        </w:rPr>
        <w:t>d)</w:t>
      </w:r>
      <w:r w:rsidRPr="00F33D64">
        <w:rPr>
          <w:lang w:val="es-ES_tradnl" w:eastAsia="ja-JP"/>
        </w:rPr>
        <w:tab/>
      </w:r>
      <w:r w:rsidR="00DE1547" w:rsidRPr="00F33D64">
        <w:rPr>
          <w:lang w:val="es-ES_tradnl" w:eastAsia="ja-JP"/>
        </w:rPr>
        <w:t xml:space="preserve">el </w:t>
      </w:r>
      <w:r w:rsidRPr="00F33D64">
        <w:rPr>
          <w:lang w:val="es-ES_tradnl" w:eastAsia="ja-JP"/>
        </w:rPr>
        <w:t xml:space="preserve">Taller conjunto </w:t>
      </w:r>
      <w:r w:rsidR="003502DA" w:rsidRPr="00F33D64">
        <w:rPr>
          <w:lang w:val="es-ES_tradnl" w:eastAsia="ja-JP"/>
        </w:rPr>
        <w:t xml:space="preserve">OCDE-UPOV-ISTA </w:t>
      </w:r>
      <w:r w:rsidRPr="00F33D64">
        <w:rPr>
          <w:lang w:val="es-ES_tradnl" w:eastAsia="ja-JP"/>
        </w:rPr>
        <w:t>sobre técnicas moleculares</w:t>
      </w:r>
    </w:p>
    <w:p w:rsidR="003502DA" w:rsidRPr="00F33D64" w:rsidRDefault="00312C2A" w:rsidP="00312C2A">
      <w:pPr>
        <w:ind w:left="1170" w:hanging="603"/>
        <w:rPr>
          <w:lang w:val="es-ES" w:eastAsia="ja-JP"/>
        </w:rPr>
      </w:pPr>
      <w:r w:rsidRPr="00F33D64">
        <w:rPr>
          <w:lang w:val="es-ES" w:eastAsia="ja-JP"/>
        </w:rPr>
        <w:t>e)</w:t>
      </w:r>
      <w:r w:rsidRPr="00F33D64">
        <w:rPr>
          <w:lang w:val="es-ES" w:eastAsia="ja-JP"/>
        </w:rPr>
        <w:tab/>
      </w:r>
      <w:r w:rsidR="00172B30" w:rsidRPr="00F33D64">
        <w:rPr>
          <w:lang w:val="es-ES_tradnl" w:eastAsia="ja-JP"/>
        </w:rPr>
        <w:t>el debate sobre técnicas molecular</w:t>
      </w:r>
      <w:r w:rsidR="002E5B61" w:rsidRPr="00F33D64">
        <w:rPr>
          <w:lang w:val="es-ES_tradnl" w:eastAsia="ja-JP"/>
        </w:rPr>
        <w:t>es</w:t>
      </w:r>
      <w:r w:rsidR="00172B30" w:rsidRPr="00F33D64">
        <w:rPr>
          <w:lang w:val="es-ES_tradnl" w:eastAsia="ja-JP"/>
        </w:rPr>
        <w:t xml:space="preserve"> mantenido por el TC en su quincuagésima sesión</w:t>
      </w:r>
    </w:p>
    <w:p w:rsidR="003502DA" w:rsidRPr="00F33D64" w:rsidRDefault="00312C2A" w:rsidP="00312C2A">
      <w:pPr>
        <w:ind w:left="1170" w:hanging="603"/>
        <w:rPr>
          <w:lang w:val="es-ES" w:eastAsia="ja-JP"/>
        </w:rPr>
      </w:pPr>
      <w:r w:rsidRPr="00F33D64">
        <w:rPr>
          <w:lang w:val="es-ES" w:eastAsia="ja-JP"/>
        </w:rPr>
        <w:t>f)</w:t>
      </w:r>
      <w:r w:rsidRPr="00F33D64">
        <w:rPr>
          <w:lang w:val="es-ES" w:eastAsia="ja-JP"/>
        </w:rPr>
        <w:tab/>
      </w:r>
      <w:r w:rsidR="00172B30" w:rsidRPr="00F33D64">
        <w:rPr>
          <w:lang w:val="es-ES_tradnl" w:eastAsia="ja-JP"/>
        </w:rPr>
        <w:t>la presentación de información sobre la situación en la UPOV en lo que respecta al uso de técnicas moleculares</w:t>
      </w:r>
    </w:p>
    <w:p w:rsidR="003502DA" w:rsidRPr="00F33D64" w:rsidRDefault="00312C2A" w:rsidP="00312C2A">
      <w:pPr>
        <w:jc w:val="left"/>
        <w:rPr>
          <w:lang w:val="es-ES" w:eastAsia="ja-JP"/>
        </w:rPr>
      </w:pPr>
      <w:r w:rsidRPr="00F33D64">
        <w:rPr>
          <w:lang w:val="es-ES" w:eastAsia="ja-JP"/>
        </w:rPr>
        <w:br w:type="page"/>
      </w:r>
    </w:p>
    <w:p w:rsidR="003502DA" w:rsidRPr="00F33D64" w:rsidRDefault="003502DA" w:rsidP="00312C2A">
      <w:pPr>
        <w:ind w:left="1170" w:hanging="603"/>
        <w:rPr>
          <w:lang w:val="es-ES" w:eastAsia="ja-JP"/>
        </w:rPr>
      </w:pPr>
    </w:p>
    <w:bookmarkEnd w:id="5"/>
    <w:p w:rsidR="003502DA" w:rsidRPr="00F33D64" w:rsidRDefault="00F70222" w:rsidP="003502DA">
      <w:pPr>
        <w:keepNext/>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En el presente documento se utilizan las abreviaturas siguientes:</w:t>
      </w:r>
    </w:p>
    <w:p w:rsidR="003502DA" w:rsidRPr="00F33D64" w:rsidRDefault="003502DA" w:rsidP="00312C2A">
      <w:pPr>
        <w:keepNext/>
        <w:ind w:left="1692" w:hanging="1125"/>
        <w:jc w:val="left"/>
        <w:rPr>
          <w:lang w:val="es-ES"/>
        </w:rPr>
      </w:pPr>
    </w:p>
    <w:p w:rsidR="003502DA" w:rsidRPr="00F33D64" w:rsidRDefault="00F803A3" w:rsidP="003502DA">
      <w:pPr>
        <w:keepNext/>
        <w:tabs>
          <w:tab w:val="left" w:pos="567"/>
          <w:tab w:val="left" w:pos="1701"/>
        </w:tabs>
        <w:ind w:left="1701" w:hanging="1134"/>
        <w:rPr>
          <w:lang w:val="es-ES"/>
        </w:rPr>
      </w:pPr>
      <w:r w:rsidRPr="00F33D64">
        <w:rPr>
          <w:lang w:val="es-ES_tradnl"/>
        </w:rPr>
        <w:t>BMT:</w:t>
      </w:r>
      <w:r w:rsidRPr="00F33D64">
        <w:rPr>
          <w:lang w:val="es-ES_tradnl"/>
        </w:rPr>
        <w:tab/>
      </w:r>
      <w:r w:rsidR="003502DA" w:rsidRPr="00F33D64">
        <w:rPr>
          <w:lang w:val="es-ES_tradnl"/>
        </w:rPr>
        <w:t>Grupo de Trabajo sobre Técnicas Bioquímicas y Moleculares, y Perfiles de ADN en particular</w:t>
      </w:r>
      <w:r w:rsidR="00312C2A" w:rsidRPr="00F33D64">
        <w:rPr>
          <w:lang w:val="es-ES"/>
        </w:rPr>
        <w:t xml:space="preserve"> </w:t>
      </w:r>
    </w:p>
    <w:p w:rsidR="003502DA" w:rsidRPr="00F33D64" w:rsidRDefault="003502DA" w:rsidP="003502DA">
      <w:pPr>
        <w:keepNext/>
        <w:tabs>
          <w:tab w:val="left" w:pos="567"/>
          <w:tab w:val="left" w:pos="1701"/>
        </w:tabs>
        <w:ind w:firstLine="567"/>
        <w:rPr>
          <w:lang w:val="es-ES"/>
        </w:rPr>
      </w:pPr>
      <w:r w:rsidRPr="00F33D64">
        <w:rPr>
          <w:lang w:val="es-ES_tradnl"/>
        </w:rPr>
        <w:t>CAJ:</w:t>
      </w:r>
      <w:r w:rsidR="00F803A3" w:rsidRPr="00F33D64">
        <w:rPr>
          <w:lang w:val="es-ES_tradnl"/>
        </w:rPr>
        <w:tab/>
      </w:r>
      <w:r w:rsidRPr="00F33D64">
        <w:rPr>
          <w:lang w:val="es-ES_tradnl"/>
        </w:rPr>
        <w:t>Comité administrativo y jurídico</w:t>
      </w:r>
    </w:p>
    <w:p w:rsidR="003502DA" w:rsidRPr="00F33D64" w:rsidRDefault="003502DA" w:rsidP="003502DA">
      <w:pPr>
        <w:keepNext/>
        <w:tabs>
          <w:tab w:val="left" w:pos="567"/>
          <w:tab w:val="left" w:pos="1701"/>
        </w:tabs>
        <w:ind w:firstLine="567"/>
        <w:rPr>
          <w:lang w:val="es-ES"/>
        </w:rPr>
      </w:pPr>
      <w:r w:rsidRPr="00F33D64">
        <w:rPr>
          <w:lang w:val="es-ES_tradnl"/>
        </w:rPr>
        <w:t>TC:</w:t>
      </w:r>
      <w:r w:rsidR="00F803A3" w:rsidRPr="00F33D64">
        <w:rPr>
          <w:lang w:val="es-ES_tradnl"/>
        </w:rPr>
        <w:tab/>
      </w:r>
      <w:r w:rsidRPr="00F33D64">
        <w:rPr>
          <w:lang w:val="es-ES_tradnl"/>
        </w:rPr>
        <w:t>Comité Técnico</w:t>
      </w:r>
    </w:p>
    <w:p w:rsidR="003502DA" w:rsidRPr="00F33D64" w:rsidRDefault="00F803A3" w:rsidP="003502DA">
      <w:pPr>
        <w:keepNext/>
        <w:tabs>
          <w:tab w:val="left" w:pos="567"/>
          <w:tab w:val="left" w:pos="1701"/>
        </w:tabs>
        <w:ind w:firstLine="567"/>
        <w:rPr>
          <w:rFonts w:eastAsia="PMingLiU" w:cs="Arial"/>
          <w:szCs w:val="24"/>
          <w:lang w:val="es-ES"/>
        </w:rPr>
      </w:pPr>
      <w:r w:rsidRPr="00F33D64">
        <w:rPr>
          <w:rFonts w:eastAsia="PMingLiU" w:cs="Arial"/>
          <w:szCs w:val="24"/>
          <w:lang w:val="es-ES_tradnl"/>
        </w:rPr>
        <w:t>TC-EDC:</w:t>
      </w:r>
      <w:r w:rsidRPr="00F33D64">
        <w:rPr>
          <w:rFonts w:eastAsia="PMingLiU" w:cs="Arial"/>
          <w:szCs w:val="24"/>
          <w:lang w:val="es-ES_tradnl"/>
        </w:rPr>
        <w:tab/>
      </w:r>
      <w:r w:rsidR="003502DA" w:rsidRPr="00F33D64">
        <w:rPr>
          <w:rFonts w:eastAsia="PMingLiU" w:cs="Arial"/>
          <w:szCs w:val="24"/>
          <w:lang w:val="es-ES_tradnl"/>
        </w:rPr>
        <w:t>Comité de Redacción Ampliado</w:t>
      </w:r>
    </w:p>
    <w:p w:rsidR="003502DA" w:rsidRPr="00F33D64" w:rsidRDefault="00312C2A" w:rsidP="00F803A3">
      <w:pPr>
        <w:tabs>
          <w:tab w:val="left" w:pos="567"/>
          <w:tab w:val="left" w:pos="1701"/>
        </w:tabs>
        <w:rPr>
          <w:rFonts w:eastAsia="PMingLiU" w:cs="Arial"/>
          <w:szCs w:val="24"/>
          <w:lang w:val="es-ES"/>
        </w:rPr>
      </w:pPr>
      <w:r w:rsidRPr="00F33D64">
        <w:rPr>
          <w:rFonts w:eastAsia="PMingLiU" w:cs="Arial"/>
          <w:szCs w:val="24"/>
          <w:lang w:val="es-ES"/>
        </w:rPr>
        <w:tab/>
      </w:r>
      <w:r w:rsidR="00F803A3" w:rsidRPr="00F33D64">
        <w:rPr>
          <w:rFonts w:eastAsia="PMingLiU" w:cs="Arial"/>
          <w:szCs w:val="24"/>
          <w:lang w:val="es-ES_tradnl"/>
        </w:rPr>
        <w:t>TWA:</w:t>
      </w:r>
      <w:r w:rsidR="00F803A3" w:rsidRPr="00F33D64">
        <w:rPr>
          <w:rFonts w:eastAsia="PMingLiU" w:cs="Arial"/>
          <w:szCs w:val="24"/>
          <w:lang w:val="es-ES_tradnl"/>
        </w:rPr>
        <w:tab/>
      </w:r>
      <w:r w:rsidR="003502DA" w:rsidRPr="00F33D64">
        <w:rPr>
          <w:rFonts w:eastAsia="PMingLiU" w:cs="Arial"/>
          <w:szCs w:val="24"/>
          <w:lang w:val="es-ES_tradnl"/>
        </w:rPr>
        <w:t>Grupo de Trabajo Técnico sobre Plantas Agrícolas</w:t>
      </w:r>
    </w:p>
    <w:p w:rsidR="003502DA" w:rsidRPr="00F33D64" w:rsidRDefault="00312C2A" w:rsidP="00F803A3">
      <w:pPr>
        <w:tabs>
          <w:tab w:val="left" w:pos="567"/>
          <w:tab w:val="left" w:pos="1701"/>
        </w:tabs>
        <w:rPr>
          <w:rFonts w:eastAsia="PMingLiU" w:cs="Arial"/>
          <w:szCs w:val="24"/>
          <w:lang w:val="es-ES"/>
        </w:rPr>
      </w:pPr>
      <w:r w:rsidRPr="00F33D64">
        <w:rPr>
          <w:rFonts w:eastAsia="PMingLiU" w:cs="Arial"/>
          <w:szCs w:val="24"/>
          <w:lang w:val="es-ES"/>
        </w:rPr>
        <w:tab/>
      </w:r>
      <w:r w:rsidR="00F803A3" w:rsidRPr="00F33D64">
        <w:rPr>
          <w:rFonts w:eastAsia="PMingLiU" w:cs="Arial"/>
          <w:szCs w:val="24"/>
          <w:lang w:val="es-ES_tradnl"/>
        </w:rPr>
        <w:t>TWC:</w:t>
      </w:r>
      <w:r w:rsidR="00F803A3" w:rsidRPr="00F33D64">
        <w:rPr>
          <w:rFonts w:eastAsia="PMingLiU" w:cs="Arial"/>
          <w:szCs w:val="24"/>
          <w:lang w:val="es-ES_tradnl"/>
        </w:rPr>
        <w:tab/>
      </w:r>
      <w:r w:rsidR="003502DA" w:rsidRPr="00F33D64">
        <w:rPr>
          <w:rFonts w:eastAsia="PMingLiU" w:cs="Arial"/>
          <w:szCs w:val="24"/>
          <w:lang w:val="es-ES_tradnl"/>
        </w:rPr>
        <w:t>Grupo de Trabajo Técnico sobre Automatización y Programas Informáticos</w:t>
      </w:r>
    </w:p>
    <w:p w:rsidR="003502DA" w:rsidRPr="00F33D64" w:rsidRDefault="00312C2A" w:rsidP="00F803A3">
      <w:pPr>
        <w:tabs>
          <w:tab w:val="left" w:pos="567"/>
          <w:tab w:val="left" w:pos="1701"/>
        </w:tabs>
        <w:rPr>
          <w:rFonts w:eastAsia="PMingLiU" w:cs="Arial"/>
          <w:szCs w:val="24"/>
          <w:lang w:val="es-ES"/>
        </w:rPr>
      </w:pPr>
      <w:r w:rsidRPr="00F33D64">
        <w:rPr>
          <w:rFonts w:eastAsia="PMingLiU" w:cs="Arial"/>
          <w:szCs w:val="24"/>
          <w:lang w:val="es-ES"/>
        </w:rPr>
        <w:tab/>
      </w:r>
      <w:r w:rsidR="00F803A3" w:rsidRPr="00F33D64">
        <w:rPr>
          <w:rFonts w:eastAsia="PMingLiU" w:cs="Arial"/>
          <w:szCs w:val="24"/>
          <w:lang w:val="es-ES_tradnl"/>
        </w:rPr>
        <w:t>TWF:</w:t>
      </w:r>
      <w:r w:rsidR="00F803A3" w:rsidRPr="00F33D64">
        <w:rPr>
          <w:rFonts w:eastAsia="PMingLiU" w:cs="Arial"/>
          <w:szCs w:val="24"/>
          <w:lang w:val="es-ES_tradnl"/>
        </w:rPr>
        <w:tab/>
      </w:r>
      <w:r w:rsidR="003502DA" w:rsidRPr="00F33D64">
        <w:rPr>
          <w:rFonts w:eastAsia="PMingLiU" w:cs="Arial"/>
          <w:szCs w:val="24"/>
          <w:lang w:val="es-ES_tradnl"/>
        </w:rPr>
        <w:t>Grupo de Trabajo Técnico sobre Plantas Frutales</w:t>
      </w:r>
    </w:p>
    <w:p w:rsidR="003502DA" w:rsidRPr="00F33D64" w:rsidRDefault="00312C2A" w:rsidP="00F803A3">
      <w:pPr>
        <w:tabs>
          <w:tab w:val="left" w:pos="567"/>
          <w:tab w:val="left" w:pos="1701"/>
        </w:tabs>
        <w:rPr>
          <w:rFonts w:eastAsia="PMingLiU" w:cs="Arial"/>
          <w:szCs w:val="24"/>
          <w:lang w:val="es-ES"/>
        </w:rPr>
      </w:pPr>
      <w:r w:rsidRPr="00F33D64">
        <w:rPr>
          <w:rFonts w:eastAsia="PMingLiU" w:cs="Arial"/>
          <w:szCs w:val="24"/>
          <w:lang w:val="es-ES"/>
        </w:rPr>
        <w:tab/>
      </w:r>
      <w:r w:rsidR="00F803A3" w:rsidRPr="00F33D64">
        <w:rPr>
          <w:rFonts w:eastAsia="PMingLiU" w:cs="Arial"/>
          <w:szCs w:val="24"/>
          <w:lang w:val="es-ES_tradnl"/>
        </w:rPr>
        <w:t>TWO:</w:t>
      </w:r>
      <w:r w:rsidR="00F803A3" w:rsidRPr="00F33D64">
        <w:rPr>
          <w:rFonts w:eastAsia="PMingLiU" w:cs="Arial"/>
          <w:szCs w:val="24"/>
          <w:lang w:val="es-ES_tradnl"/>
        </w:rPr>
        <w:tab/>
      </w:r>
      <w:r w:rsidR="003502DA" w:rsidRPr="00F33D64">
        <w:rPr>
          <w:rFonts w:eastAsia="PMingLiU" w:cs="Arial"/>
          <w:szCs w:val="24"/>
          <w:lang w:val="es-ES_tradnl"/>
        </w:rPr>
        <w:t>Grupo de Trabajo Técnico sobre Plantas Ornamentales y Árboles Forestales</w:t>
      </w:r>
    </w:p>
    <w:p w:rsidR="003502DA" w:rsidRPr="00F33D64" w:rsidRDefault="00312C2A" w:rsidP="00F803A3">
      <w:pPr>
        <w:tabs>
          <w:tab w:val="left" w:pos="567"/>
          <w:tab w:val="left" w:pos="1701"/>
        </w:tabs>
        <w:rPr>
          <w:rFonts w:eastAsia="PMingLiU" w:cs="Arial"/>
          <w:szCs w:val="24"/>
          <w:lang w:val="es-ES"/>
        </w:rPr>
      </w:pPr>
      <w:r w:rsidRPr="00F33D64">
        <w:rPr>
          <w:rFonts w:eastAsia="PMingLiU" w:cs="Arial"/>
          <w:szCs w:val="24"/>
          <w:lang w:val="es-ES"/>
        </w:rPr>
        <w:tab/>
      </w:r>
      <w:r w:rsidR="003502DA" w:rsidRPr="00F33D64">
        <w:rPr>
          <w:rFonts w:eastAsia="PMingLiU" w:cs="Arial"/>
          <w:szCs w:val="24"/>
          <w:lang w:val="es-ES_tradnl"/>
        </w:rPr>
        <w:t>TWP:</w:t>
      </w:r>
      <w:r w:rsidR="00F803A3" w:rsidRPr="00F33D64">
        <w:rPr>
          <w:rFonts w:eastAsia="PMingLiU" w:cs="Arial"/>
          <w:szCs w:val="24"/>
          <w:lang w:val="es-ES_tradnl"/>
        </w:rPr>
        <w:tab/>
      </w:r>
      <w:r w:rsidR="003502DA" w:rsidRPr="00F33D64">
        <w:rPr>
          <w:rFonts w:eastAsia="PMingLiU" w:cs="Arial"/>
          <w:szCs w:val="24"/>
          <w:lang w:val="es-ES_tradnl"/>
        </w:rPr>
        <w:t>Grupos de Trabajo Técnico</w:t>
      </w:r>
    </w:p>
    <w:p w:rsidR="003502DA" w:rsidRPr="00F33D64" w:rsidRDefault="00312C2A" w:rsidP="00F803A3">
      <w:pPr>
        <w:tabs>
          <w:tab w:val="left" w:pos="567"/>
          <w:tab w:val="left" w:pos="1701"/>
        </w:tabs>
        <w:rPr>
          <w:rFonts w:eastAsia="PMingLiU" w:cs="Arial"/>
          <w:szCs w:val="24"/>
          <w:lang w:val="es-ES"/>
        </w:rPr>
      </w:pPr>
      <w:r w:rsidRPr="00F33D64">
        <w:rPr>
          <w:rFonts w:eastAsia="PMingLiU" w:cs="Arial"/>
          <w:szCs w:val="24"/>
          <w:lang w:val="es-ES"/>
        </w:rPr>
        <w:tab/>
      </w:r>
      <w:r w:rsidR="00F803A3" w:rsidRPr="00F33D64">
        <w:rPr>
          <w:rFonts w:eastAsia="PMingLiU" w:cs="Arial"/>
          <w:szCs w:val="24"/>
          <w:lang w:val="es-ES_tradnl"/>
        </w:rPr>
        <w:t>TWV:</w:t>
      </w:r>
      <w:r w:rsidR="00F803A3" w:rsidRPr="00F33D64">
        <w:rPr>
          <w:rFonts w:eastAsia="PMingLiU" w:cs="Arial"/>
          <w:szCs w:val="24"/>
          <w:lang w:val="es-ES_tradnl"/>
        </w:rPr>
        <w:tab/>
      </w:r>
      <w:r w:rsidR="003502DA" w:rsidRPr="00F33D64">
        <w:rPr>
          <w:rFonts w:eastAsia="PMingLiU" w:cs="Arial"/>
          <w:szCs w:val="24"/>
          <w:lang w:val="es-ES_tradnl"/>
        </w:rPr>
        <w:t>Grupo de Trabajo Técnico sobre Hortalizas</w:t>
      </w:r>
    </w:p>
    <w:p w:rsidR="003502DA" w:rsidRPr="00F33D64" w:rsidRDefault="003502DA" w:rsidP="00F803A3">
      <w:pPr>
        <w:tabs>
          <w:tab w:val="left" w:pos="1701"/>
        </w:tabs>
        <w:rPr>
          <w:lang w:val="es-ES"/>
        </w:rPr>
      </w:pPr>
    </w:p>
    <w:p w:rsidR="003502DA" w:rsidRPr="00F33D64" w:rsidRDefault="00F70222" w:rsidP="003502DA">
      <w:pPr>
        <w:keepNext/>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La estructura del presente documento es la siguiente:</w:t>
      </w:r>
    </w:p>
    <w:sdt>
      <w:sdtPr>
        <w:id w:val="-1800911247"/>
        <w:docPartObj>
          <w:docPartGallery w:val="Table of Contents"/>
          <w:docPartUnique/>
        </w:docPartObj>
      </w:sdtPr>
      <w:sdtEndPr>
        <w:rPr>
          <w:bCs/>
          <w:noProof/>
        </w:rPr>
      </w:sdtEndPr>
      <w:sdtContent>
        <w:p w:rsidR="003502DA" w:rsidRPr="00F33D64" w:rsidRDefault="003502DA" w:rsidP="00312C2A">
          <w:pPr>
            <w:keepNext/>
            <w:rPr>
              <w:rFonts w:cs="Arial"/>
            </w:rPr>
          </w:pPr>
        </w:p>
        <w:p w:rsidR="00784529" w:rsidRPr="00F33D64" w:rsidRDefault="00F70222" w:rsidP="005420B5">
          <w:pPr>
            <w:pStyle w:val="TOC1"/>
            <w:rPr>
              <w:rFonts w:asciiTheme="minorHAnsi" w:eastAsiaTheme="minorEastAsia" w:hAnsiTheme="minorHAnsi" w:cstheme="minorBidi"/>
              <w:noProof/>
              <w:sz w:val="22"/>
              <w:szCs w:val="22"/>
              <w:lang w:val="es-ES" w:eastAsia="es-ES"/>
            </w:rPr>
          </w:pPr>
          <w:r w:rsidRPr="00F33D64">
            <w:fldChar w:fldCharType="begin"/>
          </w:r>
          <w:r w:rsidR="00312C2A" w:rsidRPr="00F33D64">
            <w:instrText xml:space="preserve"> TOC \o "1-3" \h \z \u </w:instrText>
          </w:r>
          <w:r w:rsidRPr="00F33D64">
            <w:fldChar w:fldCharType="separate"/>
          </w:r>
          <w:hyperlink w:anchor="_Toc412197197" w:history="1">
            <w:r w:rsidR="00784529" w:rsidRPr="00F33D64">
              <w:rPr>
                <w:rStyle w:val="Hyperlink"/>
                <w:noProof/>
                <w:color w:val="auto"/>
              </w:rPr>
              <w:t>Comité TÉCNICO</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_Toc412197197 \h </w:instrText>
            </w:r>
            <w:r w:rsidR="00784529" w:rsidRPr="00F33D64">
              <w:rPr>
                <w:noProof/>
                <w:webHidden/>
              </w:rPr>
            </w:r>
            <w:r w:rsidR="00784529" w:rsidRPr="00F33D64">
              <w:rPr>
                <w:noProof/>
                <w:webHidden/>
              </w:rPr>
              <w:fldChar w:fldCharType="separate"/>
            </w:r>
            <w:r w:rsidR="00A26808">
              <w:rPr>
                <w:noProof/>
                <w:webHidden/>
              </w:rPr>
              <w:t>3</w:t>
            </w:r>
            <w:r w:rsidR="00784529" w:rsidRPr="00F33D64">
              <w:rPr>
                <w:noProof/>
                <w:webHidden/>
              </w:rPr>
              <w:fldChar w:fldCharType="end"/>
            </w:r>
          </w:hyperlink>
        </w:p>
        <w:p w:rsidR="00784529" w:rsidRPr="00F33D64" w:rsidRDefault="00A26808" w:rsidP="005420B5">
          <w:pPr>
            <w:pStyle w:val="TOC1"/>
            <w:rPr>
              <w:rFonts w:asciiTheme="minorHAnsi" w:eastAsiaTheme="minorEastAsia" w:hAnsiTheme="minorHAnsi" w:cstheme="minorBidi"/>
              <w:noProof/>
              <w:sz w:val="22"/>
              <w:szCs w:val="22"/>
              <w:lang w:val="es-ES" w:eastAsia="es-ES"/>
            </w:rPr>
          </w:pPr>
          <w:hyperlink w:anchor="_Toc412197198" w:history="1">
            <w:r w:rsidR="00784529" w:rsidRPr="00F33D64">
              <w:rPr>
                <w:rStyle w:val="Hyperlink"/>
                <w:noProof/>
                <w:snapToGrid w:val="0"/>
                <w:color w:val="auto"/>
              </w:rPr>
              <w:t>Grupos de Trabajo Técnico</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_Toc412197198 \h </w:instrText>
            </w:r>
            <w:r w:rsidR="00784529" w:rsidRPr="00F33D64">
              <w:rPr>
                <w:noProof/>
                <w:webHidden/>
              </w:rPr>
            </w:r>
            <w:r w:rsidR="00784529" w:rsidRPr="00F33D64">
              <w:rPr>
                <w:noProof/>
                <w:webHidden/>
              </w:rPr>
              <w:fldChar w:fldCharType="separate"/>
            </w:r>
            <w:r>
              <w:rPr>
                <w:noProof/>
                <w:webHidden/>
              </w:rPr>
              <w:t>3</w:t>
            </w:r>
            <w:r w:rsidR="00784529" w:rsidRPr="00F33D64">
              <w:rPr>
                <w:noProof/>
                <w:webHidden/>
              </w:rPr>
              <w:fldChar w:fldCharType="end"/>
            </w:r>
          </w:hyperlink>
        </w:p>
        <w:p w:rsidR="00784529" w:rsidRPr="00F33D64" w:rsidRDefault="00A26808" w:rsidP="005420B5">
          <w:pPr>
            <w:pStyle w:val="TOC1"/>
            <w:rPr>
              <w:rFonts w:asciiTheme="minorHAnsi" w:eastAsiaTheme="minorEastAsia" w:hAnsiTheme="minorHAnsi" w:cstheme="minorBidi"/>
              <w:noProof/>
              <w:sz w:val="22"/>
              <w:szCs w:val="22"/>
              <w:lang w:val="es-ES" w:eastAsia="es-ES"/>
            </w:rPr>
          </w:pPr>
          <w:hyperlink w:anchor="_Toc412197199" w:history="1">
            <w:r w:rsidR="00784529" w:rsidRPr="00F33D64">
              <w:rPr>
                <w:rStyle w:val="Hyperlink"/>
                <w:noProof/>
                <w:color w:val="auto"/>
              </w:rPr>
              <w:t xml:space="preserve">la </w:t>
            </w:r>
            <w:r w:rsidR="00784529" w:rsidRPr="00F33D64">
              <w:rPr>
                <w:rStyle w:val="Hyperlink"/>
                <w:noProof/>
                <w:snapToGrid w:val="0"/>
                <w:color w:val="auto"/>
              </w:rPr>
              <w:t>decimocuarta</w:t>
            </w:r>
            <w:r w:rsidR="00784529" w:rsidRPr="00F33D64">
              <w:rPr>
                <w:rStyle w:val="Hyperlink"/>
                <w:noProof/>
                <w:color w:val="auto"/>
              </w:rPr>
              <w:t xml:space="preserve"> reunión DEL GRUPO DE TRABAJO SOBRE TÉCNICAS BIOQUÍMICAS Y MOLECULARES, Y PERFILES DE ADN EN PARTICULAR (BMT)</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_Toc412197199 \h </w:instrText>
            </w:r>
            <w:r w:rsidR="00784529" w:rsidRPr="00F33D64">
              <w:rPr>
                <w:noProof/>
                <w:webHidden/>
              </w:rPr>
            </w:r>
            <w:r w:rsidR="00784529" w:rsidRPr="00F33D64">
              <w:rPr>
                <w:noProof/>
                <w:webHidden/>
              </w:rPr>
              <w:fldChar w:fldCharType="separate"/>
            </w:r>
            <w:r>
              <w:rPr>
                <w:noProof/>
                <w:webHidden/>
              </w:rPr>
              <w:t>4</w:t>
            </w:r>
            <w:r w:rsidR="00784529" w:rsidRPr="00F33D64">
              <w:rPr>
                <w:noProof/>
                <w:webHidden/>
              </w:rPr>
              <w:fldChar w:fldCharType="end"/>
            </w:r>
          </w:hyperlink>
        </w:p>
        <w:p w:rsidR="00784529" w:rsidRPr="00F33D64" w:rsidRDefault="00A26808" w:rsidP="005420B5">
          <w:pPr>
            <w:pStyle w:val="TOC1"/>
            <w:rPr>
              <w:rFonts w:asciiTheme="minorHAnsi" w:eastAsiaTheme="minorEastAsia" w:hAnsiTheme="minorHAnsi" w:cstheme="minorBidi"/>
              <w:noProof/>
              <w:sz w:val="22"/>
              <w:szCs w:val="22"/>
              <w:lang w:val="es-ES" w:eastAsia="es-ES"/>
            </w:rPr>
          </w:pPr>
          <w:hyperlink w:anchor="_Toc412197200" w:history="1">
            <w:r w:rsidR="00784529" w:rsidRPr="00F33D64">
              <w:rPr>
                <w:rStyle w:val="Hyperlink"/>
                <w:noProof/>
                <w:color w:val="auto"/>
              </w:rPr>
              <w:t>TALLER CONJUNTO OCDE-UPOV-ISTA SOBRE TÉCNICAS MOLECULARES</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_Toc412197200 \h </w:instrText>
            </w:r>
            <w:r w:rsidR="00784529" w:rsidRPr="00F33D64">
              <w:rPr>
                <w:noProof/>
                <w:webHidden/>
              </w:rPr>
            </w:r>
            <w:r w:rsidR="00784529" w:rsidRPr="00F33D64">
              <w:rPr>
                <w:noProof/>
                <w:webHidden/>
              </w:rPr>
              <w:fldChar w:fldCharType="separate"/>
            </w:r>
            <w:r>
              <w:rPr>
                <w:noProof/>
                <w:webHidden/>
              </w:rPr>
              <w:t>6</w:t>
            </w:r>
            <w:r w:rsidR="00784529" w:rsidRPr="00F33D64">
              <w:rPr>
                <w:noProof/>
                <w:webHidden/>
              </w:rPr>
              <w:fldChar w:fldCharType="end"/>
            </w:r>
          </w:hyperlink>
        </w:p>
        <w:p w:rsidR="00784529" w:rsidRPr="00F33D64" w:rsidRDefault="00A26808" w:rsidP="005420B5">
          <w:pPr>
            <w:pStyle w:val="TOC1"/>
            <w:rPr>
              <w:rFonts w:asciiTheme="minorHAnsi" w:eastAsiaTheme="minorEastAsia" w:hAnsiTheme="minorHAnsi" w:cstheme="minorBidi"/>
              <w:noProof/>
              <w:sz w:val="22"/>
              <w:szCs w:val="22"/>
              <w:lang w:val="es-ES" w:eastAsia="es-ES"/>
            </w:rPr>
          </w:pPr>
          <w:hyperlink w:anchor="_Toc412197201" w:history="1">
            <w:r w:rsidR="00784529" w:rsidRPr="00F33D64">
              <w:rPr>
                <w:rStyle w:val="Hyperlink"/>
                <w:noProof/>
                <w:color w:val="auto"/>
                <w:lang w:eastAsia="ja-JP"/>
              </w:rPr>
              <w:t>DEBATE SOBRE TÉCNICAS MOLECULARes MANTENIDO POR EL Comité Técnico EN SU QUINCUAGÉSIMA SESIÓN</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_Toc412197201 \h </w:instrText>
            </w:r>
            <w:r w:rsidR="00784529" w:rsidRPr="00F33D64">
              <w:rPr>
                <w:noProof/>
                <w:webHidden/>
              </w:rPr>
            </w:r>
            <w:r w:rsidR="00784529" w:rsidRPr="00F33D64">
              <w:rPr>
                <w:noProof/>
                <w:webHidden/>
              </w:rPr>
              <w:fldChar w:fldCharType="separate"/>
            </w:r>
            <w:r>
              <w:rPr>
                <w:noProof/>
                <w:webHidden/>
              </w:rPr>
              <w:t>7</w:t>
            </w:r>
            <w:r w:rsidR="00784529" w:rsidRPr="00F33D64">
              <w:rPr>
                <w:noProof/>
                <w:webHidden/>
              </w:rPr>
              <w:fldChar w:fldCharType="end"/>
            </w:r>
          </w:hyperlink>
        </w:p>
        <w:p w:rsidR="00784529" w:rsidRPr="00F33D64" w:rsidRDefault="00A26808" w:rsidP="005420B5">
          <w:pPr>
            <w:pStyle w:val="TOC1"/>
            <w:rPr>
              <w:rFonts w:asciiTheme="minorHAnsi" w:eastAsiaTheme="minorEastAsia" w:hAnsiTheme="minorHAnsi" w:cstheme="minorBidi"/>
              <w:noProof/>
              <w:sz w:val="22"/>
              <w:szCs w:val="22"/>
              <w:lang w:val="es-ES" w:eastAsia="es-ES"/>
            </w:rPr>
          </w:pPr>
          <w:hyperlink w:anchor="_Toc412197202" w:history="1">
            <w:r w:rsidR="00784529" w:rsidRPr="00F33D64">
              <w:rPr>
                <w:rStyle w:val="Hyperlink"/>
                <w:noProof/>
                <w:color w:val="auto"/>
              </w:rPr>
              <w:t>LA PRESENTACIÓN DE INFORMACIÓN SOBRE LA SITUACIÓN EN LA UPOV EN LO QUE RESPECTA AL USO DE TÉCNICAS MOLECULARES</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_Toc412197202 \h </w:instrText>
            </w:r>
            <w:r w:rsidR="00784529" w:rsidRPr="00F33D64">
              <w:rPr>
                <w:noProof/>
                <w:webHidden/>
              </w:rPr>
            </w:r>
            <w:r w:rsidR="00784529" w:rsidRPr="00F33D64">
              <w:rPr>
                <w:noProof/>
                <w:webHidden/>
              </w:rPr>
              <w:fldChar w:fldCharType="separate"/>
            </w:r>
            <w:r>
              <w:rPr>
                <w:noProof/>
                <w:webHidden/>
              </w:rPr>
              <w:t>8</w:t>
            </w:r>
            <w:r w:rsidR="00784529" w:rsidRPr="00F33D64">
              <w:rPr>
                <w:noProof/>
                <w:webHidden/>
              </w:rPr>
              <w:fldChar w:fldCharType="end"/>
            </w:r>
          </w:hyperlink>
        </w:p>
        <w:p w:rsidR="00784529" w:rsidRPr="00F33D64" w:rsidRDefault="00A26808" w:rsidP="00B82446">
          <w:pPr>
            <w:pStyle w:val="TOC2"/>
            <w:spacing w:beforeLines="60" w:before="144" w:after="120"/>
            <w:contextualSpacing w:val="0"/>
            <w:rPr>
              <w:rFonts w:asciiTheme="minorHAnsi" w:eastAsiaTheme="minorEastAsia" w:hAnsiTheme="minorHAnsi" w:cstheme="minorBidi"/>
              <w:smallCaps w:val="0"/>
              <w:noProof/>
              <w:sz w:val="22"/>
              <w:szCs w:val="22"/>
              <w:lang w:val="es-ES" w:eastAsia="es-ES"/>
            </w:rPr>
          </w:pPr>
          <w:hyperlink w:anchor="_Toc412197203" w:history="1">
            <w:r w:rsidR="00784529" w:rsidRPr="00F33D64">
              <w:rPr>
                <w:rStyle w:val="Hyperlink"/>
                <w:noProof/>
                <w:color w:val="auto"/>
                <w:lang w:val="es-ES_tradnl" w:eastAsia="ja-JP"/>
              </w:rPr>
              <w:t>Antecedentes</w:t>
            </w:r>
            <w:r w:rsidR="00784529" w:rsidRPr="00F33D64">
              <w:rPr>
                <w:noProof/>
                <w:webHidden/>
              </w:rPr>
              <w:tab/>
            </w:r>
            <w:r w:rsidR="00784529" w:rsidRPr="00F33D64">
              <w:rPr>
                <w:noProof/>
                <w:webHidden/>
              </w:rPr>
              <w:fldChar w:fldCharType="begin"/>
            </w:r>
            <w:r w:rsidR="00784529" w:rsidRPr="00F33D64">
              <w:rPr>
                <w:noProof/>
                <w:webHidden/>
              </w:rPr>
              <w:instrText xml:space="preserve"> PAGEREF _Toc412197203 \h </w:instrText>
            </w:r>
            <w:r w:rsidR="00784529" w:rsidRPr="00F33D64">
              <w:rPr>
                <w:noProof/>
                <w:webHidden/>
              </w:rPr>
            </w:r>
            <w:r w:rsidR="00784529" w:rsidRPr="00F33D64">
              <w:rPr>
                <w:noProof/>
                <w:webHidden/>
              </w:rPr>
              <w:fldChar w:fldCharType="separate"/>
            </w:r>
            <w:r>
              <w:rPr>
                <w:noProof/>
                <w:webHidden/>
              </w:rPr>
              <w:t>8</w:t>
            </w:r>
            <w:r w:rsidR="00784529" w:rsidRPr="00F33D64">
              <w:rPr>
                <w:noProof/>
                <w:webHidden/>
              </w:rPr>
              <w:fldChar w:fldCharType="end"/>
            </w:r>
          </w:hyperlink>
        </w:p>
        <w:p w:rsidR="003502DA" w:rsidRPr="00F33D64" w:rsidRDefault="00F70222" w:rsidP="00312C2A">
          <w:pPr>
            <w:keepNext/>
          </w:pPr>
          <w:r w:rsidRPr="00F33D64">
            <w:rPr>
              <w:bCs/>
              <w:noProof/>
            </w:rPr>
            <w:fldChar w:fldCharType="end"/>
          </w:r>
        </w:p>
      </w:sdtContent>
    </w:sdt>
    <w:p w:rsidR="003502DA" w:rsidRPr="00F33D64" w:rsidRDefault="00312C2A" w:rsidP="00312C2A">
      <w:pPr>
        <w:jc w:val="left"/>
        <w:rPr>
          <w:rFonts w:eastAsia="PMingLiU" w:cs="Arial"/>
          <w:szCs w:val="24"/>
        </w:rPr>
      </w:pPr>
      <w:r w:rsidRPr="00F33D64">
        <w:rPr>
          <w:rFonts w:eastAsia="PMingLiU" w:cs="Arial"/>
          <w:szCs w:val="24"/>
        </w:rPr>
        <w:br w:type="page"/>
      </w:r>
    </w:p>
    <w:p w:rsidR="003502DA" w:rsidRPr="00F33D64" w:rsidRDefault="003502DA" w:rsidP="00F66AE9">
      <w:pPr>
        <w:pStyle w:val="Heading1"/>
        <w:rPr>
          <w:color w:val="auto"/>
        </w:rPr>
      </w:pPr>
      <w:bookmarkStart w:id="6" w:name="_Toc412197197"/>
      <w:r w:rsidRPr="00F33D64">
        <w:rPr>
          <w:color w:val="auto"/>
        </w:rPr>
        <w:lastRenderedPageBreak/>
        <w:t>Comité TÉCNICO</w:t>
      </w:r>
      <w:bookmarkEnd w:id="6"/>
    </w:p>
    <w:p w:rsidR="003502DA" w:rsidRPr="00F33D64" w:rsidRDefault="003502DA" w:rsidP="00312C2A">
      <w:pPr>
        <w:rPr>
          <w:lang w:val="es-ES" w:eastAsia="ja-JP"/>
        </w:rPr>
      </w:pPr>
    </w:p>
    <w:p w:rsidR="003502DA" w:rsidRPr="00F33D64" w:rsidRDefault="00F70222" w:rsidP="00312C2A">
      <w:pPr>
        <w:rPr>
          <w:lang w:val="es-ES" w:eastAsia="ja-JP"/>
        </w:rPr>
      </w:pPr>
      <w:r w:rsidRPr="00F33D64">
        <w:rPr>
          <w:lang w:val="fr-FR"/>
        </w:rPr>
        <w:fldChar w:fldCharType="begin"/>
      </w:r>
      <w:r w:rsidR="00312C2A" w:rsidRPr="00F33D64">
        <w:rPr>
          <w:lang w:val="es-ES"/>
        </w:rPr>
        <w:instrText xml:space="preserve"> AUTONUM  </w:instrText>
      </w:r>
      <w:r w:rsidRPr="00F33D64">
        <w:rPr>
          <w:lang w:val="fr-FR"/>
        </w:rPr>
        <w:fldChar w:fldCharType="end"/>
      </w:r>
      <w:r w:rsidR="00312C2A" w:rsidRPr="00F33D64">
        <w:rPr>
          <w:lang w:val="es-ES"/>
        </w:rPr>
        <w:tab/>
      </w:r>
      <w:r w:rsidR="006405CC" w:rsidRPr="00F33D64">
        <w:rPr>
          <w:lang w:val="es-ES_tradnl" w:eastAsia="ja-JP"/>
        </w:rPr>
        <w:t>En su quincuagésima</w:t>
      </w:r>
      <w:r w:rsidR="006405CC" w:rsidRPr="00F33D64">
        <w:rPr>
          <w:rFonts w:hint="eastAsia"/>
          <w:lang w:val="es-ES_tradnl" w:eastAsia="ja-JP"/>
        </w:rPr>
        <w:t xml:space="preserve"> </w:t>
      </w:r>
      <w:r w:rsidR="006405CC" w:rsidRPr="00F33D64">
        <w:rPr>
          <w:lang w:val="es-ES_tradnl" w:eastAsia="ja-JP"/>
        </w:rPr>
        <w:t>sesión</w:t>
      </w:r>
      <w:r w:rsidR="006405CC" w:rsidRPr="00F33D64">
        <w:rPr>
          <w:rFonts w:hint="eastAsia"/>
          <w:lang w:val="es-ES_tradnl" w:eastAsia="ja-JP"/>
        </w:rPr>
        <w:t xml:space="preserve">, </w:t>
      </w:r>
      <w:r w:rsidR="006405CC" w:rsidRPr="00F33D64">
        <w:rPr>
          <w:lang w:val="es-ES_tradnl" w:eastAsia="ja-JP"/>
        </w:rPr>
        <w:t>celebrada en</w:t>
      </w:r>
      <w:r w:rsidR="006405CC" w:rsidRPr="00F33D64">
        <w:rPr>
          <w:rFonts w:hint="eastAsia"/>
          <w:lang w:val="es-ES_tradnl" w:eastAsia="ja-JP"/>
        </w:rPr>
        <w:t xml:space="preserve"> </w:t>
      </w:r>
      <w:r w:rsidR="006405CC" w:rsidRPr="00F33D64">
        <w:rPr>
          <w:lang w:val="es-ES_tradnl" w:eastAsia="ja-JP"/>
        </w:rPr>
        <w:t>Ginebra del 7 al 9 de abril de 2014</w:t>
      </w:r>
      <w:r w:rsidR="006405CC" w:rsidRPr="00F33D64">
        <w:rPr>
          <w:rFonts w:hint="eastAsia"/>
          <w:lang w:val="es-ES_tradnl" w:eastAsia="ja-JP"/>
        </w:rPr>
        <w:t xml:space="preserve">, </w:t>
      </w:r>
      <w:r w:rsidR="006405CC" w:rsidRPr="00F33D64">
        <w:rPr>
          <w:lang w:val="es-ES_tradnl" w:eastAsia="ja-JP"/>
        </w:rPr>
        <w:t xml:space="preserve">el </w:t>
      </w:r>
      <w:r w:rsidR="006405CC" w:rsidRPr="00F33D64">
        <w:rPr>
          <w:lang w:val="es-ES_tradnl"/>
        </w:rPr>
        <w:t>TC examinó el documento </w:t>
      </w:r>
      <w:r w:rsidR="006405CC" w:rsidRPr="00F33D64">
        <w:rPr>
          <w:rFonts w:cs="Arial"/>
          <w:snapToGrid w:val="0"/>
          <w:lang w:val="es-ES_tradnl"/>
        </w:rPr>
        <w:t>TC/50/13</w:t>
      </w:r>
      <w:r w:rsidR="006405CC" w:rsidRPr="00F33D64">
        <w:rPr>
          <w:rFonts w:cs="Arial" w:hint="eastAsia"/>
          <w:snapToGrid w:val="0"/>
          <w:lang w:val="es-ES_tradnl" w:eastAsia="ja-JP"/>
        </w:rPr>
        <w:t>.</w:t>
      </w:r>
    </w:p>
    <w:p w:rsidR="003502DA" w:rsidRPr="00F33D64" w:rsidRDefault="003502DA" w:rsidP="00312C2A">
      <w:pPr>
        <w:rPr>
          <w:lang w:val="es-ES"/>
        </w:rPr>
      </w:pPr>
    </w:p>
    <w:p w:rsidR="003502DA" w:rsidRPr="00F33D64" w:rsidRDefault="00F70222" w:rsidP="003502D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El TC tomó nota de que la decimocua</w:t>
      </w:r>
      <w:r w:rsidR="00F91697" w:rsidRPr="00F33D64">
        <w:rPr>
          <w:lang w:val="es-ES_tradnl"/>
        </w:rPr>
        <w:t>rta reunión del BMT se celebraría</w:t>
      </w:r>
      <w:r w:rsidR="003502DA" w:rsidRPr="00F33D64">
        <w:rPr>
          <w:lang w:val="es-ES_tradnl"/>
        </w:rPr>
        <w:t xml:space="preserve"> </w:t>
      </w:r>
      <w:r w:rsidR="001E574E" w:rsidRPr="00F33D64">
        <w:rPr>
          <w:lang w:val="es-ES_tradnl"/>
        </w:rPr>
        <w:t xml:space="preserve">en Seúl (República de Corea) del </w:t>
      </w:r>
      <w:r w:rsidR="003502DA" w:rsidRPr="00F33D64">
        <w:rPr>
          <w:lang w:val="es-ES_tradnl"/>
        </w:rPr>
        <w:t>10 al</w:t>
      </w:r>
      <w:r w:rsidR="001E574E" w:rsidRPr="00F33D64">
        <w:rPr>
          <w:lang w:val="es-ES_tradnl"/>
        </w:rPr>
        <w:t xml:space="preserve"> </w:t>
      </w:r>
      <w:r w:rsidR="003502DA" w:rsidRPr="00F33D64">
        <w:rPr>
          <w:lang w:val="es-ES_tradnl"/>
        </w:rPr>
        <w:t>13 de noviembre de</w:t>
      </w:r>
      <w:r w:rsidR="001E574E" w:rsidRPr="00F33D64">
        <w:rPr>
          <w:lang w:val="es-ES_tradnl"/>
        </w:rPr>
        <w:t xml:space="preserve"> </w:t>
      </w:r>
      <w:r w:rsidR="003502DA" w:rsidRPr="00F33D64">
        <w:rPr>
          <w:lang w:val="es-ES_tradnl"/>
        </w:rPr>
        <w:t>2014.</w:t>
      </w:r>
    </w:p>
    <w:p w:rsidR="003502DA" w:rsidRPr="00F33D64" w:rsidRDefault="003502DA" w:rsidP="00312C2A">
      <w:pPr>
        <w:rPr>
          <w:lang w:val="es-ES"/>
        </w:rPr>
      </w:pPr>
    </w:p>
    <w:p w:rsidR="003502DA" w:rsidRPr="00F33D64" w:rsidRDefault="00F70222" w:rsidP="00312C2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6405CC" w:rsidRPr="00F33D64">
        <w:rPr>
          <w:lang w:val="es-ES_tradnl"/>
        </w:rPr>
        <w:t>El TC aceptó la modificación propuesta del programa de la decimocuarta reunión del BMT</w:t>
      </w:r>
      <w:r w:rsidR="006405CC" w:rsidRPr="00F33D64">
        <w:rPr>
          <w:rFonts w:hint="eastAsia"/>
          <w:lang w:val="es-ES_tradnl" w:eastAsia="ja-JP"/>
        </w:rPr>
        <w:t xml:space="preserve"> (</w:t>
      </w:r>
      <w:r w:rsidR="006405CC" w:rsidRPr="00F33D64">
        <w:rPr>
          <w:lang w:val="es-ES_tradnl" w:eastAsia="ja-JP"/>
        </w:rPr>
        <w:t>véase el párrafo </w:t>
      </w:r>
      <w:r w:rsidR="006405CC" w:rsidRPr="00F33D64">
        <w:rPr>
          <w:lang w:val="es-ES_tradnl"/>
        </w:rPr>
        <w:t xml:space="preserve">20 del </w:t>
      </w:r>
      <w:r w:rsidR="006405CC" w:rsidRPr="00F33D64">
        <w:rPr>
          <w:lang w:val="es-ES_tradnl" w:eastAsia="ja-JP"/>
        </w:rPr>
        <w:t>documento </w:t>
      </w:r>
      <w:r w:rsidR="006405CC" w:rsidRPr="00F33D64">
        <w:rPr>
          <w:rFonts w:hint="eastAsia"/>
          <w:lang w:val="es-ES_tradnl" w:eastAsia="ja-JP"/>
        </w:rPr>
        <w:t>TC/50/13)</w:t>
      </w:r>
      <w:r w:rsidR="006405CC" w:rsidRPr="00F33D64">
        <w:rPr>
          <w:lang w:val="es-ES_tradnl"/>
        </w:rPr>
        <w:t>.</w:t>
      </w:r>
    </w:p>
    <w:p w:rsidR="003502DA" w:rsidRPr="00F33D64" w:rsidRDefault="003502DA" w:rsidP="00312C2A">
      <w:pPr>
        <w:rPr>
          <w:lang w:val="es-ES"/>
        </w:rPr>
      </w:pPr>
    </w:p>
    <w:p w:rsidR="003502DA" w:rsidRPr="00F33D64" w:rsidRDefault="00F70222" w:rsidP="003502DA">
      <w:pPr>
        <w:rPr>
          <w:lang w:val="es-ES"/>
        </w:rPr>
      </w:pPr>
      <w:r w:rsidRPr="00F33D64">
        <w:rPr>
          <w:rFonts w:eastAsia="MS Mincho"/>
          <w:snapToGrid w:val="0"/>
        </w:rPr>
        <w:fldChar w:fldCharType="begin"/>
      </w:r>
      <w:r w:rsidR="00312C2A" w:rsidRPr="00F33D64">
        <w:rPr>
          <w:rFonts w:eastAsia="MS Mincho"/>
          <w:snapToGrid w:val="0"/>
          <w:lang w:val="es-ES"/>
        </w:rPr>
        <w:instrText xml:space="preserve"> AUTONUM  </w:instrText>
      </w:r>
      <w:r w:rsidRPr="00F33D64">
        <w:rPr>
          <w:rFonts w:eastAsia="MS Mincho"/>
          <w:snapToGrid w:val="0"/>
        </w:rPr>
        <w:fldChar w:fldCharType="end"/>
      </w:r>
      <w:r w:rsidR="00312C2A" w:rsidRPr="00F33D64">
        <w:rPr>
          <w:rFonts w:eastAsia="MS Mincho"/>
          <w:snapToGrid w:val="0"/>
          <w:lang w:val="es-ES"/>
        </w:rPr>
        <w:tab/>
      </w:r>
      <w:r w:rsidR="003502DA" w:rsidRPr="00F33D64">
        <w:rPr>
          <w:rFonts w:eastAsia="MS Mincho"/>
          <w:snapToGrid w:val="0"/>
          <w:lang w:val="es-ES_tradnl"/>
        </w:rPr>
        <w:t>El TC aprobó el plan propuesto de hacer coincidir la decimocuarta reunión del BMT con el Taller conjunto con la</w:t>
      </w:r>
      <w:r w:rsidR="00F91697" w:rsidRPr="00F33D64">
        <w:rPr>
          <w:rFonts w:eastAsia="MS Mincho"/>
          <w:snapToGrid w:val="0"/>
          <w:lang w:val="es-ES_tradnl"/>
        </w:rPr>
        <w:t xml:space="preserve"> ISTA y la OCDE que se celebraría</w:t>
      </w:r>
      <w:r w:rsidR="003502DA" w:rsidRPr="00F33D64">
        <w:rPr>
          <w:rFonts w:eastAsia="MS Mincho"/>
          <w:snapToGrid w:val="0"/>
          <w:lang w:val="es-ES_tradnl"/>
        </w:rPr>
        <w:t xml:space="preserve"> el</w:t>
      </w:r>
      <w:r w:rsidR="00D022F1" w:rsidRPr="00F33D64">
        <w:rPr>
          <w:rFonts w:eastAsia="MS Mincho"/>
          <w:snapToGrid w:val="0"/>
          <w:lang w:val="es-ES_tradnl"/>
        </w:rPr>
        <w:t xml:space="preserve"> </w:t>
      </w:r>
      <w:r w:rsidR="003502DA" w:rsidRPr="00F33D64">
        <w:rPr>
          <w:rFonts w:eastAsia="MS Mincho"/>
          <w:snapToGrid w:val="0"/>
          <w:lang w:val="es-ES_tradnl"/>
        </w:rPr>
        <w:t>12 de noviembre de</w:t>
      </w:r>
      <w:r w:rsidR="00D022F1" w:rsidRPr="00F33D64">
        <w:rPr>
          <w:rFonts w:eastAsia="MS Mincho"/>
          <w:snapToGrid w:val="0"/>
          <w:lang w:val="es-ES_tradnl"/>
        </w:rPr>
        <w:t xml:space="preserve"> </w:t>
      </w:r>
      <w:r w:rsidR="003502DA" w:rsidRPr="00F33D64">
        <w:rPr>
          <w:rFonts w:eastAsia="MS Mincho"/>
          <w:snapToGrid w:val="0"/>
          <w:lang w:val="es-ES_tradnl"/>
        </w:rPr>
        <w:t>2014, como se indica</w:t>
      </w:r>
      <w:r w:rsidR="00F91697" w:rsidRPr="00F33D64">
        <w:rPr>
          <w:rFonts w:eastAsia="MS Mincho"/>
          <w:snapToGrid w:val="0"/>
          <w:lang w:val="es-ES_tradnl"/>
        </w:rPr>
        <w:t>ba</w:t>
      </w:r>
      <w:r w:rsidR="003502DA" w:rsidRPr="00F33D64">
        <w:rPr>
          <w:rFonts w:eastAsia="MS Mincho"/>
          <w:snapToGrid w:val="0"/>
          <w:lang w:val="es-ES_tradnl"/>
        </w:rPr>
        <w:t xml:space="preserve"> en el párrafo</w:t>
      </w:r>
      <w:r w:rsidR="00D022F1" w:rsidRPr="00F33D64">
        <w:rPr>
          <w:rFonts w:eastAsia="MS Mincho"/>
          <w:snapToGrid w:val="0"/>
          <w:lang w:val="es-ES_tradnl"/>
        </w:rPr>
        <w:t> </w:t>
      </w:r>
      <w:r w:rsidR="003502DA" w:rsidRPr="00F33D64">
        <w:rPr>
          <w:rFonts w:eastAsia="MS Mincho"/>
          <w:snapToGrid w:val="0"/>
          <w:lang w:val="es-ES_tradnl"/>
        </w:rPr>
        <w:t>21 del documento</w:t>
      </w:r>
      <w:r w:rsidR="00D022F1" w:rsidRPr="00F33D64">
        <w:rPr>
          <w:rFonts w:eastAsia="MS Mincho"/>
          <w:snapToGrid w:val="0"/>
          <w:lang w:val="es-ES_tradnl"/>
        </w:rPr>
        <w:t xml:space="preserve"> </w:t>
      </w:r>
      <w:r w:rsidR="003502DA" w:rsidRPr="00F33D64">
        <w:rPr>
          <w:rFonts w:eastAsia="MS Mincho"/>
          <w:snapToGrid w:val="0"/>
          <w:lang w:val="es-ES_tradnl"/>
        </w:rPr>
        <w:t>TC/50/13.</w:t>
      </w:r>
    </w:p>
    <w:p w:rsidR="003502DA" w:rsidRPr="00F33D64" w:rsidRDefault="003502DA" w:rsidP="00312C2A">
      <w:pPr>
        <w:rPr>
          <w:lang w:val="es-ES"/>
        </w:rPr>
      </w:pPr>
    </w:p>
    <w:p w:rsidR="003502DA" w:rsidRPr="00F33D64" w:rsidRDefault="00F70222" w:rsidP="003502DA">
      <w:pPr>
        <w:rPr>
          <w:rFonts w:eastAsia="MS Mincho"/>
          <w:snapToGrid w:val="0"/>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F91697" w:rsidRPr="00F33D64">
        <w:rPr>
          <w:lang w:val="es-ES_tradnl"/>
        </w:rPr>
        <w:t>El TC convino en que se debía</w:t>
      </w:r>
      <w:r w:rsidR="003502DA" w:rsidRPr="00F33D64">
        <w:rPr>
          <w:lang w:val="es-ES_tradnl"/>
        </w:rPr>
        <w:t xml:space="preserve"> notificar al TC, en su quincuagésima primera sesión, la marcha de la labor del BMT y los resultados del taller conjunto con la ISTA y la OCDE.</w:t>
      </w:r>
    </w:p>
    <w:p w:rsidR="003502DA" w:rsidRPr="00F33D64" w:rsidRDefault="003502DA" w:rsidP="00312C2A">
      <w:pPr>
        <w:rPr>
          <w:rFonts w:eastAsia="MS Mincho"/>
          <w:snapToGrid w:val="0"/>
          <w:lang w:val="es-ES"/>
        </w:rPr>
      </w:pPr>
    </w:p>
    <w:p w:rsidR="003502DA" w:rsidRPr="00F33D64" w:rsidRDefault="003502DA" w:rsidP="00312C2A">
      <w:pPr>
        <w:rPr>
          <w:rFonts w:eastAsia="MS Mincho"/>
          <w:snapToGrid w:val="0"/>
          <w:lang w:val="es-ES" w:eastAsia="ja-JP"/>
        </w:rPr>
      </w:pPr>
    </w:p>
    <w:p w:rsidR="003502DA" w:rsidRPr="00F33D64" w:rsidRDefault="003502DA" w:rsidP="00F66AE9">
      <w:pPr>
        <w:pStyle w:val="Heading1"/>
        <w:rPr>
          <w:snapToGrid w:val="0"/>
          <w:color w:val="auto"/>
        </w:rPr>
      </w:pPr>
      <w:bookmarkStart w:id="7" w:name="_Toc412197198"/>
      <w:r w:rsidRPr="00F33D64">
        <w:rPr>
          <w:snapToGrid w:val="0"/>
          <w:color w:val="auto"/>
        </w:rPr>
        <w:t>Grupos de Trabajo Técnico</w:t>
      </w:r>
      <w:bookmarkEnd w:id="7"/>
    </w:p>
    <w:p w:rsidR="003502DA" w:rsidRPr="00F33D64" w:rsidRDefault="003502DA" w:rsidP="00312C2A">
      <w:pPr>
        <w:rPr>
          <w:rFonts w:eastAsia="MS Mincho"/>
          <w:snapToGrid w:val="0"/>
          <w:lang w:val="es-ES" w:eastAsia="ja-JP"/>
        </w:rPr>
      </w:pPr>
    </w:p>
    <w:p w:rsidR="003502DA" w:rsidRPr="00F33D64" w:rsidRDefault="00F70222" w:rsidP="00312C2A">
      <w:pPr>
        <w:rPr>
          <w:snapToGrid w:val="0"/>
          <w:lang w:val="es-ES" w:eastAsia="ja-JP"/>
        </w:rPr>
      </w:pPr>
      <w:r w:rsidRPr="00F33D64">
        <w:rPr>
          <w:rFonts w:cs="Arial"/>
        </w:rPr>
        <w:fldChar w:fldCharType="begin"/>
      </w:r>
      <w:r w:rsidR="00312C2A" w:rsidRPr="00F33D64">
        <w:rPr>
          <w:rFonts w:cs="Arial"/>
          <w:lang w:val="es-ES"/>
        </w:rPr>
        <w:instrText xml:space="preserve"> AUTONUM  </w:instrText>
      </w:r>
      <w:r w:rsidRPr="00F33D64">
        <w:rPr>
          <w:rFonts w:cs="Arial"/>
        </w:rPr>
        <w:fldChar w:fldCharType="end"/>
      </w:r>
      <w:r w:rsidR="00312C2A" w:rsidRPr="00F33D64">
        <w:rPr>
          <w:rFonts w:cs="Arial"/>
          <w:lang w:val="es-ES"/>
        </w:rPr>
        <w:tab/>
      </w:r>
      <w:r w:rsidR="006405CC" w:rsidRPr="00F33D64">
        <w:rPr>
          <w:lang w:val="es-ES_tradnl" w:eastAsia="ja-JP"/>
        </w:rPr>
        <w:t xml:space="preserve">En sus </w:t>
      </w:r>
      <w:r w:rsidR="006405CC" w:rsidRPr="00F33D64">
        <w:rPr>
          <w:rFonts w:hint="eastAsia"/>
          <w:lang w:val="es-ES_tradnl" w:eastAsia="ja-JP"/>
        </w:rPr>
        <w:t>sesion</w:t>
      </w:r>
      <w:r w:rsidR="006405CC" w:rsidRPr="00F33D64">
        <w:rPr>
          <w:lang w:val="es-ES_tradnl" w:eastAsia="ja-JP"/>
        </w:rPr>
        <w:t>e</w:t>
      </w:r>
      <w:r w:rsidR="006405CC" w:rsidRPr="00F33D64">
        <w:rPr>
          <w:rFonts w:hint="eastAsia"/>
          <w:lang w:val="es-ES_tradnl" w:eastAsia="ja-JP"/>
        </w:rPr>
        <w:t xml:space="preserve">s </w:t>
      </w:r>
      <w:r w:rsidR="006405CC" w:rsidRPr="00F33D64">
        <w:rPr>
          <w:lang w:val="es-ES_tradnl" w:eastAsia="ja-JP"/>
        </w:rPr>
        <w:t xml:space="preserve">de </w:t>
      </w:r>
      <w:r w:rsidR="006405CC" w:rsidRPr="00F33D64">
        <w:rPr>
          <w:rFonts w:hint="eastAsia"/>
          <w:lang w:val="es-ES_tradnl" w:eastAsia="ja-JP"/>
        </w:rPr>
        <w:t xml:space="preserve">2014, </w:t>
      </w:r>
      <w:r w:rsidR="006405CC" w:rsidRPr="00F33D64">
        <w:rPr>
          <w:lang w:val="es-ES_tradnl" w:eastAsia="ja-JP"/>
        </w:rPr>
        <w:t>el TWO</w:t>
      </w:r>
      <w:r w:rsidR="006405CC" w:rsidRPr="00F33D64">
        <w:rPr>
          <w:rFonts w:hint="eastAsia"/>
          <w:lang w:val="es-ES_tradnl" w:eastAsia="ja-JP"/>
        </w:rPr>
        <w:t xml:space="preserve">, </w:t>
      </w:r>
      <w:r w:rsidR="006405CC" w:rsidRPr="00F33D64">
        <w:rPr>
          <w:lang w:val="es-ES_tradnl" w:eastAsia="ja-JP"/>
        </w:rPr>
        <w:t>el TWF</w:t>
      </w:r>
      <w:r w:rsidR="006405CC" w:rsidRPr="00F33D64">
        <w:rPr>
          <w:rFonts w:hint="eastAsia"/>
          <w:lang w:val="es-ES_tradnl" w:eastAsia="ja-JP"/>
        </w:rPr>
        <w:t xml:space="preserve">, </w:t>
      </w:r>
      <w:r w:rsidR="006405CC" w:rsidRPr="00F33D64">
        <w:rPr>
          <w:lang w:val="es-ES_tradnl" w:eastAsia="ja-JP"/>
        </w:rPr>
        <w:t>el TWC</w:t>
      </w:r>
      <w:r w:rsidR="006405CC" w:rsidRPr="00F33D64">
        <w:rPr>
          <w:rFonts w:hint="eastAsia"/>
          <w:lang w:val="es-ES_tradnl" w:eastAsia="ja-JP"/>
        </w:rPr>
        <w:t xml:space="preserve">, </w:t>
      </w:r>
      <w:r w:rsidR="006405CC" w:rsidRPr="00F33D64">
        <w:rPr>
          <w:lang w:val="es-ES_tradnl" w:eastAsia="ja-JP"/>
        </w:rPr>
        <w:t>el TWV</w:t>
      </w:r>
      <w:r w:rsidR="006405CC" w:rsidRPr="00F33D64">
        <w:rPr>
          <w:rFonts w:hint="eastAsia"/>
          <w:lang w:val="es-ES_tradnl" w:eastAsia="ja-JP"/>
        </w:rPr>
        <w:t xml:space="preserve"> </w:t>
      </w:r>
      <w:r w:rsidR="006405CC" w:rsidRPr="00F33D64">
        <w:rPr>
          <w:lang w:val="es-ES_tradnl" w:eastAsia="ja-JP"/>
        </w:rPr>
        <w:t>y el TWA</w:t>
      </w:r>
      <w:r w:rsidR="006405CC" w:rsidRPr="00F33D64">
        <w:rPr>
          <w:rFonts w:hint="eastAsia"/>
          <w:lang w:val="es-ES_tradnl" w:eastAsia="ja-JP"/>
        </w:rPr>
        <w:t xml:space="preserve"> </w:t>
      </w:r>
      <w:r w:rsidR="006405CC" w:rsidRPr="00F33D64">
        <w:rPr>
          <w:snapToGrid w:val="0"/>
          <w:lang w:val="es-ES_tradnl"/>
        </w:rPr>
        <w:t>examinaron los documentos TWO/4</w:t>
      </w:r>
      <w:r w:rsidR="006405CC" w:rsidRPr="00F33D64">
        <w:rPr>
          <w:rFonts w:hint="eastAsia"/>
          <w:snapToGrid w:val="0"/>
          <w:lang w:val="es-ES_tradnl" w:eastAsia="ja-JP"/>
        </w:rPr>
        <w:t>7</w:t>
      </w:r>
      <w:r w:rsidR="006405CC" w:rsidRPr="00F33D64">
        <w:rPr>
          <w:snapToGrid w:val="0"/>
          <w:lang w:val="es-ES_tradnl"/>
        </w:rPr>
        <w:t>/</w:t>
      </w:r>
      <w:r w:rsidR="006405CC" w:rsidRPr="00F33D64">
        <w:rPr>
          <w:rFonts w:hint="eastAsia"/>
          <w:snapToGrid w:val="0"/>
          <w:lang w:val="es-ES_tradnl" w:eastAsia="ja-JP"/>
        </w:rPr>
        <w:t>2</w:t>
      </w:r>
      <w:r w:rsidR="006405CC" w:rsidRPr="00F33D64">
        <w:rPr>
          <w:snapToGrid w:val="0"/>
          <w:lang w:val="es-ES_tradnl"/>
        </w:rPr>
        <w:t>, TWF/4</w:t>
      </w:r>
      <w:r w:rsidR="006405CC" w:rsidRPr="00F33D64">
        <w:rPr>
          <w:rFonts w:hint="eastAsia"/>
          <w:snapToGrid w:val="0"/>
          <w:lang w:val="es-ES_tradnl" w:eastAsia="ja-JP"/>
        </w:rPr>
        <w:t>5</w:t>
      </w:r>
      <w:r w:rsidR="006405CC" w:rsidRPr="00F33D64">
        <w:rPr>
          <w:snapToGrid w:val="0"/>
          <w:lang w:val="es-ES_tradnl"/>
        </w:rPr>
        <w:t>/</w:t>
      </w:r>
      <w:r w:rsidR="006405CC" w:rsidRPr="00F33D64">
        <w:rPr>
          <w:rFonts w:hint="eastAsia"/>
          <w:snapToGrid w:val="0"/>
          <w:lang w:val="es-ES_tradnl" w:eastAsia="ja-JP"/>
        </w:rPr>
        <w:t>2</w:t>
      </w:r>
      <w:r w:rsidR="006405CC" w:rsidRPr="00F33D64">
        <w:rPr>
          <w:snapToGrid w:val="0"/>
          <w:lang w:val="es-ES_tradnl"/>
        </w:rPr>
        <w:t>, TWC/3</w:t>
      </w:r>
      <w:r w:rsidR="006405CC" w:rsidRPr="00F33D64">
        <w:rPr>
          <w:rFonts w:hint="eastAsia"/>
          <w:snapToGrid w:val="0"/>
          <w:lang w:val="es-ES_tradnl" w:eastAsia="ja-JP"/>
        </w:rPr>
        <w:t>2</w:t>
      </w:r>
      <w:r w:rsidR="006405CC" w:rsidRPr="00F33D64">
        <w:rPr>
          <w:snapToGrid w:val="0"/>
          <w:lang w:val="es-ES_tradnl"/>
        </w:rPr>
        <w:t>/</w:t>
      </w:r>
      <w:r w:rsidR="006405CC" w:rsidRPr="00F33D64">
        <w:rPr>
          <w:rFonts w:hint="eastAsia"/>
          <w:snapToGrid w:val="0"/>
          <w:lang w:val="es-ES_tradnl" w:eastAsia="ja-JP"/>
        </w:rPr>
        <w:t xml:space="preserve">2, </w:t>
      </w:r>
      <w:r w:rsidR="006405CC" w:rsidRPr="00F33D64">
        <w:rPr>
          <w:snapToGrid w:val="0"/>
          <w:lang w:val="es-ES_tradnl"/>
        </w:rPr>
        <w:t>TWV/4</w:t>
      </w:r>
      <w:r w:rsidR="006405CC" w:rsidRPr="00F33D64">
        <w:rPr>
          <w:rFonts w:hint="eastAsia"/>
          <w:snapToGrid w:val="0"/>
          <w:lang w:val="es-ES_tradnl" w:eastAsia="ja-JP"/>
        </w:rPr>
        <w:t>8</w:t>
      </w:r>
      <w:r w:rsidR="006405CC" w:rsidRPr="00F33D64">
        <w:rPr>
          <w:snapToGrid w:val="0"/>
          <w:lang w:val="es-ES_tradnl"/>
        </w:rPr>
        <w:t>/</w:t>
      </w:r>
      <w:r w:rsidR="006405CC" w:rsidRPr="00F33D64">
        <w:rPr>
          <w:rFonts w:hint="eastAsia"/>
          <w:snapToGrid w:val="0"/>
          <w:lang w:val="es-ES_tradnl" w:eastAsia="ja-JP"/>
        </w:rPr>
        <w:t>2</w:t>
      </w:r>
      <w:r w:rsidR="006405CC" w:rsidRPr="00F33D64">
        <w:rPr>
          <w:snapToGrid w:val="0"/>
          <w:lang w:val="es-ES_tradnl"/>
        </w:rPr>
        <w:t xml:space="preserve"> y TWA/4</w:t>
      </w:r>
      <w:r w:rsidR="006405CC" w:rsidRPr="00F33D64">
        <w:rPr>
          <w:rFonts w:hint="eastAsia"/>
          <w:snapToGrid w:val="0"/>
          <w:lang w:val="es-ES_tradnl" w:eastAsia="ja-JP"/>
        </w:rPr>
        <w:t>3</w:t>
      </w:r>
      <w:r w:rsidR="006405CC" w:rsidRPr="00F33D64">
        <w:rPr>
          <w:snapToGrid w:val="0"/>
          <w:lang w:val="es-ES_tradnl"/>
        </w:rPr>
        <w:t>/</w:t>
      </w:r>
      <w:r w:rsidR="006405CC" w:rsidRPr="00F33D64">
        <w:rPr>
          <w:rFonts w:hint="eastAsia"/>
          <w:snapToGrid w:val="0"/>
          <w:lang w:val="es-ES_tradnl" w:eastAsia="ja-JP"/>
        </w:rPr>
        <w:t xml:space="preserve">2 </w:t>
      </w:r>
      <w:r w:rsidR="006405CC" w:rsidRPr="00F33D64">
        <w:rPr>
          <w:snapToGrid w:val="0"/>
          <w:lang w:val="es-ES" w:eastAsia="ja-JP"/>
        </w:rPr>
        <w:t>“</w:t>
      </w:r>
      <w:r w:rsidR="006405CC" w:rsidRPr="00F33D64">
        <w:rPr>
          <w:rFonts w:hint="eastAsia"/>
          <w:i/>
          <w:snapToGrid w:val="0"/>
          <w:lang w:val="es-ES" w:eastAsia="ja-JP"/>
        </w:rPr>
        <w:t>Molecular Techniques</w:t>
      </w:r>
      <w:r w:rsidR="006405CC" w:rsidRPr="00F33D64">
        <w:rPr>
          <w:snapToGrid w:val="0"/>
          <w:lang w:val="es-ES" w:eastAsia="ja-JP"/>
        </w:rPr>
        <w:t>”</w:t>
      </w:r>
      <w:r w:rsidR="006405CC" w:rsidRPr="00F33D64">
        <w:rPr>
          <w:snapToGrid w:val="0"/>
          <w:lang w:val="es-ES_tradnl" w:eastAsia="ja-JP"/>
        </w:rPr>
        <w:t xml:space="preserve"> (Técnicas moleculares)</w:t>
      </w:r>
      <w:r w:rsidR="006405CC" w:rsidRPr="00F33D64">
        <w:rPr>
          <w:rFonts w:hint="eastAsia"/>
          <w:snapToGrid w:val="0"/>
          <w:lang w:val="es-ES_tradnl" w:eastAsia="ja-JP"/>
        </w:rPr>
        <w:t>,</w:t>
      </w:r>
      <w:r w:rsidR="006405CC" w:rsidRPr="00F33D64">
        <w:rPr>
          <w:snapToGrid w:val="0"/>
          <w:lang w:val="es-ES_tradnl"/>
        </w:rPr>
        <w:t xml:space="preserve"> respectivamente.</w:t>
      </w:r>
    </w:p>
    <w:p w:rsidR="003502DA" w:rsidRPr="00F33D64" w:rsidRDefault="003502DA" w:rsidP="00312C2A">
      <w:pPr>
        <w:keepNext/>
        <w:keepLines/>
        <w:rPr>
          <w:lang w:val="es-ES" w:eastAsia="ja-JP"/>
        </w:rPr>
      </w:pPr>
    </w:p>
    <w:p w:rsidR="003502DA" w:rsidRPr="00F33D64" w:rsidRDefault="00F70222" w:rsidP="00312C2A">
      <w:pPr>
        <w:rPr>
          <w:lang w:val="es-ES" w:eastAsia="ja-JP"/>
        </w:rPr>
      </w:pPr>
      <w:r w:rsidRPr="00F33D64">
        <w:rPr>
          <w:snapToGrid w:val="0"/>
        </w:rPr>
        <w:fldChar w:fldCharType="begin"/>
      </w:r>
      <w:r w:rsidR="00312C2A" w:rsidRPr="00F33D64">
        <w:rPr>
          <w:snapToGrid w:val="0"/>
          <w:lang w:val="es-ES"/>
        </w:rPr>
        <w:instrText xml:space="preserve"> AUTONUM  </w:instrText>
      </w:r>
      <w:r w:rsidRPr="00F33D64">
        <w:rPr>
          <w:snapToGrid w:val="0"/>
        </w:rPr>
        <w:fldChar w:fldCharType="end"/>
      </w:r>
      <w:r w:rsidR="00312C2A" w:rsidRPr="00F33D64">
        <w:rPr>
          <w:snapToGrid w:val="0"/>
          <w:lang w:val="es-ES"/>
        </w:rPr>
        <w:tab/>
      </w:r>
      <w:r w:rsidR="006405CC" w:rsidRPr="00F33D64">
        <w:rPr>
          <w:snapToGrid w:val="0"/>
          <w:lang w:val="es-ES_tradnl"/>
        </w:rPr>
        <w:t>El TWO</w:t>
      </w:r>
      <w:r w:rsidR="006405CC" w:rsidRPr="00F33D64">
        <w:rPr>
          <w:rFonts w:hint="eastAsia"/>
          <w:snapToGrid w:val="0"/>
          <w:lang w:val="es-ES_tradnl" w:eastAsia="ja-JP"/>
        </w:rPr>
        <w:t xml:space="preserve">, </w:t>
      </w:r>
      <w:r w:rsidR="006405CC" w:rsidRPr="00F33D64">
        <w:rPr>
          <w:snapToGrid w:val="0"/>
          <w:lang w:val="es-ES_tradnl" w:eastAsia="ja-JP"/>
        </w:rPr>
        <w:t>el TWF</w:t>
      </w:r>
      <w:r w:rsidR="006405CC" w:rsidRPr="00F33D64">
        <w:rPr>
          <w:rFonts w:hint="eastAsia"/>
          <w:snapToGrid w:val="0"/>
          <w:lang w:val="es-ES_tradnl" w:eastAsia="ja-JP"/>
        </w:rPr>
        <w:t xml:space="preserve">, </w:t>
      </w:r>
      <w:r w:rsidR="006405CC" w:rsidRPr="00F33D64">
        <w:rPr>
          <w:snapToGrid w:val="0"/>
          <w:lang w:val="es-ES_tradnl" w:eastAsia="ja-JP"/>
        </w:rPr>
        <w:t>el TWC</w:t>
      </w:r>
      <w:r w:rsidR="006405CC" w:rsidRPr="00F33D64">
        <w:rPr>
          <w:rFonts w:hint="eastAsia"/>
          <w:snapToGrid w:val="0"/>
          <w:lang w:val="es-ES_tradnl" w:eastAsia="ja-JP"/>
        </w:rPr>
        <w:t xml:space="preserve">, </w:t>
      </w:r>
      <w:r w:rsidR="006405CC" w:rsidRPr="00F33D64">
        <w:rPr>
          <w:snapToGrid w:val="0"/>
          <w:lang w:val="es-ES_tradnl" w:eastAsia="ja-JP"/>
        </w:rPr>
        <w:t>el TWV</w:t>
      </w:r>
      <w:r w:rsidR="006405CC" w:rsidRPr="00F33D64">
        <w:rPr>
          <w:rFonts w:hint="eastAsia"/>
          <w:snapToGrid w:val="0"/>
          <w:lang w:val="es-ES_tradnl" w:eastAsia="ja-JP"/>
        </w:rPr>
        <w:t xml:space="preserve"> </w:t>
      </w:r>
      <w:r w:rsidR="006405CC" w:rsidRPr="00F33D64">
        <w:rPr>
          <w:snapToGrid w:val="0"/>
          <w:lang w:val="es-ES_tradnl" w:eastAsia="ja-JP"/>
        </w:rPr>
        <w:t>y el TWA</w:t>
      </w:r>
      <w:r w:rsidR="006405CC" w:rsidRPr="00F33D64">
        <w:rPr>
          <w:snapToGrid w:val="0"/>
          <w:lang w:val="es-ES_tradnl"/>
        </w:rPr>
        <w:t xml:space="preserve"> tomaron nota </w:t>
      </w:r>
      <w:r w:rsidR="006405CC" w:rsidRPr="00F33D64">
        <w:rPr>
          <w:lang w:val="es-ES_tradnl"/>
        </w:rPr>
        <w:t>de las novedades que se han producido en relación con</w:t>
      </w:r>
      <w:r w:rsidR="006405CC" w:rsidRPr="00F33D64">
        <w:rPr>
          <w:rFonts w:hint="eastAsia"/>
          <w:lang w:val="es-ES_tradnl" w:eastAsia="ja-JP"/>
        </w:rPr>
        <w:t>:</w:t>
      </w:r>
    </w:p>
    <w:p w:rsidR="003502DA" w:rsidRPr="00F33D64" w:rsidRDefault="003502DA" w:rsidP="00312C2A">
      <w:pPr>
        <w:rPr>
          <w:lang w:val="es-ES" w:eastAsia="ja-JP"/>
        </w:rPr>
      </w:pPr>
    </w:p>
    <w:p w:rsidR="003502DA" w:rsidRPr="00F33D64" w:rsidRDefault="00312C2A" w:rsidP="003502DA">
      <w:pPr>
        <w:rPr>
          <w:lang w:val="es-ES"/>
        </w:rPr>
      </w:pPr>
      <w:r w:rsidRPr="00F33D64">
        <w:rPr>
          <w:lang w:val="es-ES"/>
        </w:rPr>
        <w:tab/>
      </w:r>
      <w:r w:rsidR="00A41999" w:rsidRPr="00F33D64">
        <w:rPr>
          <w:lang w:val="es-ES"/>
        </w:rPr>
        <w:t>a)</w:t>
      </w:r>
      <w:r w:rsidR="00A41999" w:rsidRPr="00F33D64">
        <w:rPr>
          <w:lang w:val="es-ES"/>
        </w:rPr>
        <w:tab/>
      </w:r>
      <w:r w:rsidR="003502DA" w:rsidRPr="00F33D64">
        <w:rPr>
          <w:lang w:val="es-ES_tradnl"/>
        </w:rPr>
        <w:t>el uso de marcadores bioquímicos y moleculares en el examen de la distinción, la homogeneidad y la estabilidad (DHE);</w:t>
      </w:r>
    </w:p>
    <w:p w:rsidR="003502DA" w:rsidRPr="00F33D64" w:rsidRDefault="003502DA" w:rsidP="00312C2A">
      <w:pPr>
        <w:rPr>
          <w:lang w:val="es-ES"/>
        </w:rPr>
      </w:pPr>
    </w:p>
    <w:p w:rsidR="003502DA" w:rsidRPr="00F33D64" w:rsidRDefault="00312C2A" w:rsidP="003502DA">
      <w:pPr>
        <w:rPr>
          <w:lang w:val="es-ES"/>
        </w:rPr>
      </w:pPr>
      <w:r w:rsidRPr="00F33D64">
        <w:rPr>
          <w:lang w:val="es-ES"/>
        </w:rPr>
        <w:tab/>
      </w:r>
      <w:r w:rsidR="00A41999" w:rsidRPr="00F33D64">
        <w:rPr>
          <w:lang w:val="es-ES"/>
        </w:rPr>
        <w:t>b)</w:t>
      </w:r>
      <w:r w:rsidR="00A41999" w:rsidRPr="00F33D64">
        <w:rPr>
          <w:lang w:val="es-ES"/>
        </w:rPr>
        <w:tab/>
      </w:r>
      <w:r w:rsidR="003502DA" w:rsidRPr="00F33D64">
        <w:rPr>
          <w:lang w:val="es-ES_tradnl"/>
        </w:rPr>
        <w:t>el Grupo de Trabajo sobre Técnicas Bioquímicas y Moleculares y Perfiles de ADN en particular (BMT);  y</w:t>
      </w:r>
    </w:p>
    <w:p w:rsidR="003502DA" w:rsidRPr="00F33D64" w:rsidRDefault="003502DA" w:rsidP="00312C2A">
      <w:pPr>
        <w:rPr>
          <w:lang w:val="es-ES"/>
        </w:rPr>
      </w:pPr>
    </w:p>
    <w:p w:rsidR="003502DA" w:rsidRPr="00F33D64" w:rsidRDefault="00312C2A" w:rsidP="003502DA">
      <w:pPr>
        <w:rPr>
          <w:lang w:val="es-ES"/>
        </w:rPr>
      </w:pPr>
      <w:r w:rsidRPr="00F33D64">
        <w:rPr>
          <w:lang w:val="es-ES"/>
        </w:rPr>
        <w:tab/>
      </w:r>
      <w:r w:rsidR="00A41999" w:rsidRPr="00F33D64">
        <w:rPr>
          <w:lang w:val="es-ES"/>
        </w:rPr>
        <w:t>c)</w:t>
      </w:r>
      <w:r w:rsidR="00A41999" w:rsidRPr="00F33D64">
        <w:rPr>
          <w:lang w:val="es-ES"/>
        </w:rPr>
        <w:tab/>
      </w:r>
      <w:r w:rsidR="003502DA" w:rsidRPr="00F33D64">
        <w:rPr>
          <w:lang w:val="es-ES_tradnl"/>
        </w:rPr>
        <w:t>la presentación de información sobre la situación en la UPOV en lo que respecta al uso de técnicas moleculares, para un público más amplio, que incluya a los obtentores y el público en general.</w:t>
      </w:r>
    </w:p>
    <w:p w:rsidR="003502DA" w:rsidRPr="00F33D64" w:rsidRDefault="003502DA" w:rsidP="00312C2A">
      <w:pPr>
        <w:rPr>
          <w:snapToGrid w:val="0"/>
          <w:lang w:val="es-ES"/>
        </w:rPr>
      </w:pPr>
    </w:p>
    <w:p w:rsidR="003502DA" w:rsidRPr="00F33D64" w:rsidRDefault="00F70222" w:rsidP="00312C2A">
      <w:pPr>
        <w:rPr>
          <w:snapToGrid w:val="0"/>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0208DC" w:rsidRPr="00F33D64">
        <w:rPr>
          <w:rFonts w:cs="Arial"/>
          <w:shd w:val="clear" w:color="auto" w:fill="FFFFFF"/>
          <w:lang w:val="es-ES_tradnl"/>
        </w:rPr>
        <w:t>El TWO convino en que era importante tener presente que no todas las oficinas de examen DHE contaban con las instalaciones y los recursos necesarios para aplicar las técnicas moleculares.</w:t>
      </w:r>
      <w:r w:rsidR="00312C2A" w:rsidRPr="00F33D64">
        <w:rPr>
          <w:rFonts w:cs="Arial"/>
          <w:shd w:val="clear" w:color="auto" w:fill="FFFFFF"/>
          <w:lang w:val="es-ES"/>
        </w:rPr>
        <w:t xml:space="preserve">  </w:t>
      </w:r>
      <w:r w:rsidR="000208DC" w:rsidRPr="00F33D64">
        <w:rPr>
          <w:rFonts w:cs="Arial"/>
          <w:shd w:val="clear" w:color="auto" w:fill="FFFFFF"/>
          <w:lang w:val="es-ES_tradnl"/>
        </w:rPr>
        <w:t xml:space="preserve">Recordó que la situación en la UPOV respecto de las técnicas moleculares, según consta en el documento TGP/15 “Orientación sobre el uso de marcadores bioquímicos y moleculares en el examen de la distinción, la homogeneidad y la estabilidad (DHE)”, no </w:t>
      </w:r>
      <w:r w:rsidR="007218FA" w:rsidRPr="00F33D64">
        <w:rPr>
          <w:rFonts w:cs="Arial"/>
          <w:shd w:val="clear" w:color="auto" w:fill="FFFFFF"/>
          <w:lang w:val="es-ES_tradnl"/>
        </w:rPr>
        <w:t>exigí</w:t>
      </w:r>
      <w:r w:rsidR="000208DC" w:rsidRPr="00F33D64">
        <w:rPr>
          <w:rFonts w:cs="Arial"/>
          <w:shd w:val="clear" w:color="auto" w:fill="FFFFFF"/>
          <w:lang w:val="es-ES_tradnl"/>
        </w:rPr>
        <w:t xml:space="preserve">a a las oficinas de examen a </w:t>
      </w:r>
      <w:r w:rsidR="007218FA" w:rsidRPr="00F33D64">
        <w:rPr>
          <w:rFonts w:cs="Arial"/>
          <w:shd w:val="clear" w:color="auto" w:fill="FFFFFF"/>
          <w:lang w:val="es-ES_tradnl"/>
        </w:rPr>
        <w:t xml:space="preserve">contar con </w:t>
      </w:r>
      <w:r w:rsidR="000208DC" w:rsidRPr="00F33D64">
        <w:rPr>
          <w:rFonts w:cs="Arial"/>
          <w:shd w:val="clear" w:color="auto" w:fill="FFFFFF"/>
          <w:lang w:val="es-ES_tradnl"/>
        </w:rPr>
        <w:t xml:space="preserve">estas técnicas para poder realizar un examen DHE, pero les permitía aplicar las técnicas de </w:t>
      </w:r>
      <w:r w:rsidR="00DF48BE" w:rsidRPr="00F33D64">
        <w:rPr>
          <w:rFonts w:cs="Arial"/>
          <w:shd w:val="clear" w:color="auto" w:fill="FFFFFF"/>
          <w:lang w:val="es-ES_tradnl"/>
        </w:rPr>
        <w:t>formas e</w:t>
      </w:r>
      <w:r w:rsidR="000208DC" w:rsidRPr="00F33D64">
        <w:rPr>
          <w:rFonts w:cs="Arial"/>
          <w:shd w:val="clear" w:color="auto" w:fill="FFFFFF"/>
          <w:lang w:val="es-ES_tradnl"/>
        </w:rPr>
        <w:t>spec</w:t>
      </w:r>
      <w:r w:rsidR="00DF48BE" w:rsidRPr="00F33D64">
        <w:rPr>
          <w:rFonts w:cs="Arial"/>
          <w:shd w:val="clear" w:color="auto" w:fill="FFFFFF"/>
          <w:lang w:val="es-ES_tradnl"/>
        </w:rPr>
        <w:t>í</w:t>
      </w:r>
      <w:r w:rsidR="000208DC" w:rsidRPr="00F33D64">
        <w:rPr>
          <w:rFonts w:cs="Arial"/>
          <w:shd w:val="clear" w:color="auto" w:fill="FFFFFF"/>
          <w:lang w:val="es-ES_tradnl"/>
        </w:rPr>
        <w:t>fic</w:t>
      </w:r>
      <w:r w:rsidR="00DF48BE" w:rsidRPr="00F33D64">
        <w:rPr>
          <w:rFonts w:cs="Arial"/>
          <w:shd w:val="clear" w:color="auto" w:fill="FFFFFF"/>
          <w:lang w:val="es-ES_tradnl"/>
        </w:rPr>
        <w:t>as</w:t>
      </w:r>
      <w:r w:rsidR="000208DC" w:rsidRPr="00F33D64">
        <w:rPr>
          <w:rFonts w:cs="Arial"/>
          <w:shd w:val="clear" w:color="auto" w:fill="FFFFFF"/>
          <w:lang w:val="es-ES_tradnl"/>
        </w:rPr>
        <w:t xml:space="preserve"> </w:t>
      </w:r>
      <w:r w:rsidR="00DF48BE" w:rsidRPr="00F33D64">
        <w:rPr>
          <w:rFonts w:cs="Arial"/>
          <w:shd w:val="clear" w:color="auto" w:fill="FFFFFF"/>
          <w:lang w:val="es-ES_tradnl"/>
        </w:rPr>
        <w:t xml:space="preserve">si se </w:t>
      </w:r>
      <w:r w:rsidR="000208DC" w:rsidRPr="00F33D64">
        <w:rPr>
          <w:rFonts w:cs="Arial"/>
          <w:shd w:val="clear" w:color="auto" w:fill="FFFFFF"/>
          <w:lang w:val="es-ES_tradnl"/>
        </w:rPr>
        <w:t>consider</w:t>
      </w:r>
      <w:r w:rsidR="00DF48BE" w:rsidRPr="00F33D64">
        <w:rPr>
          <w:rFonts w:cs="Arial"/>
          <w:shd w:val="clear" w:color="auto" w:fill="FFFFFF"/>
          <w:lang w:val="es-ES_tradnl"/>
        </w:rPr>
        <w:t xml:space="preserve">aba adecuado para sus </w:t>
      </w:r>
      <w:r w:rsidR="000208DC" w:rsidRPr="00F33D64">
        <w:rPr>
          <w:rFonts w:cs="Arial"/>
          <w:shd w:val="clear" w:color="auto" w:fill="FFFFFF"/>
          <w:lang w:val="es-ES_tradnl"/>
        </w:rPr>
        <w:t>circu</w:t>
      </w:r>
      <w:r w:rsidR="00DF48BE" w:rsidRPr="00F33D64">
        <w:rPr>
          <w:rFonts w:cs="Arial"/>
          <w:shd w:val="clear" w:color="auto" w:fill="FFFFFF"/>
          <w:lang w:val="es-ES_tradnl"/>
        </w:rPr>
        <w:t>n</w:t>
      </w:r>
      <w:r w:rsidR="000208DC" w:rsidRPr="00F33D64">
        <w:rPr>
          <w:rFonts w:cs="Arial"/>
          <w:shd w:val="clear" w:color="auto" w:fill="FFFFFF"/>
          <w:lang w:val="es-ES_tradnl"/>
        </w:rPr>
        <w:t>stanc</w:t>
      </w:r>
      <w:r w:rsidR="00DF48BE" w:rsidRPr="00F33D64">
        <w:rPr>
          <w:rFonts w:cs="Arial"/>
          <w:shd w:val="clear" w:color="auto" w:fill="FFFFFF"/>
          <w:lang w:val="es-ES_tradnl"/>
        </w:rPr>
        <w:t>ia</w:t>
      </w:r>
      <w:r w:rsidR="000208DC" w:rsidRPr="00F33D64">
        <w:rPr>
          <w:rFonts w:cs="Arial"/>
          <w:shd w:val="clear" w:color="auto" w:fill="FFFFFF"/>
          <w:lang w:val="es-ES_tradnl"/>
        </w:rPr>
        <w:t>s</w:t>
      </w:r>
      <w:r w:rsidR="000208DC" w:rsidRPr="00F33D64">
        <w:rPr>
          <w:rFonts w:cs="Arial" w:hint="eastAsia"/>
          <w:shd w:val="clear" w:color="auto" w:fill="FFFFFF"/>
          <w:lang w:val="es-ES_tradnl" w:eastAsia="ja-JP"/>
        </w:rPr>
        <w:t xml:space="preserve"> (</w:t>
      </w:r>
      <w:r w:rsidR="000208DC" w:rsidRPr="00F33D64">
        <w:rPr>
          <w:rFonts w:cs="Arial"/>
          <w:shd w:val="clear" w:color="auto" w:fill="FFFFFF"/>
          <w:lang w:val="es-ES_tradnl" w:eastAsia="ja-JP"/>
        </w:rPr>
        <w:t xml:space="preserve">véase el </w:t>
      </w:r>
      <w:r w:rsidR="00DF48BE" w:rsidRPr="00F33D64">
        <w:rPr>
          <w:rFonts w:cs="Arial"/>
          <w:shd w:val="clear" w:color="auto" w:fill="FFFFFF"/>
          <w:lang w:val="es-ES_tradnl" w:eastAsia="ja-JP"/>
        </w:rPr>
        <w:t>párrafo </w:t>
      </w:r>
      <w:r w:rsidR="00DF48BE" w:rsidRPr="00F33D64">
        <w:rPr>
          <w:rFonts w:cs="Arial" w:hint="eastAsia"/>
          <w:shd w:val="clear" w:color="auto" w:fill="FFFFFF"/>
          <w:lang w:val="es-ES_tradnl" w:eastAsia="ja-JP"/>
        </w:rPr>
        <w:t>15</w:t>
      </w:r>
      <w:r w:rsidR="00DF48BE" w:rsidRPr="00F33D64">
        <w:rPr>
          <w:rFonts w:cs="Arial"/>
          <w:shd w:val="clear" w:color="auto" w:fill="FFFFFF"/>
          <w:lang w:val="es-ES_tradnl" w:eastAsia="ja-JP"/>
        </w:rPr>
        <w:t xml:space="preserve"> del </w:t>
      </w:r>
      <w:r w:rsidR="000208DC" w:rsidRPr="00F33D64">
        <w:rPr>
          <w:rFonts w:cs="Arial"/>
          <w:shd w:val="clear" w:color="auto" w:fill="FFFFFF"/>
          <w:lang w:val="es-ES_tradnl" w:eastAsia="ja-JP"/>
        </w:rPr>
        <w:t>documento </w:t>
      </w:r>
      <w:r w:rsidR="000208DC" w:rsidRPr="00F33D64">
        <w:rPr>
          <w:rFonts w:cs="Arial" w:hint="eastAsia"/>
          <w:shd w:val="clear" w:color="auto" w:fill="FFFFFF"/>
          <w:lang w:val="es-ES_tradnl" w:eastAsia="ja-JP"/>
        </w:rPr>
        <w:t xml:space="preserve">TWO/47/28 </w:t>
      </w:r>
      <w:r w:rsidR="000208DC" w:rsidRPr="00F33D64">
        <w:rPr>
          <w:rFonts w:cs="Arial"/>
          <w:shd w:val="clear" w:color="auto" w:fill="FFFFFF"/>
          <w:lang w:val="es-ES" w:eastAsia="ja-JP"/>
        </w:rPr>
        <w:t>“</w:t>
      </w:r>
      <w:r w:rsidR="000208DC" w:rsidRPr="00F33D64">
        <w:rPr>
          <w:rFonts w:cs="Arial" w:hint="eastAsia"/>
          <w:i/>
          <w:shd w:val="clear" w:color="auto" w:fill="FFFFFF"/>
          <w:lang w:val="es-ES" w:eastAsia="ja-JP"/>
        </w:rPr>
        <w:t>Report</w:t>
      </w:r>
      <w:r w:rsidR="000208DC" w:rsidRPr="00F33D64">
        <w:rPr>
          <w:rFonts w:cs="Arial"/>
          <w:shd w:val="clear" w:color="auto" w:fill="FFFFFF"/>
          <w:lang w:val="es-ES" w:eastAsia="ja-JP"/>
        </w:rPr>
        <w:t>”</w:t>
      </w:r>
      <w:r w:rsidR="000208DC" w:rsidRPr="00F33D64">
        <w:rPr>
          <w:rFonts w:cs="Arial" w:hint="eastAsia"/>
          <w:shd w:val="clear" w:color="auto" w:fill="FFFFFF"/>
          <w:lang w:val="es-ES_tradnl" w:eastAsia="ja-JP"/>
        </w:rPr>
        <w:t xml:space="preserve">) </w:t>
      </w:r>
      <w:r w:rsidR="000208DC" w:rsidRPr="00F33D64">
        <w:rPr>
          <w:rFonts w:cs="Arial"/>
          <w:shd w:val="clear" w:color="auto" w:fill="FFFFFF"/>
          <w:lang w:val="es-ES_tradnl"/>
        </w:rPr>
        <w:t>.</w:t>
      </w:r>
    </w:p>
    <w:p w:rsidR="003502DA" w:rsidRPr="00F33D64" w:rsidRDefault="003502DA" w:rsidP="00312C2A">
      <w:pPr>
        <w:rPr>
          <w:lang w:val="es-ES"/>
        </w:rPr>
      </w:pPr>
    </w:p>
    <w:p w:rsidR="003502DA" w:rsidRPr="00F33D64" w:rsidRDefault="00F70222" w:rsidP="003502DA">
      <w:pPr>
        <w:rPr>
          <w:lang w:val="es-ES"/>
        </w:rPr>
      </w:pPr>
      <w:r w:rsidRPr="00F33D64">
        <w:rPr>
          <w:iCs/>
          <w:snapToGrid w:val="0"/>
        </w:rPr>
        <w:fldChar w:fldCharType="begin"/>
      </w:r>
      <w:r w:rsidR="00312C2A" w:rsidRPr="00F33D64">
        <w:rPr>
          <w:iCs/>
          <w:snapToGrid w:val="0"/>
          <w:lang w:val="es-ES"/>
        </w:rPr>
        <w:instrText xml:space="preserve"> AUTONUM  </w:instrText>
      </w:r>
      <w:r w:rsidRPr="00F33D64">
        <w:rPr>
          <w:snapToGrid w:val="0"/>
        </w:rPr>
        <w:fldChar w:fldCharType="end"/>
      </w:r>
      <w:r w:rsidR="00312C2A" w:rsidRPr="00F33D64">
        <w:rPr>
          <w:snapToGrid w:val="0"/>
          <w:lang w:val="es-ES"/>
        </w:rPr>
        <w:tab/>
      </w:r>
      <w:r w:rsidR="003502DA" w:rsidRPr="00F33D64">
        <w:rPr>
          <w:snapToGrid w:val="0"/>
          <w:lang w:val="es-ES_tradnl"/>
        </w:rPr>
        <w:t>El TWF convino en que resultaría útil disponer de más información sobre el uso de técnicas moleculares en el examen DHE y, a ese respecto, invitó a los expe</w:t>
      </w:r>
      <w:r w:rsidR="00F91697" w:rsidRPr="00F33D64">
        <w:rPr>
          <w:snapToGrid w:val="0"/>
          <w:lang w:val="es-ES_tradnl"/>
        </w:rPr>
        <w:t>rtos de España a que proporcionara</w:t>
      </w:r>
      <w:r w:rsidR="003502DA" w:rsidRPr="00F33D64">
        <w:rPr>
          <w:snapToGrid w:val="0"/>
          <w:lang w:val="es-ES_tradnl"/>
        </w:rPr>
        <w:t>n información sobre el empleo de dichos métodos por parte de la Oficina Española de Variedades Vegetales (OEVV).</w:t>
      </w:r>
      <w:r w:rsidR="00312C2A" w:rsidRPr="00F33D64">
        <w:rPr>
          <w:lang w:val="es-ES"/>
        </w:rPr>
        <w:t xml:space="preserve">  </w:t>
      </w:r>
      <w:r w:rsidR="00DF48BE" w:rsidRPr="00F33D64">
        <w:rPr>
          <w:lang w:val="es-ES_tradnl"/>
        </w:rPr>
        <w:t>El TWF invitó también a otros participantes a presentar</w:t>
      </w:r>
      <w:r w:rsidR="007218FA" w:rsidRPr="00F33D64">
        <w:rPr>
          <w:lang w:val="es-ES_tradnl"/>
        </w:rPr>
        <w:t xml:space="preserve"> en la sesión del TWF de 2015</w:t>
      </w:r>
      <w:r w:rsidR="00DF48BE" w:rsidRPr="00F33D64">
        <w:rPr>
          <w:lang w:val="es-ES_tradnl"/>
        </w:rPr>
        <w:t xml:space="preserve"> su experiencia sobre la utilización de técnicas bioquímicas y moleculares en plantas frutales</w:t>
      </w:r>
      <w:r w:rsidR="00DF48BE" w:rsidRPr="00F33D64">
        <w:rPr>
          <w:rFonts w:hint="eastAsia"/>
          <w:lang w:val="es-ES_tradnl" w:eastAsia="ja-JP"/>
        </w:rPr>
        <w:t xml:space="preserve"> (</w:t>
      </w:r>
      <w:r w:rsidR="00DF48BE" w:rsidRPr="00F33D64">
        <w:rPr>
          <w:lang w:val="es-ES_tradnl" w:eastAsia="ja-JP"/>
        </w:rPr>
        <w:t>véase el párrafo </w:t>
      </w:r>
      <w:r w:rsidR="00DF48BE" w:rsidRPr="00F33D64">
        <w:rPr>
          <w:rFonts w:hint="eastAsia"/>
          <w:lang w:val="es-ES_tradnl" w:eastAsia="ja-JP"/>
        </w:rPr>
        <w:t>14</w:t>
      </w:r>
      <w:r w:rsidR="00DF48BE" w:rsidRPr="00F33D64">
        <w:rPr>
          <w:lang w:val="es-ES_tradnl" w:eastAsia="ja-JP"/>
        </w:rPr>
        <w:t xml:space="preserve"> del documento </w:t>
      </w:r>
      <w:r w:rsidR="00DF48BE" w:rsidRPr="00F33D64">
        <w:rPr>
          <w:rFonts w:hint="eastAsia"/>
          <w:lang w:val="es-ES_tradnl" w:eastAsia="ja-JP"/>
        </w:rPr>
        <w:t xml:space="preserve">TWF/45/32 </w:t>
      </w:r>
      <w:r w:rsidR="00DF48BE" w:rsidRPr="00F33D64">
        <w:rPr>
          <w:lang w:val="es-ES_tradnl" w:eastAsia="ja-JP"/>
        </w:rPr>
        <w:t>“</w:t>
      </w:r>
      <w:r w:rsidR="00DF48BE" w:rsidRPr="00F33D64">
        <w:rPr>
          <w:rFonts w:hint="eastAsia"/>
          <w:i/>
          <w:lang w:val="es-ES_tradnl" w:eastAsia="ja-JP"/>
        </w:rPr>
        <w:t>Report</w:t>
      </w:r>
      <w:r w:rsidR="00DF48BE" w:rsidRPr="00F33D64">
        <w:rPr>
          <w:lang w:val="es-ES_tradnl" w:eastAsia="ja-JP"/>
        </w:rPr>
        <w:t>”</w:t>
      </w:r>
      <w:r w:rsidR="00DF48BE" w:rsidRPr="00F33D64">
        <w:rPr>
          <w:rFonts w:hint="eastAsia"/>
          <w:lang w:val="es-ES_tradnl" w:eastAsia="ja-JP"/>
        </w:rPr>
        <w:t>)</w:t>
      </w:r>
      <w:r w:rsidR="00DF48BE" w:rsidRPr="00F33D64">
        <w:rPr>
          <w:lang w:val="es-ES_tradnl"/>
        </w:rPr>
        <w:t>.</w:t>
      </w:r>
    </w:p>
    <w:p w:rsidR="003502DA" w:rsidRPr="00F33D64" w:rsidRDefault="003502DA" w:rsidP="00312C2A">
      <w:pPr>
        <w:rPr>
          <w:lang w:val="es-ES"/>
        </w:rPr>
      </w:pPr>
    </w:p>
    <w:p w:rsidR="003502DA" w:rsidRPr="00F33D64" w:rsidRDefault="00F70222" w:rsidP="00312C2A">
      <w:pPr>
        <w:rPr>
          <w:snapToGrid w:val="0"/>
          <w:lang w:val="es-ES" w:eastAsia="ja-JP"/>
        </w:rPr>
      </w:pPr>
      <w:r w:rsidRPr="00F33D64">
        <w:rPr>
          <w:iCs/>
          <w:snapToGrid w:val="0"/>
        </w:rPr>
        <w:fldChar w:fldCharType="begin"/>
      </w:r>
      <w:r w:rsidR="00312C2A" w:rsidRPr="00F33D64">
        <w:rPr>
          <w:iCs/>
          <w:snapToGrid w:val="0"/>
          <w:lang w:val="es-ES"/>
        </w:rPr>
        <w:instrText xml:space="preserve"> AUTONUM  </w:instrText>
      </w:r>
      <w:r w:rsidRPr="00F33D64">
        <w:rPr>
          <w:snapToGrid w:val="0"/>
        </w:rPr>
        <w:fldChar w:fldCharType="end"/>
      </w:r>
      <w:r w:rsidR="00312C2A" w:rsidRPr="00F33D64">
        <w:rPr>
          <w:snapToGrid w:val="0"/>
          <w:lang w:val="es-ES"/>
        </w:rPr>
        <w:tab/>
      </w:r>
      <w:r w:rsidR="00DF48BE" w:rsidRPr="00F33D64">
        <w:rPr>
          <w:snapToGrid w:val="0"/>
          <w:lang w:val="es-ES_tradnl"/>
        </w:rPr>
        <w:t xml:space="preserve">El TWF asistió a una ponencia del </w:t>
      </w:r>
      <w:r w:rsidR="00DF48BE" w:rsidRPr="00F33D64">
        <w:rPr>
          <w:rFonts w:cs="Arial"/>
          <w:lang w:val="es-ES_tradnl"/>
        </w:rPr>
        <w:t xml:space="preserve">experto de Francia sobre el estudio relativo a las técnicas moleculares y el examen DHE realizado por el </w:t>
      </w:r>
      <w:r w:rsidR="00DF48BE" w:rsidRPr="00F33D64">
        <w:rPr>
          <w:iCs/>
          <w:lang w:val="es-ES_tradnl"/>
        </w:rPr>
        <w:t>Grupo de Estudio y Control de Variedades y Semillas (GEVES)</w:t>
      </w:r>
      <w:r w:rsidR="00DF48BE" w:rsidRPr="00F33D64">
        <w:rPr>
          <w:rFonts w:cs="Arial"/>
          <w:lang w:val="es-ES_tradnl"/>
        </w:rPr>
        <w:t xml:space="preserve"> en </w:t>
      </w:r>
      <w:r w:rsidR="00EA7A9A" w:rsidRPr="00F33D64">
        <w:rPr>
          <w:rFonts w:cs="Arial"/>
          <w:lang w:val="es-ES_tradnl"/>
        </w:rPr>
        <w:t xml:space="preserve">la </w:t>
      </w:r>
      <w:r w:rsidR="00DF48BE" w:rsidRPr="00F33D64">
        <w:rPr>
          <w:rFonts w:cs="Arial"/>
          <w:lang w:val="es-ES_tradnl"/>
        </w:rPr>
        <w:t>que explicó cómo se están utilizando estas técnicas en Francia y, especialmente en relación con la detección de genes de resistencia, así como el uso de instrumentos moleculares en árboles frutales.</w:t>
      </w:r>
      <w:r w:rsidR="00312C2A" w:rsidRPr="00F33D64">
        <w:rPr>
          <w:rFonts w:cs="Arial"/>
          <w:lang w:val="es-ES"/>
        </w:rPr>
        <w:t xml:space="preserve"> </w:t>
      </w:r>
      <w:r w:rsidR="00600DCF" w:rsidRPr="00F33D64">
        <w:rPr>
          <w:rFonts w:cs="Arial"/>
          <w:lang w:val="es-ES_tradnl"/>
        </w:rPr>
        <w:t>Se adjunta una copia de la ponencia ofrecida por el experto de Francia en el documento TWF/45/2 Add</w:t>
      </w:r>
      <w:r w:rsidR="00600DCF" w:rsidRPr="00F33D64">
        <w:rPr>
          <w:rFonts w:cs="Arial" w:hint="eastAsia"/>
          <w:lang w:val="es-ES_tradnl" w:eastAsia="ja-JP"/>
        </w:rPr>
        <w:t xml:space="preserve"> </w:t>
      </w:r>
      <w:r w:rsidR="00600DCF" w:rsidRPr="00F33D64">
        <w:rPr>
          <w:rFonts w:cs="Arial"/>
          <w:lang w:val="es-ES_tradnl" w:eastAsia="ja-JP"/>
        </w:rPr>
        <w:t>“</w:t>
      </w:r>
      <w:r w:rsidR="00600DCF" w:rsidRPr="00F33D64">
        <w:rPr>
          <w:rFonts w:cs="Arial" w:hint="eastAsia"/>
          <w:i/>
          <w:lang w:val="es-ES" w:eastAsia="ja-JP"/>
        </w:rPr>
        <w:t xml:space="preserve">Addendum to TWF/45/2 </w:t>
      </w:r>
      <w:r w:rsidR="00600DCF" w:rsidRPr="00F33D64">
        <w:rPr>
          <w:rFonts w:cs="Arial"/>
          <w:i/>
          <w:lang w:val="es-ES" w:eastAsia="ja-JP"/>
        </w:rPr>
        <w:t>Molecular Techniques</w:t>
      </w:r>
      <w:r w:rsidR="00600DCF" w:rsidRPr="00F33D64">
        <w:rPr>
          <w:rFonts w:cs="Arial"/>
          <w:lang w:val="es-ES_tradnl" w:eastAsia="ja-JP"/>
        </w:rPr>
        <w:t>”</w:t>
      </w:r>
      <w:r w:rsidR="00600DCF" w:rsidRPr="00F33D64">
        <w:rPr>
          <w:rFonts w:cs="Arial" w:hint="eastAsia"/>
          <w:lang w:val="es-ES_tradnl" w:eastAsia="ja-JP"/>
        </w:rPr>
        <w:t xml:space="preserve"> </w:t>
      </w:r>
      <w:r w:rsidR="00600DCF" w:rsidRPr="00F33D64">
        <w:rPr>
          <w:rFonts w:cs="Arial"/>
          <w:lang w:val="es-ES_tradnl" w:eastAsia="ja-JP"/>
        </w:rPr>
        <w:t>(Adición al documento </w:t>
      </w:r>
      <w:r w:rsidR="00600DCF" w:rsidRPr="00F33D64">
        <w:rPr>
          <w:rFonts w:cs="Arial" w:hint="eastAsia"/>
          <w:lang w:val="es-ES_tradnl" w:eastAsia="ja-JP"/>
        </w:rPr>
        <w:t>TWF/45/2</w:t>
      </w:r>
      <w:r w:rsidR="00600DCF" w:rsidRPr="00F33D64">
        <w:rPr>
          <w:rFonts w:cs="Arial"/>
          <w:lang w:val="es-ES_tradnl" w:eastAsia="ja-JP"/>
        </w:rPr>
        <w:t xml:space="preserve"> Técnicas moleculares) </w:t>
      </w:r>
      <w:r w:rsidR="00600DCF" w:rsidRPr="00F33D64">
        <w:rPr>
          <w:rFonts w:hint="eastAsia"/>
          <w:lang w:val="es-ES_tradnl" w:eastAsia="ja-JP"/>
        </w:rPr>
        <w:t>(</w:t>
      </w:r>
      <w:r w:rsidR="00600DCF" w:rsidRPr="00F33D64">
        <w:rPr>
          <w:lang w:val="es-ES_tradnl" w:eastAsia="ja-JP"/>
        </w:rPr>
        <w:t>véase el párrafo </w:t>
      </w:r>
      <w:r w:rsidR="00600DCF" w:rsidRPr="00F33D64">
        <w:rPr>
          <w:rFonts w:hint="eastAsia"/>
          <w:lang w:val="es-ES_tradnl" w:eastAsia="ja-JP"/>
        </w:rPr>
        <w:t>15</w:t>
      </w:r>
      <w:r w:rsidR="00600DCF" w:rsidRPr="00F33D64">
        <w:rPr>
          <w:lang w:val="es-ES_tradnl" w:eastAsia="ja-JP"/>
        </w:rPr>
        <w:t xml:space="preserve"> del documento </w:t>
      </w:r>
      <w:r w:rsidR="00600DCF" w:rsidRPr="00F33D64">
        <w:rPr>
          <w:rFonts w:hint="eastAsia"/>
          <w:lang w:val="es-ES_tradnl" w:eastAsia="ja-JP"/>
        </w:rPr>
        <w:t>TWF/45/32).</w:t>
      </w:r>
    </w:p>
    <w:p w:rsidR="003502DA" w:rsidRPr="00F33D64" w:rsidRDefault="003502DA" w:rsidP="00312C2A">
      <w:pPr>
        <w:rPr>
          <w:lang w:val="es-ES" w:eastAsia="ja-JP"/>
        </w:rPr>
      </w:pPr>
    </w:p>
    <w:p w:rsidR="003502DA" w:rsidRPr="00F33D64" w:rsidRDefault="00F70222" w:rsidP="00312C2A">
      <w:pPr>
        <w:ind w:right="9"/>
        <w:rPr>
          <w:rFonts w:eastAsia="MS Mincho"/>
          <w:snapToGrid w:val="0"/>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600DCF" w:rsidRPr="00F33D64">
        <w:rPr>
          <w:lang w:val="es-ES_tradnl"/>
        </w:rPr>
        <w:t xml:space="preserve">El TWV tomó nota del informe de un experto de la Asociación Europea de Semillas (ESA) </w:t>
      </w:r>
      <w:r w:rsidR="002A7996" w:rsidRPr="00F33D64">
        <w:rPr>
          <w:lang w:val="es-ES_tradnl"/>
        </w:rPr>
        <w:t>acerca de la intención de</w:t>
      </w:r>
      <w:r w:rsidR="00600DCF" w:rsidRPr="00F33D64">
        <w:rPr>
          <w:lang w:val="es-ES_tradnl"/>
        </w:rPr>
        <w:t xml:space="preserve"> la ESA </w:t>
      </w:r>
      <w:r w:rsidR="002A7996" w:rsidRPr="00F33D64">
        <w:rPr>
          <w:lang w:val="es-ES_tradnl"/>
        </w:rPr>
        <w:t xml:space="preserve">de </w:t>
      </w:r>
      <w:r w:rsidR="00600DCF" w:rsidRPr="00F33D64">
        <w:rPr>
          <w:lang w:val="es-ES_tradnl"/>
        </w:rPr>
        <w:t xml:space="preserve">presentar una ponencia sobre la utilización de técnicas moleculares en la patata </w:t>
      </w:r>
      <w:r w:rsidR="00600DCF" w:rsidRPr="00F33D64">
        <w:rPr>
          <w:lang w:val="es-ES_tradnl"/>
        </w:rPr>
        <w:lastRenderedPageBreak/>
        <w:t xml:space="preserve">en la </w:t>
      </w:r>
      <w:r w:rsidR="00600DCF" w:rsidRPr="00F33D64">
        <w:rPr>
          <w:rFonts w:eastAsia="MS Mincho"/>
          <w:snapToGrid w:val="0"/>
          <w:lang w:val="es-ES_tradnl"/>
        </w:rPr>
        <w:t>decimocuarta reunión de BMT prevista en Seúl (República de Corea) del 10 al 13 de noviembre de 2014</w:t>
      </w:r>
      <w:r w:rsidR="00600DCF" w:rsidRPr="00F33D64">
        <w:rPr>
          <w:rFonts w:eastAsia="MS Mincho" w:hint="eastAsia"/>
          <w:snapToGrid w:val="0"/>
          <w:lang w:val="es-ES_tradnl" w:eastAsia="ja-JP"/>
        </w:rPr>
        <w:t xml:space="preserve"> (</w:t>
      </w:r>
      <w:r w:rsidR="00600DCF" w:rsidRPr="00F33D64">
        <w:rPr>
          <w:rFonts w:eastAsia="MS Mincho"/>
          <w:snapToGrid w:val="0"/>
          <w:lang w:val="es-ES_tradnl" w:eastAsia="ja-JP"/>
        </w:rPr>
        <w:t>véase el párrafo </w:t>
      </w:r>
      <w:r w:rsidR="00600DCF" w:rsidRPr="00F33D64">
        <w:rPr>
          <w:rFonts w:eastAsia="MS Mincho" w:hint="eastAsia"/>
          <w:snapToGrid w:val="0"/>
          <w:lang w:val="es-ES_tradnl" w:eastAsia="ja-JP"/>
        </w:rPr>
        <w:t>13</w:t>
      </w:r>
      <w:r w:rsidR="00600DCF" w:rsidRPr="00F33D64">
        <w:rPr>
          <w:rFonts w:eastAsia="MS Mincho"/>
          <w:snapToGrid w:val="0"/>
          <w:lang w:val="es-ES_tradnl" w:eastAsia="ja-JP"/>
        </w:rPr>
        <w:t xml:space="preserve"> del documento </w:t>
      </w:r>
      <w:r w:rsidR="00600DCF" w:rsidRPr="00F33D64">
        <w:rPr>
          <w:rFonts w:eastAsia="MS Mincho" w:hint="eastAsia"/>
          <w:snapToGrid w:val="0"/>
          <w:lang w:val="es-ES_tradnl" w:eastAsia="ja-JP"/>
        </w:rPr>
        <w:t xml:space="preserve">TWV/48/43 </w:t>
      </w:r>
      <w:r w:rsidR="00600DCF" w:rsidRPr="00F33D64">
        <w:rPr>
          <w:rFonts w:eastAsia="MS Mincho"/>
          <w:snapToGrid w:val="0"/>
          <w:lang w:val="es-ES_tradnl" w:eastAsia="ja-JP"/>
        </w:rPr>
        <w:t>“</w:t>
      </w:r>
      <w:r w:rsidR="00600DCF" w:rsidRPr="00F33D64">
        <w:rPr>
          <w:rFonts w:eastAsia="MS Mincho" w:hint="eastAsia"/>
          <w:i/>
          <w:snapToGrid w:val="0"/>
          <w:lang w:val="es-ES_tradnl" w:eastAsia="ja-JP"/>
        </w:rPr>
        <w:t>Report</w:t>
      </w:r>
      <w:r w:rsidR="00600DCF" w:rsidRPr="00F33D64">
        <w:rPr>
          <w:rFonts w:eastAsia="MS Mincho"/>
          <w:snapToGrid w:val="0"/>
          <w:lang w:val="es-ES_tradnl" w:eastAsia="ja-JP"/>
        </w:rPr>
        <w:t>”</w:t>
      </w:r>
      <w:r w:rsidR="00600DCF" w:rsidRPr="00F33D64">
        <w:rPr>
          <w:rFonts w:eastAsia="MS Mincho" w:hint="eastAsia"/>
          <w:snapToGrid w:val="0"/>
          <w:lang w:val="es-ES_tradnl" w:eastAsia="ja-JP"/>
        </w:rPr>
        <w:t>)</w:t>
      </w:r>
      <w:r w:rsidR="00600DCF" w:rsidRPr="00F33D64">
        <w:rPr>
          <w:rFonts w:eastAsia="MS Mincho"/>
          <w:snapToGrid w:val="0"/>
          <w:lang w:val="es-ES_tradnl"/>
        </w:rPr>
        <w:t>.</w:t>
      </w:r>
    </w:p>
    <w:p w:rsidR="003502DA" w:rsidRPr="00F33D64" w:rsidRDefault="003502DA" w:rsidP="00312C2A">
      <w:pPr>
        <w:ind w:right="-425"/>
        <w:rPr>
          <w:lang w:val="es-ES"/>
        </w:rPr>
      </w:pPr>
    </w:p>
    <w:p w:rsidR="003502DA" w:rsidRPr="00F33D64" w:rsidRDefault="00F70222" w:rsidP="00312C2A">
      <w:pPr>
        <w:ind w:right="9"/>
        <w:rPr>
          <w:rFonts w:cs="Arial"/>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0F4CAC" w:rsidRPr="00F33D64">
        <w:rPr>
          <w:lang w:val="es-ES_tradnl"/>
        </w:rPr>
        <w:t xml:space="preserve">El </w:t>
      </w:r>
      <w:r w:rsidR="00600DCF" w:rsidRPr="00F33D64">
        <w:rPr>
          <w:lang w:val="es-ES_tradnl"/>
        </w:rPr>
        <w:t xml:space="preserve">TWV </w:t>
      </w:r>
      <w:r w:rsidR="000F4CAC" w:rsidRPr="00F33D64">
        <w:rPr>
          <w:lang w:val="es-ES_tradnl"/>
        </w:rPr>
        <w:t>tomó nota de que</w:t>
      </w:r>
      <w:r w:rsidR="00600DCF" w:rsidRPr="00F33D64">
        <w:rPr>
          <w:lang w:val="es-ES_tradnl"/>
        </w:rPr>
        <w:t xml:space="preserve"> </w:t>
      </w:r>
      <w:r w:rsidR="000F4CAC" w:rsidRPr="00F33D64">
        <w:rPr>
          <w:lang w:val="es-ES_tradnl"/>
        </w:rPr>
        <w:t>el expert</w:t>
      </w:r>
      <w:r w:rsidR="00600DCF" w:rsidRPr="00F33D64">
        <w:rPr>
          <w:lang w:val="es-ES_tradnl"/>
        </w:rPr>
        <w:t>o</w:t>
      </w:r>
      <w:r w:rsidR="000F4CAC" w:rsidRPr="00F33D64">
        <w:rPr>
          <w:lang w:val="es-ES_tradnl"/>
        </w:rPr>
        <w:t xml:space="preserve"> de la</w:t>
      </w:r>
      <w:r w:rsidR="00600DCF" w:rsidRPr="00F33D64">
        <w:rPr>
          <w:lang w:val="es-ES_tradnl"/>
        </w:rPr>
        <w:t xml:space="preserve"> ESA </w:t>
      </w:r>
      <w:r w:rsidR="000F4CAC" w:rsidRPr="00F33D64">
        <w:rPr>
          <w:lang w:val="es-ES_tradnl"/>
        </w:rPr>
        <w:t>era partidario del planteamiento adoptado por el</w:t>
      </w:r>
      <w:r w:rsidR="00600DCF" w:rsidRPr="00F33D64">
        <w:rPr>
          <w:lang w:val="es-ES_tradnl"/>
        </w:rPr>
        <w:t xml:space="preserve"> TC </w:t>
      </w:r>
      <w:r w:rsidR="000F4CAC" w:rsidRPr="00F33D64">
        <w:rPr>
          <w:lang w:val="es-ES_tradnl"/>
        </w:rPr>
        <w:t xml:space="preserve">en su </w:t>
      </w:r>
      <w:r w:rsidR="00600DCF" w:rsidRPr="00F33D64">
        <w:rPr>
          <w:lang w:val="es-ES_tradnl"/>
        </w:rPr>
        <w:t xml:space="preserve">quincuagésima </w:t>
      </w:r>
      <w:r w:rsidR="000F4CAC" w:rsidRPr="00F33D64">
        <w:rPr>
          <w:lang w:val="es-ES_tradnl"/>
        </w:rPr>
        <w:t>ses</w:t>
      </w:r>
      <w:r w:rsidR="00600DCF" w:rsidRPr="00F33D64">
        <w:rPr>
          <w:lang w:val="es-ES_tradnl"/>
        </w:rPr>
        <w:t xml:space="preserve">ión </w:t>
      </w:r>
      <w:r w:rsidR="000F4CAC" w:rsidRPr="00F33D64">
        <w:rPr>
          <w:lang w:val="es-ES_tradnl"/>
        </w:rPr>
        <w:t>e</w:t>
      </w:r>
      <w:r w:rsidR="00600DCF" w:rsidRPr="00F33D64">
        <w:rPr>
          <w:lang w:val="es-ES_tradnl"/>
        </w:rPr>
        <w:t xml:space="preserve">n </w:t>
      </w:r>
      <w:r w:rsidR="000F4CAC" w:rsidRPr="00F33D64">
        <w:rPr>
          <w:lang w:val="es-ES_tradnl"/>
        </w:rPr>
        <w:t>relación</w:t>
      </w:r>
      <w:r w:rsidR="00600DCF" w:rsidRPr="00F33D64">
        <w:rPr>
          <w:lang w:val="es-ES_tradnl"/>
        </w:rPr>
        <w:t xml:space="preserve"> </w:t>
      </w:r>
      <w:r w:rsidR="000F4CAC" w:rsidRPr="00F33D64">
        <w:rPr>
          <w:lang w:val="es-ES_tradnl"/>
        </w:rPr>
        <w:t xml:space="preserve">con las preguntas </w:t>
      </w:r>
      <w:r w:rsidR="00600DCF" w:rsidRPr="00F33D64">
        <w:rPr>
          <w:lang w:val="es-ES_tradnl"/>
        </w:rPr>
        <w:t>fre</w:t>
      </w:r>
      <w:r w:rsidR="000F4CAC" w:rsidRPr="00F33D64">
        <w:rPr>
          <w:lang w:val="es-ES_tradnl"/>
        </w:rPr>
        <w:t>c</w:t>
      </w:r>
      <w:r w:rsidR="00600DCF" w:rsidRPr="00F33D64">
        <w:rPr>
          <w:lang w:val="es-ES_tradnl"/>
        </w:rPr>
        <w:t>uent</w:t>
      </w:r>
      <w:r w:rsidR="000F4CAC" w:rsidRPr="00F33D64">
        <w:rPr>
          <w:lang w:val="es-ES_tradnl"/>
        </w:rPr>
        <w:t>es acerca del uso de técnicas moleculares (perfiles de ADN) en el examen DHE</w:t>
      </w:r>
      <w:r w:rsidR="00600DCF" w:rsidRPr="00F33D64">
        <w:rPr>
          <w:lang w:val="es-ES_tradnl"/>
        </w:rPr>
        <w:t xml:space="preserve">, según consta en </w:t>
      </w:r>
      <w:r w:rsidR="000F4CAC" w:rsidRPr="00F33D64">
        <w:rPr>
          <w:lang w:val="es-ES_tradnl"/>
        </w:rPr>
        <w:t xml:space="preserve">el párrafo 15 del </w:t>
      </w:r>
      <w:r w:rsidR="00600DCF" w:rsidRPr="00F33D64">
        <w:rPr>
          <w:lang w:val="es-ES_tradnl"/>
        </w:rPr>
        <w:t>document</w:t>
      </w:r>
      <w:r w:rsidR="000F4CAC" w:rsidRPr="00F33D64">
        <w:rPr>
          <w:lang w:val="es-ES_tradnl"/>
        </w:rPr>
        <w:t>o </w:t>
      </w:r>
      <w:r w:rsidR="00600DCF" w:rsidRPr="00F33D64">
        <w:rPr>
          <w:rFonts w:cs="Arial"/>
          <w:lang w:val="es-ES_tradnl"/>
        </w:rPr>
        <w:t>TWV/48/2</w:t>
      </w:r>
      <w:r w:rsidR="00600DCF" w:rsidRPr="00F33D64">
        <w:rPr>
          <w:rFonts w:hint="eastAsia"/>
          <w:lang w:val="es-ES_tradnl" w:eastAsia="ja-JP"/>
        </w:rPr>
        <w:t xml:space="preserve"> </w:t>
      </w:r>
      <w:r w:rsidR="00600DCF" w:rsidRPr="00F33D64">
        <w:rPr>
          <w:rFonts w:eastAsia="MS Mincho" w:hint="eastAsia"/>
          <w:snapToGrid w:val="0"/>
          <w:lang w:val="es-ES_tradnl" w:eastAsia="ja-JP"/>
        </w:rPr>
        <w:t>(</w:t>
      </w:r>
      <w:r w:rsidR="00600DCF" w:rsidRPr="00F33D64">
        <w:rPr>
          <w:rFonts w:eastAsia="MS Mincho"/>
          <w:snapToGrid w:val="0"/>
          <w:lang w:val="es-ES_tradnl" w:eastAsia="ja-JP"/>
        </w:rPr>
        <w:t xml:space="preserve">véase el </w:t>
      </w:r>
      <w:r w:rsidR="000F4CAC" w:rsidRPr="00F33D64">
        <w:rPr>
          <w:rFonts w:eastAsia="MS Mincho"/>
          <w:snapToGrid w:val="0"/>
          <w:lang w:val="es-ES_tradnl" w:eastAsia="ja-JP"/>
        </w:rPr>
        <w:t>párrafo </w:t>
      </w:r>
      <w:r w:rsidR="000F4CAC" w:rsidRPr="00F33D64">
        <w:rPr>
          <w:rFonts w:eastAsia="MS Mincho" w:hint="eastAsia"/>
          <w:snapToGrid w:val="0"/>
          <w:lang w:val="es-ES_tradnl" w:eastAsia="ja-JP"/>
        </w:rPr>
        <w:t>15</w:t>
      </w:r>
      <w:r w:rsidR="000F4CAC" w:rsidRPr="00F33D64">
        <w:rPr>
          <w:rFonts w:eastAsia="MS Mincho"/>
          <w:snapToGrid w:val="0"/>
          <w:lang w:val="es-ES_tradnl" w:eastAsia="ja-JP"/>
        </w:rPr>
        <w:t xml:space="preserve"> del </w:t>
      </w:r>
      <w:r w:rsidR="00600DCF" w:rsidRPr="00F33D64">
        <w:rPr>
          <w:rFonts w:eastAsia="MS Mincho"/>
          <w:snapToGrid w:val="0"/>
          <w:lang w:val="es-ES_tradnl" w:eastAsia="ja-JP"/>
        </w:rPr>
        <w:t>documento</w:t>
      </w:r>
      <w:r w:rsidR="000F4CAC" w:rsidRPr="00F33D64">
        <w:rPr>
          <w:rFonts w:eastAsia="MS Mincho"/>
          <w:snapToGrid w:val="0"/>
          <w:lang w:val="es-ES_tradnl" w:eastAsia="ja-JP"/>
        </w:rPr>
        <w:t> </w:t>
      </w:r>
      <w:r w:rsidR="00600DCF" w:rsidRPr="00F33D64">
        <w:rPr>
          <w:rFonts w:eastAsia="MS Mincho" w:hint="eastAsia"/>
          <w:snapToGrid w:val="0"/>
          <w:lang w:val="es-ES_tradnl" w:eastAsia="ja-JP"/>
        </w:rPr>
        <w:t>TWV</w:t>
      </w:r>
      <w:r w:rsidR="000F4CAC" w:rsidRPr="00F33D64">
        <w:rPr>
          <w:rFonts w:eastAsia="MS Mincho" w:hint="eastAsia"/>
          <w:snapToGrid w:val="0"/>
          <w:lang w:val="es-ES_tradnl" w:eastAsia="ja-JP"/>
        </w:rPr>
        <w:t>/48/43</w:t>
      </w:r>
      <w:r w:rsidR="00600DCF" w:rsidRPr="00F33D64">
        <w:rPr>
          <w:rFonts w:eastAsia="MS Mincho" w:hint="eastAsia"/>
          <w:snapToGrid w:val="0"/>
          <w:lang w:val="es-ES_tradnl" w:eastAsia="ja-JP"/>
        </w:rPr>
        <w:t>)</w:t>
      </w:r>
      <w:r w:rsidR="00600DCF" w:rsidRPr="00F33D64">
        <w:rPr>
          <w:rFonts w:cs="Arial"/>
          <w:lang w:val="es-ES_tradnl"/>
        </w:rPr>
        <w:t>.</w:t>
      </w:r>
    </w:p>
    <w:p w:rsidR="003502DA" w:rsidRPr="00F33D64" w:rsidRDefault="003502DA" w:rsidP="00312C2A">
      <w:pPr>
        <w:ind w:right="-425"/>
        <w:rPr>
          <w:rFonts w:cs="Arial"/>
          <w:lang w:val="es-ES"/>
        </w:rPr>
      </w:pPr>
    </w:p>
    <w:p w:rsidR="003502DA" w:rsidRPr="00F33D64" w:rsidRDefault="00F70222" w:rsidP="00312C2A">
      <w:pPr>
        <w:ind w:right="9"/>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0F4CAC" w:rsidRPr="00F33D64">
        <w:rPr>
          <w:lang w:val="es-ES_tradnl"/>
        </w:rPr>
        <w:t xml:space="preserve">El TWV asistió a una ponencia </w:t>
      </w:r>
      <w:r w:rsidR="005C2C2D" w:rsidRPr="00F33D64">
        <w:rPr>
          <w:lang w:val="es-ES_tradnl"/>
        </w:rPr>
        <w:t>de</w:t>
      </w:r>
      <w:r w:rsidR="000F4CAC" w:rsidRPr="00F33D64">
        <w:rPr>
          <w:lang w:val="es-ES_tradnl"/>
        </w:rPr>
        <w:t xml:space="preserve"> un experto de los Países Bajos </w:t>
      </w:r>
      <w:r w:rsidR="005C2C2D" w:rsidRPr="00F33D64">
        <w:rPr>
          <w:lang w:val="es-ES_tradnl"/>
        </w:rPr>
        <w:t xml:space="preserve">titulada </w:t>
      </w:r>
      <w:r w:rsidR="000F4CAC" w:rsidRPr="00F33D64">
        <w:rPr>
          <w:lang w:val="es-ES_tradnl"/>
        </w:rPr>
        <w:t>“</w:t>
      </w:r>
      <w:r w:rsidR="005C2C2D" w:rsidRPr="00F33D64">
        <w:rPr>
          <w:i/>
          <w:lang w:val="es-ES"/>
        </w:rPr>
        <w:t>DNA in DUS examination for Registration and PBR/PVP</w:t>
      </w:r>
      <w:r w:rsidR="000F4CAC" w:rsidRPr="00F33D64">
        <w:rPr>
          <w:lang w:val="es-ES_tradnl"/>
        </w:rPr>
        <w:t>”</w:t>
      </w:r>
      <w:r w:rsidR="005C2C2D" w:rsidRPr="00F33D64">
        <w:rPr>
          <w:lang w:val="es-ES_tradnl"/>
        </w:rPr>
        <w:t xml:space="preserve"> (El ADN en el examen DHE a efectos del registro y del derecho de obtentor y la protección de las obtenciones vegetales)</w:t>
      </w:r>
      <w:r w:rsidR="000F4CAC" w:rsidRPr="00F33D64">
        <w:rPr>
          <w:lang w:val="es-ES_tradnl"/>
        </w:rPr>
        <w:t>, de la que se adjunta una copia</w:t>
      </w:r>
      <w:r w:rsidR="005C2C2D" w:rsidRPr="00F33D64">
        <w:rPr>
          <w:lang w:val="es-ES_tradnl" w:eastAsia="ja-JP"/>
        </w:rPr>
        <w:t xml:space="preserve"> </w:t>
      </w:r>
      <w:r w:rsidR="005C2C2D" w:rsidRPr="00F33D64">
        <w:rPr>
          <w:lang w:val="es-ES_tradnl"/>
        </w:rPr>
        <w:t>en forma de adición al documento TWV/48/2:</w:t>
      </w:r>
      <w:r w:rsidR="005C2C2D" w:rsidRPr="00F33D64">
        <w:rPr>
          <w:rFonts w:hint="eastAsia"/>
          <w:lang w:val="es-ES_tradnl" w:eastAsia="ja-JP"/>
        </w:rPr>
        <w:t xml:space="preserve"> </w:t>
      </w:r>
      <w:r w:rsidR="005C2C2D" w:rsidRPr="00F33D64">
        <w:rPr>
          <w:lang w:val="es-ES" w:eastAsia="ja-JP"/>
        </w:rPr>
        <w:t>“</w:t>
      </w:r>
      <w:r w:rsidR="005C2C2D" w:rsidRPr="00F33D64">
        <w:rPr>
          <w:rFonts w:hint="eastAsia"/>
          <w:i/>
          <w:lang w:val="es-ES" w:eastAsia="ja-JP"/>
        </w:rPr>
        <w:t xml:space="preserve">Addendum to TWV/48/2 </w:t>
      </w:r>
      <w:r w:rsidR="005C2C2D" w:rsidRPr="00F33D64">
        <w:rPr>
          <w:i/>
          <w:lang w:val="es-ES" w:eastAsia="ja-JP"/>
        </w:rPr>
        <w:t>Molecular Techniques</w:t>
      </w:r>
      <w:r w:rsidR="005C2C2D" w:rsidRPr="00F33D64">
        <w:rPr>
          <w:lang w:val="es-ES" w:eastAsia="ja-JP"/>
        </w:rPr>
        <w:t>”</w:t>
      </w:r>
      <w:r w:rsidR="005C2C2D" w:rsidRPr="00F33D64">
        <w:rPr>
          <w:rFonts w:hint="eastAsia"/>
          <w:lang w:val="es-ES_tradnl" w:eastAsia="ja-JP"/>
        </w:rPr>
        <w:t xml:space="preserve"> </w:t>
      </w:r>
      <w:r w:rsidR="005C2C2D" w:rsidRPr="00F33D64">
        <w:rPr>
          <w:lang w:val="es-ES_tradnl" w:eastAsia="ja-JP"/>
        </w:rPr>
        <w:t>(Adición al documento</w:t>
      </w:r>
      <w:r w:rsidR="00910FEE" w:rsidRPr="00F33D64">
        <w:rPr>
          <w:lang w:val="es-ES_tradnl" w:eastAsia="ja-JP"/>
        </w:rPr>
        <w:t> </w:t>
      </w:r>
      <w:r w:rsidR="005C2C2D" w:rsidRPr="00F33D64">
        <w:rPr>
          <w:lang w:val="es-ES_tradnl" w:eastAsia="ja-JP"/>
        </w:rPr>
        <w:t>TWV/48/2 Técnicas moleculares)</w:t>
      </w:r>
      <w:r w:rsidR="000F4CAC" w:rsidRPr="00F33D64">
        <w:rPr>
          <w:lang w:val="es-ES_tradnl" w:eastAsia="ja-JP"/>
        </w:rPr>
        <w:t xml:space="preserve"> </w:t>
      </w:r>
      <w:r w:rsidR="000F4CAC" w:rsidRPr="00F33D64">
        <w:rPr>
          <w:rFonts w:eastAsia="MS Mincho" w:hint="eastAsia"/>
          <w:snapToGrid w:val="0"/>
          <w:lang w:val="es-ES_tradnl" w:eastAsia="ja-JP"/>
        </w:rPr>
        <w:t>(</w:t>
      </w:r>
      <w:r w:rsidR="000F4CAC" w:rsidRPr="00F33D64">
        <w:rPr>
          <w:rFonts w:eastAsia="MS Mincho"/>
          <w:snapToGrid w:val="0"/>
          <w:lang w:val="es-ES_tradnl" w:eastAsia="ja-JP"/>
        </w:rPr>
        <w:t>véase el párrafo </w:t>
      </w:r>
      <w:r w:rsidR="000F4CAC" w:rsidRPr="00F33D64">
        <w:rPr>
          <w:rFonts w:eastAsia="MS Mincho" w:hint="eastAsia"/>
          <w:snapToGrid w:val="0"/>
          <w:lang w:val="es-ES_tradnl" w:eastAsia="ja-JP"/>
        </w:rPr>
        <w:t>16</w:t>
      </w:r>
      <w:r w:rsidR="000F4CAC" w:rsidRPr="00F33D64">
        <w:rPr>
          <w:rFonts w:eastAsia="MS Mincho"/>
          <w:snapToGrid w:val="0"/>
          <w:lang w:val="es-ES_tradnl" w:eastAsia="ja-JP"/>
        </w:rPr>
        <w:t xml:space="preserve"> del documento </w:t>
      </w:r>
      <w:r w:rsidR="000F4CAC" w:rsidRPr="00F33D64">
        <w:rPr>
          <w:rFonts w:eastAsia="MS Mincho" w:hint="eastAsia"/>
          <w:snapToGrid w:val="0"/>
          <w:lang w:val="es-ES_tradnl" w:eastAsia="ja-JP"/>
        </w:rPr>
        <w:t>TWV/48/43)</w:t>
      </w:r>
      <w:r w:rsidR="000F4CAC" w:rsidRPr="00F33D64">
        <w:rPr>
          <w:lang w:val="es-ES_tradnl"/>
        </w:rPr>
        <w:t>.</w:t>
      </w:r>
    </w:p>
    <w:p w:rsidR="003502DA" w:rsidRPr="00F33D64" w:rsidRDefault="003502DA" w:rsidP="00312C2A">
      <w:pPr>
        <w:rPr>
          <w:rFonts w:eastAsia="MS Mincho"/>
          <w:snapToGrid w:val="0"/>
          <w:lang w:val="es-ES" w:eastAsia="ja-JP"/>
        </w:rPr>
      </w:pPr>
    </w:p>
    <w:p w:rsidR="003502DA" w:rsidRPr="00F33D64" w:rsidRDefault="00F70222" w:rsidP="00312C2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4D4D11" w:rsidRPr="00F33D64">
        <w:rPr>
          <w:lang w:val="es-ES_tradnl"/>
        </w:rPr>
        <w:t>El TWA asistió a una ponencia ofrecida por un experto del Reino Unido</w:t>
      </w:r>
      <w:r w:rsidR="00910FEE" w:rsidRPr="00F33D64">
        <w:rPr>
          <w:lang w:val="es-ES_tradnl"/>
        </w:rPr>
        <w:t>, por medios electrónicos,</w:t>
      </w:r>
      <w:r w:rsidR="004D4D11" w:rsidRPr="00F33D64">
        <w:rPr>
          <w:lang w:val="es-ES_tradnl"/>
        </w:rPr>
        <w:t xml:space="preserve"> titulada “</w:t>
      </w:r>
      <w:r w:rsidR="0047370E">
        <w:rPr>
          <w:i/>
          <w:lang w:val="es-ES"/>
        </w:rPr>
        <w:t>A European p</w:t>
      </w:r>
      <w:r w:rsidR="004D4D11" w:rsidRPr="00F33D64">
        <w:rPr>
          <w:i/>
          <w:lang w:val="es-ES"/>
        </w:rPr>
        <w:t>otato database as a centralized collection of varieties of common knowledge</w:t>
      </w:r>
      <w:r w:rsidR="004D4D11" w:rsidRPr="00F33D64">
        <w:rPr>
          <w:lang w:val="es-ES_tradnl"/>
        </w:rPr>
        <w:t>” (</w:t>
      </w:r>
      <w:r w:rsidR="00910FEE" w:rsidRPr="00F33D64">
        <w:rPr>
          <w:lang w:val="es-ES_tradnl"/>
        </w:rPr>
        <w:t>Base de datos europea de la papa/patata como compilación centralizada de variedades notoriamente conocidas</w:t>
      </w:r>
      <w:r w:rsidR="004D4D11" w:rsidRPr="00F33D64">
        <w:rPr>
          <w:lang w:val="es-ES_tradnl"/>
        </w:rPr>
        <w:t xml:space="preserve">), </w:t>
      </w:r>
      <w:r w:rsidR="004D4D11" w:rsidRPr="0047370E">
        <w:rPr>
          <w:lang w:val="es-ES_tradnl"/>
        </w:rPr>
        <w:t xml:space="preserve">de la que se adjunta una copia </w:t>
      </w:r>
      <w:r w:rsidR="00910FEE" w:rsidRPr="0047370E">
        <w:rPr>
          <w:lang w:val="es-ES_tradnl"/>
        </w:rPr>
        <w:t xml:space="preserve">en </w:t>
      </w:r>
      <w:r w:rsidR="0047370E" w:rsidRPr="0047370E">
        <w:rPr>
          <w:lang w:val="es-ES_tradnl"/>
        </w:rPr>
        <w:t>e</w:t>
      </w:r>
      <w:r w:rsidR="004D4D11" w:rsidRPr="0047370E">
        <w:rPr>
          <w:lang w:val="es-ES_tradnl"/>
        </w:rPr>
        <w:t>l documento T</w:t>
      </w:r>
      <w:r w:rsidR="004D4D11" w:rsidRPr="00F33D64">
        <w:rPr>
          <w:lang w:val="es-ES_tradnl"/>
        </w:rPr>
        <w:t>WA/43/2</w:t>
      </w:r>
      <w:r w:rsidR="0047370E">
        <w:rPr>
          <w:lang w:val="es-ES_tradnl"/>
        </w:rPr>
        <w:t xml:space="preserve"> Add.</w:t>
      </w:r>
      <w:r w:rsidR="004D4D11" w:rsidRPr="00F33D64">
        <w:rPr>
          <w:lang w:val="es-ES_tradnl"/>
        </w:rPr>
        <w:t xml:space="preserve"> “</w:t>
      </w:r>
      <w:r w:rsidR="004D4D11" w:rsidRPr="00F33D64">
        <w:rPr>
          <w:rFonts w:hint="eastAsia"/>
          <w:i/>
          <w:lang w:val="es-ES" w:eastAsia="ja-JP"/>
        </w:rPr>
        <w:t>Addendum to document</w:t>
      </w:r>
      <w:r w:rsidR="004D4D11" w:rsidRPr="00F33D64">
        <w:rPr>
          <w:i/>
          <w:lang w:val="es-ES" w:eastAsia="ja-JP"/>
        </w:rPr>
        <w:t> </w:t>
      </w:r>
      <w:r w:rsidR="004D4D11" w:rsidRPr="00F33D64">
        <w:rPr>
          <w:rFonts w:hint="eastAsia"/>
          <w:i/>
          <w:lang w:val="es-ES" w:eastAsia="ja-JP"/>
        </w:rPr>
        <w:t>TWA/43/2</w:t>
      </w:r>
      <w:r w:rsidR="004D4D11" w:rsidRPr="00F33D64">
        <w:rPr>
          <w:i/>
          <w:lang w:val="es-ES" w:eastAsia="ja-JP"/>
        </w:rPr>
        <w:t xml:space="preserve"> </w:t>
      </w:r>
      <w:r w:rsidR="004D4D11" w:rsidRPr="00F33D64">
        <w:rPr>
          <w:i/>
          <w:lang w:val="es-ES"/>
        </w:rPr>
        <w:t>Molecular techniques</w:t>
      </w:r>
      <w:r w:rsidR="004D4D11" w:rsidRPr="00F33D64">
        <w:rPr>
          <w:lang w:val="es-ES_tradnl" w:eastAsia="ja-JP"/>
        </w:rPr>
        <w:t>)</w:t>
      </w:r>
      <w:r w:rsidR="004D4D11" w:rsidRPr="00F33D64">
        <w:rPr>
          <w:rFonts w:hint="eastAsia"/>
          <w:lang w:val="es-ES_tradnl" w:eastAsia="ja-JP"/>
        </w:rPr>
        <w:t xml:space="preserve"> </w:t>
      </w:r>
      <w:r w:rsidR="004D4D11" w:rsidRPr="00F33D64">
        <w:rPr>
          <w:lang w:val="es-ES_tradnl" w:eastAsia="ja-JP"/>
        </w:rPr>
        <w:t>(Adición al documento </w:t>
      </w:r>
      <w:r w:rsidR="004D4D11" w:rsidRPr="00F33D64">
        <w:rPr>
          <w:rFonts w:hint="eastAsia"/>
          <w:lang w:val="es-ES_tradnl" w:eastAsia="ja-JP"/>
        </w:rPr>
        <w:t>TWA/43/2</w:t>
      </w:r>
      <w:r w:rsidR="004D4D11" w:rsidRPr="00F33D64">
        <w:rPr>
          <w:lang w:val="es-ES_tradnl" w:eastAsia="ja-JP"/>
        </w:rPr>
        <w:t xml:space="preserve"> </w:t>
      </w:r>
      <w:r w:rsidR="004D4D11" w:rsidRPr="00F33D64">
        <w:rPr>
          <w:lang w:val="es-ES_tradnl"/>
        </w:rPr>
        <w:t>Técnicas moleculares</w:t>
      </w:r>
      <w:r w:rsidR="004D4D11" w:rsidRPr="00F33D64">
        <w:rPr>
          <w:lang w:val="es-ES_tradnl" w:eastAsia="ja-JP"/>
        </w:rPr>
        <w:t xml:space="preserve">) </w:t>
      </w:r>
      <w:r w:rsidR="004D4D11" w:rsidRPr="00F33D64">
        <w:rPr>
          <w:rFonts w:hint="eastAsia"/>
          <w:lang w:val="es-ES_tradnl" w:eastAsia="ja-JP"/>
        </w:rPr>
        <w:t>(</w:t>
      </w:r>
      <w:r w:rsidR="004D4D11" w:rsidRPr="00F33D64">
        <w:rPr>
          <w:lang w:val="es-ES_tradnl" w:eastAsia="ja-JP"/>
        </w:rPr>
        <w:t>véase el párrafo </w:t>
      </w:r>
      <w:r w:rsidR="004D4D11" w:rsidRPr="00F33D64">
        <w:rPr>
          <w:rFonts w:hint="eastAsia"/>
          <w:lang w:val="es-ES_tradnl" w:eastAsia="ja-JP"/>
        </w:rPr>
        <w:t>88</w:t>
      </w:r>
      <w:r w:rsidR="004D4D11" w:rsidRPr="00F33D64">
        <w:rPr>
          <w:lang w:val="es-ES_tradnl" w:eastAsia="ja-JP"/>
        </w:rPr>
        <w:t xml:space="preserve"> del documento </w:t>
      </w:r>
      <w:r w:rsidR="004D4D11" w:rsidRPr="00F33D64">
        <w:rPr>
          <w:rFonts w:hint="eastAsia"/>
          <w:lang w:val="es-ES_tradnl" w:eastAsia="ja-JP"/>
        </w:rPr>
        <w:t xml:space="preserve">TWA/43/27 </w:t>
      </w:r>
      <w:r w:rsidR="004D4D11" w:rsidRPr="00F33D64">
        <w:rPr>
          <w:lang w:val="es-ES_tradnl" w:eastAsia="ja-JP"/>
        </w:rPr>
        <w:t>“</w:t>
      </w:r>
      <w:r w:rsidR="004D4D11" w:rsidRPr="00F33D64">
        <w:rPr>
          <w:rFonts w:hint="eastAsia"/>
          <w:i/>
          <w:lang w:val="es-ES_tradnl" w:eastAsia="ja-JP"/>
        </w:rPr>
        <w:t>Report</w:t>
      </w:r>
      <w:r w:rsidR="004D4D11" w:rsidRPr="00F33D64">
        <w:rPr>
          <w:lang w:val="es-ES_tradnl" w:eastAsia="ja-JP"/>
        </w:rPr>
        <w:t>”</w:t>
      </w:r>
      <w:r w:rsidR="004D4D11" w:rsidRPr="00F33D64">
        <w:rPr>
          <w:rFonts w:hint="eastAsia"/>
          <w:lang w:val="es-ES_tradnl" w:eastAsia="ja-JP"/>
        </w:rPr>
        <w:t>)</w:t>
      </w:r>
      <w:r w:rsidR="004D4D11" w:rsidRPr="00F33D64">
        <w:rPr>
          <w:lang w:val="es-ES_tradnl"/>
        </w:rPr>
        <w:t>.</w:t>
      </w:r>
      <w:r w:rsidR="00312C2A" w:rsidRPr="00F33D64">
        <w:rPr>
          <w:lang w:val="es-ES"/>
        </w:rPr>
        <w:t xml:space="preserve"> </w:t>
      </w:r>
    </w:p>
    <w:p w:rsidR="003502DA" w:rsidRPr="00F33D64" w:rsidRDefault="003502DA" w:rsidP="00312C2A">
      <w:pPr>
        <w:rPr>
          <w:lang w:val="es-ES"/>
        </w:rPr>
      </w:pPr>
    </w:p>
    <w:p w:rsidR="003502DA" w:rsidRPr="00F33D64" w:rsidRDefault="00F70222" w:rsidP="00312C2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4D4D11" w:rsidRPr="00F33D64">
        <w:rPr>
          <w:lang w:val="es-ES_tradnl"/>
        </w:rPr>
        <w:t>El TWA tomó nota de la información presentada por el experto del Reino Unido por medios electrónicos y de las investigaciones sobre el uso de datos moleculares para la gestión de las colecciones de variedades</w:t>
      </w:r>
      <w:r w:rsidR="004D4D11" w:rsidRPr="00F33D64">
        <w:rPr>
          <w:rFonts w:hint="eastAsia"/>
          <w:lang w:val="es-ES_tradnl" w:eastAsia="ja-JP"/>
        </w:rPr>
        <w:t xml:space="preserve"> (</w:t>
      </w:r>
      <w:r w:rsidR="004D4D11" w:rsidRPr="00F33D64">
        <w:rPr>
          <w:lang w:val="es-ES_tradnl" w:eastAsia="ja-JP"/>
        </w:rPr>
        <w:t>véase el párrafo </w:t>
      </w:r>
      <w:r w:rsidR="004D4D11" w:rsidRPr="00F33D64">
        <w:rPr>
          <w:rFonts w:hint="eastAsia"/>
          <w:lang w:val="es-ES_tradnl" w:eastAsia="ja-JP"/>
        </w:rPr>
        <w:t>89</w:t>
      </w:r>
      <w:r w:rsidR="004D4D11" w:rsidRPr="00F33D64">
        <w:rPr>
          <w:lang w:val="es-ES_tradnl" w:eastAsia="ja-JP"/>
        </w:rPr>
        <w:t xml:space="preserve"> del documento </w:t>
      </w:r>
      <w:r w:rsidR="004D4D11" w:rsidRPr="00F33D64">
        <w:rPr>
          <w:rFonts w:hint="eastAsia"/>
          <w:lang w:val="es-ES_tradnl" w:eastAsia="ja-JP"/>
        </w:rPr>
        <w:t>TWA/43/27)</w:t>
      </w:r>
      <w:r w:rsidR="004D4D11" w:rsidRPr="00F33D64">
        <w:rPr>
          <w:lang w:val="es-ES_tradnl"/>
        </w:rPr>
        <w:t>.</w:t>
      </w:r>
    </w:p>
    <w:p w:rsidR="003502DA" w:rsidRPr="00F33D64" w:rsidRDefault="003502DA" w:rsidP="00312C2A">
      <w:pPr>
        <w:rPr>
          <w:lang w:val="es-ES" w:eastAsia="ja-JP"/>
        </w:rPr>
      </w:pPr>
    </w:p>
    <w:p w:rsidR="003502DA" w:rsidRPr="00F33D64" w:rsidRDefault="003502DA" w:rsidP="00312C2A">
      <w:pPr>
        <w:rPr>
          <w:lang w:val="es-ES"/>
        </w:rPr>
      </w:pPr>
    </w:p>
    <w:p w:rsidR="003502DA" w:rsidRPr="00F33D64" w:rsidRDefault="00930D3B" w:rsidP="00F66AE9">
      <w:pPr>
        <w:pStyle w:val="Heading1"/>
        <w:rPr>
          <w:color w:val="auto"/>
          <w:lang w:val="es-ES"/>
        </w:rPr>
      </w:pPr>
      <w:bookmarkStart w:id="8" w:name="_Toc412197199"/>
      <w:r w:rsidRPr="00F33D64">
        <w:rPr>
          <w:color w:val="auto"/>
        </w:rPr>
        <w:t>la decimocuarta reunión</w:t>
      </w:r>
      <w:r w:rsidR="003502DA" w:rsidRPr="00F33D64">
        <w:rPr>
          <w:color w:val="auto"/>
        </w:rPr>
        <w:t xml:space="preserve"> DEL GRUPO DE TRABAJO SOBRE TÉCNICAS BIOQUÍMICAS Y MOLECULARES, Y PERFILES DE ADN EN PARTICULAR (BMT)</w:t>
      </w:r>
      <w:bookmarkEnd w:id="8"/>
    </w:p>
    <w:p w:rsidR="003502DA" w:rsidRPr="00F33D64" w:rsidRDefault="003502DA" w:rsidP="00312C2A">
      <w:pPr>
        <w:rPr>
          <w:lang w:val="es-ES" w:eastAsia="ja-JP"/>
        </w:rPr>
      </w:pPr>
    </w:p>
    <w:p w:rsidR="003502DA" w:rsidRPr="00F33D64" w:rsidRDefault="00F70222" w:rsidP="003502DA">
      <w:pPr>
        <w:rPr>
          <w:lang w:val="es-ES" w:eastAsia="ja-JP"/>
        </w:rPr>
      </w:pPr>
      <w:r w:rsidRPr="005420B5">
        <w:fldChar w:fldCharType="begin"/>
      </w:r>
      <w:r w:rsidR="00312C2A" w:rsidRPr="005420B5">
        <w:rPr>
          <w:lang w:val="es-ES"/>
        </w:rPr>
        <w:instrText xml:space="preserve"> AUTONUM  </w:instrText>
      </w:r>
      <w:r w:rsidRPr="005420B5">
        <w:fldChar w:fldCharType="end"/>
      </w:r>
      <w:r w:rsidR="00312C2A" w:rsidRPr="005420B5">
        <w:rPr>
          <w:lang w:val="es-ES"/>
        </w:rPr>
        <w:tab/>
      </w:r>
      <w:r w:rsidR="003502DA" w:rsidRPr="005420B5">
        <w:rPr>
          <w:lang w:val="es-ES_tradnl"/>
        </w:rPr>
        <w:t>La función del</w:t>
      </w:r>
      <w:r w:rsidR="006A3E7B" w:rsidRPr="005420B5">
        <w:rPr>
          <w:lang w:val="es-ES_tradnl"/>
        </w:rPr>
        <w:t xml:space="preserve"> BMT se reproduce en el Anexo I</w:t>
      </w:r>
      <w:r w:rsidR="003502DA" w:rsidRPr="005420B5">
        <w:rPr>
          <w:lang w:val="es-ES_tradnl"/>
        </w:rPr>
        <w:t xml:space="preserve"> del presente documento.</w:t>
      </w:r>
    </w:p>
    <w:p w:rsidR="003502DA" w:rsidRPr="00F33D64" w:rsidRDefault="003502DA" w:rsidP="00312C2A">
      <w:pPr>
        <w:rPr>
          <w:lang w:val="es-ES" w:eastAsia="ja-JP"/>
        </w:rPr>
      </w:pPr>
    </w:p>
    <w:p w:rsidR="003502DA" w:rsidRPr="00F33D64" w:rsidRDefault="00F70222" w:rsidP="00312C2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C7012" w:rsidRPr="00F33D64">
        <w:rPr>
          <w:lang w:val="es-ES_tradnl"/>
        </w:rPr>
        <w:t xml:space="preserve">La </w:t>
      </w:r>
      <w:r w:rsidR="003C7012" w:rsidRPr="00F33D64">
        <w:rPr>
          <w:lang w:val="es-ES_tradnl" w:eastAsia="ja-JP"/>
        </w:rPr>
        <w:t>decimocuarta</w:t>
      </w:r>
      <w:r w:rsidR="003C7012" w:rsidRPr="00F33D64">
        <w:rPr>
          <w:lang w:val="es-ES_tradnl"/>
        </w:rPr>
        <w:t xml:space="preserve"> reunión del BMT se celebró en </w:t>
      </w:r>
      <w:r w:rsidR="003C7012" w:rsidRPr="00F33D64">
        <w:rPr>
          <w:lang w:val="es-ES_tradnl" w:eastAsia="ja-JP"/>
        </w:rPr>
        <w:t>Seúl (República de Corea)</w:t>
      </w:r>
      <w:r w:rsidR="003C7012" w:rsidRPr="00F33D64">
        <w:rPr>
          <w:lang w:val="es-ES_tradnl"/>
        </w:rPr>
        <w:t xml:space="preserve"> del </w:t>
      </w:r>
      <w:r w:rsidR="003C7012" w:rsidRPr="00F33D64">
        <w:rPr>
          <w:rFonts w:hint="eastAsia"/>
          <w:lang w:val="es-ES_tradnl" w:eastAsia="ja-JP"/>
        </w:rPr>
        <w:t>10</w:t>
      </w:r>
      <w:r w:rsidR="003C7012" w:rsidRPr="00F33D64">
        <w:rPr>
          <w:lang w:val="es-ES_tradnl"/>
        </w:rPr>
        <w:t xml:space="preserve"> al </w:t>
      </w:r>
      <w:r w:rsidR="003C7012" w:rsidRPr="00F33D64">
        <w:rPr>
          <w:rFonts w:hint="eastAsia"/>
          <w:lang w:val="es-ES_tradnl" w:eastAsia="ja-JP"/>
        </w:rPr>
        <w:t>13</w:t>
      </w:r>
      <w:r w:rsidR="003C7012" w:rsidRPr="00F33D64">
        <w:rPr>
          <w:lang w:val="es-ES_tradnl"/>
        </w:rPr>
        <w:t xml:space="preserve"> de noviembre de 201</w:t>
      </w:r>
      <w:r w:rsidR="003C7012" w:rsidRPr="00F33D64">
        <w:rPr>
          <w:rFonts w:hint="eastAsia"/>
          <w:lang w:val="es-ES_tradnl" w:eastAsia="ja-JP"/>
        </w:rPr>
        <w:t>4</w:t>
      </w:r>
      <w:r w:rsidR="000E2880" w:rsidRPr="00F33D64">
        <w:rPr>
          <w:lang w:val="es-ES_tradnl" w:eastAsia="ja-JP"/>
        </w:rPr>
        <w:t>; e</w:t>
      </w:r>
      <w:r w:rsidR="003C7012" w:rsidRPr="00F33D64">
        <w:rPr>
          <w:lang w:val="es-ES_tradnl"/>
        </w:rPr>
        <w:t xml:space="preserve">l </w:t>
      </w:r>
      <w:r w:rsidR="000E2880" w:rsidRPr="00F33D64">
        <w:rPr>
          <w:rFonts w:hint="eastAsia"/>
          <w:lang w:val="es-ES_tradnl" w:eastAsia="ja-JP"/>
        </w:rPr>
        <w:t>9</w:t>
      </w:r>
      <w:r w:rsidR="000E2880" w:rsidRPr="00F33D64">
        <w:rPr>
          <w:lang w:val="es-ES_tradnl"/>
        </w:rPr>
        <w:t xml:space="preserve"> de noviembre de 201</w:t>
      </w:r>
      <w:r w:rsidR="000E2880" w:rsidRPr="00F33D64">
        <w:rPr>
          <w:rFonts w:hint="eastAsia"/>
          <w:lang w:val="es-ES_tradnl" w:eastAsia="ja-JP"/>
        </w:rPr>
        <w:t xml:space="preserve">4 </w:t>
      </w:r>
      <w:r w:rsidR="000E2880" w:rsidRPr="00F33D64">
        <w:rPr>
          <w:lang w:val="es-ES_tradnl" w:eastAsia="ja-JP"/>
        </w:rPr>
        <w:t xml:space="preserve">se celebró el </w:t>
      </w:r>
      <w:r w:rsidR="003C7012" w:rsidRPr="00F33D64">
        <w:rPr>
          <w:lang w:val="es-ES_tradnl"/>
        </w:rPr>
        <w:t>taller preparatorio</w:t>
      </w:r>
      <w:r w:rsidR="000E2880" w:rsidRPr="00F33D64">
        <w:rPr>
          <w:lang w:val="es-ES_tradnl"/>
        </w:rPr>
        <w:t>,</w:t>
      </w:r>
      <w:r w:rsidR="003C7012" w:rsidRPr="00F33D64">
        <w:rPr>
          <w:lang w:val="es-ES_tradnl"/>
        </w:rPr>
        <w:t xml:space="preserve"> </w:t>
      </w:r>
      <w:r w:rsidR="000E2880" w:rsidRPr="00F33D64">
        <w:rPr>
          <w:lang w:val="es-ES_tradnl" w:eastAsia="ja-JP"/>
        </w:rPr>
        <w:t>y</w:t>
      </w:r>
      <w:r w:rsidR="000E2880" w:rsidRPr="00F33D64">
        <w:rPr>
          <w:rFonts w:hint="eastAsia"/>
          <w:lang w:val="es-ES_tradnl" w:eastAsia="ja-JP"/>
        </w:rPr>
        <w:t xml:space="preserve"> </w:t>
      </w:r>
      <w:r w:rsidR="000E2880" w:rsidRPr="00F33D64">
        <w:rPr>
          <w:lang w:val="es-ES_tradnl" w:eastAsia="ja-JP"/>
        </w:rPr>
        <w:t>el</w:t>
      </w:r>
      <w:r w:rsidR="000E2880" w:rsidRPr="00F33D64">
        <w:rPr>
          <w:rFonts w:hint="eastAsia"/>
          <w:lang w:val="es-ES_tradnl" w:eastAsia="ja-JP"/>
        </w:rPr>
        <w:t xml:space="preserve"> 1</w:t>
      </w:r>
      <w:r w:rsidR="000E2880" w:rsidRPr="00F33D64">
        <w:rPr>
          <w:lang w:val="es-ES_tradnl" w:eastAsia="ja-JP"/>
        </w:rPr>
        <w:t>2 de noviembre de</w:t>
      </w:r>
      <w:r w:rsidR="000E2880" w:rsidRPr="00F33D64">
        <w:rPr>
          <w:rFonts w:hint="eastAsia"/>
          <w:lang w:val="es-ES_tradnl" w:eastAsia="ja-JP"/>
        </w:rPr>
        <w:t xml:space="preserve"> 2014</w:t>
      </w:r>
      <w:r w:rsidR="000E2880" w:rsidRPr="00F33D64">
        <w:rPr>
          <w:lang w:val="es-ES_tradnl" w:eastAsia="ja-JP"/>
        </w:rPr>
        <w:t xml:space="preserve"> se celebró </w:t>
      </w:r>
      <w:r w:rsidR="003C7012" w:rsidRPr="00F33D64">
        <w:rPr>
          <w:lang w:val="es-ES_tradnl" w:eastAsia="ja-JP"/>
        </w:rPr>
        <w:t>el Taller conjunto OCDE-UPOV-ISTA sobre técnicas moleculares</w:t>
      </w:r>
      <w:r w:rsidR="003C7012" w:rsidRPr="00F33D64">
        <w:rPr>
          <w:lang w:val="es-ES_tradnl"/>
        </w:rPr>
        <w:t>.</w:t>
      </w:r>
      <w:r w:rsidR="00312C2A" w:rsidRPr="00F33D64">
        <w:rPr>
          <w:lang w:val="es-ES"/>
        </w:rPr>
        <w:t xml:space="preserve"> </w:t>
      </w:r>
      <w:r w:rsidR="005460AE" w:rsidRPr="00F33D64">
        <w:rPr>
          <w:lang w:val="es-ES_tradnl"/>
        </w:rPr>
        <w:t>E</w:t>
      </w:r>
      <w:r w:rsidR="003C7012" w:rsidRPr="00F33D64">
        <w:rPr>
          <w:lang w:val="es-ES_tradnl"/>
        </w:rPr>
        <w:t>l día específico dedicado a los puntos del orden del día “Informe sobre la labor rela</w:t>
      </w:r>
      <w:r w:rsidR="005460AE" w:rsidRPr="00F33D64">
        <w:rPr>
          <w:lang w:val="es-ES_tradnl"/>
        </w:rPr>
        <w:t>tiva a las técnicas moleculares</w:t>
      </w:r>
      <w:r w:rsidR="003C7012" w:rsidRPr="00F33D64">
        <w:rPr>
          <w:lang w:val="es-ES_tradnl"/>
        </w:rPr>
        <w:t xml:space="preserve"> </w:t>
      </w:r>
      <w:r w:rsidR="005460AE" w:rsidRPr="00F33D64">
        <w:rPr>
          <w:lang w:val="es-ES_tradnl"/>
        </w:rPr>
        <w:t>en relación con el examen DHE</w:t>
      </w:r>
      <w:r w:rsidR="003C7012" w:rsidRPr="00F33D64">
        <w:rPr>
          <w:lang w:val="es-ES_tradnl"/>
        </w:rPr>
        <w:t xml:space="preserve">” </w:t>
      </w:r>
      <w:r w:rsidR="005460AE" w:rsidRPr="00F33D64">
        <w:rPr>
          <w:lang w:val="es-ES_tradnl"/>
        </w:rPr>
        <w:t>y</w:t>
      </w:r>
      <w:r w:rsidR="003C7012" w:rsidRPr="00F33D64">
        <w:rPr>
          <w:lang w:val="es-ES_tradnl"/>
        </w:rPr>
        <w:t xml:space="preserve"> “</w:t>
      </w:r>
      <w:r w:rsidR="005460AE" w:rsidRPr="00F33D64">
        <w:rPr>
          <w:lang w:val="es-ES_tradnl"/>
        </w:rPr>
        <w:t>La utilización de técnicas moleculares en la identificación de variedades</w:t>
      </w:r>
      <w:r w:rsidR="003C7012" w:rsidRPr="00F33D64">
        <w:rPr>
          <w:lang w:val="es-ES_tradnl"/>
        </w:rPr>
        <w:t>” (</w:t>
      </w:r>
      <w:r w:rsidR="005460AE" w:rsidRPr="00F33D64">
        <w:rPr>
          <w:lang w:val="es-ES_tradnl"/>
        </w:rPr>
        <w:t>el</w:t>
      </w:r>
      <w:r w:rsidR="003C7012" w:rsidRPr="00F33D64">
        <w:rPr>
          <w:lang w:val="es-ES_tradnl"/>
        </w:rPr>
        <w:t xml:space="preserve"> “</w:t>
      </w:r>
      <w:r w:rsidR="005460AE" w:rsidRPr="00F33D64">
        <w:rPr>
          <w:lang w:val="es-ES_tradnl"/>
        </w:rPr>
        <w:t>Día del obtentor</w:t>
      </w:r>
      <w:r w:rsidR="003C7012" w:rsidRPr="00F33D64">
        <w:rPr>
          <w:lang w:val="es-ES_tradnl"/>
        </w:rPr>
        <w:t>”)</w:t>
      </w:r>
      <w:r w:rsidR="005460AE" w:rsidRPr="00F33D64">
        <w:rPr>
          <w:lang w:val="es-ES_tradnl"/>
        </w:rPr>
        <w:t xml:space="preserve"> </w:t>
      </w:r>
      <w:r w:rsidR="005460AE" w:rsidRPr="00F33D64">
        <w:rPr>
          <w:lang w:val="es-ES_tradnl" w:eastAsia="ja-JP"/>
        </w:rPr>
        <w:t>fue</w:t>
      </w:r>
      <w:r w:rsidR="005460AE" w:rsidRPr="00F33D64">
        <w:rPr>
          <w:lang w:val="es-ES_tradnl"/>
        </w:rPr>
        <w:t xml:space="preserve"> el </w:t>
      </w:r>
      <w:r w:rsidR="005460AE" w:rsidRPr="00F33D64">
        <w:rPr>
          <w:rFonts w:hint="eastAsia"/>
          <w:lang w:val="es-ES_tradnl" w:eastAsia="ja-JP"/>
        </w:rPr>
        <w:t>1</w:t>
      </w:r>
      <w:r w:rsidR="005460AE" w:rsidRPr="00F33D64">
        <w:rPr>
          <w:lang w:val="es-ES_tradnl"/>
        </w:rPr>
        <w:t>2 de noviembre de 201</w:t>
      </w:r>
      <w:r w:rsidR="005460AE" w:rsidRPr="00F33D64">
        <w:rPr>
          <w:rFonts w:hint="eastAsia"/>
          <w:lang w:val="es-ES_tradnl" w:eastAsia="ja-JP"/>
        </w:rPr>
        <w:t>4</w:t>
      </w:r>
      <w:r w:rsidR="003C7012" w:rsidRPr="00F33D64">
        <w:rPr>
          <w:lang w:val="es-ES_tradnl"/>
        </w:rPr>
        <w:t>.</w:t>
      </w:r>
    </w:p>
    <w:p w:rsidR="003502DA" w:rsidRPr="00F33D64" w:rsidRDefault="003502DA" w:rsidP="00312C2A">
      <w:pPr>
        <w:rPr>
          <w:lang w:val="es-ES"/>
        </w:rPr>
      </w:pPr>
    </w:p>
    <w:p w:rsidR="003502DA" w:rsidRPr="00F33D64" w:rsidRDefault="00F70222" w:rsidP="00312C2A">
      <w:pPr>
        <w:autoSpaceDE w:val="0"/>
        <w:autoSpaceDN w:val="0"/>
        <w:adjustRightInd w:val="0"/>
        <w:rPr>
          <w:rFonts w:cs="Arial"/>
          <w:lang w:val="es-ES" w:eastAsia="ja-JP"/>
        </w:rPr>
      </w:pPr>
      <w:r w:rsidRPr="00F33D64">
        <w:rPr>
          <w:rFonts w:cs="Arial"/>
          <w:lang w:eastAsia="ja-JP"/>
        </w:rPr>
        <w:fldChar w:fldCharType="begin"/>
      </w:r>
      <w:r w:rsidR="00312C2A" w:rsidRPr="00F33D64">
        <w:rPr>
          <w:rFonts w:cs="Arial"/>
          <w:lang w:val="es-ES" w:eastAsia="ja-JP"/>
        </w:rPr>
        <w:instrText xml:space="preserve"> AUTONUM  </w:instrText>
      </w:r>
      <w:r w:rsidRPr="00F33D64">
        <w:rPr>
          <w:rFonts w:cs="Arial"/>
          <w:lang w:eastAsia="ja-JP"/>
        </w:rPr>
        <w:fldChar w:fldCharType="end"/>
      </w:r>
      <w:r w:rsidR="00312C2A" w:rsidRPr="00F33D64">
        <w:rPr>
          <w:rFonts w:cs="Arial"/>
          <w:lang w:val="es-ES" w:eastAsia="ja-JP"/>
        </w:rPr>
        <w:tab/>
      </w:r>
      <w:r w:rsidR="005460AE" w:rsidRPr="00F33D64">
        <w:rPr>
          <w:rFonts w:cs="Arial"/>
          <w:lang w:val="es-ES_tradnl" w:eastAsia="ja-JP"/>
        </w:rPr>
        <w:t>A continuación figuran los documentos presentados en cada uno de los puntos del orden del día de la decimocuarta reunión del BMT:</w:t>
      </w:r>
    </w:p>
    <w:p w:rsidR="003502DA" w:rsidRPr="00F33D64" w:rsidRDefault="003502DA" w:rsidP="00312C2A">
      <w:pPr>
        <w:autoSpaceDE w:val="0"/>
        <w:autoSpaceDN w:val="0"/>
        <w:adjustRightInd w:val="0"/>
        <w:rPr>
          <w:rFonts w:cs="Arial"/>
          <w:lang w:val="es-ES" w:eastAsia="ja-JP"/>
        </w:rPr>
      </w:pPr>
    </w:p>
    <w:p w:rsidR="003502DA" w:rsidRPr="00F33D64" w:rsidRDefault="005460AE" w:rsidP="00312C2A">
      <w:pPr>
        <w:ind w:left="567"/>
        <w:rPr>
          <w:rFonts w:cs="Arial"/>
          <w:i/>
          <w:lang w:val="es-ES" w:eastAsia="ja-JP"/>
        </w:rPr>
      </w:pPr>
      <w:r w:rsidRPr="00F33D64">
        <w:rPr>
          <w:rFonts w:cs="Arial"/>
          <w:i/>
          <w:lang w:val="es-ES_tradnl"/>
        </w:rPr>
        <w:t>Informe sobre las novedades acaecidas en la UPOV en relación con las técnicas bioquímicas y moleculares</w:t>
      </w:r>
      <w:r w:rsidR="00312C2A" w:rsidRPr="00F33D64">
        <w:rPr>
          <w:rFonts w:cs="Arial"/>
          <w:i/>
          <w:lang w:val="es-ES"/>
        </w:rPr>
        <w:t xml:space="preserve"> </w:t>
      </w:r>
      <w:bookmarkStart w:id="9" w:name="_Toc410822405"/>
      <w:r w:rsidR="00312C2A" w:rsidRPr="00F33D64">
        <w:rPr>
          <w:rFonts w:cs="Arial"/>
          <w:i/>
          <w:lang w:val="es-ES_tradnl"/>
        </w:rPr>
        <w:t>(document</w:t>
      </w:r>
      <w:r w:rsidR="005B7E35" w:rsidRPr="00F33D64">
        <w:rPr>
          <w:rFonts w:cs="Arial"/>
          <w:i/>
          <w:lang w:val="es-ES_tradnl"/>
        </w:rPr>
        <w:t>o</w:t>
      </w:r>
      <w:r w:rsidR="00312C2A" w:rsidRPr="00F33D64">
        <w:rPr>
          <w:rFonts w:cs="Arial"/>
          <w:i/>
          <w:lang w:val="es-ES_tradnl"/>
        </w:rPr>
        <w:t> BMT/14/2</w:t>
      </w:r>
      <w:r w:rsidR="00312C2A" w:rsidRPr="00F33D64">
        <w:rPr>
          <w:rFonts w:cs="Arial"/>
          <w:i/>
          <w:lang w:val="es-ES_tradnl" w:eastAsia="ja-JP"/>
        </w:rPr>
        <w:t> Rev</w:t>
      </w:r>
      <w:r w:rsidR="00312C2A" w:rsidRPr="00F33D64">
        <w:rPr>
          <w:rFonts w:cs="Arial"/>
          <w:i/>
          <w:lang w:val="es-ES_tradnl"/>
        </w:rPr>
        <w:t>.)</w:t>
      </w:r>
      <w:bookmarkEnd w:id="9"/>
    </w:p>
    <w:p w:rsidR="003502DA" w:rsidRPr="00F33D64" w:rsidRDefault="003502DA" w:rsidP="00312C2A">
      <w:pPr>
        <w:rPr>
          <w:rFonts w:cs="Arial"/>
          <w:i/>
          <w:lang w:val="es-ES" w:eastAsia="ja-JP"/>
        </w:rPr>
      </w:pPr>
    </w:p>
    <w:p w:rsidR="003502DA" w:rsidRPr="00F33D64" w:rsidRDefault="00CB0C20" w:rsidP="00312C2A">
      <w:pPr>
        <w:ind w:left="540"/>
        <w:rPr>
          <w:rFonts w:cs="Arial"/>
          <w:i/>
          <w:lang w:val="es-ES"/>
        </w:rPr>
      </w:pPr>
      <w:r w:rsidRPr="00F33D64">
        <w:rPr>
          <w:rFonts w:cs="Arial"/>
          <w:i/>
          <w:lang w:val="es-ES_tradnl"/>
        </w:rPr>
        <w:t>Breves ponencias sobre los avances en las técnicas bioquímicas y moleculares a cargo de expertos en el examen DHE, especialistas en técnicas bioquímicas y moleculares, y obtentores y organizaciones internacionales pertinentes (documento </w:t>
      </w:r>
      <w:r w:rsidR="005460AE" w:rsidRPr="00F33D64">
        <w:rPr>
          <w:rFonts w:cs="Arial"/>
          <w:i/>
          <w:lang w:val="es-ES_tradnl"/>
        </w:rPr>
        <w:t>BMT/14/15 Anex</w:t>
      </w:r>
      <w:r w:rsidRPr="00F33D64">
        <w:rPr>
          <w:rFonts w:cs="Arial"/>
          <w:i/>
          <w:lang w:val="es-ES_tradnl"/>
        </w:rPr>
        <w:t>o </w:t>
      </w:r>
      <w:r w:rsidR="005460AE" w:rsidRPr="00F33D64">
        <w:rPr>
          <w:rFonts w:cs="Arial"/>
          <w:i/>
          <w:lang w:val="es-ES_tradnl"/>
        </w:rPr>
        <w:t>I:</w:t>
      </w:r>
      <w:r w:rsidR="00312C2A" w:rsidRPr="00F33D64">
        <w:rPr>
          <w:rFonts w:cs="Arial"/>
          <w:i/>
          <w:lang w:val="es-ES"/>
        </w:rPr>
        <w:t xml:space="preserve"> </w:t>
      </w:r>
      <w:r w:rsidRPr="00F33D64">
        <w:rPr>
          <w:rFonts w:cs="Arial"/>
          <w:i/>
          <w:lang w:val="es-ES_tradnl"/>
        </w:rPr>
        <w:t>Francia, Anexo II:</w:t>
      </w:r>
      <w:r w:rsidR="00312C2A" w:rsidRPr="00F33D64">
        <w:rPr>
          <w:rFonts w:cs="Arial"/>
          <w:i/>
          <w:lang w:val="es-ES"/>
        </w:rPr>
        <w:t xml:space="preserve"> </w:t>
      </w:r>
      <w:r w:rsidRPr="00F33D64">
        <w:rPr>
          <w:rFonts w:cs="Arial"/>
          <w:i/>
          <w:lang w:val="es-ES_tradnl"/>
        </w:rPr>
        <w:t>Estados Unidos de América, Anexo III:</w:t>
      </w:r>
      <w:r w:rsidR="00312C2A" w:rsidRPr="00F33D64">
        <w:rPr>
          <w:rFonts w:cs="Arial"/>
          <w:i/>
          <w:lang w:val="es-ES"/>
        </w:rPr>
        <w:t xml:space="preserve"> </w:t>
      </w:r>
      <w:r w:rsidRPr="00F33D64">
        <w:rPr>
          <w:rFonts w:cs="Arial"/>
          <w:i/>
          <w:lang w:val="es-ES_tradnl"/>
        </w:rPr>
        <w:t>Irán (República Islámica del)</w:t>
      </w:r>
    </w:p>
    <w:p w:rsidR="003502DA" w:rsidRPr="00F33D64" w:rsidRDefault="003502DA" w:rsidP="00312C2A">
      <w:pPr>
        <w:rPr>
          <w:rFonts w:cs="Arial"/>
          <w:i/>
          <w:lang w:val="es-ES" w:eastAsia="ja-JP"/>
        </w:rPr>
      </w:pPr>
    </w:p>
    <w:p w:rsidR="003502DA" w:rsidRPr="00F33D64" w:rsidRDefault="00CB0C20" w:rsidP="00312C2A">
      <w:pPr>
        <w:keepNext/>
        <w:ind w:firstLine="567"/>
        <w:rPr>
          <w:rFonts w:cs="Arial"/>
          <w:i/>
          <w:lang w:val="es-ES" w:eastAsia="ja-JP"/>
        </w:rPr>
      </w:pPr>
      <w:r w:rsidRPr="00F33D64">
        <w:rPr>
          <w:rFonts w:cs="Arial"/>
          <w:i/>
          <w:lang w:val="es-ES_tradnl"/>
        </w:rPr>
        <w:t>Informe sobre la labor relativa a las técnicas moleculares en relación con el examen DHE</w:t>
      </w:r>
      <w:r w:rsidR="00312C2A" w:rsidRPr="00F33D64">
        <w:rPr>
          <w:rFonts w:cs="Arial"/>
          <w:i/>
          <w:lang w:val="es-ES"/>
        </w:rPr>
        <w:t xml:space="preserve"> </w:t>
      </w:r>
    </w:p>
    <w:p w:rsidR="003502DA" w:rsidRPr="00F33D64" w:rsidRDefault="003502DA" w:rsidP="00312C2A">
      <w:pPr>
        <w:keepNext/>
        <w:rPr>
          <w:rFonts w:cs="Arial"/>
          <w:i/>
          <w:lang w:val="es-ES" w:eastAsia="ja-JP"/>
        </w:rPr>
      </w:pPr>
    </w:p>
    <w:p w:rsidR="003502DA" w:rsidRPr="00F33D64" w:rsidRDefault="00D37D47" w:rsidP="00312C2A">
      <w:pPr>
        <w:keepNext/>
        <w:ind w:left="540"/>
        <w:rPr>
          <w:rFonts w:cs="Arial"/>
          <w:i/>
          <w:iCs/>
          <w:lang w:val="es-ES" w:eastAsia="ja-JP"/>
        </w:rPr>
      </w:pPr>
      <w:r w:rsidRPr="00F33D64">
        <w:rPr>
          <w:rFonts w:cs="Arial"/>
          <w:i/>
          <w:iCs/>
          <w:lang w:val="es-ES_tradnl"/>
        </w:rPr>
        <w:t>U</w:t>
      </w:r>
      <w:r w:rsidR="00CB0C20" w:rsidRPr="00F33D64">
        <w:rPr>
          <w:rFonts w:cs="Arial"/>
          <w:i/>
          <w:iCs/>
          <w:lang w:val="es-ES_tradnl"/>
        </w:rPr>
        <w:t>tilización de variedades de referencia en la distinción de variedades:</w:t>
      </w:r>
      <w:r w:rsidR="00312C2A" w:rsidRPr="00F33D64">
        <w:rPr>
          <w:rFonts w:cs="Arial"/>
          <w:i/>
          <w:iCs/>
          <w:lang w:val="es-ES"/>
        </w:rPr>
        <w:t xml:space="preserve"> </w:t>
      </w:r>
      <w:r w:rsidR="00CB0C20" w:rsidRPr="00F33D64">
        <w:rPr>
          <w:rFonts w:cs="Arial"/>
          <w:i/>
          <w:iCs/>
          <w:lang w:val="es-ES_tradnl"/>
        </w:rPr>
        <w:t>un método en investigación en los Estados Unidos de América para su posible aplicación en la protección de las obtenciones vegetales</w:t>
      </w:r>
    </w:p>
    <w:p w:rsidR="003502DA" w:rsidRPr="00F33D64" w:rsidRDefault="00312C2A" w:rsidP="00312C2A">
      <w:pPr>
        <w:keepNext/>
        <w:ind w:left="540"/>
        <w:rPr>
          <w:rFonts w:cs="Arial"/>
          <w:i/>
          <w:iCs/>
          <w:lang w:val="es-ES"/>
        </w:rPr>
      </w:pPr>
      <w:r w:rsidRPr="00F33D64">
        <w:rPr>
          <w:rFonts w:cs="Arial"/>
          <w:i/>
          <w:iCs/>
          <w:lang w:val="es-ES" w:eastAsia="ja-JP"/>
        </w:rPr>
        <w:t>(</w:t>
      </w:r>
      <w:proofErr w:type="gramStart"/>
      <w:r w:rsidRPr="00F33D64">
        <w:rPr>
          <w:rFonts w:cs="Arial"/>
          <w:i/>
          <w:iCs/>
          <w:lang w:val="es-ES"/>
        </w:rPr>
        <w:t>document</w:t>
      </w:r>
      <w:r w:rsidR="005B7E35" w:rsidRPr="00F33D64">
        <w:rPr>
          <w:rFonts w:cs="Arial"/>
          <w:i/>
          <w:iCs/>
          <w:lang w:val="es-ES"/>
        </w:rPr>
        <w:t>o</w:t>
      </w:r>
      <w:proofErr w:type="gramEnd"/>
      <w:r w:rsidRPr="00F33D64">
        <w:rPr>
          <w:rFonts w:cs="Arial"/>
          <w:i/>
          <w:iCs/>
          <w:lang w:val="es-ES"/>
        </w:rPr>
        <w:t xml:space="preserve"> BMT/14/5</w:t>
      </w:r>
      <w:r w:rsidRPr="00F33D64">
        <w:rPr>
          <w:rFonts w:cs="Arial"/>
          <w:i/>
          <w:iCs/>
          <w:lang w:val="es-ES" w:eastAsia="ja-JP"/>
        </w:rPr>
        <w:t xml:space="preserve"> </w:t>
      </w:r>
      <w:r w:rsidR="005B7E35" w:rsidRPr="00F33D64">
        <w:rPr>
          <w:rFonts w:cs="Arial"/>
          <w:i/>
          <w:iCs/>
          <w:lang w:val="es-ES" w:eastAsia="ja-JP"/>
        </w:rPr>
        <w:t>y</w:t>
      </w:r>
      <w:r w:rsidRPr="00F33D64">
        <w:rPr>
          <w:rFonts w:cs="Arial"/>
          <w:i/>
          <w:iCs/>
          <w:lang w:val="es-ES" w:eastAsia="ja-JP"/>
        </w:rPr>
        <w:t xml:space="preserve"> BMT/14/5 Add.</w:t>
      </w:r>
      <w:r w:rsidRPr="00F33D64">
        <w:rPr>
          <w:rFonts w:cs="Arial"/>
          <w:i/>
          <w:iCs/>
          <w:lang w:val="es-ES"/>
        </w:rPr>
        <w:t>)</w:t>
      </w:r>
    </w:p>
    <w:p w:rsidR="003502DA" w:rsidRPr="00F33D64" w:rsidRDefault="003502DA" w:rsidP="00312C2A">
      <w:pPr>
        <w:rPr>
          <w:rFonts w:cs="Arial"/>
          <w:i/>
          <w:iCs/>
          <w:lang w:val="es-ES" w:eastAsia="ja-JP"/>
        </w:rPr>
      </w:pPr>
    </w:p>
    <w:p w:rsidR="003502DA" w:rsidRPr="00F33D64" w:rsidRDefault="00D37D47" w:rsidP="00312C2A">
      <w:pPr>
        <w:ind w:left="540"/>
        <w:rPr>
          <w:rFonts w:cs="Arial"/>
          <w:i/>
          <w:iCs/>
          <w:lang w:val="es-ES" w:eastAsia="ja-JP"/>
        </w:rPr>
      </w:pPr>
      <w:r w:rsidRPr="00F33D64">
        <w:rPr>
          <w:rFonts w:cs="Arial"/>
          <w:i/>
          <w:iCs/>
          <w:lang w:val="es-ES_tradnl"/>
        </w:rPr>
        <w:t>I</w:t>
      </w:r>
      <w:r w:rsidR="00CB0C20" w:rsidRPr="00F33D64">
        <w:rPr>
          <w:rFonts w:cs="Arial"/>
          <w:i/>
          <w:iCs/>
          <w:lang w:val="es-ES_tradnl"/>
        </w:rPr>
        <w:t>dentificación de variedades de arroz usando marcadores gé</w:t>
      </w:r>
      <w:r w:rsidRPr="00F33D64">
        <w:rPr>
          <w:rFonts w:cs="Arial"/>
          <w:i/>
          <w:iCs/>
          <w:lang w:val="es-ES_tradnl"/>
        </w:rPr>
        <w:t>n</w:t>
      </w:r>
      <w:r w:rsidR="00CB0C20" w:rsidRPr="00F33D64">
        <w:rPr>
          <w:rFonts w:cs="Arial"/>
          <w:i/>
          <w:iCs/>
          <w:lang w:val="es-ES_tradnl"/>
        </w:rPr>
        <w:t xml:space="preserve">icos para </w:t>
      </w:r>
      <w:r w:rsidR="00BE5108" w:rsidRPr="00F33D64">
        <w:rPr>
          <w:rFonts w:cs="Arial"/>
          <w:i/>
          <w:iCs/>
          <w:lang w:val="es-ES_tradnl"/>
        </w:rPr>
        <w:t xml:space="preserve">tres </w:t>
      </w:r>
      <w:r w:rsidR="00CB0C20" w:rsidRPr="00F33D64">
        <w:rPr>
          <w:rFonts w:cs="Arial"/>
          <w:i/>
          <w:iCs/>
          <w:lang w:val="es-ES_tradnl"/>
        </w:rPr>
        <w:t>caracteres</w:t>
      </w:r>
      <w:r w:rsidR="00BE5108" w:rsidRPr="00F33D64">
        <w:rPr>
          <w:rFonts w:cs="Arial"/>
          <w:i/>
          <w:iCs/>
          <w:lang w:val="es-ES_tradnl"/>
        </w:rPr>
        <w:t xml:space="preserve"> del examen DHE</w:t>
      </w:r>
      <w:r w:rsidR="00312C2A" w:rsidRPr="00F33D64">
        <w:rPr>
          <w:rFonts w:cs="Arial"/>
          <w:i/>
          <w:iCs/>
          <w:lang w:val="es-ES" w:eastAsia="ja-JP"/>
        </w:rPr>
        <w:t xml:space="preserve"> </w:t>
      </w:r>
    </w:p>
    <w:p w:rsidR="003502DA" w:rsidRPr="00F33D64" w:rsidRDefault="00312C2A" w:rsidP="00312C2A">
      <w:pPr>
        <w:ind w:left="540"/>
        <w:rPr>
          <w:rFonts w:cs="Arial"/>
          <w:i/>
          <w:iCs/>
          <w:lang w:val="es-ES"/>
        </w:rPr>
      </w:pPr>
      <w:r w:rsidRPr="00F33D64">
        <w:rPr>
          <w:rFonts w:cs="Arial"/>
          <w:i/>
          <w:iCs/>
          <w:lang w:val="es-ES"/>
        </w:rPr>
        <w:t>(</w:t>
      </w:r>
      <w:proofErr w:type="gramStart"/>
      <w:r w:rsidRPr="00F33D64">
        <w:rPr>
          <w:rFonts w:cs="Arial"/>
          <w:i/>
          <w:iCs/>
          <w:lang w:val="es-ES"/>
        </w:rPr>
        <w:t>document</w:t>
      </w:r>
      <w:r w:rsidR="005B7E35" w:rsidRPr="00F33D64">
        <w:rPr>
          <w:rFonts w:cs="Arial"/>
          <w:i/>
          <w:iCs/>
          <w:lang w:val="es-ES"/>
        </w:rPr>
        <w:t>o</w:t>
      </w:r>
      <w:proofErr w:type="gramEnd"/>
      <w:r w:rsidRPr="00F33D64">
        <w:rPr>
          <w:rFonts w:cs="Arial"/>
          <w:i/>
          <w:iCs/>
          <w:lang w:val="es-ES"/>
        </w:rPr>
        <w:t xml:space="preserve"> BMT/14/8</w:t>
      </w:r>
      <w:r w:rsidRPr="00F33D64">
        <w:rPr>
          <w:rFonts w:cs="Arial"/>
          <w:i/>
          <w:iCs/>
          <w:lang w:val="es-ES" w:eastAsia="ja-JP"/>
        </w:rPr>
        <w:t xml:space="preserve"> </w:t>
      </w:r>
      <w:r w:rsidR="005B7E35" w:rsidRPr="00F33D64">
        <w:rPr>
          <w:rFonts w:cs="Arial"/>
          <w:i/>
          <w:iCs/>
          <w:lang w:val="es-ES" w:eastAsia="ja-JP"/>
        </w:rPr>
        <w:t>y</w:t>
      </w:r>
      <w:r w:rsidRPr="00F33D64">
        <w:rPr>
          <w:rFonts w:cs="Arial"/>
          <w:i/>
          <w:iCs/>
          <w:lang w:val="es-ES" w:eastAsia="ja-JP"/>
        </w:rPr>
        <w:t xml:space="preserve"> BMT/14/8 Add.</w:t>
      </w:r>
      <w:r w:rsidRPr="00F33D64">
        <w:rPr>
          <w:rFonts w:cs="Arial"/>
          <w:i/>
          <w:iCs/>
          <w:lang w:val="es-ES"/>
        </w:rPr>
        <w:t>)</w:t>
      </w:r>
    </w:p>
    <w:p w:rsidR="003502DA" w:rsidRPr="00F33D64" w:rsidRDefault="003502DA" w:rsidP="00312C2A">
      <w:pPr>
        <w:ind w:left="567"/>
        <w:rPr>
          <w:rFonts w:cs="Arial"/>
          <w:i/>
          <w:iCs/>
          <w:lang w:val="es-ES" w:eastAsia="ja-JP"/>
        </w:rPr>
      </w:pPr>
    </w:p>
    <w:p w:rsidR="003502DA" w:rsidRPr="00F33D64" w:rsidRDefault="00D37D47" w:rsidP="00312C2A">
      <w:pPr>
        <w:ind w:left="540"/>
        <w:rPr>
          <w:rFonts w:cs="Arial"/>
          <w:i/>
          <w:iCs/>
          <w:lang w:val="es-ES" w:eastAsia="ja-JP"/>
        </w:rPr>
      </w:pPr>
      <w:r w:rsidRPr="00F33D64">
        <w:rPr>
          <w:rFonts w:cs="Arial"/>
          <w:i/>
          <w:iCs/>
          <w:lang w:val="es-ES_tradnl"/>
        </w:rPr>
        <w:t>U</w:t>
      </w:r>
      <w:r w:rsidR="00BE5108" w:rsidRPr="00F33D64">
        <w:rPr>
          <w:rFonts w:cs="Arial"/>
          <w:i/>
          <w:iCs/>
          <w:lang w:val="es-ES_tradnl"/>
        </w:rPr>
        <w:t>tilización de marcadores moleculares (SNP) para el examen DHE del maíz</w:t>
      </w:r>
      <w:r w:rsidR="00312C2A" w:rsidRPr="00F33D64">
        <w:rPr>
          <w:rFonts w:cs="Arial"/>
          <w:i/>
          <w:iCs/>
          <w:lang w:val="es-ES"/>
        </w:rPr>
        <w:t xml:space="preserve"> </w:t>
      </w:r>
    </w:p>
    <w:p w:rsidR="003502DA" w:rsidRPr="00F33D64" w:rsidRDefault="00312C2A" w:rsidP="00312C2A">
      <w:pPr>
        <w:ind w:left="540"/>
        <w:rPr>
          <w:rFonts w:cs="Arial"/>
          <w:i/>
          <w:iCs/>
          <w:lang w:val="es-ES"/>
        </w:rPr>
      </w:pPr>
      <w:r w:rsidRPr="00F33D64">
        <w:rPr>
          <w:rFonts w:cs="Arial"/>
          <w:i/>
          <w:iCs/>
          <w:lang w:val="es-ES"/>
        </w:rPr>
        <w:t>(</w:t>
      </w:r>
      <w:proofErr w:type="gramStart"/>
      <w:r w:rsidRPr="00F33D64">
        <w:rPr>
          <w:rFonts w:cs="Arial"/>
          <w:i/>
          <w:iCs/>
          <w:lang w:val="es-ES"/>
        </w:rPr>
        <w:t>document</w:t>
      </w:r>
      <w:r w:rsidR="005B7E35" w:rsidRPr="00F33D64">
        <w:rPr>
          <w:rFonts w:cs="Arial"/>
          <w:i/>
          <w:iCs/>
          <w:lang w:val="es-ES"/>
        </w:rPr>
        <w:t>o</w:t>
      </w:r>
      <w:proofErr w:type="gramEnd"/>
      <w:r w:rsidRPr="00F33D64">
        <w:rPr>
          <w:rFonts w:cs="Arial"/>
          <w:i/>
          <w:iCs/>
          <w:lang w:val="es-ES"/>
        </w:rPr>
        <w:t xml:space="preserve"> BMT/14/10</w:t>
      </w:r>
      <w:r w:rsidRPr="00F33D64">
        <w:rPr>
          <w:rFonts w:cs="Arial"/>
          <w:i/>
          <w:iCs/>
          <w:lang w:val="es-ES" w:eastAsia="ja-JP"/>
        </w:rPr>
        <w:t xml:space="preserve"> </w:t>
      </w:r>
      <w:r w:rsidR="005B7E35" w:rsidRPr="00F33D64">
        <w:rPr>
          <w:rFonts w:cs="Arial"/>
          <w:i/>
          <w:iCs/>
          <w:lang w:val="es-ES" w:eastAsia="ja-JP"/>
        </w:rPr>
        <w:t>y</w:t>
      </w:r>
      <w:r w:rsidRPr="00F33D64">
        <w:rPr>
          <w:rFonts w:cs="Arial"/>
          <w:i/>
          <w:iCs/>
          <w:lang w:val="es-ES" w:eastAsia="ja-JP"/>
        </w:rPr>
        <w:t xml:space="preserve"> BMT/14/10 Add.</w:t>
      </w:r>
      <w:r w:rsidRPr="00F33D64">
        <w:rPr>
          <w:rFonts w:cs="Arial"/>
          <w:i/>
          <w:iCs/>
          <w:lang w:val="es-ES"/>
        </w:rPr>
        <w:t>)</w:t>
      </w:r>
    </w:p>
    <w:p w:rsidR="003502DA" w:rsidRPr="00F33D64" w:rsidRDefault="003502DA" w:rsidP="00312C2A">
      <w:pPr>
        <w:ind w:left="567"/>
        <w:rPr>
          <w:rFonts w:cs="Arial"/>
          <w:i/>
          <w:iCs/>
          <w:lang w:val="es-ES" w:eastAsia="ja-JP"/>
        </w:rPr>
      </w:pPr>
    </w:p>
    <w:p w:rsidR="003502DA" w:rsidRPr="00F33D64" w:rsidRDefault="00BE5108" w:rsidP="00312C2A">
      <w:pPr>
        <w:ind w:left="540"/>
        <w:rPr>
          <w:rFonts w:cs="Arial"/>
          <w:i/>
          <w:iCs/>
          <w:lang w:val="es-ES" w:eastAsia="ja-JP"/>
        </w:rPr>
      </w:pPr>
      <w:r w:rsidRPr="00F33D64">
        <w:rPr>
          <w:rFonts w:cs="Arial"/>
          <w:i/>
          <w:iCs/>
          <w:lang w:val="es-ES_tradnl"/>
        </w:rPr>
        <w:lastRenderedPageBreak/>
        <w:t>Posibles usos de los marcadores moleculares en la gestión de variedades de rosa para el sistema de protección de las obtenciones vegetales</w:t>
      </w:r>
    </w:p>
    <w:p w:rsidR="003502DA" w:rsidRPr="00F33D64" w:rsidRDefault="00312C2A" w:rsidP="00312C2A">
      <w:pPr>
        <w:ind w:left="540"/>
        <w:rPr>
          <w:rFonts w:cs="Arial"/>
          <w:i/>
          <w:iCs/>
          <w:lang w:val="es-ES"/>
        </w:rPr>
      </w:pPr>
      <w:r w:rsidRPr="00F33D64">
        <w:rPr>
          <w:rFonts w:cs="Arial"/>
          <w:i/>
          <w:iCs/>
          <w:lang w:val="es-ES"/>
        </w:rPr>
        <w:t>(</w:t>
      </w:r>
      <w:proofErr w:type="gramStart"/>
      <w:r w:rsidRPr="00F33D64">
        <w:rPr>
          <w:rFonts w:cs="Arial"/>
          <w:i/>
          <w:iCs/>
          <w:lang w:val="es-ES"/>
        </w:rPr>
        <w:t>document</w:t>
      </w:r>
      <w:r w:rsidR="005B7E35" w:rsidRPr="00F33D64">
        <w:rPr>
          <w:rFonts w:cs="Arial"/>
          <w:i/>
          <w:iCs/>
          <w:lang w:val="es-ES"/>
        </w:rPr>
        <w:t>o</w:t>
      </w:r>
      <w:proofErr w:type="gramEnd"/>
      <w:r w:rsidRPr="00F33D64">
        <w:rPr>
          <w:rFonts w:cs="Arial"/>
          <w:i/>
          <w:iCs/>
          <w:lang w:val="es-ES"/>
        </w:rPr>
        <w:t xml:space="preserve"> BMT/14/12</w:t>
      </w:r>
      <w:r w:rsidRPr="00F33D64">
        <w:rPr>
          <w:rFonts w:cs="Arial"/>
          <w:i/>
          <w:iCs/>
          <w:lang w:val="es-ES" w:eastAsia="ja-JP"/>
        </w:rPr>
        <w:t xml:space="preserve"> </w:t>
      </w:r>
      <w:r w:rsidR="005B7E35" w:rsidRPr="00F33D64">
        <w:rPr>
          <w:rFonts w:cs="Arial"/>
          <w:i/>
          <w:iCs/>
          <w:lang w:val="es-ES" w:eastAsia="ja-JP"/>
        </w:rPr>
        <w:t>y</w:t>
      </w:r>
      <w:r w:rsidRPr="00F33D64">
        <w:rPr>
          <w:rFonts w:cs="Arial"/>
          <w:i/>
          <w:iCs/>
          <w:lang w:val="es-ES" w:eastAsia="ja-JP"/>
        </w:rPr>
        <w:t xml:space="preserve"> BMT/14/12 Add.</w:t>
      </w:r>
      <w:r w:rsidRPr="00F33D64">
        <w:rPr>
          <w:rFonts w:cs="Arial"/>
          <w:i/>
          <w:iCs/>
          <w:lang w:val="es-ES"/>
        </w:rPr>
        <w:t>)</w:t>
      </w:r>
    </w:p>
    <w:p w:rsidR="003502DA" w:rsidRPr="00F33D64" w:rsidRDefault="003502DA" w:rsidP="00312C2A">
      <w:pPr>
        <w:ind w:left="567"/>
        <w:rPr>
          <w:rFonts w:cs="Arial"/>
          <w:i/>
          <w:iCs/>
          <w:lang w:val="es-ES" w:eastAsia="ja-JP"/>
        </w:rPr>
      </w:pPr>
    </w:p>
    <w:p w:rsidR="003502DA" w:rsidRPr="00F33D64" w:rsidRDefault="00BE5108" w:rsidP="00312C2A">
      <w:pPr>
        <w:ind w:left="540"/>
        <w:rPr>
          <w:rFonts w:cs="Arial"/>
          <w:i/>
          <w:iCs/>
          <w:lang w:val="es-ES" w:eastAsia="ja-JP"/>
        </w:rPr>
      </w:pPr>
      <w:r w:rsidRPr="00F33D64">
        <w:rPr>
          <w:rFonts w:cs="Arial"/>
          <w:i/>
          <w:iCs/>
          <w:lang w:val="es-ES_tradnl"/>
        </w:rPr>
        <w:t>Desarrollo de marcadores EST-SSR de la lechuga e identificación de variedades mediante marcadores EST-SSR</w:t>
      </w:r>
    </w:p>
    <w:p w:rsidR="003502DA" w:rsidRPr="00F33D64" w:rsidRDefault="00312C2A" w:rsidP="00312C2A">
      <w:pPr>
        <w:ind w:left="540"/>
        <w:rPr>
          <w:rFonts w:cs="Arial"/>
          <w:i/>
          <w:iCs/>
          <w:lang w:val="es-ES_tradnl"/>
        </w:rPr>
      </w:pPr>
      <w:r w:rsidRPr="00F33D64">
        <w:rPr>
          <w:rFonts w:cs="Arial"/>
          <w:i/>
          <w:iCs/>
          <w:lang w:val="es-ES_tradnl"/>
        </w:rPr>
        <w:t>(</w:t>
      </w:r>
      <w:proofErr w:type="gramStart"/>
      <w:r w:rsidRPr="00F33D64">
        <w:rPr>
          <w:rFonts w:cs="Arial"/>
          <w:i/>
          <w:iCs/>
          <w:lang w:val="es-ES_tradnl"/>
        </w:rPr>
        <w:t>document</w:t>
      </w:r>
      <w:r w:rsidR="005B7E35" w:rsidRPr="00F33D64">
        <w:rPr>
          <w:rFonts w:cs="Arial"/>
          <w:i/>
          <w:iCs/>
          <w:lang w:val="es-ES_tradnl"/>
        </w:rPr>
        <w:t>o</w:t>
      </w:r>
      <w:proofErr w:type="gramEnd"/>
      <w:r w:rsidRPr="00F33D64">
        <w:rPr>
          <w:rFonts w:cs="Arial"/>
          <w:i/>
          <w:iCs/>
          <w:lang w:val="es-ES_tradnl"/>
        </w:rPr>
        <w:t xml:space="preserve"> BMT/14/13</w:t>
      </w:r>
      <w:r w:rsidRPr="00F33D64">
        <w:rPr>
          <w:rFonts w:cs="Arial"/>
          <w:i/>
          <w:iCs/>
          <w:lang w:val="es-ES_tradnl" w:eastAsia="ja-JP"/>
        </w:rPr>
        <w:t xml:space="preserve"> Rev.</w:t>
      </w:r>
      <w:r w:rsidRPr="00F33D64">
        <w:rPr>
          <w:rFonts w:cs="Arial"/>
          <w:i/>
          <w:iCs/>
          <w:lang w:val="es-ES_tradnl"/>
        </w:rPr>
        <w:t>)</w:t>
      </w:r>
    </w:p>
    <w:p w:rsidR="003502DA" w:rsidRPr="00F33D64" w:rsidRDefault="003502DA" w:rsidP="00312C2A">
      <w:pPr>
        <w:ind w:left="567"/>
        <w:rPr>
          <w:rFonts w:cs="Arial"/>
          <w:i/>
          <w:iCs/>
          <w:lang w:val="es-ES" w:eastAsia="ja-JP"/>
        </w:rPr>
      </w:pPr>
    </w:p>
    <w:p w:rsidR="003502DA" w:rsidRPr="00F33D64" w:rsidRDefault="00574825" w:rsidP="00312C2A">
      <w:pPr>
        <w:ind w:left="540"/>
        <w:rPr>
          <w:rFonts w:cs="Arial"/>
          <w:i/>
          <w:iCs/>
          <w:lang w:val="es-ES" w:eastAsia="ja-JP"/>
        </w:rPr>
      </w:pPr>
      <w:r w:rsidRPr="00F33D64">
        <w:rPr>
          <w:rFonts w:cs="Arial"/>
          <w:i/>
          <w:iCs/>
          <w:lang w:val="es-ES_tradnl"/>
        </w:rPr>
        <w:t>Elaboración de una base de datos de perfiles de ADN de variedades de fresa usando marcadores SSR</w:t>
      </w:r>
      <w:r w:rsidR="00312C2A" w:rsidRPr="00F33D64">
        <w:rPr>
          <w:rFonts w:cs="Arial"/>
          <w:i/>
          <w:iCs/>
          <w:lang w:val="es-ES" w:eastAsia="ja-JP"/>
        </w:rPr>
        <w:t xml:space="preserve"> </w:t>
      </w:r>
    </w:p>
    <w:p w:rsidR="003502DA" w:rsidRPr="00F33D64" w:rsidRDefault="00312C2A" w:rsidP="00312C2A">
      <w:pPr>
        <w:ind w:left="540"/>
        <w:rPr>
          <w:rFonts w:cs="Arial"/>
          <w:i/>
          <w:iCs/>
          <w:lang w:val="es-ES_tradnl"/>
        </w:rPr>
      </w:pPr>
      <w:r w:rsidRPr="00F33D64">
        <w:rPr>
          <w:rFonts w:cs="Arial"/>
          <w:i/>
          <w:iCs/>
          <w:lang w:val="es-ES_tradnl"/>
        </w:rPr>
        <w:t>(</w:t>
      </w:r>
      <w:proofErr w:type="gramStart"/>
      <w:r w:rsidRPr="00F33D64">
        <w:rPr>
          <w:rFonts w:cs="Arial"/>
          <w:i/>
          <w:iCs/>
          <w:lang w:val="es-ES_tradnl"/>
        </w:rPr>
        <w:t>document</w:t>
      </w:r>
      <w:r w:rsidR="005B7E35" w:rsidRPr="00F33D64">
        <w:rPr>
          <w:rFonts w:cs="Arial"/>
          <w:i/>
          <w:iCs/>
          <w:lang w:val="es-ES_tradnl"/>
        </w:rPr>
        <w:t>o</w:t>
      </w:r>
      <w:proofErr w:type="gramEnd"/>
      <w:r w:rsidRPr="00F33D64">
        <w:rPr>
          <w:rFonts w:cs="Arial"/>
          <w:i/>
          <w:iCs/>
          <w:lang w:val="es-ES_tradnl"/>
        </w:rPr>
        <w:t xml:space="preserve"> BMT/14/14</w:t>
      </w:r>
      <w:r w:rsidRPr="00F33D64">
        <w:rPr>
          <w:rFonts w:cs="Arial"/>
          <w:i/>
          <w:iCs/>
          <w:lang w:val="es-ES_tradnl" w:eastAsia="ja-JP"/>
        </w:rPr>
        <w:t xml:space="preserve"> Rev.</w:t>
      </w:r>
      <w:r w:rsidRPr="00F33D64">
        <w:rPr>
          <w:rFonts w:cs="Arial"/>
          <w:i/>
          <w:iCs/>
          <w:lang w:val="es-ES_tradnl"/>
        </w:rPr>
        <w:t>)</w:t>
      </w:r>
    </w:p>
    <w:p w:rsidR="003502DA" w:rsidRPr="00F33D64" w:rsidRDefault="003502DA" w:rsidP="00312C2A">
      <w:pPr>
        <w:ind w:left="567"/>
        <w:rPr>
          <w:rFonts w:cs="Arial"/>
          <w:i/>
          <w:iCs/>
          <w:lang w:val="es-ES" w:eastAsia="ja-JP"/>
        </w:rPr>
      </w:pPr>
    </w:p>
    <w:p w:rsidR="003502DA" w:rsidRPr="00F33D64" w:rsidRDefault="003502DA" w:rsidP="00312C2A">
      <w:pPr>
        <w:ind w:left="567"/>
        <w:rPr>
          <w:rFonts w:cs="Arial"/>
          <w:i/>
          <w:iCs/>
          <w:lang w:val="es-ES" w:eastAsia="ja-JP"/>
        </w:rPr>
      </w:pPr>
    </w:p>
    <w:p w:rsidR="003502DA" w:rsidRPr="00F33D64" w:rsidRDefault="00574825" w:rsidP="00312C2A">
      <w:pPr>
        <w:ind w:left="540"/>
        <w:rPr>
          <w:rFonts w:cs="Arial"/>
          <w:i/>
          <w:iCs/>
          <w:lang w:val="es-ES" w:eastAsia="ja-JP"/>
        </w:rPr>
      </w:pPr>
      <w:r w:rsidRPr="00F33D64">
        <w:rPr>
          <w:rFonts w:cs="Arial"/>
          <w:i/>
          <w:iCs/>
          <w:lang w:val="es-ES_tradnl"/>
        </w:rPr>
        <w:t xml:space="preserve">Uso de técnicas basadas en marcadores moleculares para la selección de </w:t>
      </w:r>
      <w:r w:rsidR="009B5EF6" w:rsidRPr="00F33D64">
        <w:rPr>
          <w:rFonts w:cs="Arial"/>
          <w:i/>
          <w:iCs/>
          <w:lang w:val="es-ES_tradnl"/>
        </w:rPr>
        <w:t>"variedades similares" a una "variedad candidata"</w:t>
      </w:r>
    </w:p>
    <w:p w:rsidR="003502DA" w:rsidRPr="00F33D64" w:rsidRDefault="00312C2A" w:rsidP="00312C2A">
      <w:pPr>
        <w:ind w:left="540"/>
        <w:rPr>
          <w:rFonts w:cs="Arial"/>
          <w:i/>
          <w:lang w:val="es-ES_tradnl" w:eastAsia="ja-JP"/>
        </w:rPr>
      </w:pPr>
      <w:r w:rsidRPr="00F33D64">
        <w:rPr>
          <w:rFonts w:cs="Arial"/>
          <w:i/>
          <w:iCs/>
          <w:lang w:val="es-ES_tradnl"/>
        </w:rPr>
        <w:t>(</w:t>
      </w:r>
      <w:proofErr w:type="gramStart"/>
      <w:r w:rsidRPr="00F33D64">
        <w:rPr>
          <w:rFonts w:cs="Arial"/>
          <w:i/>
          <w:iCs/>
          <w:lang w:val="es-ES_tradnl"/>
        </w:rPr>
        <w:t>document</w:t>
      </w:r>
      <w:r w:rsidR="002E4065" w:rsidRPr="00F33D64">
        <w:rPr>
          <w:rFonts w:cs="Arial"/>
          <w:i/>
          <w:iCs/>
          <w:lang w:val="es-ES_tradnl"/>
        </w:rPr>
        <w:t>o</w:t>
      </w:r>
      <w:proofErr w:type="gramEnd"/>
      <w:r w:rsidRPr="00F33D64">
        <w:rPr>
          <w:rFonts w:cs="Arial"/>
          <w:i/>
          <w:iCs/>
          <w:lang w:val="es-ES_tradnl"/>
        </w:rPr>
        <w:t xml:space="preserve"> BMT/14/16</w:t>
      </w:r>
      <w:r w:rsidRPr="00F33D64">
        <w:rPr>
          <w:rFonts w:cs="Arial"/>
          <w:i/>
          <w:iCs/>
          <w:lang w:val="es-ES_tradnl" w:eastAsia="ja-JP"/>
        </w:rPr>
        <w:t xml:space="preserve"> Rev2.</w:t>
      </w:r>
      <w:r w:rsidRPr="00F33D64">
        <w:rPr>
          <w:rFonts w:cs="Arial"/>
          <w:i/>
          <w:iCs/>
          <w:lang w:val="es-ES_tradnl"/>
        </w:rPr>
        <w:t>)</w:t>
      </w:r>
    </w:p>
    <w:p w:rsidR="003502DA" w:rsidRPr="00F33D64" w:rsidRDefault="003502DA" w:rsidP="00312C2A">
      <w:pPr>
        <w:ind w:left="567"/>
        <w:rPr>
          <w:rFonts w:cs="Arial"/>
          <w:i/>
          <w:iCs/>
          <w:lang w:val="es-ES" w:eastAsia="ja-JP"/>
        </w:rPr>
      </w:pPr>
    </w:p>
    <w:p w:rsidR="003502DA" w:rsidRPr="00F33D64" w:rsidRDefault="00574825" w:rsidP="00312C2A">
      <w:pPr>
        <w:ind w:left="540"/>
        <w:rPr>
          <w:rFonts w:cs="Arial"/>
          <w:i/>
          <w:iCs/>
          <w:lang w:val="es-ES"/>
        </w:rPr>
      </w:pPr>
      <w:r w:rsidRPr="00F33D64">
        <w:rPr>
          <w:rFonts w:cs="Arial"/>
          <w:i/>
          <w:iCs/>
          <w:lang w:val="es-ES_tradnl"/>
        </w:rPr>
        <w:t>Mejora de la eficiencia del examen DHE del ballico perenne combinando las distancias morfológicas y moleculares entre variedades</w:t>
      </w:r>
      <w:r w:rsidR="00312C2A" w:rsidRPr="00F33D64">
        <w:rPr>
          <w:rFonts w:cs="Arial"/>
          <w:i/>
          <w:iCs/>
          <w:lang w:val="es-ES"/>
        </w:rPr>
        <w:t xml:space="preserve"> </w:t>
      </w:r>
      <w:r w:rsidR="00312C2A" w:rsidRPr="00F33D64">
        <w:rPr>
          <w:rFonts w:cs="Arial"/>
          <w:i/>
          <w:iCs/>
          <w:lang w:val="es-ES_tradnl"/>
        </w:rPr>
        <w:t>(document</w:t>
      </w:r>
      <w:r w:rsidR="002E4065" w:rsidRPr="00F33D64">
        <w:rPr>
          <w:rFonts w:cs="Arial"/>
          <w:i/>
          <w:iCs/>
          <w:lang w:val="es-ES_tradnl"/>
        </w:rPr>
        <w:t>o</w:t>
      </w:r>
      <w:r w:rsidR="00312C2A" w:rsidRPr="00F33D64">
        <w:rPr>
          <w:rFonts w:cs="Arial"/>
          <w:i/>
          <w:iCs/>
          <w:lang w:val="es-ES_tradnl"/>
        </w:rPr>
        <w:t xml:space="preserve"> BMT/14/17</w:t>
      </w:r>
      <w:r w:rsidR="00312C2A" w:rsidRPr="00F33D64">
        <w:rPr>
          <w:rFonts w:cs="Arial"/>
          <w:i/>
          <w:iCs/>
          <w:lang w:val="es-ES_tradnl" w:eastAsia="ja-JP"/>
        </w:rPr>
        <w:t xml:space="preserve"> </w:t>
      </w:r>
      <w:r w:rsidR="002E4065" w:rsidRPr="00F33D64">
        <w:rPr>
          <w:rFonts w:cs="Arial"/>
          <w:i/>
          <w:iCs/>
          <w:lang w:val="es-ES_tradnl" w:eastAsia="ja-JP"/>
        </w:rPr>
        <w:t>y</w:t>
      </w:r>
      <w:r w:rsidR="00312C2A" w:rsidRPr="00F33D64">
        <w:rPr>
          <w:rFonts w:cs="Arial"/>
          <w:i/>
          <w:iCs/>
          <w:lang w:val="es-ES_tradnl" w:eastAsia="ja-JP"/>
        </w:rPr>
        <w:t xml:space="preserve"> BMT/14/17 Add.</w:t>
      </w:r>
      <w:r w:rsidR="00312C2A" w:rsidRPr="00F33D64">
        <w:rPr>
          <w:rFonts w:cs="Arial"/>
          <w:i/>
          <w:iCs/>
          <w:lang w:val="es-ES_tradnl"/>
        </w:rPr>
        <w:t>)</w:t>
      </w:r>
    </w:p>
    <w:p w:rsidR="003502DA" w:rsidRPr="00F33D64" w:rsidRDefault="003502DA" w:rsidP="00312C2A">
      <w:pPr>
        <w:ind w:left="567"/>
        <w:rPr>
          <w:rFonts w:cs="Arial"/>
          <w:i/>
          <w:iCs/>
          <w:lang w:val="es-ES" w:eastAsia="ja-JP"/>
        </w:rPr>
      </w:pPr>
    </w:p>
    <w:p w:rsidR="003502DA" w:rsidRPr="00F33D64" w:rsidRDefault="003502DA" w:rsidP="00312C2A">
      <w:pPr>
        <w:ind w:left="540"/>
        <w:rPr>
          <w:rFonts w:cs="Arial"/>
          <w:i/>
          <w:iCs/>
          <w:lang w:val="es-ES"/>
        </w:rPr>
      </w:pPr>
      <w:r w:rsidRPr="00F33D64">
        <w:rPr>
          <w:rFonts w:cs="Arial"/>
          <w:i/>
          <w:iCs/>
          <w:lang w:val="es-ES_tradnl" w:eastAsia="ja-JP"/>
        </w:rPr>
        <w:t>Base de datos europea de la papa/patata como compilación centralizada de variedades notoriamente conocidas</w:t>
      </w:r>
      <w:r w:rsidR="00CC169D" w:rsidRPr="00F33D64">
        <w:rPr>
          <w:rFonts w:cs="Arial"/>
          <w:i/>
          <w:iCs/>
          <w:lang w:val="es-ES_tradnl" w:eastAsia="ja-JP"/>
        </w:rPr>
        <w:t xml:space="preserve"> </w:t>
      </w:r>
      <w:r w:rsidR="00312C2A" w:rsidRPr="00F33D64">
        <w:rPr>
          <w:rFonts w:cs="Arial"/>
          <w:i/>
          <w:iCs/>
          <w:lang w:val="es-ES"/>
        </w:rPr>
        <w:t>(document</w:t>
      </w:r>
      <w:r w:rsidR="001716A8" w:rsidRPr="00F33D64">
        <w:rPr>
          <w:rFonts w:cs="Arial"/>
          <w:i/>
          <w:iCs/>
          <w:lang w:val="es-ES"/>
        </w:rPr>
        <w:t>o</w:t>
      </w:r>
      <w:r w:rsidR="00312C2A" w:rsidRPr="00F33D64">
        <w:rPr>
          <w:rFonts w:cs="Arial"/>
          <w:i/>
          <w:iCs/>
          <w:lang w:val="es-ES"/>
        </w:rPr>
        <w:t xml:space="preserve"> BMT/14/18</w:t>
      </w:r>
      <w:r w:rsidR="00312C2A" w:rsidRPr="00F33D64">
        <w:rPr>
          <w:rFonts w:cs="Arial"/>
          <w:i/>
          <w:iCs/>
          <w:lang w:val="es-ES" w:eastAsia="ja-JP"/>
        </w:rPr>
        <w:t xml:space="preserve"> </w:t>
      </w:r>
      <w:r w:rsidR="001716A8" w:rsidRPr="00F33D64">
        <w:rPr>
          <w:rFonts w:cs="Arial"/>
          <w:i/>
          <w:iCs/>
          <w:lang w:val="es-ES" w:eastAsia="ja-JP"/>
        </w:rPr>
        <w:t>y</w:t>
      </w:r>
      <w:r w:rsidR="00312C2A" w:rsidRPr="00F33D64">
        <w:rPr>
          <w:rFonts w:cs="Arial"/>
          <w:i/>
          <w:iCs/>
          <w:lang w:val="es-ES" w:eastAsia="ja-JP"/>
        </w:rPr>
        <w:t xml:space="preserve"> BMT/14/18 Add.</w:t>
      </w:r>
      <w:r w:rsidR="00312C2A" w:rsidRPr="00F33D64">
        <w:rPr>
          <w:rFonts w:cs="Arial"/>
          <w:i/>
          <w:iCs/>
          <w:lang w:val="es-ES"/>
        </w:rPr>
        <w:t>)</w:t>
      </w:r>
    </w:p>
    <w:p w:rsidR="003502DA" w:rsidRPr="00F33D64" w:rsidRDefault="003502DA" w:rsidP="00312C2A">
      <w:pPr>
        <w:ind w:left="567"/>
        <w:rPr>
          <w:rFonts w:cs="Arial"/>
          <w:i/>
          <w:iCs/>
          <w:lang w:val="es-ES" w:eastAsia="ja-JP"/>
        </w:rPr>
      </w:pPr>
    </w:p>
    <w:p w:rsidR="003502DA" w:rsidRPr="00F33D64" w:rsidRDefault="00331054" w:rsidP="00312C2A">
      <w:pPr>
        <w:ind w:left="540"/>
        <w:rPr>
          <w:rFonts w:cs="Arial"/>
          <w:i/>
          <w:lang w:val="es-ES" w:eastAsia="ja-JP"/>
        </w:rPr>
      </w:pPr>
      <w:r w:rsidRPr="00F33D64">
        <w:rPr>
          <w:rFonts w:cs="Arial"/>
          <w:i/>
          <w:iCs/>
          <w:lang w:val="es-ES_tradnl"/>
        </w:rPr>
        <w:t xml:space="preserve">Los </w:t>
      </w:r>
      <w:r w:rsidR="00574825" w:rsidRPr="00F33D64">
        <w:rPr>
          <w:rFonts w:cs="Arial"/>
          <w:i/>
          <w:iCs/>
          <w:lang w:val="es-ES_tradnl"/>
        </w:rPr>
        <w:t xml:space="preserve">marcadores moleculares </w:t>
      </w:r>
      <w:r w:rsidRPr="00F33D64">
        <w:rPr>
          <w:rFonts w:cs="Arial"/>
          <w:i/>
          <w:iCs/>
          <w:lang w:val="es-ES_tradnl"/>
        </w:rPr>
        <w:t xml:space="preserve">como </w:t>
      </w:r>
      <w:r w:rsidR="005D700A" w:rsidRPr="00F33D64">
        <w:rPr>
          <w:rFonts w:cs="Arial"/>
          <w:i/>
          <w:iCs/>
          <w:lang w:val="es-ES_tradnl"/>
        </w:rPr>
        <w:t>pred</w:t>
      </w:r>
      <w:r w:rsidRPr="00F33D64">
        <w:rPr>
          <w:rFonts w:cs="Arial"/>
          <w:i/>
          <w:iCs/>
          <w:lang w:val="es-ES_tradnl"/>
        </w:rPr>
        <w:t>i</w:t>
      </w:r>
      <w:r w:rsidR="005D700A" w:rsidRPr="00F33D64">
        <w:rPr>
          <w:rFonts w:cs="Arial"/>
          <w:i/>
          <w:iCs/>
          <w:lang w:val="es-ES_tradnl"/>
        </w:rPr>
        <w:t>c</w:t>
      </w:r>
      <w:r w:rsidRPr="00F33D64">
        <w:rPr>
          <w:rFonts w:cs="Arial"/>
          <w:i/>
          <w:iCs/>
          <w:lang w:val="es-ES_tradnl"/>
        </w:rPr>
        <w:t>tores</w:t>
      </w:r>
      <w:r w:rsidR="005D700A" w:rsidRPr="00F33D64">
        <w:rPr>
          <w:rFonts w:cs="Arial"/>
          <w:i/>
          <w:iCs/>
          <w:lang w:val="es-ES_tradnl"/>
        </w:rPr>
        <w:t xml:space="preserve"> </w:t>
      </w:r>
      <w:r w:rsidRPr="00F33D64">
        <w:rPr>
          <w:rFonts w:cs="Arial"/>
          <w:i/>
          <w:iCs/>
          <w:lang w:val="es-ES_tradnl"/>
        </w:rPr>
        <w:t xml:space="preserve">de </w:t>
      </w:r>
      <w:r w:rsidR="005D700A" w:rsidRPr="00F33D64">
        <w:rPr>
          <w:rFonts w:cs="Arial"/>
          <w:i/>
          <w:iCs/>
          <w:lang w:val="es-ES_tradnl"/>
        </w:rPr>
        <w:t xml:space="preserve">caracteres </w:t>
      </w:r>
      <w:r w:rsidRPr="00F33D64">
        <w:rPr>
          <w:lang w:val="es-ES_tradnl"/>
        </w:rPr>
        <w:t>“</w:t>
      </w:r>
      <w:r w:rsidR="005D700A" w:rsidRPr="00F33D64">
        <w:rPr>
          <w:rFonts w:cs="Arial"/>
          <w:i/>
          <w:iCs/>
          <w:lang w:val="es-ES_tradnl"/>
        </w:rPr>
        <w:t>tradicionales</w:t>
      </w:r>
      <w:r w:rsidRPr="00F33D64">
        <w:rPr>
          <w:lang w:val="es-ES_tradnl"/>
        </w:rPr>
        <w:t>”</w:t>
      </w:r>
      <w:r w:rsidR="00312C2A" w:rsidRPr="00F33D64">
        <w:rPr>
          <w:rFonts w:cs="Arial"/>
          <w:i/>
          <w:iCs/>
          <w:lang w:val="es-ES"/>
        </w:rPr>
        <w:t xml:space="preserve"> </w:t>
      </w:r>
      <w:r w:rsidR="00312C2A" w:rsidRPr="00F33D64">
        <w:rPr>
          <w:rFonts w:cs="Arial"/>
          <w:i/>
          <w:iCs/>
          <w:lang w:val="es-ES_tradnl"/>
        </w:rPr>
        <w:t>(document</w:t>
      </w:r>
      <w:r w:rsidR="005B7E35" w:rsidRPr="00F33D64">
        <w:rPr>
          <w:rFonts w:cs="Arial"/>
          <w:i/>
          <w:iCs/>
          <w:lang w:val="es-ES_tradnl"/>
        </w:rPr>
        <w:t>o</w:t>
      </w:r>
      <w:r w:rsidR="00312C2A" w:rsidRPr="00F33D64">
        <w:rPr>
          <w:rFonts w:cs="Arial"/>
          <w:i/>
          <w:iCs/>
          <w:lang w:val="es-ES_tradnl"/>
        </w:rPr>
        <w:t xml:space="preserve"> BMT/14/19</w:t>
      </w:r>
      <w:r w:rsidR="00312C2A" w:rsidRPr="00F33D64">
        <w:rPr>
          <w:rFonts w:cs="Arial"/>
          <w:i/>
          <w:iCs/>
          <w:lang w:val="es-ES_tradnl" w:eastAsia="ja-JP"/>
        </w:rPr>
        <w:t xml:space="preserve"> Rev.</w:t>
      </w:r>
      <w:r w:rsidR="00312C2A" w:rsidRPr="00F33D64">
        <w:rPr>
          <w:rFonts w:cs="Arial"/>
          <w:i/>
          <w:iCs/>
          <w:lang w:val="es-ES_tradnl"/>
        </w:rPr>
        <w:t>)</w:t>
      </w:r>
    </w:p>
    <w:p w:rsidR="003502DA" w:rsidRPr="00F33D64" w:rsidRDefault="003502DA" w:rsidP="00312C2A">
      <w:pPr>
        <w:ind w:left="567"/>
        <w:rPr>
          <w:rFonts w:cs="Arial"/>
          <w:i/>
          <w:lang w:val="es-ES" w:eastAsia="ja-JP"/>
        </w:rPr>
      </w:pPr>
    </w:p>
    <w:p w:rsidR="003502DA" w:rsidRPr="00F33D64" w:rsidRDefault="005D700A" w:rsidP="00312C2A">
      <w:pPr>
        <w:ind w:left="567"/>
        <w:rPr>
          <w:rFonts w:cs="Arial"/>
          <w:i/>
          <w:lang w:val="es-ES" w:eastAsia="ja-JP"/>
        </w:rPr>
      </w:pPr>
      <w:bookmarkStart w:id="10" w:name="_Toc410822408"/>
      <w:r w:rsidRPr="00F33D64">
        <w:rPr>
          <w:rFonts w:cs="Arial"/>
          <w:i/>
          <w:lang w:val="es-ES_tradnl"/>
        </w:rPr>
        <w:t>Directrices internacionales sobre metodologías moleculares</w:t>
      </w:r>
      <w:r w:rsidR="00312C2A" w:rsidRPr="00F33D64">
        <w:rPr>
          <w:rFonts w:cs="Arial"/>
          <w:i/>
          <w:lang w:val="es-ES"/>
        </w:rPr>
        <w:t xml:space="preserve"> </w:t>
      </w:r>
      <w:r w:rsidR="00312C2A" w:rsidRPr="00F33D64">
        <w:rPr>
          <w:rFonts w:cs="Arial"/>
          <w:i/>
          <w:lang w:val="es-ES_tradnl"/>
        </w:rPr>
        <w:t>(document</w:t>
      </w:r>
      <w:r w:rsidR="005B7E35" w:rsidRPr="00F33D64">
        <w:rPr>
          <w:rFonts w:cs="Arial"/>
          <w:i/>
          <w:lang w:val="es-ES_tradnl"/>
        </w:rPr>
        <w:t>o</w:t>
      </w:r>
      <w:r w:rsidR="00312C2A" w:rsidRPr="00F33D64">
        <w:rPr>
          <w:rFonts w:cs="Arial"/>
          <w:i/>
          <w:lang w:val="es-ES_tradnl"/>
        </w:rPr>
        <w:t xml:space="preserve"> BMT/14/3)</w:t>
      </w:r>
      <w:bookmarkEnd w:id="10"/>
    </w:p>
    <w:p w:rsidR="003502DA" w:rsidRPr="00F33D64" w:rsidRDefault="003502DA" w:rsidP="00312C2A">
      <w:pPr>
        <w:ind w:left="567"/>
        <w:rPr>
          <w:rFonts w:cs="Arial"/>
          <w:i/>
          <w:lang w:val="es-ES" w:eastAsia="ja-JP"/>
        </w:rPr>
      </w:pPr>
    </w:p>
    <w:p w:rsidR="003502DA" w:rsidRPr="00F33D64" w:rsidRDefault="003502DA" w:rsidP="003502DA">
      <w:pPr>
        <w:ind w:left="567"/>
        <w:rPr>
          <w:rFonts w:cs="Arial"/>
          <w:i/>
          <w:lang w:val="es-ES"/>
        </w:rPr>
      </w:pPr>
      <w:r w:rsidRPr="00F33D64">
        <w:rPr>
          <w:rFonts w:cs="Arial"/>
          <w:i/>
          <w:lang w:val="es-ES"/>
        </w:rPr>
        <w:t>Bases de datos de descripciones de variedades (documento TC/14/4)</w:t>
      </w:r>
    </w:p>
    <w:p w:rsidR="003502DA" w:rsidRPr="00F33D64" w:rsidRDefault="003502DA" w:rsidP="00312C2A">
      <w:pPr>
        <w:ind w:left="567"/>
        <w:rPr>
          <w:rFonts w:cs="Arial"/>
          <w:i/>
          <w:iCs/>
          <w:lang w:val="es-ES" w:eastAsia="ja-JP"/>
        </w:rPr>
      </w:pPr>
    </w:p>
    <w:p w:rsidR="003502DA" w:rsidRPr="00F33D64" w:rsidRDefault="00BD54F9" w:rsidP="00312C2A">
      <w:pPr>
        <w:ind w:left="540"/>
        <w:rPr>
          <w:rFonts w:cs="Arial"/>
          <w:i/>
          <w:iCs/>
          <w:lang w:val="es-ES" w:eastAsia="ja-JP"/>
        </w:rPr>
      </w:pPr>
      <w:r w:rsidRPr="00F33D64">
        <w:rPr>
          <w:rFonts w:cs="Arial"/>
          <w:i/>
          <w:iCs/>
          <w:lang w:val="es-ES_tradnl"/>
        </w:rPr>
        <w:t xml:space="preserve">Propiedad y uso de </w:t>
      </w:r>
      <w:r w:rsidR="00B450C2" w:rsidRPr="00F33D64">
        <w:rPr>
          <w:rFonts w:cs="Arial"/>
          <w:i/>
          <w:iCs/>
          <w:lang w:val="es-ES_tradnl"/>
        </w:rPr>
        <w:t xml:space="preserve">las </w:t>
      </w:r>
      <w:r w:rsidRPr="00F33D64">
        <w:rPr>
          <w:rFonts w:cs="Arial"/>
          <w:i/>
          <w:iCs/>
          <w:lang w:val="es-ES_tradnl"/>
        </w:rPr>
        <w:t xml:space="preserve">muestras </w:t>
      </w:r>
      <w:r w:rsidR="00B450C2" w:rsidRPr="00F33D64">
        <w:rPr>
          <w:rFonts w:cs="Arial"/>
          <w:i/>
          <w:iCs/>
          <w:lang w:val="es-ES_tradnl"/>
        </w:rPr>
        <w:t>d</w:t>
      </w:r>
      <w:r w:rsidRPr="00F33D64">
        <w:rPr>
          <w:rFonts w:cs="Arial"/>
          <w:i/>
          <w:iCs/>
          <w:lang w:val="es-ES_tradnl"/>
        </w:rPr>
        <w:t>el examen DHE</w:t>
      </w:r>
      <w:r w:rsidR="005D700A" w:rsidRPr="00F33D64">
        <w:rPr>
          <w:rFonts w:cs="Arial"/>
          <w:i/>
          <w:iCs/>
          <w:lang w:val="es-ES_tradnl"/>
        </w:rPr>
        <w:t xml:space="preserve"> </w:t>
      </w:r>
      <w:r w:rsidRPr="00F33D64">
        <w:rPr>
          <w:rFonts w:cs="Arial"/>
          <w:i/>
          <w:iCs/>
          <w:lang w:val="es-ES_tradnl"/>
        </w:rPr>
        <w:t>y del A</w:t>
      </w:r>
      <w:r w:rsidR="005D700A" w:rsidRPr="00F33D64">
        <w:rPr>
          <w:rFonts w:cs="Arial"/>
          <w:i/>
          <w:iCs/>
          <w:lang w:val="es-ES_tradnl"/>
        </w:rPr>
        <w:t>DN</w:t>
      </w:r>
      <w:r w:rsidRPr="00F33D64">
        <w:rPr>
          <w:rFonts w:cs="Arial"/>
          <w:i/>
          <w:iCs/>
          <w:lang w:val="es-ES_tradnl"/>
        </w:rPr>
        <w:t xml:space="preserve"> y los datos sobre el A</w:t>
      </w:r>
      <w:r w:rsidR="005D700A" w:rsidRPr="00F33D64">
        <w:rPr>
          <w:rFonts w:cs="Arial"/>
          <w:i/>
          <w:iCs/>
          <w:lang w:val="es-ES_tradnl"/>
        </w:rPr>
        <w:t>DN</w:t>
      </w:r>
      <w:r w:rsidRPr="00F33D64">
        <w:rPr>
          <w:rFonts w:cs="Arial"/>
          <w:i/>
          <w:iCs/>
          <w:lang w:val="es-ES_tradnl"/>
        </w:rPr>
        <w:t xml:space="preserve"> d</w:t>
      </w:r>
      <w:r w:rsidR="005D700A" w:rsidRPr="00F33D64">
        <w:rPr>
          <w:rFonts w:cs="Arial"/>
          <w:i/>
          <w:iCs/>
          <w:lang w:val="es-ES_tradnl"/>
        </w:rPr>
        <w:t>ur</w:t>
      </w:r>
      <w:r w:rsidRPr="00F33D64">
        <w:rPr>
          <w:rFonts w:cs="Arial"/>
          <w:i/>
          <w:iCs/>
          <w:lang w:val="es-ES_tradnl"/>
        </w:rPr>
        <w:t>ante los exámenes DHE</w:t>
      </w:r>
      <w:r w:rsidR="00B450C2" w:rsidRPr="00F33D64">
        <w:rPr>
          <w:rFonts w:cs="Arial"/>
          <w:i/>
          <w:iCs/>
          <w:lang w:val="es-ES_tradnl"/>
        </w:rPr>
        <w:t xml:space="preserve"> y posteriormente</w:t>
      </w:r>
      <w:r w:rsidR="00312C2A" w:rsidRPr="00F33D64">
        <w:rPr>
          <w:rFonts w:cs="Arial"/>
          <w:i/>
          <w:iCs/>
          <w:lang w:val="es-ES" w:eastAsia="ja-JP"/>
        </w:rPr>
        <w:t xml:space="preserve"> </w:t>
      </w:r>
      <w:r w:rsidR="00312C2A" w:rsidRPr="00F33D64">
        <w:rPr>
          <w:rFonts w:cs="Arial"/>
          <w:i/>
          <w:iCs/>
          <w:lang w:val="es-ES_tradnl"/>
        </w:rPr>
        <w:t>(document</w:t>
      </w:r>
      <w:r w:rsidR="002E4065" w:rsidRPr="00F33D64">
        <w:rPr>
          <w:rFonts w:cs="Arial"/>
          <w:i/>
          <w:iCs/>
          <w:lang w:val="es-ES_tradnl"/>
        </w:rPr>
        <w:t>o</w:t>
      </w:r>
      <w:r w:rsidR="00312C2A" w:rsidRPr="00F33D64">
        <w:rPr>
          <w:rFonts w:cs="Arial"/>
          <w:i/>
          <w:iCs/>
          <w:lang w:val="es-ES_tradnl"/>
        </w:rPr>
        <w:t> BMT/14/11)</w:t>
      </w:r>
    </w:p>
    <w:p w:rsidR="003502DA" w:rsidRPr="00F33D64" w:rsidRDefault="003502DA" w:rsidP="00312C2A">
      <w:pPr>
        <w:ind w:left="567"/>
        <w:rPr>
          <w:rFonts w:cs="Arial"/>
          <w:i/>
          <w:iCs/>
          <w:lang w:val="es-ES" w:eastAsia="ja-JP"/>
        </w:rPr>
      </w:pPr>
    </w:p>
    <w:p w:rsidR="003502DA" w:rsidRPr="00F33D64" w:rsidRDefault="003502DA" w:rsidP="003502DA">
      <w:pPr>
        <w:ind w:firstLine="567"/>
        <w:rPr>
          <w:rFonts w:cs="Arial"/>
          <w:i/>
          <w:lang w:val="es-ES"/>
        </w:rPr>
      </w:pPr>
      <w:r w:rsidRPr="00F33D64">
        <w:rPr>
          <w:rFonts w:cs="Arial"/>
          <w:i/>
          <w:lang w:val="es-ES_tradnl"/>
        </w:rPr>
        <w:t>La utilización de técnicas moleculares en el examen de las variedades esencialmente derivadas</w:t>
      </w:r>
      <w:r w:rsidR="007E26E8" w:rsidRPr="00F33D64">
        <w:rPr>
          <w:rStyle w:val="FootnoteReference"/>
          <w:rFonts w:cs="Arial"/>
          <w:i/>
          <w:u w:val="single"/>
        </w:rPr>
        <w:footnoteReference w:id="2"/>
      </w:r>
    </w:p>
    <w:p w:rsidR="003502DA" w:rsidRPr="00F33D64" w:rsidRDefault="003502DA" w:rsidP="00312C2A">
      <w:pPr>
        <w:rPr>
          <w:rFonts w:cs="Arial"/>
          <w:i/>
          <w:iCs/>
          <w:lang w:val="es-ES" w:eastAsia="ja-JP"/>
        </w:rPr>
      </w:pPr>
    </w:p>
    <w:p w:rsidR="003502DA" w:rsidRPr="00F33D64" w:rsidRDefault="00BD54F9" w:rsidP="00312C2A">
      <w:pPr>
        <w:ind w:left="540"/>
        <w:rPr>
          <w:rFonts w:cs="Arial"/>
          <w:i/>
          <w:iCs/>
          <w:lang w:val="es-ES" w:eastAsia="ja-JP"/>
        </w:rPr>
      </w:pPr>
      <w:r w:rsidRPr="00F33D64">
        <w:rPr>
          <w:rFonts w:cs="Arial"/>
          <w:i/>
          <w:iCs/>
          <w:lang w:val="es-ES_tradnl"/>
        </w:rPr>
        <w:t>Identificación de marcadores</w:t>
      </w:r>
      <w:r w:rsidR="00ED042E" w:rsidRPr="00F33D64">
        <w:rPr>
          <w:rFonts w:cs="Arial"/>
          <w:i/>
          <w:iCs/>
          <w:lang w:val="es-ES_tradnl"/>
        </w:rPr>
        <w:t> </w:t>
      </w:r>
      <w:r w:rsidRPr="00F33D64">
        <w:rPr>
          <w:rFonts w:cs="Arial"/>
          <w:i/>
          <w:iCs/>
          <w:lang w:val="es-ES_tradnl"/>
        </w:rPr>
        <w:t xml:space="preserve">SNP para facilitar </w:t>
      </w:r>
      <w:r w:rsidR="00ED042E" w:rsidRPr="00F33D64">
        <w:rPr>
          <w:rFonts w:cs="Arial"/>
          <w:i/>
          <w:iCs/>
          <w:lang w:val="es-ES_tradnl"/>
        </w:rPr>
        <w:t>la evaluación de</w:t>
      </w:r>
      <w:r w:rsidRPr="00F33D64">
        <w:rPr>
          <w:rFonts w:cs="Arial"/>
          <w:i/>
          <w:iCs/>
          <w:lang w:val="es-ES_tradnl"/>
        </w:rPr>
        <w:t xml:space="preserve"> variedades esencialmente derivadas en el maíz</w:t>
      </w:r>
    </w:p>
    <w:p w:rsidR="003502DA" w:rsidRPr="00F33D64" w:rsidRDefault="00312C2A" w:rsidP="00312C2A">
      <w:pPr>
        <w:ind w:left="540"/>
        <w:rPr>
          <w:rFonts w:cs="Arial"/>
          <w:i/>
          <w:iCs/>
          <w:lang w:val="es-ES"/>
        </w:rPr>
      </w:pPr>
      <w:r w:rsidRPr="00F33D64">
        <w:rPr>
          <w:rFonts w:cs="Arial"/>
          <w:i/>
          <w:iCs/>
          <w:lang w:val="es-ES"/>
        </w:rPr>
        <w:t>(</w:t>
      </w:r>
      <w:proofErr w:type="gramStart"/>
      <w:r w:rsidRPr="00F33D64">
        <w:rPr>
          <w:rFonts w:cs="Arial"/>
          <w:i/>
          <w:iCs/>
          <w:lang w:val="es-ES"/>
        </w:rPr>
        <w:t>document</w:t>
      </w:r>
      <w:r w:rsidR="002E4065" w:rsidRPr="00F33D64">
        <w:rPr>
          <w:rFonts w:cs="Arial"/>
          <w:i/>
          <w:iCs/>
          <w:lang w:val="es-ES"/>
        </w:rPr>
        <w:t>o</w:t>
      </w:r>
      <w:proofErr w:type="gramEnd"/>
      <w:r w:rsidRPr="00F33D64">
        <w:rPr>
          <w:rFonts w:cs="Arial"/>
          <w:i/>
          <w:iCs/>
          <w:lang w:val="es-ES"/>
        </w:rPr>
        <w:t xml:space="preserve"> BMT/14/7 Rev.)</w:t>
      </w:r>
    </w:p>
    <w:p w:rsidR="003502DA" w:rsidRPr="00F33D64" w:rsidRDefault="003502DA" w:rsidP="00312C2A">
      <w:pPr>
        <w:rPr>
          <w:rFonts w:cs="Arial"/>
          <w:i/>
          <w:lang w:val="es-ES" w:eastAsia="ja-JP"/>
        </w:rPr>
      </w:pPr>
    </w:p>
    <w:p w:rsidR="003502DA" w:rsidRPr="00F33D64" w:rsidRDefault="003502DA" w:rsidP="003502DA">
      <w:pPr>
        <w:ind w:firstLine="567"/>
        <w:rPr>
          <w:rFonts w:cs="Arial"/>
          <w:i/>
          <w:lang w:val="es-ES" w:eastAsia="ja-JP"/>
        </w:rPr>
      </w:pPr>
      <w:r w:rsidRPr="00F33D64">
        <w:rPr>
          <w:rFonts w:cs="Arial"/>
          <w:i/>
          <w:lang w:val="es-ES_tradnl" w:eastAsia="ja-JP"/>
        </w:rPr>
        <w:t>La utilización de técnicas moleculares en la identificación de variedades</w:t>
      </w:r>
      <w:r w:rsidR="007E26E8" w:rsidRPr="00F33D64">
        <w:rPr>
          <w:rFonts w:cs="Arial"/>
          <w:i/>
          <w:vertAlign w:val="superscript"/>
          <w:lang w:val="es-ES" w:eastAsia="ja-JP"/>
        </w:rPr>
        <w:t>1</w:t>
      </w:r>
    </w:p>
    <w:p w:rsidR="003502DA" w:rsidRPr="00F33D64" w:rsidRDefault="003502DA" w:rsidP="00312C2A">
      <w:pPr>
        <w:rPr>
          <w:rFonts w:cs="Arial"/>
          <w:i/>
          <w:iCs/>
          <w:lang w:val="es-ES" w:eastAsia="ja-JP"/>
        </w:rPr>
      </w:pPr>
    </w:p>
    <w:p w:rsidR="003502DA" w:rsidRPr="00F33D64" w:rsidRDefault="00ED042E" w:rsidP="00312C2A">
      <w:pPr>
        <w:tabs>
          <w:tab w:val="left" w:pos="540"/>
        </w:tabs>
        <w:ind w:left="540" w:firstLine="27"/>
        <w:rPr>
          <w:rFonts w:cs="Arial"/>
          <w:i/>
          <w:iCs/>
          <w:lang w:val="es-ES"/>
        </w:rPr>
      </w:pPr>
      <w:r w:rsidRPr="00F33D64">
        <w:rPr>
          <w:rFonts w:cs="Arial"/>
          <w:i/>
          <w:iCs/>
          <w:lang w:val="es-ES_tradnl"/>
        </w:rPr>
        <w:t>Aplic</w:t>
      </w:r>
      <w:r w:rsidR="00BD54F9" w:rsidRPr="00F33D64">
        <w:rPr>
          <w:rFonts w:cs="Arial"/>
          <w:i/>
          <w:iCs/>
          <w:lang w:val="es-ES_tradnl"/>
        </w:rPr>
        <w:t xml:space="preserve">ación de la técnica de identificación de variedades mediante el ADN </w:t>
      </w:r>
      <w:r w:rsidRPr="00F33D64">
        <w:rPr>
          <w:rFonts w:cs="Arial"/>
          <w:i/>
          <w:iCs/>
          <w:lang w:val="es-ES_tradnl"/>
        </w:rPr>
        <w:t xml:space="preserve">en </w:t>
      </w:r>
      <w:r w:rsidR="00BD54F9" w:rsidRPr="00F33D64">
        <w:rPr>
          <w:rFonts w:cs="Arial"/>
          <w:i/>
          <w:iCs/>
          <w:lang w:val="es-ES_tradnl"/>
        </w:rPr>
        <w:t>la</w:t>
      </w:r>
      <w:r w:rsidRPr="00F33D64">
        <w:rPr>
          <w:rFonts w:cs="Arial"/>
          <w:i/>
          <w:iCs/>
          <w:lang w:val="es-ES_tradnl"/>
        </w:rPr>
        <w:t xml:space="preserve"> </w:t>
      </w:r>
      <w:r w:rsidR="00BD54F9" w:rsidRPr="00F33D64">
        <w:rPr>
          <w:rFonts w:cs="Arial"/>
          <w:i/>
          <w:iCs/>
          <w:lang w:val="es-ES_tradnl"/>
        </w:rPr>
        <w:t>lucha contra la infracción de los derechos de obtentor en el Japón</w:t>
      </w:r>
      <w:r w:rsidR="00312C2A" w:rsidRPr="00F33D64">
        <w:rPr>
          <w:rFonts w:cs="Arial"/>
          <w:i/>
          <w:iCs/>
          <w:lang w:val="es-ES_tradnl"/>
        </w:rPr>
        <w:t xml:space="preserve"> (document</w:t>
      </w:r>
      <w:r w:rsidR="002E4065" w:rsidRPr="00F33D64">
        <w:rPr>
          <w:rFonts w:cs="Arial"/>
          <w:i/>
          <w:iCs/>
          <w:lang w:val="es-ES_tradnl"/>
        </w:rPr>
        <w:t>o</w:t>
      </w:r>
      <w:r w:rsidR="00312C2A" w:rsidRPr="00F33D64">
        <w:rPr>
          <w:rFonts w:cs="Arial"/>
          <w:i/>
          <w:iCs/>
          <w:lang w:val="es-ES_tradnl"/>
        </w:rPr>
        <w:t xml:space="preserve"> BMT/14/6 </w:t>
      </w:r>
      <w:r w:rsidR="002E4065" w:rsidRPr="00F33D64">
        <w:rPr>
          <w:rFonts w:cs="Arial"/>
          <w:i/>
          <w:iCs/>
          <w:lang w:val="es-ES_tradnl"/>
        </w:rPr>
        <w:t>y</w:t>
      </w:r>
      <w:r w:rsidR="00312C2A" w:rsidRPr="00F33D64">
        <w:rPr>
          <w:rFonts w:cs="Arial"/>
          <w:i/>
          <w:iCs/>
          <w:lang w:val="es-ES_tradnl"/>
        </w:rPr>
        <w:t xml:space="preserve"> BMT/14/6 Add.</w:t>
      </w:r>
      <w:r w:rsidR="00312C2A" w:rsidRPr="00F33D64">
        <w:rPr>
          <w:rFonts w:cs="Arial"/>
          <w:i/>
          <w:iCs/>
          <w:lang w:val="es-ES_tradnl" w:eastAsia="ja-JP"/>
        </w:rPr>
        <w:t xml:space="preserve"> Rev.</w:t>
      </w:r>
      <w:r w:rsidR="00312C2A" w:rsidRPr="00F33D64">
        <w:rPr>
          <w:rFonts w:cs="Arial"/>
          <w:i/>
          <w:iCs/>
          <w:lang w:val="es-ES_tradnl"/>
        </w:rPr>
        <w:t>)</w:t>
      </w:r>
    </w:p>
    <w:p w:rsidR="003502DA" w:rsidRPr="00F33D64" w:rsidRDefault="003502DA" w:rsidP="00312C2A">
      <w:pPr>
        <w:rPr>
          <w:rFonts w:cs="Arial"/>
          <w:i/>
          <w:iCs/>
          <w:lang w:val="es-ES" w:eastAsia="ja-JP"/>
        </w:rPr>
      </w:pPr>
    </w:p>
    <w:p w:rsidR="003502DA" w:rsidRPr="00F33D64" w:rsidRDefault="00BD54F9" w:rsidP="00312C2A">
      <w:pPr>
        <w:ind w:firstLine="540"/>
        <w:rPr>
          <w:rFonts w:cs="Arial"/>
          <w:i/>
          <w:iCs/>
          <w:lang w:val="es-ES" w:eastAsia="ja-JP"/>
        </w:rPr>
      </w:pPr>
      <w:r w:rsidRPr="00F33D64">
        <w:rPr>
          <w:rFonts w:cs="Arial"/>
          <w:i/>
          <w:iCs/>
          <w:lang w:val="es-ES_tradnl"/>
        </w:rPr>
        <w:t>Determinación de un umbral de conformidad genética en plántulas de patata</w:t>
      </w:r>
      <w:r w:rsidR="00312C2A" w:rsidRPr="00F33D64">
        <w:rPr>
          <w:rFonts w:cs="Arial"/>
          <w:i/>
          <w:iCs/>
          <w:lang w:val="es-ES"/>
        </w:rPr>
        <w:t xml:space="preserve"> </w:t>
      </w:r>
    </w:p>
    <w:p w:rsidR="003502DA" w:rsidRPr="00F33D64" w:rsidRDefault="00312C2A" w:rsidP="00312C2A">
      <w:pPr>
        <w:ind w:firstLine="540"/>
        <w:rPr>
          <w:rFonts w:cs="Arial"/>
          <w:i/>
          <w:lang w:val="es-ES" w:eastAsia="ja-JP"/>
        </w:rPr>
      </w:pPr>
      <w:r w:rsidRPr="00F33D64">
        <w:rPr>
          <w:rFonts w:cs="Arial"/>
          <w:i/>
          <w:iCs/>
          <w:lang w:val="es-ES"/>
        </w:rPr>
        <w:t>(</w:t>
      </w:r>
      <w:proofErr w:type="gramStart"/>
      <w:r w:rsidRPr="00F33D64">
        <w:rPr>
          <w:rFonts w:cs="Arial"/>
          <w:i/>
          <w:iCs/>
          <w:lang w:val="es-ES"/>
        </w:rPr>
        <w:t>document</w:t>
      </w:r>
      <w:r w:rsidR="002E4065" w:rsidRPr="00F33D64">
        <w:rPr>
          <w:rFonts w:cs="Arial"/>
          <w:i/>
          <w:iCs/>
          <w:lang w:val="es-ES"/>
        </w:rPr>
        <w:t>o</w:t>
      </w:r>
      <w:proofErr w:type="gramEnd"/>
      <w:r w:rsidRPr="00F33D64">
        <w:rPr>
          <w:rFonts w:cs="Arial"/>
          <w:i/>
          <w:iCs/>
          <w:lang w:val="es-ES"/>
        </w:rPr>
        <w:t xml:space="preserve"> BMT/14/9</w:t>
      </w:r>
      <w:r w:rsidRPr="00F33D64">
        <w:rPr>
          <w:rFonts w:cs="Arial"/>
          <w:i/>
          <w:iCs/>
          <w:lang w:val="es-ES" w:eastAsia="ja-JP"/>
        </w:rPr>
        <w:t xml:space="preserve"> </w:t>
      </w:r>
      <w:r w:rsidR="002E4065" w:rsidRPr="00F33D64">
        <w:rPr>
          <w:rFonts w:cs="Arial"/>
          <w:i/>
          <w:iCs/>
          <w:lang w:val="es-ES" w:eastAsia="ja-JP"/>
        </w:rPr>
        <w:t>y</w:t>
      </w:r>
      <w:r w:rsidRPr="00F33D64">
        <w:rPr>
          <w:rFonts w:cs="Arial"/>
          <w:i/>
          <w:iCs/>
          <w:lang w:val="es-ES" w:eastAsia="ja-JP"/>
        </w:rPr>
        <w:t xml:space="preserve"> BMT/14/9 Add.</w:t>
      </w:r>
      <w:r w:rsidRPr="00F33D64">
        <w:rPr>
          <w:rFonts w:cs="Arial"/>
          <w:i/>
          <w:iCs/>
          <w:lang w:val="es-ES"/>
        </w:rPr>
        <w:t>)</w:t>
      </w:r>
    </w:p>
    <w:p w:rsidR="003502DA" w:rsidRPr="00F33D64" w:rsidRDefault="003502DA" w:rsidP="00312C2A">
      <w:pPr>
        <w:rPr>
          <w:rFonts w:cs="Arial"/>
          <w:lang w:val="es-ES" w:eastAsia="ja-JP"/>
        </w:rPr>
      </w:pPr>
    </w:p>
    <w:p w:rsidR="003502DA" w:rsidRPr="00F33D64" w:rsidRDefault="00F70222" w:rsidP="00312C2A">
      <w:pPr>
        <w:keepNext/>
        <w:rPr>
          <w:rFonts w:cs="Arial"/>
          <w:lang w:val="es-ES"/>
        </w:rPr>
      </w:pPr>
      <w:r w:rsidRPr="00F33D64">
        <w:rPr>
          <w:rFonts w:cs="Arial"/>
          <w:iCs/>
          <w:snapToGrid w:val="0"/>
        </w:rPr>
        <w:lastRenderedPageBreak/>
        <w:fldChar w:fldCharType="begin"/>
      </w:r>
      <w:r w:rsidR="00312C2A" w:rsidRPr="00F33D64">
        <w:rPr>
          <w:rFonts w:cs="Arial"/>
          <w:iCs/>
          <w:snapToGrid w:val="0"/>
          <w:lang w:val="es-ES"/>
        </w:rPr>
        <w:instrText xml:space="preserve"> AUTONUM  </w:instrText>
      </w:r>
      <w:r w:rsidRPr="00F33D64">
        <w:rPr>
          <w:rFonts w:cs="Arial"/>
          <w:iCs/>
          <w:snapToGrid w:val="0"/>
        </w:rPr>
        <w:fldChar w:fldCharType="end"/>
      </w:r>
      <w:r w:rsidR="00312C2A" w:rsidRPr="00F33D64">
        <w:rPr>
          <w:rFonts w:cs="Arial"/>
          <w:iCs/>
          <w:snapToGrid w:val="0"/>
          <w:lang w:val="es-ES"/>
        </w:rPr>
        <w:tab/>
      </w:r>
      <w:r w:rsidR="0086076B" w:rsidRPr="00F33D64">
        <w:rPr>
          <w:rFonts w:cs="Arial"/>
          <w:iCs/>
          <w:snapToGrid w:val="0"/>
          <w:lang w:val="es-ES_tradnl"/>
        </w:rPr>
        <w:t>El BMT aceptó una invitación de la Federación de Rusia para celebrar su decimoquinta reunión en Moscú en mayo de 2016, con un taller preparatorio en mayo de 2016.</w:t>
      </w:r>
      <w:r w:rsidR="00312C2A" w:rsidRPr="00F33D64">
        <w:rPr>
          <w:rFonts w:cs="Arial"/>
          <w:iCs/>
          <w:snapToGrid w:val="0"/>
          <w:lang w:val="es-ES"/>
        </w:rPr>
        <w:t xml:space="preserve">  </w:t>
      </w:r>
      <w:r w:rsidR="0086076B" w:rsidRPr="00F33D64">
        <w:rPr>
          <w:rFonts w:cs="Arial"/>
          <w:iCs/>
          <w:snapToGrid w:val="0"/>
          <w:lang w:val="es-ES_tradnl"/>
        </w:rPr>
        <w:t xml:space="preserve">El </w:t>
      </w:r>
      <w:r w:rsidR="0086076B" w:rsidRPr="00F33D64">
        <w:rPr>
          <w:rFonts w:cs="Arial"/>
          <w:lang w:val="es-ES_tradnl"/>
        </w:rPr>
        <w:t>BMT tenía previsto debatir los puntos siguientes:</w:t>
      </w:r>
    </w:p>
    <w:p w:rsidR="003502DA" w:rsidRPr="00F33D64" w:rsidRDefault="003502DA" w:rsidP="00312C2A">
      <w:pPr>
        <w:keepNext/>
        <w:rPr>
          <w:rFonts w:cs="Arial"/>
          <w:lang w:val="es-ES"/>
        </w:rPr>
      </w:pPr>
    </w:p>
    <w:p w:rsidR="003502DA" w:rsidRPr="00F33D64" w:rsidRDefault="003502DA" w:rsidP="00ED042E">
      <w:pPr>
        <w:pStyle w:val="BodyTextIndent"/>
        <w:keepNext/>
        <w:spacing w:after="240"/>
        <w:ind w:left="1134" w:hanging="567"/>
        <w:rPr>
          <w:rFonts w:cs="Arial"/>
          <w:lang w:val="es-ES"/>
        </w:rPr>
      </w:pPr>
      <w:r w:rsidRPr="00F33D64">
        <w:rPr>
          <w:rFonts w:cs="Arial"/>
          <w:lang w:val="es-ES"/>
        </w:rPr>
        <w:t>1.</w:t>
      </w:r>
      <w:r w:rsidR="007E26E8" w:rsidRPr="00F33D64">
        <w:rPr>
          <w:rFonts w:cs="Arial"/>
          <w:lang w:val="es-ES"/>
        </w:rPr>
        <w:tab/>
      </w:r>
      <w:r w:rsidRPr="00F33D64">
        <w:rPr>
          <w:rFonts w:cs="Arial"/>
          <w:lang w:val="es-ES_tradnl"/>
        </w:rPr>
        <w:t>Apertura</w:t>
      </w:r>
      <w:r w:rsidRPr="00F33D64">
        <w:rPr>
          <w:rFonts w:cs="Arial"/>
          <w:lang w:val="es-ES"/>
        </w:rPr>
        <w:t xml:space="preserve"> de la sesión</w:t>
      </w:r>
    </w:p>
    <w:p w:rsidR="003502DA" w:rsidRPr="00F33D64" w:rsidRDefault="003502DA" w:rsidP="00ED042E">
      <w:pPr>
        <w:pStyle w:val="BodyTextIndent"/>
        <w:keepNext/>
        <w:spacing w:after="240"/>
        <w:ind w:left="1134" w:hanging="567"/>
        <w:rPr>
          <w:rFonts w:cs="Arial"/>
          <w:lang w:val="es-ES"/>
        </w:rPr>
      </w:pPr>
      <w:r w:rsidRPr="00F33D64">
        <w:rPr>
          <w:rFonts w:cs="Arial"/>
          <w:lang w:val="es-ES_tradnl"/>
        </w:rPr>
        <w:t>2.</w:t>
      </w:r>
      <w:r w:rsidR="007E26E8" w:rsidRPr="00F33D64">
        <w:rPr>
          <w:rFonts w:cs="Arial"/>
          <w:lang w:val="es-ES_tradnl"/>
        </w:rPr>
        <w:tab/>
      </w:r>
      <w:r w:rsidRPr="00F33D64">
        <w:rPr>
          <w:rFonts w:cs="Arial"/>
          <w:lang w:val="es-ES_tradnl"/>
        </w:rPr>
        <w:t>Aprobación del orden del día</w:t>
      </w:r>
    </w:p>
    <w:p w:rsidR="003502DA" w:rsidRPr="00F33D64" w:rsidRDefault="007E26E8" w:rsidP="007E26E8">
      <w:pPr>
        <w:pStyle w:val="BodyTextIndent"/>
        <w:keepNext/>
        <w:spacing w:after="240"/>
        <w:ind w:left="1134" w:hanging="567"/>
        <w:rPr>
          <w:rFonts w:cs="Arial"/>
          <w:lang w:val="es-ES"/>
        </w:rPr>
      </w:pPr>
      <w:r w:rsidRPr="00F33D64">
        <w:rPr>
          <w:rFonts w:cs="Arial"/>
          <w:lang w:val="es-ES_tradnl"/>
        </w:rPr>
        <w:t>3.</w:t>
      </w:r>
      <w:r w:rsidRPr="00F33D64">
        <w:rPr>
          <w:rFonts w:cs="Arial"/>
          <w:lang w:val="es-ES_tradnl"/>
        </w:rPr>
        <w:tab/>
      </w:r>
      <w:r w:rsidR="003502DA" w:rsidRPr="00F33D64">
        <w:rPr>
          <w:rFonts w:cs="Arial"/>
          <w:lang w:val="es-ES_tradnl"/>
        </w:rPr>
        <w:t>Informe sobre las novedades acaecidas en la UPOV en relación con las técnicas bioquímicas y moleculares</w:t>
      </w:r>
    </w:p>
    <w:p w:rsidR="003502DA" w:rsidRPr="00F33D64" w:rsidRDefault="007E26E8" w:rsidP="003502DA">
      <w:pPr>
        <w:pStyle w:val="BodyTextIndent"/>
        <w:keepNext/>
        <w:spacing w:after="240"/>
        <w:ind w:left="1170" w:hanging="603"/>
        <w:rPr>
          <w:rFonts w:cs="Arial"/>
          <w:lang w:val="es-ES"/>
        </w:rPr>
      </w:pPr>
      <w:r w:rsidRPr="00F33D64">
        <w:rPr>
          <w:rFonts w:cs="Arial"/>
          <w:lang w:val="es-ES_tradnl"/>
        </w:rPr>
        <w:t>4.</w:t>
      </w:r>
      <w:r w:rsidRPr="00F33D64">
        <w:rPr>
          <w:rFonts w:cs="Arial"/>
          <w:lang w:val="es-ES_tradnl"/>
        </w:rPr>
        <w:tab/>
      </w:r>
      <w:r w:rsidR="003502DA" w:rsidRPr="00F33D64">
        <w:rPr>
          <w:rFonts w:cs="Arial"/>
          <w:lang w:val="es-ES_tradnl"/>
        </w:rPr>
        <w:t>Breves ponencias sobre los avances en las técnicas bioquímicas y moleculares a cargo de expertos en el examen DHE, especialistas en técnicas bioquímicas y moleculares, y obtentores y organizaciones internacionales pertinentes</w:t>
      </w:r>
      <w:r w:rsidR="00312C2A" w:rsidRPr="00F33D64">
        <w:rPr>
          <w:rFonts w:cs="Arial"/>
          <w:lang w:val="es-ES"/>
        </w:rPr>
        <w:t xml:space="preserve"> </w:t>
      </w:r>
    </w:p>
    <w:p w:rsidR="003502DA" w:rsidRPr="00F33D64" w:rsidRDefault="00312C2A" w:rsidP="00ED042E">
      <w:pPr>
        <w:pStyle w:val="BodyTextIndent"/>
        <w:keepNext/>
        <w:spacing w:after="240"/>
        <w:ind w:left="1134" w:hanging="567"/>
        <w:rPr>
          <w:rFonts w:cs="Arial"/>
          <w:lang w:val="es-ES"/>
        </w:rPr>
      </w:pPr>
      <w:r w:rsidRPr="00F33D64">
        <w:rPr>
          <w:rFonts w:cs="Arial" w:hint="eastAsia"/>
          <w:lang w:val="es-ES" w:eastAsia="ja-JP"/>
        </w:rPr>
        <w:t>5</w:t>
      </w:r>
      <w:r w:rsidRPr="00F33D64">
        <w:rPr>
          <w:rFonts w:cs="Arial"/>
          <w:lang w:val="es-ES"/>
        </w:rPr>
        <w:t>.</w:t>
      </w:r>
      <w:r w:rsidRPr="00F33D64">
        <w:rPr>
          <w:rFonts w:cs="Arial"/>
          <w:lang w:val="es-ES"/>
        </w:rPr>
        <w:tab/>
      </w:r>
      <w:r w:rsidR="0086076B" w:rsidRPr="00F33D64">
        <w:rPr>
          <w:lang w:val="es-ES_tradnl"/>
        </w:rPr>
        <w:t>Informe sobre la labor relativa a las técnicas moleculares en relación con el examen DHE</w:t>
      </w:r>
    </w:p>
    <w:p w:rsidR="003502DA" w:rsidRPr="00F33D64" w:rsidRDefault="007E26E8" w:rsidP="00ED042E">
      <w:pPr>
        <w:pStyle w:val="BodyTextIndent"/>
        <w:keepNext/>
        <w:spacing w:after="240"/>
        <w:ind w:left="1134" w:hanging="567"/>
        <w:rPr>
          <w:rFonts w:cs="Arial"/>
          <w:lang w:val="es-ES"/>
        </w:rPr>
      </w:pPr>
      <w:r w:rsidRPr="00F33D64">
        <w:rPr>
          <w:rFonts w:cs="Arial"/>
          <w:lang w:val="es-ES_tradnl"/>
        </w:rPr>
        <w:t>6.</w:t>
      </w:r>
      <w:r w:rsidRPr="00F33D64">
        <w:rPr>
          <w:rFonts w:cs="Arial"/>
          <w:lang w:val="es-ES_tradnl"/>
        </w:rPr>
        <w:tab/>
      </w:r>
      <w:r w:rsidR="003502DA" w:rsidRPr="00F33D64">
        <w:rPr>
          <w:rFonts w:cs="Arial"/>
          <w:lang w:val="es-ES_tradnl"/>
        </w:rPr>
        <w:t>Directrices internacionales sobre metodologías moleculares</w:t>
      </w:r>
    </w:p>
    <w:p w:rsidR="003502DA" w:rsidRPr="00F33D64" w:rsidRDefault="007E26E8" w:rsidP="00ED042E">
      <w:pPr>
        <w:pStyle w:val="BodyTextIndent"/>
        <w:keepNext/>
        <w:spacing w:after="240"/>
        <w:ind w:left="1134" w:hanging="567"/>
        <w:rPr>
          <w:rFonts w:cs="Arial"/>
          <w:lang w:val="es-ES"/>
        </w:rPr>
      </w:pPr>
      <w:r w:rsidRPr="00F33D64">
        <w:rPr>
          <w:rFonts w:cs="Arial"/>
          <w:lang w:val="es-ES_tradnl"/>
        </w:rPr>
        <w:t>7.</w:t>
      </w:r>
      <w:r w:rsidRPr="00F33D64">
        <w:rPr>
          <w:rFonts w:cs="Arial"/>
          <w:lang w:val="es-ES_tradnl"/>
        </w:rPr>
        <w:tab/>
      </w:r>
      <w:r w:rsidR="003502DA" w:rsidRPr="00F33D64">
        <w:rPr>
          <w:rFonts w:cs="Arial"/>
          <w:lang w:val="es-ES_tradnl"/>
        </w:rPr>
        <w:t>Bases de datos de descripciones de variedades</w:t>
      </w:r>
    </w:p>
    <w:p w:rsidR="003502DA" w:rsidRPr="00F33D64" w:rsidRDefault="007E26E8" w:rsidP="00ED042E">
      <w:pPr>
        <w:pStyle w:val="BodyTextIndent"/>
        <w:keepNext/>
        <w:spacing w:after="240"/>
        <w:ind w:left="1134" w:hanging="567"/>
        <w:rPr>
          <w:rFonts w:cs="Arial"/>
          <w:lang w:val="es-ES"/>
        </w:rPr>
      </w:pPr>
      <w:r w:rsidRPr="00F33D64">
        <w:rPr>
          <w:rFonts w:cs="Arial"/>
          <w:lang w:val="es-ES_tradnl"/>
        </w:rPr>
        <w:t>8.</w:t>
      </w:r>
      <w:r w:rsidRPr="00F33D64">
        <w:rPr>
          <w:rFonts w:cs="Arial"/>
          <w:lang w:val="es-ES_tradnl"/>
        </w:rPr>
        <w:tab/>
      </w:r>
      <w:r w:rsidR="003502DA" w:rsidRPr="00F33D64">
        <w:rPr>
          <w:rFonts w:cs="Arial"/>
          <w:lang w:val="es-ES_tradnl"/>
        </w:rPr>
        <w:t>Métodos de análisis de datos moleculares</w:t>
      </w:r>
      <w:r w:rsidR="00312C2A" w:rsidRPr="00F33D64">
        <w:rPr>
          <w:rFonts w:cs="Arial"/>
          <w:lang w:val="es-ES"/>
        </w:rPr>
        <w:t xml:space="preserve">  </w:t>
      </w:r>
    </w:p>
    <w:p w:rsidR="003502DA" w:rsidRPr="00F33D64" w:rsidRDefault="007E26E8" w:rsidP="003B02FC">
      <w:pPr>
        <w:pStyle w:val="BodyTextIndent"/>
        <w:spacing w:after="240"/>
        <w:ind w:left="1134" w:hanging="567"/>
        <w:rPr>
          <w:rFonts w:cs="Arial"/>
          <w:lang w:val="es-ES" w:eastAsia="ja-JP"/>
        </w:rPr>
      </w:pPr>
      <w:r w:rsidRPr="00F33D64">
        <w:rPr>
          <w:rFonts w:cs="Arial"/>
          <w:lang w:val="es-ES_tradnl"/>
        </w:rPr>
        <w:t>9.</w:t>
      </w:r>
      <w:r w:rsidRPr="00F33D64">
        <w:rPr>
          <w:rFonts w:cs="Arial"/>
          <w:lang w:val="es-ES_tradnl"/>
        </w:rPr>
        <w:tab/>
      </w:r>
      <w:r w:rsidR="003502DA" w:rsidRPr="00F33D64">
        <w:rPr>
          <w:rFonts w:cs="Arial"/>
          <w:lang w:val="es-ES_tradnl"/>
        </w:rPr>
        <w:t>La utilización de técnicas moleculares en el examen de las variedades esencialmente derivadas</w:t>
      </w:r>
      <w:bookmarkStart w:id="11" w:name="_Ref403641224"/>
      <w:r w:rsidR="003B02FC" w:rsidRPr="00F33D64">
        <w:rPr>
          <w:rStyle w:val="FootnoteReference"/>
          <w:rFonts w:cs="Arial"/>
        </w:rPr>
        <w:footnoteReference w:id="3"/>
      </w:r>
      <w:bookmarkEnd w:id="11"/>
    </w:p>
    <w:p w:rsidR="003502DA" w:rsidRPr="00F33D64" w:rsidRDefault="003B02FC" w:rsidP="00ED042E">
      <w:pPr>
        <w:pStyle w:val="BodyTextIndent"/>
        <w:keepNext/>
        <w:spacing w:after="240"/>
        <w:ind w:left="1134" w:hanging="567"/>
        <w:rPr>
          <w:rFonts w:cs="Arial"/>
          <w:lang w:val="es-ES" w:eastAsia="ja-JP"/>
        </w:rPr>
      </w:pPr>
      <w:r w:rsidRPr="00F33D64">
        <w:rPr>
          <w:rFonts w:cs="Arial"/>
          <w:lang w:val="es-ES_tradnl" w:eastAsia="ja-JP"/>
        </w:rPr>
        <w:t>10.</w:t>
      </w:r>
      <w:r w:rsidRPr="00F33D64">
        <w:rPr>
          <w:rFonts w:cs="Arial"/>
          <w:lang w:val="es-ES_tradnl" w:eastAsia="ja-JP"/>
        </w:rPr>
        <w:tab/>
      </w:r>
      <w:r w:rsidR="003502DA" w:rsidRPr="00F33D64">
        <w:rPr>
          <w:rFonts w:cs="Arial"/>
          <w:lang w:val="es-ES_tradnl" w:eastAsia="ja-JP"/>
        </w:rPr>
        <w:t>La utilización de técnicas moleculares en la identificación de variedades</w:t>
      </w:r>
    </w:p>
    <w:p w:rsidR="003502DA" w:rsidRPr="00F33D64" w:rsidRDefault="00312C2A" w:rsidP="00ED042E">
      <w:pPr>
        <w:pStyle w:val="BodyTextIndent"/>
        <w:keepNext/>
        <w:spacing w:after="240"/>
        <w:ind w:left="1134" w:hanging="567"/>
        <w:rPr>
          <w:rFonts w:cs="Arial"/>
          <w:lang w:val="es-ES" w:eastAsia="ja-JP"/>
        </w:rPr>
      </w:pPr>
      <w:r w:rsidRPr="00F33D64">
        <w:rPr>
          <w:rFonts w:cs="Arial"/>
          <w:lang w:val="es-ES" w:eastAsia="ja-JP"/>
        </w:rPr>
        <w:t>11.</w:t>
      </w:r>
      <w:r w:rsidRPr="00F33D64">
        <w:rPr>
          <w:rFonts w:cs="Arial"/>
          <w:lang w:val="es-ES" w:eastAsia="ja-JP"/>
        </w:rPr>
        <w:tab/>
      </w:r>
      <w:r w:rsidR="00ED042E" w:rsidRPr="00F33D64">
        <w:rPr>
          <w:rFonts w:cs="Arial"/>
          <w:lang w:val="es-ES_tradnl" w:eastAsia="ja-JP"/>
        </w:rPr>
        <w:t>La c</w:t>
      </w:r>
      <w:r w:rsidR="0086076B" w:rsidRPr="00F33D64">
        <w:rPr>
          <w:rFonts w:cs="Arial"/>
          <w:lang w:val="es-ES_tradnl" w:eastAsia="ja-JP"/>
        </w:rPr>
        <w:t xml:space="preserve">ooperación entre la OCDE, la UPOV, la ISTA </w:t>
      </w:r>
      <w:r w:rsidR="00526819" w:rsidRPr="00F33D64">
        <w:rPr>
          <w:rFonts w:cs="Arial"/>
          <w:lang w:val="es-ES_tradnl" w:eastAsia="ja-JP"/>
        </w:rPr>
        <w:t xml:space="preserve">y la </w:t>
      </w:r>
      <w:r w:rsidR="0086076B" w:rsidRPr="00F33D64">
        <w:rPr>
          <w:rFonts w:cs="Arial"/>
          <w:lang w:val="es-ES_tradnl" w:eastAsia="ja-JP"/>
        </w:rPr>
        <w:t>ISO</w:t>
      </w:r>
    </w:p>
    <w:p w:rsidR="003502DA" w:rsidRPr="00F33D64" w:rsidRDefault="003B02FC" w:rsidP="00ED042E">
      <w:pPr>
        <w:pStyle w:val="BodyTextIndent"/>
        <w:keepNext/>
        <w:spacing w:after="240"/>
        <w:ind w:left="1134" w:hanging="567"/>
        <w:rPr>
          <w:rFonts w:cs="Arial"/>
          <w:lang w:val="es-ES"/>
        </w:rPr>
      </w:pPr>
      <w:r w:rsidRPr="00F33D64">
        <w:rPr>
          <w:rFonts w:cs="Arial"/>
          <w:lang w:val="es-ES_tradnl"/>
        </w:rPr>
        <w:t>12.</w:t>
      </w:r>
      <w:r w:rsidRPr="00F33D64">
        <w:rPr>
          <w:rFonts w:cs="Arial"/>
          <w:lang w:val="es-ES_tradnl"/>
        </w:rPr>
        <w:tab/>
      </w:r>
      <w:r w:rsidR="003502DA" w:rsidRPr="00F33D64">
        <w:rPr>
          <w:rFonts w:cs="Arial"/>
          <w:lang w:val="es-ES_tradnl"/>
        </w:rPr>
        <w:t xml:space="preserve">Fecha y lugar </w:t>
      </w:r>
      <w:r w:rsidR="003502DA" w:rsidRPr="00F33D64">
        <w:rPr>
          <w:rFonts w:cs="Arial"/>
          <w:lang w:val="es-ES_tradnl" w:eastAsia="ja-JP"/>
        </w:rPr>
        <w:t>de</w:t>
      </w:r>
      <w:r w:rsidR="003502DA" w:rsidRPr="00F33D64">
        <w:rPr>
          <w:rFonts w:cs="Arial"/>
          <w:lang w:val="es-ES_tradnl"/>
        </w:rPr>
        <w:t xml:space="preserve"> la siguiente reunión</w:t>
      </w:r>
    </w:p>
    <w:p w:rsidR="003502DA" w:rsidRPr="00F33D64" w:rsidRDefault="003B02FC" w:rsidP="00ED042E">
      <w:pPr>
        <w:pStyle w:val="BodyTextIndent"/>
        <w:keepNext/>
        <w:spacing w:after="240"/>
        <w:ind w:left="1134" w:hanging="567"/>
        <w:rPr>
          <w:rFonts w:cs="Arial"/>
          <w:lang w:val="es-ES"/>
        </w:rPr>
      </w:pPr>
      <w:r w:rsidRPr="00F33D64">
        <w:rPr>
          <w:rFonts w:cs="Arial"/>
          <w:lang w:val="es-ES_tradnl"/>
        </w:rPr>
        <w:t>13.</w:t>
      </w:r>
      <w:r w:rsidRPr="00F33D64">
        <w:rPr>
          <w:rFonts w:cs="Arial"/>
          <w:lang w:val="es-ES_tradnl"/>
        </w:rPr>
        <w:tab/>
      </w:r>
      <w:r w:rsidR="003502DA" w:rsidRPr="00F33D64">
        <w:rPr>
          <w:rFonts w:cs="Arial"/>
          <w:lang w:val="es-ES_tradnl"/>
        </w:rPr>
        <w:t>Futuro programa</w:t>
      </w:r>
    </w:p>
    <w:p w:rsidR="003502DA" w:rsidRPr="00F33D64" w:rsidRDefault="003B02FC" w:rsidP="00ED042E">
      <w:pPr>
        <w:pStyle w:val="BodyTextIndent"/>
        <w:keepNext/>
        <w:spacing w:after="240"/>
        <w:ind w:left="1134" w:hanging="567"/>
        <w:rPr>
          <w:rFonts w:cs="Arial"/>
          <w:lang w:val="es-ES"/>
        </w:rPr>
      </w:pPr>
      <w:r w:rsidRPr="00F33D64">
        <w:rPr>
          <w:rFonts w:cs="Arial"/>
          <w:lang w:val="es-ES_tradnl"/>
        </w:rPr>
        <w:t>14.</w:t>
      </w:r>
      <w:r w:rsidRPr="00F33D64">
        <w:rPr>
          <w:rFonts w:cs="Arial"/>
          <w:lang w:val="es-ES_tradnl"/>
        </w:rPr>
        <w:tab/>
      </w:r>
      <w:r w:rsidR="003502DA" w:rsidRPr="00F33D64">
        <w:rPr>
          <w:rFonts w:cs="Arial"/>
          <w:lang w:val="es-ES_tradnl"/>
        </w:rPr>
        <w:t>Informe de la reunión (si se dispone de tiempo)</w:t>
      </w:r>
    </w:p>
    <w:p w:rsidR="003502DA" w:rsidRPr="00F33D64" w:rsidRDefault="003502DA" w:rsidP="00ED042E">
      <w:pPr>
        <w:pStyle w:val="BodyTextIndent"/>
        <w:keepNext/>
        <w:spacing w:after="240"/>
        <w:ind w:left="1134" w:hanging="567"/>
        <w:rPr>
          <w:rFonts w:cs="Arial"/>
          <w:lang w:val="es-ES"/>
        </w:rPr>
      </w:pPr>
      <w:r w:rsidRPr="00F33D64">
        <w:rPr>
          <w:rFonts w:cs="Arial"/>
          <w:lang w:val="es-ES_tradnl"/>
        </w:rPr>
        <w:t>15.</w:t>
      </w:r>
      <w:r w:rsidR="003B02FC" w:rsidRPr="00F33D64">
        <w:rPr>
          <w:rFonts w:cs="Arial"/>
          <w:lang w:val="es-ES_tradnl"/>
        </w:rPr>
        <w:tab/>
      </w:r>
      <w:r w:rsidRPr="00F33D64">
        <w:rPr>
          <w:rFonts w:cs="Arial"/>
          <w:lang w:val="es-ES_tradnl"/>
        </w:rPr>
        <w:t>Clausura de la reunión</w:t>
      </w:r>
    </w:p>
    <w:p w:rsidR="003502DA" w:rsidRPr="00F33D64" w:rsidRDefault="003502DA" w:rsidP="00F66AE9">
      <w:pPr>
        <w:pStyle w:val="Heading1"/>
        <w:rPr>
          <w:color w:val="auto"/>
        </w:rPr>
      </w:pPr>
    </w:p>
    <w:p w:rsidR="003502DA" w:rsidRPr="00F33D64" w:rsidRDefault="003502DA" w:rsidP="00F66AE9">
      <w:pPr>
        <w:pStyle w:val="Heading1"/>
        <w:rPr>
          <w:color w:val="auto"/>
          <w:lang w:val="es-ES"/>
        </w:rPr>
      </w:pPr>
      <w:bookmarkStart w:id="12" w:name="_Toc412197200"/>
      <w:r w:rsidRPr="00F33D64">
        <w:rPr>
          <w:color w:val="auto"/>
        </w:rPr>
        <w:t>TALLER CONJUNTO OCDE-UPOV-ISTA SOBRE TÉCNICAS MOLECULARES</w:t>
      </w:r>
      <w:bookmarkEnd w:id="12"/>
    </w:p>
    <w:p w:rsidR="003502DA" w:rsidRPr="00F33D64" w:rsidRDefault="003502DA" w:rsidP="00312C2A">
      <w:pPr>
        <w:autoSpaceDE w:val="0"/>
        <w:autoSpaceDN w:val="0"/>
        <w:adjustRightInd w:val="0"/>
        <w:rPr>
          <w:rFonts w:cs="Arial"/>
          <w:lang w:val="es-ES" w:eastAsia="ja-JP"/>
        </w:rPr>
      </w:pPr>
    </w:p>
    <w:p w:rsidR="003502DA" w:rsidRPr="00F33D64" w:rsidRDefault="00F70222" w:rsidP="00312C2A">
      <w:pPr>
        <w:autoSpaceDE w:val="0"/>
        <w:autoSpaceDN w:val="0"/>
        <w:adjustRightInd w:val="0"/>
        <w:rPr>
          <w:rFonts w:cs="Arial"/>
          <w:lang w:val="es-ES" w:eastAsia="ja-JP"/>
        </w:rPr>
      </w:pPr>
      <w:r w:rsidRPr="00F33D64">
        <w:rPr>
          <w:rFonts w:cs="Arial"/>
          <w:lang w:eastAsia="ja-JP"/>
        </w:rPr>
        <w:fldChar w:fldCharType="begin"/>
      </w:r>
      <w:r w:rsidR="00312C2A" w:rsidRPr="00F33D64">
        <w:rPr>
          <w:rFonts w:cs="Arial"/>
          <w:lang w:val="es-ES" w:eastAsia="ja-JP"/>
        </w:rPr>
        <w:instrText xml:space="preserve"> AUTONUM  </w:instrText>
      </w:r>
      <w:r w:rsidRPr="00F33D64">
        <w:rPr>
          <w:rFonts w:cs="Arial"/>
          <w:lang w:eastAsia="ja-JP"/>
        </w:rPr>
        <w:fldChar w:fldCharType="end"/>
      </w:r>
      <w:r w:rsidR="00312C2A" w:rsidRPr="00F33D64">
        <w:rPr>
          <w:rFonts w:cs="Arial"/>
          <w:lang w:val="es-ES" w:eastAsia="ja-JP"/>
        </w:rPr>
        <w:tab/>
      </w:r>
      <w:r w:rsidR="00526819" w:rsidRPr="00F33D64">
        <w:rPr>
          <w:lang w:val="es-ES_tradnl"/>
        </w:rPr>
        <w:t xml:space="preserve">El </w:t>
      </w:r>
      <w:r w:rsidR="00526819" w:rsidRPr="00F33D64">
        <w:rPr>
          <w:lang w:val="es-ES_tradnl" w:eastAsia="ja-JP"/>
        </w:rPr>
        <w:t>Taller conjunto OCDE-UPOV-ISTA sobre técnicas moleculares</w:t>
      </w:r>
      <w:r w:rsidR="00526819" w:rsidRPr="00F33D64">
        <w:rPr>
          <w:rFonts w:hint="eastAsia"/>
          <w:lang w:val="es-ES_tradnl" w:eastAsia="ja-JP"/>
        </w:rPr>
        <w:t xml:space="preserve"> </w:t>
      </w:r>
      <w:r w:rsidR="00526819" w:rsidRPr="00F33D64">
        <w:rPr>
          <w:lang w:val="es-ES_tradnl" w:eastAsia="ja-JP"/>
        </w:rPr>
        <w:t>se celebró en</w:t>
      </w:r>
      <w:r w:rsidR="00526819" w:rsidRPr="00F33D64">
        <w:rPr>
          <w:lang w:val="es-ES_tradnl"/>
        </w:rPr>
        <w:t xml:space="preserve"> </w:t>
      </w:r>
      <w:r w:rsidR="00526819" w:rsidRPr="00F33D64">
        <w:rPr>
          <w:rFonts w:hint="eastAsia"/>
          <w:lang w:val="es-ES_tradnl" w:eastAsia="ja-JP"/>
        </w:rPr>
        <w:t>Se</w:t>
      </w:r>
      <w:r w:rsidR="00526819" w:rsidRPr="00F33D64">
        <w:rPr>
          <w:lang w:val="es-ES_tradnl" w:eastAsia="ja-JP"/>
        </w:rPr>
        <w:t>ú</w:t>
      </w:r>
      <w:r w:rsidR="00526819" w:rsidRPr="00F33D64">
        <w:rPr>
          <w:rFonts w:hint="eastAsia"/>
          <w:lang w:val="es-ES_tradnl" w:eastAsia="ja-JP"/>
        </w:rPr>
        <w:t>l</w:t>
      </w:r>
      <w:r w:rsidR="00526819" w:rsidRPr="00F33D64">
        <w:rPr>
          <w:lang w:val="es-ES_tradnl" w:eastAsia="ja-JP"/>
        </w:rPr>
        <w:t xml:space="preserve"> (República de Corea)</w:t>
      </w:r>
      <w:r w:rsidR="00526819" w:rsidRPr="00F33D64">
        <w:rPr>
          <w:rFonts w:hint="eastAsia"/>
          <w:lang w:val="es-ES_tradnl" w:eastAsia="ja-JP"/>
        </w:rPr>
        <w:t xml:space="preserve"> </w:t>
      </w:r>
      <w:r w:rsidR="00526819" w:rsidRPr="00F33D64">
        <w:rPr>
          <w:lang w:val="es-ES_tradnl" w:eastAsia="ja-JP"/>
        </w:rPr>
        <w:t xml:space="preserve">el </w:t>
      </w:r>
      <w:r w:rsidR="00526819" w:rsidRPr="00F33D64">
        <w:rPr>
          <w:rFonts w:hint="eastAsia"/>
          <w:lang w:val="es-ES_tradnl" w:eastAsia="ja-JP"/>
        </w:rPr>
        <w:t>1</w:t>
      </w:r>
      <w:r w:rsidR="00526819" w:rsidRPr="00F33D64">
        <w:rPr>
          <w:lang w:val="es-ES_tradnl" w:eastAsia="ja-JP"/>
        </w:rPr>
        <w:t>2 de noviembre de</w:t>
      </w:r>
      <w:r w:rsidR="00526819" w:rsidRPr="00F33D64">
        <w:rPr>
          <w:rFonts w:hint="eastAsia"/>
          <w:lang w:val="es-ES_tradnl" w:eastAsia="ja-JP"/>
        </w:rPr>
        <w:t xml:space="preserve"> 2014</w:t>
      </w:r>
      <w:r w:rsidR="00526819" w:rsidRPr="00F33D64">
        <w:rPr>
          <w:lang w:val="es-ES_tradnl" w:eastAsia="ja-JP"/>
        </w:rPr>
        <w:t xml:space="preserve">, junto con la decimocuarta reunión del BMT, celebrada en </w:t>
      </w:r>
      <w:r w:rsidR="00526819" w:rsidRPr="00F33D64">
        <w:rPr>
          <w:rFonts w:hint="eastAsia"/>
          <w:lang w:val="es-ES_tradnl" w:eastAsia="ja-JP"/>
        </w:rPr>
        <w:t>Se</w:t>
      </w:r>
      <w:r w:rsidR="00526819" w:rsidRPr="00F33D64">
        <w:rPr>
          <w:lang w:val="es-ES_tradnl" w:eastAsia="ja-JP"/>
        </w:rPr>
        <w:t>ú</w:t>
      </w:r>
      <w:r w:rsidR="00526819" w:rsidRPr="00F33D64">
        <w:rPr>
          <w:rFonts w:hint="eastAsia"/>
          <w:lang w:val="es-ES_tradnl" w:eastAsia="ja-JP"/>
        </w:rPr>
        <w:t>l</w:t>
      </w:r>
      <w:r w:rsidR="00526819" w:rsidRPr="00F33D64">
        <w:rPr>
          <w:lang w:val="es-ES_tradnl" w:eastAsia="ja-JP"/>
        </w:rPr>
        <w:t xml:space="preserve"> (República de Corea)</w:t>
      </w:r>
      <w:r w:rsidR="00526819" w:rsidRPr="00F33D64">
        <w:rPr>
          <w:rFonts w:hint="eastAsia"/>
          <w:lang w:val="es-ES_tradnl" w:eastAsia="ja-JP"/>
        </w:rPr>
        <w:t xml:space="preserve"> </w:t>
      </w:r>
      <w:r w:rsidR="00526819" w:rsidRPr="00F33D64">
        <w:rPr>
          <w:lang w:val="es-ES_tradnl" w:eastAsia="ja-JP"/>
        </w:rPr>
        <w:t>del 10 al 13 de noviembre.</w:t>
      </w:r>
    </w:p>
    <w:p w:rsidR="003502DA" w:rsidRPr="00F33D64" w:rsidRDefault="003502DA" w:rsidP="00312C2A">
      <w:pPr>
        <w:autoSpaceDE w:val="0"/>
        <w:autoSpaceDN w:val="0"/>
        <w:adjustRightInd w:val="0"/>
        <w:rPr>
          <w:rFonts w:cs="Arial"/>
          <w:lang w:val="es-ES" w:eastAsia="ja-JP"/>
        </w:rPr>
      </w:pPr>
    </w:p>
    <w:p w:rsidR="003502DA" w:rsidRPr="00F33D64" w:rsidRDefault="00F70222" w:rsidP="00312C2A">
      <w:pPr>
        <w:autoSpaceDE w:val="0"/>
        <w:autoSpaceDN w:val="0"/>
        <w:adjustRightInd w:val="0"/>
        <w:rPr>
          <w:rFonts w:cs="Arial"/>
          <w:lang w:val="es-ES" w:eastAsia="ja-JP"/>
        </w:rPr>
      </w:pPr>
      <w:r w:rsidRPr="00F33D64">
        <w:rPr>
          <w:rFonts w:cs="Arial"/>
          <w:lang w:eastAsia="ja-JP"/>
        </w:rPr>
        <w:fldChar w:fldCharType="begin"/>
      </w:r>
      <w:r w:rsidR="00312C2A" w:rsidRPr="00F33D64">
        <w:rPr>
          <w:rFonts w:cs="Arial"/>
          <w:lang w:val="es-ES" w:eastAsia="ja-JP"/>
        </w:rPr>
        <w:instrText xml:space="preserve"> AUTONUM  </w:instrText>
      </w:r>
      <w:r w:rsidRPr="00F33D64">
        <w:rPr>
          <w:rFonts w:cs="Arial"/>
          <w:lang w:eastAsia="ja-JP"/>
        </w:rPr>
        <w:fldChar w:fldCharType="end"/>
      </w:r>
      <w:r w:rsidR="00312C2A" w:rsidRPr="00F33D64">
        <w:rPr>
          <w:rFonts w:cs="Arial"/>
          <w:lang w:val="es-ES" w:eastAsia="ja-JP"/>
        </w:rPr>
        <w:tab/>
      </w:r>
      <w:r w:rsidR="00526819" w:rsidRPr="00F33D64">
        <w:rPr>
          <w:rFonts w:cs="Arial"/>
          <w:lang w:val="es-ES_tradnl" w:eastAsia="ja-JP"/>
        </w:rPr>
        <w:t xml:space="preserve">A continuación figuran los documentos presentados en cada uno de los puntos del orden del día del </w:t>
      </w:r>
      <w:r w:rsidR="00526819" w:rsidRPr="00F33D64">
        <w:rPr>
          <w:lang w:val="es-ES_tradnl" w:eastAsia="ja-JP"/>
        </w:rPr>
        <w:t>Taller conjunto OCDE-UPOV-ISTA</w:t>
      </w:r>
      <w:r w:rsidR="00526819" w:rsidRPr="00F33D64">
        <w:rPr>
          <w:rFonts w:cs="Arial"/>
          <w:lang w:val="es-ES_tradnl" w:eastAsia="ja-JP"/>
        </w:rPr>
        <w:t>:</w:t>
      </w:r>
    </w:p>
    <w:p w:rsidR="003502DA" w:rsidRPr="00F33D64" w:rsidRDefault="003502DA" w:rsidP="00312C2A">
      <w:pPr>
        <w:rPr>
          <w:lang w:val="es-ES" w:eastAsia="ja-JP"/>
        </w:rPr>
      </w:pPr>
    </w:p>
    <w:p w:rsidR="003502DA" w:rsidRPr="00F33D64" w:rsidRDefault="003502DA" w:rsidP="003502DA">
      <w:pPr>
        <w:ind w:left="567"/>
        <w:rPr>
          <w:i/>
          <w:lang w:val="es-ES_tradnl"/>
        </w:rPr>
      </w:pPr>
      <w:r w:rsidRPr="00F33D64">
        <w:rPr>
          <w:i/>
          <w:lang w:val="es-ES_tradnl"/>
        </w:rPr>
        <w:t xml:space="preserve">Introducción a los </w:t>
      </w:r>
      <w:r w:rsidR="00AE00A1" w:rsidRPr="00F33D64">
        <w:rPr>
          <w:i/>
          <w:lang w:val="es-ES_tradnl"/>
        </w:rPr>
        <w:t>s</w:t>
      </w:r>
      <w:r w:rsidRPr="00F33D64">
        <w:rPr>
          <w:i/>
          <w:lang w:val="es-ES_tradnl"/>
        </w:rPr>
        <w:t>istemas de semillas de la OCDE y situación respecto de las técnicas moleculares</w:t>
      </w:r>
      <w:r w:rsidR="00312C2A" w:rsidRPr="00F33D64">
        <w:rPr>
          <w:rFonts w:hint="eastAsia"/>
          <w:i/>
          <w:lang w:val="es-ES_tradnl"/>
        </w:rPr>
        <w:t xml:space="preserve"> </w:t>
      </w:r>
    </w:p>
    <w:p w:rsidR="003502DA" w:rsidRPr="00F33D64" w:rsidRDefault="00312C2A" w:rsidP="00312C2A">
      <w:pPr>
        <w:ind w:left="567"/>
        <w:rPr>
          <w:i/>
          <w:lang w:val="es-ES_tradnl"/>
        </w:rPr>
      </w:pPr>
      <w:bookmarkStart w:id="13" w:name="_Toc410822414"/>
      <w:bookmarkStart w:id="14" w:name="_Toc410822810"/>
      <w:bookmarkStart w:id="15" w:name="_Toc410823317"/>
      <w:r w:rsidRPr="00F33D64">
        <w:rPr>
          <w:i/>
          <w:lang w:val="es-ES_tradnl"/>
        </w:rPr>
        <w:t>(</w:t>
      </w:r>
      <w:proofErr w:type="gramStart"/>
      <w:r w:rsidR="00F66AE9" w:rsidRPr="00F33D64">
        <w:rPr>
          <w:i/>
          <w:lang w:val="es-ES_tradnl"/>
        </w:rPr>
        <w:t>documento</w:t>
      </w:r>
      <w:proofErr w:type="gramEnd"/>
      <w:r w:rsidRPr="00F33D64">
        <w:rPr>
          <w:i/>
          <w:lang w:val="es-ES_tradnl"/>
        </w:rPr>
        <w:t> BMT/14/Joint/</w:t>
      </w:r>
      <w:r w:rsidRPr="00F33D64">
        <w:rPr>
          <w:rFonts w:hint="eastAsia"/>
          <w:i/>
          <w:lang w:val="es-ES_tradnl"/>
        </w:rPr>
        <w:t>6</w:t>
      </w:r>
      <w:r w:rsidRPr="00F33D64">
        <w:rPr>
          <w:i/>
          <w:lang w:val="es-ES_tradnl"/>
        </w:rPr>
        <w:t>)</w:t>
      </w:r>
      <w:bookmarkEnd w:id="13"/>
      <w:bookmarkEnd w:id="14"/>
      <w:bookmarkEnd w:id="15"/>
    </w:p>
    <w:p w:rsidR="003502DA" w:rsidRPr="00F33D64" w:rsidRDefault="003502DA" w:rsidP="00312C2A">
      <w:pPr>
        <w:ind w:left="567"/>
        <w:rPr>
          <w:i/>
          <w:lang w:val="es-ES_tradnl"/>
        </w:rPr>
      </w:pPr>
    </w:p>
    <w:p w:rsidR="003502DA" w:rsidRPr="00F33D64" w:rsidRDefault="003502DA" w:rsidP="003502DA">
      <w:pPr>
        <w:ind w:left="567"/>
        <w:rPr>
          <w:i/>
          <w:lang w:val="es-ES_tradnl"/>
        </w:rPr>
      </w:pPr>
      <w:r w:rsidRPr="00F33D64">
        <w:rPr>
          <w:i/>
          <w:lang w:val="es-ES_tradnl"/>
        </w:rPr>
        <w:t>Introducción a la UPOV y situación respecto de las técnicas moleculares</w:t>
      </w:r>
      <w:r w:rsidR="00312C2A" w:rsidRPr="00F33D64">
        <w:rPr>
          <w:rFonts w:hint="eastAsia"/>
          <w:i/>
          <w:lang w:val="es-ES_tradnl"/>
        </w:rPr>
        <w:t xml:space="preserve"> </w:t>
      </w:r>
    </w:p>
    <w:p w:rsidR="003502DA" w:rsidRPr="00F33D64" w:rsidRDefault="00312C2A" w:rsidP="00312C2A">
      <w:pPr>
        <w:ind w:left="567"/>
        <w:rPr>
          <w:i/>
          <w:lang w:val="es-ES_tradnl"/>
        </w:rPr>
      </w:pPr>
      <w:bookmarkStart w:id="16" w:name="_Toc410822416"/>
      <w:bookmarkStart w:id="17" w:name="_Toc410822812"/>
      <w:bookmarkStart w:id="18" w:name="_Toc410823319"/>
      <w:r w:rsidRPr="00F33D64">
        <w:rPr>
          <w:i/>
          <w:lang w:val="es-ES_tradnl"/>
        </w:rPr>
        <w:t>(</w:t>
      </w:r>
      <w:proofErr w:type="gramStart"/>
      <w:r w:rsidRPr="00F33D64">
        <w:rPr>
          <w:i/>
          <w:lang w:val="es-ES_tradnl"/>
        </w:rPr>
        <w:t>document</w:t>
      </w:r>
      <w:r w:rsidR="00F66AE9" w:rsidRPr="00F33D64">
        <w:rPr>
          <w:i/>
          <w:lang w:val="es-ES_tradnl"/>
        </w:rPr>
        <w:t>o</w:t>
      </w:r>
      <w:proofErr w:type="gramEnd"/>
      <w:r w:rsidRPr="00F33D64">
        <w:rPr>
          <w:i/>
          <w:lang w:val="es-ES_tradnl"/>
        </w:rPr>
        <w:t> BMT/14/Joint/4</w:t>
      </w:r>
      <w:r w:rsidRPr="00F33D64">
        <w:rPr>
          <w:rFonts w:hint="eastAsia"/>
          <w:i/>
          <w:lang w:val="es-ES_tradnl"/>
        </w:rPr>
        <w:t xml:space="preserve"> Rev.</w:t>
      </w:r>
      <w:r w:rsidRPr="00F33D64">
        <w:rPr>
          <w:i/>
          <w:lang w:val="es-ES_tradnl"/>
        </w:rPr>
        <w:t>)</w:t>
      </w:r>
      <w:bookmarkEnd w:id="16"/>
      <w:bookmarkEnd w:id="17"/>
      <w:bookmarkEnd w:id="18"/>
    </w:p>
    <w:p w:rsidR="003502DA" w:rsidRPr="00F33D64" w:rsidRDefault="003502DA" w:rsidP="00312C2A">
      <w:pPr>
        <w:ind w:left="567"/>
        <w:rPr>
          <w:i/>
          <w:lang w:val="es-ES_tradnl"/>
        </w:rPr>
      </w:pPr>
    </w:p>
    <w:p w:rsidR="003502DA" w:rsidRPr="00F33D64" w:rsidRDefault="003502DA" w:rsidP="003502DA">
      <w:pPr>
        <w:ind w:left="567"/>
        <w:rPr>
          <w:i/>
          <w:lang w:val="es-ES_tradnl"/>
        </w:rPr>
      </w:pPr>
      <w:bookmarkStart w:id="19" w:name="_Toc410822417"/>
      <w:bookmarkStart w:id="20" w:name="_Toc410822813"/>
      <w:bookmarkStart w:id="21" w:name="_Toc410823320"/>
      <w:r w:rsidRPr="00F33D64">
        <w:rPr>
          <w:i/>
          <w:lang w:val="es-ES_tradnl"/>
        </w:rPr>
        <w:t>Introducción a la ISTA y situación respecto de las técnicas moleculares</w:t>
      </w:r>
      <w:r w:rsidR="00312C2A" w:rsidRPr="00F33D64">
        <w:rPr>
          <w:i/>
          <w:lang w:val="es-ES_tradnl"/>
        </w:rPr>
        <w:t xml:space="preserve"> </w:t>
      </w:r>
    </w:p>
    <w:p w:rsidR="003502DA" w:rsidRPr="00F33D64" w:rsidRDefault="00312C2A" w:rsidP="00312C2A">
      <w:pPr>
        <w:ind w:left="567"/>
        <w:rPr>
          <w:i/>
          <w:lang w:val="es-ES_tradnl"/>
        </w:rPr>
      </w:pPr>
      <w:r w:rsidRPr="00F33D64">
        <w:rPr>
          <w:i/>
          <w:lang w:val="es-ES_tradnl"/>
        </w:rPr>
        <w:t>(</w:t>
      </w:r>
      <w:proofErr w:type="gramStart"/>
      <w:r w:rsidRPr="00F33D64">
        <w:rPr>
          <w:i/>
          <w:lang w:val="es-ES_tradnl"/>
        </w:rPr>
        <w:t>document</w:t>
      </w:r>
      <w:r w:rsidR="00F66AE9" w:rsidRPr="00F33D64">
        <w:rPr>
          <w:i/>
          <w:lang w:val="es-ES_tradnl"/>
        </w:rPr>
        <w:t>o</w:t>
      </w:r>
      <w:proofErr w:type="gramEnd"/>
      <w:r w:rsidR="00F66AE9" w:rsidRPr="00F33D64">
        <w:rPr>
          <w:i/>
          <w:lang w:val="es-ES_tradnl"/>
        </w:rPr>
        <w:t xml:space="preserve"> </w:t>
      </w:r>
      <w:r w:rsidRPr="00F33D64">
        <w:rPr>
          <w:i/>
          <w:lang w:val="es-ES_tradnl"/>
        </w:rPr>
        <w:t>BMT/14/Joint/3 </w:t>
      </w:r>
      <w:r w:rsidRPr="00F33D64">
        <w:rPr>
          <w:rFonts w:hint="eastAsia"/>
          <w:i/>
          <w:lang w:val="es-ES_tradnl"/>
        </w:rPr>
        <w:t>Rev.</w:t>
      </w:r>
      <w:r w:rsidRPr="00F33D64">
        <w:rPr>
          <w:i/>
          <w:lang w:val="es-ES_tradnl"/>
        </w:rPr>
        <w:t>)</w:t>
      </w:r>
      <w:bookmarkEnd w:id="19"/>
      <w:bookmarkEnd w:id="20"/>
      <w:bookmarkEnd w:id="21"/>
    </w:p>
    <w:p w:rsidR="003502DA" w:rsidRPr="00F33D64" w:rsidRDefault="003502DA" w:rsidP="00312C2A">
      <w:pPr>
        <w:ind w:left="567"/>
        <w:rPr>
          <w:i/>
          <w:lang w:val="es-ES"/>
        </w:rPr>
      </w:pPr>
    </w:p>
    <w:p w:rsidR="003502DA" w:rsidRPr="00F33D64" w:rsidRDefault="00526819" w:rsidP="00312C2A">
      <w:pPr>
        <w:ind w:left="567"/>
        <w:rPr>
          <w:i/>
          <w:lang w:val="es-ES"/>
        </w:rPr>
      </w:pPr>
      <w:bookmarkStart w:id="22" w:name="_Toc410822418"/>
      <w:bookmarkStart w:id="23" w:name="_Toc410822814"/>
      <w:bookmarkStart w:id="24" w:name="_Toc410823321"/>
      <w:r w:rsidRPr="00F33D64">
        <w:rPr>
          <w:i/>
          <w:lang w:val="es-ES_tradnl"/>
        </w:rPr>
        <w:t>Introducción a la ISO y situación respecto de las técnicas moleculares</w:t>
      </w:r>
      <w:r w:rsidR="00312C2A" w:rsidRPr="00F33D64">
        <w:rPr>
          <w:rFonts w:hint="eastAsia"/>
          <w:i/>
          <w:lang w:val="es-ES_tradnl"/>
        </w:rPr>
        <w:t xml:space="preserve"> </w:t>
      </w:r>
      <w:r w:rsidR="00312C2A" w:rsidRPr="00F33D64">
        <w:rPr>
          <w:i/>
          <w:lang w:val="es-ES_tradnl"/>
        </w:rPr>
        <w:t>(document</w:t>
      </w:r>
      <w:r w:rsidR="005A6670" w:rsidRPr="00F33D64">
        <w:rPr>
          <w:i/>
          <w:lang w:val="es-ES_tradnl"/>
        </w:rPr>
        <w:t>o</w:t>
      </w:r>
      <w:r w:rsidR="00312C2A" w:rsidRPr="00F33D64">
        <w:rPr>
          <w:i/>
          <w:lang w:val="es-ES_tradnl"/>
        </w:rPr>
        <w:t xml:space="preserve"> BMT/14/Joint/2)</w:t>
      </w:r>
      <w:bookmarkEnd w:id="22"/>
      <w:bookmarkEnd w:id="23"/>
      <w:bookmarkEnd w:id="24"/>
    </w:p>
    <w:p w:rsidR="003502DA" w:rsidRPr="00F33D64" w:rsidRDefault="003502DA" w:rsidP="00312C2A">
      <w:pPr>
        <w:ind w:left="567"/>
        <w:rPr>
          <w:i/>
          <w:lang w:val="es-ES"/>
        </w:rPr>
      </w:pPr>
    </w:p>
    <w:p w:rsidR="003502DA" w:rsidRPr="00F33D64" w:rsidRDefault="00526819" w:rsidP="00312C2A">
      <w:pPr>
        <w:ind w:left="567"/>
        <w:rPr>
          <w:i/>
          <w:lang w:val="es-ES"/>
        </w:rPr>
      </w:pPr>
      <w:bookmarkStart w:id="25" w:name="_Toc410822419"/>
      <w:bookmarkStart w:id="26" w:name="_Toc410822815"/>
      <w:bookmarkStart w:id="27" w:name="_Toc410823322"/>
      <w:r w:rsidRPr="00F33D64">
        <w:rPr>
          <w:i/>
          <w:lang w:val="es-ES_tradnl"/>
        </w:rPr>
        <w:lastRenderedPageBreak/>
        <w:t>Ámbitos de cooperación entre la OCDE, la UPOV y la ISTA en la actualidad</w:t>
      </w:r>
      <w:r w:rsidR="00312C2A" w:rsidRPr="00F33D64">
        <w:rPr>
          <w:i/>
          <w:lang w:val="es-ES_tradnl"/>
        </w:rPr>
        <w:t xml:space="preserve"> (document</w:t>
      </w:r>
      <w:r w:rsidR="005A6670" w:rsidRPr="00F33D64">
        <w:rPr>
          <w:i/>
          <w:lang w:val="es-ES_tradnl"/>
        </w:rPr>
        <w:t xml:space="preserve">o </w:t>
      </w:r>
      <w:r w:rsidR="00312C2A" w:rsidRPr="00F33D64">
        <w:rPr>
          <w:i/>
          <w:lang w:val="es-ES_tradnl"/>
        </w:rPr>
        <w:t>BMT/14/Joint/5)</w:t>
      </w:r>
      <w:bookmarkEnd w:id="25"/>
      <w:bookmarkEnd w:id="26"/>
      <w:bookmarkEnd w:id="27"/>
    </w:p>
    <w:p w:rsidR="003502DA" w:rsidRPr="00F33D64" w:rsidRDefault="003502DA" w:rsidP="00312C2A">
      <w:pPr>
        <w:rPr>
          <w:lang w:val="es-ES" w:eastAsia="ja-JP"/>
        </w:rPr>
      </w:pPr>
    </w:p>
    <w:p w:rsidR="003502DA" w:rsidRPr="00F33D64" w:rsidRDefault="00F70222" w:rsidP="00312C2A">
      <w:pPr>
        <w:rPr>
          <w:rFonts w:cs="Arial"/>
          <w:lang w:val="es-ES" w:eastAsia="ja-JP"/>
        </w:rPr>
      </w:pPr>
      <w:r w:rsidRPr="00F33D64">
        <w:rPr>
          <w:rFonts w:cs="Arial"/>
        </w:rPr>
        <w:fldChar w:fldCharType="begin"/>
      </w:r>
      <w:r w:rsidR="00312C2A" w:rsidRPr="00F33D64">
        <w:rPr>
          <w:rFonts w:cs="Arial"/>
          <w:lang w:val="es-ES"/>
        </w:rPr>
        <w:instrText xml:space="preserve"> AUTONUM  </w:instrText>
      </w:r>
      <w:r w:rsidRPr="00F33D64">
        <w:rPr>
          <w:rFonts w:cs="Arial"/>
        </w:rPr>
        <w:fldChar w:fldCharType="end"/>
      </w:r>
      <w:r w:rsidR="00312C2A" w:rsidRPr="00F33D64">
        <w:rPr>
          <w:rFonts w:cs="Arial"/>
          <w:lang w:val="es-ES"/>
        </w:rPr>
        <w:tab/>
      </w:r>
      <w:r w:rsidR="00526819" w:rsidRPr="00F33D64">
        <w:rPr>
          <w:rFonts w:cs="Arial"/>
          <w:lang w:val="es-ES_tradnl" w:eastAsia="ja-JP"/>
        </w:rPr>
        <w:t xml:space="preserve">En el </w:t>
      </w:r>
      <w:r w:rsidR="00B97020" w:rsidRPr="00F33D64">
        <w:rPr>
          <w:rFonts w:cs="Arial"/>
          <w:lang w:val="es-ES_tradnl" w:eastAsia="ja-JP"/>
        </w:rPr>
        <w:t>t</w:t>
      </w:r>
      <w:r w:rsidR="00526819" w:rsidRPr="00F33D64">
        <w:rPr>
          <w:rFonts w:cs="Arial"/>
          <w:lang w:val="es-ES_tradnl" w:eastAsia="ja-JP"/>
        </w:rPr>
        <w:t>aller se convino en que sería útil elaborar un documento conjunto</w:t>
      </w:r>
      <w:r w:rsidR="00526819" w:rsidRPr="00F33D64">
        <w:rPr>
          <w:rFonts w:cs="Arial" w:hint="eastAsia"/>
          <w:lang w:val="es-ES_tradnl" w:eastAsia="ja-JP"/>
        </w:rPr>
        <w:t xml:space="preserve"> e</w:t>
      </w:r>
      <w:r w:rsidR="00526819" w:rsidRPr="00F33D64">
        <w:rPr>
          <w:rFonts w:cs="Arial"/>
          <w:lang w:val="es-ES_tradnl" w:eastAsia="ja-JP"/>
        </w:rPr>
        <w:t>n el que se e</w:t>
      </w:r>
      <w:r w:rsidR="00526819" w:rsidRPr="00F33D64">
        <w:rPr>
          <w:rFonts w:cs="Arial" w:hint="eastAsia"/>
          <w:lang w:val="es-ES_tradnl" w:eastAsia="ja-JP"/>
        </w:rPr>
        <w:t>xpl</w:t>
      </w:r>
      <w:r w:rsidR="00526819" w:rsidRPr="00F33D64">
        <w:rPr>
          <w:rFonts w:cs="Arial"/>
          <w:lang w:val="es-ES_tradnl" w:eastAsia="ja-JP"/>
        </w:rPr>
        <w:t>iquen las características principales</w:t>
      </w:r>
      <w:r w:rsidR="009A20A5" w:rsidRPr="00F33D64">
        <w:rPr>
          <w:rFonts w:cs="Arial" w:hint="eastAsia"/>
          <w:lang w:val="es-ES_tradnl" w:eastAsia="ja-JP"/>
        </w:rPr>
        <w:t xml:space="preserve"> </w:t>
      </w:r>
      <w:r w:rsidR="009A20A5" w:rsidRPr="00F33D64">
        <w:rPr>
          <w:rFonts w:cs="Arial"/>
          <w:lang w:val="es-ES_tradnl" w:eastAsia="ja-JP"/>
        </w:rPr>
        <w:t xml:space="preserve">de los sistemas de la </w:t>
      </w:r>
      <w:r w:rsidR="009A20A5" w:rsidRPr="00F33D64">
        <w:rPr>
          <w:rFonts w:cs="Arial" w:hint="eastAsia"/>
          <w:lang w:val="es-ES_tradnl" w:eastAsia="ja-JP"/>
        </w:rPr>
        <w:t>OCDE</w:t>
      </w:r>
      <w:r w:rsidR="009A20A5" w:rsidRPr="00F33D64">
        <w:rPr>
          <w:rFonts w:cs="Arial"/>
          <w:lang w:val="es-ES_tradnl" w:eastAsia="ja-JP"/>
        </w:rPr>
        <w:t>, la UPOV</w:t>
      </w:r>
      <w:r w:rsidR="009A20A5" w:rsidRPr="00F33D64">
        <w:rPr>
          <w:rFonts w:cs="Arial" w:hint="eastAsia"/>
          <w:lang w:val="es-ES_tradnl" w:eastAsia="ja-JP"/>
        </w:rPr>
        <w:t xml:space="preserve"> </w:t>
      </w:r>
      <w:r w:rsidR="009A20A5" w:rsidRPr="00F33D64">
        <w:rPr>
          <w:rFonts w:cs="Arial"/>
          <w:lang w:val="es-ES_tradnl" w:eastAsia="ja-JP"/>
        </w:rPr>
        <w:t>y la ISTA</w:t>
      </w:r>
      <w:r w:rsidR="00526819" w:rsidRPr="00F33D64">
        <w:rPr>
          <w:rFonts w:cs="Arial" w:hint="eastAsia"/>
          <w:lang w:val="es-ES_tradnl" w:eastAsia="ja-JP"/>
        </w:rPr>
        <w:t xml:space="preserve"> (</w:t>
      </w:r>
      <w:r w:rsidR="00526819" w:rsidRPr="00F33D64">
        <w:rPr>
          <w:rFonts w:cs="Arial"/>
          <w:lang w:val="es-ES_tradnl" w:eastAsia="ja-JP"/>
        </w:rPr>
        <w:t xml:space="preserve">como, por ejemplo, </w:t>
      </w:r>
      <w:r w:rsidR="009A20A5" w:rsidRPr="00F33D64">
        <w:rPr>
          <w:rFonts w:cs="Arial"/>
          <w:lang w:val="es-ES_tradnl" w:eastAsia="ja-JP"/>
        </w:rPr>
        <w:t xml:space="preserve">la </w:t>
      </w:r>
      <w:r w:rsidR="00526819" w:rsidRPr="00F33D64">
        <w:rPr>
          <w:rFonts w:cs="Arial"/>
          <w:lang w:val="es-ES_tradnl" w:eastAsia="ja-JP"/>
        </w:rPr>
        <w:t>DHE</w:t>
      </w:r>
      <w:r w:rsidR="00526819" w:rsidRPr="00F33D64">
        <w:rPr>
          <w:rFonts w:cs="Arial" w:hint="eastAsia"/>
          <w:lang w:val="es-ES_tradnl" w:eastAsia="ja-JP"/>
        </w:rPr>
        <w:t xml:space="preserve">, </w:t>
      </w:r>
      <w:r w:rsidR="00526819" w:rsidRPr="00F33D64">
        <w:rPr>
          <w:rFonts w:cs="Arial"/>
          <w:lang w:val="es-ES_tradnl" w:eastAsia="ja-JP"/>
        </w:rPr>
        <w:t>la identificación de variedades</w:t>
      </w:r>
      <w:r w:rsidR="00526819" w:rsidRPr="00F33D64">
        <w:rPr>
          <w:rFonts w:cs="Arial" w:hint="eastAsia"/>
          <w:lang w:val="es-ES_tradnl" w:eastAsia="ja-JP"/>
        </w:rPr>
        <w:t xml:space="preserve">, </w:t>
      </w:r>
      <w:r w:rsidR="00526819" w:rsidRPr="00F33D64">
        <w:rPr>
          <w:rFonts w:cs="Arial"/>
          <w:lang w:val="es-ES_tradnl" w:eastAsia="ja-JP"/>
        </w:rPr>
        <w:t xml:space="preserve">la pureza de las </w:t>
      </w:r>
      <w:r w:rsidR="00526819" w:rsidRPr="00F33D64">
        <w:rPr>
          <w:rFonts w:cs="Arial" w:hint="eastAsia"/>
          <w:lang w:val="es-ES_tradnl" w:eastAsia="ja-JP"/>
        </w:rPr>
        <w:t>varie</w:t>
      </w:r>
      <w:r w:rsidR="00526819" w:rsidRPr="00F33D64">
        <w:rPr>
          <w:rFonts w:cs="Arial"/>
          <w:lang w:val="es-ES_tradnl" w:eastAsia="ja-JP"/>
        </w:rPr>
        <w:t>dades, etc.</w:t>
      </w:r>
      <w:r w:rsidR="00526819" w:rsidRPr="00F33D64">
        <w:rPr>
          <w:rFonts w:cs="Arial" w:hint="eastAsia"/>
          <w:lang w:val="es-ES_tradnl" w:eastAsia="ja-JP"/>
        </w:rPr>
        <w:t>).</w:t>
      </w:r>
      <w:r w:rsidR="00312C2A" w:rsidRPr="00F33D64">
        <w:rPr>
          <w:rFonts w:cs="Arial"/>
          <w:lang w:val="es-ES" w:eastAsia="ja-JP"/>
        </w:rPr>
        <w:t xml:space="preserve">  </w:t>
      </w:r>
      <w:r w:rsidR="00526819" w:rsidRPr="00F33D64">
        <w:rPr>
          <w:rFonts w:cs="Arial"/>
          <w:lang w:val="es-ES_tradnl" w:eastAsia="ja-JP"/>
        </w:rPr>
        <w:t xml:space="preserve">Se convino asimismo que </w:t>
      </w:r>
      <w:r w:rsidR="00B97020" w:rsidRPr="00F33D64">
        <w:rPr>
          <w:rFonts w:cs="Arial"/>
          <w:lang w:val="es-ES_tradnl" w:eastAsia="ja-JP"/>
        </w:rPr>
        <w:t xml:space="preserve">sería útil para la comprensión mutua </w:t>
      </w:r>
      <w:r w:rsidR="00526819" w:rsidRPr="00F33D64">
        <w:rPr>
          <w:rFonts w:cs="Arial"/>
          <w:lang w:val="es-ES_tradnl" w:eastAsia="ja-JP"/>
        </w:rPr>
        <w:t>repe</w:t>
      </w:r>
      <w:r w:rsidR="00B97020" w:rsidRPr="00F33D64">
        <w:rPr>
          <w:rFonts w:cs="Arial"/>
          <w:lang w:val="es-ES_tradnl" w:eastAsia="ja-JP"/>
        </w:rPr>
        <w:t>tir el taller conjunto en las reuniones pertinentes de la OCDE</w:t>
      </w:r>
      <w:r w:rsidR="00526819" w:rsidRPr="00F33D64">
        <w:rPr>
          <w:rFonts w:cs="Arial"/>
          <w:lang w:val="es-ES_tradnl" w:eastAsia="ja-JP"/>
        </w:rPr>
        <w:t xml:space="preserve"> </w:t>
      </w:r>
      <w:r w:rsidR="00B97020" w:rsidRPr="00F33D64">
        <w:rPr>
          <w:rFonts w:cs="Arial"/>
          <w:lang w:val="es-ES_tradnl" w:eastAsia="ja-JP"/>
        </w:rPr>
        <w:t>y la</w:t>
      </w:r>
      <w:r w:rsidR="00526819" w:rsidRPr="00F33D64">
        <w:rPr>
          <w:rFonts w:cs="Arial"/>
          <w:lang w:val="es-ES_tradnl" w:eastAsia="ja-JP"/>
        </w:rPr>
        <w:t xml:space="preserve"> ISTA</w:t>
      </w:r>
      <w:r w:rsidR="00526819" w:rsidRPr="00F33D64">
        <w:rPr>
          <w:rFonts w:cs="Arial" w:hint="eastAsia"/>
          <w:lang w:val="es-ES_tradnl" w:eastAsia="ja-JP"/>
        </w:rPr>
        <w:t xml:space="preserve"> (</w:t>
      </w:r>
      <w:r w:rsidR="00526819" w:rsidRPr="00F33D64">
        <w:rPr>
          <w:rFonts w:cs="Arial"/>
          <w:lang w:val="es-ES_tradnl" w:eastAsia="ja-JP"/>
        </w:rPr>
        <w:t>véase el</w:t>
      </w:r>
      <w:r w:rsidR="00B97020" w:rsidRPr="00F33D64">
        <w:rPr>
          <w:rFonts w:cs="Arial"/>
          <w:lang w:val="es-ES_tradnl" w:eastAsia="ja-JP"/>
        </w:rPr>
        <w:t xml:space="preserve"> párrafo </w:t>
      </w:r>
      <w:r w:rsidR="00B97020" w:rsidRPr="00F33D64">
        <w:rPr>
          <w:rFonts w:cs="Arial" w:hint="eastAsia"/>
          <w:lang w:val="es-ES_tradnl" w:eastAsia="ja-JP"/>
        </w:rPr>
        <w:t>54</w:t>
      </w:r>
      <w:r w:rsidR="00B97020" w:rsidRPr="00F33D64">
        <w:rPr>
          <w:rFonts w:cs="Arial"/>
          <w:lang w:val="es-ES_tradnl" w:eastAsia="ja-JP"/>
        </w:rPr>
        <w:t xml:space="preserve"> del</w:t>
      </w:r>
      <w:r w:rsidR="00526819" w:rsidRPr="00F33D64">
        <w:rPr>
          <w:rFonts w:cs="Arial"/>
          <w:lang w:val="es-ES_tradnl" w:eastAsia="ja-JP"/>
        </w:rPr>
        <w:t xml:space="preserve"> documento</w:t>
      </w:r>
      <w:r w:rsidR="00B97020" w:rsidRPr="00F33D64">
        <w:rPr>
          <w:rFonts w:cs="Arial"/>
          <w:lang w:val="es-ES_tradnl" w:eastAsia="ja-JP"/>
        </w:rPr>
        <w:t> </w:t>
      </w:r>
      <w:r w:rsidR="00526819" w:rsidRPr="00F33D64">
        <w:rPr>
          <w:rFonts w:cs="Arial" w:hint="eastAsia"/>
          <w:lang w:val="es-ES_tradnl" w:eastAsia="ja-JP"/>
        </w:rPr>
        <w:t xml:space="preserve">BMT/14/20 </w:t>
      </w:r>
      <w:r w:rsidR="00526819" w:rsidRPr="00F33D64">
        <w:rPr>
          <w:rFonts w:cs="Arial"/>
          <w:lang w:val="es-ES" w:eastAsia="ja-JP"/>
        </w:rPr>
        <w:t>“</w:t>
      </w:r>
      <w:r w:rsidR="00526819" w:rsidRPr="00F33D64">
        <w:rPr>
          <w:rFonts w:cs="Arial" w:hint="eastAsia"/>
          <w:i/>
          <w:lang w:val="es-ES" w:eastAsia="ja-JP"/>
        </w:rPr>
        <w:t>Report</w:t>
      </w:r>
      <w:r w:rsidR="00526819" w:rsidRPr="00F33D64">
        <w:rPr>
          <w:rFonts w:cs="Arial"/>
          <w:lang w:val="es-ES" w:eastAsia="ja-JP"/>
        </w:rPr>
        <w:t>”</w:t>
      </w:r>
      <w:r w:rsidR="00526819" w:rsidRPr="00F33D64">
        <w:rPr>
          <w:rFonts w:cs="Arial" w:hint="eastAsia"/>
          <w:lang w:val="es-ES_tradnl" w:eastAsia="ja-JP"/>
        </w:rPr>
        <w:t>)</w:t>
      </w:r>
      <w:r w:rsidR="00526819" w:rsidRPr="00F33D64">
        <w:rPr>
          <w:rFonts w:cs="Arial"/>
          <w:lang w:val="es-ES_tradnl" w:eastAsia="ja-JP"/>
        </w:rPr>
        <w:t>.</w:t>
      </w:r>
      <w:r w:rsidR="00312C2A" w:rsidRPr="00F33D64">
        <w:rPr>
          <w:rFonts w:cs="Arial"/>
          <w:lang w:val="es-ES" w:eastAsia="ja-JP"/>
        </w:rPr>
        <w:t xml:space="preserve"> </w:t>
      </w:r>
      <w:r w:rsidR="00312C2A" w:rsidRPr="00F33D64">
        <w:rPr>
          <w:rFonts w:cs="Arial" w:hint="eastAsia"/>
          <w:lang w:val="es-ES" w:eastAsia="ja-JP"/>
        </w:rPr>
        <w:t xml:space="preserve">  </w:t>
      </w:r>
    </w:p>
    <w:p w:rsidR="003502DA" w:rsidRPr="00F33D64" w:rsidRDefault="003502DA" w:rsidP="00312C2A">
      <w:pPr>
        <w:rPr>
          <w:rFonts w:cs="Arial"/>
          <w:lang w:val="es-ES" w:eastAsia="ja-JP"/>
        </w:rPr>
      </w:pPr>
    </w:p>
    <w:p w:rsidR="003502DA" w:rsidRPr="00F33D64" w:rsidRDefault="00F70222" w:rsidP="00312C2A">
      <w:pPr>
        <w:keepNext/>
        <w:keepLines/>
        <w:rPr>
          <w:rFonts w:cs="Arial"/>
          <w:lang w:val="es-ES" w:eastAsia="ja-JP"/>
        </w:rPr>
      </w:pPr>
      <w:r w:rsidRPr="00F33D64">
        <w:rPr>
          <w:rFonts w:cs="Arial"/>
        </w:rPr>
        <w:fldChar w:fldCharType="begin"/>
      </w:r>
      <w:r w:rsidR="00312C2A" w:rsidRPr="00F33D64">
        <w:rPr>
          <w:rFonts w:cs="Arial"/>
          <w:lang w:val="es-ES"/>
        </w:rPr>
        <w:instrText xml:space="preserve"> AUTONUM  </w:instrText>
      </w:r>
      <w:r w:rsidRPr="00F33D64">
        <w:rPr>
          <w:rFonts w:cs="Arial"/>
        </w:rPr>
        <w:fldChar w:fldCharType="end"/>
      </w:r>
      <w:r w:rsidR="00312C2A" w:rsidRPr="00F33D64">
        <w:rPr>
          <w:rFonts w:cs="Arial"/>
          <w:lang w:val="es-ES"/>
        </w:rPr>
        <w:tab/>
      </w:r>
      <w:r w:rsidR="00B97020" w:rsidRPr="00F33D64">
        <w:rPr>
          <w:rFonts w:cs="Arial"/>
          <w:lang w:val="es-ES_tradnl" w:eastAsia="ja-JP"/>
        </w:rPr>
        <w:t>Se convino en el taller</w:t>
      </w:r>
      <w:r w:rsidR="00B97020" w:rsidRPr="00F33D64">
        <w:rPr>
          <w:rFonts w:cs="Arial" w:hint="eastAsia"/>
          <w:lang w:val="es-ES_tradnl" w:eastAsia="ja-JP"/>
        </w:rPr>
        <w:t xml:space="preserve"> </w:t>
      </w:r>
      <w:r w:rsidR="00B97020" w:rsidRPr="00F33D64">
        <w:rPr>
          <w:rFonts w:cs="Arial"/>
          <w:lang w:val="es-ES_tradnl" w:eastAsia="ja-JP"/>
        </w:rPr>
        <w:t xml:space="preserve">proponer </w:t>
      </w:r>
      <w:r w:rsidR="008E42FD" w:rsidRPr="00F33D64">
        <w:rPr>
          <w:rFonts w:cs="Arial"/>
          <w:lang w:val="es-ES_tradnl" w:eastAsia="ja-JP"/>
        </w:rPr>
        <w:t>un</w:t>
      </w:r>
      <w:r w:rsidR="008E42FD" w:rsidRPr="00F33D64">
        <w:rPr>
          <w:rFonts w:cs="Arial" w:hint="eastAsia"/>
          <w:lang w:val="es-ES_tradnl" w:eastAsia="ja-JP"/>
        </w:rPr>
        <w:t xml:space="preserve"> invent</w:t>
      </w:r>
      <w:r w:rsidR="008E42FD" w:rsidRPr="00F33D64">
        <w:rPr>
          <w:rFonts w:cs="Arial"/>
          <w:lang w:val="es-ES_tradnl" w:eastAsia="ja-JP"/>
        </w:rPr>
        <w:t xml:space="preserve">ario de </w:t>
      </w:r>
      <w:r w:rsidR="00B97020" w:rsidRPr="00F33D64">
        <w:rPr>
          <w:rFonts w:cs="Arial"/>
          <w:lang w:val="es-ES_tradnl" w:eastAsia="ja-JP"/>
        </w:rPr>
        <w:t>la UPOV, la OCDE y la ISTA</w:t>
      </w:r>
      <w:r w:rsidR="00B97020" w:rsidRPr="00F33D64">
        <w:rPr>
          <w:rFonts w:cs="Arial" w:hint="eastAsia"/>
          <w:lang w:val="es-ES_tradnl" w:eastAsia="ja-JP"/>
        </w:rPr>
        <w:t xml:space="preserve"> </w:t>
      </w:r>
      <w:r w:rsidR="008E42FD" w:rsidRPr="00F33D64">
        <w:rPr>
          <w:rFonts w:cs="Arial"/>
          <w:lang w:val="es-ES_tradnl" w:eastAsia="ja-JP"/>
        </w:rPr>
        <w:t xml:space="preserve">sobre </w:t>
      </w:r>
      <w:r w:rsidR="00B97020" w:rsidRPr="00F33D64">
        <w:rPr>
          <w:rFonts w:cs="Arial"/>
          <w:lang w:val="es-ES_tradnl" w:eastAsia="ja-JP"/>
        </w:rPr>
        <w:t>la utilización de técnicas basadas en marcadores moleculares,</w:t>
      </w:r>
      <w:r w:rsidR="00B97020" w:rsidRPr="00F33D64">
        <w:rPr>
          <w:rFonts w:cs="Arial" w:hint="eastAsia"/>
          <w:lang w:val="es-ES_tradnl" w:eastAsia="ja-JP"/>
        </w:rPr>
        <w:t xml:space="preserve"> </w:t>
      </w:r>
      <w:r w:rsidR="00B97020" w:rsidRPr="00F33D64">
        <w:rPr>
          <w:rFonts w:cs="Arial"/>
          <w:lang w:val="es-ES_tradnl" w:eastAsia="ja-JP"/>
        </w:rPr>
        <w:t>por cultivos,</w:t>
      </w:r>
      <w:r w:rsidR="00B97020" w:rsidRPr="00F33D64">
        <w:rPr>
          <w:rFonts w:cs="Arial" w:hint="eastAsia"/>
          <w:lang w:val="es-ES_tradnl" w:eastAsia="ja-JP"/>
        </w:rPr>
        <w:t xml:space="preserve"> </w:t>
      </w:r>
      <w:r w:rsidR="00B97020" w:rsidRPr="00F33D64">
        <w:rPr>
          <w:rFonts w:cs="Arial"/>
          <w:lang w:val="es-ES_tradnl" w:eastAsia="ja-JP"/>
        </w:rPr>
        <w:t xml:space="preserve">con objeto de elaborar un </w:t>
      </w:r>
      <w:r w:rsidR="00B97020" w:rsidRPr="00F33D64">
        <w:rPr>
          <w:rFonts w:cs="Arial" w:hint="eastAsia"/>
          <w:lang w:val="es-ES_tradnl" w:eastAsia="ja-JP"/>
        </w:rPr>
        <w:t>document</w:t>
      </w:r>
      <w:r w:rsidR="00B97020" w:rsidRPr="00F33D64">
        <w:rPr>
          <w:rFonts w:cs="Arial"/>
          <w:lang w:val="es-ES_tradnl" w:eastAsia="ja-JP"/>
        </w:rPr>
        <w:t>o en el que figure</w:t>
      </w:r>
      <w:r w:rsidR="00B97020" w:rsidRPr="00F33D64">
        <w:rPr>
          <w:rFonts w:cs="Arial" w:hint="eastAsia"/>
          <w:lang w:val="es-ES_tradnl" w:eastAsia="ja-JP"/>
        </w:rPr>
        <w:t xml:space="preserve"> </w:t>
      </w:r>
      <w:r w:rsidR="00B97020" w:rsidRPr="00F33D64">
        <w:rPr>
          <w:rFonts w:cs="Arial"/>
          <w:lang w:val="es-ES_tradnl" w:eastAsia="ja-JP"/>
        </w:rPr>
        <w:t>dicha información en un formato similar al del documento UPOV/INF/16 “Programas informáticos para intercambio”</w:t>
      </w:r>
      <w:r w:rsidR="00B97020" w:rsidRPr="00F33D64">
        <w:rPr>
          <w:rFonts w:cs="Arial" w:hint="eastAsia"/>
          <w:lang w:val="es-ES_tradnl" w:eastAsia="ja-JP"/>
        </w:rPr>
        <w:t>.</w:t>
      </w:r>
      <w:r w:rsidR="00312C2A" w:rsidRPr="00F33D64">
        <w:rPr>
          <w:rFonts w:cs="Arial" w:hint="eastAsia"/>
          <w:lang w:val="es-ES" w:eastAsia="ja-JP"/>
        </w:rPr>
        <w:t xml:space="preserve">  </w:t>
      </w:r>
      <w:r w:rsidR="00B97020" w:rsidRPr="00F33D64">
        <w:rPr>
          <w:rFonts w:cs="Arial"/>
          <w:lang w:val="es-ES_tradnl" w:eastAsia="ja-JP"/>
        </w:rPr>
        <w:t>Se señaló que</w:t>
      </w:r>
      <w:r w:rsidR="00B97020" w:rsidRPr="00F33D64">
        <w:rPr>
          <w:rFonts w:cs="Arial" w:hint="eastAsia"/>
          <w:lang w:val="es-ES_tradnl" w:eastAsia="ja-JP"/>
        </w:rPr>
        <w:t xml:space="preserve"> </w:t>
      </w:r>
      <w:r w:rsidR="00B97020" w:rsidRPr="00F33D64">
        <w:rPr>
          <w:rFonts w:cs="Arial"/>
          <w:lang w:val="es-ES_tradnl" w:eastAsia="ja-JP"/>
        </w:rPr>
        <w:t xml:space="preserve">la </w:t>
      </w:r>
      <w:r w:rsidR="00B97020" w:rsidRPr="00F33D64">
        <w:rPr>
          <w:rFonts w:cs="Arial" w:hint="eastAsia"/>
          <w:lang w:val="es-ES_tradnl" w:eastAsia="ja-JP"/>
        </w:rPr>
        <w:t xml:space="preserve">OCDE </w:t>
      </w:r>
      <w:r w:rsidR="00B97020" w:rsidRPr="00F33D64">
        <w:rPr>
          <w:rFonts w:cs="Arial"/>
          <w:lang w:val="es-ES_tradnl" w:eastAsia="ja-JP"/>
        </w:rPr>
        <w:t xml:space="preserve">ya </w:t>
      </w:r>
      <w:r w:rsidR="00B97020" w:rsidRPr="00F33D64">
        <w:rPr>
          <w:rFonts w:cs="Arial" w:hint="eastAsia"/>
          <w:lang w:val="es-ES_tradnl" w:eastAsia="ja-JP"/>
        </w:rPr>
        <w:t>ha</w:t>
      </w:r>
      <w:r w:rsidR="00B97020" w:rsidRPr="00F33D64">
        <w:rPr>
          <w:rFonts w:cs="Arial"/>
          <w:lang w:val="es-ES_tradnl" w:eastAsia="ja-JP"/>
        </w:rPr>
        <w:t>bía reunido cierta información</w:t>
      </w:r>
      <w:r w:rsidR="00B97020" w:rsidRPr="00F33D64">
        <w:rPr>
          <w:rFonts w:cs="Arial" w:hint="eastAsia"/>
          <w:lang w:val="es-ES_tradnl" w:eastAsia="ja-JP"/>
        </w:rPr>
        <w:t xml:space="preserve"> </w:t>
      </w:r>
      <w:r w:rsidR="00B97020" w:rsidRPr="00F33D64">
        <w:rPr>
          <w:rFonts w:cs="Arial"/>
          <w:lang w:val="es-ES_tradnl" w:eastAsia="ja-JP"/>
        </w:rPr>
        <w:t xml:space="preserve">acerca del </w:t>
      </w:r>
      <w:r w:rsidR="00B97020" w:rsidRPr="00F33D64">
        <w:rPr>
          <w:rFonts w:cs="Arial" w:hint="eastAsia"/>
          <w:lang w:val="es-ES_tradnl" w:eastAsia="ja-JP"/>
        </w:rPr>
        <w:t>us</w:t>
      </w:r>
      <w:r w:rsidR="00B97020" w:rsidRPr="00F33D64">
        <w:rPr>
          <w:rFonts w:cs="Arial"/>
          <w:lang w:val="es-ES_tradnl" w:eastAsia="ja-JP"/>
        </w:rPr>
        <w:t>o d</w:t>
      </w:r>
      <w:r w:rsidR="00B97020" w:rsidRPr="00F33D64">
        <w:rPr>
          <w:rFonts w:cs="Arial" w:hint="eastAsia"/>
          <w:lang w:val="es-ES_tradnl" w:eastAsia="ja-JP"/>
        </w:rPr>
        <w:t xml:space="preserve">e </w:t>
      </w:r>
      <w:r w:rsidR="00B97020" w:rsidRPr="00F33D64">
        <w:rPr>
          <w:rFonts w:cs="Arial"/>
          <w:lang w:val="es-ES_tradnl" w:eastAsia="ja-JP"/>
        </w:rPr>
        <w:t>técnicas moleculares</w:t>
      </w:r>
      <w:r w:rsidR="00B97020" w:rsidRPr="00F33D64">
        <w:rPr>
          <w:rFonts w:cs="Arial" w:hint="eastAsia"/>
          <w:lang w:val="es-ES_tradnl" w:eastAsia="ja-JP"/>
        </w:rPr>
        <w:t xml:space="preserve"> </w:t>
      </w:r>
      <w:r w:rsidR="00B97020" w:rsidRPr="00F33D64">
        <w:rPr>
          <w:rFonts w:cs="Arial"/>
          <w:lang w:val="es-ES_tradnl" w:eastAsia="ja-JP"/>
        </w:rPr>
        <w:t>por sus autoridades designadas</w:t>
      </w:r>
      <w:r w:rsidR="00B97020" w:rsidRPr="00F33D64">
        <w:rPr>
          <w:rFonts w:cs="Arial" w:hint="eastAsia"/>
          <w:lang w:val="es-ES_tradnl" w:eastAsia="ja-JP"/>
        </w:rPr>
        <w:t xml:space="preserve"> (</w:t>
      </w:r>
      <w:r w:rsidR="00B97020" w:rsidRPr="00F33D64">
        <w:rPr>
          <w:rFonts w:cs="Arial"/>
          <w:lang w:val="es-ES_tradnl" w:eastAsia="ja-JP"/>
        </w:rPr>
        <w:t>véase el párrafo </w:t>
      </w:r>
      <w:r w:rsidR="00B97020" w:rsidRPr="00F33D64">
        <w:rPr>
          <w:rFonts w:cs="Arial" w:hint="eastAsia"/>
          <w:lang w:val="es-ES_tradnl" w:eastAsia="ja-JP"/>
        </w:rPr>
        <w:t>55</w:t>
      </w:r>
      <w:r w:rsidR="00B97020" w:rsidRPr="00F33D64">
        <w:rPr>
          <w:rFonts w:cs="Arial"/>
          <w:lang w:val="es-ES_tradnl" w:eastAsia="ja-JP"/>
        </w:rPr>
        <w:t xml:space="preserve"> del documento </w:t>
      </w:r>
      <w:r w:rsidR="00B97020" w:rsidRPr="00F33D64">
        <w:rPr>
          <w:rFonts w:cs="Arial" w:hint="eastAsia"/>
          <w:lang w:val="es-ES_tradnl" w:eastAsia="ja-JP"/>
        </w:rPr>
        <w:t xml:space="preserve">BMT/14/20 </w:t>
      </w:r>
      <w:r w:rsidR="00B97020" w:rsidRPr="00F33D64">
        <w:rPr>
          <w:rFonts w:cs="Arial"/>
          <w:lang w:val="es-ES_tradnl" w:eastAsia="ja-JP"/>
        </w:rPr>
        <w:t>“</w:t>
      </w:r>
      <w:r w:rsidR="00B97020" w:rsidRPr="00F33D64">
        <w:rPr>
          <w:rFonts w:cs="Arial" w:hint="eastAsia"/>
          <w:i/>
          <w:lang w:val="es-ES_tradnl" w:eastAsia="ja-JP"/>
        </w:rPr>
        <w:t>Report</w:t>
      </w:r>
      <w:r w:rsidR="00B97020" w:rsidRPr="00F33D64">
        <w:rPr>
          <w:rFonts w:cs="Arial"/>
          <w:lang w:val="es-ES_tradnl" w:eastAsia="ja-JP"/>
        </w:rPr>
        <w:t>”</w:t>
      </w:r>
      <w:r w:rsidR="00B97020" w:rsidRPr="00F33D64">
        <w:rPr>
          <w:rFonts w:cs="Arial" w:hint="eastAsia"/>
          <w:lang w:val="es-ES_tradnl" w:eastAsia="ja-JP"/>
        </w:rPr>
        <w:t>).</w:t>
      </w:r>
    </w:p>
    <w:p w:rsidR="003502DA" w:rsidRPr="00F33D64" w:rsidRDefault="003502DA" w:rsidP="00312C2A">
      <w:pPr>
        <w:keepNext/>
        <w:keepLines/>
        <w:rPr>
          <w:rFonts w:cs="Arial"/>
          <w:lang w:val="es-ES" w:eastAsia="ja-JP"/>
        </w:rPr>
      </w:pPr>
    </w:p>
    <w:p w:rsidR="003502DA" w:rsidRPr="00F33D64" w:rsidRDefault="00F70222" w:rsidP="00312C2A">
      <w:pPr>
        <w:rPr>
          <w:rFonts w:cs="Arial"/>
          <w:lang w:val="es-ES" w:eastAsia="ja-JP"/>
        </w:rPr>
      </w:pPr>
      <w:r w:rsidRPr="00F33D64">
        <w:rPr>
          <w:rFonts w:cs="Arial"/>
        </w:rPr>
        <w:fldChar w:fldCharType="begin"/>
      </w:r>
      <w:r w:rsidR="00312C2A" w:rsidRPr="00F33D64">
        <w:rPr>
          <w:rFonts w:cs="Arial"/>
          <w:lang w:val="es-ES"/>
        </w:rPr>
        <w:instrText xml:space="preserve"> AUTONUM  </w:instrText>
      </w:r>
      <w:r w:rsidRPr="00F33D64">
        <w:rPr>
          <w:rFonts w:cs="Arial"/>
        </w:rPr>
        <w:fldChar w:fldCharType="end"/>
      </w:r>
      <w:r w:rsidR="00312C2A" w:rsidRPr="00F33D64">
        <w:rPr>
          <w:rFonts w:cs="Arial"/>
          <w:lang w:val="es-ES"/>
        </w:rPr>
        <w:tab/>
      </w:r>
      <w:r w:rsidR="00B97020" w:rsidRPr="00F33D64">
        <w:rPr>
          <w:rFonts w:cs="Arial"/>
          <w:lang w:val="es-ES_tradnl" w:eastAsia="ja-JP"/>
        </w:rPr>
        <w:t xml:space="preserve">Se acordó asimismo en el taller proponer que se invite a la UPOV, la OCDE y el ISTA a que elaboren </w:t>
      </w:r>
      <w:r w:rsidR="00B97020" w:rsidRPr="00F33D64">
        <w:rPr>
          <w:rFonts w:cs="Arial" w:hint="eastAsia"/>
          <w:lang w:val="es-ES_tradnl" w:eastAsia="ja-JP"/>
        </w:rPr>
        <w:t>list</w:t>
      </w:r>
      <w:r w:rsidR="00B97020" w:rsidRPr="00F33D64">
        <w:rPr>
          <w:rFonts w:cs="Arial"/>
          <w:lang w:val="es-ES_tradnl" w:eastAsia="ja-JP"/>
        </w:rPr>
        <w:t>as</w:t>
      </w:r>
      <w:r w:rsidR="00B97020" w:rsidRPr="00F33D64">
        <w:rPr>
          <w:rFonts w:cs="Arial" w:hint="eastAsia"/>
          <w:lang w:val="es-ES_tradnl" w:eastAsia="ja-JP"/>
        </w:rPr>
        <w:t xml:space="preserve"> </w:t>
      </w:r>
      <w:r w:rsidR="00B97020" w:rsidRPr="00F33D64">
        <w:rPr>
          <w:rFonts w:cs="Arial"/>
          <w:lang w:val="es-ES_tradnl" w:eastAsia="ja-JP"/>
        </w:rPr>
        <w:t>de posibles</w:t>
      </w:r>
      <w:r w:rsidR="00B97020" w:rsidRPr="00F33D64">
        <w:rPr>
          <w:rFonts w:cs="Arial" w:hint="eastAsia"/>
          <w:lang w:val="es-ES_tradnl" w:eastAsia="ja-JP"/>
        </w:rPr>
        <w:t xml:space="preserve"> </w:t>
      </w:r>
      <w:r w:rsidR="00B97020" w:rsidRPr="00F33D64">
        <w:rPr>
          <w:rFonts w:cs="Arial"/>
          <w:lang w:val="es-ES_tradnl" w:eastAsia="ja-JP"/>
        </w:rPr>
        <w:t>iniciativas conjuntas rela</w:t>
      </w:r>
      <w:r w:rsidR="00494F44" w:rsidRPr="00F33D64">
        <w:rPr>
          <w:rFonts w:cs="Arial"/>
          <w:lang w:val="es-ES_tradnl" w:eastAsia="ja-JP"/>
        </w:rPr>
        <w:t>c</w:t>
      </w:r>
      <w:r w:rsidR="00B97020" w:rsidRPr="00F33D64">
        <w:rPr>
          <w:rFonts w:cs="Arial"/>
          <w:lang w:val="es-ES_tradnl" w:eastAsia="ja-JP"/>
        </w:rPr>
        <w:t>ion</w:t>
      </w:r>
      <w:r w:rsidR="00494F44" w:rsidRPr="00F33D64">
        <w:rPr>
          <w:rFonts w:cs="Arial"/>
          <w:lang w:val="es-ES_tradnl" w:eastAsia="ja-JP"/>
        </w:rPr>
        <w:t>adas</w:t>
      </w:r>
      <w:r w:rsidR="00B97020" w:rsidRPr="00F33D64">
        <w:rPr>
          <w:rFonts w:cs="Arial"/>
          <w:lang w:val="es-ES_tradnl" w:eastAsia="ja-JP"/>
        </w:rPr>
        <w:t xml:space="preserve"> </w:t>
      </w:r>
      <w:r w:rsidR="00494F44" w:rsidRPr="00F33D64">
        <w:rPr>
          <w:rFonts w:cs="Arial"/>
          <w:lang w:val="es-ES_tradnl" w:eastAsia="ja-JP"/>
        </w:rPr>
        <w:t>con las</w:t>
      </w:r>
      <w:r w:rsidR="00B97020" w:rsidRPr="00F33D64">
        <w:rPr>
          <w:rFonts w:cs="Arial"/>
          <w:lang w:val="es-ES_tradnl" w:eastAsia="ja-JP"/>
        </w:rPr>
        <w:t xml:space="preserve"> técnicas moleculares</w:t>
      </w:r>
      <w:r w:rsidR="00B97020" w:rsidRPr="00F33D64">
        <w:rPr>
          <w:rFonts w:cs="Arial" w:hint="eastAsia"/>
          <w:lang w:val="es-ES_tradnl" w:eastAsia="ja-JP"/>
        </w:rPr>
        <w:t>.</w:t>
      </w:r>
      <w:r w:rsidR="00312C2A" w:rsidRPr="00F33D64">
        <w:rPr>
          <w:rFonts w:cs="Arial" w:hint="eastAsia"/>
          <w:lang w:val="es-ES" w:eastAsia="ja-JP"/>
        </w:rPr>
        <w:t xml:space="preserve">  </w:t>
      </w:r>
      <w:r w:rsidR="00494F44" w:rsidRPr="00F33D64">
        <w:rPr>
          <w:rFonts w:cs="Arial"/>
          <w:lang w:val="es-ES_tradnl" w:eastAsia="ja-JP"/>
        </w:rPr>
        <w:t>Se señaló que, en el caso de la UPOV, la lista podría redactarla el BMT en su decimoquinta reunión, sujeto a la aprobación del Comité Técnico</w:t>
      </w:r>
      <w:r w:rsidR="00494F44" w:rsidRPr="00F33D64">
        <w:rPr>
          <w:rFonts w:cs="Arial" w:hint="eastAsia"/>
          <w:lang w:val="es-ES_tradnl" w:eastAsia="ja-JP"/>
        </w:rPr>
        <w:t xml:space="preserve"> (</w:t>
      </w:r>
      <w:r w:rsidR="00494F44" w:rsidRPr="00F33D64">
        <w:rPr>
          <w:rFonts w:cs="Arial"/>
          <w:lang w:val="es-ES_tradnl" w:eastAsia="ja-JP"/>
        </w:rPr>
        <w:t>véase el párrafo </w:t>
      </w:r>
      <w:r w:rsidR="00494F44" w:rsidRPr="00F33D64">
        <w:rPr>
          <w:rFonts w:cs="Arial" w:hint="eastAsia"/>
          <w:lang w:val="es-ES_tradnl" w:eastAsia="ja-JP"/>
        </w:rPr>
        <w:t>56</w:t>
      </w:r>
      <w:r w:rsidR="00494F44" w:rsidRPr="00F33D64">
        <w:rPr>
          <w:rFonts w:cs="Arial"/>
          <w:lang w:val="es-ES_tradnl" w:eastAsia="ja-JP"/>
        </w:rPr>
        <w:t xml:space="preserve"> del documento </w:t>
      </w:r>
      <w:r w:rsidR="00494F44" w:rsidRPr="00F33D64">
        <w:rPr>
          <w:rFonts w:cs="Arial" w:hint="eastAsia"/>
          <w:lang w:val="es-ES_tradnl" w:eastAsia="ja-JP"/>
        </w:rPr>
        <w:t xml:space="preserve">BMT/14/20 </w:t>
      </w:r>
      <w:r w:rsidR="00494F44" w:rsidRPr="00F33D64">
        <w:rPr>
          <w:rFonts w:cs="Arial"/>
          <w:lang w:val="es-ES" w:eastAsia="ja-JP"/>
        </w:rPr>
        <w:t>“</w:t>
      </w:r>
      <w:r w:rsidR="00494F44" w:rsidRPr="00F33D64">
        <w:rPr>
          <w:rFonts w:cs="Arial" w:hint="eastAsia"/>
          <w:i/>
          <w:lang w:val="es-ES" w:eastAsia="ja-JP"/>
        </w:rPr>
        <w:t>Report</w:t>
      </w:r>
      <w:r w:rsidR="00494F44" w:rsidRPr="00F33D64">
        <w:rPr>
          <w:rFonts w:cs="Arial"/>
          <w:lang w:val="es-ES" w:eastAsia="ja-JP"/>
        </w:rPr>
        <w:t>”</w:t>
      </w:r>
      <w:r w:rsidR="00494F44" w:rsidRPr="00F33D64">
        <w:rPr>
          <w:rFonts w:cs="Arial" w:hint="eastAsia"/>
          <w:lang w:val="es-ES_tradnl" w:eastAsia="ja-JP"/>
        </w:rPr>
        <w:t>).</w:t>
      </w:r>
    </w:p>
    <w:p w:rsidR="003502DA" w:rsidRPr="00F33D64" w:rsidRDefault="003502DA" w:rsidP="00312C2A">
      <w:pPr>
        <w:rPr>
          <w:rFonts w:cs="Arial"/>
          <w:lang w:val="es-ES" w:eastAsia="ja-JP"/>
        </w:rPr>
      </w:pPr>
    </w:p>
    <w:p w:rsidR="003502DA" w:rsidRPr="00F33D64" w:rsidRDefault="00F70222" w:rsidP="00312C2A">
      <w:pPr>
        <w:keepNext/>
        <w:rPr>
          <w:snapToGrid w:val="0"/>
          <w:lang w:val="es-ES"/>
        </w:rPr>
      </w:pPr>
      <w:r w:rsidRPr="00F33D64">
        <w:rPr>
          <w:snapToGrid w:val="0"/>
        </w:rPr>
        <w:fldChar w:fldCharType="begin"/>
      </w:r>
      <w:r w:rsidR="00312C2A" w:rsidRPr="00F33D64">
        <w:rPr>
          <w:snapToGrid w:val="0"/>
          <w:lang w:val="es-ES"/>
        </w:rPr>
        <w:instrText xml:space="preserve"> AUTONUM  </w:instrText>
      </w:r>
      <w:r w:rsidRPr="00F33D64">
        <w:rPr>
          <w:snapToGrid w:val="0"/>
        </w:rPr>
        <w:fldChar w:fldCharType="end"/>
      </w:r>
      <w:r w:rsidR="00312C2A" w:rsidRPr="00F33D64">
        <w:rPr>
          <w:snapToGrid w:val="0"/>
          <w:lang w:val="es-ES"/>
        </w:rPr>
        <w:tab/>
      </w:r>
      <w:r w:rsidR="00D61290" w:rsidRPr="00F33D64">
        <w:rPr>
          <w:snapToGrid w:val="0"/>
          <w:lang w:val="es-ES_tradnl"/>
        </w:rPr>
        <w:t>En l</w:t>
      </w:r>
      <w:r w:rsidR="00494F44" w:rsidRPr="00F33D64">
        <w:rPr>
          <w:snapToGrid w:val="0"/>
          <w:lang w:val="es-ES_tradnl"/>
        </w:rPr>
        <w:t xml:space="preserve">a reunión del </w:t>
      </w:r>
      <w:r w:rsidR="00D61290" w:rsidRPr="00F33D64">
        <w:rPr>
          <w:snapToGrid w:val="0"/>
          <w:lang w:val="es-ES_tradnl"/>
        </w:rPr>
        <w:t>G</w:t>
      </w:r>
      <w:r w:rsidR="00494F44" w:rsidRPr="00F33D64">
        <w:rPr>
          <w:snapToGrid w:val="0"/>
          <w:lang w:val="es-ES_tradnl"/>
        </w:rPr>
        <w:t>rupo de trabajo técnico de los Sistemas de semillas de la OCDE, celebrada en</w:t>
      </w:r>
      <w:r w:rsidR="00494F44" w:rsidRPr="00F33D64">
        <w:rPr>
          <w:rFonts w:hint="eastAsia"/>
          <w:snapToGrid w:val="0"/>
          <w:lang w:val="es-ES_tradnl" w:eastAsia="ja-JP"/>
        </w:rPr>
        <w:t xml:space="preserve"> </w:t>
      </w:r>
      <w:r w:rsidR="00494F44" w:rsidRPr="00F33D64">
        <w:rPr>
          <w:snapToGrid w:val="0"/>
          <w:lang w:val="es-ES_tradnl" w:eastAsia="ja-JP"/>
        </w:rPr>
        <w:t xml:space="preserve">París (Francia) los días </w:t>
      </w:r>
      <w:r w:rsidR="00494F44" w:rsidRPr="00F33D64">
        <w:rPr>
          <w:snapToGrid w:val="0"/>
          <w:lang w:val="es-ES_tradnl"/>
        </w:rPr>
        <w:t xml:space="preserve">28 y 29 de enero de 2015, el Sr. Gerry Hall (Reino Unido), Presidente del Grupo especial de trabajo sobre técnicas bioquímicas y moleculares (AHWG) de los Sistemas de semillas de la OCDE, </w:t>
      </w:r>
      <w:r w:rsidR="00D61290" w:rsidRPr="00F33D64">
        <w:rPr>
          <w:snapToGrid w:val="0"/>
          <w:lang w:val="es-ES_tradnl"/>
        </w:rPr>
        <w:t xml:space="preserve">presentó un informe verbal </w:t>
      </w:r>
      <w:r w:rsidR="00147536" w:rsidRPr="00F33D64">
        <w:rPr>
          <w:snapToGrid w:val="0"/>
          <w:lang w:val="es-ES_tradnl"/>
        </w:rPr>
        <w:t>relativo</w:t>
      </w:r>
      <w:r w:rsidR="00494F44" w:rsidRPr="00F33D64">
        <w:rPr>
          <w:snapToGrid w:val="0"/>
          <w:lang w:val="es-ES_tradnl"/>
        </w:rPr>
        <w:t xml:space="preserve"> </w:t>
      </w:r>
      <w:r w:rsidR="00147536" w:rsidRPr="00F33D64">
        <w:rPr>
          <w:snapToGrid w:val="0"/>
          <w:lang w:val="es-ES_tradnl"/>
        </w:rPr>
        <w:t>a</w:t>
      </w:r>
      <w:r w:rsidR="00494F44" w:rsidRPr="00F33D64">
        <w:rPr>
          <w:snapToGrid w:val="0"/>
          <w:lang w:val="es-ES_tradnl"/>
        </w:rPr>
        <w:t xml:space="preserve">l Taller conjunto OCDE-UPOV-ISTA sobre técnicas moleculares, </w:t>
      </w:r>
      <w:r w:rsidR="009B22CE" w:rsidRPr="00F33D64">
        <w:rPr>
          <w:snapToGrid w:val="0"/>
          <w:lang w:val="es-ES_tradnl"/>
        </w:rPr>
        <w:t xml:space="preserve">celebrado el </w:t>
      </w:r>
      <w:r w:rsidR="00494F44" w:rsidRPr="00F33D64">
        <w:rPr>
          <w:snapToGrid w:val="0"/>
          <w:lang w:val="es-ES_tradnl"/>
        </w:rPr>
        <w:t>13</w:t>
      </w:r>
      <w:r w:rsidR="009B22CE" w:rsidRPr="00F33D64">
        <w:rPr>
          <w:snapToGrid w:val="0"/>
          <w:lang w:val="es-ES_tradnl"/>
        </w:rPr>
        <w:t xml:space="preserve"> de noviembre de </w:t>
      </w:r>
      <w:r w:rsidR="00494F44" w:rsidRPr="00F33D64">
        <w:rPr>
          <w:snapToGrid w:val="0"/>
          <w:lang w:val="es-ES_tradnl"/>
        </w:rPr>
        <w:t>2014 dur</w:t>
      </w:r>
      <w:r w:rsidR="009B22CE" w:rsidRPr="00F33D64">
        <w:rPr>
          <w:snapToGrid w:val="0"/>
          <w:lang w:val="es-ES_tradnl"/>
        </w:rPr>
        <w:t xml:space="preserve">ante la </w:t>
      </w:r>
      <w:r w:rsidR="00494F44" w:rsidRPr="00F33D64">
        <w:rPr>
          <w:snapToGrid w:val="0"/>
          <w:lang w:val="es-ES_tradnl"/>
        </w:rPr>
        <w:t xml:space="preserve">decimocuarta reunión </w:t>
      </w:r>
      <w:r w:rsidR="009B22CE" w:rsidRPr="00F33D64">
        <w:rPr>
          <w:snapToGrid w:val="0"/>
          <w:lang w:val="es-ES_tradnl"/>
        </w:rPr>
        <w:t xml:space="preserve">del </w:t>
      </w:r>
      <w:r w:rsidR="00494F44" w:rsidRPr="00F33D64">
        <w:rPr>
          <w:snapToGrid w:val="0"/>
          <w:lang w:val="es-ES_tradnl"/>
        </w:rPr>
        <w:t>BMT.</w:t>
      </w:r>
    </w:p>
    <w:p w:rsidR="003502DA" w:rsidRPr="00F33D64" w:rsidRDefault="003502DA" w:rsidP="00312C2A">
      <w:pPr>
        <w:rPr>
          <w:snapToGrid w:val="0"/>
          <w:lang w:val="es-ES"/>
        </w:rPr>
      </w:pPr>
    </w:p>
    <w:p w:rsidR="003502DA" w:rsidRPr="00F33D64" w:rsidRDefault="00F70222" w:rsidP="00312C2A">
      <w:pPr>
        <w:rPr>
          <w:snapToGrid w:val="0"/>
          <w:lang w:val="es-ES"/>
        </w:rPr>
      </w:pPr>
      <w:r w:rsidRPr="00F33D64">
        <w:rPr>
          <w:snapToGrid w:val="0"/>
        </w:rPr>
        <w:fldChar w:fldCharType="begin"/>
      </w:r>
      <w:r w:rsidR="00312C2A" w:rsidRPr="00F33D64">
        <w:rPr>
          <w:snapToGrid w:val="0"/>
          <w:lang w:val="es-ES"/>
        </w:rPr>
        <w:instrText xml:space="preserve"> AUTONUM  </w:instrText>
      </w:r>
      <w:r w:rsidRPr="00F33D64">
        <w:rPr>
          <w:snapToGrid w:val="0"/>
        </w:rPr>
        <w:fldChar w:fldCharType="end"/>
      </w:r>
      <w:r w:rsidR="00312C2A" w:rsidRPr="00F33D64">
        <w:rPr>
          <w:snapToGrid w:val="0"/>
          <w:lang w:val="es-ES"/>
        </w:rPr>
        <w:tab/>
      </w:r>
      <w:r w:rsidR="009B22CE" w:rsidRPr="00F33D64">
        <w:rPr>
          <w:snapToGrid w:val="0"/>
          <w:lang w:val="es-ES_tradnl"/>
        </w:rPr>
        <w:t xml:space="preserve">El Grupo de trabajo técnico </w:t>
      </w:r>
      <w:r w:rsidR="00D61290" w:rsidRPr="00F33D64">
        <w:rPr>
          <w:snapToGrid w:val="0"/>
          <w:lang w:val="es-ES_tradnl"/>
        </w:rPr>
        <w:t>convino en</w:t>
      </w:r>
      <w:r w:rsidR="009B22CE" w:rsidRPr="00F33D64">
        <w:rPr>
          <w:snapToGrid w:val="0"/>
          <w:lang w:val="es-ES_tradnl"/>
        </w:rPr>
        <w:t xml:space="preserve"> que debía organizarse otro Taller conjunto OCDE-UPOV-ISTA sobre técnicas moleculares, ya sea de manera consecutiva con la reunión anual de los Sistemas de semillas de la OCDE</w:t>
      </w:r>
      <w:r w:rsidR="00852E78" w:rsidRPr="00F33D64">
        <w:rPr>
          <w:snapToGrid w:val="0"/>
          <w:lang w:val="es-ES_tradnl"/>
        </w:rPr>
        <w:t>, prevista en Parí</w:t>
      </w:r>
      <w:r w:rsidR="009B22CE" w:rsidRPr="00F33D64">
        <w:rPr>
          <w:snapToGrid w:val="0"/>
          <w:lang w:val="es-ES_tradnl"/>
        </w:rPr>
        <w:t>s en junio de 2015, o junto con la reunión del Grupo de trabajo técnico, prevista en enero de 2016.</w:t>
      </w:r>
    </w:p>
    <w:p w:rsidR="003502DA" w:rsidRPr="00F33D64" w:rsidRDefault="003502DA" w:rsidP="00312C2A">
      <w:pPr>
        <w:pStyle w:val="DecisionParagraphs"/>
        <w:ind w:left="4536"/>
        <w:rPr>
          <w:lang w:val="es-ES"/>
        </w:rPr>
      </w:pPr>
    </w:p>
    <w:p w:rsidR="003502DA" w:rsidRPr="00F33D64" w:rsidRDefault="003502DA" w:rsidP="00312C2A">
      <w:pPr>
        <w:rPr>
          <w:lang w:val="es-ES" w:eastAsia="ja-JP"/>
        </w:rPr>
      </w:pPr>
    </w:p>
    <w:p w:rsidR="003502DA" w:rsidRPr="00F33D64" w:rsidRDefault="0067034A" w:rsidP="00F66AE9">
      <w:pPr>
        <w:pStyle w:val="Heading1"/>
        <w:rPr>
          <w:color w:val="auto"/>
          <w:lang w:val="es-ES"/>
        </w:rPr>
      </w:pPr>
      <w:bookmarkStart w:id="28" w:name="_Toc412197201"/>
      <w:bookmarkStart w:id="29" w:name="_Toc410822422"/>
      <w:bookmarkStart w:id="30" w:name="_Toc410822818"/>
      <w:bookmarkStart w:id="31" w:name="_Toc410823325"/>
      <w:bookmarkStart w:id="32" w:name="_Toc410899586"/>
      <w:r w:rsidRPr="00F33D64">
        <w:rPr>
          <w:color w:val="auto"/>
          <w:lang w:eastAsia="ja-JP"/>
        </w:rPr>
        <w:t>DEBATE SOBRE TÉCNICAS MOLECULAR</w:t>
      </w:r>
      <w:r w:rsidR="002E5B61" w:rsidRPr="00F33D64">
        <w:rPr>
          <w:color w:val="auto"/>
          <w:lang w:eastAsia="ja-JP"/>
        </w:rPr>
        <w:t>es</w:t>
      </w:r>
      <w:r w:rsidRPr="00F33D64">
        <w:rPr>
          <w:color w:val="auto"/>
          <w:lang w:eastAsia="ja-JP"/>
        </w:rPr>
        <w:t xml:space="preserve"> MANTENIDO POR EL Comité Técnico EN SU QUINCUAGÉSIMA SESIÓN</w:t>
      </w:r>
      <w:bookmarkEnd w:id="28"/>
    </w:p>
    <w:p w:rsidR="003502DA" w:rsidRPr="00F33D64" w:rsidRDefault="003502DA" w:rsidP="00312C2A">
      <w:pPr>
        <w:keepNext/>
        <w:rPr>
          <w:lang w:val="es-ES" w:eastAsia="ja-JP"/>
        </w:rPr>
      </w:pPr>
    </w:p>
    <w:p w:rsidR="003502DA" w:rsidRPr="00F33D64" w:rsidRDefault="00F70222" w:rsidP="00312C2A">
      <w:pPr>
        <w:keepNext/>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67034A" w:rsidRPr="00F33D64">
        <w:rPr>
          <w:lang w:val="es-ES_tradnl"/>
        </w:rPr>
        <w:t xml:space="preserve">En su quincuagésima sesión, celebrada en Ginebra del 7 al 9 de abril de 2014, el TC convino en que el proyecto de orden del día para la quincuagésima primera sesión del TC debía incluir un punto </w:t>
      </w:r>
      <w:r w:rsidR="00D61290" w:rsidRPr="00F33D64">
        <w:rPr>
          <w:lang w:val="es-ES_tradnl"/>
        </w:rPr>
        <w:t>relativo a</w:t>
      </w:r>
      <w:r w:rsidR="0067034A" w:rsidRPr="00F33D64">
        <w:rPr>
          <w:lang w:val="es-ES_tradnl"/>
        </w:rPr>
        <w:t xml:space="preserve"> un debate sobre técnicas moleculares (véase el párrafo 164 del documento TC/50/36 “Informe sobre las conclusiones”).</w:t>
      </w:r>
    </w:p>
    <w:p w:rsidR="003502DA" w:rsidRPr="00F33D64" w:rsidRDefault="003502DA" w:rsidP="00312C2A">
      <w:pPr>
        <w:rPr>
          <w:lang w:val="es-ES"/>
        </w:rPr>
      </w:pPr>
    </w:p>
    <w:p w:rsidR="003502DA" w:rsidRPr="00F33D64" w:rsidRDefault="00F70222" w:rsidP="00312C2A">
      <w:pPr>
        <w:rPr>
          <w:rFonts w:cs="Arial"/>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A402A5" w:rsidRPr="00F33D64">
        <w:rPr>
          <w:lang w:val="es-ES_tradnl"/>
        </w:rPr>
        <w:t xml:space="preserve">En </w:t>
      </w:r>
      <w:r w:rsidR="00D61290" w:rsidRPr="00F33D64">
        <w:rPr>
          <w:lang w:val="es-ES_tradnl"/>
        </w:rPr>
        <w:t xml:space="preserve">su </w:t>
      </w:r>
      <w:r w:rsidR="00A402A5" w:rsidRPr="00F33D64">
        <w:rPr>
          <w:lang w:val="es-ES_tradnl"/>
        </w:rPr>
        <w:t xml:space="preserve">reunión celebrada en Ginebra el 9 de enero de 2015, </w:t>
      </w:r>
      <w:r w:rsidR="00D61290" w:rsidRPr="00F33D64">
        <w:rPr>
          <w:lang w:val="es-ES_tradnl"/>
        </w:rPr>
        <w:t xml:space="preserve">los presidentes de los TWP y el TC </w:t>
      </w:r>
      <w:r w:rsidR="00A402A5" w:rsidRPr="00F33D64">
        <w:rPr>
          <w:lang w:val="es-ES_tradnl"/>
        </w:rPr>
        <w:t>propus</w:t>
      </w:r>
      <w:r w:rsidR="00D61290" w:rsidRPr="00F33D64">
        <w:rPr>
          <w:lang w:val="es-ES_tradnl"/>
        </w:rPr>
        <w:t xml:space="preserve">ieron </w:t>
      </w:r>
      <w:r w:rsidR="00A402A5" w:rsidRPr="00F33D64">
        <w:rPr>
          <w:lang w:val="es-ES_tradnl"/>
        </w:rPr>
        <w:t xml:space="preserve">que el debate </w:t>
      </w:r>
      <w:r w:rsidR="00D61290" w:rsidRPr="00F33D64">
        <w:rPr>
          <w:lang w:val="es-ES_tradnl"/>
        </w:rPr>
        <w:t xml:space="preserve">se </w:t>
      </w:r>
      <w:r w:rsidR="00A402A5" w:rsidRPr="00F33D64">
        <w:rPr>
          <w:lang w:val="es-ES_tradnl"/>
        </w:rPr>
        <w:t>basar</w:t>
      </w:r>
      <w:r w:rsidR="00D61290" w:rsidRPr="00F33D64">
        <w:rPr>
          <w:lang w:val="es-ES_tradnl"/>
        </w:rPr>
        <w:t xml:space="preserve">a </w:t>
      </w:r>
      <w:r w:rsidR="00A402A5" w:rsidRPr="00F33D64">
        <w:rPr>
          <w:lang w:val="es-ES_tradnl"/>
        </w:rPr>
        <w:t>en la presentación de l</w:t>
      </w:r>
      <w:r w:rsidR="008B73CE" w:rsidRPr="00F33D64">
        <w:rPr>
          <w:lang w:val="es-ES_tradnl"/>
        </w:rPr>
        <w:t>o</w:t>
      </w:r>
      <w:r w:rsidR="00A402A5" w:rsidRPr="00F33D64">
        <w:rPr>
          <w:lang w:val="es-ES_tradnl"/>
        </w:rPr>
        <w:t xml:space="preserve">s </w:t>
      </w:r>
      <w:r w:rsidR="008B73CE" w:rsidRPr="00F33D64">
        <w:rPr>
          <w:lang w:val="es-ES_tradnl"/>
        </w:rPr>
        <w:t>aspectos más destacados</w:t>
      </w:r>
      <w:r w:rsidR="00A402A5" w:rsidRPr="00F33D64">
        <w:rPr>
          <w:lang w:val="es-ES_tradnl"/>
        </w:rPr>
        <w:t xml:space="preserve"> de la decimocuarta reunión del BMT, celebrada en Seúl (República de Corea) del 10 al 13 de noviembre de 2014, y del </w:t>
      </w:r>
      <w:r w:rsidR="00A402A5" w:rsidRPr="00F33D64">
        <w:rPr>
          <w:rFonts w:cs="Arial"/>
          <w:lang w:val="es-ES_tradnl"/>
        </w:rPr>
        <w:t xml:space="preserve">Taller conjunto OCDE-UPOV-ISTA sobre técnicas moleculares, </w:t>
      </w:r>
      <w:r w:rsidR="00A402A5" w:rsidRPr="00F33D64">
        <w:rPr>
          <w:lang w:val="es-ES_tradnl"/>
        </w:rPr>
        <w:t>celebrado en Seúl (República de Corea) el 12 de noviembre de 2014</w:t>
      </w:r>
      <w:r w:rsidR="00A402A5" w:rsidRPr="00F33D64">
        <w:rPr>
          <w:rFonts w:cs="Arial"/>
          <w:lang w:val="es-ES_tradnl"/>
        </w:rPr>
        <w:t>.</w:t>
      </w:r>
    </w:p>
    <w:p w:rsidR="003502DA" w:rsidRPr="00F33D64" w:rsidRDefault="003502DA" w:rsidP="00312C2A">
      <w:pPr>
        <w:rPr>
          <w:rFonts w:cs="Arial"/>
          <w:lang w:val="es-ES"/>
        </w:rPr>
      </w:pPr>
    </w:p>
    <w:p w:rsidR="003502DA" w:rsidRPr="00F33D64" w:rsidRDefault="00F70222" w:rsidP="00312C2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7A50AD" w:rsidRPr="00F33D64">
        <w:rPr>
          <w:lang w:val="es-ES_tradnl"/>
        </w:rPr>
        <w:t>A este respecto</w:t>
      </w:r>
      <w:r w:rsidR="00A402A5" w:rsidRPr="00F33D64">
        <w:rPr>
          <w:lang w:val="es-ES_tradnl"/>
        </w:rPr>
        <w:t xml:space="preserve">, </w:t>
      </w:r>
      <w:r w:rsidR="007A50AD" w:rsidRPr="00F33D64">
        <w:rPr>
          <w:lang w:val="es-ES_tradnl"/>
        </w:rPr>
        <w:t xml:space="preserve">se </w:t>
      </w:r>
      <w:r w:rsidR="00A402A5" w:rsidRPr="00F33D64">
        <w:rPr>
          <w:lang w:val="es-ES_tradnl"/>
        </w:rPr>
        <w:t>prop</w:t>
      </w:r>
      <w:r w:rsidR="007A50AD" w:rsidRPr="00F33D64">
        <w:rPr>
          <w:lang w:val="es-ES_tradnl"/>
        </w:rPr>
        <w:t>us</w:t>
      </w:r>
      <w:r w:rsidR="00A402A5" w:rsidRPr="00F33D64">
        <w:rPr>
          <w:lang w:val="es-ES_tradnl"/>
        </w:rPr>
        <w:t>o</w:t>
      </w:r>
      <w:r w:rsidR="007A50AD" w:rsidRPr="00F33D64">
        <w:rPr>
          <w:lang w:val="es-ES_tradnl"/>
        </w:rPr>
        <w:t xml:space="preserve"> organizar </w:t>
      </w:r>
      <w:r w:rsidR="00A402A5" w:rsidRPr="00F33D64">
        <w:rPr>
          <w:lang w:val="es-ES_tradnl"/>
        </w:rPr>
        <w:t>p</w:t>
      </w:r>
      <w:r w:rsidR="007A50AD" w:rsidRPr="00F33D64">
        <w:rPr>
          <w:lang w:val="es-ES_tradnl"/>
        </w:rPr>
        <w:t xml:space="preserve">onencias sobre los siguientes puntos </w:t>
      </w:r>
      <w:r w:rsidR="00D61290" w:rsidRPr="00F33D64">
        <w:rPr>
          <w:lang w:val="es-ES_tradnl"/>
        </w:rPr>
        <w:t xml:space="preserve">a efectos </w:t>
      </w:r>
      <w:r w:rsidR="007A50AD" w:rsidRPr="00F33D64">
        <w:rPr>
          <w:lang w:val="es-ES_tradnl"/>
        </w:rPr>
        <w:t>de</w:t>
      </w:r>
      <w:r w:rsidR="00D61290" w:rsidRPr="00F33D64">
        <w:rPr>
          <w:lang w:val="es-ES_tradnl"/>
        </w:rPr>
        <w:t>l</w:t>
      </w:r>
      <w:r w:rsidR="007A50AD" w:rsidRPr="00F33D64">
        <w:rPr>
          <w:lang w:val="es-ES_tradnl"/>
        </w:rPr>
        <w:t xml:space="preserve"> debate sobre</w:t>
      </w:r>
      <w:r w:rsidR="00A402A5" w:rsidRPr="00F33D64">
        <w:rPr>
          <w:lang w:val="es-ES_tradnl"/>
        </w:rPr>
        <w:t xml:space="preserve"> técnicas moleculares </w:t>
      </w:r>
      <w:r w:rsidR="007A50AD" w:rsidRPr="00F33D64">
        <w:rPr>
          <w:lang w:val="es-ES_tradnl"/>
        </w:rPr>
        <w:t xml:space="preserve">en la </w:t>
      </w:r>
      <w:r w:rsidR="00A402A5" w:rsidRPr="00F33D64">
        <w:rPr>
          <w:lang w:val="es-ES_tradnl"/>
        </w:rPr>
        <w:t xml:space="preserve">quincuagésima primera </w:t>
      </w:r>
      <w:r w:rsidR="007A50AD" w:rsidRPr="00F33D64">
        <w:rPr>
          <w:lang w:val="es-ES_tradnl"/>
        </w:rPr>
        <w:t>ses</w:t>
      </w:r>
      <w:r w:rsidR="00A402A5" w:rsidRPr="00F33D64">
        <w:rPr>
          <w:lang w:val="es-ES_tradnl"/>
        </w:rPr>
        <w:t xml:space="preserve">ión </w:t>
      </w:r>
      <w:r w:rsidR="007A50AD" w:rsidRPr="00F33D64">
        <w:rPr>
          <w:lang w:val="es-ES_tradnl"/>
        </w:rPr>
        <w:t xml:space="preserve">del </w:t>
      </w:r>
      <w:r w:rsidR="00A402A5" w:rsidRPr="00F33D64">
        <w:rPr>
          <w:lang w:val="es-ES_tradnl"/>
        </w:rPr>
        <w:t>TC:</w:t>
      </w:r>
    </w:p>
    <w:p w:rsidR="003502DA" w:rsidRPr="00F33D64" w:rsidRDefault="003502DA" w:rsidP="00312C2A">
      <w:pPr>
        <w:rPr>
          <w:lang w:val="es-ES"/>
        </w:rPr>
      </w:pPr>
    </w:p>
    <w:p w:rsidR="003502DA" w:rsidRPr="00F33D64" w:rsidRDefault="007A50AD" w:rsidP="00312C2A">
      <w:pPr>
        <w:ind w:left="567"/>
        <w:rPr>
          <w:i/>
          <w:lang w:val="es-ES"/>
        </w:rPr>
      </w:pPr>
      <w:r w:rsidRPr="00F33D64">
        <w:rPr>
          <w:i/>
          <w:lang w:val="es-ES_tradnl"/>
        </w:rPr>
        <w:t>Informe sobre las novedades acaecidas en la UPOV en relación con las técnicas bioquímicas y moleculares (véas</w:t>
      </w:r>
      <w:r w:rsidR="00D61290" w:rsidRPr="00F33D64">
        <w:rPr>
          <w:i/>
          <w:lang w:val="es-ES_tradnl"/>
        </w:rPr>
        <w:t>e también el documento BMT/14/2 </w:t>
      </w:r>
      <w:r w:rsidRPr="00F33D64">
        <w:rPr>
          <w:i/>
          <w:lang w:val="es-ES_tradnl"/>
        </w:rPr>
        <w:t>Rev2.)</w:t>
      </w:r>
    </w:p>
    <w:p w:rsidR="003502DA" w:rsidRPr="00F33D64" w:rsidRDefault="003502DA" w:rsidP="00312C2A">
      <w:pPr>
        <w:ind w:left="567"/>
        <w:rPr>
          <w:i/>
          <w:lang w:val="es-ES"/>
        </w:rPr>
      </w:pPr>
    </w:p>
    <w:p w:rsidR="003502DA" w:rsidRPr="00F33D64" w:rsidRDefault="007A50AD" w:rsidP="00312C2A">
      <w:pPr>
        <w:ind w:left="540" w:firstLine="27"/>
        <w:rPr>
          <w:i/>
          <w:lang w:val="es-ES"/>
        </w:rPr>
      </w:pPr>
      <w:r w:rsidRPr="00F33D64">
        <w:rPr>
          <w:i/>
          <w:lang w:val="es-ES_tradnl"/>
        </w:rPr>
        <w:t xml:space="preserve">Uso de técnicas basadas en marcadores moleculares para la selección de </w:t>
      </w:r>
      <w:r w:rsidR="00331054" w:rsidRPr="00F33D64">
        <w:rPr>
          <w:i/>
          <w:lang w:val="es-ES_tradnl"/>
        </w:rPr>
        <w:t>“</w:t>
      </w:r>
      <w:r w:rsidR="009B5EF6" w:rsidRPr="00F33D64">
        <w:rPr>
          <w:i/>
          <w:lang w:val="es-ES_tradnl"/>
        </w:rPr>
        <w:t>variedades similares</w:t>
      </w:r>
      <w:r w:rsidR="00331054" w:rsidRPr="00F33D64">
        <w:rPr>
          <w:i/>
          <w:lang w:val="es-ES_tradnl"/>
        </w:rPr>
        <w:t>”</w:t>
      </w:r>
      <w:r w:rsidR="009B5EF6" w:rsidRPr="00F33D64">
        <w:rPr>
          <w:i/>
          <w:lang w:val="es-ES_tradnl"/>
        </w:rPr>
        <w:t xml:space="preserve"> a una </w:t>
      </w:r>
      <w:r w:rsidR="00331054" w:rsidRPr="00F33D64">
        <w:rPr>
          <w:i/>
          <w:lang w:val="es-ES_tradnl"/>
        </w:rPr>
        <w:t>“</w:t>
      </w:r>
      <w:r w:rsidR="009B5EF6" w:rsidRPr="00F33D64">
        <w:rPr>
          <w:i/>
          <w:lang w:val="es-ES_tradnl"/>
        </w:rPr>
        <w:t>variedad candidata</w:t>
      </w:r>
      <w:r w:rsidR="00331054" w:rsidRPr="00F33D64">
        <w:rPr>
          <w:i/>
          <w:lang w:val="es-ES_tradnl"/>
        </w:rPr>
        <w:t>”</w:t>
      </w:r>
      <w:r w:rsidRPr="00F33D64">
        <w:rPr>
          <w:i/>
          <w:lang w:val="es-ES_tradnl"/>
        </w:rPr>
        <w:t xml:space="preserve"> (véase</w:t>
      </w:r>
      <w:r w:rsidR="00571B5B" w:rsidRPr="00F33D64">
        <w:rPr>
          <w:i/>
          <w:lang w:val="es-ES_tradnl"/>
        </w:rPr>
        <w:t xml:space="preserve"> también el documento BMT/14/16 </w:t>
      </w:r>
      <w:r w:rsidRPr="00F33D64">
        <w:rPr>
          <w:i/>
          <w:lang w:val="es-ES_tradnl"/>
        </w:rPr>
        <w:t>Rev2.)</w:t>
      </w:r>
    </w:p>
    <w:p w:rsidR="003502DA" w:rsidRPr="00F33D64" w:rsidRDefault="003502DA" w:rsidP="00312C2A">
      <w:pPr>
        <w:ind w:left="540" w:firstLine="27"/>
        <w:rPr>
          <w:i/>
          <w:lang w:val="es-ES"/>
        </w:rPr>
      </w:pPr>
    </w:p>
    <w:p w:rsidR="003502DA" w:rsidRPr="00F33D64" w:rsidRDefault="0014188F" w:rsidP="00312C2A">
      <w:pPr>
        <w:ind w:left="540" w:firstLine="27"/>
        <w:rPr>
          <w:rFonts w:cs="Arial"/>
          <w:i/>
          <w:lang w:val="es-ES"/>
        </w:rPr>
      </w:pPr>
      <w:r w:rsidRPr="00F33D64">
        <w:rPr>
          <w:i/>
          <w:lang w:val="es-ES_tradnl"/>
        </w:rPr>
        <w:t>U</w:t>
      </w:r>
      <w:r w:rsidR="007A50AD" w:rsidRPr="00F33D64">
        <w:rPr>
          <w:i/>
          <w:lang w:val="es-ES_tradnl"/>
        </w:rPr>
        <w:t>tilización de variedades de referencia en la distinción de variedades:</w:t>
      </w:r>
      <w:r w:rsidR="00312C2A" w:rsidRPr="00F33D64">
        <w:rPr>
          <w:i/>
          <w:lang w:val="es-ES"/>
        </w:rPr>
        <w:t xml:space="preserve"> </w:t>
      </w:r>
      <w:r w:rsidR="007A50AD" w:rsidRPr="00F33D64">
        <w:rPr>
          <w:i/>
          <w:lang w:val="es-ES_tradnl"/>
        </w:rPr>
        <w:t xml:space="preserve">un método en investigación en los Estados Unidos de América para su posible aplicación en la protección de las obtenciones vegetales </w:t>
      </w:r>
      <w:r w:rsidR="007A50AD" w:rsidRPr="00F33D64">
        <w:rPr>
          <w:rFonts w:cs="Arial"/>
          <w:i/>
          <w:lang w:val="es-ES_tradnl"/>
        </w:rPr>
        <w:t>(véanse también los documentos BMT/14/5 y BMT/14/5 Add.)</w:t>
      </w:r>
    </w:p>
    <w:p w:rsidR="003502DA" w:rsidRPr="00F33D64" w:rsidRDefault="003502DA" w:rsidP="00312C2A">
      <w:pPr>
        <w:rPr>
          <w:i/>
          <w:lang w:val="es-ES"/>
        </w:rPr>
      </w:pPr>
    </w:p>
    <w:p w:rsidR="003502DA" w:rsidRPr="00F33D64" w:rsidRDefault="007A50AD" w:rsidP="00312C2A">
      <w:pPr>
        <w:ind w:left="540" w:firstLine="27"/>
        <w:rPr>
          <w:i/>
          <w:lang w:val="es-ES"/>
        </w:rPr>
      </w:pPr>
      <w:r w:rsidRPr="00F33D64">
        <w:rPr>
          <w:lang w:val="es-ES_tradnl"/>
        </w:rPr>
        <w:t>Una base de datos europea de la patata como colección centralizada de variedades notoriamente conocidas</w:t>
      </w:r>
      <w:r w:rsidRPr="00F33D64">
        <w:rPr>
          <w:i/>
          <w:lang w:val="es-ES_tradnl"/>
        </w:rPr>
        <w:t xml:space="preserve"> </w:t>
      </w:r>
      <w:r w:rsidRPr="00F33D64">
        <w:rPr>
          <w:rFonts w:cs="Arial"/>
          <w:i/>
          <w:lang w:val="es-ES_tradnl"/>
        </w:rPr>
        <w:t>(véanse también los documentos BMT/14/18 y BMT/14/18 Add)</w:t>
      </w:r>
    </w:p>
    <w:p w:rsidR="003502DA" w:rsidRPr="00F33D64" w:rsidRDefault="003502DA" w:rsidP="00312C2A">
      <w:pPr>
        <w:rPr>
          <w:i/>
          <w:lang w:val="es-ES"/>
        </w:rPr>
      </w:pPr>
    </w:p>
    <w:p w:rsidR="003502DA" w:rsidRPr="00F33D64" w:rsidRDefault="007A50AD" w:rsidP="00312C2A">
      <w:pPr>
        <w:ind w:left="540" w:firstLine="27"/>
        <w:rPr>
          <w:i/>
          <w:lang w:val="es-ES"/>
        </w:rPr>
      </w:pPr>
      <w:r w:rsidRPr="00F33D64">
        <w:rPr>
          <w:i/>
          <w:lang w:val="es-ES_tradnl"/>
        </w:rPr>
        <w:lastRenderedPageBreak/>
        <w:t>Desarrollo de marcadores EST-SSR de la lechuga e identificación de variedades mediante marcadores EST-SSR (véase también el documento BMT/14/13 Rev.)</w:t>
      </w:r>
    </w:p>
    <w:p w:rsidR="003502DA" w:rsidRPr="00F33D64" w:rsidRDefault="003502DA" w:rsidP="00312C2A">
      <w:pPr>
        <w:rPr>
          <w:i/>
          <w:lang w:val="es-ES"/>
        </w:rPr>
      </w:pPr>
    </w:p>
    <w:p w:rsidR="003502DA" w:rsidRPr="00F33D64" w:rsidRDefault="007A50AD" w:rsidP="00312C2A">
      <w:pPr>
        <w:ind w:left="540"/>
        <w:rPr>
          <w:i/>
          <w:lang w:val="es-ES"/>
        </w:rPr>
      </w:pPr>
      <w:r w:rsidRPr="00F33D64">
        <w:rPr>
          <w:i/>
          <w:lang w:val="es-ES_tradnl"/>
        </w:rPr>
        <w:t xml:space="preserve">Propiedad </w:t>
      </w:r>
      <w:r w:rsidR="00B450C2" w:rsidRPr="00F33D64">
        <w:rPr>
          <w:i/>
          <w:lang w:val="es-ES_tradnl"/>
        </w:rPr>
        <w:t>y uso de las muestras del examen DHE y del ADN y los datos sobre el ADN durante los exámenes DHE y posteriormente</w:t>
      </w:r>
      <w:r w:rsidRPr="00F33D64">
        <w:rPr>
          <w:i/>
          <w:lang w:val="es-ES_tradnl"/>
        </w:rPr>
        <w:t xml:space="preserve"> (véase también el documento BMT/14/11 Rev.)</w:t>
      </w:r>
    </w:p>
    <w:p w:rsidR="003502DA" w:rsidRPr="00F33D64" w:rsidRDefault="003502DA" w:rsidP="00312C2A">
      <w:pPr>
        <w:rPr>
          <w:rFonts w:cs="Arial"/>
          <w:i/>
          <w:lang w:val="es-ES"/>
        </w:rPr>
      </w:pPr>
    </w:p>
    <w:p w:rsidR="003502DA" w:rsidRPr="00F33D64" w:rsidRDefault="007A50AD" w:rsidP="00312C2A">
      <w:pPr>
        <w:ind w:left="540" w:firstLine="27"/>
        <w:rPr>
          <w:i/>
          <w:lang w:val="es-ES"/>
        </w:rPr>
      </w:pPr>
      <w:r w:rsidRPr="00F33D64">
        <w:rPr>
          <w:i/>
          <w:lang w:val="es-ES_tradnl"/>
        </w:rPr>
        <w:t>Oportunidades para la cooperación entre la OCDE, la UPOV, la ISTA y la ISO en el ámbito de las técnicas moleculares (véase también el documento BMT/14/Joint/5)</w:t>
      </w:r>
    </w:p>
    <w:p w:rsidR="003502DA" w:rsidRPr="00F33D64" w:rsidRDefault="003502DA" w:rsidP="00312C2A">
      <w:pPr>
        <w:rPr>
          <w:lang w:val="es-ES"/>
        </w:rPr>
      </w:pPr>
    </w:p>
    <w:p w:rsidR="003502DA" w:rsidRPr="00F33D64" w:rsidRDefault="00F70222" w:rsidP="00312C2A">
      <w:pPr>
        <w:rPr>
          <w:lang w:val="es-ES" w:eastAsia="ja-JP"/>
        </w:rPr>
      </w:pPr>
      <w:r w:rsidRPr="005420B5">
        <w:fldChar w:fldCharType="begin"/>
      </w:r>
      <w:r w:rsidR="00312C2A" w:rsidRPr="005420B5">
        <w:rPr>
          <w:lang w:val="es-ES"/>
        </w:rPr>
        <w:instrText xml:space="preserve"> AUTONUM  </w:instrText>
      </w:r>
      <w:r w:rsidRPr="005420B5">
        <w:fldChar w:fldCharType="end"/>
      </w:r>
      <w:r w:rsidR="00312C2A" w:rsidRPr="005420B5">
        <w:rPr>
          <w:lang w:val="es-ES"/>
        </w:rPr>
        <w:tab/>
      </w:r>
      <w:r w:rsidR="007A50AD" w:rsidRPr="005420B5">
        <w:rPr>
          <w:lang w:val="es-ES_tradnl"/>
        </w:rPr>
        <w:t>S</w:t>
      </w:r>
      <w:r w:rsidR="00325918" w:rsidRPr="005420B5">
        <w:rPr>
          <w:lang w:val="es-ES_tradnl"/>
        </w:rPr>
        <w:t>e adjunta, como Anexo II del presente documento, un proyecto de programa para el debate, s</w:t>
      </w:r>
      <w:r w:rsidR="007A50AD" w:rsidRPr="005420B5">
        <w:rPr>
          <w:lang w:val="es-ES_tradnl"/>
        </w:rPr>
        <w:t>ujeto</w:t>
      </w:r>
      <w:r w:rsidR="007A50AD" w:rsidRPr="00F33D64">
        <w:rPr>
          <w:lang w:val="es-ES_tradnl"/>
        </w:rPr>
        <w:t xml:space="preserve"> a la aprobación del TC, </w:t>
      </w:r>
      <w:r w:rsidR="00325918" w:rsidRPr="00F33D64">
        <w:rPr>
          <w:lang w:val="es-ES_tradnl"/>
        </w:rPr>
        <w:t xml:space="preserve">en el que se </w:t>
      </w:r>
      <w:r w:rsidR="007A50AD" w:rsidRPr="00F33D64">
        <w:rPr>
          <w:lang w:val="es-ES_tradnl"/>
        </w:rPr>
        <w:t>inclu</w:t>
      </w:r>
      <w:r w:rsidR="00325918" w:rsidRPr="00F33D64">
        <w:rPr>
          <w:lang w:val="es-ES_tradnl"/>
        </w:rPr>
        <w:t>ye una indicación</w:t>
      </w:r>
      <w:r w:rsidR="007A50AD" w:rsidRPr="00F33D64">
        <w:rPr>
          <w:lang w:val="es-ES_tradnl"/>
        </w:rPr>
        <w:t xml:space="preserve"> </w:t>
      </w:r>
      <w:r w:rsidR="00325918" w:rsidRPr="00F33D64">
        <w:rPr>
          <w:lang w:val="es-ES_tradnl"/>
        </w:rPr>
        <w:t xml:space="preserve">del modo en que se coordinaría este debate con el </w:t>
      </w:r>
      <w:r w:rsidR="007A50AD" w:rsidRPr="00F33D64">
        <w:rPr>
          <w:lang w:val="es-ES_tradnl"/>
        </w:rPr>
        <w:t>punto del orden del día “</w:t>
      </w:r>
      <w:r w:rsidR="00325918" w:rsidRPr="00F33D64">
        <w:rPr>
          <w:lang w:val="es-ES_tradnl"/>
        </w:rPr>
        <w:t>T</w:t>
      </w:r>
      <w:r w:rsidR="007A50AD" w:rsidRPr="00F33D64">
        <w:rPr>
          <w:lang w:val="es-ES_tradnl"/>
        </w:rPr>
        <w:t>écnicas moleculares”.</w:t>
      </w:r>
    </w:p>
    <w:p w:rsidR="003502DA" w:rsidRPr="00F33D64" w:rsidRDefault="003502DA" w:rsidP="00312C2A">
      <w:pPr>
        <w:rPr>
          <w:rFonts w:cs="Arial"/>
          <w:lang w:val="es-ES" w:eastAsia="ja-JP"/>
        </w:rPr>
      </w:pPr>
    </w:p>
    <w:p w:rsidR="003502DA" w:rsidRPr="00F33D64" w:rsidRDefault="003502DA" w:rsidP="00312C2A">
      <w:pPr>
        <w:rPr>
          <w:lang w:val="es-ES" w:eastAsia="ja-JP"/>
        </w:rPr>
      </w:pPr>
    </w:p>
    <w:p w:rsidR="003502DA" w:rsidRPr="00F33D64" w:rsidRDefault="00AE2CC5" w:rsidP="00F66AE9">
      <w:pPr>
        <w:pStyle w:val="Heading1"/>
        <w:rPr>
          <w:color w:val="auto"/>
          <w:lang w:val="es-ES"/>
        </w:rPr>
      </w:pPr>
      <w:bookmarkStart w:id="33" w:name="_Toc412197202"/>
      <w:bookmarkEnd w:id="29"/>
      <w:bookmarkEnd w:id="30"/>
      <w:bookmarkEnd w:id="31"/>
      <w:bookmarkEnd w:id="32"/>
      <w:r w:rsidRPr="00F33D64">
        <w:rPr>
          <w:color w:val="auto"/>
        </w:rPr>
        <w:t>LA PRESENTACIÓN DE INFORMACIÓN SOBRE LA SITUACIÓN EN LA UPOV EN LO QUE RESPECTA AL USO DE TÉCNICAS MOLECULARES</w:t>
      </w:r>
      <w:bookmarkEnd w:id="33"/>
    </w:p>
    <w:p w:rsidR="003502DA" w:rsidRPr="00F33D64" w:rsidRDefault="003502DA" w:rsidP="00312C2A">
      <w:pPr>
        <w:rPr>
          <w:lang w:val="es-ES" w:eastAsia="ja-JP"/>
        </w:rPr>
      </w:pPr>
    </w:p>
    <w:p w:rsidR="003502DA" w:rsidRPr="00F33D64" w:rsidRDefault="003502DA" w:rsidP="003502DA">
      <w:pPr>
        <w:pStyle w:val="Heading2"/>
        <w:rPr>
          <w:lang w:val="es-ES" w:eastAsia="ja-JP"/>
        </w:rPr>
      </w:pPr>
      <w:bookmarkStart w:id="34" w:name="_Toc412197203"/>
      <w:r w:rsidRPr="00F33D64">
        <w:rPr>
          <w:lang w:val="es-ES_tradnl" w:eastAsia="ja-JP"/>
        </w:rPr>
        <w:t>Antecedentes</w:t>
      </w:r>
      <w:bookmarkEnd w:id="34"/>
    </w:p>
    <w:p w:rsidR="003502DA" w:rsidRPr="00F33D64" w:rsidRDefault="003502DA" w:rsidP="00312C2A">
      <w:pPr>
        <w:rPr>
          <w:lang w:val="es-ES"/>
        </w:rPr>
      </w:pPr>
    </w:p>
    <w:p w:rsidR="003502DA" w:rsidRPr="00F33D64" w:rsidRDefault="00F70222" w:rsidP="003502DA">
      <w:pPr>
        <w:autoSpaceDE w:val="0"/>
        <w:autoSpaceDN w:val="0"/>
        <w:adjustRightInd w:val="0"/>
        <w:rPr>
          <w:rFonts w:cs="Arial"/>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 xml:space="preserve">En su cuadragésima novena sesión, celebrada en Ginebra del 18 al 20 de marzo </w:t>
      </w:r>
      <w:r w:rsidR="00BD1BF9" w:rsidRPr="00F33D64">
        <w:rPr>
          <w:lang w:val="es-ES_tradnl"/>
        </w:rPr>
        <w:t>de 2013, el TC convino en que era</w:t>
      </w:r>
      <w:r w:rsidR="003502DA" w:rsidRPr="00F33D64">
        <w:rPr>
          <w:lang w:val="es-ES_tradnl"/>
        </w:rPr>
        <w:t xml:space="preserve"> necesario proporcionar información adecuada sobre la situación en la UPOV en lo que respecta</w:t>
      </w:r>
      <w:r w:rsidR="00BD1BF9" w:rsidRPr="00F33D64">
        <w:rPr>
          <w:lang w:val="es-ES_tradnl"/>
        </w:rPr>
        <w:t>ba</w:t>
      </w:r>
      <w:r w:rsidR="003502DA" w:rsidRPr="00F33D64">
        <w:rPr>
          <w:lang w:val="es-ES_tradnl"/>
        </w:rPr>
        <w:t xml:space="preserve"> al uso de técnicas moleculares, para un público más amplio, que incluy</w:t>
      </w:r>
      <w:r w:rsidR="00BD1BF9" w:rsidRPr="00F33D64">
        <w:rPr>
          <w:lang w:val="es-ES_tradnl"/>
        </w:rPr>
        <w:t>er</w:t>
      </w:r>
      <w:r w:rsidR="003502DA" w:rsidRPr="00F33D64">
        <w:rPr>
          <w:lang w:val="es-ES_tradnl"/>
        </w:rPr>
        <w:t>a a los obtentores y el público en g</w:t>
      </w:r>
      <w:r w:rsidR="00BD1BF9" w:rsidRPr="00F33D64">
        <w:rPr>
          <w:lang w:val="es-ES_tradnl"/>
        </w:rPr>
        <w:t>eneral.  Esta información debería</w:t>
      </w:r>
      <w:r w:rsidR="003502DA" w:rsidRPr="00F33D64">
        <w:rPr>
          <w:lang w:val="es-ES_tradnl"/>
        </w:rPr>
        <w:t xml:space="preserve"> explicar las posibles ventajas e inconvenientes de las técnicas, así como la relación entr</w:t>
      </w:r>
      <w:r w:rsidR="00BD1BF9" w:rsidRPr="00F33D64">
        <w:rPr>
          <w:lang w:val="es-ES_tradnl"/>
        </w:rPr>
        <w:t>e genotipo y fenotipo, que estaban</w:t>
      </w:r>
      <w:r w:rsidR="003502DA" w:rsidRPr="00F33D64">
        <w:rPr>
          <w:lang w:val="es-ES_tradnl"/>
        </w:rPr>
        <w:t xml:space="preserve"> detrás de la situación en la UPOV (véase el párrafo 136 del documento TC/49/41, “Informe sobre las conclusiones”).</w:t>
      </w:r>
    </w:p>
    <w:p w:rsidR="003502DA" w:rsidRPr="00F33D64" w:rsidRDefault="003502DA" w:rsidP="00312C2A">
      <w:pPr>
        <w:autoSpaceDE w:val="0"/>
        <w:autoSpaceDN w:val="0"/>
        <w:adjustRightInd w:val="0"/>
        <w:jc w:val="left"/>
        <w:rPr>
          <w:rFonts w:cs="Arial"/>
          <w:lang w:val="es-ES"/>
        </w:rPr>
      </w:pPr>
    </w:p>
    <w:p w:rsidR="003502DA" w:rsidRPr="00F33D64" w:rsidRDefault="00F70222" w:rsidP="003502DA">
      <w:pPr>
        <w:autoSpaceDE w:val="0"/>
        <w:autoSpaceDN w:val="0"/>
        <w:adjustRightInd w:val="0"/>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En su octogésima sexta sesión, celebrada en Ginebra los días 23 y 24 de octubre de 2013, el Comité Consultivo examinó una serie de respuestas a preguntas frec</w:t>
      </w:r>
      <w:r w:rsidR="00BD1BF9" w:rsidRPr="00F33D64">
        <w:rPr>
          <w:lang w:val="es-ES_tradnl"/>
        </w:rPr>
        <w:t>uentes.  Una de las preguntas era</w:t>
      </w:r>
      <w:r w:rsidR="003502DA" w:rsidRPr="00F33D64">
        <w:rPr>
          <w:lang w:val="es-ES_tradnl"/>
        </w:rPr>
        <w:t xml:space="preserve"> la siguiente</w:t>
      </w:r>
      <w:proofErr w:type="gramStart"/>
      <w:r w:rsidR="003502DA" w:rsidRPr="00F33D64">
        <w:rPr>
          <w:lang w:val="es-ES_tradnl"/>
        </w:rPr>
        <w:t>:  “</w:t>
      </w:r>
      <w:proofErr w:type="gramEnd"/>
      <w:r w:rsidR="003502DA" w:rsidRPr="00F33D64">
        <w:rPr>
          <w:lang w:val="es-ES_tradnl"/>
        </w:rPr>
        <w:t>¿Permite la UPOV el uso de técnicas moleculares (perfiles de ADN) en el examen DHE?”  A ese respecto, el Comité Consultivo convino</w:t>
      </w:r>
      <w:r w:rsidR="00BD1BF9" w:rsidRPr="00F33D64">
        <w:rPr>
          <w:lang w:val="es-ES_tradnl"/>
        </w:rPr>
        <w:t xml:space="preserve"> en que la respuesta debía</w:t>
      </w:r>
      <w:r w:rsidR="003502DA" w:rsidRPr="00F33D64">
        <w:rPr>
          <w:lang w:val="es-ES_tradnl"/>
        </w:rPr>
        <w:t xml:space="preserve"> redactarla el Comité Técnico.</w:t>
      </w:r>
      <w:r w:rsidR="00312C2A" w:rsidRPr="00F33D64">
        <w:rPr>
          <w:rFonts w:cs="Arial"/>
          <w:lang w:val="es-ES"/>
        </w:rPr>
        <w:t xml:space="preserve"> </w:t>
      </w:r>
      <w:r w:rsidR="009C7A14" w:rsidRPr="00F33D64">
        <w:rPr>
          <w:rFonts w:cs="Arial"/>
          <w:lang w:val="es-ES"/>
        </w:rPr>
        <w:t xml:space="preserve"> </w:t>
      </w:r>
      <w:r w:rsidR="003502DA" w:rsidRPr="00F33D64">
        <w:rPr>
          <w:rFonts w:cs="Arial"/>
          <w:lang w:val="es-ES_tradnl"/>
        </w:rPr>
        <w:t xml:space="preserve">El Comité Consultivo acordó analizar las propuestas de respuesta a esta y otras preguntas frecuentes en su octogésima </w:t>
      </w:r>
      <w:r w:rsidR="00BD1BF9" w:rsidRPr="00F33D64">
        <w:rPr>
          <w:rFonts w:cs="Arial"/>
          <w:lang w:val="es-ES_tradnl"/>
        </w:rPr>
        <w:t>séptima sesión, que se celebró</w:t>
      </w:r>
      <w:r w:rsidR="003502DA" w:rsidRPr="00F33D64">
        <w:rPr>
          <w:rFonts w:cs="Arial"/>
          <w:lang w:val="es-ES_tradnl"/>
        </w:rPr>
        <w:t xml:space="preserve"> en Ginebra el 11 de abril de 2014.</w:t>
      </w:r>
    </w:p>
    <w:p w:rsidR="003502DA" w:rsidRPr="00F33D64" w:rsidRDefault="003502DA" w:rsidP="00312C2A">
      <w:pPr>
        <w:rPr>
          <w:lang w:val="es-ES"/>
        </w:rPr>
      </w:pPr>
    </w:p>
    <w:p w:rsidR="003502DA" w:rsidRPr="00F33D64" w:rsidRDefault="00F70222" w:rsidP="00312C2A">
      <w:pPr>
        <w:rPr>
          <w:rFonts w:cs="Arial"/>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AE2CC5" w:rsidRPr="00F33D64">
        <w:rPr>
          <w:rFonts w:eastAsia="MS Mincho" w:cs="Arial"/>
          <w:snapToGrid w:val="0"/>
          <w:lang w:val="es-ES_tradnl"/>
        </w:rPr>
        <w:t xml:space="preserve">El TC, en su quincuagésima sesión, celebrada en Ginebra del 7 al 9 de abril de 2014 y el CAJ, en su sexagésima novena sesión, celebrada en Ginebra el 10 de abril de 2014, se mostraron de acuerdo con </w:t>
      </w:r>
      <w:r w:rsidR="00AE2CC5" w:rsidRPr="00F33D64">
        <w:rPr>
          <w:lang w:val="es-ES_tradnl"/>
        </w:rPr>
        <w:t>la propuesta de explicación de la situación en la UPOV en lo que respecta al uso de técnicas moleculares</w:t>
      </w:r>
      <w:r w:rsidR="00AE2CC5" w:rsidRPr="00F33D64">
        <w:rPr>
          <w:rFonts w:cs="Arial"/>
          <w:lang w:val="es-ES_tradnl"/>
        </w:rPr>
        <w:t>, según figura a continuación:</w:t>
      </w:r>
    </w:p>
    <w:p w:rsidR="003502DA" w:rsidRPr="00F33D64" w:rsidRDefault="003502DA" w:rsidP="00312C2A">
      <w:pPr>
        <w:rPr>
          <w:rFonts w:cs="Arial"/>
          <w:lang w:val="es-ES"/>
        </w:rPr>
      </w:pPr>
    </w:p>
    <w:p w:rsidR="003502DA" w:rsidRPr="00F33D64" w:rsidRDefault="003502DA" w:rsidP="003502DA">
      <w:pPr>
        <w:ind w:left="567" w:right="567"/>
        <w:rPr>
          <w:lang w:val="es-ES"/>
        </w:rPr>
      </w:pPr>
      <w:r w:rsidRPr="00F33D64">
        <w:rPr>
          <w:lang w:val="es-ES_tradnl"/>
        </w:rPr>
        <w:t>Pregunta</w:t>
      </w:r>
      <w:proofErr w:type="gramStart"/>
      <w:r w:rsidRPr="00F33D64">
        <w:rPr>
          <w:lang w:val="es-ES_tradnl"/>
        </w:rPr>
        <w:t>:  ¿</w:t>
      </w:r>
      <w:proofErr w:type="gramEnd"/>
      <w:r w:rsidRPr="00F33D64">
        <w:rPr>
          <w:lang w:val="es-ES_tradnl"/>
        </w:rPr>
        <w:t>Permite la UPOV el uso de técnicas moleculares (perfiles de ADN) en el examen DHE?</w:t>
      </w:r>
    </w:p>
    <w:p w:rsidR="003502DA" w:rsidRPr="00F33D64" w:rsidRDefault="003502DA" w:rsidP="00312C2A">
      <w:pPr>
        <w:ind w:left="567" w:right="567"/>
        <w:rPr>
          <w:lang w:val="es-ES"/>
        </w:rPr>
      </w:pPr>
    </w:p>
    <w:p w:rsidR="003502DA" w:rsidRPr="00F33D64" w:rsidRDefault="003502DA" w:rsidP="003502DA">
      <w:pPr>
        <w:ind w:left="567" w:right="567"/>
        <w:rPr>
          <w:snapToGrid w:val="0"/>
          <w:lang w:val="es-ES"/>
        </w:rPr>
      </w:pPr>
      <w:r w:rsidRPr="00F33D64">
        <w:rPr>
          <w:snapToGrid w:val="0"/>
          <w:lang w:val="es-ES_tradnl"/>
        </w:rPr>
        <w:t>Respuesta</w:t>
      </w:r>
      <w:proofErr w:type="gramStart"/>
      <w:r w:rsidRPr="00F33D64">
        <w:rPr>
          <w:snapToGrid w:val="0"/>
          <w:lang w:val="es-ES_tradnl"/>
        </w:rPr>
        <w:t>:</w:t>
      </w:r>
      <w:r w:rsidR="00682C6D" w:rsidRPr="00F33D64">
        <w:rPr>
          <w:snapToGrid w:val="0"/>
          <w:lang w:val="es-ES_tradnl"/>
        </w:rPr>
        <w:t xml:space="preserve"> </w:t>
      </w:r>
      <w:r w:rsidRPr="00F33D64">
        <w:rPr>
          <w:snapToGrid w:val="0"/>
          <w:lang w:val="es-ES_tradnl"/>
        </w:rPr>
        <w:t xml:space="preserve"> “</w:t>
      </w:r>
      <w:proofErr w:type="gramEnd"/>
      <w:r w:rsidRPr="00F33D64">
        <w:rPr>
          <w:snapToGrid w:val="0"/>
          <w:lang w:val="es-ES_tradnl"/>
        </w:rPr>
        <w:t>Es importante tener en cuenta que, en algunos casos, variedades con perfiles de ADN diferentes pueden ser morfológicamente idénticas, mientras que, en otros casos, variedades que presentan grandes diferencias fenotípicas pueden tener el mismo perfil de ADN para un conjunto determinado de marcadores moleculares (por ejemplo, algunas mutaciones).</w:t>
      </w:r>
    </w:p>
    <w:p w:rsidR="003502DA" w:rsidRPr="00F33D64" w:rsidRDefault="003502DA" w:rsidP="00312C2A">
      <w:pPr>
        <w:ind w:left="567" w:right="567"/>
        <w:rPr>
          <w:snapToGrid w:val="0"/>
          <w:lang w:val="es-ES"/>
        </w:rPr>
      </w:pPr>
    </w:p>
    <w:p w:rsidR="003502DA" w:rsidRPr="00F33D64" w:rsidRDefault="003502DA" w:rsidP="003502DA">
      <w:pPr>
        <w:ind w:left="567" w:right="567"/>
        <w:rPr>
          <w:snapToGrid w:val="0"/>
          <w:lang w:val="es-ES"/>
        </w:rPr>
      </w:pPr>
      <w:r w:rsidRPr="00F33D64">
        <w:rPr>
          <w:snapToGrid w:val="0"/>
          <w:lang w:val="es-ES_tradnl"/>
        </w:rPr>
        <w:t>En cuanto al uso de marcadores moleculares no relacionados con diferencias fenotípicas, la preocupación radica en que podría utilizarse un número ilimitado de marcadores para encontrar diferencias entre variedades.</w:t>
      </w:r>
    </w:p>
    <w:p w:rsidR="003502DA" w:rsidRPr="00F33D64" w:rsidRDefault="003502DA" w:rsidP="00312C2A">
      <w:pPr>
        <w:ind w:left="567" w:right="567"/>
        <w:rPr>
          <w:snapToGrid w:val="0"/>
          <w:lang w:val="es-ES"/>
        </w:rPr>
      </w:pPr>
    </w:p>
    <w:p w:rsidR="003502DA" w:rsidRPr="00F33D64" w:rsidRDefault="003502DA" w:rsidP="003502DA">
      <w:pPr>
        <w:ind w:left="567" w:right="567"/>
        <w:rPr>
          <w:snapToGrid w:val="0"/>
          <w:lang w:val="es-ES"/>
        </w:rPr>
      </w:pPr>
      <w:r w:rsidRPr="00F33D64">
        <w:rPr>
          <w:snapToGrid w:val="0"/>
          <w:lang w:val="es-ES_tradnl"/>
        </w:rPr>
        <w:t>Con arreglo a lo anterior, la UPOV ha acordado los siguientes usos de marcadores moleculares en relación con el examen DHE:</w:t>
      </w:r>
      <w:r w:rsidR="00312C2A" w:rsidRPr="00F33D64">
        <w:rPr>
          <w:snapToGrid w:val="0"/>
          <w:lang w:val="es-ES"/>
        </w:rPr>
        <w:t xml:space="preserve">  </w:t>
      </w:r>
    </w:p>
    <w:p w:rsidR="003502DA" w:rsidRPr="00F33D64" w:rsidRDefault="003502DA" w:rsidP="00312C2A">
      <w:pPr>
        <w:ind w:left="567" w:right="567"/>
        <w:rPr>
          <w:snapToGrid w:val="0"/>
          <w:lang w:val="es-ES"/>
        </w:rPr>
      </w:pPr>
    </w:p>
    <w:p w:rsidR="003502DA" w:rsidRPr="00F33D64" w:rsidRDefault="00682C6D" w:rsidP="003502DA">
      <w:pPr>
        <w:ind w:left="567" w:right="567"/>
        <w:rPr>
          <w:snapToGrid w:val="0"/>
          <w:lang w:val="es-ES"/>
        </w:rPr>
      </w:pPr>
      <w:r w:rsidRPr="00F33D64">
        <w:rPr>
          <w:snapToGrid w:val="0"/>
          <w:lang w:val="es-ES_tradnl"/>
        </w:rPr>
        <w:t>a)</w:t>
      </w:r>
      <w:r w:rsidRPr="00F33D64">
        <w:rPr>
          <w:snapToGrid w:val="0"/>
          <w:lang w:val="es-ES_tradnl"/>
        </w:rPr>
        <w:tab/>
      </w:r>
      <w:r w:rsidR="003502DA" w:rsidRPr="00F33D64">
        <w:rPr>
          <w:snapToGrid w:val="0"/>
          <w:lang w:val="es-ES_tradnl"/>
        </w:rPr>
        <w:t>Los marcadores moleculares se pueden utilizar, a efectos del examen DHE, como método de examen de los caracteres que cumplen los criterios que figuran en la Introducción General si existe un vínculo fiable entre el marcador y el carácter.</w:t>
      </w:r>
      <w:r w:rsidR="00312C2A" w:rsidRPr="00F33D64">
        <w:rPr>
          <w:snapToGrid w:val="0"/>
          <w:lang w:val="es-ES"/>
        </w:rPr>
        <w:t xml:space="preserve"> </w:t>
      </w:r>
    </w:p>
    <w:p w:rsidR="003502DA" w:rsidRPr="00F33D64" w:rsidRDefault="003502DA" w:rsidP="00312C2A">
      <w:pPr>
        <w:ind w:left="567" w:right="567"/>
        <w:rPr>
          <w:snapToGrid w:val="0"/>
          <w:lang w:val="es-ES"/>
        </w:rPr>
      </w:pPr>
    </w:p>
    <w:p w:rsidR="003502DA" w:rsidRPr="00F33D64" w:rsidRDefault="003502DA" w:rsidP="003502DA">
      <w:pPr>
        <w:ind w:left="567" w:right="567"/>
        <w:rPr>
          <w:snapToGrid w:val="0"/>
          <w:lang w:val="es-ES"/>
        </w:rPr>
      </w:pPr>
      <w:r w:rsidRPr="00F33D64">
        <w:rPr>
          <w:snapToGrid w:val="0"/>
          <w:lang w:val="es-ES_tradnl"/>
        </w:rPr>
        <w:t>b</w:t>
      </w:r>
      <w:r w:rsidR="00682C6D" w:rsidRPr="00F33D64">
        <w:rPr>
          <w:snapToGrid w:val="0"/>
          <w:lang w:val="es-ES_tradnl"/>
        </w:rPr>
        <w:t>)</w:t>
      </w:r>
      <w:r w:rsidR="00682C6D" w:rsidRPr="00F33D64">
        <w:rPr>
          <w:snapToGrid w:val="0"/>
          <w:lang w:val="es-ES_tradnl"/>
        </w:rPr>
        <w:tab/>
      </w:r>
      <w:r w:rsidRPr="00F33D64">
        <w:rPr>
          <w:snapToGrid w:val="0"/>
          <w:lang w:val="es-ES_tradnl"/>
        </w:rPr>
        <w:t>Puede utilizarse una combinación de diferencias fenotípicas y distancias moleculares para mejorar la selección de las variedades que se han de comparar en el ensayo en cultivo si las distancias moleculares están suficientemente relacionadas con las diferencias fenotípicas y el método no aumenta el riesgo de no seleccionar una variedad de la colección de variedades que deba compararse con las variedades candidatas en el ensayo en cultivo DHE.</w:t>
      </w:r>
    </w:p>
    <w:p w:rsidR="003502DA" w:rsidRPr="00F33D64" w:rsidRDefault="003502DA" w:rsidP="00312C2A">
      <w:pPr>
        <w:ind w:left="567" w:right="567"/>
        <w:rPr>
          <w:snapToGrid w:val="0"/>
          <w:lang w:val="es-ES" w:eastAsia="ja-JP"/>
        </w:rPr>
      </w:pPr>
    </w:p>
    <w:p w:rsidR="003502DA" w:rsidRPr="00F33D64" w:rsidRDefault="003502DA" w:rsidP="003502DA">
      <w:pPr>
        <w:ind w:left="567" w:right="567"/>
        <w:rPr>
          <w:snapToGrid w:val="0"/>
          <w:lang w:val="es-ES"/>
        </w:rPr>
      </w:pPr>
      <w:r w:rsidRPr="00F33D64">
        <w:rPr>
          <w:rFonts w:cs="Arial"/>
          <w:lang w:val="es-ES_tradnl"/>
        </w:rPr>
        <w:lastRenderedPageBreak/>
        <w:t>La situación en la UPOV se explica en los documentos TGP/15, “Orientación sobre el uso de marcadores bioquímicos y moleculares en el examen de la distinción, la homogeneidad y la estabilidad (DHE)”, y UPOV/INF/18, “Posible utilización de marcadores moleculares en el examen de la distinción, la homogeneidad y la estabilidad (DHE)”.</w:t>
      </w:r>
      <w:r w:rsidR="00312C2A" w:rsidRPr="00F33D64">
        <w:rPr>
          <w:rFonts w:cs="Arial"/>
          <w:lang w:val="es-ES"/>
        </w:rPr>
        <w:t xml:space="preserve"> </w:t>
      </w:r>
    </w:p>
    <w:p w:rsidR="003502DA" w:rsidRPr="00F33D64" w:rsidRDefault="003502DA" w:rsidP="00312C2A">
      <w:pPr>
        <w:rPr>
          <w:lang w:val="es-ES"/>
        </w:rPr>
      </w:pPr>
    </w:p>
    <w:p w:rsidR="003502DA" w:rsidRPr="00F33D64" w:rsidRDefault="00F70222" w:rsidP="003502D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Con respecto a un público más amplio, el TC convino en que la pregunta no estaba correctamente formulada y que, por lo tanto, no era adecuada para tratar de hallar una respuesta a la misma.</w:t>
      </w:r>
      <w:r w:rsidR="00682C6D" w:rsidRPr="00F33D64">
        <w:rPr>
          <w:lang w:val="es-ES_tradnl"/>
        </w:rPr>
        <w:t xml:space="preserve"> </w:t>
      </w:r>
      <w:r w:rsidR="00312C2A" w:rsidRPr="00F33D64">
        <w:rPr>
          <w:lang w:val="es-ES"/>
        </w:rPr>
        <w:t xml:space="preserve"> </w:t>
      </w:r>
      <w:r w:rsidR="003502DA" w:rsidRPr="00F33D64">
        <w:rPr>
          <w:lang w:val="es-ES_tradnl"/>
        </w:rPr>
        <w:t>El TC acordó que se debía volver a redactar la pregunta después de aclarar las cuestiones de interés para una audiencia más amplia (véa</w:t>
      </w:r>
      <w:r w:rsidR="002A3736" w:rsidRPr="00F33D64">
        <w:rPr>
          <w:lang w:val="es-ES_tradnl"/>
        </w:rPr>
        <w:t>n</w:t>
      </w:r>
      <w:r w:rsidR="003502DA" w:rsidRPr="00F33D64">
        <w:rPr>
          <w:lang w:val="es-ES_tradnl"/>
        </w:rPr>
        <w:t xml:space="preserve">se </w:t>
      </w:r>
      <w:r w:rsidR="002A3736" w:rsidRPr="00F33D64">
        <w:rPr>
          <w:lang w:val="es-ES_tradnl"/>
        </w:rPr>
        <w:t xml:space="preserve">los </w:t>
      </w:r>
      <w:r w:rsidR="003502DA" w:rsidRPr="00F33D64">
        <w:rPr>
          <w:lang w:val="es-ES_tradnl"/>
        </w:rPr>
        <w:t>párrafo</w:t>
      </w:r>
      <w:r w:rsidR="002A3736" w:rsidRPr="00F33D64">
        <w:rPr>
          <w:lang w:val="es-ES_tradnl"/>
        </w:rPr>
        <w:t>s</w:t>
      </w:r>
      <w:r w:rsidR="00682C6D" w:rsidRPr="00F33D64">
        <w:rPr>
          <w:lang w:val="es-ES_tradnl"/>
        </w:rPr>
        <w:t xml:space="preserve"> </w:t>
      </w:r>
      <w:r w:rsidR="002A3736" w:rsidRPr="00F33D64">
        <w:rPr>
          <w:lang w:val="es-ES_tradnl"/>
        </w:rPr>
        <w:t xml:space="preserve">83 a </w:t>
      </w:r>
      <w:r w:rsidR="003502DA" w:rsidRPr="00F33D64">
        <w:rPr>
          <w:lang w:val="es-ES_tradnl"/>
        </w:rPr>
        <w:t>85 del documento</w:t>
      </w:r>
      <w:r w:rsidR="00682C6D" w:rsidRPr="00F33D64">
        <w:rPr>
          <w:lang w:val="es-ES_tradnl"/>
        </w:rPr>
        <w:t xml:space="preserve"> </w:t>
      </w:r>
      <w:r w:rsidR="003502DA" w:rsidRPr="00F33D64">
        <w:rPr>
          <w:lang w:val="es-ES_tradnl"/>
        </w:rPr>
        <w:t>TC/50/36 “Informe sobre las Conclusiones”).</w:t>
      </w:r>
    </w:p>
    <w:p w:rsidR="003502DA" w:rsidRPr="00F33D64" w:rsidRDefault="003502DA" w:rsidP="00312C2A">
      <w:pPr>
        <w:rPr>
          <w:lang w:val="es-ES"/>
        </w:rPr>
      </w:pPr>
    </w:p>
    <w:p w:rsidR="003502DA" w:rsidRPr="00F33D64" w:rsidRDefault="00F70222" w:rsidP="00312C2A">
      <w:pPr>
        <w:rPr>
          <w:lang w:val="es-ES" w:eastAsia="ja-JP"/>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AE2CC5" w:rsidRPr="00F33D64">
        <w:rPr>
          <w:lang w:val="es-ES_tradnl"/>
        </w:rPr>
        <w:t xml:space="preserve">El Consejo, en su trigésima primera sesión extraordinaria, celebrada en Ginebra el 12 de abril de 2014, aprobó las </w:t>
      </w:r>
      <w:r w:rsidR="007315BF" w:rsidRPr="00F33D64">
        <w:rPr>
          <w:lang w:val="es-ES_tradnl"/>
        </w:rPr>
        <w:t xml:space="preserve">respuestas a las </w:t>
      </w:r>
      <w:r w:rsidR="00AE2CC5" w:rsidRPr="00F33D64">
        <w:rPr>
          <w:lang w:val="es-ES_tradnl"/>
        </w:rPr>
        <w:t>preguntas frecuentes</w:t>
      </w:r>
      <w:r w:rsidR="008B73CE" w:rsidRPr="00F33D64">
        <w:rPr>
          <w:lang w:val="es-ES_tradnl"/>
        </w:rPr>
        <w:t xml:space="preserve"> (FAQ)</w:t>
      </w:r>
      <w:r w:rsidR="007315BF" w:rsidRPr="00F33D64">
        <w:rPr>
          <w:lang w:val="es-ES_tradnl"/>
        </w:rPr>
        <w:t xml:space="preserve">, </w:t>
      </w:r>
      <w:r w:rsidR="008B73CE" w:rsidRPr="00F33D64">
        <w:rPr>
          <w:lang w:val="es-ES_tradnl"/>
        </w:rPr>
        <w:t xml:space="preserve">con </w:t>
      </w:r>
      <w:r w:rsidR="00AE2CC5" w:rsidRPr="00F33D64">
        <w:rPr>
          <w:lang w:val="es-ES_tradnl"/>
        </w:rPr>
        <w:t xml:space="preserve">las correspondientes </w:t>
      </w:r>
      <w:r w:rsidR="007315BF" w:rsidRPr="00F33D64">
        <w:rPr>
          <w:lang w:val="es-ES_tradnl"/>
        </w:rPr>
        <w:t>preguntas</w:t>
      </w:r>
      <w:r w:rsidR="00AE2CC5" w:rsidRPr="00F33D64">
        <w:rPr>
          <w:lang w:val="es-ES_tradnl"/>
        </w:rPr>
        <w:t xml:space="preserve">, </w:t>
      </w:r>
      <w:r w:rsidR="00AE2CC5" w:rsidRPr="00F33D64">
        <w:rPr>
          <w:lang w:val="es-ES_tradnl" w:eastAsia="ja-JP"/>
        </w:rPr>
        <w:t xml:space="preserve">según </w:t>
      </w:r>
      <w:r w:rsidR="00AE2CC5" w:rsidRPr="005420B5">
        <w:rPr>
          <w:lang w:val="es-ES_tradnl" w:eastAsia="ja-JP"/>
        </w:rPr>
        <w:t>consta en</w:t>
      </w:r>
      <w:r w:rsidR="00AE2CC5" w:rsidRPr="005420B5">
        <w:rPr>
          <w:rFonts w:hint="eastAsia"/>
          <w:lang w:val="es-ES_tradnl" w:eastAsia="ja-JP"/>
        </w:rPr>
        <w:t xml:space="preserve"> </w:t>
      </w:r>
      <w:r w:rsidR="00AE2CC5" w:rsidRPr="005420B5">
        <w:rPr>
          <w:lang w:val="es-ES_tradnl" w:eastAsia="ja-JP"/>
        </w:rPr>
        <w:t>el anterior párrafo </w:t>
      </w:r>
      <w:r w:rsidR="00AE2CC5" w:rsidRPr="005420B5">
        <w:rPr>
          <w:rFonts w:hint="eastAsia"/>
          <w:lang w:val="es-ES_tradnl" w:eastAsia="ja-JP"/>
        </w:rPr>
        <w:t>3</w:t>
      </w:r>
      <w:r w:rsidR="00AE2CC5" w:rsidRPr="005420B5">
        <w:rPr>
          <w:lang w:val="es-ES_tradnl" w:eastAsia="ja-JP"/>
        </w:rPr>
        <w:t>6</w:t>
      </w:r>
      <w:r w:rsidR="00AE2CC5" w:rsidRPr="005420B5">
        <w:rPr>
          <w:rFonts w:hint="eastAsia"/>
          <w:lang w:val="es-ES_tradnl" w:eastAsia="ja-JP"/>
        </w:rPr>
        <w:t xml:space="preserve"> </w:t>
      </w:r>
      <w:r w:rsidR="00AE2CC5" w:rsidRPr="005420B5">
        <w:rPr>
          <w:lang w:val="es-ES_tradnl"/>
        </w:rPr>
        <w:t xml:space="preserve">(véase </w:t>
      </w:r>
      <w:r w:rsidR="007315BF" w:rsidRPr="005420B5">
        <w:rPr>
          <w:lang w:val="es-ES_tradnl"/>
        </w:rPr>
        <w:t xml:space="preserve">el </w:t>
      </w:r>
      <w:r w:rsidR="00AE2CC5" w:rsidRPr="005420B5">
        <w:rPr>
          <w:lang w:val="es-ES_tradnl"/>
        </w:rPr>
        <w:t xml:space="preserve">párrafo 15 del documento </w:t>
      </w:r>
      <w:proofErr w:type="gramStart"/>
      <w:r w:rsidR="00AE2CC5" w:rsidRPr="005420B5">
        <w:rPr>
          <w:lang w:val="es-ES_tradnl"/>
        </w:rPr>
        <w:t>C(</w:t>
      </w:r>
      <w:proofErr w:type="gramEnd"/>
      <w:r w:rsidR="00AE2CC5" w:rsidRPr="005420B5">
        <w:rPr>
          <w:lang w:val="es-ES_tradnl"/>
        </w:rPr>
        <w:t>Extr.)/31/5 “</w:t>
      </w:r>
      <w:r w:rsidR="007315BF" w:rsidRPr="005420B5">
        <w:rPr>
          <w:lang w:val="es-ES_tradnl"/>
        </w:rPr>
        <w:t>Informe sobre las</w:t>
      </w:r>
      <w:r w:rsidR="007315BF" w:rsidRPr="00F33D64">
        <w:rPr>
          <w:lang w:val="es-ES_tradnl"/>
        </w:rPr>
        <w:t xml:space="preserve"> d</w:t>
      </w:r>
      <w:r w:rsidR="00AE2CC5" w:rsidRPr="00F33D64">
        <w:rPr>
          <w:lang w:val="es-ES_tradnl"/>
        </w:rPr>
        <w:t>ecision</w:t>
      </w:r>
      <w:r w:rsidR="007315BF" w:rsidRPr="00F33D64">
        <w:rPr>
          <w:lang w:val="es-ES_tradnl"/>
        </w:rPr>
        <w:t>e</w:t>
      </w:r>
      <w:r w:rsidR="00AE2CC5" w:rsidRPr="00F33D64">
        <w:rPr>
          <w:lang w:val="es-ES_tradnl"/>
        </w:rPr>
        <w:t>s”</w:t>
      </w:r>
      <w:r w:rsidR="00AE2CC5" w:rsidRPr="00F33D64">
        <w:rPr>
          <w:rFonts w:hint="eastAsia"/>
          <w:lang w:val="es-ES_tradnl" w:eastAsia="ja-JP"/>
        </w:rPr>
        <w:t>).</w:t>
      </w:r>
    </w:p>
    <w:p w:rsidR="003502DA" w:rsidRPr="00F33D64" w:rsidRDefault="003502DA" w:rsidP="00312C2A">
      <w:pPr>
        <w:rPr>
          <w:snapToGrid w:val="0"/>
          <w:lang w:val="es-ES" w:eastAsia="ja-JP"/>
        </w:rPr>
      </w:pPr>
    </w:p>
    <w:p w:rsidR="003502DA" w:rsidRPr="00F33D64" w:rsidRDefault="00F70222" w:rsidP="003502DA">
      <w:pPr>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Las respuestas a las preguntas frecuentes se han publicado en el sitio web de la UPOV, en la dirección http://www.upov.int/about/es/faq.html.</w:t>
      </w:r>
    </w:p>
    <w:p w:rsidR="003502DA" w:rsidRPr="00F33D64" w:rsidRDefault="003502DA" w:rsidP="00312C2A">
      <w:pPr>
        <w:rPr>
          <w:lang w:val="es-ES" w:eastAsia="ja-JP"/>
        </w:rPr>
      </w:pPr>
    </w:p>
    <w:p w:rsidR="003502DA" w:rsidRPr="00F33D64" w:rsidRDefault="00F70222" w:rsidP="00312C2A">
      <w:pPr>
        <w:rPr>
          <w:snapToGrid w:val="0"/>
          <w:lang w:val="es-ES"/>
        </w:rPr>
      </w:pPr>
      <w:r w:rsidRPr="00F33D64">
        <w:rPr>
          <w:snapToGrid w:val="0"/>
        </w:rPr>
        <w:fldChar w:fldCharType="begin"/>
      </w:r>
      <w:r w:rsidR="00312C2A" w:rsidRPr="00F33D64">
        <w:rPr>
          <w:snapToGrid w:val="0"/>
          <w:lang w:val="es-ES"/>
        </w:rPr>
        <w:instrText xml:space="preserve"> AUTONUM  </w:instrText>
      </w:r>
      <w:r w:rsidRPr="00F33D64">
        <w:rPr>
          <w:snapToGrid w:val="0"/>
        </w:rPr>
        <w:fldChar w:fldCharType="end"/>
      </w:r>
      <w:r w:rsidR="00312C2A" w:rsidRPr="00F33D64">
        <w:rPr>
          <w:snapToGrid w:val="0"/>
          <w:lang w:val="es-ES"/>
        </w:rPr>
        <w:tab/>
      </w:r>
      <w:r w:rsidR="007315BF" w:rsidRPr="00F33D64">
        <w:rPr>
          <w:snapToGrid w:val="0"/>
          <w:lang w:val="es-ES_tradnl"/>
        </w:rPr>
        <w:t>El Comité Consultivo, en su octogésima octava sesión, celebrada en Ginebra el 15 de octubre de 2014, convino en que las preguntas frecuentes propuestas relativas a la información sobre la situación en la UPOV en lo que respecta al uso de técnicas moleculares, para un público más amplio, que incluya al público en general, debían someterse a la consideración del Comité Técnico (véase el párrafo 48 del documento C/48/19 “Informe de la Presidenta sobre los trabajos de la octogésima sexta sesión del Comité Consultivo; aprobación, si procede, de las recomendaciones preparadas por dicho Comité</w:t>
      </w:r>
      <w:r w:rsidR="00EE20AD" w:rsidRPr="00F33D64">
        <w:rPr>
          <w:snapToGrid w:val="0"/>
          <w:lang w:val="es-ES_tradnl"/>
        </w:rPr>
        <w:t>”</w:t>
      </w:r>
      <w:r w:rsidR="007315BF" w:rsidRPr="00F33D64">
        <w:rPr>
          <w:snapToGrid w:val="0"/>
          <w:lang w:val="es-ES_tradnl"/>
        </w:rPr>
        <w:t>).</w:t>
      </w:r>
    </w:p>
    <w:p w:rsidR="003502DA" w:rsidRPr="00F33D64" w:rsidRDefault="003502DA" w:rsidP="00312C2A">
      <w:pPr>
        <w:rPr>
          <w:snapToGrid w:val="0"/>
          <w:lang w:val="es-ES"/>
        </w:rPr>
      </w:pPr>
    </w:p>
    <w:p w:rsidR="003502DA" w:rsidRPr="00F33D64" w:rsidRDefault="00F70222" w:rsidP="003502DA">
      <w:pPr>
        <w:pStyle w:val="DecisionParagraphs"/>
        <w:tabs>
          <w:tab w:val="clear" w:pos="5387"/>
          <w:tab w:val="left" w:pos="5103"/>
        </w:tabs>
        <w:ind w:left="4536"/>
        <w:rPr>
          <w:lang w:val="es-ES"/>
        </w:rPr>
      </w:pPr>
      <w:r w:rsidRPr="00F33D64">
        <w:fldChar w:fldCharType="begin"/>
      </w:r>
      <w:r w:rsidR="00312C2A" w:rsidRPr="00F33D64">
        <w:rPr>
          <w:lang w:val="es-ES"/>
        </w:rPr>
        <w:instrText xml:space="preserve"> AUTONUM  </w:instrText>
      </w:r>
      <w:r w:rsidRPr="00F33D64">
        <w:fldChar w:fldCharType="end"/>
      </w:r>
      <w:r w:rsidR="00312C2A" w:rsidRPr="00F33D64">
        <w:rPr>
          <w:lang w:val="es-ES"/>
        </w:rPr>
        <w:tab/>
      </w:r>
      <w:r w:rsidR="003502DA" w:rsidRPr="00F33D64">
        <w:rPr>
          <w:lang w:val="es-ES_tradnl"/>
        </w:rPr>
        <w:t>Se invita al TC a:</w:t>
      </w:r>
    </w:p>
    <w:p w:rsidR="003502DA" w:rsidRPr="00F33D64" w:rsidRDefault="003502DA" w:rsidP="00312C2A">
      <w:pPr>
        <w:pStyle w:val="DecisionParagraphs"/>
        <w:ind w:left="4536"/>
        <w:rPr>
          <w:lang w:val="es-ES"/>
        </w:rPr>
      </w:pPr>
    </w:p>
    <w:p w:rsidR="003502DA" w:rsidRPr="00F33D64" w:rsidRDefault="00312C2A" w:rsidP="00312C2A">
      <w:pPr>
        <w:pStyle w:val="DecisionParagraphs"/>
        <w:tabs>
          <w:tab w:val="clear" w:pos="5387"/>
          <w:tab w:val="left" w:pos="5103"/>
          <w:tab w:val="left" w:pos="5670"/>
        </w:tabs>
        <w:ind w:left="4536" w:firstLine="567"/>
        <w:rPr>
          <w:lang w:val="es-ES"/>
        </w:rPr>
      </w:pPr>
      <w:r w:rsidRPr="00F33D64">
        <w:rPr>
          <w:snapToGrid w:val="0"/>
          <w:lang w:val="es-ES"/>
        </w:rPr>
        <w:t>a)</w:t>
      </w:r>
      <w:r w:rsidRPr="00F33D64">
        <w:rPr>
          <w:snapToGrid w:val="0"/>
          <w:lang w:val="es-ES"/>
        </w:rPr>
        <w:tab/>
      </w:r>
      <w:r w:rsidR="00D10C03" w:rsidRPr="00F33D64">
        <w:rPr>
          <w:lang w:val="es-ES_tradnl"/>
        </w:rPr>
        <w:t xml:space="preserve">tomar nota del informe sobre las novedades </w:t>
      </w:r>
      <w:r w:rsidR="007218FA" w:rsidRPr="00F33D64">
        <w:rPr>
          <w:lang w:val="es-ES_tradnl"/>
        </w:rPr>
        <w:t xml:space="preserve">que se han producido </w:t>
      </w:r>
      <w:r w:rsidR="00D10C03" w:rsidRPr="00F33D64">
        <w:rPr>
          <w:lang w:val="es-ES_tradnl"/>
        </w:rPr>
        <w:t xml:space="preserve">en el TC, los TWP y el BMT, según </w:t>
      </w:r>
      <w:r w:rsidR="00D10C03" w:rsidRPr="005420B5">
        <w:rPr>
          <w:lang w:val="es-ES_tradnl"/>
        </w:rPr>
        <w:t>se expone en los párrafos </w:t>
      </w:r>
      <w:r w:rsidR="00D10C03" w:rsidRPr="005420B5">
        <w:rPr>
          <w:lang w:val="es-ES_tradnl" w:eastAsia="ja-JP"/>
        </w:rPr>
        <w:t>4</w:t>
      </w:r>
      <w:r w:rsidR="005420B5" w:rsidRPr="005420B5">
        <w:rPr>
          <w:lang w:val="es-ES_tradnl"/>
        </w:rPr>
        <w:t xml:space="preserve"> al </w:t>
      </w:r>
      <w:r w:rsidR="00D10C03" w:rsidRPr="005420B5">
        <w:rPr>
          <w:lang w:val="es-ES_tradnl"/>
        </w:rPr>
        <w:t>22 del presente</w:t>
      </w:r>
      <w:r w:rsidR="00D10C03" w:rsidRPr="00F33D64">
        <w:rPr>
          <w:lang w:val="es-ES_tradnl"/>
        </w:rPr>
        <w:t xml:space="preserve"> documento;</w:t>
      </w:r>
    </w:p>
    <w:p w:rsidR="003502DA" w:rsidRPr="00F33D64" w:rsidRDefault="003502DA" w:rsidP="00312C2A">
      <w:pPr>
        <w:pStyle w:val="DecisionParagraphs"/>
        <w:tabs>
          <w:tab w:val="clear" w:pos="5387"/>
          <w:tab w:val="left" w:pos="5670"/>
        </w:tabs>
        <w:ind w:left="4536" w:firstLine="567"/>
        <w:rPr>
          <w:lang w:val="es-ES"/>
        </w:rPr>
      </w:pPr>
    </w:p>
    <w:p w:rsidR="003502DA" w:rsidRPr="00F33D64" w:rsidRDefault="00312C2A" w:rsidP="00312C2A">
      <w:pPr>
        <w:pStyle w:val="DecisionParagraphs"/>
        <w:tabs>
          <w:tab w:val="clear" w:pos="5387"/>
          <w:tab w:val="left" w:pos="5670"/>
        </w:tabs>
        <w:ind w:left="4536" w:firstLine="567"/>
        <w:rPr>
          <w:lang w:val="es-ES"/>
        </w:rPr>
      </w:pPr>
      <w:r w:rsidRPr="00F33D64">
        <w:rPr>
          <w:lang w:val="es-ES" w:eastAsia="ja-JP"/>
        </w:rPr>
        <w:t>b)</w:t>
      </w:r>
      <w:r w:rsidRPr="00F33D64">
        <w:rPr>
          <w:lang w:val="es-ES" w:eastAsia="ja-JP"/>
        </w:rPr>
        <w:tab/>
      </w:r>
      <w:r w:rsidR="00D10C03" w:rsidRPr="00F33D64">
        <w:rPr>
          <w:lang w:val="es-ES_tradnl" w:eastAsia="ja-JP"/>
        </w:rPr>
        <w:t xml:space="preserve">aprobar </w:t>
      </w:r>
      <w:r w:rsidR="00D10C03" w:rsidRPr="00F33D64">
        <w:rPr>
          <w:lang w:val="es-ES_tradnl"/>
        </w:rPr>
        <w:t>el programa de la decimoquinta reunión del BMT, prevista en 201</w:t>
      </w:r>
      <w:r w:rsidR="00D10C03" w:rsidRPr="00F33D64">
        <w:rPr>
          <w:rFonts w:hint="eastAsia"/>
          <w:lang w:val="es-ES_tradnl" w:eastAsia="ja-JP"/>
        </w:rPr>
        <w:t>6</w:t>
      </w:r>
      <w:r w:rsidR="00D10C03" w:rsidRPr="00F33D64">
        <w:rPr>
          <w:lang w:val="es-ES_tradnl"/>
        </w:rPr>
        <w:t xml:space="preserve">, así como la dedicación de una fecha concreta (“Día del obtentor”) a los puntos que tratan del uso de técnicas moleculares en el examen de las variedades esencialmente derivadas y en la identificación de variedades, según consta en el </w:t>
      </w:r>
      <w:r w:rsidR="00D10C03" w:rsidRPr="005420B5">
        <w:rPr>
          <w:lang w:val="es-ES_tradnl"/>
        </w:rPr>
        <w:t>anterior párrafo 22</w:t>
      </w:r>
      <w:r w:rsidR="00D10C03" w:rsidRPr="005420B5">
        <w:rPr>
          <w:lang w:val="es-ES_tradnl" w:eastAsia="ja-JP"/>
        </w:rPr>
        <w:t>;</w:t>
      </w:r>
    </w:p>
    <w:p w:rsidR="003502DA" w:rsidRPr="00F33D64" w:rsidRDefault="003502DA" w:rsidP="00312C2A">
      <w:pPr>
        <w:pStyle w:val="DecisionParagraphs"/>
        <w:ind w:left="4536"/>
        <w:rPr>
          <w:lang w:val="es-ES"/>
        </w:rPr>
      </w:pPr>
    </w:p>
    <w:p w:rsidR="003502DA" w:rsidRPr="00F33D64" w:rsidRDefault="00312C2A" w:rsidP="00312C2A">
      <w:pPr>
        <w:pStyle w:val="DecisionParagraphs"/>
        <w:tabs>
          <w:tab w:val="clear" w:pos="5387"/>
          <w:tab w:val="left" w:pos="5670"/>
        </w:tabs>
        <w:ind w:left="4536" w:firstLine="567"/>
        <w:rPr>
          <w:lang w:val="es-ES" w:eastAsia="ja-JP"/>
        </w:rPr>
      </w:pPr>
      <w:r w:rsidRPr="00F33D64">
        <w:rPr>
          <w:lang w:val="es-ES" w:eastAsia="ja-JP"/>
        </w:rPr>
        <w:t>c)</w:t>
      </w:r>
      <w:r w:rsidRPr="00F33D64">
        <w:rPr>
          <w:lang w:val="es-ES" w:eastAsia="ja-JP"/>
        </w:rPr>
        <w:tab/>
      </w:r>
      <w:r w:rsidR="00D10C03" w:rsidRPr="00F33D64">
        <w:rPr>
          <w:lang w:val="es-ES_tradnl" w:eastAsia="ja-JP"/>
        </w:rPr>
        <w:t>considerar si procede elaborar</w:t>
      </w:r>
      <w:r w:rsidR="00D10C03" w:rsidRPr="00F33D64">
        <w:rPr>
          <w:rFonts w:hint="eastAsia"/>
          <w:lang w:val="es-ES_tradnl" w:eastAsia="ja-JP"/>
        </w:rPr>
        <w:t xml:space="preserve"> </w:t>
      </w:r>
      <w:r w:rsidR="00D10C03" w:rsidRPr="00F33D64">
        <w:rPr>
          <w:lang w:val="es-ES_tradnl" w:eastAsia="ja-JP"/>
        </w:rPr>
        <w:t>un</w:t>
      </w:r>
      <w:r w:rsidR="00D10C03" w:rsidRPr="00F33D64">
        <w:rPr>
          <w:rFonts w:hint="eastAsia"/>
          <w:lang w:val="es-ES_tradnl" w:eastAsia="ja-JP"/>
        </w:rPr>
        <w:t xml:space="preserve"> </w:t>
      </w:r>
      <w:r w:rsidR="00D10C03" w:rsidRPr="00F33D64">
        <w:rPr>
          <w:lang w:val="es-ES_tradnl" w:eastAsia="ja-JP"/>
        </w:rPr>
        <w:t>documento conjunto en el que se</w:t>
      </w:r>
      <w:r w:rsidR="00D10C03" w:rsidRPr="00F33D64">
        <w:rPr>
          <w:rFonts w:hint="eastAsia"/>
          <w:lang w:val="es-ES_tradnl" w:eastAsia="ja-JP"/>
        </w:rPr>
        <w:t xml:space="preserve"> expl</w:t>
      </w:r>
      <w:r w:rsidR="00D10C03" w:rsidRPr="00F33D64">
        <w:rPr>
          <w:lang w:val="es-ES_tradnl" w:eastAsia="ja-JP"/>
        </w:rPr>
        <w:t>iquen las características principales</w:t>
      </w:r>
      <w:r w:rsidR="00D10C03" w:rsidRPr="00F33D64">
        <w:rPr>
          <w:rFonts w:hint="eastAsia"/>
          <w:lang w:val="es-ES_tradnl" w:eastAsia="ja-JP"/>
        </w:rPr>
        <w:t xml:space="preserve"> </w:t>
      </w:r>
      <w:r w:rsidR="00D10C03" w:rsidRPr="00F33D64">
        <w:rPr>
          <w:lang w:val="es-ES_tradnl" w:eastAsia="ja-JP"/>
        </w:rPr>
        <w:t xml:space="preserve">de los sistemas de la OCDE, la </w:t>
      </w:r>
      <w:r w:rsidR="00D10C03" w:rsidRPr="00F33D64">
        <w:rPr>
          <w:rFonts w:hint="eastAsia"/>
          <w:lang w:val="es-ES_tradnl" w:eastAsia="ja-JP"/>
        </w:rPr>
        <w:t>UPOV</w:t>
      </w:r>
      <w:r w:rsidR="00D10C03" w:rsidRPr="00F33D64">
        <w:rPr>
          <w:lang w:val="es-ES_tradnl" w:eastAsia="ja-JP"/>
        </w:rPr>
        <w:t xml:space="preserve"> y la ISTA</w:t>
      </w:r>
      <w:r w:rsidR="00D10C03" w:rsidRPr="00F33D64">
        <w:rPr>
          <w:rFonts w:cs="Arial" w:hint="eastAsia"/>
          <w:lang w:val="es-ES_tradnl" w:eastAsia="ja-JP"/>
        </w:rPr>
        <w:t xml:space="preserve">, </w:t>
      </w:r>
      <w:r w:rsidR="00D10C03" w:rsidRPr="00F33D64">
        <w:rPr>
          <w:rFonts w:cs="Arial"/>
          <w:lang w:val="es-ES_tradnl" w:eastAsia="ja-JP"/>
        </w:rPr>
        <w:t>según consta en</w:t>
      </w:r>
      <w:r w:rsidR="00D10C03" w:rsidRPr="00F33D64">
        <w:rPr>
          <w:rFonts w:cs="Arial" w:hint="eastAsia"/>
          <w:lang w:val="es-ES_tradnl" w:eastAsia="ja-JP"/>
        </w:rPr>
        <w:t xml:space="preserve"> </w:t>
      </w:r>
      <w:r w:rsidR="00D10C03" w:rsidRPr="00F33D64">
        <w:rPr>
          <w:rFonts w:cs="Arial"/>
          <w:lang w:val="es-ES_tradnl" w:eastAsia="ja-JP"/>
        </w:rPr>
        <w:t xml:space="preserve">el anterior </w:t>
      </w:r>
      <w:r w:rsidR="00D10C03" w:rsidRPr="005420B5">
        <w:rPr>
          <w:rFonts w:cs="Arial"/>
          <w:lang w:val="es-ES_tradnl" w:eastAsia="ja-JP"/>
        </w:rPr>
        <w:t>párrafo </w:t>
      </w:r>
      <w:r w:rsidR="00D10C03" w:rsidRPr="005420B5">
        <w:rPr>
          <w:rFonts w:cs="Arial" w:hint="eastAsia"/>
          <w:lang w:val="es-ES_tradnl" w:eastAsia="ja-JP"/>
        </w:rPr>
        <w:t>2</w:t>
      </w:r>
      <w:r w:rsidR="00D10C03" w:rsidRPr="005420B5">
        <w:rPr>
          <w:rFonts w:cs="Arial"/>
          <w:lang w:val="es-ES_tradnl" w:eastAsia="ja-JP"/>
        </w:rPr>
        <w:t>5</w:t>
      </w:r>
      <w:r w:rsidR="00D10C03" w:rsidRPr="005420B5">
        <w:rPr>
          <w:rFonts w:hint="eastAsia"/>
          <w:lang w:val="es-ES_tradnl" w:eastAsia="ja-JP"/>
        </w:rPr>
        <w:t>;</w:t>
      </w:r>
      <w:r w:rsidRPr="00F33D64">
        <w:rPr>
          <w:rFonts w:hint="eastAsia"/>
          <w:lang w:val="es-ES" w:eastAsia="ja-JP"/>
        </w:rPr>
        <w:t xml:space="preserve"> </w:t>
      </w:r>
    </w:p>
    <w:p w:rsidR="003502DA" w:rsidRPr="00F33D64" w:rsidRDefault="003502DA" w:rsidP="00312C2A">
      <w:pPr>
        <w:pStyle w:val="DecisionParagraphs"/>
        <w:ind w:left="4536"/>
        <w:rPr>
          <w:lang w:val="es-ES" w:eastAsia="ja-JP"/>
        </w:rPr>
      </w:pPr>
    </w:p>
    <w:p w:rsidR="003502DA" w:rsidRPr="00F33D64" w:rsidRDefault="00312C2A" w:rsidP="005420B5">
      <w:pPr>
        <w:pStyle w:val="DecisionParagraphs"/>
        <w:tabs>
          <w:tab w:val="clear" w:pos="5387"/>
          <w:tab w:val="left" w:pos="5670"/>
        </w:tabs>
        <w:ind w:left="4536" w:firstLine="567"/>
        <w:rPr>
          <w:lang w:val="es-ES" w:eastAsia="ja-JP"/>
        </w:rPr>
      </w:pPr>
      <w:r w:rsidRPr="00F33D64">
        <w:rPr>
          <w:lang w:val="es-ES" w:eastAsia="ja-JP"/>
        </w:rPr>
        <w:t>d)</w:t>
      </w:r>
      <w:r w:rsidRPr="00F33D64">
        <w:rPr>
          <w:lang w:val="es-ES" w:eastAsia="ja-JP"/>
        </w:rPr>
        <w:tab/>
      </w:r>
      <w:r w:rsidR="00D10C03" w:rsidRPr="00F33D64">
        <w:rPr>
          <w:lang w:val="es-ES_tradnl" w:eastAsia="ja-JP"/>
        </w:rPr>
        <w:t>tomar nota de que el Taller</w:t>
      </w:r>
      <w:r w:rsidR="00D10C03" w:rsidRPr="00F33D64">
        <w:rPr>
          <w:rFonts w:hint="eastAsia"/>
          <w:lang w:val="es-ES_tradnl" w:eastAsia="ja-JP"/>
        </w:rPr>
        <w:t xml:space="preserve"> </w:t>
      </w:r>
      <w:r w:rsidR="00D10C03" w:rsidRPr="00F33D64">
        <w:rPr>
          <w:lang w:val="es-ES_tradnl" w:eastAsia="ja-JP"/>
        </w:rPr>
        <w:t xml:space="preserve">convino en que sería útil repetir el taller conjunto en las reuniones pertinentes de la OCDE y la ISTA y, </w:t>
      </w:r>
      <w:r w:rsidR="00415181" w:rsidRPr="00F33D64">
        <w:rPr>
          <w:lang w:val="es-ES_tradnl" w:eastAsia="ja-JP"/>
        </w:rPr>
        <w:t>a este respecto</w:t>
      </w:r>
      <w:r w:rsidR="00D10C03" w:rsidRPr="00F33D64">
        <w:rPr>
          <w:lang w:val="es-ES_tradnl" w:eastAsia="ja-JP"/>
        </w:rPr>
        <w:t xml:space="preserve">, </w:t>
      </w:r>
      <w:r w:rsidR="00415181" w:rsidRPr="00F33D64">
        <w:rPr>
          <w:lang w:val="es-ES_tradnl" w:eastAsia="ja-JP"/>
        </w:rPr>
        <w:t xml:space="preserve">que la reunión del </w:t>
      </w:r>
      <w:r w:rsidR="008B73CE" w:rsidRPr="00F33D64">
        <w:rPr>
          <w:lang w:val="es-ES_tradnl" w:eastAsia="ja-JP"/>
        </w:rPr>
        <w:t>G</w:t>
      </w:r>
      <w:r w:rsidR="00415181" w:rsidRPr="00F33D64">
        <w:rPr>
          <w:lang w:val="es-ES_tradnl" w:eastAsia="ja-JP"/>
        </w:rPr>
        <w:t>rupo de trabajo técnico de los Sistemas de semillas de la OCDE</w:t>
      </w:r>
      <w:r w:rsidR="00D10C03" w:rsidRPr="00F33D64">
        <w:rPr>
          <w:lang w:val="es-ES_tradnl" w:eastAsia="ja-JP"/>
        </w:rPr>
        <w:t xml:space="preserve"> </w:t>
      </w:r>
      <w:r w:rsidR="00415181" w:rsidRPr="00F33D64">
        <w:rPr>
          <w:lang w:val="es-ES_tradnl" w:eastAsia="ja-JP"/>
        </w:rPr>
        <w:t>acordó que debía organizarse otro Taller conjunto OCDE-UPOV-ISTA sobre técnicas moleculares, ya sea de manera consecutiva con la reunión anual de los Sistemas de semillas de la OCDE,</w:t>
      </w:r>
      <w:r w:rsidR="00D10C03" w:rsidRPr="00F33D64">
        <w:rPr>
          <w:lang w:val="es-ES_tradnl" w:eastAsia="ja-JP"/>
        </w:rPr>
        <w:t xml:space="preserve"> </w:t>
      </w:r>
      <w:r w:rsidR="00852E78" w:rsidRPr="00F33D64">
        <w:rPr>
          <w:lang w:val="es-ES_tradnl" w:eastAsia="ja-JP"/>
        </w:rPr>
        <w:t>prevista en Parí</w:t>
      </w:r>
      <w:r w:rsidR="00415181" w:rsidRPr="00F33D64">
        <w:rPr>
          <w:lang w:val="es-ES_tradnl" w:eastAsia="ja-JP"/>
        </w:rPr>
        <w:t>s en junio de 2015, o junto con la reunión del Grupo de trabajo técnico, prevista en enero de 2016</w:t>
      </w:r>
      <w:r w:rsidR="00D10C03" w:rsidRPr="00F33D64">
        <w:rPr>
          <w:rFonts w:hint="eastAsia"/>
          <w:lang w:val="es-ES_tradnl" w:eastAsia="ja-JP"/>
        </w:rPr>
        <w:t>;</w:t>
      </w:r>
    </w:p>
    <w:p w:rsidR="003502DA" w:rsidRPr="00F33D64" w:rsidRDefault="003502DA" w:rsidP="00312C2A">
      <w:pPr>
        <w:pStyle w:val="DecisionParagraphs"/>
        <w:tabs>
          <w:tab w:val="clear" w:pos="5387"/>
          <w:tab w:val="left" w:pos="5670"/>
        </w:tabs>
        <w:ind w:left="4536" w:firstLine="567"/>
        <w:rPr>
          <w:lang w:val="es-ES" w:eastAsia="ja-JP"/>
        </w:rPr>
      </w:pPr>
    </w:p>
    <w:p w:rsidR="003502DA" w:rsidRPr="00F33D64" w:rsidRDefault="00312C2A" w:rsidP="00312C2A">
      <w:pPr>
        <w:pStyle w:val="DecisionParagraphs"/>
        <w:tabs>
          <w:tab w:val="clear" w:pos="5387"/>
          <w:tab w:val="left" w:pos="5670"/>
        </w:tabs>
        <w:ind w:left="4536" w:firstLine="567"/>
        <w:rPr>
          <w:lang w:val="es-ES"/>
        </w:rPr>
      </w:pPr>
      <w:r w:rsidRPr="00F33D64">
        <w:rPr>
          <w:lang w:val="es-ES" w:eastAsia="ja-JP"/>
        </w:rPr>
        <w:t>e)</w:t>
      </w:r>
      <w:r w:rsidRPr="00F33D64">
        <w:rPr>
          <w:lang w:val="es-ES" w:eastAsia="ja-JP"/>
        </w:rPr>
        <w:tab/>
      </w:r>
      <w:r w:rsidR="00415181" w:rsidRPr="00F33D64">
        <w:rPr>
          <w:rFonts w:cs="Arial" w:hint="eastAsia"/>
          <w:lang w:val="es-ES_tradnl" w:eastAsia="ja-JP"/>
        </w:rPr>
        <w:t>consider</w:t>
      </w:r>
      <w:r w:rsidR="00415181" w:rsidRPr="00F33D64">
        <w:rPr>
          <w:rFonts w:cs="Arial"/>
          <w:lang w:val="es-ES_tradnl" w:eastAsia="ja-JP"/>
        </w:rPr>
        <w:t>ar si procede</w:t>
      </w:r>
      <w:r w:rsidR="00415181" w:rsidRPr="00F33D64">
        <w:rPr>
          <w:rFonts w:cs="Arial" w:hint="eastAsia"/>
          <w:lang w:val="es-ES_tradnl" w:eastAsia="ja-JP"/>
        </w:rPr>
        <w:t xml:space="preserve"> </w:t>
      </w:r>
      <w:r w:rsidR="00415181" w:rsidRPr="00F33D64">
        <w:rPr>
          <w:rFonts w:cs="Arial"/>
          <w:lang w:val="es-ES_tradnl" w:eastAsia="ja-JP"/>
        </w:rPr>
        <w:t xml:space="preserve">realizar un inventario </w:t>
      </w:r>
      <w:r w:rsidR="008E42FD" w:rsidRPr="00F33D64">
        <w:rPr>
          <w:rFonts w:cs="Arial"/>
          <w:lang w:val="es-ES_tradnl" w:eastAsia="ja-JP"/>
        </w:rPr>
        <w:t xml:space="preserve">sobre </w:t>
      </w:r>
      <w:r w:rsidR="00415181" w:rsidRPr="00F33D64">
        <w:rPr>
          <w:rFonts w:cs="Arial"/>
          <w:lang w:val="es-ES_tradnl" w:eastAsia="ja-JP"/>
        </w:rPr>
        <w:t xml:space="preserve">la utilización de técnicas basadas en marcadores moleculares, por cultivos, con objeto de elaborar un documento conjunto de la UPOV, la OCDE y la ISTA en el que figure dicha información en un formato similar al </w:t>
      </w:r>
      <w:r w:rsidR="00415181" w:rsidRPr="00F33D64">
        <w:rPr>
          <w:rFonts w:cs="Arial"/>
          <w:lang w:val="es-ES_tradnl" w:eastAsia="ja-JP"/>
        </w:rPr>
        <w:lastRenderedPageBreak/>
        <w:t xml:space="preserve">del documento UPOV/INF/16 “Programas informáticos </w:t>
      </w:r>
      <w:r w:rsidR="00415181" w:rsidRPr="005420B5">
        <w:rPr>
          <w:rFonts w:cs="Arial"/>
          <w:lang w:val="es-ES_tradnl" w:eastAsia="ja-JP"/>
        </w:rPr>
        <w:t>para intercambio”</w:t>
      </w:r>
      <w:r w:rsidR="00415181" w:rsidRPr="005420B5">
        <w:rPr>
          <w:rFonts w:cs="Arial" w:hint="eastAsia"/>
          <w:lang w:val="es-ES_tradnl" w:eastAsia="ja-JP"/>
        </w:rPr>
        <w:t xml:space="preserve">, </w:t>
      </w:r>
      <w:r w:rsidR="00415181" w:rsidRPr="005420B5">
        <w:rPr>
          <w:rFonts w:cs="Arial"/>
          <w:lang w:val="es-ES_tradnl" w:eastAsia="ja-JP"/>
        </w:rPr>
        <w:t>según consta en</w:t>
      </w:r>
      <w:r w:rsidR="00415181" w:rsidRPr="005420B5">
        <w:rPr>
          <w:rFonts w:cs="Arial" w:hint="eastAsia"/>
          <w:lang w:val="es-ES_tradnl" w:eastAsia="ja-JP"/>
        </w:rPr>
        <w:t xml:space="preserve"> </w:t>
      </w:r>
      <w:r w:rsidR="00415181" w:rsidRPr="005420B5">
        <w:rPr>
          <w:rFonts w:cs="Arial"/>
          <w:lang w:val="es-ES_tradnl" w:eastAsia="ja-JP"/>
        </w:rPr>
        <w:t>el anterior párrafo </w:t>
      </w:r>
      <w:r w:rsidR="00415181" w:rsidRPr="005420B5">
        <w:rPr>
          <w:rFonts w:cs="Arial" w:hint="eastAsia"/>
          <w:lang w:val="es-ES_tradnl" w:eastAsia="ja-JP"/>
        </w:rPr>
        <w:t>2</w:t>
      </w:r>
      <w:r w:rsidR="00415181" w:rsidRPr="005420B5">
        <w:rPr>
          <w:rFonts w:cs="Arial"/>
          <w:lang w:val="es-ES_tradnl" w:eastAsia="ja-JP"/>
        </w:rPr>
        <w:t>6</w:t>
      </w:r>
      <w:r w:rsidR="00415181" w:rsidRPr="005420B5">
        <w:rPr>
          <w:rFonts w:cs="Arial" w:hint="eastAsia"/>
          <w:lang w:val="es-ES_tradnl" w:eastAsia="ja-JP"/>
        </w:rPr>
        <w:t>;</w:t>
      </w:r>
    </w:p>
    <w:p w:rsidR="003502DA" w:rsidRPr="00F33D64" w:rsidRDefault="003502DA" w:rsidP="00312C2A">
      <w:pPr>
        <w:pStyle w:val="DecisionParagraphs"/>
        <w:ind w:left="4536"/>
        <w:rPr>
          <w:lang w:val="es-ES"/>
        </w:rPr>
      </w:pPr>
    </w:p>
    <w:p w:rsidR="003502DA" w:rsidRPr="00F33D64" w:rsidRDefault="00312C2A" w:rsidP="00312C2A">
      <w:pPr>
        <w:pStyle w:val="DecisionParagraphs"/>
        <w:tabs>
          <w:tab w:val="clear" w:pos="5387"/>
          <w:tab w:val="left" w:pos="5670"/>
        </w:tabs>
        <w:ind w:left="4536" w:firstLine="567"/>
        <w:rPr>
          <w:rFonts w:cs="Arial"/>
          <w:lang w:val="es-ES" w:eastAsia="ja-JP"/>
        </w:rPr>
      </w:pPr>
      <w:r w:rsidRPr="00F33D64">
        <w:rPr>
          <w:lang w:val="es-ES" w:eastAsia="ja-JP"/>
        </w:rPr>
        <w:t>f)</w:t>
      </w:r>
      <w:r w:rsidRPr="00F33D64">
        <w:rPr>
          <w:lang w:val="es-ES" w:eastAsia="ja-JP"/>
        </w:rPr>
        <w:tab/>
      </w:r>
      <w:r w:rsidR="00415181" w:rsidRPr="00F33D64">
        <w:rPr>
          <w:rFonts w:cs="Arial" w:hint="eastAsia"/>
          <w:lang w:val="es-ES_tradnl" w:eastAsia="ja-JP"/>
        </w:rPr>
        <w:t>consider</w:t>
      </w:r>
      <w:r w:rsidR="00415181" w:rsidRPr="00F33D64">
        <w:rPr>
          <w:rFonts w:cs="Arial"/>
          <w:lang w:val="es-ES_tradnl" w:eastAsia="ja-JP"/>
        </w:rPr>
        <w:t xml:space="preserve">ar la </w:t>
      </w:r>
      <w:r w:rsidR="00415181" w:rsidRPr="00F33D64">
        <w:rPr>
          <w:rFonts w:cs="Arial" w:hint="eastAsia"/>
          <w:lang w:val="es-ES_tradnl" w:eastAsia="ja-JP"/>
        </w:rPr>
        <w:t>prop</w:t>
      </w:r>
      <w:r w:rsidR="00415181" w:rsidRPr="00F33D64">
        <w:rPr>
          <w:rFonts w:cs="Arial"/>
          <w:lang w:val="es-ES_tradnl" w:eastAsia="ja-JP"/>
        </w:rPr>
        <w:t xml:space="preserve">uesta de que el BMT, en su decimoquinta reunión, </w:t>
      </w:r>
      <w:r w:rsidR="002E5B61" w:rsidRPr="00F33D64">
        <w:rPr>
          <w:rFonts w:cs="Arial"/>
          <w:lang w:val="es-ES_tradnl" w:eastAsia="ja-JP"/>
        </w:rPr>
        <w:t xml:space="preserve">elabore </w:t>
      </w:r>
      <w:r w:rsidR="00415181" w:rsidRPr="00F33D64">
        <w:rPr>
          <w:rFonts w:cs="Arial"/>
          <w:lang w:val="es-ES_tradnl" w:eastAsia="ja-JP"/>
        </w:rPr>
        <w:t xml:space="preserve">listas de posibles iniciativas conjuntas </w:t>
      </w:r>
      <w:r w:rsidR="002E5B61" w:rsidRPr="00F33D64">
        <w:rPr>
          <w:rFonts w:cs="Arial"/>
          <w:lang w:val="es-ES_tradnl" w:eastAsia="ja-JP"/>
        </w:rPr>
        <w:t xml:space="preserve">con la OCDE y el ISTA </w:t>
      </w:r>
      <w:r w:rsidR="00415181" w:rsidRPr="00F33D64">
        <w:rPr>
          <w:rFonts w:cs="Arial"/>
          <w:lang w:val="es-ES_tradnl" w:eastAsia="ja-JP"/>
        </w:rPr>
        <w:t>relacionadas con las técnicas moleculares</w:t>
      </w:r>
      <w:r w:rsidR="00415181" w:rsidRPr="00F33D64">
        <w:rPr>
          <w:rFonts w:cs="Arial" w:hint="eastAsia"/>
          <w:lang w:val="es-ES_tradnl" w:eastAsia="ja-JP"/>
        </w:rPr>
        <w:t xml:space="preserve">, </w:t>
      </w:r>
      <w:r w:rsidR="00415181" w:rsidRPr="00F33D64">
        <w:rPr>
          <w:rFonts w:cs="Arial"/>
          <w:lang w:val="es-ES_tradnl" w:eastAsia="ja-JP"/>
        </w:rPr>
        <w:t>según consta en</w:t>
      </w:r>
      <w:r w:rsidR="00415181" w:rsidRPr="00F33D64">
        <w:rPr>
          <w:rFonts w:cs="Arial" w:hint="eastAsia"/>
          <w:lang w:val="es-ES_tradnl" w:eastAsia="ja-JP"/>
        </w:rPr>
        <w:t xml:space="preserve"> </w:t>
      </w:r>
      <w:r w:rsidR="002E5B61" w:rsidRPr="00F33D64">
        <w:rPr>
          <w:rFonts w:cs="Arial"/>
          <w:lang w:val="es-ES_tradnl" w:eastAsia="ja-JP"/>
        </w:rPr>
        <w:t xml:space="preserve">el anterior </w:t>
      </w:r>
      <w:r w:rsidR="00415181" w:rsidRPr="00F33D64">
        <w:rPr>
          <w:rFonts w:cs="Arial"/>
          <w:lang w:val="es-ES_tradnl" w:eastAsia="ja-JP"/>
        </w:rPr>
        <w:t>párrafo</w:t>
      </w:r>
      <w:r w:rsidR="002E5B61" w:rsidRPr="00F33D64">
        <w:rPr>
          <w:rFonts w:cs="Arial"/>
          <w:lang w:val="es-ES_tradnl" w:eastAsia="ja-JP"/>
        </w:rPr>
        <w:t> </w:t>
      </w:r>
      <w:r w:rsidR="00415181" w:rsidRPr="00F33D64">
        <w:rPr>
          <w:rFonts w:cs="Arial"/>
          <w:lang w:val="es-ES_tradnl" w:eastAsia="ja-JP"/>
        </w:rPr>
        <w:t>2</w:t>
      </w:r>
      <w:r w:rsidR="0047370E">
        <w:rPr>
          <w:rFonts w:cs="Arial"/>
          <w:lang w:val="es-ES_tradnl" w:eastAsia="ja-JP"/>
        </w:rPr>
        <w:t>7</w:t>
      </w:r>
      <w:r w:rsidR="00415181" w:rsidRPr="00F33D64">
        <w:rPr>
          <w:rFonts w:cs="Arial"/>
          <w:lang w:val="es-ES_tradnl" w:eastAsia="ja-JP"/>
        </w:rPr>
        <w:t>;</w:t>
      </w:r>
      <w:r w:rsidRPr="00F33D64">
        <w:rPr>
          <w:rFonts w:cs="Arial"/>
          <w:lang w:val="es-ES" w:eastAsia="ja-JP"/>
        </w:rPr>
        <w:t xml:space="preserve"> </w:t>
      </w:r>
    </w:p>
    <w:p w:rsidR="003502DA" w:rsidRPr="00F33D64" w:rsidRDefault="003502DA" w:rsidP="00312C2A">
      <w:pPr>
        <w:pStyle w:val="DecisionParagraphs"/>
        <w:tabs>
          <w:tab w:val="clear" w:pos="5387"/>
          <w:tab w:val="left" w:pos="5670"/>
        </w:tabs>
        <w:ind w:left="4536" w:firstLine="567"/>
        <w:rPr>
          <w:rFonts w:cs="Arial"/>
          <w:lang w:val="es-ES" w:eastAsia="ja-JP"/>
        </w:rPr>
      </w:pPr>
    </w:p>
    <w:p w:rsidR="003502DA" w:rsidRPr="00F33D64" w:rsidRDefault="00312C2A" w:rsidP="00312C2A">
      <w:pPr>
        <w:pStyle w:val="DecisionParagraphs"/>
        <w:tabs>
          <w:tab w:val="clear" w:pos="5387"/>
          <w:tab w:val="left" w:pos="5670"/>
        </w:tabs>
        <w:ind w:left="4536" w:firstLine="567"/>
        <w:rPr>
          <w:lang w:val="es-ES"/>
        </w:rPr>
      </w:pPr>
      <w:r w:rsidRPr="00F33D64">
        <w:rPr>
          <w:lang w:val="es-ES"/>
        </w:rPr>
        <w:t>h)</w:t>
      </w:r>
      <w:r w:rsidRPr="00F33D64">
        <w:rPr>
          <w:lang w:val="es-ES"/>
        </w:rPr>
        <w:tab/>
      </w:r>
      <w:r w:rsidR="002E5B61" w:rsidRPr="00F33D64">
        <w:rPr>
          <w:lang w:val="es-ES_tradnl"/>
        </w:rPr>
        <w:t>considerar si procede basar el debate sobre técnicas moleculares en la presentación de l</w:t>
      </w:r>
      <w:r w:rsidR="008B73CE" w:rsidRPr="00F33D64">
        <w:rPr>
          <w:lang w:val="es-ES_tradnl"/>
        </w:rPr>
        <w:t>o</w:t>
      </w:r>
      <w:r w:rsidR="002E5B61" w:rsidRPr="00F33D64">
        <w:rPr>
          <w:lang w:val="es-ES_tradnl"/>
        </w:rPr>
        <w:t xml:space="preserve">s </w:t>
      </w:r>
      <w:r w:rsidR="008B73CE" w:rsidRPr="00F33D64">
        <w:rPr>
          <w:lang w:val="es-ES_tradnl"/>
        </w:rPr>
        <w:t>aspectos más destacados</w:t>
      </w:r>
      <w:r w:rsidR="002E5B61" w:rsidRPr="00F33D64">
        <w:rPr>
          <w:lang w:val="es-ES_tradnl"/>
        </w:rPr>
        <w:t xml:space="preserve"> de la decimocuarta reunión del BMT, celebrada en Seúl (República de Corea) del 10 al 13 de noviembre de 2014, y del Taller conjunto OCDE-UPOV-ISTA sobre técnicas moleculares, celebrado en Seúl (República de Corea) el 12 de noviembre de 2014, según </w:t>
      </w:r>
      <w:r w:rsidR="002E5B61" w:rsidRPr="005420B5">
        <w:rPr>
          <w:lang w:val="es-ES_tradnl"/>
        </w:rPr>
        <w:t>se expone en los párrafos 31 al 33 y en el Anexo II del</w:t>
      </w:r>
      <w:r w:rsidR="002E5B61" w:rsidRPr="00F33D64">
        <w:rPr>
          <w:lang w:val="es-ES_tradnl"/>
        </w:rPr>
        <w:t xml:space="preserve"> presente documento;</w:t>
      </w:r>
      <w:r w:rsidRPr="00F33D64">
        <w:rPr>
          <w:lang w:val="es-ES"/>
        </w:rPr>
        <w:t xml:space="preserve">  </w:t>
      </w:r>
      <w:r w:rsidR="002E5B61" w:rsidRPr="00F33D64">
        <w:rPr>
          <w:lang w:val="es-ES_tradnl"/>
        </w:rPr>
        <w:t>y</w:t>
      </w:r>
    </w:p>
    <w:p w:rsidR="003502DA" w:rsidRPr="00F33D64" w:rsidRDefault="003502DA" w:rsidP="00312C2A">
      <w:pPr>
        <w:pStyle w:val="DecisionParagraphs"/>
        <w:tabs>
          <w:tab w:val="clear" w:pos="5387"/>
          <w:tab w:val="left" w:pos="5670"/>
        </w:tabs>
        <w:ind w:left="4536" w:firstLine="567"/>
        <w:rPr>
          <w:lang w:val="es-ES"/>
        </w:rPr>
      </w:pPr>
    </w:p>
    <w:p w:rsidR="003502DA" w:rsidRPr="00F33D64" w:rsidRDefault="00312C2A" w:rsidP="00312C2A">
      <w:pPr>
        <w:pStyle w:val="DecisionParagraphs"/>
        <w:tabs>
          <w:tab w:val="clear" w:pos="5387"/>
          <w:tab w:val="left" w:pos="5670"/>
        </w:tabs>
        <w:ind w:left="4536" w:firstLine="567"/>
        <w:rPr>
          <w:lang w:val="es-ES"/>
        </w:rPr>
      </w:pPr>
      <w:r w:rsidRPr="00F33D64">
        <w:rPr>
          <w:lang w:val="es-ES"/>
        </w:rPr>
        <w:t>i)</w:t>
      </w:r>
      <w:r w:rsidRPr="00F33D64">
        <w:rPr>
          <w:lang w:val="es-ES"/>
        </w:rPr>
        <w:tab/>
      </w:r>
      <w:r w:rsidR="002E5B61" w:rsidRPr="00F33D64">
        <w:rPr>
          <w:lang w:val="es-ES_tradnl"/>
        </w:rPr>
        <w:t xml:space="preserve">elaborar una propuesta de pregunta y respuesta relativa a la información sobre la situación en la UPOV en lo que respecta al uso de técnicas moleculares, para un público más amplio, que incluya al público en general, </w:t>
      </w:r>
      <w:r w:rsidR="002E5B61" w:rsidRPr="00F33D64">
        <w:rPr>
          <w:rFonts w:cs="Arial"/>
          <w:lang w:val="es-ES_tradnl" w:eastAsia="ja-JP"/>
        </w:rPr>
        <w:t>según consta en</w:t>
      </w:r>
      <w:r w:rsidR="002E5B61" w:rsidRPr="00F33D64">
        <w:rPr>
          <w:rFonts w:cs="Arial" w:hint="eastAsia"/>
          <w:lang w:val="es-ES_tradnl" w:eastAsia="ja-JP"/>
        </w:rPr>
        <w:t xml:space="preserve"> </w:t>
      </w:r>
      <w:r w:rsidR="002E5B61" w:rsidRPr="00F33D64">
        <w:rPr>
          <w:rFonts w:cs="Arial"/>
          <w:lang w:val="es-ES_tradnl" w:eastAsia="ja-JP"/>
        </w:rPr>
        <w:t xml:space="preserve">el anterior </w:t>
      </w:r>
      <w:r w:rsidR="002E5B61" w:rsidRPr="005420B5">
        <w:rPr>
          <w:rFonts w:cs="Arial"/>
          <w:lang w:val="es-ES_tradnl" w:eastAsia="ja-JP"/>
        </w:rPr>
        <w:t>párrafo 40</w:t>
      </w:r>
      <w:r w:rsidR="002E5B61" w:rsidRPr="005420B5">
        <w:rPr>
          <w:lang w:val="es-ES_tradnl"/>
        </w:rPr>
        <w:t>.</w:t>
      </w:r>
    </w:p>
    <w:p w:rsidR="003502DA" w:rsidRPr="00F33D64" w:rsidRDefault="003502DA" w:rsidP="00312C2A">
      <w:pPr>
        <w:pStyle w:val="DecisionInvitingPara"/>
        <w:ind w:left="0"/>
        <w:jc w:val="left"/>
        <w:rPr>
          <w:rFonts w:eastAsiaTheme="minorEastAsia"/>
          <w:i w:val="0"/>
          <w:lang w:val="es-ES" w:eastAsia="ja-JP"/>
        </w:rPr>
      </w:pPr>
    </w:p>
    <w:p w:rsidR="003502DA" w:rsidRPr="00F33D64" w:rsidRDefault="003502DA" w:rsidP="00032F84">
      <w:pPr>
        <w:pStyle w:val="endofdoc"/>
        <w:rPr>
          <w:color w:val="auto"/>
          <w:lang w:val="es-ES"/>
        </w:rPr>
      </w:pPr>
      <w:r w:rsidRPr="00F33D64">
        <w:rPr>
          <w:color w:val="auto"/>
        </w:rPr>
        <w:t>[Siguen los Anexos]</w:t>
      </w:r>
    </w:p>
    <w:p w:rsidR="003502DA" w:rsidRPr="00F33D64" w:rsidRDefault="003502DA" w:rsidP="00312C2A">
      <w:pPr>
        <w:pStyle w:val="Header"/>
        <w:rPr>
          <w:lang w:val="es-ES"/>
        </w:rPr>
      </w:pPr>
    </w:p>
    <w:p w:rsidR="00312C2A" w:rsidRPr="00F33D64" w:rsidRDefault="00312C2A" w:rsidP="00312C2A">
      <w:pPr>
        <w:pStyle w:val="Header"/>
        <w:jc w:val="left"/>
        <w:rPr>
          <w:lang w:val="es-ES"/>
        </w:rPr>
        <w:sectPr w:rsidR="00312C2A" w:rsidRPr="00F33D64" w:rsidSect="000208DC">
          <w:headerReference w:type="default" r:id="rId9"/>
          <w:pgSz w:w="11907" w:h="16840" w:code="9"/>
          <w:pgMar w:top="510" w:right="1134" w:bottom="1134" w:left="1134" w:header="510" w:footer="680" w:gutter="0"/>
          <w:cols w:space="720"/>
          <w:titlePg/>
        </w:sectPr>
      </w:pPr>
    </w:p>
    <w:p w:rsidR="003502DA" w:rsidRPr="00F33D64" w:rsidRDefault="003502DA" w:rsidP="00312C2A">
      <w:pPr>
        <w:pStyle w:val="Header"/>
        <w:jc w:val="left"/>
        <w:rPr>
          <w:lang w:val="es-ES"/>
        </w:rPr>
      </w:pPr>
    </w:p>
    <w:p w:rsidR="003502DA" w:rsidRPr="00F33D64" w:rsidRDefault="003502DA" w:rsidP="003502DA">
      <w:pPr>
        <w:spacing w:before="60" w:after="120"/>
        <w:jc w:val="center"/>
        <w:rPr>
          <w:lang w:val="es-ES"/>
        </w:rPr>
      </w:pPr>
      <w:r w:rsidRPr="00F33D64">
        <w:rPr>
          <w:lang w:val="es-ES_tradnl"/>
        </w:rPr>
        <w:t>FUNCIÓN DEL GRUPO DE TRABAJO SOBRE TÉCNICAS BIOQUÍMICAS Y MOLECULARES, Y PERFILES DE ADN EN PARTICULAR (BMT)</w:t>
      </w:r>
    </w:p>
    <w:p w:rsidR="003502DA" w:rsidRPr="00F33D64" w:rsidRDefault="003502DA" w:rsidP="003502DA">
      <w:pPr>
        <w:spacing w:before="60" w:after="120"/>
        <w:jc w:val="center"/>
        <w:rPr>
          <w:i/>
          <w:lang w:val="es-ES"/>
        </w:rPr>
      </w:pPr>
      <w:r w:rsidRPr="00F33D64">
        <w:rPr>
          <w:i/>
          <w:lang w:val="es-ES_tradnl"/>
        </w:rPr>
        <w:t>(Tal como acordó el Comité Técnico en su trigésima octava sesión, celebrada en Ginebra  del 15 al 17 de abril de 2002 (véase el documento TC/38/16, párrafo 204))</w:t>
      </w:r>
    </w:p>
    <w:p w:rsidR="003502DA" w:rsidRPr="00F33D64" w:rsidRDefault="003502DA" w:rsidP="00312C2A">
      <w:pPr>
        <w:spacing w:before="60" w:after="60"/>
        <w:rPr>
          <w:lang w:val="es-ES"/>
        </w:rPr>
      </w:pPr>
    </w:p>
    <w:p w:rsidR="003502DA" w:rsidRPr="00F33D64" w:rsidRDefault="003502DA" w:rsidP="003502DA">
      <w:pPr>
        <w:spacing w:before="60" w:after="60"/>
        <w:rPr>
          <w:lang w:val="es-ES"/>
        </w:rPr>
      </w:pPr>
      <w:r w:rsidRPr="00F33D64">
        <w:rPr>
          <w:lang w:val="es-ES_tradnl"/>
        </w:rPr>
        <w:t xml:space="preserve">El BMT es un grupo compuesto por expertos en el examen DHE, especialistas en técnicas bioquímicas y moleculares y </w:t>
      </w:r>
      <w:proofErr w:type="gramStart"/>
      <w:r w:rsidRPr="00F33D64">
        <w:rPr>
          <w:lang w:val="es-ES_tradnl"/>
        </w:rPr>
        <w:t>obtentores</w:t>
      </w:r>
      <w:proofErr w:type="gramEnd"/>
      <w:r w:rsidRPr="00F33D64">
        <w:rPr>
          <w:lang w:val="es-ES_tradnl"/>
        </w:rPr>
        <w:t xml:space="preserve"> cuya función consiste en:</w:t>
      </w:r>
    </w:p>
    <w:p w:rsidR="003502DA" w:rsidRPr="00F33D64" w:rsidRDefault="003502DA" w:rsidP="00312C2A">
      <w:pPr>
        <w:spacing w:before="60" w:after="60"/>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examinar la evolución general de las técnicas bioquímicas y moleculares;</w:t>
      </w:r>
    </w:p>
    <w:p w:rsidR="003502DA" w:rsidRPr="00F33D64" w:rsidRDefault="003502DA" w:rsidP="00312C2A">
      <w:pPr>
        <w:pStyle w:val="ListParagraph"/>
        <w:tabs>
          <w:tab w:val="left" w:pos="1134"/>
        </w:tabs>
        <w:spacing w:before="60" w:after="60"/>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informar acerca de las aplicaciones pertinentes de las técnicas bioquímicas y moleculares al fitomejoramiento;</w:t>
      </w:r>
      <w:r w:rsidR="00312C2A" w:rsidRPr="00F33D64">
        <w:rPr>
          <w:lang w:val="es-ES"/>
        </w:rPr>
        <w:t xml:space="preserve"> </w:t>
      </w:r>
    </w:p>
    <w:p w:rsidR="003502DA" w:rsidRPr="00F33D64" w:rsidRDefault="003502DA" w:rsidP="00312C2A">
      <w:pPr>
        <w:pStyle w:val="ListParagraph"/>
        <w:tabs>
          <w:tab w:val="left" w:pos="1134"/>
        </w:tabs>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estudiar la posible aplicación de técnicas bioquímicas y moleculares al examen DHE e informar sobre sus conclusiones al TC;</w:t>
      </w:r>
    </w:p>
    <w:p w:rsidR="003502DA" w:rsidRPr="00F33D64" w:rsidRDefault="003502DA" w:rsidP="00312C2A">
      <w:pPr>
        <w:pStyle w:val="ListParagraph"/>
        <w:tabs>
          <w:tab w:val="left" w:pos="1134"/>
        </w:tabs>
        <w:spacing w:before="60" w:after="60"/>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si procede, elaborar directrices para metodologías bioquímicas y moleculares y su armonización y, en particular, contribuir a la elaboración del documento TGP/15, “Nuevos tipos de caracteres.”  Estas directrices se elaborarán en colaboración con los Grupos de Trabajo Técnico;</w:t>
      </w:r>
      <w:r w:rsidR="00312C2A" w:rsidRPr="00F33D64">
        <w:rPr>
          <w:lang w:val="es-ES"/>
        </w:rPr>
        <w:t xml:space="preserve"> </w:t>
      </w:r>
    </w:p>
    <w:p w:rsidR="003502DA" w:rsidRPr="00F33D64" w:rsidRDefault="003502DA" w:rsidP="00312C2A">
      <w:pPr>
        <w:tabs>
          <w:tab w:val="left" w:pos="1134"/>
        </w:tabs>
        <w:spacing w:before="60" w:after="60"/>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examinar las iniciativas de los TWP sobre el establecimiento de subgrupos sobre cultivos específicos, tomando en consideración la información disponible y la necesidad de métodos bioquímicos y moleculares;</w:t>
      </w:r>
    </w:p>
    <w:p w:rsidR="003502DA" w:rsidRPr="00F33D64" w:rsidRDefault="003502DA" w:rsidP="00312C2A">
      <w:pPr>
        <w:pStyle w:val="ListParagraph"/>
        <w:tabs>
          <w:tab w:val="left" w:pos="1134"/>
        </w:tabs>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elaborar directrices en relación con la gestión y la armonización de bases de datos sobre información bioquímica y molecular, en colaboración con el TWC;</w:t>
      </w:r>
    </w:p>
    <w:p w:rsidR="003502DA" w:rsidRPr="00F33D64" w:rsidRDefault="003502DA" w:rsidP="00312C2A">
      <w:pPr>
        <w:pStyle w:val="ListParagraph"/>
        <w:tabs>
          <w:tab w:val="left" w:pos="1134"/>
        </w:tabs>
        <w:spacing w:before="60" w:after="60"/>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recibir informes de los Subgrupos sobre Cultivos y del Grupo de Consulta del BMT;</w:t>
      </w:r>
    </w:p>
    <w:p w:rsidR="003502DA" w:rsidRPr="00F33D64" w:rsidRDefault="003502DA" w:rsidP="00312C2A">
      <w:pPr>
        <w:tabs>
          <w:tab w:val="left" w:pos="1134"/>
        </w:tabs>
        <w:spacing w:before="60" w:after="60"/>
        <w:ind w:left="1134" w:hanging="708"/>
        <w:rPr>
          <w:lang w:val="es-ES"/>
        </w:rPr>
      </w:pPr>
    </w:p>
    <w:p w:rsidR="003502DA" w:rsidRPr="00F33D64" w:rsidRDefault="003502DA" w:rsidP="003502DA">
      <w:pPr>
        <w:pStyle w:val="ListParagraph"/>
        <w:numPr>
          <w:ilvl w:val="0"/>
          <w:numId w:val="2"/>
        </w:numPr>
        <w:tabs>
          <w:tab w:val="left" w:pos="1134"/>
        </w:tabs>
        <w:spacing w:before="60" w:after="60"/>
        <w:ind w:left="1134" w:hanging="708"/>
        <w:rPr>
          <w:lang w:val="es-ES"/>
        </w:rPr>
      </w:pPr>
      <w:r w:rsidRPr="00F33D64">
        <w:rPr>
          <w:lang w:val="es-ES_tradnl"/>
        </w:rPr>
        <w:t>constituir un foro para debatir la utilización de técnicas bioquímicas y moleculares en las consideraciones de las variedades esencialmente derivadas y la identificación de variedades.</w:t>
      </w:r>
    </w:p>
    <w:p w:rsidR="003502DA" w:rsidRPr="00F33D64" w:rsidRDefault="003502DA" w:rsidP="00312C2A">
      <w:pPr>
        <w:rPr>
          <w:lang w:val="es-ES"/>
        </w:rPr>
      </w:pPr>
    </w:p>
    <w:p w:rsidR="003502DA" w:rsidRPr="00F33D64" w:rsidRDefault="003502DA" w:rsidP="00312C2A">
      <w:pPr>
        <w:ind w:right="-1"/>
        <w:rPr>
          <w:lang w:val="es-ES"/>
        </w:rPr>
      </w:pPr>
    </w:p>
    <w:p w:rsidR="003502DA" w:rsidRPr="00F33D64" w:rsidRDefault="003502DA" w:rsidP="00312C2A">
      <w:pPr>
        <w:ind w:right="-1"/>
        <w:rPr>
          <w:lang w:val="es-ES"/>
        </w:rPr>
      </w:pPr>
    </w:p>
    <w:p w:rsidR="003502DA" w:rsidRPr="00F33D64" w:rsidRDefault="003502DA" w:rsidP="005420B5">
      <w:pPr>
        <w:jc w:val="right"/>
        <w:rPr>
          <w:lang w:val="es-ES_tradnl"/>
        </w:rPr>
      </w:pPr>
      <w:r w:rsidRPr="00F33D64">
        <w:rPr>
          <w:lang w:val="es-ES_tradnl"/>
        </w:rPr>
        <w:t>[Sigue el Anexo II]</w:t>
      </w:r>
    </w:p>
    <w:p w:rsidR="00312C2A" w:rsidRPr="00F33D64" w:rsidRDefault="00312C2A" w:rsidP="00312C2A">
      <w:pPr>
        <w:ind w:right="369"/>
        <w:jc w:val="right"/>
        <w:rPr>
          <w:lang w:val="es-ES"/>
        </w:rPr>
        <w:sectPr w:rsidR="00312C2A" w:rsidRPr="00F33D64" w:rsidSect="000208DC">
          <w:headerReference w:type="first" r:id="rId10"/>
          <w:pgSz w:w="11907" w:h="16840" w:code="9"/>
          <w:pgMar w:top="510" w:right="1134" w:bottom="1134" w:left="1134" w:header="510" w:footer="680" w:gutter="0"/>
          <w:cols w:space="720"/>
          <w:titlePg/>
          <w:docGrid w:linePitch="272"/>
        </w:sectPr>
      </w:pPr>
    </w:p>
    <w:p w:rsidR="003502DA" w:rsidRPr="00F33D64" w:rsidRDefault="003502DA" w:rsidP="00312C2A">
      <w:pPr>
        <w:ind w:right="369"/>
        <w:jc w:val="left"/>
        <w:rPr>
          <w:lang w:val="es-ES"/>
        </w:rPr>
      </w:pPr>
    </w:p>
    <w:p w:rsidR="003502DA" w:rsidRPr="00F33D64" w:rsidRDefault="002E5B61" w:rsidP="00312C2A">
      <w:pPr>
        <w:jc w:val="center"/>
        <w:rPr>
          <w:lang w:val="es-ES" w:eastAsia="ja-JP"/>
        </w:rPr>
      </w:pPr>
      <w:r w:rsidRPr="00F33D64">
        <w:rPr>
          <w:lang w:val="es-ES_tradnl" w:eastAsia="ja-JP"/>
        </w:rPr>
        <w:t xml:space="preserve">DEBATE SOBRE TÉCNICAS MOLECULARES </w:t>
      </w:r>
      <w:r w:rsidR="0094075E" w:rsidRPr="00F33D64">
        <w:rPr>
          <w:highlight w:val="yellow"/>
          <w:lang w:val="es-ES_tradnl" w:eastAsia="ja-JP"/>
        </w:rPr>
        <w:br/>
      </w:r>
      <w:r w:rsidRPr="008D79FA">
        <w:rPr>
          <w:lang w:val="es-ES_tradnl" w:eastAsia="ja-JP"/>
        </w:rPr>
        <w:t xml:space="preserve">MANTENIDO POR EL COMITÉ TÉCNICO EN SU </w:t>
      </w:r>
      <w:r w:rsidRPr="00F33D64">
        <w:rPr>
          <w:lang w:val="es-ES_tradnl" w:eastAsia="ja-JP"/>
        </w:rPr>
        <w:t xml:space="preserve">QUINCUAGÉSIMA </w:t>
      </w:r>
      <w:r w:rsidR="0047370E">
        <w:rPr>
          <w:lang w:val="es-ES_tradnl" w:eastAsia="ja-JP"/>
        </w:rPr>
        <w:t xml:space="preserve">PRIMERA </w:t>
      </w:r>
      <w:bookmarkStart w:id="37" w:name="_GoBack"/>
      <w:bookmarkEnd w:id="37"/>
      <w:r w:rsidRPr="00F33D64">
        <w:rPr>
          <w:lang w:val="es-ES_tradnl" w:eastAsia="ja-JP"/>
        </w:rPr>
        <w:t>SESIÓN (</w:t>
      </w:r>
      <w:r w:rsidR="0094075E" w:rsidRPr="00F33D64">
        <w:rPr>
          <w:lang w:val="es-ES_tradnl" w:eastAsia="ja-JP"/>
        </w:rPr>
        <w:t>24 DE MARZO</w:t>
      </w:r>
      <w:r w:rsidRPr="00F33D64">
        <w:rPr>
          <w:lang w:val="es-ES_tradnl" w:eastAsia="ja-JP"/>
        </w:rPr>
        <w:t>)</w:t>
      </w:r>
    </w:p>
    <w:p w:rsidR="003502DA" w:rsidRPr="00F33D64" w:rsidRDefault="003502DA" w:rsidP="00312C2A">
      <w:pPr>
        <w:jc w:val="center"/>
        <w:rPr>
          <w:lang w:val="es-ES" w:eastAsia="ja-JP"/>
        </w:rPr>
      </w:pPr>
    </w:p>
    <w:p w:rsidR="003502DA" w:rsidRPr="00F33D64" w:rsidRDefault="0094075E" w:rsidP="00312C2A">
      <w:pPr>
        <w:jc w:val="center"/>
        <w:rPr>
          <w:lang w:val="es-ES"/>
        </w:rPr>
      </w:pPr>
      <w:r w:rsidRPr="00F33D64">
        <w:rPr>
          <w:lang w:val="es-ES_tradnl"/>
        </w:rPr>
        <w:t>PROYECTO DE PROGRAMA</w:t>
      </w:r>
    </w:p>
    <w:p w:rsidR="003502DA" w:rsidRPr="00F33D64" w:rsidRDefault="003502DA" w:rsidP="00312C2A">
      <w:pPr>
        <w:ind w:right="369"/>
        <w:jc w:val="left"/>
        <w:rPr>
          <w:lang w:val="es-ES"/>
        </w:rPr>
      </w:pPr>
    </w:p>
    <w:p w:rsidR="003502DA" w:rsidRPr="00F33D64" w:rsidRDefault="008B73CE" w:rsidP="00312C2A">
      <w:pPr>
        <w:ind w:right="369"/>
        <w:jc w:val="left"/>
        <w:rPr>
          <w:u w:val="single"/>
          <w:lang w:val="es-ES"/>
        </w:rPr>
      </w:pPr>
      <w:r w:rsidRPr="00F33D64">
        <w:rPr>
          <w:u w:val="single"/>
          <w:lang w:val="es-ES_tradnl"/>
        </w:rPr>
        <w:t>Aspectos más destacados</w:t>
      </w:r>
      <w:r w:rsidR="0094075E" w:rsidRPr="00F33D64">
        <w:rPr>
          <w:u w:val="single"/>
          <w:lang w:val="es-ES_tradnl"/>
        </w:rPr>
        <w:t xml:space="preserve"> de la decimocuarta reunión del BMT</w:t>
      </w:r>
    </w:p>
    <w:p w:rsidR="003502DA" w:rsidRPr="00F33D64" w:rsidRDefault="003502DA" w:rsidP="00312C2A">
      <w:pPr>
        <w:ind w:right="369"/>
        <w:jc w:val="left"/>
        <w:rPr>
          <w:lang w:val="es-ES"/>
        </w:rPr>
      </w:pPr>
    </w:p>
    <w:p w:rsidR="003502DA" w:rsidRPr="00F33D64" w:rsidRDefault="00312C2A" w:rsidP="00312C2A">
      <w:pPr>
        <w:ind w:left="810" w:hanging="810"/>
        <w:rPr>
          <w:lang w:val="es-ES"/>
        </w:rPr>
      </w:pPr>
      <w:r w:rsidRPr="00F33D64">
        <w:rPr>
          <w:lang w:val="es-ES"/>
        </w:rPr>
        <w:t>11</w:t>
      </w:r>
      <w:r w:rsidR="00DD5A71" w:rsidRPr="00F33D64">
        <w:rPr>
          <w:lang w:val="es-ES"/>
        </w:rPr>
        <w:t>.</w:t>
      </w:r>
      <w:r w:rsidRPr="00F33D64">
        <w:rPr>
          <w:lang w:val="es-ES"/>
        </w:rPr>
        <w:t>15</w:t>
      </w:r>
      <w:r w:rsidRPr="00F33D64">
        <w:rPr>
          <w:lang w:val="es-ES"/>
        </w:rPr>
        <w:tab/>
      </w:r>
      <w:r w:rsidR="0094075E" w:rsidRPr="00F33D64">
        <w:rPr>
          <w:lang w:val="es-ES_tradnl"/>
        </w:rPr>
        <w:t>Informe sobre las novedades acaecidas en la UPOV en relación con las técnicas bioquímicas y moleculares (Oficina de la Unión; véase también el documento BMT/14/2 Rev2.)</w:t>
      </w:r>
    </w:p>
    <w:p w:rsidR="003502DA" w:rsidRPr="00F33D64" w:rsidRDefault="003502DA" w:rsidP="00312C2A">
      <w:pPr>
        <w:ind w:left="810" w:hanging="810"/>
        <w:rPr>
          <w:lang w:val="es-ES"/>
        </w:rPr>
      </w:pPr>
    </w:p>
    <w:p w:rsidR="003502DA" w:rsidRPr="00F33D64" w:rsidRDefault="00312C2A" w:rsidP="00312C2A">
      <w:pPr>
        <w:ind w:left="810" w:hanging="810"/>
        <w:rPr>
          <w:lang w:val="es-ES"/>
        </w:rPr>
      </w:pPr>
      <w:r w:rsidRPr="00F33D64">
        <w:rPr>
          <w:lang w:val="es-ES"/>
        </w:rPr>
        <w:t>11</w:t>
      </w:r>
      <w:r w:rsidR="00DD5A71" w:rsidRPr="00F33D64">
        <w:rPr>
          <w:lang w:val="es-ES"/>
        </w:rPr>
        <w:t>.</w:t>
      </w:r>
      <w:r w:rsidRPr="00F33D64">
        <w:rPr>
          <w:lang w:val="es-ES"/>
        </w:rPr>
        <w:t>30</w:t>
      </w:r>
      <w:r w:rsidRPr="00F33D64">
        <w:rPr>
          <w:lang w:val="es-ES"/>
        </w:rPr>
        <w:tab/>
      </w:r>
      <w:r w:rsidR="00331054" w:rsidRPr="00F33D64">
        <w:rPr>
          <w:lang w:val="es-ES_tradnl"/>
        </w:rPr>
        <w:t>Los marcadores moleculares como predictores de</w:t>
      </w:r>
      <w:r w:rsidR="0094075E" w:rsidRPr="00F33D64">
        <w:rPr>
          <w:lang w:val="es-ES_tradnl"/>
        </w:rPr>
        <w:t xml:space="preserve"> caracteres </w:t>
      </w:r>
      <w:r w:rsidR="00331054" w:rsidRPr="00F33D64">
        <w:rPr>
          <w:lang w:val="es-ES_tradnl"/>
        </w:rPr>
        <w:t>“</w:t>
      </w:r>
      <w:r w:rsidR="0094075E" w:rsidRPr="00F33D64">
        <w:rPr>
          <w:lang w:val="es-ES_tradnl"/>
        </w:rPr>
        <w:t>tradicionales</w:t>
      </w:r>
      <w:r w:rsidR="00331054" w:rsidRPr="00F33D64">
        <w:rPr>
          <w:lang w:val="es-ES_tradnl"/>
        </w:rPr>
        <w:t>”</w:t>
      </w:r>
      <w:r w:rsidRPr="00F33D64">
        <w:rPr>
          <w:lang w:val="es-ES"/>
        </w:rPr>
        <w:t xml:space="preserve"> </w:t>
      </w:r>
    </w:p>
    <w:p w:rsidR="003502DA" w:rsidRPr="00F33D64" w:rsidRDefault="003502DA" w:rsidP="00312C2A">
      <w:pPr>
        <w:ind w:left="810" w:hanging="810"/>
        <w:rPr>
          <w:lang w:val="es-ES"/>
        </w:rPr>
      </w:pPr>
    </w:p>
    <w:p w:rsidR="003502DA" w:rsidRPr="00F33D64" w:rsidRDefault="00312C2A" w:rsidP="00312C2A">
      <w:pPr>
        <w:ind w:left="810" w:hanging="810"/>
        <w:rPr>
          <w:lang w:val="es-ES"/>
        </w:rPr>
      </w:pPr>
      <w:r w:rsidRPr="00F33D64">
        <w:rPr>
          <w:lang w:val="es-ES"/>
        </w:rPr>
        <w:t>11</w:t>
      </w:r>
      <w:r w:rsidR="00DD5A71" w:rsidRPr="00F33D64">
        <w:rPr>
          <w:lang w:val="es-ES"/>
        </w:rPr>
        <w:t>.</w:t>
      </w:r>
      <w:r w:rsidRPr="00F33D64">
        <w:rPr>
          <w:lang w:val="es-ES"/>
        </w:rPr>
        <w:t>50</w:t>
      </w:r>
      <w:r w:rsidRPr="00F33D64">
        <w:rPr>
          <w:lang w:val="es-ES"/>
        </w:rPr>
        <w:tab/>
      </w:r>
      <w:r w:rsidR="0094075E" w:rsidRPr="00F33D64">
        <w:rPr>
          <w:lang w:val="es-ES_tradnl"/>
        </w:rPr>
        <w:t xml:space="preserve">Uso de técnicas basadas en marcadores moleculares para la selección de </w:t>
      </w:r>
      <w:r w:rsidR="00331054" w:rsidRPr="00F33D64">
        <w:rPr>
          <w:lang w:val="es-ES_tradnl"/>
        </w:rPr>
        <w:t>“</w:t>
      </w:r>
      <w:r w:rsidR="009B5EF6" w:rsidRPr="00F33D64">
        <w:rPr>
          <w:lang w:val="es-ES_tradnl"/>
        </w:rPr>
        <w:t>variedades similares</w:t>
      </w:r>
      <w:r w:rsidR="00331054" w:rsidRPr="00F33D64">
        <w:rPr>
          <w:lang w:val="es-ES_tradnl"/>
        </w:rPr>
        <w:t>”</w:t>
      </w:r>
      <w:r w:rsidR="009B5EF6" w:rsidRPr="00F33D64">
        <w:rPr>
          <w:lang w:val="es-ES_tradnl"/>
        </w:rPr>
        <w:t xml:space="preserve"> a una </w:t>
      </w:r>
      <w:r w:rsidR="00331054" w:rsidRPr="00F33D64">
        <w:rPr>
          <w:lang w:val="es-ES_tradnl"/>
        </w:rPr>
        <w:t>“</w:t>
      </w:r>
      <w:r w:rsidR="009B5EF6" w:rsidRPr="00F33D64">
        <w:rPr>
          <w:lang w:val="es-ES_tradnl"/>
        </w:rPr>
        <w:t>variedad candidata</w:t>
      </w:r>
      <w:r w:rsidR="00331054" w:rsidRPr="00F33D64">
        <w:rPr>
          <w:lang w:val="es-ES_tradnl"/>
        </w:rPr>
        <w:t>”</w:t>
      </w:r>
    </w:p>
    <w:p w:rsidR="003502DA" w:rsidRPr="00F33D64" w:rsidRDefault="003502DA" w:rsidP="00312C2A">
      <w:pPr>
        <w:ind w:left="810" w:hanging="810"/>
        <w:rPr>
          <w:lang w:val="es-ES"/>
        </w:rPr>
      </w:pPr>
    </w:p>
    <w:p w:rsidR="003502DA" w:rsidRPr="00F33D64" w:rsidRDefault="00312C2A" w:rsidP="00312C2A">
      <w:pPr>
        <w:ind w:left="810" w:hanging="810"/>
        <w:rPr>
          <w:rFonts w:cs="Arial"/>
          <w:lang w:val="es-ES"/>
        </w:rPr>
      </w:pPr>
      <w:r w:rsidRPr="00F33D64">
        <w:rPr>
          <w:lang w:val="es-ES"/>
        </w:rPr>
        <w:t>12</w:t>
      </w:r>
      <w:r w:rsidR="00DD5A71" w:rsidRPr="00F33D64">
        <w:rPr>
          <w:lang w:val="es-ES"/>
        </w:rPr>
        <w:t>.</w:t>
      </w:r>
      <w:r w:rsidRPr="00F33D64">
        <w:rPr>
          <w:lang w:val="es-ES"/>
        </w:rPr>
        <w:t>10</w:t>
      </w:r>
      <w:r w:rsidRPr="00F33D64">
        <w:rPr>
          <w:lang w:val="es-ES"/>
        </w:rPr>
        <w:tab/>
      </w:r>
      <w:r w:rsidR="0014188F" w:rsidRPr="00F33D64">
        <w:rPr>
          <w:lang w:val="es-ES_tradnl"/>
        </w:rPr>
        <w:t>U</w:t>
      </w:r>
      <w:r w:rsidR="0094075E" w:rsidRPr="00F33D64">
        <w:rPr>
          <w:lang w:val="es-ES_tradnl"/>
        </w:rPr>
        <w:t>tilización de variedades de referencia en la distinción de variedades:</w:t>
      </w:r>
      <w:r w:rsidRPr="00F33D64">
        <w:rPr>
          <w:lang w:val="es-ES"/>
        </w:rPr>
        <w:t xml:space="preserve"> </w:t>
      </w:r>
      <w:r w:rsidR="0094075E" w:rsidRPr="00F33D64">
        <w:rPr>
          <w:lang w:val="es-ES_tradnl"/>
        </w:rPr>
        <w:t>un método en investigación en los Estados Unidos de América para su posible aplicación en la protección de las obtenciones vegetales</w:t>
      </w:r>
      <w:r w:rsidRPr="00F33D64">
        <w:rPr>
          <w:lang w:val="es-ES"/>
        </w:rPr>
        <w:t xml:space="preserve"> </w:t>
      </w:r>
    </w:p>
    <w:p w:rsidR="003502DA" w:rsidRPr="00F33D64" w:rsidRDefault="003502DA" w:rsidP="00312C2A">
      <w:pPr>
        <w:ind w:left="810" w:hanging="810"/>
        <w:rPr>
          <w:lang w:val="es-ES"/>
        </w:rPr>
      </w:pPr>
    </w:p>
    <w:p w:rsidR="003502DA" w:rsidRPr="00F33D64" w:rsidRDefault="00852B8A" w:rsidP="003502DA">
      <w:pPr>
        <w:ind w:left="810" w:hanging="810"/>
        <w:rPr>
          <w:i/>
          <w:lang w:val="es-ES"/>
        </w:rPr>
      </w:pPr>
      <w:r w:rsidRPr="00F33D64">
        <w:rPr>
          <w:i/>
          <w:lang w:val="es-ES"/>
        </w:rPr>
        <w:t xml:space="preserve">12:30 </w:t>
      </w:r>
      <w:r w:rsidRPr="00F33D64">
        <w:rPr>
          <w:i/>
          <w:lang w:val="es-ES"/>
        </w:rPr>
        <w:tab/>
      </w:r>
      <w:r w:rsidR="003502DA" w:rsidRPr="00F33D64">
        <w:rPr>
          <w:i/>
          <w:lang w:val="es-ES_tradnl"/>
        </w:rPr>
        <w:t>Almuerzo</w:t>
      </w:r>
    </w:p>
    <w:p w:rsidR="003502DA" w:rsidRPr="00F33D64" w:rsidRDefault="003502DA" w:rsidP="00312C2A">
      <w:pPr>
        <w:ind w:left="810" w:hanging="810"/>
        <w:rPr>
          <w:lang w:val="es-ES"/>
        </w:rPr>
      </w:pPr>
    </w:p>
    <w:p w:rsidR="003502DA" w:rsidRPr="00F33D64" w:rsidRDefault="00852B8A" w:rsidP="003502DA">
      <w:pPr>
        <w:ind w:left="810" w:hanging="810"/>
        <w:rPr>
          <w:lang w:val="es-ES"/>
        </w:rPr>
      </w:pPr>
      <w:r w:rsidRPr="00F33D64">
        <w:rPr>
          <w:lang w:val="es-ES"/>
        </w:rPr>
        <w:t>14:30</w:t>
      </w:r>
      <w:r w:rsidRPr="00F33D64">
        <w:rPr>
          <w:lang w:val="es-ES"/>
        </w:rPr>
        <w:tab/>
      </w:r>
      <w:r w:rsidR="003502DA" w:rsidRPr="00F33D64">
        <w:rPr>
          <w:lang w:val="es-ES_tradnl"/>
        </w:rPr>
        <w:t>Base de datos europea de la papa/patata como compilación centralizada de variedades notoriamente conocidas</w:t>
      </w:r>
    </w:p>
    <w:p w:rsidR="003502DA" w:rsidRPr="00F33D64" w:rsidRDefault="003502DA" w:rsidP="00312C2A">
      <w:pPr>
        <w:ind w:left="810" w:hanging="810"/>
        <w:rPr>
          <w:lang w:val="es-ES"/>
        </w:rPr>
      </w:pPr>
    </w:p>
    <w:p w:rsidR="003502DA" w:rsidRPr="00F33D64" w:rsidRDefault="00312C2A" w:rsidP="00312C2A">
      <w:pPr>
        <w:ind w:left="810" w:hanging="810"/>
        <w:rPr>
          <w:lang w:val="es-ES"/>
        </w:rPr>
      </w:pPr>
      <w:r w:rsidRPr="00F33D64">
        <w:rPr>
          <w:lang w:val="es-ES"/>
        </w:rPr>
        <w:t>14</w:t>
      </w:r>
      <w:r w:rsidR="00DD5A71" w:rsidRPr="00F33D64">
        <w:rPr>
          <w:lang w:val="es-ES"/>
        </w:rPr>
        <w:t>.</w:t>
      </w:r>
      <w:r w:rsidRPr="00F33D64">
        <w:rPr>
          <w:lang w:val="es-ES"/>
        </w:rPr>
        <w:t>50</w:t>
      </w:r>
      <w:r w:rsidRPr="00F33D64">
        <w:rPr>
          <w:lang w:val="es-ES"/>
        </w:rPr>
        <w:tab/>
      </w:r>
      <w:r w:rsidR="0094075E" w:rsidRPr="00F33D64">
        <w:rPr>
          <w:lang w:val="es-ES_tradnl"/>
        </w:rPr>
        <w:t>Desarrollo de marcadores EST-SSR de la lechuga e identificación de variedades mediante marcadores EST-SSR</w:t>
      </w:r>
    </w:p>
    <w:p w:rsidR="003502DA" w:rsidRPr="00F33D64" w:rsidRDefault="003502DA" w:rsidP="00312C2A">
      <w:pPr>
        <w:ind w:left="810" w:hanging="810"/>
        <w:rPr>
          <w:lang w:val="es-ES"/>
        </w:rPr>
      </w:pPr>
    </w:p>
    <w:p w:rsidR="003502DA" w:rsidRPr="00F33D64" w:rsidRDefault="00312C2A" w:rsidP="00312C2A">
      <w:pPr>
        <w:ind w:left="810" w:hanging="810"/>
        <w:rPr>
          <w:lang w:val="es-ES"/>
        </w:rPr>
      </w:pPr>
      <w:r w:rsidRPr="00F33D64">
        <w:rPr>
          <w:lang w:val="es-ES"/>
        </w:rPr>
        <w:t>15</w:t>
      </w:r>
      <w:r w:rsidR="00DD5A71" w:rsidRPr="00F33D64">
        <w:rPr>
          <w:lang w:val="es-ES"/>
        </w:rPr>
        <w:t>.</w:t>
      </w:r>
      <w:r w:rsidRPr="00F33D64">
        <w:rPr>
          <w:lang w:val="es-ES"/>
        </w:rPr>
        <w:t>10</w:t>
      </w:r>
      <w:r w:rsidRPr="00F33D64">
        <w:rPr>
          <w:lang w:val="es-ES"/>
        </w:rPr>
        <w:tab/>
      </w:r>
      <w:r w:rsidR="0094075E" w:rsidRPr="00F33D64">
        <w:rPr>
          <w:lang w:val="es-ES_tradnl"/>
        </w:rPr>
        <w:t xml:space="preserve">Propiedad </w:t>
      </w:r>
      <w:r w:rsidR="00B450C2" w:rsidRPr="00F33D64">
        <w:rPr>
          <w:lang w:val="es-ES_tradnl"/>
        </w:rPr>
        <w:t>y uso de las muestras del examen DHE y del ADN y los datos sobre el ADN durante los exámenes DHE y posteriormente</w:t>
      </w:r>
      <w:r w:rsidRPr="00F33D64">
        <w:rPr>
          <w:lang w:val="es-ES"/>
        </w:rPr>
        <w:t xml:space="preserve"> </w:t>
      </w:r>
    </w:p>
    <w:p w:rsidR="003502DA" w:rsidRPr="00F33D64" w:rsidRDefault="003502DA" w:rsidP="00312C2A">
      <w:pPr>
        <w:ind w:left="810" w:hanging="810"/>
        <w:rPr>
          <w:rFonts w:cs="Arial"/>
          <w:lang w:val="es-ES"/>
        </w:rPr>
      </w:pPr>
    </w:p>
    <w:p w:rsidR="003502DA" w:rsidRPr="00F33D64" w:rsidRDefault="003502DA" w:rsidP="00312C2A">
      <w:pPr>
        <w:ind w:left="810" w:hanging="810"/>
        <w:rPr>
          <w:rFonts w:cs="Arial"/>
          <w:lang w:val="es-ES"/>
        </w:rPr>
      </w:pPr>
    </w:p>
    <w:p w:rsidR="003502DA" w:rsidRPr="00F33D64" w:rsidRDefault="00604F46" w:rsidP="003502DA">
      <w:pPr>
        <w:ind w:left="810" w:hanging="810"/>
        <w:rPr>
          <w:rFonts w:cs="Arial"/>
          <w:u w:val="single"/>
          <w:lang w:val="es-ES"/>
        </w:rPr>
      </w:pPr>
      <w:r w:rsidRPr="00F33D64">
        <w:rPr>
          <w:rFonts w:cs="Arial"/>
          <w:u w:val="single"/>
          <w:lang w:val="es-ES_tradnl"/>
        </w:rPr>
        <w:t xml:space="preserve">Taller conjunto </w:t>
      </w:r>
      <w:r w:rsidR="003502DA" w:rsidRPr="00F33D64">
        <w:rPr>
          <w:rFonts w:cs="Arial"/>
          <w:u w:val="single"/>
          <w:lang w:val="es-ES_tradnl"/>
        </w:rPr>
        <w:t xml:space="preserve">OCDE-UPOV-ISTA </w:t>
      </w:r>
      <w:r w:rsidRPr="00F33D64">
        <w:rPr>
          <w:rFonts w:cs="Arial"/>
          <w:u w:val="single"/>
          <w:lang w:val="es-ES_tradnl"/>
        </w:rPr>
        <w:t>sobre técnicas moleculares</w:t>
      </w:r>
    </w:p>
    <w:p w:rsidR="003502DA" w:rsidRPr="00F33D64" w:rsidRDefault="003502DA" w:rsidP="00312C2A">
      <w:pPr>
        <w:ind w:left="810" w:hanging="810"/>
        <w:rPr>
          <w:rFonts w:cs="Arial"/>
          <w:lang w:val="es-ES"/>
        </w:rPr>
      </w:pPr>
    </w:p>
    <w:p w:rsidR="003502DA" w:rsidRPr="00F33D64" w:rsidRDefault="00852B8A" w:rsidP="003502DA">
      <w:pPr>
        <w:ind w:left="810" w:hanging="810"/>
        <w:rPr>
          <w:lang w:val="es-ES"/>
        </w:rPr>
      </w:pPr>
      <w:r w:rsidRPr="00F33D64">
        <w:rPr>
          <w:lang w:val="es-ES"/>
        </w:rPr>
        <w:t>15</w:t>
      </w:r>
      <w:r w:rsidR="00DD5A71" w:rsidRPr="00F33D64">
        <w:rPr>
          <w:lang w:val="es-ES"/>
        </w:rPr>
        <w:t>.</w:t>
      </w:r>
      <w:r w:rsidRPr="00F33D64">
        <w:rPr>
          <w:lang w:val="es-ES"/>
        </w:rPr>
        <w:t>30</w:t>
      </w:r>
      <w:r w:rsidRPr="00F33D64">
        <w:rPr>
          <w:lang w:val="es-ES"/>
        </w:rPr>
        <w:tab/>
      </w:r>
      <w:r w:rsidR="003502DA" w:rsidRPr="00F33D64">
        <w:rPr>
          <w:lang w:val="es-ES_tradnl"/>
        </w:rPr>
        <w:t>Posibilidades de cooperación entre la OCDE, la UPOV y la ISTA en materia de técnicas moleculares (debate)</w:t>
      </w:r>
    </w:p>
    <w:p w:rsidR="003502DA" w:rsidRPr="00F33D64" w:rsidRDefault="003502DA" w:rsidP="00312C2A">
      <w:pPr>
        <w:ind w:left="810" w:right="369" w:hanging="810"/>
        <w:jc w:val="left"/>
        <w:rPr>
          <w:lang w:val="es-ES"/>
        </w:rPr>
      </w:pPr>
    </w:p>
    <w:p w:rsidR="003502DA" w:rsidRPr="00F33D64" w:rsidRDefault="00312C2A" w:rsidP="00312C2A">
      <w:pPr>
        <w:ind w:left="810" w:right="369" w:hanging="810"/>
        <w:jc w:val="left"/>
        <w:rPr>
          <w:lang w:val="es-ES"/>
        </w:rPr>
      </w:pPr>
      <w:r w:rsidRPr="00F33D64">
        <w:rPr>
          <w:lang w:val="es-ES"/>
        </w:rPr>
        <w:t>15</w:t>
      </w:r>
      <w:r w:rsidR="00DD5A71" w:rsidRPr="00F33D64">
        <w:rPr>
          <w:lang w:val="es-ES"/>
        </w:rPr>
        <w:t>.</w:t>
      </w:r>
      <w:r w:rsidRPr="00F33D64">
        <w:rPr>
          <w:lang w:val="es-ES"/>
        </w:rPr>
        <w:t xml:space="preserve">50 </w:t>
      </w:r>
      <w:r w:rsidRPr="00F33D64">
        <w:rPr>
          <w:lang w:val="es-ES"/>
        </w:rPr>
        <w:tab/>
      </w:r>
      <w:r w:rsidR="0094075E" w:rsidRPr="00F33D64">
        <w:rPr>
          <w:lang w:val="es-ES_tradnl"/>
        </w:rPr>
        <w:t>Debate general (25 minutos)</w:t>
      </w:r>
    </w:p>
    <w:p w:rsidR="003502DA" w:rsidRPr="00F33D64" w:rsidRDefault="003502DA" w:rsidP="00312C2A">
      <w:pPr>
        <w:ind w:left="810" w:right="369" w:hanging="810"/>
        <w:jc w:val="left"/>
        <w:rPr>
          <w:lang w:val="es-ES"/>
        </w:rPr>
      </w:pPr>
    </w:p>
    <w:p w:rsidR="003502DA" w:rsidRPr="00F33D64" w:rsidRDefault="003502DA" w:rsidP="00312C2A">
      <w:pPr>
        <w:ind w:left="810" w:right="369" w:hanging="810"/>
        <w:jc w:val="left"/>
        <w:rPr>
          <w:lang w:val="es-ES"/>
        </w:rPr>
      </w:pPr>
    </w:p>
    <w:p w:rsidR="003502DA" w:rsidRPr="00F33D64" w:rsidRDefault="0094075E" w:rsidP="00312C2A">
      <w:pPr>
        <w:ind w:left="810" w:right="369" w:hanging="810"/>
        <w:jc w:val="left"/>
        <w:rPr>
          <w:u w:val="single"/>
          <w:lang w:val="es-ES"/>
        </w:rPr>
      </w:pPr>
      <w:r w:rsidRPr="00F33D64">
        <w:rPr>
          <w:u w:val="single"/>
          <w:lang w:val="es-ES_tradnl"/>
        </w:rPr>
        <w:t>Punto 8 “Técnicas moleculares” del orden del día del Comité Técnico</w:t>
      </w:r>
    </w:p>
    <w:p w:rsidR="003502DA" w:rsidRPr="00F33D64" w:rsidRDefault="003502DA" w:rsidP="00312C2A">
      <w:pPr>
        <w:ind w:left="810" w:right="369" w:hanging="810"/>
        <w:jc w:val="left"/>
        <w:rPr>
          <w:lang w:val="es-ES"/>
        </w:rPr>
      </w:pPr>
    </w:p>
    <w:p w:rsidR="003502DA" w:rsidRPr="00F33D64" w:rsidRDefault="00312C2A" w:rsidP="00312C2A">
      <w:pPr>
        <w:ind w:left="810" w:right="369" w:hanging="810"/>
        <w:jc w:val="left"/>
        <w:rPr>
          <w:lang w:val="es-ES"/>
        </w:rPr>
      </w:pPr>
      <w:r w:rsidRPr="00F33D64">
        <w:rPr>
          <w:lang w:val="es-ES"/>
        </w:rPr>
        <w:t>16</w:t>
      </w:r>
      <w:r w:rsidR="00DD5A71" w:rsidRPr="00F33D64">
        <w:rPr>
          <w:lang w:val="es-ES"/>
        </w:rPr>
        <w:t>.</w:t>
      </w:r>
      <w:r w:rsidRPr="00F33D64">
        <w:rPr>
          <w:lang w:val="es-ES"/>
        </w:rPr>
        <w:t>15</w:t>
      </w:r>
      <w:r w:rsidRPr="00F33D64">
        <w:rPr>
          <w:lang w:val="es-ES"/>
        </w:rPr>
        <w:tab/>
      </w:r>
      <w:r w:rsidR="0094075E" w:rsidRPr="00F33D64">
        <w:rPr>
          <w:lang w:val="es-ES_tradnl"/>
        </w:rPr>
        <w:t>Punto 8 “Técnicas moleculares” del orden del día</w:t>
      </w:r>
    </w:p>
    <w:p w:rsidR="003502DA" w:rsidRPr="00F33D64" w:rsidRDefault="003502DA" w:rsidP="00312C2A">
      <w:pPr>
        <w:ind w:right="369"/>
        <w:jc w:val="left"/>
        <w:rPr>
          <w:lang w:val="es-ES"/>
        </w:rPr>
      </w:pPr>
    </w:p>
    <w:p w:rsidR="003502DA" w:rsidRPr="00F33D64" w:rsidRDefault="003502DA" w:rsidP="00312C2A">
      <w:pPr>
        <w:ind w:right="369"/>
        <w:jc w:val="left"/>
        <w:rPr>
          <w:lang w:val="es-ES"/>
        </w:rPr>
      </w:pPr>
    </w:p>
    <w:p w:rsidR="003502DA" w:rsidRPr="00F33D64" w:rsidRDefault="003502DA" w:rsidP="00312C2A">
      <w:pPr>
        <w:ind w:right="369"/>
        <w:jc w:val="left"/>
        <w:rPr>
          <w:lang w:val="es-ES"/>
        </w:rPr>
      </w:pPr>
    </w:p>
    <w:p w:rsidR="003502DA" w:rsidRPr="00F33D64" w:rsidRDefault="003502DA" w:rsidP="007F4BB2">
      <w:pPr>
        <w:jc w:val="right"/>
        <w:rPr>
          <w:snapToGrid w:val="0"/>
          <w:lang w:val="es-ES"/>
        </w:rPr>
      </w:pPr>
    </w:p>
    <w:p w:rsidR="003502DA" w:rsidRPr="00F33D64" w:rsidRDefault="007F4BB2" w:rsidP="007F4BB2">
      <w:pPr>
        <w:jc w:val="right"/>
        <w:rPr>
          <w:snapToGrid w:val="0"/>
          <w:lang w:val="es-ES_tradnl"/>
        </w:rPr>
      </w:pPr>
      <w:r w:rsidRPr="00F33D64">
        <w:rPr>
          <w:snapToGrid w:val="0"/>
          <w:lang w:val="es-ES_tradnl"/>
        </w:rPr>
        <w:t>[Fin d</w:t>
      </w:r>
      <w:r w:rsidR="00970020" w:rsidRPr="00F33D64">
        <w:rPr>
          <w:snapToGrid w:val="0"/>
          <w:lang w:val="es-ES_tradnl"/>
        </w:rPr>
        <w:t>el</w:t>
      </w:r>
      <w:r w:rsidRPr="00F33D64">
        <w:rPr>
          <w:snapToGrid w:val="0"/>
          <w:lang w:val="es-ES_tradnl"/>
        </w:rPr>
        <w:t xml:space="preserve"> </w:t>
      </w:r>
      <w:r w:rsidR="00591C5D" w:rsidRPr="00F33D64">
        <w:rPr>
          <w:snapToGrid w:val="0"/>
          <w:lang w:val="es-ES_tradnl"/>
        </w:rPr>
        <w:t xml:space="preserve">Anexo II y del </w:t>
      </w:r>
      <w:r w:rsidRPr="00F33D64">
        <w:rPr>
          <w:snapToGrid w:val="0"/>
          <w:lang w:val="es-ES_tradnl"/>
        </w:rPr>
        <w:t>documento]</w:t>
      </w:r>
    </w:p>
    <w:p w:rsidR="007F4BB2" w:rsidRPr="00F33D64" w:rsidRDefault="007F4BB2" w:rsidP="007F4BB2">
      <w:pPr>
        <w:jc w:val="right"/>
        <w:rPr>
          <w:snapToGrid w:val="0"/>
          <w:lang w:val="es-ES_tradnl"/>
        </w:rPr>
      </w:pPr>
    </w:p>
    <w:sectPr w:rsidR="007F4BB2" w:rsidRPr="00F33D64" w:rsidSect="00906DDC">
      <w:head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5A3" w:rsidRDefault="007465A3" w:rsidP="00F45372">
      <w:r>
        <w:separator/>
      </w:r>
    </w:p>
    <w:p w:rsidR="007465A3" w:rsidRDefault="007465A3" w:rsidP="00F45372"/>
    <w:p w:rsidR="007465A3" w:rsidRDefault="007465A3" w:rsidP="00F45372"/>
  </w:endnote>
  <w:endnote w:type="continuationSeparator" w:id="0">
    <w:p w:rsidR="007465A3" w:rsidRDefault="007465A3" w:rsidP="00F45372">
      <w:r>
        <w:separator/>
      </w:r>
    </w:p>
    <w:p w:rsidR="007465A3" w:rsidRPr="00970020" w:rsidRDefault="007465A3">
      <w:pPr>
        <w:pStyle w:val="Footer"/>
        <w:spacing w:after="60"/>
        <w:rPr>
          <w:sz w:val="18"/>
          <w:lang w:val="fr-CH"/>
        </w:rPr>
      </w:pPr>
      <w:r w:rsidRPr="00970020">
        <w:rPr>
          <w:sz w:val="18"/>
          <w:lang w:val="fr-CH"/>
        </w:rPr>
        <w:t>[Suite de la note de la page précédente]</w:t>
      </w:r>
    </w:p>
    <w:p w:rsidR="007465A3" w:rsidRPr="00970020" w:rsidRDefault="007465A3" w:rsidP="00F45372">
      <w:pPr>
        <w:rPr>
          <w:lang w:val="fr-CH"/>
        </w:rPr>
      </w:pPr>
    </w:p>
    <w:p w:rsidR="007465A3" w:rsidRPr="00970020" w:rsidRDefault="007465A3" w:rsidP="00F45372">
      <w:pPr>
        <w:rPr>
          <w:lang w:val="fr-CH"/>
        </w:rPr>
      </w:pPr>
    </w:p>
  </w:endnote>
  <w:endnote w:type="continuationNotice" w:id="1">
    <w:p w:rsidR="007465A3" w:rsidRPr="00970020" w:rsidRDefault="007465A3" w:rsidP="00F45372">
      <w:pPr>
        <w:rPr>
          <w:lang w:val="fr-CH"/>
        </w:rPr>
      </w:pPr>
      <w:r w:rsidRPr="00970020">
        <w:rPr>
          <w:lang w:val="fr-CH"/>
        </w:rPr>
        <w:t>[Suite de la note page suivante]</w:t>
      </w:r>
    </w:p>
    <w:p w:rsidR="007465A3" w:rsidRPr="00970020" w:rsidRDefault="007465A3" w:rsidP="00F45372">
      <w:pPr>
        <w:rPr>
          <w:lang w:val="fr-CH"/>
        </w:rPr>
      </w:pPr>
    </w:p>
    <w:p w:rsidR="007465A3" w:rsidRPr="00970020" w:rsidRDefault="007465A3"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A" w:rsidRPr="0031586E" w:rsidRDefault="00EA7A9A" w:rsidP="00315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5A3" w:rsidRDefault="007465A3" w:rsidP="00F45372">
      <w:r>
        <w:separator/>
      </w:r>
    </w:p>
  </w:footnote>
  <w:footnote w:type="continuationSeparator" w:id="0">
    <w:p w:rsidR="007465A3" w:rsidRDefault="007465A3" w:rsidP="00F45372">
      <w:r>
        <w:separator/>
      </w:r>
    </w:p>
  </w:footnote>
  <w:footnote w:type="continuationNotice" w:id="1">
    <w:p w:rsidR="007465A3" w:rsidRPr="00905020" w:rsidRDefault="007465A3" w:rsidP="00905020">
      <w:pPr>
        <w:pStyle w:val="Footer"/>
      </w:pPr>
    </w:p>
  </w:footnote>
  <w:footnote w:id="2">
    <w:p w:rsidR="00EA7A9A" w:rsidRPr="00784529" w:rsidRDefault="00EA7A9A" w:rsidP="005420B5">
      <w:pPr>
        <w:pStyle w:val="FootnoteText"/>
        <w:rPr>
          <w:lang w:val="es-ES_tradnl" w:eastAsia="ja-JP"/>
        </w:rPr>
      </w:pPr>
      <w:r w:rsidRPr="00784529">
        <w:rPr>
          <w:rStyle w:val="FootnoteReference"/>
          <w:lang w:val="es-ES_tradnl"/>
        </w:rPr>
        <w:footnoteRef/>
      </w:r>
      <w:r w:rsidR="005420B5">
        <w:rPr>
          <w:lang w:val="es-ES_tradnl"/>
        </w:rPr>
        <w:tab/>
      </w:r>
      <w:r w:rsidR="00ED042E" w:rsidRPr="00784529">
        <w:rPr>
          <w:lang w:val="es-ES_tradnl"/>
        </w:rPr>
        <w:t xml:space="preserve">Estos puntos del orden del día se debatieron el miércoles </w:t>
      </w:r>
      <w:r w:rsidR="00ED042E" w:rsidRPr="00784529">
        <w:rPr>
          <w:rFonts w:hint="eastAsia"/>
          <w:lang w:val="es-ES_tradnl" w:eastAsia="ja-JP"/>
        </w:rPr>
        <w:t>1</w:t>
      </w:r>
      <w:r w:rsidR="00ED042E" w:rsidRPr="00784529">
        <w:rPr>
          <w:lang w:val="es-ES_tradnl"/>
        </w:rPr>
        <w:t>2 de noviembre de 201</w:t>
      </w:r>
      <w:r w:rsidR="00ED042E" w:rsidRPr="00784529">
        <w:rPr>
          <w:rFonts w:hint="eastAsia"/>
          <w:lang w:val="es-ES_tradnl" w:eastAsia="ja-JP"/>
        </w:rPr>
        <w:t>4</w:t>
      </w:r>
      <w:r w:rsidR="00ED042E" w:rsidRPr="00784529">
        <w:rPr>
          <w:lang w:val="es-ES_tradnl"/>
        </w:rPr>
        <w:t xml:space="preserve"> (“Día del obtentor”).</w:t>
      </w:r>
    </w:p>
  </w:footnote>
  <w:footnote w:id="3">
    <w:p w:rsidR="00EA7A9A" w:rsidRPr="00784529" w:rsidRDefault="00EA7A9A" w:rsidP="005420B5">
      <w:pPr>
        <w:pStyle w:val="FootnoteText"/>
        <w:rPr>
          <w:lang w:val="es-ES_tradnl"/>
        </w:rPr>
      </w:pPr>
      <w:r w:rsidRPr="00784529">
        <w:rPr>
          <w:rStyle w:val="FootnoteReference"/>
          <w:lang w:val="es-ES_tradnl"/>
        </w:rPr>
        <w:footnoteRef/>
      </w:r>
      <w:r w:rsidR="005420B5">
        <w:rPr>
          <w:lang w:val="es-ES_tradnl" w:eastAsia="ja-JP"/>
        </w:rPr>
        <w:tab/>
      </w:r>
      <w:r w:rsidR="00784529" w:rsidRPr="00784529">
        <w:rPr>
          <w:lang w:val="es-ES_tradnl" w:eastAsia="ja-JP"/>
        </w:rPr>
        <w:t>Día del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A" w:rsidRPr="00032F84" w:rsidRDefault="00EA7A9A" w:rsidP="00EB048E">
    <w:pPr>
      <w:pStyle w:val="Header"/>
      <w:rPr>
        <w:rStyle w:val="PageNumber"/>
        <w:lang w:val="es-ES_tradnl" w:eastAsia="ja-JP"/>
      </w:rPr>
    </w:pPr>
    <w:r w:rsidRPr="00032F84">
      <w:rPr>
        <w:rStyle w:val="PageNumber"/>
        <w:lang w:val="es-ES_tradnl"/>
      </w:rPr>
      <w:t>TC/5</w:t>
    </w:r>
    <w:r w:rsidRPr="00032F84">
      <w:rPr>
        <w:rStyle w:val="PageNumber"/>
        <w:rFonts w:hint="eastAsia"/>
        <w:lang w:val="es-ES_tradnl" w:eastAsia="ja-JP"/>
      </w:rPr>
      <w:t>1</w:t>
    </w:r>
    <w:r w:rsidRPr="00032F84">
      <w:rPr>
        <w:rStyle w:val="PageNumber"/>
        <w:lang w:val="es-ES_tradnl"/>
      </w:rPr>
      <w:t>/1</w:t>
    </w:r>
    <w:r w:rsidRPr="00032F84">
      <w:rPr>
        <w:rStyle w:val="PageNumber"/>
        <w:rFonts w:hint="eastAsia"/>
        <w:lang w:val="es-ES_tradnl" w:eastAsia="ja-JP"/>
      </w:rPr>
      <w:t>1</w:t>
    </w:r>
    <w:r w:rsidR="0047370E">
      <w:rPr>
        <w:rStyle w:val="PageNumber"/>
        <w:lang w:val="es-ES_tradnl" w:eastAsia="ja-JP"/>
      </w:rPr>
      <w:t xml:space="preserve"> Rev.</w:t>
    </w:r>
  </w:p>
  <w:p w:rsidR="00EA7A9A" w:rsidRPr="00032F84" w:rsidRDefault="00EA7A9A" w:rsidP="00EB048E">
    <w:pPr>
      <w:pStyle w:val="Header"/>
      <w:rPr>
        <w:lang w:val="es-ES_tradnl"/>
      </w:rPr>
    </w:pPr>
    <w:proofErr w:type="gramStart"/>
    <w:r w:rsidRPr="00032F84">
      <w:rPr>
        <w:lang w:val="es-ES_tradnl"/>
      </w:rPr>
      <w:t>página</w:t>
    </w:r>
    <w:proofErr w:type="gramEnd"/>
    <w:r w:rsidRPr="00032F84">
      <w:rPr>
        <w:lang w:val="es-ES_tradnl"/>
      </w:rPr>
      <w:t xml:space="preserve"> </w:t>
    </w:r>
    <w:r w:rsidRPr="00032F84">
      <w:rPr>
        <w:rStyle w:val="PageNumber"/>
        <w:lang w:val="es-ES_tradnl"/>
      </w:rPr>
      <w:fldChar w:fldCharType="begin"/>
    </w:r>
    <w:r w:rsidRPr="00032F84">
      <w:rPr>
        <w:rStyle w:val="PageNumber"/>
        <w:lang w:val="es-ES_tradnl"/>
      </w:rPr>
      <w:instrText xml:space="preserve"> PAGE </w:instrText>
    </w:r>
    <w:r w:rsidRPr="00032F84">
      <w:rPr>
        <w:rStyle w:val="PageNumber"/>
        <w:lang w:val="es-ES_tradnl"/>
      </w:rPr>
      <w:fldChar w:fldCharType="separate"/>
    </w:r>
    <w:r w:rsidR="00A26808">
      <w:rPr>
        <w:rStyle w:val="PageNumber"/>
        <w:noProof/>
        <w:lang w:val="es-ES_tradnl"/>
      </w:rPr>
      <w:t>2</w:t>
    </w:r>
    <w:r w:rsidRPr="00032F84">
      <w:rPr>
        <w:rStyle w:val="PageNumber"/>
        <w:lang w:val="es-ES_tradnl"/>
      </w:rPr>
      <w:fldChar w:fldCharType="end"/>
    </w:r>
    <w:bookmarkStart w:id="35" w:name="_Toc410822398"/>
    <w:bookmarkStart w:id="36" w:name="_Toc410822802"/>
  </w:p>
  <w:bookmarkEnd w:id="35"/>
  <w:bookmarkEnd w:id="36"/>
  <w:p w:rsidR="00EA7A9A" w:rsidRPr="00032F84" w:rsidRDefault="00EA7A9A" w:rsidP="000208DC">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A" w:rsidRDefault="00EA7A9A">
    <w:pPr>
      <w:pStyle w:val="Header"/>
      <w:rPr>
        <w:lang w:val="en-US" w:eastAsia="ja-JP"/>
      </w:rPr>
    </w:pPr>
    <w:r>
      <w:rPr>
        <w:lang w:val="en-US"/>
      </w:rPr>
      <w:t>TC/5</w:t>
    </w:r>
    <w:r>
      <w:rPr>
        <w:rFonts w:hint="eastAsia"/>
        <w:lang w:val="en-US" w:eastAsia="ja-JP"/>
      </w:rPr>
      <w:t>1</w:t>
    </w:r>
    <w:r>
      <w:rPr>
        <w:lang w:val="en-US"/>
      </w:rPr>
      <w:t>/1</w:t>
    </w:r>
    <w:r>
      <w:rPr>
        <w:rFonts w:hint="eastAsia"/>
        <w:lang w:val="en-US" w:eastAsia="ja-JP"/>
      </w:rPr>
      <w:t>1</w:t>
    </w:r>
    <w:r w:rsidR="0047370E">
      <w:rPr>
        <w:lang w:val="en-US" w:eastAsia="ja-JP"/>
      </w:rPr>
      <w:t xml:space="preserve"> Rev.</w:t>
    </w:r>
  </w:p>
  <w:p w:rsidR="00EA7A9A" w:rsidRDefault="00EA7A9A">
    <w:pPr>
      <w:pStyle w:val="Header"/>
      <w:rPr>
        <w:lang w:val="en-US"/>
      </w:rPr>
    </w:pPr>
  </w:p>
  <w:p w:rsidR="00EA7A9A" w:rsidRPr="00954973" w:rsidRDefault="0047370E">
    <w:pPr>
      <w:pStyle w:val="Header"/>
      <w:rPr>
        <w:lang w:val="en-US" w:eastAsia="ja-JP"/>
      </w:rPr>
    </w:pPr>
    <w:r>
      <w:rPr>
        <w:lang w:val="en-US"/>
      </w:rPr>
      <w:t xml:space="preserve">ANEXO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A" w:rsidRPr="008D3729" w:rsidRDefault="00EA7A9A" w:rsidP="00EB048E">
    <w:pPr>
      <w:pStyle w:val="Header"/>
      <w:rPr>
        <w:rStyle w:val="PageNumber"/>
        <w:lang w:val="es-ES_tradnl"/>
      </w:rPr>
    </w:pPr>
    <w:r>
      <w:rPr>
        <w:rStyle w:val="PageNumber"/>
        <w:lang w:val="es-ES_tradnl"/>
      </w:rPr>
      <w:t>TC/51/</w:t>
    </w:r>
  </w:p>
  <w:p w:rsidR="00EA7A9A" w:rsidRPr="008D3729" w:rsidRDefault="00EA7A9A"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B54685">
      <w:rPr>
        <w:rStyle w:val="PageNumber"/>
        <w:noProof/>
        <w:lang w:val="es-ES_tradnl"/>
      </w:rPr>
      <w:t>12</w:t>
    </w:r>
    <w:r w:rsidRPr="008D3729">
      <w:rPr>
        <w:rStyle w:val="PageNumber"/>
        <w:lang w:val="es-ES_tradnl"/>
      </w:rPr>
      <w:fldChar w:fldCharType="end"/>
    </w:r>
  </w:p>
  <w:p w:rsidR="00EA7A9A" w:rsidRPr="008D3729" w:rsidRDefault="00EA7A9A"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9A" w:rsidRDefault="00EA7A9A">
    <w:pPr>
      <w:pStyle w:val="Header"/>
      <w:rPr>
        <w:lang w:val="en-US" w:eastAsia="ja-JP"/>
      </w:rPr>
    </w:pPr>
    <w:r>
      <w:rPr>
        <w:lang w:val="en-US"/>
      </w:rPr>
      <w:t>TC/5</w:t>
    </w:r>
    <w:r>
      <w:rPr>
        <w:rFonts w:hint="eastAsia"/>
        <w:lang w:val="en-US" w:eastAsia="ja-JP"/>
      </w:rPr>
      <w:t>1</w:t>
    </w:r>
    <w:r>
      <w:rPr>
        <w:lang w:val="en-US"/>
      </w:rPr>
      <w:t>/1</w:t>
    </w:r>
    <w:r>
      <w:rPr>
        <w:rFonts w:hint="eastAsia"/>
        <w:lang w:val="en-US" w:eastAsia="ja-JP"/>
      </w:rPr>
      <w:t>1</w:t>
    </w:r>
    <w:r w:rsidR="0047370E">
      <w:rPr>
        <w:lang w:val="en-US" w:eastAsia="ja-JP"/>
      </w:rPr>
      <w:t xml:space="preserve"> Rev.</w:t>
    </w:r>
  </w:p>
  <w:p w:rsidR="00EA7A9A" w:rsidRDefault="00EA7A9A">
    <w:pPr>
      <w:pStyle w:val="Header"/>
      <w:rPr>
        <w:lang w:val="en-US"/>
      </w:rPr>
    </w:pPr>
  </w:p>
  <w:p w:rsidR="00EA7A9A" w:rsidRPr="00954973" w:rsidRDefault="00EA7A9A">
    <w:pPr>
      <w:pStyle w:val="Header"/>
      <w:rPr>
        <w:lang w:val="en-US" w:eastAsia="ja-JP"/>
      </w:rPr>
    </w:pPr>
    <w:r>
      <w:rPr>
        <w:lang w:val="en-US"/>
      </w:rP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23CA7B36"/>
    <w:lvl w:ilvl="0" w:tplc="3ACE795C">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 w:name="WfColors" w:val="1"/>
  </w:docVars>
  <w:rsids>
    <w:rsidRoot w:val="00997029"/>
    <w:rsid w:val="00010CF3"/>
    <w:rsid w:val="00011E27"/>
    <w:rsid w:val="000148BC"/>
    <w:rsid w:val="000208DC"/>
    <w:rsid w:val="00024AB8"/>
    <w:rsid w:val="00030854"/>
    <w:rsid w:val="00032F84"/>
    <w:rsid w:val="00036028"/>
    <w:rsid w:val="00044642"/>
    <w:rsid w:val="000446B9"/>
    <w:rsid w:val="00047E21"/>
    <w:rsid w:val="00085505"/>
    <w:rsid w:val="000B4EA1"/>
    <w:rsid w:val="000C7021"/>
    <w:rsid w:val="000D6BBC"/>
    <w:rsid w:val="000D7780"/>
    <w:rsid w:val="000E2880"/>
    <w:rsid w:val="000F4CAC"/>
    <w:rsid w:val="00105929"/>
    <w:rsid w:val="001131D5"/>
    <w:rsid w:val="00122EAF"/>
    <w:rsid w:val="0014188F"/>
    <w:rsid w:val="00141DB8"/>
    <w:rsid w:val="00147536"/>
    <w:rsid w:val="001479AA"/>
    <w:rsid w:val="001716A8"/>
    <w:rsid w:val="00172B30"/>
    <w:rsid w:val="0017474A"/>
    <w:rsid w:val="001758C6"/>
    <w:rsid w:val="00184D5D"/>
    <w:rsid w:val="00195490"/>
    <w:rsid w:val="001D1E27"/>
    <w:rsid w:val="001E4A01"/>
    <w:rsid w:val="001E574E"/>
    <w:rsid w:val="0021306B"/>
    <w:rsid w:val="0021332C"/>
    <w:rsid w:val="00213982"/>
    <w:rsid w:val="0021713A"/>
    <w:rsid w:val="00224656"/>
    <w:rsid w:val="00235267"/>
    <w:rsid w:val="0024416D"/>
    <w:rsid w:val="00256BCA"/>
    <w:rsid w:val="00266E18"/>
    <w:rsid w:val="002800A0"/>
    <w:rsid w:val="002801B3"/>
    <w:rsid w:val="00281060"/>
    <w:rsid w:val="002940E8"/>
    <w:rsid w:val="0029429B"/>
    <w:rsid w:val="002A3736"/>
    <w:rsid w:val="002A6E50"/>
    <w:rsid w:val="002A7996"/>
    <w:rsid w:val="002C256A"/>
    <w:rsid w:val="002C3B3E"/>
    <w:rsid w:val="002C6560"/>
    <w:rsid w:val="002E4065"/>
    <w:rsid w:val="002E5B61"/>
    <w:rsid w:val="00305A7F"/>
    <w:rsid w:val="00312C2A"/>
    <w:rsid w:val="003152FE"/>
    <w:rsid w:val="0031586E"/>
    <w:rsid w:val="00320AE8"/>
    <w:rsid w:val="00325918"/>
    <w:rsid w:val="00326040"/>
    <w:rsid w:val="00327436"/>
    <w:rsid w:val="00331054"/>
    <w:rsid w:val="00344BD6"/>
    <w:rsid w:val="003502DA"/>
    <w:rsid w:val="0035528D"/>
    <w:rsid w:val="00361821"/>
    <w:rsid w:val="00366D8A"/>
    <w:rsid w:val="00370631"/>
    <w:rsid w:val="003A5E9A"/>
    <w:rsid w:val="003B02FC"/>
    <w:rsid w:val="003C7012"/>
    <w:rsid w:val="003D227C"/>
    <w:rsid w:val="003D2B4D"/>
    <w:rsid w:val="003D7E71"/>
    <w:rsid w:val="003F3A9A"/>
    <w:rsid w:val="00401228"/>
    <w:rsid w:val="00415181"/>
    <w:rsid w:val="00444A88"/>
    <w:rsid w:val="00450D0E"/>
    <w:rsid w:val="0047370E"/>
    <w:rsid w:val="00474DA4"/>
    <w:rsid w:val="00494F44"/>
    <w:rsid w:val="004A5A8A"/>
    <w:rsid w:val="004C67FB"/>
    <w:rsid w:val="004D047D"/>
    <w:rsid w:val="004D4D11"/>
    <w:rsid w:val="004F1D89"/>
    <w:rsid w:val="004F305A"/>
    <w:rsid w:val="00512164"/>
    <w:rsid w:val="00512AC1"/>
    <w:rsid w:val="00520297"/>
    <w:rsid w:val="00526819"/>
    <w:rsid w:val="005338F9"/>
    <w:rsid w:val="005420B5"/>
    <w:rsid w:val="0054281C"/>
    <w:rsid w:val="005460AE"/>
    <w:rsid w:val="0055268D"/>
    <w:rsid w:val="00571B5B"/>
    <w:rsid w:val="00574825"/>
    <w:rsid w:val="00576BE4"/>
    <w:rsid w:val="00576BF0"/>
    <w:rsid w:val="00591C5D"/>
    <w:rsid w:val="005A400A"/>
    <w:rsid w:val="005A4439"/>
    <w:rsid w:val="005A6670"/>
    <w:rsid w:val="005B7E35"/>
    <w:rsid w:val="005C1C7D"/>
    <w:rsid w:val="005C2C2D"/>
    <w:rsid w:val="005D700A"/>
    <w:rsid w:val="00600DCF"/>
    <w:rsid w:val="00604F46"/>
    <w:rsid w:val="0060578E"/>
    <w:rsid w:val="00612379"/>
    <w:rsid w:val="0061555F"/>
    <w:rsid w:val="00625523"/>
    <w:rsid w:val="006405CC"/>
    <w:rsid w:val="00641200"/>
    <w:rsid w:val="00661D07"/>
    <w:rsid w:val="0067034A"/>
    <w:rsid w:val="00682C6D"/>
    <w:rsid w:val="00687EB4"/>
    <w:rsid w:val="006A1ECF"/>
    <w:rsid w:val="006A3E7B"/>
    <w:rsid w:val="006B17D2"/>
    <w:rsid w:val="006C224E"/>
    <w:rsid w:val="006D780A"/>
    <w:rsid w:val="007218FA"/>
    <w:rsid w:val="007315BF"/>
    <w:rsid w:val="0073209A"/>
    <w:rsid w:val="00732DEC"/>
    <w:rsid w:val="00735BD5"/>
    <w:rsid w:val="00744B85"/>
    <w:rsid w:val="007465A3"/>
    <w:rsid w:val="00753A37"/>
    <w:rsid w:val="007556F6"/>
    <w:rsid w:val="00760EEF"/>
    <w:rsid w:val="00764395"/>
    <w:rsid w:val="007743B0"/>
    <w:rsid w:val="00777EE5"/>
    <w:rsid w:val="00784529"/>
    <w:rsid w:val="00784836"/>
    <w:rsid w:val="0079023E"/>
    <w:rsid w:val="007A2854"/>
    <w:rsid w:val="007A50AD"/>
    <w:rsid w:val="007D0B9D"/>
    <w:rsid w:val="007D19B0"/>
    <w:rsid w:val="007E26E8"/>
    <w:rsid w:val="007F434B"/>
    <w:rsid w:val="007F498F"/>
    <w:rsid w:val="007F4BB2"/>
    <w:rsid w:val="0080679D"/>
    <w:rsid w:val="008108B0"/>
    <w:rsid w:val="00811B20"/>
    <w:rsid w:val="00822606"/>
    <w:rsid w:val="0082296E"/>
    <w:rsid w:val="00824099"/>
    <w:rsid w:val="00852B8A"/>
    <w:rsid w:val="00852E78"/>
    <w:rsid w:val="0086076B"/>
    <w:rsid w:val="00867AC1"/>
    <w:rsid w:val="008A1693"/>
    <w:rsid w:val="008A3A4D"/>
    <w:rsid w:val="008A743F"/>
    <w:rsid w:val="008B73CE"/>
    <w:rsid w:val="008C0970"/>
    <w:rsid w:val="008D2CF7"/>
    <w:rsid w:val="008D3729"/>
    <w:rsid w:val="008D79FA"/>
    <w:rsid w:val="008E42FD"/>
    <w:rsid w:val="00900C26"/>
    <w:rsid w:val="0090197F"/>
    <w:rsid w:val="00905020"/>
    <w:rsid w:val="00906DDC"/>
    <w:rsid w:val="00910FEE"/>
    <w:rsid w:val="00930D3B"/>
    <w:rsid w:val="00934E09"/>
    <w:rsid w:val="00935C38"/>
    <w:rsid w:val="00936253"/>
    <w:rsid w:val="0094075E"/>
    <w:rsid w:val="00952DD4"/>
    <w:rsid w:val="00963348"/>
    <w:rsid w:val="00970020"/>
    <w:rsid w:val="00970FED"/>
    <w:rsid w:val="00997029"/>
    <w:rsid w:val="009A20A5"/>
    <w:rsid w:val="009B22CE"/>
    <w:rsid w:val="009B5EF6"/>
    <w:rsid w:val="009C7A14"/>
    <w:rsid w:val="009D690D"/>
    <w:rsid w:val="009E65B6"/>
    <w:rsid w:val="00A13C6F"/>
    <w:rsid w:val="00A24126"/>
    <w:rsid w:val="00A26808"/>
    <w:rsid w:val="00A27FC3"/>
    <w:rsid w:val="00A37B04"/>
    <w:rsid w:val="00A402A5"/>
    <w:rsid w:val="00A41999"/>
    <w:rsid w:val="00A42AC3"/>
    <w:rsid w:val="00A430CF"/>
    <w:rsid w:val="00A47CDB"/>
    <w:rsid w:val="00A54309"/>
    <w:rsid w:val="00A61C39"/>
    <w:rsid w:val="00AA65E7"/>
    <w:rsid w:val="00AB2B93"/>
    <w:rsid w:val="00AB54CC"/>
    <w:rsid w:val="00AB78ED"/>
    <w:rsid w:val="00AB7E5B"/>
    <w:rsid w:val="00AE00A1"/>
    <w:rsid w:val="00AE0EF1"/>
    <w:rsid w:val="00AE2CC5"/>
    <w:rsid w:val="00B07301"/>
    <w:rsid w:val="00B16AA9"/>
    <w:rsid w:val="00B224DE"/>
    <w:rsid w:val="00B450C2"/>
    <w:rsid w:val="00B54685"/>
    <w:rsid w:val="00B82446"/>
    <w:rsid w:val="00B84BBD"/>
    <w:rsid w:val="00B97020"/>
    <w:rsid w:val="00BA43FB"/>
    <w:rsid w:val="00BC127D"/>
    <w:rsid w:val="00BC1FE6"/>
    <w:rsid w:val="00BD1BF9"/>
    <w:rsid w:val="00BD54F9"/>
    <w:rsid w:val="00BE11FD"/>
    <w:rsid w:val="00BE5108"/>
    <w:rsid w:val="00BE5974"/>
    <w:rsid w:val="00C061B6"/>
    <w:rsid w:val="00C13808"/>
    <w:rsid w:val="00C2446C"/>
    <w:rsid w:val="00C36AE5"/>
    <w:rsid w:val="00C41F17"/>
    <w:rsid w:val="00C5791C"/>
    <w:rsid w:val="00C66290"/>
    <w:rsid w:val="00C72B7A"/>
    <w:rsid w:val="00C75A1E"/>
    <w:rsid w:val="00C973F2"/>
    <w:rsid w:val="00CA774A"/>
    <w:rsid w:val="00CB0C20"/>
    <w:rsid w:val="00CC11B0"/>
    <w:rsid w:val="00CC169D"/>
    <w:rsid w:val="00CD5775"/>
    <w:rsid w:val="00CE023E"/>
    <w:rsid w:val="00CF7E36"/>
    <w:rsid w:val="00D022F1"/>
    <w:rsid w:val="00D10C03"/>
    <w:rsid w:val="00D176CC"/>
    <w:rsid w:val="00D2026D"/>
    <w:rsid w:val="00D261C5"/>
    <w:rsid w:val="00D3708D"/>
    <w:rsid w:val="00D37D47"/>
    <w:rsid w:val="00D40426"/>
    <w:rsid w:val="00D57C96"/>
    <w:rsid w:val="00D61290"/>
    <w:rsid w:val="00D91203"/>
    <w:rsid w:val="00D95174"/>
    <w:rsid w:val="00DA4685"/>
    <w:rsid w:val="00DA6F36"/>
    <w:rsid w:val="00DB596E"/>
    <w:rsid w:val="00DC00EA"/>
    <w:rsid w:val="00DC7D2E"/>
    <w:rsid w:val="00DD5A71"/>
    <w:rsid w:val="00DE1547"/>
    <w:rsid w:val="00DF48BE"/>
    <w:rsid w:val="00E50918"/>
    <w:rsid w:val="00E72D49"/>
    <w:rsid w:val="00E7593C"/>
    <w:rsid w:val="00E7678A"/>
    <w:rsid w:val="00E935F1"/>
    <w:rsid w:val="00E94A81"/>
    <w:rsid w:val="00EA1FFB"/>
    <w:rsid w:val="00EA5245"/>
    <w:rsid w:val="00EA7A9A"/>
    <w:rsid w:val="00EB048E"/>
    <w:rsid w:val="00ED042E"/>
    <w:rsid w:val="00EE20AD"/>
    <w:rsid w:val="00EE34DF"/>
    <w:rsid w:val="00EF2F89"/>
    <w:rsid w:val="00F1237A"/>
    <w:rsid w:val="00F22CBD"/>
    <w:rsid w:val="00F33D64"/>
    <w:rsid w:val="00F45372"/>
    <w:rsid w:val="00F52335"/>
    <w:rsid w:val="00F560F7"/>
    <w:rsid w:val="00F6334D"/>
    <w:rsid w:val="00F66AE9"/>
    <w:rsid w:val="00F70222"/>
    <w:rsid w:val="00F77B84"/>
    <w:rsid w:val="00F803A3"/>
    <w:rsid w:val="00F83B19"/>
    <w:rsid w:val="00F91697"/>
    <w:rsid w:val="00FA49AB"/>
    <w:rsid w:val="00FE39C7"/>
    <w:rsid w:val="00FF4510"/>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F66AE9"/>
    <w:pPr>
      <w:keepNext/>
      <w:jc w:val="both"/>
      <w:outlineLvl w:val="0"/>
    </w:pPr>
    <w:rPr>
      <w:rFonts w:ascii="Arial" w:hAnsi="Arial"/>
      <w:caps/>
      <w:color w:val="808080"/>
      <w:lang w:val="es-ES_tradnl"/>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5420B5"/>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32F84"/>
    <w:pPr>
      <w:spacing w:before="480"/>
      <w:ind w:left="567" w:hanging="567"/>
      <w:jc w:val="right"/>
    </w:pPr>
    <w:rPr>
      <w:rFonts w:ascii="Arial" w:hAnsi="Arial" w:cs="Arial"/>
      <w:color w:val="808080"/>
      <w:lang w:val="es-ES_tradn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5420B5"/>
    <w:pPr>
      <w:tabs>
        <w:tab w:val="right" w:leader="dot" w:pos="9639"/>
      </w:tabs>
      <w:spacing w:beforeLines="60" w:before="144" w:after="120"/>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rsid w:val="00F66AE9"/>
    <w:rPr>
      <w:rFonts w:ascii="Arial" w:hAnsi="Arial"/>
      <w:caps/>
      <w:color w:val="808080"/>
      <w:lang w:val="es-ES_tradnl"/>
    </w:rPr>
  </w:style>
  <w:style w:type="character" w:styleId="Emphasis">
    <w:name w:val="Emphasis"/>
    <w:basedOn w:val="DefaultParagraphFont"/>
    <w:qFormat/>
    <w:rsid w:val="00312C2A"/>
    <w:rPr>
      <w:i/>
      <w:iCs/>
    </w:rPr>
  </w:style>
  <w:style w:type="paragraph" w:styleId="BodyTextIndent3">
    <w:name w:val="Body Text Indent 3"/>
    <w:basedOn w:val="Normal"/>
    <w:link w:val="BodyTextIndent3Char"/>
    <w:rsid w:val="00312C2A"/>
    <w:pPr>
      <w:ind w:left="1701" w:hanging="1701"/>
    </w:pPr>
    <w:rPr>
      <w:rFonts w:ascii="Times New Roman" w:eastAsiaTheme="minorEastAsia"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312C2A"/>
    <w:rPr>
      <w:rFonts w:eastAsiaTheme="minorEastAsia" w:cs="Angsana New"/>
      <w:color w:val="000000"/>
      <w:sz w:val="24"/>
      <w:szCs w:val="24"/>
      <w:lang w:eastAsia="ja-JP" w:bidi="th-TH"/>
    </w:rPr>
  </w:style>
  <w:style w:type="paragraph" w:styleId="ListParagraph">
    <w:name w:val="List Paragraph"/>
    <w:basedOn w:val="Normal"/>
    <w:uiPriority w:val="34"/>
    <w:qFormat/>
    <w:rsid w:val="00312C2A"/>
    <w:pPr>
      <w:ind w:left="720"/>
      <w:contextualSpacing/>
    </w:pPr>
    <w:rPr>
      <w:rFonts w:eastAsiaTheme="minorEastAsia"/>
    </w:rPr>
  </w:style>
  <w:style w:type="table" w:styleId="TableGrid">
    <w:name w:val="Table Grid"/>
    <w:basedOn w:val="TableNormal"/>
    <w:rsid w:val="00312C2A"/>
    <w:pPr>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12C2A"/>
    <w:pPr>
      <w:spacing w:after="120"/>
      <w:ind w:left="283"/>
    </w:pPr>
    <w:rPr>
      <w:rFonts w:eastAsiaTheme="minorEastAsia"/>
    </w:rPr>
  </w:style>
  <w:style w:type="character" w:customStyle="1" w:styleId="BodyTextIndentChar">
    <w:name w:val="Body Text Indent Char"/>
    <w:basedOn w:val="DefaultParagraphFont"/>
    <w:link w:val="BodyTextIndent"/>
    <w:rsid w:val="00312C2A"/>
    <w:rPr>
      <w:rFonts w:ascii="Arial" w:eastAsiaTheme="minorEastAsia" w:hAnsi="Arial"/>
    </w:rPr>
  </w:style>
  <w:style w:type="character" w:customStyle="1" w:styleId="FootnoteTextChar">
    <w:name w:val="Footnote Text Char"/>
    <w:basedOn w:val="DefaultParagraphFont"/>
    <w:link w:val="FootnoteText"/>
    <w:uiPriority w:val="99"/>
    <w:rsid w:val="005420B5"/>
    <w:rPr>
      <w:rFonts w:ascii="Arial" w:hAnsi="Arial"/>
      <w:sz w:val="16"/>
    </w:rPr>
  </w:style>
  <w:style w:type="character" w:customStyle="1" w:styleId="HeaderChar">
    <w:name w:val="Header Char"/>
    <w:basedOn w:val="DefaultParagraphFont"/>
    <w:link w:val="Header"/>
    <w:uiPriority w:val="99"/>
    <w:rsid w:val="00312C2A"/>
    <w:rPr>
      <w:rFonts w:ascii="Arial" w:hAnsi="Arial"/>
      <w:lang w:val="fr-FR"/>
    </w:rPr>
  </w:style>
  <w:style w:type="paragraph" w:customStyle="1" w:styleId="DecisionInvitingPara">
    <w:name w:val="Decision Inviting Para."/>
    <w:basedOn w:val="Normal"/>
    <w:rsid w:val="00312C2A"/>
    <w:pPr>
      <w:ind w:left="4536"/>
    </w:pPr>
    <w:rPr>
      <w:i/>
      <w:lang w:val="es-ES_tradnl"/>
    </w:rPr>
  </w:style>
  <w:style w:type="paragraph" w:customStyle="1" w:styleId="Style1">
    <w:name w:val="Style1"/>
    <w:basedOn w:val="Normal"/>
    <w:rsid w:val="00312C2A"/>
    <w:pPr>
      <w:tabs>
        <w:tab w:val="decimal" w:pos="907"/>
        <w:tab w:val="left" w:pos="1077"/>
      </w:tabs>
    </w:pPr>
    <w:rPr>
      <w:rFonts w:ascii="Times New Roman" w:hAnsi="Times New Roman"/>
      <w:sz w:val="24"/>
      <w:szCs w:val="24"/>
      <w:lang w:eastAsia="ja-JP"/>
    </w:rPr>
  </w:style>
  <w:style w:type="paragraph" w:styleId="TOCHeading">
    <w:name w:val="TOC Heading"/>
    <w:basedOn w:val="Heading1"/>
    <w:next w:val="Normal"/>
    <w:uiPriority w:val="39"/>
    <w:unhideWhenUsed/>
    <w:qFormat/>
    <w:rsid w:val="00312C2A"/>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CommentReference">
    <w:name w:val="annotation reference"/>
    <w:basedOn w:val="DefaultParagraphFont"/>
    <w:rsid w:val="00BE5108"/>
    <w:rPr>
      <w:sz w:val="16"/>
      <w:szCs w:val="16"/>
    </w:rPr>
  </w:style>
  <w:style w:type="paragraph" w:styleId="CommentText">
    <w:name w:val="annotation text"/>
    <w:basedOn w:val="Normal"/>
    <w:link w:val="CommentTextChar"/>
    <w:rsid w:val="00BE5108"/>
  </w:style>
  <w:style w:type="character" w:customStyle="1" w:styleId="CommentTextChar">
    <w:name w:val="Comment Text Char"/>
    <w:basedOn w:val="DefaultParagraphFont"/>
    <w:link w:val="CommentText"/>
    <w:rsid w:val="00BE5108"/>
    <w:rPr>
      <w:rFonts w:ascii="Arial" w:hAnsi="Arial"/>
    </w:rPr>
  </w:style>
  <w:style w:type="paragraph" w:styleId="CommentSubject">
    <w:name w:val="annotation subject"/>
    <w:basedOn w:val="CommentText"/>
    <w:next w:val="CommentText"/>
    <w:link w:val="CommentSubjectChar"/>
    <w:rsid w:val="00BE5108"/>
    <w:rPr>
      <w:b/>
      <w:bCs/>
    </w:rPr>
  </w:style>
  <w:style w:type="character" w:customStyle="1" w:styleId="CommentSubjectChar">
    <w:name w:val="Comment Subject Char"/>
    <w:basedOn w:val="CommentTextChar"/>
    <w:link w:val="CommentSubject"/>
    <w:rsid w:val="00BE5108"/>
    <w:rPr>
      <w:rFonts w:ascii="Arial" w:hAnsi="Arial"/>
      <w:b/>
      <w:bCs/>
    </w:rPr>
  </w:style>
  <w:style w:type="paragraph" w:styleId="Revision">
    <w:name w:val="Revision"/>
    <w:hidden/>
    <w:uiPriority w:val="99"/>
    <w:semiHidden/>
    <w:rsid w:val="00BE510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F66AE9"/>
    <w:pPr>
      <w:keepNext/>
      <w:jc w:val="both"/>
      <w:outlineLvl w:val="0"/>
    </w:pPr>
    <w:rPr>
      <w:rFonts w:ascii="Arial" w:hAnsi="Arial"/>
      <w:caps/>
      <w:color w:val="808080"/>
      <w:lang w:val="es-ES_tradnl"/>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5420B5"/>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32F84"/>
    <w:pPr>
      <w:spacing w:before="480"/>
      <w:ind w:left="567" w:hanging="567"/>
      <w:jc w:val="right"/>
    </w:pPr>
    <w:rPr>
      <w:rFonts w:ascii="Arial" w:hAnsi="Arial" w:cs="Arial"/>
      <w:color w:val="808080"/>
      <w:lang w:val="es-ES_tradn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5420B5"/>
    <w:pPr>
      <w:tabs>
        <w:tab w:val="right" w:leader="dot" w:pos="9639"/>
      </w:tabs>
      <w:spacing w:beforeLines="60" w:before="144" w:after="120"/>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rsid w:val="00F66AE9"/>
    <w:rPr>
      <w:rFonts w:ascii="Arial" w:hAnsi="Arial"/>
      <w:caps/>
      <w:color w:val="808080"/>
      <w:lang w:val="es-ES_tradnl"/>
    </w:rPr>
  </w:style>
  <w:style w:type="character" w:styleId="Emphasis">
    <w:name w:val="Emphasis"/>
    <w:basedOn w:val="DefaultParagraphFont"/>
    <w:qFormat/>
    <w:rsid w:val="00312C2A"/>
    <w:rPr>
      <w:i/>
      <w:iCs/>
    </w:rPr>
  </w:style>
  <w:style w:type="paragraph" w:styleId="BodyTextIndent3">
    <w:name w:val="Body Text Indent 3"/>
    <w:basedOn w:val="Normal"/>
    <w:link w:val="BodyTextIndent3Char"/>
    <w:rsid w:val="00312C2A"/>
    <w:pPr>
      <w:ind w:left="1701" w:hanging="1701"/>
    </w:pPr>
    <w:rPr>
      <w:rFonts w:ascii="Times New Roman" w:eastAsiaTheme="minorEastAsia"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312C2A"/>
    <w:rPr>
      <w:rFonts w:eastAsiaTheme="minorEastAsia" w:cs="Angsana New"/>
      <w:color w:val="000000"/>
      <w:sz w:val="24"/>
      <w:szCs w:val="24"/>
      <w:lang w:eastAsia="ja-JP" w:bidi="th-TH"/>
    </w:rPr>
  </w:style>
  <w:style w:type="paragraph" w:styleId="ListParagraph">
    <w:name w:val="List Paragraph"/>
    <w:basedOn w:val="Normal"/>
    <w:uiPriority w:val="34"/>
    <w:qFormat/>
    <w:rsid w:val="00312C2A"/>
    <w:pPr>
      <w:ind w:left="720"/>
      <w:contextualSpacing/>
    </w:pPr>
    <w:rPr>
      <w:rFonts w:eastAsiaTheme="minorEastAsia"/>
    </w:rPr>
  </w:style>
  <w:style w:type="table" w:styleId="TableGrid">
    <w:name w:val="Table Grid"/>
    <w:basedOn w:val="TableNormal"/>
    <w:rsid w:val="00312C2A"/>
    <w:pPr>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12C2A"/>
    <w:pPr>
      <w:spacing w:after="120"/>
      <w:ind w:left="283"/>
    </w:pPr>
    <w:rPr>
      <w:rFonts w:eastAsiaTheme="minorEastAsia"/>
    </w:rPr>
  </w:style>
  <w:style w:type="character" w:customStyle="1" w:styleId="BodyTextIndentChar">
    <w:name w:val="Body Text Indent Char"/>
    <w:basedOn w:val="DefaultParagraphFont"/>
    <w:link w:val="BodyTextIndent"/>
    <w:rsid w:val="00312C2A"/>
    <w:rPr>
      <w:rFonts w:ascii="Arial" w:eastAsiaTheme="minorEastAsia" w:hAnsi="Arial"/>
    </w:rPr>
  </w:style>
  <w:style w:type="character" w:customStyle="1" w:styleId="FootnoteTextChar">
    <w:name w:val="Footnote Text Char"/>
    <w:basedOn w:val="DefaultParagraphFont"/>
    <w:link w:val="FootnoteText"/>
    <w:uiPriority w:val="99"/>
    <w:rsid w:val="005420B5"/>
    <w:rPr>
      <w:rFonts w:ascii="Arial" w:hAnsi="Arial"/>
      <w:sz w:val="16"/>
    </w:rPr>
  </w:style>
  <w:style w:type="character" w:customStyle="1" w:styleId="HeaderChar">
    <w:name w:val="Header Char"/>
    <w:basedOn w:val="DefaultParagraphFont"/>
    <w:link w:val="Header"/>
    <w:uiPriority w:val="99"/>
    <w:rsid w:val="00312C2A"/>
    <w:rPr>
      <w:rFonts w:ascii="Arial" w:hAnsi="Arial"/>
      <w:lang w:val="fr-FR"/>
    </w:rPr>
  </w:style>
  <w:style w:type="paragraph" w:customStyle="1" w:styleId="DecisionInvitingPara">
    <w:name w:val="Decision Inviting Para."/>
    <w:basedOn w:val="Normal"/>
    <w:rsid w:val="00312C2A"/>
    <w:pPr>
      <w:ind w:left="4536"/>
    </w:pPr>
    <w:rPr>
      <w:i/>
      <w:lang w:val="es-ES_tradnl"/>
    </w:rPr>
  </w:style>
  <w:style w:type="paragraph" w:customStyle="1" w:styleId="Style1">
    <w:name w:val="Style1"/>
    <w:basedOn w:val="Normal"/>
    <w:rsid w:val="00312C2A"/>
    <w:pPr>
      <w:tabs>
        <w:tab w:val="decimal" w:pos="907"/>
        <w:tab w:val="left" w:pos="1077"/>
      </w:tabs>
    </w:pPr>
    <w:rPr>
      <w:rFonts w:ascii="Times New Roman" w:hAnsi="Times New Roman"/>
      <w:sz w:val="24"/>
      <w:szCs w:val="24"/>
      <w:lang w:eastAsia="ja-JP"/>
    </w:rPr>
  </w:style>
  <w:style w:type="paragraph" w:styleId="TOCHeading">
    <w:name w:val="TOC Heading"/>
    <w:basedOn w:val="Heading1"/>
    <w:next w:val="Normal"/>
    <w:uiPriority w:val="39"/>
    <w:unhideWhenUsed/>
    <w:qFormat/>
    <w:rsid w:val="00312C2A"/>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CommentReference">
    <w:name w:val="annotation reference"/>
    <w:basedOn w:val="DefaultParagraphFont"/>
    <w:rsid w:val="00BE5108"/>
    <w:rPr>
      <w:sz w:val="16"/>
      <w:szCs w:val="16"/>
    </w:rPr>
  </w:style>
  <w:style w:type="paragraph" w:styleId="CommentText">
    <w:name w:val="annotation text"/>
    <w:basedOn w:val="Normal"/>
    <w:link w:val="CommentTextChar"/>
    <w:rsid w:val="00BE5108"/>
  </w:style>
  <w:style w:type="character" w:customStyle="1" w:styleId="CommentTextChar">
    <w:name w:val="Comment Text Char"/>
    <w:basedOn w:val="DefaultParagraphFont"/>
    <w:link w:val="CommentText"/>
    <w:rsid w:val="00BE5108"/>
    <w:rPr>
      <w:rFonts w:ascii="Arial" w:hAnsi="Arial"/>
    </w:rPr>
  </w:style>
  <w:style w:type="paragraph" w:styleId="CommentSubject">
    <w:name w:val="annotation subject"/>
    <w:basedOn w:val="CommentText"/>
    <w:next w:val="CommentText"/>
    <w:link w:val="CommentSubjectChar"/>
    <w:rsid w:val="00BE5108"/>
    <w:rPr>
      <w:b/>
      <w:bCs/>
    </w:rPr>
  </w:style>
  <w:style w:type="character" w:customStyle="1" w:styleId="CommentSubjectChar">
    <w:name w:val="Comment Subject Char"/>
    <w:basedOn w:val="CommentTextChar"/>
    <w:link w:val="CommentSubject"/>
    <w:rsid w:val="00BE5108"/>
    <w:rPr>
      <w:rFonts w:ascii="Arial" w:hAnsi="Arial"/>
      <w:b/>
      <w:bCs/>
    </w:rPr>
  </w:style>
  <w:style w:type="paragraph" w:styleId="Revision">
    <w:name w:val="Revision"/>
    <w:hidden/>
    <w:uiPriority w:val="99"/>
    <w:semiHidden/>
    <w:rsid w:val="00BE510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4477</Words>
  <Characters>25522</Characters>
  <Application>Microsoft Office Word</Application>
  <DocSecurity>0</DocSecurity>
  <Lines>212</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LONG Victoria</cp:lastModifiedBy>
  <cp:revision>7</cp:revision>
  <cp:lastPrinted>2015-03-05T08:47:00Z</cp:lastPrinted>
  <dcterms:created xsi:type="dcterms:W3CDTF">2015-02-24T10:53:00Z</dcterms:created>
  <dcterms:modified xsi:type="dcterms:W3CDTF">2015-03-05T08:47:00Z</dcterms:modified>
</cp:coreProperties>
</file>